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27F9A9" w14:textId="77777777" w:rsidR="00D02C81" w:rsidRPr="00716539" w:rsidRDefault="0096262A" w:rsidP="00716539">
      <w:pPr>
        <w:pStyle w:val="body"/>
        <w:spacing w:before="0" w:after="120" w:line="192" w:lineRule="auto"/>
        <w:rPr>
          <w:rFonts w:ascii="Calibri" w:hAnsi="Calibri" w:cs="OpenSans-Bold"/>
          <w:b/>
          <w:bCs/>
          <w:color w:val="3D484C"/>
          <w:sz w:val="80"/>
          <w:szCs w:val="80"/>
        </w:rPr>
        <w:sectPr w:rsidR="00D02C81" w:rsidRPr="00716539" w:rsidSect="00F637C1">
          <w:headerReference w:type="even" r:id="rId7"/>
          <w:headerReference w:type="default" r:id="rId8"/>
          <w:footerReference w:type="even" r:id="rId9"/>
          <w:footerReference w:type="default" r:id="rId10"/>
          <w:headerReference w:type="first" r:id="rId11"/>
          <w:footerReference w:type="first" r:id="rId12"/>
          <w:type w:val="continuous"/>
          <w:pgSz w:w="12240" w:h="15840"/>
          <w:pgMar w:top="900" w:right="1440" w:bottom="1440" w:left="1440" w:header="720" w:footer="720" w:gutter="0"/>
          <w:pgNumType w:fmt="lowerRoman" w:start="2"/>
          <w:cols w:space="720"/>
          <w:titlePg/>
          <w:docGrid w:linePitch="360"/>
        </w:sectPr>
      </w:pPr>
      <w:r>
        <w:rPr>
          <w:rFonts w:ascii="Calibri" w:hAnsi="Calibri" w:cs="OpenSans-Bold"/>
          <w:b/>
          <w:bCs/>
          <w:noProof/>
          <w:color w:val="3D484C"/>
          <w:sz w:val="80"/>
          <w:szCs w:val="80"/>
        </w:rPr>
        <mc:AlternateContent>
          <mc:Choice Requires="wps">
            <w:drawing>
              <wp:anchor distT="0" distB="0" distL="114300" distR="114300" simplePos="0" relativeHeight="251658240" behindDoc="0" locked="0" layoutInCell="1" allowOverlap="1" wp14:anchorId="7ACB627E" wp14:editId="4422C4C7">
                <wp:simplePos x="0" y="0"/>
                <wp:positionH relativeFrom="column">
                  <wp:posOffset>128905</wp:posOffset>
                </wp:positionH>
                <wp:positionV relativeFrom="paragraph">
                  <wp:posOffset>2252345</wp:posOffset>
                </wp:positionV>
                <wp:extent cx="6163310" cy="2926080"/>
                <wp:effectExtent l="0" t="4445" r="381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292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00D48" w14:textId="77777777" w:rsidR="001422E9" w:rsidRDefault="001422E9" w:rsidP="00716539">
                            <w:pPr>
                              <w:pStyle w:val="body"/>
                              <w:spacing w:before="0" w:after="120" w:line="192" w:lineRule="auto"/>
                              <w:rPr>
                                <w:rFonts w:ascii="Calibri" w:hAnsi="Calibri" w:cs="OpenSans-Bold"/>
                                <w:b/>
                                <w:bCs/>
                                <w:color w:val="62777F"/>
                                <w:sz w:val="80"/>
                                <w:szCs w:val="80"/>
                              </w:rPr>
                            </w:pPr>
                            <w:r>
                              <w:rPr>
                                <w:rFonts w:ascii="Calibri" w:hAnsi="Calibri" w:cs="OpenSans-Bold"/>
                                <w:b/>
                                <w:bCs/>
                                <w:color w:val="62777F"/>
                                <w:sz w:val="80"/>
                                <w:szCs w:val="80"/>
                              </w:rPr>
                              <w:t>Economic Planning for the Clean Energy Transition:</w:t>
                            </w:r>
                          </w:p>
                          <w:p w14:paraId="767DDE0C" w14:textId="093082DC" w:rsidR="001422E9" w:rsidRPr="00FE018A" w:rsidRDefault="001422E9" w:rsidP="00716539">
                            <w:pPr>
                              <w:pStyle w:val="body"/>
                              <w:spacing w:before="0" w:after="120" w:line="192" w:lineRule="auto"/>
                              <w:rPr>
                                <w:rFonts w:ascii="Calibri" w:hAnsi="Calibri"/>
                                <w:b/>
                                <w:color w:val="62777F"/>
                                <w:sz w:val="44"/>
                              </w:rPr>
                            </w:pPr>
                            <w:r w:rsidRPr="00C137D7">
                              <w:rPr>
                                <w:rFonts w:ascii="Calibri" w:hAnsi="Calibri" w:cs="OpenSans-Bold"/>
                                <w:b/>
                                <w:bCs/>
                                <w:color w:val="62777F"/>
                                <w:sz w:val="44"/>
                                <w:szCs w:val="80"/>
                              </w:rPr>
                              <w:t>Illuminating the E</w:t>
                            </w:r>
                            <w:r>
                              <w:rPr>
                                <w:rFonts w:ascii="Calibri" w:hAnsi="Calibri" w:cs="OpenSans-Bold"/>
                                <w:b/>
                                <w:bCs/>
                                <w:color w:val="62777F"/>
                                <w:sz w:val="44"/>
                                <w:szCs w:val="80"/>
                              </w:rPr>
                              <w:t>conomic</w:t>
                            </w:r>
                            <w:r w:rsidRPr="00C137D7">
                              <w:rPr>
                                <w:rFonts w:ascii="Calibri" w:hAnsi="Calibri" w:cs="OpenSans-Bold"/>
                                <w:b/>
                                <w:bCs/>
                                <w:color w:val="62777F"/>
                                <w:sz w:val="44"/>
                                <w:szCs w:val="80"/>
                              </w:rPr>
                              <w:t xml:space="preserve"> Challenges of </w:t>
                            </w:r>
                            <w:r>
                              <w:rPr>
                                <w:rFonts w:ascii="Calibri" w:hAnsi="Calibri" w:cs="OpenSans-Bold"/>
                                <w:b/>
                                <w:bCs/>
                                <w:color w:val="62777F"/>
                                <w:sz w:val="44"/>
                                <w:szCs w:val="80"/>
                              </w:rPr>
                              <w:t>Tomorrow’s Grid</w:t>
                            </w:r>
                          </w:p>
                          <w:p w14:paraId="55BC71BD" w14:textId="77777777" w:rsidR="001422E9" w:rsidRPr="00B659CF" w:rsidRDefault="001422E9" w:rsidP="00716539">
                            <w:pPr>
                              <w:pStyle w:val="body"/>
                              <w:spacing w:before="0" w:after="120" w:line="192" w:lineRule="auto"/>
                              <w:rPr>
                                <w:rFonts w:ascii="Calibri" w:hAnsi="Calibri" w:cs="OpenSans-Bold"/>
                                <w:b/>
                                <w:bCs/>
                                <w:color w:val="FF0000"/>
                                <w:sz w:val="80"/>
                                <w:szCs w:val="80"/>
                              </w:rPr>
                            </w:pPr>
                            <w:r w:rsidRPr="00B659CF">
                              <w:rPr>
                                <w:rFonts w:ascii="Calibri" w:hAnsi="Calibri" w:cs="OpenSans-Bold"/>
                                <w:b/>
                                <w:bCs/>
                                <w:color w:val="FF0000"/>
                                <w:sz w:val="80"/>
                                <w:szCs w:val="80"/>
                              </w:rPr>
                              <w:t>DRAFT</w:t>
                            </w:r>
                          </w:p>
                          <w:p w14:paraId="39643168" w14:textId="77777777" w:rsidR="001422E9" w:rsidRDefault="001422E9" w:rsidP="00716539">
                            <w:pPr>
                              <w:pStyle w:val="body"/>
                              <w:spacing w:before="0" w:after="240" w:line="192" w:lineRule="auto"/>
                              <w:ind w:left="90"/>
                              <w:rPr>
                                <w:rFonts w:ascii="Calibri" w:hAnsi="Calibri" w:cs="OpenSans-Bold"/>
                                <w:b/>
                                <w:bCs/>
                                <w:color w:val="62777F"/>
                                <w:spacing w:val="-2"/>
                                <w:sz w:val="32"/>
                                <w:szCs w:val="32"/>
                              </w:rPr>
                            </w:pPr>
                            <w:r>
                              <w:rPr>
                                <w:rFonts w:ascii="Calibri" w:hAnsi="Calibri" w:cs="OpenSans-Bold"/>
                                <w:b/>
                                <w:bCs/>
                                <w:color w:val="62777F"/>
                                <w:spacing w:val="-2"/>
                                <w:sz w:val="32"/>
                                <w:szCs w:val="32"/>
                              </w:rPr>
                              <w:t>© ISO New England Inc.</w:t>
                            </w:r>
                          </w:p>
                          <w:p w14:paraId="53C84323" w14:textId="1D5B674B" w:rsidR="001422E9" w:rsidRPr="00716539" w:rsidRDefault="006345DD" w:rsidP="00716539">
                            <w:pPr>
                              <w:spacing w:after="120" w:line="192" w:lineRule="auto"/>
                              <w:ind w:left="90"/>
                              <w:rPr>
                                <w:color w:val="62777F"/>
                              </w:rPr>
                            </w:pPr>
                            <w:r>
                              <w:rPr>
                                <w:rFonts w:ascii="Calibri" w:hAnsi="Calibri" w:cs="OpenSans-Bold"/>
                                <w:b/>
                                <w:bCs/>
                                <w:caps/>
                                <w:color w:val="62777F"/>
                                <w:sz w:val="24"/>
                                <w:szCs w:val="24"/>
                              </w:rPr>
                              <w:t>August 16</w:t>
                            </w:r>
                            <w:r w:rsidR="001422E9">
                              <w:rPr>
                                <w:rFonts w:ascii="Calibri" w:hAnsi="Calibri" w:cs="OpenSans-Bold"/>
                                <w:b/>
                                <w:bCs/>
                                <w:caps/>
                                <w:color w:val="62777F"/>
                                <w:sz w:val="24"/>
                                <w:szCs w:val="24"/>
                              </w:rPr>
                              <w:t>,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CB627E" id="_x0000_t202" coordsize="21600,21600" o:spt="202" path="m,l,21600r21600,l21600,xe">
                <v:stroke joinstyle="miter"/>
                <v:path gradientshapeok="t" o:connecttype="rect"/>
              </v:shapetype>
              <v:shape id="Text Box 3" o:spid="_x0000_s1026" type="#_x0000_t202" style="position:absolute;margin-left:10.15pt;margin-top:177.35pt;width:485.3pt;height:230.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LntQIAALo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" filled="f" stroked="f">
                <v:textbox style="mso-fit-shape-to-text:t">
                  <w:txbxContent>
                    <w:p w14:paraId="4CB00D48" w14:textId="77777777" w:rsidR="001422E9" w:rsidRDefault="001422E9" w:rsidP="00716539">
                      <w:pPr>
                        <w:pStyle w:val="body"/>
                        <w:spacing w:before="0" w:after="120" w:line="192" w:lineRule="auto"/>
                        <w:rPr>
                          <w:rFonts w:ascii="Calibri" w:hAnsi="Calibri" w:cs="OpenSans-Bold"/>
                          <w:b/>
                          <w:bCs/>
                          <w:color w:val="62777F"/>
                          <w:sz w:val="80"/>
                          <w:szCs w:val="80"/>
                        </w:rPr>
                      </w:pPr>
                      <w:r>
                        <w:rPr>
                          <w:rFonts w:ascii="Calibri" w:hAnsi="Calibri" w:cs="OpenSans-Bold"/>
                          <w:b/>
                          <w:bCs/>
                          <w:color w:val="62777F"/>
                          <w:sz w:val="80"/>
                          <w:szCs w:val="80"/>
                        </w:rPr>
                        <w:t>Economic Planning for the Clean Energy Transition:</w:t>
                      </w:r>
                    </w:p>
                    <w:p w14:paraId="767DDE0C" w14:textId="093082DC" w:rsidR="001422E9" w:rsidRPr="00FE018A" w:rsidRDefault="001422E9" w:rsidP="00716539">
                      <w:pPr>
                        <w:pStyle w:val="body"/>
                        <w:spacing w:before="0" w:after="120" w:line="192" w:lineRule="auto"/>
                        <w:rPr>
                          <w:rFonts w:ascii="Calibri" w:hAnsi="Calibri"/>
                          <w:b/>
                          <w:color w:val="62777F"/>
                          <w:sz w:val="44"/>
                        </w:rPr>
                      </w:pPr>
                      <w:r w:rsidRPr="00C137D7">
                        <w:rPr>
                          <w:rFonts w:ascii="Calibri" w:hAnsi="Calibri" w:cs="OpenSans-Bold"/>
                          <w:b/>
                          <w:bCs/>
                          <w:color w:val="62777F"/>
                          <w:sz w:val="44"/>
                          <w:szCs w:val="80"/>
                        </w:rPr>
                        <w:t>Illuminating the E</w:t>
                      </w:r>
                      <w:r>
                        <w:rPr>
                          <w:rFonts w:ascii="Calibri" w:hAnsi="Calibri" w:cs="OpenSans-Bold"/>
                          <w:b/>
                          <w:bCs/>
                          <w:color w:val="62777F"/>
                          <w:sz w:val="44"/>
                          <w:szCs w:val="80"/>
                        </w:rPr>
                        <w:t>conomic</w:t>
                      </w:r>
                      <w:r w:rsidRPr="00C137D7">
                        <w:rPr>
                          <w:rFonts w:ascii="Calibri" w:hAnsi="Calibri" w:cs="OpenSans-Bold"/>
                          <w:b/>
                          <w:bCs/>
                          <w:color w:val="62777F"/>
                          <w:sz w:val="44"/>
                          <w:szCs w:val="80"/>
                        </w:rPr>
                        <w:t xml:space="preserve"> Challenges of </w:t>
                      </w:r>
                      <w:r>
                        <w:rPr>
                          <w:rFonts w:ascii="Calibri" w:hAnsi="Calibri" w:cs="OpenSans-Bold"/>
                          <w:b/>
                          <w:bCs/>
                          <w:color w:val="62777F"/>
                          <w:sz w:val="44"/>
                          <w:szCs w:val="80"/>
                        </w:rPr>
                        <w:t>Tomorrow’s Grid</w:t>
                      </w:r>
                    </w:p>
                    <w:p w14:paraId="55BC71BD" w14:textId="77777777" w:rsidR="001422E9" w:rsidRPr="00B659CF" w:rsidRDefault="001422E9" w:rsidP="00716539">
                      <w:pPr>
                        <w:pStyle w:val="body"/>
                        <w:spacing w:before="0" w:after="120" w:line="192" w:lineRule="auto"/>
                        <w:rPr>
                          <w:rFonts w:ascii="Calibri" w:hAnsi="Calibri" w:cs="OpenSans-Bold"/>
                          <w:b/>
                          <w:bCs/>
                          <w:color w:val="FF0000"/>
                          <w:sz w:val="80"/>
                          <w:szCs w:val="80"/>
                        </w:rPr>
                      </w:pPr>
                      <w:r w:rsidRPr="00B659CF">
                        <w:rPr>
                          <w:rFonts w:ascii="Calibri" w:hAnsi="Calibri" w:cs="OpenSans-Bold"/>
                          <w:b/>
                          <w:bCs/>
                          <w:color w:val="FF0000"/>
                          <w:sz w:val="80"/>
                          <w:szCs w:val="80"/>
                        </w:rPr>
                        <w:t>DRAFT</w:t>
                      </w:r>
                    </w:p>
                    <w:p w14:paraId="39643168" w14:textId="77777777" w:rsidR="001422E9" w:rsidRDefault="001422E9" w:rsidP="00716539">
                      <w:pPr>
                        <w:pStyle w:val="body"/>
                        <w:spacing w:before="0" w:after="240" w:line="192" w:lineRule="auto"/>
                        <w:ind w:left="90"/>
                        <w:rPr>
                          <w:rFonts w:ascii="Calibri" w:hAnsi="Calibri" w:cs="OpenSans-Bold"/>
                          <w:b/>
                          <w:bCs/>
                          <w:color w:val="62777F"/>
                          <w:spacing w:val="-2"/>
                          <w:sz w:val="32"/>
                          <w:szCs w:val="32"/>
                        </w:rPr>
                      </w:pPr>
                      <w:r>
                        <w:rPr>
                          <w:rFonts w:ascii="Calibri" w:hAnsi="Calibri" w:cs="OpenSans-Bold"/>
                          <w:b/>
                          <w:bCs/>
                          <w:color w:val="62777F"/>
                          <w:spacing w:val="-2"/>
                          <w:sz w:val="32"/>
                          <w:szCs w:val="32"/>
                        </w:rPr>
                        <w:t>© ISO New England Inc.</w:t>
                      </w:r>
                    </w:p>
                    <w:p w14:paraId="53C84323" w14:textId="1D5B674B" w:rsidR="001422E9" w:rsidRPr="00716539" w:rsidRDefault="006345DD" w:rsidP="00716539">
                      <w:pPr>
                        <w:spacing w:after="120" w:line="192" w:lineRule="auto"/>
                        <w:ind w:left="90"/>
                        <w:rPr>
                          <w:color w:val="62777F"/>
                        </w:rPr>
                      </w:pPr>
                      <w:r>
                        <w:rPr>
                          <w:rFonts w:ascii="Calibri" w:hAnsi="Calibri" w:cs="OpenSans-Bold"/>
                          <w:b/>
                          <w:bCs/>
                          <w:caps/>
                          <w:color w:val="62777F"/>
                          <w:sz w:val="24"/>
                          <w:szCs w:val="24"/>
                        </w:rPr>
                        <w:t>August 16</w:t>
                      </w:r>
                      <w:r w:rsidR="001422E9">
                        <w:rPr>
                          <w:rFonts w:ascii="Calibri" w:hAnsi="Calibri" w:cs="OpenSans-Bold"/>
                          <w:b/>
                          <w:bCs/>
                          <w:caps/>
                          <w:color w:val="62777F"/>
                          <w:sz w:val="24"/>
                          <w:szCs w:val="24"/>
                        </w:rPr>
                        <w:t>, 2024</w:t>
                      </w:r>
                    </w:p>
                  </w:txbxContent>
                </v:textbox>
              </v:shape>
            </w:pict>
          </mc:Fallback>
        </mc:AlternateContent>
      </w:r>
      <w:r>
        <w:rPr>
          <w:rFonts w:ascii="Calibri" w:hAnsi="Calibri" w:cs="OpenSans-Bold"/>
          <w:b/>
          <w:bCs/>
          <w:noProof/>
          <w:color w:val="3D484C"/>
          <w:sz w:val="80"/>
          <w:szCs w:val="80"/>
        </w:rPr>
        <mc:AlternateContent>
          <mc:Choice Requires="wps">
            <w:drawing>
              <wp:anchor distT="0" distB="0" distL="114300" distR="114300" simplePos="0" relativeHeight="251658241" behindDoc="0" locked="0" layoutInCell="1" allowOverlap="1" wp14:anchorId="29A1A190" wp14:editId="04E3EFCC">
                <wp:simplePos x="0" y="0"/>
                <wp:positionH relativeFrom="column">
                  <wp:posOffset>-753745</wp:posOffset>
                </wp:positionH>
                <wp:positionV relativeFrom="paragraph">
                  <wp:posOffset>6433185</wp:posOffset>
                </wp:positionV>
                <wp:extent cx="7315200" cy="3429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3429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AD69164" w14:textId="12171D8A" w:rsidR="001422E9" w:rsidRPr="00716539" w:rsidRDefault="001422E9" w:rsidP="003055AD">
                            <w:pPr>
                              <w:widowControl w:val="0"/>
                              <w:suppressAutoHyphens/>
                              <w:autoSpaceDE w:val="0"/>
                              <w:autoSpaceDN w:val="0"/>
                              <w:adjustRightInd w:val="0"/>
                              <w:jc w:val="center"/>
                              <w:textAlignment w:val="center"/>
                              <w:rPr>
                                <w:rFonts w:ascii="Calibri" w:hAnsi="Calibri" w:cs="OpenSans-Bold"/>
                                <w:b/>
                                <w:bCs/>
                                <w:caps/>
                                <w:color w:val="62777F"/>
                                <w:sz w:val="14"/>
                                <w:szCs w:val="14"/>
                              </w:rPr>
                            </w:pPr>
                            <w:r w:rsidRPr="00716539">
                              <w:rPr>
                                <w:rFonts w:ascii="Calibri" w:hAnsi="Calibri" w:cs="OpenSans-Bold"/>
                                <w:b/>
                                <w:bCs/>
                                <w:caps/>
                                <w:color w:val="62777F"/>
                                <w:sz w:val="14"/>
                                <w:szCs w:val="14"/>
                              </w:rPr>
                              <w:t xml:space="preserve">ISO-NE </w:t>
                            </w:r>
                            <w:r w:rsidR="00AC7EC6">
                              <w:rPr>
                                <w:rFonts w:ascii="Calibri" w:hAnsi="Calibri" w:cs="OpenSans-Bold"/>
                                <w:b/>
                                <w:bCs/>
                                <w:caps/>
                                <w:color w:val="62777F"/>
                                <w:sz w:val="14"/>
                                <w:szCs w:val="14"/>
                              </w:rPr>
                              <w:t>Public</w:t>
                            </w:r>
                          </w:p>
                          <w:p w14:paraId="74948291" w14:textId="77777777" w:rsidR="001422E9" w:rsidRPr="004759C4" w:rsidRDefault="001422E9" w:rsidP="003055AD">
                            <w:pPr>
                              <w:rPr>
                                <w:rFonts w:ascii="Calibri" w:hAnsi="Calibri"/>
                                <w:color w:val="787B7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9A1A190" id="_x0000_t202" coordsize="21600,21600" o:spt="202" path="m,l,21600r21600,l21600,xe">
                <v:stroke joinstyle="miter"/>
                <v:path gradientshapeok="t" o:connecttype="rect"/>
              </v:shapetype>
              <v:shape id="Text Box 2" o:spid="_x0000_s1027" type="#_x0000_t202" style="position:absolute;margin-left:-59.35pt;margin-top:506.55pt;width:8in;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" filled="f" stroked="f">
                <v:path arrowok="t"/>
                <v:textbox>
                  <w:txbxContent>
                    <w:p w14:paraId="5AD69164" w14:textId="12171D8A" w:rsidR="001422E9" w:rsidRPr="00716539" w:rsidRDefault="001422E9" w:rsidP="003055AD">
                      <w:pPr>
                        <w:widowControl w:val="0"/>
                        <w:suppressAutoHyphens/>
                        <w:autoSpaceDE w:val="0"/>
                        <w:autoSpaceDN w:val="0"/>
                        <w:adjustRightInd w:val="0"/>
                        <w:jc w:val="center"/>
                        <w:textAlignment w:val="center"/>
                        <w:rPr>
                          <w:rFonts w:ascii="Calibri" w:hAnsi="Calibri" w:cs="OpenSans-Bold"/>
                          <w:b/>
                          <w:bCs/>
                          <w:caps/>
                          <w:color w:val="62777F"/>
                          <w:sz w:val="14"/>
                          <w:szCs w:val="14"/>
                        </w:rPr>
                      </w:pPr>
                      <w:r w:rsidRPr="00716539">
                        <w:rPr>
                          <w:rFonts w:ascii="Calibri" w:hAnsi="Calibri" w:cs="OpenSans-Bold"/>
                          <w:b/>
                          <w:bCs/>
                          <w:caps/>
                          <w:color w:val="62777F"/>
                          <w:sz w:val="14"/>
                          <w:szCs w:val="14"/>
                        </w:rPr>
                        <w:t>ISO-</w:t>
                      </w:r>
                      <w:r w:rsidRPr="00716539">
                        <w:rPr>
                          <w:rFonts w:ascii="Calibri" w:hAnsi="Calibri" w:cs="OpenSans-Bold"/>
                          <w:b/>
                          <w:bCs/>
                          <w:caps/>
                          <w:color w:val="62777F"/>
                          <w:sz w:val="14"/>
                          <w:szCs w:val="14"/>
                        </w:rPr>
                        <w:t xml:space="preserve">NE </w:t>
                      </w:r>
                      <w:r w:rsidR="00AC7EC6">
                        <w:rPr>
                          <w:rFonts w:ascii="Calibri" w:hAnsi="Calibri" w:cs="OpenSans-Bold"/>
                          <w:b/>
                          <w:bCs/>
                          <w:caps/>
                          <w:color w:val="62777F"/>
                          <w:sz w:val="14"/>
                          <w:szCs w:val="14"/>
                        </w:rPr>
                        <w:t>P</w:t>
                      </w:r>
                      <w:r w:rsidR="00AC7EC6">
                        <w:rPr>
                          <w:rFonts w:ascii="Calibri" w:hAnsi="Calibri" w:cs="OpenSans-Bold"/>
                          <w:b/>
                          <w:bCs/>
                          <w:caps/>
                          <w:color w:val="62777F"/>
                          <w:sz w:val="14"/>
                          <w:szCs w:val="14"/>
                        </w:rPr>
                        <w:t>ublic</w:t>
                      </w:r>
                      <w:bookmarkStart w:id="1" w:name="_GoBack"/>
                      <w:bookmarkEnd w:id="1"/>
                    </w:p>
                    <w:p w14:paraId="74948291" w14:textId="77777777" w:rsidR="001422E9" w:rsidRPr="004759C4" w:rsidRDefault="001422E9" w:rsidP="003055AD">
                      <w:pPr>
                        <w:rPr>
                          <w:rFonts w:ascii="Calibri" w:hAnsi="Calibri"/>
                          <w:color w:val="787B7F"/>
                          <w:sz w:val="14"/>
                          <w:szCs w:val="14"/>
                        </w:rPr>
                      </w:pPr>
                    </w:p>
                  </w:txbxContent>
                </v:textbox>
                <w10:wrap type="square"/>
              </v:shape>
            </w:pict>
          </mc:Fallback>
        </mc:AlternateContent>
      </w:r>
      <w:r w:rsidR="003055AD">
        <w:rPr>
          <w:rFonts w:ascii="Calibri" w:hAnsi="Calibri" w:cs="OpenSans-Bold"/>
          <w:b/>
          <w:bCs/>
          <w:noProof/>
          <w:color w:val="3D484C"/>
          <w:sz w:val="80"/>
          <w:szCs w:val="80"/>
        </w:rPr>
        <w:drawing>
          <wp:anchor distT="0" distB="0" distL="114300" distR="114300" simplePos="0" relativeHeight="251658242" behindDoc="1" locked="0" layoutInCell="1" allowOverlap="1" wp14:anchorId="32F56823" wp14:editId="37730EFF">
            <wp:simplePos x="0" y="0"/>
            <wp:positionH relativeFrom="page">
              <wp:posOffset>0</wp:posOffset>
            </wp:positionH>
            <wp:positionV relativeFrom="page">
              <wp:posOffset>0</wp:posOffset>
            </wp:positionV>
            <wp:extent cx="7772400" cy="1005840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meshindle:Dropbox (TAF):CURRENT CLIENTS (2):  ISO_ISO New England: OPEN:ISO049 2015 Templates:Cover Backgrounds:ISO049-report-covers-d2.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anchor>
        </w:drawing>
      </w:r>
    </w:p>
    <w:p w14:paraId="5E040D50" w14:textId="77777777" w:rsidR="00F94C9D" w:rsidRDefault="00F94C9D" w:rsidP="00995C4D">
      <w:pPr>
        <w:spacing w:after="120" w:line="240" w:lineRule="auto"/>
        <w:rPr>
          <w:rFonts w:asciiTheme="minorHAnsi" w:hAnsiTheme="minorHAnsi"/>
          <w:b/>
          <w:color w:val="62777F" w:themeColor="text1"/>
          <w:sz w:val="20"/>
          <w:szCs w:val="20"/>
        </w:rPr>
        <w:sectPr w:rsidR="00F94C9D" w:rsidSect="000C790C">
          <w:footerReference w:type="default" r:id="rId14"/>
          <w:footerReference w:type="first" r:id="rId15"/>
          <w:pgSz w:w="12240" w:h="15840"/>
          <w:pgMar w:top="1440" w:right="1440" w:bottom="1440" w:left="1440" w:header="720" w:footer="720" w:gutter="0"/>
          <w:pgNumType w:fmt="lowerRoman" w:start="2"/>
          <w:cols w:space="720"/>
          <w:titlePg/>
          <w:docGrid w:linePitch="360"/>
        </w:sectPr>
      </w:pPr>
    </w:p>
    <w:p w14:paraId="5C7FAE52" w14:textId="5E06BB96" w:rsidR="00F026D0" w:rsidRDefault="6EB3FF26" w:rsidP="17E1AA9B">
      <w:pPr>
        <w:pStyle w:val="Heading1"/>
        <w:numPr>
          <w:ilvl w:val="0"/>
          <w:numId w:val="0"/>
        </w:numPr>
      </w:pPr>
      <w:bookmarkStart w:id="1" w:name="_Toc174535840"/>
      <w:r>
        <w:lastRenderedPageBreak/>
        <w:t>Preface</w:t>
      </w:r>
      <w:bookmarkEnd w:id="1"/>
    </w:p>
    <w:p w14:paraId="18EE0937" w14:textId="7E50895F" w:rsidR="00C137D7" w:rsidRDefault="146EC48A" w:rsidP="13DFA257">
      <w:pPr>
        <w:rPr>
          <w:rStyle w:val="eop"/>
          <w:rFonts w:asciiTheme="minorHAnsi" w:hAnsiTheme="minorHAnsi"/>
          <w:color w:val="000000"/>
          <w:shd w:val="clear" w:color="auto" w:fill="FFFFFF"/>
        </w:rPr>
      </w:pPr>
      <w:r>
        <w:t xml:space="preserve">The Economic Planning for the Clean Energy Transition (EPCET) study is the culmination of ISO New England’s lessons learned in the economic study process over the last several years. This wide-ranging, rigorous analysis highlights many of the </w:t>
      </w:r>
      <w:r w:rsidR="004A0811">
        <w:t xml:space="preserve">potential </w:t>
      </w:r>
      <w:r>
        <w:t xml:space="preserve">economic challenges of the clean energy transition, and is supported by 33 </w:t>
      </w:r>
      <w:hyperlink r:id="rId16">
        <w:r w:rsidRPr="146EC48A">
          <w:rPr>
            <w:rStyle w:val="Hyperlink"/>
          </w:rPr>
          <w:t>published</w:t>
        </w:r>
      </w:hyperlink>
      <w:r>
        <w:t xml:space="preserve"> scenarios and more than 2,800 simulations, presenting a comprehensive vision of </w:t>
      </w:r>
      <w:r w:rsidR="00887052">
        <w:t>what</w:t>
      </w:r>
      <w:r>
        <w:t xml:space="preserve"> tomorrow’s grid</w:t>
      </w:r>
      <w:r w:rsidR="00887052">
        <w:t xml:space="preserve"> might look like</w:t>
      </w:r>
      <w:r w:rsidRPr="146EC48A">
        <w:rPr>
          <w:rStyle w:val="normaltextrun"/>
          <w:rFonts w:asciiTheme="minorHAnsi" w:hAnsiTheme="minorHAnsi"/>
          <w:color w:val="000000"/>
        </w:rPr>
        <w:t>.   </w:t>
      </w:r>
    </w:p>
    <w:p w14:paraId="381AC8CA" w14:textId="53B4155F" w:rsidR="00C137D7" w:rsidRDefault="7B63DCDA" w:rsidP="189D6F3B">
      <w:r>
        <w:t xml:space="preserve">The New England states have set </w:t>
      </w:r>
      <w:r w:rsidR="00DB1625">
        <w:t xml:space="preserve">ambitious </w:t>
      </w:r>
      <w:r>
        <w:t>goals for reducing carbon emissions by 2050, and ISO New England studies such as EPCET help the region evaluate how the grid might evolve over this transition.</w:t>
      </w:r>
      <w:r w:rsidR="00245F41">
        <w:rPr>
          <w:rStyle w:val="FootnoteReference"/>
        </w:rPr>
        <w:footnoteReference w:id="2"/>
      </w:r>
      <w:r>
        <w:t xml:space="preserve"> The expected shift toward mostly renewable, carbon-free power generation, coupled with electrification of heating and transportation, will radically transform the grid’s supply and demand. EPCET is the ISO’s first study to use new models, tools, and processes that allow for a more realistic picture of this expected shift. In its forward-looking scenarios, the study identifie</w:t>
      </w:r>
      <w:r w:rsidR="00887052">
        <w:t>s</w:t>
      </w:r>
      <w:r>
        <w:t xml:space="preserve"> trends and challenges likely to materialize as the region moves to cleaner energy. The stu</w:t>
      </w:r>
      <w:r w:rsidR="00887052">
        <w:t>dy’s near-term modeling explores</w:t>
      </w:r>
      <w:r>
        <w:t xml:space="preserve"> issues related to energy adequacy and the challenges of minimum load conditions that will begin to appear in the early 2030s. Longer-range analyses, looking as far out as 2050, focus on trends relating to public policy, including the cost of deep decarbonization and how dispatchable generation can complement intermittent resources. EPCET also include</w:t>
      </w:r>
      <w:r w:rsidR="00887052">
        <w:t>s</w:t>
      </w:r>
      <w:r w:rsidR="00DB1625">
        <w:t xml:space="preserve"> a</w:t>
      </w:r>
      <w:r>
        <w:t xml:space="preserve"> stakeholder-requested analysis to explore future market structures and revenue adequa</w:t>
      </w:r>
      <w:r w:rsidR="00111786">
        <w:t>cy.</w:t>
      </w:r>
    </w:p>
    <w:p w14:paraId="149746A8" w14:textId="26E94624" w:rsidR="00C137D7" w:rsidRPr="001B73DE" w:rsidRDefault="001B73DE" w:rsidP="00C01620">
      <w:pPr>
        <w:rPr>
          <w:color w:val="000000"/>
          <w:shd w:val="clear" w:color="auto" w:fill="FFFFFF"/>
        </w:rPr>
      </w:pPr>
      <w:r w:rsidRPr="001B73DE">
        <w:t xml:space="preserve">This study identifies trends that, if left unaddressed, could result in threats to power system reliability, a prolonged over-reliance on fossil fuels, failure to meet state decarbonization goals, inefficient spending and investment, or other negative outcomes. </w:t>
      </w:r>
      <w:r w:rsidR="1629EE25" w:rsidRPr="001B73DE">
        <w:t>EPCET</w:t>
      </w:r>
      <w:r w:rsidR="004A0811">
        <w:t>’</w:t>
      </w:r>
      <w:r w:rsidR="1629EE25" w:rsidRPr="001B73DE">
        <w:t>s analysis is supported by other ISO studies</w:t>
      </w:r>
      <w:r w:rsidR="005A0047" w:rsidRPr="001B73DE">
        <w:t xml:space="preserve"> like the</w:t>
      </w:r>
      <w:r w:rsidR="1629EE25">
        <w:t xml:space="preserve"> </w:t>
      </w:r>
      <w:hyperlink r:id="rId17">
        <w:r w:rsidR="1629EE25" w:rsidRPr="1629EE25">
          <w:rPr>
            <w:rStyle w:val="Hyperlink"/>
          </w:rPr>
          <w:t>Pathways Study</w:t>
        </w:r>
      </w:hyperlink>
      <w:r w:rsidR="1629EE25">
        <w:t xml:space="preserve">, </w:t>
      </w:r>
      <w:hyperlink r:id="rId18" w:history="1">
        <w:r w:rsidR="1170255B" w:rsidRPr="005A0047">
          <w:rPr>
            <w:rStyle w:val="Hyperlink"/>
          </w:rPr>
          <w:t>Future Grid Reliability</w:t>
        </w:r>
        <w:r w:rsidR="1629EE25" w:rsidRPr="005A0047">
          <w:rPr>
            <w:rStyle w:val="Hyperlink"/>
          </w:rPr>
          <w:t xml:space="preserve"> Study</w:t>
        </w:r>
      </w:hyperlink>
      <w:r w:rsidR="1629EE25">
        <w:t xml:space="preserve"> (FGRS), </w:t>
      </w:r>
      <w:hyperlink r:id="rId19" w:history="1">
        <w:r w:rsidR="1170255B" w:rsidRPr="005A0047">
          <w:rPr>
            <w:rStyle w:val="Hyperlink"/>
          </w:rPr>
          <w:t>Operational Impacts of Extreme Weather Events</w:t>
        </w:r>
      </w:hyperlink>
      <w:r w:rsidR="005A0047">
        <w:t xml:space="preserve"> (also known as </w:t>
      </w:r>
      <w:r w:rsidR="00DB1625">
        <w:t xml:space="preserve">the </w:t>
      </w:r>
      <w:r w:rsidR="005A0047">
        <w:t>P</w:t>
      </w:r>
      <w:r w:rsidR="00DB1625">
        <w:t>robabilistic Energy Adequacy Tool</w:t>
      </w:r>
      <w:r w:rsidR="005A0047">
        <w:t>),</w:t>
      </w:r>
      <w:r w:rsidR="1629EE25">
        <w:t xml:space="preserve"> and the </w:t>
      </w:r>
      <w:hyperlink r:id="rId20">
        <w:r w:rsidR="1613FEAE" w:rsidRPr="1613FEAE">
          <w:rPr>
            <w:rStyle w:val="Hyperlink"/>
          </w:rPr>
          <w:t>2050 Transmission Study</w:t>
        </w:r>
      </w:hyperlink>
      <w:r w:rsidR="1629EE25">
        <w:t xml:space="preserve">. Although these studies cover different timeframes and </w:t>
      </w:r>
      <w:r w:rsidR="65037C6E">
        <w:t>topics</w:t>
      </w:r>
      <w:r w:rsidR="1629EE25">
        <w:t xml:space="preserve">, </w:t>
      </w:r>
      <w:r w:rsidR="65037C6E">
        <w:t>together</w:t>
      </w:r>
      <w:r w:rsidR="1629EE25">
        <w:t xml:space="preserve"> with EPCET they form a wide-ranging vision of the future grid, and include insights related to the four pillars ISO New England has identified as key to a reliable clean energy future:</w:t>
      </w:r>
    </w:p>
    <w:p w14:paraId="6E8481CC" w14:textId="7E30BA35" w:rsidR="00C137D7" w:rsidRPr="00CA5206" w:rsidRDefault="6D54259B" w:rsidP="65037C6E">
      <w:pPr>
        <w:rPr>
          <w:rFonts w:ascii="Calibri" w:hAnsi="Calibri" w:cs="Calibri"/>
          <w:color w:val="000000"/>
        </w:rPr>
      </w:pPr>
      <w:r>
        <w:t xml:space="preserve">1) significant amounts of </w:t>
      </w:r>
      <w:r w:rsidRPr="6D54259B">
        <w:rPr>
          <w:b/>
          <w:bCs/>
        </w:rPr>
        <w:t>clean energy</w:t>
      </w:r>
      <w:r>
        <w:t xml:space="preserve"> resources </w:t>
      </w:r>
    </w:p>
    <w:p w14:paraId="1E3EB7A1" w14:textId="16E9CCBA" w:rsidR="00C137D7" w:rsidRPr="00CA5206" w:rsidRDefault="6D54259B" w:rsidP="65037C6E">
      <w:pPr>
        <w:rPr>
          <w:rFonts w:ascii="Calibri" w:hAnsi="Calibri" w:cs="Calibri"/>
          <w:color w:val="000000"/>
        </w:rPr>
      </w:pPr>
      <w:r>
        <w:t xml:space="preserve">2) sufficient </w:t>
      </w:r>
      <w:r w:rsidRPr="6D54259B">
        <w:rPr>
          <w:b/>
          <w:bCs/>
        </w:rPr>
        <w:t>balancing resources</w:t>
      </w:r>
      <w:r>
        <w:t xml:space="preserve"> to ensure reliability</w:t>
      </w:r>
    </w:p>
    <w:p w14:paraId="0E64B85C" w14:textId="786761D1" w:rsidR="00C137D7" w:rsidRPr="00CA5206" w:rsidRDefault="6D54259B" w:rsidP="65037C6E">
      <w:pPr>
        <w:rPr>
          <w:rFonts w:ascii="Calibri" w:hAnsi="Calibri" w:cs="Calibri"/>
          <w:color w:val="000000"/>
        </w:rPr>
      </w:pPr>
      <w:r>
        <w:t xml:space="preserve">3) </w:t>
      </w:r>
      <w:r w:rsidRPr="6D54259B">
        <w:rPr>
          <w:b/>
          <w:bCs/>
        </w:rPr>
        <w:t>energy adequacy</w:t>
      </w:r>
      <w:r>
        <w:t xml:space="preserve"> via a reliable fuel supply chain or energy reserve and </w:t>
      </w:r>
    </w:p>
    <w:p w14:paraId="4787E0B6" w14:textId="29BC82C0" w:rsidR="00C137D7" w:rsidRPr="00CA5206" w:rsidRDefault="6D54259B" w:rsidP="6D54259B">
      <w:pPr>
        <w:rPr>
          <w:rStyle w:val="eop"/>
          <w:rFonts w:ascii="Calibri" w:hAnsi="Calibri" w:cs="Calibri"/>
          <w:color w:val="000000"/>
        </w:rPr>
      </w:pPr>
      <w:r>
        <w:t xml:space="preserve">4) a </w:t>
      </w:r>
      <w:r w:rsidRPr="6D54259B">
        <w:rPr>
          <w:b/>
          <w:bCs/>
        </w:rPr>
        <w:t>robust transmission</w:t>
      </w:r>
      <w:r>
        <w:t xml:space="preserve"> system. </w:t>
      </w:r>
    </w:p>
    <w:p w14:paraId="6261FD71" w14:textId="562BA149" w:rsidR="746A1AA6" w:rsidRPr="007E759F" w:rsidRDefault="6D54259B" w:rsidP="746A1AA6">
      <w:pPr>
        <w:rPr>
          <w:rStyle w:val="eop"/>
          <w:rFonts w:ascii="Calibri" w:hAnsi="Calibri" w:cs="Calibri"/>
          <w:color w:val="000000"/>
          <w:shd w:val="clear" w:color="auto" w:fill="FFFFFF"/>
        </w:rPr>
      </w:pPr>
      <w:r>
        <w:t>The following table</w:t>
      </w:r>
      <w:r w:rsidR="3D13AC00">
        <w:t xml:space="preserve"> outlines </w:t>
      </w:r>
      <w:r w:rsidR="782B4E2C">
        <w:t xml:space="preserve">EPCET’s </w:t>
      </w:r>
      <w:r w:rsidR="00887052">
        <w:t>three</w:t>
      </w:r>
      <w:r w:rsidR="782B4E2C">
        <w:t xml:space="preserve"> main study scenarios</w:t>
      </w:r>
      <w:r w:rsidR="003A1470">
        <w:t xml:space="preserve"> and </w:t>
      </w:r>
      <w:r w:rsidR="00887052">
        <w:t xml:space="preserve">one main </w:t>
      </w:r>
      <w:r w:rsidR="003A1470">
        <w:t>sensitivity</w:t>
      </w:r>
      <w:r w:rsidR="006D51D1">
        <w:t xml:space="preserve">. </w:t>
      </w:r>
      <w:r w:rsidR="17CF890D" w:rsidRPr="00A6141F">
        <w:t>Modeling also include</w:t>
      </w:r>
      <w:r w:rsidR="001B73DE">
        <w:t>s</w:t>
      </w:r>
      <w:r w:rsidR="005376D6" w:rsidRPr="00A6141F">
        <w:t xml:space="preserve"> </w:t>
      </w:r>
      <w:r w:rsidR="003A1470">
        <w:t xml:space="preserve">sensitivities not </w:t>
      </w:r>
      <w:r w:rsidR="00887052">
        <w:t>shown</w:t>
      </w:r>
      <w:r w:rsidR="003A1470">
        <w:t xml:space="preserve"> in this table</w:t>
      </w:r>
      <w:r w:rsidR="00C01620">
        <w:rPr>
          <w:rFonts w:asciiTheme="minorHAnsi" w:hAnsiTheme="minorHAnsi"/>
        </w:rPr>
        <w:t>.</w:t>
      </w:r>
    </w:p>
    <w:p w14:paraId="69198513" w14:textId="0F973AEA" w:rsidR="17E1AA9B" w:rsidRDefault="17E1AA9B" w:rsidP="1613FEAE">
      <w:pPr>
        <w:rPr>
          <w:rStyle w:val="eop"/>
          <w:rFonts w:ascii="Calibri" w:hAnsi="Calibri" w:cs="Calibri"/>
          <w:color w:val="000000"/>
        </w:rPr>
      </w:pPr>
    </w:p>
    <w:p w14:paraId="0F26F611" w14:textId="60A7CA0E" w:rsidR="612AE3D1" w:rsidRDefault="612AE3D1" w:rsidP="00F25FAE">
      <w:pPr>
        <w:pStyle w:val="Caption"/>
        <w:jc w:val="left"/>
      </w:pPr>
    </w:p>
    <w:tbl>
      <w:tblPr>
        <w:tblStyle w:val="GridTable4-Accent3"/>
        <w:tblW w:w="10195" w:type="dxa"/>
        <w:tblInd w:w="5" w:type="dxa"/>
        <w:tblLook w:val="04A0" w:firstRow="1" w:lastRow="0" w:firstColumn="1" w:lastColumn="0" w:noHBand="0" w:noVBand="1"/>
      </w:tblPr>
      <w:tblGrid>
        <w:gridCol w:w="1428"/>
        <w:gridCol w:w="1607"/>
        <w:gridCol w:w="1905"/>
        <w:gridCol w:w="2520"/>
        <w:gridCol w:w="2735"/>
      </w:tblGrid>
      <w:tr w:rsidR="00622BCF" w14:paraId="096FCDA5" w14:textId="77777777" w:rsidTr="00790DE1">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28" w:type="dxa"/>
            <w:shd w:val="clear" w:color="auto" w:fill="588D1F" w:themeFill="accent3" w:themeFillShade="BF"/>
          </w:tcPr>
          <w:p w14:paraId="1533688B" w14:textId="5224F65E" w:rsidR="6D186D52" w:rsidRDefault="6D186D52" w:rsidP="6D186D52"/>
        </w:tc>
        <w:tc>
          <w:tcPr>
            <w:tcW w:w="1607" w:type="dxa"/>
            <w:shd w:val="clear" w:color="auto" w:fill="588D1F" w:themeFill="accent3" w:themeFillShade="BF"/>
          </w:tcPr>
          <w:p w14:paraId="4B99E432" w14:textId="4151E9A0" w:rsidR="00622BCF" w:rsidRDefault="6D186D52" w:rsidP="00790DE1">
            <w:pPr>
              <w:cnfStyle w:val="100000000000" w:firstRow="1" w:lastRow="0" w:firstColumn="0" w:lastColumn="0" w:oddVBand="0" w:evenVBand="0" w:oddHBand="0" w:evenHBand="0" w:firstRowFirstColumn="0" w:firstRowLastColumn="0" w:lastRowFirstColumn="0" w:lastRowLastColumn="0"/>
            </w:pPr>
            <w:r>
              <w:t>Benchmark Scenario</w:t>
            </w:r>
          </w:p>
        </w:tc>
        <w:tc>
          <w:tcPr>
            <w:tcW w:w="1905" w:type="dxa"/>
            <w:shd w:val="clear" w:color="auto" w:fill="588D1F" w:themeFill="accent3" w:themeFillShade="BF"/>
          </w:tcPr>
          <w:p w14:paraId="69D41D2A" w14:textId="08497AC7" w:rsidR="00622BCF" w:rsidRDefault="6D186D52" w:rsidP="00790DE1">
            <w:pPr>
              <w:cnfStyle w:val="100000000000" w:firstRow="1" w:lastRow="0" w:firstColumn="0" w:lastColumn="0" w:oddVBand="0" w:evenVBand="0" w:oddHBand="0" w:evenHBand="0" w:firstRowFirstColumn="0" w:firstRowLastColumn="0" w:lastRowFirstColumn="0" w:lastRowLastColumn="0"/>
              <w:rPr>
                <w:rStyle w:val="FootnoteReference"/>
              </w:rPr>
            </w:pPr>
            <w:r>
              <w:t xml:space="preserve">Market Efficiency </w:t>
            </w:r>
            <w:r w:rsidR="007E759F">
              <w:br/>
            </w:r>
            <w:r>
              <w:t>Needs Scenario</w:t>
            </w:r>
          </w:p>
        </w:tc>
        <w:tc>
          <w:tcPr>
            <w:tcW w:w="2520" w:type="dxa"/>
            <w:shd w:val="clear" w:color="auto" w:fill="588D1F" w:themeFill="accent3" w:themeFillShade="BF"/>
          </w:tcPr>
          <w:p w14:paraId="1603F264" w14:textId="30F3B98B" w:rsidR="6D186D52" w:rsidRDefault="6D186D52" w:rsidP="00790DE1">
            <w:pPr>
              <w:cnfStyle w:val="100000000000" w:firstRow="1" w:lastRow="0" w:firstColumn="0" w:lastColumn="0" w:oddVBand="0" w:evenVBand="0" w:oddHBand="0" w:evenHBand="0" w:firstRowFirstColumn="0" w:firstRowLastColumn="0" w:lastRowFirstColumn="0" w:lastRowLastColumn="0"/>
            </w:pPr>
            <w:r>
              <w:t>Policy Scenario</w:t>
            </w:r>
          </w:p>
        </w:tc>
        <w:tc>
          <w:tcPr>
            <w:tcW w:w="2735" w:type="dxa"/>
            <w:shd w:val="clear" w:color="auto" w:fill="588D1F" w:themeFill="accent3" w:themeFillShade="BF"/>
          </w:tcPr>
          <w:p w14:paraId="683EA97A" w14:textId="26F7FC0B" w:rsidR="6D186D52" w:rsidRDefault="16505660" w:rsidP="00790DE1">
            <w:pPr>
              <w:cnfStyle w:val="100000000000" w:firstRow="1" w:lastRow="0" w:firstColumn="0" w:lastColumn="0" w:oddVBand="0" w:evenVBand="0" w:oddHBand="0" w:evenHBand="0" w:firstRowFirstColumn="0" w:firstRowLastColumn="0" w:lastRowFirstColumn="0" w:lastRowLastColumn="0"/>
            </w:pPr>
            <w:r>
              <w:t>Stakeholder-Requested S</w:t>
            </w:r>
            <w:r w:rsidR="0076640B">
              <w:t>ensitivity</w:t>
            </w:r>
          </w:p>
        </w:tc>
      </w:tr>
      <w:tr w:rsidR="00622BCF" w14:paraId="51AFAE88" w14:textId="77777777" w:rsidTr="00790DE1">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428" w:type="dxa"/>
          </w:tcPr>
          <w:p w14:paraId="2792FA67" w14:textId="74CB7155" w:rsidR="6D186D52" w:rsidRDefault="6D186D52" w:rsidP="6D186D52">
            <w:r>
              <w:t>Timeframe Studied</w:t>
            </w:r>
          </w:p>
        </w:tc>
        <w:tc>
          <w:tcPr>
            <w:tcW w:w="1607" w:type="dxa"/>
          </w:tcPr>
          <w:p w14:paraId="2130F04F" w14:textId="1613F8F1" w:rsidR="00622BCF" w:rsidRDefault="61C27FA9" w:rsidP="00790DE1">
            <w:pPr>
              <w:cnfStyle w:val="000000100000" w:firstRow="0" w:lastRow="0" w:firstColumn="0" w:lastColumn="0" w:oddVBand="0" w:evenVBand="0" w:oddHBand="1" w:evenHBand="0" w:firstRowFirstColumn="0" w:firstRowLastColumn="0" w:lastRowFirstColumn="0" w:lastRowLastColumn="0"/>
            </w:pPr>
            <w:r>
              <w:t xml:space="preserve"> 2021</w:t>
            </w:r>
          </w:p>
        </w:tc>
        <w:tc>
          <w:tcPr>
            <w:tcW w:w="1905" w:type="dxa"/>
          </w:tcPr>
          <w:p w14:paraId="5C7A0F74" w14:textId="5F04EFB6" w:rsidR="00622BCF" w:rsidRDefault="6D186D52" w:rsidP="00790DE1">
            <w:pPr>
              <w:cnfStyle w:val="000000100000" w:firstRow="0" w:lastRow="0" w:firstColumn="0" w:lastColumn="0" w:oddVBand="0" w:evenVBand="0" w:oddHBand="1" w:evenHBand="0" w:firstRowFirstColumn="0" w:firstRowLastColumn="0" w:lastRowFirstColumn="0" w:lastRowLastColumn="0"/>
            </w:pPr>
            <w:r>
              <w:t>2032</w:t>
            </w:r>
          </w:p>
        </w:tc>
        <w:tc>
          <w:tcPr>
            <w:tcW w:w="2520" w:type="dxa"/>
          </w:tcPr>
          <w:p w14:paraId="475693D2" w14:textId="14F26DD3" w:rsidR="6D186D52" w:rsidRDefault="50BCD7BC" w:rsidP="00790DE1">
            <w:pPr>
              <w:cnfStyle w:val="000000100000" w:firstRow="0" w:lastRow="0" w:firstColumn="0" w:lastColumn="0" w:oddVBand="0" w:evenVBand="0" w:oddHBand="1" w:evenHBand="0" w:firstRowFirstColumn="0" w:firstRowLastColumn="0" w:lastRowFirstColumn="0" w:lastRowLastColumn="0"/>
            </w:pPr>
            <w:r>
              <w:t>Up to 2050</w:t>
            </w:r>
          </w:p>
        </w:tc>
        <w:tc>
          <w:tcPr>
            <w:tcW w:w="2735" w:type="dxa"/>
          </w:tcPr>
          <w:p w14:paraId="450EAD52" w14:textId="2FCC6A32" w:rsidR="6D186D52" w:rsidRDefault="120BE3B9" w:rsidP="00790DE1">
            <w:pPr>
              <w:cnfStyle w:val="000000100000" w:firstRow="0" w:lastRow="0" w:firstColumn="0" w:lastColumn="0" w:oddVBand="0" w:evenVBand="0" w:oddHBand="1" w:evenHBand="0" w:firstRowFirstColumn="0" w:firstRowLastColumn="0" w:lastRowFirstColumn="0" w:lastRowLastColumn="0"/>
            </w:pPr>
            <w:r>
              <w:t>Up to 2045</w:t>
            </w:r>
          </w:p>
        </w:tc>
      </w:tr>
      <w:tr w:rsidR="00622BCF" w14:paraId="3D441A67" w14:textId="77777777" w:rsidTr="00790DE1">
        <w:trPr>
          <w:trHeight w:val="3087"/>
        </w:trPr>
        <w:tc>
          <w:tcPr>
            <w:cnfStyle w:val="001000000000" w:firstRow="0" w:lastRow="0" w:firstColumn="1" w:lastColumn="0" w:oddVBand="0" w:evenVBand="0" w:oddHBand="0" w:evenHBand="0" w:firstRowFirstColumn="0" w:firstRowLastColumn="0" w:lastRowFirstColumn="0" w:lastRowLastColumn="0"/>
            <w:tcW w:w="1428" w:type="dxa"/>
          </w:tcPr>
          <w:p w14:paraId="6122C411" w14:textId="1B9900B5" w:rsidR="6D186D52" w:rsidRDefault="6D186D52" w:rsidP="6D186D52">
            <w:r>
              <w:t>Purpose</w:t>
            </w:r>
          </w:p>
        </w:tc>
        <w:tc>
          <w:tcPr>
            <w:tcW w:w="1607" w:type="dxa"/>
          </w:tcPr>
          <w:p w14:paraId="5BC765A1" w14:textId="7C7999D9" w:rsidR="00622BCF" w:rsidRDefault="13F2E575" w:rsidP="006A6918">
            <w:pPr>
              <w:cnfStyle w:val="000000000000" w:firstRow="0" w:lastRow="0" w:firstColumn="0" w:lastColumn="0" w:oddVBand="0" w:evenVBand="0" w:oddHBand="0" w:evenHBand="0" w:firstRowFirstColumn="0" w:firstRowLastColumn="0" w:lastRowFirstColumn="0" w:lastRowLastColumn="0"/>
            </w:pPr>
            <w:r>
              <w:t>Compare</w:t>
            </w:r>
            <w:r w:rsidR="007526B4">
              <w:t>d</w:t>
            </w:r>
            <w:r>
              <w:t xml:space="preserve"> the model’s results to actual historical system performance. </w:t>
            </w:r>
          </w:p>
        </w:tc>
        <w:tc>
          <w:tcPr>
            <w:tcW w:w="1905" w:type="dxa"/>
          </w:tcPr>
          <w:p w14:paraId="1866DD4A" w14:textId="7FC83A30" w:rsidR="00622BCF" w:rsidRDefault="6D54259B" w:rsidP="00887052">
            <w:pPr>
              <w:cnfStyle w:val="000000000000" w:firstRow="0" w:lastRow="0" w:firstColumn="0" w:lastColumn="0" w:oddVBand="0" w:evenVBand="0" w:oddHBand="0" w:evenHBand="0" w:firstRowFirstColumn="0" w:firstRowLastColumn="0" w:lastRowFirstColumn="0" w:lastRowLastColumn="0"/>
            </w:pPr>
            <w:r>
              <w:t xml:space="preserve">Identify </w:t>
            </w:r>
            <w:r w:rsidR="00887052">
              <w:t>gaps in ISO-administered markets</w:t>
            </w:r>
            <w:r>
              <w:t xml:space="preserve"> within </w:t>
            </w:r>
            <w:r w:rsidR="00887052">
              <w:t>the</w:t>
            </w:r>
            <w:r>
              <w:t xml:space="preserve"> traditional 10-year system planning range, using production cost modeling.</w:t>
            </w:r>
          </w:p>
        </w:tc>
        <w:tc>
          <w:tcPr>
            <w:tcW w:w="2520" w:type="dxa"/>
          </w:tcPr>
          <w:p w14:paraId="5EBB7D80" w14:textId="17B1BC3B" w:rsidR="6D186D52" w:rsidRDefault="13F2E575" w:rsidP="746A1AA6">
            <w:pPr>
              <w:cnfStyle w:val="000000000000" w:firstRow="0" w:lastRow="0" w:firstColumn="0" w:lastColumn="0" w:oddVBand="0" w:evenVBand="0" w:oddHBand="0" w:evenHBand="0" w:firstRowFirstColumn="0" w:firstRowLastColumn="0" w:lastRowFirstColumn="0" w:lastRowLastColumn="0"/>
            </w:pPr>
            <w:r>
              <w:t>Explore the system performance of a hypothetical buildout of new resources that could help meet New England’s current carbon emission policy goals, using capacity expansion modeling.</w:t>
            </w:r>
          </w:p>
        </w:tc>
        <w:tc>
          <w:tcPr>
            <w:tcW w:w="2735" w:type="dxa"/>
          </w:tcPr>
          <w:p w14:paraId="6B2CD3A2" w14:textId="590E189E" w:rsidR="6D186D52" w:rsidRDefault="6D186D52" w:rsidP="00887052">
            <w:pPr>
              <w:cnfStyle w:val="000000000000" w:firstRow="0" w:lastRow="0" w:firstColumn="0" w:lastColumn="0" w:oddVBand="0" w:evenVBand="0" w:oddHBand="0" w:evenHBand="0" w:firstRowFirstColumn="0" w:firstRowLastColumn="0" w:lastRowFirstColumn="0" w:lastRowLastColumn="0"/>
            </w:pPr>
            <w:r>
              <w:t xml:space="preserve">Evaluate the reliability, market </w:t>
            </w:r>
            <w:r w:rsidR="00887052">
              <w:t>performance</w:t>
            </w:r>
            <w:r>
              <w:t xml:space="preserve"> and revenue sufficiency of potential future resource mixes.</w:t>
            </w:r>
            <w:r w:rsidRPr="6D186D52">
              <w:rPr>
                <w:vertAlign w:val="superscript"/>
              </w:rPr>
              <w:footnoteReference w:id="3"/>
            </w:r>
            <w:r>
              <w:t xml:space="preserve"> </w:t>
            </w:r>
          </w:p>
        </w:tc>
      </w:tr>
      <w:tr w:rsidR="00622BCF" w14:paraId="327AEF88" w14:textId="77777777" w:rsidTr="00790DE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428" w:type="dxa"/>
          </w:tcPr>
          <w:p w14:paraId="06CE0EE7" w14:textId="11E10A92" w:rsidR="6D186D52" w:rsidRDefault="13F2E575" w:rsidP="0076640B">
            <w:r>
              <w:t xml:space="preserve">Key </w:t>
            </w:r>
            <w:r w:rsidR="0076640B">
              <w:t>Findings</w:t>
            </w:r>
          </w:p>
        </w:tc>
        <w:tc>
          <w:tcPr>
            <w:tcW w:w="1607" w:type="dxa"/>
          </w:tcPr>
          <w:p w14:paraId="78B5B5EF" w14:textId="5EAE5A2E" w:rsidR="00622BCF" w:rsidRDefault="67BDC028" w:rsidP="001B73DE">
            <w:pPr>
              <w:cnfStyle w:val="000000100000" w:firstRow="0" w:lastRow="0" w:firstColumn="0" w:lastColumn="0" w:oddVBand="0" w:evenVBand="0" w:oddHBand="1" w:evenHBand="0" w:firstRowFirstColumn="0" w:firstRowLastColumn="0" w:lastRowFirstColumn="0" w:lastRowLastColumn="0"/>
            </w:pPr>
            <w:r>
              <w:t>This scenario test</w:t>
            </w:r>
            <w:r w:rsidR="007526B4">
              <w:t>ed</w:t>
            </w:r>
            <w:r>
              <w:t xml:space="preserve"> the model’s </w:t>
            </w:r>
            <w:r w:rsidR="00887052">
              <w:t>valid</w:t>
            </w:r>
            <w:r w:rsidR="007526B4">
              <w:t>ity, and adjustments we</w:t>
            </w:r>
            <w:r>
              <w:t>re made as necessary.</w:t>
            </w:r>
          </w:p>
        </w:tc>
        <w:tc>
          <w:tcPr>
            <w:tcW w:w="1905" w:type="dxa"/>
          </w:tcPr>
          <w:p w14:paraId="5683A2AD" w14:textId="0BEC360E" w:rsidR="00622BCF" w:rsidRDefault="00887052" w:rsidP="00074DF7">
            <w:pPr>
              <w:cnfStyle w:val="000000100000" w:firstRow="0" w:lastRow="0" w:firstColumn="0" w:lastColumn="0" w:oddVBand="0" w:evenVBand="0" w:oddHBand="1" w:evenHBand="0" w:firstRowFirstColumn="0" w:firstRowLastColumn="0" w:lastRowFirstColumn="0" w:lastRowLastColumn="0"/>
            </w:pPr>
            <w:r>
              <w:t>S</w:t>
            </w:r>
            <w:r w:rsidR="001B73DE">
              <w:t>ystem beco</w:t>
            </w:r>
            <w:r>
              <w:t>me</w:t>
            </w:r>
            <w:r w:rsidR="001B73DE">
              <w:t>s</w:t>
            </w:r>
            <w:r>
              <w:t xml:space="preserve"> more susceptible to c</w:t>
            </w:r>
            <w:r w:rsidR="289F6E1F">
              <w:t>hallenging minimum load conditions</w:t>
            </w:r>
            <w:r>
              <w:t>,</w:t>
            </w:r>
            <w:r w:rsidR="0076640B">
              <w:t xml:space="preserve"> </w:t>
            </w:r>
            <w:r w:rsidR="289F6E1F">
              <w:t>and en</w:t>
            </w:r>
            <w:r w:rsidR="001B73DE">
              <w:t>ergy adequacy concerns increase</w:t>
            </w:r>
            <w:r w:rsidR="289F6E1F">
              <w:t xml:space="preserve">. </w:t>
            </w:r>
          </w:p>
          <w:p w14:paraId="6E118DD4" w14:textId="2F1A950E" w:rsidR="00622BCF" w:rsidRDefault="001B73DE" w:rsidP="00074DF7">
            <w:pPr>
              <w:cnfStyle w:val="000000100000" w:firstRow="0" w:lastRow="0" w:firstColumn="0" w:lastColumn="0" w:oddVBand="0" w:evenVBand="0" w:oddHBand="1" w:evenHBand="0" w:firstRowFirstColumn="0" w:firstRowLastColumn="0" w:lastRowFirstColumn="0" w:lastRowLastColumn="0"/>
            </w:pPr>
            <w:r>
              <w:t>Congestion occurs</w:t>
            </w:r>
            <w:r w:rsidR="13F2E575">
              <w:t xml:space="preserve"> mostly in the same areas that experience congestion today.</w:t>
            </w:r>
          </w:p>
        </w:tc>
        <w:tc>
          <w:tcPr>
            <w:tcW w:w="2520" w:type="dxa"/>
          </w:tcPr>
          <w:p w14:paraId="635BA331" w14:textId="34DF0078" w:rsidR="6D186D52" w:rsidRDefault="003A1470" w:rsidP="6D186D52">
            <w:pPr>
              <w:cnfStyle w:val="000000100000" w:firstRow="0" w:lastRow="0" w:firstColumn="0" w:lastColumn="0" w:oddVBand="0" w:evenVBand="0" w:oddHBand="1" w:evenHBand="0" w:firstRowFirstColumn="0" w:firstRowLastColumn="0" w:lastRowFirstColumn="0" w:lastRowLastColumn="0"/>
            </w:pPr>
            <w:r>
              <w:t>Syste</w:t>
            </w:r>
            <w:r w:rsidR="001B73DE">
              <w:t>m achieves</w:t>
            </w:r>
            <w:r>
              <w:t xml:space="preserve"> moderate decarbonization, </w:t>
            </w:r>
            <w:r w:rsidR="001A6F5A">
              <w:t xml:space="preserve">but deeper </w:t>
            </w:r>
            <w:r w:rsidR="00887052">
              <w:t>decarbonization</w:t>
            </w:r>
            <w:r w:rsidR="001B73DE">
              <w:t xml:space="preserve"> dri</w:t>
            </w:r>
            <w:r w:rsidR="001A6F5A">
              <w:t>ve</w:t>
            </w:r>
            <w:r w:rsidR="001B73DE">
              <w:t>s</w:t>
            </w:r>
            <w:r w:rsidR="001A6F5A">
              <w:t xml:space="preserve"> escalating costs</w:t>
            </w:r>
            <w:r w:rsidR="00887052">
              <w:t>.</w:t>
            </w:r>
          </w:p>
          <w:p w14:paraId="08362E61" w14:textId="484BEEDA" w:rsidR="6D186D52" w:rsidRDefault="63B50F7F" w:rsidP="6D186D52">
            <w:pPr>
              <w:cnfStyle w:val="000000100000" w:firstRow="0" w:lastRow="0" w:firstColumn="0" w:lastColumn="0" w:oddVBand="0" w:evenVBand="0" w:oddHBand="1" w:evenHBand="0" w:firstRowFirstColumn="0" w:firstRowLastColumn="0" w:lastRowFirstColumn="0" w:lastRowLastColumn="0"/>
            </w:pPr>
            <w:r>
              <w:t>Variability of pe</w:t>
            </w:r>
            <w:r w:rsidR="001B73DE">
              <w:t>ak loads between years increases</w:t>
            </w:r>
            <w:r>
              <w:t xml:space="preserve"> dramatically.</w:t>
            </w:r>
          </w:p>
          <w:p w14:paraId="6D6D04C7" w14:textId="57FA206A" w:rsidR="6D186D52" w:rsidRDefault="13F2E575" w:rsidP="6D186D52">
            <w:pPr>
              <w:cnfStyle w:val="000000100000" w:firstRow="0" w:lastRow="0" w:firstColumn="0" w:lastColumn="0" w:oddVBand="0" w:evenVBand="0" w:oddHBand="1" w:evenHBand="0" w:firstRowFirstColumn="0" w:firstRowLastColumn="0" w:lastRowFirstColumn="0" w:lastRowLastColumn="0"/>
            </w:pPr>
            <w:r>
              <w:t>Continued need for fuel-secure dispatchable resources.</w:t>
            </w:r>
          </w:p>
          <w:p w14:paraId="157E815C" w14:textId="4AEDB2BF" w:rsidR="6D186D52" w:rsidRDefault="13F2E575" w:rsidP="001A6F5A">
            <w:pPr>
              <w:cnfStyle w:val="000000100000" w:firstRow="0" w:lastRow="0" w:firstColumn="0" w:lastColumn="0" w:oddVBand="0" w:evenVBand="0" w:oddHBand="1" w:evenHBand="0" w:firstRowFirstColumn="0" w:firstRowLastColumn="0" w:lastRowFirstColumn="0" w:lastRowLastColumn="0"/>
            </w:pPr>
            <w:r>
              <w:t>Long-</w:t>
            </w:r>
            <w:r w:rsidR="001B73DE">
              <w:t>duration storage eventually beco</w:t>
            </w:r>
            <w:r>
              <w:t>me</w:t>
            </w:r>
            <w:r w:rsidR="001B73DE">
              <w:t>s</w:t>
            </w:r>
            <w:r>
              <w:t xml:space="preserve"> the most </w:t>
            </w:r>
            <w:r w:rsidR="001A6F5A">
              <w:t>economically viable</w:t>
            </w:r>
            <w:r>
              <w:t xml:space="preserve"> resource </w:t>
            </w:r>
            <w:r w:rsidR="001A6F5A">
              <w:t xml:space="preserve">for </w:t>
            </w:r>
            <w:r>
              <w:t>achieving carbon reduction goals.</w:t>
            </w:r>
          </w:p>
        </w:tc>
        <w:tc>
          <w:tcPr>
            <w:tcW w:w="2735" w:type="dxa"/>
          </w:tcPr>
          <w:p w14:paraId="5A21C3C0" w14:textId="401CA0EB" w:rsidR="00694724" w:rsidRDefault="573D86E8" w:rsidP="6D186D52">
            <w:pPr>
              <w:cnfStyle w:val="000000100000" w:firstRow="0" w:lastRow="0" w:firstColumn="0" w:lastColumn="0" w:oddVBand="0" w:evenVBand="0" w:oddHBand="1" w:evenHBand="0" w:firstRowFirstColumn="0" w:firstRowLastColumn="0" w:lastRowFirstColumn="0" w:lastRowLastColumn="0"/>
            </w:pPr>
            <w:r>
              <w:t xml:space="preserve">Some revenue streams in today’s grid, including power </w:t>
            </w:r>
            <w:r w:rsidR="001B73DE">
              <w:t>purchase agreements (PPAs), beco</w:t>
            </w:r>
            <w:r>
              <w:t>me far less economical</w:t>
            </w:r>
            <w:r w:rsidR="00887052">
              <w:t>ly viable over time</w:t>
            </w:r>
            <w:r>
              <w:t xml:space="preserve">. </w:t>
            </w:r>
          </w:p>
          <w:p w14:paraId="73B891E5" w14:textId="59583BE1" w:rsidR="00694724" w:rsidRDefault="38FCA216" w:rsidP="6D186D52">
            <w:pPr>
              <w:cnfStyle w:val="000000100000" w:firstRow="0" w:lastRow="0" w:firstColumn="0" w:lastColumn="0" w:oddVBand="0" w:evenVBand="0" w:oddHBand="1" w:evenHBand="0" w:firstRowFirstColumn="0" w:firstRowLastColumn="0" w:lastRowFirstColumn="0" w:lastRowLastColumn="0"/>
            </w:pPr>
            <w:r>
              <w:t>Energy market bec</w:t>
            </w:r>
            <w:r w:rsidR="001B73DE">
              <w:t>o</w:t>
            </w:r>
            <w:r>
              <w:t>me</w:t>
            </w:r>
            <w:r w:rsidR="001B73DE">
              <w:t>s</w:t>
            </w:r>
            <w:r>
              <w:t xml:space="preserve"> </w:t>
            </w:r>
            <w:r w:rsidR="001A6F5A">
              <w:t>much</w:t>
            </w:r>
            <w:r w:rsidR="001B73DE">
              <w:t xml:space="preserve"> smaller, and i</w:t>
            </w:r>
            <w:r>
              <w:t>s eventually overtaken in size by PPAs and the capacity markets combined.</w:t>
            </w:r>
          </w:p>
          <w:p w14:paraId="44217D1F" w14:textId="3A8F5E22" w:rsidR="6D186D52" w:rsidRDefault="63B50F7F" w:rsidP="6D186D52">
            <w:pPr>
              <w:cnfStyle w:val="000000100000" w:firstRow="0" w:lastRow="0" w:firstColumn="0" w:lastColumn="0" w:oddVBand="0" w:evenVBand="0" w:oddHBand="1" w:evenHBand="0" w:firstRowFirstColumn="0" w:firstRowLastColumn="0" w:lastRowFirstColumn="0" w:lastRowLastColumn="0"/>
            </w:pPr>
            <w:r>
              <w:t>Disc</w:t>
            </w:r>
            <w:r w:rsidR="001B73DE">
              <w:t>retionary load opportunities ari</w:t>
            </w:r>
            <w:r>
              <w:t>se.</w:t>
            </w:r>
          </w:p>
          <w:p w14:paraId="46AC7EFB" w14:textId="6ED6F328" w:rsidR="6D186D52" w:rsidRDefault="0076640B" w:rsidP="001B73DE">
            <w:pPr>
              <w:cnfStyle w:val="000000100000" w:firstRow="0" w:lastRow="0" w:firstColumn="0" w:lastColumn="0" w:oddVBand="0" w:evenVBand="0" w:oddHBand="1" w:evenHBand="0" w:firstRowFirstColumn="0" w:firstRowLastColumn="0" w:lastRowFirstColumn="0" w:lastRowLastColumn="0"/>
            </w:pPr>
            <w:r>
              <w:t>Targeted amounts of d</w:t>
            </w:r>
            <w:r w:rsidR="5EDC1476">
              <w:t xml:space="preserve">ispatchable resources and market elements </w:t>
            </w:r>
            <w:r>
              <w:t>that</w:t>
            </w:r>
            <w:r w:rsidR="5EDC1476">
              <w:t xml:space="preserve"> incentivize reliability help system economics.</w:t>
            </w:r>
          </w:p>
        </w:tc>
      </w:tr>
    </w:tbl>
    <w:p w14:paraId="3ED0022E" w14:textId="730645B0" w:rsidR="746A1AA6" w:rsidRPr="00694724" w:rsidRDefault="00E57900" w:rsidP="00E57900">
      <w:pPr>
        <w:pStyle w:val="Heading1"/>
        <w:numPr>
          <w:ilvl w:val="0"/>
          <w:numId w:val="0"/>
        </w:numPr>
        <w:rPr>
          <w:shd w:val="clear" w:color="auto" w:fill="FFFFFF"/>
        </w:rPr>
      </w:pPr>
      <w:bookmarkStart w:id="2" w:name="_Toc174535841"/>
      <w:r>
        <w:rPr>
          <w:shd w:val="clear" w:color="auto" w:fill="FFFFFF"/>
        </w:rPr>
        <w:lastRenderedPageBreak/>
        <w:t xml:space="preserve">Key </w:t>
      </w:r>
      <w:r w:rsidR="00E617E7">
        <w:rPr>
          <w:shd w:val="clear" w:color="auto" w:fill="FFFFFF"/>
        </w:rPr>
        <w:t>Findings</w:t>
      </w:r>
      <w:bookmarkEnd w:id="2"/>
    </w:p>
    <w:p w14:paraId="06BC628B" w14:textId="0FE8FCAD" w:rsidR="612AE3D1" w:rsidRDefault="6103D7FF" w:rsidP="4CC0BAC8">
      <w:pPr>
        <w:spacing w:after="0" w:line="240" w:lineRule="auto"/>
      </w:pPr>
      <w:r>
        <w:t xml:space="preserve">Over the next decades, the New England states’ goals to reduce carbon emissions will transform the regional power grid. Fossil fuel-burning dispatchable resources that ensure reliable service in today’s system may be largely retired, and intermittent, </w:t>
      </w:r>
      <w:r w:rsidR="00920F12">
        <w:t>low-to-zero-carbon</w:t>
      </w:r>
      <w:r>
        <w:t xml:space="preserve"> </w:t>
      </w:r>
      <w:r w:rsidR="007813D0">
        <w:t xml:space="preserve">renewable </w:t>
      </w:r>
      <w:r>
        <w:t>resources like wind, solar</w:t>
      </w:r>
      <w:r w:rsidR="00DC3302">
        <w:t>,</w:t>
      </w:r>
      <w:r>
        <w:t xml:space="preserve"> and battery storage could provide most of the grid’s energy. Adoption of electric vehicles will accelerate, and electric heating systems in homes and businesses will displace oil and natural gas. Planning for and managing this transformed grid will require innovative and flexible solutions.</w:t>
      </w:r>
    </w:p>
    <w:p w14:paraId="78593E01" w14:textId="0071CE4B" w:rsidR="612AE3D1" w:rsidRDefault="612AE3D1" w:rsidP="612AE3D1">
      <w:pPr>
        <w:spacing w:after="0" w:line="240" w:lineRule="auto"/>
      </w:pPr>
    </w:p>
    <w:p w14:paraId="097B5C82" w14:textId="6801C6F2" w:rsidR="612AE3D1" w:rsidRDefault="38FCA216" w:rsidP="612AE3D1">
      <w:pPr>
        <w:spacing w:after="0" w:line="240" w:lineRule="auto"/>
      </w:pPr>
      <w:r>
        <w:t>EPCET’s key</w:t>
      </w:r>
      <w:r w:rsidR="00E617E7">
        <w:t xml:space="preserve"> findings</w:t>
      </w:r>
      <w:r>
        <w:t xml:space="preserve"> converge on a common theme: </w:t>
      </w:r>
      <w:r w:rsidRPr="38FCA216">
        <w:rPr>
          <w:b/>
          <w:bCs/>
        </w:rPr>
        <w:t>designing the power system of the future requires balancing reliability</w:t>
      </w:r>
      <w:r w:rsidR="001A6F5A">
        <w:rPr>
          <w:b/>
          <w:bCs/>
        </w:rPr>
        <w:t xml:space="preserve">, </w:t>
      </w:r>
      <w:r w:rsidR="00FB2B60">
        <w:rPr>
          <w:b/>
          <w:bCs/>
        </w:rPr>
        <w:t>economic efficiency</w:t>
      </w:r>
      <w:r w:rsidRPr="38FCA216">
        <w:rPr>
          <w:b/>
          <w:bCs/>
        </w:rPr>
        <w:t>, and carbon-neutrality</w:t>
      </w:r>
      <w:r>
        <w:t xml:space="preserve">. Given current technology and market structures, no single existing scalable resource type is highly reliable, </w:t>
      </w:r>
      <w:r w:rsidR="00920F12">
        <w:t>inexpensive</w:t>
      </w:r>
      <w:r>
        <w:t xml:space="preserve"> </w:t>
      </w:r>
      <w:r w:rsidRPr="38FCA216">
        <w:rPr>
          <w:i/>
          <w:iCs/>
        </w:rPr>
        <w:t>and</w:t>
      </w:r>
      <w:r>
        <w:t xml:space="preserve"> carbon-neutral. Future planning will require tradeoffs among these three factors.   </w:t>
      </w:r>
    </w:p>
    <w:p w14:paraId="273A0EFA" w14:textId="5097537D" w:rsidR="00D12D91" w:rsidRDefault="00D12D91" w:rsidP="612AE3D1">
      <w:pPr>
        <w:spacing w:after="0" w:line="240" w:lineRule="auto"/>
      </w:pPr>
    </w:p>
    <w:p w14:paraId="586AB7FA" w14:textId="43AF8067" w:rsidR="00D12D91" w:rsidRDefault="00376026" w:rsidP="00D12D91">
      <w:pPr>
        <w:spacing w:after="0" w:line="240" w:lineRule="auto"/>
        <w:jc w:val="center"/>
      </w:pPr>
      <w:r>
        <w:pict w14:anchorId="39E4C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229.7pt">
            <v:imagedata r:id="rId21" o:title="2024-07-EPCET-Figure-2-Reliability-vs-Cost-Efficiency-vs-Carbon-Neutrality-03"/>
          </v:shape>
        </w:pict>
      </w:r>
    </w:p>
    <w:p w14:paraId="14A1BCAA" w14:textId="487E3E1E" w:rsidR="713BBA6C" w:rsidRDefault="713BBA6C" w:rsidP="713BBA6C">
      <w:pPr>
        <w:spacing w:after="0" w:line="240" w:lineRule="auto"/>
      </w:pPr>
    </w:p>
    <w:p w14:paraId="5209097E" w14:textId="04A1D1AF" w:rsidR="612AE3D1" w:rsidRDefault="15EC666A" w:rsidP="612AE3D1">
      <w:pPr>
        <w:spacing w:after="0" w:line="240" w:lineRule="auto"/>
      </w:pPr>
      <w:r>
        <w:t xml:space="preserve">The region can make choices that could lessen the degree of required tradeoffs. Changes </w:t>
      </w:r>
      <w:r w:rsidR="001A6F5A">
        <w:t>to</w:t>
      </w:r>
      <w:r>
        <w:t xml:space="preserve"> current market rules and compensation strategies, for example, may ensure continued power system reliability</w:t>
      </w:r>
      <w:r w:rsidR="00983ED2">
        <w:t xml:space="preserve"> and reduce carbon emissions while</w:t>
      </w:r>
      <w:r>
        <w:t xml:space="preserve"> remain</w:t>
      </w:r>
      <w:r w:rsidR="00983ED2">
        <w:t>ing</w:t>
      </w:r>
      <w:r>
        <w:t xml:space="preserve"> </w:t>
      </w:r>
      <w:r w:rsidR="00920F12">
        <w:t>economical</w:t>
      </w:r>
      <w:r>
        <w:t xml:space="preserve">. </w:t>
      </w:r>
      <w:r w:rsidR="00920F12">
        <w:t xml:space="preserve">Future market mechanisms, designed to compensate resources capable of providing dispatchable, zero-carbon energy, could support </w:t>
      </w:r>
      <w:r w:rsidR="00983ED2">
        <w:t>generators</w:t>
      </w:r>
      <w:r w:rsidR="00920F12">
        <w:t xml:space="preserve"> that provide critical reliability services but run less f</w:t>
      </w:r>
      <w:r w:rsidR="00983ED2">
        <w:t>requently than other types of resources.</w:t>
      </w:r>
      <w:r w:rsidR="00AA75E5">
        <w:t xml:space="preserve"> </w:t>
      </w:r>
    </w:p>
    <w:p w14:paraId="27BB3B19" w14:textId="2E8F2F25" w:rsidR="6FD6D031" w:rsidRDefault="6FD6D031" w:rsidP="6FD6D031">
      <w:pPr>
        <w:spacing w:after="0" w:line="240" w:lineRule="auto"/>
        <w:rPr>
          <w:rStyle w:val="normaltextrun"/>
          <w:color w:val="000000"/>
        </w:rPr>
      </w:pPr>
    </w:p>
    <w:p w14:paraId="3918283C" w14:textId="1AADF783" w:rsidR="7F40AD0D" w:rsidRDefault="00AA75E5" w:rsidP="7F40AD0D">
      <w:pPr>
        <w:spacing w:after="0" w:line="240" w:lineRule="auto"/>
        <w:rPr>
          <w:rStyle w:val="normaltextrun"/>
          <w:color w:val="000000"/>
        </w:rPr>
      </w:pPr>
      <w:r>
        <w:t>Though ISO New England has limited jurisdiction over the choices connected to these tradeoffs, EPCET</w:t>
      </w:r>
      <w:r>
        <w:rPr>
          <w:rStyle w:val="normaltextrun"/>
          <w:color w:val="000000"/>
        </w:rPr>
        <w:t xml:space="preserve">’s </w:t>
      </w:r>
      <w:r w:rsidR="15EC666A" w:rsidRPr="15EC666A">
        <w:rPr>
          <w:rStyle w:val="normaltextrun"/>
          <w:color w:val="000000"/>
        </w:rPr>
        <w:t xml:space="preserve">key </w:t>
      </w:r>
      <w:r w:rsidR="00E617E7">
        <w:rPr>
          <w:rStyle w:val="normaltextrun"/>
          <w:color w:val="000000"/>
        </w:rPr>
        <w:t>findings</w:t>
      </w:r>
      <w:r w:rsidR="15EC666A" w:rsidRPr="15EC666A">
        <w:rPr>
          <w:rStyle w:val="normaltextrun"/>
          <w:color w:val="000000"/>
        </w:rPr>
        <w:t xml:space="preserve"> illustrate high-level observations about the future grid under many possible weather conditions, supported </w:t>
      </w:r>
      <w:r>
        <w:rPr>
          <w:rStyle w:val="normaltextrun"/>
          <w:color w:val="000000"/>
        </w:rPr>
        <w:t xml:space="preserve">by </w:t>
      </w:r>
      <w:r w:rsidR="007813D0">
        <w:rPr>
          <w:rStyle w:val="normaltextrun"/>
          <w:color w:val="000000"/>
        </w:rPr>
        <w:t>multiple</w:t>
      </w:r>
      <w:r w:rsidR="15EC666A" w:rsidRPr="15EC666A">
        <w:rPr>
          <w:rStyle w:val="normaltextrun"/>
          <w:color w:val="000000"/>
        </w:rPr>
        <w:t xml:space="preserve"> scenarios, sensitivities and simulations. Some </w:t>
      </w:r>
      <w:r w:rsidR="007813D0">
        <w:rPr>
          <w:rStyle w:val="normaltextrun"/>
          <w:color w:val="000000"/>
        </w:rPr>
        <w:t>findings</w:t>
      </w:r>
      <w:r w:rsidR="15EC666A" w:rsidRPr="15EC666A">
        <w:rPr>
          <w:rStyle w:val="normaltextrun"/>
          <w:color w:val="000000"/>
        </w:rPr>
        <w:t xml:space="preserve"> explore potential solutions to challenges. Granular data about each </w:t>
      </w:r>
      <w:r w:rsidR="007813D0">
        <w:rPr>
          <w:rStyle w:val="normaltextrun"/>
          <w:color w:val="000000"/>
        </w:rPr>
        <w:t>finding</w:t>
      </w:r>
      <w:r w:rsidR="15EC666A" w:rsidRPr="15EC666A">
        <w:rPr>
          <w:rStyle w:val="normaltextrun"/>
          <w:color w:val="000000"/>
        </w:rPr>
        <w:t xml:space="preserve"> is provided in</w:t>
      </w:r>
      <w:r w:rsidR="007526B4">
        <w:rPr>
          <w:rStyle w:val="normaltextrun"/>
          <w:color w:val="000000"/>
        </w:rPr>
        <w:t xml:space="preserve"> </w:t>
      </w:r>
      <w:r w:rsidR="15EC666A" w:rsidRPr="15EC666A">
        <w:rPr>
          <w:rStyle w:val="normaltextrun"/>
          <w:color w:val="000000"/>
        </w:rPr>
        <w:t>ISO presentations</w:t>
      </w:r>
      <w:r w:rsidR="006959B6">
        <w:rPr>
          <w:rStyle w:val="normaltextrun"/>
          <w:color w:val="000000"/>
        </w:rPr>
        <w:t xml:space="preserve"> on the </w:t>
      </w:r>
      <w:hyperlink r:id="rId22" w:history="1">
        <w:r w:rsidR="006959B6" w:rsidRPr="006959B6">
          <w:rPr>
            <w:rStyle w:val="Hyperlink"/>
          </w:rPr>
          <w:t>Final Benchmark and Market Efficiency Needs Scenario Results</w:t>
        </w:r>
      </w:hyperlink>
      <w:r w:rsidR="006959B6">
        <w:rPr>
          <w:rStyle w:val="normaltextrun"/>
          <w:color w:val="000000"/>
        </w:rPr>
        <w:t xml:space="preserve"> and </w:t>
      </w:r>
      <w:hyperlink r:id="rId23" w:history="1">
        <w:r w:rsidR="006959B6" w:rsidRPr="006959B6">
          <w:rPr>
            <w:rStyle w:val="Hyperlink"/>
          </w:rPr>
          <w:t>Final Policy Scenario and Stakeholder-Requested Sensitivity Results</w:t>
        </w:r>
      </w:hyperlink>
      <w:r w:rsidR="15EC666A" w:rsidRPr="15EC666A">
        <w:rPr>
          <w:rStyle w:val="normaltextrun"/>
          <w:color w:val="000000"/>
        </w:rPr>
        <w:t xml:space="preserve">. </w:t>
      </w:r>
    </w:p>
    <w:p w14:paraId="729532B5" w14:textId="3F38F14E" w:rsidR="1D3AF14A" w:rsidRDefault="1D3AF14A" w:rsidP="1D3AF14A">
      <w:pPr>
        <w:spacing w:after="0" w:line="240" w:lineRule="auto"/>
        <w:rPr>
          <w:rStyle w:val="normaltextrun"/>
          <w:color w:val="000000"/>
        </w:rPr>
      </w:pPr>
    </w:p>
    <w:p w14:paraId="01DE0421" w14:textId="6A19926F" w:rsidR="005D6255" w:rsidRPr="00235834" w:rsidRDefault="00E617E7" w:rsidP="00235834">
      <w:pPr>
        <w:pStyle w:val="Heading2"/>
      </w:pPr>
      <w:bookmarkStart w:id="3" w:name="_Ref167888683"/>
      <w:bookmarkStart w:id="4" w:name="_Toc174535842"/>
      <w:r>
        <w:lastRenderedPageBreak/>
        <w:t>Most path</w:t>
      </w:r>
      <w:r w:rsidR="38FCA216">
        <w:t>s to a low-carbon grid involve high variability in demand and supply.</w:t>
      </w:r>
      <w:bookmarkEnd w:id="3"/>
      <w:bookmarkEnd w:id="4"/>
    </w:p>
    <w:p w14:paraId="09B15275" w14:textId="26B9209B" w:rsidR="00B67025" w:rsidRDefault="0EF55FA5" w:rsidP="005D6255">
      <w:r>
        <w:t xml:space="preserve">One of </w:t>
      </w:r>
      <w:r w:rsidR="007D7A95">
        <w:t>EPCET’s broader themes is an expected increase in the</w:t>
      </w:r>
      <w:r>
        <w:t xml:space="preserve"> variability </w:t>
      </w:r>
      <w:r w:rsidR="007D7A95">
        <w:t>of</w:t>
      </w:r>
      <w:r>
        <w:t xml:space="preserve"> both supply and demand</w:t>
      </w:r>
      <w:r w:rsidR="00920F12">
        <w:t xml:space="preserve"> between </w:t>
      </w:r>
      <w:r w:rsidR="007D7A95">
        <w:t xml:space="preserve">future </w:t>
      </w:r>
      <w:r w:rsidR="00920F12">
        <w:t>years</w:t>
      </w:r>
      <w:r>
        <w:t>. This variability appear</w:t>
      </w:r>
      <w:r w:rsidR="007D7A95">
        <w:t>s</w:t>
      </w:r>
      <w:r>
        <w:t xml:space="preserve"> first in the Market Efficiency Needs Scenario modeli</w:t>
      </w:r>
      <w:r w:rsidR="007D7A95">
        <w:t>ng of the 2030s, and accelerates</w:t>
      </w:r>
      <w:r>
        <w:t xml:space="preserve"> dramatically in the longer-term Policy Scenario modeling of the 2040s and beyond.  </w:t>
      </w:r>
    </w:p>
    <w:p w14:paraId="08A0BEBC" w14:textId="32D9EA21" w:rsidR="006F1673" w:rsidRDefault="14E08E43" w:rsidP="56C4AA4B">
      <w:r>
        <w:t xml:space="preserve">Simulations of future years </w:t>
      </w:r>
      <w:r w:rsidR="007D7A95">
        <w:t>a</w:t>
      </w:r>
      <w:r>
        <w:t>re modeled under a wide variety of weather conditions based on annual historical observ</w:t>
      </w:r>
      <w:r w:rsidR="00B44FFE">
        <w:t>ations, called “weather years.”</w:t>
      </w:r>
      <w:r>
        <w:t xml:space="preserve"> </w:t>
      </w:r>
      <w:r w:rsidR="007D7A95">
        <w:t>Modeling simulates</w:t>
      </w:r>
      <w:r w:rsidR="00B44FFE">
        <w:t xml:space="preserve"> the grid’s</w:t>
      </w:r>
      <w:r>
        <w:t xml:space="preserve"> expected supply and demand under conditions from</w:t>
      </w:r>
      <w:r w:rsidR="00B44FFE">
        <w:t xml:space="preserve"> the</w:t>
      </w:r>
      <w:r>
        <w:t xml:space="preserve"> </w:t>
      </w:r>
      <w:r w:rsidR="00B44FFE">
        <w:t>20 different weather years between 2000 and</w:t>
      </w:r>
      <w:r>
        <w:t xml:space="preserve"> 2019. As the model’s h</w:t>
      </w:r>
      <w:r w:rsidR="007D7A95">
        <w:t>eating electrification increases</w:t>
      </w:r>
      <w:r>
        <w:t>, weather ha</w:t>
      </w:r>
      <w:r w:rsidR="007D7A95">
        <w:t>s</w:t>
      </w:r>
      <w:r>
        <w:t xml:space="preserve"> a greater effect on demand, and variability of peak demand for electricity between weather years increase</w:t>
      </w:r>
      <w:r w:rsidR="007D7A95">
        <w:t>s</w:t>
      </w:r>
      <w:r>
        <w:t xml:space="preserve">. </w:t>
      </w:r>
    </w:p>
    <w:p w14:paraId="5BA7CEF8" w14:textId="1B063014" w:rsidR="00B44FFE" w:rsidRPr="00B44FFE" w:rsidRDefault="002D7F3A" w:rsidP="00B44FFE">
      <w:r>
        <w:rPr>
          <w:noProof/>
        </w:rPr>
        <w:drawing>
          <wp:anchor distT="0" distB="0" distL="114300" distR="114300" simplePos="0" relativeHeight="251662338" behindDoc="1" locked="0" layoutInCell="1" allowOverlap="1" wp14:anchorId="0FE923D5" wp14:editId="65877070">
            <wp:simplePos x="0" y="0"/>
            <wp:positionH relativeFrom="margin">
              <wp:posOffset>1280160</wp:posOffset>
            </wp:positionH>
            <wp:positionV relativeFrom="paragraph">
              <wp:posOffset>79375</wp:posOffset>
            </wp:positionV>
            <wp:extent cx="4660265" cy="2933700"/>
            <wp:effectExtent l="0" t="0" r="6985" b="0"/>
            <wp:wrapThrough wrapText="bothSides">
              <wp:wrapPolygon edited="0">
                <wp:start x="0" y="0"/>
                <wp:lineTo x="0" y="21460"/>
                <wp:lineTo x="21544" y="21460"/>
                <wp:lineTo x="21544" y="0"/>
                <wp:lineTo x="0" y="0"/>
              </wp:wrapPolygon>
            </wp:wrapThrough>
            <wp:docPr id="15" name="Picture 15" descr="C:\Users\akleeman\AppData\Local\Microsoft\Windows\INetCache\Content.MSO\3AC6B1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kleeman\AppData\Local\Microsoft\Windows\INetCache\Content.MSO\3AC6B1B7.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0265"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237" w:rsidRPr="00A6141F">
        <w:t xml:space="preserve">Today’s electrical grid experiences only </w:t>
      </w:r>
      <w:r w:rsidR="2AB58F87">
        <w:t xml:space="preserve">modest </w:t>
      </w:r>
      <w:r w:rsidR="008E5237" w:rsidRPr="00A6141F">
        <w:t>variations in peak annual demand</w:t>
      </w:r>
      <w:r w:rsidR="00417558" w:rsidDel="787ADE3E">
        <w:t xml:space="preserve"> </w:t>
      </w:r>
      <w:r w:rsidR="00A25C14">
        <w:t>from year to year</w:t>
      </w:r>
      <w:r w:rsidR="008E5237" w:rsidRPr="00A6141F">
        <w:t>, allowing for efficient planning for a limited range</w:t>
      </w:r>
      <w:r w:rsidR="008E5237">
        <w:t xml:space="preserve"> of possible outcomes. </w:t>
      </w:r>
      <w:r w:rsidR="008E5237" w:rsidRPr="00A6141F">
        <w:t>I</w:t>
      </w:r>
      <w:r w:rsidR="008E5237">
        <w:t>n the future,</w:t>
      </w:r>
      <w:r w:rsidR="008E5237" w:rsidRPr="00A6141F">
        <w:t xml:space="preserve"> however,</w:t>
      </w:r>
      <w:r w:rsidR="00666882">
        <w:t xml:space="preserve"> electric heating will shift annual system peak demand from summer to winter. The magnitude of the annual peak will vary dramatically from one year to the next, depending on how cold or how mild a winter the region sees.</w:t>
      </w:r>
      <w:r w:rsidR="007813D0">
        <w:t xml:space="preserve"> </w:t>
      </w:r>
      <w:r w:rsidR="00B44FFE">
        <w:t xml:space="preserve">The figure </w:t>
      </w:r>
      <w:r>
        <w:t>above</w:t>
      </w:r>
      <w:r w:rsidR="00B44FFE">
        <w:t xml:space="preserve"> </w:t>
      </w:r>
      <w:r w:rsidR="00666882">
        <w:t xml:space="preserve">shows the variation in peak demand observed over the last decade, and the variation in peak demand between </w:t>
      </w:r>
      <w:r w:rsidR="00143552">
        <w:t xml:space="preserve">the </w:t>
      </w:r>
      <w:r w:rsidR="007813D0">
        <w:t xml:space="preserve">mildest and most severe weather </w:t>
      </w:r>
      <w:r w:rsidR="00143552">
        <w:t xml:space="preserve">years </w:t>
      </w:r>
      <w:r w:rsidR="00666882">
        <w:t>modeled in</w:t>
      </w:r>
      <w:r w:rsidR="0EF55FA5">
        <w:t xml:space="preserve"> EPCET</w:t>
      </w:r>
      <w:r w:rsidR="007813D0">
        <w:t>’s 2040 and 2050 system</w:t>
      </w:r>
      <w:r w:rsidR="00BD7F8F">
        <w:t>s</w:t>
      </w:r>
      <w:r w:rsidR="0EF55FA5">
        <w:t>.</w:t>
      </w:r>
      <w:r w:rsidR="00DB1625">
        <w:rPr>
          <w:rStyle w:val="FootnoteReference"/>
        </w:rPr>
        <w:footnoteReference w:id="4"/>
      </w:r>
    </w:p>
    <w:p w14:paraId="1295D486" w14:textId="166F0D66" w:rsidR="00B44FFE" w:rsidRDefault="74DD4DD8" w:rsidP="60B288F0">
      <w:r>
        <w:t xml:space="preserve">As </w:t>
      </w:r>
      <w:r w:rsidR="00983ED2">
        <w:t xml:space="preserve">penetration of </w:t>
      </w:r>
      <w:r>
        <w:t>wind and solar resources increase</w:t>
      </w:r>
      <w:r w:rsidR="00983ED2">
        <w:t>s</w:t>
      </w:r>
      <w:r>
        <w:t xml:space="preserve">, supply </w:t>
      </w:r>
      <w:r w:rsidR="006060D9">
        <w:t>will also</w:t>
      </w:r>
      <w:r>
        <w:t xml:space="preserve"> become much more weather-dependent</w:t>
      </w:r>
      <w:r w:rsidR="000128CB">
        <w:t>, and thus much more variable</w:t>
      </w:r>
      <w:r>
        <w:t xml:space="preserve">. At times of low wind and solar generation, a renewable-heavy system may </w:t>
      </w:r>
      <w:r w:rsidR="00983ED2">
        <w:t xml:space="preserve">not </w:t>
      </w:r>
      <w:r>
        <w:t xml:space="preserve">produce </w:t>
      </w:r>
      <w:r w:rsidR="00983ED2">
        <w:t>enough</w:t>
      </w:r>
      <w:r>
        <w:t xml:space="preserve"> energy </w:t>
      </w:r>
      <w:r w:rsidR="00983ED2">
        <w:t>to satisfy demand</w:t>
      </w:r>
      <w:r>
        <w:t>. Most weather years in the Poli</w:t>
      </w:r>
      <w:r w:rsidR="007B5A27">
        <w:t>cy Scenario analysis experience</w:t>
      </w:r>
      <w:r>
        <w:t xml:space="preserve"> </w:t>
      </w:r>
      <w:r w:rsidR="00E007B8">
        <w:t>such stretches</w:t>
      </w:r>
      <w:r w:rsidR="00B7202C">
        <w:t>—</w:t>
      </w:r>
      <w:r w:rsidR="007526B4">
        <w:t>and in these stretches, stored fuels meet demand.</w:t>
      </w:r>
    </w:p>
    <w:p w14:paraId="63226462" w14:textId="459DBF29" w:rsidR="00A34E66" w:rsidRDefault="38FCA216" w:rsidP="000355CD">
      <w:pPr>
        <w:pStyle w:val="Heading2"/>
      </w:pPr>
      <w:bookmarkStart w:id="5" w:name="_Ref166057931"/>
      <w:bookmarkStart w:id="6" w:name="_Toc174535843"/>
      <w:r>
        <w:lastRenderedPageBreak/>
        <w:t xml:space="preserve">The large variation in </w:t>
      </w:r>
      <w:r w:rsidR="00E007B8">
        <w:t xml:space="preserve">peak </w:t>
      </w:r>
      <w:r>
        <w:t xml:space="preserve">demand will require vastly different supply from year to year. Some years will require all resources to operate. </w:t>
      </w:r>
      <w:r w:rsidR="00B7202C">
        <w:t xml:space="preserve">In other </w:t>
      </w:r>
      <w:r>
        <w:t xml:space="preserve">years, </w:t>
      </w:r>
      <w:r w:rsidR="00E007B8">
        <w:t>certain</w:t>
      </w:r>
      <w:r>
        <w:t xml:space="preserve"> resources will run for just for a few hours, or not at all.</w:t>
      </w:r>
      <w:bookmarkEnd w:id="5"/>
      <w:bookmarkEnd w:id="6"/>
    </w:p>
    <w:p w14:paraId="4F7543DA" w14:textId="1E7C6ACF" w:rsidR="00CF5D07" w:rsidRDefault="38FCA216" w:rsidP="00A6141F">
      <w:r>
        <w:t>As variability in</w:t>
      </w:r>
      <w:r w:rsidR="00E007B8">
        <w:t xml:space="preserve"> peak</w:t>
      </w:r>
      <w:r>
        <w:t xml:space="preserve"> demand increases, the system will rely on</w:t>
      </w:r>
      <w:r w:rsidR="00E007B8">
        <w:t xml:space="preserve"> certain</w:t>
      </w:r>
      <w:r>
        <w:t xml:space="preserve"> dispatchable resources to maintain reliability, but these resources will run less and less frequently over time. The New England power grid will need to reliably serve peak demand for the most severe winter conditions the region might see. But despite the possibility of severe cold, most winters are likely to be milder, with significantly lower peaks. As a result, certain resources needed to maintain reliability during the harshest conditions may only run once every few years.</w:t>
      </w:r>
    </w:p>
    <w:p w14:paraId="66A24CAE" w14:textId="487CA627" w:rsidR="00A6141F" w:rsidRDefault="002839A3" w:rsidP="00A6141F">
      <w:r>
        <w:t xml:space="preserve">The </w:t>
      </w:r>
      <w:r w:rsidR="38FCA216">
        <w:t xml:space="preserve">Policy Scenario analysis </w:t>
      </w:r>
      <w:r w:rsidR="007B5A27">
        <w:t>uses</w:t>
      </w:r>
      <w:r w:rsidR="38FCA216">
        <w:t xml:space="preserve"> capacity expansion modeling, which “builds” resources as needed to simulate a reliable system given particular weather conditions and demand for electricity. </w:t>
      </w:r>
      <w:r w:rsidR="00BB1691">
        <w:t>Build-out</w:t>
      </w:r>
      <w:r w:rsidR="38FCA216">
        <w:t xml:space="preserve">s for the Policy Scenario </w:t>
      </w:r>
      <w:r w:rsidR="007B5A27">
        <w:t>a</w:t>
      </w:r>
      <w:r w:rsidR="38FCA216">
        <w:t xml:space="preserve">re optimized according to a single weather year, 2019, which featured typical weather conditions for the region. In order to evaluate how these hypothetical systems </w:t>
      </w:r>
      <w:r w:rsidR="006060D9">
        <w:t>would</w:t>
      </w:r>
      <w:r w:rsidR="38FCA216">
        <w:t xml:space="preserve"> perform under a wide variety of conditions</w:t>
      </w:r>
      <w:r w:rsidR="00E95148">
        <w:t xml:space="preserve"> besides a typical year</w:t>
      </w:r>
      <w:r w:rsidR="38FCA216">
        <w:t>, the study also analyze</w:t>
      </w:r>
      <w:r w:rsidR="007B5A27">
        <w:t>s</w:t>
      </w:r>
      <w:r w:rsidR="38FCA216">
        <w:t xml:space="preserve"> their performance over 20 alternate weather years.</w:t>
      </w:r>
    </w:p>
    <w:p w14:paraId="7A42F93C" w14:textId="3D91B95B" w:rsidR="00A6141F" w:rsidRDefault="00B629DE" w:rsidP="0C995638">
      <w:r>
        <w:rPr>
          <w:noProof/>
        </w:rPr>
        <w:drawing>
          <wp:anchor distT="0" distB="0" distL="114300" distR="114300" simplePos="0" relativeHeight="251665410" behindDoc="1" locked="0" layoutInCell="1" allowOverlap="1" wp14:anchorId="7CF0AF03" wp14:editId="7D932888">
            <wp:simplePos x="0" y="0"/>
            <wp:positionH relativeFrom="column">
              <wp:posOffset>0</wp:posOffset>
            </wp:positionH>
            <wp:positionV relativeFrom="paragraph">
              <wp:posOffset>-3534</wp:posOffset>
            </wp:positionV>
            <wp:extent cx="3617113" cy="2870724"/>
            <wp:effectExtent l="0" t="0" r="2540" b="6350"/>
            <wp:wrapTight wrapText="bothSides">
              <wp:wrapPolygon edited="0">
                <wp:start x="0" y="0"/>
                <wp:lineTo x="0" y="21504"/>
                <wp:lineTo x="21501" y="21504"/>
                <wp:lineTo x="2150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617113" cy="2870724"/>
                    </a:xfrm>
                    <a:prstGeom prst="rect">
                      <a:avLst/>
                    </a:prstGeom>
                  </pic:spPr>
                </pic:pic>
              </a:graphicData>
            </a:graphic>
          </wp:anchor>
        </w:drawing>
      </w:r>
      <w:r w:rsidR="2AB58F87">
        <w:t xml:space="preserve">Results from the 2050 </w:t>
      </w:r>
      <w:r w:rsidR="00BB1691">
        <w:t>build-out</w:t>
      </w:r>
      <w:r w:rsidR="00C3432D">
        <w:t>, shown in the image to the left,</w:t>
      </w:r>
      <w:r w:rsidR="2AB58F87">
        <w:t xml:space="preserve"> illustrate how rarely some resources </w:t>
      </w:r>
      <w:r w:rsidR="006060D9">
        <w:t>will</w:t>
      </w:r>
      <w:r w:rsidR="2AB58F87">
        <w:t xml:space="preserve"> run in the future. </w:t>
      </w:r>
      <w:r w:rsidR="00D4592E">
        <w:t xml:space="preserve">In </w:t>
      </w:r>
      <w:r w:rsidR="2AB58F87">
        <w:t xml:space="preserve">the most extreme winter conditions, 2050’s </w:t>
      </w:r>
      <w:r w:rsidR="00BB1691">
        <w:t>build-out</w:t>
      </w:r>
      <w:r w:rsidR="2AB58F87">
        <w:t xml:space="preserve"> </w:t>
      </w:r>
      <w:r w:rsidR="00C3432D">
        <w:t xml:space="preserve">would </w:t>
      </w:r>
      <w:r w:rsidR="2AB58F87">
        <w:t>rel</w:t>
      </w:r>
      <w:r w:rsidR="00C3432D">
        <w:t>y</w:t>
      </w:r>
      <w:r w:rsidR="2AB58F87">
        <w:t xml:space="preserve"> on 20.8 GW of </w:t>
      </w:r>
      <w:r w:rsidR="00CC7D2A">
        <w:t>dispatchable</w:t>
      </w:r>
      <w:r w:rsidR="2AB58F87">
        <w:t xml:space="preserve"> </w:t>
      </w:r>
      <w:r w:rsidR="00D4592E">
        <w:t>resources</w:t>
      </w:r>
      <w:r w:rsidR="2AB58F87">
        <w:t>, while under the milde</w:t>
      </w:r>
      <w:r w:rsidR="007B5A27">
        <w:t xml:space="preserve">st weather conditions, it </w:t>
      </w:r>
      <w:r w:rsidR="00C3432D">
        <w:t>would</w:t>
      </w:r>
      <w:r w:rsidR="2AB58F87">
        <w:t xml:space="preserve"> </w:t>
      </w:r>
      <w:r w:rsidR="00C3432D">
        <w:t>need</w:t>
      </w:r>
      <w:r w:rsidR="2AB58F87">
        <w:t xml:space="preserve"> just 13.8 GW.</w:t>
      </w:r>
      <w:r w:rsidR="00D4592E">
        <w:t xml:space="preserve"> </w:t>
      </w:r>
      <w:r w:rsidR="00C3432D">
        <w:t>But significant quantities of these resources would be used for less than 1% of the year. And s</w:t>
      </w:r>
      <w:r w:rsidR="00D4592E">
        <w:t>ince the grid must be ready to serve load under the most extreme conditions, s</w:t>
      </w:r>
      <w:r w:rsidR="2AB58F87">
        <w:t xml:space="preserve">ignificant quantities of dispatchable resources will sit idle during milder winters. </w:t>
      </w:r>
    </w:p>
    <w:p w14:paraId="07EEE52F" w14:textId="4D4B636C" w:rsidR="00A6141F" w:rsidRDefault="48283605" w:rsidP="0C995638">
      <w:r>
        <w:t xml:space="preserve">If these dispatchable resources run rarely, they will earn </w:t>
      </w:r>
      <w:r w:rsidR="00E007B8">
        <w:t>less rev</w:t>
      </w:r>
      <w:r w:rsidR="007C4D43">
        <w:t>e</w:t>
      </w:r>
      <w:r w:rsidR="00E007B8">
        <w:t>nue through the</w:t>
      </w:r>
      <w:r>
        <w:t xml:space="preserve"> energy </w:t>
      </w:r>
      <w:r w:rsidR="00E007B8">
        <w:t xml:space="preserve">and ancillary services </w:t>
      </w:r>
      <w:r>
        <w:t>market</w:t>
      </w:r>
      <w:r w:rsidR="00E007B8">
        <w:t>s</w:t>
      </w:r>
      <w:r w:rsidR="007C4D43">
        <w:t>, which</w:t>
      </w:r>
      <w:r>
        <w:t xml:space="preserve"> </w:t>
      </w:r>
      <w:r w:rsidR="007C4D43">
        <w:t xml:space="preserve">may mean they receive greater revenues through other means, like the </w:t>
      </w:r>
      <w:r>
        <w:t>capacity market</w:t>
      </w:r>
      <w:r w:rsidR="007C4D43">
        <w:t>, or new market mechanisms (see section</w:t>
      </w:r>
      <w:r w:rsidR="0001564C">
        <w:t xml:space="preserve"> </w:t>
      </w:r>
      <w:r w:rsidR="0001564C">
        <w:fldChar w:fldCharType="begin"/>
      </w:r>
      <w:r w:rsidR="0001564C">
        <w:instrText xml:space="preserve"> REF _Ref166072811 \r \h </w:instrText>
      </w:r>
      <w:r w:rsidR="0001564C">
        <w:fldChar w:fldCharType="separate"/>
      </w:r>
      <w:r w:rsidR="00D8633C">
        <w:t>1.6</w:t>
      </w:r>
      <w:r w:rsidR="0001564C">
        <w:fldChar w:fldCharType="end"/>
      </w:r>
      <w:r w:rsidR="007C4D43">
        <w:t>)</w:t>
      </w:r>
      <w:r>
        <w:t>.</w:t>
      </w:r>
      <w:r w:rsidR="08AF0D73" w:rsidRPr="0C995638">
        <w:rPr>
          <w:vertAlign w:val="superscript"/>
        </w:rPr>
        <w:footnoteReference w:id="5"/>
      </w:r>
      <w:r w:rsidR="38FCA216" w:rsidRPr="38FCA216">
        <w:rPr>
          <w:vertAlign w:val="superscript"/>
        </w:rPr>
        <w:t>,</w:t>
      </w:r>
      <w:r w:rsidR="08AF0D73" w:rsidRPr="38FCA216">
        <w:rPr>
          <w:vertAlign w:val="superscript"/>
        </w:rPr>
        <w:footnoteReference w:id="6"/>
      </w:r>
    </w:p>
    <w:p w14:paraId="38A8FE6B" w14:textId="77777777" w:rsidR="00F11A74" w:rsidRDefault="68C57403" w:rsidP="5E699589">
      <w:r>
        <w:t xml:space="preserve">EPCET’s forecasted peak demand inputs </w:t>
      </w:r>
      <w:r w:rsidR="00C3432D">
        <w:t>a</w:t>
      </w:r>
      <w:r>
        <w:t>re taken from ISO New England’s</w:t>
      </w:r>
      <w:r w:rsidR="00E617E7">
        <w:t xml:space="preserve"> </w:t>
      </w:r>
      <w:hyperlink r:id="rId26" w:history="1">
        <w:r w:rsidR="00E617E7" w:rsidRPr="00E617E7">
          <w:rPr>
            <w:rStyle w:val="Hyperlink"/>
          </w:rPr>
          <w:t>2022</w:t>
        </w:r>
        <w:r w:rsidRPr="00E617E7">
          <w:rPr>
            <w:rStyle w:val="Hyperlink"/>
          </w:rPr>
          <w:t xml:space="preserve"> Forecast Report of Capacity, Energy, Loads, and Transmission</w:t>
        </w:r>
      </w:hyperlink>
      <w:r>
        <w:t xml:space="preserve"> (the CELT Report). For years beyond the 10-year horizon of the CELT Report, </w:t>
      </w:r>
      <w:r w:rsidR="00C3432D">
        <w:t>EPCET</w:t>
      </w:r>
      <w:r>
        <w:t xml:space="preserve"> </w:t>
      </w:r>
      <w:r w:rsidR="00C3432D">
        <w:t>includes</w:t>
      </w:r>
      <w:r>
        <w:t xml:space="preserve"> profiles generated from the ISO Load Forecasting team. </w:t>
      </w:r>
      <w:r w:rsidR="00F11A74">
        <w:lastRenderedPageBreak/>
        <w:t>I</w:t>
      </w:r>
      <w:r>
        <w:t>f actual peak demand levels</w:t>
      </w:r>
      <w:r w:rsidR="00F11A74">
        <w:t xml:space="preserve"> in future years are lower than these forecasts,</w:t>
      </w:r>
      <w:r>
        <w:t xml:space="preserve"> </w:t>
      </w:r>
      <w:r w:rsidR="00F11A74">
        <w:t>overall</w:t>
      </w:r>
      <w:r>
        <w:t xml:space="preserve"> variability among years </w:t>
      </w:r>
      <w:r w:rsidR="00F11A74">
        <w:t xml:space="preserve">will decrease, </w:t>
      </w:r>
      <w:r>
        <w:t xml:space="preserve">and fewer </w:t>
      </w:r>
      <w:r w:rsidR="00CC7D2A">
        <w:t>resources</w:t>
      </w:r>
      <w:r>
        <w:t xml:space="preserve"> </w:t>
      </w:r>
      <w:r w:rsidR="00F11A74">
        <w:t xml:space="preserve">will be required </w:t>
      </w:r>
      <w:r>
        <w:t xml:space="preserve">to ensure reliability, reducing overall system costs. </w:t>
      </w:r>
    </w:p>
    <w:p w14:paraId="4C90212F" w14:textId="02577F7C" w:rsidR="31F6B1F6" w:rsidRDefault="00F11A74" w:rsidP="5E699589">
      <w:r>
        <w:t>This would not, h</w:t>
      </w:r>
      <w:r w:rsidR="68C57403">
        <w:t xml:space="preserve">owever, address the variability of supply. All 20 weather years in the modeled 2050 system require </w:t>
      </w:r>
      <w:r w:rsidR="00D22D60">
        <w:t>dispatchable</w:t>
      </w:r>
      <w:r w:rsidR="68C57403">
        <w:t xml:space="preserve"> generation to serve load for </w:t>
      </w:r>
      <w:r w:rsidR="009E267A">
        <w:t xml:space="preserve">between </w:t>
      </w:r>
      <w:r w:rsidR="68C57403">
        <w:t xml:space="preserve">8 </w:t>
      </w:r>
      <w:r w:rsidR="009E267A">
        <w:t>and</w:t>
      </w:r>
      <w:r w:rsidR="68C57403">
        <w:t xml:space="preserve"> 13% of </w:t>
      </w:r>
      <w:r w:rsidR="009E267A">
        <w:t>that</w:t>
      </w:r>
      <w:r w:rsidR="68C57403">
        <w:t xml:space="preserve"> year, underscoring the need for dispatchable resources in the policy horizon years de</w:t>
      </w:r>
      <w:r w:rsidR="00D22D60">
        <w:t xml:space="preserve">spite a significant </w:t>
      </w:r>
      <w:r w:rsidR="00BB1691">
        <w:t>build-out</w:t>
      </w:r>
      <w:r w:rsidR="00D22D60">
        <w:t xml:space="preserve"> of wind, solar</w:t>
      </w:r>
      <w:r w:rsidR="00812B2F">
        <w:t>,</w:t>
      </w:r>
      <w:r w:rsidR="00D22D60">
        <w:t xml:space="preserve"> and battery</w:t>
      </w:r>
      <w:r w:rsidR="00CD774F">
        <w:t xml:space="preserve"> resources. These</w:t>
      </w:r>
      <w:r w:rsidR="00E95148">
        <w:t xml:space="preserve"> modeled</w:t>
      </w:r>
      <w:r w:rsidR="00CD774F">
        <w:t xml:space="preserve"> periods when</w:t>
      </w:r>
      <w:r w:rsidR="68C57403">
        <w:t xml:space="preserve"> dispatchable resources</w:t>
      </w:r>
      <w:r w:rsidR="00CD774F">
        <w:t xml:space="preserve"> fill in energy</w:t>
      </w:r>
      <w:r w:rsidR="68C57403">
        <w:t xml:space="preserve"> </w:t>
      </w:r>
      <w:r w:rsidR="00CD774F">
        <w:t xml:space="preserve">gaps </w:t>
      </w:r>
      <w:r w:rsidR="00E95148">
        <w:t>are</w:t>
      </w:r>
      <w:r w:rsidR="68C57403">
        <w:t xml:space="preserve"> not necessarily characterized by significantly </w:t>
      </w:r>
      <w:r w:rsidR="00CD774F">
        <w:t>high demand</w:t>
      </w:r>
      <w:r w:rsidR="00BB1691">
        <w:t>. R</w:t>
      </w:r>
      <w:r w:rsidR="68C57403">
        <w:t xml:space="preserve">ather, they coincide with hours when </w:t>
      </w:r>
      <w:r w:rsidR="00CD774F">
        <w:t>wind and solar</w:t>
      </w:r>
      <w:r w:rsidR="68C57403">
        <w:t xml:space="preserve"> resources produc</w:t>
      </w:r>
      <w:r w:rsidR="00CD774F">
        <w:t>e</w:t>
      </w:r>
      <w:r w:rsidR="68C57403">
        <w:t xml:space="preserve"> less</w:t>
      </w:r>
      <w:r w:rsidR="009501E1">
        <w:t xml:space="preserve"> due to weather</w:t>
      </w:r>
      <w:r w:rsidR="68C57403">
        <w:t xml:space="preserve">, and energy storage </w:t>
      </w:r>
      <w:r w:rsidR="00CD774F">
        <w:t>i</w:t>
      </w:r>
      <w:r w:rsidR="68C57403">
        <w:t xml:space="preserve">s depleted.  </w:t>
      </w:r>
    </w:p>
    <w:p w14:paraId="537EEDE7" w14:textId="65D7D633" w:rsidR="6E06F99A" w:rsidRDefault="38FCA216" w:rsidP="6E06F99A">
      <w:pPr>
        <w:pStyle w:val="Heading2"/>
      </w:pPr>
      <w:bookmarkStart w:id="7" w:name="_Ref171421627"/>
      <w:bookmarkStart w:id="8" w:name="_Toc174535844"/>
      <w:r>
        <w:t xml:space="preserve">Emissions reductions will be seasonal. Some months will decarbonize </w:t>
      </w:r>
      <w:r w:rsidR="005C1F1E">
        <w:t>years</w:t>
      </w:r>
      <w:r>
        <w:t xml:space="preserve"> before others.</w:t>
      </w:r>
      <w:bookmarkEnd w:id="7"/>
      <w:bookmarkEnd w:id="8"/>
    </w:p>
    <w:p w14:paraId="7D837401" w14:textId="1D8828C0" w:rsidR="2A2563E8" w:rsidRDefault="2AB58F87">
      <w:r>
        <w:t xml:space="preserve">Decarbonization in the later years of capacity expansion modeling </w:t>
      </w:r>
      <w:r w:rsidR="00CD774F">
        <w:t>i</w:t>
      </w:r>
      <w:r>
        <w:t xml:space="preserve">s highly correlated with the </w:t>
      </w:r>
      <w:r w:rsidR="00122B69">
        <w:t>season</w:t>
      </w:r>
      <w:r>
        <w:t>, and certain times</w:t>
      </w:r>
      <w:r w:rsidR="00CD774F">
        <w:t xml:space="preserve"> of the year are expected to decarbonize</w:t>
      </w:r>
      <w:r>
        <w:t xml:space="preserve"> much faster t</w:t>
      </w:r>
      <w:r w:rsidR="00CD774F">
        <w:t>han others. Modeled seasons decarbonize</w:t>
      </w:r>
      <w:r>
        <w:t xml:space="preserve"> in the following order: spring, fall, summer, and, finally, winter. Notably, spring and fall will </w:t>
      </w:r>
      <w:r w:rsidR="00CD774F">
        <w:t>decarbonize</w:t>
      </w:r>
      <w:r>
        <w:t xml:space="preserve"> long before winter. </w:t>
      </w:r>
      <w:r w:rsidR="00CD774F">
        <w:t>The table and illustration below show</w:t>
      </w:r>
      <w:r>
        <w:t xml:space="preserve"> the progressive decarbonization of seasons over the Polic</w:t>
      </w:r>
      <w:r w:rsidR="00CD774F">
        <w:t>y Scenario years, and highlight</w:t>
      </w:r>
      <w:r>
        <w:t xml:space="preserve"> May and December as the first and last months to decarbonize.</w:t>
      </w:r>
    </w:p>
    <w:p w14:paraId="4D76D626" w14:textId="501EEEBE" w:rsidR="2A2563E8" w:rsidRDefault="7302D6C4" w:rsidP="2A2563E8">
      <w:pPr>
        <w:pStyle w:val="Caption"/>
      </w:pPr>
      <w:r>
        <w:t>Seasonal Reductions in Emissions (from 2022 levels) by Policy Scenario Year</w:t>
      </w:r>
    </w:p>
    <w:tbl>
      <w:tblPr>
        <w:tblStyle w:val="GridTable3-Accent3"/>
        <w:tblW w:w="0" w:type="auto"/>
        <w:tblLook w:val="04A0" w:firstRow="1" w:lastRow="0" w:firstColumn="1" w:lastColumn="0" w:noHBand="0" w:noVBand="1"/>
      </w:tblPr>
      <w:tblGrid>
        <w:gridCol w:w="2256"/>
        <w:gridCol w:w="2407"/>
        <w:gridCol w:w="2406"/>
        <w:gridCol w:w="2281"/>
      </w:tblGrid>
      <w:tr w:rsidR="2A2563E8" w14:paraId="4BC82085" w14:textId="77777777" w:rsidTr="001F2C1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256" w:type="dxa"/>
            <w:tcBorders>
              <w:top w:val="single" w:sz="4" w:space="0" w:color="77BD2A" w:themeColor="accent3"/>
              <w:left w:val="single" w:sz="4" w:space="0" w:color="77BD2A" w:themeColor="accent3"/>
            </w:tcBorders>
            <w:shd w:val="clear" w:color="auto" w:fill="588D1F" w:themeFill="accent3" w:themeFillShade="BF"/>
          </w:tcPr>
          <w:p w14:paraId="0CAAFD41" w14:textId="77777777" w:rsidR="2A2563E8" w:rsidRDefault="2A2563E8"/>
        </w:tc>
        <w:tc>
          <w:tcPr>
            <w:tcW w:w="2407" w:type="dxa"/>
            <w:tcBorders>
              <w:top w:val="single" w:sz="4" w:space="0" w:color="77BD2A" w:themeColor="accent3"/>
            </w:tcBorders>
            <w:shd w:val="clear" w:color="auto" w:fill="588D1F" w:themeFill="accent3" w:themeFillShade="BF"/>
          </w:tcPr>
          <w:p w14:paraId="6A5B8330" w14:textId="376B0E42" w:rsidR="2A2563E8" w:rsidRPr="001F2C17" w:rsidRDefault="2A2563E8" w:rsidP="00A16AA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F2C17">
              <w:rPr>
                <w:color w:val="FFFFFF" w:themeColor="background1"/>
              </w:rPr>
              <w:t>2040</w:t>
            </w:r>
          </w:p>
        </w:tc>
        <w:tc>
          <w:tcPr>
            <w:tcW w:w="2406" w:type="dxa"/>
            <w:tcBorders>
              <w:top w:val="single" w:sz="4" w:space="0" w:color="77BD2A" w:themeColor="accent3"/>
            </w:tcBorders>
            <w:shd w:val="clear" w:color="auto" w:fill="588D1F" w:themeFill="accent3" w:themeFillShade="BF"/>
          </w:tcPr>
          <w:p w14:paraId="5EEDECA1" w14:textId="45E16683" w:rsidR="2A2563E8" w:rsidRPr="001F2C17" w:rsidRDefault="2A2563E8" w:rsidP="00A16AA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F2C17">
              <w:rPr>
                <w:color w:val="FFFFFF" w:themeColor="background1"/>
              </w:rPr>
              <w:t>2045</w:t>
            </w:r>
          </w:p>
        </w:tc>
        <w:tc>
          <w:tcPr>
            <w:tcW w:w="2281" w:type="dxa"/>
            <w:tcBorders>
              <w:top w:val="single" w:sz="4" w:space="0" w:color="77BD2A" w:themeColor="accent3"/>
              <w:right w:val="single" w:sz="4" w:space="0" w:color="77BD2A" w:themeColor="accent3"/>
            </w:tcBorders>
            <w:shd w:val="clear" w:color="auto" w:fill="588D1F" w:themeFill="accent3" w:themeFillShade="BF"/>
          </w:tcPr>
          <w:p w14:paraId="7397A1B8" w14:textId="25DDB7B6" w:rsidR="2A2563E8" w:rsidRPr="001F2C17" w:rsidRDefault="2A2563E8" w:rsidP="00A16AA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F2C17">
              <w:rPr>
                <w:color w:val="FFFFFF" w:themeColor="background1"/>
              </w:rPr>
              <w:t>2050</w:t>
            </w:r>
          </w:p>
        </w:tc>
      </w:tr>
      <w:tr w:rsidR="2A2563E8" w14:paraId="7010DD71" w14:textId="77777777" w:rsidTr="00A16A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6" w:type="dxa"/>
            <w:tcBorders>
              <w:left w:val="single" w:sz="4" w:space="0" w:color="77BD2A" w:themeColor="accent3"/>
            </w:tcBorders>
          </w:tcPr>
          <w:p w14:paraId="58C3E684" w14:textId="38DFE8C7" w:rsidR="2A2563E8" w:rsidRPr="00A16AA0" w:rsidRDefault="2A2563E8">
            <w:pPr>
              <w:rPr>
                <w:b/>
              </w:rPr>
            </w:pPr>
            <w:r w:rsidRPr="00A16AA0">
              <w:rPr>
                <w:b/>
              </w:rPr>
              <w:t xml:space="preserve">May </w:t>
            </w:r>
          </w:p>
        </w:tc>
        <w:tc>
          <w:tcPr>
            <w:tcW w:w="2407" w:type="dxa"/>
          </w:tcPr>
          <w:p w14:paraId="6355A416" w14:textId="5E8575E4" w:rsidR="2A2563E8" w:rsidRDefault="2A2563E8" w:rsidP="002839A3">
            <w:pPr>
              <w:jc w:val="center"/>
              <w:cnfStyle w:val="000000100000" w:firstRow="0" w:lastRow="0" w:firstColumn="0" w:lastColumn="0" w:oddVBand="0" w:evenVBand="0" w:oddHBand="1" w:evenHBand="0" w:firstRowFirstColumn="0" w:firstRowLastColumn="0" w:lastRowFirstColumn="0" w:lastRowLastColumn="0"/>
            </w:pPr>
            <w:r>
              <w:t>95%</w:t>
            </w:r>
          </w:p>
        </w:tc>
        <w:tc>
          <w:tcPr>
            <w:tcW w:w="2406" w:type="dxa"/>
          </w:tcPr>
          <w:p w14:paraId="4CA517C5" w14:textId="5FE5FA03" w:rsidR="2A2563E8" w:rsidRDefault="2A2563E8" w:rsidP="002839A3">
            <w:pPr>
              <w:jc w:val="center"/>
              <w:cnfStyle w:val="000000100000" w:firstRow="0" w:lastRow="0" w:firstColumn="0" w:lastColumn="0" w:oddVBand="0" w:evenVBand="0" w:oddHBand="1" w:evenHBand="0" w:firstRowFirstColumn="0" w:firstRowLastColumn="0" w:lastRowFirstColumn="0" w:lastRowLastColumn="0"/>
            </w:pPr>
            <w:r>
              <w:t>~100%</w:t>
            </w:r>
          </w:p>
        </w:tc>
        <w:tc>
          <w:tcPr>
            <w:tcW w:w="2281" w:type="dxa"/>
            <w:tcBorders>
              <w:right w:val="single" w:sz="4" w:space="0" w:color="77BD2A" w:themeColor="accent3"/>
            </w:tcBorders>
          </w:tcPr>
          <w:p w14:paraId="7E91C5CA" w14:textId="09DBA354" w:rsidR="2A2563E8" w:rsidRDefault="2A2563E8" w:rsidP="002839A3">
            <w:pPr>
              <w:jc w:val="center"/>
              <w:cnfStyle w:val="000000100000" w:firstRow="0" w:lastRow="0" w:firstColumn="0" w:lastColumn="0" w:oddVBand="0" w:evenVBand="0" w:oddHBand="1" w:evenHBand="0" w:firstRowFirstColumn="0" w:firstRowLastColumn="0" w:lastRowFirstColumn="0" w:lastRowLastColumn="0"/>
            </w:pPr>
            <w:r>
              <w:t>100%</w:t>
            </w:r>
          </w:p>
        </w:tc>
      </w:tr>
      <w:tr w:rsidR="2A2563E8" w14:paraId="133DF5E4" w14:textId="77777777" w:rsidTr="00A16AA0">
        <w:trPr>
          <w:trHeight w:val="300"/>
        </w:trPr>
        <w:tc>
          <w:tcPr>
            <w:cnfStyle w:val="001000000000" w:firstRow="0" w:lastRow="0" w:firstColumn="1" w:lastColumn="0" w:oddVBand="0" w:evenVBand="0" w:oddHBand="0" w:evenHBand="0" w:firstRowFirstColumn="0" w:firstRowLastColumn="0" w:lastRowFirstColumn="0" w:lastRowLastColumn="0"/>
            <w:tcW w:w="2256" w:type="dxa"/>
            <w:tcBorders>
              <w:left w:val="single" w:sz="4" w:space="0" w:color="77BD2A" w:themeColor="accent3"/>
            </w:tcBorders>
          </w:tcPr>
          <w:p w14:paraId="1C9CA52D" w14:textId="21F4BF21" w:rsidR="2A2563E8" w:rsidRPr="00A16AA0" w:rsidRDefault="2A2563E8">
            <w:pPr>
              <w:rPr>
                <w:b/>
              </w:rPr>
            </w:pPr>
            <w:r w:rsidRPr="00A16AA0">
              <w:rPr>
                <w:b/>
              </w:rPr>
              <w:t>All spring and fall months</w:t>
            </w:r>
          </w:p>
        </w:tc>
        <w:tc>
          <w:tcPr>
            <w:tcW w:w="2407" w:type="dxa"/>
          </w:tcPr>
          <w:p w14:paraId="157C9769" w14:textId="08DCF39A" w:rsidR="2A2563E8" w:rsidRDefault="2A2563E8" w:rsidP="002839A3">
            <w:pPr>
              <w:jc w:val="center"/>
              <w:cnfStyle w:val="000000000000" w:firstRow="0" w:lastRow="0" w:firstColumn="0" w:lastColumn="0" w:oddVBand="0" w:evenVBand="0" w:oddHBand="0" w:evenHBand="0" w:firstRowFirstColumn="0" w:firstRowLastColumn="0" w:lastRowFirstColumn="0" w:lastRowLastColumn="0"/>
            </w:pPr>
            <w:r>
              <w:t>88%</w:t>
            </w:r>
          </w:p>
        </w:tc>
        <w:tc>
          <w:tcPr>
            <w:tcW w:w="2406" w:type="dxa"/>
          </w:tcPr>
          <w:p w14:paraId="4B63D131" w14:textId="3BF3FC1C" w:rsidR="2A2563E8" w:rsidRDefault="2A2563E8" w:rsidP="002839A3">
            <w:pPr>
              <w:jc w:val="center"/>
              <w:cnfStyle w:val="000000000000" w:firstRow="0" w:lastRow="0" w:firstColumn="0" w:lastColumn="0" w:oddVBand="0" w:evenVBand="0" w:oddHBand="0" w:evenHBand="0" w:firstRowFirstColumn="0" w:firstRowLastColumn="0" w:lastRowFirstColumn="0" w:lastRowLastColumn="0"/>
            </w:pPr>
            <w:r>
              <w:t>97%</w:t>
            </w:r>
          </w:p>
        </w:tc>
        <w:tc>
          <w:tcPr>
            <w:tcW w:w="2281" w:type="dxa"/>
            <w:tcBorders>
              <w:right w:val="single" w:sz="4" w:space="0" w:color="77BD2A" w:themeColor="accent3"/>
            </w:tcBorders>
          </w:tcPr>
          <w:p w14:paraId="36C4A448" w14:textId="2B146101" w:rsidR="2A2563E8" w:rsidRDefault="2A2563E8" w:rsidP="002839A3">
            <w:pPr>
              <w:jc w:val="center"/>
              <w:cnfStyle w:val="000000000000" w:firstRow="0" w:lastRow="0" w:firstColumn="0" w:lastColumn="0" w:oddVBand="0" w:evenVBand="0" w:oddHBand="0" w:evenHBand="0" w:firstRowFirstColumn="0" w:firstRowLastColumn="0" w:lastRowFirstColumn="0" w:lastRowLastColumn="0"/>
            </w:pPr>
            <w:r>
              <w:t>100%</w:t>
            </w:r>
          </w:p>
        </w:tc>
      </w:tr>
      <w:tr w:rsidR="2A2563E8" w14:paraId="702AB6E6" w14:textId="77777777" w:rsidTr="00A16A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6" w:type="dxa"/>
            <w:tcBorders>
              <w:left w:val="single" w:sz="4" w:space="0" w:color="77BD2A" w:themeColor="accent3"/>
            </w:tcBorders>
          </w:tcPr>
          <w:p w14:paraId="480CB1A7" w14:textId="111BCE7A" w:rsidR="2A2563E8" w:rsidRPr="00A16AA0" w:rsidRDefault="2A2563E8">
            <w:pPr>
              <w:rPr>
                <w:b/>
              </w:rPr>
            </w:pPr>
            <w:r w:rsidRPr="00A16AA0">
              <w:rPr>
                <w:b/>
              </w:rPr>
              <w:t>Summer</w:t>
            </w:r>
          </w:p>
        </w:tc>
        <w:tc>
          <w:tcPr>
            <w:tcW w:w="2407" w:type="dxa"/>
          </w:tcPr>
          <w:p w14:paraId="62E0BBF9" w14:textId="1E23A090" w:rsidR="2A2563E8" w:rsidRDefault="2A2563E8" w:rsidP="002839A3">
            <w:pPr>
              <w:jc w:val="center"/>
              <w:cnfStyle w:val="000000100000" w:firstRow="0" w:lastRow="0" w:firstColumn="0" w:lastColumn="0" w:oddVBand="0" w:evenVBand="0" w:oddHBand="1" w:evenHBand="0" w:firstRowFirstColumn="0" w:firstRowLastColumn="0" w:lastRowFirstColumn="0" w:lastRowLastColumn="0"/>
            </w:pPr>
            <w:r>
              <w:t>75%</w:t>
            </w:r>
          </w:p>
        </w:tc>
        <w:tc>
          <w:tcPr>
            <w:tcW w:w="2406" w:type="dxa"/>
          </w:tcPr>
          <w:p w14:paraId="46544677" w14:textId="3FA7F9B8" w:rsidR="2A2563E8" w:rsidRDefault="2A2563E8" w:rsidP="002839A3">
            <w:pPr>
              <w:jc w:val="center"/>
              <w:cnfStyle w:val="000000100000" w:firstRow="0" w:lastRow="0" w:firstColumn="0" w:lastColumn="0" w:oddVBand="0" w:evenVBand="0" w:oddHBand="1" w:evenHBand="0" w:firstRowFirstColumn="0" w:firstRowLastColumn="0" w:lastRowFirstColumn="0" w:lastRowLastColumn="0"/>
            </w:pPr>
            <w:r>
              <w:t>94%</w:t>
            </w:r>
          </w:p>
        </w:tc>
        <w:tc>
          <w:tcPr>
            <w:tcW w:w="2281" w:type="dxa"/>
            <w:tcBorders>
              <w:right w:val="single" w:sz="4" w:space="0" w:color="77BD2A" w:themeColor="accent3"/>
            </w:tcBorders>
          </w:tcPr>
          <w:p w14:paraId="592337BF" w14:textId="018BECDC" w:rsidR="2A2563E8" w:rsidRDefault="2A2563E8" w:rsidP="002839A3">
            <w:pPr>
              <w:jc w:val="center"/>
              <w:cnfStyle w:val="000000100000" w:firstRow="0" w:lastRow="0" w:firstColumn="0" w:lastColumn="0" w:oddVBand="0" w:evenVBand="0" w:oddHBand="1" w:evenHBand="0" w:firstRowFirstColumn="0" w:firstRowLastColumn="0" w:lastRowFirstColumn="0" w:lastRowLastColumn="0"/>
            </w:pPr>
            <w:r>
              <w:t>~100%</w:t>
            </w:r>
          </w:p>
        </w:tc>
      </w:tr>
      <w:tr w:rsidR="2A2563E8" w14:paraId="3B778F3A" w14:textId="77777777" w:rsidTr="00A16AA0">
        <w:trPr>
          <w:trHeight w:val="300"/>
        </w:trPr>
        <w:tc>
          <w:tcPr>
            <w:cnfStyle w:val="001000000000" w:firstRow="0" w:lastRow="0" w:firstColumn="1" w:lastColumn="0" w:oddVBand="0" w:evenVBand="0" w:oddHBand="0" w:evenHBand="0" w:firstRowFirstColumn="0" w:firstRowLastColumn="0" w:lastRowFirstColumn="0" w:lastRowLastColumn="0"/>
            <w:tcW w:w="2256" w:type="dxa"/>
            <w:tcBorders>
              <w:left w:val="single" w:sz="4" w:space="0" w:color="77BD2A" w:themeColor="accent3"/>
            </w:tcBorders>
          </w:tcPr>
          <w:p w14:paraId="71E5E5FE" w14:textId="1B66C519" w:rsidR="2A2563E8" w:rsidRPr="00A16AA0" w:rsidRDefault="63B3FC39">
            <w:pPr>
              <w:rPr>
                <w:b/>
              </w:rPr>
            </w:pPr>
            <w:r w:rsidRPr="00A16AA0">
              <w:rPr>
                <w:b/>
              </w:rPr>
              <w:t>All winter months</w:t>
            </w:r>
          </w:p>
        </w:tc>
        <w:tc>
          <w:tcPr>
            <w:tcW w:w="2407" w:type="dxa"/>
          </w:tcPr>
          <w:p w14:paraId="7E398CCD" w14:textId="3F490AB4" w:rsidR="2A2563E8" w:rsidRDefault="2A2563E8" w:rsidP="002839A3">
            <w:pPr>
              <w:jc w:val="center"/>
              <w:cnfStyle w:val="000000000000" w:firstRow="0" w:lastRow="0" w:firstColumn="0" w:lastColumn="0" w:oddVBand="0" w:evenVBand="0" w:oddHBand="0" w:evenHBand="0" w:firstRowFirstColumn="0" w:firstRowLastColumn="0" w:lastRowFirstColumn="0" w:lastRowLastColumn="0"/>
            </w:pPr>
            <w:r>
              <w:t>52%</w:t>
            </w:r>
          </w:p>
        </w:tc>
        <w:tc>
          <w:tcPr>
            <w:tcW w:w="2406" w:type="dxa"/>
          </w:tcPr>
          <w:p w14:paraId="5CB8499B" w14:textId="7BE0882F" w:rsidR="2A2563E8" w:rsidRDefault="2A2563E8" w:rsidP="002839A3">
            <w:pPr>
              <w:jc w:val="center"/>
              <w:cnfStyle w:val="000000000000" w:firstRow="0" w:lastRow="0" w:firstColumn="0" w:lastColumn="0" w:oddVBand="0" w:evenVBand="0" w:oddHBand="0" w:evenHBand="0" w:firstRowFirstColumn="0" w:firstRowLastColumn="0" w:lastRowFirstColumn="0" w:lastRowLastColumn="0"/>
            </w:pPr>
            <w:r>
              <w:t>72%</w:t>
            </w:r>
          </w:p>
        </w:tc>
        <w:tc>
          <w:tcPr>
            <w:tcW w:w="2281" w:type="dxa"/>
            <w:tcBorders>
              <w:right w:val="single" w:sz="4" w:space="0" w:color="77BD2A" w:themeColor="accent3"/>
            </w:tcBorders>
          </w:tcPr>
          <w:p w14:paraId="544097FA" w14:textId="04F687E7" w:rsidR="2A2563E8" w:rsidRDefault="2A2563E8" w:rsidP="002839A3">
            <w:pPr>
              <w:jc w:val="center"/>
              <w:cnfStyle w:val="000000000000" w:firstRow="0" w:lastRow="0" w:firstColumn="0" w:lastColumn="0" w:oddVBand="0" w:evenVBand="0" w:oddHBand="0" w:evenHBand="0" w:firstRowFirstColumn="0" w:firstRowLastColumn="0" w:lastRowFirstColumn="0" w:lastRowLastColumn="0"/>
            </w:pPr>
            <w:r>
              <w:t>95%</w:t>
            </w:r>
          </w:p>
        </w:tc>
      </w:tr>
      <w:tr w:rsidR="2A2563E8" w14:paraId="3F59E8E3" w14:textId="77777777" w:rsidTr="00A16A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6" w:type="dxa"/>
            <w:tcBorders>
              <w:left w:val="single" w:sz="4" w:space="0" w:color="77BD2A" w:themeColor="accent3"/>
              <w:bottom w:val="single" w:sz="4" w:space="0" w:color="77BD2A" w:themeColor="accent3"/>
            </w:tcBorders>
          </w:tcPr>
          <w:p w14:paraId="3BC51C41" w14:textId="7D605BE1" w:rsidR="2A2563E8" w:rsidRPr="00A16AA0" w:rsidRDefault="2A2563E8">
            <w:pPr>
              <w:rPr>
                <w:b/>
              </w:rPr>
            </w:pPr>
            <w:r w:rsidRPr="00A16AA0">
              <w:rPr>
                <w:b/>
              </w:rPr>
              <w:t>December</w:t>
            </w:r>
            <w:r w:rsidR="006511DE" w:rsidRPr="00A16AA0">
              <w:rPr>
                <w:rStyle w:val="FootnoteReference"/>
                <w:b/>
              </w:rPr>
              <w:footnoteReference w:id="7"/>
            </w:r>
          </w:p>
        </w:tc>
        <w:tc>
          <w:tcPr>
            <w:tcW w:w="2407" w:type="dxa"/>
            <w:tcBorders>
              <w:bottom w:val="single" w:sz="4" w:space="0" w:color="77BD2A" w:themeColor="accent3"/>
            </w:tcBorders>
          </w:tcPr>
          <w:p w14:paraId="7D261AEC" w14:textId="0330AE67" w:rsidR="2A2563E8" w:rsidRDefault="2A2563E8" w:rsidP="002839A3">
            <w:pPr>
              <w:jc w:val="center"/>
              <w:cnfStyle w:val="000000100000" w:firstRow="0" w:lastRow="0" w:firstColumn="0" w:lastColumn="0" w:oddVBand="0" w:evenVBand="0" w:oddHBand="1" w:evenHBand="0" w:firstRowFirstColumn="0" w:firstRowLastColumn="0" w:lastRowFirstColumn="0" w:lastRowLastColumn="0"/>
            </w:pPr>
            <w:r>
              <w:t>36%</w:t>
            </w:r>
          </w:p>
        </w:tc>
        <w:tc>
          <w:tcPr>
            <w:tcW w:w="2406" w:type="dxa"/>
            <w:tcBorders>
              <w:bottom w:val="single" w:sz="4" w:space="0" w:color="77BD2A" w:themeColor="accent3"/>
            </w:tcBorders>
          </w:tcPr>
          <w:p w14:paraId="6DB0A177" w14:textId="6E1B5FEB" w:rsidR="2A2563E8" w:rsidRDefault="2A2563E8" w:rsidP="002839A3">
            <w:pPr>
              <w:jc w:val="center"/>
              <w:cnfStyle w:val="000000100000" w:firstRow="0" w:lastRow="0" w:firstColumn="0" w:lastColumn="0" w:oddVBand="0" w:evenVBand="0" w:oddHBand="1" w:evenHBand="0" w:firstRowFirstColumn="0" w:firstRowLastColumn="0" w:lastRowFirstColumn="0" w:lastRowLastColumn="0"/>
            </w:pPr>
            <w:r>
              <w:t>59%</w:t>
            </w:r>
          </w:p>
        </w:tc>
        <w:tc>
          <w:tcPr>
            <w:tcW w:w="2281" w:type="dxa"/>
            <w:tcBorders>
              <w:bottom w:val="single" w:sz="4" w:space="0" w:color="77BD2A" w:themeColor="accent3"/>
              <w:right w:val="single" w:sz="4" w:space="0" w:color="77BD2A" w:themeColor="accent3"/>
            </w:tcBorders>
          </w:tcPr>
          <w:p w14:paraId="781BB47C" w14:textId="61A815BF" w:rsidR="2A2563E8" w:rsidRDefault="17A51CB8" w:rsidP="002839A3">
            <w:pPr>
              <w:jc w:val="center"/>
              <w:cnfStyle w:val="000000100000" w:firstRow="0" w:lastRow="0" w:firstColumn="0" w:lastColumn="0" w:oddVBand="0" w:evenVBand="0" w:oddHBand="1" w:evenHBand="0" w:firstRowFirstColumn="0" w:firstRowLastColumn="0" w:lastRowFirstColumn="0" w:lastRowLastColumn="0"/>
            </w:pPr>
            <w:r>
              <w:t>90%</w:t>
            </w:r>
          </w:p>
        </w:tc>
      </w:tr>
    </w:tbl>
    <w:p w14:paraId="778B8876" w14:textId="7BD97F98" w:rsidR="2A2563E8" w:rsidRDefault="2A2563E8"/>
    <w:p w14:paraId="6200ED1E" w14:textId="354F8A56" w:rsidR="00CD774F" w:rsidRDefault="00EA55B6" w:rsidP="00A84FAC">
      <w:pPr>
        <w:jc w:val="center"/>
      </w:pPr>
      <w:r>
        <w:rPr>
          <w:noProof/>
        </w:rPr>
        <w:lastRenderedPageBreak/>
        <w:drawing>
          <wp:inline distT="0" distB="0" distL="0" distR="0" wp14:anchorId="477ACD66" wp14:editId="343F56C3">
            <wp:extent cx="5943600" cy="35591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559175"/>
                    </a:xfrm>
                    <a:prstGeom prst="rect">
                      <a:avLst/>
                    </a:prstGeom>
                  </pic:spPr>
                </pic:pic>
              </a:graphicData>
            </a:graphic>
          </wp:inline>
        </w:drawing>
      </w:r>
    </w:p>
    <w:p w14:paraId="6C728D0F" w14:textId="1B5F29FE" w:rsidR="00CD774F" w:rsidRDefault="00CD774F">
      <w:r>
        <w:t>This trend is driven by two factors: seasonal demand and seasonal intermittent</w:t>
      </w:r>
      <w:r w:rsidR="006511DE">
        <w:t xml:space="preserve"> renewable</w:t>
      </w:r>
      <w:r>
        <w:t xml:space="preserve"> generation. Demand is lower in spring and fall due to milder temperatures, and higher in summer and winter, when energy is used to cool or heat buildings. Electric vehicle charging also requires more energy in colder months. Similarly, wind and solar have different output levels in different seasons. Winters tend to be windy, but less sunny, while summers tend to be sunnier, but less windy. Spring and fall tend to be moderately sunny and windy. Together, these trends mean intermittent resources can more easily meet demand in the shoulder seasons, which will significantly decrease or eliminate emissions during these months. </w:t>
      </w:r>
    </w:p>
    <w:p w14:paraId="2E3AF4BD" w14:textId="7D7B552B" w:rsidR="661AA1A3" w:rsidRDefault="38FCA216" w:rsidP="00095A44">
      <w:r>
        <w:t>While it would be useful to take excess energy from the spring and fall and shift it to the summer and winter, this would require vast quantities of energy storage. Given current technology, achieving this quantity of storage is unlikely to be economical.</w:t>
      </w:r>
    </w:p>
    <w:p w14:paraId="688B00FB" w14:textId="7F1CF9C2" w:rsidR="00A34E66" w:rsidRDefault="00882EA6" w:rsidP="003B60DB">
      <w:pPr>
        <w:pStyle w:val="Heading2"/>
      </w:pPr>
      <w:bookmarkStart w:id="9" w:name="_Toc174535845"/>
      <w:r>
        <w:t>Renewable</w:t>
      </w:r>
      <w:r w:rsidR="00990A64">
        <w:t>-only</w:t>
      </w:r>
      <w:r w:rsidR="6EB3FF26">
        <w:t xml:space="preserve"> </w:t>
      </w:r>
      <w:r w:rsidR="00BB1691">
        <w:t>build-out</w:t>
      </w:r>
      <w:r w:rsidR="6EB3FF26">
        <w:t>s</w:t>
      </w:r>
      <w:r>
        <w:t xml:space="preserve"> </w:t>
      </w:r>
      <w:r w:rsidR="6EB3FF26">
        <w:t>may be</w:t>
      </w:r>
      <w:r w:rsidR="00167937">
        <w:t xml:space="preserve"> vast</w:t>
      </w:r>
      <w:r w:rsidR="6EB3FF26">
        <w:t xml:space="preserve">, and </w:t>
      </w:r>
      <w:r w:rsidR="009E267A">
        <w:t>later</w:t>
      </w:r>
      <w:r w:rsidR="6EB3FF26">
        <w:t xml:space="preserve"> additions of renewable resources </w:t>
      </w:r>
      <w:r w:rsidR="001F1C0D">
        <w:t>could</w:t>
      </w:r>
      <w:r w:rsidR="6EB3FF26">
        <w:t xml:space="preserve"> have diminishing environmental and economic returns.</w:t>
      </w:r>
      <w:bookmarkEnd w:id="9"/>
      <w:r w:rsidR="6EB3FF26">
        <w:t xml:space="preserve"> </w:t>
      </w:r>
    </w:p>
    <w:p w14:paraId="079F9B07" w14:textId="34D73806" w:rsidR="00855A16" w:rsidRDefault="00E95148" w:rsidP="00E01D14">
      <w:r>
        <w:t>A</w:t>
      </w:r>
      <w:r w:rsidR="38FCA216">
        <w:t>s variability increases,</w:t>
      </w:r>
      <w:r w:rsidR="008F4352">
        <w:t xml:space="preserve"> </w:t>
      </w:r>
      <w:r w:rsidR="38FCA216">
        <w:t xml:space="preserve">larger and larger </w:t>
      </w:r>
      <w:r w:rsidR="00BB1691">
        <w:t>build-out</w:t>
      </w:r>
      <w:r w:rsidR="008F4352">
        <w:t>s</w:t>
      </w:r>
      <w:r w:rsidR="00990A64">
        <w:t xml:space="preserve"> of</w:t>
      </w:r>
      <w:r w:rsidR="008F4352">
        <w:t xml:space="preserve"> </w:t>
      </w:r>
      <w:r w:rsidR="00990A64">
        <w:t xml:space="preserve">wind, solar and batteries </w:t>
      </w:r>
      <w:r w:rsidR="006060D9">
        <w:t>will</w:t>
      </w:r>
      <w:r w:rsidR="38FCA216">
        <w:t xml:space="preserve"> be required to ensure reliability throughout the year. These </w:t>
      </w:r>
      <w:r w:rsidR="00BB1691">
        <w:t>build-out</w:t>
      </w:r>
      <w:r w:rsidR="38FCA216">
        <w:t xml:space="preserve">s </w:t>
      </w:r>
      <w:r w:rsidR="00167937">
        <w:t>will increase costs</w:t>
      </w:r>
      <w:r w:rsidR="38FCA216">
        <w:t xml:space="preserve"> and </w:t>
      </w:r>
      <w:r w:rsidR="00167937">
        <w:t xml:space="preserve">could </w:t>
      </w:r>
      <w:r w:rsidR="38FCA216">
        <w:t xml:space="preserve">require </w:t>
      </w:r>
      <w:r w:rsidR="00167937">
        <w:t>significant</w:t>
      </w:r>
      <w:r w:rsidR="38FCA216">
        <w:t xml:space="preserve"> amounts of land-based or offshore areas for siting. As more hours of each year decarbonize, new renewable additions will have less impact on reducing carbon emissions, particularly in the spring and fall months that are expected to decarbonize first.</w:t>
      </w:r>
    </w:p>
    <w:p w14:paraId="79FB4D34" w14:textId="65DE17D2" w:rsidR="661AA1A3" w:rsidRDefault="6EB3FF26" w:rsidP="661AA1A3">
      <w:pPr>
        <w:pStyle w:val="Heading3"/>
      </w:pPr>
      <w:bookmarkStart w:id="10" w:name="_Toc174535846"/>
      <w:r>
        <w:lastRenderedPageBreak/>
        <w:t xml:space="preserve">Scale of Renewable </w:t>
      </w:r>
      <w:r w:rsidR="00BB1691">
        <w:t>Build-Out</w:t>
      </w:r>
      <w:r w:rsidR="009501E1">
        <w:t>s</w:t>
      </w:r>
      <w:bookmarkEnd w:id="10"/>
    </w:p>
    <w:p w14:paraId="48DD73A2" w14:textId="3D46B96E" w:rsidR="00D12D91" w:rsidRDefault="007F42D7" w:rsidP="00D12D91">
      <w:r>
        <w:t>EPCET’s</w:t>
      </w:r>
      <w:r w:rsidR="00E81743" w:rsidRPr="00E81743">
        <w:t xml:space="preserve"> Policy Scenario</w:t>
      </w:r>
      <w:r w:rsidR="5277A5B1">
        <w:t xml:space="preserve"> model</w:t>
      </w:r>
      <w:r>
        <w:t>s</w:t>
      </w:r>
      <w:r w:rsidR="00E81743" w:rsidRPr="00E81743">
        <w:t xml:space="preserve"> the annual additions of zero-carbon resources</w:t>
      </w:r>
      <w:r w:rsidR="00260103" w:rsidRPr="00E81743">
        <w:t xml:space="preserve"> </w:t>
      </w:r>
      <w:r w:rsidR="00E81743" w:rsidRPr="00E81743">
        <w:t>necessary to</w:t>
      </w:r>
      <w:r w:rsidR="00260103" w:rsidRPr="00E81743">
        <w:t xml:space="preserve"> achieve </w:t>
      </w:r>
      <w:r w:rsidR="5277A5B1">
        <w:t>New England state policy goals by 2050</w:t>
      </w:r>
      <w:r w:rsidR="00260103" w:rsidRPr="00E81743">
        <w:t>.</w:t>
      </w:r>
      <w:r w:rsidR="00365085" w:rsidRPr="00E81743">
        <w:rPr>
          <w:rStyle w:val="FootnoteReference"/>
        </w:rPr>
        <w:footnoteReference w:id="8"/>
      </w:r>
      <w:r w:rsidR="00260103" w:rsidRPr="00E81743">
        <w:t xml:space="preserve"> </w:t>
      </w:r>
      <w:r w:rsidR="00E81743" w:rsidRPr="00E81743">
        <w:t xml:space="preserve">Results show that </w:t>
      </w:r>
      <w:r w:rsidR="00260103" w:rsidRPr="00E81743">
        <w:t xml:space="preserve">the New England system will </w:t>
      </w:r>
      <w:r w:rsidR="00E81743">
        <w:t>need</w:t>
      </w:r>
      <w:r w:rsidR="00260103" w:rsidRPr="00E81743">
        <w:t xml:space="preserve"> 97 GW of </w:t>
      </w:r>
      <w:r w:rsidR="00E81743">
        <w:t xml:space="preserve">total </w:t>
      </w:r>
      <w:r w:rsidR="00E81743" w:rsidRPr="00E81743">
        <w:t xml:space="preserve">new renewable capacity by 2050 to achieve state goals. </w:t>
      </w:r>
      <w:r>
        <w:t>The figure below illustrates</w:t>
      </w:r>
      <w:r w:rsidR="00E81743" w:rsidRPr="00E81743">
        <w:t xml:space="preserve"> the average</w:t>
      </w:r>
      <w:r w:rsidR="1A798D71">
        <w:t>, simultaneous</w:t>
      </w:r>
      <w:r w:rsidR="00E81743" w:rsidRPr="00E81743">
        <w:t xml:space="preserve"> </w:t>
      </w:r>
      <w:r w:rsidR="00BB1691">
        <w:t>build-out</w:t>
      </w:r>
      <w:r w:rsidR="00E81743" w:rsidRPr="00E81743">
        <w:t xml:space="preserve"> </w:t>
      </w:r>
      <w:r w:rsidR="21E4431F">
        <w:t xml:space="preserve">that would be required </w:t>
      </w:r>
      <w:r w:rsidR="21E4431F" w:rsidRPr="1A798D71">
        <w:rPr>
          <w:b/>
          <w:bCs/>
          <w:i/>
          <w:iCs/>
        </w:rPr>
        <w:t>each year</w:t>
      </w:r>
      <w:r w:rsidR="21E4431F">
        <w:t xml:space="preserve">, </w:t>
      </w:r>
      <w:r w:rsidR="00E81743" w:rsidRPr="00E81743">
        <w:t>for four types of renewable technologies.</w:t>
      </w:r>
    </w:p>
    <w:p w14:paraId="5BE23C4A" w14:textId="585114FE" w:rsidR="00260103" w:rsidRPr="0036741C" w:rsidRDefault="00376026" w:rsidP="00D12D91">
      <w:pPr>
        <w:jc w:val="center"/>
      </w:pPr>
      <w:r>
        <w:pict w14:anchorId="47C93697">
          <v:shape id="_x0000_i1026" type="#_x0000_t75" style="width:405.1pt;height:260.8pt">
            <v:imagedata r:id="rId28" o:title="2024-07-EPCET-Figure-7-State-Goals-07"/>
          </v:shape>
        </w:pict>
      </w:r>
    </w:p>
    <w:p w14:paraId="01EA2627" w14:textId="11B24741" w:rsidR="00C011A9" w:rsidRDefault="38FCA216" w:rsidP="00260103">
      <w:r w:rsidRPr="38FCA216">
        <w:rPr>
          <w:b/>
          <w:bCs/>
        </w:rPr>
        <w:t xml:space="preserve">While rates of renewable additions are accelerating, the region will need to add roughly </w:t>
      </w:r>
      <w:r w:rsidR="00882EA6">
        <w:rPr>
          <w:b/>
          <w:bCs/>
        </w:rPr>
        <w:t>18</w:t>
      </w:r>
      <w:r w:rsidRPr="38FCA216">
        <w:rPr>
          <w:b/>
          <w:bCs/>
        </w:rPr>
        <w:t xml:space="preserve"> times its current</w:t>
      </w:r>
      <w:r w:rsidR="00167937">
        <w:rPr>
          <w:b/>
          <w:bCs/>
        </w:rPr>
        <w:t xml:space="preserve"> combined</w:t>
      </w:r>
      <w:r w:rsidRPr="38FCA216">
        <w:rPr>
          <w:b/>
          <w:bCs/>
        </w:rPr>
        <w:t xml:space="preserve"> capacity of wind, solar, and batteries within the next 25 years to achieve state emissions goals.</w:t>
      </w:r>
      <w:r>
        <w:t xml:space="preserve"> The region’s current renewable capacity was built almost entirely over the last two decades, and the necessary additions require significantly more capacity in only two and a half decades. </w:t>
      </w:r>
      <w:r w:rsidR="002F43E8">
        <w:t xml:space="preserve">The image below </w:t>
      </w:r>
      <w:r w:rsidR="00386EE6">
        <w:t>illustrates</w:t>
      </w:r>
      <w:r w:rsidR="002F43E8">
        <w:t xml:space="preserve"> the </w:t>
      </w:r>
      <w:r w:rsidR="00F25FAE">
        <w:t>s</w:t>
      </w:r>
      <w:r w:rsidR="002F43E8">
        <w:t>quare acreage of offshore wind that EPCET’s modeled 2050 requires to meet emissions goals.</w:t>
      </w:r>
      <w:r w:rsidR="00386EE6">
        <w:t xml:space="preserve"> </w:t>
      </w:r>
      <w:r w:rsidR="00121692">
        <w:t>Three possible acreages are illustrated, based on different density</w:t>
      </w:r>
      <w:r w:rsidR="00F25FAE">
        <w:t xml:space="preserve"> scenarios</w:t>
      </w:r>
      <w:r w:rsidR="00121692">
        <w:t>.</w:t>
      </w:r>
      <w:r w:rsidR="00F25FAE">
        <w:rPr>
          <w:rStyle w:val="FootnoteReference"/>
        </w:rPr>
        <w:footnoteReference w:id="9"/>
      </w:r>
    </w:p>
    <w:p w14:paraId="5C78F907" w14:textId="30C22C5A" w:rsidR="002F43E8" w:rsidRDefault="00121692" w:rsidP="006060D9">
      <w:pPr>
        <w:jc w:val="center"/>
      </w:pPr>
      <w:r>
        <w:rPr>
          <w:noProof/>
        </w:rPr>
        <w:lastRenderedPageBreak/>
        <w:drawing>
          <wp:inline distT="0" distB="0" distL="0" distR="0" wp14:anchorId="242C450D" wp14:editId="42416120">
            <wp:extent cx="5943600" cy="4518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4518025"/>
                    </a:xfrm>
                    <a:prstGeom prst="rect">
                      <a:avLst/>
                    </a:prstGeom>
                  </pic:spPr>
                </pic:pic>
              </a:graphicData>
            </a:graphic>
          </wp:inline>
        </w:drawing>
      </w:r>
    </w:p>
    <w:p w14:paraId="2A316C7C" w14:textId="71C2E4E8" w:rsidR="007F42D7" w:rsidRDefault="002F43E8" w:rsidP="7D7F01F2">
      <w:r>
        <w:t>S</w:t>
      </w:r>
      <w:r w:rsidR="00167937">
        <w:t>ignificant quantities of</w:t>
      </w:r>
      <w:r w:rsidR="0861350D">
        <w:t xml:space="preserve"> renewable resources </w:t>
      </w:r>
      <w:r w:rsidR="006060D9">
        <w:t>will</w:t>
      </w:r>
      <w:r>
        <w:t xml:space="preserve"> be required specifically </w:t>
      </w:r>
      <w:r w:rsidR="0861350D">
        <w:t>to decarbonize th</w:t>
      </w:r>
      <w:r w:rsidR="21E4431F">
        <w:t>e</w:t>
      </w:r>
      <w:r w:rsidR="0861350D">
        <w:t xml:space="preserve"> few remaining hours of the year</w:t>
      </w:r>
      <w:r w:rsidR="21E4431F">
        <w:t xml:space="preserve"> when fossil fuel-burning dispa</w:t>
      </w:r>
      <w:r w:rsidR="00167937">
        <w:t xml:space="preserve">tchable </w:t>
      </w:r>
      <w:r w:rsidR="00F11A74">
        <w:t>resource</w:t>
      </w:r>
      <w:r w:rsidR="00167937">
        <w:t xml:space="preserve">s </w:t>
      </w:r>
      <w:r w:rsidR="007F42D7">
        <w:t>a</w:t>
      </w:r>
      <w:r w:rsidR="00167937">
        <w:t>re running</w:t>
      </w:r>
      <w:r w:rsidR="00031C46">
        <w:t xml:space="preserve">, </w:t>
      </w:r>
      <w:r w:rsidR="00167937">
        <w:t>i.e., a</w:t>
      </w:r>
      <w:r w:rsidR="00031C46">
        <w:t xml:space="preserve"> few key days in winter</w:t>
      </w:r>
      <w:r w:rsidR="00167937">
        <w:t>. However, the expected seasonality of decarbonization</w:t>
      </w:r>
      <w:r w:rsidR="21E4431F">
        <w:t xml:space="preserve"> mean</w:t>
      </w:r>
      <w:r w:rsidR="007F42D7">
        <w:t>s</w:t>
      </w:r>
      <w:r w:rsidR="21E4431F">
        <w:t xml:space="preserve"> that</w:t>
      </w:r>
      <w:r w:rsidR="0861350D">
        <w:t xml:space="preserve"> by 2045,</w:t>
      </w:r>
      <w:r w:rsidR="007F42D7">
        <w:t xml:space="preserve"> a</w:t>
      </w:r>
      <w:r w:rsidR="0861350D">
        <w:t xml:space="preserve"> </w:t>
      </w:r>
      <w:r w:rsidR="00B0239C">
        <w:t>newly-</w:t>
      </w:r>
      <w:r w:rsidR="007F42D7">
        <w:t>added renewable</w:t>
      </w:r>
      <w:r w:rsidR="0861350D">
        <w:t xml:space="preserve"> </w:t>
      </w:r>
      <w:r w:rsidRPr="002F43E8">
        <w:t xml:space="preserve">may </w:t>
      </w:r>
      <w:r w:rsidR="007F42D7">
        <w:t>run</w:t>
      </w:r>
      <w:r w:rsidR="0861350D">
        <w:t xml:space="preserve"> </w:t>
      </w:r>
      <w:r w:rsidR="007F42D7">
        <w:t>for just 10% of that</w:t>
      </w:r>
      <w:r w:rsidR="0861350D">
        <w:t xml:space="preserve"> year. As a consequence, the majority of resource additions in later years </w:t>
      </w:r>
      <w:r w:rsidR="00A24231">
        <w:t>will</w:t>
      </w:r>
      <w:r w:rsidR="0861350D">
        <w:t xml:space="preserve"> </w:t>
      </w:r>
      <w:r w:rsidR="003B6EBD">
        <w:t>be curtailed (their production will be limited by system operators)</w:t>
      </w:r>
      <w:r w:rsidR="001C47DE">
        <w:t xml:space="preserve"> </w:t>
      </w:r>
      <w:r w:rsidR="0861350D">
        <w:t>for most of the year.</w:t>
      </w:r>
      <w:r w:rsidR="007F42D7">
        <w:t xml:space="preserve"> The image below </w:t>
      </w:r>
      <w:r w:rsidR="008B2E4E">
        <w:t>supposes three new renewable resource units, each with a nameplate capacity of 1 gigawatt (GW), and illustrates how much energy they actually provide to the grid over time. The offshore wind example has the potential to provide almost 4,000 GWh of energy per year</w:t>
      </w:r>
      <w:r w:rsidR="001D16EC">
        <w:t>. H</w:t>
      </w:r>
      <w:r w:rsidR="008B2E4E">
        <w:t>owever</w:t>
      </w:r>
      <w:r w:rsidR="001D16EC">
        <w:t>,</w:t>
      </w:r>
      <w:r w:rsidR="008B2E4E">
        <w:t xml:space="preserve"> the actual energy used reaches a high of 3,200 GWh in EPCET’s modeled 2035 and declines to 425 GWh in 2050</w:t>
      </w:r>
      <w:r w:rsidR="007F42D7">
        <w:t>.</w:t>
      </w:r>
      <w:r w:rsidR="0861350D">
        <w:t xml:space="preserve"> </w:t>
      </w:r>
    </w:p>
    <w:p w14:paraId="03EFE385" w14:textId="0A094DA5" w:rsidR="007F42D7" w:rsidRDefault="00E95148" w:rsidP="007F42D7">
      <w:pPr>
        <w:jc w:val="center"/>
      </w:pPr>
      <w:r>
        <w:lastRenderedPageBreak/>
        <w:t> </w:t>
      </w:r>
      <w:r>
        <w:rPr>
          <w:noProof/>
        </w:rPr>
        <w:drawing>
          <wp:inline distT="0" distB="0" distL="0" distR="0" wp14:anchorId="134862BC" wp14:editId="5D7ACD1D">
            <wp:extent cx="4801305" cy="2872740"/>
            <wp:effectExtent l="0" t="0" r="0" b="3810"/>
            <wp:docPr id="3" name="Picture 3" descr="C:\Users\akleeman\AppData\Local\Microsoft\Windows\INetCache\Content.MSO\A4444A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leeman\AppData\Local\Microsoft\Windows\INetCache\Content.MSO\A4444A2E.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8516" cy="2883038"/>
                    </a:xfrm>
                    <a:prstGeom prst="rect">
                      <a:avLst/>
                    </a:prstGeom>
                    <a:noFill/>
                    <a:ln>
                      <a:noFill/>
                    </a:ln>
                  </pic:spPr>
                </pic:pic>
              </a:graphicData>
            </a:graphic>
          </wp:inline>
        </w:drawing>
      </w:r>
    </w:p>
    <w:p w14:paraId="14F2B267" w14:textId="77777777" w:rsidR="008B2E4E" w:rsidRDefault="008B2E4E" w:rsidP="008B2E4E">
      <w:r w:rsidRPr="008B2E4E">
        <w:t>Similarly</w:t>
      </w:r>
      <w:r>
        <w:t>, the figure below</w:t>
      </w:r>
      <w:r w:rsidRPr="008B2E4E">
        <w:t xml:space="preserve"> supposes 1 GW each of 4-hour and 8-hour batte</w:t>
      </w:r>
      <w:r>
        <w:t xml:space="preserve">ry storage units. In the 4-hour </w:t>
      </w:r>
      <w:r w:rsidRPr="008B2E4E">
        <w:t>example, the unit ha</w:t>
      </w:r>
      <w:r>
        <w:t>s</w:t>
      </w:r>
      <w:r w:rsidRPr="008B2E4E">
        <w:t xml:space="preserve"> the potential to operate for about 1,000 cycles per year. But in </w:t>
      </w:r>
      <w:r>
        <w:t>EPCET’s</w:t>
      </w:r>
      <w:r w:rsidRPr="008B2E4E">
        <w:t xml:space="preserve"> simulation</w:t>
      </w:r>
      <w:r>
        <w:t>s</w:t>
      </w:r>
      <w:r w:rsidRPr="008B2E4E">
        <w:t>, it complete</w:t>
      </w:r>
      <w:r>
        <w:t>s</w:t>
      </w:r>
      <w:r w:rsidRPr="008B2E4E">
        <w:t xml:space="preserve"> a maximum of 384 cycles in</w:t>
      </w:r>
      <w:r>
        <w:t xml:space="preserve"> 2035, declining to 41 cycles by</w:t>
      </w:r>
      <w:r w:rsidRPr="008B2E4E">
        <w:t xml:space="preserve"> 2050.</w:t>
      </w:r>
    </w:p>
    <w:p w14:paraId="6378D6E8" w14:textId="4A6B6DDE" w:rsidR="007F42D7" w:rsidRDefault="00E95148" w:rsidP="008B2E4E">
      <w:pPr>
        <w:jc w:val="center"/>
      </w:pPr>
      <w:r>
        <w:t> </w:t>
      </w:r>
      <w:r>
        <w:rPr>
          <w:noProof/>
        </w:rPr>
        <w:drawing>
          <wp:inline distT="0" distB="0" distL="0" distR="0" wp14:anchorId="1F7B075F" wp14:editId="288930FF">
            <wp:extent cx="3848100" cy="3198354"/>
            <wp:effectExtent l="0" t="0" r="0" b="2540"/>
            <wp:docPr id="5" name="Picture 5" descr="C:\Users\akleeman\AppData\Local\Microsoft\Windows\INetCache\Content.MSO\57E6E6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leeman\AppData\Local\Microsoft\Windows\INetCache\Content.MSO\57E6E66C.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57675" cy="3206312"/>
                    </a:xfrm>
                    <a:prstGeom prst="rect">
                      <a:avLst/>
                    </a:prstGeom>
                    <a:noFill/>
                    <a:ln>
                      <a:noFill/>
                    </a:ln>
                  </pic:spPr>
                </pic:pic>
              </a:graphicData>
            </a:graphic>
          </wp:inline>
        </w:drawing>
      </w:r>
    </w:p>
    <w:p w14:paraId="2654DBDE" w14:textId="58CC889E" w:rsidR="00E115E3" w:rsidRDefault="0861350D" w:rsidP="7D7F01F2">
      <w:r>
        <w:t>The marginal cost of carbon abatement and zero</w:t>
      </w:r>
      <w:r w:rsidR="21E4431F">
        <w:t>-</w:t>
      </w:r>
      <w:r w:rsidR="007F42D7">
        <w:t>carbon energy beco</w:t>
      </w:r>
      <w:r>
        <w:t xml:space="preserve">me very large in the later years of the study’s scope. </w:t>
      </w:r>
    </w:p>
    <w:p w14:paraId="5E9954BD" w14:textId="3C21CA81" w:rsidR="2A2563E8" w:rsidRDefault="33255E7F">
      <w:r>
        <w:t xml:space="preserve">Altogether, </w:t>
      </w:r>
      <w:r w:rsidR="006E41BF">
        <w:t>EPCET analysis suggests it</w:t>
      </w:r>
      <w:r>
        <w:t xml:space="preserve"> will require significant capacity </w:t>
      </w:r>
      <w:r w:rsidR="00534E8E">
        <w:t>to fully decarbonize</w:t>
      </w:r>
      <w:r>
        <w:t xml:space="preserve"> </w:t>
      </w:r>
      <w:r w:rsidR="00534E8E">
        <w:t xml:space="preserve">an entire </w:t>
      </w:r>
      <w:r>
        <w:t>year:</w:t>
      </w:r>
    </w:p>
    <w:p w14:paraId="40F59C78" w14:textId="543C4D8A" w:rsidR="2A2563E8" w:rsidRDefault="33255E7F" w:rsidP="38FCA216">
      <w:pPr>
        <w:pStyle w:val="ListParagraph"/>
        <w:numPr>
          <w:ilvl w:val="0"/>
          <w:numId w:val="1"/>
        </w:numPr>
      </w:pPr>
      <w:r>
        <w:lastRenderedPageBreak/>
        <w:t xml:space="preserve">36 GW of new capacity will significantly decarbonize the spring and fall months and provide increased decarbonization in other months. </w:t>
      </w:r>
    </w:p>
    <w:p w14:paraId="38E8A101" w14:textId="395B8F06" w:rsidR="2A2563E8" w:rsidRDefault="38FCA216" w:rsidP="38FCA216">
      <w:pPr>
        <w:pStyle w:val="ListParagraph"/>
        <w:numPr>
          <w:ilvl w:val="0"/>
          <w:numId w:val="1"/>
        </w:numPr>
      </w:pPr>
      <w:r>
        <w:t xml:space="preserve">73 GW of new capacity will almost fully decarbonize spring, fall, and summer. </w:t>
      </w:r>
    </w:p>
    <w:p w14:paraId="2AB772C9" w14:textId="7087F3E1" w:rsidR="2A2563E8" w:rsidRDefault="78A1006C" w:rsidP="38FCA216">
      <w:pPr>
        <w:pStyle w:val="ListParagraph"/>
        <w:numPr>
          <w:ilvl w:val="0"/>
          <w:numId w:val="1"/>
        </w:numPr>
      </w:pPr>
      <w:r>
        <w:t>97 GW of new capacity will decarbonize every month outside of winter and significantly reduce winter emissions.</w:t>
      </w:r>
    </w:p>
    <w:p w14:paraId="0CB2EF41" w14:textId="1B5A9518" w:rsidR="46E04B02" w:rsidRDefault="6EB3FF26" w:rsidP="46E04B02">
      <w:pPr>
        <w:pStyle w:val="Heading2"/>
      </w:pPr>
      <w:bookmarkStart w:id="11" w:name="_Toc174535847"/>
      <w:r>
        <w:t>Higher variability will increase the value of current and future dispatchable resources, including long-duration storage.</w:t>
      </w:r>
      <w:bookmarkEnd w:id="11"/>
    </w:p>
    <w:p w14:paraId="403290CB" w14:textId="1E96DB40" w:rsidR="46E04B02" w:rsidRDefault="1DA50D9B">
      <w:r>
        <w:t>Since increasing variability will require a critical fleet of</w:t>
      </w:r>
      <w:r w:rsidR="00264BA8">
        <w:t xml:space="preserve"> dispatchable</w:t>
      </w:r>
      <w:r>
        <w:t xml:space="preserve"> resources that can quickly meet demand whenever it is needed, planned retirements of fossil fuel generators in the coming decades may </w:t>
      </w:r>
      <w:r w:rsidR="006E41BF">
        <w:t>affect</w:t>
      </w:r>
      <w:r>
        <w:t xml:space="preserve"> </w:t>
      </w:r>
      <w:r w:rsidR="006E41BF">
        <w:t xml:space="preserve">system </w:t>
      </w:r>
      <w:r>
        <w:t>reliability</w:t>
      </w:r>
      <w:r w:rsidR="006E41BF">
        <w:t xml:space="preserve">. </w:t>
      </w:r>
      <w:r>
        <w:t>Longer-duration storage that provides dispatchability will help support reliability, bu</w:t>
      </w:r>
      <w:r w:rsidR="00264BA8">
        <w:t xml:space="preserve">t </w:t>
      </w:r>
      <w:r w:rsidR="00A24231">
        <w:t>will</w:t>
      </w:r>
      <w:r w:rsidR="00264BA8">
        <w:t xml:space="preserve"> not solve all challenges. Seasonal storage that could charge in spring and fall for deployment in winter would be particularly valuable.</w:t>
      </w:r>
    </w:p>
    <w:p w14:paraId="65C014AA" w14:textId="1538045E" w:rsidR="46E04B02" w:rsidRDefault="00E91D49" w:rsidP="0861350D">
      <w:pPr>
        <w:pStyle w:val="Heading3"/>
      </w:pPr>
      <w:bookmarkStart w:id="12" w:name="_Toc174535848"/>
      <w:r>
        <w:t>Assessing the Need for</w:t>
      </w:r>
      <w:r w:rsidR="6EB3FF26">
        <w:t xml:space="preserve"> </w:t>
      </w:r>
      <w:r w:rsidR="00264BA8">
        <w:t>Dispatchable</w:t>
      </w:r>
      <w:r w:rsidR="6EB3FF26">
        <w:t xml:space="preserve"> Resources</w:t>
      </w:r>
      <w:bookmarkEnd w:id="12"/>
    </w:p>
    <w:p w14:paraId="5995D332" w14:textId="4412532C" w:rsidR="107C432C" w:rsidRDefault="0F0396B0">
      <w:r>
        <w:t xml:space="preserve">Despite </w:t>
      </w:r>
      <w:r w:rsidR="001617B4">
        <w:t>vast</w:t>
      </w:r>
      <w:r>
        <w:t xml:space="preserve"> additions of wind, solar, and energy storage resources, </w:t>
      </w:r>
      <w:r w:rsidR="00264BA8">
        <w:t xml:space="preserve">EPCET’s </w:t>
      </w:r>
      <w:r>
        <w:t xml:space="preserve">modeled </w:t>
      </w:r>
      <w:r w:rsidR="00264BA8">
        <w:t>2045 and 2050</w:t>
      </w:r>
      <w:r w:rsidR="006E41BF">
        <w:t xml:space="preserve"> </w:t>
      </w:r>
      <w:r w:rsidR="002D1202">
        <w:t xml:space="preserve">show </w:t>
      </w:r>
      <w:r>
        <w:t xml:space="preserve">some hours </w:t>
      </w:r>
      <w:r w:rsidR="002D1202">
        <w:t xml:space="preserve">requiring </w:t>
      </w:r>
      <w:r>
        <w:t>si</w:t>
      </w:r>
      <w:r w:rsidR="006E41BF">
        <w:t xml:space="preserve">gnificant </w:t>
      </w:r>
      <w:r w:rsidR="00264BA8">
        <w:t>dispatchable</w:t>
      </w:r>
      <w:r w:rsidR="006E41BF">
        <w:t xml:space="preserve"> generation</w:t>
      </w:r>
      <w:r>
        <w:t xml:space="preserve">. </w:t>
      </w:r>
      <w:r w:rsidR="00264BA8">
        <w:t xml:space="preserve">In today’s system, dispatchable generation is typically powered by fossil fuels. </w:t>
      </w:r>
      <w:r>
        <w:t xml:space="preserve">Though </w:t>
      </w:r>
      <w:r w:rsidR="00264BA8">
        <w:t>EPCET’s</w:t>
      </w:r>
      <w:r>
        <w:t xml:space="preserve"> Policy Scenario </w:t>
      </w:r>
      <w:r w:rsidR="00264BA8">
        <w:t>does</w:t>
      </w:r>
      <w:r>
        <w:t xml:space="preserve"> not include in-depth resource adequacy analysis, </w:t>
      </w:r>
      <w:hyperlink r:id="rId32" w:anchor="page=46" w:history="1">
        <w:r w:rsidRPr="0003118C">
          <w:rPr>
            <w:rStyle w:val="Hyperlink"/>
          </w:rPr>
          <w:t>FGRS resource adequacy analysis</w:t>
        </w:r>
      </w:hyperlink>
      <w:r>
        <w:t xml:space="preserve"> of a potential 2040 system showed that removing a small quantity of dispatchable resources with firm fuel supplies would </w:t>
      </w:r>
      <w:r w:rsidR="00A24231">
        <w:t>require</w:t>
      </w:r>
      <w:r>
        <w:t xml:space="preserve"> significantly </w:t>
      </w:r>
      <w:r w:rsidR="00A24231">
        <w:t>more</w:t>
      </w:r>
      <w:r>
        <w:t xml:space="preserve"> </w:t>
      </w:r>
      <w:r w:rsidR="001617B4">
        <w:t>wind, solar</w:t>
      </w:r>
      <w:r w:rsidR="002D1202">
        <w:t>,</w:t>
      </w:r>
      <w:r w:rsidR="001617B4">
        <w:t xml:space="preserve"> and</w:t>
      </w:r>
      <w:r>
        <w:t xml:space="preserve"> energy storage to meet reliability criteria. </w:t>
      </w:r>
    </w:p>
    <w:p w14:paraId="6DA66BFC" w14:textId="70859237" w:rsidR="0075157E" w:rsidRPr="004030DD" w:rsidRDefault="00264BA8" w:rsidP="0075157E">
      <w:r>
        <w:t>EPCET’s</w:t>
      </w:r>
      <w:r w:rsidR="3CF1E4F3">
        <w:t xml:space="preserve"> </w:t>
      </w:r>
      <w:r w:rsidR="001617B4">
        <w:t>Stakeholder-Requested S</w:t>
      </w:r>
      <w:r w:rsidR="3CF1E4F3">
        <w:t xml:space="preserve">ensitivity </w:t>
      </w:r>
      <w:r w:rsidR="001617B4">
        <w:t>evaluate</w:t>
      </w:r>
      <w:r>
        <w:t>s</w:t>
      </w:r>
      <w:r w:rsidR="001617B4">
        <w:t xml:space="preserve"> what quantity of dispatchable resources the system </w:t>
      </w:r>
      <w:r w:rsidR="00A24231">
        <w:t>will</w:t>
      </w:r>
      <w:r w:rsidR="001617B4">
        <w:t xml:space="preserve"> need over the study’s timeframe</w:t>
      </w:r>
      <w:r>
        <w:t xml:space="preserve"> through a “resource adequacy check” step</w:t>
      </w:r>
      <w:r w:rsidR="3CF1E4F3">
        <w:t xml:space="preserve">. At five-year intervals, </w:t>
      </w:r>
      <w:r w:rsidR="001617B4">
        <w:t xml:space="preserve">this </w:t>
      </w:r>
      <w:r>
        <w:t>step identifies</w:t>
      </w:r>
      <w:r w:rsidR="001617B4">
        <w:t xml:space="preserve"> whether additional storage would be required to meet energy shortfalls, or whether older generators could retire if no longer needed for reliability</w:t>
      </w:r>
      <w:r w:rsidR="3CF1E4F3">
        <w:t>.</w:t>
      </w:r>
    </w:p>
    <w:p w14:paraId="4462DF90" w14:textId="74B97868" w:rsidR="00E91D49" w:rsidRDefault="00264BA8" w:rsidP="519EA734">
      <w:r>
        <w:t>Before</w:t>
      </w:r>
      <w:r w:rsidR="3CF1E4F3">
        <w:t xml:space="preserve"> </w:t>
      </w:r>
      <w:r>
        <w:t>the 2030s,</w:t>
      </w:r>
      <w:r w:rsidR="3CF1E4F3">
        <w:t xml:space="preserve"> the </w:t>
      </w:r>
      <w:r>
        <w:t xml:space="preserve">modeled </w:t>
      </w:r>
      <w:r w:rsidR="3CF1E4F3">
        <w:t xml:space="preserve">system </w:t>
      </w:r>
      <w:r>
        <w:t>is resource</w:t>
      </w:r>
      <w:r w:rsidR="3CF1E4F3">
        <w:t xml:space="preserve"> adequate</w:t>
      </w:r>
      <w:r w:rsidR="009E267A">
        <w:t>—implying</w:t>
      </w:r>
      <w:r w:rsidR="009E267A">
        <w:rPr>
          <w:rStyle w:val="CommentReference"/>
        </w:rPr>
        <w:t xml:space="preserve"> </w:t>
      </w:r>
      <w:r w:rsidR="3CF1E4F3">
        <w:t xml:space="preserve">firm, dispatchable capacity </w:t>
      </w:r>
      <w:r>
        <w:t>will be</w:t>
      </w:r>
      <w:r w:rsidR="3CF1E4F3">
        <w:t xml:space="preserve"> sufficient</w:t>
      </w:r>
      <w:r w:rsidR="006B6346">
        <w:t xml:space="preserve"> to meet demand</w:t>
      </w:r>
      <w:r w:rsidR="3CF1E4F3">
        <w:t>. By the mid-2</w:t>
      </w:r>
      <w:r>
        <w:t>030s, however, as peak loads grow, the model begi</w:t>
      </w:r>
      <w:r w:rsidR="3CF1E4F3">
        <w:t>n</w:t>
      </w:r>
      <w:r>
        <w:t>s</w:t>
      </w:r>
      <w:r w:rsidR="3CF1E4F3">
        <w:t xml:space="preserve"> to add significant quantities of energy storage, implying a need for significantly more dispatchable</w:t>
      </w:r>
      <w:r w:rsidR="006B6346">
        <w:t xml:space="preserve"> resource</w:t>
      </w:r>
      <w:r w:rsidR="3CF1E4F3">
        <w:t xml:space="preserve"> </w:t>
      </w:r>
      <w:r w:rsidR="006B6346">
        <w:t>production</w:t>
      </w:r>
      <w:r w:rsidR="3CF1E4F3">
        <w:t>. This trend</w:t>
      </w:r>
      <w:r w:rsidR="00E91D49">
        <w:t xml:space="preserve"> continues</w:t>
      </w:r>
      <w:r w:rsidR="3CF1E4F3">
        <w:t xml:space="preserve"> through the end of the modeling horizon. </w:t>
      </w:r>
      <w:r w:rsidR="00E91D49">
        <w:t>Th</w:t>
      </w:r>
      <w:r w:rsidR="001F2C17">
        <w:t>e figure below illustrates the G</w:t>
      </w:r>
      <w:r w:rsidR="00E91D49">
        <w:t xml:space="preserve">W of dispatchable capacity </w:t>
      </w:r>
      <w:r w:rsidR="00E95148">
        <w:t>need</w:t>
      </w:r>
      <w:r w:rsidR="00E91D49">
        <w:t>ed per year on average to meet expected demand from EPCET’s modeled 2025 to 2050.</w:t>
      </w:r>
    </w:p>
    <w:p w14:paraId="0A4D1B54" w14:textId="4FB0014B" w:rsidR="00095A44" w:rsidRDefault="00095A44" w:rsidP="519EA734">
      <w:r>
        <w:lastRenderedPageBreak/>
        <w:t> </w:t>
      </w:r>
      <w:r>
        <w:rPr>
          <w:noProof/>
        </w:rPr>
        <w:drawing>
          <wp:inline distT="0" distB="0" distL="0" distR="0" wp14:anchorId="240EF305" wp14:editId="1E44DE95">
            <wp:extent cx="5649892" cy="3381375"/>
            <wp:effectExtent l="0" t="0" r="8255" b="0"/>
            <wp:docPr id="10" name="Picture 10" descr="C:\Users\akleeman\AppData\Local\Microsoft\Windows\INetCache\Content.MSO\CE36D5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kleeman\AppData\Local\Microsoft\Windows\INetCache\Content.MSO\CE36D59F.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58447" cy="3386495"/>
                    </a:xfrm>
                    <a:prstGeom prst="rect">
                      <a:avLst/>
                    </a:prstGeom>
                    <a:noFill/>
                    <a:ln>
                      <a:noFill/>
                    </a:ln>
                  </pic:spPr>
                </pic:pic>
              </a:graphicData>
            </a:graphic>
          </wp:inline>
        </w:drawing>
      </w:r>
    </w:p>
    <w:p w14:paraId="09B065C7" w14:textId="0A0F0AEE" w:rsidR="0075157E" w:rsidRPr="00E84CE4" w:rsidRDefault="3CF1E4F3" w:rsidP="519EA734">
      <w:pPr>
        <w:rPr>
          <w:highlight w:val="lightGray"/>
        </w:rPr>
      </w:pPr>
      <w:r>
        <w:t>Though the model add</w:t>
      </w:r>
      <w:r w:rsidR="00E91D49">
        <w:t>s</w:t>
      </w:r>
      <w:r>
        <w:t xml:space="preserve"> significant quantities of wind and solar resources in this timeframe, periods of high load and low solar and wind generation remain. During th</w:t>
      </w:r>
      <w:r w:rsidR="00E91D49">
        <w:t>ese periods, the system requires</w:t>
      </w:r>
      <w:r>
        <w:t xml:space="preserve"> firm dispatchable resources. By 2045, wind and solar resources me</w:t>
      </w:r>
      <w:r w:rsidR="00E91D49">
        <w:t>e</w:t>
      </w:r>
      <w:r>
        <w:t>t just 10 GW of the 51 GW peak gross load during peak winter demand. The modeled resource adequacy constraint require</w:t>
      </w:r>
      <w:r w:rsidR="00E91D49">
        <w:t>s</w:t>
      </w:r>
      <w:r>
        <w:t xml:space="preserve"> that 110% of the remaining load must be met by dispatchable generation, </w:t>
      </w:r>
      <w:r w:rsidR="00033A99">
        <w:t>which is</w:t>
      </w:r>
      <w:r>
        <w:t xml:space="preserve"> 90% of peak </w:t>
      </w:r>
      <w:r w:rsidR="00033A99">
        <w:t>gross load</w:t>
      </w:r>
      <w:r>
        <w:t>. A more comprehensive resource adequacy screen would likely require even more dispatchable resources.</w:t>
      </w:r>
    </w:p>
    <w:p w14:paraId="14397343" w14:textId="2C11DFA8" w:rsidR="0075157E" w:rsidRDefault="6B653DD2" w:rsidP="1DA50D9B">
      <w:r>
        <w:t>Hourly production cost models for 2045 support the resource adequacy observations. Tho</w:t>
      </w:r>
      <w:r w:rsidR="00E91D49">
        <w:t>ugh zero-carbon resources serve</w:t>
      </w:r>
      <w:r>
        <w:t xml:space="preserve"> most demand in </w:t>
      </w:r>
      <w:r w:rsidR="00E91D49">
        <w:t xml:space="preserve">the modeled </w:t>
      </w:r>
      <w:r>
        <w:t xml:space="preserve">2045, a subset of hours require significant quantities of dispatchable generation. These hours </w:t>
      </w:r>
      <w:r w:rsidR="00E91D49">
        <w:t>a</w:t>
      </w:r>
      <w:r>
        <w:t>re characterized by moderate-to-high load, and low solar and wind generation. When low solar and wind generation persist for multiple days, modeled energy storage</w:t>
      </w:r>
      <w:r w:rsidR="00E91D49">
        <w:t xml:space="preserve"> </w:t>
      </w:r>
      <w:r>
        <w:t>struggle</w:t>
      </w:r>
      <w:r w:rsidR="00033A99">
        <w:t>s</w:t>
      </w:r>
      <w:r>
        <w:t xml:space="preserve"> to recharge from renewable generation, and significant portions of load </w:t>
      </w:r>
      <w:r w:rsidR="00E91D49">
        <w:t>must be</w:t>
      </w:r>
      <w:r>
        <w:t xml:space="preserve"> served by </w:t>
      </w:r>
      <w:r w:rsidR="00E91D49">
        <w:t>dispatchable</w:t>
      </w:r>
      <w:r>
        <w:t xml:space="preserve"> generation. </w:t>
      </w:r>
      <w:r w:rsidR="00E91D49">
        <w:t>The model’s e</w:t>
      </w:r>
      <w:r>
        <w:t>nergy storage often charge</w:t>
      </w:r>
      <w:r w:rsidR="00E91D49">
        <w:t>s</w:t>
      </w:r>
      <w:r>
        <w:t xml:space="preserve"> from </w:t>
      </w:r>
      <w:r w:rsidR="00E95148">
        <w:t>dispatchable</w:t>
      </w:r>
      <w:r>
        <w:t xml:space="preserve"> generation in order to achieve adequate capacity and energy. Similar trends were observed in FGRS resource adequacy analysis, which suggests that energy storage contributes significantly more to reliability when it has fuel-secure dispatchable generation to charge from. </w:t>
      </w:r>
    </w:p>
    <w:p w14:paraId="20DF7EA0" w14:textId="7D15189B" w:rsidR="0861350D" w:rsidRDefault="6EB3FF26" w:rsidP="0861350D">
      <w:pPr>
        <w:pStyle w:val="Heading3"/>
      </w:pPr>
      <w:bookmarkStart w:id="13" w:name="_Ref167889477"/>
      <w:bookmarkStart w:id="14" w:name="_Toc174535849"/>
      <w:r>
        <w:t>Benefits and Challenges Associated with Long-Duration Storage</w:t>
      </w:r>
      <w:bookmarkEnd w:id="13"/>
      <w:bookmarkEnd w:id="14"/>
      <w:r>
        <w:t xml:space="preserve"> </w:t>
      </w:r>
    </w:p>
    <w:p w14:paraId="219E0984" w14:textId="3AF5AD32" w:rsidR="46E04B02" w:rsidRDefault="00E91D49" w:rsidP="2572DB04">
      <w:r>
        <w:t>EPCET’s</w:t>
      </w:r>
      <w:r w:rsidR="38FCA216">
        <w:t xml:space="preserve"> Policy Scenario analysis show</w:t>
      </w:r>
      <w:r>
        <w:t>s</w:t>
      </w:r>
      <w:r w:rsidR="38FCA216">
        <w:t xml:space="preserve"> significant stretches of time in later </w:t>
      </w:r>
      <w:r>
        <w:t xml:space="preserve">state policy </w:t>
      </w:r>
      <w:r w:rsidR="38FCA216">
        <w:t xml:space="preserve">horizon years when moderate-to-high </w:t>
      </w:r>
      <w:r w:rsidR="00F06D7B">
        <w:t>demand</w:t>
      </w:r>
      <w:r w:rsidR="38FCA216">
        <w:t xml:space="preserve"> </w:t>
      </w:r>
      <w:r>
        <w:t xml:space="preserve">may </w:t>
      </w:r>
      <w:r w:rsidR="38FCA216">
        <w:t xml:space="preserve">coincide with low solar and wind generation, particularly beyond 2045. The 4- and 8-hour lithium ion (L-I) batteries assumed as expansion candidates in this scenario fill in some gaps during short periods of low renewable generation, but </w:t>
      </w:r>
      <w:r>
        <w:t>a</w:t>
      </w:r>
      <w:r w:rsidR="38FCA216">
        <w:t xml:space="preserve">re rapidly depleted. </w:t>
      </w:r>
      <w:r>
        <w:t>D</w:t>
      </w:r>
      <w:r w:rsidR="38FCA216">
        <w:t xml:space="preserve">ispatchable generation with a firm energy supply </w:t>
      </w:r>
      <w:r>
        <w:t>could help</w:t>
      </w:r>
      <w:r w:rsidR="38FCA216">
        <w:t xml:space="preserve"> maintain reliability during multi-day renewable droughts. Long</w:t>
      </w:r>
      <w:r w:rsidR="00033A99">
        <w:t>-</w:t>
      </w:r>
      <w:r w:rsidR="38FCA216">
        <w:t xml:space="preserve">duration storage may help meet at least some of those needs. </w:t>
      </w:r>
    </w:p>
    <w:p w14:paraId="60A4200E" w14:textId="2398DCB1" w:rsidR="00E91D49" w:rsidRDefault="00E91D49">
      <w:r>
        <w:lastRenderedPageBreak/>
        <w:t xml:space="preserve">A </w:t>
      </w:r>
      <w:r w:rsidR="2F0240F1">
        <w:t xml:space="preserve">levelized cost analysis </w:t>
      </w:r>
      <w:r>
        <w:t xml:space="preserve">of later Policy Scenario years </w:t>
      </w:r>
      <w:r w:rsidR="2F0240F1">
        <w:t>show</w:t>
      </w:r>
      <w:r>
        <w:t>s</w:t>
      </w:r>
      <w:r w:rsidR="2F0240F1">
        <w:t xml:space="preserve"> that</w:t>
      </w:r>
      <w:r w:rsidR="00A24231">
        <w:t xml:space="preserve"> over time,</w:t>
      </w:r>
      <w:r w:rsidR="2F0240F1">
        <w:t xml:space="preserve"> </w:t>
      </w:r>
      <w:r w:rsidR="006A4817">
        <w:t>the decarbonization value of long-duration energy storage increases significantly, while the decarbonization value of wind, solar, and shorter-duration batteries drops</w:t>
      </w:r>
      <w:r w:rsidR="2F0240F1">
        <w:t xml:space="preserve">. One </w:t>
      </w:r>
      <w:r>
        <w:t xml:space="preserve">EPCET </w:t>
      </w:r>
      <w:r w:rsidR="2F0240F1">
        <w:t xml:space="preserve">sensitivity </w:t>
      </w:r>
      <w:r w:rsidR="00A24231">
        <w:t>includ</w:t>
      </w:r>
      <w:r w:rsidR="2F0240F1">
        <w:t>e</w:t>
      </w:r>
      <w:r>
        <w:t>s</w:t>
      </w:r>
      <w:r w:rsidR="2F0240F1">
        <w:t xml:space="preserve"> 100-hour iron air batteries in addition to 4- and 8-hour L-I batteries. </w:t>
      </w:r>
      <w:r>
        <w:t>As illustrated in the figure below, 100-hour batteries become</w:t>
      </w:r>
      <w:r w:rsidR="2F0240F1">
        <w:t xml:space="preserve"> the most cost-effective</w:t>
      </w:r>
      <w:r>
        <w:t xml:space="preserve"> modeled</w:t>
      </w:r>
      <w:r w:rsidR="2F0240F1">
        <w:t xml:space="preserve"> storage type </w:t>
      </w:r>
      <w:r>
        <w:t xml:space="preserve">for reducing carbon emissions </w:t>
      </w:r>
      <w:r w:rsidR="00E95148">
        <w:t>by 2050</w:t>
      </w:r>
      <w:r w:rsidR="2F0240F1">
        <w:t xml:space="preserve">. </w:t>
      </w:r>
    </w:p>
    <w:p w14:paraId="1408D5F0" w14:textId="5795FF70" w:rsidR="00E91D49" w:rsidRDefault="00E91D49">
      <w:r>
        <w:t> </w:t>
      </w:r>
      <w:r w:rsidR="00A84FAC">
        <w:t> </w:t>
      </w:r>
      <w:r w:rsidR="00A84FAC">
        <w:rPr>
          <w:noProof/>
        </w:rPr>
        <w:drawing>
          <wp:inline distT="0" distB="0" distL="0" distR="0" wp14:anchorId="0EC10172" wp14:editId="232281D6">
            <wp:extent cx="5767640" cy="3450922"/>
            <wp:effectExtent l="0" t="0" r="5080" b="0"/>
            <wp:docPr id="22" name="Picture 22" descr="C:\Users\akleeman\AppData\Local\Microsoft\Windows\INetCache\Content.MSO\7C8108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kleeman\AppData\Local\Microsoft\Windows\INetCache\Content.MSO\7C8108D2.t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77389" cy="3456755"/>
                    </a:xfrm>
                    <a:prstGeom prst="rect">
                      <a:avLst/>
                    </a:prstGeom>
                    <a:noFill/>
                    <a:ln>
                      <a:noFill/>
                    </a:ln>
                  </pic:spPr>
                </pic:pic>
              </a:graphicData>
            </a:graphic>
          </wp:inline>
        </w:drawing>
      </w:r>
    </w:p>
    <w:p w14:paraId="424958E1" w14:textId="1DB3A89F" w:rsidR="46E04B02" w:rsidRDefault="2F0240F1">
      <w:r>
        <w:t>The inclusion of these 100-hour batteries reduce</w:t>
      </w:r>
      <w:r w:rsidR="00716A96">
        <w:t>s</w:t>
      </w:r>
      <w:r>
        <w:t xml:space="preserve"> the total new capacity additions in this sensitivity by 16% from the base Policy Scenario by 2050, and lower</w:t>
      </w:r>
      <w:r w:rsidR="00716A96">
        <w:t>s</w:t>
      </w:r>
      <w:r>
        <w:t xml:space="preserve"> annualized costs significantly. However, even with a significant penetration of 100-hour batteries, the later years of th</w:t>
      </w:r>
      <w:r w:rsidR="00716A96">
        <w:t>is sensitivity still experience</w:t>
      </w:r>
      <w:r>
        <w:t xml:space="preserve"> stretches of time when</w:t>
      </w:r>
      <w:r w:rsidR="00716A96">
        <w:t xml:space="preserve"> </w:t>
      </w:r>
      <w:r w:rsidR="000977E0">
        <w:t>100-hour batteries</w:t>
      </w:r>
      <w:r w:rsidR="00716A96">
        <w:t xml:space="preserve"> become</w:t>
      </w:r>
      <w:r>
        <w:t xml:space="preserve"> depleted and significant fuel</w:t>
      </w:r>
      <w:r w:rsidR="003017A1">
        <w:t>-</w:t>
      </w:r>
      <w:r>
        <w:t xml:space="preserve">secure dispatchable generation </w:t>
      </w:r>
      <w:r w:rsidR="00716A96">
        <w:t>i</w:t>
      </w:r>
      <w:r>
        <w:t xml:space="preserve">s needed to satisfy demand. </w:t>
      </w:r>
    </w:p>
    <w:p w14:paraId="192E4DBE" w14:textId="3EA31DED" w:rsidR="00E30B8E" w:rsidRDefault="4F832F98" w:rsidP="39979031">
      <w:r>
        <w:t xml:space="preserve">Future systems may be more energy-limited than capacity-limited. In other words, a grid with a diverse mix of renewable resources, energy storage, and </w:t>
      </w:r>
      <w:r w:rsidR="00716A96">
        <w:t>dispatchable</w:t>
      </w:r>
      <w:r>
        <w:t xml:space="preserve"> </w:t>
      </w:r>
      <w:r w:rsidR="00F11A74">
        <w:t>resource</w:t>
      </w:r>
      <w:r>
        <w:t xml:space="preserve">s may have enough capacity to meet demand over a particular year or season, but the fuel in question (sun, wind, battery storage, pipeline fuel, etc.) may not be available exactly when needed. </w:t>
      </w:r>
      <w:r w:rsidR="007F778C">
        <w:t>Long-duration</w:t>
      </w:r>
      <w:r>
        <w:t xml:space="preserve"> energy storage </w:t>
      </w:r>
      <w:r w:rsidR="00716A96">
        <w:t xml:space="preserve">like 100-hour batteries </w:t>
      </w:r>
      <w:r w:rsidR="000977E0">
        <w:t>may</w:t>
      </w:r>
      <w:r>
        <w:t xml:space="preserve"> be useful for shifting energy over several hours, or from one day to the next, but less useful during a</w:t>
      </w:r>
      <w:r w:rsidR="000977E0">
        <w:t xml:space="preserve"> multi-day wind and </w:t>
      </w:r>
      <w:r w:rsidR="007112C9">
        <w:t xml:space="preserve">solar </w:t>
      </w:r>
      <w:r w:rsidR="000977E0">
        <w:t>drought.</w:t>
      </w:r>
    </w:p>
    <w:p w14:paraId="562AEF3D" w14:textId="3E36213A" w:rsidR="00820494" w:rsidRDefault="00820494" w:rsidP="00820494">
      <w:pPr>
        <w:spacing w:after="0" w:line="240" w:lineRule="auto"/>
      </w:pPr>
      <w:r>
        <w:t xml:space="preserve">The economics and operational realities of </w:t>
      </w:r>
      <w:r w:rsidR="007F778C">
        <w:t>long-duration</w:t>
      </w:r>
      <w:r>
        <w:t xml:space="preserve"> storage are also uncertain. Despite its assumed ability to shift energy two, three or more days ahead, it is difficult in most situations to forecast arbitrage opportunities </w:t>
      </w:r>
      <w:r w:rsidR="000977E0">
        <w:t>over those timeframes</w:t>
      </w:r>
      <w:r>
        <w:t xml:space="preserve">. The value of </w:t>
      </w:r>
      <w:r w:rsidR="007F778C">
        <w:t>long-duration</w:t>
      </w:r>
      <w:r>
        <w:t xml:space="preserve"> storage lies primarily in its ability to</w:t>
      </w:r>
      <w:r w:rsidR="006A4817">
        <w:t xml:space="preserve"> stay fully charged until a long cold snap when other resource types may be constrained. </w:t>
      </w:r>
      <w:r>
        <w:t xml:space="preserve">While the current pay-for-performance (PFP) market mechanism would compensate </w:t>
      </w:r>
      <w:r w:rsidR="007F778C">
        <w:t>long-duration</w:t>
      </w:r>
      <w:r>
        <w:t xml:space="preserve"> storage for producing</w:t>
      </w:r>
      <w:r w:rsidR="006A4817">
        <w:t xml:space="preserve"> energy</w:t>
      </w:r>
      <w:r>
        <w:t xml:space="preserve"> during such an event, there is no certainty that </w:t>
      </w:r>
      <w:r w:rsidR="00F83F1F">
        <w:t xml:space="preserve">long </w:t>
      </w:r>
      <w:r w:rsidR="00F83F1F">
        <w:lastRenderedPageBreak/>
        <w:t xml:space="preserve">cold snaps </w:t>
      </w:r>
      <w:r>
        <w:t>will occ</w:t>
      </w:r>
      <w:r w:rsidR="000977E0">
        <w:t>u</w:t>
      </w:r>
      <w:r>
        <w:t>r</w:t>
      </w:r>
      <w:r w:rsidR="000977E0">
        <w:t xml:space="preserve"> every winter</w:t>
      </w:r>
      <w:r>
        <w:t>.</w:t>
      </w:r>
      <w:r w:rsidR="005F7678">
        <w:rPr>
          <w:rStyle w:val="FootnoteReference"/>
        </w:rPr>
        <w:footnoteReference w:id="10"/>
      </w:r>
      <w:r>
        <w:t xml:space="preserve"> In the event </w:t>
      </w:r>
      <w:r w:rsidR="00F83F1F">
        <w:t>these periods do</w:t>
      </w:r>
      <w:r>
        <w:t xml:space="preserve"> not materialize, storage resources </w:t>
      </w:r>
      <w:r w:rsidR="00F83F1F">
        <w:t xml:space="preserve">that stay fully charged </w:t>
      </w:r>
      <w:r>
        <w:t xml:space="preserve">will forgo </w:t>
      </w:r>
      <w:r w:rsidR="000977E0">
        <w:t xml:space="preserve">smaller but more frequent </w:t>
      </w:r>
      <w:r>
        <w:t>revenue opportunities</w:t>
      </w:r>
      <w:r w:rsidR="00F83F1F">
        <w:t xml:space="preserve"> during milder conditions</w:t>
      </w:r>
      <w:r>
        <w:t xml:space="preserve">. In </w:t>
      </w:r>
      <w:r w:rsidR="000977E0">
        <w:t>a</w:t>
      </w:r>
      <w:r>
        <w:t xml:space="preserve"> real system, </w:t>
      </w:r>
      <w:r w:rsidR="007F778C">
        <w:t>long-duration</w:t>
      </w:r>
      <w:r>
        <w:t xml:space="preserve"> storage </w:t>
      </w:r>
      <w:r w:rsidR="000977E0">
        <w:t>may</w:t>
      </w:r>
      <w:r>
        <w:t xml:space="preserve"> </w:t>
      </w:r>
      <w:r w:rsidR="000977E0">
        <w:t xml:space="preserve">choose to </w:t>
      </w:r>
      <w:r>
        <w:t>operate conservatively</w:t>
      </w:r>
      <w:r w:rsidR="000977E0">
        <w:t>,</w:t>
      </w:r>
      <w:r>
        <w:t xml:space="preserve"> and ea</w:t>
      </w:r>
      <w:r w:rsidR="00F83F1F">
        <w:t>rn less revenue while waiting for a long cold snap</w:t>
      </w:r>
      <w:r>
        <w:t>, or may operate more liberally</w:t>
      </w:r>
      <w:r w:rsidR="00F83F1F">
        <w:t xml:space="preserve"> during milder periods,</w:t>
      </w:r>
      <w:r>
        <w:t xml:space="preserve"> and </w:t>
      </w:r>
      <w:r w:rsidR="00033A99">
        <w:t>then lack</w:t>
      </w:r>
      <w:r>
        <w:t xml:space="preserve"> sufficient energy during </w:t>
      </w:r>
      <w:r w:rsidR="00F83F1F">
        <w:t>harsher conditions</w:t>
      </w:r>
      <w:r>
        <w:t xml:space="preserve">. </w:t>
      </w:r>
    </w:p>
    <w:p w14:paraId="0144AB66" w14:textId="77777777" w:rsidR="00820494" w:rsidRDefault="00820494" w:rsidP="00820494">
      <w:pPr>
        <w:spacing w:after="0" w:line="240" w:lineRule="auto"/>
      </w:pPr>
    </w:p>
    <w:p w14:paraId="44B6BDD0" w14:textId="01FB6D58" w:rsidR="00E30B8E" w:rsidRDefault="6EB3FF26" w:rsidP="39979031">
      <w:pPr>
        <w:pStyle w:val="Heading3"/>
      </w:pPr>
      <w:bookmarkStart w:id="15" w:name="_Toc174535850"/>
      <w:r>
        <w:t>Seasonal Storage Possibilities</w:t>
      </w:r>
      <w:bookmarkEnd w:id="15"/>
      <w:r>
        <w:t xml:space="preserve"> </w:t>
      </w:r>
    </w:p>
    <w:p w14:paraId="37991F46" w14:textId="7C645D1B" w:rsidR="46E04B02" w:rsidRDefault="3CF1E4F3" w:rsidP="46E04B02">
      <w:pPr>
        <w:spacing w:after="0" w:line="240" w:lineRule="auto"/>
      </w:pPr>
      <w:r>
        <w:t xml:space="preserve">Seasonal storage that can store vast quantities of energy during off-peak months </w:t>
      </w:r>
      <w:r w:rsidR="00716A96">
        <w:t xml:space="preserve">to </w:t>
      </w:r>
      <w:r>
        <w:t xml:space="preserve">deploy during the winter </w:t>
      </w:r>
      <w:r w:rsidR="00F83F1F">
        <w:t>would</w:t>
      </w:r>
      <w:r>
        <w:t xml:space="preserve"> help alleviate challenges of an energy-limited system. </w:t>
      </w:r>
      <w:r w:rsidR="00D80C82">
        <w:t>A</w:t>
      </w:r>
      <w:r>
        <w:t xml:space="preserve"> </w:t>
      </w:r>
      <w:r w:rsidR="00D80C82">
        <w:t>zero-carbon</w:t>
      </w:r>
      <w:r>
        <w:t xml:space="preserve"> fuel that can be</w:t>
      </w:r>
      <w:r w:rsidR="00D80C82">
        <w:t xml:space="preserve"> </w:t>
      </w:r>
      <w:r w:rsidR="001C47DE">
        <w:t>synthesized</w:t>
      </w:r>
      <w:r w:rsidR="00D80C82">
        <w:t xml:space="preserve"> using excess renewable energy in the</w:t>
      </w:r>
      <w:r w:rsidR="001C47DE">
        <w:t xml:space="preserve"> spring and fall</w:t>
      </w:r>
      <w:r w:rsidR="00D80C82">
        <w:t xml:space="preserve"> and</w:t>
      </w:r>
      <w:r>
        <w:t xml:space="preserve"> stored in large </w:t>
      </w:r>
      <w:r w:rsidR="00D80C82">
        <w:t>quantities</w:t>
      </w:r>
      <w:r>
        <w:t xml:space="preserve"> for dispatchable generation</w:t>
      </w:r>
      <w:r w:rsidR="00D80C82">
        <w:t xml:space="preserve"> in the winter</w:t>
      </w:r>
      <w:r>
        <w:t xml:space="preserve"> </w:t>
      </w:r>
      <w:r w:rsidR="00D80C82">
        <w:t>fit</w:t>
      </w:r>
      <w:r w:rsidR="00F83F1F">
        <w:t>s</w:t>
      </w:r>
      <w:r w:rsidR="00D80C82">
        <w:t xml:space="preserve"> these parameters, but supply chain and technology-related roadblocks may persist. </w:t>
      </w:r>
      <w:r w:rsidR="00F83F1F">
        <w:t>S</w:t>
      </w:r>
      <w:r w:rsidR="00D80C82">
        <w:t>ection</w:t>
      </w:r>
      <w:r w:rsidR="00F83F1F">
        <w:t xml:space="preserve"> </w:t>
      </w:r>
      <w:r w:rsidR="00F83F1F">
        <w:fldChar w:fldCharType="begin"/>
      </w:r>
      <w:r w:rsidR="00F83F1F">
        <w:instrText xml:space="preserve"> REF _Ref173830592 \r \h </w:instrText>
      </w:r>
      <w:r w:rsidR="00F83F1F">
        <w:fldChar w:fldCharType="separate"/>
      </w:r>
      <w:r w:rsidR="00D8633C">
        <w:t>1.7</w:t>
      </w:r>
      <w:r w:rsidR="00F83F1F">
        <w:fldChar w:fldCharType="end"/>
      </w:r>
      <w:r w:rsidR="00D80C82">
        <w:t xml:space="preserve"> </w:t>
      </w:r>
      <w:r w:rsidR="001E7354">
        <w:t>includes</w:t>
      </w:r>
      <w:r w:rsidR="00D80C82">
        <w:t xml:space="preserve"> EPCET’s modeling of such a fuel</w:t>
      </w:r>
      <w:r>
        <w:t>.</w:t>
      </w:r>
    </w:p>
    <w:p w14:paraId="5E8D919D" w14:textId="75D6BE32" w:rsidR="00095A44" w:rsidRDefault="00095A44" w:rsidP="46E04B02">
      <w:pPr>
        <w:spacing w:after="0" w:line="240" w:lineRule="auto"/>
      </w:pPr>
    </w:p>
    <w:p w14:paraId="0B9ADB4D" w14:textId="238F758F" w:rsidR="00095A44" w:rsidRDefault="00095A44" w:rsidP="00095A44">
      <w:pPr>
        <w:pStyle w:val="Heading2"/>
      </w:pPr>
      <w:bookmarkStart w:id="16" w:name="_Ref166072811"/>
      <w:bookmarkStart w:id="17" w:name="_Some_elements_of"/>
      <w:bookmarkStart w:id="18" w:name="_Toc174535851"/>
      <w:r>
        <w:t>Current revenue structures may not adequately compensate resources for their value to the future grid.</w:t>
      </w:r>
      <w:bookmarkEnd w:id="16"/>
      <w:bookmarkEnd w:id="17"/>
      <w:bookmarkEnd w:id="18"/>
    </w:p>
    <w:p w14:paraId="4EDBE211" w14:textId="16F8A670" w:rsidR="00095A44" w:rsidRPr="00314513" w:rsidRDefault="00095A44" w:rsidP="00095A44">
      <w:r>
        <w:t xml:space="preserve">The expected increase in variability and the critical but sporadic need for dispatchable resources to ensure reliability will change the grid dramatically, which </w:t>
      </w:r>
      <w:r w:rsidR="00F83F1F">
        <w:t>will</w:t>
      </w:r>
      <w:r>
        <w:t xml:space="preserve"> affect the performance of some elements of the current grid economy. EPCET’s Stakeholder-Requested Sensitivity explores how both current markets and alternative market structures and compensation strategies perform under highly variable conditions.</w:t>
      </w:r>
      <w:r>
        <w:rPr>
          <w:rStyle w:val="FootnoteReference"/>
        </w:rPr>
        <w:footnoteReference w:id="11"/>
      </w:r>
      <w:r>
        <w:t xml:space="preserve"> Results show that as deep decarbonization accelerates, the functionality of power purchase agreements (PPAs) change</w:t>
      </w:r>
      <w:r w:rsidR="00F83F1F">
        <w:t>s</w:t>
      </w:r>
      <w:r>
        <w:t xml:space="preserve">, as </w:t>
      </w:r>
      <w:r w:rsidR="00F83F1F">
        <w:t>does</w:t>
      </w:r>
      <w:r>
        <w:t xml:space="preserve"> the size of the energy market. One key result illustrates that, assuming today’s PPA strategies hold, by the mid-2030s a new renewable resource become</w:t>
      </w:r>
      <w:r w:rsidR="00F83F1F">
        <w:t>s</w:t>
      </w:r>
      <w:r>
        <w:t xml:space="preserve"> unprofitable within five years. Adjustments to PPA structures (section </w:t>
      </w:r>
      <w:r>
        <w:fldChar w:fldCharType="begin"/>
      </w:r>
      <w:r>
        <w:instrText xml:space="preserve"> REF _Ref167888755 \r \h </w:instrText>
      </w:r>
      <w:r>
        <w:fldChar w:fldCharType="separate"/>
      </w:r>
      <w:r w:rsidR="00D8633C">
        <w:t>1.6.1</w:t>
      </w:r>
      <w:r>
        <w:fldChar w:fldCharType="end"/>
      </w:r>
      <w:r>
        <w:t xml:space="preserve">), the addition of market elements like reliability adders (section </w:t>
      </w:r>
      <w:r>
        <w:fldChar w:fldCharType="begin"/>
      </w:r>
      <w:r>
        <w:instrText xml:space="preserve"> REF _Ref171427353 \r \h </w:instrText>
      </w:r>
      <w:r>
        <w:fldChar w:fldCharType="separate"/>
      </w:r>
      <w:r w:rsidR="00D8633C">
        <w:t>1.6.3</w:t>
      </w:r>
      <w:r>
        <w:fldChar w:fldCharType="end"/>
      </w:r>
      <w:r>
        <w:t xml:space="preserve">), and increased use of discretionary load (section </w:t>
      </w:r>
      <w:r>
        <w:fldChar w:fldCharType="begin"/>
      </w:r>
      <w:r>
        <w:instrText xml:space="preserve"> REF _Ref170826065 \r \h </w:instrText>
      </w:r>
      <w:r>
        <w:fldChar w:fldCharType="separate"/>
      </w:r>
      <w:r w:rsidR="00D8633C">
        <w:t>1.6.4</w:t>
      </w:r>
      <w:r>
        <w:fldChar w:fldCharType="end"/>
      </w:r>
      <w:r>
        <w:t xml:space="preserve">) </w:t>
      </w:r>
      <w:r w:rsidR="00EA55B6">
        <w:t xml:space="preserve">affect </w:t>
      </w:r>
      <w:r>
        <w:t xml:space="preserve">overall </w:t>
      </w:r>
      <w:r w:rsidR="00F83F1F">
        <w:t xml:space="preserve">modeled </w:t>
      </w:r>
      <w:r>
        <w:t>market function.</w:t>
      </w:r>
    </w:p>
    <w:p w14:paraId="647C7423" w14:textId="77777777" w:rsidR="00095A44" w:rsidRDefault="00095A44" w:rsidP="00095A44">
      <w:pPr>
        <w:pStyle w:val="Heading3"/>
      </w:pPr>
      <w:bookmarkStart w:id="19" w:name="_Ref167888755"/>
      <w:bookmarkStart w:id="20" w:name="_Toc174535852"/>
      <w:r>
        <w:t>Feasibility of Power Purchase Agreements (PPAs)</w:t>
      </w:r>
      <w:bookmarkEnd w:id="19"/>
      <w:bookmarkEnd w:id="20"/>
    </w:p>
    <w:p w14:paraId="15804FAA" w14:textId="7B81028F" w:rsidR="00095A44" w:rsidRPr="00523ABD" w:rsidRDefault="00095A44" w:rsidP="00095A44">
      <w:r>
        <w:t>PPAs are paid agreements between a customer, usually a large entity like a utility or a state, and a developer, usually of a larger-scale wind or solar resource. These agreements function outside the wholesale electricity markets that ISO New England administers. As part of the agreement, a PPA price per MWh is assigned to the proposed resource, and the customer agrees to pay the resource this price during the term of the agreement. Such agreements may help developers obtain financing. Once the generating resource is built, it bids into the energy markets at a low price (or even negative price, depending</w:t>
      </w:r>
      <w:r w:rsidR="00D1520F">
        <w:t xml:space="preserve"> on</w:t>
      </w:r>
      <w:r>
        <w:t xml:space="preserve"> the terms of the PPA), and the market then typically selects this resource for dispatch. Usually, the resource is paid for each MWh of energy provided at its PPA plus the energy price during periods when locational marginal prices (LMPs) are negative.</w:t>
      </w:r>
      <w:r>
        <w:rPr>
          <w:rStyle w:val="FootnoteReference"/>
        </w:rPr>
        <w:footnoteReference w:id="12"/>
      </w:r>
      <w:r>
        <w:t xml:space="preserve"> This outside revenue stream means that a resource that signed a $20/MWh PPA could offer as low as                       -$19.99/MWh into the energy market and still receive a positive payment for its energy. </w:t>
      </w:r>
    </w:p>
    <w:p w14:paraId="767CE447" w14:textId="4E54F843" w:rsidR="00095A44" w:rsidRPr="008439D8" w:rsidRDefault="00095A44" w:rsidP="00095A44">
      <w:r>
        <w:rPr>
          <w:noProof/>
        </w:rPr>
        <w:lastRenderedPageBreak/>
        <w:drawing>
          <wp:anchor distT="0" distB="0" distL="114300" distR="114300" simplePos="0" relativeHeight="251667458" behindDoc="1" locked="0" layoutInCell="1" allowOverlap="1" wp14:anchorId="2C68900D" wp14:editId="618E9F68">
            <wp:simplePos x="0" y="0"/>
            <wp:positionH relativeFrom="margin">
              <wp:posOffset>3070860</wp:posOffset>
            </wp:positionH>
            <wp:positionV relativeFrom="paragraph">
              <wp:posOffset>1381125</wp:posOffset>
            </wp:positionV>
            <wp:extent cx="2870200" cy="3448050"/>
            <wp:effectExtent l="0" t="0" r="6350" b="0"/>
            <wp:wrapTight wrapText="bothSides">
              <wp:wrapPolygon edited="0">
                <wp:start x="0" y="0"/>
                <wp:lineTo x="0" y="21481"/>
                <wp:lineTo x="21504" y="21481"/>
                <wp:lineTo x="2150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leeman\AppData\Local\Microsoft\Windows\INetCache\Content.MSO\67CC1050.tmp"/>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2870200" cy="34480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Results from EPCET’s Stakeholder-Requested Sensitivity show that New England’s expected shift from a summer to winter demand peak in the mid-2030s will present feasibility challenges for current PPA structures. As noted in section </w:t>
      </w:r>
      <w:r>
        <w:fldChar w:fldCharType="begin"/>
      </w:r>
      <w:r>
        <w:instrText xml:space="preserve"> REF _Ref171421627 \r \h </w:instrText>
      </w:r>
      <w:r>
        <w:fldChar w:fldCharType="separate"/>
      </w:r>
      <w:r w:rsidR="00D8633C">
        <w:t>1.3</w:t>
      </w:r>
      <w:r>
        <w:fldChar w:fldCharType="end"/>
      </w:r>
      <w:r>
        <w:t xml:space="preserve">, the decarbonization of spring and fall significantly outpace the decarbonization of winter. Current PPA strategies, however, are designed for a grid with carbon emissions throughout the year. EPCET’s modeling shows that PPA contracts become part of a “race to the bottom,” with the final new resources needed to complete winter decarbonization struggling to compete with resources that secured agreements years or decades earlier. </w:t>
      </w:r>
    </w:p>
    <w:p w14:paraId="304E687D" w14:textId="21E2890B" w:rsidR="00095A44" w:rsidRDefault="00095A44" w:rsidP="00095A44">
      <w:r>
        <w:t xml:space="preserve">Consider, for example, a </w:t>
      </w:r>
      <w:r w:rsidR="00D1520F">
        <w:t xml:space="preserve">hypothetical </w:t>
      </w:r>
      <w:r>
        <w:t xml:space="preserve">2040 scenario. By this time, fall and spring </w:t>
      </w:r>
      <w:r w:rsidR="00F83F1F">
        <w:t>are</w:t>
      </w:r>
      <w:r>
        <w:t xml:space="preserve"> essentially decarbonized. An existing wind resource with a PPA price of $50/MWh provides energy to the grid. A new wind farm seeks to enter the market, and due to supply chain and technology advancements, its build costs are less than those of the existing resource—so, it qualifies for a PPA price of $45/MWh. However, since its “break-even" LMP is -$45/MWh, which is higher than the existing resource’s break-even price of -$50/MWh, this new resource will be underbid in the energy markets, and will not run in fall and spring, when zero-carbon energy is abundant. The image to the right shows the progressive net profit of a hypothetical land-based wind resource built in 2035, with a PPA of $87/MWh. The resource is profitable the year it is built, but by 2040, its net profits have become negative.</w:t>
      </w:r>
      <w:r w:rsidRPr="00A1471F">
        <w:rPr>
          <w:rStyle w:val="BalloonTextChar"/>
        </w:rPr>
        <w:t xml:space="preserve"> </w:t>
      </w:r>
      <w:r>
        <w:rPr>
          <w:rStyle w:val="FootnoteReference"/>
        </w:rPr>
        <w:footnoteReference w:id="13"/>
      </w:r>
    </w:p>
    <w:p w14:paraId="4B0B3E14" w14:textId="4CD3C226" w:rsidR="00095A44" w:rsidRDefault="00095A44" w:rsidP="00095A44">
      <w:r>
        <w:t xml:space="preserve">How then will states or utilities encourage the construction of new resources in order to fully decarbonize the winter months? The absolute PPA price of newer resources could be set </w:t>
      </w:r>
      <w:r w:rsidRPr="76BE702F">
        <w:rPr>
          <w:i/>
          <w:iCs/>
        </w:rPr>
        <w:t>higher</w:t>
      </w:r>
      <w:r>
        <w:t xml:space="preserve"> than those of existing resources. However, under this strategy, older wind resources would be underbid in the energy markets during periods of negative LMPs, which </w:t>
      </w:r>
      <w:r w:rsidR="00F83F1F">
        <w:t>could</w:t>
      </w:r>
      <w:r>
        <w:t xml:space="preserve"> undermine their revenue sufficiency. Higher PPAs for newer resources may also result in higher costs to ratepayers as the marginal cost of new zero-carbon energy rises. Fundamentally, as decarbonization accelerates, but remains highly correlated with the seasons, zero-carbon resource additions will produce surplus energy for increasing periods of time, and their cost per MWh will rise. The image below shows how much unused energy a hypothetical land-based wind resource built in 2035 produce</w:t>
      </w:r>
      <w:r w:rsidR="00F83F1F">
        <w:t>s</w:t>
      </w:r>
      <w:r>
        <w:t xml:space="preserve"> in </w:t>
      </w:r>
      <w:r w:rsidR="00F83F1F">
        <w:t xml:space="preserve">the modeled </w:t>
      </w:r>
      <w:r>
        <w:t>2040 and 2045</w:t>
      </w:r>
      <w:bookmarkStart w:id="21" w:name="_Ref166585826"/>
      <w:r>
        <w:t>.</w:t>
      </w:r>
      <w:r>
        <w:rPr>
          <w:rStyle w:val="FootnoteReference"/>
        </w:rPr>
        <w:footnoteReference w:id="14"/>
      </w:r>
    </w:p>
    <w:p w14:paraId="095967BA" w14:textId="2DA9770B" w:rsidR="00095A44" w:rsidRDefault="00376026" w:rsidP="00C01620">
      <w:pPr>
        <w:jc w:val="center"/>
      </w:pPr>
      <w:r>
        <w:rPr>
          <w:noProof/>
        </w:rPr>
        <w:lastRenderedPageBreak/>
        <w:pict w14:anchorId="68BAE598">
          <v:shape id="_x0000_i1027" type="#_x0000_t75" style="width:467.55pt;height:234pt">
            <v:imagedata r:id="rId36" o:title="fig5b"/>
          </v:shape>
        </w:pict>
      </w:r>
    </w:p>
    <w:p w14:paraId="45ECF19C" w14:textId="77777777" w:rsidR="00095A44" w:rsidRDefault="00095A44" w:rsidP="00095A44">
      <w:pPr>
        <w:pStyle w:val="Heading3"/>
      </w:pPr>
      <w:bookmarkStart w:id="22" w:name="_Toc174535853"/>
      <w:r>
        <w:t>Effect of Deep Decarbonization on Energy Markets</w:t>
      </w:r>
      <w:bookmarkEnd w:id="21"/>
      <w:bookmarkEnd w:id="22"/>
    </w:p>
    <w:p w14:paraId="2DFDB980" w14:textId="6FCB903C" w:rsidR="00095A44" w:rsidRDefault="00095A44" w:rsidP="00095A44">
      <w:r>
        <w:t xml:space="preserve">Results from the Stakeholder-Requested Sensitivity also illustrate how the size of capacity and the energy markets change </w:t>
      </w:r>
      <w:r w:rsidR="003B6EBD">
        <w:t>during</w:t>
      </w:r>
      <w:r>
        <w:t xml:space="preserve"> deep decarbonization. As EPCET’s modeled years pass, and more of the year is decarbonized, wind and solar resources with PPAs serve more and more demand. Since these resources receive out-of-market revenue streams, they receive little-to-no revenue from the energy market. Dispatchable resources </w:t>
      </w:r>
      <w:r w:rsidRPr="0C08673B">
        <w:rPr>
          <w:i/>
          <w:iCs/>
        </w:rPr>
        <w:t>without</w:t>
      </w:r>
      <w:r>
        <w:t xml:space="preserve"> PPAs run </w:t>
      </w:r>
      <w:r w:rsidR="00D1520F">
        <w:t>less and less</w:t>
      </w:r>
      <w:r>
        <w:t xml:space="preserve"> frequently over the model’s final years, and increasingly rely on capacity market payments to cover fixed costs. By 2045, the model’s dispatchable resources cover fixed costs through the capacity market over a variety of possible weather conditions.</w:t>
      </w:r>
    </w:p>
    <w:p w14:paraId="79C23671" w14:textId="7DCE88A1" w:rsidR="00095A44" w:rsidRDefault="00095A44" w:rsidP="00095A44">
      <w:r>
        <w:t>During the final years of analysis, the majority of revenue for all generators is earned through either the capacity market or out-of-market PPAs. Although the energy market is currently the largest electricity market in the New England wholesale construct by a large margin, EPCET’s modeled future energy market decreases significantly in volume over time. By 2035, the combined values of the modeled capacity market and out-of-market PPAs overtake the modeled energy market.</w:t>
      </w:r>
    </w:p>
    <w:p w14:paraId="2AAF902D" w14:textId="77777777" w:rsidR="00095A44" w:rsidRDefault="00095A44" w:rsidP="00095A44">
      <w:pPr>
        <w:pStyle w:val="Heading4"/>
      </w:pPr>
      <w:r>
        <w:t>Nuclear Baseload Resources</w:t>
      </w:r>
    </w:p>
    <w:p w14:paraId="2C3AE365" w14:textId="6313FF2C" w:rsidR="00095A44" w:rsidRPr="002A6440" w:rsidRDefault="00095A44" w:rsidP="00095A44">
      <w:pPr>
        <w:rPr>
          <w:highlight w:val="lightGray"/>
        </w:rPr>
      </w:pPr>
      <w:r>
        <w:t xml:space="preserve">When renewable generation exceeds demand for longer stretches of time, driving extended periods of negative LMPs, any baseload resources that lack an outside revenue stream like a PPA </w:t>
      </w:r>
      <w:r w:rsidR="003B6EBD">
        <w:t>are</w:t>
      </w:r>
      <w:r>
        <w:t xml:space="preserve"> subject to substantial negative revenues. EPCET’s Stakeholder-Requested Sensitivity shows that baseload nuclear resources are at particular risk of exposure to periods of negative LMPs, since they cannot increase or decrease their output quickly. As a result, they continue generating energy through long periods of negative LMPs, reducing their energy market revenues.</w:t>
      </w:r>
      <w:r>
        <w:rPr>
          <w:rStyle w:val="FootnoteReference"/>
        </w:rPr>
        <w:footnoteReference w:id="15"/>
      </w:r>
    </w:p>
    <w:p w14:paraId="6A325362" w14:textId="77777777" w:rsidR="00095A44" w:rsidRPr="008F6863" w:rsidRDefault="00095A44" w:rsidP="00095A44">
      <w:pPr>
        <w:pStyle w:val="Heading3"/>
      </w:pPr>
      <w:bookmarkStart w:id="23" w:name="_Ref171427353"/>
      <w:bookmarkStart w:id="24" w:name="_Toc174535854"/>
      <w:r>
        <w:t>Reliability Adder</w:t>
      </w:r>
      <w:bookmarkEnd w:id="23"/>
      <w:bookmarkEnd w:id="24"/>
    </w:p>
    <w:p w14:paraId="27B5D190" w14:textId="77777777" w:rsidR="00095A44" w:rsidRPr="008F6863" w:rsidRDefault="00095A44" w:rsidP="00095A44">
      <w:r>
        <w:t xml:space="preserve">One sensitivity of the Policy Scenario illustrates the possible effects of a reliability adder on revenue adequacy. This adder would effectively increase the bids of dispatchable resources in the energy </w:t>
      </w:r>
      <w:r>
        <w:lastRenderedPageBreak/>
        <w:t xml:space="preserve">market to help ensure that the region’s largest zero-carbon baseload resource (a nuclear generator) remains revenue adequate. In the model, the value of the adder is adjusted such that the time-weighted average LMP supports the nuclear resource’s revenue adequacy. This adder has no direct impact on resources that only earn revenue through PPAs, since their profitability is largely independent of energy market prices. </w:t>
      </w:r>
    </w:p>
    <w:p w14:paraId="05353791" w14:textId="77777777" w:rsidR="00095A44" w:rsidRDefault="00095A44" w:rsidP="00095A44">
      <w:r>
        <w:t xml:space="preserve">Non-PPA dispatchable resources tend to earn more revenue in the reliability adder sensitivity’s energy market than they do in the sensitivity without reliability adders. These increased energy market revenues consequently lower expected capacity revenues for dispatchable resources. However, as the modeled years progress and decarbonization accelerates, dispatchable generation runs less frequently. As a result, the adder portion of the time-weighted average LMP must rise significantly toward the end of the study horizon, since dispatchable resources increasingly rely on the adder for revenue adequacy. This leads to increasingly volatile LMPs. </w:t>
      </w:r>
    </w:p>
    <w:p w14:paraId="65A15645" w14:textId="77777777" w:rsidR="00095A44" w:rsidRDefault="00095A44" w:rsidP="00095A44">
      <w:r>
        <w:t>The value of the adder itself also varies significantly from modeled year to modeled year, since the amount of dispatchable generation will vary significantly depending on the severity of winters, and predicting an adequate adder value in advance of the relevant period is difficult.</w:t>
      </w:r>
    </w:p>
    <w:p w14:paraId="79776F6D" w14:textId="77777777" w:rsidR="00095A44" w:rsidRDefault="00095A44" w:rsidP="00095A44">
      <w:pPr>
        <w:pStyle w:val="Heading3"/>
      </w:pPr>
      <w:bookmarkStart w:id="25" w:name="_Ref170826065"/>
      <w:bookmarkStart w:id="26" w:name="_Toc174535855"/>
      <w:r>
        <w:t>Discretionary Load</w:t>
      </w:r>
      <w:bookmarkEnd w:id="25"/>
      <w:bookmarkEnd w:id="26"/>
    </w:p>
    <w:p w14:paraId="75FAAB0B" w14:textId="25D3E0CC" w:rsidR="00095A44" w:rsidRDefault="00095A44" w:rsidP="00095A44">
      <w:r>
        <w:t>Another sensitivity of the Policy Scenario explores how discretionary load might help reduce peak demand, curtailments</w:t>
      </w:r>
      <w:r w:rsidR="003B6EBD">
        <w:t>,</w:t>
      </w:r>
      <w:r>
        <w:t xml:space="preserve"> periods of negative LMPs, and PPA prices. Discretionary load </w:t>
      </w:r>
      <w:r w:rsidR="003B6EBD">
        <w:t xml:space="preserve">is an operational strategy that </w:t>
      </w:r>
      <w:r>
        <w:t>shift</w:t>
      </w:r>
      <w:r w:rsidR="003B6EBD">
        <w:t>s</w:t>
      </w:r>
      <w:r>
        <w:t xml:space="preserve"> certain components of load from peak times to off-peak times. In doing so, discretionary load can reduce peak demand, and also “absorb” supply during times of high renewable production and negative LMPs. EPCET modeling deploys discretionary load using hydrogen electrolyzers, since these would have the added benefit of producing zero-carbon fuel.</w:t>
      </w:r>
      <w:r w:rsidRPr="1A798D71">
        <w:rPr>
          <w:vertAlign w:val="superscript"/>
        </w:rPr>
        <w:footnoteReference w:id="16"/>
      </w:r>
      <w:r>
        <w:t xml:space="preserve"> In reality, discretionary load could take various other forms, including the strategic use of EV charging, smart appliances</w:t>
      </w:r>
      <w:r w:rsidR="009B48E6">
        <w:t>,</w:t>
      </w:r>
      <w:r>
        <w:t xml:space="preserve"> and industrial processes and data centers.</w:t>
      </w:r>
    </w:p>
    <w:p w14:paraId="2C80CE57" w14:textId="1B4AAB0D" w:rsidR="00095A44" w:rsidRPr="00AE63B0" w:rsidRDefault="00095A44" w:rsidP="00095A44">
      <w:r>
        <w:t xml:space="preserve">Analysis shows that discretionary load does not significantly alleviate the challenging winter peak demand and low supply periods discussed in section </w:t>
      </w:r>
      <w:r>
        <w:rPr>
          <w:highlight w:val="yellow"/>
        </w:rPr>
        <w:fldChar w:fldCharType="begin"/>
      </w:r>
      <w:r>
        <w:instrText xml:space="preserve"> REF _Ref167888683 \r \h </w:instrText>
      </w:r>
      <w:r>
        <w:rPr>
          <w:highlight w:val="yellow"/>
        </w:rPr>
      </w:r>
      <w:r>
        <w:rPr>
          <w:highlight w:val="yellow"/>
        </w:rPr>
        <w:fldChar w:fldCharType="separate"/>
      </w:r>
      <w:r w:rsidR="00D8633C">
        <w:t>1.1</w:t>
      </w:r>
      <w:r>
        <w:rPr>
          <w:highlight w:val="yellow"/>
        </w:rPr>
        <w:fldChar w:fldCharType="end"/>
      </w:r>
      <w:r>
        <w:t>. These peaks will be driven by heating demand, which may be difficult or impossible to shift. While EV charging or heating could be delayed by a few hours, heating in particular cannot be delayed for longer time periods.</w:t>
      </w:r>
      <w:r>
        <w:rPr>
          <w:rStyle w:val="FootnoteReference"/>
        </w:rPr>
        <w:footnoteReference w:id="17"/>
      </w:r>
      <w:r>
        <w:t xml:space="preserve"> </w:t>
      </w:r>
    </w:p>
    <w:p w14:paraId="6478B77F" w14:textId="3E195D55" w:rsidR="00095A44" w:rsidRDefault="00095A44" w:rsidP="00095A44">
      <w:pPr>
        <w:rPr>
          <w:highlight w:val="lightGray"/>
        </w:rPr>
      </w:pPr>
      <w:r>
        <w:t xml:space="preserve">Discretionary load does, however, alleviate some of </w:t>
      </w:r>
      <w:r w:rsidR="003B6EBD">
        <w:t>the economic concerns raised earlier</w:t>
      </w:r>
      <w:r>
        <w:t xml:space="preserve">. Sustained periods of negative LMPs in the later years of analysis, when renewable production far exceeds demand, are particularly ripe for activating discretionary loads. Since the later years of the Policy Scenario require vast </w:t>
      </w:r>
      <w:r w:rsidR="00BB1691">
        <w:t>build-out</w:t>
      </w:r>
      <w:r>
        <w:t xml:space="preserve">s of renewables to serve peak demand, particularly beyond 2040, and much of this modeled </w:t>
      </w:r>
      <w:r w:rsidR="00BB1691">
        <w:t>build-out</w:t>
      </w:r>
      <w:r>
        <w:t xml:space="preserve"> sits idle for most hours of the year, discretionary loads could be incentivized financially to absorb available but otherwise unused renewable energy.</w:t>
      </w:r>
    </w:p>
    <w:p w14:paraId="06245F74" w14:textId="667D91ED" w:rsidR="00095A44" w:rsidRDefault="00095A44" w:rsidP="00095A44">
      <w:r>
        <w:t xml:space="preserve">Since the large renewable </w:t>
      </w:r>
      <w:r w:rsidR="00BB1691">
        <w:t>build-out</w:t>
      </w:r>
      <w:r>
        <w:t xml:space="preserve"> provides significant surplus energy in off-peak periods, expanding discretionary load also results in fewer curtailments, less frequent periods of negative </w:t>
      </w:r>
      <w:r>
        <w:lastRenderedPageBreak/>
        <w:t xml:space="preserve">LMPs, and lower expected PPA prices. The addition of discretionary load to absorb excess supply results in notable improvements in economic efficiency. </w:t>
      </w:r>
    </w:p>
    <w:p w14:paraId="3C6E903A" w14:textId="77777777" w:rsidR="00095A44" w:rsidRDefault="00095A44" w:rsidP="00095A44">
      <w:pPr>
        <w:pStyle w:val="Heading3"/>
      </w:pPr>
      <w:bookmarkStart w:id="27" w:name="_Toc174535856"/>
      <w:r>
        <w:t>Opportunities for Exports</w:t>
      </w:r>
      <w:bookmarkEnd w:id="27"/>
    </w:p>
    <w:p w14:paraId="789FC58D" w14:textId="3FFB1AEA" w:rsidR="00095A44" w:rsidRDefault="00095A44" w:rsidP="00095A44">
      <w:r>
        <w:t xml:space="preserve">As New England’s zero-carbon resource portfolio continues to expand, periods of renewable energy surplus will present opportunities for exports to neighboring regions. In one modeled weather year of the Policy Scenario’s 2050 </w:t>
      </w:r>
      <w:r w:rsidR="00BB1691">
        <w:t>build-out</w:t>
      </w:r>
      <w:r>
        <w:t xml:space="preserve">, renewables produce 18% more zero-cost energy than needed to meet the region’s total annual demand, resulting in a corresponding level of curtailment. Such conditions present significant opportunities to export excess generation to other regions at times when New England supply exceeds demand. One Policy Scenario sensitivity, described in more detail in section </w:t>
      </w:r>
      <w:r>
        <w:fldChar w:fldCharType="begin"/>
      </w:r>
      <w:r>
        <w:instrText xml:space="preserve"> REF _Ref172030154 \r \h </w:instrText>
      </w:r>
      <w:r>
        <w:fldChar w:fldCharType="separate"/>
      </w:r>
      <w:r w:rsidR="00D8633C">
        <w:t>1.7.1</w:t>
      </w:r>
      <w:r>
        <w:fldChar w:fldCharType="end"/>
      </w:r>
      <w:r w:rsidRPr="006E0313">
        <w:t>,</w:t>
      </w:r>
      <w:r>
        <w:t xml:space="preserve"> explores carbon-neutral synthetic natural gas (SNG) production, which would balance the grid by decreasing curtailments and requiring fewer renewable resources. However, despite a reduction in curtailments, this sensitivity’s modeled system still produces surplus zero-cost renewable energy, suggesting export opportunities will exist under a variety of possible future conditions.</w:t>
      </w:r>
    </w:p>
    <w:p w14:paraId="246AB32D" w14:textId="77777777" w:rsidR="00095A44" w:rsidRDefault="00095A44" w:rsidP="00095A44">
      <w:pPr>
        <w:spacing w:after="0" w:line="240" w:lineRule="auto"/>
      </w:pPr>
      <w:r>
        <w:t>Opportunities for exports become especially relevant during hours of peak renewable production, which may not always align with local demand peaks. Exporting surplus renewable electricity could help mitigate the economic downsides of curtailment, optimize the grid’s use of assets, and support neighboring regions in their decarbonization efforts. This strategy could also enhance the economic viability of renewable investments in New England by opening up new revenue streams through energy sales, which could foster a more resilient and balanced regional energy market. This would, however, depend on the policies of neighboring regions, which fall outside the scope of this study.</w:t>
      </w:r>
    </w:p>
    <w:p w14:paraId="1D556EC4" w14:textId="6CFC6F86" w:rsidR="46E04B02" w:rsidRDefault="46E04B02" w:rsidP="46E04B02">
      <w:pPr>
        <w:spacing w:after="0" w:line="240" w:lineRule="auto"/>
      </w:pPr>
    </w:p>
    <w:p w14:paraId="3285624C" w14:textId="4F30D3C4" w:rsidR="00952C64" w:rsidRPr="0034768C" w:rsidRDefault="6EB3FF26" w:rsidP="003E3E1C">
      <w:pPr>
        <w:pStyle w:val="Heading2"/>
      </w:pPr>
      <w:bookmarkStart w:id="28" w:name="_Ref173830592"/>
      <w:bookmarkStart w:id="29" w:name="_Toc174535857"/>
      <w:r>
        <w:t>Firm, dispatchable, zero-carbon generation could help address challenges.</w:t>
      </w:r>
      <w:r w:rsidRPr="6EB3FF26">
        <w:rPr>
          <w:highlight w:val="lightGray"/>
        </w:rPr>
        <w:t> </w:t>
      </w:r>
      <w:bookmarkEnd w:id="28"/>
      <w:bookmarkEnd w:id="29"/>
    </w:p>
    <w:p w14:paraId="3C7D1F3C" w14:textId="1B6BB0DD" w:rsidR="00E30B8E" w:rsidRDefault="001422E9" w:rsidP="0096348D">
      <w:bookmarkStart w:id="30" w:name="_Ref166594862"/>
      <w:r>
        <w:t xml:space="preserve">Previous sections have emphasized the importance of dispatchable generation in a highly variable system. </w:t>
      </w:r>
      <w:r w:rsidR="632D5B51">
        <w:t xml:space="preserve">To avoid fossil-fuel burning generation entirely, the future system will require vast quantities of </w:t>
      </w:r>
      <w:r w:rsidR="00D80C82">
        <w:t>seasonal</w:t>
      </w:r>
      <w:r w:rsidR="632D5B51">
        <w:t xml:space="preserve"> storage, or a firm supply of zero-carbon fuel. Although the technology for zero-carbon dispatchable generation exists, the expense of necessary retrofits to existing generators, fuel delivery upgrades, and an uncertain storage and supply chain may be significant barriers to deployment at scale. A technology or fuel that requires minimal generator modification and little to no pipeline/storage upgrades could be most cost-effective under current market </w:t>
      </w:r>
      <w:r w:rsidR="004019D1">
        <w:t xml:space="preserve">rules, and </w:t>
      </w:r>
      <w:r>
        <w:t>would</w:t>
      </w:r>
      <w:r w:rsidR="004019D1">
        <w:t xml:space="preserve"> help meet the winter peak demands noted in section </w:t>
      </w:r>
      <w:r w:rsidR="004019D1">
        <w:fldChar w:fldCharType="begin"/>
      </w:r>
      <w:r w:rsidR="004019D1">
        <w:instrText xml:space="preserve"> REF _Ref167888683 \r \h </w:instrText>
      </w:r>
      <w:r w:rsidR="004019D1">
        <w:fldChar w:fldCharType="separate"/>
      </w:r>
      <w:r w:rsidR="00D8633C">
        <w:t>1.1</w:t>
      </w:r>
      <w:r w:rsidR="004019D1">
        <w:fldChar w:fldCharType="end"/>
      </w:r>
      <w:r w:rsidR="004019D1">
        <w:t>.</w:t>
      </w:r>
      <w:r w:rsidR="000C1737">
        <w:t xml:space="preserve"> This section explores synthetic natural gas (SNG) and small modular nuclear reactors</w:t>
      </w:r>
      <w:r w:rsidR="00AA416C">
        <w:t xml:space="preserve"> (SMR</w:t>
      </w:r>
      <w:r w:rsidR="00481795">
        <w:t>s</w:t>
      </w:r>
      <w:r w:rsidR="00AA416C">
        <w:t>)</w:t>
      </w:r>
      <w:r w:rsidR="000C1737">
        <w:t xml:space="preserve"> as possibilities in a future grid.</w:t>
      </w:r>
      <w:r>
        <w:t xml:space="preserve"> The goal of analysis is not to </w:t>
      </w:r>
      <w:r w:rsidR="009B48E6">
        <w:t xml:space="preserve">show </w:t>
      </w:r>
      <w:r>
        <w:t xml:space="preserve">preference </w:t>
      </w:r>
      <w:r w:rsidR="009B48E6">
        <w:t xml:space="preserve">for </w:t>
      </w:r>
      <w:r>
        <w:t>any one resource type over another, but rather to simulate how a generic zero-carbon fuel might support reliability in the future grid.</w:t>
      </w:r>
    </w:p>
    <w:p w14:paraId="1CB7311A" w14:textId="1A4D435B" w:rsidR="000C1737" w:rsidRDefault="006959B6" w:rsidP="00E95148">
      <w:pPr>
        <w:jc w:val="center"/>
      </w:pPr>
      <w:r>
        <w:rPr>
          <w:noProof/>
        </w:rPr>
        <w:lastRenderedPageBreak/>
        <w:drawing>
          <wp:inline distT="0" distB="0" distL="0" distR="0" wp14:anchorId="211DAD3D" wp14:editId="4D7DBD12">
            <wp:extent cx="5943600" cy="3569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3569335"/>
                    </a:xfrm>
                    <a:prstGeom prst="rect">
                      <a:avLst/>
                    </a:prstGeom>
                  </pic:spPr>
                </pic:pic>
              </a:graphicData>
            </a:graphic>
          </wp:inline>
        </w:drawing>
      </w:r>
    </w:p>
    <w:p w14:paraId="0D90ABF2" w14:textId="69A15B12" w:rsidR="00F95F4C" w:rsidRDefault="00F95F4C" w:rsidP="000C1737">
      <w:pPr>
        <w:pStyle w:val="Heading3"/>
      </w:pPr>
      <w:bookmarkStart w:id="31" w:name="_Ref172030154"/>
      <w:bookmarkStart w:id="32" w:name="_Toc174535858"/>
      <w:bookmarkEnd w:id="30"/>
      <w:r>
        <w:t>Synthetic Natural Gas</w:t>
      </w:r>
      <w:bookmarkEnd w:id="31"/>
      <w:bookmarkEnd w:id="32"/>
    </w:p>
    <w:p w14:paraId="18C71648" w14:textId="6A839469" w:rsidR="00952C64" w:rsidRPr="00FA19A7" w:rsidRDefault="001247C5" w:rsidP="00952C64">
      <w:r>
        <w:t xml:space="preserve">One sensitivity of the Policy Scenario </w:t>
      </w:r>
      <w:r w:rsidR="00D80C82">
        <w:t>models the introduction of</w:t>
      </w:r>
      <w:r>
        <w:t xml:space="preserve"> </w:t>
      </w:r>
      <w:r w:rsidR="000C1737">
        <w:t>SNG</w:t>
      </w:r>
      <w:r>
        <w:t xml:space="preserve"> </w:t>
      </w:r>
      <w:r w:rsidR="004019D1">
        <w:t>between now and</w:t>
      </w:r>
      <w:r w:rsidR="75E7E30B">
        <w:t xml:space="preserve"> 2050</w:t>
      </w:r>
      <w:r w:rsidR="09625581">
        <w:t>, since SNG</w:t>
      </w:r>
      <w:r>
        <w:t xml:space="preserve"> is carbon-neutral and</w:t>
      </w:r>
      <w:r w:rsidR="09625581">
        <w:t xml:space="preserve"> can la</w:t>
      </w:r>
      <w:r w:rsidR="001C47DE">
        <w:t xml:space="preserve">rgely be delivered and stored </w:t>
      </w:r>
      <w:r w:rsidR="09625581">
        <w:t>using existing gas pipeline infrastructure.</w:t>
      </w:r>
      <w:r>
        <w:rPr>
          <w:rStyle w:val="FootnoteReference"/>
        </w:rPr>
        <w:footnoteReference w:id="18"/>
      </w:r>
      <w:r w:rsidR="09625581">
        <w:t xml:space="preserve"> Hydrogen </w:t>
      </w:r>
      <w:r w:rsidR="00F367B7">
        <w:t>presents a possible</w:t>
      </w:r>
      <w:r>
        <w:t xml:space="preserve"> alternative to SNG</w:t>
      </w:r>
      <w:r w:rsidR="09625581">
        <w:t>, but</w:t>
      </w:r>
      <w:r w:rsidR="004019D1">
        <w:t xml:space="preserve"> was not selected for analysis in EPCET due to</w:t>
      </w:r>
      <w:r w:rsidR="09625581">
        <w:t xml:space="preserve"> the lack of geographically feasible storage locations in New England</w:t>
      </w:r>
      <w:r w:rsidR="004019D1">
        <w:t>, and need for new pipeline infrastructure</w:t>
      </w:r>
      <w:r w:rsidR="09625581">
        <w:t>.</w:t>
      </w:r>
      <w:r w:rsidR="00F95F4C">
        <w:rPr>
          <w:rStyle w:val="FootnoteReference"/>
        </w:rPr>
        <w:footnoteReference w:id="19"/>
      </w:r>
    </w:p>
    <w:p w14:paraId="750EFFC6" w14:textId="7BEC24BE" w:rsidR="00952C64" w:rsidRPr="00FA19A7" w:rsidRDefault="33255E7F" w:rsidP="00952C64">
      <w:r>
        <w:t xml:space="preserve">SNG capacity expansion sensitivity results show that a </w:t>
      </w:r>
      <w:r w:rsidR="00D80C82">
        <w:t xml:space="preserve">renewable-dominant </w:t>
      </w:r>
      <w:r w:rsidR="00BB1691">
        <w:t>build-out</w:t>
      </w:r>
      <w:r>
        <w:t xml:space="preserve"> </w:t>
      </w:r>
      <w:r w:rsidR="006E52AB">
        <w:t xml:space="preserve">that </w:t>
      </w:r>
      <w:r w:rsidR="00D80C82">
        <w:t xml:space="preserve">also </w:t>
      </w:r>
      <w:r w:rsidR="006E52AB">
        <w:t>includes</w:t>
      </w:r>
      <w:r>
        <w:t xml:space="preserve"> 2</w:t>
      </w:r>
      <w:r w:rsidR="00F95F4C">
        <w:t>.1</w:t>
      </w:r>
      <w:r>
        <w:t xml:space="preserve"> GW of combined cycle </w:t>
      </w:r>
      <w:r w:rsidR="00F11A74">
        <w:t>resource</w:t>
      </w:r>
      <w:r>
        <w:t>s achieve</w:t>
      </w:r>
      <w:r w:rsidR="001422E9">
        <w:t>s</w:t>
      </w:r>
      <w:r>
        <w:t xml:space="preserve"> the states’ 2050 decarbonization targets while requiring 37% less new renewable capacity</w:t>
      </w:r>
      <w:r w:rsidR="00F95F4C">
        <w:t xml:space="preserve"> than the base Policy Scenario</w:t>
      </w:r>
      <w:r>
        <w:t xml:space="preserve">. This SNG </w:t>
      </w:r>
      <w:r w:rsidR="00BB1691">
        <w:t>build-out</w:t>
      </w:r>
      <w:r>
        <w:t xml:space="preserve"> also reduce</w:t>
      </w:r>
      <w:r w:rsidR="001422E9">
        <w:t>s</w:t>
      </w:r>
      <w:r>
        <w:t xml:space="preserve"> curtailment, resulting in a more efficient system. Carbon-free pipeline fuel would lessen future transmission upgrades if</w:t>
      </w:r>
      <w:r w:rsidR="007C02F8">
        <w:t xml:space="preserve"> such</w:t>
      </w:r>
      <w:r>
        <w:t xml:space="preserve"> capacity w</w:t>
      </w:r>
      <w:r w:rsidR="007C02F8">
        <w:t>as</w:t>
      </w:r>
      <w:r>
        <w:t xml:space="preserve"> located closer to load, and </w:t>
      </w:r>
      <w:r w:rsidR="00E95148">
        <w:t>enable the region to</w:t>
      </w:r>
      <w:r>
        <w:t xml:space="preserve"> reuse existing energy infrastructure.</w:t>
      </w:r>
    </w:p>
    <w:p w14:paraId="28AE7C9C" w14:textId="758A8A6B" w:rsidR="00952C64" w:rsidRDefault="33255E7F" w:rsidP="00952C64">
      <w:r>
        <w:t xml:space="preserve">Due to high fuel costs, </w:t>
      </w:r>
      <w:r w:rsidRPr="009E267A">
        <w:rPr>
          <w:i/>
        </w:rPr>
        <w:t>production costs</w:t>
      </w:r>
      <w:r>
        <w:t xml:space="preserve"> would be higher in an SNG </w:t>
      </w:r>
      <w:r w:rsidR="00BB1691">
        <w:t>build-out</w:t>
      </w:r>
      <w:r>
        <w:t xml:space="preserve"> than a non-SNG system—but </w:t>
      </w:r>
      <w:r w:rsidRPr="009E267A">
        <w:rPr>
          <w:i/>
        </w:rPr>
        <w:t>total costs</w:t>
      </w:r>
      <w:r>
        <w:t xml:space="preserve"> would be lower, since the system would require </w:t>
      </w:r>
      <w:r w:rsidR="001422E9">
        <w:t xml:space="preserve">a smaller renewable </w:t>
      </w:r>
      <w:r w:rsidR="00BB1691">
        <w:t>build-out</w:t>
      </w:r>
      <w:r>
        <w:t xml:space="preserve">. Such a system would also experience fewer periods of negative LMPs, which would allow generators to earn more revenue in the energy market. It is important to note, however, that the winter gas and pipeline constraints affecting LNG and natural gas in today’s system could remain in the future. If this trend persists, an SNG-centric dispatchable fleet </w:t>
      </w:r>
      <w:r w:rsidR="00F95F4C">
        <w:t xml:space="preserve">that relies on the same </w:t>
      </w:r>
      <w:r w:rsidR="00F95F4C">
        <w:lastRenderedPageBreak/>
        <w:t xml:space="preserve">underlying infrastructure used for natural gas today </w:t>
      </w:r>
      <w:r>
        <w:t xml:space="preserve">would likely continue to experience tight winter conditions.  </w:t>
      </w:r>
    </w:p>
    <w:p w14:paraId="177E29D9" w14:textId="04DE750C" w:rsidR="009204AC" w:rsidRDefault="33255E7F" w:rsidP="58044220">
      <w:pPr>
        <w:spacing w:after="0" w:line="240" w:lineRule="auto"/>
      </w:pPr>
      <w:r>
        <w:t xml:space="preserve">Fossil fuel-burning resources may also be more competitive than zero-carbon fuels like SNG under current market structures. The </w:t>
      </w:r>
      <w:r w:rsidR="00D80C82">
        <w:t>EPCET model</w:t>
      </w:r>
      <w:r>
        <w:t>’s</w:t>
      </w:r>
      <w:r w:rsidR="00D80C82">
        <w:t xml:space="preserve"> assumed</w:t>
      </w:r>
      <w:r>
        <w:t xml:space="preserve"> SNG price</w:t>
      </w:r>
      <w:r w:rsidR="00D80C82">
        <w:t xml:space="preserve"> is</w:t>
      </w:r>
      <w:r>
        <w:t xml:space="preserve"> $40/MMBtu, and cost assumptions for hydrogen in similar studies are around $30-35/MMBtu. Current prices for natural gas are around $2-6/MMBtu, and oil prices typically range between $10 and $20/MMBtu. Absent a carbon price or a Renewable Energy Credit (REC) for the zero-carbon fuel, the zero-carbon fuel may be less economical than carbon-emitting fuels.</w:t>
      </w:r>
      <w:r w:rsidR="0049703E">
        <w:rPr>
          <w:rStyle w:val="FootnoteReference"/>
        </w:rPr>
        <w:footnoteReference w:id="20"/>
      </w:r>
      <w:r>
        <w:t xml:space="preserve"> </w:t>
      </w:r>
    </w:p>
    <w:p w14:paraId="76B1AFDC" w14:textId="0F6BBAD8" w:rsidR="0049703E" w:rsidRDefault="0049703E" w:rsidP="58044220">
      <w:pPr>
        <w:spacing w:after="0" w:line="240" w:lineRule="auto"/>
      </w:pPr>
    </w:p>
    <w:p w14:paraId="32EBB76D" w14:textId="572809A4" w:rsidR="0049703E" w:rsidRDefault="0049703E" w:rsidP="000C1737">
      <w:pPr>
        <w:pStyle w:val="Heading3"/>
      </w:pPr>
      <w:bookmarkStart w:id="33" w:name="_Toc174535859"/>
      <w:r>
        <w:t>Small Modular Reactors</w:t>
      </w:r>
      <w:bookmarkEnd w:id="33"/>
    </w:p>
    <w:p w14:paraId="5EFA82BE" w14:textId="622C660E" w:rsidR="000A54F9" w:rsidRPr="000A54F9" w:rsidRDefault="000A54F9" w:rsidP="000A54F9">
      <w:pPr>
        <w:rPr>
          <w:rFonts w:ascii="Calibri" w:hAnsi="Calibri"/>
        </w:rPr>
      </w:pPr>
      <w:r>
        <w:t>EPCET also explore</w:t>
      </w:r>
      <w:r w:rsidR="00D80C82">
        <w:t>s</w:t>
      </w:r>
      <w:r>
        <w:t xml:space="preserve"> the use of small modular nuclear reactors as a fuel-secure, dispatchable, zero-carbon alternative to SNG. Legacy nuclear generators usually provide between 200 and 1000+ MW of capacity. SMRs are smaller, theoretical reactor</w:t>
      </w:r>
      <w:r w:rsidR="001F1C0D">
        <w:t>s</w:t>
      </w:r>
      <w:r>
        <w:t xml:space="preserve"> with more flexibility and fewer safety concerns than previous designs. </w:t>
      </w:r>
    </w:p>
    <w:p w14:paraId="210EE90B" w14:textId="09F80711" w:rsidR="000A54F9" w:rsidRDefault="006E52AB" w:rsidP="000A54F9">
      <w:r>
        <w:t>SMR results show that a</w:t>
      </w:r>
      <w:r w:rsidR="00D80C82">
        <w:t xml:space="preserve"> renewable-dominant</w:t>
      </w:r>
      <w:r>
        <w:t xml:space="preserve"> </w:t>
      </w:r>
      <w:r w:rsidR="00BB1691">
        <w:t>build-out</w:t>
      </w:r>
      <w:r>
        <w:t xml:space="preserve"> that</w:t>
      </w:r>
      <w:r w:rsidR="00D80C82">
        <w:t xml:space="preserve"> also</w:t>
      </w:r>
      <w:r>
        <w:t xml:space="preserve"> includes</w:t>
      </w:r>
      <w:r w:rsidR="000A54F9">
        <w:t xml:space="preserve"> 15.1 GW of SMRs </w:t>
      </w:r>
      <w:r>
        <w:t>achieve</w:t>
      </w:r>
      <w:r w:rsidR="001422E9">
        <w:t>s</w:t>
      </w:r>
      <w:r>
        <w:t xml:space="preserve"> the states’ 2050 decarbonization targets while requiring 57% less new renewable capacity than the base Policy Scenario. As with SNG, c</w:t>
      </w:r>
      <w:r w:rsidR="000A54F9">
        <w:t>urtailment</w:t>
      </w:r>
      <w:r w:rsidR="00D80C82">
        <w:t xml:space="preserve"> also decreases</w:t>
      </w:r>
      <w:r w:rsidR="000A54F9">
        <w:t xml:space="preserve">. Overall capital costs </w:t>
      </w:r>
      <w:r>
        <w:t xml:space="preserve">of </w:t>
      </w:r>
      <w:r w:rsidR="001E7354">
        <w:t xml:space="preserve">a </w:t>
      </w:r>
      <w:r w:rsidR="00BB1691">
        <w:t>build-out</w:t>
      </w:r>
      <w:r w:rsidR="001E7354">
        <w:t xml:space="preserve"> that includes</w:t>
      </w:r>
      <w:r>
        <w:t xml:space="preserve"> SMR</w:t>
      </w:r>
      <w:r w:rsidR="001E7354">
        <w:t>s</w:t>
      </w:r>
      <w:r>
        <w:t xml:space="preserve"> </w:t>
      </w:r>
      <w:r w:rsidR="00D80C82">
        <w:t>a</w:t>
      </w:r>
      <w:r>
        <w:t>re</w:t>
      </w:r>
      <w:r w:rsidR="000A54F9">
        <w:t xml:space="preserve"> 33% lower </w:t>
      </w:r>
      <w:r>
        <w:t>than the base case</w:t>
      </w:r>
      <w:r w:rsidR="000A54F9">
        <w:t xml:space="preserve">. </w:t>
      </w:r>
    </w:p>
    <w:p w14:paraId="390A4A5A" w14:textId="02CC74B8" w:rsidR="009A65D0" w:rsidRPr="00FA19A7" w:rsidRDefault="006E52AB" w:rsidP="000C1737">
      <w:r>
        <w:t xml:space="preserve">Since SMRs are a new technology, lacking any </w:t>
      </w:r>
      <w:r w:rsidR="000A54F9">
        <w:t xml:space="preserve">significant existing supply chain, cost assumptions are </w:t>
      </w:r>
      <w:r>
        <w:t>highly</w:t>
      </w:r>
      <w:r w:rsidR="000A54F9">
        <w:t xml:space="preserve"> uncertain. </w:t>
      </w:r>
      <w:r w:rsidR="005C1ED3">
        <w:t>To incorporate some of</w:t>
      </w:r>
      <w:r w:rsidR="000A54F9">
        <w:t xml:space="preserve"> this uncertainty</w:t>
      </w:r>
      <w:r w:rsidR="005C1ED3">
        <w:t xml:space="preserve"> in its forecasts</w:t>
      </w:r>
      <w:r w:rsidR="000A54F9">
        <w:t xml:space="preserve">, </w:t>
      </w:r>
      <w:r w:rsidR="00D80C82">
        <w:t xml:space="preserve">EPCET also </w:t>
      </w:r>
      <w:r w:rsidR="001E7354">
        <w:t>simulates</w:t>
      </w:r>
      <w:r w:rsidR="00D80C82">
        <w:t xml:space="preserve"> </w:t>
      </w:r>
      <w:r w:rsidR="001E7354">
        <w:t xml:space="preserve">SMR-inclusive </w:t>
      </w:r>
      <w:r w:rsidR="00BB1691">
        <w:t>build-out</w:t>
      </w:r>
      <w:r w:rsidR="001E7354">
        <w:t xml:space="preserve">s </w:t>
      </w:r>
      <w:r w:rsidR="00D80C82">
        <w:t xml:space="preserve">with double </w:t>
      </w:r>
      <w:r>
        <w:t>the original cost assumptions</w:t>
      </w:r>
      <w:r w:rsidR="000A54F9">
        <w:t xml:space="preserve">. </w:t>
      </w:r>
      <w:r w:rsidR="005C1ED3">
        <w:t xml:space="preserve">Despite increased build costs, </w:t>
      </w:r>
      <w:r w:rsidR="001422E9">
        <w:t>results show it is</w:t>
      </w:r>
      <w:r w:rsidR="000A54F9">
        <w:t xml:space="preserve"> still</w:t>
      </w:r>
      <w:r w:rsidR="001422E9">
        <w:t xml:space="preserve"> more economical to</w:t>
      </w:r>
      <w:r w:rsidR="000A54F9">
        <w:t xml:space="preserve"> </w:t>
      </w:r>
      <w:r w:rsidR="001422E9">
        <w:t>include</w:t>
      </w:r>
      <w:r w:rsidR="000A54F9">
        <w:t xml:space="preserve"> 10</w:t>
      </w:r>
      <w:r>
        <w:t xml:space="preserve"> G</w:t>
      </w:r>
      <w:r w:rsidR="000A54F9">
        <w:t>W of SMRs</w:t>
      </w:r>
      <w:r w:rsidR="001F6354">
        <w:t xml:space="preserve"> versus the base case</w:t>
      </w:r>
      <w:r w:rsidR="000A54F9">
        <w:t>, with</w:t>
      </w:r>
      <w:r>
        <w:t xml:space="preserve"> the remainder of needed capacity made up by</w:t>
      </w:r>
      <w:r w:rsidR="000A54F9">
        <w:t xml:space="preserve"> additional wind,</w:t>
      </w:r>
      <w:r>
        <w:t xml:space="preserve"> solar</w:t>
      </w:r>
      <w:r w:rsidR="000A54F9">
        <w:t xml:space="preserve"> and energy storage. </w:t>
      </w:r>
      <w:r>
        <w:t xml:space="preserve">Curtailment </w:t>
      </w:r>
      <w:r w:rsidR="009A65D0">
        <w:t>i</w:t>
      </w:r>
      <w:r w:rsidR="001E7354">
        <w:t>s more frequent</w:t>
      </w:r>
      <w:r w:rsidR="000A54F9">
        <w:t xml:space="preserve">, but overall utilization of </w:t>
      </w:r>
      <w:r>
        <w:t>renewable</w:t>
      </w:r>
      <w:r w:rsidR="000A54F9">
        <w:t xml:space="preserve"> resources </w:t>
      </w:r>
      <w:r w:rsidR="009A65D0">
        <w:t>improves</w:t>
      </w:r>
      <w:r>
        <w:t xml:space="preserve"> over the base case</w:t>
      </w:r>
      <w:r w:rsidR="000A54F9">
        <w:t xml:space="preserve">. </w:t>
      </w:r>
      <w:r>
        <w:t>Overall</w:t>
      </w:r>
      <w:r w:rsidR="000A54F9">
        <w:t xml:space="preserve"> capital costs </w:t>
      </w:r>
      <w:r w:rsidR="009A65D0">
        <w:t>a</w:t>
      </w:r>
      <w:r w:rsidR="000A54F9">
        <w:t>re 7% lower</w:t>
      </w:r>
      <w:r>
        <w:t xml:space="preserve"> than the base case,</w:t>
      </w:r>
      <w:r w:rsidR="000A54F9">
        <w:t xml:space="preserve"> despite the </w:t>
      </w:r>
      <w:r>
        <w:t>doubled</w:t>
      </w:r>
      <w:r w:rsidR="000A54F9">
        <w:t xml:space="preserve"> </w:t>
      </w:r>
      <w:r w:rsidR="001422E9">
        <w:t>SMR cost assumption</w:t>
      </w:r>
      <w:r w:rsidR="000A54F9">
        <w:t xml:space="preserve">. </w:t>
      </w:r>
    </w:p>
    <w:p w14:paraId="248E1149" w14:textId="7D4C7D5D" w:rsidR="000168A7" w:rsidRDefault="001F1C0D" w:rsidP="000168A7">
      <w:pPr>
        <w:pStyle w:val="Heading2"/>
      </w:pPr>
      <w:bookmarkStart w:id="34" w:name="_Toc174535860"/>
      <w:bookmarkStart w:id="35" w:name="_Ref164263506"/>
      <w:r>
        <w:t>D</w:t>
      </w:r>
      <w:r w:rsidR="3CF1E4F3">
        <w:t>ifficult minimum load conditions, energy adequacy challenges, an</w:t>
      </w:r>
      <w:r w:rsidR="00A6333C">
        <w:t>d potential system congestion</w:t>
      </w:r>
      <w:r>
        <w:t xml:space="preserve"> may appear</w:t>
      </w:r>
      <w:r w:rsidR="00A6333C">
        <w:t xml:space="preserve"> by</w:t>
      </w:r>
      <w:r w:rsidR="3CF1E4F3">
        <w:t xml:space="preserve"> the 2030s.</w:t>
      </w:r>
      <w:bookmarkEnd w:id="34"/>
    </w:p>
    <w:p w14:paraId="41FFE0A3" w14:textId="13F6D144" w:rsidR="006809C2" w:rsidRDefault="33255E7F" w:rsidP="008E00D0">
      <w:r>
        <w:t xml:space="preserve">Much of this report has focused on </w:t>
      </w:r>
      <w:r w:rsidR="00BB1691">
        <w:t>build-out</w:t>
      </w:r>
      <w:r>
        <w:t xml:space="preserve"> challenges related to the later years of the state policy horizon,</w:t>
      </w:r>
      <w:r w:rsidR="00A6333C">
        <w:t xml:space="preserve"> but operational challenges begi</w:t>
      </w:r>
      <w:r>
        <w:t xml:space="preserve">n to appear sooner in the study’s timeline. Production cost analysis of 2032 </w:t>
      </w:r>
      <w:r w:rsidR="00304B5F">
        <w:t xml:space="preserve">(EPCET’s </w:t>
      </w:r>
      <w:r>
        <w:t>Market Effic</w:t>
      </w:r>
      <w:r w:rsidR="00A6333C">
        <w:t>iency Needs Scenario</w:t>
      </w:r>
      <w:r w:rsidR="00304B5F">
        <w:t>)</w:t>
      </w:r>
      <w:r w:rsidR="00A6333C">
        <w:t xml:space="preserve"> illustrates</w:t>
      </w:r>
      <w:r>
        <w:t xml:space="preserve"> challen</w:t>
      </w:r>
      <w:r w:rsidR="00A6333C">
        <w:t>ges related to duck curve days and</w:t>
      </w:r>
      <w:r>
        <w:t xml:space="preserve"> energy adequacy, and potential congestion on transmission lines.</w:t>
      </w:r>
    </w:p>
    <w:p w14:paraId="7939E359" w14:textId="64D106D4" w:rsidR="000168A7" w:rsidRDefault="6EB3FF26" w:rsidP="000168A7">
      <w:pPr>
        <w:pStyle w:val="Heading3"/>
      </w:pPr>
      <w:bookmarkStart w:id="36" w:name="_Toc174535861"/>
      <w:r>
        <w:t>Challenging Minimum Load Conditions</w:t>
      </w:r>
      <w:bookmarkEnd w:id="36"/>
    </w:p>
    <w:p w14:paraId="35E60FD5" w14:textId="1FDA9B8F" w:rsidR="00DB6276" w:rsidRDefault="001E6451" w:rsidP="39979031">
      <w:r>
        <w:t xml:space="preserve">Grid </w:t>
      </w:r>
      <w:r w:rsidR="005C71A1">
        <w:t>reliability</w:t>
      </w:r>
      <w:r w:rsidR="38FCA216">
        <w:t xml:space="preserve"> must</w:t>
      </w:r>
      <w:r w:rsidR="005C71A1">
        <w:t xml:space="preserve"> be</w:t>
      </w:r>
      <w:r w:rsidR="38FCA216">
        <w:t xml:space="preserve"> maintain</w:t>
      </w:r>
      <w:r w:rsidR="005C71A1">
        <w:t>ed</w:t>
      </w:r>
      <w:r w:rsidR="38FCA216">
        <w:t xml:space="preserve"> during </w:t>
      </w:r>
      <w:hyperlink r:id="rId38" w:history="1">
        <w:r w:rsidR="38FCA216" w:rsidRPr="001F6354">
          <w:rPr>
            <w:rStyle w:val="Hyperlink"/>
            <w:i/>
            <w:iCs/>
          </w:rPr>
          <w:t>duck curve</w:t>
        </w:r>
        <w:r w:rsidR="38FCA216" w:rsidRPr="001F6354">
          <w:rPr>
            <w:rStyle w:val="Hyperlink"/>
          </w:rPr>
          <w:t xml:space="preserve"> days</w:t>
        </w:r>
      </w:hyperlink>
      <w:r w:rsidR="38FCA216">
        <w:t>,</w:t>
      </w:r>
      <w:r w:rsidR="007B2CA7">
        <w:t xml:space="preserve"> when </w:t>
      </w:r>
      <w:r>
        <w:t xml:space="preserve">behind-the-meter photovoltaics (BTM-PV) cause </w:t>
      </w:r>
      <w:r w:rsidR="007B2CA7">
        <w:t xml:space="preserve">demand for grid electricity </w:t>
      </w:r>
      <w:r>
        <w:t xml:space="preserve">to </w:t>
      </w:r>
      <w:r w:rsidR="007B2CA7">
        <w:t>drop significantly during daylight hours.</w:t>
      </w:r>
      <w:r w:rsidR="38FCA216" w:rsidRPr="38FCA216">
        <w:rPr>
          <w:i/>
          <w:iCs/>
        </w:rPr>
        <w:t xml:space="preserve"> </w:t>
      </w:r>
      <w:r w:rsidR="007B2CA7">
        <w:t xml:space="preserve">These days </w:t>
      </w:r>
      <w:r w:rsidR="00481795">
        <w:t xml:space="preserve">are occurring with greater </w:t>
      </w:r>
      <w:r w:rsidR="38FCA216">
        <w:t>frequency</w:t>
      </w:r>
      <w:r w:rsidR="38FCA216" w:rsidRPr="38FCA216">
        <w:rPr>
          <w:i/>
          <w:iCs/>
        </w:rPr>
        <w:t xml:space="preserve"> </w:t>
      </w:r>
      <w:r w:rsidR="38FCA216">
        <w:t>in spring and fall</w:t>
      </w:r>
      <w:r w:rsidR="38FCA216" w:rsidRPr="38FCA216">
        <w:rPr>
          <w:i/>
          <w:iCs/>
        </w:rPr>
        <w:t>.</w:t>
      </w:r>
      <w:r w:rsidR="001F6354">
        <w:t xml:space="preserve"> </w:t>
      </w:r>
      <w:r w:rsidR="33255E7F">
        <w:t xml:space="preserve">With its large quantities of BTM-PV and electrified heating and transportation, </w:t>
      </w:r>
      <w:r w:rsidR="00481795">
        <w:t>EPCET’s</w:t>
      </w:r>
      <w:r w:rsidR="33255E7F">
        <w:t xml:space="preserve"> </w:t>
      </w:r>
      <w:r w:rsidR="00DB6276">
        <w:t xml:space="preserve">modeled </w:t>
      </w:r>
      <w:r w:rsidR="33255E7F">
        <w:t xml:space="preserve">2032 system </w:t>
      </w:r>
      <w:r w:rsidR="00DB6276">
        <w:t xml:space="preserve">experiences some </w:t>
      </w:r>
      <w:r w:rsidR="33255E7F">
        <w:t xml:space="preserve">duck curve days with </w:t>
      </w:r>
      <w:r w:rsidR="00481795">
        <w:t>unprecedented minimum net loads.</w:t>
      </w:r>
      <w:r w:rsidR="33255E7F">
        <w:t xml:space="preserve"> </w:t>
      </w:r>
      <w:r w:rsidR="001F6354">
        <w:t>M</w:t>
      </w:r>
      <w:r w:rsidR="33255E7F">
        <w:t xml:space="preserve">inimum load conditions are particularly relevant to the operational realities of </w:t>
      </w:r>
      <w:r w:rsidR="00AF2A27">
        <w:t xml:space="preserve">less flexible </w:t>
      </w:r>
      <w:r w:rsidR="00B208F6">
        <w:t xml:space="preserve">baseload </w:t>
      </w:r>
      <w:r w:rsidR="00F11A74">
        <w:t>resource</w:t>
      </w:r>
      <w:r w:rsidR="00B208F6">
        <w:t>s</w:t>
      </w:r>
      <w:r w:rsidR="001F6354">
        <w:t xml:space="preserve"> like the region’s existing</w:t>
      </w:r>
      <w:r w:rsidR="00DB6276">
        <w:t xml:space="preserve"> </w:t>
      </w:r>
      <w:r w:rsidR="33255E7F">
        <w:t xml:space="preserve">nuclear </w:t>
      </w:r>
      <w:r w:rsidR="00B539CB">
        <w:t>plants</w:t>
      </w:r>
      <w:r w:rsidR="001F6354">
        <w:t xml:space="preserve">, which </w:t>
      </w:r>
      <w:r w:rsidR="33255E7F">
        <w:t xml:space="preserve">must maintain a minimum </w:t>
      </w:r>
      <w:r w:rsidR="001F6354">
        <w:t xml:space="preserve">economic </w:t>
      </w:r>
      <w:r w:rsidR="33255E7F">
        <w:t>operating level</w:t>
      </w:r>
      <w:r w:rsidR="00481795">
        <w:t xml:space="preserve">, and consequently are not able to turn </w:t>
      </w:r>
      <w:r w:rsidR="00481795">
        <w:lastRenderedPageBreak/>
        <w:t>on and off quickly</w:t>
      </w:r>
      <w:r w:rsidR="33255E7F">
        <w:t>.</w:t>
      </w:r>
      <w:r w:rsidR="001F6354">
        <w:t xml:space="preserve"> Any minimum net load that falls below the fleet’s aggregate economic minimum could create operational challenges.</w:t>
      </w:r>
      <w:r w:rsidR="33255E7F">
        <w:t xml:space="preserve"> </w:t>
      </w:r>
    </w:p>
    <w:p w14:paraId="262A3F61" w14:textId="390EDBFB" w:rsidR="000168A7" w:rsidRDefault="33255E7F" w:rsidP="39979031">
      <w:r>
        <w:t xml:space="preserve">All weather years </w:t>
      </w:r>
      <w:r w:rsidR="00DB6276">
        <w:t>in the modeled 2032 system experience days in which the net load fa</w:t>
      </w:r>
      <w:r>
        <w:t>ll</w:t>
      </w:r>
      <w:r w:rsidR="00DB6276">
        <w:t>s</w:t>
      </w:r>
      <w:r>
        <w:t xml:space="preserve"> below </w:t>
      </w:r>
      <w:r w:rsidR="001F6354">
        <w:t>this threshold</w:t>
      </w:r>
      <w:r>
        <w:t>.</w:t>
      </w:r>
      <w:r w:rsidR="00DB6276">
        <w:t xml:space="preserve"> </w:t>
      </w:r>
      <w:r w:rsidR="001F6354">
        <w:t xml:space="preserve">The figure below shows the most pronounced duck curve in the modeled 2032 and </w:t>
      </w:r>
      <w:r w:rsidR="00C70FC4">
        <w:t xml:space="preserve">one of </w:t>
      </w:r>
      <w:r w:rsidR="001F6354">
        <w:t xml:space="preserve">the most pronounced </w:t>
      </w:r>
      <w:r w:rsidR="00052166">
        <w:t xml:space="preserve">observed </w:t>
      </w:r>
      <w:r w:rsidR="001F6354">
        <w:t>duck curve</w:t>
      </w:r>
      <w:r w:rsidR="00C70FC4">
        <w:t>s</w:t>
      </w:r>
      <w:r w:rsidR="001F6354">
        <w:t xml:space="preserve"> </w:t>
      </w:r>
      <w:r w:rsidR="00052166">
        <w:t>to-date</w:t>
      </w:r>
      <w:r w:rsidR="00DB6276">
        <w:t xml:space="preserve"> in relation to the existing New England nuclear fleet’s economic minimum level.</w:t>
      </w:r>
      <w:r w:rsidR="001F6354">
        <w:rPr>
          <w:rStyle w:val="FootnoteReference"/>
        </w:rPr>
        <w:footnoteReference w:id="21"/>
      </w:r>
      <w:r w:rsidR="00DB6276">
        <w:t xml:space="preserve"> </w:t>
      </w:r>
      <w:r>
        <w:t xml:space="preserve">The depth of the duck curve and related ramping requirements are expected to grow over time as more </w:t>
      </w:r>
      <w:r w:rsidR="00A61F6B">
        <w:t>BTM-</w:t>
      </w:r>
      <w:r>
        <w:t xml:space="preserve">PV comes online. </w:t>
      </w:r>
    </w:p>
    <w:p w14:paraId="1FB0E0C1" w14:textId="4EA6C9C5" w:rsidR="00DB6276" w:rsidRDefault="00F25FAE" w:rsidP="009B44CF">
      <w:pPr>
        <w:jc w:val="center"/>
      </w:pPr>
      <w:r>
        <w:rPr>
          <w:noProof/>
        </w:rPr>
        <w:drawing>
          <wp:inline distT="0" distB="0" distL="0" distR="0" wp14:anchorId="6F9762C1" wp14:editId="13809D7D">
            <wp:extent cx="5943600" cy="35699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3600" cy="3569970"/>
                    </a:xfrm>
                    <a:prstGeom prst="rect">
                      <a:avLst/>
                    </a:prstGeom>
                  </pic:spPr>
                </pic:pic>
              </a:graphicData>
            </a:graphic>
          </wp:inline>
        </w:drawing>
      </w:r>
    </w:p>
    <w:p w14:paraId="2B506A4D" w14:textId="3A5D66B7" w:rsidR="002C2EAE" w:rsidRDefault="002C2EAE" w:rsidP="002C2EAE">
      <w:pPr>
        <w:pStyle w:val="Heading4"/>
      </w:pPr>
      <w:r>
        <w:t>Possible Solutions to Challenging Minimum Loads</w:t>
      </w:r>
    </w:p>
    <w:p w14:paraId="29330F2D" w14:textId="366A6253" w:rsidR="000168A7" w:rsidRDefault="00DB6276" w:rsidP="09349665">
      <w:r>
        <w:t>EPCET’s model navigates c</w:t>
      </w:r>
      <w:r w:rsidR="0AE68553">
        <w:t>hal</w:t>
      </w:r>
      <w:r>
        <w:t>lenging minimum load conditions in</w:t>
      </w:r>
      <w:r w:rsidR="0AE68553">
        <w:t xml:space="preserve"> several ways</w:t>
      </w:r>
      <w:r>
        <w:t>, and these strategies would likely form part o</w:t>
      </w:r>
      <w:r w:rsidR="003674B3">
        <w:t>f a real-life operational response</w:t>
      </w:r>
      <w:r w:rsidR="00052166">
        <w:t xml:space="preserve">. </w:t>
      </w:r>
      <w:r w:rsidR="003674B3">
        <w:t>While the model navigates duck curves successfully</w:t>
      </w:r>
      <w:r w:rsidR="00052166">
        <w:t xml:space="preserve"> with the optimized use of storage, exports</w:t>
      </w:r>
      <w:r w:rsidR="0046622F">
        <w:t>,</w:t>
      </w:r>
      <w:r w:rsidR="00052166">
        <w:t xml:space="preserve"> and peakers, the real system is less optimized, and would likely not perform as well</w:t>
      </w:r>
      <w:r w:rsidR="003674B3">
        <w:t>.</w:t>
      </w:r>
      <w:r w:rsidR="003674B3">
        <w:rPr>
          <w:rStyle w:val="FootnoteReference"/>
        </w:rPr>
        <w:footnoteReference w:id="22"/>
      </w:r>
    </w:p>
    <w:p w14:paraId="26DA0D5D" w14:textId="0AFC5FD2" w:rsidR="000168A7" w:rsidRDefault="38FCA216" w:rsidP="000168A7">
      <w:r>
        <w:t>Alternate solutions may address the operational challenges of these extreme duck curve days. During the low net load hours of the analysis, locati</w:t>
      </w:r>
      <w:r w:rsidR="00822235">
        <w:t>onal marginal prices (LMPs) beco</w:t>
      </w:r>
      <w:r>
        <w:t>me</w:t>
      </w:r>
      <w:r w:rsidR="00822235">
        <w:t xml:space="preserve"> very</w:t>
      </w:r>
      <w:r>
        <w:t xml:space="preserve"> negative due to</w:t>
      </w:r>
      <w:r w:rsidR="00F61133">
        <w:t xml:space="preserve"> surplus energy</w:t>
      </w:r>
      <w:r w:rsidR="00822235">
        <w:t xml:space="preserve"> </w:t>
      </w:r>
      <w:r w:rsidR="00F61133">
        <w:t>from</w:t>
      </w:r>
      <w:r>
        <w:t xml:space="preserve"> wind and </w:t>
      </w:r>
      <w:r w:rsidR="00822235">
        <w:t>solar</w:t>
      </w:r>
      <w:r>
        <w:t xml:space="preserve"> resources</w:t>
      </w:r>
      <w:r w:rsidR="00822235">
        <w:t xml:space="preserve">. The discretionary load or </w:t>
      </w:r>
      <w:r w:rsidR="007F778C">
        <w:t>long-duration</w:t>
      </w:r>
      <w:r w:rsidR="00822235">
        <w:t xml:space="preserve"> storage mentioned in previous sections could be directed to take advantage of such conditions. I</w:t>
      </w:r>
      <w:r>
        <w:t xml:space="preserve">f other regions are not experiencing minimum load conditions, New England could export excess energy economically. And within New England, managed electric vehicle charging </w:t>
      </w:r>
      <w:r>
        <w:lastRenderedPageBreak/>
        <w:t>programs could schedule or encourage EV charging during the duck curve valleys. EV owners would benefit from low or negative</w:t>
      </w:r>
      <w:r w:rsidR="00822235">
        <w:t>ly</w:t>
      </w:r>
      <w:r>
        <w:t xml:space="preserve"> </w:t>
      </w:r>
      <w:r w:rsidR="00822235">
        <w:t>priced</w:t>
      </w:r>
      <w:r>
        <w:t xml:space="preserve"> energy, and may be attracted to the idea of using guaranteed low-to-zero carbon energy to charge their vehicles.</w:t>
      </w:r>
    </w:p>
    <w:p w14:paraId="20CE70A0" w14:textId="72832230" w:rsidR="08AF0D73" w:rsidRDefault="6EB3FF26" w:rsidP="08AF0D73">
      <w:pPr>
        <w:pStyle w:val="Heading3"/>
      </w:pPr>
      <w:bookmarkStart w:id="37" w:name="_Toc174535862"/>
      <w:r>
        <w:t>Energy Adequacy Concerns</w:t>
      </w:r>
      <w:bookmarkEnd w:id="37"/>
    </w:p>
    <w:p w14:paraId="55C92F4C" w14:textId="18D2D22D" w:rsidR="08AF0D73" w:rsidRDefault="00462672" w:rsidP="302AAE58">
      <w:r>
        <w:t xml:space="preserve">EPCET’s </w:t>
      </w:r>
      <w:r w:rsidR="3CF1E4F3">
        <w:t>2032 analysis</w:t>
      </w:r>
      <w:r>
        <w:t xml:space="preserve"> also </w:t>
      </w:r>
      <w:r w:rsidR="00004558">
        <w:t>forecasts</w:t>
      </w:r>
      <w:r>
        <w:t xml:space="preserve"> challenges related to energy adequacy</w:t>
      </w:r>
      <w:r w:rsidR="3CF1E4F3">
        <w:t xml:space="preserve">. In today’s grid, heating drives demand for natural gas, which results in stretches of time when </w:t>
      </w:r>
      <w:r w:rsidR="00B864DF">
        <w:t xml:space="preserve">some </w:t>
      </w:r>
      <w:r w:rsidR="3CF1E4F3">
        <w:t>electric generators cannot obtain gas, and the region relies on stored fuel</w:t>
      </w:r>
      <w:r w:rsidR="00552DAD">
        <w:t>s</w:t>
      </w:r>
      <w:r w:rsidR="3CF1E4F3">
        <w:t xml:space="preserve"> to meet electricity demand. Though winter gas constraints are expected to recede as </w:t>
      </w:r>
      <w:r w:rsidR="00AA5B14">
        <w:t xml:space="preserve">more natural gas </w:t>
      </w:r>
      <w:r w:rsidR="3CF1E4F3">
        <w:t xml:space="preserve">heating is </w:t>
      </w:r>
      <w:r w:rsidR="00AA5B14">
        <w:t xml:space="preserve">displaced by electric heat, the timing and pace of </w:t>
      </w:r>
      <w:r w:rsidR="006437A0">
        <w:t xml:space="preserve">this </w:t>
      </w:r>
      <w:r w:rsidR="00AA5B14">
        <w:t>regional conversion remains</w:t>
      </w:r>
      <w:r w:rsidR="3CF1E4F3">
        <w:t xml:space="preserve"> uncertain. If </w:t>
      </w:r>
      <w:r w:rsidR="00AA5B14">
        <w:t xml:space="preserve">the conversion of </w:t>
      </w:r>
      <w:r w:rsidR="3CF1E4F3">
        <w:t>fuel oil and wood heat</w:t>
      </w:r>
      <w:r w:rsidR="00AA5B14">
        <w:t xml:space="preserve">ing to electric heat pumps significantly outpaces the conversion of </w:t>
      </w:r>
      <w:r w:rsidR="3CF1E4F3">
        <w:t>natural gas heating</w:t>
      </w:r>
      <w:r w:rsidR="00AA5B14">
        <w:t xml:space="preserve"> to electric heat pumps</w:t>
      </w:r>
      <w:r w:rsidR="3CF1E4F3">
        <w:t xml:space="preserve">, New England could see additional electricity demand </w:t>
      </w:r>
      <w:r w:rsidR="00AA5B14">
        <w:t xml:space="preserve">from heating </w:t>
      </w:r>
      <w:r w:rsidR="3CF1E4F3">
        <w:t>without additional</w:t>
      </w:r>
      <w:r w:rsidR="00AA5B14">
        <w:t xml:space="preserve"> natural</w:t>
      </w:r>
      <w:r w:rsidR="3CF1E4F3">
        <w:t xml:space="preserve"> gas availability. </w:t>
      </w:r>
    </w:p>
    <w:p w14:paraId="2E7463C6" w14:textId="3A0B808B" w:rsidR="08AF0D73" w:rsidRDefault="00552DAD" w:rsidP="1B5796D3">
      <w:r>
        <w:t xml:space="preserve">Under </w:t>
      </w:r>
      <w:r w:rsidR="00F21B0D">
        <w:t>certain</w:t>
      </w:r>
      <w:r>
        <w:t xml:space="preserve"> winter weather conditions</w:t>
      </w:r>
      <w:r w:rsidR="00B0239C">
        <w:t xml:space="preserve">, </w:t>
      </w:r>
      <w:r>
        <w:t>EPCET’s</w:t>
      </w:r>
      <w:r w:rsidR="00B0239C">
        <w:t xml:space="preserve"> modeled </w:t>
      </w:r>
      <w:r>
        <w:t xml:space="preserve">2032 </w:t>
      </w:r>
      <w:r w:rsidR="00B0239C">
        <w:t>system</w:t>
      </w:r>
      <w:r w:rsidR="08AF0D73">
        <w:t xml:space="preserve"> require</w:t>
      </w:r>
      <w:r w:rsidR="00004558">
        <w:t>s</w:t>
      </w:r>
      <w:r w:rsidR="08AF0D73">
        <w:t xml:space="preserve"> </w:t>
      </w:r>
      <w:r w:rsidR="00F21B0D">
        <w:t>levels of stored fuels comparable to present-day consumption</w:t>
      </w:r>
      <w:r w:rsidR="08AF0D73">
        <w:t xml:space="preserve">. </w:t>
      </w:r>
      <w:r w:rsidR="00F21B0D">
        <w:t>The most severe weather year (2015)</w:t>
      </w:r>
      <w:r w:rsidR="00004558">
        <w:t>, for example, requires</w:t>
      </w:r>
      <w:r w:rsidR="08AF0D73">
        <w:t xml:space="preserve"> more </w:t>
      </w:r>
      <w:r w:rsidR="1B5796D3">
        <w:t>stored fuels</w:t>
      </w:r>
      <w:r w:rsidR="3B07A113">
        <w:t xml:space="preserve"> over a multi-day period</w:t>
      </w:r>
      <w:r w:rsidR="08AF0D73">
        <w:t xml:space="preserve"> than any historical ob</w:t>
      </w:r>
      <w:r w:rsidR="009B44CF">
        <w:t xml:space="preserve">servation between 2019 and 2023, illustrated below. </w:t>
      </w:r>
      <w:r w:rsidR="08AF0D73">
        <w:t>Though wind, solar and battery additions will help the region fill in these gaps in supply</w:t>
      </w:r>
      <w:r w:rsidR="009B44CF">
        <w:t>,</w:t>
      </w:r>
      <w:r w:rsidR="08AF0D73">
        <w:t xml:space="preserve"> the grid o</w:t>
      </w:r>
      <w:r w:rsidR="00B0239C">
        <w:t>f 2032 and beyond may sometimes</w:t>
      </w:r>
      <w:r w:rsidR="08AF0D73">
        <w:t xml:space="preserve"> require more </w:t>
      </w:r>
      <w:r w:rsidR="75E7E30B">
        <w:t xml:space="preserve">dispatchable generation </w:t>
      </w:r>
      <w:r w:rsidR="00F21B0D">
        <w:t xml:space="preserve">(either from stored fuels or an unconstrained fuel supply) </w:t>
      </w:r>
      <w:r w:rsidR="75E7E30B">
        <w:t>than it has in recent winter conditions</w:t>
      </w:r>
      <w:r w:rsidR="08AF0D73">
        <w:t xml:space="preserve">. </w:t>
      </w:r>
      <w:r w:rsidR="009B44CF">
        <w:t>Although p</w:t>
      </w:r>
      <w:r w:rsidR="08AF0D73">
        <w:t xml:space="preserve">ipeline availability in 2032 is </w:t>
      </w:r>
      <w:r w:rsidR="009B44CF">
        <w:t xml:space="preserve">uncertain, </w:t>
      </w:r>
      <w:r w:rsidR="08AF0D73">
        <w:t>this level of demand</w:t>
      </w:r>
      <w:r w:rsidR="75E7E30B">
        <w:t xml:space="preserve"> </w:t>
      </w:r>
      <w:r w:rsidR="009B44CF">
        <w:t xml:space="preserve">is </w:t>
      </w:r>
      <w:r w:rsidR="08AF0D73">
        <w:t>not sustainable under current pipeline conditions,</w:t>
      </w:r>
      <w:r w:rsidR="75E7E30B">
        <w:t xml:space="preserve"> given</w:t>
      </w:r>
      <w:r w:rsidR="3B07A113">
        <w:t xml:space="preserve"> the</w:t>
      </w:r>
      <w:r w:rsidR="75E7E30B">
        <w:t xml:space="preserve"> retirement of stored fuel resources</w:t>
      </w:r>
      <w:r w:rsidR="08AF0D73">
        <w:t>.</w:t>
      </w:r>
    </w:p>
    <w:p w14:paraId="6C259448" w14:textId="28793FB4" w:rsidR="00004558" w:rsidRDefault="00A84FAC" w:rsidP="00DD15F7">
      <w:pPr>
        <w:jc w:val="center"/>
      </w:pPr>
      <w:r>
        <w:t> </w:t>
      </w:r>
      <w:r w:rsidR="00376026">
        <w:rPr>
          <w:noProof/>
        </w:rPr>
        <w:pict w14:anchorId="76481B08">
          <v:shape id="_x0000_i1028" type="#_x0000_t75" style="width:381.75pt;height:229.4pt">
            <v:imagedata r:id="rId40" o:title="fig13"/>
          </v:shape>
        </w:pict>
      </w:r>
    </w:p>
    <w:p w14:paraId="163F5E5D" w14:textId="486AB137" w:rsidR="000168A7" w:rsidRDefault="6EB3FF26" w:rsidP="302AAE58">
      <w:pPr>
        <w:pStyle w:val="Heading3"/>
      </w:pPr>
      <w:bookmarkStart w:id="38" w:name="_Toc174535863"/>
      <w:r>
        <w:t>Congestion Points</w:t>
      </w:r>
      <w:bookmarkEnd w:id="38"/>
    </w:p>
    <w:p w14:paraId="2708171D" w14:textId="14715303" w:rsidR="4BB3826E" w:rsidRDefault="33255E7F" w:rsidP="032EE37E">
      <w:r>
        <w:t>The</w:t>
      </w:r>
      <w:r w:rsidR="00004558">
        <w:t xml:space="preserve"> model’s</w:t>
      </w:r>
      <w:r>
        <w:t xml:space="preserve"> base 2032 Market Efficiency Needs Scenario </w:t>
      </w:r>
      <w:r w:rsidR="00004558">
        <w:t>does not produce</w:t>
      </w:r>
      <w:r>
        <w:t xml:space="preserve"> significant congestion on the New England System. Most </w:t>
      </w:r>
      <w:r w:rsidR="00004558">
        <w:t xml:space="preserve">potential </w:t>
      </w:r>
      <w:r>
        <w:t xml:space="preserve">congestion </w:t>
      </w:r>
      <w:r w:rsidR="00004558">
        <w:t>is centered</w:t>
      </w:r>
      <w:r>
        <w:t xml:space="preserve"> in historically constrained areas in northern New England, but the ov</w:t>
      </w:r>
      <w:r w:rsidR="00004558">
        <w:t>erall frequency and magnitude i</w:t>
      </w:r>
      <w:r>
        <w:t xml:space="preserve">s relatively small. Some new congestion points </w:t>
      </w:r>
      <w:r w:rsidR="00004558">
        <w:t>appear</w:t>
      </w:r>
      <w:r>
        <w:t xml:space="preserve"> due to the</w:t>
      </w:r>
      <w:r w:rsidR="00004558">
        <w:t xml:space="preserve"> expected</w:t>
      </w:r>
      <w:r>
        <w:t xml:space="preserve"> development of offshore wind and distributed PV in southern New England, bu</w:t>
      </w:r>
      <w:r w:rsidR="00004558">
        <w:t>t the frequency and magnitude i</w:t>
      </w:r>
      <w:r>
        <w:t xml:space="preserve">s again relatively small. The </w:t>
      </w:r>
      <w:hyperlink r:id="rId41" w:history="1">
        <w:r w:rsidRPr="0003118C">
          <w:rPr>
            <w:rStyle w:val="Hyperlink"/>
          </w:rPr>
          <w:t xml:space="preserve">2050 </w:t>
        </w:r>
        <w:r w:rsidRPr="0003118C">
          <w:rPr>
            <w:rStyle w:val="Hyperlink"/>
          </w:rPr>
          <w:lastRenderedPageBreak/>
          <w:t>Transmission Study</w:t>
        </w:r>
      </w:hyperlink>
      <w:r>
        <w:t xml:space="preserve"> explores transmission concerns over the policy years in greater detail, and provides more granular data on congestion points and possible roadmaps for upgrades.</w:t>
      </w:r>
    </w:p>
    <w:p w14:paraId="01D9B6AF" w14:textId="1C0C992A" w:rsidR="00A34E66" w:rsidRDefault="6EB3FF26" w:rsidP="000C4E62">
      <w:pPr>
        <w:pStyle w:val="Heading1"/>
        <w:numPr>
          <w:ilvl w:val="0"/>
          <w:numId w:val="0"/>
        </w:numPr>
      </w:pPr>
      <w:bookmarkStart w:id="39" w:name="_Toc174535864"/>
      <w:bookmarkEnd w:id="35"/>
      <w:r>
        <w:lastRenderedPageBreak/>
        <w:t>Conclusion</w:t>
      </w:r>
      <w:bookmarkEnd w:id="39"/>
    </w:p>
    <w:p w14:paraId="46D9B796" w14:textId="27EF4DFF" w:rsidR="198C1129" w:rsidRDefault="3B07A113" w:rsidP="198C1129">
      <w:pPr>
        <w:rPr>
          <w:rStyle w:val="eop"/>
        </w:rPr>
      </w:pPr>
      <w:r w:rsidRPr="3B07A113">
        <w:t>In recent years, ISO New England has produced a suite of innovative studies to help explore reality-based paths to a clean future grid. These studies include forward-thinking frameworks to improve regional system planning, and actionable, creative ideas to assist policymakers and stakeholders in enacting change. This same creativity and flexibility will be necessary to move from the theoretical to the real as the clean energy transition accelerates.</w:t>
      </w:r>
    </w:p>
    <w:p w14:paraId="44099F54" w14:textId="5BA05B58" w:rsidR="672361B5" w:rsidRDefault="3CF1E4F3" w:rsidP="3CF1E4F3">
      <w:pPr>
        <w:rPr>
          <w:rFonts w:ascii="Calibri" w:eastAsia="Calibri" w:hAnsi="Calibri" w:cs="Calibri"/>
          <w:color w:val="000000"/>
        </w:rPr>
      </w:pPr>
      <w:r w:rsidRPr="3CF1E4F3">
        <w:t xml:space="preserve">EPCET results illustrate the highly variable nature of future supply and demand, which </w:t>
      </w:r>
      <w:r w:rsidR="00F21B0D">
        <w:t xml:space="preserve">result in </w:t>
      </w:r>
      <w:r w:rsidR="00FB2B60">
        <w:t xml:space="preserve">vast, </w:t>
      </w:r>
      <w:r w:rsidR="00F21B0D">
        <w:t>costly</w:t>
      </w:r>
      <w:r w:rsidRPr="3CF1E4F3">
        <w:t xml:space="preserve"> </w:t>
      </w:r>
      <w:r w:rsidR="00BB1691">
        <w:t>build-out</w:t>
      </w:r>
      <w:r w:rsidR="00F21B0D">
        <w:t>s of renewables that often sit idle</w:t>
      </w:r>
      <w:r w:rsidRPr="3CF1E4F3">
        <w:t xml:space="preserve">. Current market rules and other revenue structures may not scale well in a renewable-heavy grid, and the ISO is exploring alternate market structures within its jurisdiction. Other issues remain outside the ISO’s jurisdiction, but help alleviate challenges—for example, reducing overall demand and demand peaks, implementing a price on carbon to integrate climate goals into the energy market, and retaining and/or adding dispatchable resources to help maintain an </w:t>
      </w:r>
      <w:r w:rsidR="0000053F">
        <w:t>efficient</w:t>
      </w:r>
      <w:r w:rsidRPr="3CF1E4F3">
        <w:t xml:space="preserve"> and reliable grid.</w:t>
      </w:r>
    </w:p>
    <w:p w14:paraId="1869910D" w14:textId="175EE5A7" w:rsidR="672361B5" w:rsidRDefault="0000053F" w:rsidP="706B8C25">
      <w:pPr>
        <w:rPr>
          <w:rFonts w:ascii="Calibri" w:eastAsia="Calibri" w:hAnsi="Calibri" w:cs="Calibri"/>
          <w:color w:val="000000"/>
        </w:rPr>
      </w:pPr>
      <w:r>
        <w:t>E</w:t>
      </w:r>
      <w:r w:rsidR="706B8C25" w:rsidRPr="706B8C25">
        <w:t xml:space="preserve">liminating carbon emissions through complete electrification </w:t>
      </w:r>
      <w:r>
        <w:t xml:space="preserve">of </w:t>
      </w:r>
      <w:r w:rsidRPr="706B8C25">
        <w:t xml:space="preserve">the heating and transportation sectors </w:t>
      </w:r>
      <w:r w:rsidR="706B8C25" w:rsidRPr="706B8C25">
        <w:t xml:space="preserve">and </w:t>
      </w:r>
      <w:r w:rsidR="00FB2B60">
        <w:t>a near-</w:t>
      </w:r>
      <w:r w:rsidR="706B8C25" w:rsidRPr="706B8C25">
        <w:t xml:space="preserve">exclusive reliance on wind, solar, and storage </w:t>
      </w:r>
      <w:r>
        <w:t xml:space="preserve">to generate electric </w:t>
      </w:r>
      <w:r w:rsidR="706B8C25" w:rsidRPr="706B8C25">
        <w:t xml:space="preserve">power </w:t>
      </w:r>
      <w:r w:rsidR="00D452A9">
        <w:t>is</w:t>
      </w:r>
      <w:r w:rsidR="706B8C25" w:rsidRPr="706B8C25">
        <w:t xml:space="preserve"> possible</w:t>
      </w:r>
      <w:r>
        <w:t>,</w:t>
      </w:r>
      <w:r w:rsidR="706B8C25" w:rsidRPr="706B8C25">
        <w:t xml:space="preserve"> but </w:t>
      </w:r>
      <w:r>
        <w:t>involves</w:t>
      </w:r>
      <w:r w:rsidR="706B8C25" w:rsidRPr="706B8C25">
        <w:t xml:space="preserve"> </w:t>
      </w:r>
      <w:r>
        <w:t>significant</w:t>
      </w:r>
      <w:r w:rsidR="706B8C25" w:rsidRPr="706B8C25">
        <w:t xml:space="preserve"> cost and unresolved reliability concerns. This scenario places a high value on the decarbonization of the grid, but </w:t>
      </w:r>
      <w:r w:rsidR="00F559C5">
        <w:t>is</w:t>
      </w:r>
      <w:r w:rsidR="00FB2B60">
        <w:t xml:space="preserve"> </w:t>
      </w:r>
      <w:r w:rsidR="706B8C25" w:rsidRPr="706B8C25">
        <w:t xml:space="preserve">very expensive to </w:t>
      </w:r>
      <w:r w:rsidR="00FB2B60">
        <w:t>operate reliably</w:t>
      </w:r>
      <w:r w:rsidR="706B8C25" w:rsidRPr="706B8C25">
        <w:t xml:space="preserve">. As noted earlier, planning the future grid involves balancing reliability, </w:t>
      </w:r>
      <w:r w:rsidR="00FB2B60">
        <w:t>economic efficiency</w:t>
      </w:r>
      <w:r w:rsidR="706B8C25" w:rsidRPr="706B8C25">
        <w:t xml:space="preserve">, and carbon-neutrality. A variety of other paths are possible, each with different tradeoffs. </w:t>
      </w:r>
    </w:p>
    <w:p w14:paraId="461B82B8" w14:textId="1A7E1095" w:rsidR="672361B5" w:rsidRDefault="00FB2B60" w:rsidP="4B6E4757">
      <w:r>
        <w:t>Reducing carbon emissions requires</w:t>
      </w:r>
      <w:r w:rsidR="00185037">
        <w:t xml:space="preserve"> significant</w:t>
      </w:r>
      <w:r>
        <w:t xml:space="preserve"> financial investment. </w:t>
      </w:r>
      <w:r w:rsidR="4B6E4757" w:rsidRPr="4B6E4757">
        <w:t xml:space="preserve">Given current technology, the last </w:t>
      </w:r>
      <w:r>
        <w:t>few percentage points</w:t>
      </w:r>
      <w:r w:rsidR="4B6E4757" w:rsidRPr="4B6E4757">
        <w:t xml:space="preserve"> of reduction</w:t>
      </w:r>
      <w:r w:rsidR="00185037">
        <w:t>s</w:t>
      </w:r>
      <w:r w:rsidR="4B6E4757" w:rsidRPr="4B6E4757">
        <w:t xml:space="preserve"> </w:t>
      </w:r>
      <w:r w:rsidR="00F61E4A">
        <w:t>designed to decarbonize</w:t>
      </w:r>
      <w:r w:rsidR="00185037">
        <w:t xml:space="preserve"> a handful of winter days </w:t>
      </w:r>
      <w:r w:rsidR="4B6E4757" w:rsidRPr="4B6E4757">
        <w:t xml:space="preserve">will be </w:t>
      </w:r>
      <w:r>
        <w:t xml:space="preserve">the most </w:t>
      </w:r>
      <w:r w:rsidR="4B6E4757" w:rsidRPr="4B6E4757">
        <w:t>costly</w:t>
      </w:r>
      <w:r>
        <w:t xml:space="preserve"> of all</w:t>
      </w:r>
      <w:r w:rsidR="4B6E4757" w:rsidRPr="4B6E4757">
        <w:t xml:space="preserve">. </w:t>
      </w:r>
      <w:r w:rsidR="00185037">
        <w:t>Achieving</w:t>
      </w:r>
      <w:r w:rsidR="4B6E4757" w:rsidRPr="4B6E4757">
        <w:t xml:space="preserve"> the</w:t>
      </w:r>
      <w:r>
        <w:t>se</w:t>
      </w:r>
      <w:r w:rsidR="4B6E4757" w:rsidRPr="4B6E4757">
        <w:t xml:space="preserve"> last </w:t>
      </w:r>
      <w:r>
        <w:t xml:space="preserve">few percentage points </w:t>
      </w:r>
      <w:r w:rsidR="4B6E4757" w:rsidRPr="4B6E4757">
        <w:t>outside the power grid</w:t>
      </w:r>
      <w:r w:rsidR="00185037">
        <w:t xml:space="preserve"> may lessen costs</w:t>
      </w:r>
      <w:r w:rsidR="4B6E4757" w:rsidRPr="4B6E4757">
        <w:t>.</w:t>
      </w:r>
      <w:r>
        <w:t xml:space="preserve"> </w:t>
      </w:r>
    </w:p>
    <w:p w14:paraId="714ED415" w14:textId="06DD5BF7" w:rsidR="00DB1625" w:rsidRDefault="00DB1625" w:rsidP="00DB1625">
      <w:pPr>
        <w:spacing w:after="0" w:line="240" w:lineRule="auto"/>
      </w:pPr>
      <w:r w:rsidRPr="2AB58F87">
        <w:rPr>
          <w:rStyle w:val="normaltextrun"/>
          <w:color w:val="000000"/>
        </w:rPr>
        <w:t xml:space="preserve">As part of its responsibility to plan for a reliable future grid, ISO New England </w:t>
      </w:r>
      <w:r>
        <w:rPr>
          <w:rStyle w:val="normaltextrun"/>
          <w:color w:val="000000"/>
        </w:rPr>
        <w:t>assess</w:t>
      </w:r>
      <w:r w:rsidR="00A61F6B">
        <w:rPr>
          <w:rStyle w:val="normaltextrun"/>
          <w:color w:val="000000"/>
        </w:rPr>
        <w:t>es</w:t>
      </w:r>
      <w:r>
        <w:rPr>
          <w:rStyle w:val="normaltextrun"/>
          <w:color w:val="000000"/>
        </w:rPr>
        <w:t xml:space="preserve"> the need for future market rule enhancements to support the ongoing reliability and economy of the region’s grid</w:t>
      </w:r>
      <w:r w:rsidRPr="2AB58F87">
        <w:rPr>
          <w:rStyle w:val="normaltextrun"/>
          <w:color w:val="000000"/>
        </w:rPr>
        <w:t xml:space="preserve">. </w:t>
      </w:r>
      <w:r>
        <w:rPr>
          <w:rStyle w:val="normaltextrun"/>
          <w:color w:val="000000"/>
        </w:rPr>
        <w:t>While the precise nature of these enhancements requires further exploration, they could include new</w:t>
      </w:r>
      <w:r w:rsidRPr="2AB58F87">
        <w:rPr>
          <w:rStyle w:val="normaltextrun"/>
          <w:color w:val="000000"/>
        </w:rPr>
        <w:t xml:space="preserve"> ancillary services </w:t>
      </w:r>
      <w:r>
        <w:rPr>
          <w:rStyle w:val="normaltextrun"/>
          <w:color w:val="000000"/>
        </w:rPr>
        <w:t>intended to incentivize</w:t>
      </w:r>
      <w:r w:rsidRPr="2AB58F87">
        <w:rPr>
          <w:rStyle w:val="normaltextrun"/>
          <w:color w:val="000000"/>
        </w:rPr>
        <w:t xml:space="preserve"> the</w:t>
      </w:r>
      <w:r>
        <w:rPr>
          <w:rStyle w:val="normaltextrun"/>
          <w:color w:val="000000"/>
        </w:rPr>
        <w:t xml:space="preserve"> </w:t>
      </w:r>
      <w:r w:rsidRPr="2AB58F87">
        <w:rPr>
          <w:rStyle w:val="normaltextrun"/>
          <w:color w:val="000000"/>
        </w:rPr>
        <w:t>resource attributes that will become more important as the clean energy transition continues. EPCET, Pathways, FGRS, the 2050 Transmission Study and future economic studies will help inform this regional market development, and ensure that New England transitions to a cleaner grid in the most economical, reliable way possible.</w:t>
      </w:r>
    </w:p>
    <w:p w14:paraId="426BED93" w14:textId="77777777" w:rsidR="00DB1625" w:rsidRPr="00DB1625" w:rsidRDefault="00DB1625" w:rsidP="00DB1625">
      <w:pPr>
        <w:spacing w:after="0" w:line="240" w:lineRule="auto"/>
      </w:pPr>
    </w:p>
    <w:p w14:paraId="4B06418E" w14:textId="48B2D292" w:rsidR="198C1129" w:rsidRDefault="34F14EC2" w:rsidP="198C1129">
      <w:pPr>
        <w:rPr>
          <w:rStyle w:val="eop"/>
        </w:rPr>
      </w:pPr>
      <w:r>
        <w:t>ISO New England is committed to</w:t>
      </w:r>
      <w:r w:rsidR="00C750B8">
        <w:t xml:space="preserve"> working within its jurisdiction to support</w:t>
      </w:r>
      <w:r>
        <w:t xml:space="preserve"> the four pillars of the clean energy transition: </w:t>
      </w:r>
      <w:r w:rsidRPr="34F14EC2">
        <w:rPr>
          <w:b/>
          <w:bCs/>
        </w:rPr>
        <w:t>clean energy</w:t>
      </w:r>
      <w:r>
        <w:t xml:space="preserve"> resources, sufficient </w:t>
      </w:r>
      <w:r w:rsidRPr="34F14EC2">
        <w:rPr>
          <w:b/>
          <w:bCs/>
        </w:rPr>
        <w:t>balancing resources</w:t>
      </w:r>
      <w:r>
        <w:t xml:space="preserve">, </w:t>
      </w:r>
      <w:r w:rsidRPr="34F14EC2">
        <w:rPr>
          <w:b/>
          <w:bCs/>
        </w:rPr>
        <w:t>energy adequacy</w:t>
      </w:r>
      <w:r>
        <w:t xml:space="preserve"> and a </w:t>
      </w:r>
      <w:r w:rsidRPr="34F14EC2">
        <w:rPr>
          <w:b/>
          <w:bCs/>
        </w:rPr>
        <w:t>robust transmission</w:t>
      </w:r>
      <w:r>
        <w:t xml:space="preserve"> system. E</w:t>
      </w:r>
      <w:r w:rsidR="00332FFF">
        <w:t>PCET explores</w:t>
      </w:r>
      <w:r>
        <w:t xml:space="preserve"> the first three pillars in depth, and studies such as the 2050 Transmission Study support the fourth. Future work will continue to explore pathways to uphold these four pillars and provide stakeholders with actionable, rigorous studies to support decision-making at a crucial period in the history of the power grid.</w:t>
      </w:r>
    </w:p>
    <w:p w14:paraId="674DA2F4" w14:textId="5DCD1462" w:rsidR="198C1129" w:rsidRDefault="198C1129" w:rsidP="198C1129"/>
    <w:p w14:paraId="48E52F4C" w14:textId="0ECD1A58" w:rsidR="00995C4D" w:rsidRDefault="00995C4D">
      <w:pPr>
        <w:spacing w:after="200" w:line="276" w:lineRule="auto"/>
      </w:pPr>
    </w:p>
    <w:p w14:paraId="6C490FBF" w14:textId="77777777" w:rsidR="20A65796" w:rsidRDefault="20A65796" w:rsidP="20A65796"/>
    <w:p w14:paraId="2530A087" w14:textId="0579A536" w:rsidR="001E0FD7" w:rsidRDefault="000C4E62">
      <w:pPr>
        <w:pStyle w:val="TOC1"/>
        <w:rPr>
          <w:rFonts w:eastAsiaTheme="minorEastAsia" w:cstheme="minorBidi"/>
          <w:b w:val="0"/>
          <w:bCs w:val="0"/>
          <w:color w:val="auto"/>
          <w:sz w:val="22"/>
          <w:szCs w:val="22"/>
        </w:rPr>
      </w:pPr>
      <w:r>
        <w:lastRenderedPageBreak/>
        <w:fldChar w:fldCharType="begin"/>
      </w:r>
      <w:r w:rsidR="00E47056">
        <w:instrText>TOC \o "1-3" \h \z \u</w:instrText>
      </w:r>
      <w:r>
        <w:fldChar w:fldCharType="separate"/>
      </w:r>
      <w:hyperlink w:anchor="_Toc174535840" w:history="1">
        <w:r w:rsidR="001E0FD7" w:rsidRPr="00613633">
          <w:rPr>
            <w:rStyle w:val="Hyperlink"/>
          </w:rPr>
          <w:t>Preface</w:t>
        </w:r>
        <w:r w:rsidR="001E0FD7">
          <w:rPr>
            <w:webHidden/>
          </w:rPr>
          <w:tab/>
        </w:r>
        <w:r w:rsidR="001E0FD7">
          <w:rPr>
            <w:webHidden/>
          </w:rPr>
          <w:fldChar w:fldCharType="begin"/>
        </w:r>
        <w:r w:rsidR="001E0FD7">
          <w:rPr>
            <w:webHidden/>
          </w:rPr>
          <w:instrText xml:space="preserve"> PAGEREF _Toc174535840 \h </w:instrText>
        </w:r>
        <w:r w:rsidR="001E0FD7">
          <w:rPr>
            <w:webHidden/>
          </w:rPr>
        </w:r>
        <w:r w:rsidR="001E0FD7">
          <w:rPr>
            <w:webHidden/>
          </w:rPr>
          <w:fldChar w:fldCharType="separate"/>
        </w:r>
        <w:r w:rsidR="00D8633C">
          <w:rPr>
            <w:webHidden/>
          </w:rPr>
          <w:t>3</w:t>
        </w:r>
        <w:r w:rsidR="001E0FD7">
          <w:rPr>
            <w:webHidden/>
          </w:rPr>
          <w:fldChar w:fldCharType="end"/>
        </w:r>
      </w:hyperlink>
    </w:p>
    <w:p w14:paraId="558B0EAB" w14:textId="3E69F283" w:rsidR="001E0FD7" w:rsidRDefault="00D13508">
      <w:pPr>
        <w:pStyle w:val="TOC1"/>
        <w:rPr>
          <w:rFonts w:eastAsiaTheme="minorEastAsia" w:cstheme="minorBidi"/>
          <w:b w:val="0"/>
          <w:bCs w:val="0"/>
          <w:color w:val="auto"/>
          <w:sz w:val="22"/>
          <w:szCs w:val="22"/>
        </w:rPr>
      </w:pPr>
      <w:hyperlink w:anchor="_Toc174535841" w:history="1">
        <w:r w:rsidR="001E0FD7" w:rsidRPr="00613633">
          <w:rPr>
            <w:rStyle w:val="Hyperlink"/>
            <w:shd w:val="clear" w:color="auto" w:fill="FFFFFF"/>
          </w:rPr>
          <w:t>Key Findings</w:t>
        </w:r>
        <w:r w:rsidR="001E0FD7">
          <w:rPr>
            <w:webHidden/>
          </w:rPr>
          <w:tab/>
        </w:r>
        <w:r w:rsidR="001E0FD7">
          <w:rPr>
            <w:webHidden/>
          </w:rPr>
          <w:fldChar w:fldCharType="begin"/>
        </w:r>
        <w:r w:rsidR="001E0FD7">
          <w:rPr>
            <w:webHidden/>
          </w:rPr>
          <w:instrText xml:space="preserve"> PAGEREF _Toc174535841 \h </w:instrText>
        </w:r>
        <w:r w:rsidR="001E0FD7">
          <w:rPr>
            <w:webHidden/>
          </w:rPr>
        </w:r>
        <w:r w:rsidR="001E0FD7">
          <w:rPr>
            <w:webHidden/>
          </w:rPr>
          <w:fldChar w:fldCharType="separate"/>
        </w:r>
        <w:r w:rsidR="00D8633C">
          <w:rPr>
            <w:webHidden/>
          </w:rPr>
          <w:t>5</w:t>
        </w:r>
        <w:r w:rsidR="001E0FD7">
          <w:rPr>
            <w:webHidden/>
          </w:rPr>
          <w:fldChar w:fldCharType="end"/>
        </w:r>
      </w:hyperlink>
    </w:p>
    <w:p w14:paraId="52BE95BB" w14:textId="0DAC0E28" w:rsidR="001E0FD7" w:rsidRDefault="00D13508">
      <w:pPr>
        <w:pStyle w:val="TOC2"/>
        <w:rPr>
          <w:rFonts w:eastAsiaTheme="minorEastAsia"/>
          <w:color w:val="auto"/>
          <w:sz w:val="22"/>
          <w:szCs w:val="22"/>
        </w:rPr>
      </w:pPr>
      <w:hyperlink w:anchor="_Toc174535842" w:history="1">
        <w:r w:rsidR="001E0FD7" w:rsidRPr="00613633">
          <w:rPr>
            <w:rStyle w:val="Hyperlink"/>
          </w:rPr>
          <w:t>1.1 Most paths to a low-carbon grid involve high variability in demand and supply.</w:t>
        </w:r>
        <w:r w:rsidR="001E0FD7">
          <w:rPr>
            <w:webHidden/>
          </w:rPr>
          <w:tab/>
        </w:r>
        <w:r w:rsidR="001E0FD7">
          <w:rPr>
            <w:webHidden/>
          </w:rPr>
          <w:fldChar w:fldCharType="begin"/>
        </w:r>
        <w:r w:rsidR="001E0FD7">
          <w:rPr>
            <w:webHidden/>
          </w:rPr>
          <w:instrText xml:space="preserve"> PAGEREF _Toc174535842 \h </w:instrText>
        </w:r>
        <w:r w:rsidR="001E0FD7">
          <w:rPr>
            <w:webHidden/>
          </w:rPr>
        </w:r>
        <w:r w:rsidR="001E0FD7">
          <w:rPr>
            <w:webHidden/>
          </w:rPr>
          <w:fldChar w:fldCharType="separate"/>
        </w:r>
        <w:r w:rsidR="00D8633C">
          <w:rPr>
            <w:webHidden/>
          </w:rPr>
          <w:t>6</w:t>
        </w:r>
        <w:r w:rsidR="001E0FD7">
          <w:rPr>
            <w:webHidden/>
          </w:rPr>
          <w:fldChar w:fldCharType="end"/>
        </w:r>
      </w:hyperlink>
    </w:p>
    <w:p w14:paraId="7482F814" w14:textId="6AFE99EA" w:rsidR="001E0FD7" w:rsidRDefault="00D13508">
      <w:pPr>
        <w:pStyle w:val="TOC2"/>
        <w:rPr>
          <w:rFonts w:eastAsiaTheme="minorEastAsia"/>
          <w:color w:val="auto"/>
          <w:sz w:val="22"/>
          <w:szCs w:val="22"/>
        </w:rPr>
      </w:pPr>
      <w:hyperlink w:anchor="_Toc174535843" w:history="1">
        <w:r w:rsidR="001E0FD7" w:rsidRPr="00613633">
          <w:rPr>
            <w:rStyle w:val="Hyperlink"/>
          </w:rPr>
          <w:t>1.2 The large variation in peak demand will require vastly different supply from year to year. Some years will require all resources to operate. In other years, certain resources will run for just for a few hours, or not at all.</w:t>
        </w:r>
        <w:r w:rsidR="001E0FD7">
          <w:rPr>
            <w:webHidden/>
          </w:rPr>
          <w:tab/>
        </w:r>
        <w:r w:rsidR="001E0FD7">
          <w:rPr>
            <w:webHidden/>
          </w:rPr>
          <w:fldChar w:fldCharType="begin"/>
        </w:r>
        <w:r w:rsidR="001E0FD7">
          <w:rPr>
            <w:webHidden/>
          </w:rPr>
          <w:instrText xml:space="preserve"> PAGEREF _Toc174535843 \h </w:instrText>
        </w:r>
        <w:r w:rsidR="001E0FD7">
          <w:rPr>
            <w:webHidden/>
          </w:rPr>
        </w:r>
        <w:r w:rsidR="001E0FD7">
          <w:rPr>
            <w:webHidden/>
          </w:rPr>
          <w:fldChar w:fldCharType="separate"/>
        </w:r>
        <w:r w:rsidR="00D8633C">
          <w:rPr>
            <w:webHidden/>
          </w:rPr>
          <w:t>7</w:t>
        </w:r>
        <w:r w:rsidR="001E0FD7">
          <w:rPr>
            <w:webHidden/>
          </w:rPr>
          <w:fldChar w:fldCharType="end"/>
        </w:r>
      </w:hyperlink>
    </w:p>
    <w:p w14:paraId="5F740C9A" w14:textId="3E18C566" w:rsidR="001E0FD7" w:rsidRDefault="00D13508">
      <w:pPr>
        <w:pStyle w:val="TOC2"/>
        <w:rPr>
          <w:rFonts w:eastAsiaTheme="minorEastAsia"/>
          <w:color w:val="auto"/>
          <w:sz w:val="22"/>
          <w:szCs w:val="22"/>
        </w:rPr>
      </w:pPr>
      <w:hyperlink w:anchor="_Toc174535844" w:history="1">
        <w:r w:rsidR="001E0FD7" w:rsidRPr="00613633">
          <w:rPr>
            <w:rStyle w:val="Hyperlink"/>
          </w:rPr>
          <w:t>1.3 Emissions reductions will be seasonal. Some months will decarbonize years before others.</w:t>
        </w:r>
        <w:r w:rsidR="001E0FD7">
          <w:rPr>
            <w:webHidden/>
          </w:rPr>
          <w:tab/>
        </w:r>
        <w:r w:rsidR="001E0FD7">
          <w:rPr>
            <w:webHidden/>
          </w:rPr>
          <w:fldChar w:fldCharType="begin"/>
        </w:r>
        <w:r w:rsidR="001E0FD7">
          <w:rPr>
            <w:webHidden/>
          </w:rPr>
          <w:instrText xml:space="preserve"> PAGEREF _Toc174535844 \h </w:instrText>
        </w:r>
        <w:r w:rsidR="001E0FD7">
          <w:rPr>
            <w:webHidden/>
          </w:rPr>
        </w:r>
        <w:r w:rsidR="001E0FD7">
          <w:rPr>
            <w:webHidden/>
          </w:rPr>
          <w:fldChar w:fldCharType="separate"/>
        </w:r>
        <w:r w:rsidR="00D8633C">
          <w:rPr>
            <w:webHidden/>
          </w:rPr>
          <w:t>8</w:t>
        </w:r>
        <w:r w:rsidR="001E0FD7">
          <w:rPr>
            <w:webHidden/>
          </w:rPr>
          <w:fldChar w:fldCharType="end"/>
        </w:r>
      </w:hyperlink>
    </w:p>
    <w:p w14:paraId="02145B2C" w14:textId="250424A3" w:rsidR="001E0FD7" w:rsidRDefault="00D13508">
      <w:pPr>
        <w:pStyle w:val="TOC2"/>
        <w:rPr>
          <w:rFonts w:eastAsiaTheme="minorEastAsia"/>
          <w:color w:val="auto"/>
          <w:sz w:val="22"/>
          <w:szCs w:val="22"/>
        </w:rPr>
      </w:pPr>
      <w:hyperlink w:anchor="_Toc174535845" w:history="1">
        <w:r w:rsidR="001E0FD7" w:rsidRPr="00613633">
          <w:rPr>
            <w:rStyle w:val="Hyperlink"/>
          </w:rPr>
          <w:t>1.4 Renewable-only build-outs may be vast, and later additions of renewable resources could have diminishing environmental and economic returns.</w:t>
        </w:r>
        <w:r w:rsidR="001E0FD7">
          <w:rPr>
            <w:webHidden/>
          </w:rPr>
          <w:tab/>
        </w:r>
        <w:r w:rsidR="001E0FD7">
          <w:rPr>
            <w:webHidden/>
          </w:rPr>
          <w:fldChar w:fldCharType="begin"/>
        </w:r>
        <w:r w:rsidR="001E0FD7">
          <w:rPr>
            <w:webHidden/>
          </w:rPr>
          <w:instrText xml:space="preserve"> PAGEREF _Toc174535845 \h </w:instrText>
        </w:r>
        <w:r w:rsidR="001E0FD7">
          <w:rPr>
            <w:webHidden/>
          </w:rPr>
        </w:r>
        <w:r w:rsidR="001E0FD7">
          <w:rPr>
            <w:webHidden/>
          </w:rPr>
          <w:fldChar w:fldCharType="separate"/>
        </w:r>
        <w:r w:rsidR="00D8633C">
          <w:rPr>
            <w:webHidden/>
          </w:rPr>
          <w:t>9</w:t>
        </w:r>
        <w:r w:rsidR="001E0FD7">
          <w:rPr>
            <w:webHidden/>
          </w:rPr>
          <w:fldChar w:fldCharType="end"/>
        </w:r>
      </w:hyperlink>
    </w:p>
    <w:p w14:paraId="61FA57B0" w14:textId="7682CD19" w:rsidR="001E0FD7" w:rsidRDefault="00D13508">
      <w:pPr>
        <w:pStyle w:val="TOC3"/>
        <w:rPr>
          <w:rFonts w:eastAsiaTheme="minorEastAsia"/>
          <w:iCs w:val="0"/>
          <w:color w:val="auto"/>
          <w:sz w:val="22"/>
          <w:szCs w:val="22"/>
        </w:rPr>
      </w:pPr>
      <w:hyperlink w:anchor="_Toc174535846" w:history="1">
        <w:r w:rsidR="001E0FD7" w:rsidRPr="00613633">
          <w:rPr>
            <w:rStyle w:val="Hyperlink"/>
            <w14:scene3d>
              <w14:camera w14:prst="orthographicFront"/>
              <w14:lightRig w14:rig="threePt" w14:dir="t">
                <w14:rot w14:lat="0" w14:lon="0" w14:rev="0"/>
              </w14:lightRig>
            </w14:scene3d>
          </w:rPr>
          <w:t>1.4.1</w:t>
        </w:r>
        <w:r w:rsidR="001E0FD7" w:rsidRPr="00613633">
          <w:rPr>
            <w:rStyle w:val="Hyperlink"/>
          </w:rPr>
          <w:t xml:space="preserve"> Scale of Renewable Build-Outs</w:t>
        </w:r>
        <w:r w:rsidR="001E0FD7">
          <w:rPr>
            <w:webHidden/>
          </w:rPr>
          <w:tab/>
        </w:r>
        <w:r w:rsidR="001E0FD7">
          <w:rPr>
            <w:webHidden/>
          </w:rPr>
          <w:fldChar w:fldCharType="begin"/>
        </w:r>
        <w:r w:rsidR="001E0FD7">
          <w:rPr>
            <w:webHidden/>
          </w:rPr>
          <w:instrText xml:space="preserve"> PAGEREF _Toc174535846 \h </w:instrText>
        </w:r>
        <w:r w:rsidR="001E0FD7">
          <w:rPr>
            <w:webHidden/>
          </w:rPr>
        </w:r>
        <w:r w:rsidR="001E0FD7">
          <w:rPr>
            <w:webHidden/>
          </w:rPr>
          <w:fldChar w:fldCharType="separate"/>
        </w:r>
        <w:r w:rsidR="00D8633C">
          <w:rPr>
            <w:webHidden/>
          </w:rPr>
          <w:t>10</w:t>
        </w:r>
        <w:r w:rsidR="001E0FD7">
          <w:rPr>
            <w:webHidden/>
          </w:rPr>
          <w:fldChar w:fldCharType="end"/>
        </w:r>
      </w:hyperlink>
    </w:p>
    <w:p w14:paraId="5C02D753" w14:textId="7B79925F" w:rsidR="001E0FD7" w:rsidRDefault="00D13508">
      <w:pPr>
        <w:pStyle w:val="TOC2"/>
        <w:rPr>
          <w:rFonts w:eastAsiaTheme="minorEastAsia"/>
          <w:color w:val="auto"/>
          <w:sz w:val="22"/>
          <w:szCs w:val="22"/>
        </w:rPr>
      </w:pPr>
      <w:hyperlink w:anchor="_Toc174535847" w:history="1">
        <w:r w:rsidR="001E0FD7" w:rsidRPr="00613633">
          <w:rPr>
            <w:rStyle w:val="Hyperlink"/>
          </w:rPr>
          <w:t>1.5 Higher variability will increase the value of current and future dispatchable resources, including long-duration storage.</w:t>
        </w:r>
        <w:r w:rsidR="001E0FD7">
          <w:rPr>
            <w:webHidden/>
          </w:rPr>
          <w:tab/>
        </w:r>
        <w:r w:rsidR="001E0FD7">
          <w:rPr>
            <w:webHidden/>
          </w:rPr>
          <w:fldChar w:fldCharType="begin"/>
        </w:r>
        <w:r w:rsidR="001E0FD7">
          <w:rPr>
            <w:webHidden/>
          </w:rPr>
          <w:instrText xml:space="preserve"> PAGEREF _Toc174535847 \h </w:instrText>
        </w:r>
        <w:r w:rsidR="001E0FD7">
          <w:rPr>
            <w:webHidden/>
          </w:rPr>
        </w:r>
        <w:r w:rsidR="001E0FD7">
          <w:rPr>
            <w:webHidden/>
          </w:rPr>
          <w:fldChar w:fldCharType="separate"/>
        </w:r>
        <w:r w:rsidR="00D8633C">
          <w:rPr>
            <w:webHidden/>
          </w:rPr>
          <w:t>13</w:t>
        </w:r>
        <w:r w:rsidR="001E0FD7">
          <w:rPr>
            <w:webHidden/>
          </w:rPr>
          <w:fldChar w:fldCharType="end"/>
        </w:r>
      </w:hyperlink>
    </w:p>
    <w:p w14:paraId="740B7A91" w14:textId="20A2C743" w:rsidR="001E0FD7" w:rsidRDefault="00D13508">
      <w:pPr>
        <w:pStyle w:val="TOC3"/>
        <w:rPr>
          <w:rFonts w:eastAsiaTheme="minorEastAsia"/>
          <w:iCs w:val="0"/>
          <w:color w:val="auto"/>
          <w:sz w:val="22"/>
          <w:szCs w:val="22"/>
        </w:rPr>
      </w:pPr>
      <w:hyperlink w:anchor="_Toc174535848" w:history="1">
        <w:r w:rsidR="001E0FD7" w:rsidRPr="00613633">
          <w:rPr>
            <w:rStyle w:val="Hyperlink"/>
            <w14:scene3d>
              <w14:camera w14:prst="orthographicFront"/>
              <w14:lightRig w14:rig="threePt" w14:dir="t">
                <w14:rot w14:lat="0" w14:lon="0" w14:rev="0"/>
              </w14:lightRig>
            </w14:scene3d>
          </w:rPr>
          <w:t>1.5.1</w:t>
        </w:r>
        <w:r w:rsidR="001E0FD7" w:rsidRPr="00613633">
          <w:rPr>
            <w:rStyle w:val="Hyperlink"/>
          </w:rPr>
          <w:t xml:space="preserve"> Assessing the Need for Dispatchable Resources</w:t>
        </w:r>
        <w:r w:rsidR="001E0FD7">
          <w:rPr>
            <w:webHidden/>
          </w:rPr>
          <w:tab/>
        </w:r>
        <w:r w:rsidR="001E0FD7">
          <w:rPr>
            <w:webHidden/>
          </w:rPr>
          <w:fldChar w:fldCharType="begin"/>
        </w:r>
        <w:r w:rsidR="001E0FD7">
          <w:rPr>
            <w:webHidden/>
          </w:rPr>
          <w:instrText xml:space="preserve"> PAGEREF _Toc174535848 \h </w:instrText>
        </w:r>
        <w:r w:rsidR="001E0FD7">
          <w:rPr>
            <w:webHidden/>
          </w:rPr>
        </w:r>
        <w:r w:rsidR="001E0FD7">
          <w:rPr>
            <w:webHidden/>
          </w:rPr>
          <w:fldChar w:fldCharType="separate"/>
        </w:r>
        <w:r w:rsidR="00D8633C">
          <w:rPr>
            <w:webHidden/>
          </w:rPr>
          <w:t>13</w:t>
        </w:r>
        <w:r w:rsidR="001E0FD7">
          <w:rPr>
            <w:webHidden/>
          </w:rPr>
          <w:fldChar w:fldCharType="end"/>
        </w:r>
      </w:hyperlink>
    </w:p>
    <w:p w14:paraId="776A10B2" w14:textId="1924B7DF" w:rsidR="001E0FD7" w:rsidRDefault="00D13508">
      <w:pPr>
        <w:pStyle w:val="TOC3"/>
        <w:rPr>
          <w:rFonts w:eastAsiaTheme="minorEastAsia"/>
          <w:iCs w:val="0"/>
          <w:color w:val="auto"/>
          <w:sz w:val="22"/>
          <w:szCs w:val="22"/>
        </w:rPr>
      </w:pPr>
      <w:hyperlink w:anchor="_Toc174535849" w:history="1">
        <w:r w:rsidR="001E0FD7" w:rsidRPr="00613633">
          <w:rPr>
            <w:rStyle w:val="Hyperlink"/>
            <w14:scene3d>
              <w14:camera w14:prst="orthographicFront"/>
              <w14:lightRig w14:rig="threePt" w14:dir="t">
                <w14:rot w14:lat="0" w14:lon="0" w14:rev="0"/>
              </w14:lightRig>
            </w14:scene3d>
          </w:rPr>
          <w:t>1.5.2</w:t>
        </w:r>
        <w:r w:rsidR="001E0FD7" w:rsidRPr="00613633">
          <w:rPr>
            <w:rStyle w:val="Hyperlink"/>
          </w:rPr>
          <w:t xml:space="preserve"> Benefits and Challenges Associated with Long-Duration Storage</w:t>
        </w:r>
        <w:r w:rsidR="001E0FD7">
          <w:rPr>
            <w:webHidden/>
          </w:rPr>
          <w:tab/>
        </w:r>
        <w:r w:rsidR="001E0FD7">
          <w:rPr>
            <w:webHidden/>
          </w:rPr>
          <w:fldChar w:fldCharType="begin"/>
        </w:r>
        <w:r w:rsidR="001E0FD7">
          <w:rPr>
            <w:webHidden/>
          </w:rPr>
          <w:instrText xml:space="preserve"> PAGEREF _Toc174535849 \h </w:instrText>
        </w:r>
        <w:r w:rsidR="001E0FD7">
          <w:rPr>
            <w:webHidden/>
          </w:rPr>
        </w:r>
        <w:r w:rsidR="001E0FD7">
          <w:rPr>
            <w:webHidden/>
          </w:rPr>
          <w:fldChar w:fldCharType="separate"/>
        </w:r>
        <w:r w:rsidR="00D8633C">
          <w:rPr>
            <w:webHidden/>
          </w:rPr>
          <w:t>14</w:t>
        </w:r>
        <w:r w:rsidR="001E0FD7">
          <w:rPr>
            <w:webHidden/>
          </w:rPr>
          <w:fldChar w:fldCharType="end"/>
        </w:r>
      </w:hyperlink>
    </w:p>
    <w:p w14:paraId="3B0F7EF7" w14:textId="3451ACF2" w:rsidR="001E0FD7" w:rsidRDefault="00D13508">
      <w:pPr>
        <w:pStyle w:val="TOC3"/>
        <w:rPr>
          <w:rFonts w:eastAsiaTheme="minorEastAsia"/>
          <w:iCs w:val="0"/>
          <w:color w:val="auto"/>
          <w:sz w:val="22"/>
          <w:szCs w:val="22"/>
        </w:rPr>
      </w:pPr>
      <w:hyperlink w:anchor="_Toc174535850" w:history="1">
        <w:r w:rsidR="001E0FD7" w:rsidRPr="00613633">
          <w:rPr>
            <w:rStyle w:val="Hyperlink"/>
            <w14:scene3d>
              <w14:camera w14:prst="orthographicFront"/>
              <w14:lightRig w14:rig="threePt" w14:dir="t">
                <w14:rot w14:lat="0" w14:lon="0" w14:rev="0"/>
              </w14:lightRig>
            </w14:scene3d>
          </w:rPr>
          <w:t>1.5.3</w:t>
        </w:r>
        <w:r w:rsidR="001E0FD7" w:rsidRPr="00613633">
          <w:rPr>
            <w:rStyle w:val="Hyperlink"/>
          </w:rPr>
          <w:t xml:space="preserve"> Seasonal Storage Possibilities</w:t>
        </w:r>
        <w:r w:rsidR="001E0FD7">
          <w:rPr>
            <w:webHidden/>
          </w:rPr>
          <w:tab/>
        </w:r>
        <w:r w:rsidR="001E0FD7">
          <w:rPr>
            <w:webHidden/>
          </w:rPr>
          <w:fldChar w:fldCharType="begin"/>
        </w:r>
        <w:r w:rsidR="001E0FD7">
          <w:rPr>
            <w:webHidden/>
          </w:rPr>
          <w:instrText xml:space="preserve"> PAGEREF _Toc174535850 \h </w:instrText>
        </w:r>
        <w:r w:rsidR="001E0FD7">
          <w:rPr>
            <w:webHidden/>
          </w:rPr>
        </w:r>
        <w:r w:rsidR="001E0FD7">
          <w:rPr>
            <w:webHidden/>
          </w:rPr>
          <w:fldChar w:fldCharType="separate"/>
        </w:r>
        <w:r w:rsidR="00D8633C">
          <w:rPr>
            <w:webHidden/>
          </w:rPr>
          <w:t>16</w:t>
        </w:r>
        <w:r w:rsidR="001E0FD7">
          <w:rPr>
            <w:webHidden/>
          </w:rPr>
          <w:fldChar w:fldCharType="end"/>
        </w:r>
      </w:hyperlink>
    </w:p>
    <w:p w14:paraId="5C869EC6" w14:textId="7A7C9202" w:rsidR="001E0FD7" w:rsidRDefault="00D13508">
      <w:pPr>
        <w:pStyle w:val="TOC2"/>
        <w:rPr>
          <w:rFonts w:eastAsiaTheme="minorEastAsia"/>
          <w:color w:val="auto"/>
          <w:sz w:val="22"/>
          <w:szCs w:val="22"/>
        </w:rPr>
      </w:pPr>
      <w:hyperlink w:anchor="_Toc174535851" w:history="1">
        <w:r w:rsidR="001E0FD7" w:rsidRPr="00613633">
          <w:rPr>
            <w:rStyle w:val="Hyperlink"/>
          </w:rPr>
          <w:t>1.6 Current revenue structures may not adequately compensate resources for their value to the future grid.</w:t>
        </w:r>
        <w:r w:rsidR="001E0FD7">
          <w:rPr>
            <w:webHidden/>
          </w:rPr>
          <w:tab/>
        </w:r>
        <w:r w:rsidR="001E0FD7">
          <w:rPr>
            <w:webHidden/>
          </w:rPr>
          <w:fldChar w:fldCharType="begin"/>
        </w:r>
        <w:r w:rsidR="001E0FD7">
          <w:rPr>
            <w:webHidden/>
          </w:rPr>
          <w:instrText xml:space="preserve"> PAGEREF _Toc174535851 \h </w:instrText>
        </w:r>
        <w:r w:rsidR="001E0FD7">
          <w:rPr>
            <w:webHidden/>
          </w:rPr>
        </w:r>
        <w:r w:rsidR="001E0FD7">
          <w:rPr>
            <w:webHidden/>
          </w:rPr>
          <w:fldChar w:fldCharType="separate"/>
        </w:r>
        <w:r w:rsidR="00D8633C">
          <w:rPr>
            <w:webHidden/>
          </w:rPr>
          <w:t>16</w:t>
        </w:r>
        <w:r w:rsidR="001E0FD7">
          <w:rPr>
            <w:webHidden/>
          </w:rPr>
          <w:fldChar w:fldCharType="end"/>
        </w:r>
      </w:hyperlink>
    </w:p>
    <w:p w14:paraId="3385F1FD" w14:textId="761FE5A9" w:rsidR="001E0FD7" w:rsidRDefault="00D13508">
      <w:pPr>
        <w:pStyle w:val="TOC3"/>
        <w:rPr>
          <w:rFonts w:eastAsiaTheme="minorEastAsia"/>
          <w:iCs w:val="0"/>
          <w:color w:val="auto"/>
          <w:sz w:val="22"/>
          <w:szCs w:val="22"/>
        </w:rPr>
      </w:pPr>
      <w:hyperlink w:anchor="_Toc174535852" w:history="1">
        <w:r w:rsidR="001E0FD7" w:rsidRPr="00613633">
          <w:rPr>
            <w:rStyle w:val="Hyperlink"/>
            <w14:scene3d>
              <w14:camera w14:prst="orthographicFront"/>
              <w14:lightRig w14:rig="threePt" w14:dir="t">
                <w14:rot w14:lat="0" w14:lon="0" w14:rev="0"/>
              </w14:lightRig>
            </w14:scene3d>
          </w:rPr>
          <w:t>1.6.1</w:t>
        </w:r>
        <w:r w:rsidR="001E0FD7" w:rsidRPr="00613633">
          <w:rPr>
            <w:rStyle w:val="Hyperlink"/>
          </w:rPr>
          <w:t xml:space="preserve"> Feasibility of Power Purchase Agreements (PPAs)</w:t>
        </w:r>
        <w:r w:rsidR="001E0FD7">
          <w:rPr>
            <w:webHidden/>
          </w:rPr>
          <w:tab/>
        </w:r>
        <w:r w:rsidR="001E0FD7">
          <w:rPr>
            <w:webHidden/>
          </w:rPr>
          <w:fldChar w:fldCharType="begin"/>
        </w:r>
        <w:r w:rsidR="001E0FD7">
          <w:rPr>
            <w:webHidden/>
          </w:rPr>
          <w:instrText xml:space="preserve"> PAGEREF _Toc174535852 \h </w:instrText>
        </w:r>
        <w:r w:rsidR="001E0FD7">
          <w:rPr>
            <w:webHidden/>
          </w:rPr>
        </w:r>
        <w:r w:rsidR="001E0FD7">
          <w:rPr>
            <w:webHidden/>
          </w:rPr>
          <w:fldChar w:fldCharType="separate"/>
        </w:r>
        <w:r w:rsidR="00D8633C">
          <w:rPr>
            <w:webHidden/>
          </w:rPr>
          <w:t>16</w:t>
        </w:r>
        <w:r w:rsidR="001E0FD7">
          <w:rPr>
            <w:webHidden/>
          </w:rPr>
          <w:fldChar w:fldCharType="end"/>
        </w:r>
      </w:hyperlink>
    </w:p>
    <w:p w14:paraId="34A14B81" w14:textId="4A420429" w:rsidR="001E0FD7" w:rsidRDefault="00D13508">
      <w:pPr>
        <w:pStyle w:val="TOC3"/>
        <w:rPr>
          <w:rFonts w:eastAsiaTheme="minorEastAsia"/>
          <w:iCs w:val="0"/>
          <w:color w:val="auto"/>
          <w:sz w:val="22"/>
          <w:szCs w:val="22"/>
        </w:rPr>
      </w:pPr>
      <w:hyperlink w:anchor="_Toc174535853" w:history="1">
        <w:r w:rsidR="001E0FD7" w:rsidRPr="00613633">
          <w:rPr>
            <w:rStyle w:val="Hyperlink"/>
            <w14:scene3d>
              <w14:camera w14:prst="orthographicFront"/>
              <w14:lightRig w14:rig="threePt" w14:dir="t">
                <w14:rot w14:lat="0" w14:lon="0" w14:rev="0"/>
              </w14:lightRig>
            </w14:scene3d>
          </w:rPr>
          <w:t>1.6.2</w:t>
        </w:r>
        <w:r w:rsidR="001E0FD7" w:rsidRPr="00613633">
          <w:rPr>
            <w:rStyle w:val="Hyperlink"/>
          </w:rPr>
          <w:t xml:space="preserve"> Effect of Deep Decarbonization on Energy Markets</w:t>
        </w:r>
        <w:r w:rsidR="001E0FD7">
          <w:rPr>
            <w:webHidden/>
          </w:rPr>
          <w:tab/>
        </w:r>
        <w:r w:rsidR="001E0FD7">
          <w:rPr>
            <w:webHidden/>
          </w:rPr>
          <w:fldChar w:fldCharType="begin"/>
        </w:r>
        <w:r w:rsidR="001E0FD7">
          <w:rPr>
            <w:webHidden/>
          </w:rPr>
          <w:instrText xml:space="preserve"> PAGEREF _Toc174535853 \h </w:instrText>
        </w:r>
        <w:r w:rsidR="001E0FD7">
          <w:rPr>
            <w:webHidden/>
          </w:rPr>
        </w:r>
        <w:r w:rsidR="001E0FD7">
          <w:rPr>
            <w:webHidden/>
          </w:rPr>
          <w:fldChar w:fldCharType="separate"/>
        </w:r>
        <w:r w:rsidR="00D8633C">
          <w:rPr>
            <w:webHidden/>
          </w:rPr>
          <w:t>18</w:t>
        </w:r>
        <w:r w:rsidR="001E0FD7">
          <w:rPr>
            <w:webHidden/>
          </w:rPr>
          <w:fldChar w:fldCharType="end"/>
        </w:r>
      </w:hyperlink>
    </w:p>
    <w:p w14:paraId="2ADA707A" w14:textId="48AF11ED" w:rsidR="001E0FD7" w:rsidRDefault="00D13508">
      <w:pPr>
        <w:pStyle w:val="TOC3"/>
        <w:rPr>
          <w:rFonts w:eastAsiaTheme="minorEastAsia"/>
          <w:iCs w:val="0"/>
          <w:color w:val="auto"/>
          <w:sz w:val="22"/>
          <w:szCs w:val="22"/>
        </w:rPr>
      </w:pPr>
      <w:hyperlink w:anchor="_Toc174535854" w:history="1">
        <w:r w:rsidR="001E0FD7" w:rsidRPr="00613633">
          <w:rPr>
            <w:rStyle w:val="Hyperlink"/>
            <w14:scene3d>
              <w14:camera w14:prst="orthographicFront"/>
              <w14:lightRig w14:rig="threePt" w14:dir="t">
                <w14:rot w14:lat="0" w14:lon="0" w14:rev="0"/>
              </w14:lightRig>
            </w14:scene3d>
          </w:rPr>
          <w:t>1.6.3</w:t>
        </w:r>
        <w:r w:rsidR="001E0FD7" w:rsidRPr="00613633">
          <w:rPr>
            <w:rStyle w:val="Hyperlink"/>
          </w:rPr>
          <w:t xml:space="preserve"> Reliability Adder</w:t>
        </w:r>
        <w:r w:rsidR="001E0FD7">
          <w:rPr>
            <w:webHidden/>
          </w:rPr>
          <w:tab/>
        </w:r>
        <w:r w:rsidR="001E0FD7">
          <w:rPr>
            <w:webHidden/>
          </w:rPr>
          <w:fldChar w:fldCharType="begin"/>
        </w:r>
        <w:r w:rsidR="001E0FD7">
          <w:rPr>
            <w:webHidden/>
          </w:rPr>
          <w:instrText xml:space="preserve"> PAGEREF _Toc174535854 \h </w:instrText>
        </w:r>
        <w:r w:rsidR="001E0FD7">
          <w:rPr>
            <w:webHidden/>
          </w:rPr>
        </w:r>
        <w:r w:rsidR="001E0FD7">
          <w:rPr>
            <w:webHidden/>
          </w:rPr>
          <w:fldChar w:fldCharType="separate"/>
        </w:r>
        <w:r w:rsidR="00D8633C">
          <w:rPr>
            <w:webHidden/>
          </w:rPr>
          <w:t>18</w:t>
        </w:r>
        <w:r w:rsidR="001E0FD7">
          <w:rPr>
            <w:webHidden/>
          </w:rPr>
          <w:fldChar w:fldCharType="end"/>
        </w:r>
      </w:hyperlink>
    </w:p>
    <w:p w14:paraId="1919BF48" w14:textId="2B1039A9" w:rsidR="001E0FD7" w:rsidRDefault="00D13508">
      <w:pPr>
        <w:pStyle w:val="TOC3"/>
        <w:rPr>
          <w:rFonts w:eastAsiaTheme="minorEastAsia"/>
          <w:iCs w:val="0"/>
          <w:color w:val="auto"/>
          <w:sz w:val="22"/>
          <w:szCs w:val="22"/>
        </w:rPr>
      </w:pPr>
      <w:hyperlink w:anchor="_Toc174535855" w:history="1">
        <w:r w:rsidR="001E0FD7" w:rsidRPr="00613633">
          <w:rPr>
            <w:rStyle w:val="Hyperlink"/>
            <w14:scene3d>
              <w14:camera w14:prst="orthographicFront"/>
              <w14:lightRig w14:rig="threePt" w14:dir="t">
                <w14:rot w14:lat="0" w14:lon="0" w14:rev="0"/>
              </w14:lightRig>
            </w14:scene3d>
          </w:rPr>
          <w:t>1.6.4</w:t>
        </w:r>
        <w:r w:rsidR="001E0FD7" w:rsidRPr="00613633">
          <w:rPr>
            <w:rStyle w:val="Hyperlink"/>
          </w:rPr>
          <w:t xml:space="preserve"> Discretionary Load</w:t>
        </w:r>
        <w:r w:rsidR="001E0FD7">
          <w:rPr>
            <w:webHidden/>
          </w:rPr>
          <w:tab/>
        </w:r>
        <w:r w:rsidR="001E0FD7">
          <w:rPr>
            <w:webHidden/>
          </w:rPr>
          <w:fldChar w:fldCharType="begin"/>
        </w:r>
        <w:r w:rsidR="001E0FD7">
          <w:rPr>
            <w:webHidden/>
          </w:rPr>
          <w:instrText xml:space="preserve"> PAGEREF _Toc174535855 \h </w:instrText>
        </w:r>
        <w:r w:rsidR="001E0FD7">
          <w:rPr>
            <w:webHidden/>
          </w:rPr>
        </w:r>
        <w:r w:rsidR="001E0FD7">
          <w:rPr>
            <w:webHidden/>
          </w:rPr>
          <w:fldChar w:fldCharType="separate"/>
        </w:r>
        <w:r w:rsidR="00D8633C">
          <w:rPr>
            <w:webHidden/>
          </w:rPr>
          <w:t>19</w:t>
        </w:r>
        <w:r w:rsidR="001E0FD7">
          <w:rPr>
            <w:webHidden/>
          </w:rPr>
          <w:fldChar w:fldCharType="end"/>
        </w:r>
      </w:hyperlink>
    </w:p>
    <w:p w14:paraId="0BCBE129" w14:textId="71BEFD20" w:rsidR="001E0FD7" w:rsidRDefault="00D13508">
      <w:pPr>
        <w:pStyle w:val="TOC3"/>
        <w:rPr>
          <w:rFonts w:eastAsiaTheme="minorEastAsia"/>
          <w:iCs w:val="0"/>
          <w:color w:val="auto"/>
          <w:sz w:val="22"/>
          <w:szCs w:val="22"/>
        </w:rPr>
      </w:pPr>
      <w:hyperlink w:anchor="_Toc174535856" w:history="1">
        <w:r w:rsidR="001E0FD7" w:rsidRPr="00613633">
          <w:rPr>
            <w:rStyle w:val="Hyperlink"/>
            <w14:scene3d>
              <w14:camera w14:prst="orthographicFront"/>
              <w14:lightRig w14:rig="threePt" w14:dir="t">
                <w14:rot w14:lat="0" w14:lon="0" w14:rev="0"/>
              </w14:lightRig>
            </w14:scene3d>
          </w:rPr>
          <w:t>1.6.5</w:t>
        </w:r>
        <w:r w:rsidR="001E0FD7" w:rsidRPr="00613633">
          <w:rPr>
            <w:rStyle w:val="Hyperlink"/>
          </w:rPr>
          <w:t xml:space="preserve"> Opportunities for Exports</w:t>
        </w:r>
        <w:r w:rsidR="001E0FD7">
          <w:rPr>
            <w:webHidden/>
          </w:rPr>
          <w:tab/>
        </w:r>
        <w:r w:rsidR="001E0FD7">
          <w:rPr>
            <w:webHidden/>
          </w:rPr>
          <w:fldChar w:fldCharType="begin"/>
        </w:r>
        <w:r w:rsidR="001E0FD7">
          <w:rPr>
            <w:webHidden/>
          </w:rPr>
          <w:instrText xml:space="preserve"> PAGEREF _Toc174535856 \h </w:instrText>
        </w:r>
        <w:r w:rsidR="001E0FD7">
          <w:rPr>
            <w:webHidden/>
          </w:rPr>
        </w:r>
        <w:r w:rsidR="001E0FD7">
          <w:rPr>
            <w:webHidden/>
          </w:rPr>
          <w:fldChar w:fldCharType="separate"/>
        </w:r>
        <w:r w:rsidR="00D8633C">
          <w:rPr>
            <w:webHidden/>
          </w:rPr>
          <w:t>20</w:t>
        </w:r>
        <w:r w:rsidR="001E0FD7">
          <w:rPr>
            <w:webHidden/>
          </w:rPr>
          <w:fldChar w:fldCharType="end"/>
        </w:r>
      </w:hyperlink>
    </w:p>
    <w:p w14:paraId="2789979F" w14:textId="2394E807" w:rsidR="001E0FD7" w:rsidRDefault="00D13508">
      <w:pPr>
        <w:pStyle w:val="TOC2"/>
        <w:rPr>
          <w:rFonts w:eastAsiaTheme="minorEastAsia"/>
          <w:color w:val="auto"/>
          <w:sz w:val="22"/>
          <w:szCs w:val="22"/>
        </w:rPr>
      </w:pPr>
      <w:hyperlink w:anchor="_Toc174535857" w:history="1">
        <w:r w:rsidR="001E0FD7" w:rsidRPr="00613633">
          <w:rPr>
            <w:rStyle w:val="Hyperlink"/>
          </w:rPr>
          <w:t>1.7 Firm, dispatchable, zero-carbon generation could help address challenges.</w:t>
        </w:r>
        <w:r w:rsidR="001E0FD7">
          <w:rPr>
            <w:webHidden/>
          </w:rPr>
          <w:tab/>
        </w:r>
        <w:r w:rsidR="001E0FD7">
          <w:rPr>
            <w:webHidden/>
          </w:rPr>
          <w:fldChar w:fldCharType="begin"/>
        </w:r>
        <w:r w:rsidR="001E0FD7">
          <w:rPr>
            <w:webHidden/>
          </w:rPr>
          <w:instrText xml:space="preserve"> PAGEREF _Toc174535857 \h </w:instrText>
        </w:r>
        <w:r w:rsidR="001E0FD7">
          <w:rPr>
            <w:webHidden/>
          </w:rPr>
        </w:r>
        <w:r w:rsidR="001E0FD7">
          <w:rPr>
            <w:webHidden/>
          </w:rPr>
          <w:fldChar w:fldCharType="separate"/>
        </w:r>
        <w:r w:rsidR="00D8633C">
          <w:rPr>
            <w:webHidden/>
          </w:rPr>
          <w:t>20</w:t>
        </w:r>
        <w:r w:rsidR="001E0FD7">
          <w:rPr>
            <w:webHidden/>
          </w:rPr>
          <w:fldChar w:fldCharType="end"/>
        </w:r>
      </w:hyperlink>
    </w:p>
    <w:p w14:paraId="648A6B4D" w14:textId="752826A9" w:rsidR="001E0FD7" w:rsidRDefault="00D13508">
      <w:pPr>
        <w:pStyle w:val="TOC3"/>
        <w:rPr>
          <w:rFonts w:eastAsiaTheme="minorEastAsia"/>
          <w:iCs w:val="0"/>
          <w:color w:val="auto"/>
          <w:sz w:val="22"/>
          <w:szCs w:val="22"/>
        </w:rPr>
      </w:pPr>
      <w:hyperlink w:anchor="_Toc174535858" w:history="1">
        <w:r w:rsidR="001E0FD7" w:rsidRPr="00613633">
          <w:rPr>
            <w:rStyle w:val="Hyperlink"/>
            <w14:scene3d>
              <w14:camera w14:prst="orthographicFront"/>
              <w14:lightRig w14:rig="threePt" w14:dir="t">
                <w14:rot w14:lat="0" w14:lon="0" w14:rev="0"/>
              </w14:lightRig>
            </w14:scene3d>
          </w:rPr>
          <w:t>1.7.1</w:t>
        </w:r>
        <w:r w:rsidR="001E0FD7" w:rsidRPr="00613633">
          <w:rPr>
            <w:rStyle w:val="Hyperlink"/>
          </w:rPr>
          <w:t xml:space="preserve"> Synthetic Natural Gas</w:t>
        </w:r>
        <w:r w:rsidR="001E0FD7">
          <w:rPr>
            <w:webHidden/>
          </w:rPr>
          <w:tab/>
        </w:r>
        <w:r w:rsidR="001E0FD7">
          <w:rPr>
            <w:webHidden/>
          </w:rPr>
          <w:fldChar w:fldCharType="begin"/>
        </w:r>
        <w:r w:rsidR="001E0FD7">
          <w:rPr>
            <w:webHidden/>
          </w:rPr>
          <w:instrText xml:space="preserve"> PAGEREF _Toc174535858 \h </w:instrText>
        </w:r>
        <w:r w:rsidR="001E0FD7">
          <w:rPr>
            <w:webHidden/>
          </w:rPr>
        </w:r>
        <w:r w:rsidR="001E0FD7">
          <w:rPr>
            <w:webHidden/>
          </w:rPr>
          <w:fldChar w:fldCharType="separate"/>
        </w:r>
        <w:r w:rsidR="00D8633C">
          <w:rPr>
            <w:webHidden/>
          </w:rPr>
          <w:t>21</w:t>
        </w:r>
        <w:r w:rsidR="001E0FD7">
          <w:rPr>
            <w:webHidden/>
          </w:rPr>
          <w:fldChar w:fldCharType="end"/>
        </w:r>
      </w:hyperlink>
    </w:p>
    <w:p w14:paraId="2D43602F" w14:textId="21A56B89" w:rsidR="001E0FD7" w:rsidRDefault="00D13508">
      <w:pPr>
        <w:pStyle w:val="TOC3"/>
        <w:rPr>
          <w:rFonts w:eastAsiaTheme="minorEastAsia"/>
          <w:iCs w:val="0"/>
          <w:color w:val="auto"/>
          <w:sz w:val="22"/>
          <w:szCs w:val="22"/>
        </w:rPr>
      </w:pPr>
      <w:hyperlink w:anchor="_Toc174535859" w:history="1">
        <w:r w:rsidR="001E0FD7" w:rsidRPr="00613633">
          <w:rPr>
            <w:rStyle w:val="Hyperlink"/>
            <w14:scene3d>
              <w14:camera w14:prst="orthographicFront"/>
              <w14:lightRig w14:rig="threePt" w14:dir="t">
                <w14:rot w14:lat="0" w14:lon="0" w14:rev="0"/>
              </w14:lightRig>
            </w14:scene3d>
          </w:rPr>
          <w:t>1.7.2</w:t>
        </w:r>
        <w:r w:rsidR="001E0FD7" w:rsidRPr="00613633">
          <w:rPr>
            <w:rStyle w:val="Hyperlink"/>
          </w:rPr>
          <w:t xml:space="preserve"> Small Modular Reactors</w:t>
        </w:r>
        <w:r w:rsidR="001E0FD7">
          <w:rPr>
            <w:webHidden/>
          </w:rPr>
          <w:tab/>
        </w:r>
        <w:r w:rsidR="001E0FD7">
          <w:rPr>
            <w:webHidden/>
          </w:rPr>
          <w:fldChar w:fldCharType="begin"/>
        </w:r>
        <w:r w:rsidR="001E0FD7">
          <w:rPr>
            <w:webHidden/>
          </w:rPr>
          <w:instrText xml:space="preserve"> PAGEREF _Toc174535859 \h </w:instrText>
        </w:r>
        <w:r w:rsidR="001E0FD7">
          <w:rPr>
            <w:webHidden/>
          </w:rPr>
        </w:r>
        <w:r w:rsidR="001E0FD7">
          <w:rPr>
            <w:webHidden/>
          </w:rPr>
          <w:fldChar w:fldCharType="separate"/>
        </w:r>
        <w:r w:rsidR="00D8633C">
          <w:rPr>
            <w:webHidden/>
          </w:rPr>
          <w:t>22</w:t>
        </w:r>
        <w:r w:rsidR="001E0FD7">
          <w:rPr>
            <w:webHidden/>
          </w:rPr>
          <w:fldChar w:fldCharType="end"/>
        </w:r>
      </w:hyperlink>
    </w:p>
    <w:p w14:paraId="0CCDC48B" w14:textId="4A1497A5" w:rsidR="001E0FD7" w:rsidRDefault="00D13508">
      <w:pPr>
        <w:pStyle w:val="TOC2"/>
        <w:rPr>
          <w:rFonts w:eastAsiaTheme="minorEastAsia"/>
          <w:color w:val="auto"/>
          <w:sz w:val="22"/>
          <w:szCs w:val="22"/>
        </w:rPr>
      </w:pPr>
      <w:hyperlink w:anchor="_Toc174535860" w:history="1">
        <w:r w:rsidR="001E0FD7" w:rsidRPr="00613633">
          <w:rPr>
            <w:rStyle w:val="Hyperlink"/>
          </w:rPr>
          <w:t>1.8 Difficult minimum load conditions, energy adequacy challenges, and potential system congestion may appear by the 2030s.</w:t>
        </w:r>
        <w:r w:rsidR="001E0FD7">
          <w:rPr>
            <w:webHidden/>
          </w:rPr>
          <w:tab/>
        </w:r>
        <w:r w:rsidR="001E0FD7">
          <w:rPr>
            <w:webHidden/>
          </w:rPr>
          <w:fldChar w:fldCharType="begin"/>
        </w:r>
        <w:r w:rsidR="001E0FD7">
          <w:rPr>
            <w:webHidden/>
          </w:rPr>
          <w:instrText xml:space="preserve"> PAGEREF _Toc174535860 \h </w:instrText>
        </w:r>
        <w:r w:rsidR="001E0FD7">
          <w:rPr>
            <w:webHidden/>
          </w:rPr>
        </w:r>
        <w:r w:rsidR="001E0FD7">
          <w:rPr>
            <w:webHidden/>
          </w:rPr>
          <w:fldChar w:fldCharType="separate"/>
        </w:r>
        <w:r w:rsidR="00D8633C">
          <w:rPr>
            <w:webHidden/>
          </w:rPr>
          <w:t>22</w:t>
        </w:r>
        <w:r w:rsidR="001E0FD7">
          <w:rPr>
            <w:webHidden/>
          </w:rPr>
          <w:fldChar w:fldCharType="end"/>
        </w:r>
      </w:hyperlink>
    </w:p>
    <w:p w14:paraId="4CF9B753" w14:textId="148A8656" w:rsidR="001E0FD7" w:rsidRDefault="00D13508">
      <w:pPr>
        <w:pStyle w:val="TOC3"/>
        <w:rPr>
          <w:rFonts w:eastAsiaTheme="minorEastAsia"/>
          <w:iCs w:val="0"/>
          <w:color w:val="auto"/>
          <w:sz w:val="22"/>
          <w:szCs w:val="22"/>
        </w:rPr>
      </w:pPr>
      <w:hyperlink w:anchor="_Toc174535861" w:history="1">
        <w:r w:rsidR="001E0FD7" w:rsidRPr="00613633">
          <w:rPr>
            <w:rStyle w:val="Hyperlink"/>
            <w14:scene3d>
              <w14:camera w14:prst="orthographicFront"/>
              <w14:lightRig w14:rig="threePt" w14:dir="t">
                <w14:rot w14:lat="0" w14:lon="0" w14:rev="0"/>
              </w14:lightRig>
            </w14:scene3d>
          </w:rPr>
          <w:t>1.8.1</w:t>
        </w:r>
        <w:r w:rsidR="001E0FD7" w:rsidRPr="00613633">
          <w:rPr>
            <w:rStyle w:val="Hyperlink"/>
          </w:rPr>
          <w:t xml:space="preserve"> Challenging Minimum Load Conditions</w:t>
        </w:r>
        <w:r w:rsidR="001E0FD7">
          <w:rPr>
            <w:webHidden/>
          </w:rPr>
          <w:tab/>
        </w:r>
        <w:r w:rsidR="001E0FD7">
          <w:rPr>
            <w:webHidden/>
          </w:rPr>
          <w:fldChar w:fldCharType="begin"/>
        </w:r>
        <w:r w:rsidR="001E0FD7">
          <w:rPr>
            <w:webHidden/>
          </w:rPr>
          <w:instrText xml:space="preserve"> PAGEREF _Toc174535861 \h </w:instrText>
        </w:r>
        <w:r w:rsidR="001E0FD7">
          <w:rPr>
            <w:webHidden/>
          </w:rPr>
        </w:r>
        <w:r w:rsidR="001E0FD7">
          <w:rPr>
            <w:webHidden/>
          </w:rPr>
          <w:fldChar w:fldCharType="separate"/>
        </w:r>
        <w:r w:rsidR="00D8633C">
          <w:rPr>
            <w:webHidden/>
          </w:rPr>
          <w:t>22</w:t>
        </w:r>
        <w:r w:rsidR="001E0FD7">
          <w:rPr>
            <w:webHidden/>
          </w:rPr>
          <w:fldChar w:fldCharType="end"/>
        </w:r>
      </w:hyperlink>
    </w:p>
    <w:p w14:paraId="22FAD926" w14:textId="21B09E44" w:rsidR="001E0FD7" w:rsidRDefault="00D13508">
      <w:pPr>
        <w:pStyle w:val="TOC3"/>
        <w:rPr>
          <w:rFonts w:eastAsiaTheme="minorEastAsia"/>
          <w:iCs w:val="0"/>
          <w:color w:val="auto"/>
          <w:sz w:val="22"/>
          <w:szCs w:val="22"/>
        </w:rPr>
      </w:pPr>
      <w:hyperlink w:anchor="_Toc174535862" w:history="1">
        <w:r w:rsidR="001E0FD7" w:rsidRPr="00613633">
          <w:rPr>
            <w:rStyle w:val="Hyperlink"/>
            <w14:scene3d>
              <w14:camera w14:prst="orthographicFront"/>
              <w14:lightRig w14:rig="threePt" w14:dir="t">
                <w14:rot w14:lat="0" w14:lon="0" w14:rev="0"/>
              </w14:lightRig>
            </w14:scene3d>
          </w:rPr>
          <w:t>1.8.2</w:t>
        </w:r>
        <w:r w:rsidR="001E0FD7" w:rsidRPr="00613633">
          <w:rPr>
            <w:rStyle w:val="Hyperlink"/>
          </w:rPr>
          <w:t xml:space="preserve"> Energy Adequacy Concerns</w:t>
        </w:r>
        <w:r w:rsidR="001E0FD7">
          <w:rPr>
            <w:webHidden/>
          </w:rPr>
          <w:tab/>
        </w:r>
        <w:r w:rsidR="001E0FD7">
          <w:rPr>
            <w:webHidden/>
          </w:rPr>
          <w:fldChar w:fldCharType="begin"/>
        </w:r>
        <w:r w:rsidR="001E0FD7">
          <w:rPr>
            <w:webHidden/>
          </w:rPr>
          <w:instrText xml:space="preserve"> PAGEREF _Toc174535862 \h </w:instrText>
        </w:r>
        <w:r w:rsidR="001E0FD7">
          <w:rPr>
            <w:webHidden/>
          </w:rPr>
        </w:r>
        <w:r w:rsidR="001E0FD7">
          <w:rPr>
            <w:webHidden/>
          </w:rPr>
          <w:fldChar w:fldCharType="separate"/>
        </w:r>
        <w:r w:rsidR="00D8633C">
          <w:rPr>
            <w:webHidden/>
          </w:rPr>
          <w:t>24</w:t>
        </w:r>
        <w:r w:rsidR="001E0FD7">
          <w:rPr>
            <w:webHidden/>
          </w:rPr>
          <w:fldChar w:fldCharType="end"/>
        </w:r>
      </w:hyperlink>
    </w:p>
    <w:p w14:paraId="0C695329" w14:textId="1399EC5C" w:rsidR="001E0FD7" w:rsidRDefault="00D13508">
      <w:pPr>
        <w:pStyle w:val="TOC3"/>
        <w:rPr>
          <w:rFonts w:eastAsiaTheme="minorEastAsia"/>
          <w:iCs w:val="0"/>
          <w:color w:val="auto"/>
          <w:sz w:val="22"/>
          <w:szCs w:val="22"/>
        </w:rPr>
      </w:pPr>
      <w:hyperlink w:anchor="_Toc174535863" w:history="1">
        <w:r w:rsidR="001E0FD7" w:rsidRPr="00613633">
          <w:rPr>
            <w:rStyle w:val="Hyperlink"/>
            <w14:scene3d>
              <w14:camera w14:prst="orthographicFront"/>
              <w14:lightRig w14:rig="threePt" w14:dir="t">
                <w14:rot w14:lat="0" w14:lon="0" w14:rev="0"/>
              </w14:lightRig>
            </w14:scene3d>
          </w:rPr>
          <w:t>1.8.3</w:t>
        </w:r>
        <w:r w:rsidR="001E0FD7" w:rsidRPr="00613633">
          <w:rPr>
            <w:rStyle w:val="Hyperlink"/>
          </w:rPr>
          <w:t xml:space="preserve"> Congestion Points</w:t>
        </w:r>
        <w:r w:rsidR="001E0FD7">
          <w:rPr>
            <w:webHidden/>
          </w:rPr>
          <w:tab/>
        </w:r>
        <w:r w:rsidR="001E0FD7">
          <w:rPr>
            <w:webHidden/>
          </w:rPr>
          <w:fldChar w:fldCharType="begin"/>
        </w:r>
        <w:r w:rsidR="001E0FD7">
          <w:rPr>
            <w:webHidden/>
          </w:rPr>
          <w:instrText xml:space="preserve"> PAGEREF _Toc174535863 \h </w:instrText>
        </w:r>
        <w:r w:rsidR="001E0FD7">
          <w:rPr>
            <w:webHidden/>
          </w:rPr>
        </w:r>
        <w:r w:rsidR="001E0FD7">
          <w:rPr>
            <w:webHidden/>
          </w:rPr>
          <w:fldChar w:fldCharType="separate"/>
        </w:r>
        <w:r w:rsidR="00D8633C">
          <w:rPr>
            <w:webHidden/>
          </w:rPr>
          <w:t>24</w:t>
        </w:r>
        <w:r w:rsidR="001E0FD7">
          <w:rPr>
            <w:webHidden/>
          </w:rPr>
          <w:fldChar w:fldCharType="end"/>
        </w:r>
      </w:hyperlink>
    </w:p>
    <w:p w14:paraId="3FA802E4" w14:textId="7D49C15A" w:rsidR="001E0FD7" w:rsidRDefault="00D13508">
      <w:pPr>
        <w:pStyle w:val="TOC1"/>
        <w:rPr>
          <w:rFonts w:eastAsiaTheme="minorEastAsia" w:cstheme="minorBidi"/>
          <w:b w:val="0"/>
          <w:bCs w:val="0"/>
          <w:color w:val="auto"/>
          <w:sz w:val="22"/>
          <w:szCs w:val="22"/>
        </w:rPr>
      </w:pPr>
      <w:hyperlink w:anchor="_Toc174535864" w:history="1">
        <w:r w:rsidR="001E0FD7" w:rsidRPr="00613633">
          <w:rPr>
            <w:rStyle w:val="Hyperlink"/>
          </w:rPr>
          <w:t>Conclusion</w:t>
        </w:r>
        <w:r w:rsidR="001E0FD7">
          <w:rPr>
            <w:webHidden/>
          </w:rPr>
          <w:tab/>
        </w:r>
        <w:r w:rsidR="001E0FD7">
          <w:rPr>
            <w:webHidden/>
          </w:rPr>
          <w:fldChar w:fldCharType="begin"/>
        </w:r>
        <w:r w:rsidR="001E0FD7">
          <w:rPr>
            <w:webHidden/>
          </w:rPr>
          <w:instrText xml:space="preserve"> PAGEREF _Toc174535864 \h </w:instrText>
        </w:r>
        <w:r w:rsidR="001E0FD7">
          <w:rPr>
            <w:webHidden/>
          </w:rPr>
        </w:r>
        <w:r w:rsidR="001E0FD7">
          <w:rPr>
            <w:webHidden/>
          </w:rPr>
          <w:fldChar w:fldCharType="separate"/>
        </w:r>
        <w:r w:rsidR="00D8633C">
          <w:rPr>
            <w:webHidden/>
          </w:rPr>
          <w:t>26</w:t>
        </w:r>
        <w:r w:rsidR="001E0FD7">
          <w:rPr>
            <w:webHidden/>
          </w:rPr>
          <w:fldChar w:fldCharType="end"/>
        </w:r>
      </w:hyperlink>
    </w:p>
    <w:p w14:paraId="2FEA90C2" w14:textId="32C0B01A" w:rsidR="000C4E62" w:rsidRDefault="000C4E62" w:rsidP="6EB3FF26">
      <w:pPr>
        <w:pStyle w:val="TOC1"/>
        <w:tabs>
          <w:tab w:val="clear" w:pos="9350"/>
          <w:tab w:val="right" w:leader="dot" w:pos="9360"/>
        </w:tabs>
        <w:rPr>
          <w:rFonts w:eastAsiaTheme="minorEastAsia" w:cstheme="minorBidi"/>
          <w:b w:val="0"/>
          <w:bCs w:val="0"/>
          <w:color w:val="auto"/>
          <w:kern w:val="2"/>
          <w:sz w:val="24"/>
          <w:szCs w:val="24"/>
          <w14:ligatures w14:val="standardContextual"/>
        </w:rPr>
      </w:pPr>
      <w:r>
        <w:fldChar w:fldCharType="end"/>
      </w:r>
    </w:p>
    <w:p w14:paraId="46857369" w14:textId="54C02623" w:rsidR="00E47056" w:rsidRPr="00E44F72" w:rsidRDefault="6EB3FF26" w:rsidP="6EB3FF26">
      <w:pPr>
        <w:tabs>
          <w:tab w:val="right" w:leader="dot" w:pos="9360"/>
        </w:tabs>
        <w:spacing w:after="120" w:line="240" w:lineRule="auto"/>
        <w:rPr>
          <w:rFonts w:asciiTheme="minorHAnsi" w:hAnsiTheme="minorHAnsi"/>
          <w:b/>
          <w:bCs/>
          <w:color w:val="1795D2"/>
          <w:sz w:val="20"/>
          <w:szCs w:val="20"/>
          <w:specVanish/>
        </w:rPr>
      </w:pPr>
      <w:r w:rsidRPr="6EB3FF26">
        <w:rPr>
          <w:rFonts w:asciiTheme="minorHAnsi" w:hAnsiTheme="minorHAnsi"/>
          <w:b/>
          <w:bCs/>
          <w:color w:val="1795D2" w:themeColor="accent1"/>
          <w:sz w:val="20"/>
          <w:szCs w:val="20"/>
        </w:rPr>
        <w:t xml:space="preserve"> </w:t>
      </w:r>
    </w:p>
    <w:p w14:paraId="14F24D7F" w14:textId="77777777" w:rsidR="00E47056" w:rsidRDefault="00E47056" w:rsidP="20A65796"/>
    <w:sectPr w:rsidR="00E47056" w:rsidSect="00B1073E">
      <w:footerReference w:type="default" r:id="rId42"/>
      <w:footerReference w:type="first" r:id="rId43"/>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D61E24" w16cex:dateUtc="2024-05-28T16:53:00Z"/>
  <w16cex:commentExtensible w16cex:durableId="2F986485" w16cex:dateUtc="2024-05-30T18:24:31.62Z"/>
  <w16cex:commentExtensible w16cex:durableId="29456C55" w16cex:dateUtc="2024-05-30T18:40:02.555Z"/>
  <w16cex:commentExtensible w16cex:durableId="2F9BE51F" w16cex:dateUtc="2024-05-30T18:44:00.003Z"/>
  <w16cex:commentExtensible w16cex:durableId="52814204" w16cex:dateUtc="2024-05-30T18:53:06.671Z"/>
  <w16cex:commentExtensible w16cex:durableId="492E5287" w16cex:dateUtc="2024-05-30T18:53:31.174Z"/>
  <w16cex:commentExtensible w16cex:durableId="1FB16477" w16cex:dateUtc="2024-05-31T13:43:33.848Z"/>
  <w16cex:commentExtensible w16cex:durableId="348B8BF3" w16cex:dateUtc="2024-06-04T02:15:32.904Z"/>
  <w16cex:commentExtensible w16cex:durableId="3BF4E91C" w16cex:dateUtc="2024-06-04T03:25:16.132Z"/>
  <w16cex:commentExtensible w16cex:durableId="4CA38714" w16cex:dateUtc="2024-06-04T03:32:36.337Z"/>
  <w16cex:commentExtensible w16cex:durableId="5BC2991E" w16cex:dateUtc="2024-06-04T17:39:35.492Z"/>
  <w16cex:commentExtensible w16cex:durableId="428B9003" w16cex:dateUtc="2024-06-05T16:37:16.152Z"/>
  <w16cex:commentExtensible w16cex:durableId="47AEECF7" w16cex:dateUtc="2024-06-04T18:59:27.377Z"/>
  <w16cex:commentExtensible w16cex:durableId="62D6BA0D" w16cex:dateUtc="2024-06-04T20:06:14.347Z"/>
  <w16cex:commentExtensible w16cex:durableId="634EFF9C" w16cex:dateUtc="2024-06-05T12:05:48.468Z"/>
  <w16cex:commentExtensible w16cex:durableId="6CBE3EE9" w16cex:dateUtc="2024-06-05T12:06:26.681Z"/>
  <w16cex:commentExtensible w16cex:durableId="738EB066" w16cex:dateUtc="2024-06-05T13:42:20.489Z"/>
  <w16cex:commentExtensible w16cex:durableId="0A2D99F4" w16cex:dateUtc="2024-06-05T20:40:43.241Z"/>
  <w16cex:commentExtensible w16cex:durableId="0E2526C0" w16cex:dateUtc="2024-06-05T20:45:26.397Z"/>
  <w16cex:commentExtensible w16cex:durableId="74550B05" w16cex:dateUtc="2024-06-05T20:52:05.319Z"/>
  <w16cex:commentExtensible w16cex:durableId="35C13209" w16cex:dateUtc="2024-06-06T15:36:30.698Z"/>
  <w16cex:commentExtensible w16cex:durableId="285D9EA4" w16cex:dateUtc="2024-06-07T14:28:31.782Z"/>
  <w16cex:commentExtensible w16cex:durableId="21BFA6AC" w16cex:dateUtc="2024-06-07T14:31:50.171Z"/>
  <w16cex:commentExtensible w16cex:durableId="129C247F" w16cex:dateUtc="2024-06-07T14:33:36.296Z"/>
  <w16cex:commentExtensible w16cex:durableId="35FCEC40" w16cex:dateUtc="2024-06-07T14:34:31.008Z"/>
  <w16cex:commentExtensible w16cex:durableId="7A25A541" w16cex:dateUtc="2024-06-07T14:44:35.509Z"/>
  <w16cex:commentExtensible w16cex:durableId="5DA9A53B" w16cex:dateUtc="2024-06-11T23:24:54.489Z"/>
  <w16cex:commentExtensible w16cex:durableId="711FF85C" w16cex:dateUtc="2024-06-12T03:16:51.407Z"/>
  <w16cex:commentExtensible w16cex:durableId="25D074FF" w16cex:dateUtc="2024-06-12T19:28:12.469Z"/>
  <w16cex:commentExtensible w16cex:durableId="5FD64DBF" w16cex:dateUtc="2024-06-12T13:51:33.957Z"/>
  <w16cex:commentExtensible w16cex:durableId="40130801" w16cex:dateUtc="2024-06-12T14:02:40.585Z"/>
  <w16cex:commentExtensible w16cex:durableId="14C0B19A" w16cex:dateUtc="2024-06-12T16:58:26.673Z"/>
  <w16cex:commentExtensible w16cex:durableId="575D81B9" w16cex:dateUtc="2024-06-12T17:11:01.614Z"/>
  <w16cex:commentExtensible w16cex:durableId="4B45CCE8" w16cex:dateUtc="2024-06-12T19:18:17.414Z"/>
  <w16cex:commentExtensible w16cex:durableId="19525795" w16cex:dateUtc="2024-06-12T19:32:12.708Z"/>
  <w16cex:commentExtensible w16cex:durableId="5FA1B0A3" w16cex:dateUtc="2024-06-12T19:51:45.889Z"/>
  <w16cex:commentExtensible w16cex:durableId="533C572B" w16cex:dateUtc="2024-06-12T19:57:41.804Z"/>
  <w16cex:commentExtensible w16cex:durableId="43D1031B" w16cex:dateUtc="2024-06-12T20:04:05.581Z"/>
  <w16cex:commentExtensible w16cex:durableId="1E636CBB" w16cex:dateUtc="2024-06-12T20:08:29.004Z"/>
  <w16cex:commentExtensible w16cex:durableId="6A0404FE" w16cex:dateUtc="2024-06-12T20:09:59.699Z"/>
  <w16cex:commentExtensible w16cex:durableId="0215742B" w16cex:dateUtc="2024-06-12T20:12:37.894Z"/>
  <w16cex:commentExtensible w16cex:durableId="741B8A4E" w16cex:dateUtc="2024-06-12T20:13:35.123Z"/>
  <w16cex:commentExtensible w16cex:durableId="0F8382A1" w16cex:dateUtc="2024-06-12T20:17:47.958Z"/>
  <w16cex:commentExtensible w16cex:durableId="544D5ACB" w16cex:dateUtc="2024-06-12T20:42:03.533Z"/>
  <w16cex:commentExtensible w16cex:durableId="589DDD50" w16cex:dateUtc="2024-06-12T20:47:38.615Z"/>
  <w16cex:commentExtensible w16cex:durableId="7A0C95B4" w16cex:dateUtc="2024-06-12T20:52:12.999Z"/>
  <w16cex:commentExtensible w16cex:durableId="13296D56" w16cex:dateUtc="2024-06-12T20:54:12.065Z"/>
  <w16cex:commentExtensible w16cex:durableId="42ED69B3" w16cex:dateUtc="2024-06-12T21:05:50.9Z"/>
  <w16cex:commentExtensible w16cex:durableId="20899C2C" w16cex:dateUtc="2024-06-12T21:07:10.019Z"/>
  <w16cex:commentExtensible w16cex:durableId="4EAA65FB" w16cex:dateUtc="2024-06-14T13:46:47.438Z"/>
  <w16cex:commentExtensible w16cex:durableId="58DB2420" w16cex:dateUtc="2024-06-14T11:08:43.612Z"/>
  <w16cex:commentExtensible w16cex:durableId="29F170AA" w16cex:dateUtc="2024-06-14T11:15:04.321Z"/>
  <w16cex:commentExtensible w16cex:durableId="652E9A9F" w16cex:dateUtc="2024-06-14T11:27:54.981Z"/>
  <w16cex:commentExtensible w16cex:durableId="3106E948" w16cex:dateUtc="2024-06-14T13:44:48.013Z"/>
  <w16cex:commentExtensible w16cex:durableId="0F2B7A4B" w16cex:dateUtc="2024-06-14T11:30:04.514Z"/>
  <w16cex:commentExtensible w16cex:durableId="34E27325" w16cex:dateUtc="2024-06-14T11:32:46.332Z"/>
  <w16cex:commentExtensible w16cex:durableId="65CCDFB7" w16cex:dateUtc="2024-06-14T11:34:39.92Z"/>
  <w16cex:commentExtensible w16cex:durableId="70EF12C1" w16cex:dateUtc="2024-06-14T11:36:17.681Z"/>
  <w16cex:commentExtensible w16cex:durableId="030F3F2A" w16cex:dateUtc="2024-06-14T13:03:28.135Z"/>
  <w16cex:commentExtensible w16cex:durableId="1EF2803D" w16cex:dateUtc="2024-06-14T13:08:54.244Z"/>
  <w16cex:commentExtensible w16cex:durableId="448B5299" w16cex:dateUtc="2024-06-14T13:11:09.656Z"/>
  <w16cex:commentExtensible w16cex:durableId="49438C7C" w16cex:dateUtc="2024-06-14T13:14:02.7Z"/>
  <w16cex:commentExtensible w16cex:durableId="3BF68F1F" w16cex:dateUtc="2024-06-14T13:23:07.802Z"/>
  <w16cex:commentExtensible w16cex:durableId="3D272658" w16cex:dateUtc="2024-06-14T13:31:52.77Z"/>
  <w16cex:commentExtensible w16cex:durableId="6B76BA0D" w16cex:dateUtc="2024-06-14T13:41:03.586Z"/>
  <w16cex:commentExtensible w16cex:durableId="15A6BF74" w16cex:dateUtc="2024-06-14T13:41:47.751Z"/>
  <w16cex:commentExtensible w16cex:durableId="1A25927E" w16cex:dateUtc="2024-06-14T13:41:51.593Z"/>
  <w16cex:commentExtensible w16cex:durableId="684D1479" w16cex:dateUtc="2024-06-14T13:53:34.104Z"/>
  <w16cex:commentExtensible w16cex:durableId="0A9E80D6" w16cex:dateUtc="2024-06-14T14:11:58.942Z"/>
  <w16cex:commentExtensible w16cex:durableId="1136FE42" w16cex:dateUtc="2024-06-14T14:20:03.717Z"/>
  <w16cex:commentExtensible w16cex:durableId="45DDE1A2" w16cex:dateUtc="2024-06-14T14:22:57.34Z"/>
  <w16cex:commentExtensible w16cex:durableId="4E19E822" w16cex:dateUtc="2024-06-21T18:57:58.18Z"/>
  <w16cex:commentExtensible w16cex:durableId="5BCBDC20" w16cex:dateUtc="2024-06-21T19:01:30.021Z"/>
  <w16cex:commentExtensible w16cex:durableId="1B6CF523" w16cex:dateUtc="2024-06-21T19:03:48.423Z"/>
  <w16cex:commentExtensible w16cex:durableId="72867699" w16cex:dateUtc="2024-06-21T19:04:36.677Z"/>
  <w16cex:commentExtensible w16cex:durableId="6906D476" w16cex:dateUtc="2024-06-21T19:30:13.257Z"/>
  <w16cex:commentExtensible w16cex:durableId="79BCA75F" w16cex:dateUtc="2024-06-21T19:30:44.007Z"/>
  <w16cex:commentExtensible w16cex:durableId="0B47590C" w16cex:dateUtc="2024-06-21T20:05:54.171Z"/>
  <w16cex:commentExtensible w16cex:durableId="25647E29" w16cex:dateUtc="2024-06-21T20:11:42.381Z"/>
  <w16cex:commentExtensible w16cex:durableId="5D52BE68" w16cex:dateUtc="2024-06-21T20:14:32.408Z"/>
  <w16cex:commentExtensible w16cex:durableId="6A144DFA" w16cex:dateUtc="2024-06-21T20:17:37.255Z"/>
  <w16cex:commentExtensible w16cex:durableId="2B166687" w16cex:dateUtc="2024-06-21T20:21:02.894Z"/>
  <w16cex:commentExtensible w16cex:durableId="5837CB50" w16cex:dateUtc="2024-06-21T20:22:44.563Z"/>
  <w16cex:commentExtensible w16cex:durableId="52406E45" w16cex:dateUtc="2024-06-21T20:25:28.352Z"/>
  <w16cex:commentExtensible w16cex:durableId="44B96F57" w16cex:dateUtc="2024-06-21T20:34:58.952Z"/>
  <w16cex:commentExtensible w16cex:durableId="2C5F60D8" w16cex:dateUtc="2024-06-21T20:37:03.591Z"/>
  <w16cex:commentExtensible w16cex:durableId="1C6064BE" w16cex:dateUtc="2024-06-21T20:41:13.132Z"/>
  <w16cex:commentExtensible w16cex:durableId="7AC2EDCC" w16cex:dateUtc="2024-06-21T20:46:15.729Z"/>
  <w16cex:commentExtensible w16cex:durableId="747D3FED" w16cex:dateUtc="2024-06-21T20:48:33.341Z"/>
  <w16cex:commentExtensible w16cex:durableId="620A6363" w16cex:dateUtc="2024-06-21T20:51:04.205Z"/>
  <w16cex:commentExtensible w16cex:durableId="0FB5AEBE" w16cex:dateUtc="2024-06-21T20:51:58.828Z"/>
  <w16cex:commentExtensible w16cex:durableId="26390209" w16cex:dateUtc="2024-06-21T20:53:03.92Z"/>
  <w16cex:commentExtensible w16cex:durableId="20D0CCD9" w16cex:dateUtc="2024-06-21T20:54:20.372Z"/>
  <w16cex:commentExtensible w16cex:durableId="5B49A5F2" w16cex:dateUtc="2024-06-24T13:57:10.689Z"/>
  <w16cex:commentExtensible w16cex:durableId="5FE98F7D" w16cex:dateUtc="2024-06-24T14:03:18.632Z"/>
  <w16cex:commentExtensible w16cex:durableId="03A1A52F" w16cex:dateUtc="2024-06-24T14:07:16.612Z"/>
  <w16cex:commentExtensible w16cex:durableId="6C4B12CD" w16cex:dateUtc="2024-06-24T14:19:07.607Z"/>
  <w16cex:commentExtensible w16cex:durableId="2BD57F19" w16cex:dateUtc="2024-06-24T14:21:54.281Z"/>
  <w16cex:commentExtensible w16cex:durableId="3D2888BE" w16cex:dateUtc="2024-06-24T14:22:40.382Z"/>
  <w16cex:commentExtensible w16cex:durableId="1A122693" w16cex:dateUtc="2024-06-24T14:24:48.689Z"/>
  <w16cex:commentExtensible w16cex:durableId="34502AC5" w16cex:dateUtc="2024-06-24T14:28:18.551Z"/>
  <w16cex:commentExtensible w16cex:durableId="5A709A3F" w16cex:dateUtc="2024-06-24T14:33:35.505Z"/>
  <w16cex:commentExtensible w16cex:durableId="15F6327F" w16cex:dateUtc="2024-06-24T14:42:41.69Z"/>
  <w16cex:commentExtensible w16cex:durableId="5FF97205" w16cex:dateUtc="2024-06-24T14:44:08.064Z"/>
  <w16cex:commentExtensible w16cex:durableId="11EB5E0E" w16cex:dateUtc="2024-06-24T14:49:29.935Z"/>
  <w16cex:commentExtensible w16cex:durableId="58F57213" w16cex:dateUtc="2024-06-24T14:53:27.037Z"/>
  <w16cex:commentExtensible w16cex:durableId="21A41938" w16cex:dateUtc="2024-06-24T14:54:33.049Z"/>
  <w16cex:commentExtensible w16cex:durableId="6A10493F" w16cex:dateUtc="2024-06-24T16:29:22.866Z"/>
  <w16cex:commentExtensible w16cex:durableId="5C20863F" w16cex:dateUtc="2024-06-24T16:38:37.763Z"/>
  <w16cex:commentExtensible w16cex:durableId="3401719B" w16cex:dateUtc="2024-06-24T16:44:36.19Z"/>
  <w16cex:commentExtensible w16cex:durableId="4D11526D" w16cex:dateUtc="2024-06-24T16:47:39.22Z"/>
  <w16cex:commentExtensible w16cex:durableId="065D4B9F" w16cex:dateUtc="2024-06-24T16:51:18.26Z"/>
  <w16cex:commentExtensible w16cex:durableId="2FDAC03A" w16cex:dateUtc="2024-06-25T13:13:10.032Z"/>
  <w16cex:commentExtensible w16cex:durableId="35C64578" w16cex:dateUtc="2024-06-25T13:16:36.352Z"/>
  <w16cex:commentExtensible w16cex:durableId="716C6D3B" w16cex:dateUtc="2024-06-25T13:17:31.824Z"/>
  <w16cex:commentExtensible w16cex:durableId="3E26D9D0" w16cex:dateUtc="2024-06-25T13:20:19.95Z"/>
  <w16cex:commentExtensible w16cex:durableId="06C048A0" w16cex:dateUtc="2024-06-25T13:23:58.048Z"/>
  <w16cex:commentExtensible w16cex:durableId="0044477B" w16cex:dateUtc="2024-06-25T13:30:58.054Z"/>
  <w16cex:commentExtensible w16cex:durableId="61DC5F2A" w16cex:dateUtc="2024-06-25T13:31:23.887Z"/>
  <w16cex:commentExtensible w16cex:durableId="726BB15A" w16cex:dateUtc="2024-06-25T13:32:46.119Z"/>
  <w16cex:commentExtensible w16cex:durableId="0364713A" w16cex:dateUtc="2024-06-25T13:35:43.24Z"/>
  <w16cex:commentExtensible w16cex:durableId="440E618D" w16cex:dateUtc="2024-06-25T13:41:36.759Z"/>
  <w16cex:commentExtensible w16cex:durableId="045E2F15" w16cex:dateUtc="2024-06-25T13:42:59.943Z"/>
  <w16cex:commentExtensible w16cex:durableId="303B3630" w16cex:dateUtc="2024-06-25T13:49:04.945Z"/>
  <w16cex:commentExtensible w16cex:durableId="64738F06" w16cex:dateUtc="2024-06-25T13:53:36.496Z"/>
  <w16cex:commentExtensible w16cex:durableId="70A079D5" w16cex:dateUtc="2024-06-25T13:54:05.577Z"/>
  <w16cex:commentExtensible w16cex:durableId="1FA5B1F6" w16cex:dateUtc="2024-06-25T13:55:55.891Z"/>
  <w16cex:commentExtensible w16cex:durableId="37FF3716" w16cex:dateUtc="2024-06-25T13:58:26.895Z"/>
  <w16cex:commentExtensible w16cex:durableId="716CA9E0" w16cex:dateUtc="2024-06-25T14:00:55.333Z"/>
  <w16cex:commentExtensible w16cex:durableId="0D322E35" w16cex:dateUtc="2024-06-25T14:05:02.056Z"/>
  <w16cex:commentExtensible w16cex:durableId="2F9D5EEE" w16cex:dateUtc="2024-06-25T14:06:36.933Z"/>
  <w16cex:commentExtensible w16cex:durableId="7A81D1E3" w16cex:dateUtc="2024-06-24T16:44:36.19Z"/>
  <w16cex:commentExtensible w16cex:durableId="3D80814A" w16cex:dateUtc="2024-06-25T14:09:51.983Z"/>
  <w16cex:commentExtensible w16cex:durableId="263D59B1" w16cex:dateUtc="2024-06-25T14:10:53.064Z"/>
  <w16cex:commentExtensible w16cex:durableId="6E61A24E" w16cex:dateUtc="2024-06-25T14:11:38.27Z"/>
  <w16cex:commentExtensible w16cex:durableId="2C122D80" w16cex:dateUtc="2024-06-25T14:13:28.017Z"/>
  <w16cex:commentExtensible w16cex:durableId="7D5854CB" w16cex:dateUtc="2024-06-25T14:15:48.934Z"/>
  <w16cex:commentExtensible w16cex:durableId="6F0EB754" w16cex:dateUtc="2024-06-25T14:17:02.956Z"/>
  <w16cex:commentExtensible w16cex:durableId="54F84EAA" w16cex:dateUtc="2024-06-25T14:17:59.721Z"/>
  <w16cex:commentExtensible w16cex:durableId="7CCC4484" w16cex:dateUtc="2024-06-25T14:18:53.749Z"/>
  <w16cex:commentExtensible w16cex:durableId="56535DBA" w16cex:dateUtc="2024-06-25T14:19:58.461Z"/>
  <w16cex:commentExtensible w16cex:durableId="631C5EE9" w16cex:dateUtc="2024-06-25T14:20:21.058Z"/>
  <w16cex:commentExtensible w16cex:durableId="72AA3597" w16cex:dateUtc="2024-06-25T14:20:31.071Z"/>
  <w16cex:commentExtensible w16cex:durableId="7FFBB580" w16cex:dateUtc="2024-06-25T14:20:51.958Z"/>
  <w16cex:commentExtensible w16cex:durableId="103E33C4" w16cex:dateUtc="2024-06-25T14:21:52.148Z"/>
  <w16cex:commentExtensible w16cex:durableId="6DD76442" w16cex:dateUtc="2024-06-25T14:24:44.707Z"/>
  <w16cex:commentExtensible w16cex:durableId="262D67EF" w16cex:dateUtc="2024-06-25T14:26:59.964Z"/>
  <w16cex:commentExtensible w16cex:durableId="0AEB5A8C" w16cex:dateUtc="2024-06-25T14:27:19.128Z"/>
  <w16cex:commentExtensible w16cex:durableId="2B386B87" w16cex:dateUtc="2024-06-25T14:29:16.16Z"/>
</w16cex:commentsExtensible>
</file>

<file path=word/commentsIds.xml><?xml version="1.0" encoding="utf-8"?>
<w16cid:commentsIds xmlns:mc="http://schemas.openxmlformats.org/markup-compatibility/2006" xmlns:w16cid="http://schemas.microsoft.com/office/word/2016/wordml/cid" mc:Ignorable="w16cid">
  <w16cid:commentId w16cid:paraId="47E44CB9" w16cid:durableId="7831C2A7"/>
  <w16cid:commentId w16cid:paraId="63B9F6F0" w16cid:durableId="68D61E24"/>
  <w16cid:commentId w16cid:paraId="2A053028" w16cid:durableId="2F986485"/>
  <w16cid:commentId w16cid:paraId="1614E051" w16cid:durableId="2F9BE51F"/>
  <w16cid:commentId w16cid:paraId="16897770" w16cid:durableId="52814204"/>
  <w16cid:commentId w16cid:paraId="791A8929" w16cid:durableId="492E5287"/>
  <w16cid:commentId w16cid:paraId="7E28BFC9" w16cid:durableId="1FB16477"/>
  <w16cid:commentId w16cid:paraId="775742D5" w16cid:durableId="348B8BF3"/>
  <w16cid:commentId w16cid:paraId="279CCBE9" w16cid:durableId="3BF4E91C"/>
  <w16cid:commentId w16cid:paraId="08956A5B" w16cid:durableId="4CA38714"/>
  <w16cid:commentId w16cid:paraId="285424D7" w16cid:durableId="29456C55"/>
  <w16cid:commentId w16cid:paraId="0E8F1F1F" w16cid:durableId="5BC2991E"/>
  <w16cid:commentId w16cid:paraId="061283FC" w16cid:durableId="47AEECF7"/>
  <w16cid:commentId w16cid:paraId="0E045EC3" w16cid:durableId="62D6BA0D"/>
  <w16cid:commentId w16cid:paraId="3CC6E9F6" w16cid:durableId="634EFF9C"/>
  <w16cid:commentId w16cid:paraId="7CE1BBB4" w16cid:durableId="6CBE3EE9"/>
  <w16cid:commentId w16cid:paraId="2EE4F497" w16cid:durableId="738EB066"/>
  <w16cid:commentId w16cid:paraId="2D6E41D7" w16cid:durableId="428B9003"/>
  <w16cid:commentId w16cid:paraId="5784198A" w16cid:durableId="0A2D99F4"/>
  <w16cid:commentId w16cid:paraId="3DAD954E" w16cid:durableId="0E2526C0"/>
  <w16cid:commentId w16cid:paraId="0734B62B" w16cid:durableId="74550B05"/>
  <w16cid:commentId w16cid:paraId="7259CEEC" w16cid:durableId="35C13209"/>
  <w16cid:commentId w16cid:paraId="5F835A76" w16cid:durableId="285D9EA4"/>
  <w16cid:commentId w16cid:paraId="59BAA590" w16cid:durableId="21BFA6AC"/>
  <w16cid:commentId w16cid:paraId="58BBB86D" w16cid:durableId="129C247F"/>
  <w16cid:commentId w16cid:paraId="4A04E1D8" w16cid:durableId="35FCEC40"/>
  <w16cid:commentId w16cid:paraId="2D808A3A" w16cid:durableId="7A25A541"/>
  <w16cid:commentId w16cid:paraId="186331A5" w16cid:durableId="5DA9A53B"/>
  <w16cid:commentId w16cid:paraId="0B8C0645" w16cid:durableId="711FF85C"/>
  <w16cid:commentId w16cid:paraId="794457B5" w16cid:durableId="5FD64DBF"/>
  <w16cid:commentId w16cid:paraId="596833C3" w16cid:durableId="40130801"/>
  <w16cid:commentId w16cid:paraId="255D116A" w16cid:durableId="14C0B19A"/>
  <w16cid:commentId w16cid:paraId="3F600C80" w16cid:durableId="575D81B9"/>
  <w16cid:commentId w16cid:paraId="15AE39CD" w16cid:durableId="4B45CCE8"/>
  <w16cid:commentId w16cid:paraId="09B160D6" w16cid:durableId="25D074FF"/>
  <w16cid:commentId w16cid:paraId="38EF25A5" w16cid:durableId="19525795"/>
  <w16cid:commentId w16cid:paraId="6C02174C" w16cid:durableId="5FA1B0A3"/>
  <w16cid:commentId w16cid:paraId="0A3307A7" w16cid:durableId="533C572B"/>
  <w16cid:commentId w16cid:paraId="71668632" w16cid:durableId="43D1031B"/>
  <w16cid:commentId w16cid:paraId="6C7A9DBE" w16cid:durableId="1E636CBB"/>
  <w16cid:commentId w16cid:paraId="0ED17E87" w16cid:durableId="6A0404FE"/>
  <w16cid:commentId w16cid:paraId="76C01AC6" w16cid:durableId="0215742B"/>
  <w16cid:commentId w16cid:paraId="07D13458" w16cid:durableId="741B8A4E"/>
  <w16cid:commentId w16cid:paraId="2C0250B5" w16cid:durableId="0F8382A1"/>
  <w16cid:commentId w16cid:paraId="1EBAEF35" w16cid:durableId="544D5ACB"/>
  <w16cid:commentId w16cid:paraId="33900479" w16cid:durableId="589DDD50"/>
  <w16cid:commentId w16cid:paraId="256E0C47" w16cid:durableId="7A0C95B4"/>
  <w16cid:commentId w16cid:paraId="1B500FEA" w16cid:durableId="13296D56"/>
  <w16cid:commentId w16cid:paraId="30BB6FA7" w16cid:durableId="42ED69B3"/>
  <w16cid:commentId w16cid:paraId="7A416ED1" w16cid:durableId="20899C2C"/>
  <w16cid:commentId w16cid:paraId="246579A1" w16cid:durableId="58DB2420"/>
  <w16cid:commentId w16cid:paraId="476E9BCE" w16cid:durableId="29F170AA"/>
  <w16cid:commentId w16cid:paraId="15DCAFA6" w16cid:durableId="652E9A9F"/>
  <w16cid:commentId w16cid:paraId="7A24A6A1" w16cid:durableId="0F2B7A4B"/>
  <w16cid:commentId w16cid:paraId="73E65A53" w16cid:durableId="34E27325"/>
  <w16cid:commentId w16cid:paraId="61C7E152" w16cid:durableId="65CCDFB7"/>
  <w16cid:commentId w16cid:paraId="06674D17" w16cid:durableId="70EF12C1"/>
  <w16cid:commentId w16cid:paraId="75160FA8" w16cid:durableId="030F3F2A"/>
  <w16cid:commentId w16cid:paraId="2E5D6F94" w16cid:durableId="1EF2803D"/>
  <w16cid:commentId w16cid:paraId="2A59D421" w16cid:durableId="448B5299"/>
  <w16cid:commentId w16cid:paraId="1D5431F8" w16cid:durableId="49438C7C"/>
  <w16cid:commentId w16cid:paraId="77459C24" w16cid:durableId="3BF68F1F"/>
  <w16cid:commentId w16cid:paraId="7EA68FFC" w16cid:durableId="3D272658"/>
  <w16cid:commentId w16cid:paraId="489538E9" w16cid:durableId="6B76BA0D"/>
  <w16cid:commentId w16cid:paraId="6B5A0B5E" w16cid:durableId="15A6BF74"/>
  <w16cid:commentId w16cid:paraId="34F4B9AD" w16cid:durableId="1A25927E"/>
  <w16cid:commentId w16cid:paraId="7744CEB3" w16cid:durableId="3106E948"/>
  <w16cid:commentId w16cid:paraId="7E5A58BF" w16cid:durableId="4EAA65FB"/>
  <w16cid:commentId w16cid:paraId="425C07CF" w16cid:durableId="684D1479"/>
  <w16cid:commentId w16cid:paraId="41A16D1A" w16cid:durableId="0A9E80D6"/>
  <w16cid:commentId w16cid:paraId="1398ED44" w16cid:durableId="1136FE42"/>
  <w16cid:commentId w16cid:paraId="6C9F6D31" w16cid:durableId="45DDE1A2"/>
  <w16cid:commentId w16cid:paraId="4485691C" w16cid:durableId="4E19E822"/>
  <w16cid:commentId w16cid:paraId="14829B3E" w16cid:durableId="5BCBDC20"/>
  <w16cid:commentId w16cid:paraId="0345A2AB" w16cid:durableId="1B6CF523"/>
  <w16cid:commentId w16cid:paraId="7AA6AC7A" w16cid:durableId="72867699"/>
  <w16cid:commentId w16cid:paraId="78C096DE" w16cid:durableId="6906D476"/>
  <w16cid:commentId w16cid:paraId="747C075A" w16cid:durableId="79BCA75F"/>
  <w16cid:commentId w16cid:paraId="303A448F" w16cid:durableId="0B47590C"/>
  <w16cid:commentId w16cid:paraId="56F5C762" w16cid:durableId="25647E29"/>
  <w16cid:commentId w16cid:paraId="270F160F" w16cid:durableId="5D52BE68"/>
  <w16cid:commentId w16cid:paraId="268C95CE" w16cid:durableId="6A144DFA"/>
  <w16cid:commentId w16cid:paraId="5F1B55CB" w16cid:durableId="2B166687"/>
  <w16cid:commentId w16cid:paraId="3FD72DFB" w16cid:durableId="5837CB50"/>
  <w16cid:commentId w16cid:paraId="703D3324" w16cid:durableId="52406E45"/>
  <w16cid:commentId w16cid:paraId="77280D1A" w16cid:durableId="44B96F57"/>
  <w16cid:commentId w16cid:paraId="26FDD015" w16cid:durableId="2C5F60D8"/>
  <w16cid:commentId w16cid:paraId="1E0E05A7" w16cid:durableId="1C6064BE"/>
  <w16cid:commentId w16cid:paraId="352B5ED7" w16cid:durableId="7AC2EDCC"/>
  <w16cid:commentId w16cid:paraId="72EB764D" w16cid:durableId="747D3FED"/>
  <w16cid:commentId w16cid:paraId="7117F71A" w16cid:durableId="620A6363"/>
  <w16cid:commentId w16cid:paraId="751A5C7A" w16cid:durableId="0FB5AEBE"/>
  <w16cid:commentId w16cid:paraId="7277531F" w16cid:durableId="26390209"/>
  <w16cid:commentId w16cid:paraId="3D54AB5D" w16cid:durableId="20D0CCD9"/>
  <w16cid:commentId w16cid:paraId="79D5CD33" w16cid:durableId="5B49A5F2"/>
  <w16cid:commentId w16cid:paraId="5F5296FA" w16cid:durableId="5FE98F7D"/>
  <w16cid:commentId w16cid:paraId="1522181E" w16cid:durableId="03A1A52F"/>
  <w16cid:commentId w16cid:paraId="5AF01352" w16cid:durableId="6C4B12CD"/>
  <w16cid:commentId w16cid:paraId="28B7F194" w16cid:durableId="2BD57F19"/>
  <w16cid:commentId w16cid:paraId="0936C689" w16cid:durableId="3D2888BE"/>
  <w16cid:commentId w16cid:paraId="76EDE969" w16cid:durableId="1A122693"/>
  <w16cid:commentId w16cid:paraId="6BCD41DB" w16cid:durableId="34502AC5"/>
  <w16cid:commentId w16cid:paraId="41134F68" w16cid:durableId="5A709A3F"/>
  <w16cid:commentId w16cid:paraId="01483E0A" w16cid:durableId="15F6327F"/>
  <w16cid:commentId w16cid:paraId="5EBB818E" w16cid:durableId="5FF97205"/>
  <w16cid:commentId w16cid:paraId="0A934A83" w16cid:durableId="11EB5E0E"/>
  <w16cid:commentId w16cid:paraId="48C8C49D" w16cid:durableId="58F57213"/>
  <w16cid:commentId w16cid:paraId="740D6DB1" w16cid:durableId="21A41938"/>
  <w16cid:commentId w16cid:paraId="2BA7EA3A" w16cid:durableId="6A10493F"/>
  <w16cid:commentId w16cid:paraId="5CD5C953" w16cid:durableId="5C20863F"/>
  <w16cid:commentId w16cid:paraId="212F9424" w16cid:durableId="3401719B"/>
  <w16cid:commentId w16cid:paraId="08761966" w16cid:durableId="4D11526D"/>
  <w16cid:commentId w16cid:paraId="134CFBD6" w16cid:durableId="065D4B9F"/>
  <w16cid:commentId w16cid:paraId="1B6CE0B2" w16cid:durableId="2FDAC03A"/>
  <w16cid:commentId w16cid:paraId="40716D69" w16cid:durableId="35C64578"/>
  <w16cid:commentId w16cid:paraId="14F4F1D7" w16cid:durableId="716C6D3B"/>
  <w16cid:commentId w16cid:paraId="72F649E1" w16cid:durableId="3E26D9D0"/>
  <w16cid:commentId w16cid:paraId="2618B72B" w16cid:durableId="06C048A0"/>
  <w16cid:commentId w16cid:paraId="288E8173" w16cid:durableId="0044477B"/>
  <w16cid:commentId w16cid:paraId="6B7E1392" w16cid:durableId="61DC5F2A"/>
  <w16cid:commentId w16cid:paraId="78F4F147" w16cid:durableId="726BB15A"/>
  <w16cid:commentId w16cid:paraId="5042E346" w16cid:durableId="0364713A"/>
  <w16cid:commentId w16cid:paraId="1FF6243F" w16cid:durableId="440E618D"/>
  <w16cid:commentId w16cid:paraId="30597C15" w16cid:durableId="045E2F15"/>
  <w16cid:commentId w16cid:paraId="37E65BDF" w16cid:durableId="303B3630"/>
  <w16cid:commentId w16cid:paraId="041CB3B0" w16cid:durableId="64738F06"/>
  <w16cid:commentId w16cid:paraId="56E72C91" w16cid:durableId="70A079D5"/>
  <w16cid:commentId w16cid:paraId="25196C1A" w16cid:durableId="1FA5B1F6"/>
  <w16cid:commentId w16cid:paraId="389CC5ED" w16cid:durableId="37FF3716"/>
  <w16cid:commentId w16cid:paraId="70C24F71" w16cid:durableId="716CA9E0"/>
  <w16cid:commentId w16cid:paraId="7E5CF33F" w16cid:durableId="0D322E35"/>
  <w16cid:commentId w16cid:paraId="12DE3C5C" w16cid:durableId="2F9D5EEE"/>
  <w16cid:commentId w16cid:paraId="489F0425" w16cid:durableId="7A81D1E3"/>
  <w16cid:commentId w16cid:paraId="6D45CC40" w16cid:durableId="3D80814A"/>
  <w16cid:commentId w16cid:paraId="2DABAA22" w16cid:durableId="263D59B1"/>
  <w16cid:commentId w16cid:paraId="1D7023F3" w16cid:durableId="6E61A24E"/>
  <w16cid:commentId w16cid:paraId="1203D306" w16cid:durableId="2C122D80"/>
  <w16cid:commentId w16cid:paraId="59F1270E" w16cid:durableId="7D5854CB"/>
  <w16cid:commentId w16cid:paraId="5CEA9C51" w16cid:durableId="6F0EB754"/>
  <w16cid:commentId w16cid:paraId="285EB6CE" w16cid:durableId="54F84EAA"/>
  <w16cid:commentId w16cid:paraId="43606892" w16cid:durableId="7CCC4484"/>
  <w16cid:commentId w16cid:paraId="6BF17BF4" w16cid:durableId="56535DBA"/>
  <w16cid:commentId w16cid:paraId="1A146D03" w16cid:durableId="631C5EE9"/>
  <w16cid:commentId w16cid:paraId="50B57078" w16cid:durableId="72AA3597"/>
  <w16cid:commentId w16cid:paraId="36AC4C41" w16cid:durableId="7FFBB580"/>
  <w16cid:commentId w16cid:paraId="73CCDA12" w16cid:durableId="103E33C4"/>
  <w16cid:commentId w16cid:paraId="3892D92F" w16cid:durableId="6DD76442"/>
  <w16cid:commentId w16cid:paraId="49DFE222" w16cid:durableId="262D67EF"/>
  <w16cid:commentId w16cid:paraId="6C08EA0A" w16cid:durableId="0AEB5A8C"/>
  <w16cid:commentId w16cid:paraId="5A6ACED8" w16cid:durableId="2B386B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E2CB1" w14:textId="77777777" w:rsidR="00D13508" w:rsidRDefault="00D13508" w:rsidP="00C65AF6">
      <w:pPr>
        <w:spacing w:after="0" w:line="240" w:lineRule="auto"/>
      </w:pPr>
      <w:r>
        <w:separator/>
      </w:r>
    </w:p>
  </w:endnote>
  <w:endnote w:type="continuationSeparator" w:id="0">
    <w:p w14:paraId="54C6968A" w14:textId="77777777" w:rsidR="00D13508" w:rsidRDefault="00D13508" w:rsidP="00C65AF6">
      <w:pPr>
        <w:spacing w:after="0" w:line="240" w:lineRule="auto"/>
      </w:pPr>
      <w:r>
        <w:continuationSeparator/>
      </w:r>
    </w:p>
  </w:endnote>
  <w:endnote w:type="continuationNotice" w:id="1">
    <w:p w14:paraId="09FC71A3" w14:textId="77777777" w:rsidR="00D13508" w:rsidRDefault="00D13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hitney-Book">
    <w:altName w:val="Calibri"/>
    <w:panose1 w:val="00000000000000000000"/>
    <w:charset w:val="4D"/>
    <w:family w:val="auto"/>
    <w:notTrueType/>
    <w:pitch w:val="default"/>
    <w:sig w:usb0="00000003" w:usb1="00000000" w:usb2="00000000" w:usb3="00000000" w:csb0="00000001" w:csb1="00000000"/>
  </w:font>
  <w:font w:name="OpenSans-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1961" w14:textId="77777777" w:rsidR="002D3D41" w:rsidRDefault="002D3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574A" w14:textId="77777777" w:rsidR="002D3D41" w:rsidRDefault="002D3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0CC1" w14:textId="77777777" w:rsidR="001422E9" w:rsidRDefault="001422E9" w:rsidP="00CB0B4C">
    <w:pPr>
      <w:tabs>
        <w:tab w:val="center" w:pos="4680"/>
        <w:tab w:val="right" w:pos="9360"/>
      </w:tabs>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56A2" w14:textId="749BA8FC" w:rsidR="001422E9" w:rsidRPr="00C473FF" w:rsidRDefault="001422E9" w:rsidP="00E45A44">
    <w:pPr>
      <w:tabs>
        <w:tab w:val="center" w:pos="4680"/>
        <w:tab w:val="right" w:pos="9360"/>
      </w:tabs>
      <w:spacing w:after="0" w:line="240" w:lineRule="auto"/>
      <w:rPr>
        <w:noProof/>
        <w:sz w:val="16"/>
        <w:szCs w:val="16"/>
      </w:rPr>
    </w:pPr>
    <w:r>
      <w:rPr>
        <w:i/>
        <w:sz w:val="16"/>
        <w:szCs w:val="16"/>
      </w:rPr>
      <w:t>EPCET</w:t>
    </w:r>
    <w:r w:rsidRPr="00C473FF">
      <w:rPr>
        <w:i/>
        <w:sz w:val="16"/>
        <w:szCs w:val="16"/>
      </w:rPr>
      <w:tab/>
    </w:r>
    <w:r w:rsidRPr="00C473FF">
      <w:rPr>
        <w:i/>
        <w:sz w:val="16"/>
        <w:szCs w:val="16"/>
      </w:rPr>
      <w:tab/>
    </w:r>
    <w:r w:rsidRPr="00C473FF">
      <w:rPr>
        <w:sz w:val="16"/>
        <w:szCs w:val="16"/>
      </w:rPr>
      <w:t xml:space="preserve">page </w:t>
    </w:r>
    <w:r w:rsidRPr="00C473FF">
      <w:rPr>
        <w:sz w:val="16"/>
        <w:szCs w:val="16"/>
      </w:rPr>
      <w:fldChar w:fldCharType="begin"/>
    </w:r>
    <w:r w:rsidRPr="00C473FF">
      <w:rPr>
        <w:sz w:val="16"/>
        <w:szCs w:val="16"/>
      </w:rPr>
      <w:instrText xml:space="preserve"> PAGE   \* MERGEFORMAT </w:instrText>
    </w:r>
    <w:r w:rsidRPr="00C473FF">
      <w:rPr>
        <w:sz w:val="16"/>
        <w:szCs w:val="16"/>
      </w:rPr>
      <w:fldChar w:fldCharType="separate"/>
    </w:r>
    <w:r>
      <w:rPr>
        <w:noProof/>
        <w:sz w:val="16"/>
        <w:szCs w:val="16"/>
      </w:rPr>
      <w:t>v</w:t>
    </w:r>
    <w:r w:rsidRPr="00C473FF">
      <w:rPr>
        <w:noProof/>
        <w:sz w:val="16"/>
        <w:szCs w:val="16"/>
      </w:rPr>
      <w:fldChar w:fldCharType="end"/>
    </w:r>
  </w:p>
  <w:p w14:paraId="429D4A3C" w14:textId="77777777" w:rsidR="001422E9" w:rsidRPr="00C473FF" w:rsidRDefault="001422E9" w:rsidP="00CB0B4C">
    <w:pPr>
      <w:pStyle w:val="Footer"/>
      <w:rPr>
        <w:sz w:val="16"/>
        <w:szCs w:val="16"/>
      </w:rPr>
    </w:pPr>
    <w:r w:rsidRPr="00C473FF">
      <w:rPr>
        <w:sz w:val="16"/>
        <w:szCs w:val="16"/>
      </w:rPr>
      <w:tab/>
      <w:t>ISO-NE INTERNAL USE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A6B2" w14:textId="77777777" w:rsidR="001422E9" w:rsidRPr="000C790C" w:rsidRDefault="001422E9" w:rsidP="000C79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2878" w14:textId="31C74F74" w:rsidR="001422E9" w:rsidRPr="00C473FF" w:rsidRDefault="001422E9" w:rsidP="00E45A44">
    <w:pPr>
      <w:tabs>
        <w:tab w:val="center" w:pos="4680"/>
        <w:tab w:val="right" w:pos="9360"/>
      </w:tabs>
      <w:spacing w:after="0" w:line="240" w:lineRule="auto"/>
      <w:rPr>
        <w:noProof/>
        <w:sz w:val="16"/>
        <w:szCs w:val="16"/>
      </w:rPr>
    </w:pPr>
    <w:r>
      <w:rPr>
        <w:i/>
        <w:sz w:val="16"/>
        <w:szCs w:val="16"/>
      </w:rPr>
      <w:t>EPCET</w:t>
    </w:r>
    <w:r w:rsidRPr="00C473FF">
      <w:rPr>
        <w:i/>
        <w:sz w:val="16"/>
        <w:szCs w:val="16"/>
      </w:rPr>
      <w:tab/>
    </w:r>
    <w:r w:rsidRPr="00C473FF">
      <w:rPr>
        <w:i/>
        <w:sz w:val="16"/>
        <w:szCs w:val="16"/>
      </w:rPr>
      <w:tab/>
    </w:r>
    <w:r w:rsidRPr="00C473FF">
      <w:rPr>
        <w:sz w:val="16"/>
        <w:szCs w:val="16"/>
      </w:rPr>
      <w:t xml:space="preserve">page </w:t>
    </w:r>
    <w:r w:rsidRPr="00C473FF">
      <w:rPr>
        <w:sz w:val="16"/>
        <w:szCs w:val="16"/>
      </w:rPr>
      <w:fldChar w:fldCharType="begin"/>
    </w:r>
    <w:r w:rsidRPr="00C473FF">
      <w:rPr>
        <w:sz w:val="16"/>
        <w:szCs w:val="16"/>
      </w:rPr>
      <w:instrText xml:space="preserve"> PAGE   \* MERGEFORMAT </w:instrText>
    </w:r>
    <w:r w:rsidRPr="00C473FF">
      <w:rPr>
        <w:sz w:val="16"/>
        <w:szCs w:val="16"/>
      </w:rPr>
      <w:fldChar w:fldCharType="separate"/>
    </w:r>
    <w:r w:rsidR="002D3D41">
      <w:rPr>
        <w:noProof/>
        <w:sz w:val="16"/>
        <w:szCs w:val="16"/>
      </w:rPr>
      <w:t>21</w:t>
    </w:r>
    <w:r w:rsidRPr="00C473FF">
      <w:rPr>
        <w:noProof/>
        <w:sz w:val="16"/>
        <w:szCs w:val="16"/>
      </w:rPr>
      <w:fldChar w:fldCharType="end"/>
    </w:r>
  </w:p>
  <w:p w14:paraId="32D74169" w14:textId="1D26C0FA" w:rsidR="001422E9" w:rsidRPr="00C473FF" w:rsidRDefault="001422E9" w:rsidP="00EA773B">
    <w:pPr>
      <w:tabs>
        <w:tab w:val="center" w:pos="4680"/>
        <w:tab w:val="right" w:pos="9360"/>
      </w:tabs>
      <w:spacing w:after="0" w:line="240" w:lineRule="auto"/>
      <w:jc w:val="center"/>
      <w:rPr>
        <w:sz w:val="16"/>
        <w:szCs w:val="16"/>
      </w:rPr>
    </w:pPr>
    <w:r w:rsidRPr="00C473FF">
      <w:rPr>
        <w:sz w:val="16"/>
        <w:szCs w:val="16"/>
      </w:rPr>
      <w:t xml:space="preserve">ISO-NE </w:t>
    </w:r>
    <w:r w:rsidR="00412E0F">
      <w:rPr>
        <w:sz w:val="16"/>
        <w:szCs w:val="16"/>
      </w:rPr>
      <w:t>PUBLIC - DRAFT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28EC" w14:textId="77777777" w:rsidR="001422E9" w:rsidRPr="00E77DD9" w:rsidRDefault="001422E9" w:rsidP="00E45A44">
    <w:pPr>
      <w:tabs>
        <w:tab w:val="center" w:pos="4680"/>
        <w:tab w:val="right" w:pos="9360"/>
      </w:tabs>
      <w:spacing w:after="0" w:line="240" w:lineRule="auto"/>
      <w:rPr>
        <w:noProof/>
        <w:sz w:val="20"/>
        <w:szCs w:val="20"/>
      </w:rPr>
    </w:pPr>
    <w:r>
      <w:rPr>
        <w:i/>
        <w:sz w:val="20"/>
        <w:szCs w:val="20"/>
      </w:rPr>
      <w:t>Shortened report title, 10 pt. Cambria italics</w:t>
    </w:r>
    <w:r w:rsidRPr="00E77DD9">
      <w:rPr>
        <w:i/>
        <w:sz w:val="20"/>
        <w:szCs w:val="20"/>
      </w:rPr>
      <w:tab/>
    </w:r>
    <w:r w:rsidRPr="00E77DD9">
      <w:rPr>
        <w:i/>
        <w:sz w:val="20"/>
        <w:szCs w:val="20"/>
      </w:rPr>
      <w:tab/>
    </w:r>
    <w:r w:rsidRPr="00E77DD9">
      <w:rPr>
        <w:sz w:val="20"/>
        <w:szCs w:val="20"/>
      </w:rPr>
      <w:t xml:space="preserve">page </w:t>
    </w:r>
    <w:r w:rsidRPr="00E77DD9">
      <w:rPr>
        <w:sz w:val="20"/>
        <w:szCs w:val="20"/>
      </w:rPr>
      <w:fldChar w:fldCharType="begin"/>
    </w:r>
    <w:r w:rsidRPr="00E77DD9">
      <w:rPr>
        <w:sz w:val="20"/>
        <w:szCs w:val="20"/>
      </w:rPr>
      <w:instrText xml:space="preserve"> PAGE   \* MERGEFORMAT </w:instrText>
    </w:r>
    <w:r w:rsidRPr="00E77DD9">
      <w:rPr>
        <w:sz w:val="20"/>
        <w:szCs w:val="20"/>
      </w:rPr>
      <w:fldChar w:fldCharType="separate"/>
    </w:r>
    <w:r>
      <w:rPr>
        <w:noProof/>
        <w:sz w:val="20"/>
        <w:szCs w:val="20"/>
      </w:rPr>
      <w:t>7</w:t>
    </w:r>
    <w:r w:rsidRPr="00E77DD9">
      <w:rPr>
        <w:noProof/>
        <w:sz w:val="20"/>
        <w:szCs w:val="20"/>
      </w:rPr>
      <w:fldChar w:fldCharType="end"/>
    </w:r>
  </w:p>
  <w:p w14:paraId="7A609AEE" w14:textId="77777777" w:rsidR="001422E9" w:rsidRDefault="001422E9" w:rsidP="00EA773B">
    <w:pPr>
      <w:tabs>
        <w:tab w:val="center" w:pos="4680"/>
        <w:tab w:val="right" w:pos="9360"/>
      </w:tabs>
      <w:spacing w:after="0" w:line="240" w:lineRule="auto"/>
      <w:jc w:val="center"/>
    </w:pPr>
    <w:r w:rsidRPr="00E75C30">
      <w:rPr>
        <w:sz w:val="20"/>
        <w:szCs w:val="20"/>
      </w:rPr>
      <w:t>ISO</w:t>
    </w:r>
    <w:r>
      <w:rPr>
        <w:sz w:val="20"/>
        <w:szCs w:val="20"/>
      </w:rPr>
      <w:t>-NE 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35AB5" w14:textId="77777777" w:rsidR="00D13508" w:rsidRDefault="00D13508" w:rsidP="00C65AF6">
      <w:pPr>
        <w:spacing w:after="0" w:line="240" w:lineRule="auto"/>
      </w:pPr>
      <w:r>
        <w:separator/>
      </w:r>
    </w:p>
  </w:footnote>
  <w:footnote w:type="continuationSeparator" w:id="0">
    <w:p w14:paraId="75DC5669" w14:textId="77777777" w:rsidR="00D13508" w:rsidRDefault="00D13508" w:rsidP="00C65AF6">
      <w:pPr>
        <w:spacing w:after="0" w:line="240" w:lineRule="auto"/>
      </w:pPr>
      <w:r>
        <w:continuationSeparator/>
      </w:r>
    </w:p>
  </w:footnote>
  <w:footnote w:type="continuationNotice" w:id="1">
    <w:p w14:paraId="142465CB" w14:textId="77777777" w:rsidR="00D13508" w:rsidRDefault="00D13508">
      <w:pPr>
        <w:spacing w:after="0" w:line="240" w:lineRule="auto"/>
      </w:pPr>
    </w:p>
  </w:footnote>
  <w:footnote w:id="2">
    <w:p w14:paraId="00AEFA7D" w14:textId="231465AE" w:rsidR="001422E9" w:rsidRDefault="001422E9" w:rsidP="001B0773">
      <w:pPr>
        <w:pStyle w:val="FootnoteText"/>
      </w:pPr>
      <w:r>
        <w:rPr>
          <w:rStyle w:val="FootnoteReference"/>
        </w:rPr>
        <w:footnoteRef/>
      </w:r>
      <w:r>
        <w:t xml:space="preserve"> ISO New England does not conduct resource planning, and does not predict whether new resources will be built, or what type of resources they might be. </w:t>
      </w:r>
    </w:p>
  </w:footnote>
  <w:footnote w:id="3">
    <w:p w14:paraId="74ED37BB" w14:textId="0DD73EA0" w:rsidR="001422E9" w:rsidRDefault="001422E9" w:rsidP="001B0773">
      <w:pPr>
        <w:pStyle w:val="FootnoteText"/>
      </w:pPr>
      <w:r w:rsidRPr="00661201">
        <w:rPr>
          <w:vertAlign w:val="superscript"/>
        </w:rPr>
        <w:footnoteRef/>
      </w:r>
      <w:r>
        <w:t xml:space="preserve"> This scenario incorporates analysis of what was initially conceived as FGRS Phase 2.</w:t>
      </w:r>
    </w:p>
  </w:footnote>
  <w:footnote w:id="4">
    <w:p w14:paraId="576F3446" w14:textId="7ACDD004" w:rsidR="001422E9" w:rsidRDefault="001422E9" w:rsidP="001B0773">
      <w:pPr>
        <w:pStyle w:val="FootnoteText"/>
      </w:pPr>
      <w:r>
        <w:rPr>
          <w:rStyle w:val="FootnoteReference"/>
        </w:rPr>
        <w:footnoteRef/>
      </w:r>
      <w:r>
        <w:t xml:space="preserve"> It is important to note that EPCET’s 60.8</w:t>
      </w:r>
      <w:r w:rsidR="00B7202C">
        <w:t xml:space="preserve"> </w:t>
      </w:r>
      <w:r>
        <w:t>GW peak demand projected for 2050 is based on data from the ISO’s load forecasting team. The 57GW peak demand cited in the 2050 Transmission Study is an input taken from the MA 2050 Decarbonization Study, and not a value forecasted by ISO New England.</w:t>
      </w:r>
    </w:p>
  </w:footnote>
  <w:footnote w:id="5">
    <w:p w14:paraId="7D5A94DE" w14:textId="46198FF5" w:rsidR="001422E9" w:rsidRDefault="001422E9" w:rsidP="001B0773">
      <w:pPr>
        <w:pStyle w:val="FoonoteText"/>
      </w:pPr>
      <w:r w:rsidRPr="48283605">
        <w:rPr>
          <w:vertAlign w:val="superscript"/>
        </w:rPr>
        <w:footnoteRef/>
      </w:r>
      <w:r>
        <w:t xml:space="preserve"> Energy markets support the buying and selling of wholesale electric power from day-to-day. The capacity market helps ensure long</w:t>
      </w:r>
      <w:r w:rsidR="00B7202C">
        <w:t>er</w:t>
      </w:r>
      <w:r>
        <w:t>-term system reliability by securing obligations from resources to be available to deliver electricity during stressed system conditions in the future.</w:t>
      </w:r>
    </w:p>
  </w:footnote>
  <w:footnote w:id="6">
    <w:p w14:paraId="7CC069A8" w14:textId="5E4119E8" w:rsidR="001422E9" w:rsidRDefault="001422E9" w:rsidP="001B0773">
      <w:pPr>
        <w:pStyle w:val="FoonoteText"/>
      </w:pPr>
      <w:r w:rsidRPr="38FCA216">
        <w:rPr>
          <w:vertAlign w:val="superscript"/>
        </w:rPr>
        <w:footnoteRef/>
      </w:r>
      <w:r>
        <w:t xml:space="preserve"> It is important to note that EPCET modeling does not include resource outages, since production cost models are not directly focused on resource adequacy. A real system with unplanned outages would likely require additional dispatchable resources to maintain reliability.</w:t>
      </w:r>
    </w:p>
  </w:footnote>
  <w:footnote w:id="7">
    <w:p w14:paraId="74B1D480" w14:textId="2EFFE539" w:rsidR="001422E9" w:rsidRPr="009501E1" w:rsidRDefault="001422E9" w:rsidP="001B0773">
      <w:pPr>
        <w:pStyle w:val="FootnoteText"/>
        <w:rPr>
          <w:color w:val="FF0000"/>
        </w:rPr>
      </w:pPr>
      <w:r>
        <w:rPr>
          <w:rStyle w:val="FootnoteReference"/>
        </w:rPr>
        <w:footnoteRef/>
      </w:r>
      <w:r>
        <w:t xml:space="preserve"> December’s emissions are higher than February’s due to December’s three additional days, though stretches of low solar and wind production coupled with depleted energy storage (conditions that drive more carbon emissions) generally occur more frequently in </w:t>
      </w:r>
      <w:r w:rsidR="00812B2F">
        <w:t>modeling for February</w:t>
      </w:r>
      <w:r>
        <w:t>.</w:t>
      </w:r>
    </w:p>
  </w:footnote>
  <w:footnote w:id="8">
    <w:p w14:paraId="68C3F7F4" w14:textId="4A9EA5B4" w:rsidR="001422E9" w:rsidRDefault="001422E9" w:rsidP="001B0773">
      <w:pPr>
        <w:pStyle w:val="FootnoteText"/>
      </w:pPr>
      <w:r>
        <w:rPr>
          <w:rStyle w:val="FootnoteReference"/>
        </w:rPr>
        <w:footnoteRef/>
      </w:r>
      <w:r>
        <w:t xml:space="preserve"> </w:t>
      </w:r>
      <w:r w:rsidRPr="00E81743">
        <w:t>State goals do not count emissions from wood, biomass, municipal solid waste (MSW), or landfill gas (LFG), so this modeled constraint only affect</w:t>
      </w:r>
      <w:r w:rsidR="00033A99">
        <w:t>s</w:t>
      </w:r>
      <w:r w:rsidRPr="00E81743">
        <w:t xml:space="preserve"> gas, coal, and oil resources.</w:t>
      </w:r>
    </w:p>
  </w:footnote>
  <w:footnote w:id="9">
    <w:p w14:paraId="26998CA3" w14:textId="42BB1AF7" w:rsidR="00F25FAE" w:rsidRDefault="00F25FAE">
      <w:pPr>
        <w:pStyle w:val="FootnoteText"/>
      </w:pPr>
      <w:r>
        <w:rPr>
          <w:rStyle w:val="FootnoteReference"/>
        </w:rPr>
        <w:footnoteRef/>
      </w:r>
      <w:r>
        <w:t xml:space="preserve"> The low density MW per acre value is based on the MW per acre of the region’s current least-dense approved offshore wind project. The high density MW per acre value is based on the MW per acre of the region’s current most-dense approved offshore wind project.</w:t>
      </w:r>
    </w:p>
  </w:footnote>
  <w:footnote w:id="10">
    <w:p w14:paraId="256DE584" w14:textId="5576643F" w:rsidR="005F7678" w:rsidRDefault="005F7678">
      <w:pPr>
        <w:pStyle w:val="FootnoteText"/>
      </w:pPr>
      <w:r w:rsidRPr="005F7678">
        <w:rPr>
          <w:rStyle w:val="FoonoteTextChar"/>
          <w:vertAlign w:val="superscript"/>
        </w:rPr>
        <w:footnoteRef/>
      </w:r>
      <w:r w:rsidRPr="005F7678">
        <w:rPr>
          <w:rStyle w:val="FoonoteTextChar"/>
          <w:vertAlign w:val="superscript"/>
        </w:rPr>
        <w:t xml:space="preserve"> </w:t>
      </w:r>
      <w:r w:rsidRPr="005F7678">
        <w:rPr>
          <w:rStyle w:val="FoonoteTextChar"/>
        </w:rPr>
        <w:t>Pay-for-Performance rules penalize resources that fail to meet their capacity supply obligations in real time, while rewarding resources that exceed their obligations.</w:t>
      </w:r>
    </w:p>
  </w:footnote>
  <w:footnote w:id="11">
    <w:p w14:paraId="3CE0A459" w14:textId="77777777" w:rsidR="001422E9" w:rsidRDefault="001422E9" w:rsidP="001B0773">
      <w:pPr>
        <w:pStyle w:val="FootnoteText"/>
      </w:pPr>
      <w:r w:rsidRPr="005F7678">
        <w:rPr>
          <w:rStyle w:val="FootnoteReference"/>
          <w:sz w:val="18"/>
        </w:rPr>
        <w:footnoteRef/>
      </w:r>
      <w:r w:rsidRPr="005F7678">
        <w:rPr>
          <w:sz w:val="16"/>
        </w:rPr>
        <w:t xml:space="preserve"> </w:t>
      </w:r>
      <w:r>
        <w:t>This sensitivity was requested by the New England States Committee on Electricity (NESCOE).</w:t>
      </w:r>
    </w:p>
  </w:footnote>
  <w:footnote w:id="12">
    <w:p w14:paraId="110DC958" w14:textId="77777777" w:rsidR="001422E9" w:rsidRDefault="001422E9" w:rsidP="001B0773">
      <w:pPr>
        <w:pStyle w:val="FootnoteText"/>
      </w:pPr>
      <w:r>
        <w:rPr>
          <w:rStyle w:val="FootnoteReference"/>
        </w:rPr>
        <w:footnoteRef/>
      </w:r>
      <w:r>
        <w:t xml:space="preserve"> LMPs can be negative at times of high wind and/or solar output, when near-zero-cost energy is abundant.</w:t>
      </w:r>
    </w:p>
  </w:footnote>
  <w:footnote w:id="13">
    <w:p w14:paraId="58F1F4BB" w14:textId="77777777" w:rsidR="001422E9" w:rsidRDefault="001422E9" w:rsidP="001B0773">
      <w:pPr>
        <w:pStyle w:val="FootnoteText"/>
      </w:pPr>
      <w:r>
        <w:rPr>
          <w:rStyle w:val="FootnoteReference"/>
        </w:rPr>
        <w:footnoteRef/>
      </w:r>
      <w:r>
        <w:t xml:space="preserve"> EPCET’s modeling of net profit includes assumptions related to a hypothetical unit’s PPA revenue, annualized build costs, and total costs, among other metrics.</w:t>
      </w:r>
    </w:p>
  </w:footnote>
  <w:footnote w:id="14">
    <w:p w14:paraId="554699E0" w14:textId="77777777" w:rsidR="001422E9" w:rsidRDefault="001422E9" w:rsidP="001B0773">
      <w:pPr>
        <w:pStyle w:val="FootnoteText"/>
      </w:pPr>
      <w:r>
        <w:rPr>
          <w:rStyle w:val="FootnoteReference"/>
        </w:rPr>
        <w:footnoteRef/>
      </w:r>
      <w:r>
        <w:t xml:space="preserve"> Similar cost escalation trends were observed in the ISO’s </w:t>
      </w:r>
      <w:hyperlink r:id="rId1">
        <w:r w:rsidRPr="76BE702F">
          <w:rPr>
            <w:rStyle w:val="Hyperlink"/>
          </w:rPr>
          <w:t>Pathways Study</w:t>
        </w:r>
      </w:hyperlink>
      <w:r>
        <w:t>.</w:t>
      </w:r>
    </w:p>
  </w:footnote>
  <w:footnote w:id="15">
    <w:p w14:paraId="108A0E74" w14:textId="0F2CB16D" w:rsidR="001422E9" w:rsidRPr="001B0773" w:rsidRDefault="001422E9" w:rsidP="001B0773">
      <w:pPr>
        <w:pStyle w:val="FootnoteText"/>
      </w:pPr>
      <w:r w:rsidRPr="001B0773">
        <w:rPr>
          <w:rStyle w:val="FootnoteReference"/>
        </w:rPr>
        <w:footnoteRef/>
      </w:r>
      <w:r w:rsidRPr="001B0773">
        <w:t xml:space="preserve"> Though they provide significant zero-carbon energy, nuclear resources do not typically receive PPAs.</w:t>
      </w:r>
    </w:p>
  </w:footnote>
  <w:footnote w:id="16">
    <w:p w14:paraId="1B593715" w14:textId="77777777" w:rsidR="001422E9" w:rsidRDefault="001422E9" w:rsidP="001B0773">
      <w:pPr>
        <w:pStyle w:val="FoonoteText"/>
      </w:pPr>
      <w:r w:rsidRPr="003C7A9A">
        <w:rPr>
          <w:rStyle w:val="FoonoteTextChar"/>
          <w:vertAlign w:val="superscript"/>
        </w:rPr>
        <w:footnoteRef/>
      </w:r>
      <w:r w:rsidRPr="003C7A9A">
        <w:rPr>
          <w:rStyle w:val="FoonoteTextChar"/>
          <w:vertAlign w:val="superscript"/>
        </w:rPr>
        <w:t xml:space="preserve"> </w:t>
      </w:r>
      <w:r w:rsidRPr="003C7A9A">
        <w:rPr>
          <w:rStyle w:val="FoonoteTextChar"/>
        </w:rPr>
        <w:t>Hydrogen electrolyzers split water into hydrogen and oxygen, and hydrogen is a potentially scalable zero-carbon dispatchable fuel.</w:t>
      </w:r>
    </w:p>
  </w:footnote>
  <w:footnote w:id="17">
    <w:p w14:paraId="48A2EA49" w14:textId="77777777" w:rsidR="001422E9" w:rsidRDefault="001422E9" w:rsidP="001B0773">
      <w:pPr>
        <w:pStyle w:val="FoonoteText"/>
      </w:pPr>
      <w:r>
        <w:rPr>
          <w:rStyle w:val="FootnoteReference"/>
        </w:rPr>
        <w:footnoteRef/>
      </w:r>
      <w:r>
        <w:t xml:space="preserve"> The 2050 Transmission Study showed that discretionary load helped alleviate challenges for the future transmission system related to peak demand.</w:t>
      </w:r>
    </w:p>
  </w:footnote>
  <w:footnote w:id="18">
    <w:p w14:paraId="108C24A0" w14:textId="63F69CB4" w:rsidR="001422E9" w:rsidRDefault="001422E9" w:rsidP="001B0773">
      <w:pPr>
        <w:pStyle w:val="FootnoteText"/>
      </w:pPr>
      <w:r>
        <w:rPr>
          <w:rStyle w:val="FootnoteReference"/>
        </w:rPr>
        <w:footnoteRef/>
      </w:r>
      <w:r>
        <w:t xml:space="preserve"> SNG production generates negligible amounts of carbon, as long as the methane is produced from direct air carbon capture and electrolysis using renewable energy.</w:t>
      </w:r>
    </w:p>
  </w:footnote>
  <w:footnote w:id="19">
    <w:p w14:paraId="04335927" w14:textId="77777777" w:rsidR="001422E9" w:rsidRDefault="001422E9" w:rsidP="001B0773">
      <w:pPr>
        <w:pStyle w:val="FootnoteText"/>
      </w:pPr>
      <w:r>
        <w:rPr>
          <w:rStyle w:val="FootnoteReference"/>
        </w:rPr>
        <w:footnoteRef/>
      </w:r>
      <w:r>
        <w:t xml:space="preserve"> While the zero-carbon production of SNG would require a supply of hydrogen for electrolysis, the amount of hydrogen needed to produce SNG is much lower than that of a hydrogen-centric system.</w:t>
      </w:r>
    </w:p>
  </w:footnote>
  <w:footnote w:id="20">
    <w:p w14:paraId="34D1D954" w14:textId="21B06B91" w:rsidR="001422E9" w:rsidRDefault="001422E9" w:rsidP="001B0773">
      <w:pPr>
        <w:pStyle w:val="FootnoteText"/>
      </w:pPr>
      <w:r>
        <w:rPr>
          <w:rStyle w:val="FootnoteReference"/>
        </w:rPr>
        <w:footnoteRef/>
      </w:r>
      <w:r>
        <w:t xml:space="preserve"> Carbon-capture technology was considered for analysis, but is currently less feasible in New England due to geographical constraints.</w:t>
      </w:r>
    </w:p>
  </w:footnote>
  <w:footnote w:id="21">
    <w:p w14:paraId="41A1F518" w14:textId="4791B239" w:rsidR="001F6354" w:rsidRDefault="001F6354">
      <w:pPr>
        <w:pStyle w:val="FootnoteText"/>
      </w:pPr>
      <w:r>
        <w:rPr>
          <w:rStyle w:val="FootnoteReference"/>
        </w:rPr>
        <w:footnoteRef/>
      </w:r>
      <w:r>
        <w:t xml:space="preserve"> </w:t>
      </w:r>
      <w:r w:rsidR="00C70FC4">
        <w:t xml:space="preserve">The 2023 representative example is occurred on </w:t>
      </w:r>
      <w:r>
        <w:t>April 9, 2023.</w:t>
      </w:r>
    </w:p>
  </w:footnote>
  <w:footnote w:id="22">
    <w:p w14:paraId="7469B73C" w14:textId="76C9F98A" w:rsidR="001422E9" w:rsidRDefault="001422E9" w:rsidP="001B0773">
      <w:pPr>
        <w:pStyle w:val="FootnoteText"/>
      </w:pPr>
      <w:r w:rsidRPr="00822235">
        <w:rPr>
          <w:rStyle w:val="FoonoteTextChar"/>
          <w:vertAlign w:val="superscript"/>
        </w:rPr>
        <w:footnoteRef/>
      </w:r>
      <w:r w:rsidRPr="00822235">
        <w:rPr>
          <w:rStyle w:val="FoonoteTextChar"/>
          <w:vertAlign w:val="superscript"/>
        </w:rPr>
        <w:t xml:space="preserve"> </w:t>
      </w:r>
      <w:r>
        <w:t>EPCET’s benchmark case tests the model’s fidelity versus the historical system of the year before. The model performs well against the historical system and provides valuable insights into the future grid. However, the ISO notes where models cannot fully simulate reality, and are likely more optimistic. As the grid operator, ISO New England must ensure that the system is reliable under any conditions, and notes potential discrepancies in that vein.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722B" w14:textId="77777777" w:rsidR="002D3D41" w:rsidRDefault="002D3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FA54B" w14:textId="77777777" w:rsidR="002D3D41" w:rsidRDefault="002D3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7A4A" w14:textId="77777777" w:rsidR="001422E9" w:rsidRDefault="001422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6055"/>
    <w:multiLevelType w:val="hybridMultilevel"/>
    <w:tmpl w:val="91F4EA00"/>
    <w:lvl w:ilvl="0" w:tplc="C4B6F320">
      <w:start w:val="1"/>
      <w:numFmt w:val="bullet"/>
      <w:pStyle w:val="Bullet-Solid"/>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865F8"/>
    <w:multiLevelType w:val="hybridMultilevel"/>
    <w:tmpl w:val="52227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EEDAD1"/>
    <w:multiLevelType w:val="hybridMultilevel"/>
    <w:tmpl w:val="3500BA5C"/>
    <w:lvl w:ilvl="0" w:tplc="CE38E5B8">
      <w:start w:val="1"/>
      <w:numFmt w:val="bullet"/>
      <w:lvlText w:val="·"/>
      <w:lvlJc w:val="left"/>
      <w:pPr>
        <w:ind w:left="720" w:hanging="360"/>
      </w:pPr>
      <w:rPr>
        <w:rFonts w:ascii="Symbol" w:hAnsi="Symbol" w:hint="default"/>
      </w:rPr>
    </w:lvl>
    <w:lvl w:ilvl="1" w:tplc="5750058A">
      <w:start w:val="1"/>
      <w:numFmt w:val="bullet"/>
      <w:lvlText w:val="o"/>
      <w:lvlJc w:val="left"/>
      <w:pPr>
        <w:ind w:left="1440" w:hanging="360"/>
      </w:pPr>
      <w:rPr>
        <w:rFonts w:ascii="Courier New" w:hAnsi="Courier New" w:hint="default"/>
      </w:rPr>
    </w:lvl>
    <w:lvl w:ilvl="2" w:tplc="C83648A8">
      <w:start w:val="1"/>
      <w:numFmt w:val="bullet"/>
      <w:lvlText w:val=""/>
      <w:lvlJc w:val="left"/>
      <w:pPr>
        <w:ind w:left="2160" w:hanging="360"/>
      </w:pPr>
      <w:rPr>
        <w:rFonts w:ascii="Wingdings" w:hAnsi="Wingdings" w:hint="default"/>
      </w:rPr>
    </w:lvl>
    <w:lvl w:ilvl="3" w:tplc="BF42BF58">
      <w:start w:val="1"/>
      <w:numFmt w:val="bullet"/>
      <w:lvlText w:val=""/>
      <w:lvlJc w:val="left"/>
      <w:pPr>
        <w:ind w:left="2880" w:hanging="360"/>
      </w:pPr>
      <w:rPr>
        <w:rFonts w:ascii="Symbol" w:hAnsi="Symbol" w:hint="default"/>
      </w:rPr>
    </w:lvl>
    <w:lvl w:ilvl="4" w:tplc="1832847A">
      <w:start w:val="1"/>
      <w:numFmt w:val="bullet"/>
      <w:lvlText w:val="o"/>
      <w:lvlJc w:val="left"/>
      <w:pPr>
        <w:ind w:left="3600" w:hanging="360"/>
      </w:pPr>
      <w:rPr>
        <w:rFonts w:ascii="Courier New" w:hAnsi="Courier New" w:hint="default"/>
      </w:rPr>
    </w:lvl>
    <w:lvl w:ilvl="5" w:tplc="A72CAE26">
      <w:start w:val="1"/>
      <w:numFmt w:val="bullet"/>
      <w:lvlText w:val=""/>
      <w:lvlJc w:val="left"/>
      <w:pPr>
        <w:ind w:left="4320" w:hanging="360"/>
      </w:pPr>
      <w:rPr>
        <w:rFonts w:ascii="Wingdings" w:hAnsi="Wingdings" w:hint="default"/>
      </w:rPr>
    </w:lvl>
    <w:lvl w:ilvl="6" w:tplc="57585FDA">
      <w:start w:val="1"/>
      <w:numFmt w:val="bullet"/>
      <w:lvlText w:val=""/>
      <w:lvlJc w:val="left"/>
      <w:pPr>
        <w:ind w:left="5040" w:hanging="360"/>
      </w:pPr>
      <w:rPr>
        <w:rFonts w:ascii="Symbol" w:hAnsi="Symbol" w:hint="default"/>
      </w:rPr>
    </w:lvl>
    <w:lvl w:ilvl="7" w:tplc="AE2E8E3A">
      <w:start w:val="1"/>
      <w:numFmt w:val="bullet"/>
      <w:lvlText w:val="o"/>
      <w:lvlJc w:val="left"/>
      <w:pPr>
        <w:ind w:left="5760" w:hanging="360"/>
      </w:pPr>
      <w:rPr>
        <w:rFonts w:ascii="Courier New" w:hAnsi="Courier New" w:hint="default"/>
      </w:rPr>
    </w:lvl>
    <w:lvl w:ilvl="8" w:tplc="DC903FF2">
      <w:start w:val="1"/>
      <w:numFmt w:val="bullet"/>
      <w:lvlText w:val=""/>
      <w:lvlJc w:val="left"/>
      <w:pPr>
        <w:ind w:left="6480" w:hanging="360"/>
      </w:pPr>
      <w:rPr>
        <w:rFonts w:ascii="Wingdings" w:hAnsi="Wingdings" w:hint="default"/>
      </w:rPr>
    </w:lvl>
  </w:abstractNum>
  <w:abstractNum w:abstractNumId="3" w15:restartNumberingAfterBreak="0">
    <w:nsid w:val="0F5B3B90"/>
    <w:multiLevelType w:val="hybridMultilevel"/>
    <w:tmpl w:val="AA66AB30"/>
    <w:lvl w:ilvl="0" w:tplc="EC96FB2E">
      <w:start w:val="1"/>
      <w:numFmt w:val="bullet"/>
      <w:lvlText w:val="•"/>
      <w:lvlJc w:val="left"/>
      <w:pPr>
        <w:tabs>
          <w:tab w:val="num" w:pos="720"/>
        </w:tabs>
        <w:ind w:left="720" w:hanging="360"/>
      </w:pPr>
      <w:rPr>
        <w:rFonts w:ascii="Arial" w:hAnsi="Arial" w:hint="default"/>
      </w:rPr>
    </w:lvl>
    <w:lvl w:ilvl="1" w:tplc="D6263132" w:tentative="1">
      <w:start w:val="1"/>
      <w:numFmt w:val="bullet"/>
      <w:lvlText w:val="•"/>
      <w:lvlJc w:val="left"/>
      <w:pPr>
        <w:tabs>
          <w:tab w:val="num" w:pos="1440"/>
        </w:tabs>
        <w:ind w:left="1440" w:hanging="360"/>
      </w:pPr>
      <w:rPr>
        <w:rFonts w:ascii="Arial" w:hAnsi="Arial" w:hint="default"/>
      </w:rPr>
    </w:lvl>
    <w:lvl w:ilvl="2" w:tplc="A1EED8E6" w:tentative="1">
      <w:start w:val="1"/>
      <w:numFmt w:val="bullet"/>
      <w:lvlText w:val="•"/>
      <w:lvlJc w:val="left"/>
      <w:pPr>
        <w:tabs>
          <w:tab w:val="num" w:pos="2160"/>
        </w:tabs>
        <w:ind w:left="2160" w:hanging="360"/>
      </w:pPr>
      <w:rPr>
        <w:rFonts w:ascii="Arial" w:hAnsi="Arial" w:hint="default"/>
      </w:rPr>
    </w:lvl>
    <w:lvl w:ilvl="3" w:tplc="9508F8CE" w:tentative="1">
      <w:start w:val="1"/>
      <w:numFmt w:val="bullet"/>
      <w:lvlText w:val="•"/>
      <w:lvlJc w:val="left"/>
      <w:pPr>
        <w:tabs>
          <w:tab w:val="num" w:pos="2880"/>
        </w:tabs>
        <w:ind w:left="2880" w:hanging="360"/>
      </w:pPr>
      <w:rPr>
        <w:rFonts w:ascii="Arial" w:hAnsi="Arial" w:hint="default"/>
      </w:rPr>
    </w:lvl>
    <w:lvl w:ilvl="4" w:tplc="7FE61814" w:tentative="1">
      <w:start w:val="1"/>
      <w:numFmt w:val="bullet"/>
      <w:lvlText w:val="•"/>
      <w:lvlJc w:val="left"/>
      <w:pPr>
        <w:tabs>
          <w:tab w:val="num" w:pos="3600"/>
        </w:tabs>
        <w:ind w:left="3600" w:hanging="360"/>
      </w:pPr>
      <w:rPr>
        <w:rFonts w:ascii="Arial" w:hAnsi="Arial" w:hint="default"/>
      </w:rPr>
    </w:lvl>
    <w:lvl w:ilvl="5" w:tplc="168EAC90" w:tentative="1">
      <w:start w:val="1"/>
      <w:numFmt w:val="bullet"/>
      <w:lvlText w:val="•"/>
      <w:lvlJc w:val="left"/>
      <w:pPr>
        <w:tabs>
          <w:tab w:val="num" w:pos="4320"/>
        </w:tabs>
        <w:ind w:left="4320" w:hanging="360"/>
      </w:pPr>
      <w:rPr>
        <w:rFonts w:ascii="Arial" w:hAnsi="Arial" w:hint="default"/>
      </w:rPr>
    </w:lvl>
    <w:lvl w:ilvl="6" w:tplc="7B6C7B6A" w:tentative="1">
      <w:start w:val="1"/>
      <w:numFmt w:val="bullet"/>
      <w:lvlText w:val="•"/>
      <w:lvlJc w:val="left"/>
      <w:pPr>
        <w:tabs>
          <w:tab w:val="num" w:pos="5040"/>
        </w:tabs>
        <w:ind w:left="5040" w:hanging="360"/>
      </w:pPr>
      <w:rPr>
        <w:rFonts w:ascii="Arial" w:hAnsi="Arial" w:hint="default"/>
      </w:rPr>
    </w:lvl>
    <w:lvl w:ilvl="7" w:tplc="044671A2" w:tentative="1">
      <w:start w:val="1"/>
      <w:numFmt w:val="bullet"/>
      <w:lvlText w:val="•"/>
      <w:lvlJc w:val="left"/>
      <w:pPr>
        <w:tabs>
          <w:tab w:val="num" w:pos="5760"/>
        </w:tabs>
        <w:ind w:left="5760" w:hanging="360"/>
      </w:pPr>
      <w:rPr>
        <w:rFonts w:ascii="Arial" w:hAnsi="Arial" w:hint="default"/>
      </w:rPr>
    </w:lvl>
    <w:lvl w:ilvl="8" w:tplc="C0F897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C15A3C"/>
    <w:multiLevelType w:val="hybridMultilevel"/>
    <w:tmpl w:val="1BE8E4E2"/>
    <w:lvl w:ilvl="0" w:tplc="33FA776E">
      <w:start w:val="205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57BD9"/>
    <w:multiLevelType w:val="hybridMultilevel"/>
    <w:tmpl w:val="227A2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576D22"/>
    <w:multiLevelType w:val="hybridMultilevel"/>
    <w:tmpl w:val="04E6261A"/>
    <w:lvl w:ilvl="0" w:tplc="2DF8F15E">
      <w:start w:val="1"/>
      <w:numFmt w:val="bullet"/>
      <w:lvlText w:val="•"/>
      <w:lvlJc w:val="left"/>
      <w:pPr>
        <w:tabs>
          <w:tab w:val="num" w:pos="720"/>
        </w:tabs>
        <w:ind w:left="720" w:hanging="360"/>
      </w:pPr>
      <w:rPr>
        <w:rFonts w:ascii="Arial" w:hAnsi="Arial" w:hint="default"/>
      </w:rPr>
    </w:lvl>
    <w:lvl w:ilvl="1" w:tplc="4FEEECAE" w:tentative="1">
      <w:start w:val="1"/>
      <w:numFmt w:val="bullet"/>
      <w:lvlText w:val="•"/>
      <w:lvlJc w:val="left"/>
      <w:pPr>
        <w:tabs>
          <w:tab w:val="num" w:pos="1440"/>
        </w:tabs>
        <w:ind w:left="1440" w:hanging="360"/>
      </w:pPr>
      <w:rPr>
        <w:rFonts w:ascii="Arial" w:hAnsi="Arial" w:hint="default"/>
      </w:rPr>
    </w:lvl>
    <w:lvl w:ilvl="2" w:tplc="663EC872" w:tentative="1">
      <w:start w:val="1"/>
      <w:numFmt w:val="bullet"/>
      <w:lvlText w:val="•"/>
      <w:lvlJc w:val="left"/>
      <w:pPr>
        <w:tabs>
          <w:tab w:val="num" w:pos="2160"/>
        </w:tabs>
        <w:ind w:left="2160" w:hanging="360"/>
      </w:pPr>
      <w:rPr>
        <w:rFonts w:ascii="Arial" w:hAnsi="Arial" w:hint="default"/>
      </w:rPr>
    </w:lvl>
    <w:lvl w:ilvl="3" w:tplc="546C29E4" w:tentative="1">
      <w:start w:val="1"/>
      <w:numFmt w:val="bullet"/>
      <w:lvlText w:val="•"/>
      <w:lvlJc w:val="left"/>
      <w:pPr>
        <w:tabs>
          <w:tab w:val="num" w:pos="2880"/>
        </w:tabs>
        <w:ind w:left="2880" w:hanging="360"/>
      </w:pPr>
      <w:rPr>
        <w:rFonts w:ascii="Arial" w:hAnsi="Arial" w:hint="default"/>
      </w:rPr>
    </w:lvl>
    <w:lvl w:ilvl="4" w:tplc="95B010BE" w:tentative="1">
      <w:start w:val="1"/>
      <w:numFmt w:val="bullet"/>
      <w:lvlText w:val="•"/>
      <w:lvlJc w:val="left"/>
      <w:pPr>
        <w:tabs>
          <w:tab w:val="num" w:pos="3600"/>
        </w:tabs>
        <w:ind w:left="3600" w:hanging="360"/>
      </w:pPr>
      <w:rPr>
        <w:rFonts w:ascii="Arial" w:hAnsi="Arial" w:hint="default"/>
      </w:rPr>
    </w:lvl>
    <w:lvl w:ilvl="5" w:tplc="BB3ED9A8" w:tentative="1">
      <w:start w:val="1"/>
      <w:numFmt w:val="bullet"/>
      <w:lvlText w:val="•"/>
      <w:lvlJc w:val="left"/>
      <w:pPr>
        <w:tabs>
          <w:tab w:val="num" w:pos="4320"/>
        </w:tabs>
        <w:ind w:left="4320" w:hanging="360"/>
      </w:pPr>
      <w:rPr>
        <w:rFonts w:ascii="Arial" w:hAnsi="Arial" w:hint="default"/>
      </w:rPr>
    </w:lvl>
    <w:lvl w:ilvl="6" w:tplc="9D4A9966" w:tentative="1">
      <w:start w:val="1"/>
      <w:numFmt w:val="bullet"/>
      <w:lvlText w:val="•"/>
      <w:lvlJc w:val="left"/>
      <w:pPr>
        <w:tabs>
          <w:tab w:val="num" w:pos="5040"/>
        </w:tabs>
        <w:ind w:left="5040" w:hanging="360"/>
      </w:pPr>
      <w:rPr>
        <w:rFonts w:ascii="Arial" w:hAnsi="Arial" w:hint="default"/>
      </w:rPr>
    </w:lvl>
    <w:lvl w:ilvl="7" w:tplc="76A656E0" w:tentative="1">
      <w:start w:val="1"/>
      <w:numFmt w:val="bullet"/>
      <w:lvlText w:val="•"/>
      <w:lvlJc w:val="left"/>
      <w:pPr>
        <w:tabs>
          <w:tab w:val="num" w:pos="5760"/>
        </w:tabs>
        <w:ind w:left="5760" w:hanging="360"/>
      </w:pPr>
      <w:rPr>
        <w:rFonts w:ascii="Arial" w:hAnsi="Arial" w:hint="default"/>
      </w:rPr>
    </w:lvl>
    <w:lvl w:ilvl="8" w:tplc="4A8088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966ACE"/>
    <w:multiLevelType w:val="hybridMultilevel"/>
    <w:tmpl w:val="53766140"/>
    <w:lvl w:ilvl="0" w:tplc="6D2E211C">
      <w:start w:val="1"/>
      <w:numFmt w:val="bullet"/>
      <w:lvlText w:val="•"/>
      <w:lvlJc w:val="left"/>
      <w:pPr>
        <w:tabs>
          <w:tab w:val="num" w:pos="720"/>
        </w:tabs>
        <w:ind w:left="720" w:hanging="360"/>
      </w:pPr>
      <w:rPr>
        <w:rFonts w:ascii="Arial" w:hAnsi="Arial" w:hint="default"/>
      </w:rPr>
    </w:lvl>
    <w:lvl w:ilvl="1" w:tplc="AD424516" w:tentative="1">
      <w:start w:val="1"/>
      <w:numFmt w:val="bullet"/>
      <w:lvlText w:val="•"/>
      <w:lvlJc w:val="left"/>
      <w:pPr>
        <w:tabs>
          <w:tab w:val="num" w:pos="1440"/>
        </w:tabs>
        <w:ind w:left="1440" w:hanging="360"/>
      </w:pPr>
      <w:rPr>
        <w:rFonts w:ascii="Arial" w:hAnsi="Arial" w:hint="default"/>
      </w:rPr>
    </w:lvl>
    <w:lvl w:ilvl="2" w:tplc="D22A1208" w:tentative="1">
      <w:start w:val="1"/>
      <w:numFmt w:val="bullet"/>
      <w:lvlText w:val="•"/>
      <w:lvlJc w:val="left"/>
      <w:pPr>
        <w:tabs>
          <w:tab w:val="num" w:pos="2160"/>
        </w:tabs>
        <w:ind w:left="2160" w:hanging="360"/>
      </w:pPr>
      <w:rPr>
        <w:rFonts w:ascii="Arial" w:hAnsi="Arial" w:hint="default"/>
      </w:rPr>
    </w:lvl>
    <w:lvl w:ilvl="3" w:tplc="016CD084" w:tentative="1">
      <w:start w:val="1"/>
      <w:numFmt w:val="bullet"/>
      <w:lvlText w:val="•"/>
      <w:lvlJc w:val="left"/>
      <w:pPr>
        <w:tabs>
          <w:tab w:val="num" w:pos="2880"/>
        </w:tabs>
        <w:ind w:left="2880" w:hanging="360"/>
      </w:pPr>
      <w:rPr>
        <w:rFonts w:ascii="Arial" w:hAnsi="Arial" w:hint="default"/>
      </w:rPr>
    </w:lvl>
    <w:lvl w:ilvl="4" w:tplc="110A2E48" w:tentative="1">
      <w:start w:val="1"/>
      <w:numFmt w:val="bullet"/>
      <w:lvlText w:val="•"/>
      <w:lvlJc w:val="left"/>
      <w:pPr>
        <w:tabs>
          <w:tab w:val="num" w:pos="3600"/>
        </w:tabs>
        <w:ind w:left="3600" w:hanging="360"/>
      </w:pPr>
      <w:rPr>
        <w:rFonts w:ascii="Arial" w:hAnsi="Arial" w:hint="default"/>
      </w:rPr>
    </w:lvl>
    <w:lvl w:ilvl="5" w:tplc="E01E5BB0" w:tentative="1">
      <w:start w:val="1"/>
      <w:numFmt w:val="bullet"/>
      <w:lvlText w:val="•"/>
      <w:lvlJc w:val="left"/>
      <w:pPr>
        <w:tabs>
          <w:tab w:val="num" w:pos="4320"/>
        </w:tabs>
        <w:ind w:left="4320" w:hanging="360"/>
      </w:pPr>
      <w:rPr>
        <w:rFonts w:ascii="Arial" w:hAnsi="Arial" w:hint="default"/>
      </w:rPr>
    </w:lvl>
    <w:lvl w:ilvl="6" w:tplc="E94A7052" w:tentative="1">
      <w:start w:val="1"/>
      <w:numFmt w:val="bullet"/>
      <w:lvlText w:val="•"/>
      <w:lvlJc w:val="left"/>
      <w:pPr>
        <w:tabs>
          <w:tab w:val="num" w:pos="5040"/>
        </w:tabs>
        <w:ind w:left="5040" w:hanging="360"/>
      </w:pPr>
      <w:rPr>
        <w:rFonts w:ascii="Arial" w:hAnsi="Arial" w:hint="default"/>
      </w:rPr>
    </w:lvl>
    <w:lvl w:ilvl="7" w:tplc="7ABE4CA2" w:tentative="1">
      <w:start w:val="1"/>
      <w:numFmt w:val="bullet"/>
      <w:lvlText w:val="•"/>
      <w:lvlJc w:val="left"/>
      <w:pPr>
        <w:tabs>
          <w:tab w:val="num" w:pos="5760"/>
        </w:tabs>
        <w:ind w:left="5760" w:hanging="360"/>
      </w:pPr>
      <w:rPr>
        <w:rFonts w:ascii="Arial" w:hAnsi="Arial" w:hint="default"/>
      </w:rPr>
    </w:lvl>
    <w:lvl w:ilvl="8" w:tplc="716A4C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FACBC9"/>
    <w:multiLevelType w:val="hybridMultilevel"/>
    <w:tmpl w:val="54A00560"/>
    <w:lvl w:ilvl="0" w:tplc="6DC826CC">
      <w:start w:val="1"/>
      <w:numFmt w:val="bullet"/>
      <w:lvlText w:val=""/>
      <w:lvlJc w:val="left"/>
      <w:pPr>
        <w:ind w:left="720" w:hanging="360"/>
      </w:pPr>
      <w:rPr>
        <w:rFonts w:ascii="Symbol" w:hAnsi="Symbol" w:hint="default"/>
      </w:rPr>
    </w:lvl>
    <w:lvl w:ilvl="1" w:tplc="C93C94B6">
      <w:start w:val="1"/>
      <w:numFmt w:val="bullet"/>
      <w:lvlText w:val="o"/>
      <w:lvlJc w:val="left"/>
      <w:pPr>
        <w:ind w:left="1440" w:hanging="360"/>
      </w:pPr>
      <w:rPr>
        <w:rFonts w:ascii="Courier New" w:hAnsi="Courier New" w:hint="default"/>
      </w:rPr>
    </w:lvl>
    <w:lvl w:ilvl="2" w:tplc="9C0CF382">
      <w:start w:val="1"/>
      <w:numFmt w:val="bullet"/>
      <w:lvlText w:val=""/>
      <w:lvlJc w:val="left"/>
      <w:pPr>
        <w:ind w:left="2160" w:hanging="360"/>
      </w:pPr>
      <w:rPr>
        <w:rFonts w:ascii="Wingdings" w:hAnsi="Wingdings" w:hint="default"/>
      </w:rPr>
    </w:lvl>
    <w:lvl w:ilvl="3" w:tplc="71F895D6">
      <w:start w:val="1"/>
      <w:numFmt w:val="bullet"/>
      <w:lvlText w:val=""/>
      <w:lvlJc w:val="left"/>
      <w:pPr>
        <w:ind w:left="2880" w:hanging="360"/>
      </w:pPr>
      <w:rPr>
        <w:rFonts w:ascii="Symbol" w:hAnsi="Symbol" w:hint="default"/>
      </w:rPr>
    </w:lvl>
    <w:lvl w:ilvl="4" w:tplc="E1D2F2B0">
      <w:start w:val="1"/>
      <w:numFmt w:val="bullet"/>
      <w:lvlText w:val="o"/>
      <w:lvlJc w:val="left"/>
      <w:pPr>
        <w:ind w:left="3600" w:hanging="360"/>
      </w:pPr>
      <w:rPr>
        <w:rFonts w:ascii="Courier New" w:hAnsi="Courier New" w:hint="default"/>
      </w:rPr>
    </w:lvl>
    <w:lvl w:ilvl="5" w:tplc="FF224ED4">
      <w:start w:val="1"/>
      <w:numFmt w:val="bullet"/>
      <w:lvlText w:val=""/>
      <w:lvlJc w:val="left"/>
      <w:pPr>
        <w:ind w:left="4320" w:hanging="360"/>
      </w:pPr>
      <w:rPr>
        <w:rFonts w:ascii="Wingdings" w:hAnsi="Wingdings" w:hint="default"/>
      </w:rPr>
    </w:lvl>
    <w:lvl w:ilvl="6" w:tplc="8C3ECADC">
      <w:start w:val="1"/>
      <w:numFmt w:val="bullet"/>
      <w:lvlText w:val=""/>
      <w:lvlJc w:val="left"/>
      <w:pPr>
        <w:ind w:left="5040" w:hanging="360"/>
      </w:pPr>
      <w:rPr>
        <w:rFonts w:ascii="Symbol" w:hAnsi="Symbol" w:hint="default"/>
      </w:rPr>
    </w:lvl>
    <w:lvl w:ilvl="7" w:tplc="06F8B5F2">
      <w:start w:val="1"/>
      <w:numFmt w:val="bullet"/>
      <w:lvlText w:val="o"/>
      <w:lvlJc w:val="left"/>
      <w:pPr>
        <w:ind w:left="5760" w:hanging="360"/>
      </w:pPr>
      <w:rPr>
        <w:rFonts w:ascii="Courier New" w:hAnsi="Courier New" w:hint="default"/>
      </w:rPr>
    </w:lvl>
    <w:lvl w:ilvl="8" w:tplc="831EAC04">
      <w:start w:val="1"/>
      <w:numFmt w:val="bullet"/>
      <w:lvlText w:val=""/>
      <w:lvlJc w:val="left"/>
      <w:pPr>
        <w:ind w:left="6480" w:hanging="360"/>
      </w:pPr>
      <w:rPr>
        <w:rFonts w:ascii="Wingdings" w:hAnsi="Wingdings" w:hint="default"/>
      </w:rPr>
    </w:lvl>
  </w:abstractNum>
  <w:abstractNum w:abstractNumId="9" w15:restartNumberingAfterBreak="0">
    <w:nsid w:val="1ECC1E4A"/>
    <w:multiLevelType w:val="hybridMultilevel"/>
    <w:tmpl w:val="7EF03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1D536F"/>
    <w:multiLevelType w:val="hybridMultilevel"/>
    <w:tmpl w:val="12F23188"/>
    <w:lvl w:ilvl="0" w:tplc="B5EEEED8">
      <w:start w:val="1"/>
      <w:numFmt w:val="bullet"/>
      <w:lvlText w:val="•"/>
      <w:lvlJc w:val="left"/>
      <w:pPr>
        <w:tabs>
          <w:tab w:val="num" w:pos="720"/>
        </w:tabs>
        <w:ind w:left="720" w:hanging="360"/>
      </w:pPr>
      <w:rPr>
        <w:rFonts w:ascii="Arial" w:hAnsi="Arial" w:hint="default"/>
      </w:rPr>
    </w:lvl>
    <w:lvl w:ilvl="1" w:tplc="8190F54E" w:tentative="1">
      <w:start w:val="1"/>
      <w:numFmt w:val="bullet"/>
      <w:lvlText w:val="•"/>
      <w:lvlJc w:val="left"/>
      <w:pPr>
        <w:tabs>
          <w:tab w:val="num" w:pos="1440"/>
        </w:tabs>
        <w:ind w:left="1440" w:hanging="360"/>
      </w:pPr>
      <w:rPr>
        <w:rFonts w:ascii="Arial" w:hAnsi="Arial" w:hint="default"/>
      </w:rPr>
    </w:lvl>
    <w:lvl w:ilvl="2" w:tplc="325443B4" w:tentative="1">
      <w:start w:val="1"/>
      <w:numFmt w:val="bullet"/>
      <w:lvlText w:val="•"/>
      <w:lvlJc w:val="left"/>
      <w:pPr>
        <w:tabs>
          <w:tab w:val="num" w:pos="2160"/>
        </w:tabs>
        <w:ind w:left="2160" w:hanging="360"/>
      </w:pPr>
      <w:rPr>
        <w:rFonts w:ascii="Arial" w:hAnsi="Arial" w:hint="default"/>
      </w:rPr>
    </w:lvl>
    <w:lvl w:ilvl="3" w:tplc="A24E3A84" w:tentative="1">
      <w:start w:val="1"/>
      <w:numFmt w:val="bullet"/>
      <w:lvlText w:val="•"/>
      <w:lvlJc w:val="left"/>
      <w:pPr>
        <w:tabs>
          <w:tab w:val="num" w:pos="2880"/>
        </w:tabs>
        <w:ind w:left="2880" w:hanging="360"/>
      </w:pPr>
      <w:rPr>
        <w:rFonts w:ascii="Arial" w:hAnsi="Arial" w:hint="default"/>
      </w:rPr>
    </w:lvl>
    <w:lvl w:ilvl="4" w:tplc="58CC25C0" w:tentative="1">
      <w:start w:val="1"/>
      <w:numFmt w:val="bullet"/>
      <w:lvlText w:val="•"/>
      <w:lvlJc w:val="left"/>
      <w:pPr>
        <w:tabs>
          <w:tab w:val="num" w:pos="3600"/>
        </w:tabs>
        <w:ind w:left="3600" w:hanging="360"/>
      </w:pPr>
      <w:rPr>
        <w:rFonts w:ascii="Arial" w:hAnsi="Arial" w:hint="default"/>
      </w:rPr>
    </w:lvl>
    <w:lvl w:ilvl="5" w:tplc="B6965078" w:tentative="1">
      <w:start w:val="1"/>
      <w:numFmt w:val="bullet"/>
      <w:lvlText w:val="•"/>
      <w:lvlJc w:val="left"/>
      <w:pPr>
        <w:tabs>
          <w:tab w:val="num" w:pos="4320"/>
        </w:tabs>
        <w:ind w:left="4320" w:hanging="360"/>
      </w:pPr>
      <w:rPr>
        <w:rFonts w:ascii="Arial" w:hAnsi="Arial" w:hint="default"/>
      </w:rPr>
    </w:lvl>
    <w:lvl w:ilvl="6" w:tplc="849E43C2" w:tentative="1">
      <w:start w:val="1"/>
      <w:numFmt w:val="bullet"/>
      <w:lvlText w:val="•"/>
      <w:lvlJc w:val="left"/>
      <w:pPr>
        <w:tabs>
          <w:tab w:val="num" w:pos="5040"/>
        </w:tabs>
        <w:ind w:left="5040" w:hanging="360"/>
      </w:pPr>
      <w:rPr>
        <w:rFonts w:ascii="Arial" w:hAnsi="Arial" w:hint="default"/>
      </w:rPr>
    </w:lvl>
    <w:lvl w:ilvl="7" w:tplc="F9D62D42" w:tentative="1">
      <w:start w:val="1"/>
      <w:numFmt w:val="bullet"/>
      <w:lvlText w:val="•"/>
      <w:lvlJc w:val="left"/>
      <w:pPr>
        <w:tabs>
          <w:tab w:val="num" w:pos="5760"/>
        </w:tabs>
        <w:ind w:left="5760" w:hanging="360"/>
      </w:pPr>
      <w:rPr>
        <w:rFonts w:ascii="Arial" w:hAnsi="Arial" w:hint="default"/>
      </w:rPr>
    </w:lvl>
    <w:lvl w:ilvl="8" w:tplc="88F256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E111C3"/>
    <w:multiLevelType w:val="hybridMultilevel"/>
    <w:tmpl w:val="2852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6D40F"/>
    <w:multiLevelType w:val="hybridMultilevel"/>
    <w:tmpl w:val="37E6F002"/>
    <w:lvl w:ilvl="0" w:tplc="40849710">
      <w:start w:val="1"/>
      <w:numFmt w:val="bullet"/>
      <w:lvlText w:val="·"/>
      <w:lvlJc w:val="left"/>
      <w:pPr>
        <w:ind w:left="720" w:hanging="360"/>
      </w:pPr>
      <w:rPr>
        <w:rFonts w:ascii="Symbol" w:hAnsi="Symbol" w:hint="default"/>
      </w:rPr>
    </w:lvl>
    <w:lvl w:ilvl="1" w:tplc="B6EE443A">
      <w:start w:val="1"/>
      <w:numFmt w:val="bullet"/>
      <w:lvlText w:val="o"/>
      <w:lvlJc w:val="left"/>
      <w:pPr>
        <w:ind w:left="1440" w:hanging="360"/>
      </w:pPr>
      <w:rPr>
        <w:rFonts w:ascii="Courier New" w:hAnsi="Courier New" w:hint="default"/>
      </w:rPr>
    </w:lvl>
    <w:lvl w:ilvl="2" w:tplc="DD883A40">
      <w:start w:val="1"/>
      <w:numFmt w:val="bullet"/>
      <w:lvlText w:val=""/>
      <w:lvlJc w:val="left"/>
      <w:pPr>
        <w:ind w:left="2160" w:hanging="360"/>
      </w:pPr>
      <w:rPr>
        <w:rFonts w:ascii="Wingdings" w:hAnsi="Wingdings" w:hint="default"/>
      </w:rPr>
    </w:lvl>
    <w:lvl w:ilvl="3" w:tplc="FB54932A">
      <w:start w:val="1"/>
      <w:numFmt w:val="bullet"/>
      <w:lvlText w:val=""/>
      <w:lvlJc w:val="left"/>
      <w:pPr>
        <w:ind w:left="2880" w:hanging="360"/>
      </w:pPr>
      <w:rPr>
        <w:rFonts w:ascii="Symbol" w:hAnsi="Symbol" w:hint="default"/>
      </w:rPr>
    </w:lvl>
    <w:lvl w:ilvl="4" w:tplc="54DE46E2">
      <w:start w:val="1"/>
      <w:numFmt w:val="bullet"/>
      <w:lvlText w:val="o"/>
      <w:lvlJc w:val="left"/>
      <w:pPr>
        <w:ind w:left="3600" w:hanging="360"/>
      </w:pPr>
      <w:rPr>
        <w:rFonts w:ascii="Courier New" w:hAnsi="Courier New" w:hint="default"/>
      </w:rPr>
    </w:lvl>
    <w:lvl w:ilvl="5" w:tplc="D9BE0300">
      <w:start w:val="1"/>
      <w:numFmt w:val="bullet"/>
      <w:lvlText w:val=""/>
      <w:lvlJc w:val="left"/>
      <w:pPr>
        <w:ind w:left="4320" w:hanging="360"/>
      </w:pPr>
      <w:rPr>
        <w:rFonts w:ascii="Wingdings" w:hAnsi="Wingdings" w:hint="default"/>
      </w:rPr>
    </w:lvl>
    <w:lvl w:ilvl="6" w:tplc="5ED6B4CC">
      <w:start w:val="1"/>
      <w:numFmt w:val="bullet"/>
      <w:lvlText w:val=""/>
      <w:lvlJc w:val="left"/>
      <w:pPr>
        <w:ind w:left="5040" w:hanging="360"/>
      </w:pPr>
      <w:rPr>
        <w:rFonts w:ascii="Symbol" w:hAnsi="Symbol" w:hint="default"/>
      </w:rPr>
    </w:lvl>
    <w:lvl w:ilvl="7" w:tplc="797C1114">
      <w:start w:val="1"/>
      <w:numFmt w:val="bullet"/>
      <w:lvlText w:val="o"/>
      <w:lvlJc w:val="left"/>
      <w:pPr>
        <w:ind w:left="5760" w:hanging="360"/>
      </w:pPr>
      <w:rPr>
        <w:rFonts w:ascii="Courier New" w:hAnsi="Courier New" w:hint="default"/>
      </w:rPr>
    </w:lvl>
    <w:lvl w:ilvl="8" w:tplc="B1C8D15C">
      <w:start w:val="1"/>
      <w:numFmt w:val="bullet"/>
      <w:lvlText w:val=""/>
      <w:lvlJc w:val="left"/>
      <w:pPr>
        <w:ind w:left="6480" w:hanging="360"/>
      </w:pPr>
      <w:rPr>
        <w:rFonts w:ascii="Wingdings" w:hAnsi="Wingdings" w:hint="default"/>
      </w:rPr>
    </w:lvl>
  </w:abstractNum>
  <w:abstractNum w:abstractNumId="13" w15:restartNumberingAfterBreak="0">
    <w:nsid w:val="235B196E"/>
    <w:multiLevelType w:val="hybridMultilevel"/>
    <w:tmpl w:val="6D0248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A4671"/>
    <w:multiLevelType w:val="hybridMultilevel"/>
    <w:tmpl w:val="26608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4F6511"/>
    <w:multiLevelType w:val="multilevel"/>
    <w:tmpl w:val="2A6012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B923EA9"/>
    <w:multiLevelType w:val="hybridMultilevel"/>
    <w:tmpl w:val="1A327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767F5"/>
    <w:multiLevelType w:val="multilevel"/>
    <w:tmpl w:val="C83E91C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5FAFD1"/>
    <w:multiLevelType w:val="hybridMultilevel"/>
    <w:tmpl w:val="220C8F8E"/>
    <w:lvl w:ilvl="0" w:tplc="B3CAD666">
      <w:start w:val="1"/>
      <w:numFmt w:val="bullet"/>
      <w:lvlText w:val=""/>
      <w:lvlJc w:val="left"/>
      <w:pPr>
        <w:ind w:left="720" w:hanging="360"/>
      </w:pPr>
      <w:rPr>
        <w:rFonts w:ascii="Symbol" w:hAnsi="Symbol" w:hint="default"/>
      </w:rPr>
    </w:lvl>
    <w:lvl w:ilvl="1" w:tplc="C56C6056">
      <w:start w:val="1"/>
      <w:numFmt w:val="bullet"/>
      <w:lvlText w:val="o"/>
      <w:lvlJc w:val="left"/>
      <w:pPr>
        <w:ind w:left="1440" w:hanging="360"/>
      </w:pPr>
      <w:rPr>
        <w:rFonts w:ascii="Courier New" w:hAnsi="Courier New" w:hint="default"/>
      </w:rPr>
    </w:lvl>
    <w:lvl w:ilvl="2" w:tplc="362EDA8C">
      <w:start w:val="1"/>
      <w:numFmt w:val="bullet"/>
      <w:lvlText w:val=""/>
      <w:lvlJc w:val="left"/>
      <w:pPr>
        <w:ind w:left="2160" w:hanging="360"/>
      </w:pPr>
      <w:rPr>
        <w:rFonts w:ascii="Wingdings" w:hAnsi="Wingdings" w:hint="default"/>
      </w:rPr>
    </w:lvl>
    <w:lvl w:ilvl="3" w:tplc="E1CCDE56">
      <w:start w:val="1"/>
      <w:numFmt w:val="bullet"/>
      <w:lvlText w:val=""/>
      <w:lvlJc w:val="left"/>
      <w:pPr>
        <w:ind w:left="2880" w:hanging="360"/>
      </w:pPr>
      <w:rPr>
        <w:rFonts w:ascii="Symbol" w:hAnsi="Symbol" w:hint="default"/>
      </w:rPr>
    </w:lvl>
    <w:lvl w:ilvl="4" w:tplc="0824C228">
      <w:start w:val="1"/>
      <w:numFmt w:val="bullet"/>
      <w:lvlText w:val="o"/>
      <w:lvlJc w:val="left"/>
      <w:pPr>
        <w:ind w:left="3600" w:hanging="360"/>
      </w:pPr>
      <w:rPr>
        <w:rFonts w:ascii="Courier New" w:hAnsi="Courier New" w:hint="default"/>
      </w:rPr>
    </w:lvl>
    <w:lvl w:ilvl="5" w:tplc="F1866674">
      <w:start w:val="1"/>
      <w:numFmt w:val="bullet"/>
      <w:lvlText w:val=""/>
      <w:lvlJc w:val="left"/>
      <w:pPr>
        <w:ind w:left="4320" w:hanging="360"/>
      </w:pPr>
      <w:rPr>
        <w:rFonts w:ascii="Wingdings" w:hAnsi="Wingdings" w:hint="default"/>
      </w:rPr>
    </w:lvl>
    <w:lvl w:ilvl="6" w:tplc="F74827B4">
      <w:start w:val="1"/>
      <w:numFmt w:val="bullet"/>
      <w:lvlText w:val=""/>
      <w:lvlJc w:val="left"/>
      <w:pPr>
        <w:ind w:left="5040" w:hanging="360"/>
      </w:pPr>
      <w:rPr>
        <w:rFonts w:ascii="Symbol" w:hAnsi="Symbol" w:hint="default"/>
      </w:rPr>
    </w:lvl>
    <w:lvl w:ilvl="7" w:tplc="8E3039AE">
      <w:start w:val="1"/>
      <w:numFmt w:val="bullet"/>
      <w:lvlText w:val="o"/>
      <w:lvlJc w:val="left"/>
      <w:pPr>
        <w:ind w:left="5760" w:hanging="360"/>
      </w:pPr>
      <w:rPr>
        <w:rFonts w:ascii="Courier New" w:hAnsi="Courier New" w:hint="default"/>
      </w:rPr>
    </w:lvl>
    <w:lvl w:ilvl="8" w:tplc="1914913A">
      <w:start w:val="1"/>
      <w:numFmt w:val="bullet"/>
      <w:lvlText w:val=""/>
      <w:lvlJc w:val="left"/>
      <w:pPr>
        <w:ind w:left="6480" w:hanging="360"/>
      </w:pPr>
      <w:rPr>
        <w:rFonts w:ascii="Wingdings" w:hAnsi="Wingdings" w:hint="default"/>
      </w:rPr>
    </w:lvl>
  </w:abstractNum>
  <w:abstractNum w:abstractNumId="19" w15:restartNumberingAfterBreak="0">
    <w:nsid w:val="44652AC5"/>
    <w:multiLevelType w:val="hybridMultilevel"/>
    <w:tmpl w:val="F6B4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10E66"/>
    <w:multiLevelType w:val="hybridMultilevel"/>
    <w:tmpl w:val="1E58608A"/>
    <w:lvl w:ilvl="0" w:tplc="0F885826">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1" w15:restartNumberingAfterBreak="0">
    <w:nsid w:val="51F60FC2"/>
    <w:multiLevelType w:val="multilevel"/>
    <w:tmpl w:val="224C0208"/>
    <w:lvl w:ilvl="0">
      <w:start w:val="1"/>
      <w:numFmt w:val="decimal"/>
      <w:pStyle w:val="Heading1"/>
      <w:suff w:val="nothing"/>
      <w:lvlText w:val="Section %1"/>
      <w:lvlJc w:val="left"/>
      <w:pPr>
        <w:ind w:left="0" w:firstLine="0"/>
      </w:pPr>
      <w:rPr>
        <w:rFonts w:ascii="Calibri" w:hAnsi="Calibri" w:hint="default"/>
        <w:b/>
        <w:i w:val="0"/>
        <w:color w:val="1795D2"/>
        <w:sz w:val="36"/>
        <w:u w:val="none"/>
      </w:rPr>
    </w:lvl>
    <w:lvl w:ilvl="1">
      <w:start w:val="1"/>
      <w:numFmt w:val="decimal"/>
      <w:pStyle w:val="Heading2"/>
      <w:suff w:val="space"/>
      <w:lvlText w:val="%1.%2"/>
      <w:lvlJc w:val="left"/>
      <w:pPr>
        <w:ind w:left="0" w:firstLine="0"/>
      </w:pPr>
      <w:rPr>
        <w:rFonts w:ascii="Calibri" w:hAnsi="Calibri" w:hint="default"/>
        <w:b/>
        <w:i w:val="0"/>
        <w:color w:val="auto"/>
        <w:sz w:val="24"/>
        <w:u w:val="none"/>
      </w:rPr>
    </w:lvl>
    <w:lvl w:ilvl="2">
      <w:start w:val="1"/>
      <w:numFmt w:val="decimal"/>
      <w:pStyle w:val="Heading3"/>
      <w:suff w:val="space"/>
      <w:lvlText w:val="%1.%2.%3"/>
      <w:lvlJc w:val="left"/>
      <w:pPr>
        <w:ind w:left="0" w:firstLine="0"/>
      </w:pPr>
      <w:rPr>
        <w:rFonts w:ascii="Calibri" w:hAnsi="Calibri"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2610" w:firstLine="0"/>
      </w:pPr>
      <w:rPr>
        <w:rFonts w:ascii="Calibri" w:hAnsi="Calibri" w:hint="default"/>
        <w:b w:val="0"/>
        <w:bCs w:val="0"/>
        <w:i/>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2" w15:restartNumberingAfterBreak="0">
    <w:nsid w:val="532B67EC"/>
    <w:multiLevelType w:val="hybridMultilevel"/>
    <w:tmpl w:val="2D8EEC30"/>
    <w:lvl w:ilvl="0" w:tplc="6F3481C2">
      <w:start w:val="1"/>
      <w:numFmt w:val="bullet"/>
      <w:lvlText w:val="•"/>
      <w:lvlJc w:val="left"/>
      <w:pPr>
        <w:tabs>
          <w:tab w:val="num" w:pos="720"/>
        </w:tabs>
        <w:ind w:left="720" w:hanging="360"/>
      </w:pPr>
      <w:rPr>
        <w:rFonts w:ascii="Arial" w:hAnsi="Arial" w:hint="default"/>
      </w:rPr>
    </w:lvl>
    <w:lvl w:ilvl="1" w:tplc="7794F622" w:tentative="1">
      <w:start w:val="1"/>
      <w:numFmt w:val="bullet"/>
      <w:lvlText w:val="•"/>
      <w:lvlJc w:val="left"/>
      <w:pPr>
        <w:tabs>
          <w:tab w:val="num" w:pos="1440"/>
        </w:tabs>
        <w:ind w:left="1440" w:hanging="360"/>
      </w:pPr>
      <w:rPr>
        <w:rFonts w:ascii="Arial" w:hAnsi="Arial" w:hint="default"/>
      </w:rPr>
    </w:lvl>
    <w:lvl w:ilvl="2" w:tplc="1DD4B968" w:tentative="1">
      <w:start w:val="1"/>
      <w:numFmt w:val="bullet"/>
      <w:lvlText w:val="•"/>
      <w:lvlJc w:val="left"/>
      <w:pPr>
        <w:tabs>
          <w:tab w:val="num" w:pos="2160"/>
        </w:tabs>
        <w:ind w:left="2160" w:hanging="360"/>
      </w:pPr>
      <w:rPr>
        <w:rFonts w:ascii="Arial" w:hAnsi="Arial" w:hint="default"/>
      </w:rPr>
    </w:lvl>
    <w:lvl w:ilvl="3" w:tplc="6BF28DF8" w:tentative="1">
      <w:start w:val="1"/>
      <w:numFmt w:val="bullet"/>
      <w:lvlText w:val="•"/>
      <w:lvlJc w:val="left"/>
      <w:pPr>
        <w:tabs>
          <w:tab w:val="num" w:pos="2880"/>
        </w:tabs>
        <w:ind w:left="2880" w:hanging="360"/>
      </w:pPr>
      <w:rPr>
        <w:rFonts w:ascii="Arial" w:hAnsi="Arial" w:hint="default"/>
      </w:rPr>
    </w:lvl>
    <w:lvl w:ilvl="4" w:tplc="0CCAFB3E" w:tentative="1">
      <w:start w:val="1"/>
      <w:numFmt w:val="bullet"/>
      <w:lvlText w:val="•"/>
      <w:lvlJc w:val="left"/>
      <w:pPr>
        <w:tabs>
          <w:tab w:val="num" w:pos="3600"/>
        </w:tabs>
        <w:ind w:left="3600" w:hanging="360"/>
      </w:pPr>
      <w:rPr>
        <w:rFonts w:ascii="Arial" w:hAnsi="Arial" w:hint="default"/>
      </w:rPr>
    </w:lvl>
    <w:lvl w:ilvl="5" w:tplc="3E104A6C" w:tentative="1">
      <w:start w:val="1"/>
      <w:numFmt w:val="bullet"/>
      <w:lvlText w:val="•"/>
      <w:lvlJc w:val="left"/>
      <w:pPr>
        <w:tabs>
          <w:tab w:val="num" w:pos="4320"/>
        </w:tabs>
        <w:ind w:left="4320" w:hanging="360"/>
      </w:pPr>
      <w:rPr>
        <w:rFonts w:ascii="Arial" w:hAnsi="Arial" w:hint="default"/>
      </w:rPr>
    </w:lvl>
    <w:lvl w:ilvl="6" w:tplc="928EDEC2" w:tentative="1">
      <w:start w:val="1"/>
      <w:numFmt w:val="bullet"/>
      <w:lvlText w:val="•"/>
      <w:lvlJc w:val="left"/>
      <w:pPr>
        <w:tabs>
          <w:tab w:val="num" w:pos="5040"/>
        </w:tabs>
        <w:ind w:left="5040" w:hanging="360"/>
      </w:pPr>
      <w:rPr>
        <w:rFonts w:ascii="Arial" w:hAnsi="Arial" w:hint="default"/>
      </w:rPr>
    </w:lvl>
    <w:lvl w:ilvl="7" w:tplc="3354A7E2" w:tentative="1">
      <w:start w:val="1"/>
      <w:numFmt w:val="bullet"/>
      <w:lvlText w:val="•"/>
      <w:lvlJc w:val="left"/>
      <w:pPr>
        <w:tabs>
          <w:tab w:val="num" w:pos="5760"/>
        </w:tabs>
        <w:ind w:left="5760" w:hanging="360"/>
      </w:pPr>
      <w:rPr>
        <w:rFonts w:ascii="Arial" w:hAnsi="Arial" w:hint="default"/>
      </w:rPr>
    </w:lvl>
    <w:lvl w:ilvl="8" w:tplc="FF226B5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3437E9E"/>
    <w:multiLevelType w:val="hybridMultilevel"/>
    <w:tmpl w:val="6F52F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8BAA30"/>
    <w:multiLevelType w:val="multilevel"/>
    <w:tmpl w:val="827669B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994A2B"/>
    <w:multiLevelType w:val="hybridMultilevel"/>
    <w:tmpl w:val="1AFEC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6E2B25"/>
    <w:multiLevelType w:val="hybridMultilevel"/>
    <w:tmpl w:val="C86A32BC"/>
    <w:lvl w:ilvl="0" w:tplc="04090001">
      <w:start w:val="1"/>
      <w:numFmt w:val="bullet"/>
      <w:lvlText w:val=""/>
      <w:lvlJc w:val="left"/>
      <w:pPr>
        <w:tabs>
          <w:tab w:val="num" w:pos="720"/>
        </w:tabs>
        <w:ind w:left="720" w:hanging="360"/>
      </w:pPr>
      <w:rPr>
        <w:rFonts w:ascii="Symbol" w:hAnsi="Symbol" w:hint="default"/>
      </w:rPr>
    </w:lvl>
    <w:lvl w:ilvl="1" w:tplc="03E0DFAE" w:tentative="1">
      <w:start w:val="1"/>
      <w:numFmt w:val="bullet"/>
      <w:lvlText w:val="•"/>
      <w:lvlJc w:val="left"/>
      <w:pPr>
        <w:tabs>
          <w:tab w:val="num" w:pos="1440"/>
        </w:tabs>
        <w:ind w:left="1440" w:hanging="360"/>
      </w:pPr>
      <w:rPr>
        <w:rFonts w:ascii="Arial" w:hAnsi="Arial" w:hint="default"/>
      </w:rPr>
    </w:lvl>
    <w:lvl w:ilvl="2" w:tplc="A7981246" w:tentative="1">
      <w:start w:val="1"/>
      <w:numFmt w:val="bullet"/>
      <w:lvlText w:val="•"/>
      <w:lvlJc w:val="left"/>
      <w:pPr>
        <w:tabs>
          <w:tab w:val="num" w:pos="2160"/>
        </w:tabs>
        <w:ind w:left="2160" w:hanging="360"/>
      </w:pPr>
      <w:rPr>
        <w:rFonts w:ascii="Arial" w:hAnsi="Arial" w:hint="default"/>
      </w:rPr>
    </w:lvl>
    <w:lvl w:ilvl="3" w:tplc="66F40CF0" w:tentative="1">
      <w:start w:val="1"/>
      <w:numFmt w:val="bullet"/>
      <w:lvlText w:val="•"/>
      <w:lvlJc w:val="left"/>
      <w:pPr>
        <w:tabs>
          <w:tab w:val="num" w:pos="2880"/>
        </w:tabs>
        <w:ind w:left="2880" w:hanging="360"/>
      </w:pPr>
      <w:rPr>
        <w:rFonts w:ascii="Arial" w:hAnsi="Arial" w:hint="default"/>
      </w:rPr>
    </w:lvl>
    <w:lvl w:ilvl="4" w:tplc="C28E43A8" w:tentative="1">
      <w:start w:val="1"/>
      <w:numFmt w:val="bullet"/>
      <w:lvlText w:val="•"/>
      <w:lvlJc w:val="left"/>
      <w:pPr>
        <w:tabs>
          <w:tab w:val="num" w:pos="3600"/>
        </w:tabs>
        <w:ind w:left="3600" w:hanging="360"/>
      </w:pPr>
      <w:rPr>
        <w:rFonts w:ascii="Arial" w:hAnsi="Arial" w:hint="default"/>
      </w:rPr>
    </w:lvl>
    <w:lvl w:ilvl="5" w:tplc="F260E456" w:tentative="1">
      <w:start w:val="1"/>
      <w:numFmt w:val="bullet"/>
      <w:lvlText w:val="•"/>
      <w:lvlJc w:val="left"/>
      <w:pPr>
        <w:tabs>
          <w:tab w:val="num" w:pos="4320"/>
        </w:tabs>
        <w:ind w:left="4320" w:hanging="360"/>
      </w:pPr>
      <w:rPr>
        <w:rFonts w:ascii="Arial" w:hAnsi="Arial" w:hint="default"/>
      </w:rPr>
    </w:lvl>
    <w:lvl w:ilvl="6" w:tplc="424CC19E" w:tentative="1">
      <w:start w:val="1"/>
      <w:numFmt w:val="bullet"/>
      <w:lvlText w:val="•"/>
      <w:lvlJc w:val="left"/>
      <w:pPr>
        <w:tabs>
          <w:tab w:val="num" w:pos="5040"/>
        </w:tabs>
        <w:ind w:left="5040" w:hanging="360"/>
      </w:pPr>
      <w:rPr>
        <w:rFonts w:ascii="Arial" w:hAnsi="Arial" w:hint="default"/>
      </w:rPr>
    </w:lvl>
    <w:lvl w:ilvl="7" w:tplc="4246CEE0" w:tentative="1">
      <w:start w:val="1"/>
      <w:numFmt w:val="bullet"/>
      <w:lvlText w:val="•"/>
      <w:lvlJc w:val="left"/>
      <w:pPr>
        <w:tabs>
          <w:tab w:val="num" w:pos="5760"/>
        </w:tabs>
        <w:ind w:left="5760" w:hanging="360"/>
      </w:pPr>
      <w:rPr>
        <w:rFonts w:ascii="Arial" w:hAnsi="Arial" w:hint="default"/>
      </w:rPr>
    </w:lvl>
    <w:lvl w:ilvl="8" w:tplc="16EEF8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93714E"/>
    <w:multiLevelType w:val="hybridMultilevel"/>
    <w:tmpl w:val="BE04434C"/>
    <w:lvl w:ilvl="0" w:tplc="1DBAABA2">
      <w:start w:val="1"/>
      <w:numFmt w:val="bullet"/>
      <w:lvlText w:val="·"/>
      <w:lvlJc w:val="left"/>
      <w:pPr>
        <w:ind w:left="720" w:hanging="360"/>
      </w:pPr>
      <w:rPr>
        <w:rFonts w:ascii="Symbol" w:hAnsi="Symbol" w:hint="default"/>
      </w:rPr>
    </w:lvl>
    <w:lvl w:ilvl="1" w:tplc="DFF07F7A">
      <w:start w:val="1"/>
      <w:numFmt w:val="bullet"/>
      <w:lvlText w:val="o"/>
      <w:lvlJc w:val="left"/>
      <w:pPr>
        <w:ind w:left="1440" w:hanging="360"/>
      </w:pPr>
      <w:rPr>
        <w:rFonts w:ascii="Courier New" w:hAnsi="Courier New" w:hint="default"/>
      </w:rPr>
    </w:lvl>
    <w:lvl w:ilvl="2" w:tplc="D8AAB27E">
      <w:start w:val="1"/>
      <w:numFmt w:val="bullet"/>
      <w:lvlText w:val=""/>
      <w:lvlJc w:val="left"/>
      <w:pPr>
        <w:ind w:left="2160" w:hanging="360"/>
      </w:pPr>
      <w:rPr>
        <w:rFonts w:ascii="Wingdings" w:hAnsi="Wingdings" w:hint="default"/>
      </w:rPr>
    </w:lvl>
    <w:lvl w:ilvl="3" w:tplc="0D2827C8">
      <w:start w:val="1"/>
      <w:numFmt w:val="bullet"/>
      <w:lvlText w:val=""/>
      <w:lvlJc w:val="left"/>
      <w:pPr>
        <w:ind w:left="2880" w:hanging="360"/>
      </w:pPr>
      <w:rPr>
        <w:rFonts w:ascii="Symbol" w:hAnsi="Symbol" w:hint="default"/>
      </w:rPr>
    </w:lvl>
    <w:lvl w:ilvl="4" w:tplc="AF34F28A">
      <w:start w:val="1"/>
      <w:numFmt w:val="bullet"/>
      <w:lvlText w:val="o"/>
      <w:lvlJc w:val="left"/>
      <w:pPr>
        <w:ind w:left="3600" w:hanging="360"/>
      </w:pPr>
      <w:rPr>
        <w:rFonts w:ascii="Courier New" w:hAnsi="Courier New" w:hint="default"/>
      </w:rPr>
    </w:lvl>
    <w:lvl w:ilvl="5" w:tplc="433CCCE8">
      <w:start w:val="1"/>
      <w:numFmt w:val="bullet"/>
      <w:lvlText w:val=""/>
      <w:lvlJc w:val="left"/>
      <w:pPr>
        <w:ind w:left="4320" w:hanging="360"/>
      </w:pPr>
      <w:rPr>
        <w:rFonts w:ascii="Wingdings" w:hAnsi="Wingdings" w:hint="default"/>
      </w:rPr>
    </w:lvl>
    <w:lvl w:ilvl="6" w:tplc="92D6BB9C">
      <w:start w:val="1"/>
      <w:numFmt w:val="bullet"/>
      <w:lvlText w:val=""/>
      <w:lvlJc w:val="left"/>
      <w:pPr>
        <w:ind w:left="5040" w:hanging="360"/>
      </w:pPr>
      <w:rPr>
        <w:rFonts w:ascii="Symbol" w:hAnsi="Symbol" w:hint="default"/>
      </w:rPr>
    </w:lvl>
    <w:lvl w:ilvl="7" w:tplc="E5E88592">
      <w:start w:val="1"/>
      <w:numFmt w:val="bullet"/>
      <w:lvlText w:val="o"/>
      <w:lvlJc w:val="left"/>
      <w:pPr>
        <w:ind w:left="5760" w:hanging="360"/>
      </w:pPr>
      <w:rPr>
        <w:rFonts w:ascii="Courier New" w:hAnsi="Courier New" w:hint="default"/>
      </w:rPr>
    </w:lvl>
    <w:lvl w:ilvl="8" w:tplc="BB8094A6">
      <w:start w:val="1"/>
      <w:numFmt w:val="bullet"/>
      <w:lvlText w:val=""/>
      <w:lvlJc w:val="left"/>
      <w:pPr>
        <w:ind w:left="6480" w:hanging="360"/>
      </w:pPr>
      <w:rPr>
        <w:rFonts w:ascii="Wingdings" w:hAnsi="Wingdings" w:hint="default"/>
      </w:rPr>
    </w:lvl>
  </w:abstractNum>
  <w:abstractNum w:abstractNumId="28" w15:restartNumberingAfterBreak="0">
    <w:nsid w:val="6021AF49"/>
    <w:multiLevelType w:val="hybridMultilevel"/>
    <w:tmpl w:val="3C90DAE6"/>
    <w:lvl w:ilvl="0" w:tplc="26029086">
      <w:start w:val="1"/>
      <w:numFmt w:val="bullet"/>
      <w:lvlText w:val="·"/>
      <w:lvlJc w:val="left"/>
      <w:pPr>
        <w:ind w:left="720" w:hanging="360"/>
      </w:pPr>
      <w:rPr>
        <w:rFonts w:ascii="Symbol" w:hAnsi="Symbol" w:hint="default"/>
      </w:rPr>
    </w:lvl>
    <w:lvl w:ilvl="1" w:tplc="C83ADFC4">
      <w:start w:val="1"/>
      <w:numFmt w:val="bullet"/>
      <w:lvlText w:val="o"/>
      <w:lvlJc w:val="left"/>
      <w:pPr>
        <w:ind w:left="1440" w:hanging="360"/>
      </w:pPr>
      <w:rPr>
        <w:rFonts w:ascii="Courier New" w:hAnsi="Courier New" w:hint="default"/>
      </w:rPr>
    </w:lvl>
    <w:lvl w:ilvl="2" w:tplc="232A54DA">
      <w:start w:val="1"/>
      <w:numFmt w:val="bullet"/>
      <w:lvlText w:val=""/>
      <w:lvlJc w:val="left"/>
      <w:pPr>
        <w:ind w:left="2160" w:hanging="360"/>
      </w:pPr>
      <w:rPr>
        <w:rFonts w:ascii="Wingdings" w:hAnsi="Wingdings" w:hint="default"/>
      </w:rPr>
    </w:lvl>
    <w:lvl w:ilvl="3" w:tplc="B27A824E">
      <w:start w:val="1"/>
      <w:numFmt w:val="bullet"/>
      <w:lvlText w:val=""/>
      <w:lvlJc w:val="left"/>
      <w:pPr>
        <w:ind w:left="2880" w:hanging="360"/>
      </w:pPr>
      <w:rPr>
        <w:rFonts w:ascii="Symbol" w:hAnsi="Symbol" w:hint="default"/>
      </w:rPr>
    </w:lvl>
    <w:lvl w:ilvl="4" w:tplc="75720F98">
      <w:start w:val="1"/>
      <w:numFmt w:val="bullet"/>
      <w:lvlText w:val="o"/>
      <w:lvlJc w:val="left"/>
      <w:pPr>
        <w:ind w:left="3600" w:hanging="360"/>
      </w:pPr>
      <w:rPr>
        <w:rFonts w:ascii="Courier New" w:hAnsi="Courier New" w:hint="default"/>
      </w:rPr>
    </w:lvl>
    <w:lvl w:ilvl="5" w:tplc="B73038AE">
      <w:start w:val="1"/>
      <w:numFmt w:val="bullet"/>
      <w:lvlText w:val=""/>
      <w:lvlJc w:val="left"/>
      <w:pPr>
        <w:ind w:left="4320" w:hanging="360"/>
      </w:pPr>
      <w:rPr>
        <w:rFonts w:ascii="Wingdings" w:hAnsi="Wingdings" w:hint="default"/>
      </w:rPr>
    </w:lvl>
    <w:lvl w:ilvl="6" w:tplc="B80E9C50">
      <w:start w:val="1"/>
      <w:numFmt w:val="bullet"/>
      <w:lvlText w:val=""/>
      <w:lvlJc w:val="left"/>
      <w:pPr>
        <w:ind w:left="5040" w:hanging="360"/>
      </w:pPr>
      <w:rPr>
        <w:rFonts w:ascii="Symbol" w:hAnsi="Symbol" w:hint="default"/>
      </w:rPr>
    </w:lvl>
    <w:lvl w:ilvl="7" w:tplc="50C053A6">
      <w:start w:val="1"/>
      <w:numFmt w:val="bullet"/>
      <w:lvlText w:val="o"/>
      <w:lvlJc w:val="left"/>
      <w:pPr>
        <w:ind w:left="5760" w:hanging="360"/>
      </w:pPr>
      <w:rPr>
        <w:rFonts w:ascii="Courier New" w:hAnsi="Courier New" w:hint="default"/>
      </w:rPr>
    </w:lvl>
    <w:lvl w:ilvl="8" w:tplc="5A5023BC">
      <w:start w:val="1"/>
      <w:numFmt w:val="bullet"/>
      <w:lvlText w:val=""/>
      <w:lvlJc w:val="left"/>
      <w:pPr>
        <w:ind w:left="6480" w:hanging="360"/>
      </w:pPr>
      <w:rPr>
        <w:rFonts w:ascii="Wingdings" w:hAnsi="Wingdings" w:hint="default"/>
      </w:rPr>
    </w:lvl>
  </w:abstractNum>
  <w:abstractNum w:abstractNumId="29" w15:restartNumberingAfterBreak="0">
    <w:nsid w:val="622316A5"/>
    <w:multiLevelType w:val="hybridMultilevel"/>
    <w:tmpl w:val="40EAD32E"/>
    <w:lvl w:ilvl="0" w:tplc="DDCEE2B2">
      <w:start w:val="3"/>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0" w15:restartNumberingAfterBreak="0">
    <w:nsid w:val="6395201D"/>
    <w:multiLevelType w:val="hybridMultilevel"/>
    <w:tmpl w:val="EC204566"/>
    <w:lvl w:ilvl="0" w:tplc="04090001">
      <w:start w:val="1"/>
      <w:numFmt w:val="bullet"/>
      <w:pStyle w:val="ISOBullets2"/>
      <w:lvlText w:val="o"/>
      <w:lvlJc w:val="left"/>
      <w:pPr>
        <w:tabs>
          <w:tab w:val="num" w:pos="360"/>
        </w:tabs>
        <w:ind w:left="360" w:hanging="360"/>
      </w:pPr>
      <w:rPr>
        <w:rFonts w:ascii="Courier New" w:hAnsi="Courier New" w:hint="default"/>
        <w:sz w:val="16"/>
      </w:rPr>
    </w:lvl>
    <w:lvl w:ilvl="1" w:tplc="04090003">
      <w:start w:val="1"/>
      <w:numFmt w:val="bullet"/>
      <w:lvlText w:val="o"/>
      <w:lvlJc w:val="left"/>
      <w:pPr>
        <w:tabs>
          <w:tab w:val="num" w:pos="1080"/>
        </w:tabs>
        <w:ind w:left="1080" w:hanging="360"/>
      </w:pPr>
      <w:rPr>
        <w:rFonts w:ascii="Times New Roman Bold" w:hAnsi="Times New Roman Bold" w:hint="default"/>
        <w:b/>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790F72"/>
    <w:multiLevelType w:val="hybridMultilevel"/>
    <w:tmpl w:val="EA34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D79AA"/>
    <w:multiLevelType w:val="hybridMultilevel"/>
    <w:tmpl w:val="8E70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C4F6F"/>
    <w:multiLevelType w:val="hybridMultilevel"/>
    <w:tmpl w:val="1F4E7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B9502F"/>
    <w:multiLevelType w:val="hybridMultilevel"/>
    <w:tmpl w:val="B21EB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7B09FF"/>
    <w:multiLevelType w:val="multilevel"/>
    <w:tmpl w:val="3BC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D80C57"/>
    <w:multiLevelType w:val="hybridMultilevel"/>
    <w:tmpl w:val="FA0C2C5C"/>
    <w:lvl w:ilvl="0" w:tplc="1FA8CC9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BE46D8"/>
    <w:multiLevelType w:val="hybridMultilevel"/>
    <w:tmpl w:val="39D2A346"/>
    <w:lvl w:ilvl="0" w:tplc="4C189744">
      <w:start w:val="1"/>
      <w:numFmt w:val="bullet"/>
      <w:lvlText w:val="•"/>
      <w:lvlJc w:val="left"/>
      <w:pPr>
        <w:tabs>
          <w:tab w:val="num" w:pos="720"/>
        </w:tabs>
        <w:ind w:left="720" w:hanging="360"/>
      </w:pPr>
      <w:rPr>
        <w:rFonts w:ascii="Arial" w:hAnsi="Arial" w:hint="default"/>
      </w:rPr>
    </w:lvl>
    <w:lvl w:ilvl="1" w:tplc="98C2C15A" w:tentative="1">
      <w:start w:val="1"/>
      <w:numFmt w:val="bullet"/>
      <w:lvlText w:val="•"/>
      <w:lvlJc w:val="left"/>
      <w:pPr>
        <w:tabs>
          <w:tab w:val="num" w:pos="1440"/>
        </w:tabs>
        <w:ind w:left="1440" w:hanging="360"/>
      </w:pPr>
      <w:rPr>
        <w:rFonts w:ascii="Arial" w:hAnsi="Arial" w:hint="default"/>
      </w:rPr>
    </w:lvl>
    <w:lvl w:ilvl="2" w:tplc="35AA01AC" w:tentative="1">
      <w:start w:val="1"/>
      <w:numFmt w:val="bullet"/>
      <w:lvlText w:val="•"/>
      <w:lvlJc w:val="left"/>
      <w:pPr>
        <w:tabs>
          <w:tab w:val="num" w:pos="2160"/>
        </w:tabs>
        <w:ind w:left="2160" w:hanging="360"/>
      </w:pPr>
      <w:rPr>
        <w:rFonts w:ascii="Arial" w:hAnsi="Arial" w:hint="default"/>
      </w:rPr>
    </w:lvl>
    <w:lvl w:ilvl="3" w:tplc="6B5C17C2" w:tentative="1">
      <w:start w:val="1"/>
      <w:numFmt w:val="bullet"/>
      <w:lvlText w:val="•"/>
      <w:lvlJc w:val="left"/>
      <w:pPr>
        <w:tabs>
          <w:tab w:val="num" w:pos="2880"/>
        </w:tabs>
        <w:ind w:left="2880" w:hanging="360"/>
      </w:pPr>
      <w:rPr>
        <w:rFonts w:ascii="Arial" w:hAnsi="Arial" w:hint="default"/>
      </w:rPr>
    </w:lvl>
    <w:lvl w:ilvl="4" w:tplc="D8329C0E" w:tentative="1">
      <w:start w:val="1"/>
      <w:numFmt w:val="bullet"/>
      <w:lvlText w:val="•"/>
      <w:lvlJc w:val="left"/>
      <w:pPr>
        <w:tabs>
          <w:tab w:val="num" w:pos="3600"/>
        </w:tabs>
        <w:ind w:left="3600" w:hanging="360"/>
      </w:pPr>
      <w:rPr>
        <w:rFonts w:ascii="Arial" w:hAnsi="Arial" w:hint="default"/>
      </w:rPr>
    </w:lvl>
    <w:lvl w:ilvl="5" w:tplc="52FE665E" w:tentative="1">
      <w:start w:val="1"/>
      <w:numFmt w:val="bullet"/>
      <w:lvlText w:val="•"/>
      <w:lvlJc w:val="left"/>
      <w:pPr>
        <w:tabs>
          <w:tab w:val="num" w:pos="4320"/>
        </w:tabs>
        <w:ind w:left="4320" w:hanging="360"/>
      </w:pPr>
      <w:rPr>
        <w:rFonts w:ascii="Arial" w:hAnsi="Arial" w:hint="default"/>
      </w:rPr>
    </w:lvl>
    <w:lvl w:ilvl="6" w:tplc="7E142D56" w:tentative="1">
      <w:start w:val="1"/>
      <w:numFmt w:val="bullet"/>
      <w:lvlText w:val="•"/>
      <w:lvlJc w:val="left"/>
      <w:pPr>
        <w:tabs>
          <w:tab w:val="num" w:pos="5040"/>
        </w:tabs>
        <w:ind w:left="5040" w:hanging="360"/>
      </w:pPr>
      <w:rPr>
        <w:rFonts w:ascii="Arial" w:hAnsi="Arial" w:hint="default"/>
      </w:rPr>
    </w:lvl>
    <w:lvl w:ilvl="7" w:tplc="C4C07646" w:tentative="1">
      <w:start w:val="1"/>
      <w:numFmt w:val="bullet"/>
      <w:lvlText w:val="•"/>
      <w:lvlJc w:val="left"/>
      <w:pPr>
        <w:tabs>
          <w:tab w:val="num" w:pos="5760"/>
        </w:tabs>
        <w:ind w:left="5760" w:hanging="360"/>
      </w:pPr>
      <w:rPr>
        <w:rFonts w:ascii="Arial" w:hAnsi="Arial" w:hint="default"/>
      </w:rPr>
    </w:lvl>
    <w:lvl w:ilvl="8" w:tplc="DCB6C2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E3290F"/>
    <w:multiLevelType w:val="hybridMultilevel"/>
    <w:tmpl w:val="DBBC7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4"/>
  </w:num>
  <w:num w:numId="3">
    <w:abstractNumId w:val="17"/>
  </w:num>
  <w:num w:numId="4">
    <w:abstractNumId w:val="8"/>
  </w:num>
  <w:num w:numId="5">
    <w:abstractNumId w:val="27"/>
  </w:num>
  <w:num w:numId="6">
    <w:abstractNumId w:val="28"/>
  </w:num>
  <w:num w:numId="7">
    <w:abstractNumId w:val="12"/>
  </w:num>
  <w:num w:numId="8">
    <w:abstractNumId w:val="2"/>
  </w:num>
  <w:num w:numId="9">
    <w:abstractNumId w:val="21"/>
  </w:num>
  <w:num w:numId="10">
    <w:abstractNumId w:val="0"/>
  </w:num>
  <w:num w:numId="11">
    <w:abstractNumId w:val="30"/>
  </w:num>
  <w:num w:numId="12">
    <w:abstractNumId w:val="19"/>
  </w:num>
  <w:num w:numId="13">
    <w:abstractNumId w:val="10"/>
  </w:num>
  <w:num w:numId="14">
    <w:abstractNumId w:val="22"/>
  </w:num>
  <w:num w:numId="15">
    <w:abstractNumId w:val="7"/>
  </w:num>
  <w:num w:numId="16">
    <w:abstractNumId w:val="6"/>
  </w:num>
  <w:num w:numId="17">
    <w:abstractNumId w:val="3"/>
  </w:num>
  <w:num w:numId="18">
    <w:abstractNumId w:val="37"/>
  </w:num>
  <w:num w:numId="19">
    <w:abstractNumId w:val="29"/>
  </w:num>
  <w:num w:numId="20">
    <w:abstractNumId w:val="36"/>
  </w:num>
  <w:num w:numId="21">
    <w:abstractNumId w:val="9"/>
  </w:num>
  <w:num w:numId="22">
    <w:abstractNumId w:val="5"/>
  </w:num>
  <w:num w:numId="23">
    <w:abstractNumId w:val="23"/>
  </w:num>
  <w:num w:numId="24">
    <w:abstractNumId w:val="34"/>
  </w:num>
  <w:num w:numId="25">
    <w:abstractNumId w:val="25"/>
  </w:num>
  <w:num w:numId="26">
    <w:abstractNumId w:val="33"/>
  </w:num>
  <w:num w:numId="27">
    <w:abstractNumId w:val="1"/>
  </w:num>
  <w:num w:numId="28">
    <w:abstractNumId w:val="13"/>
  </w:num>
  <w:num w:numId="29">
    <w:abstractNumId w:val="38"/>
  </w:num>
  <w:num w:numId="30">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1"/>
  </w:num>
  <w:num w:numId="33">
    <w:abstractNumId w:val="16"/>
  </w:num>
  <w:num w:numId="34">
    <w:abstractNumId w:val="20"/>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4"/>
  </w:num>
  <w:num w:numId="41">
    <w:abstractNumId w:val="35"/>
  </w:num>
  <w:num w:numId="42">
    <w:abstractNumId w:val="4"/>
  </w:num>
  <w:num w:numId="43">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CB"/>
    <w:rsid w:val="0000053F"/>
    <w:rsid w:val="00000FF1"/>
    <w:rsid w:val="00002361"/>
    <w:rsid w:val="00004558"/>
    <w:rsid w:val="000050DB"/>
    <w:rsid w:val="000062BE"/>
    <w:rsid w:val="000078E8"/>
    <w:rsid w:val="000114BF"/>
    <w:rsid w:val="000128CB"/>
    <w:rsid w:val="0001435E"/>
    <w:rsid w:val="0001446F"/>
    <w:rsid w:val="00015351"/>
    <w:rsid w:val="0001564C"/>
    <w:rsid w:val="00015A93"/>
    <w:rsid w:val="0001628C"/>
    <w:rsid w:val="000168A7"/>
    <w:rsid w:val="0002026F"/>
    <w:rsid w:val="00024107"/>
    <w:rsid w:val="00024B93"/>
    <w:rsid w:val="00025098"/>
    <w:rsid w:val="00025120"/>
    <w:rsid w:val="00027943"/>
    <w:rsid w:val="00027A2B"/>
    <w:rsid w:val="00027BBD"/>
    <w:rsid w:val="00030C7B"/>
    <w:rsid w:val="0003118C"/>
    <w:rsid w:val="00031C46"/>
    <w:rsid w:val="00032EB6"/>
    <w:rsid w:val="000338A7"/>
    <w:rsid w:val="00033A99"/>
    <w:rsid w:val="0003549B"/>
    <w:rsid w:val="000355CD"/>
    <w:rsid w:val="000377CC"/>
    <w:rsid w:val="00037AD6"/>
    <w:rsid w:val="0004090F"/>
    <w:rsid w:val="0004173F"/>
    <w:rsid w:val="000422A4"/>
    <w:rsid w:val="00045E73"/>
    <w:rsid w:val="000470EE"/>
    <w:rsid w:val="000508CC"/>
    <w:rsid w:val="00052166"/>
    <w:rsid w:val="00052BDA"/>
    <w:rsid w:val="000542DF"/>
    <w:rsid w:val="000544D5"/>
    <w:rsid w:val="00054D50"/>
    <w:rsid w:val="000559F1"/>
    <w:rsid w:val="00055A1A"/>
    <w:rsid w:val="00055A46"/>
    <w:rsid w:val="00060E00"/>
    <w:rsid w:val="00061195"/>
    <w:rsid w:val="000612D1"/>
    <w:rsid w:val="00061489"/>
    <w:rsid w:val="00064B8C"/>
    <w:rsid w:val="00064FD6"/>
    <w:rsid w:val="00065884"/>
    <w:rsid w:val="00066338"/>
    <w:rsid w:val="00066616"/>
    <w:rsid w:val="000672DA"/>
    <w:rsid w:val="00070333"/>
    <w:rsid w:val="000705B2"/>
    <w:rsid w:val="0007140B"/>
    <w:rsid w:val="000714B1"/>
    <w:rsid w:val="00072B71"/>
    <w:rsid w:val="00074DF7"/>
    <w:rsid w:val="0007687E"/>
    <w:rsid w:val="000771A0"/>
    <w:rsid w:val="00077B17"/>
    <w:rsid w:val="00077C06"/>
    <w:rsid w:val="00080655"/>
    <w:rsid w:val="00080D67"/>
    <w:rsid w:val="0008640D"/>
    <w:rsid w:val="000876E9"/>
    <w:rsid w:val="00090BA6"/>
    <w:rsid w:val="00090D00"/>
    <w:rsid w:val="00090D47"/>
    <w:rsid w:val="000948C9"/>
    <w:rsid w:val="00095A44"/>
    <w:rsid w:val="00095F22"/>
    <w:rsid w:val="0009630D"/>
    <w:rsid w:val="00096B91"/>
    <w:rsid w:val="00096CAD"/>
    <w:rsid w:val="00097713"/>
    <w:rsid w:val="000977E0"/>
    <w:rsid w:val="00097EFD"/>
    <w:rsid w:val="000A1399"/>
    <w:rsid w:val="000A2E2B"/>
    <w:rsid w:val="000A30CE"/>
    <w:rsid w:val="000A4793"/>
    <w:rsid w:val="000A54F9"/>
    <w:rsid w:val="000A7CE6"/>
    <w:rsid w:val="000B000C"/>
    <w:rsid w:val="000B0750"/>
    <w:rsid w:val="000B41F6"/>
    <w:rsid w:val="000B4D37"/>
    <w:rsid w:val="000B67BD"/>
    <w:rsid w:val="000B6C8E"/>
    <w:rsid w:val="000B7248"/>
    <w:rsid w:val="000C05DA"/>
    <w:rsid w:val="000C1737"/>
    <w:rsid w:val="000C2F80"/>
    <w:rsid w:val="000C3B9D"/>
    <w:rsid w:val="000C4534"/>
    <w:rsid w:val="000C4E62"/>
    <w:rsid w:val="000C7257"/>
    <w:rsid w:val="000C790C"/>
    <w:rsid w:val="000C7C8A"/>
    <w:rsid w:val="000D16D6"/>
    <w:rsid w:val="000D2997"/>
    <w:rsid w:val="000D316D"/>
    <w:rsid w:val="000D4215"/>
    <w:rsid w:val="000D6AC6"/>
    <w:rsid w:val="000D7B86"/>
    <w:rsid w:val="000D7E88"/>
    <w:rsid w:val="000E04F9"/>
    <w:rsid w:val="000E0592"/>
    <w:rsid w:val="000E1608"/>
    <w:rsid w:val="000E59ED"/>
    <w:rsid w:val="000E6E1E"/>
    <w:rsid w:val="000E7F20"/>
    <w:rsid w:val="000F0C87"/>
    <w:rsid w:val="000F2321"/>
    <w:rsid w:val="000F6BC3"/>
    <w:rsid w:val="00102C71"/>
    <w:rsid w:val="001056B0"/>
    <w:rsid w:val="00105A20"/>
    <w:rsid w:val="00106EF9"/>
    <w:rsid w:val="0010705C"/>
    <w:rsid w:val="001070DD"/>
    <w:rsid w:val="00110416"/>
    <w:rsid w:val="00110A37"/>
    <w:rsid w:val="00111786"/>
    <w:rsid w:val="001119F5"/>
    <w:rsid w:val="0011259E"/>
    <w:rsid w:val="001154A1"/>
    <w:rsid w:val="00116B43"/>
    <w:rsid w:val="00116DCF"/>
    <w:rsid w:val="0011776B"/>
    <w:rsid w:val="00121692"/>
    <w:rsid w:val="0012171A"/>
    <w:rsid w:val="001229D2"/>
    <w:rsid w:val="00122B69"/>
    <w:rsid w:val="00123803"/>
    <w:rsid w:val="001247C5"/>
    <w:rsid w:val="00124E02"/>
    <w:rsid w:val="001251D3"/>
    <w:rsid w:val="001260EC"/>
    <w:rsid w:val="001262C3"/>
    <w:rsid w:val="00126B06"/>
    <w:rsid w:val="00126D7E"/>
    <w:rsid w:val="00127495"/>
    <w:rsid w:val="001274E2"/>
    <w:rsid w:val="00127D9E"/>
    <w:rsid w:val="00130C69"/>
    <w:rsid w:val="00131830"/>
    <w:rsid w:val="00131A2D"/>
    <w:rsid w:val="001320ED"/>
    <w:rsid w:val="0013358D"/>
    <w:rsid w:val="00134643"/>
    <w:rsid w:val="00135355"/>
    <w:rsid w:val="001357D0"/>
    <w:rsid w:val="001400DB"/>
    <w:rsid w:val="001413CD"/>
    <w:rsid w:val="00141D4E"/>
    <w:rsid w:val="001422E9"/>
    <w:rsid w:val="00142CC6"/>
    <w:rsid w:val="00142E7E"/>
    <w:rsid w:val="00143407"/>
    <w:rsid w:val="00143552"/>
    <w:rsid w:val="00145375"/>
    <w:rsid w:val="0014559B"/>
    <w:rsid w:val="00145919"/>
    <w:rsid w:val="00151B04"/>
    <w:rsid w:val="0015225A"/>
    <w:rsid w:val="00154701"/>
    <w:rsid w:val="001554A1"/>
    <w:rsid w:val="00156255"/>
    <w:rsid w:val="001600B7"/>
    <w:rsid w:val="00160281"/>
    <w:rsid w:val="00161464"/>
    <w:rsid w:val="001617B4"/>
    <w:rsid w:val="00161AF7"/>
    <w:rsid w:val="00164979"/>
    <w:rsid w:val="001665B3"/>
    <w:rsid w:val="00166C30"/>
    <w:rsid w:val="00167650"/>
    <w:rsid w:val="00167937"/>
    <w:rsid w:val="0017020F"/>
    <w:rsid w:val="00173636"/>
    <w:rsid w:val="00175063"/>
    <w:rsid w:val="00176C34"/>
    <w:rsid w:val="00176DC4"/>
    <w:rsid w:val="00177DAA"/>
    <w:rsid w:val="00181530"/>
    <w:rsid w:val="001817BD"/>
    <w:rsid w:val="00181901"/>
    <w:rsid w:val="001825DB"/>
    <w:rsid w:val="00183025"/>
    <w:rsid w:val="00183566"/>
    <w:rsid w:val="00183B82"/>
    <w:rsid w:val="00184148"/>
    <w:rsid w:val="00184473"/>
    <w:rsid w:val="00184E00"/>
    <w:rsid w:val="00185037"/>
    <w:rsid w:val="00185318"/>
    <w:rsid w:val="0018565B"/>
    <w:rsid w:val="00186151"/>
    <w:rsid w:val="00186195"/>
    <w:rsid w:val="00190933"/>
    <w:rsid w:val="00191535"/>
    <w:rsid w:val="001921FC"/>
    <w:rsid w:val="001A0BFD"/>
    <w:rsid w:val="001A13F5"/>
    <w:rsid w:val="001A3D3C"/>
    <w:rsid w:val="001A4245"/>
    <w:rsid w:val="001A50F1"/>
    <w:rsid w:val="001A6099"/>
    <w:rsid w:val="001A6F5A"/>
    <w:rsid w:val="001A7E06"/>
    <w:rsid w:val="001B03A5"/>
    <w:rsid w:val="001B0773"/>
    <w:rsid w:val="001B0A8A"/>
    <w:rsid w:val="001B0B4C"/>
    <w:rsid w:val="001B1141"/>
    <w:rsid w:val="001B2A56"/>
    <w:rsid w:val="001B2C2F"/>
    <w:rsid w:val="001B33E7"/>
    <w:rsid w:val="001B38FF"/>
    <w:rsid w:val="001B5A5A"/>
    <w:rsid w:val="001B73DE"/>
    <w:rsid w:val="001C037E"/>
    <w:rsid w:val="001C21CF"/>
    <w:rsid w:val="001C35BF"/>
    <w:rsid w:val="001C3C69"/>
    <w:rsid w:val="001C46FF"/>
    <w:rsid w:val="001C47DE"/>
    <w:rsid w:val="001C495C"/>
    <w:rsid w:val="001C4E07"/>
    <w:rsid w:val="001C53A2"/>
    <w:rsid w:val="001C62AC"/>
    <w:rsid w:val="001C6708"/>
    <w:rsid w:val="001C6BD5"/>
    <w:rsid w:val="001C76E8"/>
    <w:rsid w:val="001C77DE"/>
    <w:rsid w:val="001D16EC"/>
    <w:rsid w:val="001D1DA1"/>
    <w:rsid w:val="001D1F41"/>
    <w:rsid w:val="001D56F3"/>
    <w:rsid w:val="001D76BD"/>
    <w:rsid w:val="001E0FD7"/>
    <w:rsid w:val="001E127F"/>
    <w:rsid w:val="001E144B"/>
    <w:rsid w:val="001E4F42"/>
    <w:rsid w:val="001E6451"/>
    <w:rsid w:val="001E7354"/>
    <w:rsid w:val="001E794B"/>
    <w:rsid w:val="001F1C0D"/>
    <w:rsid w:val="001F1DA5"/>
    <w:rsid w:val="001F2C17"/>
    <w:rsid w:val="001F3268"/>
    <w:rsid w:val="001F6280"/>
    <w:rsid w:val="001F6354"/>
    <w:rsid w:val="001F7379"/>
    <w:rsid w:val="00200B16"/>
    <w:rsid w:val="00200D26"/>
    <w:rsid w:val="002034BA"/>
    <w:rsid w:val="00205308"/>
    <w:rsid w:val="00205668"/>
    <w:rsid w:val="00205D05"/>
    <w:rsid w:val="0020676F"/>
    <w:rsid w:val="0020690D"/>
    <w:rsid w:val="00207BAF"/>
    <w:rsid w:val="002106ED"/>
    <w:rsid w:val="00210DB0"/>
    <w:rsid w:val="00211147"/>
    <w:rsid w:val="00211AF2"/>
    <w:rsid w:val="00212428"/>
    <w:rsid w:val="00212BD7"/>
    <w:rsid w:val="0021505C"/>
    <w:rsid w:val="00215FD1"/>
    <w:rsid w:val="002166E5"/>
    <w:rsid w:val="00216A78"/>
    <w:rsid w:val="00216D21"/>
    <w:rsid w:val="00216DAE"/>
    <w:rsid w:val="002171C3"/>
    <w:rsid w:val="0021759E"/>
    <w:rsid w:val="0021772D"/>
    <w:rsid w:val="002179CD"/>
    <w:rsid w:val="00217AA1"/>
    <w:rsid w:val="0022044E"/>
    <w:rsid w:val="00220877"/>
    <w:rsid w:val="002208A1"/>
    <w:rsid w:val="00221176"/>
    <w:rsid w:val="0022163C"/>
    <w:rsid w:val="00222F08"/>
    <w:rsid w:val="0022326E"/>
    <w:rsid w:val="0022512D"/>
    <w:rsid w:val="00225BE5"/>
    <w:rsid w:val="002260B5"/>
    <w:rsid w:val="002264B0"/>
    <w:rsid w:val="002268F4"/>
    <w:rsid w:val="002270C8"/>
    <w:rsid w:val="00227CEB"/>
    <w:rsid w:val="0023076C"/>
    <w:rsid w:val="00233493"/>
    <w:rsid w:val="00235834"/>
    <w:rsid w:val="00235965"/>
    <w:rsid w:val="00235FFD"/>
    <w:rsid w:val="0023695F"/>
    <w:rsid w:val="0024104D"/>
    <w:rsid w:val="00241354"/>
    <w:rsid w:val="00242A29"/>
    <w:rsid w:val="00244552"/>
    <w:rsid w:val="002445AB"/>
    <w:rsid w:val="002453BF"/>
    <w:rsid w:val="00245AEC"/>
    <w:rsid w:val="00245D7F"/>
    <w:rsid w:val="00245F41"/>
    <w:rsid w:val="002476A4"/>
    <w:rsid w:val="00251E87"/>
    <w:rsid w:val="002536CA"/>
    <w:rsid w:val="00253704"/>
    <w:rsid w:val="00253D32"/>
    <w:rsid w:val="00253D90"/>
    <w:rsid w:val="002540BB"/>
    <w:rsid w:val="0025452D"/>
    <w:rsid w:val="002549D2"/>
    <w:rsid w:val="00257E27"/>
    <w:rsid w:val="0026009B"/>
    <w:rsid w:val="00260103"/>
    <w:rsid w:val="00260B6B"/>
    <w:rsid w:val="00261524"/>
    <w:rsid w:val="002617DB"/>
    <w:rsid w:val="00264462"/>
    <w:rsid w:val="00264BA8"/>
    <w:rsid w:val="00264CD4"/>
    <w:rsid w:val="00267ADE"/>
    <w:rsid w:val="00271034"/>
    <w:rsid w:val="0027343D"/>
    <w:rsid w:val="002737EE"/>
    <w:rsid w:val="002756DE"/>
    <w:rsid w:val="00276312"/>
    <w:rsid w:val="002804B8"/>
    <w:rsid w:val="00282958"/>
    <w:rsid w:val="00282B78"/>
    <w:rsid w:val="0028363D"/>
    <w:rsid w:val="002839A3"/>
    <w:rsid w:val="002858DB"/>
    <w:rsid w:val="00286202"/>
    <w:rsid w:val="00287576"/>
    <w:rsid w:val="002876CF"/>
    <w:rsid w:val="0029184B"/>
    <w:rsid w:val="0029239B"/>
    <w:rsid w:val="00294611"/>
    <w:rsid w:val="00294E24"/>
    <w:rsid w:val="00297C1E"/>
    <w:rsid w:val="002A081E"/>
    <w:rsid w:val="002A0D34"/>
    <w:rsid w:val="002A11C0"/>
    <w:rsid w:val="002A36D0"/>
    <w:rsid w:val="002A6440"/>
    <w:rsid w:val="002A679E"/>
    <w:rsid w:val="002A6D8C"/>
    <w:rsid w:val="002A7188"/>
    <w:rsid w:val="002A7215"/>
    <w:rsid w:val="002A7576"/>
    <w:rsid w:val="002A7B83"/>
    <w:rsid w:val="002A7EE0"/>
    <w:rsid w:val="002B0073"/>
    <w:rsid w:val="002B1359"/>
    <w:rsid w:val="002B17F2"/>
    <w:rsid w:val="002B1F52"/>
    <w:rsid w:val="002B25D2"/>
    <w:rsid w:val="002B2891"/>
    <w:rsid w:val="002B29E2"/>
    <w:rsid w:val="002B2C2C"/>
    <w:rsid w:val="002B33A0"/>
    <w:rsid w:val="002B4687"/>
    <w:rsid w:val="002B5865"/>
    <w:rsid w:val="002B6D01"/>
    <w:rsid w:val="002B7AB7"/>
    <w:rsid w:val="002C19A5"/>
    <w:rsid w:val="002C231B"/>
    <w:rsid w:val="002C2E63"/>
    <w:rsid w:val="002C2EAE"/>
    <w:rsid w:val="002C2F91"/>
    <w:rsid w:val="002C3597"/>
    <w:rsid w:val="002C41D6"/>
    <w:rsid w:val="002C4814"/>
    <w:rsid w:val="002C5A21"/>
    <w:rsid w:val="002C5B4F"/>
    <w:rsid w:val="002C633A"/>
    <w:rsid w:val="002D020B"/>
    <w:rsid w:val="002D1202"/>
    <w:rsid w:val="002D2327"/>
    <w:rsid w:val="002D3777"/>
    <w:rsid w:val="002D39E7"/>
    <w:rsid w:val="002D3D41"/>
    <w:rsid w:val="002D5512"/>
    <w:rsid w:val="002D6161"/>
    <w:rsid w:val="002D621B"/>
    <w:rsid w:val="002D6565"/>
    <w:rsid w:val="002D7F3A"/>
    <w:rsid w:val="002E0FBB"/>
    <w:rsid w:val="002E19B4"/>
    <w:rsid w:val="002E2BAA"/>
    <w:rsid w:val="002E51D8"/>
    <w:rsid w:val="002F0154"/>
    <w:rsid w:val="002F080E"/>
    <w:rsid w:val="002F11A6"/>
    <w:rsid w:val="002F1373"/>
    <w:rsid w:val="002F16EF"/>
    <w:rsid w:val="002F1AE1"/>
    <w:rsid w:val="002F21E9"/>
    <w:rsid w:val="002F3938"/>
    <w:rsid w:val="002F4047"/>
    <w:rsid w:val="002F43E8"/>
    <w:rsid w:val="002F6BD2"/>
    <w:rsid w:val="002F6F27"/>
    <w:rsid w:val="00300400"/>
    <w:rsid w:val="003017A1"/>
    <w:rsid w:val="00303563"/>
    <w:rsid w:val="00304B5F"/>
    <w:rsid w:val="00304D8E"/>
    <w:rsid w:val="00304FA1"/>
    <w:rsid w:val="003055AD"/>
    <w:rsid w:val="003060F2"/>
    <w:rsid w:val="00306A10"/>
    <w:rsid w:val="00307F37"/>
    <w:rsid w:val="00310057"/>
    <w:rsid w:val="003113F1"/>
    <w:rsid w:val="00312A4D"/>
    <w:rsid w:val="00312F28"/>
    <w:rsid w:val="00313313"/>
    <w:rsid w:val="00314513"/>
    <w:rsid w:val="00314618"/>
    <w:rsid w:val="003162B3"/>
    <w:rsid w:val="00317CD9"/>
    <w:rsid w:val="00321B63"/>
    <w:rsid w:val="00322BF3"/>
    <w:rsid w:val="00323658"/>
    <w:rsid w:val="00323D90"/>
    <w:rsid w:val="0032551A"/>
    <w:rsid w:val="00326931"/>
    <w:rsid w:val="00332097"/>
    <w:rsid w:val="00332D11"/>
    <w:rsid w:val="00332FFF"/>
    <w:rsid w:val="00333825"/>
    <w:rsid w:val="003342BA"/>
    <w:rsid w:val="0033457B"/>
    <w:rsid w:val="0033724A"/>
    <w:rsid w:val="00337B7F"/>
    <w:rsid w:val="003413A7"/>
    <w:rsid w:val="003428BF"/>
    <w:rsid w:val="0034369E"/>
    <w:rsid w:val="003444EA"/>
    <w:rsid w:val="00344FCC"/>
    <w:rsid w:val="00345578"/>
    <w:rsid w:val="00345DA9"/>
    <w:rsid w:val="0034608B"/>
    <w:rsid w:val="003466C3"/>
    <w:rsid w:val="003468AE"/>
    <w:rsid w:val="00347317"/>
    <w:rsid w:val="0034768C"/>
    <w:rsid w:val="00350075"/>
    <w:rsid w:val="003504E3"/>
    <w:rsid w:val="00351B0F"/>
    <w:rsid w:val="00351C7E"/>
    <w:rsid w:val="00352032"/>
    <w:rsid w:val="0035223A"/>
    <w:rsid w:val="0035226C"/>
    <w:rsid w:val="00353380"/>
    <w:rsid w:val="00353CEF"/>
    <w:rsid w:val="00353F32"/>
    <w:rsid w:val="003540CF"/>
    <w:rsid w:val="00355448"/>
    <w:rsid w:val="00355937"/>
    <w:rsid w:val="003560DB"/>
    <w:rsid w:val="00356372"/>
    <w:rsid w:val="00356534"/>
    <w:rsid w:val="0035697C"/>
    <w:rsid w:val="0036048D"/>
    <w:rsid w:val="0036381B"/>
    <w:rsid w:val="00365085"/>
    <w:rsid w:val="00365E2F"/>
    <w:rsid w:val="003669AC"/>
    <w:rsid w:val="0036741C"/>
    <w:rsid w:val="003674B3"/>
    <w:rsid w:val="00367898"/>
    <w:rsid w:val="00371267"/>
    <w:rsid w:val="003734B8"/>
    <w:rsid w:val="0037475B"/>
    <w:rsid w:val="00376026"/>
    <w:rsid w:val="00380215"/>
    <w:rsid w:val="0038321F"/>
    <w:rsid w:val="00384179"/>
    <w:rsid w:val="0038466B"/>
    <w:rsid w:val="0038547D"/>
    <w:rsid w:val="00385AE3"/>
    <w:rsid w:val="00386616"/>
    <w:rsid w:val="00386E5F"/>
    <w:rsid w:val="00386EE6"/>
    <w:rsid w:val="003907F0"/>
    <w:rsid w:val="00393A29"/>
    <w:rsid w:val="00393E98"/>
    <w:rsid w:val="00394052"/>
    <w:rsid w:val="00395C03"/>
    <w:rsid w:val="00395EB0"/>
    <w:rsid w:val="003962D6"/>
    <w:rsid w:val="003968CC"/>
    <w:rsid w:val="003A0AF8"/>
    <w:rsid w:val="003A1470"/>
    <w:rsid w:val="003A19D7"/>
    <w:rsid w:val="003A204B"/>
    <w:rsid w:val="003A228A"/>
    <w:rsid w:val="003A2E30"/>
    <w:rsid w:val="003A3200"/>
    <w:rsid w:val="003A4811"/>
    <w:rsid w:val="003A4FA7"/>
    <w:rsid w:val="003A5CD3"/>
    <w:rsid w:val="003A5EF3"/>
    <w:rsid w:val="003A6C58"/>
    <w:rsid w:val="003A72E2"/>
    <w:rsid w:val="003A745A"/>
    <w:rsid w:val="003A7A7D"/>
    <w:rsid w:val="003B0201"/>
    <w:rsid w:val="003B1054"/>
    <w:rsid w:val="003B1B29"/>
    <w:rsid w:val="003B30AC"/>
    <w:rsid w:val="003B33E4"/>
    <w:rsid w:val="003B383D"/>
    <w:rsid w:val="003B39DF"/>
    <w:rsid w:val="003B452B"/>
    <w:rsid w:val="003B5150"/>
    <w:rsid w:val="003B550D"/>
    <w:rsid w:val="003B60DB"/>
    <w:rsid w:val="003B6410"/>
    <w:rsid w:val="003B6EBD"/>
    <w:rsid w:val="003B7053"/>
    <w:rsid w:val="003C0FAD"/>
    <w:rsid w:val="003C10D9"/>
    <w:rsid w:val="003C13BF"/>
    <w:rsid w:val="003C3691"/>
    <w:rsid w:val="003C3993"/>
    <w:rsid w:val="003C4E2B"/>
    <w:rsid w:val="003C77BE"/>
    <w:rsid w:val="003C7A9A"/>
    <w:rsid w:val="003C7F4E"/>
    <w:rsid w:val="003D1414"/>
    <w:rsid w:val="003D48D0"/>
    <w:rsid w:val="003D498B"/>
    <w:rsid w:val="003D6BF0"/>
    <w:rsid w:val="003D6C2D"/>
    <w:rsid w:val="003E00A2"/>
    <w:rsid w:val="003E00E6"/>
    <w:rsid w:val="003E0A76"/>
    <w:rsid w:val="003E0CC6"/>
    <w:rsid w:val="003E128E"/>
    <w:rsid w:val="003E1B5B"/>
    <w:rsid w:val="003E2ABD"/>
    <w:rsid w:val="003E3972"/>
    <w:rsid w:val="003E3E1C"/>
    <w:rsid w:val="003E4B82"/>
    <w:rsid w:val="003E53C9"/>
    <w:rsid w:val="003E5D61"/>
    <w:rsid w:val="003F026B"/>
    <w:rsid w:val="003F1165"/>
    <w:rsid w:val="003F35B6"/>
    <w:rsid w:val="003F6005"/>
    <w:rsid w:val="003F632F"/>
    <w:rsid w:val="004019D1"/>
    <w:rsid w:val="004025C1"/>
    <w:rsid w:val="00402665"/>
    <w:rsid w:val="004029E4"/>
    <w:rsid w:val="004030DD"/>
    <w:rsid w:val="00403158"/>
    <w:rsid w:val="004032FB"/>
    <w:rsid w:val="004034FE"/>
    <w:rsid w:val="0040386E"/>
    <w:rsid w:val="00403A43"/>
    <w:rsid w:val="004109BB"/>
    <w:rsid w:val="00412965"/>
    <w:rsid w:val="00412E0F"/>
    <w:rsid w:val="00413FB3"/>
    <w:rsid w:val="00414D08"/>
    <w:rsid w:val="00416B89"/>
    <w:rsid w:val="00416BDC"/>
    <w:rsid w:val="00417558"/>
    <w:rsid w:val="00417DCA"/>
    <w:rsid w:val="00417E38"/>
    <w:rsid w:val="00417E53"/>
    <w:rsid w:val="004200CD"/>
    <w:rsid w:val="004210FF"/>
    <w:rsid w:val="00421275"/>
    <w:rsid w:val="00421C2A"/>
    <w:rsid w:val="0042237A"/>
    <w:rsid w:val="0042415D"/>
    <w:rsid w:val="00424957"/>
    <w:rsid w:val="00426E19"/>
    <w:rsid w:val="00427B0D"/>
    <w:rsid w:val="00427F8E"/>
    <w:rsid w:val="0043123A"/>
    <w:rsid w:val="0043139D"/>
    <w:rsid w:val="00431516"/>
    <w:rsid w:val="00434852"/>
    <w:rsid w:val="00435162"/>
    <w:rsid w:val="00435EC8"/>
    <w:rsid w:val="00436A71"/>
    <w:rsid w:val="00436B73"/>
    <w:rsid w:val="00436D81"/>
    <w:rsid w:val="004378A0"/>
    <w:rsid w:val="00440664"/>
    <w:rsid w:val="0044311D"/>
    <w:rsid w:val="00443764"/>
    <w:rsid w:val="00443A03"/>
    <w:rsid w:val="00444E94"/>
    <w:rsid w:val="00445A58"/>
    <w:rsid w:val="00445EBE"/>
    <w:rsid w:val="00446708"/>
    <w:rsid w:val="00450BB3"/>
    <w:rsid w:val="004545C2"/>
    <w:rsid w:val="00457B73"/>
    <w:rsid w:val="00457C59"/>
    <w:rsid w:val="00462672"/>
    <w:rsid w:val="0046379A"/>
    <w:rsid w:val="00464088"/>
    <w:rsid w:val="00464ED7"/>
    <w:rsid w:val="00464F62"/>
    <w:rsid w:val="00465586"/>
    <w:rsid w:val="00465758"/>
    <w:rsid w:val="00465783"/>
    <w:rsid w:val="0046622F"/>
    <w:rsid w:val="0046657C"/>
    <w:rsid w:val="0046679D"/>
    <w:rsid w:val="004669F4"/>
    <w:rsid w:val="00467718"/>
    <w:rsid w:val="00470E54"/>
    <w:rsid w:val="0047121D"/>
    <w:rsid w:val="00471C06"/>
    <w:rsid w:val="004747F4"/>
    <w:rsid w:val="00474E45"/>
    <w:rsid w:val="004752A5"/>
    <w:rsid w:val="004762E9"/>
    <w:rsid w:val="00476AA7"/>
    <w:rsid w:val="00476F82"/>
    <w:rsid w:val="00477D17"/>
    <w:rsid w:val="0048144E"/>
    <w:rsid w:val="00481795"/>
    <w:rsid w:val="004839A4"/>
    <w:rsid w:val="004846A9"/>
    <w:rsid w:val="004847D7"/>
    <w:rsid w:val="00485F64"/>
    <w:rsid w:val="00486146"/>
    <w:rsid w:val="00486996"/>
    <w:rsid w:val="004917F3"/>
    <w:rsid w:val="00492DFB"/>
    <w:rsid w:val="00493C55"/>
    <w:rsid w:val="00494E03"/>
    <w:rsid w:val="0049703E"/>
    <w:rsid w:val="00497456"/>
    <w:rsid w:val="004A0811"/>
    <w:rsid w:val="004A578B"/>
    <w:rsid w:val="004A640D"/>
    <w:rsid w:val="004A69EE"/>
    <w:rsid w:val="004A767F"/>
    <w:rsid w:val="004B031D"/>
    <w:rsid w:val="004B07E0"/>
    <w:rsid w:val="004B0AFE"/>
    <w:rsid w:val="004B131B"/>
    <w:rsid w:val="004B17B5"/>
    <w:rsid w:val="004B1CAB"/>
    <w:rsid w:val="004B4833"/>
    <w:rsid w:val="004B5A88"/>
    <w:rsid w:val="004B5B68"/>
    <w:rsid w:val="004B6AC4"/>
    <w:rsid w:val="004B7587"/>
    <w:rsid w:val="004B7A67"/>
    <w:rsid w:val="004C155B"/>
    <w:rsid w:val="004C1A4F"/>
    <w:rsid w:val="004C32CD"/>
    <w:rsid w:val="004C3B1A"/>
    <w:rsid w:val="004C41CC"/>
    <w:rsid w:val="004C57D9"/>
    <w:rsid w:val="004C587F"/>
    <w:rsid w:val="004C6812"/>
    <w:rsid w:val="004D056B"/>
    <w:rsid w:val="004D0B11"/>
    <w:rsid w:val="004D1B1B"/>
    <w:rsid w:val="004D222D"/>
    <w:rsid w:val="004D345F"/>
    <w:rsid w:val="004D382B"/>
    <w:rsid w:val="004D6BFB"/>
    <w:rsid w:val="004D7AF9"/>
    <w:rsid w:val="004E038F"/>
    <w:rsid w:val="004E0500"/>
    <w:rsid w:val="004E14D0"/>
    <w:rsid w:val="004E23EF"/>
    <w:rsid w:val="004E3125"/>
    <w:rsid w:val="004E4339"/>
    <w:rsid w:val="004E6942"/>
    <w:rsid w:val="004E6E66"/>
    <w:rsid w:val="004E73E0"/>
    <w:rsid w:val="004E7682"/>
    <w:rsid w:val="004F0292"/>
    <w:rsid w:val="004F2868"/>
    <w:rsid w:val="004F2AC0"/>
    <w:rsid w:val="004F2B9E"/>
    <w:rsid w:val="004F2E9C"/>
    <w:rsid w:val="004F4025"/>
    <w:rsid w:val="004F4BEE"/>
    <w:rsid w:val="004F624A"/>
    <w:rsid w:val="00500269"/>
    <w:rsid w:val="00500342"/>
    <w:rsid w:val="00501033"/>
    <w:rsid w:val="005022C1"/>
    <w:rsid w:val="0050341C"/>
    <w:rsid w:val="00503657"/>
    <w:rsid w:val="00504099"/>
    <w:rsid w:val="00505095"/>
    <w:rsid w:val="00505A7D"/>
    <w:rsid w:val="00505E76"/>
    <w:rsid w:val="00506FC2"/>
    <w:rsid w:val="00507BEA"/>
    <w:rsid w:val="00510201"/>
    <w:rsid w:val="00510756"/>
    <w:rsid w:val="00510CD0"/>
    <w:rsid w:val="00510E97"/>
    <w:rsid w:val="00512228"/>
    <w:rsid w:val="00512796"/>
    <w:rsid w:val="005129FB"/>
    <w:rsid w:val="00513DB5"/>
    <w:rsid w:val="0051410A"/>
    <w:rsid w:val="00514281"/>
    <w:rsid w:val="00517045"/>
    <w:rsid w:val="0052258A"/>
    <w:rsid w:val="00522A21"/>
    <w:rsid w:val="00523ABD"/>
    <w:rsid w:val="00523CA8"/>
    <w:rsid w:val="00524E74"/>
    <w:rsid w:val="005250E0"/>
    <w:rsid w:val="00525572"/>
    <w:rsid w:val="0052679B"/>
    <w:rsid w:val="005270B1"/>
    <w:rsid w:val="00527665"/>
    <w:rsid w:val="00527A74"/>
    <w:rsid w:val="00530363"/>
    <w:rsid w:val="00530A6A"/>
    <w:rsid w:val="00530D46"/>
    <w:rsid w:val="00531EE6"/>
    <w:rsid w:val="005330E0"/>
    <w:rsid w:val="00533224"/>
    <w:rsid w:val="005337E6"/>
    <w:rsid w:val="00533ED9"/>
    <w:rsid w:val="00534E8E"/>
    <w:rsid w:val="00535B84"/>
    <w:rsid w:val="00536A99"/>
    <w:rsid w:val="005376D6"/>
    <w:rsid w:val="00537B96"/>
    <w:rsid w:val="00537CC3"/>
    <w:rsid w:val="00541EC4"/>
    <w:rsid w:val="00543D34"/>
    <w:rsid w:val="00546036"/>
    <w:rsid w:val="00547B2E"/>
    <w:rsid w:val="00550254"/>
    <w:rsid w:val="005521E2"/>
    <w:rsid w:val="0055268B"/>
    <w:rsid w:val="005528DC"/>
    <w:rsid w:val="00552B97"/>
    <w:rsid w:val="00552DAD"/>
    <w:rsid w:val="005544CC"/>
    <w:rsid w:val="00557D3C"/>
    <w:rsid w:val="00557EA2"/>
    <w:rsid w:val="00562A36"/>
    <w:rsid w:val="00563FC5"/>
    <w:rsid w:val="00564244"/>
    <w:rsid w:val="0056517C"/>
    <w:rsid w:val="00565C54"/>
    <w:rsid w:val="00570D34"/>
    <w:rsid w:val="0057285E"/>
    <w:rsid w:val="005729B7"/>
    <w:rsid w:val="005729BF"/>
    <w:rsid w:val="00572C27"/>
    <w:rsid w:val="005739DC"/>
    <w:rsid w:val="005746B5"/>
    <w:rsid w:val="00574800"/>
    <w:rsid w:val="005763B4"/>
    <w:rsid w:val="00576C0A"/>
    <w:rsid w:val="00577B53"/>
    <w:rsid w:val="0058109B"/>
    <w:rsid w:val="00583C65"/>
    <w:rsid w:val="00584D0A"/>
    <w:rsid w:val="0058609B"/>
    <w:rsid w:val="0058799A"/>
    <w:rsid w:val="00590739"/>
    <w:rsid w:val="00590DB9"/>
    <w:rsid w:val="00592149"/>
    <w:rsid w:val="00592430"/>
    <w:rsid w:val="00592F5C"/>
    <w:rsid w:val="00593016"/>
    <w:rsid w:val="0059352A"/>
    <w:rsid w:val="00593588"/>
    <w:rsid w:val="005938E1"/>
    <w:rsid w:val="005949D5"/>
    <w:rsid w:val="005A0047"/>
    <w:rsid w:val="005A0AFB"/>
    <w:rsid w:val="005A22DA"/>
    <w:rsid w:val="005A39B6"/>
    <w:rsid w:val="005A45E7"/>
    <w:rsid w:val="005A4FC5"/>
    <w:rsid w:val="005A5E09"/>
    <w:rsid w:val="005A65EA"/>
    <w:rsid w:val="005A7570"/>
    <w:rsid w:val="005A78AA"/>
    <w:rsid w:val="005A7CEA"/>
    <w:rsid w:val="005B0CC6"/>
    <w:rsid w:val="005B1CB2"/>
    <w:rsid w:val="005B2887"/>
    <w:rsid w:val="005B28A3"/>
    <w:rsid w:val="005B2B30"/>
    <w:rsid w:val="005B2F22"/>
    <w:rsid w:val="005B5D15"/>
    <w:rsid w:val="005B65FD"/>
    <w:rsid w:val="005B791F"/>
    <w:rsid w:val="005C1C50"/>
    <w:rsid w:val="005C1C58"/>
    <w:rsid w:val="005C1ED3"/>
    <w:rsid w:val="005C1F1E"/>
    <w:rsid w:val="005C1F5F"/>
    <w:rsid w:val="005C22E4"/>
    <w:rsid w:val="005C3A20"/>
    <w:rsid w:val="005C3C44"/>
    <w:rsid w:val="005C5A73"/>
    <w:rsid w:val="005C6A2E"/>
    <w:rsid w:val="005C71A1"/>
    <w:rsid w:val="005D0885"/>
    <w:rsid w:val="005D0A54"/>
    <w:rsid w:val="005D1B13"/>
    <w:rsid w:val="005D3F50"/>
    <w:rsid w:val="005D3F7C"/>
    <w:rsid w:val="005D6255"/>
    <w:rsid w:val="005D77E4"/>
    <w:rsid w:val="005E0F50"/>
    <w:rsid w:val="005E0FF9"/>
    <w:rsid w:val="005E3A67"/>
    <w:rsid w:val="005E43A5"/>
    <w:rsid w:val="005E4716"/>
    <w:rsid w:val="005E4A4B"/>
    <w:rsid w:val="005E59CA"/>
    <w:rsid w:val="005E6F20"/>
    <w:rsid w:val="005F15F1"/>
    <w:rsid w:val="005F1907"/>
    <w:rsid w:val="005F27E4"/>
    <w:rsid w:val="005F35A5"/>
    <w:rsid w:val="005F5591"/>
    <w:rsid w:val="005F6292"/>
    <w:rsid w:val="005F638D"/>
    <w:rsid w:val="005F73D1"/>
    <w:rsid w:val="005F7678"/>
    <w:rsid w:val="006004C0"/>
    <w:rsid w:val="00600C39"/>
    <w:rsid w:val="006036F2"/>
    <w:rsid w:val="006050A5"/>
    <w:rsid w:val="006060D9"/>
    <w:rsid w:val="0060637C"/>
    <w:rsid w:val="00607684"/>
    <w:rsid w:val="00607BD6"/>
    <w:rsid w:val="00611620"/>
    <w:rsid w:val="00611715"/>
    <w:rsid w:val="00613F69"/>
    <w:rsid w:val="00614AD7"/>
    <w:rsid w:val="00617BAE"/>
    <w:rsid w:val="0062049E"/>
    <w:rsid w:val="00620827"/>
    <w:rsid w:val="00620F83"/>
    <w:rsid w:val="00620FD0"/>
    <w:rsid w:val="00621101"/>
    <w:rsid w:val="0062158E"/>
    <w:rsid w:val="00622BCF"/>
    <w:rsid w:val="006236F5"/>
    <w:rsid w:val="00626797"/>
    <w:rsid w:val="00626B53"/>
    <w:rsid w:val="006276FA"/>
    <w:rsid w:val="006300C0"/>
    <w:rsid w:val="0063431C"/>
    <w:rsid w:val="00634434"/>
    <w:rsid w:val="006345DD"/>
    <w:rsid w:val="00634BB8"/>
    <w:rsid w:val="00636A1E"/>
    <w:rsid w:val="00642B6B"/>
    <w:rsid w:val="006437A0"/>
    <w:rsid w:val="0064399F"/>
    <w:rsid w:val="0064548A"/>
    <w:rsid w:val="006463BF"/>
    <w:rsid w:val="0064677F"/>
    <w:rsid w:val="00646868"/>
    <w:rsid w:val="00646B4B"/>
    <w:rsid w:val="006511DE"/>
    <w:rsid w:val="00653F4A"/>
    <w:rsid w:val="006542DD"/>
    <w:rsid w:val="0065451C"/>
    <w:rsid w:val="00654A28"/>
    <w:rsid w:val="00655CBD"/>
    <w:rsid w:val="006564F7"/>
    <w:rsid w:val="00656A89"/>
    <w:rsid w:val="00656EE0"/>
    <w:rsid w:val="00657595"/>
    <w:rsid w:val="00657BCD"/>
    <w:rsid w:val="00661201"/>
    <w:rsid w:val="00661B91"/>
    <w:rsid w:val="006639FF"/>
    <w:rsid w:val="00665970"/>
    <w:rsid w:val="00666188"/>
    <w:rsid w:val="006665F9"/>
    <w:rsid w:val="00666882"/>
    <w:rsid w:val="00666E54"/>
    <w:rsid w:val="00670254"/>
    <w:rsid w:val="00670FC1"/>
    <w:rsid w:val="00671547"/>
    <w:rsid w:val="006734F0"/>
    <w:rsid w:val="006738F9"/>
    <w:rsid w:val="00673C28"/>
    <w:rsid w:val="006751D9"/>
    <w:rsid w:val="006755D9"/>
    <w:rsid w:val="006758F1"/>
    <w:rsid w:val="00675FE5"/>
    <w:rsid w:val="006775EE"/>
    <w:rsid w:val="00677C28"/>
    <w:rsid w:val="00680412"/>
    <w:rsid w:val="006809C2"/>
    <w:rsid w:val="00682CA7"/>
    <w:rsid w:val="00682DEA"/>
    <w:rsid w:val="00683A41"/>
    <w:rsid w:val="0068470D"/>
    <w:rsid w:val="006852E2"/>
    <w:rsid w:val="0068633C"/>
    <w:rsid w:val="00686A36"/>
    <w:rsid w:val="00687ABD"/>
    <w:rsid w:val="00687AC0"/>
    <w:rsid w:val="00690230"/>
    <w:rsid w:val="00690304"/>
    <w:rsid w:val="00690BAC"/>
    <w:rsid w:val="00693793"/>
    <w:rsid w:val="006938BC"/>
    <w:rsid w:val="006943A8"/>
    <w:rsid w:val="00694724"/>
    <w:rsid w:val="00694770"/>
    <w:rsid w:val="006959B6"/>
    <w:rsid w:val="006972B8"/>
    <w:rsid w:val="006975F1"/>
    <w:rsid w:val="006A0559"/>
    <w:rsid w:val="006A386C"/>
    <w:rsid w:val="006A4817"/>
    <w:rsid w:val="006A6918"/>
    <w:rsid w:val="006A7365"/>
    <w:rsid w:val="006B052A"/>
    <w:rsid w:val="006B0825"/>
    <w:rsid w:val="006B16D9"/>
    <w:rsid w:val="006B2E69"/>
    <w:rsid w:val="006B3F85"/>
    <w:rsid w:val="006B3FCD"/>
    <w:rsid w:val="006B433B"/>
    <w:rsid w:val="006B5BFA"/>
    <w:rsid w:val="006B6346"/>
    <w:rsid w:val="006B6351"/>
    <w:rsid w:val="006C0F08"/>
    <w:rsid w:val="006C1186"/>
    <w:rsid w:val="006C1F43"/>
    <w:rsid w:val="006C2CED"/>
    <w:rsid w:val="006C30B4"/>
    <w:rsid w:val="006C414F"/>
    <w:rsid w:val="006C4FF0"/>
    <w:rsid w:val="006C60E6"/>
    <w:rsid w:val="006C676A"/>
    <w:rsid w:val="006D0784"/>
    <w:rsid w:val="006D0F2D"/>
    <w:rsid w:val="006D1198"/>
    <w:rsid w:val="006D134E"/>
    <w:rsid w:val="006D25F6"/>
    <w:rsid w:val="006D25F7"/>
    <w:rsid w:val="006D41CA"/>
    <w:rsid w:val="006D43F5"/>
    <w:rsid w:val="006D5078"/>
    <w:rsid w:val="006D51D1"/>
    <w:rsid w:val="006D5281"/>
    <w:rsid w:val="006D6C35"/>
    <w:rsid w:val="006D770B"/>
    <w:rsid w:val="006E0313"/>
    <w:rsid w:val="006E15C0"/>
    <w:rsid w:val="006E17F0"/>
    <w:rsid w:val="006E23CB"/>
    <w:rsid w:val="006E242D"/>
    <w:rsid w:val="006E2FD1"/>
    <w:rsid w:val="006E41BF"/>
    <w:rsid w:val="006E5107"/>
    <w:rsid w:val="006E51D3"/>
    <w:rsid w:val="006E52AB"/>
    <w:rsid w:val="006E7108"/>
    <w:rsid w:val="006F1673"/>
    <w:rsid w:val="006F1E08"/>
    <w:rsid w:val="006F26D9"/>
    <w:rsid w:val="006F27F9"/>
    <w:rsid w:val="006F2F76"/>
    <w:rsid w:val="006F30B0"/>
    <w:rsid w:val="006F31CF"/>
    <w:rsid w:val="006F4446"/>
    <w:rsid w:val="006F67B0"/>
    <w:rsid w:val="006F6F28"/>
    <w:rsid w:val="006F7843"/>
    <w:rsid w:val="006F7B99"/>
    <w:rsid w:val="0070319E"/>
    <w:rsid w:val="007044F9"/>
    <w:rsid w:val="00704C6E"/>
    <w:rsid w:val="007053C7"/>
    <w:rsid w:val="00706708"/>
    <w:rsid w:val="00707CDB"/>
    <w:rsid w:val="00710591"/>
    <w:rsid w:val="007112C9"/>
    <w:rsid w:val="00712162"/>
    <w:rsid w:val="00712BB5"/>
    <w:rsid w:val="00712C95"/>
    <w:rsid w:val="00713398"/>
    <w:rsid w:val="00713747"/>
    <w:rsid w:val="00716376"/>
    <w:rsid w:val="00716539"/>
    <w:rsid w:val="00716A96"/>
    <w:rsid w:val="00716B31"/>
    <w:rsid w:val="00716CA6"/>
    <w:rsid w:val="00716EA4"/>
    <w:rsid w:val="00717CF6"/>
    <w:rsid w:val="00720128"/>
    <w:rsid w:val="00720F14"/>
    <w:rsid w:val="00721FAC"/>
    <w:rsid w:val="00722AA3"/>
    <w:rsid w:val="00722F22"/>
    <w:rsid w:val="0072375B"/>
    <w:rsid w:val="00723ED1"/>
    <w:rsid w:val="007243D2"/>
    <w:rsid w:val="00725446"/>
    <w:rsid w:val="007259EF"/>
    <w:rsid w:val="0073318C"/>
    <w:rsid w:val="00734F73"/>
    <w:rsid w:val="00735302"/>
    <w:rsid w:val="00735A8C"/>
    <w:rsid w:val="00735A97"/>
    <w:rsid w:val="00736633"/>
    <w:rsid w:val="00740D1F"/>
    <w:rsid w:val="0074222F"/>
    <w:rsid w:val="00744331"/>
    <w:rsid w:val="00744C20"/>
    <w:rsid w:val="00745510"/>
    <w:rsid w:val="0075157E"/>
    <w:rsid w:val="00751930"/>
    <w:rsid w:val="007526B4"/>
    <w:rsid w:val="0075411A"/>
    <w:rsid w:val="00760305"/>
    <w:rsid w:val="00760FBE"/>
    <w:rsid w:val="007623AF"/>
    <w:rsid w:val="007627D1"/>
    <w:rsid w:val="007634D6"/>
    <w:rsid w:val="00764C2B"/>
    <w:rsid w:val="007651CA"/>
    <w:rsid w:val="0076640B"/>
    <w:rsid w:val="00766D86"/>
    <w:rsid w:val="00767DDA"/>
    <w:rsid w:val="0077111B"/>
    <w:rsid w:val="00771BF0"/>
    <w:rsid w:val="00772398"/>
    <w:rsid w:val="00772F8D"/>
    <w:rsid w:val="00773549"/>
    <w:rsid w:val="007739C2"/>
    <w:rsid w:val="0077419E"/>
    <w:rsid w:val="007744A4"/>
    <w:rsid w:val="00775889"/>
    <w:rsid w:val="007762F3"/>
    <w:rsid w:val="0077684E"/>
    <w:rsid w:val="007775AB"/>
    <w:rsid w:val="00777DB5"/>
    <w:rsid w:val="007800C2"/>
    <w:rsid w:val="00780DD7"/>
    <w:rsid w:val="007813D0"/>
    <w:rsid w:val="00781C42"/>
    <w:rsid w:val="00783201"/>
    <w:rsid w:val="00783545"/>
    <w:rsid w:val="0078494E"/>
    <w:rsid w:val="00784E0A"/>
    <w:rsid w:val="007857E1"/>
    <w:rsid w:val="007873AD"/>
    <w:rsid w:val="00787C85"/>
    <w:rsid w:val="00790DE1"/>
    <w:rsid w:val="00790F51"/>
    <w:rsid w:val="00793317"/>
    <w:rsid w:val="0079341E"/>
    <w:rsid w:val="00794D61"/>
    <w:rsid w:val="00797103"/>
    <w:rsid w:val="0079761A"/>
    <w:rsid w:val="007A0EB7"/>
    <w:rsid w:val="007A0FF7"/>
    <w:rsid w:val="007A14A1"/>
    <w:rsid w:val="007A1675"/>
    <w:rsid w:val="007A1C37"/>
    <w:rsid w:val="007A3DC6"/>
    <w:rsid w:val="007A4422"/>
    <w:rsid w:val="007A482A"/>
    <w:rsid w:val="007A48D9"/>
    <w:rsid w:val="007A4AF9"/>
    <w:rsid w:val="007A7C7D"/>
    <w:rsid w:val="007B054D"/>
    <w:rsid w:val="007B0EDB"/>
    <w:rsid w:val="007B23BC"/>
    <w:rsid w:val="007B2CA7"/>
    <w:rsid w:val="007B39CB"/>
    <w:rsid w:val="007B39EE"/>
    <w:rsid w:val="007B473D"/>
    <w:rsid w:val="007B5A27"/>
    <w:rsid w:val="007B6B94"/>
    <w:rsid w:val="007B7139"/>
    <w:rsid w:val="007B7B10"/>
    <w:rsid w:val="007C018F"/>
    <w:rsid w:val="007C02F6"/>
    <w:rsid w:val="007C02F8"/>
    <w:rsid w:val="007C18AF"/>
    <w:rsid w:val="007C2975"/>
    <w:rsid w:val="007C3538"/>
    <w:rsid w:val="007C3E73"/>
    <w:rsid w:val="007C4D43"/>
    <w:rsid w:val="007C51AF"/>
    <w:rsid w:val="007C5D2C"/>
    <w:rsid w:val="007D1F3F"/>
    <w:rsid w:val="007D291D"/>
    <w:rsid w:val="007D3F19"/>
    <w:rsid w:val="007D4460"/>
    <w:rsid w:val="007D628C"/>
    <w:rsid w:val="007D6F06"/>
    <w:rsid w:val="007D742D"/>
    <w:rsid w:val="007D7A95"/>
    <w:rsid w:val="007E23A3"/>
    <w:rsid w:val="007E6D15"/>
    <w:rsid w:val="007E756B"/>
    <w:rsid w:val="007E759F"/>
    <w:rsid w:val="007E7FE4"/>
    <w:rsid w:val="007F05C3"/>
    <w:rsid w:val="007F1621"/>
    <w:rsid w:val="007F2C65"/>
    <w:rsid w:val="007F42D7"/>
    <w:rsid w:val="007F4D74"/>
    <w:rsid w:val="007F6739"/>
    <w:rsid w:val="007F68A8"/>
    <w:rsid w:val="007F778C"/>
    <w:rsid w:val="00800271"/>
    <w:rsid w:val="00802052"/>
    <w:rsid w:val="0080205E"/>
    <w:rsid w:val="008024EC"/>
    <w:rsid w:val="00802DBC"/>
    <w:rsid w:val="00803570"/>
    <w:rsid w:val="00806340"/>
    <w:rsid w:val="00807135"/>
    <w:rsid w:val="008111EC"/>
    <w:rsid w:val="0081247C"/>
    <w:rsid w:val="0081252B"/>
    <w:rsid w:val="00812954"/>
    <w:rsid w:val="00812B2F"/>
    <w:rsid w:val="00812C9D"/>
    <w:rsid w:val="0081410F"/>
    <w:rsid w:val="00816CB8"/>
    <w:rsid w:val="0081771D"/>
    <w:rsid w:val="00817F25"/>
    <w:rsid w:val="00820494"/>
    <w:rsid w:val="00821097"/>
    <w:rsid w:val="00821D6D"/>
    <w:rsid w:val="00822235"/>
    <w:rsid w:val="0082374E"/>
    <w:rsid w:val="0082455B"/>
    <w:rsid w:val="00824717"/>
    <w:rsid w:val="00826FC4"/>
    <w:rsid w:val="008300A2"/>
    <w:rsid w:val="00830103"/>
    <w:rsid w:val="0083165A"/>
    <w:rsid w:val="008316D6"/>
    <w:rsid w:val="00832C8E"/>
    <w:rsid w:val="00834B82"/>
    <w:rsid w:val="008367F3"/>
    <w:rsid w:val="00837465"/>
    <w:rsid w:val="00837F28"/>
    <w:rsid w:val="008439D8"/>
    <w:rsid w:val="00843B97"/>
    <w:rsid w:val="0084500F"/>
    <w:rsid w:val="00845C91"/>
    <w:rsid w:val="008477F4"/>
    <w:rsid w:val="00847D3C"/>
    <w:rsid w:val="00847F1F"/>
    <w:rsid w:val="00852E47"/>
    <w:rsid w:val="00853EB3"/>
    <w:rsid w:val="00855A16"/>
    <w:rsid w:val="00855DE7"/>
    <w:rsid w:val="008571CE"/>
    <w:rsid w:val="00857A30"/>
    <w:rsid w:val="00857C75"/>
    <w:rsid w:val="00860856"/>
    <w:rsid w:val="008608C8"/>
    <w:rsid w:val="00861F7B"/>
    <w:rsid w:val="0086211C"/>
    <w:rsid w:val="0086268F"/>
    <w:rsid w:val="00862D15"/>
    <w:rsid w:val="00864C88"/>
    <w:rsid w:val="00865C42"/>
    <w:rsid w:val="00865E6E"/>
    <w:rsid w:val="008677FD"/>
    <w:rsid w:val="00870DDA"/>
    <w:rsid w:val="00872263"/>
    <w:rsid w:val="00872371"/>
    <w:rsid w:val="00872712"/>
    <w:rsid w:val="00873D4A"/>
    <w:rsid w:val="00875E9F"/>
    <w:rsid w:val="00876115"/>
    <w:rsid w:val="00880A4C"/>
    <w:rsid w:val="00882EA6"/>
    <w:rsid w:val="00884755"/>
    <w:rsid w:val="00886DF3"/>
    <w:rsid w:val="00887052"/>
    <w:rsid w:val="0089271D"/>
    <w:rsid w:val="00892E10"/>
    <w:rsid w:val="00893155"/>
    <w:rsid w:val="00896034"/>
    <w:rsid w:val="0089667A"/>
    <w:rsid w:val="00896C57"/>
    <w:rsid w:val="008A0010"/>
    <w:rsid w:val="008A2FDB"/>
    <w:rsid w:val="008A62A3"/>
    <w:rsid w:val="008A6320"/>
    <w:rsid w:val="008A67CF"/>
    <w:rsid w:val="008B26E1"/>
    <w:rsid w:val="008B2E4E"/>
    <w:rsid w:val="008B2EDE"/>
    <w:rsid w:val="008B3A8F"/>
    <w:rsid w:val="008B48D5"/>
    <w:rsid w:val="008B5500"/>
    <w:rsid w:val="008B7836"/>
    <w:rsid w:val="008C0231"/>
    <w:rsid w:val="008C05B3"/>
    <w:rsid w:val="008C25B7"/>
    <w:rsid w:val="008C2C37"/>
    <w:rsid w:val="008C2EBC"/>
    <w:rsid w:val="008C4017"/>
    <w:rsid w:val="008C4E0B"/>
    <w:rsid w:val="008C5BFA"/>
    <w:rsid w:val="008C6E4F"/>
    <w:rsid w:val="008C7B9F"/>
    <w:rsid w:val="008D053E"/>
    <w:rsid w:val="008D0926"/>
    <w:rsid w:val="008D18AA"/>
    <w:rsid w:val="008D27C7"/>
    <w:rsid w:val="008D48DD"/>
    <w:rsid w:val="008D4D3B"/>
    <w:rsid w:val="008E00D0"/>
    <w:rsid w:val="008E0CB8"/>
    <w:rsid w:val="008E18FF"/>
    <w:rsid w:val="008E1DCB"/>
    <w:rsid w:val="008E3692"/>
    <w:rsid w:val="008E3916"/>
    <w:rsid w:val="008E3BAC"/>
    <w:rsid w:val="008E3E9E"/>
    <w:rsid w:val="008E42AD"/>
    <w:rsid w:val="008E5237"/>
    <w:rsid w:val="008E54B0"/>
    <w:rsid w:val="008E674C"/>
    <w:rsid w:val="008E6ED3"/>
    <w:rsid w:val="008E7AAB"/>
    <w:rsid w:val="008F054F"/>
    <w:rsid w:val="008F3D22"/>
    <w:rsid w:val="008F4352"/>
    <w:rsid w:val="008F5FF8"/>
    <w:rsid w:val="008F6863"/>
    <w:rsid w:val="008F6E09"/>
    <w:rsid w:val="008F7CB0"/>
    <w:rsid w:val="00900EF2"/>
    <w:rsid w:val="00902674"/>
    <w:rsid w:val="00903710"/>
    <w:rsid w:val="0090390E"/>
    <w:rsid w:val="00903B5C"/>
    <w:rsid w:val="0090457C"/>
    <w:rsid w:val="00904B8C"/>
    <w:rsid w:val="009050FC"/>
    <w:rsid w:val="0090516F"/>
    <w:rsid w:val="009054C1"/>
    <w:rsid w:val="0090564F"/>
    <w:rsid w:val="00906139"/>
    <w:rsid w:val="00910A63"/>
    <w:rsid w:val="00910A90"/>
    <w:rsid w:val="00911023"/>
    <w:rsid w:val="0091229F"/>
    <w:rsid w:val="00912AF1"/>
    <w:rsid w:val="00913504"/>
    <w:rsid w:val="00913904"/>
    <w:rsid w:val="00913B68"/>
    <w:rsid w:val="00915209"/>
    <w:rsid w:val="00917C52"/>
    <w:rsid w:val="009204AC"/>
    <w:rsid w:val="00920F12"/>
    <w:rsid w:val="0092269F"/>
    <w:rsid w:val="00922AFA"/>
    <w:rsid w:val="00924300"/>
    <w:rsid w:val="00924625"/>
    <w:rsid w:val="00926064"/>
    <w:rsid w:val="009270B8"/>
    <w:rsid w:val="00927C37"/>
    <w:rsid w:val="009309A9"/>
    <w:rsid w:val="0093114D"/>
    <w:rsid w:val="00931622"/>
    <w:rsid w:val="00932922"/>
    <w:rsid w:val="00933649"/>
    <w:rsid w:val="009370A7"/>
    <w:rsid w:val="00940013"/>
    <w:rsid w:val="00940108"/>
    <w:rsid w:val="0094103D"/>
    <w:rsid w:val="00941542"/>
    <w:rsid w:val="0094284C"/>
    <w:rsid w:val="009429F4"/>
    <w:rsid w:val="0094338F"/>
    <w:rsid w:val="00943C09"/>
    <w:rsid w:val="00944B4A"/>
    <w:rsid w:val="009451FD"/>
    <w:rsid w:val="00946245"/>
    <w:rsid w:val="00946CB9"/>
    <w:rsid w:val="0094738A"/>
    <w:rsid w:val="009476C4"/>
    <w:rsid w:val="00947B31"/>
    <w:rsid w:val="009501E1"/>
    <w:rsid w:val="00951A7A"/>
    <w:rsid w:val="00951D0F"/>
    <w:rsid w:val="00951FFA"/>
    <w:rsid w:val="009521C3"/>
    <w:rsid w:val="00952B1C"/>
    <w:rsid w:val="00952C64"/>
    <w:rsid w:val="00953724"/>
    <w:rsid w:val="009542B4"/>
    <w:rsid w:val="00954BC5"/>
    <w:rsid w:val="009551BA"/>
    <w:rsid w:val="00955224"/>
    <w:rsid w:val="00955795"/>
    <w:rsid w:val="00957065"/>
    <w:rsid w:val="00961478"/>
    <w:rsid w:val="00961B9B"/>
    <w:rsid w:val="00961BF5"/>
    <w:rsid w:val="0096262A"/>
    <w:rsid w:val="0096348D"/>
    <w:rsid w:val="00963AC9"/>
    <w:rsid w:val="009640C5"/>
    <w:rsid w:val="009643D6"/>
    <w:rsid w:val="00964473"/>
    <w:rsid w:val="009645B7"/>
    <w:rsid w:val="00966239"/>
    <w:rsid w:val="0096636B"/>
    <w:rsid w:val="00966BF2"/>
    <w:rsid w:val="00970865"/>
    <w:rsid w:val="0097122E"/>
    <w:rsid w:val="009716EF"/>
    <w:rsid w:val="00971B03"/>
    <w:rsid w:val="00971DD3"/>
    <w:rsid w:val="00972E3F"/>
    <w:rsid w:val="00974EAA"/>
    <w:rsid w:val="00975DA4"/>
    <w:rsid w:val="0097683B"/>
    <w:rsid w:val="00976E92"/>
    <w:rsid w:val="00981BA7"/>
    <w:rsid w:val="00981BCE"/>
    <w:rsid w:val="00983ED2"/>
    <w:rsid w:val="00984218"/>
    <w:rsid w:val="00984F50"/>
    <w:rsid w:val="00985E56"/>
    <w:rsid w:val="00986BF8"/>
    <w:rsid w:val="00987748"/>
    <w:rsid w:val="00990A64"/>
    <w:rsid w:val="009916BC"/>
    <w:rsid w:val="009935DA"/>
    <w:rsid w:val="00995C4D"/>
    <w:rsid w:val="00995CF4"/>
    <w:rsid w:val="009970F3"/>
    <w:rsid w:val="00997B3B"/>
    <w:rsid w:val="009A036C"/>
    <w:rsid w:val="009A046F"/>
    <w:rsid w:val="009A1801"/>
    <w:rsid w:val="009A1A08"/>
    <w:rsid w:val="009A2C0A"/>
    <w:rsid w:val="009A59F9"/>
    <w:rsid w:val="009A65D0"/>
    <w:rsid w:val="009A764C"/>
    <w:rsid w:val="009A7689"/>
    <w:rsid w:val="009B1444"/>
    <w:rsid w:val="009B2FB1"/>
    <w:rsid w:val="009B2FDC"/>
    <w:rsid w:val="009B378C"/>
    <w:rsid w:val="009B3D63"/>
    <w:rsid w:val="009B44CF"/>
    <w:rsid w:val="009B48E6"/>
    <w:rsid w:val="009C0270"/>
    <w:rsid w:val="009C1552"/>
    <w:rsid w:val="009C32E4"/>
    <w:rsid w:val="009C749A"/>
    <w:rsid w:val="009D0D60"/>
    <w:rsid w:val="009D31A4"/>
    <w:rsid w:val="009D3777"/>
    <w:rsid w:val="009D3FC9"/>
    <w:rsid w:val="009D76CE"/>
    <w:rsid w:val="009E03E7"/>
    <w:rsid w:val="009E06F2"/>
    <w:rsid w:val="009E1DC1"/>
    <w:rsid w:val="009E1F2C"/>
    <w:rsid w:val="009E267A"/>
    <w:rsid w:val="009E392A"/>
    <w:rsid w:val="009E4813"/>
    <w:rsid w:val="009E58D4"/>
    <w:rsid w:val="009E5A6C"/>
    <w:rsid w:val="009E5EC4"/>
    <w:rsid w:val="009E76A6"/>
    <w:rsid w:val="009E7EA7"/>
    <w:rsid w:val="009F3DF8"/>
    <w:rsid w:val="009F4E28"/>
    <w:rsid w:val="009F514A"/>
    <w:rsid w:val="009F63AF"/>
    <w:rsid w:val="009F790F"/>
    <w:rsid w:val="00A0057D"/>
    <w:rsid w:val="00A0090D"/>
    <w:rsid w:val="00A01C84"/>
    <w:rsid w:val="00A027C6"/>
    <w:rsid w:val="00A03267"/>
    <w:rsid w:val="00A039C8"/>
    <w:rsid w:val="00A04A61"/>
    <w:rsid w:val="00A051C2"/>
    <w:rsid w:val="00A078E5"/>
    <w:rsid w:val="00A079C2"/>
    <w:rsid w:val="00A1084C"/>
    <w:rsid w:val="00A10CC9"/>
    <w:rsid w:val="00A111F1"/>
    <w:rsid w:val="00A12A5D"/>
    <w:rsid w:val="00A12F63"/>
    <w:rsid w:val="00A1471F"/>
    <w:rsid w:val="00A14D83"/>
    <w:rsid w:val="00A16AA0"/>
    <w:rsid w:val="00A176CA"/>
    <w:rsid w:val="00A17969"/>
    <w:rsid w:val="00A202EC"/>
    <w:rsid w:val="00A22DDC"/>
    <w:rsid w:val="00A23377"/>
    <w:rsid w:val="00A24036"/>
    <w:rsid w:val="00A24231"/>
    <w:rsid w:val="00A25C14"/>
    <w:rsid w:val="00A30A52"/>
    <w:rsid w:val="00A3122C"/>
    <w:rsid w:val="00A317F2"/>
    <w:rsid w:val="00A31F15"/>
    <w:rsid w:val="00A3436D"/>
    <w:rsid w:val="00A34742"/>
    <w:rsid w:val="00A34B16"/>
    <w:rsid w:val="00A34E66"/>
    <w:rsid w:val="00A4234E"/>
    <w:rsid w:val="00A42796"/>
    <w:rsid w:val="00A42A22"/>
    <w:rsid w:val="00A43480"/>
    <w:rsid w:val="00A43860"/>
    <w:rsid w:val="00A44642"/>
    <w:rsid w:val="00A44FFB"/>
    <w:rsid w:val="00A46E87"/>
    <w:rsid w:val="00A50FF3"/>
    <w:rsid w:val="00A5186D"/>
    <w:rsid w:val="00A556A8"/>
    <w:rsid w:val="00A55D46"/>
    <w:rsid w:val="00A56EEE"/>
    <w:rsid w:val="00A57300"/>
    <w:rsid w:val="00A613D7"/>
    <w:rsid w:val="00A6141F"/>
    <w:rsid w:val="00A61453"/>
    <w:rsid w:val="00A61940"/>
    <w:rsid w:val="00A61F6B"/>
    <w:rsid w:val="00A62EB9"/>
    <w:rsid w:val="00A6333C"/>
    <w:rsid w:val="00A64265"/>
    <w:rsid w:val="00A66942"/>
    <w:rsid w:val="00A66B1C"/>
    <w:rsid w:val="00A67CBD"/>
    <w:rsid w:val="00A71F94"/>
    <w:rsid w:val="00A72541"/>
    <w:rsid w:val="00A728A7"/>
    <w:rsid w:val="00A730A1"/>
    <w:rsid w:val="00A74047"/>
    <w:rsid w:val="00A749E5"/>
    <w:rsid w:val="00A74FAD"/>
    <w:rsid w:val="00A7538E"/>
    <w:rsid w:val="00A75556"/>
    <w:rsid w:val="00A77BA4"/>
    <w:rsid w:val="00A77BEF"/>
    <w:rsid w:val="00A8253E"/>
    <w:rsid w:val="00A8484B"/>
    <w:rsid w:val="00A84FAC"/>
    <w:rsid w:val="00A85C94"/>
    <w:rsid w:val="00A87E3B"/>
    <w:rsid w:val="00A90402"/>
    <w:rsid w:val="00A92E46"/>
    <w:rsid w:val="00A941B7"/>
    <w:rsid w:val="00A94837"/>
    <w:rsid w:val="00A960CC"/>
    <w:rsid w:val="00AA0CD5"/>
    <w:rsid w:val="00AA1E2A"/>
    <w:rsid w:val="00AA22D3"/>
    <w:rsid w:val="00AA29CF"/>
    <w:rsid w:val="00AA3E66"/>
    <w:rsid w:val="00AA416C"/>
    <w:rsid w:val="00AA5B14"/>
    <w:rsid w:val="00AA61E0"/>
    <w:rsid w:val="00AA6A86"/>
    <w:rsid w:val="00AA74AF"/>
    <w:rsid w:val="00AA75E5"/>
    <w:rsid w:val="00AB05DE"/>
    <w:rsid w:val="00AB1098"/>
    <w:rsid w:val="00AB505F"/>
    <w:rsid w:val="00AB5547"/>
    <w:rsid w:val="00AB6816"/>
    <w:rsid w:val="00AB7825"/>
    <w:rsid w:val="00AC02BB"/>
    <w:rsid w:val="00AC27A4"/>
    <w:rsid w:val="00AC2DD7"/>
    <w:rsid w:val="00AC35ED"/>
    <w:rsid w:val="00AC426B"/>
    <w:rsid w:val="00AC49DB"/>
    <w:rsid w:val="00AC5A79"/>
    <w:rsid w:val="00AC723E"/>
    <w:rsid w:val="00AC740A"/>
    <w:rsid w:val="00AC7EC6"/>
    <w:rsid w:val="00AD0A15"/>
    <w:rsid w:val="00AD0D09"/>
    <w:rsid w:val="00AD2B99"/>
    <w:rsid w:val="00AD3139"/>
    <w:rsid w:val="00AE10F2"/>
    <w:rsid w:val="00AE2160"/>
    <w:rsid w:val="00AE2C38"/>
    <w:rsid w:val="00AE44EF"/>
    <w:rsid w:val="00AE5CF7"/>
    <w:rsid w:val="00AE63B0"/>
    <w:rsid w:val="00AE6583"/>
    <w:rsid w:val="00AF124F"/>
    <w:rsid w:val="00AF1345"/>
    <w:rsid w:val="00AF2A27"/>
    <w:rsid w:val="00AF2DD1"/>
    <w:rsid w:val="00AF43A3"/>
    <w:rsid w:val="00AF5898"/>
    <w:rsid w:val="00AF5BAF"/>
    <w:rsid w:val="00AF754D"/>
    <w:rsid w:val="00AF7B74"/>
    <w:rsid w:val="00B00817"/>
    <w:rsid w:val="00B0140F"/>
    <w:rsid w:val="00B016A8"/>
    <w:rsid w:val="00B0239C"/>
    <w:rsid w:val="00B028C0"/>
    <w:rsid w:val="00B0370C"/>
    <w:rsid w:val="00B042C7"/>
    <w:rsid w:val="00B04CB2"/>
    <w:rsid w:val="00B0712F"/>
    <w:rsid w:val="00B10336"/>
    <w:rsid w:val="00B1073E"/>
    <w:rsid w:val="00B109EC"/>
    <w:rsid w:val="00B10F42"/>
    <w:rsid w:val="00B116A1"/>
    <w:rsid w:val="00B12FCD"/>
    <w:rsid w:val="00B14EB0"/>
    <w:rsid w:val="00B15460"/>
    <w:rsid w:val="00B208F6"/>
    <w:rsid w:val="00B20F66"/>
    <w:rsid w:val="00B2120E"/>
    <w:rsid w:val="00B22D90"/>
    <w:rsid w:val="00B23650"/>
    <w:rsid w:val="00B2401A"/>
    <w:rsid w:val="00B25864"/>
    <w:rsid w:val="00B25C45"/>
    <w:rsid w:val="00B26F1E"/>
    <w:rsid w:val="00B27AE6"/>
    <w:rsid w:val="00B27D9C"/>
    <w:rsid w:val="00B30DF5"/>
    <w:rsid w:val="00B3105A"/>
    <w:rsid w:val="00B32FD5"/>
    <w:rsid w:val="00B34A82"/>
    <w:rsid w:val="00B36146"/>
    <w:rsid w:val="00B362CB"/>
    <w:rsid w:val="00B370AE"/>
    <w:rsid w:val="00B37A84"/>
    <w:rsid w:val="00B425AF"/>
    <w:rsid w:val="00B429AC"/>
    <w:rsid w:val="00B4363D"/>
    <w:rsid w:val="00B4395C"/>
    <w:rsid w:val="00B43F0E"/>
    <w:rsid w:val="00B44FFE"/>
    <w:rsid w:val="00B4563B"/>
    <w:rsid w:val="00B46F98"/>
    <w:rsid w:val="00B50133"/>
    <w:rsid w:val="00B539CB"/>
    <w:rsid w:val="00B54DAD"/>
    <w:rsid w:val="00B557E7"/>
    <w:rsid w:val="00B6138B"/>
    <w:rsid w:val="00B61A6A"/>
    <w:rsid w:val="00B629DE"/>
    <w:rsid w:val="00B62C57"/>
    <w:rsid w:val="00B6344D"/>
    <w:rsid w:val="00B63F5E"/>
    <w:rsid w:val="00B64BCD"/>
    <w:rsid w:val="00B64E65"/>
    <w:rsid w:val="00B6591D"/>
    <w:rsid w:val="00B659CF"/>
    <w:rsid w:val="00B6645A"/>
    <w:rsid w:val="00B67025"/>
    <w:rsid w:val="00B672B8"/>
    <w:rsid w:val="00B70917"/>
    <w:rsid w:val="00B710EC"/>
    <w:rsid w:val="00B7202C"/>
    <w:rsid w:val="00B72F40"/>
    <w:rsid w:val="00B748C9"/>
    <w:rsid w:val="00B76B8C"/>
    <w:rsid w:val="00B76FD3"/>
    <w:rsid w:val="00B77019"/>
    <w:rsid w:val="00B80247"/>
    <w:rsid w:val="00B809F6"/>
    <w:rsid w:val="00B80ADF"/>
    <w:rsid w:val="00B8211E"/>
    <w:rsid w:val="00B82747"/>
    <w:rsid w:val="00B85378"/>
    <w:rsid w:val="00B858E5"/>
    <w:rsid w:val="00B85B31"/>
    <w:rsid w:val="00B864DF"/>
    <w:rsid w:val="00B87C1F"/>
    <w:rsid w:val="00B93220"/>
    <w:rsid w:val="00B93272"/>
    <w:rsid w:val="00B93589"/>
    <w:rsid w:val="00B94BAE"/>
    <w:rsid w:val="00B969D1"/>
    <w:rsid w:val="00B977E9"/>
    <w:rsid w:val="00BA05A1"/>
    <w:rsid w:val="00BA0660"/>
    <w:rsid w:val="00BA142E"/>
    <w:rsid w:val="00BA1882"/>
    <w:rsid w:val="00BA2E05"/>
    <w:rsid w:val="00BA2EB3"/>
    <w:rsid w:val="00BA33C1"/>
    <w:rsid w:val="00BA4AA5"/>
    <w:rsid w:val="00BA4DDA"/>
    <w:rsid w:val="00BA55F2"/>
    <w:rsid w:val="00BA7077"/>
    <w:rsid w:val="00BB05D3"/>
    <w:rsid w:val="00BB1691"/>
    <w:rsid w:val="00BB1882"/>
    <w:rsid w:val="00BB1DD0"/>
    <w:rsid w:val="00BB2023"/>
    <w:rsid w:val="00BB23A8"/>
    <w:rsid w:val="00BB2FEA"/>
    <w:rsid w:val="00BB3750"/>
    <w:rsid w:val="00BB44C4"/>
    <w:rsid w:val="00BB543F"/>
    <w:rsid w:val="00BB7121"/>
    <w:rsid w:val="00BC0F91"/>
    <w:rsid w:val="00BC2EF8"/>
    <w:rsid w:val="00BC36C3"/>
    <w:rsid w:val="00BC4AC1"/>
    <w:rsid w:val="00BC5805"/>
    <w:rsid w:val="00BC6C52"/>
    <w:rsid w:val="00BD0893"/>
    <w:rsid w:val="00BD1745"/>
    <w:rsid w:val="00BD36A5"/>
    <w:rsid w:val="00BD4370"/>
    <w:rsid w:val="00BD49EF"/>
    <w:rsid w:val="00BD4F4D"/>
    <w:rsid w:val="00BD503D"/>
    <w:rsid w:val="00BD50B3"/>
    <w:rsid w:val="00BD53F7"/>
    <w:rsid w:val="00BD7F8F"/>
    <w:rsid w:val="00BE02D3"/>
    <w:rsid w:val="00BE1CA2"/>
    <w:rsid w:val="00BE3197"/>
    <w:rsid w:val="00BE46AC"/>
    <w:rsid w:val="00BE477F"/>
    <w:rsid w:val="00BE4A8F"/>
    <w:rsid w:val="00BE4E25"/>
    <w:rsid w:val="00BE5D85"/>
    <w:rsid w:val="00BE6501"/>
    <w:rsid w:val="00BE6D96"/>
    <w:rsid w:val="00BE6F04"/>
    <w:rsid w:val="00BE7768"/>
    <w:rsid w:val="00BE7CD5"/>
    <w:rsid w:val="00BE7F91"/>
    <w:rsid w:val="00BF0CB3"/>
    <w:rsid w:val="00BF0F31"/>
    <w:rsid w:val="00BF28F2"/>
    <w:rsid w:val="00BF32F8"/>
    <w:rsid w:val="00BF3FAD"/>
    <w:rsid w:val="00BF50DE"/>
    <w:rsid w:val="00BF6107"/>
    <w:rsid w:val="00BF6E02"/>
    <w:rsid w:val="00C00080"/>
    <w:rsid w:val="00C001B4"/>
    <w:rsid w:val="00C011A9"/>
    <w:rsid w:val="00C01620"/>
    <w:rsid w:val="00C017F7"/>
    <w:rsid w:val="00C01B5B"/>
    <w:rsid w:val="00C046D7"/>
    <w:rsid w:val="00C04F46"/>
    <w:rsid w:val="00C052B7"/>
    <w:rsid w:val="00C05793"/>
    <w:rsid w:val="00C0636C"/>
    <w:rsid w:val="00C07000"/>
    <w:rsid w:val="00C10F4E"/>
    <w:rsid w:val="00C133FA"/>
    <w:rsid w:val="00C137D7"/>
    <w:rsid w:val="00C14398"/>
    <w:rsid w:val="00C2107B"/>
    <w:rsid w:val="00C2284C"/>
    <w:rsid w:val="00C22B1F"/>
    <w:rsid w:val="00C23023"/>
    <w:rsid w:val="00C250E5"/>
    <w:rsid w:val="00C2544B"/>
    <w:rsid w:val="00C31DBA"/>
    <w:rsid w:val="00C3432D"/>
    <w:rsid w:val="00C34344"/>
    <w:rsid w:val="00C349AB"/>
    <w:rsid w:val="00C37E52"/>
    <w:rsid w:val="00C400C9"/>
    <w:rsid w:val="00C41B41"/>
    <w:rsid w:val="00C42351"/>
    <w:rsid w:val="00C42940"/>
    <w:rsid w:val="00C44D12"/>
    <w:rsid w:val="00C44FBE"/>
    <w:rsid w:val="00C4683E"/>
    <w:rsid w:val="00C46F31"/>
    <w:rsid w:val="00C473FF"/>
    <w:rsid w:val="00C474B0"/>
    <w:rsid w:val="00C51DAF"/>
    <w:rsid w:val="00C5248C"/>
    <w:rsid w:val="00C53382"/>
    <w:rsid w:val="00C54261"/>
    <w:rsid w:val="00C5468B"/>
    <w:rsid w:val="00C54EBE"/>
    <w:rsid w:val="00C6068F"/>
    <w:rsid w:val="00C6106B"/>
    <w:rsid w:val="00C61DF9"/>
    <w:rsid w:val="00C64312"/>
    <w:rsid w:val="00C65AF6"/>
    <w:rsid w:val="00C66D5D"/>
    <w:rsid w:val="00C70B4F"/>
    <w:rsid w:val="00C70FC4"/>
    <w:rsid w:val="00C712D5"/>
    <w:rsid w:val="00C734F0"/>
    <w:rsid w:val="00C7367D"/>
    <w:rsid w:val="00C750B8"/>
    <w:rsid w:val="00C750BC"/>
    <w:rsid w:val="00C77D1A"/>
    <w:rsid w:val="00C77F18"/>
    <w:rsid w:val="00C8297B"/>
    <w:rsid w:val="00C83581"/>
    <w:rsid w:val="00C84368"/>
    <w:rsid w:val="00C84410"/>
    <w:rsid w:val="00C863D3"/>
    <w:rsid w:val="00C866C5"/>
    <w:rsid w:val="00C874B4"/>
    <w:rsid w:val="00C87B72"/>
    <w:rsid w:val="00C945F2"/>
    <w:rsid w:val="00C94782"/>
    <w:rsid w:val="00C957A0"/>
    <w:rsid w:val="00CA3595"/>
    <w:rsid w:val="00CA40BF"/>
    <w:rsid w:val="00CA4665"/>
    <w:rsid w:val="00CA5206"/>
    <w:rsid w:val="00CA5AB9"/>
    <w:rsid w:val="00CA6098"/>
    <w:rsid w:val="00CB0734"/>
    <w:rsid w:val="00CB0B4C"/>
    <w:rsid w:val="00CB1E78"/>
    <w:rsid w:val="00CB1FCF"/>
    <w:rsid w:val="00CB336F"/>
    <w:rsid w:val="00CB612F"/>
    <w:rsid w:val="00CB6567"/>
    <w:rsid w:val="00CB7306"/>
    <w:rsid w:val="00CB7510"/>
    <w:rsid w:val="00CC0244"/>
    <w:rsid w:val="00CC12B8"/>
    <w:rsid w:val="00CC1714"/>
    <w:rsid w:val="00CC226C"/>
    <w:rsid w:val="00CC37EE"/>
    <w:rsid w:val="00CC3D5E"/>
    <w:rsid w:val="00CC40D2"/>
    <w:rsid w:val="00CC4D72"/>
    <w:rsid w:val="00CC53E7"/>
    <w:rsid w:val="00CC7D2A"/>
    <w:rsid w:val="00CD043A"/>
    <w:rsid w:val="00CD0953"/>
    <w:rsid w:val="00CD0FE8"/>
    <w:rsid w:val="00CD17BA"/>
    <w:rsid w:val="00CD2EBF"/>
    <w:rsid w:val="00CD3A9B"/>
    <w:rsid w:val="00CD60E6"/>
    <w:rsid w:val="00CD62A2"/>
    <w:rsid w:val="00CD63FD"/>
    <w:rsid w:val="00CD708C"/>
    <w:rsid w:val="00CD72B7"/>
    <w:rsid w:val="00CD774F"/>
    <w:rsid w:val="00CD7CC4"/>
    <w:rsid w:val="00CE4264"/>
    <w:rsid w:val="00CE68C6"/>
    <w:rsid w:val="00CE75CD"/>
    <w:rsid w:val="00CF04A9"/>
    <w:rsid w:val="00CF09AF"/>
    <w:rsid w:val="00CF0DC9"/>
    <w:rsid w:val="00CF2307"/>
    <w:rsid w:val="00CF4443"/>
    <w:rsid w:val="00CF4D22"/>
    <w:rsid w:val="00CF5248"/>
    <w:rsid w:val="00CF5D07"/>
    <w:rsid w:val="00CF7211"/>
    <w:rsid w:val="00CF72F2"/>
    <w:rsid w:val="00CF75E3"/>
    <w:rsid w:val="00CF7604"/>
    <w:rsid w:val="00D001EF"/>
    <w:rsid w:val="00D0054A"/>
    <w:rsid w:val="00D00BD3"/>
    <w:rsid w:val="00D02C81"/>
    <w:rsid w:val="00D04654"/>
    <w:rsid w:val="00D04670"/>
    <w:rsid w:val="00D04B99"/>
    <w:rsid w:val="00D04D37"/>
    <w:rsid w:val="00D05166"/>
    <w:rsid w:val="00D05B67"/>
    <w:rsid w:val="00D05E76"/>
    <w:rsid w:val="00D065D2"/>
    <w:rsid w:val="00D0739C"/>
    <w:rsid w:val="00D101D7"/>
    <w:rsid w:val="00D11B20"/>
    <w:rsid w:val="00D11CE1"/>
    <w:rsid w:val="00D1232C"/>
    <w:rsid w:val="00D1256C"/>
    <w:rsid w:val="00D12D91"/>
    <w:rsid w:val="00D1321F"/>
    <w:rsid w:val="00D13508"/>
    <w:rsid w:val="00D136B5"/>
    <w:rsid w:val="00D14FE9"/>
    <w:rsid w:val="00D1520F"/>
    <w:rsid w:val="00D156CA"/>
    <w:rsid w:val="00D15BD3"/>
    <w:rsid w:val="00D16F77"/>
    <w:rsid w:val="00D1743C"/>
    <w:rsid w:val="00D1787E"/>
    <w:rsid w:val="00D17CBA"/>
    <w:rsid w:val="00D17E2D"/>
    <w:rsid w:val="00D20871"/>
    <w:rsid w:val="00D20FD1"/>
    <w:rsid w:val="00D21517"/>
    <w:rsid w:val="00D22C70"/>
    <w:rsid w:val="00D22D60"/>
    <w:rsid w:val="00D238A6"/>
    <w:rsid w:val="00D24074"/>
    <w:rsid w:val="00D242A1"/>
    <w:rsid w:val="00D24498"/>
    <w:rsid w:val="00D2487F"/>
    <w:rsid w:val="00D2542B"/>
    <w:rsid w:val="00D258E8"/>
    <w:rsid w:val="00D274CE"/>
    <w:rsid w:val="00D27B24"/>
    <w:rsid w:val="00D302D6"/>
    <w:rsid w:val="00D31ADC"/>
    <w:rsid w:val="00D33B9A"/>
    <w:rsid w:val="00D355FE"/>
    <w:rsid w:val="00D356CA"/>
    <w:rsid w:val="00D37553"/>
    <w:rsid w:val="00D4061A"/>
    <w:rsid w:val="00D41520"/>
    <w:rsid w:val="00D41F36"/>
    <w:rsid w:val="00D4327A"/>
    <w:rsid w:val="00D448BC"/>
    <w:rsid w:val="00D44BAF"/>
    <w:rsid w:val="00D452A9"/>
    <w:rsid w:val="00D45406"/>
    <w:rsid w:val="00D4541C"/>
    <w:rsid w:val="00D4592E"/>
    <w:rsid w:val="00D4617F"/>
    <w:rsid w:val="00D46F78"/>
    <w:rsid w:val="00D505DF"/>
    <w:rsid w:val="00D51B57"/>
    <w:rsid w:val="00D52D98"/>
    <w:rsid w:val="00D5347C"/>
    <w:rsid w:val="00D54D2C"/>
    <w:rsid w:val="00D5699F"/>
    <w:rsid w:val="00D573D8"/>
    <w:rsid w:val="00D57639"/>
    <w:rsid w:val="00D61790"/>
    <w:rsid w:val="00D62549"/>
    <w:rsid w:val="00D635C1"/>
    <w:rsid w:val="00D66B2B"/>
    <w:rsid w:val="00D676BA"/>
    <w:rsid w:val="00D67F30"/>
    <w:rsid w:val="00D70166"/>
    <w:rsid w:val="00D73039"/>
    <w:rsid w:val="00D7488D"/>
    <w:rsid w:val="00D74930"/>
    <w:rsid w:val="00D802AF"/>
    <w:rsid w:val="00D80C82"/>
    <w:rsid w:val="00D80F1D"/>
    <w:rsid w:val="00D8128D"/>
    <w:rsid w:val="00D81872"/>
    <w:rsid w:val="00D853AA"/>
    <w:rsid w:val="00D85748"/>
    <w:rsid w:val="00D8633C"/>
    <w:rsid w:val="00D867F3"/>
    <w:rsid w:val="00D87280"/>
    <w:rsid w:val="00D90761"/>
    <w:rsid w:val="00D90F71"/>
    <w:rsid w:val="00D92D43"/>
    <w:rsid w:val="00D939F2"/>
    <w:rsid w:val="00D93C5E"/>
    <w:rsid w:val="00D94D9F"/>
    <w:rsid w:val="00D967F6"/>
    <w:rsid w:val="00D96CE9"/>
    <w:rsid w:val="00D978FF"/>
    <w:rsid w:val="00DA0BB7"/>
    <w:rsid w:val="00DA0CA9"/>
    <w:rsid w:val="00DA0D83"/>
    <w:rsid w:val="00DA4161"/>
    <w:rsid w:val="00DA5B57"/>
    <w:rsid w:val="00DA6998"/>
    <w:rsid w:val="00DB1625"/>
    <w:rsid w:val="00DB1DF3"/>
    <w:rsid w:val="00DB28B8"/>
    <w:rsid w:val="00DB296C"/>
    <w:rsid w:val="00DB4FE4"/>
    <w:rsid w:val="00DB5856"/>
    <w:rsid w:val="00DB6276"/>
    <w:rsid w:val="00DC2E0E"/>
    <w:rsid w:val="00DC3302"/>
    <w:rsid w:val="00DC37C4"/>
    <w:rsid w:val="00DC41E1"/>
    <w:rsid w:val="00DC487D"/>
    <w:rsid w:val="00DC4BAF"/>
    <w:rsid w:val="00DC6C5D"/>
    <w:rsid w:val="00DC6F80"/>
    <w:rsid w:val="00DC701B"/>
    <w:rsid w:val="00DC7378"/>
    <w:rsid w:val="00DC7618"/>
    <w:rsid w:val="00DC7664"/>
    <w:rsid w:val="00DC7BAF"/>
    <w:rsid w:val="00DD0158"/>
    <w:rsid w:val="00DD15F7"/>
    <w:rsid w:val="00DD187E"/>
    <w:rsid w:val="00DD1D57"/>
    <w:rsid w:val="00DD3F09"/>
    <w:rsid w:val="00DD7DFD"/>
    <w:rsid w:val="00DE080C"/>
    <w:rsid w:val="00DE1678"/>
    <w:rsid w:val="00DE1841"/>
    <w:rsid w:val="00DE1D19"/>
    <w:rsid w:val="00DE2967"/>
    <w:rsid w:val="00DE2AAE"/>
    <w:rsid w:val="00DE317F"/>
    <w:rsid w:val="00DE361A"/>
    <w:rsid w:val="00DE3991"/>
    <w:rsid w:val="00DE6F21"/>
    <w:rsid w:val="00DE7544"/>
    <w:rsid w:val="00DE7E80"/>
    <w:rsid w:val="00DF021B"/>
    <w:rsid w:val="00DF03F0"/>
    <w:rsid w:val="00DF0E29"/>
    <w:rsid w:val="00DF74B3"/>
    <w:rsid w:val="00DF775D"/>
    <w:rsid w:val="00DF7E7D"/>
    <w:rsid w:val="00E00264"/>
    <w:rsid w:val="00E007B8"/>
    <w:rsid w:val="00E009F0"/>
    <w:rsid w:val="00E01004"/>
    <w:rsid w:val="00E01D14"/>
    <w:rsid w:val="00E042D0"/>
    <w:rsid w:val="00E058A6"/>
    <w:rsid w:val="00E05ABB"/>
    <w:rsid w:val="00E07852"/>
    <w:rsid w:val="00E115E3"/>
    <w:rsid w:val="00E131F0"/>
    <w:rsid w:val="00E13AC9"/>
    <w:rsid w:val="00E146F1"/>
    <w:rsid w:val="00E14AFB"/>
    <w:rsid w:val="00E15336"/>
    <w:rsid w:val="00E2044B"/>
    <w:rsid w:val="00E2050D"/>
    <w:rsid w:val="00E20794"/>
    <w:rsid w:val="00E230AD"/>
    <w:rsid w:val="00E2340C"/>
    <w:rsid w:val="00E237A8"/>
    <w:rsid w:val="00E23DE4"/>
    <w:rsid w:val="00E261B0"/>
    <w:rsid w:val="00E278A3"/>
    <w:rsid w:val="00E30B8E"/>
    <w:rsid w:val="00E320FD"/>
    <w:rsid w:val="00E32C7E"/>
    <w:rsid w:val="00E33832"/>
    <w:rsid w:val="00E34301"/>
    <w:rsid w:val="00E36F47"/>
    <w:rsid w:val="00E37596"/>
    <w:rsid w:val="00E41B84"/>
    <w:rsid w:val="00E41D5F"/>
    <w:rsid w:val="00E432A7"/>
    <w:rsid w:val="00E438CB"/>
    <w:rsid w:val="00E43A3E"/>
    <w:rsid w:val="00E44EEC"/>
    <w:rsid w:val="00E44F72"/>
    <w:rsid w:val="00E45A2A"/>
    <w:rsid w:val="00E45A44"/>
    <w:rsid w:val="00E46B06"/>
    <w:rsid w:val="00E46D97"/>
    <w:rsid w:val="00E47056"/>
    <w:rsid w:val="00E47439"/>
    <w:rsid w:val="00E510F9"/>
    <w:rsid w:val="00E51452"/>
    <w:rsid w:val="00E54091"/>
    <w:rsid w:val="00E54DDC"/>
    <w:rsid w:val="00E55C49"/>
    <w:rsid w:val="00E57900"/>
    <w:rsid w:val="00E57F65"/>
    <w:rsid w:val="00E617E7"/>
    <w:rsid w:val="00E61F43"/>
    <w:rsid w:val="00E6250A"/>
    <w:rsid w:val="00E6514E"/>
    <w:rsid w:val="00E6750C"/>
    <w:rsid w:val="00E702ED"/>
    <w:rsid w:val="00E70444"/>
    <w:rsid w:val="00E7051F"/>
    <w:rsid w:val="00E70A72"/>
    <w:rsid w:val="00E725A6"/>
    <w:rsid w:val="00E72782"/>
    <w:rsid w:val="00E737BA"/>
    <w:rsid w:val="00E739FA"/>
    <w:rsid w:val="00E74295"/>
    <w:rsid w:val="00E74B45"/>
    <w:rsid w:val="00E7552D"/>
    <w:rsid w:val="00E75C30"/>
    <w:rsid w:val="00E77A03"/>
    <w:rsid w:val="00E77B41"/>
    <w:rsid w:val="00E77DD9"/>
    <w:rsid w:val="00E800EA"/>
    <w:rsid w:val="00E8092B"/>
    <w:rsid w:val="00E81707"/>
    <w:rsid w:val="00E81743"/>
    <w:rsid w:val="00E8240C"/>
    <w:rsid w:val="00E827EF"/>
    <w:rsid w:val="00E82E1E"/>
    <w:rsid w:val="00E84A16"/>
    <w:rsid w:val="00E84CE4"/>
    <w:rsid w:val="00E8553D"/>
    <w:rsid w:val="00E85B5C"/>
    <w:rsid w:val="00E91D49"/>
    <w:rsid w:val="00E92D77"/>
    <w:rsid w:val="00E94B74"/>
    <w:rsid w:val="00E95148"/>
    <w:rsid w:val="00E971FD"/>
    <w:rsid w:val="00E97AF4"/>
    <w:rsid w:val="00EA0C6C"/>
    <w:rsid w:val="00EA1332"/>
    <w:rsid w:val="00EA1601"/>
    <w:rsid w:val="00EA1A9B"/>
    <w:rsid w:val="00EA2197"/>
    <w:rsid w:val="00EA232B"/>
    <w:rsid w:val="00EA30A0"/>
    <w:rsid w:val="00EA3BF1"/>
    <w:rsid w:val="00EA5041"/>
    <w:rsid w:val="00EA54A8"/>
    <w:rsid w:val="00EA55B6"/>
    <w:rsid w:val="00EA5FEB"/>
    <w:rsid w:val="00EA70CF"/>
    <w:rsid w:val="00EA7377"/>
    <w:rsid w:val="00EA7538"/>
    <w:rsid w:val="00EA773B"/>
    <w:rsid w:val="00EB080B"/>
    <w:rsid w:val="00EB21E5"/>
    <w:rsid w:val="00EB31B0"/>
    <w:rsid w:val="00EB3EEF"/>
    <w:rsid w:val="00EB4C7E"/>
    <w:rsid w:val="00EC07AD"/>
    <w:rsid w:val="00EC2CEC"/>
    <w:rsid w:val="00EC5A50"/>
    <w:rsid w:val="00EC64AB"/>
    <w:rsid w:val="00EC6606"/>
    <w:rsid w:val="00EC6839"/>
    <w:rsid w:val="00EC7C5B"/>
    <w:rsid w:val="00ED1ADE"/>
    <w:rsid w:val="00ED1B0B"/>
    <w:rsid w:val="00ED20E8"/>
    <w:rsid w:val="00ED3AF6"/>
    <w:rsid w:val="00ED3EC9"/>
    <w:rsid w:val="00ED6548"/>
    <w:rsid w:val="00ED6BF4"/>
    <w:rsid w:val="00ED792E"/>
    <w:rsid w:val="00ED7BC1"/>
    <w:rsid w:val="00ED7E05"/>
    <w:rsid w:val="00EE0C5D"/>
    <w:rsid w:val="00EE1A6E"/>
    <w:rsid w:val="00EE20E8"/>
    <w:rsid w:val="00EE2AD4"/>
    <w:rsid w:val="00EE3039"/>
    <w:rsid w:val="00EE303C"/>
    <w:rsid w:val="00EE38B5"/>
    <w:rsid w:val="00EE3F12"/>
    <w:rsid w:val="00EE5EBE"/>
    <w:rsid w:val="00EF0A99"/>
    <w:rsid w:val="00EF14E6"/>
    <w:rsid w:val="00EF1C1E"/>
    <w:rsid w:val="00EF4BDE"/>
    <w:rsid w:val="00EF56DB"/>
    <w:rsid w:val="00EF5F69"/>
    <w:rsid w:val="00EF6315"/>
    <w:rsid w:val="00EF73FF"/>
    <w:rsid w:val="00F00E76"/>
    <w:rsid w:val="00F02149"/>
    <w:rsid w:val="00F026D0"/>
    <w:rsid w:val="00F0274E"/>
    <w:rsid w:val="00F02DA8"/>
    <w:rsid w:val="00F048A7"/>
    <w:rsid w:val="00F04949"/>
    <w:rsid w:val="00F06232"/>
    <w:rsid w:val="00F06D7B"/>
    <w:rsid w:val="00F072E2"/>
    <w:rsid w:val="00F073D6"/>
    <w:rsid w:val="00F075E9"/>
    <w:rsid w:val="00F07AA7"/>
    <w:rsid w:val="00F103F9"/>
    <w:rsid w:val="00F10666"/>
    <w:rsid w:val="00F10D67"/>
    <w:rsid w:val="00F11A74"/>
    <w:rsid w:val="00F12220"/>
    <w:rsid w:val="00F122B7"/>
    <w:rsid w:val="00F13B14"/>
    <w:rsid w:val="00F14856"/>
    <w:rsid w:val="00F1651F"/>
    <w:rsid w:val="00F21B0D"/>
    <w:rsid w:val="00F227F7"/>
    <w:rsid w:val="00F237B0"/>
    <w:rsid w:val="00F23AF5"/>
    <w:rsid w:val="00F2528C"/>
    <w:rsid w:val="00F2530B"/>
    <w:rsid w:val="00F25B49"/>
    <w:rsid w:val="00F25FAE"/>
    <w:rsid w:val="00F26827"/>
    <w:rsid w:val="00F272BA"/>
    <w:rsid w:val="00F31794"/>
    <w:rsid w:val="00F31F6A"/>
    <w:rsid w:val="00F33118"/>
    <w:rsid w:val="00F3375B"/>
    <w:rsid w:val="00F35CF9"/>
    <w:rsid w:val="00F367B7"/>
    <w:rsid w:val="00F37362"/>
    <w:rsid w:val="00F401A9"/>
    <w:rsid w:val="00F407B5"/>
    <w:rsid w:val="00F40A8F"/>
    <w:rsid w:val="00F42858"/>
    <w:rsid w:val="00F43A43"/>
    <w:rsid w:val="00F44397"/>
    <w:rsid w:val="00F46C20"/>
    <w:rsid w:val="00F507A6"/>
    <w:rsid w:val="00F532B2"/>
    <w:rsid w:val="00F559C5"/>
    <w:rsid w:val="00F560F2"/>
    <w:rsid w:val="00F56A14"/>
    <w:rsid w:val="00F60918"/>
    <w:rsid w:val="00F609EB"/>
    <w:rsid w:val="00F60BBD"/>
    <w:rsid w:val="00F61133"/>
    <w:rsid w:val="00F61B55"/>
    <w:rsid w:val="00F61E4A"/>
    <w:rsid w:val="00F637C1"/>
    <w:rsid w:val="00F6581C"/>
    <w:rsid w:val="00F659D5"/>
    <w:rsid w:val="00F6666B"/>
    <w:rsid w:val="00F66A2D"/>
    <w:rsid w:val="00F7004A"/>
    <w:rsid w:val="00F71694"/>
    <w:rsid w:val="00F71DE3"/>
    <w:rsid w:val="00F721EF"/>
    <w:rsid w:val="00F7355B"/>
    <w:rsid w:val="00F74B6E"/>
    <w:rsid w:val="00F74CD0"/>
    <w:rsid w:val="00F76225"/>
    <w:rsid w:val="00F77B9E"/>
    <w:rsid w:val="00F812DE"/>
    <w:rsid w:val="00F825AC"/>
    <w:rsid w:val="00F828DC"/>
    <w:rsid w:val="00F830BE"/>
    <w:rsid w:val="00F83F1F"/>
    <w:rsid w:val="00F84200"/>
    <w:rsid w:val="00F84A87"/>
    <w:rsid w:val="00F85BAC"/>
    <w:rsid w:val="00F85E4D"/>
    <w:rsid w:val="00F866BC"/>
    <w:rsid w:val="00F91253"/>
    <w:rsid w:val="00F91730"/>
    <w:rsid w:val="00F92CE6"/>
    <w:rsid w:val="00F92F22"/>
    <w:rsid w:val="00F94A3D"/>
    <w:rsid w:val="00F94C9D"/>
    <w:rsid w:val="00F95F4C"/>
    <w:rsid w:val="00F960C5"/>
    <w:rsid w:val="00F97D1B"/>
    <w:rsid w:val="00FA024B"/>
    <w:rsid w:val="00FA07BF"/>
    <w:rsid w:val="00FA0B04"/>
    <w:rsid w:val="00FA19A7"/>
    <w:rsid w:val="00FA2B2A"/>
    <w:rsid w:val="00FA4E48"/>
    <w:rsid w:val="00FA4F34"/>
    <w:rsid w:val="00FA5E56"/>
    <w:rsid w:val="00FB011E"/>
    <w:rsid w:val="00FB02B4"/>
    <w:rsid w:val="00FB03D3"/>
    <w:rsid w:val="00FB09FA"/>
    <w:rsid w:val="00FB1111"/>
    <w:rsid w:val="00FB1678"/>
    <w:rsid w:val="00FB185F"/>
    <w:rsid w:val="00FB24B1"/>
    <w:rsid w:val="00FB2B60"/>
    <w:rsid w:val="00FB2BF8"/>
    <w:rsid w:val="00FB4A88"/>
    <w:rsid w:val="00FB4DC3"/>
    <w:rsid w:val="00FB65C6"/>
    <w:rsid w:val="00FB6F73"/>
    <w:rsid w:val="00FB7A7A"/>
    <w:rsid w:val="00FC422A"/>
    <w:rsid w:val="00FC429E"/>
    <w:rsid w:val="00FC774C"/>
    <w:rsid w:val="00FC77AD"/>
    <w:rsid w:val="00FC795C"/>
    <w:rsid w:val="00FC79EB"/>
    <w:rsid w:val="00FC7C07"/>
    <w:rsid w:val="00FC7C8B"/>
    <w:rsid w:val="00FD0124"/>
    <w:rsid w:val="00FD08B5"/>
    <w:rsid w:val="00FD2423"/>
    <w:rsid w:val="00FD3BF0"/>
    <w:rsid w:val="00FD40E1"/>
    <w:rsid w:val="00FD4281"/>
    <w:rsid w:val="00FD4325"/>
    <w:rsid w:val="00FD544D"/>
    <w:rsid w:val="00FD5669"/>
    <w:rsid w:val="00FD619F"/>
    <w:rsid w:val="00FD784A"/>
    <w:rsid w:val="00FD7C94"/>
    <w:rsid w:val="00FE018A"/>
    <w:rsid w:val="00FE0773"/>
    <w:rsid w:val="00FE0FF3"/>
    <w:rsid w:val="00FE44DC"/>
    <w:rsid w:val="00FE4C5C"/>
    <w:rsid w:val="00FE4F0E"/>
    <w:rsid w:val="00FE51A4"/>
    <w:rsid w:val="00FE555F"/>
    <w:rsid w:val="00FE6DD1"/>
    <w:rsid w:val="00FE7243"/>
    <w:rsid w:val="00FF0D78"/>
    <w:rsid w:val="00FF240E"/>
    <w:rsid w:val="00FF4446"/>
    <w:rsid w:val="00FF44F2"/>
    <w:rsid w:val="00FF552B"/>
    <w:rsid w:val="00FF6928"/>
    <w:rsid w:val="00FF760D"/>
    <w:rsid w:val="01057879"/>
    <w:rsid w:val="011AA7C7"/>
    <w:rsid w:val="01934654"/>
    <w:rsid w:val="01BB5BA5"/>
    <w:rsid w:val="01EC7BC2"/>
    <w:rsid w:val="026BB26E"/>
    <w:rsid w:val="02B6E2A4"/>
    <w:rsid w:val="02C2490B"/>
    <w:rsid w:val="032EE37E"/>
    <w:rsid w:val="033B3DDB"/>
    <w:rsid w:val="0340D262"/>
    <w:rsid w:val="037CD0B2"/>
    <w:rsid w:val="037D7FDF"/>
    <w:rsid w:val="03B3E09A"/>
    <w:rsid w:val="04513D95"/>
    <w:rsid w:val="04931DB6"/>
    <w:rsid w:val="052F9B16"/>
    <w:rsid w:val="053DDBFC"/>
    <w:rsid w:val="05476690"/>
    <w:rsid w:val="059A4DDD"/>
    <w:rsid w:val="06359B65"/>
    <w:rsid w:val="06831289"/>
    <w:rsid w:val="07179786"/>
    <w:rsid w:val="072E5E24"/>
    <w:rsid w:val="078D7E7F"/>
    <w:rsid w:val="081388AD"/>
    <w:rsid w:val="0826907A"/>
    <w:rsid w:val="08479FFF"/>
    <w:rsid w:val="0858787F"/>
    <w:rsid w:val="0861350D"/>
    <w:rsid w:val="08940760"/>
    <w:rsid w:val="08AE467F"/>
    <w:rsid w:val="08AF0D73"/>
    <w:rsid w:val="09349665"/>
    <w:rsid w:val="0953242F"/>
    <w:rsid w:val="09625581"/>
    <w:rsid w:val="0996B9B5"/>
    <w:rsid w:val="09A25AAF"/>
    <w:rsid w:val="0A26F5DA"/>
    <w:rsid w:val="0A30680A"/>
    <w:rsid w:val="0A6A35F3"/>
    <w:rsid w:val="0A78DFC8"/>
    <w:rsid w:val="0A82A40E"/>
    <w:rsid w:val="0AE68553"/>
    <w:rsid w:val="0B206DC8"/>
    <w:rsid w:val="0B23FE71"/>
    <w:rsid w:val="0C08673B"/>
    <w:rsid w:val="0C44257C"/>
    <w:rsid w:val="0C995638"/>
    <w:rsid w:val="0CD00C2F"/>
    <w:rsid w:val="0CE050B4"/>
    <w:rsid w:val="0DD967E1"/>
    <w:rsid w:val="0E6E4700"/>
    <w:rsid w:val="0EF55FA5"/>
    <w:rsid w:val="0F0396B0"/>
    <w:rsid w:val="0F96E577"/>
    <w:rsid w:val="0FBCB5F1"/>
    <w:rsid w:val="0FFFADB7"/>
    <w:rsid w:val="10111F68"/>
    <w:rsid w:val="107C432C"/>
    <w:rsid w:val="10AA7CBE"/>
    <w:rsid w:val="10BDAB84"/>
    <w:rsid w:val="10FA141A"/>
    <w:rsid w:val="11037F50"/>
    <w:rsid w:val="11417F01"/>
    <w:rsid w:val="116B3193"/>
    <w:rsid w:val="1170255B"/>
    <w:rsid w:val="11C791A8"/>
    <w:rsid w:val="11C8732E"/>
    <w:rsid w:val="11CF47F5"/>
    <w:rsid w:val="11D2AD2A"/>
    <w:rsid w:val="120BE3B9"/>
    <w:rsid w:val="121619F0"/>
    <w:rsid w:val="1232759E"/>
    <w:rsid w:val="123CC517"/>
    <w:rsid w:val="12885D04"/>
    <w:rsid w:val="12B54F8C"/>
    <w:rsid w:val="12C951FB"/>
    <w:rsid w:val="12E78314"/>
    <w:rsid w:val="13003089"/>
    <w:rsid w:val="13DFA257"/>
    <w:rsid w:val="13F2E575"/>
    <w:rsid w:val="140186E4"/>
    <w:rsid w:val="1405193C"/>
    <w:rsid w:val="143A4E70"/>
    <w:rsid w:val="146EC48A"/>
    <w:rsid w:val="148D2789"/>
    <w:rsid w:val="14AF3179"/>
    <w:rsid w:val="14E08E43"/>
    <w:rsid w:val="1510F22F"/>
    <w:rsid w:val="154D9A0D"/>
    <w:rsid w:val="15A61B0A"/>
    <w:rsid w:val="15C85CB9"/>
    <w:rsid w:val="15D5FF02"/>
    <w:rsid w:val="15EC666A"/>
    <w:rsid w:val="1606EF7B"/>
    <w:rsid w:val="1613FEAE"/>
    <w:rsid w:val="1629EE25"/>
    <w:rsid w:val="162A8CB4"/>
    <w:rsid w:val="16505660"/>
    <w:rsid w:val="1677D485"/>
    <w:rsid w:val="17167A1B"/>
    <w:rsid w:val="174153B6"/>
    <w:rsid w:val="17A51CB8"/>
    <w:rsid w:val="17CF890D"/>
    <w:rsid w:val="17E1AA9B"/>
    <w:rsid w:val="180CD0DD"/>
    <w:rsid w:val="1828F10A"/>
    <w:rsid w:val="189D6F3B"/>
    <w:rsid w:val="18ED8342"/>
    <w:rsid w:val="194193BD"/>
    <w:rsid w:val="19442FA3"/>
    <w:rsid w:val="1982D186"/>
    <w:rsid w:val="198C1129"/>
    <w:rsid w:val="19B559CB"/>
    <w:rsid w:val="19F67541"/>
    <w:rsid w:val="1A16F6EB"/>
    <w:rsid w:val="1A2BA111"/>
    <w:rsid w:val="1A798D71"/>
    <w:rsid w:val="1ADE2B11"/>
    <w:rsid w:val="1B0A983F"/>
    <w:rsid w:val="1B0E6417"/>
    <w:rsid w:val="1B5796D3"/>
    <w:rsid w:val="1B58DB7D"/>
    <w:rsid w:val="1B59B97F"/>
    <w:rsid w:val="1C0A16C9"/>
    <w:rsid w:val="1C8D75C3"/>
    <w:rsid w:val="1CB323ED"/>
    <w:rsid w:val="1D26C798"/>
    <w:rsid w:val="1D3AF14A"/>
    <w:rsid w:val="1D897D60"/>
    <w:rsid w:val="1DA50D9B"/>
    <w:rsid w:val="1DD72D95"/>
    <w:rsid w:val="1E409DE2"/>
    <w:rsid w:val="1E4F3071"/>
    <w:rsid w:val="1F0A4AF4"/>
    <w:rsid w:val="1F4BC3C7"/>
    <w:rsid w:val="20A65796"/>
    <w:rsid w:val="20BEE8A8"/>
    <w:rsid w:val="21066F20"/>
    <w:rsid w:val="2116A732"/>
    <w:rsid w:val="218BD4D3"/>
    <w:rsid w:val="21E4431F"/>
    <w:rsid w:val="21E46843"/>
    <w:rsid w:val="22D0A56C"/>
    <w:rsid w:val="2350CD33"/>
    <w:rsid w:val="23B525E7"/>
    <w:rsid w:val="245FB57D"/>
    <w:rsid w:val="2467818F"/>
    <w:rsid w:val="24D76781"/>
    <w:rsid w:val="24F763BA"/>
    <w:rsid w:val="250E3524"/>
    <w:rsid w:val="2572DB04"/>
    <w:rsid w:val="25DC1509"/>
    <w:rsid w:val="26035F22"/>
    <w:rsid w:val="263E08A2"/>
    <w:rsid w:val="26F538AA"/>
    <w:rsid w:val="273AD60B"/>
    <w:rsid w:val="27943952"/>
    <w:rsid w:val="27990075"/>
    <w:rsid w:val="27B1DBFF"/>
    <w:rsid w:val="27D8E29F"/>
    <w:rsid w:val="28292EF0"/>
    <w:rsid w:val="289F6E1F"/>
    <w:rsid w:val="28CA3E71"/>
    <w:rsid w:val="28D13EFC"/>
    <w:rsid w:val="28E8D4F1"/>
    <w:rsid w:val="2908F2AB"/>
    <w:rsid w:val="2926B15B"/>
    <w:rsid w:val="296C56CA"/>
    <w:rsid w:val="29B2CA2D"/>
    <w:rsid w:val="29E17F0C"/>
    <w:rsid w:val="2A2563E8"/>
    <w:rsid w:val="2A374440"/>
    <w:rsid w:val="2A3826B1"/>
    <w:rsid w:val="2A453120"/>
    <w:rsid w:val="2A7EDB97"/>
    <w:rsid w:val="2AB58F87"/>
    <w:rsid w:val="2B33DA97"/>
    <w:rsid w:val="2B4B96E2"/>
    <w:rsid w:val="2BD4A4D9"/>
    <w:rsid w:val="2C4DFCF1"/>
    <w:rsid w:val="2C6CC17A"/>
    <w:rsid w:val="2CBCD330"/>
    <w:rsid w:val="2D4B8EB1"/>
    <w:rsid w:val="2D636F8E"/>
    <w:rsid w:val="2DA855D5"/>
    <w:rsid w:val="2DC029D5"/>
    <w:rsid w:val="2DE5F3A0"/>
    <w:rsid w:val="2E4BE402"/>
    <w:rsid w:val="2E57492A"/>
    <w:rsid w:val="2E5F0720"/>
    <w:rsid w:val="2ECED616"/>
    <w:rsid w:val="2F0240F1"/>
    <w:rsid w:val="2FB4BF0F"/>
    <w:rsid w:val="2FDE345F"/>
    <w:rsid w:val="302AAE58"/>
    <w:rsid w:val="303D39B3"/>
    <w:rsid w:val="30A81D46"/>
    <w:rsid w:val="30B3CB34"/>
    <w:rsid w:val="30E207E2"/>
    <w:rsid w:val="30FCB78A"/>
    <w:rsid w:val="31537DC5"/>
    <w:rsid w:val="31F6B1F6"/>
    <w:rsid w:val="3215B627"/>
    <w:rsid w:val="32DDBD21"/>
    <w:rsid w:val="32FE54E0"/>
    <w:rsid w:val="33255E7F"/>
    <w:rsid w:val="3328C658"/>
    <w:rsid w:val="33DE1513"/>
    <w:rsid w:val="34142C7F"/>
    <w:rsid w:val="34772575"/>
    <w:rsid w:val="34F14EC2"/>
    <w:rsid w:val="350D3DA4"/>
    <w:rsid w:val="35543142"/>
    <w:rsid w:val="356D5DD7"/>
    <w:rsid w:val="35CE6340"/>
    <w:rsid w:val="361B8675"/>
    <w:rsid w:val="366B0DA3"/>
    <w:rsid w:val="369E9292"/>
    <w:rsid w:val="36AA85DA"/>
    <w:rsid w:val="374E1C56"/>
    <w:rsid w:val="37CFD2FF"/>
    <w:rsid w:val="38410687"/>
    <w:rsid w:val="388A21F8"/>
    <w:rsid w:val="389B3CAE"/>
    <w:rsid w:val="38AA43FC"/>
    <w:rsid w:val="38B30870"/>
    <w:rsid w:val="38EB7ADF"/>
    <w:rsid w:val="38FCA216"/>
    <w:rsid w:val="39979031"/>
    <w:rsid w:val="39C78EB6"/>
    <w:rsid w:val="39E44AA8"/>
    <w:rsid w:val="39EB267F"/>
    <w:rsid w:val="3A6467D5"/>
    <w:rsid w:val="3AEBED4E"/>
    <w:rsid w:val="3AFF9A4E"/>
    <w:rsid w:val="3B07A113"/>
    <w:rsid w:val="3B6D7BC1"/>
    <w:rsid w:val="3BA2D11B"/>
    <w:rsid w:val="3BBCD588"/>
    <w:rsid w:val="3C146DC4"/>
    <w:rsid w:val="3C1B79F8"/>
    <w:rsid w:val="3C574EA8"/>
    <w:rsid w:val="3C7FF06E"/>
    <w:rsid w:val="3C98B267"/>
    <w:rsid w:val="3CE26F6F"/>
    <w:rsid w:val="3CF1E4F3"/>
    <w:rsid w:val="3CF23F81"/>
    <w:rsid w:val="3D13AC00"/>
    <w:rsid w:val="3D1FAAB4"/>
    <w:rsid w:val="3DADC228"/>
    <w:rsid w:val="3E045ED7"/>
    <w:rsid w:val="3F7497D5"/>
    <w:rsid w:val="3FA56038"/>
    <w:rsid w:val="3FCEF873"/>
    <w:rsid w:val="4000ACA3"/>
    <w:rsid w:val="400375F1"/>
    <w:rsid w:val="40A790B5"/>
    <w:rsid w:val="40B742C6"/>
    <w:rsid w:val="40BCD86F"/>
    <w:rsid w:val="40E3AD6D"/>
    <w:rsid w:val="412E27A0"/>
    <w:rsid w:val="4214950B"/>
    <w:rsid w:val="424CB638"/>
    <w:rsid w:val="42B72FB8"/>
    <w:rsid w:val="42DE81E5"/>
    <w:rsid w:val="43598660"/>
    <w:rsid w:val="439F731B"/>
    <w:rsid w:val="44D3A370"/>
    <w:rsid w:val="44ECB27A"/>
    <w:rsid w:val="4561D5B6"/>
    <w:rsid w:val="45645D19"/>
    <w:rsid w:val="45EE88B6"/>
    <w:rsid w:val="462ACB72"/>
    <w:rsid w:val="46AE1150"/>
    <w:rsid w:val="46BC3932"/>
    <w:rsid w:val="46E04B02"/>
    <w:rsid w:val="478C1F2C"/>
    <w:rsid w:val="47B16525"/>
    <w:rsid w:val="47B54BB5"/>
    <w:rsid w:val="47E05298"/>
    <w:rsid w:val="48096F6D"/>
    <w:rsid w:val="48283605"/>
    <w:rsid w:val="48D87C5D"/>
    <w:rsid w:val="491C20C8"/>
    <w:rsid w:val="4945F09A"/>
    <w:rsid w:val="494FFFFF"/>
    <w:rsid w:val="49742FFF"/>
    <w:rsid w:val="499CD43B"/>
    <w:rsid w:val="4A0FAD87"/>
    <w:rsid w:val="4A73369E"/>
    <w:rsid w:val="4AC822E1"/>
    <w:rsid w:val="4B6E4757"/>
    <w:rsid w:val="4B858E1D"/>
    <w:rsid w:val="4B863E18"/>
    <w:rsid w:val="4BB3826E"/>
    <w:rsid w:val="4BF11FBF"/>
    <w:rsid w:val="4C4F6F1A"/>
    <w:rsid w:val="4C8AD965"/>
    <w:rsid w:val="4CC0BAC8"/>
    <w:rsid w:val="4CC2B4BC"/>
    <w:rsid w:val="4CE9ED6C"/>
    <w:rsid w:val="4D18769D"/>
    <w:rsid w:val="4E2A7F06"/>
    <w:rsid w:val="4E2CE805"/>
    <w:rsid w:val="4E34B772"/>
    <w:rsid w:val="4E61CCE5"/>
    <w:rsid w:val="4E9B5679"/>
    <w:rsid w:val="4EC8B9C4"/>
    <w:rsid w:val="4EE18049"/>
    <w:rsid w:val="4F128B11"/>
    <w:rsid w:val="4F832F98"/>
    <w:rsid w:val="4F96760E"/>
    <w:rsid w:val="4FADEF35"/>
    <w:rsid w:val="501ACFEF"/>
    <w:rsid w:val="50BCD7BC"/>
    <w:rsid w:val="518E64F8"/>
    <w:rsid w:val="519B520C"/>
    <w:rsid w:val="519EA734"/>
    <w:rsid w:val="51B33E09"/>
    <w:rsid w:val="52120965"/>
    <w:rsid w:val="5246CC2C"/>
    <w:rsid w:val="5251541E"/>
    <w:rsid w:val="5277A5B1"/>
    <w:rsid w:val="529D2BEB"/>
    <w:rsid w:val="53714BA3"/>
    <w:rsid w:val="53EE6B41"/>
    <w:rsid w:val="54A4669D"/>
    <w:rsid w:val="54BF76E6"/>
    <w:rsid w:val="54C705B0"/>
    <w:rsid w:val="550E325C"/>
    <w:rsid w:val="55487092"/>
    <w:rsid w:val="56157000"/>
    <w:rsid w:val="5623658A"/>
    <w:rsid w:val="564F1C73"/>
    <w:rsid w:val="566DD34A"/>
    <w:rsid w:val="56C4AA4B"/>
    <w:rsid w:val="56F7E37E"/>
    <w:rsid w:val="573D86E8"/>
    <w:rsid w:val="574F319C"/>
    <w:rsid w:val="577D07EC"/>
    <w:rsid w:val="578E8374"/>
    <w:rsid w:val="57A0DA31"/>
    <w:rsid w:val="58044220"/>
    <w:rsid w:val="5818BF9E"/>
    <w:rsid w:val="58605D69"/>
    <w:rsid w:val="58E1D0CC"/>
    <w:rsid w:val="592EB9C9"/>
    <w:rsid w:val="5943C7FE"/>
    <w:rsid w:val="5974C02E"/>
    <w:rsid w:val="5A3F772D"/>
    <w:rsid w:val="5A8B5BA5"/>
    <w:rsid w:val="5AE14F50"/>
    <w:rsid w:val="5B0660C4"/>
    <w:rsid w:val="5B43D68C"/>
    <w:rsid w:val="5B8B5310"/>
    <w:rsid w:val="5C64BB80"/>
    <w:rsid w:val="5C746DDB"/>
    <w:rsid w:val="5C9C4DA6"/>
    <w:rsid w:val="5CBB709D"/>
    <w:rsid w:val="5CC30A0B"/>
    <w:rsid w:val="5D1127FF"/>
    <w:rsid w:val="5D789D42"/>
    <w:rsid w:val="5E699589"/>
    <w:rsid w:val="5E71B571"/>
    <w:rsid w:val="5E8AA0D5"/>
    <w:rsid w:val="5EDC1476"/>
    <w:rsid w:val="5FB94111"/>
    <w:rsid w:val="5FDC663E"/>
    <w:rsid w:val="5FE66FD5"/>
    <w:rsid w:val="601A2C04"/>
    <w:rsid w:val="60B288F0"/>
    <w:rsid w:val="60B8580D"/>
    <w:rsid w:val="6103D7FF"/>
    <w:rsid w:val="6108FEF9"/>
    <w:rsid w:val="612AE3D1"/>
    <w:rsid w:val="61C27FA9"/>
    <w:rsid w:val="61DCC4A9"/>
    <w:rsid w:val="61F2DCAF"/>
    <w:rsid w:val="621E9027"/>
    <w:rsid w:val="624CF668"/>
    <w:rsid w:val="62A62579"/>
    <w:rsid w:val="62BBC159"/>
    <w:rsid w:val="6321D1CD"/>
    <w:rsid w:val="63294FB3"/>
    <w:rsid w:val="632D5B51"/>
    <w:rsid w:val="6339FF2B"/>
    <w:rsid w:val="63A30E5B"/>
    <w:rsid w:val="63A35744"/>
    <w:rsid w:val="63B3FC39"/>
    <w:rsid w:val="63B50F7F"/>
    <w:rsid w:val="63D3EC3B"/>
    <w:rsid w:val="640D5D0F"/>
    <w:rsid w:val="65037C6E"/>
    <w:rsid w:val="651BA90F"/>
    <w:rsid w:val="65AEE371"/>
    <w:rsid w:val="661AA1A3"/>
    <w:rsid w:val="669A221E"/>
    <w:rsid w:val="672361B5"/>
    <w:rsid w:val="67BDC028"/>
    <w:rsid w:val="67EC7808"/>
    <w:rsid w:val="67F59C17"/>
    <w:rsid w:val="684FB2D2"/>
    <w:rsid w:val="685A0D80"/>
    <w:rsid w:val="68862041"/>
    <w:rsid w:val="68876318"/>
    <w:rsid w:val="68C57403"/>
    <w:rsid w:val="68D503E8"/>
    <w:rsid w:val="699AD88C"/>
    <w:rsid w:val="6A85045A"/>
    <w:rsid w:val="6AA1C363"/>
    <w:rsid w:val="6AA1FF80"/>
    <w:rsid w:val="6ADDE99D"/>
    <w:rsid w:val="6B653DD2"/>
    <w:rsid w:val="6B74A73C"/>
    <w:rsid w:val="6BB808F3"/>
    <w:rsid w:val="6BC7C051"/>
    <w:rsid w:val="6C32F708"/>
    <w:rsid w:val="6C45B052"/>
    <w:rsid w:val="6C4FFBF3"/>
    <w:rsid w:val="6C8215E6"/>
    <w:rsid w:val="6C8AC5DC"/>
    <w:rsid w:val="6CC28626"/>
    <w:rsid w:val="6CCC5ED1"/>
    <w:rsid w:val="6CFC5455"/>
    <w:rsid w:val="6D186D52"/>
    <w:rsid w:val="6D3CAAAD"/>
    <w:rsid w:val="6D54259B"/>
    <w:rsid w:val="6DBA71FD"/>
    <w:rsid w:val="6E034477"/>
    <w:rsid w:val="6E06F99A"/>
    <w:rsid w:val="6EADF4B0"/>
    <w:rsid w:val="6EB3FF26"/>
    <w:rsid w:val="6EFAFEFA"/>
    <w:rsid w:val="6FD6D031"/>
    <w:rsid w:val="701C1A47"/>
    <w:rsid w:val="7044533B"/>
    <w:rsid w:val="70618487"/>
    <w:rsid w:val="706B8C25"/>
    <w:rsid w:val="7082B053"/>
    <w:rsid w:val="713B5507"/>
    <w:rsid w:val="713BBA6C"/>
    <w:rsid w:val="7175A35D"/>
    <w:rsid w:val="7258D2EF"/>
    <w:rsid w:val="72B75072"/>
    <w:rsid w:val="72ED1B04"/>
    <w:rsid w:val="7302D6C4"/>
    <w:rsid w:val="739F5316"/>
    <w:rsid w:val="744A52B2"/>
    <w:rsid w:val="746A1AA6"/>
    <w:rsid w:val="748B6140"/>
    <w:rsid w:val="74DD4DD8"/>
    <w:rsid w:val="757E0DCE"/>
    <w:rsid w:val="7592BF75"/>
    <w:rsid w:val="75E7E30B"/>
    <w:rsid w:val="75EF37BB"/>
    <w:rsid w:val="75FC24A7"/>
    <w:rsid w:val="76BE702F"/>
    <w:rsid w:val="76C8B436"/>
    <w:rsid w:val="76D8B8CC"/>
    <w:rsid w:val="77600548"/>
    <w:rsid w:val="779E28B4"/>
    <w:rsid w:val="77EC169E"/>
    <w:rsid w:val="782B4E2C"/>
    <w:rsid w:val="78415EB7"/>
    <w:rsid w:val="787ADE3E"/>
    <w:rsid w:val="78A1006C"/>
    <w:rsid w:val="78D23797"/>
    <w:rsid w:val="78DE2AB0"/>
    <w:rsid w:val="796118B0"/>
    <w:rsid w:val="796816FC"/>
    <w:rsid w:val="7A0173C2"/>
    <w:rsid w:val="7A043409"/>
    <w:rsid w:val="7A255F43"/>
    <w:rsid w:val="7A6488D7"/>
    <w:rsid w:val="7AF16567"/>
    <w:rsid w:val="7B3DA7AB"/>
    <w:rsid w:val="7B63DCDA"/>
    <w:rsid w:val="7B960322"/>
    <w:rsid w:val="7BAEF1B2"/>
    <w:rsid w:val="7CC2D593"/>
    <w:rsid w:val="7D65B899"/>
    <w:rsid w:val="7D7F01F2"/>
    <w:rsid w:val="7DD1B051"/>
    <w:rsid w:val="7DE5F38C"/>
    <w:rsid w:val="7E2BAC22"/>
    <w:rsid w:val="7E6A3122"/>
    <w:rsid w:val="7EFC33F2"/>
    <w:rsid w:val="7F14E567"/>
    <w:rsid w:val="7F40AD0D"/>
    <w:rsid w:val="7FC885C8"/>
    <w:rsid w:val="7FD53164"/>
    <w:rsid w:val="7FE1A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2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73B"/>
    <w:pPr>
      <w:spacing w:after="240" w:line="260" w:lineRule="atLeast"/>
    </w:pPr>
    <w:rPr>
      <w:rFonts w:ascii="Cambria" w:hAnsi="Cambria"/>
    </w:rPr>
  </w:style>
  <w:style w:type="paragraph" w:styleId="Heading1">
    <w:name w:val="heading 1"/>
    <w:basedOn w:val="Normal"/>
    <w:next w:val="Normal"/>
    <w:link w:val="Heading1Char"/>
    <w:autoRedefine/>
    <w:qFormat/>
    <w:rsid w:val="004032FB"/>
    <w:pPr>
      <w:keepNext/>
      <w:keepLines/>
      <w:pageBreakBefore/>
      <w:numPr>
        <w:numId w:val="9"/>
      </w:numPr>
      <w:outlineLvl w:val="0"/>
    </w:pPr>
    <w:rPr>
      <w:rFonts w:ascii="Calibri" w:eastAsiaTheme="majorEastAsia" w:hAnsi="Calibri" w:cstheme="majorBidi"/>
      <w:b/>
      <w:bCs/>
      <w:color w:val="1795D2"/>
      <w:sz w:val="36"/>
      <w:szCs w:val="28"/>
    </w:rPr>
  </w:style>
  <w:style w:type="paragraph" w:styleId="Heading2">
    <w:name w:val="heading 2"/>
    <w:basedOn w:val="Normal"/>
    <w:next w:val="Normal"/>
    <w:link w:val="Heading2Char"/>
    <w:autoRedefine/>
    <w:qFormat/>
    <w:rsid w:val="00235834"/>
    <w:pPr>
      <w:keepNext/>
      <w:keepLines/>
      <w:numPr>
        <w:ilvl w:val="1"/>
        <w:numId w:val="9"/>
      </w:numPr>
      <w:pBdr>
        <w:bottom w:val="single" w:sz="2" w:space="1" w:color="auto"/>
      </w:pBdr>
      <w:spacing w:after="120"/>
      <w:outlineLvl w:val="1"/>
    </w:pPr>
    <w:rPr>
      <w:rFonts w:ascii="Calibri" w:eastAsiaTheme="majorEastAsia" w:hAnsi="Calibri" w:cs="Times New Roman"/>
      <w:b/>
      <w:bCs/>
      <w:i/>
      <w:iCs/>
      <w:color w:val="000000"/>
      <w:sz w:val="24"/>
    </w:rPr>
  </w:style>
  <w:style w:type="paragraph" w:styleId="Heading3">
    <w:name w:val="heading 3"/>
    <w:basedOn w:val="Normal"/>
    <w:next w:val="Normal"/>
    <w:link w:val="Heading3Char1"/>
    <w:unhideWhenUsed/>
    <w:qFormat/>
    <w:rsid w:val="00177DAA"/>
    <w:pPr>
      <w:keepNext/>
      <w:keepLines/>
      <w:numPr>
        <w:ilvl w:val="2"/>
        <w:numId w:val="9"/>
      </w:numPr>
      <w:spacing w:after="120"/>
      <w:outlineLvl w:val="2"/>
    </w:pPr>
    <w:rPr>
      <w:rFonts w:ascii="Calibri" w:eastAsiaTheme="majorEastAsia" w:hAnsi="Calibri" w:cstheme="majorBidi"/>
      <w:b/>
      <w:bCs/>
      <w:sz w:val="20"/>
      <w:szCs w:val="20"/>
    </w:rPr>
  </w:style>
  <w:style w:type="paragraph" w:styleId="Heading4">
    <w:name w:val="heading 4"/>
    <w:basedOn w:val="Normal"/>
    <w:next w:val="Normal"/>
    <w:link w:val="Heading4Char"/>
    <w:unhideWhenUsed/>
    <w:qFormat/>
    <w:rsid w:val="00177DAA"/>
    <w:pPr>
      <w:keepNext/>
      <w:keepLines/>
      <w:numPr>
        <w:ilvl w:val="3"/>
        <w:numId w:val="9"/>
      </w:numPr>
      <w:spacing w:after="120"/>
      <w:ind w:left="0"/>
      <w:outlineLvl w:val="3"/>
    </w:pPr>
    <w:rPr>
      <w:rFonts w:ascii="Calibri" w:eastAsiaTheme="majorEastAsia" w:hAnsi="Calibri" w:cstheme="majorBidi"/>
      <w:bCs/>
      <w:i/>
      <w:iCs/>
      <w:sz w:val="20"/>
      <w:szCs w:val="20"/>
    </w:rPr>
  </w:style>
  <w:style w:type="paragraph" w:styleId="Heading5">
    <w:name w:val="heading 5"/>
    <w:basedOn w:val="Normal"/>
    <w:next w:val="Normal"/>
    <w:link w:val="Heading5Char"/>
    <w:uiPriority w:val="9"/>
    <w:unhideWhenUsed/>
    <w:qFormat/>
    <w:rsid w:val="009716EF"/>
    <w:pPr>
      <w:keepNext/>
      <w:keepLines/>
      <w:spacing w:before="200" w:after="0"/>
      <w:outlineLvl w:val="4"/>
    </w:pPr>
    <w:rPr>
      <w:rFonts w:asciiTheme="majorHAnsi" w:eastAsiaTheme="majorEastAsia" w:hAnsiTheme="majorHAnsi" w:cstheme="majorBidi"/>
      <w:color w:val="0B49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025"/>
    <w:pPr>
      <w:ind w:left="720"/>
      <w:contextualSpacing/>
    </w:pPr>
  </w:style>
  <w:style w:type="paragraph" w:styleId="BalloonText">
    <w:name w:val="Balloon Text"/>
    <w:basedOn w:val="Normal"/>
    <w:link w:val="BalloonTextChar"/>
    <w:uiPriority w:val="99"/>
    <w:semiHidden/>
    <w:unhideWhenUsed/>
    <w:rsid w:val="003A4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A7"/>
    <w:rPr>
      <w:rFonts w:ascii="Tahoma" w:hAnsi="Tahoma" w:cs="Tahoma"/>
      <w:sz w:val="16"/>
      <w:szCs w:val="16"/>
    </w:rPr>
  </w:style>
  <w:style w:type="table" w:styleId="LightGrid-Accent3">
    <w:name w:val="Light Grid Accent 3"/>
    <w:basedOn w:val="TableNormal"/>
    <w:uiPriority w:val="62"/>
    <w:rsid w:val="003C4E2B"/>
    <w:pPr>
      <w:spacing w:after="0" w:line="240" w:lineRule="auto"/>
    </w:pPr>
    <w:tblPr>
      <w:tblStyleRowBandSize w:val="1"/>
      <w:tblStyleColBandSize w:val="1"/>
      <w:tblBorders>
        <w:top w:val="single" w:sz="8" w:space="0" w:color="77BD2A" w:themeColor="accent3"/>
        <w:left w:val="single" w:sz="8" w:space="0" w:color="77BD2A" w:themeColor="accent3"/>
        <w:bottom w:val="single" w:sz="8" w:space="0" w:color="77BD2A" w:themeColor="accent3"/>
        <w:right w:val="single" w:sz="8" w:space="0" w:color="77BD2A" w:themeColor="accent3"/>
        <w:insideH w:val="single" w:sz="8" w:space="0" w:color="77BD2A" w:themeColor="accent3"/>
        <w:insideV w:val="single" w:sz="8" w:space="0" w:color="77BD2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BD2A" w:themeColor="accent3"/>
          <w:left w:val="single" w:sz="8" w:space="0" w:color="77BD2A" w:themeColor="accent3"/>
          <w:bottom w:val="single" w:sz="18" w:space="0" w:color="77BD2A" w:themeColor="accent3"/>
          <w:right w:val="single" w:sz="8" w:space="0" w:color="77BD2A" w:themeColor="accent3"/>
          <w:insideH w:val="nil"/>
          <w:insideV w:val="single" w:sz="8" w:space="0" w:color="77BD2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BD2A" w:themeColor="accent3"/>
          <w:left w:val="single" w:sz="8" w:space="0" w:color="77BD2A" w:themeColor="accent3"/>
          <w:bottom w:val="single" w:sz="8" w:space="0" w:color="77BD2A" w:themeColor="accent3"/>
          <w:right w:val="single" w:sz="8" w:space="0" w:color="77BD2A" w:themeColor="accent3"/>
          <w:insideH w:val="nil"/>
          <w:insideV w:val="single" w:sz="8" w:space="0" w:color="77BD2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BD2A" w:themeColor="accent3"/>
          <w:left w:val="single" w:sz="8" w:space="0" w:color="77BD2A" w:themeColor="accent3"/>
          <w:bottom w:val="single" w:sz="8" w:space="0" w:color="77BD2A" w:themeColor="accent3"/>
          <w:right w:val="single" w:sz="8" w:space="0" w:color="77BD2A" w:themeColor="accent3"/>
        </w:tcBorders>
      </w:tcPr>
    </w:tblStylePr>
    <w:tblStylePr w:type="band1Vert">
      <w:tblPr/>
      <w:tcPr>
        <w:tcBorders>
          <w:top w:val="single" w:sz="8" w:space="0" w:color="77BD2A" w:themeColor="accent3"/>
          <w:left w:val="single" w:sz="8" w:space="0" w:color="77BD2A" w:themeColor="accent3"/>
          <w:bottom w:val="single" w:sz="8" w:space="0" w:color="77BD2A" w:themeColor="accent3"/>
          <w:right w:val="single" w:sz="8" w:space="0" w:color="77BD2A" w:themeColor="accent3"/>
        </w:tcBorders>
        <w:shd w:val="clear" w:color="auto" w:fill="DDF2C6" w:themeFill="accent3" w:themeFillTint="3F"/>
      </w:tcPr>
    </w:tblStylePr>
    <w:tblStylePr w:type="band1Horz">
      <w:tblPr/>
      <w:tcPr>
        <w:tcBorders>
          <w:top w:val="single" w:sz="8" w:space="0" w:color="77BD2A" w:themeColor="accent3"/>
          <w:left w:val="single" w:sz="8" w:space="0" w:color="77BD2A" w:themeColor="accent3"/>
          <w:bottom w:val="single" w:sz="8" w:space="0" w:color="77BD2A" w:themeColor="accent3"/>
          <w:right w:val="single" w:sz="8" w:space="0" w:color="77BD2A" w:themeColor="accent3"/>
          <w:insideV w:val="single" w:sz="8" w:space="0" w:color="77BD2A" w:themeColor="accent3"/>
        </w:tcBorders>
        <w:shd w:val="clear" w:color="auto" w:fill="DDF2C6" w:themeFill="accent3" w:themeFillTint="3F"/>
      </w:tcPr>
    </w:tblStylePr>
    <w:tblStylePr w:type="band2Horz">
      <w:tblPr/>
      <w:tcPr>
        <w:tcBorders>
          <w:top w:val="single" w:sz="8" w:space="0" w:color="77BD2A" w:themeColor="accent3"/>
          <w:left w:val="single" w:sz="8" w:space="0" w:color="77BD2A" w:themeColor="accent3"/>
          <w:bottom w:val="single" w:sz="8" w:space="0" w:color="77BD2A" w:themeColor="accent3"/>
          <w:right w:val="single" w:sz="8" w:space="0" w:color="77BD2A" w:themeColor="accent3"/>
          <w:insideV w:val="single" w:sz="8" w:space="0" w:color="77BD2A" w:themeColor="accent3"/>
        </w:tcBorders>
      </w:tcPr>
    </w:tblStylePr>
  </w:style>
  <w:style w:type="character" w:customStyle="1" w:styleId="Heading1Char">
    <w:name w:val="Heading 1 Char"/>
    <w:basedOn w:val="DefaultParagraphFont"/>
    <w:link w:val="Heading1"/>
    <w:rsid w:val="004032FB"/>
    <w:rPr>
      <w:rFonts w:ascii="Calibri" w:eastAsiaTheme="majorEastAsia" w:hAnsi="Calibri" w:cstheme="majorBidi"/>
      <w:b/>
      <w:bCs/>
      <w:color w:val="1795D2"/>
      <w:sz w:val="36"/>
      <w:szCs w:val="28"/>
    </w:rPr>
  </w:style>
  <w:style w:type="character" w:customStyle="1" w:styleId="Heading2Char">
    <w:name w:val="Heading 2 Char"/>
    <w:basedOn w:val="DefaultParagraphFont"/>
    <w:link w:val="Heading2"/>
    <w:rsid w:val="00235834"/>
    <w:rPr>
      <w:rFonts w:ascii="Calibri" w:eastAsiaTheme="majorEastAsia" w:hAnsi="Calibri" w:cs="Times New Roman"/>
      <w:b/>
      <w:bCs/>
      <w:i/>
      <w:iCs/>
      <w:color w:val="000000"/>
      <w:sz w:val="24"/>
    </w:rPr>
  </w:style>
  <w:style w:type="character" w:customStyle="1" w:styleId="Heading3Char">
    <w:name w:val="Heading 3 Char"/>
    <w:basedOn w:val="DefaultParagraphFont"/>
    <w:uiPriority w:val="9"/>
    <w:semiHidden/>
    <w:rsid w:val="00C65AF6"/>
    <w:rPr>
      <w:rFonts w:asciiTheme="majorHAnsi" w:eastAsiaTheme="majorEastAsia" w:hAnsiTheme="majorHAnsi" w:cstheme="majorBidi"/>
      <w:b/>
      <w:bCs/>
      <w:color w:val="1795D2" w:themeColor="accent1"/>
    </w:rPr>
  </w:style>
  <w:style w:type="character" w:customStyle="1" w:styleId="Heading4Char">
    <w:name w:val="Heading 4 Char"/>
    <w:basedOn w:val="DefaultParagraphFont"/>
    <w:link w:val="Heading4"/>
    <w:rsid w:val="00177DAA"/>
    <w:rPr>
      <w:rFonts w:ascii="Calibri" w:eastAsiaTheme="majorEastAsia" w:hAnsi="Calibri" w:cstheme="majorBidi"/>
      <w:bCs/>
      <w:i/>
      <w:iCs/>
      <w:sz w:val="20"/>
      <w:szCs w:val="20"/>
    </w:rPr>
  </w:style>
  <w:style w:type="character" w:styleId="Hyperlink">
    <w:name w:val="Hyperlink"/>
    <w:basedOn w:val="DefaultParagraphFont"/>
    <w:uiPriority w:val="99"/>
    <w:unhideWhenUsed/>
    <w:qFormat/>
    <w:rsid w:val="001E794B"/>
    <w:rPr>
      <w:color w:val="1795D2"/>
      <w:u w:val="single"/>
    </w:rPr>
  </w:style>
  <w:style w:type="paragraph" w:styleId="FootnoteText">
    <w:name w:val="footnote text"/>
    <w:aliases w:val="ft,Footnote Text Char1,Footnote Text Char Char,fn Char Char,Footnote Text Char1 Char1 Char,Footnote Text Char Char Char1 Char,Footnote Text Char1 Char Char Char,Footnote Text Char Char Char Char Char,Footnote Text Char Char1,fn,ft Char1,f"/>
    <w:basedOn w:val="Normal"/>
    <w:link w:val="FootnoteTextChar"/>
    <w:autoRedefine/>
    <w:uiPriority w:val="99"/>
    <w:qFormat/>
    <w:rsid w:val="001B0773"/>
    <w:pPr>
      <w:keepNext/>
      <w:keepLines/>
      <w:tabs>
        <w:tab w:val="left" w:pos="7830"/>
      </w:tabs>
      <w:spacing w:after="80" w:line="240" w:lineRule="auto"/>
    </w:pPr>
    <w:rPr>
      <w:rFonts w:asciiTheme="majorHAnsi" w:eastAsia="Times New Roman" w:hAnsiTheme="majorHAnsi" w:cs="Times New Roman"/>
      <w:sz w:val="18"/>
      <w:szCs w:val="18"/>
    </w:rPr>
  </w:style>
  <w:style w:type="character" w:customStyle="1" w:styleId="FootnoteTextChar">
    <w:name w:val="Footnote Text Char"/>
    <w:aliases w:val="ft Char,Footnote Text Char1 Char,Footnote Text Char Char Char,fn Char Char Char,Footnote Text Char1 Char1 Char Char,Footnote Text Char Char Char1 Char Char,Footnote Text Char1 Char Char Char Char,Footnote Text Char Char1 Char,fn Char"/>
    <w:basedOn w:val="DefaultParagraphFont"/>
    <w:link w:val="FootnoteText"/>
    <w:uiPriority w:val="99"/>
    <w:qFormat/>
    <w:rsid w:val="001B0773"/>
    <w:rPr>
      <w:rFonts w:asciiTheme="majorHAnsi" w:eastAsia="Times New Roman" w:hAnsiTheme="majorHAnsi" w:cs="Times New Roman"/>
      <w:sz w:val="18"/>
      <w:szCs w:val="18"/>
    </w:rPr>
  </w:style>
  <w:style w:type="character" w:styleId="FootnoteReference">
    <w:name w:val="footnote reference"/>
    <w:aliases w:val="o,Style 17,fr,Style 13,Style 12,Style 15,Style 9,o1,fr1,o2,fr2,o3,fr3,Style 18,(NECG) Footnote Reference,Style 20,Style 7,Style 8,Style 19,Style 32,o + Times New Roman,Style 16"/>
    <w:basedOn w:val="DefaultParagraphFont"/>
    <w:uiPriority w:val="99"/>
    <w:qFormat/>
    <w:rsid w:val="00A051C2"/>
    <w:rPr>
      <w:rFonts w:ascii="Cambria" w:hAnsi="Cambria" w:cs="Times New Roman"/>
      <w:b w:val="0"/>
      <w:i w:val="0"/>
      <w:caps w:val="0"/>
      <w:smallCaps w:val="0"/>
      <w:strike w:val="0"/>
      <w:dstrike w:val="0"/>
      <w:vanish w:val="0"/>
      <w:sz w:val="20"/>
      <w:vertAlign w:val="superscript"/>
    </w:rPr>
  </w:style>
  <w:style w:type="paragraph" w:customStyle="1" w:styleId="FoonoteText">
    <w:name w:val="Foonote Text"/>
    <w:basedOn w:val="FootnoteText"/>
    <w:link w:val="FoonoteTextChar"/>
    <w:autoRedefine/>
    <w:qFormat/>
    <w:rsid w:val="00177DAA"/>
    <w:pPr>
      <w:adjustRightInd w:val="0"/>
      <w:textAlignment w:val="baseline"/>
    </w:pPr>
    <w:rPr>
      <w:color w:val="000000"/>
    </w:rPr>
  </w:style>
  <w:style w:type="character" w:customStyle="1" w:styleId="FoonoteTextChar">
    <w:name w:val="Foonote Text Char"/>
    <w:basedOn w:val="FootnoteTextChar"/>
    <w:link w:val="FoonoteText"/>
    <w:locked/>
    <w:rsid w:val="00177DAA"/>
    <w:rPr>
      <w:rFonts w:asciiTheme="majorHAnsi" w:eastAsia="Times New Roman" w:hAnsiTheme="majorHAnsi" w:cs="Times New Roman"/>
      <w:color w:val="000000"/>
      <w:sz w:val="18"/>
      <w:szCs w:val="18"/>
    </w:rPr>
  </w:style>
  <w:style w:type="paragraph" w:customStyle="1" w:styleId="Bullet-Solid">
    <w:name w:val="Bullet-Solid"/>
    <w:basedOn w:val="Normal"/>
    <w:link w:val="Bullet-SolidChar"/>
    <w:qFormat/>
    <w:rsid w:val="00C65AF6"/>
    <w:pPr>
      <w:numPr>
        <w:numId w:val="10"/>
      </w:numPr>
      <w:spacing w:after="120"/>
    </w:pPr>
    <w:rPr>
      <w:rFonts w:cs="Times New Roman"/>
      <w:color w:val="000000"/>
      <w:sz w:val="20"/>
      <w:szCs w:val="20"/>
    </w:rPr>
  </w:style>
  <w:style w:type="character" w:customStyle="1" w:styleId="Bullet-SolidChar">
    <w:name w:val="Bullet-Solid Char"/>
    <w:basedOn w:val="DefaultParagraphFont"/>
    <w:link w:val="Bullet-Solid"/>
    <w:rsid w:val="00C65AF6"/>
    <w:rPr>
      <w:rFonts w:ascii="Cambria" w:hAnsi="Cambria" w:cs="Times New Roman"/>
      <w:color w:val="000000"/>
      <w:sz w:val="20"/>
      <w:szCs w:val="20"/>
    </w:rPr>
  </w:style>
  <w:style w:type="character" w:customStyle="1" w:styleId="Heading3Char1">
    <w:name w:val="Heading 3 Char1"/>
    <w:basedOn w:val="DefaultParagraphFont"/>
    <w:link w:val="Heading3"/>
    <w:rsid w:val="00177DAA"/>
    <w:rPr>
      <w:rFonts w:ascii="Calibri" w:eastAsiaTheme="majorEastAsia" w:hAnsi="Calibri" w:cstheme="majorBidi"/>
      <w:b/>
      <w:bCs/>
      <w:sz w:val="20"/>
      <w:szCs w:val="20"/>
    </w:rPr>
  </w:style>
  <w:style w:type="paragraph" w:styleId="Header">
    <w:name w:val="header"/>
    <w:basedOn w:val="Normal"/>
    <w:link w:val="HeaderChar"/>
    <w:uiPriority w:val="99"/>
    <w:unhideWhenUsed/>
    <w:rsid w:val="003B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0AC"/>
  </w:style>
  <w:style w:type="paragraph" w:styleId="Footer">
    <w:name w:val="footer"/>
    <w:basedOn w:val="Normal"/>
    <w:link w:val="FooterChar"/>
    <w:uiPriority w:val="99"/>
    <w:unhideWhenUsed/>
    <w:rsid w:val="003B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0AC"/>
  </w:style>
  <w:style w:type="paragraph" w:styleId="Caption">
    <w:name w:val="caption"/>
    <w:basedOn w:val="Normal"/>
    <w:next w:val="Normal"/>
    <w:link w:val="CaptionChar"/>
    <w:unhideWhenUsed/>
    <w:qFormat/>
    <w:rsid w:val="002A0D34"/>
    <w:pPr>
      <w:spacing w:before="120" w:line="240" w:lineRule="auto"/>
      <w:jc w:val="center"/>
    </w:pPr>
    <w:rPr>
      <w:rFonts w:ascii="Calibri" w:hAnsi="Calibri" w:cs="Times New Roman"/>
      <w:b/>
      <w:bCs/>
      <w:sz w:val="20"/>
      <w:szCs w:val="18"/>
    </w:rPr>
  </w:style>
  <w:style w:type="paragraph" w:customStyle="1" w:styleId="ISOBullets2">
    <w:name w:val="ISO Bullets 2"/>
    <w:basedOn w:val="Normal"/>
    <w:rsid w:val="00E6250A"/>
    <w:pPr>
      <w:numPr>
        <w:numId w:val="11"/>
      </w:numPr>
      <w:spacing w:line="240" w:lineRule="auto"/>
    </w:pPr>
    <w:rPr>
      <w:rFonts w:eastAsia="Times New Roman" w:cs="Times New Roman"/>
      <w:sz w:val="20"/>
      <w:szCs w:val="20"/>
    </w:rPr>
  </w:style>
  <w:style w:type="character" w:customStyle="1" w:styleId="CaptionChar">
    <w:name w:val="Caption Char"/>
    <w:basedOn w:val="DefaultParagraphFont"/>
    <w:link w:val="Caption"/>
    <w:locked/>
    <w:rsid w:val="002A0D34"/>
    <w:rPr>
      <w:rFonts w:ascii="Calibri" w:hAnsi="Calibri" w:cs="Times New Roman"/>
      <w:b/>
      <w:bCs/>
      <w:sz w:val="20"/>
      <w:szCs w:val="18"/>
    </w:rPr>
  </w:style>
  <w:style w:type="table" w:customStyle="1" w:styleId="20122tableformat1">
    <w:name w:val="2012 2 table format1"/>
    <w:basedOn w:val="TableNormal"/>
    <w:uiPriority w:val="63"/>
    <w:rsid w:val="00E6250A"/>
    <w:pPr>
      <w:spacing w:after="0" w:line="240" w:lineRule="auto"/>
    </w:pPr>
    <w:rPr>
      <w:rFonts w:ascii="Calibri" w:hAnsi="Calibri" w:cs="Times New Roman"/>
      <w:color w:val="62777F" w:themeColor="text1"/>
      <w:sz w:val="18"/>
      <w:szCs w:val="20"/>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sz w:val="20"/>
      </w:rPr>
    </w:tblStylePr>
  </w:style>
  <w:style w:type="paragraph" w:customStyle="1" w:styleId="Default">
    <w:name w:val="Default"/>
    <w:rsid w:val="00C046D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5411A"/>
    <w:pPr>
      <w:spacing w:after="0" w:line="240" w:lineRule="auto"/>
    </w:pPr>
  </w:style>
  <w:style w:type="paragraph" w:styleId="BodyText">
    <w:name w:val="Body Text"/>
    <w:aliases w:val="b"/>
    <w:basedOn w:val="Normal"/>
    <w:link w:val="BodyTextChar"/>
    <w:semiHidden/>
    <w:rsid w:val="00DC2E0E"/>
    <w:pPr>
      <w:spacing w:after="0" w:line="240" w:lineRule="auto"/>
    </w:pPr>
    <w:rPr>
      <w:rFonts w:ascii="Times New Roman" w:eastAsia="Times New Roman" w:hAnsi="Times New Roman" w:cs="Times New Roman"/>
      <w:szCs w:val="20"/>
    </w:rPr>
  </w:style>
  <w:style w:type="character" w:customStyle="1" w:styleId="BodyTextChar">
    <w:name w:val="Body Text Char"/>
    <w:aliases w:val="b Char"/>
    <w:basedOn w:val="DefaultParagraphFont"/>
    <w:link w:val="BodyText"/>
    <w:semiHidden/>
    <w:rsid w:val="00DC2E0E"/>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8477F4"/>
    <w:pPr>
      <w:pageBreakBefore w:val="0"/>
      <w:numPr>
        <w:numId w:val="0"/>
      </w:numPr>
      <w:spacing w:before="480" w:after="0" w:line="276" w:lineRule="auto"/>
      <w:outlineLvl w:val="9"/>
    </w:pPr>
    <w:rPr>
      <w:rFonts w:asciiTheme="majorHAnsi" w:hAnsiTheme="majorHAnsi"/>
      <w:color w:val="116E9D" w:themeColor="accent1" w:themeShade="BF"/>
      <w:sz w:val="28"/>
    </w:rPr>
  </w:style>
  <w:style w:type="paragraph" w:styleId="TOC1">
    <w:name w:val="toc 1"/>
    <w:basedOn w:val="Normal"/>
    <w:next w:val="Normal"/>
    <w:autoRedefine/>
    <w:uiPriority w:val="39"/>
    <w:unhideWhenUsed/>
    <w:qFormat/>
    <w:rsid w:val="00177DAA"/>
    <w:pPr>
      <w:tabs>
        <w:tab w:val="right" w:leader="dot" w:pos="9350"/>
      </w:tabs>
      <w:spacing w:after="120" w:line="240" w:lineRule="auto"/>
    </w:pPr>
    <w:rPr>
      <w:rFonts w:asciiTheme="minorHAnsi" w:hAnsiTheme="minorHAnsi" w:cs="Times New Roman"/>
      <w:b/>
      <w:bCs/>
      <w:noProof/>
      <w:color w:val="000000"/>
      <w:sz w:val="20"/>
      <w:szCs w:val="36"/>
    </w:rPr>
  </w:style>
  <w:style w:type="paragraph" w:styleId="TOC2">
    <w:name w:val="toc 2"/>
    <w:basedOn w:val="Normal"/>
    <w:next w:val="Normal"/>
    <w:autoRedefine/>
    <w:uiPriority w:val="39"/>
    <w:unhideWhenUsed/>
    <w:qFormat/>
    <w:rsid w:val="00177DAA"/>
    <w:pPr>
      <w:tabs>
        <w:tab w:val="right" w:leader="dot" w:pos="9350"/>
      </w:tabs>
      <w:spacing w:after="120" w:line="240" w:lineRule="auto"/>
      <w:ind w:left="216"/>
    </w:pPr>
    <w:rPr>
      <w:rFonts w:asciiTheme="minorHAnsi" w:hAnsiTheme="minorHAnsi"/>
      <w:noProof/>
      <w:color w:val="000000"/>
      <w:sz w:val="20"/>
      <w:szCs w:val="20"/>
    </w:rPr>
  </w:style>
  <w:style w:type="paragraph" w:styleId="TOC3">
    <w:name w:val="toc 3"/>
    <w:basedOn w:val="Normal"/>
    <w:next w:val="Normal"/>
    <w:autoRedefine/>
    <w:uiPriority w:val="39"/>
    <w:unhideWhenUsed/>
    <w:qFormat/>
    <w:rsid w:val="00177DAA"/>
    <w:pPr>
      <w:tabs>
        <w:tab w:val="right" w:leader="dot" w:pos="9350"/>
      </w:tabs>
      <w:spacing w:after="120" w:line="240" w:lineRule="auto"/>
      <w:ind w:left="446"/>
    </w:pPr>
    <w:rPr>
      <w:rFonts w:asciiTheme="minorHAnsi" w:hAnsiTheme="minorHAnsi"/>
      <w:iCs/>
      <w:noProof/>
      <w:color w:val="000000"/>
      <w:sz w:val="20"/>
      <w:szCs w:val="20"/>
    </w:rPr>
  </w:style>
  <w:style w:type="paragraph" w:styleId="TOC4">
    <w:name w:val="toc 4"/>
    <w:basedOn w:val="Normal"/>
    <w:next w:val="Normal"/>
    <w:autoRedefine/>
    <w:uiPriority w:val="39"/>
    <w:unhideWhenUsed/>
    <w:rsid w:val="00177DAA"/>
    <w:pPr>
      <w:spacing w:after="0"/>
      <w:ind w:left="660"/>
    </w:pPr>
    <w:rPr>
      <w:color w:val="000000"/>
      <w:sz w:val="18"/>
      <w:szCs w:val="18"/>
    </w:rPr>
  </w:style>
  <w:style w:type="paragraph" w:styleId="TOC5">
    <w:name w:val="toc 5"/>
    <w:basedOn w:val="Normal"/>
    <w:next w:val="Normal"/>
    <w:autoRedefine/>
    <w:uiPriority w:val="39"/>
    <w:unhideWhenUsed/>
    <w:rsid w:val="000D16D6"/>
    <w:pPr>
      <w:spacing w:after="0"/>
      <w:ind w:left="880"/>
    </w:pPr>
    <w:rPr>
      <w:sz w:val="18"/>
      <w:szCs w:val="18"/>
    </w:rPr>
  </w:style>
  <w:style w:type="paragraph" w:styleId="TOC6">
    <w:name w:val="toc 6"/>
    <w:basedOn w:val="Normal"/>
    <w:next w:val="Normal"/>
    <w:autoRedefine/>
    <w:uiPriority w:val="39"/>
    <w:unhideWhenUsed/>
    <w:rsid w:val="000D16D6"/>
    <w:pPr>
      <w:spacing w:after="0"/>
      <w:ind w:left="1100"/>
    </w:pPr>
    <w:rPr>
      <w:sz w:val="18"/>
      <w:szCs w:val="18"/>
    </w:rPr>
  </w:style>
  <w:style w:type="paragraph" w:styleId="TOC7">
    <w:name w:val="toc 7"/>
    <w:basedOn w:val="Normal"/>
    <w:next w:val="Normal"/>
    <w:autoRedefine/>
    <w:uiPriority w:val="39"/>
    <w:unhideWhenUsed/>
    <w:rsid w:val="000D16D6"/>
    <w:pPr>
      <w:spacing w:after="0"/>
      <w:ind w:left="1320"/>
    </w:pPr>
    <w:rPr>
      <w:sz w:val="18"/>
      <w:szCs w:val="18"/>
    </w:rPr>
  </w:style>
  <w:style w:type="paragraph" w:styleId="TOC8">
    <w:name w:val="toc 8"/>
    <w:basedOn w:val="Normal"/>
    <w:next w:val="Normal"/>
    <w:autoRedefine/>
    <w:uiPriority w:val="39"/>
    <w:unhideWhenUsed/>
    <w:rsid w:val="000D16D6"/>
    <w:pPr>
      <w:spacing w:after="0"/>
      <w:ind w:left="1540"/>
    </w:pPr>
    <w:rPr>
      <w:sz w:val="18"/>
      <w:szCs w:val="18"/>
    </w:rPr>
  </w:style>
  <w:style w:type="paragraph" w:styleId="TOC9">
    <w:name w:val="toc 9"/>
    <w:basedOn w:val="Normal"/>
    <w:next w:val="Normal"/>
    <w:autoRedefine/>
    <w:uiPriority w:val="39"/>
    <w:unhideWhenUsed/>
    <w:rsid w:val="000D16D6"/>
    <w:pPr>
      <w:spacing w:after="0"/>
      <w:ind w:left="1760"/>
    </w:pPr>
    <w:rPr>
      <w:sz w:val="18"/>
      <w:szCs w:val="18"/>
    </w:rPr>
  </w:style>
  <w:style w:type="character" w:styleId="CommentReference">
    <w:name w:val="annotation reference"/>
    <w:basedOn w:val="DefaultParagraphFont"/>
    <w:uiPriority w:val="99"/>
    <w:semiHidden/>
    <w:unhideWhenUsed/>
    <w:rsid w:val="00BA142E"/>
    <w:rPr>
      <w:sz w:val="16"/>
      <w:szCs w:val="16"/>
    </w:rPr>
  </w:style>
  <w:style w:type="paragraph" w:styleId="CommentText">
    <w:name w:val="annotation text"/>
    <w:basedOn w:val="Normal"/>
    <w:link w:val="CommentTextChar"/>
    <w:uiPriority w:val="99"/>
    <w:semiHidden/>
    <w:unhideWhenUsed/>
    <w:rsid w:val="00BA142E"/>
    <w:pPr>
      <w:spacing w:line="240" w:lineRule="auto"/>
    </w:pPr>
    <w:rPr>
      <w:sz w:val="20"/>
      <w:szCs w:val="20"/>
    </w:rPr>
  </w:style>
  <w:style w:type="character" w:customStyle="1" w:styleId="CommentTextChar">
    <w:name w:val="Comment Text Char"/>
    <w:basedOn w:val="DefaultParagraphFont"/>
    <w:link w:val="CommentText"/>
    <w:uiPriority w:val="99"/>
    <w:semiHidden/>
    <w:rsid w:val="00BA142E"/>
    <w:rPr>
      <w:sz w:val="20"/>
      <w:szCs w:val="20"/>
    </w:rPr>
  </w:style>
  <w:style w:type="paragraph" w:styleId="CommentSubject">
    <w:name w:val="annotation subject"/>
    <w:basedOn w:val="CommentText"/>
    <w:next w:val="CommentText"/>
    <w:link w:val="CommentSubjectChar"/>
    <w:uiPriority w:val="99"/>
    <w:semiHidden/>
    <w:unhideWhenUsed/>
    <w:rsid w:val="00BA142E"/>
    <w:rPr>
      <w:b/>
      <w:bCs/>
    </w:rPr>
  </w:style>
  <w:style w:type="character" w:customStyle="1" w:styleId="CommentSubjectChar">
    <w:name w:val="Comment Subject Char"/>
    <w:basedOn w:val="CommentTextChar"/>
    <w:link w:val="CommentSubject"/>
    <w:uiPriority w:val="99"/>
    <w:semiHidden/>
    <w:rsid w:val="00BA142E"/>
    <w:rPr>
      <w:b/>
      <w:bCs/>
      <w:sz w:val="20"/>
      <w:szCs w:val="20"/>
    </w:rPr>
  </w:style>
  <w:style w:type="paragraph" w:styleId="Revision">
    <w:name w:val="Revision"/>
    <w:hidden/>
    <w:uiPriority w:val="99"/>
    <w:semiHidden/>
    <w:rsid w:val="0001446F"/>
    <w:pPr>
      <w:spacing w:after="0" w:line="240" w:lineRule="auto"/>
    </w:pPr>
  </w:style>
  <w:style w:type="paragraph" w:styleId="DocumentMap">
    <w:name w:val="Document Map"/>
    <w:basedOn w:val="Normal"/>
    <w:link w:val="DocumentMapChar"/>
    <w:uiPriority w:val="99"/>
    <w:semiHidden/>
    <w:unhideWhenUsed/>
    <w:rsid w:val="003C369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C3691"/>
    <w:rPr>
      <w:rFonts w:ascii="Tahoma" w:hAnsi="Tahoma" w:cs="Tahoma"/>
      <w:sz w:val="16"/>
      <w:szCs w:val="16"/>
    </w:rPr>
  </w:style>
  <w:style w:type="character" w:styleId="FollowedHyperlink">
    <w:name w:val="FollowedHyperlink"/>
    <w:basedOn w:val="DefaultParagraphFont"/>
    <w:uiPriority w:val="99"/>
    <w:semiHidden/>
    <w:unhideWhenUsed/>
    <w:rsid w:val="007B6B94"/>
    <w:rPr>
      <w:color w:val="8555A1" w:themeColor="followedHyperlink"/>
      <w:u w:val="single"/>
    </w:rPr>
  </w:style>
  <w:style w:type="table" w:styleId="MediumShading1-Accent3">
    <w:name w:val="Medium Shading 1 Accent 3"/>
    <w:basedOn w:val="TableNormal"/>
    <w:uiPriority w:val="63"/>
    <w:rsid w:val="008C5BFA"/>
    <w:pPr>
      <w:spacing w:after="0" w:line="240" w:lineRule="auto"/>
    </w:pPr>
    <w:tblPr>
      <w:tblStyleRowBandSize w:val="1"/>
      <w:tblStyleColBandSize w:val="1"/>
      <w:tblBorders>
        <w:top w:val="single" w:sz="8" w:space="0" w:color="99D954" w:themeColor="accent3" w:themeTint="BF"/>
        <w:left w:val="single" w:sz="8" w:space="0" w:color="99D954" w:themeColor="accent3" w:themeTint="BF"/>
        <w:bottom w:val="single" w:sz="8" w:space="0" w:color="99D954" w:themeColor="accent3" w:themeTint="BF"/>
        <w:right w:val="single" w:sz="8" w:space="0" w:color="99D954" w:themeColor="accent3" w:themeTint="BF"/>
        <w:insideH w:val="single" w:sz="8" w:space="0" w:color="99D954" w:themeColor="accent3" w:themeTint="BF"/>
      </w:tblBorders>
    </w:tblPr>
    <w:tblStylePr w:type="firstRow">
      <w:pPr>
        <w:spacing w:before="0" w:after="0" w:line="240" w:lineRule="auto"/>
      </w:pPr>
      <w:rPr>
        <w:b/>
        <w:bCs/>
        <w:color w:val="FFFFFF" w:themeColor="background1"/>
      </w:rPr>
      <w:tblPr/>
      <w:tcPr>
        <w:tcBorders>
          <w:top w:val="single" w:sz="8" w:space="0" w:color="99D954" w:themeColor="accent3" w:themeTint="BF"/>
          <w:left w:val="single" w:sz="8" w:space="0" w:color="99D954" w:themeColor="accent3" w:themeTint="BF"/>
          <w:bottom w:val="single" w:sz="8" w:space="0" w:color="99D954" w:themeColor="accent3" w:themeTint="BF"/>
          <w:right w:val="single" w:sz="8" w:space="0" w:color="99D954" w:themeColor="accent3" w:themeTint="BF"/>
          <w:insideH w:val="nil"/>
          <w:insideV w:val="nil"/>
        </w:tcBorders>
        <w:shd w:val="clear" w:color="auto" w:fill="77BD2A" w:themeFill="accent3"/>
      </w:tcPr>
    </w:tblStylePr>
    <w:tblStylePr w:type="lastRow">
      <w:pPr>
        <w:spacing w:before="0" w:after="0" w:line="240" w:lineRule="auto"/>
      </w:pPr>
      <w:rPr>
        <w:b/>
        <w:bCs/>
      </w:rPr>
      <w:tblPr/>
      <w:tcPr>
        <w:tcBorders>
          <w:top w:val="double" w:sz="6" w:space="0" w:color="99D954" w:themeColor="accent3" w:themeTint="BF"/>
          <w:left w:val="single" w:sz="8" w:space="0" w:color="99D954" w:themeColor="accent3" w:themeTint="BF"/>
          <w:bottom w:val="single" w:sz="8" w:space="0" w:color="99D954" w:themeColor="accent3" w:themeTint="BF"/>
          <w:right w:val="single" w:sz="8" w:space="0" w:color="99D95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F2C6" w:themeFill="accent3" w:themeFillTint="3F"/>
      </w:tcPr>
    </w:tblStylePr>
    <w:tblStylePr w:type="band1Horz">
      <w:tblPr/>
      <w:tcPr>
        <w:tcBorders>
          <w:insideH w:val="nil"/>
          <w:insideV w:val="nil"/>
        </w:tcBorders>
        <w:shd w:val="clear" w:color="auto" w:fill="DDF2C6"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2334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BD2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BD2A" w:themeFill="accent3"/>
      </w:tcPr>
    </w:tblStylePr>
    <w:tblStylePr w:type="lastCol">
      <w:rPr>
        <w:b/>
        <w:bCs/>
        <w:color w:val="FFFFFF" w:themeColor="background1"/>
      </w:rPr>
      <w:tblPr/>
      <w:tcPr>
        <w:tcBorders>
          <w:left w:val="nil"/>
          <w:right w:val="nil"/>
          <w:insideH w:val="nil"/>
          <w:insideV w:val="nil"/>
        </w:tcBorders>
        <w:shd w:val="clear" w:color="auto" w:fill="77BD2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A92E46"/>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080D67"/>
    <w:pPr>
      <w:spacing w:after="0"/>
    </w:pPr>
    <w:rPr>
      <w:rFonts w:ascii="Calibri" w:hAnsi="Calibri"/>
      <w:sz w:val="20"/>
    </w:rPr>
  </w:style>
  <w:style w:type="table" w:customStyle="1" w:styleId="MediumShading2-Accent31">
    <w:name w:val="Medium Shading 2 - Accent 31"/>
    <w:basedOn w:val="TableNormal"/>
    <w:next w:val="MediumShading2-Accent3"/>
    <w:uiPriority w:val="64"/>
    <w:rsid w:val="008D18A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BD2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BD2A" w:themeFill="accent3"/>
      </w:tcPr>
    </w:tblStylePr>
    <w:tblStylePr w:type="lastCol">
      <w:rPr>
        <w:b/>
        <w:bCs/>
        <w:color w:val="FFFFFF" w:themeColor="background1"/>
      </w:rPr>
      <w:tblPr/>
      <w:tcPr>
        <w:tcBorders>
          <w:left w:val="nil"/>
          <w:right w:val="nil"/>
          <w:insideH w:val="nil"/>
          <w:insideV w:val="nil"/>
        </w:tcBorders>
        <w:shd w:val="clear" w:color="auto" w:fill="77BD2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0F6B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BD2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BD2A" w:themeFill="accent3"/>
      </w:tcPr>
    </w:tblStylePr>
    <w:tblStylePr w:type="lastCol">
      <w:rPr>
        <w:b/>
        <w:bCs/>
        <w:color w:val="FFFFFF" w:themeColor="background1"/>
      </w:rPr>
      <w:tblPr/>
      <w:tcPr>
        <w:tcBorders>
          <w:left w:val="nil"/>
          <w:right w:val="nil"/>
          <w:insideH w:val="nil"/>
          <w:insideV w:val="nil"/>
        </w:tcBorders>
        <w:shd w:val="clear" w:color="auto" w:fill="77BD2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0F6BC3"/>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tblBorders>
    </w:tblPr>
    <w:tblStylePr w:type="firstRow">
      <w:pPr>
        <w:spacing w:before="0" w:after="0" w:line="240" w:lineRule="auto"/>
      </w:pPr>
      <w:rPr>
        <w:b/>
        <w:bCs/>
        <w:color w:val="FFFFFF" w:themeColor="background1"/>
      </w:rPr>
      <w:tblPr/>
      <w:tcPr>
        <w:shd w:val="clear" w:color="auto" w:fill="1795D2" w:themeFill="accent1"/>
      </w:tcPr>
    </w:tblStylePr>
    <w:tblStylePr w:type="lastRow">
      <w:pPr>
        <w:spacing w:before="0" w:after="0" w:line="240" w:lineRule="auto"/>
      </w:pPr>
      <w:rPr>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tcBorders>
      </w:tcPr>
    </w:tblStylePr>
    <w:tblStylePr w:type="firstCol">
      <w:rPr>
        <w:b/>
        <w:bCs/>
      </w:rPr>
    </w:tblStylePr>
    <w:tblStylePr w:type="lastCol">
      <w:rPr>
        <w:b/>
        <w:bCs/>
      </w:r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style>
  <w:style w:type="table" w:customStyle="1" w:styleId="MediumShading1-Accent11">
    <w:name w:val="Medium Shading 1 - Accent 11"/>
    <w:basedOn w:val="TableNormal"/>
    <w:uiPriority w:val="63"/>
    <w:rsid w:val="000F6BC3"/>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paragraph" w:customStyle="1" w:styleId="body">
    <w:name w:val="body"/>
    <w:basedOn w:val="Normal"/>
    <w:uiPriority w:val="99"/>
    <w:rsid w:val="00AE6583"/>
    <w:pPr>
      <w:widowControl w:val="0"/>
      <w:suppressAutoHyphens/>
      <w:autoSpaceDE w:val="0"/>
      <w:autoSpaceDN w:val="0"/>
      <w:adjustRightInd w:val="0"/>
      <w:spacing w:before="260" w:after="0"/>
      <w:textAlignment w:val="center"/>
    </w:pPr>
    <w:rPr>
      <w:rFonts w:ascii="Whitney-Book" w:eastAsiaTheme="minorEastAsia" w:hAnsi="Whitney-Book" w:cs="Whitney-Book"/>
      <w:color w:val="000000"/>
      <w:sz w:val="18"/>
      <w:szCs w:val="18"/>
    </w:rPr>
  </w:style>
  <w:style w:type="character" w:customStyle="1" w:styleId="Heading5Char">
    <w:name w:val="Heading 5 Char"/>
    <w:basedOn w:val="DefaultParagraphFont"/>
    <w:link w:val="Heading5"/>
    <w:uiPriority w:val="9"/>
    <w:rsid w:val="009716EF"/>
    <w:rPr>
      <w:rFonts w:asciiTheme="majorHAnsi" w:eastAsiaTheme="majorEastAsia" w:hAnsiTheme="majorHAnsi" w:cstheme="majorBidi"/>
      <w:color w:val="0B4968" w:themeColor="accent1" w:themeShade="7F"/>
    </w:rPr>
  </w:style>
  <w:style w:type="table" w:styleId="TableGrid">
    <w:name w:val="Table Grid"/>
    <w:basedOn w:val="TableNormal"/>
    <w:uiPriority w:val="59"/>
    <w:rsid w:val="007C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E018A"/>
  </w:style>
  <w:style w:type="character" w:customStyle="1" w:styleId="eop">
    <w:name w:val="eop"/>
    <w:basedOn w:val="DefaultParagraphFont"/>
    <w:rsid w:val="00FE018A"/>
  </w:style>
  <w:style w:type="table" w:styleId="GridTable4-Accent1">
    <w:name w:val="Grid Table 4 Accent 1"/>
    <w:basedOn w:val="TableNormal"/>
    <w:uiPriority w:val="49"/>
    <w:rsid w:val="00A0057D"/>
    <w:pPr>
      <w:spacing w:after="0" w:line="240" w:lineRule="auto"/>
    </w:pPr>
    <w:tblPr>
      <w:tblStyleRowBandSize w:val="1"/>
      <w:tblStyleColBandSize w:val="1"/>
      <w:tblBorders>
        <w:top w:val="single" w:sz="4" w:space="0" w:color="69C2EE" w:themeColor="accent1" w:themeTint="99"/>
        <w:left w:val="single" w:sz="4" w:space="0" w:color="69C2EE" w:themeColor="accent1" w:themeTint="99"/>
        <w:bottom w:val="single" w:sz="4" w:space="0" w:color="69C2EE" w:themeColor="accent1" w:themeTint="99"/>
        <w:right w:val="single" w:sz="4" w:space="0" w:color="69C2EE" w:themeColor="accent1" w:themeTint="99"/>
        <w:insideH w:val="single" w:sz="4" w:space="0" w:color="69C2EE" w:themeColor="accent1" w:themeTint="99"/>
        <w:insideV w:val="single" w:sz="4" w:space="0" w:color="69C2EE" w:themeColor="accent1" w:themeTint="99"/>
      </w:tblBorders>
    </w:tblPr>
    <w:tblStylePr w:type="firstRow">
      <w:rPr>
        <w:b/>
        <w:bCs/>
        <w:color w:val="FFFFFF" w:themeColor="background1"/>
      </w:rPr>
      <w:tblPr/>
      <w:tcPr>
        <w:tcBorders>
          <w:top w:val="single" w:sz="4" w:space="0" w:color="1795D2" w:themeColor="accent1"/>
          <w:left w:val="single" w:sz="4" w:space="0" w:color="1795D2" w:themeColor="accent1"/>
          <w:bottom w:val="single" w:sz="4" w:space="0" w:color="1795D2" w:themeColor="accent1"/>
          <w:right w:val="single" w:sz="4" w:space="0" w:color="1795D2" w:themeColor="accent1"/>
          <w:insideH w:val="nil"/>
          <w:insideV w:val="nil"/>
        </w:tcBorders>
        <w:shd w:val="clear" w:color="auto" w:fill="1795D2" w:themeFill="accent1"/>
      </w:tcPr>
    </w:tblStylePr>
    <w:tblStylePr w:type="lastRow">
      <w:rPr>
        <w:b/>
        <w:bCs/>
      </w:rPr>
      <w:tblPr/>
      <w:tcPr>
        <w:tcBorders>
          <w:top w:val="double" w:sz="4" w:space="0" w:color="1795D2" w:themeColor="accent1"/>
        </w:tcBorders>
      </w:tcPr>
    </w:tblStylePr>
    <w:tblStylePr w:type="firstCol">
      <w:rPr>
        <w:b/>
        <w:bCs/>
      </w:rPr>
    </w:tblStylePr>
    <w:tblStylePr w:type="lastCol">
      <w:rPr>
        <w:b/>
        <w:bCs/>
      </w:rPr>
    </w:tblStylePr>
    <w:tblStylePr w:type="band1Vert">
      <w:tblPr/>
      <w:tcPr>
        <w:shd w:val="clear" w:color="auto" w:fill="CCEAF9" w:themeFill="accent1" w:themeFillTint="33"/>
      </w:tcPr>
    </w:tblStylePr>
    <w:tblStylePr w:type="band1Horz">
      <w:tblPr/>
      <w:tcPr>
        <w:shd w:val="clear" w:color="auto" w:fill="CCEAF9" w:themeFill="accent1" w:themeFillTint="33"/>
      </w:tcPr>
    </w:tblStylePr>
  </w:style>
  <w:style w:type="character" w:styleId="Strong">
    <w:name w:val="Strong"/>
    <w:basedOn w:val="DefaultParagraphFont"/>
    <w:uiPriority w:val="22"/>
    <w:qFormat/>
    <w:rsid w:val="00680412"/>
    <w:rPr>
      <w:b/>
      <w:bCs/>
    </w:rPr>
  </w:style>
  <w:style w:type="table" w:styleId="GridTable3-Accent3">
    <w:name w:val="Grid Table 3 Accent 3"/>
    <w:basedOn w:val="TableNormal"/>
    <w:uiPriority w:val="48"/>
    <w:rsid w:val="00A16AA0"/>
    <w:pPr>
      <w:spacing w:after="0" w:line="240" w:lineRule="auto"/>
    </w:pPr>
    <w:tblPr>
      <w:tblStyleRowBandSize w:val="1"/>
      <w:tblStyleColBandSize w:val="1"/>
      <w:tblBorders>
        <w:top w:val="single" w:sz="4" w:space="0" w:color="ADE075" w:themeColor="accent3" w:themeTint="99"/>
        <w:left w:val="single" w:sz="4" w:space="0" w:color="ADE075" w:themeColor="accent3" w:themeTint="99"/>
        <w:bottom w:val="single" w:sz="4" w:space="0" w:color="ADE075" w:themeColor="accent3" w:themeTint="99"/>
        <w:right w:val="single" w:sz="4" w:space="0" w:color="ADE075" w:themeColor="accent3" w:themeTint="99"/>
        <w:insideH w:val="single" w:sz="4" w:space="0" w:color="ADE075" w:themeColor="accent3" w:themeTint="99"/>
        <w:insideV w:val="single" w:sz="4" w:space="0" w:color="ADE07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D1" w:themeFill="accent3" w:themeFillTint="33"/>
      </w:tcPr>
    </w:tblStylePr>
    <w:tblStylePr w:type="band1Horz">
      <w:tblPr/>
      <w:tcPr>
        <w:shd w:val="clear" w:color="auto" w:fill="E3F4D1" w:themeFill="accent3" w:themeFillTint="33"/>
      </w:tcPr>
    </w:tblStylePr>
    <w:tblStylePr w:type="neCell">
      <w:tblPr/>
      <w:tcPr>
        <w:tcBorders>
          <w:bottom w:val="single" w:sz="4" w:space="0" w:color="ADE075" w:themeColor="accent3" w:themeTint="99"/>
        </w:tcBorders>
      </w:tcPr>
    </w:tblStylePr>
    <w:tblStylePr w:type="nwCell">
      <w:tblPr/>
      <w:tcPr>
        <w:tcBorders>
          <w:bottom w:val="single" w:sz="4" w:space="0" w:color="ADE075" w:themeColor="accent3" w:themeTint="99"/>
        </w:tcBorders>
      </w:tcPr>
    </w:tblStylePr>
    <w:tblStylePr w:type="seCell">
      <w:tblPr/>
      <w:tcPr>
        <w:tcBorders>
          <w:top w:val="single" w:sz="4" w:space="0" w:color="ADE075" w:themeColor="accent3" w:themeTint="99"/>
        </w:tcBorders>
      </w:tcPr>
    </w:tblStylePr>
    <w:tblStylePr w:type="swCell">
      <w:tblPr/>
      <w:tcPr>
        <w:tcBorders>
          <w:top w:val="single" w:sz="4" w:space="0" w:color="ADE075" w:themeColor="accent3" w:themeTint="99"/>
        </w:tcBorders>
      </w:tcPr>
    </w:tblStylePr>
  </w:style>
  <w:style w:type="table" w:styleId="GridTable4-Accent3">
    <w:name w:val="Grid Table 4 Accent 3"/>
    <w:basedOn w:val="TableNormal"/>
    <w:uiPriority w:val="49"/>
    <w:rsid w:val="0086268F"/>
    <w:pPr>
      <w:spacing w:after="0" w:line="240" w:lineRule="auto"/>
    </w:pPr>
    <w:tblPr>
      <w:tblStyleRowBandSize w:val="1"/>
      <w:tblStyleColBandSize w:val="1"/>
      <w:tblBorders>
        <w:top w:val="single" w:sz="4" w:space="0" w:color="ADE075" w:themeColor="accent3" w:themeTint="99"/>
        <w:left w:val="single" w:sz="4" w:space="0" w:color="ADE075" w:themeColor="accent3" w:themeTint="99"/>
        <w:bottom w:val="single" w:sz="4" w:space="0" w:color="ADE075" w:themeColor="accent3" w:themeTint="99"/>
        <w:right w:val="single" w:sz="4" w:space="0" w:color="ADE075" w:themeColor="accent3" w:themeTint="99"/>
        <w:insideH w:val="single" w:sz="4" w:space="0" w:color="ADE075" w:themeColor="accent3" w:themeTint="99"/>
        <w:insideV w:val="single" w:sz="4" w:space="0" w:color="ADE075" w:themeColor="accent3" w:themeTint="99"/>
      </w:tblBorders>
    </w:tblPr>
    <w:tblStylePr w:type="firstRow">
      <w:rPr>
        <w:b/>
        <w:bCs/>
        <w:color w:val="FFFFFF" w:themeColor="background1"/>
      </w:rPr>
      <w:tblPr/>
      <w:tcPr>
        <w:tcBorders>
          <w:top w:val="single" w:sz="4" w:space="0" w:color="77BD2A" w:themeColor="accent3"/>
          <w:left w:val="single" w:sz="4" w:space="0" w:color="77BD2A" w:themeColor="accent3"/>
          <w:bottom w:val="single" w:sz="4" w:space="0" w:color="77BD2A" w:themeColor="accent3"/>
          <w:right w:val="single" w:sz="4" w:space="0" w:color="77BD2A" w:themeColor="accent3"/>
          <w:insideH w:val="nil"/>
          <w:insideV w:val="nil"/>
        </w:tcBorders>
        <w:shd w:val="clear" w:color="auto" w:fill="77BD2A" w:themeFill="accent3"/>
      </w:tcPr>
    </w:tblStylePr>
    <w:tblStylePr w:type="lastRow">
      <w:rPr>
        <w:b/>
        <w:bCs/>
      </w:rPr>
      <w:tblPr/>
      <w:tcPr>
        <w:tcBorders>
          <w:top w:val="double" w:sz="4" w:space="0" w:color="77BD2A" w:themeColor="accent3"/>
        </w:tcBorders>
      </w:tcPr>
    </w:tblStylePr>
    <w:tblStylePr w:type="firstCol">
      <w:rPr>
        <w:b/>
        <w:bCs/>
      </w:rPr>
    </w:tblStylePr>
    <w:tblStylePr w:type="lastCol">
      <w:rPr>
        <w:b/>
        <w:bCs/>
      </w:rPr>
    </w:tblStylePr>
    <w:tblStylePr w:type="band1Vert">
      <w:tblPr/>
      <w:tcPr>
        <w:shd w:val="clear" w:color="auto" w:fill="E3F4D1" w:themeFill="accent3" w:themeFillTint="33"/>
      </w:tcPr>
    </w:tblStylePr>
    <w:tblStylePr w:type="band1Horz">
      <w:tblPr/>
      <w:tcPr>
        <w:shd w:val="clear" w:color="auto" w:fill="E3F4D1"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857">
      <w:bodyDiv w:val="1"/>
      <w:marLeft w:val="0"/>
      <w:marRight w:val="0"/>
      <w:marTop w:val="0"/>
      <w:marBottom w:val="0"/>
      <w:divBdr>
        <w:top w:val="none" w:sz="0" w:space="0" w:color="auto"/>
        <w:left w:val="none" w:sz="0" w:space="0" w:color="auto"/>
        <w:bottom w:val="none" w:sz="0" w:space="0" w:color="auto"/>
        <w:right w:val="none" w:sz="0" w:space="0" w:color="auto"/>
      </w:divBdr>
    </w:div>
    <w:div w:id="21513617">
      <w:bodyDiv w:val="1"/>
      <w:marLeft w:val="0"/>
      <w:marRight w:val="0"/>
      <w:marTop w:val="0"/>
      <w:marBottom w:val="0"/>
      <w:divBdr>
        <w:top w:val="none" w:sz="0" w:space="0" w:color="auto"/>
        <w:left w:val="none" w:sz="0" w:space="0" w:color="auto"/>
        <w:bottom w:val="none" w:sz="0" w:space="0" w:color="auto"/>
        <w:right w:val="none" w:sz="0" w:space="0" w:color="auto"/>
      </w:divBdr>
    </w:div>
    <w:div w:id="42294172">
      <w:bodyDiv w:val="1"/>
      <w:marLeft w:val="0"/>
      <w:marRight w:val="0"/>
      <w:marTop w:val="0"/>
      <w:marBottom w:val="0"/>
      <w:divBdr>
        <w:top w:val="none" w:sz="0" w:space="0" w:color="auto"/>
        <w:left w:val="none" w:sz="0" w:space="0" w:color="auto"/>
        <w:bottom w:val="none" w:sz="0" w:space="0" w:color="auto"/>
        <w:right w:val="none" w:sz="0" w:space="0" w:color="auto"/>
      </w:divBdr>
    </w:div>
    <w:div w:id="62722553">
      <w:bodyDiv w:val="1"/>
      <w:marLeft w:val="0"/>
      <w:marRight w:val="0"/>
      <w:marTop w:val="0"/>
      <w:marBottom w:val="0"/>
      <w:divBdr>
        <w:top w:val="none" w:sz="0" w:space="0" w:color="auto"/>
        <w:left w:val="none" w:sz="0" w:space="0" w:color="auto"/>
        <w:bottom w:val="none" w:sz="0" w:space="0" w:color="auto"/>
        <w:right w:val="none" w:sz="0" w:space="0" w:color="auto"/>
      </w:divBdr>
    </w:div>
    <w:div w:id="88816501">
      <w:bodyDiv w:val="1"/>
      <w:marLeft w:val="0"/>
      <w:marRight w:val="0"/>
      <w:marTop w:val="0"/>
      <w:marBottom w:val="0"/>
      <w:divBdr>
        <w:top w:val="none" w:sz="0" w:space="0" w:color="auto"/>
        <w:left w:val="none" w:sz="0" w:space="0" w:color="auto"/>
        <w:bottom w:val="none" w:sz="0" w:space="0" w:color="auto"/>
        <w:right w:val="none" w:sz="0" w:space="0" w:color="auto"/>
      </w:divBdr>
    </w:div>
    <w:div w:id="101538837">
      <w:bodyDiv w:val="1"/>
      <w:marLeft w:val="0"/>
      <w:marRight w:val="0"/>
      <w:marTop w:val="0"/>
      <w:marBottom w:val="0"/>
      <w:divBdr>
        <w:top w:val="none" w:sz="0" w:space="0" w:color="auto"/>
        <w:left w:val="none" w:sz="0" w:space="0" w:color="auto"/>
        <w:bottom w:val="none" w:sz="0" w:space="0" w:color="auto"/>
        <w:right w:val="none" w:sz="0" w:space="0" w:color="auto"/>
      </w:divBdr>
    </w:div>
    <w:div w:id="102917607">
      <w:bodyDiv w:val="1"/>
      <w:marLeft w:val="0"/>
      <w:marRight w:val="0"/>
      <w:marTop w:val="0"/>
      <w:marBottom w:val="0"/>
      <w:divBdr>
        <w:top w:val="none" w:sz="0" w:space="0" w:color="auto"/>
        <w:left w:val="none" w:sz="0" w:space="0" w:color="auto"/>
        <w:bottom w:val="none" w:sz="0" w:space="0" w:color="auto"/>
        <w:right w:val="none" w:sz="0" w:space="0" w:color="auto"/>
      </w:divBdr>
    </w:div>
    <w:div w:id="153684481">
      <w:bodyDiv w:val="1"/>
      <w:marLeft w:val="0"/>
      <w:marRight w:val="0"/>
      <w:marTop w:val="0"/>
      <w:marBottom w:val="0"/>
      <w:divBdr>
        <w:top w:val="none" w:sz="0" w:space="0" w:color="auto"/>
        <w:left w:val="none" w:sz="0" w:space="0" w:color="auto"/>
        <w:bottom w:val="none" w:sz="0" w:space="0" w:color="auto"/>
        <w:right w:val="none" w:sz="0" w:space="0" w:color="auto"/>
      </w:divBdr>
    </w:div>
    <w:div w:id="168182988">
      <w:bodyDiv w:val="1"/>
      <w:marLeft w:val="0"/>
      <w:marRight w:val="0"/>
      <w:marTop w:val="0"/>
      <w:marBottom w:val="0"/>
      <w:divBdr>
        <w:top w:val="none" w:sz="0" w:space="0" w:color="auto"/>
        <w:left w:val="none" w:sz="0" w:space="0" w:color="auto"/>
        <w:bottom w:val="none" w:sz="0" w:space="0" w:color="auto"/>
        <w:right w:val="none" w:sz="0" w:space="0" w:color="auto"/>
      </w:divBdr>
    </w:div>
    <w:div w:id="168493804">
      <w:bodyDiv w:val="1"/>
      <w:marLeft w:val="0"/>
      <w:marRight w:val="0"/>
      <w:marTop w:val="0"/>
      <w:marBottom w:val="0"/>
      <w:divBdr>
        <w:top w:val="none" w:sz="0" w:space="0" w:color="auto"/>
        <w:left w:val="none" w:sz="0" w:space="0" w:color="auto"/>
        <w:bottom w:val="none" w:sz="0" w:space="0" w:color="auto"/>
        <w:right w:val="none" w:sz="0" w:space="0" w:color="auto"/>
      </w:divBdr>
    </w:div>
    <w:div w:id="178814901">
      <w:bodyDiv w:val="1"/>
      <w:marLeft w:val="0"/>
      <w:marRight w:val="0"/>
      <w:marTop w:val="0"/>
      <w:marBottom w:val="0"/>
      <w:divBdr>
        <w:top w:val="none" w:sz="0" w:space="0" w:color="auto"/>
        <w:left w:val="none" w:sz="0" w:space="0" w:color="auto"/>
        <w:bottom w:val="none" w:sz="0" w:space="0" w:color="auto"/>
        <w:right w:val="none" w:sz="0" w:space="0" w:color="auto"/>
      </w:divBdr>
      <w:divsChild>
        <w:div w:id="216167920">
          <w:marLeft w:val="547"/>
          <w:marRight w:val="0"/>
          <w:marTop w:val="240"/>
          <w:marBottom w:val="0"/>
          <w:divBdr>
            <w:top w:val="none" w:sz="0" w:space="0" w:color="auto"/>
            <w:left w:val="none" w:sz="0" w:space="0" w:color="auto"/>
            <w:bottom w:val="none" w:sz="0" w:space="0" w:color="auto"/>
            <w:right w:val="none" w:sz="0" w:space="0" w:color="auto"/>
          </w:divBdr>
        </w:div>
        <w:div w:id="338897794">
          <w:marLeft w:val="547"/>
          <w:marRight w:val="0"/>
          <w:marTop w:val="240"/>
          <w:marBottom w:val="0"/>
          <w:divBdr>
            <w:top w:val="none" w:sz="0" w:space="0" w:color="auto"/>
            <w:left w:val="none" w:sz="0" w:space="0" w:color="auto"/>
            <w:bottom w:val="none" w:sz="0" w:space="0" w:color="auto"/>
            <w:right w:val="none" w:sz="0" w:space="0" w:color="auto"/>
          </w:divBdr>
        </w:div>
        <w:div w:id="634216141">
          <w:marLeft w:val="547"/>
          <w:marRight w:val="0"/>
          <w:marTop w:val="240"/>
          <w:marBottom w:val="0"/>
          <w:divBdr>
            <w:top w:val="none" w:sz="0" w:space="0" w:color="auto"/>
            <w:left w:val="none" w:sz="0" w:space="0" w:color="auto"/>
            <w:bottom w:val="none" w:sz="0" w:space="0" w:color="auto"/>
            <w:right w:val="none" w:sz="0" w:space="0" w:color="auto"/>
          </w:divBdr>
        </w:div>
        <w:div w:id="826868550">
          <w:marLeft w:val="547"/>
          <w:marRight w:val="0"/>
          <w:marTop w:val="240"/>
          <w:marBottom w:val="0"/>
          <w:divBdr>
            <w:top w:val="none" w:sz="0" w:space="0" w:color="auto"/>
            <w:left w:val="none" w:sz="0" w:space="0" w:color="auto"/>
            <w:bottom w:val="none" w:sz="0" w:space="0" w:color="auto"/>
            <w:right w:val="none" w:sz="0" w:space="0" w:color="auto"/>
          </w:divBdr>
        </w:div>
        <w:div w:id="898052750">
          <w:marLeft w:val="547"/>
          <w:marRight w:val="0"/>
          <w:marTop w:val="240"/>
          <w:marBottom w:val="0"/>
          <w:divBdr>
            <w:top w:val="none" w:sz="0" w:space="0" w:color="auto"/>
            <w:left w:val="none" w:sz="0" w:space="0" w:color="auto"/>
            <w:bottom w:val="none" w:sz="0" w:space="0" w:color="auto"/>
            <w:right w:val="none" w:sz="0" w:space="0" w:color="auto"/>
          </w:divBdr>
        </w:div>
        <w:div w:id="1310328930">
          <w:marLeft w:val="547"/>
          <w:marRight w:val="0"/>
          <w:marTop w:val="240"/>
          <w:marBottom w:val="0"/>
          <w:divBdr>
            <w:top w:val="none" w:sz="0" w:space="0" w:color="auto"/>
            <w:left w:val="none" w:sz="0" w:space="0" w:color="auto"/>
            <w:bottom w:val="none" w:sz="0" w:space="0" w:color="auto"/>
            <w:right w:val="none" w:sz="0" w:space="0" w:color="auto"/>
          </w:divBdr>
        </w:div>
        <w:div w:id="2006007297">
          <w:marLeft w:val="547"/>
          <w:marRight w:val="0"/>
          <w:marTop w:val="240"/>
          <w:marBottom w:val="0"/>
          <w:divBdr>
            <w:top w:val="none" w:sz="0" w:space="0" w:color="auto"/>
            <w:left w:val="none" w:sz="0" w:space="0" w:color="auto"/>
            <w:bottom w:val="none" w:sz="0" w:space="0" w:color="auto"/>
            <w:right w:val="none" w:sz="0" w:space="0" w:color="auto"/>
          </w:divBdr>
        </w:div>
      </w:divsChild>
    </w:div>
    <w:div w:id="201093936">
      <w:bodyDiv w:val="1"/>
      <w:marLeft w:val="0"/>
      <w:marRight w:val="0"/>
      <w:marTop w:val="0"/>
      <w:marBottom w:val="0"/>
      <w:divBdr>
        <w:top w:val="none" w:sz="0" w:space="0" w:color="auto"/>
        <w:left w:val="none" w:sz="0" w:space="0" w:color="auto"/>
        <w:bottom w:val="none" w:sz="0" w:space="0" w:color="auto"/>
        <w:right w:val="none" w:sz="0" w:space="0" w:color="auto"/>
      </w:divBdr>
    </w:div>
    <w:div w:id="202522539">
      <w:bodyDiv w:val="1"/>
      <w:marLeft w:val="0"/>
      <w:marRight w:val="0"/>
      <w:marTop w:val="0"/>
      <w:marBottom w:val="0"/>
      <w:divBdr>
        <w:top w:val="none" w:sz="0" w:space="0" w:color="auto"/>
        <w:left w:val="none" w:sz="0" w:space="0" w:color="auto"/>
        <w:bottom w:val="none" w:sz="0" w:space="0" w:color="auto"/>
        <w:right w:val="none" w:sz="0" w:space="0" w:color="auto"/>
      </w:divBdr>
    </w:div>
    <w:div w:id="203179909">
      <w:bodyDiv w:val="1"/>
      <w:marLeft w:val="0"/>
      <w:marRight w:val="0"/>
      <w:marTop w:val="0"/>
      <w:marBottom w:val="0"/>
      <w:divBdr>
        <w:top w:val="none" w:sz="0" w:space="0" w:color="auto"/>
        <w:left w:val="none" w:sz="0" w:space="0" w:color="auto"/>
        <w:bottom w:val="none" w:sz="0" w:space="0" w:color="auto"/>
        <w:right w:val="none" w:sz="0" w:space="0" w:color="auto"/>
      </w:divBdr>
    </w:div>
    <w:div w:id="254674034">
      <w:bodyDiv w:val="1"/>
      <w:marLeft w:val="0"/>
      <w:marRight w:val="0"/>
      <w:marTop w:val="0"/>
      <w:marBottom w:val="0"/>
      <w:divBdr>
        <w:top w:val="none" w:sz="0" w:space="0" w:color="auto"/>
        <w:left w:val="none" w:sz="0" w:space="0" w:color="auto"/>
        <w:bottom w:val="none" w:sz="0" w:space="0" w:color="auto"/>
        <w:right w:val="none" w:sz="0" w:space="0" w:color="auto"/>
      </w:divBdr>
    </w:div>
    <w:div w:id="297612629">
      <w:bodyDiv w:val="1"/>
      <w:marLeft w:val="0"/>
      <w:marRight w:val="0"/>
      <w:marTop w:val="0"/>
      <w:marBottom w:val="0"/>
      <w:divBdr>
        <w:top w:val="none" w:sz="0" w:space="0" w:color="auto"/>
        <w:left w:val="none" w:sz="0" w:space="0" w:color="auto"/>
        <w:bottom w:val="none" w:sz="0" w:space="0" w:color="auto"/>
        <w:right w:val="none" w:sz="0" w:space="0" w:color="auto"/>
      </w:divBdr>
    </w:div>
    <w:div w:id="329060416">
      <w:bodyDiv w:val="1"/>
      <w:marLeft w:val="0"/>
      <w:marRight w:val="0"/>
      <w:marTop w:val="0"/>
      <w:marBottom w:val="0"/>
      <w:divBdr>
        <w:top w:val="none" w:sz="0" w:space="0" w:color="auto"/>
        <w:left w:val="none" w:sz="0" w:space="0" w:color="auto"/>
        <w:bottom w:val="none" w:sz="0" w:space="0" w:color="auto"/>
        <w:right w:val="none" w:sz="0" w:space="0" w:color="auto"/>
      </w:divBdr>
      <w:divsChild>
        <w:div w:id="1742756727">
          <w:marLeft w:val="547"/>
          <w:marRight w:val="0"/>
          <w:marTop w:val="240"/>
          <w:marBottom w:val="0"/>
          <w:divBdr>
            <w:top w:val="none" w:sz="0" w:space="0" w:color="auto"/>
            <w:left w:val="none" w:sz="0" w:space="0" w:color="auto"/>
            <w:bottom w:val="none" w:sz="0" w:space="0" w:color="auto"/>
            <w:right w:val="none" w:sz="0" w:space="0" w:color="auto"/>
          </w:divBdr>
        </w:div>
      </w:divsChild>
    </w:div>
    <w:div w:id="390541621">
      <w:bodyDiv w:val="1"/>
      <w:marLeft w:val="0"/>
      <w:marRight w:val="0"/>
      <w:marTop w:val="0"/>
      <w:marBottom w:val="0"/>
      <w:divBdr>
        <w:top w:val="none" w:sz="0" w:space="0" w:color="auto"/>
        <w:left w:val="none" w:sz="0" w:space="0" w:color="auto"/>
        <w:bottom w:val="none" w:sz="0" w:space="0" w:color="auto"/>
        <w:right w:val="none" w:sz="0" w:space="0" w:color="auto"/>
      </w:divBdr>
      <w:divsChild>
        <w:div w:id="63576141">
          <w:marLeft w:val="547"/>
          <w:marRight w:val="0"/>
          <w:marTop w:val="240"/>
          <w:marBottom w:val="0"/>
          <w:divBdr>
            <w:top w:val="none" w:sz="0" w:space="0" w:color="auto"/>
            <w:left w:val="none" w:sz="0" w:space="0" w:color="auto"/>
            <w:bottom w:val="none" w:sz="0" w:space="0" w:color="auto"/>
            <w:right w:val="none" w:sz="0" w:space="0" w:color="auto"/>
          </w:divBdr>
        </w:div>
        <w:div w:id="368997321">
          <w:marLeft w:val="547"/>
          <w:marRight w:val="0"/>
          <w:marTop w:val="240"/>
          <w:marBottom w:val="0"/>
          <w:divBdr>
            <w:top w:val="none" w:sz="0" w:space="0" w:color="auto"/>
            <w:left w:val="none" w:sz="0" w:space="0" w:color="auto"/>
            <w:bottom w:val="none" w:sz="0" w:space="0" w:color="auto"/>
            <w:right w:val="none" w:sz="0" w:space="0" w:color="auto"/>
          </w:divBdr>
        </w:div>
        <w:div w:id="911502331">
          <w:marLeft w:val="547"/>
          <w:marRight w:val="0"/>
          <w:marTop w:val="240"/>
          <w:marBottom w:val="0"/>
          <w:divBdr>
            <w:top w:val="none" w:sz="0" w:space="0" w:color="auto"/>
            <w:left w:val="none" w:sz="0" w:space="0" w:color="auto"/>
            <w:bottom w:val="none" w:sz="0" w:space="0" w:color="auto"/>
            <w:right w:val="none" w:sz="0" w:space="0" w:color="auto"/>
          </w:divBdr>
        </w:div>
        <w:div w:id="914784097">
          <w:marLeft w:val="547"/>
          <w:marRight w:val="0"/>
          <w:marTop w:val="240"/>
          <w:marBottom w:val="0"/>
          <w:divBdr>
            <w:top w:val="none" w:sz="0" w:space="0" w:color="auto"/>
            <w:left w:val="none" w:sz="0" w:space="0" w:color="auto"/>
            <w:bottom w:val="none" w:sz="0" w:space="0" w:color="auto"/>
            <w:right w:val="none" w:sz="0" w:space="0" w:color="auto"/>
          </w:divBdr>
        </w:div>
        <w:div w:id="1405643471">
          <w:marLeft w:val="547"/>
          <w:marRight w:val="0"/>
          <w:marTop w:val="240"/>
          <w:marBottom w:val="0"/>
          <w:divBdr>
            <w:top w:val="none" w:sz="0" w:space="0" w:color="auto"/>
            <w:left w:val="none" w:sz="0" w:space="0" w:color="auto"/>
            <w:bottom w:val="none" w:sz="0" w:space="0" w:color="auto"/>
            <w:right w:val="none" w:sz="0" w:space="0" w:color="auto"/>
          </w:divBdr>
        </w:div>
        <w:div w:id="1575045547">
          <w:marLeft w:val="547"/>
          <w:marRight w:val="0"/>
          <w:marTop w:val="240"/>
          <w:marBottom w:val="0"/>
          <w:divBdr>
            <w:top w:val="none" w:sz="0" w:space="0" w:color="auto"/>
            <w:left w:val="none" w:sz="0" w:space="0" w:color="auto"/>
            <w:bottom w:val="none" w:sz="0" w:space="0" w:color="auto"/>
            <w:right w:val="none" w:sz="0" w:space="0" w:color="auto"/>
          </w:divBdr>
        </w:div>
      </w:divsChild>
    </w:div>
    <w:div w:id="403602199">
      <w:bodyDiv w:val="1"/>
      <w:marLeft w:val="0"/>
      <w:marRight w:val="0"/>
      <w:marTop w:val="0"/>
      <w:marBottom w:val="0"/>
      <w:divBdr>
        <w:top w:val="none" w:sz="0" w:space="0" w:color="auto"/>
        <w:left w:val="none" w:sz="0" w:space="0" w:color="auto"/>
        <w:bottom w:val="none" w:sz="0" w:space="0" w:color="auto"/>
        <w:right w:val="none" w:sz="0" w:space="0" w:color="auto"/>
      </w:divBdr>
    </w:div>
    <w:div w:id="440882118">
      <w:bodyDiv w:val="1"/>
      <w:marLeft w:val="0"/>
      <w:marRight w:val="0"/>
      <w:marTop w:val="0"/>
      <w:marBottom w:val="0"/>
      <w:divBdr>
        <w:top w:val="none" w:sz="0" w:space="0" w:color="auto"/>
        <w:left w:val="none" w:sz="0" w:space="0" w:color="auto"/>
        <w:bottom w:val="none" w:sz="0" w:space="0" w:color="auto"/>
        <w:right w:val="none" w:sz="0" w:space="0" w:color="auto"/>
      </w:divBdr>
    </w:div>
    <w:div w:id="456682181">
      <w:bodyDiv w:val="1"/>
      <w:marLeft w:val="0"/>
      <w:marRight w:val="0"/>
      <w:marTop w:val="0"/>
      <w:marBottom w:val="0"/>
      <w:divBdr>
        <w:top w:val="none" w:sz="0" w:space="0" w:color="auto"/>
        <w:left w:val="none" w:sz="0" w:space="0" w:color="auto"/>
        <w:bottom w:val="none" w:sz="0" w:space="0" w:color="auto"/>
        <w:right w:val="none" w:sz="0" w:space="0" w:color="auto"/>
      </w:divBdr>
    </w:div>
    <w:div w:id="460654359">
      <w:bodyDiv w:val="1"/>
      <w:marLeft w:val="0"/>
      <w:marRight w:val="0"/>
      <w:marTop w:val="0"/>
      <w:marBottom w:val="0"/>
      <w:divBdr>
        <w:top w:val="none" w:sz="0" w:space="0" w:color="auto"/>
        <w:left w:val="none" w:sz="0" w:space="0" w:color="auto"/>
        <w:bottom w:val="none" w:sz="0" w:space="0" w:color="auto"/>
        <w:right w:val="none" w:sz="0" w:space="0" w:color="auto"/>
      </w:divBdr>
      <w:divsChild>
        <w:div w:id="709720947">
          <w:marLeft w:val="547"/>
          <w:marRight w:val="0"/>
          <w:marTop w:val="240"/>
          <w:marBottom w:val="0"/>
          <w:divBdr>
            <w:top w:val="none" w:sz="0" w:space="0" w:color="auto"/>
            <w:left w:val="none" w:sz="0" w:space="0" w:color="auto"/>
            <w:bottom w:val="none" w:sz="0" w:space="0" w:color="auto"/>
            <w:right w:val="none" w:sz="0" w:space="0" w:color="auto"/>
          </w:divBdr>
        </w:div>
        <w:div w:id="742992845">
          <w:marLeft w:val="547"/>
          <w:marRight w:val="0"/>
          <w:marTop w:val="240"/>
          <w:marBottom w:val="0"/>
          <w:divBdr>
            <w:top w:val="none" w:sz="0" w:space="0" w:color="auto"/>
            <w:left w:val="none" w:sz="0" w:space="0" w:color="auto"/>
            <w:bottom w:val="none" w:sz="0" w:space="0" w:color="auto"/>
            <w:right w:val="none" w:sz="0" w:space="0" w:color="auto"/>
          </w:divBdr>
        </w:div>
        <w:div w:id="1632979664">
          <w:marLeft w:val="547"/>
          <w:marRight w:val="0"/>
          <w:marTop w:val="240"/>
          <w:marBottom w:val="0"/>
          <w:divBdr>
            <w:top w:val="none" w:sz="0" w:space="0" w:color="auto"/>
            <w:left w:val="none" w:sz="0" w:space="0" w:color="auto"/>
            <w:bottom w:val="none" w:sz="0" w:space="0" w:color="auto"/>
            <w:right w:val="none" w:sz="0" w:space="0" w:color="auto"/>
          </w:divBdr>
        </w:div>
        <w:div w:id="1856385554">
          <w:marLeft w:val="547"/>
          <w:marRight w:val="0"/>
          <w:marTop w:val="240"/>
          <w:marBottom w:val="0"/>
          <w:divBdr>
            <w:top w:val="none" w:sz="0" w:space="0" w:color="auto"/>
            <w:left w:val="none" w:sz="0" w:space="0" w:color="auto"/>
            <w:bottom w:val="none" w:sz="0" w:space="0" w:color="auto"/>
            <w:right w:val="none" w:sz="0" w:space="0" w:color="auto"/>
          </w:divBdr>
        </w:div>
        <w:div w:id="1899436355">
          <w:marLeft w:val="547"/>
          <w:marRight w:val="0"/>
          <w:marTop w:val="240"/>
          <w:marBottom w:val="0"/>
          <w:divBdr>
            <w:top w:val="none" w:sz="0" w:space="0" w:color="auto"/>
            <w:left w:val="none" w:sz="0" w:space="0" w:color="auto"/>
            <w:bottom w:val="none" w:sz="0" w:space="0" w:color="auto"/>
            <w:right w:val="none" w:sz="0" w:space="0" w:color="auto"/>
          </w:divBdr>
        </w:div>
      </w:divsChild>
    </w:div>
    <w:div w:id="516042330">
      <w:bodyDiv w:val="1"/>
      <w:marLeft w:val="0"/>
      <w:marRight w:val="0"/>
      <w:marTop w:val="0"/>
      <w:marBottom w:val="0"/>
      <w:divBdr>
        <w:top w:val="none" w:sz="0" w:space="0" w:color="auto"/>
        <w:left w:val="none" w:sz="0" w:space="0" w:color="auto"/>
        <w:bottom w:val="none" w:sz="0" w:space="0" w:color="auto"/>
        <w:right w:val="none" w:sz="0" w:space="0" w:color="auto"/>
      </w:divBdr>
      <w:divsChild>
        <w:div w:id="387538839">
          <w:marLeft w:val="1166"/>
          <w:marRight w:val="0"/>
          <w:marTop w:val="0"/>
          <w:marBottom w:val="0"/>
          <w:divBdr>
            <w:top w:val="none" w:sz="0" w:space="0" w:color="auto"/>
            <w:left w:val="none" w:sz="0" w:space="0" w:color="auto"/>
            <w:bottom w:val="none" w:sz="0" w:space="0" w:color="auto"/>
            <w:right w:val="none" w:sz="0" w:space="0" w:color="auto"/>
          </w:divBdr>
        </w:div>
        <w:div w:id="885338038">
          <w:marLeft w:val="547"/>
          <w:marRight w:val="0"/>
          <w:marTop w:val="240"/>
          <w:marBottom w:val="0"/>
          <w:divBdr>
            <w:top w:val="none" w:sz="0" w:space="0" w:color="auto"/>
            <w:left w:val="none" w:sz="0" w:space="0" w:color="auto"/>
            <w:bottom w:val="none" w:sz="0" w:space="0" w:color="auto"/>
            <w:right w:val="none" w:sz="0" w:space="0" w:color="auto"/>
          </w:divBdr>
        </w:div>
        <w:div w:id="1009483704">
          <w:marLeft w:val="547"/>
          <w:marRight w:val="0"/>
          <w:marTop w:val="240"/>
          <w:marBottom w:val="0"/>
          <w:divBdr>
            <w:top w:val="none" w:sz="0" w:space="0" w:color="auto"/>
            <w:left w:val="none" w:sz="0" w:space="0" w:color="auto"/>
            <w:bottom w:val="none" w:sz="0" w:space="0" w:color="auto"/>
            <w:right w:val="none" w:sz="0" w:space="0" w:color="auto"/>
          </w:divBdr>
        </w:div>
        <w:div w:id="1375695864">
          <w:marLeft w:val="547"/>
          <w:marRight w:val="0"/>
          <w:marTop w:val="240"/>
          <w:marBottom w:val="0"/>
          <w:divBdr>
            <w:top w:val="none" w:sz="0" w:space="0" w:color="auto"/>
            <w:left w:val="none" w:sz="0" w:space="0" w:color="auto"/>
            <w:bottom w:val="none" w:sz="0" w:space="0" w:color="auto"/>
            <w:right w:val="none" w:sz="0" w:space="0" w:color="auto"/>
          </w:divBdr>
        </w:div>
        <w:div w:id="2124030855">
          <w:marLeft w:val="547"/>
          <w:marRight w:val="0"/>
          <w:marTop w:val="240"/>
          <w:marBottom w:val="0"/>
          <w:divBdr>
            <w:top w:val="none" w:sz="0" w:space="0" w:color="auto"/>
            <w:left w:val="none" w:sz="0" w:space="0" w:color="auto"/>
            <w:bottom w:val="none" w:sz="0" w:space="0" w:color="auto"/>
            <w:right w:val="none" w:sz="0" w:space="0" w:color="auto"/>
          </w:divBdr>
        </w:div>
      </w:divsChild>
    </w:div>
    <w:div w:id="631400760">
      <w:bodyDiv w:val="1"/>
      <w:marLeft w:val="0"/>
      <w:marRight w:val="0"/>
      <w:marTop w:val="0"/>
      <w:marBottom w:val="0"/>
      <w:divBdr>
        <w:top w:val="none" w:sz="0" w:space="0" w:color="auto"/>
        <w:left w:val="none" w:sz="0" w:space="0" w:color="auto"/>
        <w:bottom w:val="none" w:sz="0" w:space="0" w:color="auto"/>
        <w:right w:val="none" w:sz="0" w:space="0" w:color="auto"/>
      </w:divBdr>
    </w:div>
    <w:div w:id="650134845">
      <w:bodyDiv w:val="1"/>
      <w:marLeft w:val="0"/>
      <w:marRight w:val="0"/>
      <w:marTop w:val="0"/>
      <w:marBottom w:val="0"/>
      <w:divBdr>
        <w:top w:val="none" w:sz="0" w:space="0" w:color="auto"/>
        <w:left w:val="none" w:sz="0" w:space="0" w:color="auto"/>
        <w:bottom w:val="none" w:sz="0" w:space="0" w:color="auto"/>
        <w:right w:val="none" w:sz="0" w:space="0" w:color="auto"/>
      </w:divBdr>
      <w:divsChild>
        <w:div w:id="391739341">
          <w:marLeft w:val="547"/>
          <w:marRight w:val="0"/>
          <w:marTop w:val="240"/>
          <w:marBottom w:val="0"/>
          <w:divBdr>
            <w:top w:val="none" w:sz="0" w:space="0" w:color="auto"/>
            <w:left w:val="none" w:sz="0" w:space="0" w:color="auto"/>
            <w:bottom w:val="none" w:sz="0" w:space="0" w:color="auto"/>
            <w:right w:val="none" w:sz="0" w:space="0" w:color="auto"/>
          </w:divBdr>
        </w:div>
        <w:div w:id="450444243">
          <w:marLeft w:val="547"/>
          <w:marRight w:val="0"/>
          <w:marTop w:val="240"/>
          <w:marBottom w:val="0"/>
          <w:divBdr>
            <w:top w:val="none" w:sz="0" w:space="0" w:color="auto"/>
            <w:left w:val="none" w:sz="0" w:space="0" w:color="auto"/>
            <w:bottom w:val="none" w:sz="0" w:space="0" w:color="auto"/>
            <w:right w:val="none" w:sz="0" w:space="0" w:color="auto"/>
          </w:divBdr>
        </w:div>
        <w:div w:id="797574167">
          <w:marLeft w:val="547"/>
          <w:marRight w:val="0"/>
          <w:marTop w:val="240"/>
          <w:marBottom w:val="0"/>
          <w:divBdr>
            <w:top w:val="none" w:sz="0" w:space="0" w:color="auto"/>
            <w:left w:val="none" w:sz="0" w:space="0" w:color="auto"/>
            <w:bottom w:val="none" w:sz="0" w:space="0" w:color="auto"/>
            <w:right w:val="none" w:sz="0" w:space="0" w:color="auto"/>
          </w:divBdr>
        </w:div>
        <w:div w:id="1218933702">
          <w:marLeft w:val="547"/>
          <w:marRight w:val="0"/>
          <w:marTop w:val="240"/>
          <w:marBottom w:val="0"/>
          <w:divBdr>
            <w:top w:val="none" w:sz="0" w:space="0" w:color="auto"/>
            <w:left w:val="none" w:sz="0" w:space="0" w:color="auto"/>
            <w:bottom w:val="none" w:sz="0" w:space="0" w:color="auto"/>
            <w:right w:val="none" w:sz="0" w:space="0" w:color="auto"/>
          </w:divBdr>
        </w:div>
        <w:div w:id="2051681235">
          <w:marLeft w:val="547"/>
          <w:marRight w:val="0"/>
          <w:marTop w:val="240"/>
          <w:marBottom w:val="0"/>
          <w:divBdr>
            <w:top w:val="none" w:sz="0" w:space="0" w:color="auto"/>
            <w:left w:val="none" w:sz="0" w:space="0" w:color="auto"/>
            <w:bottom w:val="none" w:sz="0" w:space="0" w:color="auto"/>
            <w:right w:val="none" w:sz="0" w:space="0" w:color="auto"/>
          </w:divBdr>
        </w:div>
      </w:divsChild>
    </w:div>
    <w:div w:id="660428658">
      <w:bodyDiv w:val="1"/>
      <w:marLeft w:val="0"/>
      <w:marRight w:val="0"/>
      <w:marTop w:val="0"/>
      <w:marBottom w:val="0"/>
      <w:divBdr>
        <w:top w:val="none" w:sz="0" w:space="0" w:color="auto"/>
        <w:left w:val="none" w:sz="0" w:space="0" w:color="auto"/>
        <w:bottom w:val="none" w:sz="0" w:space="0" w:color="auto"/>
        <w:right w:val="none" w:sz="0" w:space="0" w:color="auto"/>
      </w:divBdr>
      <w:divsChild>
        <w:div w:id="426577497">
          <w:marLeft w:val="547"/>
          <w:marRight w:val="0"/>
          <w:marTop w:val="240"/>
          <w:marBottom w:val="0"/>
          <w:divBdr>
            <w:top w:val="none" w:sz="0" w:space="0" w:color="auto"/>
            <w:left w:val="none" w:sz="0" w:space="0" w:color="auto"/>
            <w:bottom w:val="none" w:sz="0" w:space="0" w:color="auto"/>
            <w:right w:val="none" w:sz="0" w:space="0" w:color="auto"/>
          </w:divBdr>
        </w:div>
        <w:div w:id="965699221">
          <w:marLeft w:val="547"/>
          <w:marRight w:val="0"/>
          <w:marTop w:val="240"/>
          <w:marBottom w:val="0"/>
          <w:divBdr>
            <w:top w:val="none" w:sz="0" w:space="0" w:color="auto"/>
            <w:left w:val="none" w:sz="0" w:space="0" w:color="auto"/>
            <w:bottom w:val="none" w:sz="0" w:space="0" w:color="auto"/>
            <w:right w:val="none" w:sz="0" w:space="0" w:color="auto"/>
          </w:divBdr>
        </w:div>
        <w:div w:id="1512377663">
          <w:marLeft w:val="547"/>
          <w:marRight w:val="0"/>
          <w:marTop w:val="240"/>
          <w:marBottom w:val="0"/>
          <w:divBdr>
            <w:top w:val="none" w:sz="0" w:space="0" w:color="auto"/>
            <w:left w:val="none" w:sz="0" w:space="0" w:color="auto"/>
            <w:bottom w:val="none" w:sz="0" w:space="0" w:color="auto"/>
            <w:right w:val="none" w:sz="0" w:space="0" w:color="auto"/>
          </w:divBdr>
        </w:div>
        <w:div w:id="1900826951">
          <w:marLeft w:val="547"/>
          <w:marRight w:val="0"/>
          <w:marTop w:val="240"/>
          <w:marBottom w:val="0"/>
          <w:divBdr>
            <w:top w:val="none" w:sz="0" w:space="0" w:color="auto"/>
            <w:left w:val="none" w:sz="0" w:space="0" w:color="auto"/>
            <w:bottom w:val="none" w:sz="0" w:space="0" w:color="auto"/>
            <w:right w:val="none" w:sz="0" w:space="0" w:color="auto"/>
          </w:divBdr>
        </w:div>
      </w:divsChild>
    </w:div>
    <w:div w:id="666829364">
      <w:bodyDiv w:val="1"/>
      <w:marLeft w:val="0"/>
      <w:marRight w:val="0"/>
      <w:marTop w:val="0"/>
      <w:marBottom w:val="0"/>
      <w:divBdr>
        <w:top w:val="none" w:sz="0" w:space="0" w:color="auto"/>
        <w:left w:val="none" w:sz="0" w:space="0" w:color="auto"/>
        <w:bottom w:val="none" w:sz="0" w:space="0" w:color="auto"/>
        <w:right w:val="none" w:sz="0" w:space="0" w:color="auto"/>
      </w:divBdr>
    </w:div>
    <w:div w:id="770707534">
      <w:bodyDiv w:val="1"/>
      <w:marLeft w:val="0"/>
      <w:marRight w:val="0"/>
      <w:marTop w:val="0"/>
      <w:marBottom w:val="0"/>
      <w:divBdr>
        <w:top w:val="none" w:sz="0" w:space="0" w:color="auto"/>
        <w:left w:val="none" w:sz="0" w:space="0" w:color="auto"/>
        <w:bottom w:val="none" w:sz="0" w:space="0" w:color="auto"/>
        <w:right w:val="none" w:sz="0" w:space="0" w:color="auto"/>
      </w:divBdr>
    </w:div>
    <w:div w:id="877396207">
      <w:bodyDiv w:val="1"/>
      <w:marLeft w:val="0"/>
      <w:marRight w:val="0"/>
      <w:marTop w:val="0"/>
      <w:marBottom w:val="0"/>
      <w:divBdr>
        <w:top w:val="none" w:sz="0" w:space="0" w:color="auto"/>
        <w:left w:val="none" w:sz="0" w:space="0" w:color="auto"/>
        <w:bottom w:val="none" w:sz="0" w:space="0" w:color="auto"/>
        <w:right w:val="none" w:sz="0" w:space="0" w:color="auto"/>
      </w:divBdr>
    </w:div>
    <w:div w:id="985938434">
      <w:bodyDiv w:val="1"/>
      <w:marLeft w:val="0"/>
      <w:marRight w:val="0"/>
      <w:marTop w:val="0"/>
      <w:marBottom w:val="0"/>
      <w:divBdr>
        <w:top w:val="none" w:sz="0" w:space="0" w:color="auto"/>
        <w:left w:val="none" w:sz="0" w:space="0" w:color="auto"/>
        <w:bottom w:val="none" w:sz="0" w:space="0" w:color="auto"/>
        <w:right w:val="none" w:sz="0" w:space="0" w:color="auto"/>
      </w:divBdr>
    </w:div>
    <w:div w:id="1004868208">
      <w:bodyDiv w:val="1"/>
      <w:marLeft w:val="0"/>
      <w:marRight w:val="0"/>
      <w:marTop w:val="0"/>
      <w:marBottom w:val="0"/>
      <w:divBdr>
        <w:top w:val="none" w:sz="0" w:space="0" w:color="auto"/>
        <w:left w:val="none" w:sz="0" w:space="0" w:color="auto"/>
        <w:bottom w:val="none" w:sz="0" w:space="0" w:color="auto"/>
        <w:right w:val="none" w:sz="0" w:space="0" w:color="auto"/>
      </w:divBdr>
    </w:div>
    <w:div w:id="1005087569">
      <w:bodyDiv w:val="1"/>
      <w:marLeft w:val="0"/>
      <w:marRight w:val="0"/>
      <w:marTop w:val="0"/>
      <w:marBottom w:val="0"/>
      <w:divBdr>
        <w:top w:val="none" w:sz="0" w:space="0" w:color="auto"/>
        <w:left w:val="none" w:sz="0" w:space="0" w:color="auto"/>
        <w:bottom w:val="none" w:sz="0" w:space="0" w:color="auto"/>
        <w:right w:val="none" w:sz="0" w:space="0" w:color="auto"/>
      </w:divBdr>
      <w:divsChild>
        <w:div w:id="1068844547">
          <w:marLeft w:val="806"/>
          <w:marRight w:val="0"/>
          <w:marTop w:val="0"/>
          <w:marBottom w:val="0"/>
          <w:divBdr>
            <w:top w:val="none" w:sz="0" w:space="0" w:color="auto"/>
            <w:left w:val="none" w:sz="0" w:space="0" w:color="auto"/>
            <w:bottom w:val="none" w:sz="0" w:space="0" w:color="auto"/>
            <w:right w:val="none" w:sz="0" w:space="0" w:color="auto"/>
          </w:divBdr>
        </w:div>
        <w:div w:id="2031485106">
          <w:marLeft w:val="806"/>
          <w:marRight w:val="0"/>
          <w:marTop w:val="0"/>
          <w:marBottom w:val="0"/>
          <w:divBdr>
            <w:top w:val="none" w:sz="0" w:space="0" w:color="auto"/>
            <w:left w:val="none" w:sz="0" w:space="0" w:color="auto"/>
            <w:bottom w:val="none" w:sz="0" w:space="0" w:color="auto"/>
            <w:right w:val="none" w:sz="0" w:space="0" w:color="auto"/>
          </w:divBdr>
        </w:div>
      </w:divsChild>
    </w:div>
    <w:div w:id="1012143797">
      <w:bodyDiv w:val="1"/>
      <w:marLeft w:val="0"/>
      <w:marRight w:val="0"/>
      <w:marTop w:val="0"/>
      <w:marBottom w:val="0"/>
      <w:divBdr>
        <w:top w:val="none" w:sz="0" w:space="0" w:color="auto"/>
        <w:left w:val="none" w:sz="0" w:space="0" w:color="auto"/>
        <w:bottom w:val="none" w:sz="0" w:space="0" w:color="auto"/>
        <w:right w:val="none" w:sz="0" w:space="0" w:color="auto"/>
      </w:divBdr>
    </w:div>
    <w:div w:id="1067069882">
      <w:bodyDiv w:val="1"/>
      <w:marLeft w:val="0"/>
      <w:marRight w:val="0"/>
      <w:marTop w:val="0"/>
      <w:marBottom w:val="0"/>
      <w:divBdr>
        <w:top w:val="none" w:sz="0" w:space="0" w:color="auto"/>
        <w:left w:val="none" w:sz="0" w:space="0" w:color="auto"/>
        <w:bottom w:val="none" w:sz="0" w:space="0" w:color="auto"/>
        <w:right w:val="none" w:sz="0" w:space="0" w:color="auto"/>
      </w:divBdr>
    </w:div>
    <w:div w:id="1110970635">
      <w:bodyDiv w:val="1"/>
      <w:marLeft w:val="0"/>
      <w:marRight w:val="0"/>
      <w:marTop w:val="0"/>
      <w:marBottom w:val="0"/>
      <w:divBdr>
        <w:top w:val="none" w:sz="0" w:space="0" w:color="auto"/>
        <w:left w:val="none" w:sz="0" w:space="0" w:color="auto"/>
        <w:bottom w:val="none" w:sz="0" w:space="0" w:color="auto"/>
        <w:right w:val="none" w:sz="0" w:space="0" w:color="auto"/>
      </w:divBdr>
      <w:divsChild>
        <w:div w:id="257955859">
          <w:marLeft w:val="0"/>
          <w:marRight w:val="0"/>
          <w:marTop w:val="0"/>
          <w:marBottom w:val="0"/>
          <w:divBdr>
            <w:top w:val="none" w:sz="0" w:space="0" w:color="auto"/>
            <w:left w:val="none" w:sz="0" w:space="0" w:color="auto"/>
            <w:bottom w:val="none" w:sz="0" w:space="0" w:color="auto"/>
            <w:right w:val="none" w:sz="0" w:space="0" w:color="auto"/>
          </w:divBdr>
        </w:div>
        <w:div w:id="441388595">
          <w:marLeft w:val="0"/>
          <w:marRight w:val="0"/>
          <w:marTop w:val="0"/>
          <w:marBottom w:val="0"/>
          <w:divBdr>
            <w:top w:val="none" w:sz="0" w:space="0" w:color="auto"/>
            <w:left w:val="none" w:sz="0" w:space="0" w:color="auto"/>
            <w:bottom w:val="none" w:sz="0" w:space="0" w:color="auto"/>
            <w:right w:val="none" w:sz="0" w:space="0" w:color="auto"/>
          </w:divBdr>
        </w:div>
        <w:div w:id="511260746">
          <w:marLeft w:val="0"/>
          <w:marRight w:val="0"/>
          <w:marTop w:val="0"/>
          <w:marBottom w:val="0"/>
          <w:divBdr>
            <w:top w:val="none" w:sz="0" w:space="0" w:color="auto"/>
            <w:left w:val="none" w:sz="0" w:space="0" w:color="auto"/>
            <w:bottom w:val="none" w:sz="0" w:space="0" w:color="auto"/>
            <w:right w:val="none" w:sz="0" w:space="0" w:color="auto"/>
          </w:divBdr>
        </w:div>
        <w:div w:id="895164449">
          <w:marLeft w:val="0"/>
          <w:marRight w:val="0"/>
          <w:marTop w:val="0"/>
          <w:marBottom w:val="0"/>
          <w:divBdr>
            <w:top w:val="none" w:sz="0" w:space="0" w:color="auto"/>
            <w:left w:val="none" w:sz="0" w:space="0" w:color="auto"/>
            <w:bottom w:val="none" w:sz="0" w:space="0" w:color="auto"/>
            <w:right w:val="none" w:sz="0" w:space="0" w:color="auto"/>
          </w:divBdr>
        </w:div>
        <w:div w:id="1290238676">
          <w:marLeft w:val="0"/>
          <w:marRight w:val="0"/>
          <w:marTop w:val="0"/>
          <w:marBottom w:val="0"/>
          <w:divBdr>
            <w:top w:val="none" w:sz="0" w:space="0" w:color="auto"/>
            <w:left w:val="none" w:sz="0" w:space="0" w:color="auto"/>
            <w:bottom w:val="none" w:sz="0" w:space="0" w:color="auto"/>
            <w:right w:val="none" w:sz="0" w:space="0" w:color="auto"/>
          </w:divBdr>
        </w:div>
        <w:div w:id="1383823237">
          <w:marLeft w:val="0"/>
          <w:marRight w:val="0"/>
          <w:marTop w:val="0"/>
          <w:marBottom w:val="0"/>
          <w:divBdr>
            <w:top w:val="none" w:sz="0" w:space="0" w:color="auto"/>
            <w:left w:val="none" w:sz="0" w:space="0" w:color="auto"/>
            <w:bottom w:val="none" w:sz="0" w:space="0" w:color="auto"/>
            <w:right w:val="none" w:sz="0" w:space="0" w:color="auto"/>
          </w:divBdr>
        </w:div>
        <w:div w:id="1731225805">
          <w:marLeft w:val="0"/>
          <w:marRight w:val="0"/>
          <w:marTop w:val="0"/>
          <w:marBottom w:val="0"/>
          <w:divBdr>
            <w:top w:val="none" w:sz="0" w:space="0" w:color="auto"/>
            <w:left w:val="none" w:sz="0" w:space="0" w:color="auto"/>
            <w:bottom w:val="none" w:sz="0" w:space="0" w:color="auto"/>
            <w:right w:val="none" w:sz="0" w:space="0" w:color="auto"/>
          </w:divBdr>
        </w:div>
        <w:div w:id="1796825491">
          <w:marLeft w:val="0"/>
          <w:marRight w:val="0"/>
          <w:marTop w:val="0"/>
          <w:marBottom w:val="0"/>
          <w:divBdr>
            <w:top w:val="none" w:sz="0" w:space="0" w:color="auto"/>
            <w:left w:val="none" w:sz="0" w:space="0" w:color="auto"/>
            <w:bottom w:val="none" w:sz="0" w:space="0" w:color="auto"/>
            <w:right w:val="none" w:sz="0" w:space="0" w:color="auto"/>
          </w:divBdr>
        </w:div>
      </w:divsChild>
    </w:div>
    <w:div w:id="1137144016">
      <w:bodyDiv w:val="1"/>
      <w:marLeft w:val="0"/>
      <w:marRight w:val="0"/>
      <w:marTop w:val="0"/>
      <w:marBottom w:val="0"/>
      <w:divBdr>
        <w:top w:val="none" w:sz="0" w:space="0" w:color="auto"/>
        <w:left w:val="none" w:sz="0" w:space="0" w:color="auto"/>
        <w:bottom w:val="none" w:sz="0" w:space="0" w:color="auto"/>
        <w:right w:val="none" w:sz="0" w:space="0" w:color="auto"/>
      </w:divBdr>
    </w:div>
    <w:div w:id="1150639316">
      <w:bodyDiv w:val="1"/>
      <w:marLeft w:val="0"/>
      <w:marRight w:val="0"/>
      <w:marTop w:val="0"/>
      <w:marBottom w:val="0"/>
      <w:divBdr>
        <w:top w:val="none" w:sz="0" w:space="0" w:color="auto"/>
        <w:left w:val="none" w:sz="0" w:space="0" w:color="auto"/>
        <w:bottom w:val="none" w:sz="0" w:space="0" w:color="auto"/>
        <w:right w:val="none" w:sz="0" w:space="0" w:color="auto"/>
      </w:divBdr>
    </w:div>
    <w:div w:id="1204634546">
      <w:bodyDiv w:val="1"/>
      <w:marLeft w:val="0"/>
      <w:marRight w:val="0"/>
      <w:marTop w:val="0"/>
      <w:marBottom w:val="0"/>
      <w:divBdr>
        <w:top w:val="none" w:sz="0" w:space="0" w:color="auto"/>
        <w:left w:val="none" w:sz="0" w:space="0" w:color="auto"/>
        <w:bottom w:val="none" w:sz="0" w:space="0" w:color="auto"/>
        <w:right w:val="none" w:sz="0" w:space="0" w:color="auto"/>
      </w:divBdr>
    </w:div>
    <w:div w:id="1237787305">
      <w:bodyDiv w:val="1"/>
      <w:marLeft w:val="0"/>
      <w:marRight w:val="0"/>
      <w:marTop w:val="0"/>
      <w:marBottom w:val="0"/>
      <w:divBdr>
        <w:top w:val="none" w:sz="0" w:space="0" w:color="auto"/>
        <w:left w:val="none" w:sz="0" w:space="0" w:color="auto"/>
        <w:bottom w:val="none" w:sz="0" w:space="0" w:color="auto"/>
        <w:right w:val="none" w:sz="0" w:space="0" w:color="auto"/>
      </w:divBdr>
    </w:div>
    <w:div w:id="1251234928">
      <w:bodyDiv w:val="1"/>
      <w:marLeft w:val="0"/>
      <w:marRight w:val="0"/>
      <w:marTop w:val="0"/>
      <w:marBottom w:val="0"/>
      <w:divBdr>
        <w:top w:val="none" w:sz="0" w:space="0" w:color="auto"/>
        <w:left w:val="none" w:sz="0" w:space="0" w:color="auto"/>
        <w:bottom w:val="none" w:sz="0" w:space="0" w:color="auto"/>
        <w:right w:val="none" w:sz="0" w:space="0" w:color="auto"/>
      </w:divBdr>
      <w:divsChild>
        <w:div w:id="267927699">
          <w:marLeft w:val="547"/>
          <w:marRight w:val="0"/>
          <w:marTop w:val="240"/>
          <w:marBottom w:val="0"/>
          <w:divBdr>
            <w:top w:val="none" w:sz="0" w:space="0" w:color="auto"/>
            <w:left w:val="none" w:sz="0" w:space="0" w:color="auto"/>
            <w:bottom w:val="none" w:sz="0" w:space="0" w:color="auto"/>
            <w:right w:val="none" w:sz="0" w:space="0" w:color="auto"/>
          </w:divBdr>
        </w:div>
        <w:div w:id="556164185">
          <w:marLeft w:val="547"/>
          <w:marRight w:val="0"/>
          <w:marTop w:val="240"/>
          <w:marBottom w:val="0"/>
          <w:divBdr>
            <w:top w:val="none" w:sz="0" w:space="0" w:color="auto"/>
            <w:left w:val="none" w:sz="0" w:space="0" w:color="auto"/>
            <w:bottom w:val="none" w:sz="0" w:space="0" w:color="auto"/>
            <w:right w:val="none" w:sz="0" w:space="0" w:color="auto"/>
          </w:divBdr>
        </w:div>
        <w:div w:id="1301305401">
          <w:marLeft w:val="547"/>
          <w:marRight w:val="0"/>
          <w:marTop w:val="240"/>
          <w:marBottom w:val="0"/>
          <w:divBdr>
            <w:top w:val="none" w:sz="0" w:space="0" w:color="auto"/>
            <w:left w:val="none" w:sz="0" w:space="0" w:color="auto"/>
            <w:bottom w:val="none" w:sz="0" w:space="0" w:color="auto"/>
            <w:right w:val="none" w:sz="0" w:space="0" w:color="auto"/>
          </w:divBdr>
        </w:div>
        <w:div w:id="1490320148">
          <w:marLeft w:val="547"/>
          <w:marRight w:val="0"/>
          <w:marTop w:val="240"/>
          <w:marBottom w:val="0"/>
          <w:divBdr>
            <w:top w:val="none" w:sz="0" w:space="0" w:color="auto"/>
            <w:left w:val="none" w:sz="0" w:space="0" w:color="auto"/>
            <w:bottom w:val="none" w:sz="0" w:space="0" w:color="auto"/>
            <w:right w:val="none" w:sz="0" w:space="0" w:color="auto"/>
          </w:divBdr>
        </w:div>
        <w:div w:id="1794516686">
          <w:marLeft w:val="547"/>
          <w:marRight w:val="0"/>
          <w:marTop w:val="240"/>
          <w:marBottom w:val="0"/>
          <w:divBdr>
            <w:top w:val="none" w:sz="0" w:space="0" w:color="auto"/>
            <w:left w:val="none" w:sz="0" w:space="0" w:color="auto"/>
            <w:bottom w:val="none" w:sz="0" w:space="0" w:color="auto"/>
            <w:right w:val="none" w:sz="0" w:space="0" w:color="auto"/>
          </w:divBdr>
        </w:div>
      </w:divsChild>
    </w:div>
    <w:div w:id="1273975420">
      <w:bodyDiv w:val="1"/>
      <w:marLeft w:val="0"/>
      <w:marRight w:val="0"/>
      <w:marTop w:val="0"/>
      <w:marBottom w:val="0"/>
      <w:divBdr>
        <w:top w:val="none" w:sz="0" w:space="0" w:color="auto"/>
        <w:left w:val="none" w:sz="0" w:space="0" w:color="auto"/>
        <w:bottom w:val="none" w:sz="0" w:space="0" w:color="auto"/>
        <w:right w:val="none" w:sz="0" w:space="0" w:color="auto"/>
      </w:divBdr>
    </w:div>
    <w:div w:id="1282299666">
      <w:bodyDiv w:val="1"/>
      <w:marLeft w:val="0"/>
      <w:marRight w:val="0"/>
      <w:marTop w:val="0"/>
      <w:marBottom w:val="0"/>
      <w:divBdr>
        <w:top w:val="none" w:sz="0" w:space="0" w:color="auto"/>
        <w:left w:val="none" w:sz="0" w:space="0" w:color="auto"/>
        <w:bottom w:val="none" w:sz="0" w:space="0" w:color="auto"/>
        <w:right w:val="none" w:sz="0" w:space="0" w:color="auto"/>
      </w:divBdr>
    </w:div>
    <w:div w:id="1330602307">
      <w:bodyDiv w:val="1"/>
      <w:marLeft w:val="0"/>
      <w:marRight w:val="0"/>
      <w:marTop w:val="0"/>
      <w:marBottom w:val="0"/>
      <w:divBdr>
        <w:top w:val="none" w:sz="0" w:space="0" w:color="auto"/>
        <w:left w:val="none" w:sz="0" w:space="0" w:color="auto"/>
        <w:bottom w:val="none" w:sz="0" w:space="0" w:color="auto"/>
        <w:right w:val="none" w:sz="0" w:space="0" w:color="auto"/>
      </w:divBdr>
      <w:divsChild>
        <w:div w:id="544758726">
          <w:marLeft w:val="547"/>
          <w:marRight w:val="0"/>
          <w:marTop w:val="240"/>
          <w:marBottom w:val="0"/>
          <w:divBdr>
            <w:top w:val="none" w:sz="0" w:space="0" w:color="auto"/>
            <w:left w:val="none" w:sz="0" w:space="0" w:color="auto"/>
            <w:bottom w:val="none" w:sz="0" w:space="0" w:color="auto"/>
            <w:right w:val="none" w:sz="0" w:space="0" w:color="auto"/>
          </w:divBdr>
        </w:div>
        <w:div w:id="599217804">
          <w:marLeft w:val="547"/>
          <w:marRight w:val="0"/>
          <w:marTop w:val="240"/>
          <w:marBottom w:val="0"/>
          <w:divBdr>
            <w:top w:val="none" w:sz="0" w:space="0" w:color="auto"/>
            <w:left w:val="none" w:sz="0" w:space="0" w:color="auto"/>
            <w:bottom w:val="none" w:sz="0" w:space="0" w:color="auto"/>
            <w:right w:val="none" w:sz="0" w:space="0" w:color="auto"/>
          </w:divBdr>
        </w:div>
        <w:div w:id="1363046288">
          <w:marLeft w:val="547"/>
          <w:marRight w:val="0"/>
          <w:marTop w:val="240"/>
          <w:marBottom w:val="0"/>
          <w:divBdr>
            <w:top w:val="none" w:sz="0" w:space="0" w:color="auto"/>
            <w:left w:val="none" w:sz="0" w:space="0" w:color="auto"/>
            <w:bottom w:val="none" w:sz="0" w:space="0" w:color="auto"/>
            <w:right w:val="none" w:sz="0" w:space="0" w:color="auto"/>
          </w:divBdr>
        </w:div>
        <w:div w:id="1558709853">
          <w:marLeft w:val="547"/>
          <w:marRight w:val="0"/>
          <w:marTop w:val="240"/>
          <w:marBottom w:val="0"/>
          <w:divBdr>
            <w:top w:val="none" w:sz="0" w:space="0" w:color="auto"/>
            <w:left w:val="none" w:sz="0" w:space="0" w:color="auto"/>
            <w:bottom w:val="none" w:sz="0" w:space="0" w:color="auto"/>
            <w:right w:val="none" w:sz="0" w:space="0" w:color="auto"/>
          </w:divBdr>
        </w:div>
        <w:div w:id="2080591019">
          <w:marLeft w:val="547"/>
          <w:marRight w:val="0"/>
          <w:marTop w:val="240"/>
          <w:marBottom w:val="0"/>
          <w:divBdr>
            <w:top w:val="none" w:sz="0" w:space="0" w:color="auto"/>
            <w:left w:val="none" w:sz="0" w:space="0" w:color="auto"/>
            <w:bottom w:val="none" w:sz="0" w:space="0" w:color="auto"/>
            <w:right w:val="none" w:sz="0" w:space="0" w:color="auto"/>
          </w:divBdr>
        </w:div>
      </w:divsChild>
    </w:div>
    <w:div w:id="1368410174">
      <w:bodyDiv w:val="1"/>
      <w:marLeft w:val="0"/>
      <w:marRight w:val="0"/>
      <w:marTop w:val="0"/>
      <w:marBottom w:val="0"/>
      <w:divBdr>
        <w:top w:val="none" w:sz="0" w:space="0" w:color="auto"/>
        <w:left w:val="none" w:sz="0" w:space="0" w:color="auto"/>
        <w:bottom w:val="none" w:sz="0" w:space="0" w:color="auto"/>
        <w:right w:val="none" w:sz="0" w:space="0" w:color="auto"/>
      </w:divBdr>
    </w:div>
    <w:div w:id="1381780603">
      <w:bodyDiv w:val="1"/>
      <w:marLeft w:val="0"/>
      <w:marRight w:val="0"/>
      <w:marTop w:val="0"/>
      <w:marBottom w:val="0"/>
      <w:divBdr>
        <w:top w:val="none" w:sz="0" w:space="0" w:color="auto"/>
        <w:left w:val="none" w:sz="0" w:space="0" w:color="auto"/>
        <w:bottom w:val="none" w:sz="0" w:space="0" w:color="auto"/>
        <w:right w:val="none" w:sz="0" w:space="0" w:color="auto"/>
      </w:divBdr>
    </w:div>
    <w:div w:id="1419014183">
      <w:bodyDiv w:val="1"/>
      <w:marLeft w:val="0"/>
      <w:marRight w:val="0"/>
      <w:marTop w:val="0"/>
      <w:marBottom w:val="0"/>
      <w:divBdr>
        <w:top w:val="none" w:sz="0" w:space="0" w:color="auto"/>
        <w:left w:val="none" w:sz="0" w:space="0" w:color="auto"/>
        <w:bottom w:val="none" w:sz="0" w:space="0" w:color="auto"/>
        <w:right w:val="none" w:sz="0" w:space="0" w:color="auto"/>
      </w:divBdr>
    </w:div>
    <w:div w:id="1449812866">
      <w:bodyDiv w:val="1"/>
      <w:marLeft w:val="0"/>
      <w:marRight w:val="0"/>
      <w:marTop w:val="0"/>
      <w:marBottom w:val="0"/>
      <w:divBdr>
        <w:top w:val="none" w:sz="0" w:space="0" w:color="auto"/>
        <w:left w:val="none" w:sz="0" w:space="0" w:color="auto"/>
        <w:bottom w:val="none" w:sz="0" w:space="0" w:color="auto"/>
        <w:right w:val="none" w:sz="0" w:space="0" w:color="auto"/>
      </w:divBdr>
    </w:div>
    <w:div w:id="1466199645">
      <w:bodyDiv w:val="1"/>
      <w:marLeft w:val="0"/>
      <w:marRight w:val="0"/>
      <w:marTop w:val="0"/>
      <w:marBottom w:val="0"/>
      <w:divBdr>
        <w:top w:val="none" w:sz="0" w:space="0" w:color="auto"/>
        <w:left w:val="none" w:sz="0" w:space="0" w:color="auto"/>
        <w:bottom w:val="none" w:sz="0" w:space="0" w:color="auto"/>
        <w:right w:val="none" w:sz="0" w:space="0" w:color="auto"/>
      </w:divBdr>
    </w:div>
    <w:div w:id="1486122975">
      <w:bodyDiv w:val="1"/>
      <w:marLeft w:val="0"/>
      <w:marRight w:val="0"/>
      <w:marTop w:val="0"/>
      <w:marBottom w:val="0"/>
      <w:divBdr>
        <w:top w:val="none" w:sz="0" w:space="0" w:color="auto"/>
        <w:left w:val="none" w:sz="0" w:space="0" w:color="auto"/>
        <w:bottom w:val="none" w:sz="0" w:space="0" w:color="auto"/>
        <w:right w:val="none" w:sz="0" w:space="0" w:color="auto"/>
      </w:divBdr>
    </w:div>
    <w:div w:id="1501653139">
      <w:bodyDiv w:val="1"/>
      <w:marLeft w:val="0"/>
      <w:marRight w:val="0"/>
      <w:marTop w:val="0"/>
      <w:marBottom w:val="0"/>
      <w:divBdr>
        <w:top w:val="none" w:sz="0" w:space="0" w:color="auto"/>
        <w:left w:val="none" w:sz="0" w:space="0" w:color="auto"/>
        <w:bottom w:val="none" w:sz="0" w:space="0" w:color="auto"/>
        <w:right w:val="none" w:sz="0" w:space="0" w:color="auto"/>
      </w:divBdr>
      <w:divsChild>
        <w:div w:id="38600759">
          <w:marLeft w:val="547"/>
          <w:marRight w:val="0"/>
          <w:marTop w:val="240"/>
          <w:marBottom w:val="0"/>
          <w:divBdr>
            <w:top w:val="none" w:sz="0" w:space="0" w:color="auto"/>
            <w:left w:val="none" w:sz="0" w:space="0" w:color="auto"/>
            <w:bottom w:val="none" w:sz="0" w:space="0" w:color="auto"/>
            <w:right w:val="none" w:sz="0" w:space="0" w:color="auto"/>
          </w:divBdr>
        </w:div>
        <w:div w:id="1069376908">
          <w:marLeft w:val="547"/>
          <w:marRight w:val="0"/>
          <w:marTop w:val="240"/>
          <w:marBottom w:val="0"/>
          <w:divBdr>
            <w:top w:val="none" w:sz="0" w:space="0" w:color="auto"/>
            <w:left w:val="none" w:sz="0" w:space="0" w:color="auto"/>
            <w:bottom w:val="none" w:sz="0" w:space="0" w:color="auto"/>
            <w:right w:val="none" w:sz="0" w:space="0" w:color="auto"/>
          </w:divBdr>
        </w:div>
        <w:div w:id="1166286838">
          <w:marLeft w:val="547"/>
          <w:marRight w:val="0"/>
          <w:marTop w:val="240"/>
          <w:marBottom w:val="0"/>
          <w:divBdr>
            <w:top w:val="none" w:sz="0" w:space="0" w:color="auto"/>
            <w:left w:val="none" w:sz="0" w:space="0" w:color="auto"/>
            <w:bottom w:val="none" w:sz="0" w:space="0" w:color="auto"/>
            <w:right w:val="none" w:sz="0" w:space="0" w:color="auto"/>
          </w:divBdr>
        </w:div>
        <w:div w:id="1245996825">
          <w:marLeft w:val="547"/>
          <w:marRight w:val="0"/>
          <w:marTop w:val="240"/>
          <w:marBottom w:val="0"/>
          <w:divBdr>
            <w:top w:val="none" w:sz="0" w:space="0" w:color="auto"/>
            <w:left w:val="none" w:sz="0" w:space="0" w:color="auto"/>
            <w:bottom w:val="none" w:sz="0" w:space="0" w:color="auto"/>
            <w:right w:val="none" w:sz="0" w:space="0" w:color="auto"/>
          </w:divBdr>
        </w:div>
        <w:div w:id="1253709177">
          <w:marLeft w:val="547"/>
          <w:marRight w:val="0"/>
          <w:marTop w:val="240"/>
          <w:marBottom w:val="0"/>
          <w:divBdr>
            <w:top w:val="none" w:sz="0" w:space="0" w:color="auto"/>
            <w:left w:val="none" w:sz="0" w:space="0" w:color="auto"/>
            <w:bottom w:val="none" w:sz="0" w:space="0" w:color="auto"/>
            <w:right w:val="none" w:sz="0" w:space="0" w:color="auto"/>
          </w:divBdr>
        </w:div>
        <w:div w:id="1511750975">
          <w:marLeft w:val="547"/>
          <w:marRight w:val="0"/>
          <w:marTop w:val="240"/>
          <w:marBottom w:val="0"/>
          <w:divBdr>
            <w:top w:val="none" w:sz="0" w:space="0" w:color="auto"/>
            <w:left w:val="none" w:sz="0" w:space="0" w:color="auto"/>
            <w:bottom w:val="none" w:sz="0" w:space="0" w:color="auto"/>
            <w:right w:val="none" w:sz="0" w:space="0" w:color="auto"/>
          </w:divBdr>
        </w:div>
      </w:divsChild>
    </w:div>
    <w:div w:id="1538542916">
      <w:bodyDiv w:val="1"/>
      <w:marLeft w:val="0"/>
      <w:marRight w:val="0"/>
      <w:marTop w:val="0"/>
      <w:marBottom w:val="0"/>
      <w:divBdr>
        <w:top w:val="none" w:sz="0" w:space="0" w:color="auto"/>
        <w:left w:val="none" w:sz="0" w:space="0" w:color="auto"/>
        <w:bottom w:val="none" w:sz="0" w:space="0" w:color="auto"/>
        <w:right w:val="none" w:sz="0" w:space="0" w:color="auto"/>
      </w:divBdr>
    </w:div>
    <w:div w:id="1565991626">
      <w:bodyDiv w:val="1"/>
      <w:marLeft w:val="0"/>
      <w:marRight w:val="0"/>
      <w:marTop w:val="0"/>
      <w:marBottom w:val="0"/>
      <w:divBdr>
        <w:top w:val="none" w:sz="0" w:space="0" w:color="auto"/>
        <w:left w:val="none" w:sz="0" w:space="0" w:color="auto"/>
        <w:bottom w:val="none" w:sz="0" w:space="0" w:color="auto"/>
        <w:right w:val="none" w:sz="0" w:space="0" w:color="auto"/>
      </w:divBdr>
    </w:div>
    <w:div w:id="1573276765">
      <w:bodyDiv w:val="1"/>
      <w:marLeft w:val="0"/>
      <w:marRight w:val="0"/>
      <w:marTop w:val="0"/>
      <w:marBottom w:val="0"/>
      <w:divBdr>
        <w:top w:val="none" w:sz="0" w:space="0" w:color="auto"/>
        <w:left w:val="none" w:sz="0" w:space="0" w:color="auto"/>
        <w:bottom w:val="none" w:sz="0" w:space="0" w:color="auto"/>
        <w:right w:val="none" w:sz="0" w:space="0" w:color="auto"/>
      </w:divBdr>
    </w:div>
    <w:div w:id="1595435595">
      <w:bodyDiv w:val="1"/>
      <w:marLeft w:val="0"/>
      <w:marRight w:val="0"/>
      <w:marTop w:val="0"/>
      <w:marBottom w:val="0"/>
      <w:divBdr>
        <w:top w:val="none" w:sz="0" w:space="0" w:color="auto"/>
        <w:left w:val="none" w:sz="0" w:space="0" w:color="auto"/>
        <w:bottom w:val="none" w:sz="0" w:space="0" w:color="auto"/>
        <w:right w:val="none" w:sz="0" w:space="0" w:color="auto"/>
      </w:divBdr>
    </w:div>
    <w:div w:id="1611469151">
      <w:bodyDiv w:val="1"/>
      <w:marLeft w:val="0"/>
      <w:marRight w:val="0"/>
      <w:marTop w:val="0"/>
      <w:marBottom w:val="0"/>
      <w:divBdr>
        <w:top w:val="none" w:sz="0" w:space="0" w:color="auto"/>
        <w:left w:val="none" w:sz="0" w:space="0" w:color="auto"/>
        <w:bottom w:val="none" w:sz="0" w:space="0" w:color="auto"/>
        <w:right w:val="none" w:sz="0" w:space="0" w:color="auto"/>
      </w:divBdr>
      <w:divsChild>
        <w:div w:id="38360099">
          <w:marLeft w:val="1166"/>
          <w:marRight w:val="0"/>
          <w:marTop w:val="0"/>
          <w:marBottom w:val="0"/>
          <w:divBdr>
            <w:top w:val="none" w:sz="0" w:space="0" w:color="auto"/>
            <w:left w:val="none" w:sz="0" w:space="0" w:color="auto"/>
            <w:bottom w:val="none" w:sz="0" w:space="0" w:color="auto"/>
            <w:right w:val="none" w:sz="0" w:space="0" w:color="auto"/>
          </w:divBdr>
        </w:div>
        <w:div w:id="1151290679">
          <w:marLeft w:val="547"/>
          <w:marRight w:val="0"/>
          <w:marTop w:val="240"/>
          <w:marBottom w:val="0"/>
          <w:divBdr>
            <w:top w:val="none" w:sz="0" w:space="0" w:color="auto"/>
            <w:left w:val="none" w:sz="0" w:space="0" w:color="auto"/>
            <w:bottom w:val="none" w:sz="0" w:space="0" w:color="auto"/>
            <w:right w:val="none" w:sz="0" w:space="0" w:color="auto"/>
          </w:divBdr>
        </w:div>
        <w:div w:id="1770467013">
          <w:marLeft w:val="547"/>
          <w:marRight w:val="0"/>
          <w:marTop w:val="240"/>
          <w:marBottom w:val="0"/>
          <w:divBdr>
            <w:top w:val="none" w:sz="0" w:space="0" w:color="auto"/>
            <w:left w:val="none" w:sz="0" w:space="0" w:color="auto"/>
            <w:bottom w:val="none" w:sz="0" w:space="0" w:color="auto"/>
            <w:right w:val="none" w:sz="0" w:space="0" w:color="auto"/>
          </w:divBdr>
        </w:div>
        <w:div w:id="1893496090">
          <w:marLeft w:val="547"/>
          <w:marRight w:val="0"/>
          <w:marTop w:val="240"/>
          <w:marBottom w:val="0"/>
          <w:divBdr>
            <w:top w:val="none" w:sz="0" w:space="0" w:color="auto"/>
            <w:left w:val="none" w:sz="0" w:space="0" w:color="auto"/>
            <w:bottom w:val="none" w:sz="0" w:space="0" w:color="auto"/>
            <w:right w:val="none" w:sz="0" w:space="0" w:color="auto"/>
          </w:divBdr>
        </w:div>
      </w:divsChild>
    </w:div>
    <w:div w:id="1621842333">
      <w:bodyDiv w:val="1"/>
      <w:marLeft w:val="0"/>
      <w:marRight w:val="0"/>
      <w:marTop w:val="0"/>
      <w:marBottom w:val="0"/>
      <w:divBdr>
        <w:top w:val="none" w:sz="0" w:space="0" w:color="auto"/>
        <w:left w:val="none" w:sz="0" w:space="0" w:color="auto"/>
        <w:bottom w:val="none" w:sz="0" w:space="0" w:color="auto"/>
        <w:right w:val="none" w:sz="0" w:space="0" w:color="auto"/>
      </w:divBdr>
    </w:div>
    <w:div w:id="1651208344">
      <w:bodyDiv w:val="1"/>
      <w:marLeft w:val="0"/>
      <w:marRight w:val="0"/>
      <w:marTop w:val="0"/>
      <w:marBottom w:val="0"/>
      <w:divBdr>
        <w:top w:val="none" w:sz="0" w:space="0" w:color="auto"/>
        <w:left w:val="none" w:sz="0" w:space="0" w:color="auto"/>
        <w:bottom w:val="none" w:sz="0" w:space="0" w:color="auto"/>
        <w:right w:val="none" w:sz="0" w:space="0" w:color="auto"/>
      </w:divBdr>
      <w:divsChild>
        <w:div w:id="147598379">
          <w:marLeft w:val="547"/>
          <w:marRight w:val="0"/>
          <w:marTop w:val="240"/>
          <w:marBottom w:val="0"/>
          <w:divBdr>
            <w:top w:val="none" w:sz="0" w:space="0" w:color="auto"/>
            <w:left w:val="none" w:sz="0" w:space="0" w:color="auto"/>
            <w:bottom w:val="none" w:sz="0" w:space="0" w:color="auto"/>
            <w:right w:val="none" w:sz="0" w:space="0" w:color="auto"/>
          </w:divBdr>
        </w:div>
        <w:div w:id="489104515">
          <w:marLeft w:val="547"/>
          <w:marRight w:val="0"/>
          <w:marTop w:val="240"/>
          <w:marBottom w:val="0"/>
          <w:divBdr>
            <w:top w:val="none" w:sz="0" w:space="0" w:color="auto"/>
            <w:left w:val="none" w:sz="0" w:space="0" w:color="auto"/>
            <w:bottom w:val="none" w:sz="0" w:space="0" w:color="auto"/>
            <w:right w:val="none" w:sz="0" w:space="0" w:color="auto"/>
          </w:divBdr>
        </w:div>
        <w:div w:id="1032457536">
          <w:marLeft w:val="547"/>
          <w:marRight w:val="0"/>
          <w:marTop w:val="240"/>
          <w:marBottom w:val="0"/>
          <w:divBdr>
            <w:top w:val="none" w:sz="0" w:space="0" w:color="auto"/>
            <w:left w:val="none" w:sz="0" w:space="0" w:color="auto"/>
            <w:bottom w:val="none" w:sz="0" w:space="0" w:color="auto"/>
            <w:right w:val="none" w:sz="0" w:space="0" w:color="auto"/>
          </w:divBdr>
        </w:div>
        <w:div w:id="1486245159">
          <w:marLeft w:val="547"/>
          <w:marRight w:val="0"/>
          <w:marTop w:val="240"/>
          <w:marBottom w:val="0"/>
          <w:divBdr>
            <w:top w:val="none" w:sz="0" w:space="0" w:color="auto"/>
            <w:left w:val="none" w:sz="0" w:space="0" w:color="auto"/>
            <w:bottom w:val="none" w:sz="0" w:space="0" w:color="auto"/>
            <w:right w:val="none" w:sz="0" w:space="0" w:color="auto"/>
          </w:divBdr>
        </w:div>
        <w:div w:id="2061317725">
          <w:marLeft w:val="547"/>
          <w:marRight w:val="0"/>
          <w:marTop w:val="240"/>
          <w:marBottom w:val="0"/>
          <w:divBdr>
            <w:top w:val="none" w:sz="0" w:space="0" w:color="auto"/>
            <w:left w:val="none" w:sz="0" w:space="0" w:color="auto"/>
            <w:bottom w:val="none" w:sz="0" w:space="0" w:color="auto"/>
            <w:right w:val="none" w:sz="0" w:space="0" w:color="auto"/>
          </w:divBdr>
        </w:div>
      </w:divsChild>
    </w:div>
    <w:div w:id="1695958546">
      <w:bodyDiv w:val="1"/>
      <w:marLeft w:val="0"/>
      <w:marRight w:val="0"/>
      <w:marTop w:val="0"/>
      <w:marBottom w:val="0"/>
      <w:divBdr>
        <w:top w:val="none" w:sz="0" w:space="0" w:color="auto"/>
        <w:left w:val="none" w:sz="0" w:space="0" w:color="auto"/>
        <w:bottom w:val="none" w:sz="0" w:space="0" w:color="auto"/>
        <w:right w:val="none" w:sz="0" w:space="0" w:color="auto"/>
      </w:divBdr>
    </w:div>
    <w:div w:id="1696617790">
      <w:bodyDiv w:val="1"/>
      <w:marLeft w:val="0"/>
      <w:marRight w:val="0"/>
      <w:marTop w:val="0"/>
      <w:marBottom w:val="0"/>
      <w:divBdr>
        <w:top w:val="none" w:sz="0" w:space="0" w:color="auto"/>
        <w:left w:val="none" w:sz="0" w:space="0" w:color="auto"/>
        <w:bottom w:val="none" w:sz="0" w:space="0" w:color="auto"/>
        <w:right w:val="none" w:sz="0" w:space="0" w:color="auto"/>
      </w:divBdr>
    </w:div>
    <w:div w:id="1699504512">
      <w:bodyDiv w:val="1"/>
      <w:marLeft w:val="0"/>
      <w:marRight w:val="0"/>
      <w:marTop w:val="0"/>
      <w:marBottom w:val="0"/>
      <w:divBdr>
        <w:top w:val="none" w:sz="0" w:space="0" w:color="auto"/>
        <w:left w:val="none" w:sz="0" w:space="0" w:color="auto"/>
        <w:bottom w:val="none" w:sz="0" w:space="0" w:color="auto"/>
        <w:right w:val="none" w:sz="0" w:space="0" w:color="auto"/>
      </w:divBdr>
    </w:div>
    <w:div w:id="1710645538">
      <w:bodyDiv w:val="1"/>
      <w:marLeft w:val="0"/>
      <w:marRight w:val="0"/>
      <w:marTop w:val="0"/>
      <w:marBottom w:val="0"/>
      <w:divBdr>
        <w:top w:val="none" w:sz="0" w:space="0" w:color="auto"/>
        <w:left w:val="none" w:sz="0" w:space="0" w:color="auto"/>
        <w:bottom w:val="none" w:sz="0" w:space="0" w:color="auto"/>
        <w:right w:val="none" w:sz="0" w:space="0" w:color="auto"/>
      </w:divBdr>
    </w:div>
    <w:div w:id="1769622164">
      <w:bodyDiv w:val="1"/>
      <w:marLeft w:val="0"/>
      <w:marRight w:val="0"/>
      <w:marTop w:val="0"/>
      <w:marBottom w:val="0"/>
      <w:divBdr>
        <w:top w:val="none" w:sz="0" w:space="0" w:color="auto"/>
        <w:left w:val="none" w:sz="0" w:space="0" w:color="auto"/>
        <w:bottom w:val="none" w:sz="0" w:space="0" w:color="auto"/>
        <w:right w:val="none" w:sz="0" w:space="0" w:color="auto"/>
      </w:divBdr>
      <w:divsChild>
        <w:div w:id="3872880">
          <w:marLeft w:val="547"/>
          <w:marRight w:val="0"/>
          <w:marTop w:val="240"/>
          <w:marBottom w:val="0"/>
          <w:divBdr>
            <w:top w:val="none" w:sz="0" w:space="0" w:color="auto"/>
            <w:left w:val="none" w:sz="0" w:space="0" w:color="auto"/>
            <w:bottom w:val="none" w:sz="0" w:space="0" w:color="auto"/>
            <w:right w:val="none" w:sz="0" w:space="0" w:color="auto"/>
          </w:divBdr>
        </w:div>
        <w:div w:id="246161411">
          <w:marLeft w:val="547"/>
          <w:marRight w:val="0"/>
          <w:marTop w:val="240"/>
          <w:marBottom w:val="0"/>
          <w:divBdr>
            <w:top w:val="none" w:sz="0" w:space="0" w:color="auto"/>
            <w:left w:val="none" w:sz="0" w:space="0" w:color="auto"/>
            <w:bottom w:val="none" w:sz="0" w:space="0" w:color="auto"/>
            <w:right w:val="none" w:sz="0" w:space="0" w:color="auto"/>
          </w:divBdr>
        </w:div>
        <w:div w:id="807741038">
          <w:marLeft w:val="547"/>
          <w:marRight w:val="0"/>
          <w:marTop w:val="240"/>
          <w:marBottom w:val="0"/>
          <w:divBdr>
            <w:top w:val="none" w:sz="0" w:space="0" w:color="auto"/>
            <w:left w:val="none" w:sz="0" w:space="0" w:color="auto"/>
            <w:bottom w:val="none" w:sz="0" w:space="0" w:color="auto"/>
            <w:right w:val="none" w:sz="0" w:space="0" w:color="auto"/>
          </w:divBdr>
        </w:div>
        <w:div w:id="1429735428">
          <w:marLeft w:val="547"/>
          <w:marRight w:val="0"/>
          <w:marTop w:val="240"/>
          <w:marBottom w:val="0"/>
          <w:divBdr>
            <w:top w:val="none" w:sz="0" w:space="0" w:color="auto"/>
            <w:left w:val="none" w:sz="0" w:space="0" w:color="auto"/>
            <w:bottom w:val="none" w:sz="0" w:space="0" w:color="auto"/>
            <w:right w:val="none" w:sz="0" w:space="0" w:color="auto"/>
          </w:divBdr>
        </w:div>
      </w:divsChild>
    </w:div>
    <w:div w:id="1779063624">
      <w:bodyDiv w:val="1"/>
      <w:marLeft w:val="0"/>
      <w:marRight w:val="0"/>
      <w:marTop w:val="0"/>
      <w:marBottom w:val="0"/>
      <w:divBdr>
        <w:top w:val="none" w:sz="0" w:space="0" w:color="auto"/>
        <w:left w:val="none" w:sz="0" w:space="0" w:color="auto"/>
        <w:bottom w:val="none" w:sz="0" w:space="0" w:color="auto"/>
        <w:right w:val="none" w:sz="0" w:space="0" w:color="auto"/>
      </w:divBdr>
      <w:divsChild>
        <w:div w:id="462889395">
          <w:marLeft w:val="547"/>
          <w:marRight w:val="0"/>
          <w:marTop w:val="240"/>
          <w:marBottom w:val="0"/>
          <w:divBdr>
            <w:top w:val="none" w:sz="0" w:space="0" w:color="auto"/>
            <w:left w:val="none" w:sz="0" w:space="0" w:color="auto"/>
            <w:bottom w:val="none" w:sz="0" w:space="0" w:color="auto"/>
            <w:right w:val="none" w:sz="0" w:space="0" w:color="auto"/>
          </w:divBdr>
        </w:div>
        <w:div w:id="644503988">
          <w:marLeft w:val="547"/>
          <w:marRight w:val="0"/>
          <w:marTop w:val="240"/>
          <w:marBottom w:val="0"/>
          <w:divBdr>
            <w:top w:val="none" w:sz="0" w:space="0" w:color="auto"/>
            <w:left w:val="none" w:sz="0" w:space="0" w:color="auto"/>
            <w:bottom w:val="none" w:sz="0" w:space="0" w:color="auto"/>
            <w:right w:val="none" w:sz="0" w:space="0" w:color="auto"/>
          </w:divBdr>
        </w:div>
        <w:div w:id="1551382506">
          <w:marLeft w:val="547"/>
          <w:marRight w:val="0"/>
          <w:marTop w:val="240"/>
          <w:marBottom w:val="0"/>
          <w:divBdr>
            <w:top w:val="none" w:sz="0" w:space="0" w:color="auto"/>
            <w:left w:val="none" w:sz="0" w:space="0" w:color="auto"/>
            <w:bottom w:val="none" w:sz="0" w:space="0" w:color="auto"/>
            <w:right w:val="none" w:sz="0" w:space="0" w:color="auto"/>
          </w:divBdr>
        </w:div>
        <w:div w:id="1859460717">
          <w:marLeft w:val="547"/>
          <w:marRight w:val="0"/>
          <w:marTop w:val="240"/>
          <w:marBottom w:val="0"/>
          <w:divBdr>
            <w:top w:val="none" w:sz="0" w:space="0" w:color="auto"/>
            <w:left w:val="none" w:sz="0" w:space="0" w:color="auto"/>
            <w:bottom w:val="none" w:sz="0" w:space="0" w:color="auto"/>
            <w:right w:val="none" w:sz="0" w:space="0" w:color="auto"/>
          </w:divBdr>
        </w:div>
        <w:div w:id="1992370346">
          <w:marLeft w:val="547"/>
          <w:marRight w:val="0"/>
          <w:marTop w:val="240"/>
          <w:marBottom w:val="0"/>
          <w:divBdr>
            <w:top w:val="none" w:sz="0" w:space="0" w:color="auto"/>
            <w:left w:val="none" w:sz="0" w:space="0" w:color="auto"/>
            <w:bottom w:val="none" w:sz="0" w:space="0" w:color="auto"/>
            <w:right w:val="none" w:sz="0" w:space="0" w:color="auto"/>
          </w:divBdr>
        </w:div>
      </w:divsChild>
    </w:div>
    <w:div w:id="1791626323">
      <w:bodyDiv w:val="1"/>
      <w:marLeft w:val="0"/>
      <w:marRight w:val="0"/>
      <w:marTop w:val="0"/>
      <w:marBottom w:val="0"/>
      <w:divBdr>
        <w:top w:val="none" w:sz="0" w:space="0" w:color="auto"/>
        <w:left w:val="none" w:sz="0" w:space="0" w:color="auto"/>
        <w:bottom w:val="none" w:sz="0" w:space="0" w:color="auto"/>
        <w:right w:val="none" w:sz="0" w:space="0" w:color="auto"/>
      </w:divBdr>
      <w:divsChild>
        <w:div w:id="919143654">
          <w:marLeft w:val="806"/>
          <w:marRight w:val="0"/>
          <w:marTop w:val="0"/>
          <w:marBottom w:val="0"/>
          <w:divBdr>
            <w:top w:val="none" w:sz="0" w:space="0" w:color="auto"/>
            <w:left w:val="none" w:sz="0" w:space="0" w:color="auto"/>
            <w:bottom w:val="none" w:sz="0" w:space="0" w:color="auto"/>
            <w:right w:val="none" w:sz="0" w:space="0" w:color="auto"/>
          </w:divBdr>
        </w:div>
        <w:div w:id="1880391543">
          <w:marLeft w:val="806"/>
          <w:marRight w:val="0"/>
          <w:marTop w:val="0"/>
          <w:marBottom w:val="0"/>
          <w:divBdr>
            <w:top w:val="none" w:sz="0" w:space="0" w:color="auto"/>
            <w:left w:val="none" w:sz="0" w:space="0" w:color="auto"/>
            <w:bottom w:val="none" w:sz="0" w:space="0" w:color="auto"/>
            <w:right w:val="none" w:sz="0" w:space="0" w:color="auto"/>
          </w:divBdr>
        </w:div>
      </w:divsChild>
    </w:div>
    <w:div w:id="1795564933">
      <w:bodyDiv w:val="1"/>
      <w:marLeft w:val="0"/>
      <w:marRight w:val="0"/>
      <w:marTop w:val="0"/>
      <w:marBottom w:val="0"/>
      <w:divBdr>
        <w:top w:val="none" w:sz="0" w:space="0" w:color="auto"/>
        <w:left w:val="none" w:sz="0" w:space="0" w:color="auto"/>
        <w:bottom w:val="none" w:sz="0" w:space="0" w:color="auto"/>
        <w:right w:val="none" w:sz="0" w:space="0" w:color="auto"/>
      </w:divBdr>
      <w:divsChild>
        <w:div w:id="282661218">
          <w:marLeft w:val="547"/>
          <w:marRight w:val="0"/>
          <w:marTop w:val="240"/>
          <w:marBottom w:val="0"/>
          <w:divBdr>
            <w:top w:val="none" w:sz="0" w:space="0" w:color="auto"/>
            <w:left w:val="none" w:sz="0" w:space="0" w:color="auto"/>
            <w:bottom w:val="none" w:sz="0" w:space="0" w:color="auto"/>
            <w:right w:val="none" w:sz="0" w:space="0" w:color="auto"/>
          </w:divBdr>
        </w:div>
        <w:div w:id="1210799750">
          <w:marLeft w:val="547"/>
          <w:marRight w:val="0"/>
          <w:marTop w:val="240"/>
          <w:marBottom w:val="0"/>
          <w:divBdr>
            <w:top w:val="none" w:sz="0" w:space="0" w:color="auto"/>
            <w:left w:val="none" w:sz="0" w:space="0" w:color="auto"/>
            <w:bottom w:val="none" w:sz="0" w:space="0" w:color="auto"/>
            <w:right w:val="none" w:sz="0" w:space="0" w:color="auto"/>
          </w:divBdr>
        </w:div>
        <w:div w:id="1689596778">
          <w:marLeft w:val="547"/>
          <w:marRight w:val="0"/>
          <w:marTop w:val="240"/>
          <w:marBottom w:val="0"/>
          <w:divBdr>
            <w:top w:val="none" w:sz="0" w:space="0" w:color="auto"/>
            <w:left w:val="none" w:sz="0" w:space="0" w:color="auto"/>
            <w:bottom w:val="none" w:sz="0" w:space="0" w:color="auto"/>
            <w:right w:val="none" w:sz="0" w:space="0" w:color="auto"/>
          </w:divBdr>
        </w:div>
        <w:div w:id="1850872790">
          <w:marLeft w:val="547"/>
          <w:marRight w:val="0"/>
          <w:marTop w:val="240"/>
          <w:marBottom w:val="0"/>
          <w:divBdr>
            <w:top w:val="none" w:sz="0" w:space="0" w:color="auto"/>
            <w:left w:val="none" w:sz="0" w:space="0" w:color="auto"/>
            <w:bottom w:val="none" w:sz="0" w:space="0" w:color="auto"/>
            <w:right w:val="none" w:sz="0" w:space="0" w:color="auto"/>
          </w:divBdr>
        </w:div>
        <w:div w:id="2090731256">
          <w:marLeft w:val="547"/>
          <w:marRight w:val="0"/>
          <w:marTop w:val="240"/>
          <w:marBottom w:val="0"/>
          <w:divBdr>
            <w:top w:val="none" w:sz="0" w:space="0" w:color="auto"/>
            <w:left w:val="none" w:sz="0" w:space="0" w:color="auto"/>
            <w:bottom w:val="none" w:sz="0" w:space="0" w:color="auto"/>
            <w:right w:val="none" w:sz="0" w:space="0" w:color="auto"/>
          </w:divBdr>
        </w:div>
      </w:divsChild>
    </w:div>
    <w:div w:id="1820728949">
      <w:bodyDiv w:val="1"/>
      <w:marLeft w:val="0"/>
      <w:marRight w:val="0"/>
      <w:marTop w:val="0"/>
      <w:marBottom w:val="0"/>
      <w:divBdr>
        <w:top w:val="none" w:sz="0" w:space="0" w:color="auto"/>
        <w:left w:val="none" w:sz="0" w:space="0" w:color="auto"/>
        <w:bottom w:val="none" w:sz="0" w:space="0" w:color="auto"/>
        <w:right w:val="none" w:sz="0" w:space="0" w:color="auto"/>
      </w:divBdr>
    </w:div>
    <w:div w:id="1841042625">
      <w:bodyDiv w:val="1"/>
      <w:marLeft w:val="0"/>
      <w:marRight w:val="0"/>
      <w:marTop w:val="0"/>
      <w:marBottom w:val="0"/>
      <w:divBdr>
        <w:top w:val="none" w:sz="0" w:space="0" w:color="auto"/>
        <w:left w:val="none" w:sz="0" w:space="0" w:color="auto"/>
        <w:bottom w:val="none" w:sz="0" w:space="0" w:color="auto"/>
        <w:right w:val="none" w:sz="0" w:space="0" w:color="auto"/>
      </w:divBdr>
    </w:div>
    <w:div w:id="1858083978">
      <w:bodyDiv w:val="1"/>
      <w:marLeft w:val="0"/>
      <w:marRight w:val="0"/>
      <w:marTop w:val="0"/>
      <w:marBottom w:val="0"/>
      <w:divBdr>
        <w:top w:val="none" w:sz="0" w:space="0" w:color="auto"/>
        <w:left w:val="none" w:sz="0" w:space="0" w:color="auto"/>
        <w:bottom w:val="none" w:sz="0" w:space="0" w:color="auto"/>
        <w:right w:val="none" w:sz="0" w:space="0" w:color="auto"/>
      </w:divBdr>
    </w:div>
    <w:div w:id="1891453609">
      <w:bodyDiv w:val="1"/>
      <w:marLeft w:val="0"/>
      <w:marRight w:val="0"/>
      <w:marTop w:val="0"/>
      <w:marBottom w:val="0"/>
      <w:divBdr>
        <w:top w:val="none" w:sz="0" w:space="0" w:color="auto"/>
        <w:left w:val="none" w:sz="0" w:space="0" w:color="auto"/>
        <w:bottom w:val="none" w:sz="0" w:space="0" w:color="auto"/>
        <w:right w:val="none" w:sz="0" w:space="0" w:color="auto"/>
      </w:divBdr>
    </w:div>
    <w:div w:id="1970238280">
      <w:bodyDiv w:val="1"/>
      <w:marLeft w:val="0"/>
      <w:marRight w:val="0"/>
      <w:marTop w:val="0"/>
      <w:marBottom w:val="0"/>
      <w:divBdr>
        <w:top w:val="none" w:sz="0" w:space="0" w:color="auto"/>
        <w:left w:val="none" w:sz="0" w:space="0" w:color="auto"/>
        <w:bottom w:val="none" w:sz="0" w:space="0" w:color="auto"/>
        <w:right w:val="none" w:sz="0" w:space="0" w:color="auto"/>
      </w:divBdr>
    </w:div>
    <w:div w:id="2007201760">
      <w:bodyDiv w:val="1"/>
      <w:marLeft w:val="0"/>
      <w:marRight w:val="0"/>
      <w:marTop w:val="0"/>
      <w:marBottom w:val="0"/>
      <w:divBdr>
        <w:top w:val="none" w:sz="0" w:space="0" w:color="auto"/>
        <w:left w:val="none" w:sz="0" w:space="0" w:color="auto"/>
        <w:bottom w:val="none" w:sz="0" w:space="0" w:color="auto"/>
        <w:right w:val="none" w:sz="0" w:space="0" w:color="auto"/>
      </w:divBdr>
    </w:div>
    <w:div w:id="2032994395">
      <w:bodyDiv w:val="1"/>
      <w:marLeft w:val="0"/>
      <w:marRight w:val="0"/>
      <w:marTop w:val="0"/>
      <w:marBottom w:val="0"/>
      <w:divBdr>
        <w:top w:val="none" w:sz="0" w:space="0" w:color="auto"/>
        <w:left w:val="none" w:sz="0" w:space="0" w:color="auto"/>
        <w:bottom w:val="none" w:sz="0" w:space="0" w:color="auto"/>
        <w:right w:val="none" w:sz="0" w:space="0" w:color="auto"/>
      </w:divBdr>
    </w:div>
    <w:div w:id="2045404836">
      <w:bodyDiv w:val="1"/>
      <w:marLeft w:val="0"/>
      <w:marRight w:val="0"/>
      <w:marTop w:val="0"/>
      <w:marBottom w:val="0"/>
      <w:divBdr>
        <w:top w:val="none" w:sz="0" w:space="0" w:color="auto"/>
        <w:left w:val="none" w:sz="0" w:space="0" w:color="auto"/>
        <w:bottom w:val="none" w:sz="0" w:space="0" w:color="auto"/>
        <w:right w:val="none" w:sz="0" w:space="0" w:color="auto"/>
      </w:divBdr>
    </w:div>
    <w:div w:id="2120442497">
      <w:bodyDiv w:val="1"/>
      <w:marLeft w:val="0"/>
      <w:marRight w:val="0"/>
      <w:marTop w:val="0"/>
      <w:marBottom w:val="0"/>
      <w:divBdr>
        <w:top w:val="none" w:sz="0" w:space="0" w:color="auto"/>
        <w:left w:val="none" w:sz="0" w:space="0" w:color="auto"/>
        <w:bottom w:val="none" w:sz="0" w:space="0" w:color="auto"/>
        <w:right w:val="none" w:sz="0" w:space="0" w:color="auto"/>
      </w:divBdr>
      <w:divsChild>
        <w:div w:id="1675255958">
          <w:marLeft w:val="547"/>
          <w:marRight w:val="0"/>
          <w:marTop w:val="240"/>
          <w:marBottom w:val="0"/>
          <w:divBdr>
            <w:top w:val="none" w:sz="0" w:space="0" w:color="auto"/>
            <w:left w:val="none" w:sz="0" w:space="0" w:color="auto"/>
            <w:bottom w:val="none" w:sz="0" w:space="0" w:color="auto"/>
            <w:right w:val="none" w:sz="0" w:space="0" w:color="auto"/>
          </w:divBdr>
        </w:div>
        <w:div w:id="2006321666">
          <w:marLeft w:val="547"/>
          <w:marRight w:val="0"/>
          <w:marTop w:val="240"/>
          <w:marBottom w:val="0"/>
          <w:divBdr>
            <w:top w:val="none" w:sz="0" w:space="0" w:color="auto"/>
            <w:left w:val="none" w:sz="0" w:space="0" w:color="auto"/>
            <w:bottom w:val="none" w:sz="0" w:space="0" w:color="auto"/>
            <w:right w:val="none" w:sz="0" w:space="0" w:color="auto"/>
          </w:divBdr>
        </w:div>
        <w:div w:id="2065635189">
          <w:marLeft w:val="547"/>
          <w:marRight w:val="0"/>
          <w:marTop w:val="240"/>
          <w:marBottom w:val="0"/>
          <w:divBdr>
            <w:top w:val="none" w:sz="0" w:space="0" w:color="auto"/>
            <w:left w:val="none" w:sz="0" w:space="0" w:color="auto"/>
            <w:bottom w:val="none" w:sz="0" w:space="0" w:color="auto"/>
            <w:right w:val="none" w:sz="0" w:space="0" w:color="auto"/>
          </w:divBdr>
        </w:div>
        <w:div w:id="2113359170">
          <w:marLeft w:val="547"/>
          <w:marRight w:val="0"/>
          <w:marTop w:val="240"/>
          <w:marBottom w:val="0"/>
          <w:divBdr>
            <w:top w:val="none" w:sz="0" w:space="0" w:color="auto"/>
            <w:left w:val="none" w:sz="0" w:space="0" w:color="auto"/>
            <w:bottom w:val="none" w:sz="0" w:space="0" w:color="auto"/>
            <w:right w:val="none" w:sz="0" w:space="0" w:color="auto"/>
          </w:divBdr>
        </w:div>
        <w:div w:id="2121411457">
          <w:marLeft w:val="547"/>
          <w:marRight w:val="0"/>
          <w:marTop w:val="240"/>
          <w:marBottom w:val="0"/>
          <w:divBdr>
            <w:top w:val="none" w:sz="0" w:space="0" w:color="auto"/>
            <w:left w:val="none" w:sz="0" w:space="0" w:color="auto"/>
            <w:bottom w:val="none" w:sz="0" w:space="0" w:color="auto"/>
            <w:right w:val="none" w:sz="0" w:space="0" w:color="auto"/>
          </w:divBdr>
        </w:div>
      </w:divsChild>
    </w:div>
    <w:div w:id="2134908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www.iso-ne.com/static-assets/documents/2022/07/2021_economic_study_future_grid_reliability_study_phase_1_report.pdf" TargetMode="External"/><Relationship Id="rId26" Type="http://schemas.openxmlformats.org/officeDocument/2006/relationships/hyperlink" Target="https://www.iso-ne.com/system-planning/system-plans-studies/celt" TargetMode="External"/><Relationship Id="rId39" Type="http://schemas.openxmlformats.org/officeDocument/2006/relationships/image" Target="media/image15.png"/><Relationship Id="rId51"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image" Target="media/image11.jpeg"/><Relationship Id="rId42" Type="http://schemas.openxmlformats.org/officeDocument/2006/relationships/footer" Target="footer6.xml"/><Relationship Id="rId50" Type="http://schemas.microsoft.com/office/2016/09/relationships/commentsIds" Target="commentsId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iso-ne.com/static-assets/documents/2022/04/schatzki-et-al-pathways-final.pdf" TargetMode="External"/><Relationship Id="rId25" Type="http://schemas.openxmlformats.org/officeDocument/2006/relationships/image" Target="media/image4.png"/><Relationship Id="rId33" Type="http://schemas.openxmlformats.org/officeDocument/2006/relationships/image" Target="media/image10.jpeg"/><Relationship Id="rId38" Type="http://schemas.openxmlformats.org/officeDocument/2006/relationships/hyperlink" Target="https://isonewswire.com/2024/02/28/duck-curve-days-becoming-more-frequent-as-solar-power-spreads/" TargetMode="External"/><Relationship Id="rId2" Type="http://schemas.openxmlformats.org/officeDocument/2006/relationships/styles" Target="styles.xml"/><Relationship Id="rId16" Type="http://schemas.openxmlformats.org/officeDocument/2006/relationships/hyperlink" Target="https://www.iso-ne.com/committees/planning/planning-advisory/?open_projects_value=Economic%20Planning%20for%20the%20Clean%20Energy%20Transition%20(EPCET)" TargetMode="External"/><Relationship Id="rId20" Type="http://schemas.openxmlformats.org/officeDocument/2006/relationships/hyperlink" Target="https://www.iso-ne.com/static-assets/documents/100008/2024_02_14_pac_2050_transmission_study_final.pdf" TargetMode="External"/><Relationship Id="rId29" Type="http://schemas.openxmlformats.org/officeDocument/2006/relationships/image" Target="media/image7.png"/><Relationship Id="rId41" Type="http://schemas.openxmlformats.org/officeDocument/2006/relationships/hyperlink" Target="http://chrome-extension/efaidnbmnnnibpcajpcglclefindmkaj/https:/www.iso-ne.com/static-assets/documents/100008/2024_02_14_pac_2050_transmission_study_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3.jpeg"/><Relationship Id="rId32" Type="http://schemas.openxmlformats.org/officeDocument/2006/relationships/hyperlink" Target="https://www.iso-ne.com/static-assets/documents/2022/07/2021_economic_study_future_grid_reliability_study_phase_1_report.pdf" TargetMode="External"/><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www.iso-ne.com/static-assets/documents/100014/epcet_policy_final_results.pdf" TargetMode="External"/><Relationship Id="rId28" Type="http://schemas.openxmlformats.org/officeDocument/2006/relationships/image" Target="media/image6.png"/><Relationship Id="rId36" Type="http://schemas.openxmlformats.org/officeDocument/2006/relationships/image" Target="media/image13.png"/><Relationship Id="rId10" Type="http://schemas.openxmlformats.org/officeDocument/2006/relationships/footer" Target="footer2.xml"/><Relationship Id="rId19" Type="http://schemas.openxmlformats.org/officeDocument/2006/relationships/hyperlink" Target="https://www.iso-ne.com/static-assets/documents/100006/operational_impact_of_exteme_weather_events_final_report.pdf" TargetMode="External"/><Relationship Id="rId31" Type="http://schemas.openxmlformats.org/officeDocument/2006/relationships/image" Target="media/image9.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iso-ne.com/static-assets/documents/100014/epcet_benchmark_mens_final_results.pdf" TargetMode="External"/><Relationship Id="rId27" Type="http://schemas.openxmlformats.org/officeDocument/2006/relationships/image" Target="media/image5.png"/><Relationship Id="rId30" Type="http://schemas.openxmlformats.org/officeDocument/2006/relationships/image" Target="media/image8.jpeg"/><Relationship Id="rId35" Type="http://schemas.openxmlformats.org/officeDocument/2006/relationships/image" Target="media/image12.png"/><Relationship Id="rId43"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www.iso-ne.com/static-assets/documents/2022/04/schatzki-et-al-pathways-final.pdf" TargetMode="External"/></Relationships>
</file>

<file path=word/theme/theme1.xml><?xml version="1.0" encoding="utf-8"?>
<a:theme xmlns:a="http://schemas.openxmlformats.org/drawingml/2006/main" name="ISONE2015">
  <a:themeElements>
    <a:clrScheme name="ISO-NE">
      <a:dk1>
        <a:srgbClr val="62777F"/>
      </a:dk1>
      <a:lt1>
        <a:srgbClr val="FFFFFF"/>
      </a:lt1>
      <a:dk2>
        <a:srgbClr val="1E6A9A"/>
      </a:dk2>
      <a:lt2>
        <a:srgbClr val="6DCFF6"/>
      </a:lt2>
      <a:accent1>
        <a:srgbClr val="1795D2"/>
      </a:accent1>
      <a:accent2>
        <a:srgbClr val="8555A1"/>
      </a:accent2>
      <a:accent3>
        <a:srgbClr val="77BD2A"/>
      </a:accent3>
      <a:accent4>
        <a:srgbClr val="FBB92F"/>
      </a:accent4>
      <a:accent5>
        <a:srgbClr val="F68920"/>
      </a:accent5>
      <a:accent6>
        <a:srgbClr val="EC1F25"/>
      </a:accent6>
      <a:hlink>
        <a:srgbClr val="1795D2"/>
      </a:hlink>
      <a:folHlink>
        <a:srgbClr val="8555A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8039</Words>
  <Characters>45824</Characters>
  <Application>Microsoft Office Word</Application>
  <DocSecurity>0</DocSecurity>
  <Lines>381</Lines>
  <Paragraphs>107</Paragraphs>
  <ScaleCrop>false</ScaleCrop>
  <Company/>
  <LinksUpToDate>false</LinksUpToDate>
  <CharactersWithSpaces>53756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2024-08-16T13:00:00Z</dcterms:created>
  <dcterms:modified xsi:type="dcterms:W3CDTF">2024-08-16T13:00:00Z</dcterms:modified>
</cp:coreProperties>
</file>