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97A27" w14:textId="1FE2603A" w:rsidR="00B468A3" w:rsidRPr="00BF6FA4" w:rsidRDefault="00B468A3" w:rsidP="00436394">
      <w:pPr>
        <w:pStyle w:val="Heading3C0"/>
        <w:rPr>
          <w:szCs w:val="24"/>
          <w:u w:val="single"/>
        </w:rPr>
      </w:pPr>
      <w:r w:rsidRPr="00BF6FA4">
        <w:rPr>
          <w:szCs w:val="24"/>
          <w:u w:val="single"/>
        </w:rPr>
        <w:t>M E M O R A N D U M</w:t>
      </w:r>
    </w:p>
    <w:p w14:paraId="677FDA32" w14:textId="77777777" w:rsidR="00B468A3" w:rsidRPr="00BF6FA4" w:rsidRDefault="00B468A3" w:rsidP="00436394">
      <w:pPr>
        <w:pStyle w:val="MHeader"/>
        <w:jc w:val="both"/>
        <w:rPr>
          <w:b/>
        </w:rPr>
      </w:pPr>
      <w:r w:rsidRPr="00BF6FA4">
        <w:rPr>
          <w:b/>
        </w:rPr>
        <w:t>TO:</w:t>
      </w:r>
      <w:r w:rsidRPr="00BF6FA4">
        <w:rPr>
          <w:b/>
        </w:rPr>
        <w:tab/>
      </w:r>
      <w:r w:rsidRPr="00BF6FA4">
        <w:t>NEPOOL Transmission Committee</w:t>
      </w:r>
    </w:p>
    <w:p w14:paraId="2EE29A90" w14:textId="01ED7B06" w:rsidR="00B468A3" w:rsidRPr="00BF6FA4" w:rsidRDefault="00B468A3" w:rsidP="00436394">
      <w:pPr>
        <w:pStyle w:val="MHeader"/>
        <w:jc w:val="both"/>
        <w:outlineLvl w:val="0"/>
      </w:pPr>
      <w:r w:rsidRPr="00BF6FA4">
        <w:rPr>
          <w:b/>
        </w:rPr>
        <w:t>FROM:</w:t>
      </w:r>
      <w:r w:rsidRPr="00BF6FA4">
        <w:rPr>
          <w:b/>
        </w:rPr>
        <w:tab/>
      </w:r>
      <w:r w:rsidRPr="00BF6FA4">
        <w:t>NEPOOL Counsel</w:t>
      </w:r>
      <w:r w:rsidR="00E1670B" w:rsidRPr="00BF6FA4">
        <w:t xml:space="preserve"> (Eric Runge; Margaret Czepiel)</w:t>
      </w:r>
      <w:r w:rsidRPr="00BF6FA4">
        <w:t xml:space="preserve"> </w:t>
      </w:r>
    </w:p>
    <w:p w14:paraId="46505D74" w14:textId="196BE5FB" w:rsidR="00B468A3" w:rsidRPr="00BF6FA4" w:rsidRDefault="00B468A3" w:rsidP="00436394">
      <w:pPr>
        <w:pStyle w:val="MHeader"/>
        <w:jc w:val="both"/>
      </w:pPr>
      <w:r w:rsidRPr="00BF6FA4">
        <w:rPr>
          <w:b/>
        </w:rPr>
        <w:t>DATE:</w:t>
      </w:r>
      <w:r w:rsidRPr="00BF6FA4">
        <w:rPr>
          <w:b/>
        </w:rPr>
        <w:tab/>
      </w:r>
      <w:r w:rsidR="007741A7" w:rsidRPr="00BF6FA4">
        <w:t xml:space="preserve">December </w:t>
      </w:r>
      <w:r w:rsidR="004C6B51">
        <w:t>4</w:t>
      </w:r>
      <w:r w:rsidRPr="00BF6FA4">
        <w:t>, 2024</w:t>
      </w:r>
    </w:p>
    <w:p w14:paraId="141E0E80" w14:textId="650C44C2" w:rsidR="00B468A3" w:rsidRPr="00BF6FA4" w:rsidRDefault="00B468A3" w:rsidP="00436394">
      <w:pPr>
        <w:pStyle w:val="MHeaderLast"/>
        <w:pBdr>
          <w:bottom w:val="single" w:sz="6" w:space="12" w:color="auto"/>
        </w:pBdr>
        <w:spacing w:after="0"/>
        <w:jc w:val="both"/>
        <w:rPr>
          <w:i/>
        </w:rPr>
      </w:pPr>
      <w:r w:rsidRPr="00BF6FA4">
        <w:rPr>
          <w:b/>
        </w:rPr>
        <w:t>RE:</w:t>
      </w:r>
      <w:r w:rsidRPr="00BF6FA4">
        <w:rPr>
          <w:b/>
        </w:rPr>
        <w:tab/>
      </w:r>
      <w:r w:rsidRPr="00BF6FA4">
        <w:t>Order No. 1920-A</w:t>
      </w:r>
      <w:r w:rsidR="005479EE">
        <w:t xml:space="preserve"> Summary</w:t>
      </w:r>
      <w:r w:rsidRPr="00BF6FA4">
        <w:t xml:space="preserve"> (Docket No. RM21-17-001)</w:t>
      </w:r>
    </w:p>
    <w:p w14:paraId="601EF26E" w14:textId="77777777" w:rsidR="00B468A3" w:rsidRPr="00BF6FA4" w:rsidRDefault="00B468A3" w:rsidP="00436394">
      <w:pPr>
        <w:jc w:val="both"/>
      </w:pPr>
    </w:p>
    <w:p w14:paraId="252E76DB" w14:textId="713431AE" w:rsidR="00B468A3" w:rsidRPr="00BF6FA4" w:rsidRDefault="00B468A3" w:rsidP="00436394">
      <w:pPr>
        <w:ind w:firstLine="720"/>
        <w:jc w:val="both"/>
      </w:pPr>
      <w:r w:rsidRPr="00BF6FA4">
        <w:t>On November 21, 2024, the Federal Energy Regulatory Commission (FERC or the Commission) issued Order No. 1920-A, an Order on Rehearing and Clarification of Order No. 1920.</w:t>
      </w:r>
      <w:r w:rsidR="00AD3EC0" w:rsidRPr="00BF6FA4">
        <w:rPr>
          <w:rStyle w:val="FootnoteReference"/>
        </w:rPr>
        <w:footnoteReference w:id="1"/>
      </w:r>
      <w:r w:rsidRPr="00BF6FA4">
        <w:t xml:space="preserve"> Order No. 1920 is a landmark transmission planning and cost allocation Final Rule issued by </w:t>
      </w:r>
      <w:r w:rsidR="008E697F" w:rsidRPr="00BF6FA4">
        <w:t>FERC</w:t>
      </w:r>
      <w:r w:rsidRPr="00BF6FA4">
        <w:t xml:space="preserve"> on May 13, 2024.</w:t>
      </w:r>
      <w:r w:rsidR="00F257F3" w:rsidRPr="00BF6FA4">
        <w:rPr>
          <w:rStyle w:val="FootnoteReference"/>
        </w:rPr>
        <w:footnoteReference w:id="2"/>
      </w:r>
      <w:r w:rsidRPr="00BF6FA4">
        <w:t xml:space="preserve">  In response to Order No. 1920, </w:t>
      </w:r>
      <w:r w:rsidR="008E697F" w:rsidRPr="00BF6FA4">
        <w:t>FERC</w:t>
      </w:r>
      <w:r w:rsidRPr="00BF6FA4">
        <w:t xml:space="preserve"> received 49 timely-filed requests for rehearing and/or clarification.</w:t>
      </w:r>
      <w:r w:rsidR="0008704C" w:rsidRPr="00BF6FA4">
        <w:rPr>
          <w:rStyle w:val="FootnoteReference"/>
        </w:rPr>
        <w:footnoteReference w:id="3"/>
      </w:r>
      <w:r w:rsidRPr="00BF6FA4">
        <w:t xml:space="preserve"> </w:t>
      </w:r>
      <w:r w:rsidR="0072151B" w:rsidRPr="00BF6FA4">
        <w:t xml:space="preserve">In Order No. 1920-A, </w:t>
      </w:r>
      <w:r w:rsidR="008E697F" w:rsidRPr="00BF6FA4">
        <w:t>FERC</w:t>
      </w:r>
      <w:r w:rsidR="0072151B" w:rsidRPr="00BF6FA4">
        <w:t xml:space="preserve"> states that it is refining and improving Long-Term Regional Transmission Planning (LTRTP) “by building on the reforms adopted in Order No. 1920, with a particular focus on ensuring that states have a robust role” </w:t>
      </w:r>
      <w:r w:rsidR="007741A7" w:rsidRPr="00BF6FA4">
        <w:t xml:space="preserve">in </w:t>
      </w:r>
      <w:r w:rsidR="0072151B" w:rsidRPr="00BF6FA4">
        <w:t>LTRTP and cost allocation processes established in the rule.</w:t>
      </w:r>
      <w:r w:rsidR="0072151B" w:rsidRPr="00BF6FA4">
        <w:rPr>
          <w:rStyle w:val="FootnoteReference"/>
        </w:rPr>
        <w:footnoteReference w:id="4"/>
      </w:r>
      <w:r w:rsidR="003F69CC" w:rsidRPr="00BF6FA4">
        <w:t xml:space="preserve"> This memorandum provides a brief summary of the more important features of Order No. 1920-A.</w:t>
      </w:r>
    </w:p>
    <w:p w14:paraId="7EB643B9" w14:textId="77777777" w:rsidR="00B468A3" w:rsidRPr="00BF6FA4" w:rsidRDefault="00B468A3" w:rsidP="00436394">
      <w:pPr>
        <w:ind w:firstLine="720"/>
        <w:jc w:val="both"/>
      </w:pPr>
    </w:p>
    <w:p w14:paraId="6530E5E9" w14:textId="4A567F2D" w:rsidR="006B5676" w:rsidRPr="00BF6FA4" w:rsidRDefault="006B5676" w:rsidP="00436394">
      <w:pPr>
        <w:ind w:firstLine="720"/>
        <w:jc w:val="both"/>
      </w:pPr>
      <w:r w:rsidRPr="00BF6FA4">
        <w:t>In Order No. 1920-A</w:t>
      </w:r>
      <w:r w:rsidR="007741A7" w:rsidRPr="00BF6FA4">
        <w:t xml:space="preserve">, which is over </w:t>
      </w:r>
      <w:r w:rsidR="00287E47" w:rsidRPr="00BF6FA4">
        <w:t>eight hundred</w:t>
      </w:r>
      <w:r w:rsidR="007741A7" w:rsidRPr="00BF6FA4">
        <w:t xml:space="preserve"> pages,</w:t>
      </w:r>
      <w:r w:rsidRPr="00BF6FA4">
        <w:t xml:space="preserve"> the </w:t>
      </w:r>
      <w:r w:rsidR="008857BE">
        <w:t>newly reconstituted</w:t>
      </w:r>
      <w:r w:rsidR="008857BE">
        <w:rPr>
          <w:rStyle w:val="FootnoteReference"/>
        </w:rPr>
        <w:footnoteReference w:id="5"/>
      </w:r>
      <w:r w:rsidR="008857BE">
        <w:t xml:space="preserve"> </w:t>
      </w:r>
      <w:r w:rsidRPr="00BF6FA4">
        <w:t xml:space="preserve">Commission largely sustains and further justifies the findings and reforms of Order No. 1920 and its authority to require the </w:t>
      </w:r>
      <w:r w:rsidR="009D2106" w:rsidRPr="00BF6FA4">
        <w:t>reforms but</w:t>
      </w:r>
      <w:r w:rsidRPr="00BF6FA4">
        <w:t xml:space="preserve"> grants several requests for rehearing and clarification. A significant focus of the modifications to Order No. 1920 pertains to the role of the states in LTRTP and the related cost allocation requirements. Order No. 1920-A maintains a deadline for compliance filings of June 12, 2025, for compliance with regional requirements and August 12</w:t>
      </w:r>
      <w:r w:rsidR="007741A7" w:rsidRPr="00BF6FA4">
        <w:t>, 2025</w:t>
      </w:r>
      <w:r w:rsidR="00B20D4F">
        <w:t>,</w:t>
      </w:r>
      <w:r w:rsidRPr="00BF6FA4">
        <w:t xml:space="preserve"> for the interregional requitements of Order No</w:t>
      </w:r>
      <w:r w:rsidR="00056633" w:rsidRPr="00BF6FA4">
        <w:t>s</w:t>
      </w:r>
      <w:r w:rsidRPr="00BF6FA4">
        <w:t>. 1920</w:t>
      </w:r>
      <w:r w:rsidR="00056633" w:rsidRPr="00BF6FA4">
        <w:t>/1920-A</w:t>
      </w:r>
      <w:r w:rsidRPr="00BF6FA4">
        <w:t xml:space="preserve">. Any deviations </w:t>
      </w:r>
      <w:r w:rsidR="00056633" w:rsidRPr="00BF6FA4">
        <w:t xml:space="preserve">from the final rule </w:t>
      </w:r>
      <w:r w:rsidRPr="00BF6FA4">
        <w:t xml:space="preserve">proposed on compliance must be justified under the </w:t>
      </w:r>
      <w:r w:rsidR="004778A5" w:rsidRPr="00BF6FA4">
        <w:t>“</w:t>
      </w:r>
      <w:r w:rsidRPr="00BF6FA4">
        <w:t>consistent with or superior to</w:t>
      </w:r>
      <w:r w:rsidR="004778A5" w:rsidRPr="00BF6FA4">
        <w:t>”</w:t>
      </w:r>
      <w:r w:rsidR="00056633" w:rsidRPr="00BF6FA4">
        <w:t xml:space="preserve"> standard</w:t>
      </w:r>
      <w:r w:rsidRPr="00BF6FA4">
        <w:t>.</w:t>
      </w:r>
    </w:p>
    <w:p w14:paraId="1FF11BA0" w14:textId="77777777" w:rsidR="006B5676" w:rsidRPr="00BF6FA4" w:rsidRDefault="006B5676" w:rsidP="00436394">
      <w:pPr>
        <w:ind w:firstLine="720"/>
        <w:jc w:val="both"/>
      </w:pPr>
    </w:p>
    <w:p w14:paraId="7FBD85E3" w14:textId="743126CD" w:rsidR="006B5676" w:rsidRPr="00BF6FA4" w:rsidRDefault="006B5676" w:rsidP="00436394">
      <w:pPr>
        <w:ind w:firstLine="720"/>
        <w:jc w:val="both"/>
      </w:pPr>
      <w:r w:rsidRPr="00BF6FA4">
        <w:t>While Order No. 1920-A recognizes and allows for supplemental processes for long-term transmission planning and cost allocation, such as are contained the Longer-Term Transmission Planning (LTTP) provisions in the ISO-NE Tariff, the Commission still requires that transmission provider tariffs meet the requirements set forth in Order Nos. 1920/1920-A.</w:t>
      </w:r>
      <w:r w:rsidR="009A7D12">
        <w:t xml:space="preserve"> Additionally, the use </w:t>
      </w:r>
      <w:r w:rsidR="009A7D12">
        <w:lastRenderedPageBreak/>
        <w:t>of supplemental processes to replace Order Nos. 1920/1920-A requirements must be justified under the consistent with or superior to standard.</w:t>
      </w:r>
    </w:p>
    <w:p w14:paraId="24C66195" w14:textId="77777777" w:rsidR="006B5676" w:rsidRPr="00BF6FA4" w:rsidRDefault="006B5676" w:rsidP="00436394">
      <w:pPr>
        <w:ind w:firstLine="720"/>
        <w:jc w:val="both"/>
      </w:pPr>
    </w:p>
    <w:p w14:paraId="699A5E61" w14:textId="796CAE6D" w:rsidR="006B5676" w:rsidRPr="00BF6FA4" w:rsidRDefault="006B5676" w:rsidP="00436394">
      <w:pPr>
        <w:ind w:firstLine="720"/>
        <w:jc w:val="both"/>
      </w:pPr>
      <w:r w:rsidRPr="00BF6FA4">
        <w:t xml:space="preserve">Development of a compliance filing for New England that meets the requirements of the </w:t>
      </w:r>
      <w:r w:rsidR="009A7D12">
        <w:t>final rule</w:t>
      </w:r>
      <w:r w:rsidR="00103AEB">
        <w:t xml:space="preserve"> </w:t>
      </w:r>
      <w:r w:rsidRPr="00BF6FA4">
        <w:t xml:space="preserve">and takes into account the LTTP provisions will be complicated and will take significant time and effort by ISO-NE, NESCOE, the Participating Transmission Owners and NEPOOL, including at the Transmission Committee.  </w:t>
      </w:r>
      <w:r w:rsidR="00C46715">
        <w:t>NEPOOL counsel will seek to discuss compliance efforts with the ISO prior to the December 19 Transmission Committee meeting.</w:t>
      </w:r>
    </w:p>
    <w:p w14:paraId="6223937E" w14:textId="77777777" w:rsidR="006B5676" w:rsidRPr="00BF6FA4" w:rsidRDefault="006B5676" w:rsidP="00436394">
      <w:pPr>
        <w:ind w:firstLine="720"/>
        <w:jc w:val="both"/>
      </w:pPr>
    </w:p>
    <w:p w14:paraId="09DE23F7" w14:textId="14AB8BBA" w:rsidR="006B5676" w:rsidRPr="00BF6FA4" w:rsidRDefault="009A7D12" w:rsidP="00340D48">
      <w:pPr>
        <w:ind w:firstLine="720"/>
        <w:jc w:val="both"/>
      </w:pPr>
      <w:r>
        <w:t>Below we first provide a list of the key modifications and clarifications that the Commission makes in Order 1920-A, and then provide a more detailed summary</w:t>
      </w:r>
      <w:r w:rsidR="00C46715">
        <w:t xml:space="preserve"> (for those who wish to read more)</w:t>
      </w:r>
      <w:r>
        <w:t xml:space="preserve">. </w:t>
      </w:r>
      <w:r w:rsidR="006B5676" w:rsidRPr="00BF6FA4">
        <w:t xml:space="preserve">If you have any questions about this memo or its subject matter, please contact Eric Runge, </w:t>
      </w:r>
      <w:hyperlink r:id="rId7" w:history="1">
        <w:r w:rsidR="006B5676" w:rsidRPr="00BF6FA4">
          <w:rPr>
            <w:rStyle w:val="Hyperlink"/>
          </w:rPr>
          <w:t>ekrunge@daypitney.com</w:t>
        </w:r>
      </w:hyperlink>
      <w:r w:rsidR="006B5676" w:rsidRPr="00BF6FA4">
        <w:t xml:space="preserve">, </w:t>
      </w:r>
      <w:r w:rsidR="00E1670B" w:rsidRPr="00BF6FA4">
        <w:t xml:space="preserve">or Margaret Czepiel at </w:t>
      </w:r>
      <w:hyperlink r:id="rId8" w:history="1">
        <w:r w:rsidR="00103AEB" w:rsidRPr="006B5A38">
          <w:rPr>
            <w:rStyle w:val="Hyperlink"/>
          </w:rPr>
          <w:t>mczepiel@daypitney.com</w:t>
        </w:r>
      </w:hyperlink>
      <w:r w:rsidR="006B5676" w:rsidRPr="00BF6FA4">
        <w:t>.</w:t>
      </w:r>
      <w:r w:rsidR="00103AEB">
        <w:t xml:space="preserve"> </w:t>
      </w:r>
      <w:r w:rsidR="006B5676" w:rsidRPr="00BF6FA4">
        <w:t xml:space="preserve"> </w:t>
      </w:r>
    </w:p>
    <w:p w14:paraId="2A167061" w14:textId="77777777" w:rsidR="006B5676" w:rsidRPr="00BF6FA4" w:rsidRDefault="006B5676" w:rsidP="00436394">
      <w:pPr>
        <w:pBdr>
          <w:bottom w:val="dotted" w:sz="24" w:space="1" w:color="auto"/>
        </w:pBdr>
        <w:jc w:val="both"/>
      </w:pPr>
    </w:p>
    <w:p w14:paraId="26020E3B" w14:textId="77777777" w:rsidR="009A7D12" w:rsidRDefault="009A7D12" w:rsidP="00103AEB">
      <w:pPr>
        <w:jc w:val="both"/>
        <w:rPr>
          <w:b/>
          <w:bCs/>
          <w:i/>
          <w:iCs/>
        </w:rPr>
      </w:pPr>
    </w:p>
    <w:p w14:paraId="301AAB68" w14:textId="167F202D" w:rsidR="00B468A3" w:rsidRPr="00BF6FA4" w:rsidRDefault="00B468A3" w:rsidP="00436394">
      <w:pPr>
        <w:ind w:firstLine="720"/>
        <w:jc w:val="both"/>
        <w:rPr>
          <w:b/>
          <w:bCs/>
          <w:i/>
          <w:iCs/>
        </w:rPr>
      </w:pPr>
      <w:r w:rsidRPr="00BF6FA4">
        <w:rPr>
          <w:b/>
          <w:bCs/>
          <w:i/>
          <w:iCs/>
        </w:rPr>
        <w:t>Requests for Rehearing Granted</w:t>
      </w:r>
    </w:p>
    <w:p w14:paraId="4F0819C1" w14:textId="77777777" w:rsidR="00E91111" w:rsidRPr="00BF6FA4" w:rsidRDefault="00E91111" w:rsidP="00436394">
      <w:pPr>
        <w:ind w:firstLine="720"/>
        <w:jc w:val="both"/>
        <w:rPr>
          <w:b/>
          <w:bCs/>
          <w:i/>
          <w:iCs/>
        </w:rPr>
      </w:pPr>
    </w:p>
    <w:p w14:paraId="0F533280" w14:textId="0DDB1B51" w:rsidR="00E91111" w:rsidRPr="00BF6FA4" w:rsidRDefault="00E86711" w:rsidP="00436394">
      <w:pPr>
        <w:pStyle w:val="ListParagraph"/>
        <w:numPr>
          <w:ilvl w:val="0"/>
          <w:numId w:val="20"/>
        </w:numPr>
        <w:spacing w:after="240"/>
        <w:contextualSpacing w:val="0"/>
        <w:jc w:val="both"/>
      </w:pPr>
      <w:r w:rsidRPr="00BF6FA4">
        <w:t>T</w:t>
      </w:r>
      <w:r w:rsidR="003F69CC" w:rsidRPr="00BF6FA4">
        <w:t xml:space="preserve">ransmission </w:t>
      </w:r>
      <w:r w:rsidRPr="00BF6FA4">
        <w:t>P</w:t>
      </w:r>
      <w:r w:rsidR="003F69CC" w:rsidRPr="00BF6FA4">
        <w:t>rovider</w:t>
      </w:r>
      <w:r w:rsidRPr="00BF6FA4">
        <w:t>s</w:t>
      </w:r>
      <w:r w:rsidR="00B83B6E" w:rsidRPr="00BF6FA4">
        <w:t xml:space="preserve"> (TPs)</w:t>
      </w:r>
      <w:r w:rsidR="00E91111" w:rsidRPr="00BF6FA4">
        <w:t xml:space="preserve"> are not required to use the set of seven required benefits to help inform their identification of Long-Term Transmission Needs</w:t>
      </w:r>
      <w:r w:rsidR="009D2106">
        <w:t>.</w:t>
      </w:r>
    </w:p>
    <w:p w14:paraId="4241E034" w14:textId="29B3B69D" w:rsidR="00E91111" w:rsidRPr="00BF6FA4" w:rsidRDefault="00E91111" w:rsidP="00436394">
      <w:pPr>
        <w:pStyle w:val="ListParagraph"/>
        <w:numPr>
          <w:ilvl w:val="0"/>
          <w:numId w:val="20"/>
        </w:numPr>
        <w:spacing w:after="240"/>
        <w:contextualSpacing w:val="0"/>
        <w:jc w:val="both"/>
      </w:pPr>
      <w:r w:rsidRPr="00BF6FA4">
        <w:t xml:space="preserve">Factor Category Seven </w:t>
      </w:r>
      <w:r w:rsidR="003F69CC" w:rsidRPr="00BF6FA4">
        <w:t xml:space="preserve">for Long-Term Scenarios (LTS) </w:t>
      </w:r>
      <w:r w:rsidRPr="00BF6FA4">
        <w:t>no longer includes corporate commitments</w:t>
      </w:r>
      <w:r w:rsidR="009D2106">
        <w:t>.</w:t>
      </w:r>
    </w:p>
    <w:p w14:paraId="0FD55B33" w14:textId="6E7163BF" w:rsidR="00E91111" w:rsidRPr="00BF6FA4" w:rsidRDefault="00B83B6E" w:rsidP="00436394">
      <w:pPr>
        <w:pStyle w:val="ListParagraph"/>
        <w:numPr>
          <w:ilvl w:val="0"/>
          <w:numId w:val="20"/>
        </w:numPr>
        <w:spacing w:after="240"/>
        <w:contextualSpacing w:val="0"/>
        <w:jc w:val="both"/>
      </w:pPr>
      <w:r w:rsidRPr="00BF6FA4">
        <w:t>TPs</w:t>
      </w:r>
      <w:r w:rsidR="00E91111" w:rsidRPr="00BF6FA4">
        <w:t xml:space="preserve"> must propose an effective date for the OATT revisions necessary to comply with Order No. 1920 that is no later than two years from the date on which they will commence the first </w:t>
      </w:r>
      <w:r w:rsidR="00727275" w:rsidRPr="00BF6FA4">
        <w:t>LTRTP</w:t>
      </w:r>
      <w:r w:rsidR="00E91111" w:rsidRPr="00BF6FA4">
        <w:t xml:space="preserve"> cycle</w:t>
      </w:r>
      <w:r w:rsidR="009D2106">
        <w:t>.</w:t>
      </w:r>
    </w:p>
    <w:p w14:paraId="66DFDCD9" w14:textId="0F0C97DE" w:rsidR="00E91111" w:rsidRPr="00BF6FA4" w:rsidRDefault="00E91111" w:rsidP="00436394">
      <w:pPr>
        <w:pStyle w:val="ListParagraph"/>
        <w:numPr>
          <w:ilvl w:val="0"/>
          <w:numId w:val="20"/>
        </w:numPr>
        <w:spacing w:after="240"/>
        <w:contextualSpacing w:val="0"/>
        <w:jc w:val="both"/>
      </w:pPr>
      <w:r w:rsidRPr="00BF6FA4">
        <w:t xml:space="preserve">When Relevant State Entities agree on a Long-Term Regional Transmission Cost Allocation Method or State Agreement Process resulting from the Engagement Period, </w:t>
      </w:r>
      <w:r w:rsidR="00B83B6E" w:rsidRPr="00BF6FA4">
        <w:t>TPs</w:t>
      </w:r>
      <w:r w:rsidRPr="00BF6FA4">
        <w:t xml:space="preserve"> must include that method or process in the transmittal or as an attachment to their compliance filing, even if </w:t>
      </w:r>
      <w:r w:rsidR="00E86711" w:rsidRPr="00BF6FA4">
        <w:t>TPs</w:t>
      </w:r>
      <w:r w:rsidRPr="00BF6FA4">
        <w:t xml:space="preserve"> propose a different Long-Term Regional Transmission Cost Allocation method or do not propose to adopt a State Agreement Process along with any information that Relevant State Entities provide to </w:t>
      </w:r>
      <w:r w:rsidR="00E86711" w:rsidRPr="00BF6FA4">
        <w:t>TPs</w:t>
      </w:r>
      <w:r w:rsidRPr="00BF6FA4">
        <w:t xml:space="preserve"> regarding the state negotiations during the Engagement Period</w:t>
      </w:r>
      <w:r w:rsidR="009D2106">
        <w:t>.</w:t>
      </w:r>
    </w:p>
    <w:p w14:paraId="392EDFE5" w14:textId="33FEA74C" w:rsidR="00E91111" w:rsidRPr="00BF6FA4" w:rsidRDefault="00B83B6E" w:rsidP="00436394">
      <w:pPr>
        <w:pStyle w:val="ListParagraph"/>
        <w:numPr>
          <w:ilvl w:val="0"/>
          <w:numId w:val="20"/>
        </w:numPr>
        <w:spacing w:after="240"/>
        <w:contextualSpacing w:val="0"/>
        <w:jc w:val="both"/>
      </w:pPr>
      <w:r w:rsidRPr="00BF6FA4">
        <w:t>TPs</w:t>
      </w:r>
      <w:r w:rsidR="00E91111" w:rsidRPr="00BF6FA4">
        <w:t xml:space="preserve"> shall consult with Relevant State Entities prior to amending the Long-Term Regional Transmission Cost Allocation Method(s) and/or State Agreement Process(es), or if Relevant State Entities seek, consistent with their chosen method to reach agreement, for the </w:t>
      </w:r>
      <w:r w:rsidR="00E86711" w:rsidRPr="00BF6FA4">
        <w:t>TP</w:t>
      </w:r>
      <w:r w:rsidR="00E91111" w:rsidRPr="00BF6FA4">
        <w:t xml:space="preserve"> to amend that method or process.</w:t>
      </w:r>
      <w:r w:rsidR="00AD1D8E" w:rsidRPr="00BF6FA4">
        <w:rPr>
          <w:rStyle w:val="FootnoteReference"/>
        </w:rPr>
        <w:footnoteReference w:id="6"/>
      </w:r>
    </w:p>
    <w:p w14:paraId="2EF1E5C1" w14:textId="570A426F" w:rsidR="00E91111" w:rsidRPr="00BF6FA4" w:rsidRDefault="009A7D12" w:rsidP="009D2106">
      <w:pPr>
        <w:keepNext/>
        <w:ind w:firstLine="720"/>
        <w:jc w:val="both"/>
        <w:rPr>
          <w:b/>
          <w:bCs/>
          <w:i/>
          <w:iCs/>
        </w:rPr>
      </w:pPr>
      <w:r>
        <w:rPr>
          <w:b/>
          <w:bCs/>
          <w:i/>
          <w:iCs/>
        </w:rPr>
        <w:t xml:space="preserve">Key </w:t>
      </w:r>
      <w:r w:rsidR="00E91111" w:rsidRPr="00BF6FA4">
        <w:rPr>
          <w:b/>
          <w:bCs/>
          <w:i/>
          <w:iCs/>
        </w:rPr>
        <w:t>Clarification</w:t>
      </w:r>
      <w:r w:rsidR="007741A7" w:rsidRPr="00BF6FA4">
        <w:rPr>
          <w:b/>
          <w:bCs/>
          <w:i/>
          <w:iCs/>
        </w:rPr>
        <w:t>s</w:t>
      </w:r>
      <w:r w:rsidR="00E91111" w:rsidRPr="00BF6FA4">
        <w:rPr>
          <w:b/>
          <w:bCs/>
          <w:i/>
          <w:iCs/>
        </w:rPr>
        <w:t xml:space="preserve"> Granted</w:t>
      </w:r>
    </w:p>
    <w:p w14:paraId="00F7BEE6" w14:textId="77777777" w:rsidR="00B83B6E" w:rsidRPr="00BF6FA4" w:rsidRDefault="00B83B6E" w:rsidP="009D2106">
      <w:pPr>
        <w:keepNext/>
        <w:ind w:firstLine="720"/>
        <w:jc w:val="both"/>
        <w:rPr>
          <w:b/>
          <w:bCs/>
          <w:i/>
          <w:iCs/>
        </w:rPr>
      </w:pPr>
    </w:p>
    <w:p w14:paraId="4AAE0565" w14:textId="0E370C66" w:rsidR="007741A7" w:rsidRPr="00BF6FA4" w:rsidRDefault="007741A7" w:rsidP="009D2106">
      <w:pPr>
        <w:keepNext/>
        <w:ind w:firstLine="720"/>
        <w:jc w:val="both"/>
        <w:rPr>
          <w:b/>
          <w:bCs/>
          <w:u w:val="single"/>
        </w:rPr>
      </w:pPr>
      <w:r w:rsidRPr="00BF6FA4">
        <w:rPr>
          <w:b/>
          <w:bCs/>
          <w:u w:val="single"/>
        </w:rPr>
        <w:t>Long-Term Regional Transmission Planning</w:t>
      </w:r>
      <w:r w:rsidR="009A7D12">
        <w:rPr>
          <w:b/>
          <w:bCs/>
          <w:u w:val="single"/>
        </w:rPr>
        <w:t xml:space="preserve"> and Cost Allocation</w:t>
      </w:r>
    </w:p>
    <w:p w14:paraId="3FBC7DD0" w14:textId="77777777" w:rsidR="00BF6FA4" w:rsidRPr="00BF6FA4" w:rsidRDefault="00BF6FA4" w:rsidP="009D2106">
      <w:pPr>
        <w:keepNext/>
        <w:ind w:firstLine="720"/>
        <w:jc w:val="both"/>
        <w:rPr>
          <w:b/>
          <w:bCs/>
          <w:u w:val="single"/>
        </w:rPr>
      </w:pPr>
    </w:p>
    <w:p w14:paraId="1111CAC3" w14:textId="61987825" w:rsidR="007741A7" w:rsidRPr="00BF6FA4" w:rsidRDefault="007741A7" w:rsidP="009D2106">
      <w:pPr>
        <w:pStyle w:val="ListParagraph"/>
        <w:keepNext/>
        <w:numPr>
          <w:ilvl w:val="0"/>
          <w:numId w:val="21"/>
        </w:numPr>
        <w:spacing w:after="240"/>
        <w:contextualSpacing w:val="0"/>
        <w:jc w:val="both"/>
      </w:pPr>
      <w:r w:rsidRPr="00BF6FA4">
        <w:t xml:space="preserve">Order No. 1920 does not </w:t>
      </w:r>
      <w:r w:rsidR="009A7D12">
        <w:t xml:space="preserve">require the selection or </w:t>
      </w:r>
      <w:r w:rsidRPr="00BF6FA4">
        <w:t xml:space="preserve">development </w:t>
      </w:r>
      <w:r w:rsidR="009D2106" w:rsidRPr="00BF6FA4">
        <w:t>of any</w:t>
      </w:r>
      <w:r w:rsidR="009A7D12">
        <w:t xml:space="preserve"> particular </w:t>
      </w:r>
      <w:r w:rsidRPr="00BF6FA4">
        <w:t>transmission facilities.</w:t>
      </w:r>
      <w:r w:rsidRPr="00BF6FA4">
        <w:rPr>
          <w:rStyle w:val="FootnoteReference"/>
        </w:rPr>
        <w:footnoteReference w:id="7"/>
      </w:r>
      <w:r w:rsidRPr="00BF6FA4">
        <w:t xml:space="preserve">  </w:t>
      </w:r>
    </w:p>
    <w:p w14:paraId="729C50DC" w14:textId="77777777" w:rsidR="007741A7" w:rsidRPr="00BF6FA4" w:rsidRDefault="007741A7" w:rsidP="007741A7">
      <w:pPr>
        <w:pStyle w:val="ListParagraph"/>
        <w:numPr>
          <w:ilvl w:val="0"/>
          <w:numId w:val="21"/>
        </w:numPr>
        <w:spacing w:after="240"/>
        <w:contextualSpacing w:val="0"/>
        <w:jc w:val="both"/>
      </w:pPr>
      <w:r w:rsidRPr="00BF6FA4">
        <w:t>When Relevant State Entities request, TPs must develop a reasonable number of additional scenarios to help inform the development or application of cost allocation methods.</w:t>
      </w:r>
      <w:r w:rsidRPr="00BF6FA4">
        <w:rPr>
          <w:rStyle w:val="FootnoteReference"/>
        </w:rPr>
        <w:footnoteReference w:id="8"/>
      </w:r>
    </w:p>
    <w:p w14:paraId="71D706B3" w14:textId="77777777" w:rsidR="007741A7" w:rsidRPr="00BF6FA4" w:rsidRDefault="007741A7" w:rsidP="007741A7">
      <w:pPr>
        <w:pStyle w:val="ListParagraph"/>
        <w:numPr>
          <w:ilvl w:val="0"/>
          <w:numId w:val="21"/>
        </w:numPr>
        <w:spacing w:after="240"/>
        <w:contextualSpacing w:val="0"/>
        <w:jc w:val="both"/>
      </w:pPr>
      <w:r w:rsidRPr="00BF6FA4">
        <w:t>The Commission will grant extensions of time requested by Relevant State Entities where there is a showing that additional time is needed to resolve cost allocation discussions, up to a period of an additional six months.</w:t>
      </w:r>
      <w:r w:rsidRPr="00BF6FA4">
        <w:rPr>
          <w:rStyle w:val="FootnoteReference"/>
        </w:rPr>
        <w:footnoteReference w:id="9"/>
      </w:r>
    </w:p>
    <w:p w14:paraId="6128E7C1" w14:textId="77777777" w:rsidR="007741A7" w:rsidRPr="00BF6FA4" w:rsidRDefault="007741A7" w:rsidP="007741A7">
      <w:pPr>
        <w:pStyle w:val="ListParagraph"/>
        <w:numPr>
          <w:ilvl w:val="0"/>
          <w:numId w:val="21"/>
        </w:numPr>
        <w:spacing w:after="240"/>
        <w:contextualSpacing w:val="0"/>
        <w:jc w:val="both"/>
      </w:pPr>
      <w:r w:rsidRPr="00BF6FA4">
        <w:t xml:space="preserve">The flexibility Order No. 1920 affords to TPs and Relevant State Entities to determine cost allocation methods appropriate for their region does not preclude proposed methods that allocate costs commensurate with reliability and economic benefits region-wide, while allocating costs commensurate with additional benefits to a subset of states that agree to such cost allocation, </w:t>
      </w:r>
      <w:r w:rsidRPr="00103AEB">
        <w:rPr>
          <w:i/>
          <w:iCs/>
        </w:rPr>
        <w:t>e.g</w:t>
      </w:r>
      <w:r w:rsidRPr="00BF6FA4">
        <w:t>., based on incremental costs and benefits of transmission needed to achieve state laws, policies, and regulations beyond the cost of transmission needed in the absence of those laws, policies, and regulations.</w:t>
      </w:r>
      <w:r w:rsidRPr="00BF6FA4">
        <w:rPr>
          <w:rStyle w:val="FootnoteReference"/>
        </w:rPr>
        <w:footnoteReference w:id="10"/>
      </w:r>
    </w:p>
    <w:p w14:paraId="794FB226" w14:textId="2FAEE853" w:rsidR="007741A7" w:rsidRPr="00BF6FA4" w:rsidRDefault="007741A7" w:rsidP="007741A7">
      <w:pPr>
        <w:pStyle w:val="ListParagraph"/>
        <w:numPr>
          <w:ilvl w:val="0"/>
          <w:numId w:val="21"/>
        </w:numPr>
        <w:spacing w:after="240"/>
        <w:contextualSpacing w:val="0"/>
        <w:jc w:val="both"/>
      </w:pPr>
      <w:r w:rsidRPr="00BF6FA4">
        <w:t>While TPs are obligated to develop three Long-Term Scenarios</w:t>
      </w:r>
      <w:r w:rsidR="00BF6FA4" w:rsidRPr="00BF6FA4">
        <w:t xml:space="preserve"> (LTS)</w:t>
      </w:r>
      <w:r w:rsidRPr="00BF6FA4">
        <w:t xml:space="preserve"> that meet all of the requirements of the rule, Order No. 1920 permits TPs to develop additional analyses, including other scenarios, to help inform who pays for those selected facilities.</w:t>
      </w:r>
      <w:r w:rsidRPr="00BF6FA4">
        <w:rPr>
          <w:rStyle w:val="FootnoteReference"/>
        </w:rPr>
        <w:footnoteReference w:id="11"/>
      </w:r>
    </w:p>
    <w:p w14:paraId="0172503F" w14:textId="31460DFE" w:rsidR="007741A7" w:rsidRPr="00BF6FA4" w:rsidRDefault="007741A7" w:rsidP="007741A7">
      <w:pPr>
        <w:pStyle w:val="ListParagraph"/>
        <w:numPr>
          <w:ilvl w:val="0"/>
          <w:numId w:val="21"/>
        </w:numPr>
        <w:spacing w:after="240"/>
        <w:contextualSpacing w:val="0"/>
        <w:jc w:val="both"/>
      </w:pPr>
      <w:r w:rsidRPr="00BF6FA4">
        <w:t xml:space="preserve">TPs must consult with and consider the positions of the Relevant State Entities as to how to account for factors related to states’ laws, policies and regulations in transmission planning assumptions, which will ensure that such factors are efficiently accounted for in the development of </w:t>
      </w:r>
      <w:r w:rsidR="00BF6FA4" w:rsidRPr="00BF6FA4">
        <w:t>LTS</w:t>
      </w:r>
      <w:r w:rsidRPr="00BF6FA4">
        <w:t>.</w:t>
      </w:r>
      <w:r w:rsidRPr="00BF6FA4">
        <w:rPr>
          <w:rStyle w:val="FootnoteReference"/>
        </w:rPr>
        <w:footnoteReference w:id="12"/>
      </w:r>
    </w:p>
    <w:p w14:paraId="197D3EDB" w14:textId="77777777" w:rsidR="007741A7" w:rsidRPr="00BF6FA4" w:rsidRDefault="007741A7" w:rsidP="007741A7">
      <w:pPr>
        <w:pStyle w:val="ListParagraph"/>
        <w:numPr>
          <w:ilvl w:val="0"/>
          <w:numId w:val="21"/>
        </w:numPr>
        <w:spacing w:after="240"/>
        <w:contextualSpacing w:val="0"/>
        <w:jc w:val="both"/>
      </w:pPr>
      <w:r w:rsidRPr="00BF6FA4">
        <w:t>The identification of Long-Term Transmission Needs should rely on economic and reliability drivers.</w:t>
      </w:r>
      <w:r w:rsidRPr="00BF6FA4">
        <w:rPr>
          <w:rStyle w:val="FootnoteReference"/>
        </w:rPr>
        <w:footnoteReference w:id="13"/>
      </w:r>
    </w:p>
    <w:p w14:paraId="74E1135A" w14:textId="70EA92E5" w:rsidR="007741A7" w:rsidRPr="00BF6FA4" w:rsidRDefault="007741A7" w:rsidP="007741A7">
      <w:pPr>
        <w:pStyle w:val="ListParagraph"/>
        <w:numPr>
          <w:ilvl w:val="0"/>
          <w:numId w:val="21"/>
        </w:numPr>
        <w:spacing w:after="240"/>
        <w:contextualSpacing w:val="0"/>
        <w:jc w:val="both"/>
      </w:pPr>
      <w:r w:rsidRPr="00BF6FA4">
        <w:t>With respect to previously-selected Long-Term Regional Transmission Facilities</w:t>
      </w:r>
      <w:r w:rsidR="00BF6FA4" w:rsidRPr="00BF6FA4">
        <w:t xml:space="preserve"> (LTRTF)</w:t>
      </w:r>
      <w:r w:rsidRPr="00BF6FA4">
        <w:t>, the Commission expects TPs will include such facilities (including those that are not yet in service) in updated planning models to improve the accuracy of LTRTP.</w:t>
      </w:r>
      <w:r w:rsidRPr="00BF6FA4">
        <w:rPr>
          <w:rStyle w:val="FootnoteReference"/>
        </w:rPr>
        <w:footnoteReference w:id="14"/>
      </w:r>
      <w:r w:rsidRPr="00BF6FA4">
        <w:t xml:space="preserve"> However, Order No. 1920 does not </w:t>
      </w:r>
      <w:r w:rsidRPr="00BF6FA4">
        <w:rPr>
          <w:i/>
          <w:iCs/>
        </w:rPr>
        <w:t>require</w:t>
      </w:r>
      <w:r w:rsidRPr="00BF6FA4">
        <w:t xml:space="preserve"> that TPs include such previously-selected </w:t>
      </w:r>
      <w:r w:rsidR="00BF6FA4" w:rsidRPr="00BF6FA4">
        <w:t>LTRTF</w:t>
      </w:r>
      <w:r w:rsidRPr="00BF6FA4">
        <w:t xml:space="preserve"> in planning models in subsequent LTRTP cycles.</w:t>
      </w:r>
    </w:p>
    <w:p w14:paraId="79B04716" w14:textId="3684F57C" w:rsidR="007741A7" w:rsidRPr="00BF6FA4" w:rsidRDefault="007741A7" w:rsidP="007741A7">
      <w:pPr>
        <w:pStyle w:val="ListParagraph"/>
        <w:numPr>
          <w:ilvl w:val="0"/>
          <w:numId w:val="21"/>
        </w:numPr>
        <w:spacing w:after="240"/>
        <w:contextualSpacing w:val="0"/>
        <w:jc w:val="both"/>
      </w:pPr>
      <w:r w:rsidRPr="00BF6FA4">
        <w:t xml:space="preserve">Order No. 1920 does not require TPs, when determining the assumptions that they will use when developing </w:t>
      </w:r>
      <w:r w:rsidR="00BF6FA4" w:rsidRPr="00BF6FA4">
        <w:t>LTS</w:t>
      </w:r>
      <w:r w:rsidRPr="00BF6FA4">
        <w:t xml:space="preserve"> where similar factors (or groups of factors) affect a single assumption, to assume that the factors have additive effects on the relevant assumptions.</w:t>
      </w:r>
      <w:r w:rsidRPr="00BF6FA4">
        <w:rPr>
          <w:rStyle w:val="FootnoteReference"/>
        </w:rPr>
        <w:footnoteReference w:id="15"/>
      </w:r>
      <w:r w:rsidRPr="00BF6FA4">
        <w:t xml:space="preserve">  </w:t>
      </w:r>
    </w:p>
    <w:p w14:paraId="7AA40210" w14:textId="69331362" w:rsidR="007741A7" w:rsidRPr="00BF6FA4" w:rsidRDefault="007741A7" w:rsidP="007741A7">
      <w:pPr>
        <w:pStyle w:val="ListParagraph"/>
        <w:numPr>
          <w:ilvl w:val="0"/>
          <w:numId w:val="21"/>
        </w:numPr>
        <w:spacing w:after="240"/>
        <w:contextualSpacing w:val="0"/>
        <w:jc w:val="both"/>
      </w:pPr>
      <w:r w:rsidRPr="00BF6FA4">
        <w:t xml:space="preserve">Where factors may have overlapping effects on the planning assumptions, </w:t>
      </w:r>
      <w:r w:rsidR="000677D7">
        <w:t xml:space="preserve">TPs </w:t>
      </w:r>
      <w:r w:rsidRPr="00BF6FA4">
        <w:t xml:space="preserve">must avoid double counting the effect that those factors have on assumptions used to develop </w:t>
      </w:r>
      <w:r w:rsidR="00BF6FA4" w:rsidRPr="00BF6FA4">
        <w:t>LTS</w:t>
      </w:r>
      <w:r w:rsidRPr="00BF6FA4">
        <w:t>.</w:t>
      </w:r>
      <w:r w:rsidRPr="00BF6FA4">
        <w:rPr>
          <w:rStyle w:val="FootnoteReference"/>
        </w:rPr>
        <w:footnoteReference w:id="16"/>
      </w:r>
    </w:p>
    <w:p w14:paraId="00F00F63" w14:textId="7B431150" w:rsidR="007741A7" w:rsidRPr="00BF6FA4" w:rsidRDefault="007741A7" w:rsidP="007741A7">
      <w:pPr>
        <w:pStyle w:val="ListParagraph"/>
        <w:numPr>
          <w:ilvl w:val="0"/>
          <w:numId w:val="21"/>
        </w:numPr>
        <w:spacing w:after="240"/>
        <w:contextualSpacing w:val="0"/>
        <w:jc w:val="both"/>
      </w:pPr>
      <w:r w:rsidRPr="00BF6FA4">
        <w:t xml:space="preserve">The Commission expects that similar factors (or groups of factors) affecting certain assumptions used in the development of </w:t>
      </w:r>
      <w:r w:rsidR="00BF6FA4" w:rsidRPr="00BF6FA4">
        <w:t>LTS</w:t>
      </w:r>
      <w:r w:rsidRPr="00BF6FA4">
        <w:t xml:space="preserve"> will have a combined effect on those assumptions accordingly.</w:t>
      </w:r>
      <w:r w:rsidRPr="00BF6FA4">
        <w:rPr>
          <w:rStyle w:val="FootnoteReference"/>
        </w:rPr>
        <w:footnoteReference w:id="17"/>
      </w:r>
    </w:p>
    <w:p w14:paraId="148AE7EA" w14:textId="23013F3E" w:rsidR="007741A7" w:rsidRPr="00BF6FA4" w:rsidRDefault="007741A7" w:rsidP="007741A7">
      <w:pPr>
        <w:pStyle w:val="ListParagraph"/>
        <w:numPr>
          <w:ilvl w:val="0"/>
          <w:numId w:val="21"/>
        </w:numPr>
        <w:spacing w:after="240"/>
        <w:contextualSpacing w:val="0"/>
        <w:jc w:val="both"/>
      </w:pPr>
      <w:r w:rsidRPr="00BF6FA4">
        <w:t xml:space="preserve">TPs must consider corporate commitments that are likely to affect Long-Term Transmission Needs as part of </w:t>
      </w:r>
      <w:r w:rsidR="00BF6FA4" w:rsidRPr="00BF6FA4">
        <w:t>LTRTP</w:t>
      </w:r>
      <w:r w:rsidRPr="00BF6FA4">
        <w:t xml:space="preserve"> to the extent that these commitments affect transmission customers’ transmission needs.</w:t>
      </w:r>
      <w:r w:rsidRPr="00BF6FA4">
        <w:rPr>
          <w:rStyle w:val="FootnoteReference"/>
        </w:rPr>
        <w:footnoteReference w:id="18"/>
      </w:r>
    </w:p>
    <w:p w14:paraId="2FEFB029" w14:textId="648A8540" w:rsidR="007741A7" w:rsidRPr="00BF6FA4" w:rsidRDefault="007741A7" w:rsidP="007741A7">
      <w:pPr>
        <w:pStyle w:val="ListParagraph"/>
        <w:numPr>
          <w:ilvl w:val="0"/>
          <w:numId w:val="21"/>
        </w:numPr>
        <w:spacing w:after="240"/>
        <w:contextualSpacing w:val="0"/>
        <w:jc w:val="both"/>
      </w:pPr>
      <w:r w:rsidRPr="00BF6FA4">
        <w:t xml:space="preserve">Factor Category Seven, as modified, is not intended to single out certain utility commitments or federal, federally-recognized Tribal, state, and local policy goals that </w:t>
      </w:r>
      <w:r w:rsidRPr="00BF6FA4" w:rsidDel="00095CF2">
        <w:t xml:space="preserve">affect </w:t>
      </w:r>
      <w:r w:rsidRPr="00BF6FA4">
        <w:t>Long-Term Transmission Needs; instead, Factor Category Seven, as modified, captures factors that are not fully represented in the other six categories of factors and also affect Long-Term Transmission Needs.</w:t>
      </w:r>
      <w:r w:rsidRPr="00BF6FA4">
        <w:rPr>
          <w:rStyle w:val="FootnoteReference"/>
        </w:rPr>
        <w:footnoteReference w:id="19"/>
      </w:r>
      <w:r w:rsidRPr="00BF6FA4">
        <w:t xml:space="preserve"> Further, the reference to “certain generation resources” in this factor category does not refer to a certain resource type, or limit consideration of such government or utility commitments to only those commitments to rely on renewable resources.</w:t>
      </w:r>
      <w:r w:rsidR="00E578B9">
        <w:rPr>
          <w:rStyle w:val="FootnoteReference"/>
        </w:rPr>
        <w:footnoteReference w:id="20"/>
      </w:r>
    </w:p>
    <w:p w14:paraId="1945E40F" w14:textId="679387FD" w:rsidR="007741A7" w:rsidRPr="00BF6FA4" w:rsidRDefault="007741A7" w:rsidP="007741A7">
      <w:pPr>
        <w:pStyle w:val="ListParagraph"/>
        <w:numPr>
          <w:ilvl w:val="0"/>
          <w:numId w:val="21"/>
        </w:numPr>
        <w:spacing w:after="240"/>
        <w:contextualSpacing w:val="0"/>
        <w:jc w:val="both"/>
      </w:pPr>
      <w:r w:rsidRPr="00BF6FA4">
        <w:t xml:space="preserve">TPs may conclude that certain factors within Factor Category Seven do not affect Long-Term Transmission Needs and, therefore, do not need to account for them when incorporating Factor Category Seven into the development of </w:t>
      </w:r>
      <w:r w:rsidR="00BF6FA4" w:rsidRPr="00BF6FA4">
        <w:t>LTS</w:t>
      </w:r>
      <w:r w:rsidRPr="00BF6FA4">
        <w:t>.</w:t>
      </w:r>
      <w:r w:rsidRPr="00BF6FA4">
        <w:rPr>
          <w:rStyle w:val="FootnoteReference"/>
        </w:rPr>
        <w:footnoteReference w:id="21"/>
      </w:r>
    </w:p>
    <w:p w14:paraId="294AD666" w14:textId="77777777" w:rsidR="007741A7" w:rsidRPr="00BF6FA4" w:rsidRDefault="007741A7" w:rsidP="007741A7">
      <w:pPr>
        <w:pStyle w:val="ListParagraph"/>
        <w:numPr>
          <w:ilvl w:val="0"/>
          <w:numId w:val="21"/>
        </w:numPr>
        <w:spacing w:after="240"/>
        <w:contextualSpacing w:val="0"/>
        <w:jc w:val="both"/>
      </w:pPr>
      <w:r w:rsidRPr="00BF6FA4">
        <w:t>TPs may include what they believe to be appropriate confidentiality protections in their compliance proposals to account for proprietary commitments.</w:t>
      </w:r>
      <w:r w:rsidRPr="00BF6FA4">
        <w:rPr>
          <w:rStyle w:val="FootnoteReference"/>
        </w:rPr>
        <w:footnoteReference w:id="22"/>
      </w:r>
    </w:p>
    <w:p w14:paraId="370FD911" w14:textId="21D4D006" w:rsidR="007741A7" w:rsidRPr="00BF6FA4" w:rsidRDefault="007741A7" w:rsidP="007741A7">
      <w:pPr>
        <w:pStyle w:val="ListParagraph"/>
        <w:numPr>
          <w:ilvl w:val="0"/>
          <w:numId w:val="21"/>
        </w:numPr>
        <w:spacing w:after="240"/>
        <w:contextualSpacing w:val="0"/>
        <w:jc w:val="both"/>
      </w:pPr>
      <w:r w:rsidRPr="00BF6FA4">
        <w:t xml:space="preserve">Nothing in </w:t>
      </w:r>
      <w:r w:rsidR="00BF6FA4" w:rsidRPr="00BF6FA4">
        <w:t>LTRTP</w:t>
      </w:r>
      <w:r w:rsidRPr="00BF6FA4">
        <w:t xml:space="preserve"> is intended to relitigate or dispute the outcomes of the underlying integrated resource plans, resource projections, or laws and regulations that are (or are not) incorporated into the development of </w:t>
      </w:r>
      <w:r w:rsidR="00BF6FA4" w:rsidRPr="00BF6FA4">
        <w:t>LTS</w:t>
      </w:r>
      <w:r w:rsidRPr="00BF6FA4">
        <w:t>.</w:t>
      </w:r>
      <w:r w:rsidRPr="00BF6FA4">
        <w:rPr>
          <w:rStyle w:val="FootnoteReference"/>
        </w:rPr>
        <w:footnoteReference w:id="23"/>
      </w:r>
      <w:r w:rsidRPr="00BF6FA4">
        <w:t xml:space="preserve">  </w:t>
      </w:r>
    </w:p>
    <w:p w14:paraId="76072060" w14:textId="57DEF9EB" w:rsidR="007741A7" w:rsidRPr="00BF6FA4" w:rsidRDefault="007741A7" w:rsidP="007741A7">
      <w:pPr>
        <w:pStyle w:val="ListParagraph"/>
        <w:numPr>
          <w:ilvl w:val="0"/>
          <w:numId w:val="21"/>
        </w:numPr>
        <w:spacing w:after="240"/>
        <w:contextualSpacing w:val="0"/>
        <w:jc w:val="both"/>
      </w:pPr>
      <w:r w:rsidRPr="00BF6FA4">
        <w:t xml:space="preserve">Where a non-jurisdictional entity is a transmission customer of one or more </w:t>
      </w:r>
      <w:r w:rsidR="00BF6FA4" w:rsidRPr="00BF6FA4">
        <w:t xml:space="preserve">TPs, </w:t>
      </w:r>
      <w:r w:rsidRPr="00BF6FA4">
        <w:t xml:space="preserve">the </w:t>
      </w:r>
      <w:r w:rsidR="00BF6FA4" w:rsidRPr="00BF6FA4">
        <w:t>TPs</w:t>
      </w:r>
      <w:r w:rsidRPr="00BF6FA4">
        <w:t xml:space="preserve"> must plan for the non-jurisdictional entity’s needs as a transmission customer as it would for the needs of any other transmission customer, including any resource planning and procurement processes that have been approved by the respective governing authorities under Factor Category Three, for purposes of complying with the requirements of Order No. 1920.</w:t>
      </w:r>
      <w:r w:rsidRPr="00BF6FA4">
        <w:rPr>
          <w:rStyle w:val="FootnoteReference"/>
        </w:rPr>
        <w:footnoteReference w:id="24"/>
      </w:r>
      <w:r w:rsidRPr="00BF6FA4">
        <w:t xml:space="preserve">  However, TPs may </w:t>
      </w:r>
      <w:r w:rsidRPr="00BF6FA4">
        <w:rPr>
          <w:i/>
        </w:rPr>
        <w:t>not</w:t>
      </w:r>
      <w:r w:rsidRPr="00BF6FA4">
        <w:t xml:space="preserve"> plan for the needs of a non-jurisdictional utility </w:t>
      </w:r>
      <w:r w:rsidR="00BF6FA4" w:rsidRPr="00BF6FA4">
        <w:t>TP</w:t>
      </w:r>
      <w:r w:rsidRPr="00BF6FA4">
        <w:t xml:space="preserve"> if that non-jurisdictional </w:t>
      </w:r>
      <w:r w:rsidR="00BF6FA4" w:rsidRPr="00BF6FA4">
        <w:t>TP</w:t>
      </w:r>
      <w:r w:rsidRPr="00BF6FA4">
        <w:t xml:space="preserve"> has not</w:t>
      </w:r>
      <w:r w:rsidRPr="00BF6FA4" w:rsidDel="00223A9A">
        <w:t xml:space="preserve"> </w:t>
      </w:r>
      <w:r w:rsidRPr="00BF6FA4">
        <w:t xml:space="preserve">enrolled in the transmission planning region and thereby has not agreed to any cost allocation method applicable to selected </w:t>
      </w:r>
      <w:r w:rsidR="00BF6FA4" w:rsidRPr="00BF6FA4">
        <w:t>LTRTF</w:t>
      </w:r>
      <w:r w:rsidRPr="00BF6FA4">
        <w:t>.</w:t>
      </w:r>
    </w:p>
    <w:p w14:paraId="0A71F811" w14:textId="7C3D4B38" w:rsidR="007741A7" w:rsidRPr="00BF6FA4" w:rsidRDefault="007741A7" w:rsidP="007741A7">
      <w:pPr>
        <w:pStyle w:val="ListParagraph"/>
        <w:numPr>
          <w:ilvl w:val="0"/>
          <w:numId w:val="21"/>
        </w:numPr>
        <w:spacing w:after="240"/>
        <w:contextualSpacing w:val="0"/>
        <w:jc w:val="both"/>
      </w:pPr>
      <w:r w:rsidRPr="00BF6FA4">
        <w:t xml:space="preserve">If </w:t>
      </w:r>
      <w:r w:rsidR="00BF6FA4" w:rsidRPr="00BF6FA4">
        <w:t>TPs</w:t>
      </w:r>
      <w:r w:rsidRPr="00BF6FA4">
        <w:t xml:space="preserve"> elect to use additional categories of factors beyond the required categories of factors in Order No. 1920 in the development of </w:t>
      </w:r>
      <w:r w:rsidR="00BF6FA4" w:rsidRPr="00BF6FA4">
        <w:t>LTS</w:t>
      </w:r>
      <w:r w:rsidRPr="00BF6FA4">
        <w:t>, the transparency requirements set forth in Order No. 1920 also apply to the additional categories of factors.</w:t>
      </w:r>
      <w:r w:rsidRPr="00BF6FA4">
        <w:rPr>
          <w:rStyle w:val="FootnoteReference"/>
        </w:rPr>
        <w:footnoteReference w:id="25"/>
      </w:r>
    </w:p>
    <w:p w14:paraId="51465AF3" w14:textId="26FF2635" w:rsidR="007741A7" w:rsidRPr="00BF6FA4" w:rsidRDefault="007741A7" w:rsidP="007741A7">
      <w:pPr>
        <w:pStyle w:val="ListParagraph"/>
        <w:numPr>
          <w:ilvl w:val="0"/>
          <w:numId w:val="21"/>
        </w:numPr>
        <w:spacing w:after="240"/>
        <w:contextualSpacing w:val="0"/>
        <w:jc w:val="both"/>
      </w:pPr>
      <w:r w:rsidRPr="00BF6FA4">
        <w:t xml:space="preserve">In addressing interconnection requests and withdrawals under Factor Category Six, TPs must include merchant transmission developer interconnection requests in the development of </w:t>
      </w:r>
      <w:r w:rsidR="00BF6FA4" w:rsidRPr="00BF6FA4">
        <w:t>LTS</w:t>
      </w:r>
      <w:r w:rsidRPr="00BF6FA4">
        <w:t>, and in a manner comparable to other interconnection requests.</w:t>
      </w:r>
      <w:r w:rsidRPr="00BF6FA4">
        <w:rPr>
          <w:rStyle w:val="FootnoteReference"/>
        </w:rPr>
        <w:footnoteReference w:id="26"/>
      </w:r>
    </w:p>
    <w:p w14:paraId="131BEDA7" w14:textId="39E54468" w:rsidR="007741A7" w:rsidRPr="00BF6FA4" w:rsidRDefault="007741A7" w:rsidP="007741A7">
      <w:pPr>
        <w:pStyle w:val="ListParagraph"/>
        <w:numPr>
          <w:ilvl w:val="0"/>
          <w:numId w:val="21"/>
        </w:numPr>
        <w:spacing w:after="240"/>
        <w:contextualSpacing w:val="0"/>
        <w:jc w:val="both"/>
      </w:pPr>
      <w:r w:rsidRPr="00BF6FA4">
        <w:t xml:space="preserve">Regarding the identification of factors in Factor Categories Four through Seven, FERC clarifies that </w:t>
      </w:r>
      <w:r w:rsidR="00BF6FA4" w:rsidRPr="00BF6FA4">
        <w:t>TPs</w:t>
      </w:r>
      <w:r w:rsidRPr="00BF6FA4">
        <w:t xml:space="preserve"> must </w:t>
      </w:r>
      <w:r w:rsidR="00E578B9">
        <w:t xml:space="preserve">independently </w:t>
      </w:r>
      <w:r w:rsidRPr="00BF6FA4">
        <w:t xml:space="preserve">identify factors in Factor Categories Four, Five, and Six but need not independently identify factors in Factor Category Seven – rather, </w:t>
      </w:r>
      <w:r w:rsidR="00BF6FA4" w:rsidRPr="00BF6FA4">
        <w:t>TPs</w:t>
      </w:r>
      <w:r w:rsidRPr="00BF6FA4">
        <w:t xml:space="preserve"> may rely on stakeholders, including states, to bring such factors to their attention.</w:t>
      </w:r>
      <w:r w:rsidRPr="00BF6FA4">
        <w:rPr>
          <w:rStyle w:val="FootnoteReference"/>
        </w:rPr>
        <w:footnoteReference w:id="27"/>
      </w:r>
    </w:p>
    <w:p w14:paraId="3178DD2F" w14:textId="612C98F2" w:rsidR="007741A7" w:rsidRPr="00BF6FA4" w:rsidRDefault="007741A7" w:rsidP="007741A7">
      <w:pPr>
        <w:pStyle w:val="ListParagraph"/>
        <w:numPr>
          <w:ilvl w:val="0"/>
          <w:numId w:val="21"/>
        </w:numPr>
        <w:spacing w:after="240"/>
        <w:contextualSpacing w:val="0"/>
        <w:jc w:val="both"/>
      </w:pPr>
      <w:r w:rsidRPr="00BF6FA4">
        <w:t xml:space="preserve">TPs do not need to include information regarding the factors to be incorporated into the development of </w:t>
      </w:r>
      <w:r w:rsidR="00BF6FA4" w:rsidRPr="00BF6FA4">
        <w:t>LTS</w:t>
      </w:r>
      <w:r w:rsidRPr="00BF6FA4">
        <w:t xml:space="preserve"> with the filings that they submit to comply with Order No. 1920. This information must be posted on OASIS as part of each LTRTP cycle.</w:t>
      </w:r>
      <w:r w:rsidRPr="00BF6FA4">
        <w:rPr>
          <w:rStyle w:val="FootnoteReference"/>
        </w:rPr>
        <w:footnoteReference w:id="28"/>
      </w:r>
      <w:r w:rsidRPr="00BF6FA4">
        <w:t xml:space="preserve"> Publication must occur before TPs finish developing </w:t>
      </w:r>
      <w:r w:rsidR="00BF6FA4" w:rsidRPr="00BF6FA4">
        <w:t>LTS</w:t>
      </w:r>
      <w:r w:rsidRPr="00BF6FA4">
        <w:t>.</w:t>
      </w:r>
    </w:p>
    <w:p w14:paraId="04CA32CA" w14:textId="3FDE4414" w:rsidR="007741A7" w:rsidRPr="00BF6FA4" w:rsidRDefault="007741A7" w:rsidP="007741A7">
      <w:pPr>
        <w:pStyle w:val="ListParagraph"/>
        <w:numPr>
          <w:ilvl w:val="0"/>
          <w:numId w:val="21"/>
        </w:numPr>
        <w:spacing w:after="240"/>
        <w:contextualSpacing w:val="0"/>
        <w:jc w:val="both"/>
      </w:pPr>
      <w:r w:rsidRPr="00BF6FA4">
        <w:t xml:space="preserve">Order No. 1920 does not require TPs to establish a different planning reserve margin than the one established by resource planners or load-serving entities in a particular transmission provider’s system, including in measuring Final Rule Benefit </w:t>
      </w:r>
      <w:r w:rsidR="00BF6FA4" w:rsidRPr="00BF6FA4">
        <w:t>2</w:t>
      </w:r>
      <w:r w:rsidRPr="00BF6FA4">
        <w:t>.</w:t>
      </w:r>
      <w:r w:rsidRPr="00BF6FA4">
        <w:rPr>
          <w:rStyle w:val="FootnoteReference"/>
        </w:rPr>
        <w:footnoteReference w:id="29"/>
      </w:r>
    </w:p>
    <w:p w14:paraId="5C0B1346" w14:textId="77777777" w:rsidR="007741A7" w:rsidRPr="00BF6FA4" w:rsidRDefault="007741A7" w:rsidP="007741A7">
      <w:pPr>
        <w:pStyle w:val="ListParagraph"/>
        <w:numPr>
          <w:ilvl w:val="0"/>
          <w:numId w:val="21"/>
        </w:numPr>
        <w:spacing w:after="240"/>
        <w:contextualSpacing w:val="0"/>
        <w:jc w:val="both"/>
      </w:pPr>
      <w:r w:rsidRPr="00BF6FA4">
        <w:t>Any state resource planning process is a separate process subject to state jurisdiction and is beyond the scope of Order No. 1920.</w:t>
      </w:r>
      <w:r w:rsidRPr="00BF6FA4">
        <w:rPr>
          <w:rStyle w:val="FootnoteReference"/>
        </w:rPr>
        <w:footnoteReference w:id="30"/>
      </w:r>
    </w:p>
    <w:p w14:paraId="2FEF3E7F" w14:textId="77777777" w:rsidR="007741A7" w:rsidRPr="00BF6FA4" w:rsidRDefault="007741A7" w:rsidP="007741A7">
      <w:pPr>
        <w:pStyle w:val="ListParagraph"/>
        <w:numPr>
          <w:ilvl w:val="0"/>
          <w:numId w:val="21"/>
        </w:numPr>
        <w:spacing w:after="240"/>
        <w:contextualSpacing w:val="0"/>
        <w:jc w:val="both"/>
      </w:pPr>
      <w:r w:rsidRPr="00BF6FA4">
        <w:t>If TPs believe they can use production cost savings from one or more state integrated resource plans as an appropriate method to measure</w:t>
      </w:r>
      <w:r w:rsidRPr="00BF6FA4" w:rsidDel="00AE025C">
        <w:t xml:space="preserve"> the value of</w:t>
      </w:r>
      <w:r w:rsidRPr="00BF6FA4">
        <w:t xml:space="preserve"> Final Rule Benefit 3, they may propose to do so on compliance.</w:t>
      </w:r>
      <w:r w:rsidRPr="00BF6FA4">
        <w:rPr>
          <w:rStyle w:val="FootnoteReference"/>
        </w:rPr>
        <w:footnoteReference w:id="31"/>
      </w:r>
    </w:p>
    <w:p w14:paraId="083D4E5B" w14:textId="7CB986F1" w:rsidR="007741A7" w:rsidRPr="00BF6FA4" w:rsidRDefault="007741A7" w:rsidP="007741A7">
      <w:pPr>
        <w:pStyle w:val="ListParagraph"/>
        <w:numPr>
          <w:ilvl w:val="0"/>
          <w:numId w:val="21"/>
        </w:numPr>
        <w:spacing w:after="240"/>
        <w:contextualSpacing w:val="0"/>
        <w:jc w:val="both"/>
      </w:pPr>
      <w:r w:rsidRPr="00BF6FA4">
        <w:t xml:space="preserve">Order No. 1920’s requirements for </w:t>
      </w:r>
      <w:r w:rsidR="00BF6FA4" w:rsidRPr="00BF6FA4">
        <w:t>TPs</w:t>
      </w:r>
      <w:r w:rsidRPr="00BF6FA4">
        <w:t xml:space="preserve"> to be “open and transparent” applies to the process of deciding whether to use and how to measure other benefits in addition to the required benefits as well as to the implementation of other benefits for specific </w:t>
      </w:r>
      <w:r w:rsidR="00BF6FA4" w:rsidRPr="00BF6FA4">
        <w:t>LTRTF</w:t>
      </w:r>
      <w:r w:rsidRPr="00BF6FA4">
        <w:t>.</w:t>
      </w:r>
      <w:r w:rsidRPr="00BF6FA4">
        <w:rPr>
          <w:rStyle w:val="FootnoteReference"/>
        </w:rPr>
        <w:footnoteReference w:id="32"/>
      </w:r>
    </w:p>
    <w:p w14:paraId="32F39FB9" w14:textId="63D780C3" w:rsidR="007741A7" w:rsidRPr="00BF6FA4" w:rsidRDefault="007741A7" w:rsidP="007741A7">
      <w:pPr>
        <w:pStyle w:val="ListParagraph"/>
        <w:numPr>
          <w:ilvl w:val="0"/>
          <w:numId w:val="21"/>
        </w:numPr>
        <w:spacing w:after="240"/>
        <w:contextualSpacing w:val="0"/>
        <w:jc w:val="both"/>
      </w:pPr>
      <w:r w:rsidRPr="00BF6FA4">
        <w:t xml:space="preserve">Order No. 1920 does not require TPs to engage in generation or resource planning as part of </w:t>
      </w:r>
      <w:r w:rsidR="00BF6FA4" w:rsidRPr="00BF6FA4">
        <w:t>LTRTP</w:t>
      </w:r>
      <w:r w:rsidRPr="00BF6FA4">
        <w:t>.</w:t>
      </w:r>
      <w:r w:rsidRPr="00BF6FA4">
        <w:rPr>
          <w:rStyle w:val="FootnoteReference"/>
        </w:rPr>
        <w:footnoteReference w:id="33"/>
      </w:r>
      <w:r w:rsidRPr="00BF6FA4">
        <w:t xml:space="preserve"> However, Order No. 1920 does not prohibit </w:t>
      </w:r>
      <w:r w:rsidR="00BF6FA4" w:rsidRPr="00BF6FA4">
        <w:t>TPs</w:t>
      </w:r>
      <w:r w:rsidRPr="00BF6FA4">
        <w:t xml:space="preserve"> from proposing to establish protocols by which they can rely, to the extent available, on resource planners and load-serving entities for generation-based data and information in satisfying the requirement to measure the benefits of </w:t>
      </w:r>
      <w:r w:rsidR="00BF6FA4" w:rsidRPr="00BF6FA4">
        <w:t>LTRTFs</w:t>
      </w:r>
      <w:r w:rsidRPr="00BF6FA4" w:rsidDel="00F20156">
        <w:t>.</w:t>
      </w:r>
      <w:r w:rsidRPr="00BF6FA4">
        <w:rPr>
          <w:rStyle w:val="FootnoteReference"/>
        </w:rPr>
        <w:footnoteReference w:id="34"/>
      </w:r>
      <w:r w:rsidRPr="00BF6FA4">
        <w:t xml:space="preserve">  </w:t>
      </w:r>
    </w:p>
    <w:p w14:paraId="47434B8E" w14:textId="0ADF5A8F" w:rsidR="007741A7" w:rsidRPr="00BF6FA4" w:rsidRDefault="007741A7" w:rsidP="007741A7">
      <w:pPr>
        <w:pStyle w:val="ListParagraph"/>
        <w:numPr>
          <w:ilvl w:val="0"/>
          <w:numId w:val="21"/>
        </w:numPr>
        <w:spacing w:after="240"/>
        <w:contextualSpacing w:val="0"/>
        <w:jc w:val="both"/>
      </w:pPr>
      <w:r w:rsidRPr="00BF6FA4">
        <w:t>TP</w:t>
      </w:r>
      <w:r w:rsidR="00BF6FA4" w:rsidRPr="00BF6FA4">
        <w:t>s</w:t>
      </w:r>
      <w:r w:rsidRPr="00BF6FA4">
        <w:t xml:space="preserve">’ evaluation processes must—not can—compare the measured benefits of </w:t>
      </w:r>
      <w:r w:rsidR="00BF6FA4" w:rsidRPr="00BF6FA4">
        <w:t>LTRTF</w:t>
      </w:r>
      <w:r w:rsidRPr="00BF6FA4">
        <w:t xml:space="preserve"> against their estimated costs. Once a TP makes a selection decision, i.e., for each selected </w:t>
      </w:r>
      <w:r w:rsidR="00BF6FA4" w:rsidRPr="00BF6FA4">
        <w:t>LTRTF</w:t>
      </w:r>
      <w:r w:rsidRPr="00BF6FA4">
        <w:t xml:space="preserve"> (or portfolio of such Facilities), and, if a State Agreement Process is used, once a cost allocation method is agreed upon, </w:t>
      </w:r>
      <w:r w:rsidR="00BF6FA4" w:rsidRPr="00BF6FA4">
        <w:t>TPs</w:t>
      </w:r>
      <w:r w:rsidRPr="00BF6FA4">
        <w:t xml:space="preserve"> must make available, on a password-protected portion of OASIS or other password-protected website, a breakdown of how those estimated costs will be allocated, by zone (i.e., by </w:t>
      </w:r>
      <w:r w:rsidR="00BF6FA4" w:rsidRPr="00BF6FA4">
        <w:t>TP</w:t>
      </w:r>
      <w:r w:rsidRPr="00BF6FA4">
        <w:t xml:space="preserve"> retail distribution service territory/footprint or RTO/ISO transmission pricing zone), and a quantification of those estimated benefits as imputed to each zone, as such benefits can be reasonably estimated.</w:t>
      </w:r>
      <w:r w:rsidRPr="00BF6FA4">
        <w:rPr>
          <w:rStyle w:val="FootnoteReference"/>
        </w:rPr>
        <w:footnoteReference w:id="35"/>
      </w:r>
    </w:p>
    <w:p w14:paraId="7BB66E22" w14:textId="7306264E" w:rsidR="007741A7" w:rsidRPr="00BF6FA4" w:rsidRDefault="007741A7" w:rsidP="007741A7">
      <w:pPr>
        <w:pStyle w:val="ListParagraph"/>
        <w:numPr>
          <w:ilvl w:val="0"/>
          <w:numId w:val="21"/>
        </w:numPr>
        <w:spacing w:after="240"/>
        <w:contextualSpacing w:val="0"/>
        <w:jc w:val="both"/>
      </w:pPr>
      <w:r w:rsidRPr="00BF6FA4">
        <w:t xml:space="preserve">TPs evaluation processes must culminate in a </w:t>
      </w:r>
      <w:r w:rsidRPr="00BF6FA4">
        <w:rPr>
          <w:i/>
          <w:iCs/>
        </w:rPr>
        <w:t>determination</w:t>
      </w:r>
      <w:r w:rsidRPr="00BF6FA4">
        <w:t xml:space="preserve">—not selection criteria—that is sufficiently detailed for stakeholders to understand why a particular </w:t>
      </w:r>
      <w:r w:rsidR="00BF6FA4" w:rsidRPr="00BF6FA4">
        <w:t>LTRTF</w:t>
      </w:r>
      <w:r w:rsidRPr="00BF6FA4">
        <w:t xml:space="preserve"> (or portfolio of such Facilities) was selected or not selected.</w:t>
      </w:r>
      <w:r w:rsidRPr="00BF6FA4">
        <w:rPr>
          <w:rStyle w:val="FootnoteReference"/>
        </w:rPr>
        <w:footnoteReference w:id="36"/>
      </w:r>
    </w:p>
    <w:p w14:paraId="20AC0F9B" w14:textId="77777777" w:rsidR="007741A7" w:rsidRPr="00BF6FA4" w:rsidRDefault="007741A7" w:rsidP="007741A7">
      <w:pPr>
        <w:pStyle w:val="ListParagraph"/>
        <w:numPr>
          <w:ilvl w:val="0"/>
          <w:numId w:val="21"/>
        </w:numPr>
        <w:spacing w:after="240"/>
        <w:contextualSpacing w:val="0"/>
        <w:jc w:val="both"/>
      </w:pPr>
      <w:r w:rsidRPr="00BF6FA4">
        <w:t>With respect to the definition of “good faith efforts,” the good faith efforts standard is similar to a “reasonable efforts” standard, which can be defined as “one or more actions rationally calculated to achieve a usually stated objective, but not necessarily with the expectation that all possibilities are to be exhausted.”</w:t>
      </w:r>
      <w:r w:rsidRPr="00BF6FA4">
        <w:rPr>
          <w:rStyle w:val="FootnoteReference"/>
        </w:rPr>
        <w:footnoteReference w:id="37"/>
      </w:r>
    </w:p>
    <w:p w14:paraId="03DF6D87" w14:textId="77777777" w:rsidR="007741A7" w:rsidRPr="00BF6FA4" w:rsidRDefault="007741A7" w:rsidP="007741A7">
      <w:pPr>
        <w:pStyle w:val="ListParagraph"/>
        <w:numPr>
          <w:ilvl w:val="0"/>
          <w:numId w:val="21"/>
        </w:numPr>
        <w:spacing w:after="240"/>
        <w:contextualSpacing w:val="0"/>
        <w:jc w:val="both"/>
      </w:pPr>
      <w:r w:rsidRPr="00BF6FA4">
        <w:t>Order No. 1920 does not prohibit voluntary funding approaches that are not described therein.</w:t>
      </w:r>
      <w:r w:rsidRPr="00BF6FA4">
        <w:rPr>
          <w:rStyle w:val="FootnoteReference"/>
        </w:rPr>
        <w:footnoteReference w:id="38"/>
      </w:r>
    </w:p>
    <w:p w14:paraId="2D797AB5" w14:textId="77777777" w:rsidR="007741A7" w:rsidRPr="00BF6FA4" w:rsidRDefault="007741A7" w:rsidP="007741A7">
      <w:pPr>
        <w:pStyle w:val="ListParagraph"/>
        <w:spacing w:after="240"/>
        <w:contextualSpacing w:val="0"/>
        <w:jc w:val="both"/>
        <w:rPr>
          <w:b/>
          <w:bCs/>
          <w:u w:val="single"/>
        </w:rPr>
      </w:pPr>
      <w:r w:rsidRPr="00BF6FA4">
        <w:rPr>
          <w:b/>
          <w:bCs/>
          <w:u w:val="single"/>
        </w:rPr>
        <w:t>Coordination of Regional Transmission Planning and Generator Interconnection Processes</w:t>
      </w:r>
    </w:p>
    <w:p w14:paraId="2865411B" w14:textId="7A9CE6CE" w:rsidR="007741A7" w:rsidRPr="00BF6FA4" w:rsidRDefault="007741A7" w:rsidP="007741A7">
      <w:pPr>
        <w:pStyle w:val="ListParagraph"/>
        <w:numPr>
          <w:ilvl w:val="0"/>
          <w:numId w:val="21"/>
        </w:numPr>
        <w:spacing w:after="240"/>
        <w:contextualSpacing w:val="0"/>
        <w:jc w:val="both"/>
      </w:pPr>
      <w:r w:rsidRPr="00BF6FA4">
        <w:t xml:space="preserve">The time period that </w:t>
      </w:r>
      <w:r w:rsidR="00BF6FA4" w:rsidRPr="00BF6FA4">
        <w:t>TPs</w:t>
      </w:r>
      <w:r w:rsidRPr="00BF6FA4">
        <w:t xml:space="preserve"> use to identify interconnection-related transmission needs for potential consideration during any Order No. 1000 regional transmission planning and cost allocation process cycle will be longer than five calendar years.</w:t>
      </w:r>
      <w:r w:rsidRPr="00BF6FA4">
        <w:rPr>
          <w:rStyle w:val="FootnoteReference"/>
        </w:rPr>
        <w:footnoteReference w:id="39"/>
      </w:r>
      <w:r w:rsidRPr="00BF6FA4">
        <w:t xml:space="preserve"> A TP need not evaluate an interconnection-related transmission need if more than five calendar years separate the withdrawal of the earlier and later interconnection requests associated with an interconnection-related transmission need (the double withdrawal criterion).</w:t>
      </w:r>
      <w:r w:rsidRPr="00BF6FA4">
        <w:rPr>
          <w:rStyle w:val="FootnoteReference"/>
        </w:rPr>
        <w:footnoteReference w:id="40"/>
      </w:r>
    </w:p>
    <w:p w14:paraId="4F7F69FF" w14:textId="7C3076AF" w:rsidR="007741A7" w:rsidRPr="00BF6FA4" w:rsidRDefault="007741A7" w:rsidP="007741A7">
      <w:pPr>
        <w:pStyle w:val="ListParagraph"/>
        <w:numPr>
          <w:ilvl w:val="0"/>
          <w:numId w:val="21"/>
        </w:numPr>
        <w:spacing w:after="240"/>
        <w:contextualSpacing w:val="0"/>
        <w:jc w:val="both"/>
      </w:pPr>
      <w:r w:rsidRPr="00BF6FA4">
        <w:t xml:space="preserve">Order No. 1920 does not prohibit </w:t>
      </w:r>
      <w:r w:rsidR="00BF6FA4" w:rsidRPr="00BF6FA4">
        <w:t>TPs</w:t>
      </w:r>
      <w:r w:rsidRPr="00BF6FA4">
        <w:t xml:space="preserve"> from proposing on compliance how they will identify and evaluate future interconnection-related transmission needs in </w:t>
      </w:r>
      <w:r w:rsidR="00BF6FA4" w:rsidRPr="00BF6FA4">
        <w:t>LTRTP</w:t>
      </w:r>
      <w:r w:rsidRPr="00BF6FA4">
        <w:t>.</w:t>
      </w:r>
      <w:r w:rsidRPr="00BF6FA4">
        <w:rPr>
          <w:rStyle w:val="FootnoteReference"/>
        </w:rPr>
        <w:footnoteReference w:id="41"/>
      </w:r>
    </w:p>
    <w:p w14:paraId="66123686" w14:textId="77777777" w:rsidR="007741A7" w:rsidRPr="00BF6FA4" w:rsidRDefault="007741A7" w:rsidP="007741A7">
      <w:pPr>
        <w:pStyle w:val="ListParagraph"/>
        <w:spacing w:after="240"/>
        <w:contextualSpacing w:val="0"/>
        <w:jc w:val="both"/>
        <w:rPr>
          <w:b/>
          <w:bCs/>
          <w:u w:val="single"/>
        </w:rPr>
      </w:pPr>
      <w:r w:rsidRPr="00BF6FA4">
        <w:rPr>
          <w:b/>
          <w:bCs/>
          <w:u w:val="single"/>
        </w:rPr>
        <w:t>Consideration of Dynamic Line Ratings and Advanced Power Flow Control Devices</w:t>
      </w:r>
    </w:p>
    <w:p w14:paraId="63C2992E" w14:textId="77777777" w:rsidR="007741A7" w:rsidRPr="00BF6FA4" w:rsidRDefault="007741A7" w:rsidP="007741A7">
      <w:pPr>
        <w:pStyle w:val="ListParagraph"/>
        <w:numPr>
          <w:ilvl w:val="0"/>
          <w:numId w:val="21"/>
        </w:numPr>
        <w:spacing w:after="240"/>
        <w:contextualSpacing w:val="0"/>
        <w:jc w:val="both"/>
      </w:pPr>
      <w:r w:rsidRPr="00BF6FA4">
        <w:t>FERC does not require detailed production cost simulations to demonstrate costs and benefits of each alternative transmission technology for each existing transmission element, and TPs have flexibility to apply good engineering judgment to identify the specific transmission elements that are likely candidates for specific enumerated alternative transmission technologies.</w:t>
      </w:r>
      <w:r w:rsidRPr="00BF6FA4">
        <w:rPr>
          <w:rStyle w:val="FootnoteReference"/>
        </w:rPr>
        <w:footnoteReference w:id="42"/>
      </w:r>
    </w:p>
    <w:p w14:paraId="3B7B6622" w14:textId="1DB7474F" w:rsidR="007741A7" w:rsidRPr="00BF6FA4" w:rsidRDefault="007741A7" w:rsidP="007741A7">
      <w:pPr>
        <w:pStyle w:val="ListParagraph"/>
        <w:numPr>
          <w:ilvl w:val="0"/>
          <w:numId w:val="21"/>
        </w:numPr>
        <w:spacing w:after="240"/>
        <w:contextualSpacing w:val="0"/>
        <w:jc w:val="both"/>
      </w:pPr>
      <w:r w:rsidRPr="00BF6FA4">
        <w:t xml:space="preserve">The requirement to consider alternative transmission technologies necessitates that </w:t>
      </w:r>
      <w:r w:rsidR="00BF6FA4" w:rsidRPr="00BF6FA4">
        <w:t>TPs</w:t>
      </w:r>
      <w:r w:rsidRPr="00BF6FA4">
        <w:t xml:space="preserve"> consider the types of advanced conductors that Congress intended to be reviewed in the Energy Policy Act of 2005 and that the US DOE has described in its reports.</w:t>
      </w:r>
      <w:r w:rsidRPr="00BF6FA4">
        <w:rPr>
          <w:rStyle w:val="FootnoteReference"/>
        </w:rPr>
        <w:footnoteReference w:id="43"/>
      </w:r>
    </w:p>
    <w:p w14:paraId="0809F9D3" w14:textId="77777777" w:rsidR="007741A7" w:rsidRPr="00BF6FA4" w:rsidRDefault="007741A7" w:rsidP="007741A7">
      <w:pPr>
        <w:pStyle w:val="ListParagraph"/>
        <w:numPr>
          <w:ilvl w:val="0"/>
          <w:numId w:val="21"/>
        </w:numPr>
        <w:spacing w:after="240"/>
        <w:contextualSpacing w:val="0"/>
        <w:jc w:val="both"/>
      </w:pPr>
      <w:r w:rsidRPr="00BF6FA4">
        <w:t>Rather than considering just one of the six advanced conductor examples listed, TPs must instead consider each of the six advanced conductor examples listed, and, as they determine appropriate, any additional advanced conductor which that transmission provider determines might be more efficient or cost-effective.</w:t>
      </w:r>
      <w:r w:rsidRPr="00BF6FA4">
        <w:rPr>
          <w:rStyle w:val="FootnoteReference"/>
        </w:rPr>
        <w:footnoteReference w:id="44"/>
      </w:r>
      <w:r w:rsidRPr="00BF6FA4">
        <w:t xml:space="preserve">  </w:t>
      </w:r>
    </w:p>
    <w:p w14:paraId="01C1D478" w14:textId="1D4423EA" w:rsidR="007741A7" w:rsidRPr="00BF6FA4" w:rsidRDefault="007741A7" w:rsidP="007741A7">
      <w:pPr>
        <w:pStyle w:val="ListParagraph"/>
        <w:numPr>
          <w:ilvl w:val="0"/>
          <w:numId w:val="21"/>
        </w:numPr>
        <w:spacing w:after="240"/>
        <w:contextualSpacing w:val="0"/>
        <w:jc w:val="both"/>
      </w:pPr>
      <w:r w:rsidRPr="00BF6FA4">
        <w:t xml:space="preserve">TPs are not precluded from considering HVDC facilities in </w:t>
      </w:r>
      <w:r w:rsidR="00BF6FA4" w:rsidRPr="00BF6FA4">
        <w:t xml:space="preserve">LTRTP </w:t>
      </w:r>
      <w:r w:rsidRPr="00BF6FA4">
        <w:t>and existing Order No. 1000 regional transmission planning processes.</w:t>
      </w:r>
      <w:r w:rsidRPr="00BF6FA4">
        <w:rPr>
          <w:rStyle w:val="FootnoteReference"/>
        </w:rPr>
        <w:footnoteReference w:id="45"/>
      </w:r>
    </w:p>
    <w:p w14:paraId="0400B7A5" w14:textId="77777777" w:rsidR="007741A7" w:rsidRPr="00BF6FA4" w:rsidRDefault="007741A7" w:rsidP="007741A7">
      <w:pPr>
        <w:pStyle w:val="ListParagraph"/>
        <w:spacing w:after="240"/>
        <w:contextualSpacing w:val="0"/>
        <w:jc w:val="both"/>
        <w:rPr>
          <w:b/>
          <w:bCs/>
          <w:u w:val="single"/>
        </w:rPr>
      </w:pPr>
      <w:r w:rsidRPr="00BF6FA4">
        <w:rPr>
          <w:b/>
          <w:bCs/>
          <w:u w:val="single"/>
        </w:rPr>
        <w:t>Regional Transmission Cost Allocation</w:t>
      </w:r>
    </w:p>
    <w:p w14:paraId="2A91E353" w14:textId="095ADB9D" w:rsidR="007741A7" w:rsidRPr="00BF6FA4" w:rsidRDefault="007741A7" w:rsidP="007741A7">
      <w:pPr>
        <w:pStyle w:val="ListParagraph"/>
        <w:numPr>
          <w:ilvl w:val="0"/>
          <w:numId w:val="21"/>
        </w:numPr>
        <w:spacing w:after="240"/>
        <w:contextualSpacing w:val="0"/>
        <w:jc w:val="both"/>
      </w:pPr>
      <w:r w:rsidRPr="00BF6FA4">
        <w:t xml:space="preserve">TPs must include any and all supporting evidence and/or justification related to Relevant State Entities’ agreed-upon Long-Term Regional Transmission Cost Allocation Method and/or State Agreement Process that Relevant State Entities request that </w:t>
      </w:r>
      <w:r w:rsidR="000677D7">
        <w:t>TPs</w:t>
      </w:r>
      <w:r w:rsidRPr="00BF6FA4">
        <w:t xml:space="preserve"> include in their compliance filing.</w:t>
      </w:r>
      <w:r w:rsidRPr="00BF6FA4">
        <w:rPr>
          <w:rStyle w:val="FootnoteReference"/>
        </w:rPr>
        <w:footnoteReference w:id="46"/>
      </w:r>
    </w:p>
    <w:p w14:paraId="39CAC255" w14:textId="77777777" w:rsidR="007741A7" w:rsidRPr="00BF6FA4" w:rsidRDefault="007741A7" w:rsidP="007741A7">
      <w:pPr>
        <w:pStyle w:val="ListParagraph"/>
        <w:numPr>
          <w:ilvl w:val="0"/>
          <w:numId w:val="21"/>
        </w:numPr>
        <w:spacing w:after="240"/>
        <w:contextualSpacing w:val="0"/>
        <w:jc w:val="both"/>
      </w:pPr>
      <w:r w:rsidRPr="00BF6FA4">
        <w:t>Upon the request of Relevant State Entities, TPs must facilitate and participate in a cost allocation discussion during the Engagement Period with Relevant State Entities.</w:t>
      </w:r>
      <w:r w:rsidRPr="00BF6FA4">
        <w:rPr>
          <w:rStyle w:val="FootnoteReference"/>
        </w:rPr>
        <w:footnoteReference w:id="47"/>
      </w:r>
    </w:p>
    <w:p w14:paraId="328E03A5" w14:textId="04B9BD6D" w:rsidR="007741A7" w:rsidRPr="00BF6FA4" w:rsidRDefault="007741A7" w:rsidP="007741A7">
      <w:pPr>
        <w:pStyle w:val="ListParagraph"/>
        <w:numPr>
          <w:ilvl w:val="0"/>
          <w:numId w:val="21"/>
        </w:numPr>
        <w:spacing w:after="240"/>
        <w:contextualSpacing w:val="0"/>
        <w:jc w:val="both"/>
      </w:pPr>
      <w:r w:rsidRPr="00BF6FA4">
        <w:t xml:space="preserve">In order to comply with the requirement that TPs explain how they provide a forum for negotiation of a Long-Term Regional Transmission Cost Allocation Method(s) and/or a State Agreement Process during the Engagement Period that enables meaningful participation by Relevant State Entities, TPs must at minimum disclose any deadlines set by </w:t>
      </w:r>
      <w:r w:rsidR="000677D7">
        <w:t>TPs</w:t>
      </w:r>
      <w:r w:rsidRPr="00BF6FA4">
        <w:t xml:space="preserve"> during the Engagement Period </w:t>
      </w:r>
      <w:r w:rsidRPr="00BF6FA4" w:rsidDel="00F1068D">
        <w:t>and</w:t>
      </w:r>
      <w:r w:rsidRPr="00BF6FA4">
        <w:t xml:space="preserve"> how </w:t>
      </w:r>
      <w:r w:rsidR="000677D7">
        <w:t>TPs</w:t>
      </w:r>
      <w:r w:rsidRPr="00BF6FA4">
        <w:t xml:space="preserve"> communicated any such deadlines to Relevant State Entities,</w:t>
      </w:r>
      <w:r w:rsidRPr="00BF6FA4" w:rsidDel="00816692">
        <w:t xml:space="preserve"> </w:t>
      </w:r>
      <w:r w:rsidRPr="00BF6FA4">
        <w:t>and provide a general description of the forum for negotiation.</w:t>
      </w:r>
      <w:r w:rsidRPr="00BF6FA4">
        <w:rPr>
          <w:rStyle w:val="FootnoteReference"/>
        </w:rPr>
        <w:footnoteReference w:id="48"/>
      </w:r>
    </w:p>
    <w:p w14:paraId="0D2E9B20" w14:textId="01012913" w:rsidR="007741A7" w:rsidRPr="00BF6FA4" w:rsidRDefault="007741A7" w:rsidP="007741A7">
      <w:pPr>
        <w:pStyle w:val="ListParagraph"/>
        <w:numPr>
          <w:ilvl w:val="0"/>
          <w:numId w:val="21"/>
        </w:numPr>
        <w:spacing w:after="240"/>
        <w:contextualSpacing w:val="0"/>
        <w:jc w:val="both"/>
      </w:pPr>
      <w:r w:rsidRPr="00BF6FA4">
        <w:t>The Commission declined in Order No. 1920 to expand participation in the Engagement Period beyond Relevant State Entities, and did not find it necessary to allow other stakeholders to participate in the Engagement Period. However, the Commission allowed Relevant State Entities to permit the participation of other entities subsequently during implementations of a State Agreement Process.</w:t>
      </w:r>
      <w:r w:rsidRPr="00BF6FA4">
        <w:rPr>
          <w:rStyle w:val="FootnoteReference"/>
        </w:rPr>
        <w:footnoteReference w:id="49"/>
      </w:r>
      <w:r w:rsidRPr="00BF6FA4">
        <w:t xml:space="preserve"> TPs must provide the opportunity for Relevant State Entities from</w:t>
      </w:r>
      <w:r w:rsidRPr="00BF6FA4" w:rsidDel="0001213C">
        <w:t xml:space="preserve"> </w:t>
      </w:r>
      <w:r w:rsidRPr="00BF6FA4">
        <w:t>all states in each transmission planning region to participate in the Engagement Period.</w:t>
      </w:r>
      <w:r w:rsidRPr="00BF6FA4">
        <w:rPr>
          <w:rStyle w:val="FootnoteReference"/>
        </w:rPr>
        <w:footnoteReference w:id="50"/>
      </w:r>
    </w:p>
    <w:p w14:paraId="5001C75B" w14:textId="2498F215" w:rsidR="007741A7" w:rsidRPr="00BF6FA4" w:rsidRDefault="007741A7" w:rsidP="007741A7">
      <w:pPr>
        <w:pStyle w:val="ListParagraph"/>
        <w:numPr>
          <w:ilvl w:val="0"/>
          <w:numId w:val="21"/>
        </w:numPr>
        <w:spacing w:after="240"/>
        <w:contextualSpacing w:val="0"/>
        <w:jc w:val="both"/>
      </w:pPr>
      <w:r w:rsidRPr="00BF6FA4">
        <w:t xml:space="preserve">TPs may file motions for an extension of time for good cause to the State Agreement Process beyond six months after selection of the applicable </w:t>
      </w:r>
      <w:r w:rsidR="00BF6FA4" w:rsidRPr="00BF6FA4">
        <w:t xml:space="preserve">LTRTF </w:t>
      </w:r>
      <w:r w:rsidRPr="00BF6FA4">
        <w:t>(or portfolio of such Facilities).</w:t>
      </w:r>
      <w:r w:rsidRPr="00BF6FA4">
        <w:rPr>
          <w:rStyle w:val="FootnoteReference"/>
        </w:rPr>
        <w:footnoteReference w:id="51"/>
      </w:r>
    </w:p>
    <w:p w14:paraId="6F49D8C1" w14:textId="245F0B5D" w:rsidR="007741A7" w:rsidRPr="00BF6FA4" w:rsidRDefault="007741A7" w:rsidP="007741A7">
      <w:pPr>
        <w:pStyle w:val="ListParagraph"/>
        <w:numPr>
          <w:ilvl w:val="0"/>
          <w:numId w:val="21"/>
        </w:numPr>
        <w:spacing w:after="240"/>
        <w:contextualSpacing w:val="0"/>
        <w:jc w:val="both"/>
      </w:pPr>
      <w:r w:rsidRPr="00BF6FA4">
        <w:t>FERC permits continued use of other existing state agreement approaches and similar voluntary measures</w:t>
      </w:r>
      <w:r w:rsidR="00636F0B">
        <w:t xml:space="preserve"> and supplemental processes</w:t>
      </w:r>
      <w:r w:rsidRPr="00BF6FA4">
        <w:t>, so long as they are consistent with the requirements of Order No. 1920 and 1920-A.</w:t>
      </w:r>
      <w:r w:rsidRPr="00BF6FA4">
        <w:rPr>
          <w:rStyle w:val="FootnoteReference"/>
        </w:rPr>
        <w:footnoteReference w:id="52"/>
      </w:r>
    </w:p>
    <w:p w14:paraId="7F0D5720" w14:textId="7E14A69F" w:rsidR="007741A7" w:rsidRPr="00BF6FA4" w:rsidRDefault="007741A7" w:rsidP="007741A7">
      <w:pPr>
        <w:pStyle w:val="ListParagraph"/>
        <w:numPr>
          <w:ilvl w:val="0"/>
          <w:numId w:val="21"/>
        </w:numPr>
        <w:spacing w:after="240"/>
        <w:contextualSpacing w:val="0"/>
        <w:jc w:val="both"/>
      </w:pPr>
      <w:r w:rsidRPr="00BF6FA4">
        <w:t xml:space="preserve">TPs and Relevant State Entities may consider different types of benefits provided by </w:t>
      </w:r>
      <w:r w:rsidR="00BF6FA4" w:rsidRPr="00BF6FA4">
        <w:t>LTRTFs</w:t>
      </w:r>
      <w:r w:rsidRPr="00BF6FA4">
        <w:t xml:space="preserve"> and allocate costs in proportion to those benefits.</w:t>
      </w:r>
      <w:r w:rsidRPr="00BF6FA4">
        <w:rPr>
          <w:rStyle w:val="FootnoteReference"/>
        </w:rPr>
        <w:footnoteReference w:id="53"/>
      </w:r>
    </w:p>
    <w:p w14:paraId="3DD45FEF" w14:textId="77777777" w:rsidR="007741A7" w:rsidRPr="00BF6FA4" w:rsidRDefault="007741A7" w:rsidP="007741A7">
      <w:pPr>
        <w:pStyle w:val="ListParagraph"/>
        <w:numPr>
          <w:ilvl w:val="0"/>
          <w:numId w:val="21"/>
        </w:numPr>
        <w:spacing w:after="240"/>
        <w:contextualSpacing w:val="0"/>
        <w:jc w:val="both"/>
      </w:pPr>
      <w:r w:rsidRPr="00BF6FA4">
        <w:t>TPs and Relevant State Entities are not precluded from considering in their proposed cost allocation methods the incremental cost of transmission needed to achieve state laws, policies, and regulations beyond the cost of transmission needed in the absence of those laws, policies, and regulations.</w:t>
      </w:r>
      <w:r w:rsidRPr="00BF6FA4">
        <w:rPr>
          <w:rStyle w:val="FootnoteReference"/>
        </w:rPr>
        <w:footnoteReference w:id="54"/>
      </w:r>
    </w:p>
    <w:p w14:paraId="177130AA" w14:textId="6CDBAD04" w:rsidR="007741A7" w:rsidRPr="00BF6FA4" w:rsidRDefault="007741A7" w:rsidP="007741A7">
      <w:pPr>
        <w:pStyle w:val="ListParagraph"/>
        <w:numPr>
          <w:ilvl w:val="0"/>
          <w:numId w:val="21"/>
        </w:numPr>
        <w:spacing w:after="240"/>
        <w:contextualSpacing w:val="0"/>
        <w:jc w:val="both"/>
      </w:pPr>
      <w:r w:rsidRPr="00BF6FA4">
        <w:t xml:space="preserve">Order No. 1920’s prohibition against </w:t>
      </w:r>
      <w:r w:rsidR="00BF6FA4" w:rsidRPr="00BF6FA4">
        <w:t>“</w:t>
      </w:r>
      <w:r w:rsidRPr="00BF6FA4">
        <w:t>types</w:t>
      </w:r>
      <w:r w:rsidR="00BF6FA4" w:rsidRPr="00BF6FA4">
        <w:t>”</w:t>
      </w:r>
      <w:r w:rsidRPr="00BF6FA4">
        <w:t xml:space="preserve"> is a prohibition against the allocation of costs based on a single category of benefits—whether reliability, economic, public policy, or another category of benefits.  In other words, </w:t>
      </w:r>
      <w:r w:rsidR="000677D7">
        <w:t>TPs</w:t>
      </w:r>
      <w:r w:rsidRPr="00BF6FA4">
        <w:t xml:space="preserve"> could </w:t>
      </w:r>
      <w:r w:rsidRPr="00BF6FA4">
        <w:rPr>
          <w:i/>
          <w:iCs/>
        </w:rPr>
        <w:t>not</w:t>
      </w:r>
      <w:r w:rsidRPr="00BF6FA4">
        <w:t xml:space="preserve"> allocate </w:t>
      </w:r>
      <w:r w:rsidRPr="00BF6FA4">
        <w:rPr>
          <w:i/>
        </w:rPr>
        <w:t>all</w:t>
      </w:r>
      <w:r w:rsidRPr="00BF6FA4">
        <w:t xml:space="preserve"> costs of </w:t>
      </w:r>
      <w:r w:rsidR="00BF6FA4" w:rsidRPr="00BF6FA4">
        <w:t>LTRTFs</w:t>
      </w:r>
      <w:r w:rsidRPr="00BF6FA4">
        <w:t xml:space="preserve"> on the basis of public policy benefits, if doing so ignores economic and reliability benefits associated with those facilities.</w:t>
      </w:r>
      <w:r w:rsidRPr="00BF6FA4">
        <w:rPr>
          <w:rStyle w:val="FootnoteReference"/>
        </w:rPr>
        <w:footnoteReference w:id="55"/>
      </w:r>
    </w:p>
    <w:p w14:paraId="6C649F41" w14:textId="2A8C5916" w:rsidR="007741A7" w:rsidRPr="00BF6FA4" w:rsidRDefault="007741A7" w:rsidP="007741A7">
      <w:pPr>
        <w:pStyle w:val="ListParagraph"/>
        <w:numPr>
          <w:ilvl w:val="0"/>
          <w:numId w:val="21"/>
        </w:numPr>
        <w:spacing w:after="240"/>
        <w:contextualSpacing w:val="0"/>
        <w:jc w:val="both"/>
      </w:pPr>
      <w:r w:rsidRPr="00BF6FA4">
        <w:t xml:space="preserve">Order No. 1920’s cost allocation requirements allow for, but do not require, </w:t>
      </w:r>
      <w:r w:rsidR="00BF6FA4" w:rsidRPr="00BF6FA4">
        <w:t xml:space="preserve">TPs </w:t>
      </w:r>
      <w:r w:rsidRPr="00BF6FA4">
        <w:t xml:space="preserve">to account for the benefits associated with addressing transmission needs driven by Public Policy Requirements in any </w:t>
      </w:r>
      <w:r w:rsidRPr="00BF6FA4">
        <w:rPr>
          <w:i/>
          <w:iCs/>
        </w:rPr>
        <w:t>ex</w:t>
      </w:r>
      <w:r w:rsidRPr="00BF6FA4">
        <w:t xml:space="preserve"> </w:t>
      </w:r>
      <w:r w:rsidRPr="00BF6FA4">
        <w:rPr>
          <w:i/>
          <w:iCs/>
        </w:rPr>
        <w:t>ante</w:t>
      </w:r>
      <w:r w:rsidRPr="00BF6FA4">
        <w:t xml:space="preserve"> cost allocation method.</w:t>
      </w:r>
      <w:r w:rsidRPr="00BF6FA4">
        <w:rPr>
          <w:rStyle w:val="FootnoteReference"/>
        </w:rPr>
        <w:footnoteReference w:id="56"/>
      </w:r>
    </w:p>
    <w:p w14:paraId="6B3E74FA" w14:textId="68AB849A" w:rsidR="007741A7" w:rsidRPr="00BF6FA4" w:rsidRDefault="007741A7" w:rsidP="007741A7">
      <w:pPr>
        <w:pStyle w:val="ListParagraph"/>
        <w:numPr>
          <w:ilvl w:val="0"/>
          <w:numId w:val="21"/>
        </w:numPr>
        <w:spacing w:after="240"/>
        <w:contextualSpacing w:val="0"/>
        <w:jc w:val="both"/>
      </w:pPr>
      <w:r w:rsidRPr="00BF6FA4">
        <w:t xml:space="preserve">Order No. 1920 does not prevent </w:t>
      </w:r>
      <w:r w:rsidR="00BF6FA4" w:rsidRPr="00BF6FA4">
        <w:t>TPs</w:t>
      </w:r>
      <w:r w:rsidRPr="00BF6FA4">
        <w:t xml:space="preserve"> from recognizing different types of benefits and using them to allocate costs in proportion to those benefits.</w:t>
      </w:r>
      <w:r w:rsidRPr="00BF6FA4">
        <w:rPr>
          <w:rStyle w:val="FootnoteReference"/>
        </w:rPr>
        <w:footnoteReference w:id="57"/>
      </w:r>
    </w:p>
    <w:p w14:paraId="561A781B" w14:textId="7419CB71" w:rsidR="007741A7" w:rsidRPr="00BF6FA4" w:rsidRDefault="007741A7" w:rsidP="007741A7">
      <w:pPr>
        <w:pStyle w:val="ListParagraph"/>
        <w:numPr>
          <w:ilvl w:val="0"/>
          <w:numId w:val="21"/>
        </w:numPr>
        <w:spacing w:after="240"/>
        <w:contextualSpacing w:val="0"/>
        <w:jc w:val="both"/>
      </w:pPr>
      <w:r w:rsidRPr="00BF6FA4">
        <w:t xml:space="preserve">Once TPs make a selection decision, i.e., for each selected </w:t>
      </w:r>
      <w:r w:rsidR="00BF6FA4" w:rsidRPr="00BF6FA4">
        <w:t>LTRTF</w:t>
      </w:r>
      <w:r w:rsidRPr="00BF6FA4">
        <w:t xml:space="preserve"> (or portfolio of such Facilities) and the applicable cost allocation method is determined, </w:t>
      </w:r>
      <w:r w:rsidR="000677D7">
        <w:t>TPs</w:t>
      </w:r>
      <w:r w:rsidRPr="00BF6FA4">
        <w:t xml:space="preserve"> must make available, on a password-protected portion of OASIS or other password-protected website, a breakdown of how those estimated costs will be allocated, by zone (i.e., by transmission provider retail distribution service territory/footprint or RTO/ISO transmission pricing zone), and a quantification of the estimated benefits as imputed to each zone, as such benefits can be reasonably estimated, when a cost allocation method is agreed upon under a State Agreement Process or, if no State Agreement Process is used, at the time of project selection.</w:t>
      </w:r>
      <w:r w:rsidRPr="00BF6FA4">
        <w:rPr>
          <w:rStyle w:val="FootnoteReference"/>
        </w:rPr>
        <w:footnoteReference w:id="58"/>
      </w:r>
    </w:p>
    <w:p w14:paraId="507E8331" w14:textId="687AF8D2" w:rsidR="007741A7" w:rsidRPr="00BF6FA4" w:rsidRDefault="007741A7" w:rsidP="007741A7">
      <w:pPr>
        <w:pStyle w:val="ListParagraph"/>
        <w:numPr>
          <w:ilvl w:val="0"/>
          <w:numId w:val="21"/>
        </w:numPr>
        <w:spacing w:after="240"/>
        <w:contextualSpacing w:val="0"/>
        <w:jc w:val="both"/>
      </w:pPr>
      <w:r w:rsidRPr="00BF6FA4">
        <w:t xml:space="preserve">Regarding the requirement that the determination of the applicable cost allocation must occur by or before its selection, this requirement applies only to Long-Term Regional Transmission Cost Allocation Methods. Long-Term Regional Transmission Cost Allocation Methods refer only to </w:t>
      </w:r>
      <w:r w:rsidRPr="00BF6FA4">
        <w:rPr>
          <w:i/>
          <w:iCs/>
        </w:rPr>
        <w:t>ex ante</w:t>
      </w:r>
      <w:r w:rsidRPr="00BF6FA4">
        <w:t xml:space="preserve"> cost allocation methods used to allocate the costs of selected </w:t>
      </w:r>
      <w:r w:rsidR="00BF6FA4" w:rsidRPr="00BF6FA4">
        <w:t>LTRTFs</w:t>
      </w:r>
      <w:r w:rsidRPr="00BF6FA4">
        <w:t>.</w:t>
      </w:r>
      <w:r w:rsidRPr="00BF6FA4">
        <w:rPr>
          <w:rStyle w:val="FootnoteReference"/>
        </w:rPr>
        <w:footnoteReference w:id="59"/>
      </w:r>
    </w:p>
    <w:p w14:paraId="207BD169" w14:textId="77777777" w:rsidR="007741A7" w:rsidRPr="00BF6FA4" w:rsidRDefault="007741A7" w:rsidP="007741A7">
      <w:pPr>
        <w:pStyle w:val="ListParagraph"/>
        <w:spacing w:after="240"/>
        <w:contextualSpacing w:val="0"/>
        <w:jc w:val="both"/>
        <w:rPr>
          <w:b/>
          <w:bCs/>
          <w:u w:val="single"/>
        </w:rPr>
      </w:pPr>
      <w:r w:rsidRPr="00BF6FA4">
        <w:rPr>
          <w:b/>
          <w:bCs/>
          <w:u w:val="single"/>
        </w:rPr>
        <w:t>Local Transmission Planning Inputs in the Regional Transmission Planning Process</w:t>
      </w:r>
    </w:p>
    <w:p w14:paraId="491D5E1E" w14:textId="613EEF12" w:rsidR="007741A7" w:rsidRPr="00BF6FA4" w:rsidRDefault="007741A7" w:rsidP="007741A7">
      <w:pPr>
        <w:pStyle w:val="ListParagraph"/>
        <w:numPr>
          <w:ilvl w:val="0"/>
          <w:numId w:val="21"/>
        </w:numPr>
        <w:spacing w:after="240"/>
        <w:contextualSpacing w:val="0"/>
        <w:jc w:val="both"/>
      </w:pPr>
      <w:r w:rsidRPr="00BF6FA4">
        <w:t>TPs are not obligated to incorporate stakeholder proposals or comments resulting from the stakeholder meeting process into their transmission plans.</w:t>
      </w:r>
      <w:r w:rsidRPr="00BF6FA4">
        <w:rPr>
          <w:rStyle w:val="FootnoteReference"/>
        </w:rPr>
        <w:footnoteReference w:id="60"/>
      </w:r>
      <w:r w:rsidRPr="00BF6FA4">
        <w:t xml:space="preserve"> The ultimate transmission planning responsibility remains with the </w:t>
      </w:r>
      <w:r w:rsidR="00BF6FA4" w:rsidRPr="00BF6FA4">
        <w:t>TP</w:t>
      </w:r>
      <w:r w:rsidRPr="00BF6FA4">
        <w:t>.</w:t>
      </w:r>
    </w:p>
    <w:p w14:paraId="06B08EDA" w14:textId="3293FF32" w:rsidR="007741A7" w:rsidRPr="00BF6FA4" w:rsidRDefault="007741A7" w:rsidP="007741A7">
      <w:pPr>
        <w:pStyle w:val="ListParagraph"/>
        <w:numPr>
          <w:ilvl w:val="0"/>
          <w:numId w:val="21"/>
        </w:numPr>
        <w:spacing w:after="240"/>
        <w:contextualSpacing w:val="0"/>
        <w:jc w:val="both"/>
      </w:pPr>
      <w:r w:rsidRPr="00BF6FA4">
        <w:t xml:space="preserve">Provided that the TP meets the requirements of Order No. 1920 with respect to public notices and opportunities for stakeholders to submit comments before and after each meeting, </w:t>
      </w:r>
      <w:r w:rsidR="00BF6FA4" w:rsidRPr="00BF6FA4">
        <w:t>TPs</w:t>
      </w:r>
      <w:r w:rsidRPr="00BF6FA4">
        <w:t xml:space="preserve"> need not hold a single stakeholder meeting among all </w:t>
      </w:r>
      <w:r w:rsidR="00BF6FA4" w:rsidRPr="00BF6FA4">
        <w:t>TPs</w:t>
      </w:r>
      <w:r w:rsidRPr="00BF6FA4">
        <w:t xml:space="preserve"> in a transmission planning region.</w:t>
      </w:r>
      <w:r w:rsidRPr="00BF6FA4">
        <w:rPr>
          <w:rStyle w:val="FootnoteReference"/>
        </w:rPr>
        <w:footnoteReference w:id="61"/>
      </w:r>
      <w:r w:rsidRPr="00BF6FA4">
        <w:t xml:space="preserve">  </w:t>
      </w:r>
    </w:p>
    <w:p w14:paraId="3E64EE87" w14:textId="7170C4DE" w:rsidR="007741A7" w:rsidRPr="00BF6FA4" w:rsidRDefault="007741A7" w:rsidP="007741A7">
      <w:pPr>
        <w:pStyle w:val="ListParagraph"/>
        <w:numPr>
          <w:ilvl w:val="0"/>
          <w:numId w:val="21"/>
        </w:numPr>
        <w:spacing w:after="240"/>
        <w:contextualSpacing w:val="0"/>
        <w:jc w:val="both"/>
      </w:pPr>
      <w:r w:rsidRPr="00BF6FA4">
        <w:t xml:space="preserve">The Commission’s finding in Order No. 1920 that the kV threshold must not exceed 200 kV means that </w:t>
      </w:r>
      <w:r w:rsidR="00BF6FA4" w:rsidRPr="00BF6FA4">
        <w:t>TPs</w:t>
      </w:r>
      <w:r w:rsidRPr="00BF6FA4">
        <w:t xml:space="preserve"> must include in their in-kind replacement estimates all transmission facilities operating at or above 200 kV that they anticipate replacing in-kind during the next 10 years. TPs may establish a threshold </w:t>
      </w:r>
      <w:r w:rsidRPr="00BF6FA4">
        <w:rPr>
          <w:i/>
          <w:iCs/>
        </w:rPr>
        <w:t xml:space="preserve">lower </w:t>
      </w:r>
      <w:r w:rsidRPr="00BF6FA4">
        <w:t>than 200 kV to ensure that a larger number of transmission facilities may be included.</w:t>
      </w:r>
      <w:r w:rsidRPr="00BF6FA4">
        <w:rPr>
          <w:rStyle w:val="FootnoteReference"/>
        </w:rPr>
        <w:footnoteReference w:id="62"/>
      </w:r>
    </w:p>
    <w:p w14:paraId="411F86C3" w14:textId="77777777" w:rsidR="007741A7" w:rsidRPr="00BF6FA4" w:rsidRDefault="007741A7" w:rsidP="007741A7">
      <w:pPr>
        <w:pStyle w:val="ListParagraph"/>
        <w:spacing w:after="240"/>
        <w:contextualSpacing w:val="0"/>
        <w:jc w:val="both"/>
        <w:rPr>
          <w:b/>
          <w:bCs/>
          <w:u w:val="single"/>
        </w:rPr>
      </w:pPr>
      <w:r w:rsidRPr="00BF6FA4">
        <w:rPr>
          <w:b/>
          <w:bCs/>
          <w:u w:val="single"/>
        </w:rPr>
        <w:t>Compliance Procedures</w:t>
      </w:r>
    </w:p>
    <w:p w14:paraId="7181B8E2" w14:textId="6FC24729" w:rsidR="007741A7" w:rsidRPr="00BF6FA4" w:rsidRDefault="007741A7" w:rsidP="007741A7">
      <w:pPr>
        <w:pStyle w:val="ListParagraph"/>
        <w:numPr>
          <w:ilvl w:val="0"/>
          <w:numId w:val="21"/>
        </w:numPr>
        <w:spacing w:after="240"/>
        <w:contextualSpacing w:val="0"/>
        <w:jc w:val="both"/>
      </w:pPr>
      <w:r w:rsidRPr="00BF6FA4">
        <w:t xml:space="preserve">The effective date associated with </w:t>
      </w:r>
      <w:r w:rsidR="00BF6FA4" w:rsidRPr="00BF6FA4">
        <w:t xml:space="preserve">Order No. 1920-A </w:t>
      </w:r>
      <w:r w:rsidRPr="00BF6FA4">
        <w:t>does not extend the relevant compliance deadlines associated with Order No. 1920.</w:t>
      </w:r>
      <w:r w:rsidRPr="00BF6FA4">
        <w:rPr>
          <w:rStyle w:val="FootnoteReference"/>
        </w:rPr>
        <w:footnoteReference w:id="63"/>
      </w:r>
      <w:r w:rsidR="009D2106">
        <w:t xml:space="preserve"> The Commission does not appear amenable to extending those deadlines.</w:t>
      </w:r>
    </w:p>
    <w:p w14:paraId="189EB256" w14:textId="79F7BDFA" w:rsidR="007741A7" w:rsidRPr="00BF6FA4" w:rsidRDefault="007741A7" w:rsidP="007741A7">
      <w:pPr>
        <w:pStyle w:val="ListParagraph"/>
        <w:numPr>
          <w:ilvl w:val="0"/>
          <w:numId w:val="21"/>
        </w:numPr>
        <w:spacing w:after="240"/>
        <w:contextualSpacing w:val="0"/>
        <w:jc w:val="both"/>
      </w:pPr>
      <w:r w:rsidRPr="00BF6FA4">
        <w:t xml:space="preserve">In analyzing Order No. 1920 compliance filings, </w:t>
      </w:r>
      <w:r w:rsidR="00BF6FA4" w:rsidRPr="00BF6FA4">
        <w:t>FERC</w:t>
      </w:r>
      <w:r w:rsidRPr="00BF6FA4">
        <w:t xml:space="preserve"> will apply the “consistent with or superior to” standard to proposed variations from </w:t>
      </w:r>
      <w:r w:rsidRPr="00BF6FA4">
        <w:rPr>
          <w:i/>
          <w:iCs/>
        </w:rPr>
        <w:t>all</w:t>
      </w:r>
      <w:r w:rsidRPr="00BF6FA4">
        <w:t xml:space="preserve"> requirements of Order No. 1920 and not limit the standard to proposed variations from </w:t>
      </w:r>
      <w:r w:rsidRPr="00BF6FA4">
        <w:rPr>
          <w:i/>
          <w:iCs/>
        </w:rPr>
        <w:t xml:space="preserve">pro forma </w:t>
      </w:r>
      <w:r w:rsidRPr="00BF6FA4">
        <w:t>OATT provisions developed in Order No. 1920.</w:t>
      </w:r>
      <w:r w:rsidRPr="00BF6FA4">
        <w:rPr>
          <w:rStyle w:val="FootnoteReference"/>
        </w:rPr>
        <w:footnoteReference w:id="64"/>
      </w:r>
    </w:p>
    <w:p w14:paraId="0CAD19A8" w14:textId="77777777" w:rsidR="007741A7" w:rsidRPr="00BF6FA4" w:rsidRDefault="007741A7" w:rsidP="007741A7">
      <w:pPr>
        <w:pStyle w:val="ListParagraph"/>
        <w:numPr>
          <w:ilvl w:val="0"/>
          <w:numId w:val="21"/>
        </w:numPr>
        <w:spacing w:after="240"/>
        <w:contextualSpacing w:val="0"/>
        <w:jc w:val="both"/>
      </w:pPr>
      <w:r w:rsidRPr="00BF6FA4">
        <w:t>TPs must consult with their stakeholders to develop the processes, procedures, and OATT revisions necessary to comply with Order No. 1920.</w:t>
      </w:r>
      <w:r w:rsidRPr="00BF6FA4">
        <w:rPr>
          <w:rStyle w:val="FootnoteReference"/>
        </w:rPr>
        <w:footnoteReference w:id="65"/>
      </w:r>
    </w:p>
    <w:p w14:paraId="7DA71C25" w14:textId="7DE8423F" w:rsidR="00E91111" w:rsidRPr="00BF6FA4" w:rsidRDefault="001616E7" w:rsidP="00103AEB">
      <w:pPr>
        <w:ind w:firstLine="720"/>
        <w:jc w:val="both"/>
      </w:pPr>
      <w:r>
        <w:t>With the above modifications and clarifications, the Commission</w:t>
      </w:r>
      <w:r w:rsidR="00AD1D8E" w:rsidRPr="00BF6FA4">
        <w:t xml:space="preserve"> largely sustained Order No. 1920, stating that it continues to find “</w:t>
      </w:r>
      <w:r w:rsidR="00E91111" w:rsidRPr="00BF6FA4">
        <w:t xml:space="preserve">that the key components of Order No. 1920 together ensure that </w:t>
      </w:r>
      <w:r w:rsidR="00E86711" w:rsidRPr="00BF6FA4">
        <w:t>TPs</w:t>
      </w:r>
      <w:r w:rsidR="00E91111" w:rsidRPr="00BF6FA4">
        <w:t xml:space="preserve"> will conduct sufficiently long-term, forward-looking, and comprehensive transmission planning and cost allocation processes.</w:t>
      </w:r>
      <w:r w:rsidR="00AD1D8E" w:rsidRPr="00BF6FA4">
        <w:t>”</w:t>
      </w:r>
      <w:r w:rsidR="00E91111" w:rsidRPr="00BF6FA4">
        <w:rPr>
          <w:rStyle w:val="FootnoteReference"/>
        </w:rPr>
        <w:footnoteReference w:id="66"/>
      </w:r>
      <w:r w:rsidR="00E91111" w:rsidRPr="00BF6FA4">
        <w:t xml:space="preserve">  </w:t>
      </w:r>
    </w:p>
    <w:p w14:paraId="5F69A6F8" w14:textId="77777777" w:rsidR="00E91111" w:rsidRPr="00BF6FA4" w:rsidRDefault="00E91111" w:rsidP="00436394">
      <w:pPr>
        <w:jc w:val="both"/>
      </w:pPr>
    </w:p>
    <w:p w14:paraId="4C0EA197" w14:textId="507D46C3" w:rsidR="00E91111" w:rsidRPr="00BF6FA4" w:rsidRDefault="00E91111" w:rsidP="00436394">
      <w:pPr>
        <w:pStyle w:val="Heading1"/>
        <w:spacing w:before="0" w:after="240"/>
        <w:jc w:val="both"/>
        <w:rPr>
          <w:rFonts w:ascii="Times New Roman" w:hAnsi="Times New Roman" w:cs="Times New Roman"/>
          <w:sz w:val="24"/>
          <w:szCs w:val="24"/>
        </w:rPr>
      </w:pPr>
      <w:r w:rsidRPr="00BF6FA4">
        <w:rPr>
          <w:rFonts w:ascii="Times New Roman" w:hAnsi="Times New Roman" w:cs="Times New Roman"/>
          <w:sz w:val="24"/>
          <w:szCs w:val="24"/>
        </w:rPr>
        <w:t xml:space="preserve">The Need for Reform and </w:t>
      </w:r>
      <w:r w:rsidR="00464E38" w:rsidRPr="00BF6FA4">
        <w:rPr>
          <w:rFonts w:ascii="Times New Roman" w:hAnsi="Times New Roman" w:cs="Times New Roman"/>
          <w:sz w:val="24"/>
          <w:szCs w:val="24"/>
        </w:rPr>
        <w:t>Legal Challenges</w:t>
      </w:r>
    </w:p>
    <w:p w14:paraId="4D3D405A" w14:textId="3F253ECB" w:rsidR="00113647" w:rsidRPr="00BF6FA4" w:rsidRDefault="00113647" w:rsidP="00436394">
      <w:pPr>
        <w:jc w:val="both"/>
        <w:rPr>
          <w:b/>
          <w:bCs/>
          <w:u w:val="single"/>
        </w:rPr>
      </w:pPr>
      <w:r w:rsidRPr="00BF6FA4">
        <w:rPr>
          <w:b/>
          <w:bCs/>
          <w:u w:val="single"/>
        </w:rPr>
        <w:t>Need for Reform</w:t>
      </w:r>
    </w:p>
    <w:p w14:paraId="34C1E258" w14:textId="77777777" w:rsidR="00071E32" w:rsidRPr="00BF6FA4" w:rsidRDefault="00071E32" w:rsidP="00436394">
      <w:pPr>
        <w:jc w:val="both"/>
      </w:pPr>
    </w:p>
    <w:p w14:paraId="092F76FE" w14:textId="1B34FDF5" w:rsidR="00071E32" w:rsidRPr="00BF6FA4" w:rsidRDefault="00464E38" w:rsidP="00103AEB">
      <w:pPr>
        <w:ind w:firstLine="720"/>
        <w:jc w:val="both"/>
      </w:pPr>
      <w:r w:rsidRPr="00BF6FA4">
        <w:t>T</w:t>
      </w:r>
      <w:r w:rsidR="00071E32" w:rsidRPr="00BF6FA4">
        <w:t xml:space="preserve">he Commission maintains that reform is needed to transmission planning and cost allocation requirements. In Order No. 1920, </w:t>
      </w:r>
      <w:r w:rsidR="007A573B" w:rsidRPr="00BF6FA4">
        <w:t xml:space="preserve">FERC found that existing Order No. 890 and Order No. 1000 transmission planning and cost allocation requirements do not result in regional transmission planning that is conducted on a sufficiently long-term, forward-looking, and comprehensive basis, and </w:t>
      </w:r>
      <w:r w:rsidR="00BF6FA4" w:rsidRPr="00BF6FA4">
        <w:t>TPs</w:t>
      </w:r>
      <w:r w:rsidR="007A573B" w:rsidRPr="00BF6FA4">
        <w:t xml:space="preserve"> therefore often do not identify, evaluate, or select more efficient or cost-effective regional transmission solutions to meet Long-Term Transmission Needs.</w:t>
      </w:r>
      <w:r w:rsidR="007A573B" w:rsidRPr="00BF6FA4">
        <w:rPr>
          <w:rStyle w:val="FootnoteReference"/>
        </w:rPr>
        <w:footnoteReference w:id="67"/>
      </w:r>
      <w:r w:rsidR="007A573B" w:rsidRPr="00BF6FA4">
        <w:t xml:space="preserve"> The Commission determined that this results in piecemeal, inefficient, and less cost-effective transmission planning, which imposes real costs on customers and renders the Commission’s existing transmission planning and cost allocation requirements unjust, unreasonable, and unduly discriminatory or preferential in violation of </w:t>
      </w:r>
      <w:r w:rsidR="00BF6FA4">
        <w:t>Federal Power Act (</w:t>
      </w:r>
      <w:r w:rsidR="007A573B" w:rsidRPr="00BF6FA4">
        <w:t>FPA</w:t>
      </w:r>
      <w:r w:rsidR="00BF6FA4">
        <w:t>)</w:t>
      </w:r>
      <w:r w:rsidR="007A573B" w:rsidRPr="00BF6FA4">
        <w:t xml:space="preserve"> </w:t>
      </w:r>
      <w:r w:rsidR="00BF6FA4" w:rsidRPr="00BF6FA4">
        <w:t>S</w:t>
      </w:r>
      <w:r w:rsidR="007A573B" w:rsidRPr="00BF6FA4">
        <w:t>ection 206.</w:t>
      </w:r>
      <w:r w:rsidR="007A573B" w:rsidRPr="00BF6FA4">
        <w:rPr>
          <w:rStyle w:val="FootnoteReference"/>
        </w:rPr>
        <w:footnoteReference w:id="68"/>
      </w:r>
      <w:r w:rsidR="00056633" w:rsidRPr="00BF6FA4">
        <w:t xml:space="preserve">  </w:t>
      </w:r>
      <w:r w:rsidR="00D55084" w:rsidRPr="00BF6FA4">
        <w:t>The Commission sustains these findings regarding the need for reform.</w:t>
      </w:r>
      <w:r w:rsidR="00D55084" w:rsidRPr="00BF6FA4">
        <w:rPr>
          <w:rStyle w:val="FootnoteReference"/>
        </w:rPr>
        <w:footnoteReference w:id="69"/>
      </w:r>
      <w:r w:rsidR="00D55084" w:rsidRPr="00BF6FA4">
        <w:t xml:space="preserve"> </w:t>
      </w:r>
    </w:p>
    <w:p w14:paraId="3D8CC4E4" w14:textId="77777777" w:rsidR="00113647" w:rsidRPr="00BF6FA4" w:rsidRDefault="00113647" w:rsidP="00436394">
      <w:pPr>
        <w:jc w:val="both"/>
      </w:pPr>
    </w:p>
    <w:p w14:paraId="1E834BFC" w14:textId="40964576" w:rsidR="00113647" w:rsidRPr="00BF6FA4" w:rsidRDefault="0039678A" w:rsidP="00436394">
      <w:pPr>
        <w:jc w:val="both"/>
        <w:rPr>
          <w:b/>
          <w:bCs/>
          <w:u w:val="single"/>
        </w:rPr>
      </w:pPr>
      <w:r w:rsidRPr="00BF6FA4">
        <w:rPr>
          <w:b/>
          <w:bCs/>
          <w:u w:val="single"/>
        </w:rPr>
        <w:t xml:space="preserve">FERC Met Its Legal Burdens Under the </w:t>
      </w:r>
      <w:r w:rsidR="00464E38" w:rsidRPr="00BF6FA4">
        <w:rPr>
          <w:b/>
          <w:bCs/>
          <w:u w:val="single"/>
        </w:rPr>
        <w:t>FPA</w:t>
      </w:r>
      <w:r w:rsidRPr="00BF6FA4">
        <w:rPr>
          <w:b/>
          <w:bCs/>
          <w:u w:val="single"/>
        </w:rPr>
        <w:t xml:space="preserve"> </w:t>
      </w:r>
      <w:r w:rsidR="00464E38" w:rsidRPr="00BF6FA4">
        <w:rPr>
          <w:b/>
          <w:bCs/>
          <w:u w:val="single"/>
        </w:rPr>
        <w:t xml:space="preserve">to Require the Reforms </w:t>
      </w:r>
      <w:r w:rsidRPr="00BF6FA4">
        <w:rPr>
          <w:b/>
          <w:bCs/>
          <w:u w:val="single"/>
        </w:rPr>
        <w:t>in Order No. 1920</w:t>
      </w:r>
    </w:p>
    <w:p w14:paraId="043BDF83" w14:textId="77777777" w:rsidR="00113647" w:rsidRPr="00BF6FA4" w:rsidRDefault="00113647" w:rsidP="00436394">
      <w:pPr>
        <w:jc w:val="both"/>
      </w:pPr>
    </w:p>
    <w:p w14:paraId="1E2CC856" w14:textId="06F46677" w:rsidR="007A573B" w:rsidRPr="00BF6FA4" w:rsidRDefault="00D55084" w:rsidP="00340D48">
      <w:pPr>
        <w:ind w:firstLine="720"/>
        <w:jc w:val="both"/>
      </w:pPr>
      <w:r w:rsidRPr="00BF6FA4">
        <w:t xml:space="preserve">In a proceeding initiated on its own </w:t>
      </w:r>
      <w:r w:rsidR="00464E38" w:rsidRPr="00BF6FA4">
        <w:t>under</w:t>
      </w:r>
      <w:r w:rsidR="0039678A" w:rsidRPr="00BF6FA4">
        <w:t xml:space="preserve"> Section 206 of the FPA</w:t>
      </w:r>
      <w:r w:rsidRPr="00BF6FA4">
        <w:t>,</w:t>
      </w:r>
      <w:r w:rsidR="0039678A" w:rsidRPr="00BF6FA4">
        <w:t xml:space="preserve"> </w:t>
      </w:r>
      <w:r w:rsidRPr="00BF6FA4">
        <w:t>the Commission has the burden</w:t>
      </w:r>
      <w:r w:rsidR="0039678A" w:rsidRPr="00BF6FA4">
        <w:t xml:space="preserve"> </w:t>
      </w:r>
      <w:r w:rsidRPr="00BF6FA4">
        <w:t>to</w:t>
      </w:r>
      <w:r w:rsidR="00464E38" w:rsidRPr="00BF6FA4">
        <w:t>:</w:t>
      </w:r>
      <w:r w:rsidRPr="00BF6FA4">
        <w:t xml:space="preserve"> </w:t>
      </w:r>
      <w:r w:rsidR="0039678A" w:rsidRPr="00BF6FA4">
        <w:t xml:space="preserve">(1) </w:t>
      </w:r>
      <w:r w:rsidR="00464E38" w:rsidRPr="00BF6FA4">
        <w:t xml:space="preserve">first show </w:t>
      </w:r>
      <w:r w:rsidR="0039678A" w:rsidRPr="00BF6FA4">
        <w:t xml:space="preserve">that </w:t>
      </w:r>
      <w:r w:rsidRPr="00BF6FA4">
        <w:t xml:space="preserve">the </w:t>
      </w:r>
      <w:r w:rsidR="0039678A" w:rsidRPr="00BF6FA4">
        <w:t xml:space="preserve">existing </w:t>
      </w:r>
      <w:r w:rsidRPr="00BF6FA4">
        <w:t xml:space="preserve">rates, terms and conditions and related practices </w:t>
      </w:r>
      <w:r w:rsidR="0039678A" w:rsidRPr="00BF6FA4">
        <w:t>are unjust</w:t>
      </w:r>
      <w:r w:rsidRPr="00BF6FA4">
        <w:t>,</w:t>
      </w:r>
      <w:r w:rsidR="0039678A" w:rsidRPr="00BF6FA4">
        <w:t xml:space="preserve"> unreasonable</w:t>
      </w:r>
      <w:r w:rsidRPr="00BF6FA4">
        <w:t xml:space="preserve">, unduly </w:t>
      </w:r>
      <w:r w:rsidR="00BF6FA4" w:rsidRPr="00BF6FA4">
        <w:t>discriminatory</w:t>
      </w:r>
      <w:r w:rsidRPr="00BF6FA4">
        <w:t xml:space="preserve"> or preferential</w:t>
      </w:r>
      <w:r w:rsidR="0039678A" w:rsidRPr="00BF6FA4">
        <w:t xml:space="preserve"> and (2) </w:t>
      </w:r>
      <w:r w:rsidR="00464E38" w:rsidRPr="00BF6FA4">
        <w:t>then justify</w:t>
      </w:r>
      <w:r w:rsidR="0039678A" w:rsidRPr="00BF6FA4">
        <w:t xml:space="preserve"> its new proposal </w:t>
      </w:r>
      <w:r w:rsidR="00464E38" w:rsidRPr="00BF6FA4">
        <w:t>a</w:t>
      </w:r>
      <w:r w:rsidR="0039678A" w:rsidRPr="00BF6FA4">
        <w:t>s a just and reasonable replacement rate. In Order No. 1920-A, the Commission addressed arguments on rehearing that it had not met either prong of its burden under Section 206.</w:t>
      </w:r>
      <w:r w:rsidR="007A573B" w:rsidRPr="00BF6FA4">
        <w:rPr>
          <w:rStyle w:val="FootnoteReference"/>
        </w:rPr>
        <w:footnoteReference w:id="70"/>
      </w:r>
      <w:r w:rsidR="00071E32" w:rsidRPr="00BF6FA4">
        <w:t xml:space="preserve"> </w:t>
      </w:r>
      <w:r w:rsidR="00BF6FA4">
        <w:t>In Order No. 1920-A, t</w:t>
      </w:r>
      <w:r w:rsidR="003B0AA6" w:rsidRPr="00BF6FA4">
        <w:t xml:space="preserve">he Commission </w:t>
      </w:r>
      <w:r w:rsidR="00071E32" w:rsidRPr="00BF6FA4">
        <w:t>states that it</w:t>
      </w:r>
      <w:r w:rsidR="007A573B" w:rsidRPr="00BF6FA4">
        <w:t xml:space="preserve"> made adequate findings under the first prong of FPA </w:t>
      </w:r>
      <w:r w:rsidR="0039678A" w:rsidRPr="00BF6FA4">
        <w:t>S</w:t>
      </w:r>
      <w:r w:rsidR="007A573B" w:rsidRPr="00BF6FA4">
        <w:t>ection 206 and marshalled substantial evidence to support those findings</w:t>
      </w:r>
      <w:r w:rsidR="003B0AA6" w:rsidRPr="00BF6FA4">
        <w:t>, summarizing the record evidence it relied upon</w:t>
      </w:r>
      <w:r w:rsidR="007A573B" w:rsidRPr="00BF6FA4">
        <w:t>.</w:t>
      </w:r>
      <w:r w:rsidR="007A573B" w:rsidRPr="00BF6FA4">
        <w:rPr>
          <w:rStyle w:val="FootnoteReference"/>
        </w:rPr>
        <w:footnoteReference w:id="71"/>
      </w:r>
      <w:r w:rsidR="003B0AA6" w:rsidRPr="00BF6FA4">
        <w:t xml:space="preserve"> The Commission also relies upon court precedent to support its authority to base its findings about the need for reform on generic factual predictions</w:t>
      </w:r>
      <w:r w:rsidR="00F04FFA" w:rsidRPr="00BF6FA4">
        <w:t xml:space="preserve"> of unjust and unreasonable rates resulting from existing transmission planning practices</w:t>
      </w:r>
      <w:r w:rsidR="003B0AA6" w:rsidRPr="00BF6FA4">
        <w:t>.</w:t>
      </w:r>
      <w:r w:rsidR="003B0AA6" w:rsidRPr="00BF6FA4">
        <w:rPr>
          <w:rStyle w:val="FootnoteReference"/>
        </w:rPr>
        <w:footnoteReference w:id="72"/>
      </w:r>
      <w:r w:rsidR="00071E32" w:rsidRPr="00BF6FA4">
        <w:t xml:space="preserve"> </w:t>
      </w:r>
      <w:r w:rsidR="00F04FFA" w:rsidRPr="00BF6FA4">
        <w:t xml:space="preserve"> The Commission </w:t>
      </w:r>
      <w:r w:rsidR="0039678A" w:rsidRPr="00BF6FA4">
        <w:t>continues to find that the replacement regional transmission planning and cost allocation requirements that the Commission adopted in Order No. 1920 are just and reasonable.</w:t>
      </w:r>
      <w:r w:rsidR="0039678A" w:rsidRPr="00BF6FA4">
        <w:rPr>
          <w:rStyle w:val="FootnoteReference"/>
        </w:rPr>
        <w:footnoteReference w:id="73"/>
      </w:r>
      <w:r w:rsidR="0039678A" w:rsidRPr="00BF6FA4">
        <w:t xml:space="preserve"> </w:t>
      </w:r>
      <w:r w:rsidR="009A3826" w:rsidRPr="00BF6FA4">
        <w:t xml:space="preserve">In doing so, the Commission emphasizes that Order No. 1920’s planning reforms are focused on process, and are not intended to dictate substantive outcome. </w:t>
      </w:r>
    </w:p>
    <w:p w14:paraId="21483132" w14:textId="77777777" w:rsidR="00113647" w:rsidRPr="00BF6FA4" w:rsidRDefault="00113647" w:rsidP="00436394">
      <w:pPr>
        <w:pStyle w:val="ListParagraph"/>
        <w:jc w:val="both"/>
      </w:pPr>
    </w:p>
    <w:p w14:paraId="55F7B58E" w14:textId="10B0A881" w:rsidR="00071E32" w:rsidRPr="00BF6FA4" w:rsidRDefault="00113647" w:rsidP="009D2106">
      <w:pPr>
        <w:keepNext/>
        <w:jc w:val="both"/>
        <w:rPr>
          <w:b/>
          <w:bCs/>
          <w:u w:val="single"/>
        </w:rPr>
      </w:pPr>
      <w:r w:rsidRPr="00BF6FA4">
        <w:rPr>
          <w:b/>
          <w:bCs/>
          <w:u w:val="single"/>
        </w:rPr>
        <w:t>FERC Statutory Authority</w:t>
      </w:r>
      <w:r w:rsidR="009148C1" w:rsidRPr="00BF6FA4">
        <w:rPr>
          <w:b/>
          <w:bCs/>
          <w:u w:val="single"/>
        </w:rPr>
        <w:t xml:space="preserve"> </w:t>
      </w:r>
    </w:p>
    <w:p w14:paraId="2644335E" w14:textId="77777777" w:rsidR="00071E32" w:rsidRPr="00BF6FA4" w:rsidRDefault="00071E32" w:rsidP="009D2106">
      <w:pPr>
        <w:keepNext/>
        <w:jc w:val="both"/>
      </w:pPr>
    </w:p>
    <w:p w14:paraId="33AB3E2F" w14:textId="57658D1A" w:rsidR="009A3826" w:rsidRPr="00BF6FA4" w:rsidRDefault="0039678A" w:rsidP="009D2106">
      <w:pPr>
        <w:keepNext/>
        <w:ind w:firstLine="720"/>
        <w:jc w:val="both"/>
      </w:pPr>
      <w:r w:rsidRPr="00BF6FA4">
        <w:t>Several parties filed requests for rehearing arguing that FERC exceeded its statutory authority in Order No. 1920.</w:t>
      </w:r>
      <w:r w:rsidR="00D556E9" w:rsidRPr="00BF6FA4">
        <w:t xml:space="preserve"> Specifically, several parties argued that FERC exceeded the Commission’s authority granted in Section 206 of the FPA and unlawfully intruded into an area of regulation left to the States. </w:t>
      </w:r>
    </w:p>
    <w:p w14:paraId="3870BAA7" w14:textId="77777777" w:rsidR="009A3826" w:rsidRPr="00BF6FA4" w:rsidRDefault="009A3826" w:rsidP="00436394">
      <w:pPr>
        <w:jc w:val="both"/>
      </w:pPr>
    </w:p>
    <w:p w14:paraId="7A561BC4" w14:textId="5BB488F9" w:rsidR="009A3826" w:rsidRPr="00BF6FA4" w:rsidRDefault="00840337" w:rsidP="00340D48">
      <w:pPr>
        <w:ind w:firstLine="720"/>
        <w:jc w:val="both"/>
      </w:pPr>
      <w:r w:rsidRPr="00BF6FA4">
        <w:t>In response</w:t>
      </w:r>
      <w:r w:rsidR="00D64C88" w:rsidRPr="00BF6FA4">
        <w:t xml:space="preserve"> to arguments regarding its statutory aut</w:t>
      </w:r>
      <w:r w:rsidR="00CE2B9F" w:rsidRPr="00BF6FA4">
        <w:t>h</w:t>
      </w:r>
      <w:r w:rsidR="00D64C88" w:rsidRPr="00BF6FA4">
        <w:t>ority</w:t>
      </w:r>
      <w:r w:rsidR="009A3826" w:rsidRPr="00BF6FA4">
        <w:t>, the</w:t>
      </w:r>
      <w:r w:rsidRPr="00BF6FA4">
        <w:t xml:space="preserve"> </w:t>
      </w:r>
      <w:r w:rsidR="009A3826" w:rsidRPr="00BF6FA4">
        <w:t>Commission sustains its determination that Order No. 1920 is a valid exercise of its statutory authority under the FPA and does not unlawfully intrude into areas of reserved state authority.</w:t>
      </w:r>
      <w:r w:rsidR="00D64C88" w:rsidRPr="00BF6FA4">
        <w:t xml:space="preserve"> The Commission states that the bases for the reforms in Order No. 1920 are entirely focused on </w:t>
      </w:r>
      <w:r w:rsidR="00BF6FA4" w:rsidRPr="00BF6FA4">
        <w:t xml:space="preserve">FERC-jurisdictional </w:t>
      </w:r>
      <w:r w:rsidR="00D64C88" w:rsidRPr="00BF6FA4">
        <w:t>planning and cost allocation practices related to transmission.</w:t>
      </w:r>
      <w:r w:rsidR="00D64C88" w:rsidRPr="00BF6FA4">
        <w:rPr>
          <w:rStyle w:val="FootnoteReference"/>
        </w:rPr>
        <w:footnoteReference w:id="74"/>
      </w:r>
      <w:r w:rsidR="00D64C88" w:rsidRPr="00BF6FA4">
        <w:t xml:space="preserve"> The Commission rejects arguments that its reforms are intended to achieve substantive outcomes in the generation mix, particularly regarding its requirement to use categories of factors in </w:t>
      </w:r>
      <w:r w:rsidR="00F04FFA" w:rsidRPr="00BF6FA4">
        <w:t xml:space="preserve">LTS </w:t>
      </w:r>
      <w:r w:rsidR="00D64C88" w:rsidRPr="00BF6FA4">
        <w:t xml:space="preserve">development for planning: “the Commission is not requiring consideration of these factors in order to achieve particular outcomes in the transmission planning process, but rather acting in a responsive capacity to identify and account for the most likely variables that are relevant to effective </w:t>
      </w:r>
      <w:r w:rsidR="00BF6FA4">
        <w:t>LTRTP</w:t>
      </w:r>
      <w:r w:rsidR="00D64C88" w:rsidRPr="00BF6FA4">
        <w:t xml:space="preserve"> and ensure that those variables are considered in such planning.”</w:t>
      </w:r>
      <w:r w:rsidR="00D64C88" w:rsidRPr="00BF6FA4">
        <w:rPr>
          <w:rStyle w:val="FootnoteReference"/>
        </w:rPr>
        <w:footnoteReference w:id="75"/>
      </w:r>
    </w:p>
    <w:p w14:paraId="211363B0" w14:textId="77777777" w:rsidR="00071E32" w:rsidRPr="00BF6FA4" w:rsidRDefault="00071E32" w:rsidP="00436394">
      <w:pPr>
        <w:jc w:val="both"/>
      </w:pPr>
    </w:p>
    <w:p w14:paraId="6A7A6034" w14:textId="428A7516" w:rsidR="0058533C" w:rsidRPr="00BF6FA4" w:rsidRDefault="00CE2B9F" w:rsidP="00340D48">
      <w:pPr>
        <w:ind w:firstLine="720"/>
        <w:jc w:val="both"/>
      </w:pPr>
      <w:r w:rsidRPr="00BF6FA4">
        <w:t xml:space="preserve">The Commission also addressed arguments that, in ordering the reforms of Order No. 1920, it was acting in violation of </w:t>
      </w:r>
      <w:r w:rsidR="00BF6FA4">
        <w:t>Supreme Court</w:t>
      </w:r>
      <w:r w:rsidR="00BF6FA4" w:rsidRPr="00BF6FA4">
        <w:t xml:space="preserve"> </w:t>
      </w:r>
      <w:r w:rsidR="00BF6FA4">
        <w:t>doctrine</w:t>
      </w:r>
      <w:r w:rsidR="00BF6FA4" w:rsidRPr="00BF6FA4">
        <w:t xml:space="preserve"> </w:t>
      </w:r>
      <w:r w:rsidRPr="00BF6FA4">
        <w:t xml:space="preserve">referred to as the </w:t>
      </w:r>
      <w:r w:rsidR="007A573B" w:rsidRPr="00BF6FA4">
        <w:t>“major questions doctrine</w:t>
      </w:r>
      <w:r w:rsidR="00071E32" w:rsidRPr="00BF6FA4">
        <w:t>.</w:t>
      </w:r>
      <w:r w:rsidR="007A573B" w:rsidRPr="00BF6FA4">
        <w:t>”</w:t>
      </w:r>
      <w:r w:rsidR="00791B0F" w:rsidRPr="00BF6FA4">
        <w:rPr>
          <w:rStyle w:val="FootnoteReference"/>
        </w:rPr>
        <w:footnoteReference w:id="76"/>
      </w:r>
      <w:r w:rsidR="00071E32" w:rsidRPr="00BF6FA4">
        <w:t xml:space="preserve"> The </w:t>
      </w:r>
      <w:r w:rsidR="007A573B" w:rsidRPr="00BF6FA4">
        <w:t>Supreme Court has described the major questions doctrine as applicable only in “extraordinary cases”</w:t>
      </w:r>
      <w:r w:rsidR="003F69CC" w:rsidRPr="00BF6FA4">
        <w:t xml:space="preserve"> where an agency is construing its statutory authority on major issues in a way that is </w:t>
      </w:r>
      <w:r w:rsidRPr="00BF6FA4">
        <w:t xml:space="preserve">both </w:t>
      </w:r>
      <w:r w:rsidR="003F69CC" w:rsidRPr="00BF6FA4">
        <w:t>outside its normal sphere of authority and expertise</w:t>
      </w:r>
      <w:r w:rsidR="00F04FFA" w:rsidRPr="00BF6FA4">
        <w:t xml:space="preserve"> </w:t>
      </w:r>
      <w:r w:rsidR="00791B0F" w:rsidRPr="00BF6FA4">
        <w:t xml:space="preserve"> </w:t>
      </w:r>
      <w:r w:rsidR="0058533C" w:rsidRPr="00BF6FA4">
        <w:t>and dubious based on the text of the authorizing statutory provisions for the agency</w:t>
      </w:r>
      <w:r w:rsidR="003F69CC" w:rsidRPr="00BF6FA4">
        <w:t>.</w:t>
      </w:r>
      <w:r w:rsidR="0058533C" w:rsidRPr="00BF6FA4">
        <w:rPr>
          <w:rStyle w:val="FootnoteReference"/>
        </w:rPr>
        <w:footnoteReference w:id="77"/>
      </w:r>
      <w:r w:rsidR="00791B0F" w:rsidRPr="00BF6FA4">
        <w:t xml:space="preserve"> </w:t>
      </w:r>
      <w:r w:rsidRPr="00BF6FA4">
        <w:t>The Commission explains that i</w:t>
      </w:r>
      <w:r w:rsidR="00791B0F" w:rsidRPr="00BF6FA4">
        <w:t xml:space="preserve">n Order No. 1920, it was acting well within its core regulatory authority </w:t>
      </w:r>
      <w:r w:rsidRPr="00BF6FA4">
        <w:t>and ex</w:t>
      </w:r>
      <w:r w:rsidR="00F04FFA" w:rsidRPr="00BF6FA4">
        <w:t>p</w:t>
      </w:r>
      <w:r w:rsidRPr="00BF6FA4">
        <w:t>er</w:t>
      </w:r>
      <w:r w:rsidR="00F04FFA" w:rsidRPr="00BF6FA4">
        <w:t>t</w:t>
      </w:r>
      <w:r w:rsidRPr="00BF6FA4">
        <w:t xml:space="preserve">ise </w:t>
      </w:r>
      <w:r w:rsidR="00791B0F" w:rsidRPr="00BF6FA4">
        <w:t xml:space="preserve">under </w:t>
      </w:r>
      <w:r w:rsidRPr="00BF6FA4">
        <w:t xml:space="preserve">the </w:t>
      </w:r>
      <w:r w:rsidR="00791B0F" w:rsidRPr="00BF6FA4">
        <w:t xml:space="preserve">FPA </w:t>
      </w:r>
      <w:r w:rsidRPr="00BF6FA4">
        <w:t>to regulate practices affecting transmission rates and, therefore the major questions doctrine is not implicated</w:t>
      </w:r>
      <w:r w:rsidR="00791B0F" w:rsidRPr="00BF6FA4">
        <w:t>.</w:t>
      </w:r>
      <w:r w:rsidR="00791B0F" w:rsidRPr="00BF6FA4">
        <w:rPr>
          <w:rStyle w:val="FootnoteReference"/>
        </w:rPr>
        <w:footnoteReference w:id="78"/>
      </w:r>
      <w:r w:rsidR="003F69CC" w:rsidRPr="00BF6FA4">
        <w:t xml:space="preserve"> </w:t>
      </w:r>
      <w:r w:rsidR="00791B0F" w:rsidRPr="00BF6FA4">
        <w:t xml:space="preserve"> </w:t>
      </w:r>
    </w:p>
    <w:p w14:paraId="6F00B0B1" w14:textId="2F4CCC80" w:rsidR="003F69CC" w:rsidRPr="00BF6FA4" w:rsidRDefault="003F69CC" w:rsidP="00436394">
      <w:pPr>
        <w:jc w:val="both"/>
      </w:pPr>
    </w:p>
    <w:p w14:paraId="17FB4F82" w14:textId="78375EA0" w:rsidR="003F69CC" w:rsidRPr="00BF6FA4" w:rsidRDefault="003F69CC" w:rsidP="00436394">
      <w:pPr>
        <w:jc w:val="both"/>
        <w:rPr>
          <w:b/>
          <w:bCs/>
          <w:u w:val="single"/>
        </w:rPr>
      </w:pPr>
      <w:r w:rsidRPr="00BF6FA4">
        <w:rPr>
          <w:b/>
          <w:bCs/>
          <w:u w:val="single"/>
        </w:rPr>
        <w:t>Sufficiency of Notice</w:t>
      </w:r>
      <w:r w:rsidR="005024E2" w:rsidRPr="00BF6FA4">
        <w:rPr>
          <w:b/>
          <w:bCs/>
          <w:u w:val="single"/>
        </w:rPr>
        <w:t xml:space="preserve">: </w:t>
      </w:r>
      <w:r w:rsidR="009113B8" w:rsidRPr="00BF6FA4">
        <w:rPr>
          <w:b/>
          <w:bCs/>
          <w:u w:val="single"/>
        </w:rPr>
        <w:t>Order No. 1920 as a “Logical Outgrowth” of the Notice of Proposed Rulemaking</w:t>
      </w:r>
    </w:p>
    <w:p w14:paraId="4E035D80" w14:textId="77777777" w:rsidR="00071E32" w:rsidRPr="00BF6FA4" w:rsidRDefault="00071E32" w:rsidP="00436394">
      <w:pPr>
        <w:jc w:val="both"/>
      </w:pPr>
    </w:p>
    <w:p w14:paraId="674A04B3" w14:textId="130A93A1" w:rsidR="003F69CC" w:rsidRPr="00BF6FA4" w:rsidRDefault="00791B0F" w:rsidP="00340D48">
      <w:pPr>
        <w:ind w:firstLine="720"/>
        <w:jc w:val="both"/>
      </w:pPr>
      <w:r w:rsidRPr="00BF6FA4">
        <w:t>Throughout the Order, FERC</w:t>
      </w:r>
      <w:r w:rsidR="003F69CC" w:rsidRPr="00BF6FA4">
        <w:t xml:space="preserve"> addresse</w:t>
      </w:r>
      <w:r w:rsidRPr="00BF6FA4">
        <w:t>s</w:t>
      </w:r>
      <w:r w:rsidR="003F69CC" w:rsidRPr="00BF6FA4">
        <w:t xml:space="preserve"> multiple arguments that </w:t>
      </w:r>
      <w:r w:rsidRPr="00BF6FA4">
        <w:t xml:space="preserve">it </w:t>
      </w:r>
      <w:r w:rsidR="00D55084" w:rsidRPr="00BF6FA4">
        <w:t xml:space="preserve">failed to </w:t>
      </w:r>
      <w:r w:rsidR="003F69CC" w:rsidRPr="00BF6FA4">
        <w:t>provide adequate notice</w:t>
      </w:r>
      <w:r w:rsidR="00F04FFA" w:rsidRPr="00BF6FA4">
        <w:t xml:space="preserve"> as required under the </w:t>
      </w:r>
      <w:r w:rsidR="00BF6FA4" w:rsidRPr="00BF6FA4">
        <w:t>Administrative</w:t>
      </w:r>
      <w:r w:rsidR="00F04FFA" w:rsidRPr="00BF6FA4">
        <w:t xml:space="preserve"> Procedure Act (APA)</w:t>
      </w:r>
      <w:r w:rsidR="003F69CC" w:rsidRPr="00BF6FA4">
        <w:t xml:space="preserve"> in its </w:t>
      </w:r>
      <w:r w:rsidRPr="00BF6FA4">
        <w:t>Notice of Proposed Rulemaking (NOPR)</w:t>
      </w:r>
      <w:r w:rsidR="003F69CC" w:rsidRPr="00BF6FA4">
        <w:t xml:space="preserve">. </w:t>
      </w:r>
      <w:r w:rsidR="005024E2" w:rsidRPr="00BF6FA4">
        <w:t xml:space="preserve">The dispositive question in assessing the adequacy of notice under the APA is whether an agency’s final rule is a </w:t>
      </w:r>
      <w:r w:rsidR="00BF6FA4">
        <w:t>“</w:t>
      </w:r>
      <w:r w:rsidR="005024E2" w:rsidRPr="00BF6FA4">
        <w:t>logical outgrowth</w:t>
      </w:r>
      <w:r w:rsidR="00BF6FA4">
        <w:t>”</w:t>
      </w:r>
      <w:r w:rsidR="005024E2" w:rsidRPr="00BF6FA4">
        <w:t xml:space="preserve"> of an earlier request for comment in a rulemaking proceeding. </w:t>
      </w:r>
      <w:r w:rsidR="003F69CC" w:rsidRPr="00BF6FA4">
        <w:t xml:space="preserve">The Commission </w:t>
      </w:r>
      <w:r w:rsidR="00BF6FA4" w:rsidRPr="00BF6FA4">
        <w:t>defend</w:t>
      </w:r>
      <w:r w:rsidR="00BF6FA4">
        <w:t>s</w:t>
      </w:r>
      <w:r w:rsidR="00BF6FA4" w:rsidRPr="00BF6FA4">
        <w:t xml:space="preserve"> </w:t>
      </w:r>
      <w:r w:rsidR="005024E2" w:rsidRPr="00BF6FA4">
        <w:t xml:space="preserve">the adequacy of notice of its reforms by </w:t>
      </w:r>
      <w:r w:rsidR="00D55084" w:rsidRPr="00BF6FA4">
        <w:t xml:space="preserve">relying on court precedent and </w:t>
      </w:r>
      <w:r w:rsidR="003F69CC" w:rsidRPr="00BF6FA4">
        <w:t>explaining how the challenged requirements of the final rule</w:t>
      </w:r>
      <w:r w:rsidR="003E1571" w:rsidRPr="00BF6FA4">
        <w:t>, or the absence of certain requirements,</w:t>
      </w:r>
      <w:r w:rsidR="003F69CC" w:rsidRPr="00BF6FA4">
        <w:t xml:space="preserve"> were the </w:t>
      </w:r>
      <w:r w:rsidRPr="00BF6FA4">
        <w:t>“</w:t>
      </w:r>
      <w:r w:rsidR="003F69CC" w:rsidRPr="00BF6FA4">
        <w:t>logical outgrowth</w:t>
      </w:r>
      <w:r w:rsidRPr="00BF6FA4">
        <w:t>”</w:t>
      </w:r>
      <w:r w:rsidR="003F69CC" w:rsidRPr="00BF6FA4">
        <w:t xml:space="preserve"> of the proposals and discussion in the NOPR</w:t>
      </w:r>
      <w:r w:rsidR="00F04FFA" w:rsidRPr="00BF6FA4">
        <w:t>,</w:t>
      </w:r>
      <w:r w:rsidRPr="00BF6FA4">
        <w:t xml:space="preserve"> and therefore did not violate the notice and comment requirement</w:t>
      </w:r>
      <w:r w:rsidR="003E1571" w:rsidRPr="00BF6FA4">
        <w:t>s</w:t>
      </w:r>
      <w:r w:rsidRPr="00BF6FA4">
        <w:t xml:space="preserve"> of the</w:t>
      </w:r>
      <w:r w:rsidR="00F04FFA" w:rsidRPr="00BF6FA4">
        <w:t xml:space="preserve"> APA</w:t>
      </w:r>
      <w:r w:rsidR="003F69CC" w:rsidRPr="00BF6FA4">
        <w:t>.</w:t>
      </w:r>
      <w:r w:rsidR="003E1571" w:rsidRPr="00BF6FA4">
        <w:rPr>
          <w:rStyle w:val="FootnoteReference"/>
        </w:rPr>
        <w:footnoteReference w:id="79"/>
      </w:r>
      <w:r w:rsidR="003F69CC" w:rsidRPr="00BF6FA4">
        <w:t xml:space="preserve"> </w:t>
      </w:r>
      <w:r w:rsidRPr="00BF6FA4">
        <w:t xml:space="preserve"> </w:t>
      </w:r>
    </w:p>
    <w:p w14:paraId="66A51FB8" w14:textId="77777777" w:rsidR="003F69CC" w:rsidRPr="00BF6FA4" w:rsidRDefault="003F69CC" w:rsidP="00436394">
      <w:pPr>
        <w:jc w:val="both"/>
      </w:pPr>
    </w:p>
    <w:p w14:paraId="07C8A274" w14:textId="768510E5" w:rsidR="00E91111" w:rsidRPr="00BF6FA4" w:rsidRDefault="00E91111" w:rsidP="00436394">
      <w:pPr>
        <w:pStyle w:val="Heading1"/>
        <w:spacing w:before="0" w:after="240"/>
        <w:jc w:val="both"/>
        <w:rPr>
          <w:rFonts w:ascii="Times New Roman" w:hAnsi="Times New Roman" w:cs="Times New Roman"/>
          <w:sz w:val="24"/>
          <w:szCs w:val="24"/>
        </w:rPr>
      </w:pPr>
      <w:r w:rsidRPr="00BF6FA4">
        <w:rPr>
          <w:rFonts w:ascii="Times New Roman" w:hAnsi="Times New Roman" w:cs="Times New Roman"/>
          <w:sz w:val="24"/>
          <w:szCs w:val="24"/>
        </w:rPr>
        <w:t>Long-Term Regional Transmission Planning</w:t>
      </w:r>
    </w:p>
    <w:p w14:paraId="16CDC389" w14:textId="4767B768" w:rsidR="003D0CDB" w:rsidRPr="00BF6FA4" w:rsidRDefault="001E0E70" w:rsidP="00340D48">
      <w:pPr>
        <w:spacing w:after="240"/>
        <w:jc w:val="both"/>
      </w:pPr>
      <w:r w:rsidRPr="00BF6FA4">
        <w:rPr>
          <w:b/>
          <w:bCs/>
          <w:u w:val="single"/>
        </w:rPr>
        <w:t>Requirement to Participate in LTRT</w:t>
      </w:r>
      <w:r w:rsidR="00EB4204" w:rsidRPr="00103AEB">
        <w:rPr>
          <w:b/>
          <w:bCs/>
          <w:u w:val="single"/>
        </w:rPr>
        <w:t>P and Existing Processes</w:t>
      </w:r>
    </w:p>
    <w:p w14:paraId="1C69D305" w14:textId="7B5D9DAD" w:rsidR="00E91111" w:rsidRPr="00BF6FA4" w:rsidRDefault="001E0E70" w:rsidP="00436394">
      <w:pPr>
        <w:spacing w:after="240"/>
        <w:ind w:firstLine="720"/>
        <w:jc w:val="both"/>
      </w:pPr>
      <w:r w:rsidRPr="00BF6FA4">
        <w:t>Order No. 1920 require</w:t>
      </w:r>
      <w:r w:rsidR="003F69CC" w:rsidRPr="00BF6FA4">
        <w:t>s</w:t>
      </w:r>
      <w:r w:rsidRPr="00BF6FA4">
        <w:t xml:space="preserve"> </w:t>
      </w:r>
      <w:r w:rsidR="00B83B6E" w:rsidRPr="00BF6FA4">
        <w:t>TPs</w:t>
      </w:r>
      <w:r w:rsidRPr="00BF6FA4">
        <w:t xml:space="preserve"> in each transmission planning region to participate in a regional transmission planning process that includes LTRTP, meaning regional transmission planning on a sufficiently long-term, forward-looking, and comprehensive basis to identify Long-Term Transmission Needs, identify transmission facilities that meet such needs, measure the benefits of those transmission facilities, and evaluate those transmission facilities for potential selection in the regional transmission plan for purposes of cost allocation as the more efficient or cost-effective transmission facilities to meet Long-Term Transmission Needs.</w:t>
      </w:r>
      <w:r w:rsidRPr="00BF6FA4">
        <w:rPr>
          <w:rStyle w:val="FootnoteReference"/>
        </w:rPr>
        <w:footnoteReference w:id="80"/>
      </w:r>
      <w:r w:rsidRPr="00BF6FA4">
        <w:t xml:space="preserve"> </w:t>
      </w:r>
      <w:r w:rsidR="008E697F" w:rsidRPr="00BF6FA4">
        <w:t>FERC</w:t>
      </w:r>
      <w:r w:rsidRPr="00BF6FA4">
        <w:t xml:space="preserve"> required that </w:t>
      </w:r>
      <w:r w:rsidR="00BF6FA4">
        <w:t>LTRTP</w:t>
      </w:r>
      <w:r w:rsidRPr="00BF6FA4">
        <w:t xml:space="preserve"> comply with the following Order Nos. 890 and 1000 transmission planning principles:</w:t>
      </w:r>
      <w:r w:rsidR="00B83B6E" w:rsidRPr="00BF6FA4">
        <w:t xml:space="preserve"> </w:t>
      </w:r>
      <w:r w:rsidRPr="00BF6FA4">
        <w:t>(1) coordination; (2) openness; (3) transparency; (4) information exchange; (5) comparability; and (6) dispute resolution.</w:t>
      </w:r>
      <w:r w:rsidRPr="00BF6FA4">
        <w:rPr>
          <w:rStyle w:val="FootnoteReference"/>
        </w:rPr>
        <w:footnoteReference w:id="81"/>
      </w:r>
      <w:r w:rsidRPr="00BF6FA4">
        <w:t xml:space="preserve"> </w:t>
      </w:r>
      <w:r w:rsidR="00D15561" w:rsidRPr="00BF6FA4">
        <w:t>TPs</w:t>
      </w:r>
      <w:r w:rsidRPr="00BF6FA4">
        <w:t xml:space="preserve"> may may continue to rely on their existing regional transmission planning and cost allocation processes to comply with Order No. 1000’s requirements related to transmission needs driven by reliability concerns or economic considerations.</w:t>
      </w:r>
      <w:r w:rsidRPr="00BF6FA4">
        <w:rPr>
          <w:rStyle w:val="FootnoteReference"/>
        </w:rPr>
        <w:footnoteReference w:id="82"/>
      </w:r>
    </w:p>
    <w:p w14:paraId="3405C334" w14:textId="493D4D8F" w:rsidR="001E0E70" w:rsidRPr="00BF6FA4" w:rsidRDefault="00BF6FA4" w:rsidP="00436394">
      <w:pPr>
        <w:spacing w:after="240"/>
        <w:ind w:firstLine="720"/>
        <w:jc w:val="both"/>
      </w:pPr>
      <w:r>
        <w:t xml:space="preserve">FERC finds that </w:t>
      </w:r>
      <w:r w:rsidRPr="00BF6FA4">
        <w:t>TPs may may continue to rely on their existing regional transmission planning and cost allocation processes to comply with Order No. 1000’s requirements related to transmission needs driven by reliability concerns or economic considerations.</w:t>
      </w:r>
      <w:r w:rsidRPr="00BF6FA4">
        <w:rPr>
          <w:rStyle w:val="FootnoteReference"/>
        </w:rPr>
        <w:footnoteReference w:id="83"/>
      </w:r>
      <w:r>
        <w:t xml:space="preserve"> </w:t>
      </w:r>
      <w:r w:rsidR="00B83B6E" w:rsidRPr="00BF6FA4">
        <w:t>With respect to existing transmission planning processes</w:t>
      </w:r>
      <w:r w:rsidR="00D15561" w:rsidRPr="00BF6FA4">
        <w:t xml:space="preserve"> for public policy requirements</w:t>
      </w:r>
      <w:r w:rsidR="00B83B6E" w:rsidRPr="00BF6FA4">
        <w:t xml:space="preserve">, </w:t>
      </w:r>
      <w:r w:rsidR="008E697F" w:rsidRPr="00BF6FA4">
        <w:t>FERC</w:t>
      </w:r>
      <w:r w:rsidR="00B83B6E" w:rsidRPr="00BF6FA4">
        <w:t xml:space="preserve"> </w:t>
      </w:r>
      <w:r w:rsidRPr="00BF6FA4">
        <w:t>reject</w:t>
      </w:r>
      <w:r>
        <w:t>s</w:t>
      </w:r>
      <w:r w:rsidRPr="00BF6FA4">
        <w:t xml:space="preserve"> </w:t>
      </w:r>
      <w:r w:rsidR="00B83B6E" w:rsidRPr="00BF6FA4">
        <w:t xml:space="preserve">arguments that </w:t>
      </w:r>
      <w:r>
        <w:t>it</w:t>
      </w:r>
      <w:r w:rsidRPr="00BF6FA4">
        <w:t xml:space="preserve"> </w:t>
      </w:r>
      <w:r w:rsidR="00B83B6E" w:rsidRPr="00BF6FA4">
        <w:t xml:space="preserve">should </w:t>
      </w:r>
      <w:r w:rsidR="001E0E70" w:rsidRPr="00BF6FA4">
        <w:t xml:space="preserve">presume the existing regional transmission planning and cost allocation processes that </w:t>
      </w:r>
      <w:r w:rsidR="00D15561" w:rsidRPr="00BF6FA4">
        <w:t>TPs</w:t>
      </w:r>
      <w:r w:rsidR="001E0E70" w:rsidRPr="00BF6FA4">
        <w:t xml:space="preserve"> use to consider transmission needs driven by Public Policy Requirements to be just and reasonable.</w:t>
      </w:r>
      <w:r w:rsidR="00B83B6E" w:rsidRPr="00BF6FA4">
        <w:rPr>
          <w:rStyle w:val="FootnoteReference"/>
        </w:rPr>
        <w:footnoteReference w:id="84"/>
      </w:r>
      <w:r w:rsidR="001E0E70" w:rsidRPr="00BF6FA4">
        <w:t xml:space="preserve"> </w:t>
      </w:r>
      <w:r w:rsidR="00714A42">
        <w:t>TPs that wish to continue to use some or all of their existing regional transmission planning and cost allocation processes to consider transmission needs driven by Public Policy Requirements must demonstrate that continued use of such processes does not interfere with LTRTP.</w:t>
      </w:r>
      <w:r w:rsidR="00714A42">
        <w:rPr>
          <w:rStyle w:val="FootnoteReference"/>
        </w:rPr>
        <w:footnoteReference w:id="85"/>
      </w:r>
      <w:r w:rsidR="00714A42">
        <w:t xml:space="preserve"> </w:t>
      </w:r>
      <w:r w:rsidR="001E0E70" w:rsidRPr="00BF6FA4">
        <w:t xml:space="preserve">Order No. 1920 allows </w:t>
      </w:r>
      <w:r w:rsidR="00D15561" w:rsidRPr="00BF6FA4">
        <w:t>TPs</w:t>
      </w:r>
      <w:r w:rsidR="001E0E70" w:rsidRPr="00BF6FA4">
        <w:t xml:space="preserve"> to propose a regional transmission planning process that simultaneously plans for shorter-term reliability and economic transmission needs, as well as Long-Term Transmission Needs, through a combined process, and that </w:t>
      </w:r>
      <w:r w:rsidR="00D15561" w:rsidRPr="00BF6FA4">
        <w:t>TPs</w:t>
      </w:r>
      <w:r w:rsidR="001E0E70" w:rsidRPr="00BF6FA4">
        <w:t xml:space="preserve"> proposing to address all of these transmission needs in a single regional transmission planning process must demonstrate that the combined regional transmission planning process continues to comply with Order No. 1000,</w:t>
      </w:r>
      <w:r w:rsidR="001E0E70" w:rsidRPr="00BF6FA4" w:rsidDel="00B25744">
        <w:t xml:space="preserve"> </w:t>
      </w:r>
      <w:r w:rsidR="001E0E70" w:rsidRPr="00BF6FA4">
        <w:t xml:space="preserve">as well as with the </w:t>
      </w:r>
      <w:r w:rsidR="00EB4204" w:rsidRPr="00BF6FA4">
        <w:t xml:space="preserve">LTRTP </w:t>
      </w:r>
      <w:r w:rsidR="001E0E70" w:rsidRPr="00BF6FA4">
        <w:t>requirements set forth in Order No. 1920, by demonstrating that such a combined process is consistent with or superior to the requirements of both Order No. 1000 and Order No. 1920.</w:t>
      </w:r>
      <w:r w:rsidR="00B83B6E" w:rsidRPr="00BF6FA4">
        <w:rPr>
          <w:rStyle w:val="FootnoteReference"/>
        </w:rPr>
        <w:footnoteReference w:id="86"/>
      </w:r>
    </w:p>
    <w:p w14:paraId="4EFC942F" w14:textId="17491BFA" w:rsidR="003F69CC" w:rsidRPr="00BF6FA4" w:rsidRDefault="003D0CDB" w:rsidP="00EB4204">
      <w:pPr>
        <w:spacing w:after="240"/>
        <w:ind w:firstLine="720"/>
        <w:jc w:val="both"/>
      </w:pPr>
      <w:r w:rsidRPr="00BF6FA4">
        <w:t xml:space="preserve">The Commission </w:t>
      </w:r>
      <w:r w:rsidR="00EB4204" w:rsidRPr="00BF6FA4">
        <w:t xml:space="preserve">also </w:t>
      </w:r>
      <w:r w:rsidRPr="00BF6FA4">
        <w:t xml:space="preserve">makes clear </w:t>
      </w:r>
      <w:r w:rsidR="00BA1CB6" w:rsidRPr="00BF6FA4">
        <w:t xml:space="preserve">that </w:t>
      </w:r>
      <w:r w:rsidR="00BA1CB6" w:rsidRPr="00BF6FA4">
        <w:rPr>
          <w:b/>
          <w:bCs/>
        </w:rPr>
        <w:t xml:space="preserve">Order No. 1920 </w:t>
      </w:r>
      <w:r w:rsidR="003F69CC" w:rsidRPr="00BF6FA4">
        <w:rPr>
          <w:b/>
          <w:bCs/>
        </w:rPr>
        <w:t xml:space="preserve">does not require </w:t>
      </w:r>
      <w:r w:rsidR="00BA1CB6" w:rsidRPr="00BF6FA4">
        <w:rPr>
          <w:b/>
          <w:bCs/>
        </w:rPr>
        <w:t>re-</w:t>
      </w:r>
      <w:r w:rsidR="003F69CC" w:rsidRPr="00BF6FA4">
        <w:rPr>
          <w:b/>
          <w:bCs/>
        </w:rPr>
        <w:t>justification of</w:t>
      </w:r>
      <w:r w:rsidR="00BA1CB6" w:rsidRPr="00BF6FA4">
        <w:rPr>
          <w:b/>
          <w:bCs/>
        </w:rPr>
        <w:t xml:space="preserve"> </w:t>
      </w:r>
      <w:r w:rsidR="00EB4204" w:rsidRPr="00BF6FA4">
        <w:rPr>
          <w:b/>
          <w:bCs/>
        </w:rPr>
        <w:t xml:space="preserve">existing </w:t>
      </w:r>
      <w:r w:rsidR="003F69CC" w:rsidRPr="00BF6FA4">
        <w:rPr>
          <w:b/>
          <w:bCs/>
        </w:rPr>
        <w:t>supplemental transmission planning processes</w:t>
      </w:r>
      <w:r w:rsidR="003F69CC" w:rsidRPr="00BF6FA4">
        <w:t>, such as the PJM State Agreement Ap</w:t>
      </w:r>
      <w:r w:rsidR="00BA1CB6" w:rsidRPr="00BF6FA4">
        <w:t>p</w:t>
      </w:r>
      <w:r w:rsidR="003F69CC" w:rsidRPr="00BF6FA4">
        <w:t xml:space="preserve">roach or the New England </w:t>
      </w:r>
      <w:r w:rsidR="001616E7">
        <w:t xml:space="preserve">LTTP </w:t>
      </w:r>
      <w:r w:rsidR="003F69CC" w:rsidRPr="00BF6FA4">
        <w:t>provisions</w:t>
      </w:r>
      <w:r w:rsidR="00BA1CB6" w:rsidRPr="00BF6FA4">
        <w:t>, unless such processes are proposed to be used in place of the LTRTP requirements.</w:t>
      </w:r>
      <w:r w:rsidR="00BA1CB6" w:rsidRPr="00BF6FA4">
        <w:rPr>
          <w:rStyle w:val="FootnoteReference"/>
        </w:rPr>
        <w:footnoteReference w:id="87"/>
      </w:r>
      <w:r w:rsidR="00BA1CB6" w:rsidRPr="00BF6FA4">
        <w:t xml:space="preserve">  </w:t>
      </w:r>
    </w:p>
    <w:p w14:paraId="001CC3F9" w14:textId="6F4CE788" w:rsidR="001E0E70" w:rsidRPr="00BF6FA4" w:rsidRDefault="00E0791D" w:rsidP="00436394">
      <w:pPr>
        <w:spacing w:after="240"/>
        <w:ind w:firstLine="720"/>
        <w:jc w:val="both"/>
        <w:rPr>
          <w:u w:val="single"/>
        </w:rPr>
      </w:pPr>
      <w:r w:rsidRPr="00BF6FA4">
        <w:rPr>
          <w:b/>
          <w:bCs/>
          <w:u w:val="single"/>
        </w:rPr>
        <w:t>Long-Term Scenarios</w:t>
      </w:r>
      <w:r w:rsidR="00EB4204" w:rsidRPr="00BF6FA4">
        <w:rPr>
          <w:b/>
          <w:bCs/>
          <w:u w:val="single"/>
        </w:rPr>
        <w:t xml:space="preserve"> Requirements</w:t>
      </w:r>
    </w:p>
    <w:p w14:paraId="34C3A001" w14:textId="6801DF4A" w:rsidR="00E0791D" w:rsidRPr="00BF6FA4" w:rsidRDefault="008857BE" w:rsidP="00103AEB">
      <w:pPr>
        <w:spacing w:after="240"/>
        <w:ind w:firstLine="720"/>
        <w:jc w:val="both"/>
      </w:pPr>
      <w:r>
        <w:rPr>
          <w:b/>
          <w:bCs/>
          <w:i/>
          <w:iCs/>
        </w:rPr>
        <w:t>Use</w:t>
      </w:r>
      <w:r w:rsidR="00EB4204" w:rsidRPr="00BF6FA4">
        <w:rPr>
          <w:b/>
          <w:bCs/>
          <w:i/>
          <w:iCs/>
        </w:rPr>
        <w:t xml:space="preserve"> of </w:t>
      </w:r>
      <w:r>
        <w:rPr>
          <w:b/>
          <w:bCs/>
          <w:i/>
          <w:iCs/>
        </w:rPr>
        <w:t>S</w:t>
      </w:r>
      <w:r w:rsidR="00EB4204" w:rsidRPr="00BF6FA4">
        <w:rPr>
          <w:b/>
          <w:bCs/>
          <w:i/>
          <w:iCs/>
        </w:rPr>
        <w:t xml:space="preserve">even </w:t>
      </w:r>
      <w:r>
        <w:rPr>
          <w:b/>
          <w:bCs/>
          <w:i/>
          <w:iCs/>
        </w:rPr>
        <w:t>R</w:t>
      </w:r>
      <w:r w:rsidR="00EB4204" w:rsidRPr="00BF6FA4">
        <w:rPr>
          <w:b/>
          <w:bCs/>
          <w:i/>
          <w:iCs/>
        </w:rPr>
        <w:t xml:space="preserve">equired </w:t>
      </w:r>
      <w:r>
        <w:rPr>
          <w:b/>
          <w:bCs/>
          <w:i/>
          <w:iCs/>
        </w:rPr>
        <w:t>B</w:t>
      </w:r>
      <w:r w:rsidR="00EB4204" w:rsidRPr="00BF6FA4">
        <w:rPr>
          <w:b/>
          <w:bCs/>
          <w:i/>
          <w:iCs/>
        </w:rPr>
        <w:t xml:space="preserve">enefits to </w:t>
      </w:r>
      <w:r>
        <w:rPr>
          <w:b/>
          <w:bCs/>
          <w:i/>
          <w:iCs/>
        </w:rPr>
        <w:t>D</w:t>
      </w:r>
      <w:r w:rsidR="00EB4204" w:rsidRPr="00BF6FA4">
        <w:rPr>
          <w:b/>
          <w:bCs/>
          <w:i/>
          <w:iCs/>
        </w:rPr>
        <w:t>etermine Long-Term Transmission Needs</w:t>
      </w:r>
      <w:r w:rsidR="00714A42">
        <w:t>.</w:t>
      </w:r>
      <w:r w:rsidR="00EB4204" w:rsidRPr="00BF6FA4">
        <w:t xml:space="preserve"> </w:t>
      </w:r>
      <w:r w:rsidR="00994C0A" w:rsidRPr="00BF6FA4">
        <w:t xml:space="preserve">Regarding identification of Long-Term Transmission </w:t>
      </w:r>
      <w:r w:rsidR="00EB4204" w:rsidRPr="00BF6FA4">
        <w:t>N</w:t>
      </w:r>
      <w:r w:rsidR="00994C0A" w:rsidRPr="00BF6FA4">
        <w:t>eeds, the Commission</w:t>
      </w:r>
      <w:r w:rsidR="00E0791D" w:rsidRPr="00BF6FA4">
        <w:t xml:space="preserve"> agreed with certain of the rehearing arguments </w:t>
      </w:r>
      <w:r w:rsidR="00D15561" w:rsidRPr="00BF6FA4">
        <w:t xml:space="preserve">and </w:t>
      </w:r>
      <w:r w:rsidR="00D15561" w:rsidRPr="00BF6FA4">
        <w:rPr>
          <w:b/>
          <w:bCs/>
        </w:rPr>
        <w:t>set</w:t>
      </w:r>
      <w:r w:rsidR="00E0791D" w:rsidRPr="00BF6FA4">
        <w:rPr>
          <w:b/>
          <w:bCs/>
        </w:rPr>
        <w:t xml:space="preserve"> aside the requirement for </w:t>
      </w:r>
      <w:r w:rsidR="00D15561" w:rsidRPr="00BF6FA4">
        <w:rPr>
          <w:b/>
          <w:bCs/>
        </w:rPr>
        <w:t>TPs</w:t>
      </w:r>
      <w:r w:rsidR="00E0791D" w:rsidRPr="00BF6FA4">
        <w:rPr>
          <w:b/>
          <w:bCs/>
        </w:rPr>
        <w:t xml:space="preserve"> to use the set of seven required </w:t>
      </w:r>
      <w:r w:rsidR="00E0791D" w:rsidRPr="00BF6FA4">
        <w:rPr>
          <w:b/>
          <w:bCs/>
          <w:i/>
          <w:iCs/>
        </w:rPr>
        <w:t>benefits</w:t>
      </w:r>
      <w:r w:rsidR="00E0791D" w:rsidRPr="00BF6FA4">
        <w:rPr>
          <w:b/>
          <w:bCs/>
        </w:rPr>
        <w:t xml:space="preserve"> to help inform their identification of Long-Term Transmission Needs</w:t>
      </w:r>
      <w:r w:rsidR="00D15561" w:rsidRPr="00BF6FA4">
        <w:t xml:space="preserve"> due largely to the difficulty TPs may have in implementing this requirement</w:t>
      </w:r>
      <w:r w:rsidR="00E0791D" w:rsidRPr="00BF6FA4">
        <w:t>.</w:t>
      </w:r>
      <w:r w:rsidR="00D15561" w:rsidRPr="00BF6FA4">
        <w:rPr>
          <w:rStyle w:val="FootnoteReference"/>
        </w:rPr>
        <w:footnoteReference w:id="88"/>
      </w:r>
      <w:r w:rsidR="00E0791D" w:rsidRPr="00BF6FA4">
        <w:t xml:space="preserve"> </w:t>
      </w:r>
      <w:r w:rsidR="00EB4204" w:rsidRPr="00BF6FA4">
        <w:t>TPs will still use seven Factor Categories in their LTS to identify Long-Term Transmission Needs</w:t>
      </w:r>
      <w:r w:rsidR="00F04FFA" w:rsidRPr="00BF6FA4">
        <w:t xml:space="preserve"> but will not need to use the benefits to assess needs</w:t>
      </w:r>
      <w:r w:rsidR="00EB4204" w:rsidRPr="00BF6FA4">
        <w:t>.</w:t>
      </w:r>
      <w:r w:rsidR="00B75DD2">
        <w:rPr>
          <w:rStyle w:val="FootnoteReference"/>
        </w:rPr>
        <w:footnoteReference w:id="89"/>
      </w:r>
    </w:p>
    <w:p w14:paraId="2C541ECE" w14:textId="6F0E356D" w:rsidR="00E0791D" w:rsidRPr="00BF6FA4" w:rsidRDefault="00E0791D" w:rsidP="00103AEB">
      <w:pPr>
        <w:spacing w:after="240"/>
        <w:ind w:firstLine="720"/>
        <w:jc w:val="both"/>
      </w:pPr>
      <w:r w:rsidRPr="00BF6FA4">
        <w:rPr>
          <w:b/>
          <w:bCs/>
          <w:i/>
          <w:iCs/>
        </w:rPr>
        <w:t>Transmission Planning Horizon.</w:t>
      </w:r>
      <w:r w:rsidRPr="00BF6FA4">
        <w:t xml:space="preserve"> In Order No. 1920, </w:t>
      </w:r>
      <w:r w:rsidR="008E697F" w:rsidRPr="00BF6FA4">
        <w:t>FERC</w:t>
      </w:r>
      <w:r w:rsidRPr="00BF6FA4">
        <w:t xml:space="preserve"> required </w:t>
      </w:r>
      <w:r w:rsidR="00E86711" w:rsidRPr="00BF6FA4">
        <w:t>TPs</w:t>
      </w:r>
      <w:r w:rsidRPr="00BF6FA4">
        <w:t xml:space="preserve"> to develop </w:t>
      </w:r>
      <w:r w:rsidR="00D15561" w:rsidRPr="00BF6FA4">
        <w:t>LTS</w:t>
      </w:r>
      <w:r w:rsidRPr="00BF6FA4">
        <w:t xml:space="preserve"> as part of </w:t>
      </w:r>
      <w:r w:rsidR="00D15561" w:rsidRPr="00BF6FA4">
        <w:t xml:space="preserve">LTRTP </w:t>
      </w:r>
      <w:r w:rsidRPr="00BF6FA4">
        <w:t>using no less than a 20-year transmission planning horizon.</w:t>
      </w:r>
      <w:r w:rsidR="00D15561" w:rsidRPr="00BF6FA4">
        <w:rPr>
          <w:rStyle w:val="FootnoteReference"/>
        </w:rPr>
        <w:footnoteReference w:id="90"/>
      </w:r>
      <w:r w:rsidRPr="00BF6FA4">
        <w:t xml:space="preserve"> Order No. 1920-A sustains this requirement and continues to find that with the tools and safeguards in place, Order No. 1920 allows for </w:t>
      </w:r>
      <w:r w:rsidR="00D15561" w:rsidRPr="00BF6FA4">
        <w:t>TPs</w:t>
      </w:r>
      <w:r w:rsidRPr="00BF6FA4">
        <w:t xml:space="preserve"> to manage uncertainty while avoiding over-building in response to speculative needs.</w:t>
      </w:r>
      <w:r w:rsidR="00EB4204" w:rsidRPr="00BF6FA4">
        <w:rPr>
          <w:rStyle w:val="FootnoteReference"/>
        </w:rPr>
        <w:footnoteReference w:id="91"/>
      </w:r>
      <w:r w:rsidR="00EB4204" w:rsidRPr="00BF6FA4">
        <w:t xml:space="preserve"> Additionally, the Commission clarifies that its requirement for TP consultation with Relevant State Entities regarding state public policy requirements used in the LTS will mitigate the potential for building speculative transmission.</w:t>
      </w:r>
      <w:r w:rsidR="00EB4204" w:rsidRPr="00BF6FA4">
        <w:rPr>
          <w:rStyle w:val="FootnoteReference"/>
        </w:rPr>
        <w:footnoteReference w:id="92"/>
      </w:r>
    </w:p>
    <w:p w14:paraId="64995190" w14:textId="18EA58F8" w:rsidR="00940DF8" w:rsidRPr="00BF6FA4" w:rsidRDefault="002763DD" w:rsidP="00103AEB">
      <w:pPr>
        <w:spacing w:after="240"/>
        <w:ind w:firstLine="720"/>
        <w:jc w:val="both"/>
      </w:pPr>
      <w:r w:rsidRPr="00BF6FA4">
        <w:rPr>
          <w:b/>
          <w:bCs/>
          <w:i/>
          <w:iCs/>
        </w:rPr>
        <w:t>Frequency of LTS Revisions</w:t>
      </w:r>
      <w:r w:rsidR="00F04FFA" w:rsidRPr="00BF6FA4">
        <w:rPr>
          <w:b/>
          <w:bCs/>
          <w:i/>
          <w:iCs/>
        </w:rPr>
        <w:t xml:space="preserve"> and Flexibility</w:t>
      </w:r>
      <w:r w:rsidRPr="00BF6FA4">
        <w:rPr>
          <w:b/>
          <w:bCs/>
          <w:i/>
          <w:iCs/>
        </w:rPr>
        <w:t xml:space="preserve">. </w:t>
      </w:r>
      <w:r w:rsidRPr="00BF6FA4">
        <w:t xml:space="preserve">In Order No. 1920, </w:t>
      </w:r>
      <w:r w:rsidR="00F04FFA" w:rsidRPr="00BF6FA4">
        <w:t xml:space="preserve">the Commission </w:t>
      </w:r>
      <w:r w:rsidRPr="00BF6FA4">
        <w:t xml:space="preserve">required </w:t>
      </w:r>
      <w:r w:rsidR="00E86711" w:rsidRPr="00BF6FA4">
        <w:t>TPs</w:t>
      </w:r>
      <w:r w:rsidRPr="00BF6FA4">
        <w:t xml:space="preserve"> to reassess and revise the </w:t>
      </w:r>
      <w:r w:rsidR="00D15561" w:rsidRPr="00BF6FA4">
        <w:t>LTS</w:t>
      </w:r>
      <w:r w:rsidRPr="00BF6FA4">
        <w:t xml:space="preserve"> they use in </w:t>
      </w:r>
      <w:r w:rsidR="00EB4204" w:rsidRPr="00BF6FA4">
        <w:t xml:space="preserve">LTRTP </w:t>
      </w:r>
      <w:r w:rsidRPr="00BF6FA4">
        <w:t>at least once every five years.</w:t>
      </w:r>
      <w:r w:rsidR="00D15561" w:rsidRPr="00BF6FA4">
        <w:rPr>
          <w:rStyle w:val="FootnoteReference"/>
        </w:rPr>
        <w:footnoteReference w:id="93"/>
      </w:r>
      <w:r w:rsidR="00D15561" w:rsidRPr="00BF6FA4">
        <w:t xml:space="preserve"> N</w:t>
      </w:r>
      <w:r w:rsidR="00940DF8" w:rsidRPr="00BF6FA4">
        <w:t>othing in Order No. 1920</w:t>
      </w:r>
      <w:r w:rsidR="00940DF8" w:rsidRPr="00BF6FA4" w:rsidDel="00F47A4C">
        <w:t xml:space="preserve"> </w:t>
      </w:r>
      <w:r w:rsidR="00940DF8" w:rsidRPr="00BF6FA4">
        <w:t xml:space="preserve">prevents </w:t>
      </w:r>
      <w:r w:rsidR="00D15561" w:rsidRPr="00BF6FA4">
        <w:t>TPs</w:t>
      </w:r>
      <w:r w:rsidR="00940DF8" w:rsidRPr="00BF6FA4">
        <w:t xml:space="preserve"> from evaluating and selecting </w:t>
      </w:r>
      <w:r w:rsidR="00940DF8" w:rsidRPr="00BF6FA4">
        <w:rPr>
          <w:i/>
          <w:iCs/>
        </w:rPr>
        <w:t xml:space="preserve">additional </w:t>
      </w:r>
      <w:r w:rsidR="00C741E5" w:rsidRPr="00BF6FA4">
        <w:t>LTRTF</w:t>
      </w:r>
      <w:r w:rsidR="00B75DD2">
        <w:t>s</w:t>
      </w:r>
      <w:r w:rsidR="00940DF8" w:rsidRPr="00BF6FA4">
        <w:t xml:space="preserve"> after year three of the </w:t>
      </w:r>
      <w:r w:rsidR="00D15561" w:rsidRPr="00BF6FA4">
        <w:t xml:space="preserve">LTRTP </w:t>
      </w:r>
      <w:r w:rsidR="00940DF8" w:rsidRPr="00BF6FA4">
        <w:t xml:space="preserve">cycle and before the next five-year </w:t>
      </w:r>
      <w:r w:rsidR="00B75DD2">
        <w:t>LTRTP</w:t>
      </w:r>
      <w:r w:rsidR="00940DF8" w:rsidRPr="00BF6FA4">
        <w:t xml:space="preserve"> cycle begins</w:t>
      </w:r>
      <w:r w:rsidR="00D15561" w:rsidRPr="00BF6FA4">
        <w:t>.</w:t>
      </w:r>
      <w:r w:rsidR="00D15561" w:rsidRPr="00BF6FA4">
        <w:rPr>
          <w:rStyle w:val="FootnoteReference"/>
        </w:rPr>
        <w:footnoteReference w:id="94"/>
      </w:r>
      <w:r w:rsidR="00D15561" w:rsidRPr="00BF6FA4">
        <w:t xml:space="preserve"> </w:t>
      </w:r>
      <w:r w:rsidR="00F04FFA" w:rsidRPr="00BF6FA4">
        <w:t>The Commission</w:t>
      </w:r>
      <w:r w:rsidR="00940DF8" w:rsidRPr="00BF6FA4">
        <w:t xml:space="preserve"> </w:t>
      </w:r>
      <w:r w:rsidR="00B75DD2" w:rsidRPr="00BF6FA4">
        <w:t>sustain</w:t>
      </w:r>
      <w:r w:rsidR="00B75DD2">
        <w:t>s</w:t>
      </w:r>
      <w:r w:rsidR="00B75DD2" w:rsidRPr="00BF6FA4">
        <w:t xml:space="preserve"> </w:t>
      </w:r>
      <w:r w:rsidR="00940DF8" w:rsidRPr="00BF6FA4">
        <w:t>this requirement</w:t>
      </w:r>
      <w:r w:rsidR="00D15561" w:rsidRPr="00BF6FA4">
        <w:t xml:space="preserve"> in Order No. 1920-A</w:t>
      </w:r>
      <w:r w:rsidR="00EB4204" w:rsidRPr="00BF6FA4">
        <w:t xml:space="preserve">, explaining that five-year updates strikes a balance among considerations, including: (1) ensuring timely identification, evaluation, and selection of more efficient or cost-effective </w:t>
      </w:r>
      <w:r w:rsidR="00BF6FA4" w:rsidRPr="00BF6FA4">
        <w:t>LTRTF</w:t>
      </w:r>
      <w:r w:rsidR="00B75DD2">
        <w:t>s</w:t>
      </w:r>
      <w:r w:rsidR="00EB4204" w:rsidRPr="00BF6FA4">
        <w:t xml:space="preserve">; (2) providing </w:t>
      </w:r>
      <w:r w:rsidR="00B75DD2">
        <w:t>TPs</w:t>
      </w:r>
      <w:r w:rsidR="00EB4204" w:rsidRPr="00BF6FA4">
        <w:t xml:space="preserve"> with sufficient flexibility to address regional differences; and (3) limiting the administrative burdens placed on </w:t>
      </w:r>
      <w:r w:rsidR="000677D7">
        <w:t>TPs</w:t>
      </w:r>
      <w:r w:rsidR="00940DF8" w:rsidRPr="00BF6FA4">
        <w:t>.</w:t>
      </w:r>
      <w:r w:rsidR="00D15561" w:rsidRPr="00BF6FA4">
        <w:rPr>
          <w:rStyle w:val="FootnoteReference"/>
        </w:rPr>
        <w:footnoteReference w:id="95"/>
      </w:r>
      <w:r w:rsidR="00EB4204" w:rsidRPr="00BF6FA4">
        <w:t xml:space="preserve"> Regarding TP flexibility in developing the LTS in subsequent revisions, the Commission stated: “Order No. 1920 does not require that </w:t>
      </w:r>
      <w:r w:rsidR="000677D7">
        <w:t xml:space="preserve">TPs </w:t>
      </w:r>
      <w:r w:rsidR="00EB4204" w:rsidRPr="00BF6FA4">
        <w:t xml:space="preserve">include previously selected Long-Term Regional Transmission Facilities in the planning models that they use in a subsequent Long-Term Regional Transmission Planning cycle, and we continue to find that it is appropriate to provide flexibility to </w:t>
      </w:r>
      <w:r w:rsidR="000677D7">
        <w:t>TPs</w:t>
      </w:r>
      <w:r w:rsidR="00EB4204" w:rsidRPr="00BF6FA4">
        <w:t xml:space="preserve"> on how they update their planning models.”</w:t>
      </w:r>
      <w:r w:rsidR="00EB4204" w:rsidRPr="00BF6FA4">
        <w:rPr>
          <w:rStyle w:val="FootnoteReference"/>
        </w:rPr>
        <w:footnoteReference w:id="96"/>
      </w:r>
    </w:p>
    <w:p w14:paraId="7CE1657A" w14:textId="6B99B274" w:rsidR="00585F33" w:rsidRPr="00BF6FA4" w:rsidRDefault="00585F33" w:rsidP="00103AEB">
      <w:pPr>
        <w:spacing w:after="240"/>
        <w:ind w:firstLine="360"/>
        <w:jc w:val="both"/>
      </w:pPr>
      <w:r w:rsidRPr="00BF6FA4">
        <w:rPr>
          <w:b/>
          <w:bCs/>
          <w:i/>
          <w:iCs/>
        </w:rPr>
        <w:t>Categories of Factors.</w:t>
      </w:r>
      <w:r w:rsidRPr="00BF6FA4">
        <w:t xml:space="preserve"> In Order No. 1920, </w:t>
      </w:r>
      <w:r w:rsidR="00EB4204" w:rsidRPr="00BF6FA4">
        <w:t xml:space="preserve">the </w:t>
      </w:r>
      <w:r w:rsidR="008E697F" w:rsidRPr="00BF6FA4">
        <w:t>C</w:t>
      </w:r>
      <w:r w:rsidR="00EB4204" w:rsidRPr="00BF6FA4">
        <w:t>ommission</w:t>
      </w:r>
      <w:r w:rsidRPr="00BF6FA4">
        <w:t xml:space="preserve"> required </w:t>
      </w:r>
      <w:r w:rsidR="00E86711" w:rsidRPr="00BF6FA4">
        <w:t>TPs</w:t>
      </w:r>
      <w:r w:rsidRPr="00BF6FA4">
        <w:t xml:space="preserve"> to incorporate</w:t>
      </w:r>
      <w:r w:rsidR="00E86711" w:rsidRPr="00BF6FA4">
        <w:t>,</w:t>
      </w:r>
      <w:r w:rsidRPr="00BF6FA4">
        <w:t xml:space="preserve"> in the development of </w:t>
      </w:r>
      <w:r w:rsidR="00E86711" w:rsidRPr="00BF6FA4">
        <w:t>LTS,</w:t>
      </w:r>
      <w:r w:rsidRPr="00BF6FA4">
        <w:t xml:space="preserve"> seven specific categories of factors:  (1) federal, federally-recognized Tribal, state, and local laws and regulations affecting the resource mix and demand; (2) federal, federally-recognized Tribal, state, and local laws and regulations on decarbonization and electrification; (3) state-approved integrated resource plans and expected supply obligations for load-serving entities; (4) trends in fuel costs and in the cost, performance, and availability of generation, electric storage resources, and building and transportation electrification technologies; (5) resource retirements; (6) generator interconnection requests and withdrawals; and (7) utility and corporate commitments and federal, federally-recognized Tribal, state, and local policy goals that affect Long-Term Transmission Needs.</w:t>
      </w:r>
      <w:r w:rsidR="00E86711" w:rsidRPr="00BF6FA4">
        <w:rPr>
          <w:rStyle w:val="FootnoteReference"/>
        </w:rPr>
        <w:footnoteReference w:id="97"/>
      </w:r>
      <w:r w:rsidRPr="00BF6FA4">
        <w:t xml:space="preserve"> </w:t>
      </w:r>
      <w:r w:rsidR="008E697F" w:rsidRPr="00BF6FA4">
        <w:t>FERC</w:t>
      </w:r>
      <w:r w:rsidRPr="00BF6FA4">
        <w:t xml:space="preserve"> found that incorporating these categories of factors in the development of </w:t>
      </w:r>
      <w:r w:rsidR="00B75DD2">
        <w:t>LTS</w:t>
      </w:r>
      <w:r w:rsidRPr="00BF6FA4">
        <w:t xml:space="preserve"> is necessary because these categories are essential to identifying Long-Term Transmission Needs, and that incorporating them will ensure that </w:t>
      </w:r>
      <w:r w:rsidR="00E86711" w:rsidRPr="00BF6FA4">
        <w:t>TPs</w:t>
      </w:r>
      <w:r w:rsidRPr="00BF6FA4">
        <w:t xml:space="preserve"> are accounting for known and identifiable drivers of Long-Term Transmission Needs. </w:t>
      </w:r>
    </w:p>
    <w:p w14:paraId="67C9B867" w14:textId="6C811E86" w:rsidR="00C96D79" w:rsidRPr="00BF6FA4" w:rsidRDefault="00F04FFA" w:rsidP="00340D48">
      <w:pPr>
        <w:spacing w:after="240"/>
        <w:ind w:firstLine="360"/>
        <w:jc w:val="both"/>
      </w:pPr>
      <w:r w:rsidRPr="00BF6FA4">
        <w:t xml:space="preserve">In Order 1920-A the Commission </w:t>
      </w:r>
      <w:r w:rsidR="00B75DD2" w:rsidRPr="00BF6FA4">
        <w:t>sustain</w:t>
      </w:r>
      <w:r w:rsidR="00B75DD2">
        <w:t>s</w:t>
      </w:r>
      <w:r w:rsidR="00B75DD2" w:rsidRPr="00BF6FA4">
        <w:t xml:space="preserve"> </w:t>
      </w:r>
      <w:r w:rsidRPr="00BF6FA4">
        <w:t>the use of the seven categories of factors but revise</w:t>
      </w:r>
      <w:r w:rsidR="00B75DD2">
        <w:t>s</w:t>
      </w:r>
      <w:r w:rsidRPr="00BF6FA4">
        <w:t xml:space="preserve"> factor category seven and </w:t>
      </w:r>
      <w:r w:rsidR="00B75DD2" w:rsidRPr="00BF6FA4">
        <w:t>ma</w:t>
      </w:r>
      <w:r w:rsidR="00B75DD2">
        <w:t>kes</w:t>
      </w:r>
      <w:r w:rsidR="00B75DD2" w:rsidRPr="00BF6FA4">
        <w:t xml:space="preserve"> </w:t>
      </w:r>
      <w:r w:rsidR="00C96D79" w:rsidRPr="00BF6FA4">
        <w:t xml:space="preserve">several </w:t>
      </w:r>
      <w:r w:rsidR="00EB4204" w:rsidRPr="00BF6FA4">
        <w:t xml:space="preserve">determinations </w:t>
      </w:r>
      <w:r w:rsidR="00C96D79" w:rsidRPr="00BF6FA4">
        <w:t>regarding the categories of factors</w:t>
      </w:r>
      <w:r w:rsidRPr="00BF6FA4">
        <w:t>, including the following</w:t>
      </w:r>
      <w:r w:rsidR="00C96D79" w:rsidRPr="00BF6FA4">
        <w:t>:</w:t>
      </w:r>
    </w:p>
    <w:p w14:paraId="486FD174" w14:textId="4181C51F" w:rsidR="00F04FFA" w:rsidRPr="00BF6FA4" w:rsidRDefault="00F04FFA" w:rsidP="00B75DD2">
      <w:pPr>
        <w:pStyle w:val="ListParagraph"/>
        <w:numPr>
          <w:ilvl w:val="0"/>
          <w:numId w:val="25"/>
        </w:numPr>
        <w:spacing w:after="120"/>
        <w:contextualSpacing w:val="0"/>
        <w:jc w:val="both"/>
      </w:pPr>
      <w:r w:rsidRPr="00BF6FA4">
        <w:t>The Commission</w:t>
      </w:r>
      <w:r w:rsidRPr="00BF6FA4">
        <w:rPr>
          <w:b/>
          <w:bCs/>
        </w:rPr>
        <w:t xml:space="preserve"> set aside the requirement that TPs incorporate </w:t>
      </w:r>
      <w:r w:rsidR="00B75DD2">
        <w:rPr>
          <w:b/>
          <w:bCs/>
        </w:rPr>
        <w:t>“</w:t>
      </w:r>
      <w:r w:rsidRPr="00BF6FA4">
        <w:rPr>
          <w:b/>
          <w:bCs/>
        </w:rPr>
        <w:t>corporate commitments</w:t>
      </w:r>
      <w:r w:rsidR="00B75DD2">
        <w:rPr>
          <w:b/>
          <w:bCs/>
        </w:rPr>
        <w:t>”</w:t>
      </w:r>
      <w:r w:rsidRPr="00BF6FA4">
        <w:rPr>
          <w:b/>
          <w:bCs/>
        </w:rPr>
        <w:t xml:space="preserve"> in Factor Category Seven when developing </w:t>
      </w:r>
      <w:r w:rsidR="00B75DD2">
        <w:rPr>
          <w:b/>
          <w:bCs/>
        </w:rPr>
        <w:t>LT</w:t>
      </w:r>
      <w:r w:rsidR="00103AEB">
        <w:rPr>
          <w:b/>
          <w:bCs/>
        </w:rPr>
        <w:t>S</w:t>
      </w:r>
      <w:r w:rsidR="00B75DD2">
        <w:t xml:space="preserve"> </w:t>
      </w:r>
      <w:r w:rsidR="00B75DD2" w:rsidRPr="00103AEB">
        <w:t>to avoid</w:t>
      </w:r>
      <w:r w:rsidRPr="00B75DD2">
        <w:t xml:space="preserve"> </w:t>
      </w:r>
      <w:r w:rsidRPr="00BF6FA4">
        <w:t>introduc</w:t>
      </w:r>
      <w:r w:rsidR="00B75DD2">
        <w:t>ing</w:t>
      </w:r>
      <w:r w:rsidRPr="00BF6FA4">
        <w:t xml:space="preserve"> the risk of one class of transmission users cross-subsidizing another class of transmission users.</w:t>
      </w:r>
      <w:r w:rsidRPr="00BF6FA4">
        <w:rPr>
          <w:rStyle w:val="FootnoteReference"/>
        </w:rPr>
        <w:footnoteReference w:id="98"/>
      </w:r>
      <w:r w:rsidRPr="00BF6FA4">
        <w:t xml:space="preserve">  </w:t>
      </w:r>
    </w:p>
    <w:p w14:paraId="199CF221" w14:textId="383F96C7" w:rsidR="00EB4204" w:rsidRPr="00BF6FA4" w:rsidRDefault="00EB4204" w:rsidP="00B75DD2">
      <w:pPr>
        <w:pStyle w:val="ListParagraph"/>
        <w:numPr>
          <w:ilvl w:val="0"/>
          <w:numId w:val="25"/>
        </w:numPr>
        <w:spacing w:after="120"/>
        <w:contextualSpacing w:val="0"/>
        <w:jc w:val="both"/>
      </w:pPr>
      <w:r w:rsidRPr="00BF6FA4">
        <w:t>TPs must consult with Relevant State Entities or their designees on how to account for factors related to states’ laws, policies, and regulations when determining the assumptions that will be used in the development of LTS.</w:t>
      </w:r>
      <w:r w:rsidRPr="00BF6FA4">
        <w:rPr>
          <w:rStyle w:val="FootnoteReference"/>
        </w:rPr>
        <w:footnoteReference w:id="99"/>
      </w:r>
      <w:r w:rsidRPr="00BF6FA4">
        <w:t xml:space="preserve">  </w:t>
      </w:r>
    </w:p>
    <w:p w14:paraId="48CACF3B" w14:textId="5520F94F" w:rsidR="00C96D79" w:rsidRPr="00BF6FA4" w:rsidRDefault="00EB4204" w:rsidP="00B75DD2">
      <w:pPr>
        <w:pStyle w:val="ListParagraph"/>
        <w:numPr>
          <w:ilvl w:val="0"/>
          <w:numId w:val="25"/>
        </w:numPr>
        <w:spacing w:after="120"/>
        <w:contextualSpacing w:val="0"/>
        <w:jc w:val="both"/>
      </w:pPr>
      <w:r w:rsidRPr="00BF6FA4">
        <w:t>W</w:t>
      </w:r>
      <w:r w:rsidR="00585F33" w:rsidRPr="00BF6FA4">
        <w:t xml:space="preserve">hen determining the assumptions they will use </w:t>
      </w:r>
      <w:r w:rsidRPr="00BF6FA4">
        <w:t xml:space="preserve">in </w:t>
      </w:r>
      <w:r w:rsidR="00585F33" w:rsidRPr="00BF6FA4">
        <w:t xml:space="preserve">developing </w:t>
      </w:r>
      <w:r w:rsidRPr="00BF6FA4">
        <w:t xml:space="preserve">LTS </w:t>
      </w:r>
      <w:r w:rsidR="00585F33" w:rsidRPr="00BF6FA4">
        <w:t xml:space="preserve">where similar factors (or groups of factors) affect a single assumption, </w:t>
      </w:r>
      <w:r w:rsidRPr="00BF6FA4">
        <w:t xml:space="preserve">Order No. 1920 does not require TPs </w:t>
      </w:r>
      <w:r w:rsidR="00585F33" w:rsidRPr="00BF6FA4">
        <w:t>to assume that the factors have additive effects on the relevant assumptions.</w:t>
      </w:r>
      <w:r w:rsidR="00C96D79" w:rsidRPr="00BF6FA4">
        <w:rPr>
          <w:rStyle w:val="FootnoteReference"/>
        </w:rPr>
        <w:footnoteReference w:id="100"/>
      </w:r>
      <w:r w:rsidR="00585F33" w:rsidRPr="00BF6FA4">
        <w:t xml:space="preserve"> </w:t>
      </w:r>
    </w:p>
    <w:p w14:paraId="24F38718" w14:textId="09068A5A" w:rsidR="00585F33" w:rsidRPr="00BF6FA4" w:rsidRDefault="00C96D79" w:rsidP="00B75DD2">
      <w:pPr>
        <w:pStyle w:val="ListParagraph"/>
        <w:numPr>
          <w:ilvl w:val="0"/>
          <w:numId w:val="25"/>
        </w:numPr>
        <w:spacing w:after="120"/>
        <w:contextualSpacing w:val="0"/>
        <w:jc w:val="both"/>
      </w:pPr>
      <w:r w:rsidRPr="00BF6FA4">
        <w:t>Where</w:t>
      </w:r>
      <w:r w:rsidR="00585F33" w:rsidRPr="00BF6FA4">
        <w:t xml:space="preserve"> factors may have overlapping effects on the planning assumptions, </w:t>
      </w:r>
      <w:r w:rsidR="00E86711" w:rsidRPr="00BF6FA4">
        <w:t>TPs</w:t>
      </w:r>
      <w:r w:rsidR="00585F33" w:rsidRPr="00BF6FA4">
        <w:t xml:space="preserve"> must avoid double counting the effect that those factors have on assumptions used to develop</w:t>
      </w:r>
      <w:r w:rsidR="00EB4204" w:rsidRPr="00BF6FA4">
        <w:t xml:space="preserve"> LTS</w:t>
      </w:r>
      <w:r w:rsidR="00585F33" w:rsidRPr="00BF6FA4">
        <w:t xml:space="preserve">. </w:t>
      </w:r>
      <w:r w:rsidR="00EB4204" w:rsidRPr="00BF6FA4">
        <w:t xml:space="preserve">The Commission looks to the consultation between the TP and Relevant State Entities and the stakeholder process to </w:t>
      </w:r>
      <w:r w:rsidR="00F04FFA" w:rsidRPr="00BF6FA4">
        <w:t xml:space="preserve">help </w:t>
      </w:r>
      <w:r w:rsidR="00EB4204" w:rsidRPr="00BF6FA4">
        <w:t>avoid such overlapping effects of factors used in the LTS.</w:t>
      </w:r>
      <w:r w:rsidR="00EB4204" w:rsidRPr="00BF6FA4">
        <w:rPr>
          <w:rStyle w:val="FootnoteReference"/>
        </w:rPr>
        <w:footnoteReference w:id="101"/>
      </w:r>
      <w:r w:rsidR="00585F33" w:rsidRPr="00BF6FA4">
        <w:t xml:space="preserve"> </w:t>
      </w:r>
    </w:p>
    <w:p w14:paraId="1945F442" w14:textId="61D28007" w:rsidR="00EB4204" w:rsidRPr="00BF6FA4" w:rsidRDefault="00EB4204" w:rsidP="00B75DD2">
      <w:pPr>
        <w:pStyle w:val="ListParagraph"/>
        <w:numPr>
          <w:ilvl w:val="0"/>
          <w:numId w:val="25"/>
        </w:numPr>
        <w:spacing w:after="120"/>
        <w:contextualSpacing w:val="0"/>
        <w:jc w:val="both"/>
      </w:pPr>
      <w:r w:rsidRPr="00BF6FA4">
        <w:t xml:space="preserve">Regarding TP consultation with the Relevant State Entities on the categories of factors, the Commission clarifies: “for a state that has required integrated resource planning processes, </w:t>
      </w:r>
      <w:r w:rsidR="000677D7">
        <w:t>TPs</w:t>
      </w:r>
      <w:r w:rsidRPr="00BF6FA4">
        <w:t xml:space="preserve"> should include one of the state’s preferred power system trajectories, including both the supply and demand side resource trajectory as appropriate, in each Long-Term Scenario, or include different state-preferred power system trajectories in different Long-Term Scenarios.”</w:t>
      </w:r>
      <w:r w:rsidRPr="00BF6FA4">
        <w:rPr>
          <w:rStyle w:val="FootnoteReference"/>
        </w:rPr>
        <w:footnoteReference w:id="102"/>
      </w:r>
    </w:p>
    <w:p w14:paraId="3266DD89" w14:textId="4ECCF663" w:rsidR="00C96D79" w:rsidRPr="00BF6FA4" w:rsidRDefault="00C96D79" w:rsidP="00B75DD2">
      <w:pPr>
        <w:pStyle w:val="ListParagraph"/>
        <w:numPr>
          <w:ilvl w:val="0"/>
          <w:numId w:val="25"/>
        </w:numPr>
        <w:spacing w:after="120"/>
        <w:contextualSpacing w:val="0"/>
        <w:jc w:val="both"/>
      </w:pPr>
      <w:r w:rsidRPr="00BF6FA4">
        <w:t>Where a non-jurisdictional entity is a transmission customer of one or more TPs in a transmission planning region, the TPs must plan for the non-jurisdictional entity’s needs as a transmission customer as it would for the needs of any other transmission customer, including any resource planning and procurement processes that have been approved by the respective governing authorities under Factor Category Three, for purposes of complying with the requirements of Order No. 1920.</w:t>
      </w:r>
      <w:r w:rsidRPr="00BF6FA4">
        <w:rPr>
          <w:rStyle w:val="FootnoteReference"/>
        </w:rPr>
        <w:footnoteReference w:id="103"/>
      </w:r>
    </w:p>
    <w:p w14:paraId="14B8D0E7" w14:textId="30053A34" w:rsidR="00132C0D" w:rsidRPr="00BF6FA4" w:rsidRDefault="00C96D79" w:rsidP="00B75DD2">
      <w:pPr>
        <w:pStyle w:val="ListParagraph"/>
        <w:numPr>
          <w:ilvl w:val="0"/>
          <w:numId w:val="25"/>
        </w:numPr>
        <w:spacing w:after="120"/>
        <w:contextualSpacing w:val="0"/>
        <w:jc w:val="both"/>
      </w:pPr>
      <w:r w:rsidRPr="00BF6FA4">
        <w:t xml:space="preserve">TPs may </w:t>
      </w:r>
      <w:r w:rsidRPr="00BF6FA4">
        <w:rPr>
          <w:i/>
        </w:rPr>
        <w:t>not</w:t>
      </w:r>
      <w:r w:rsidRPr="00BF6FA4">
        <w:t xml:space="preserve"> plan for the needs of a non-jurisdictional utility TP if that non-jurisdictional TP has not</w:t>
      </w:r>
      <w:r w:rsidRPr="00BF6FA4" w:rsidDel="00223A9A">
        <w:t xml:space="preserve"> </w:t>
      </w:r>
      <w:r w:rsidRPr="00BF6FA4">
        <w:t xml:space="preserve">enrolled in the transmission planning region and thereby has not agreed to any cost allocation method applicable to selected </w:t>
      </w:r>
      <w:r w:rsidR="00C741E5" w:rsidRPr="00BF6FA4">
        <w:t>LTRTF</w:t>
      </w:r>
      <w:r w:rsidRPr="00BF6FA4">
        <w:t>.</w:t>
      </w:r>
      <w:r w:rsidRPr="00BF6FA4">
        <w:rPr>
          <w:rStyle w:val="FootnoteReference"/>
        </w:rPr>
        <w:footnoteReference w:id="104"/>
      </w:r>
    </w:p>
    <w:p w14:paraId="3CF360B7" w14:textId="44003847" w:rsidR="00EB4204" w:rsidRPr="00BF6FA4" w:rsidRDefault="00EB4204" w:rsidP="00B75DD2">
      <w:pPr>
        <w:pStyle w:val="ListParagraph"/>
        <w:numPr>
          <w:ilvl w:val="0"/>
          <w:numId w:val="25"/>
        </w:numPr>
        <w:spacing w:after="120"/>
        <w:contextualSpacing w:val="0"/>
        <w:jc w:val="both"/>
      </w:pPr>
      <w:r w:rsidRPr="00BF6FA4">
        <w:t>The Commission clarifies that that nothing in LTRTP, including the content of the Factors Categories, “is intended to relitigate or dispute the outcomes of the underlying integrated resource plans, resource projections, or laws and regulations that are (or are not) incorporated into the development of Long-Term Scenarios.”</w:t>
      </w:r>
      <w:r w:rsidRPr="00BF6FA4">
        <w:rPr>
          <w:rStyle w:val="FootnoteReference"/>
        </w:rPr>
        <w:footnoteReference w:id="105"/>
      </w:r>
      <w:r w:rsidRPr="00BF6FA4">
        <w:t xml:space="preserve"> </w:t>
      </w:r>
    </w:p>
    <w:p w14:paraId="2FF51D8E" w14:textId="281AA955" w:rsidR="003B3260" w:rsidRPr="00BF6FA4" w:rsidRDefault="00DA6CEE" w:rsidP="00103AEB">
      <w:pPr>
        <w:spacing w:after="240"/>
        <w:ind w:firstLine="720"/>
        <w:jc w:val="both"/>
      </w:pPr>
      <w:r w:rsidRPr="00BF6FA4">
        <w:rPr>
          <w:b/>
          <w:bCs/>
          <w:i/>
          <w:iCs/>
        </w:rPr>
        <w:t xml:space="preserve">Consultation with Relevant State Entities, </w:t>
      </w:r>
      <w:r w:rsidR="003B3260" w:rsidRPr="00BF6FA4">
        <w:rPr>
          <w:b/>
          <w:bCs/>
          <w:i/>
          <w:iCs/>
        </w:rPr>
        <w:t>Stakeholder Process and Transparency</w:t>
      </w:r>
      <w:r w:rsidR="00EB4204" w:rsidRPr="00BF6FA4">
        <w:rPr>
          <w:b/>
          <w:bCs/>
          <w:i/>
          <w:iCs/>
        </w:rPr>
        <w:t xml:space="preserve"> in Factor Category Development</w:t>
      </w:r>
      <w:r w:rsidR="003B3260" w:rsidRPr="00BF6FA4">
        <w:t xml:space="preserve">. In Order No. 1920, </w:t>
      </w:r>
      <w:r w:rsidR="008E697F" w:rsidRPr="00BF6FA4">
        <w:t>FERC</w:t>
      </w:r>
      <w:r w:rsidR="003B3260" w:rsidRPr="00BF6FA4">
        <w:t xml:space="preserve"> required </w:t>
      </w:r>
      <w:r w:rsidR="00E86711" w:rsidRPr="00BF6FA4">
        <w:t>TPs</w:t>
      </w:r>
      <w:r w:rsidR="003B3260" w:rsidRPr="00BF6FA4">
        <w:t xml:space="preserve"> to revise the regional transmission planning process in their OATTs to outline an open and transparent process that provides stakeholders, including federally-recognized Tribes and states, with a meaningful opportunity to propose potential factors and to provide timely input on how to account for specific factors in the development of </w:t>
      </w:r>
      <w:r w:rsidR="00B75DD2">
        <w:t>LTS</w:t>
      </w:r>
      <w:r w:rsidR="003B3260" w:rsidRPr="00BF6FA4">
        <w:t xml:space="preserve">.  </w:t>
      </w:r>
      <w:r w:rsidR="008E697F" w:rsidRPr="00BF6FA4">
        <w:t>FERC</w:t>
      </w:r>
      <w:r w:rsidR="003B3260" w:rsidRPr="00BF6FA4">
        <w:t xml:space="preserve"> further required </w:t>
      </w:r>
      <w:r w:rsidR="00E86711" w:rsidRPr="00BF6FA4">
        <w:t>TPs</w:t>
      </w:r>
      <w:r w:rsidR="003B3260" w:rsidRPr="00BF6FA4">
        <w:t xml:space="preserve"> to publish on the public portion of an OASIS or other public website the following information:  (1) the list of the factors in each of the seven required categories of factors that they will account for in their</w:t>
      </w:r>
      <w:r w:rsidR="001616E7">
        <w:t xml:space="preserve"> LTS</w:t>
      </w:r>
      <w:r w:rsidR="003B3260" w:rsidRPr="00BF6FA4">
        <w:t>; (2) a description of each factor that they will account for in their</w:t>
      </w:r>
      <w:r w:rsidR="001616E7">
        <w:t xml:space="preserve"> LTS</w:t>
      </w:r>
      <w:r w:rsidR="003B3260" w:rsidRPr="00BF6FA4">
        <w:t>; (3) a general statement explaining how they will account for each of those factors in their</w:t>
      </w:r>
      <w:r w:rsidR="001616E7">
        <w:t xml:space="preserve"> LTS</w:t>
      </w:r>
      <w:r w:rsidR="003B3260" w:rsidRPr="00BF6FA4">
        <w:t>; (4) a description of the extent to which they will discount any factors in Factor Categories Four through Seven in each</w:t>
      </w:r>
      <w:r w:rsidR="00103AEB">
        <w:t xml:space="preserve"> </w:t>
      </w:r>
      <w:r w:rsidR="001616E7">
        <w:t>LTS</w:t>
      </w:r>
      <w:r w:rsidR="003B3260" w:rsidRPr="00BF6FA4">
        <w:t>; and (5) a list of the factors that they considered but did not incorporate in their</w:t>
      </w:r>
      <w:r w:rsidR="001616E7">
        <w:t xml:space="preserve"> LTS</w:t>
      </w:r>
      <w:r w:rsidR="003B3260" w:rsidRPr="00BF6FA4">
        <w:t>.</w:t>
      </w:r>
      <w:r w:rsidR="00C96D79" w:rsidRPr="00BF6FA4">
        <w:rPr>
          <w:rStyle w:val="FootnoteReference"/>
        </w:rPr>
        <w:footnoteReference w:id="106"/>
      </w:r>
      <w:r w:rsidR="00C96D79" w:rsidRPr="00BF6FA4">
        <w:t xml:space="preserve"> </w:t>
      </w:r>
      <w:r w:rsidR="008E697F" w:rsidRPr="00BF6FA4">
        <w:t>FERC</w:t>
      </w:r>
      <w:r w:rsidR="00C96D79" w:rsidRPr="00BF6FA4">
        <w:t xml:space="preserve"> issue</w:t>
      </w:r>
      <w:r w:rsidR="00B75DD2">
        <w:t>s</w:t>
      </w:r>
      <w:r w:rsidR="00C96D79" w:rsidRPr="00BF6FA4">
        <w:t xml:space="preserve"> several clarifications regarding this requirement:</w:t>
      </w:r>
    </w:p>
    <w:p w14:paraId="2503CFD6" w14:textId="244387FA" w:rsidR="00C96D79" w:rsidRPr="00BF6FA4" w:rsidRDefault="00EB4204" w:rsidP="00B75DD2">
      <w:pPr>
        <w:pStyle w:val="ListParagraph"/>
        <w:numPr>
          <w:ilvl w:val="0"/>
          <w:numId w:val="26"/>
        </w:numPr>
        <w:spacing w:after="120"/>
        <w:contextualSpacing w:val="0"/>
        <w:jc w:val="both"/>
      </w:pPr>
      <w:r w:rsidRPr="00BF6FA4">
        <w:t xml:space="preserve">Relevant State Entities </w:t>
      </w:r>
      <w:r w:rsidR="003B3260" w:rsidRPr="00BF6FA4">
        <w:t>must have a meaningful opportunity to provide timely input on the development of</w:t>
      </w:r>
      <w:r w:rsidR="00B75DD2">
        <w:t xml:space="preserve"> </w:t>
      </w:r>
      <w:r w:rsidRPr="00BF6FA4">
        <w:t>LTS</w:t>
      </w:r>
      <w:r w:rsidR="003B3260" w:rsidRPr="00BF6FA4">
        <w:t>, including factors and data inputs, and to explain how their own policies and planning affect Long-Term Transmission Needs</w:t>
      </w:r>
      <w:r w:rsidR="00C96D79" w:rsidRPr="00BF6FA4">
        <w:t>.</w:t>
      </w:r>
      <w:r w:rsidR="00C96D79" w:rsidRPr="00BF6FA4">
        <w:rPr>
          <w:rStyle w:val="FootnoteReference"/>
        </w:rPr>
        <w:footnoteReference w:id="107"/>
      </w:r>
      <w:r w:rsidR="003B3260" w:rsidRPr="00BF6FA4">
        <w:t xml:space="preserve"> </w:t>
      </w:r>
    </w:p>
    <w:p w14:paraId="3C893B8E" w14:textId="3AA5874D" w:rsidR="00C96D79" w:rsidRPr="00BF6FA4" w:rsidRDefault="00E86711" w:rsidP="00B75DD2">
      <w:pPr>
        <w:pStyle w:val="ListParagraph"/>
        <w:numPr>
          <w:ilvl w:val="0"/>
          <w:numId w:val="26"/>
        </w:numPr>
        <w:spacing w:after="120"/>
        <w:contextualSpacing w:val="0"/>
        <w:jc w:val="both"/>
      </w:pPr>
      <w:r w:rsidRPr="00BF6FA4">
        <w:t>TPs</w:t>
      </w:r>
      <w:r w:rsidR="003B3260" w:rsidRPr="00BF6FA4">
        <w:t xml:space="preserve"> must consult with and consider the positions of the </w:t>
      </w:r>
      <w:r w:rsidR="00EB4204" w:rsidRPr="00BF6FA4">
        <w:t xml:space="preserve">Relevant State Entities regarding </w:t>
      </w:r>
      <w:r w:rsidR="003B3260" w:rsidRPr="00BF6FA4">
        <w:t>how to account for factors related to states’ laws, policies, and regulations when determining</w:t>
      </w:r>
      <w:r w:rsidR="003B3260" w:rsidRPr="00BF6FA4" w:rsidDel="00AA7FD5">
        <w:t xml:space="preserve"> the </w:t>
      </w:r>
      <w:r w:rsidR="003B3260" w:rsidRPr="00BF6FA4">
        <w:t xml:space="preserve">assumptions that will be used in the development of </w:t>
      </w:r>
      <w:r w:rsidR="00B75DD2">
        <w:t>LTS</w:t>
      </w:r>
      <w:r w:rsidR="003B3260" w:rsidRPr="00BF6FA4">
        <w:t>.</w:t>
      </w:r>
      <w:r w:rsidR="00C96D79" w:rsidRPr="00BF6FA4">
        <w:rPr>
          <w:rStyle w:val="FootnoteReference"/>
        </w:rPr>
        <w:footnoteReference w:id="108"/>
      </w:r>
      <w:r w:rsidR="003B3260" w:rsidRPr="00BF6FA4">
        <w:t xml:space="preserve"> </w:t>
      </w:r>
    </w:p>
    <w:p w14:paraId="60423DF9" w14:textId="3E5F0238" w:rsidR="00DA6CEE" w:rsidRPr="00BF6FA4" w:rsidRDefault="00B75DD2" w:rsidP="00B75DD2">
      <w:pPr>
        <w:pStyle w:val="ListParagraph"/>
        <w:numPr>
          <w:ilvl w:val="0"/>
          <w:numId w:val="26"/>
        </w:numPr>
        <w:spacing w:after="120"/>
        <w:contextualSpacing w:val="0"/>
        <w:jc w:val="both"/>
      </w:pPr>
      <w:r>
        <w:t>TPs must consider the input of</w:t>
      </w:r>
      <w:r w:rsidR="00DA6CEE" w:rsidRPr="00BF6FA4">
        <w:t xml:space="preserve"> Relevant State Entities</w:t>
      </w:r>
      <w:r>
        <w:t xml:space="preserve"> </w:t>
      </w:r>
      <w:r w:rsidR="00DA6CEE" w:rsidRPr="00BF6FA4">
        <w:t>in t</w:t>
      </w:r>
      <w:r>
        <w:t>he</w:t>
      </w:r>
      <w:r w:rsidR="00DA6CEE" w:rsidRPr="00BF6FA4">
        <w:t xml:space="preserve"> LTRTP process</w:t>
      </w:r>
      <w:r>
        <w:t xml:space="preserve"> in the following ways</w:t>
      </w:r>
      <w:r w:rsidR="00DA6CEE" w:rsidRPr="00BF6FA4">
        <w:t xml:space="preserve">, some of which relate to the categories of factors and some to cost allocation: </w:t>
      </w:r>
    </w:p>
    <w:p w14:paraId="15756543" w14:textId="0F247E14" w:rsidR="00B75DD2" w:rsidRDefault="00DA6CEE" w:rsidP="00103AEB">
      <w:pPr>
        <w:pStyle w:val="ListParagraph"/>
        <w:numPr>
          <w:ilvl w:val="1"/>
          <w:numId w:val="35"/>
        </w:numPr>
        <w:spacing w:after="120"/>
        <w:jc w:val="both"/>
      </w:pPr>
      <w:r w:rsidRPr="00BF6FA4">
        <w:t>to consult with and consider the positions of the Relevant State Entities and any other entity authorized by a Relevant State Entity as its representative as to how to account for factors related to states’ laws, policies, and regulations when determining the assumptions that will be used in the development of</w:t>
      </w:r>
      <w:r w:rsidR="009D2106">
        <w:t xml:space="preserve"> LTS</w:t>
      </w:r>
      <w:r w:rsidRPr="00BF6FA4">
        <w:t xml:space="preserve">; </w:t>
      </w:r>
    </w:p>
    <w:p w14:paraId="353692F3" w14:textId="060572E7" w:rsidR="00B75DD2" w:rsidRDefault="00DA6CEE" w:rsidP="00103AEB">
      <w:pPr>
        <w:pStyle w:val="ListParagraph"/>
        <w:numPr>
          <w:ilvl w:val="1"/>
          <w:numId w:val="35"/>
        </w:numPr>
        <w:spacing w:after="120"/>
        <w:jc w:val="both"/>
      </w:pPr>
      <w:r w:rsidRPr="00BF6FA4">
        <w:t>to include any Long-Term Regional Transmission Cost Allocation Method and/or State Agreement Process that Relevant State Entities agree to in the transmittal or as an attachment to their compliance filings</w:t>
      </w:r>
      <w:r w:rsidR="008857BE">
        <w:t xml:space="preserve">, even if the TP does not choose to propose </w:t>
      </w:r>
      <w:r w:rsidR="009D2106">
        <w:t>such method on its own</w:t>
      </w:r>
      <w:r w:rsidRPr="00BF6FA4">
        <w:t xml:space="preserve">; </w:t>
      </w:r>
    </w:p>
    <w:p w14:paraId="7FD20BE6" w14:textId="1A15ACC9" w:rsidR="00B75DD2" w:rsidRDefault="00DA6CEE" w:rsidP="00103AEB">
      <w:pPr>
        <w:pStyle w:val="ListParagraph"/>
        <w:numPr>
          <w:ilvl w:val="1"/>
          <w:numId w:val="35"/>
        </w:numPr>
        <w:spacing w:after="120"/>
        <w:jc w:val="both"/>
      </w:pPr>
      <w:r w:rsidRPr="00BF6FA4">
        <w:t xml:space="preserve">to consult with Relevant State Entities (a) prior to amending the </w:t>
      </w:r>
      <w:r w:rsidRPr="00103AEB">
        <w:rPr>
          <w:i/>
          <w:iCs/>
        </w:rPr>
        <w:t>ex ante</w:t>
      </w:r>
      <w:r w:rsidRPr="00BF6FA4">
        <w:t xml:space="preserve"> Long-Term Regional Transmission Cost Allocation Method(s) and/or State Agreement Process(es) agreed to by Relevant State Entities or (b) if Relevant State Entities seek for a </w:t>
      </w:r>
      <w:r w:rsidR="008857BE">
        <w:t>TP</w:t>
      </w:r>
      <w:r w:rsidRPr="00BF6FA4">
        <w:t xml:space="preserve"> to amend the method on file; </w:t>
      </w:r>
    </w:p>
    <w:p w14:paraId="452E67E8" w14:textId="1AE62AED" w:rsidR="00B75DD2" w:rsidRDefault="00DA6CEE" w:rsidP="00103AEB">
      <w:pPr>
        <w:pStyle w:val="ListParagraph"/>
        <w:numPr>
          <w:ilvl w:val="1"/>
          <w:numId w:val="35"/>
        </w:numPr>
        <w:spacing w:after="120"/>
        <w:jc w:val="both"/>
      </w:pPr>
      <w:r w:rsidRPr="00BF6FA4">
        <w:t xml:space="preserve">to develop a reasonable number of additional scenarios, when requested by Relevant State Entities, for the purposes of informing the application of Long-Term Regional Cost Allocation Method(s) or the development of cost allocation methods through the State Agreement Process(es); and </w:t>
      </w:r>
    </w:p>
    <w:p w14:paraId="463BEFDD" w14:textId="4AEB8377" w:rsidR="00DA6CEE" w:rsidRPr="00BF6FA4" w:rsidRDefault="00DA6CEE" w:rsidP="00103AEB">
      <w:pPr>
        <w:pStyle w:val="ListParagraph"/>
        <w:numPr>
          <w:ilvl w:val="1"/>
          <w:numId w:val="35"/>
        </w:numPr>
        <w:spacing w:after="120"/>
        <w:jc w:val="both"/>
      </w:pPr>
      <w:r w:rsidRPr="00BF6FA4">
        <w:t xml:space="preserve">to make available, on a password-protected portion of OASIS or other password-protected website, a breakdown of the allocated costs, by zone (i.e., by transmission provider retail distribution service territory/footprint or RTO/ISO transmission pricing zone), and a quantification of the benefits imputed to each zone, as such benefits can be reasonably estimated, when a cost allocation method is agreed upon under a State Agreement Process or, if no State Agreement Process is used, at the time the transmission provider selects the Long-Term Regional Transmission Facility.  </w:t>
      </w:r>
    </w:p>
    <w:p w14:paraId="53A7424B" w14:textId="709B2653" w:rsidR="00C96D79" w:rsidRPr="00BF6FA4" w:rsidRDefault="00C96D79" w:rsidP="00B75DD2">
      <w:pPr>
        <w:pStyle w:val="ListParagraph"/>
        <w:numPr>
          <w:ilvl w:val="0"/>
          <w:numId w:val="26"/>
        </w:numPr>
        <w:spacing w:after="120"/>
        <w:contextualSpacing w:val="0"/>
        <w:jc w:val="both"/>
      </w:pPr>
      <w:r w:rsidRPr="00BF6FA4">
        <w:t>W</w:t>
      </w:r>
      <w:r w:rsidR="003B3260" w:rsidRPr="00BF6FA4">
        <w:t xml:space="preserve">here </w:t>
      </w:r>
      <w:r w:rsidR="00E86711" w:rsidRPr="00BF6FA4">
        <w:t>TPs</w:t>
      </w:r>
      <w:r w:rsidR="003B3260" w:rsidRPr="00BF6FA4">
        <w:t xml:space="preserve"> determine that a factor based on a state’s law, regulation, or policy is likely to affect Long-Term Transmission Needs, </w:t>
      </w:r>
      <w:r w:rsidR="00E86711" w:rsidRPr="00BF6FA4">
        <w:t>TPs</w:t>
      </w:r>
      <w:r w:rsidR="003B3260" w:rsidRPr="00BF6FA4">
        <w:t xml:space="preserve"> should rely on the state in determining </w:t>
      </w:r>
      <w:r w:rsidR="003B3260" w:rsidRPr="00BF6FA4">
        <w:rPr>
          <w:i/>
          <w:iCs/>
        </w:rPr>
        <w:t>how</w:t>
      </w:r>
      <w:r w:rsidR="003B3260" w:rsidRPr="00BF6FA4">
        <w:t xml:space="preserve"> to account for such a state-related factor when developing </w:t>
      </w:r>
      <w:r w:rsidR="00B75DD2">
        <w:t>LTS</w:t>
      </w:r>
      <w:r w:rsidR="003B3260" w:rsidRPr="00BF6FA4">
        <w:t>.</w:t>
      </w:r>
      <w:r w:rsidRPr="00BF6FA4">
        <w:rPr>
          <w:rStyle w:val="FootnoteReference"/>
        </w:rPr>
        <w:footnoteReference w:id="109"/>
      </w:r>
    </w:p>
    <w:p w14:paraId="5F41CC24" w14:textId="6CDB8F2B" w:rsidR="003B3260" w:rsidRPr="00BF6FA4" w:rsidRDefault="00C96D79" w:rsidP="00B75DD2">
      <w:pPr>
        <w:pStyle w:val="ListParagraph"/>
        <w:numPr>
          <w:ilvl w:val="0"/>
          <w:numId w:val="26"/>
        </w:numPr>
        <w:spacing w:after="120"/>
        <w:contextualSpacing w:val="0"/>
        <w:jc w:val="both"/>
      </w:pPr>
      <w:r w:rsidRPr="00BF6FA4">
        <w:t>N</w:t>
      </w:r>
      <w:r w:rsidR="003B3260" w:rsidRPr="00BF6FA4">
        <w:t xml:space="preserve">othing in Order No. 1920 prevents </w:t>
      </w:r>
      <w:r w:rsidR="00E86711" w:rsidRPr="00BF6FA4">
        <w:t>TPs</w:t>
      </w:r>
      <w:r w:rsidR="003B3260" w:rsidRPr="00BF6FA4">
        <w:t xml:space="preserve"> from providing more than the minimum amount of </w:t>
      </w:r>
      <w:r w:rsidR="00EB4204" w:rsidRPr="00BF6FA4">
        <w:t xml:space="preserve">required </w:t>
      </w:r>
      <w:r w:rsidR="003B3260" w:rsidRPr="00BF6FA4">
        <w:t>information</w:t>
      </w:r>
      <w:r w:rsidRPr="00BF6FA4">
        <w:t>.</w:t>
      </w:r>
      <w:r w:rsidRPr="00BF6FA4">
        <w:rPr>
          <w:rStyle w:val="FootnoteReference"/>
        </w:rPr>
        <w:footnoteReference w:id="110"/>
      </w:r>
    </w:p>
    <w:p w14:paraId="57812535" w14:textId="6AEF932D" w:rsidR="00EB4204" w:rsidRPr="00BF6FA4" w:rsidRDefault="00EB4204" w:rsidP="00B75DD2">
      <w:pPr>
        <w:pStyle w:val="ListParagraph"/>
        <w:numPr>
          <w:ilvl w:val="0"/>
          <w:numId w:val="26"/>
        </w:numPr>
        <w:spacing w:after="120"/>
        <w:contextualSpacing w:val="0"/>
        <w:jc w:val="both"/>
      </w:pPr>
      <w:r w:rsidRPr="00BF6FA4">
        <w:t>In developing the factors and using them in the LTS</w:t>
      </w:r>
      <w:r w:rsidR="00B75DD2">
        <w:t>,</w:t>
      </w:r>
      <w:r w:rsidRPr="00BF6FA4">
        <w:t xml:space="preserve"> the Commission continues to find that TPs can rely on “their expert judgement and the information provided to them through the open and transparent stakeholder process to develop three plausible </w:t>
      </w:r>
      <w:r w:rsidR="00B75DD2">
        <w:t xml:space="preserve">LTS </w:t>
      </w:r>
      <w:r w:rsidRPr="00BF6FA4">
        <w:t>for purposes of identifying Long-Term Transmission Needs.”</w:t>
      </w:r>
      <w:r w:rsidRPr="00BF6FA4">
        <w:rPr>
          <w:rStyle w:val="FootnoteReference"/>
        </w:rPr>
        <w:footnoteReference w:id="111"/>
      </w:r>
      <w:r w:rsidRPr="00BF6FA4">
        <w:t xml:space="preserve">  </w:t>
      </w:r>
    </w:p>
    <w:p w14:paraId="70DDEAAC" w14:textId="2DD2017E" w:rsidR="00EB4204" w:rsidRPr="00BF6FA4" w:rsidRDefault="00EB4204" w:rsidP="00B75DD2">
      <w:pPr>
        <w:pStyle w:val="ListParagraph"/>
        <w:numPr>
          <w:ilvl w:val="0"/>
          <w:numId w:val="26"/>
        </w:numPr>
        <w:spacing w:after="120"/>
        <w:contextualSpacing w:val="0"/>
        <w:jc w:val="both"/>
      </w:pPr>
      <w:r w:rsidRPr="00BF6FA4">
        <w:t>In identifying specific f</w:t>
      </w:r>
      <w:r w:rsidR="00DA6CEE" w:rsidRPr="00BF6FA4">
        <w:t>a</w:t>
      </w:r>
      <w:r w:rsidRPr="00BF6FA4">
        <w:t>ctors for each Factor Category, TPs must independently identify factors in Categories Four, Five and Six based on their expertise, and for the other categories may rely on input from stakeholders and Relevant State Entities to identify the factors.</w:t>
      </w:r>
      <w:r w:rsidRPr="00BF6FA4">
        <w:rPr>
          <w:rStyle w:val="FootnoteReference"/>
        </w:rPr>
        <w:footnoteReference w:id="112"/>
      </w:r>
      <w:r w:rsidRPr="00BF6FA4">
        <w:t xml:space="preserve"> </w:t>
      </w:r>
    </w:p>
    <w:p w14:paraId="428040D3" w14:textId="6F33A2A2" w:rsidR="00EB4204" w:rsidRPr="00B75DD2" w:rsidRDefault="00EB4204" w:rsidP="00B75DD2">
      <w:pPr>
        <w:spacing w:after="240"/>
        <w:ind w:firstLine="720"/>
        <w:jc w:val="both"/>
        <w:rPr>
          <w:b/>
          <w:bCs/>
          <w:i/>
          <w:iCs/>
        </w:rPr>
      </w:pPr>
      <w:r w:rsidRPr="00BF6FA4">
        <w:rPr>
          <w:b/>
          <w:bCs/>
          <w:i/>
          <w:iCs/>
        </w:rPr>
        <w:t>Use of Additional Factor Categories</w:t>
      </w:r>
      <w:r w:rsidR="00B75DD2">
        <w:rPr>
          <w:b/>
          <w:bCs/>
          <w:i/>
          <w:iCs/>
        </w:rPr>
        <w:t xml:space="preserve">. </w:t>
      </w:r>
      <w:r w:rsidRPr="00BF6FA4">
        <w:t>Regarding the use of additional optional Factor Categories in the LTS, the Commission provid</w:t>
      </w:r>
      <w:r w:rsidR="00B75DD2">
        <w:t xml:space="preserve">es </w:t>
      </w:r>
      <w:r w:rsidRPr="00BF6FA4">
        <w:t>the following clarification:</w:t>
      </w:r>
    </w:p>
    <w:p w14:paraId="0C82CB7F" w14:textId="474B5139" w:rsidR="00EB4204" w:rsidRPr="00B75DD2" w:rsidRDefault="00EB4204" w:rsidP="00B75DD2">
      <w:pPr>
        <w:spacing w:after="240"/>
        <w:ind w:left="720" w:right="720"/>
        <w:jc w:val="both"/>
      </w:pPr>
      <w:r w:rsidRPr="00BF6FA4">
        <w:t>… if transmission providers elect to use additional categories of factors beyond the required categories of factors in Order No. 1920 in the development of Long-Term Scenarios, the transparency requirements set forth in Order No. 1920 also apply to the additional categories of factors. Pursuant to this clarification, transmission providers must publish on the public portion of an OASIS or other public website:  (1) the list of each additional categories of factors, and the factors in each of the additional categories of factors that they will account for in their Long-Term Scenarios; (2) a description of each additional category of factors and a description of each factor that they will account for in their Long-Term Scenarios; (3) a general statement explaining how they will account for each additional category of factors and each of the additional factors in their Long-Term Scenarios; (4) a description of the extent to which they will discount any factors in each additional category of factors; and (5) a list of the factors that they considered but did not incorporate in each additional category of factors in their Long-Term Scenarios.</w:t>
      </w:r>
    </w:p>
    <w:p w14:paraId="2F0F225A" w14:textId="4C925C95" w:rsidR="00EB4204" w:rsidRPr="00BF6FA4" w:rsidRDefault="003B3260" w:rsidP="00B75DD2">
      <w:pPr>
        <w:spacing w:after="240"/>
        <w:ind w:firstLine="720"/>
        <w:jc w:val="both"/>
      </w:pPr>
      <w:r w:rsidRPr="00BF6FA4">
        <w:rPr>
          <w:b/>
          <w:bCs/>
          <w:i/>
          <w:iCs/>
        </w:rPr>
        <w:t>Requests for Additional Flexibility</w:t>
      </w:r>
      <w:r w:rsidR="00EB4204" w:rsidRPr="00BF6FA4">
        <w:rPr>
          <w:b/>
          <w:bCs/>
          <w:i/>
          <w:iCs/>
        </w:rPr>
        <w:t xml:space="preserve"> Regarding LTS</w:t>
      </w:r>
      <w:r w:rsidRPr="00BF6FA4">
        <w:rPr>
          <w:b/>
          <w:bCs/>
          <w:i/>
          <w:iCs/>
        </w:rPr>
        <w:t>.</w:t>
      </w:r>
      <w:r w:rsidRPr="00BF6FA4">
        <w:t xml:space="preserve"> In Order No. 1920, </w:t>
      </w:r>
      <w:r w:rsidR="00EB4204" w:rsidRPr="00BF6FA4">
        <w:t xml:space="preserve">the Commission </w:t>
      </w:r>
      <w:r w:rsidRPr="00BF6FA4">
        <w:t xml:space="preserve">required </w:t>
      </w:r>
      <w:r w:rsidR="00E86711" w:rsidRPr="00BF6FA4">
        <w:t>TPs</w:t>
      </w:r>
      <w:r w:rsidRPr="00BF6FA4">
        <w:t xml:space="preserve"> to develop, at least once during the five-year </w:t>
      </w:r>
      <w:r w:rsidR="00C96D79" w:rsidRPr="00BF6FA4">
        <w:t>LTRTP</w:t>
      </w:r>
      <w:r w:rsidRPr="00BF6FA4">
        <w:t xml:space="preserve"> cycle, </w:t>
      </w:r>
      <w:r w:rsidR="00C96D79" w:rsidRPr="00BF6FA4">
        <w:t xml:space="preserve">a diverse set of </w:t>
      </w:r>
      <w:r w:rsidRPr="00BF6FA4">
        <w:t xml:space="preserve">at least three distinct </w:t>
      </w:r>
      <w:r w:rsidR="00C96D79" w:rsidRPr="00BF6FA4">
        <w:t>LTS</w:t>
      </w:r>
      <w:r w:rsidRPr="00BF6FA4">
        <w:t xml:space="preserve"> that, at a minimum, incorporate the seven categories of factors.</w:t>
      </w:r>
      <w:r w:rsidR="00C96D79" w:rsidRPr="00BF6FA4">
        <w:rPr>
          <w:rStyle w:val="FootnoteReference"/>
        </w:rPr>
        <w:footnoteReference w:id="113"/>
      </w:r>
      <w:r w:rsidRPr="00BF6FA4">
        <w:t xml:space="preserve"> </w:t>
      </w:r>
      <w:r w:rsidR="008E697F" w:rsidRPr="00BF6FA4">
        <w:t>FERC</w:t>
      </w:r>
      <w:r w:rsidRPr="00BF6FA4">
        <w:t xml:space="preserve"> also required </w:t>
      </w:r>
      <w:r w:rsidR="00E86711" w:rsidRPr="00BF6FA4">
        <w:t>TPs</w:t>
      </w:r>
      <w:r w:rsidRPr="00BF6FA4">
        <w:t xml:space="preserve"> to develop at least one sensitivity, applied to each </w:t>
      </w:r>
      <w:r w:rsidR="00C96D79" w:rsidRPr="00BF6FA4">
        <w:t>LTS</w:t>
      </w:r>
      <w:r w:rsidRPr="00BF6FA4">
        <w:t>, to account for uncertain operational outcomes that determine the benefits of and/or need for transmission facilities during multiple concurrent and sustained generation and/or transmission outages due to an extreme weather event across a wide area</w:t>
      </w:r>
      <w:r w:rsidR="00C96D79" w:rsidRPr="00BF6FA4">
        <w:t>.</w:t>
      </w:r>
      <w:r w:rsidR="00C96D79" w:rsidRPr="00BF6FA4">
        <w:rPr>
          <w:rStyle w:val="FootnoteReference"/>
        </w:rPr>
        <w:footnoteReference w:id="114"/>
      </w:r>
      <w:r w:rsidRPr="00BF6FA4">
        <w:t xml:space="preserve"> </w:t>
      </w:r>
      <w:r w:rsidR="00C96D79" w:rsidRPr="00BF6FA4">
        <w:t>Order No. 1920-A upholds this requirement</w:t>
      </w:r>
      <w:r w:rsidR="00EB4204" w:rsidRPr="00BF6FA4">
        <w:t xml:space="preserve">, finding that it strikes the appropriate balance between establishing a sufficient number of </w:t>
      </w:r>
      <w:r w:rsidR="00B75DD2">
        <w:t>LTS</w:t>
      </w:r>
      <w:r w:rsidR="00EB4204" w:rsidRPr="00BF6FA4">
        <w:t xml:space="preserve"> and the associated burden of developing and using LTS in LTRTP</w:t>
      </w:r>
      <w:r w:rsidR="00C96D79" w:rsidRPr="00BF6FA4">
        <w:t>.</w:t>
      </w:r>
      <w:r w:rsidR="00C96D79" w:rsidRPr="00BF6FA4">
        <w:rPr>
          <w:rStyle w:val="FootnoteReference"/>
        </w:rPr>
        <w:footnoteReference w:id="115"/>
      </w:r>
      <w:r w:rsidRPr="00BF6FA4">
        <w:t xml:space="preserve"> </w:t>
      </w:r>
    </w:p>
    <w:p w14:paraId="3E211375" w14:textId="31B05BAC" w:rsidR="00EB4204" w:rsidRPr="00BF6FA4" w:rsidRDefault="00EB4204" w:rsidP="00436394">
      <w:pPr>
        <w:spacing w:after="240"/>
        <w:jc w:val="both"/>
      </w:pPr>
      <w:r w:rsidRPr="00BF6FA4">
        <w:rPr>
          <w:b/>
          <w:bCs/>
          <w:i/>
          <w:iCs/>
        </w:rPr>
        <w:t>Flexibility Regarding Additional Scenarios Used for Cost Allocation</w:t>
      </w:r>
      <w:r w:rsidR="00B75DD2">
        <w:t xml:space="preserve">. </w:t>
      </w:r>
      <w:r w:rsidRPr="00BF6FA4">
        <w:t>The Commission further clarifies that TPs:</w:t>
      </w:r>
    </w:p>
    <w:p w14:paraId="0809A7C8" w14:textId="6F7BF7D3" w:rsidR="00B75DD2" w:rsidRDefault="00B75DD2" w:rsidP="00103AEB">
      <w:pPr>
        <w:pStyle w:val="ListParagraph"/>
        <w:numPr>
          <w:ilvl w:val="0"/>
          <w:numId w:val="32"/>
        </w:numPr>
        <w:spacing w:after="120"/>
        <w:contextualSpacing w:val="0"/>
        <w:jc w:val="both"/>
      </w:pPr>
      <w:r>
        <w:t>M</w:t>
      </w:r>
      <w:r w:rsidR="00EB4204" w:rsidRPr="00BF6FA4">
        <w:t xml:space="preserve">ay develop additional scenarios, beyond the three </w:t>
      </w:r>
      <w:r>
        <w:t>LTS</w:t>
      </w:r>
      <w:r w:rsidR="00EB4204" w:rsidRPr="00BF6FA4">
        <w:t xml:space="preserve"> that Order No. 1920 requires, to provide Relevant State Entities with information that they can use to inform the application of Long-Term Regional Cost Allocation Method(s) or the development of cost allocation methods through the State Agreement Process(es).  </w:t>
      </w:r>
      <w:r>
        <w:t>FERC</w:t>
      </w:r>
      <w:r w:rsidR="00EB4204" w:rsidRPr="00BF6FA4">
        <w:t xml:space="preserve"> believe</w:t>
      </w:r>
      <w:r>
        <w:t>s</w:t>
      </w:r>
      <w:r w:rsidR="00EB4204" w:rsidRPr="00BF6FA4">
        <w:t xml:space="preserve"> that additional analyses may help </w:t>
      </w:r>
      <w:r>
        <w:t>TPs</w:t>
      </w:r>
      <w:r w:rsidR="00EB4204" w:rsidRPr="00BF6FA4">
        <w:t xml:space="preserve"> and stakeholders to better understand the potential impact of </w:t>
      </w:r>
      <w:r w:rsidR="00BF6FA4" w:rsidRPr="00BF6FA4">
        <w:t>LTRTF</w:t>
      </w:r>
      <w:r w:rsidR="00EB4204" w:rsidRPr="00BF6FA4">
        <w:t xml:space="preserve"> on the transmission system, as well as the</w:t>
      </w:r>
      <w:r w:rsidR="000C3F71">
        <w:t>ir</w:t>
      </w:r>
      <w:r w:rsidR="00EB4204" w:rsidRPr="00BF6FA4">
        <w:t xml:space="preserve"> costs and benefits.</w:t>
      </w:r>
      <w:r w:rsidR="00EB4204" w:rsidRPr="00BF6FA4">
        <w:rPr>
          <w:rStyle w:val="FootnoteReference"/>
        </w:rPr>
        <w:footnoteReference w:id="116"/>
      </w:r>
      <w:r w:rsidR="00EB4204" w:rsidRPr="00BF6FA4">
        <w:t xml:space="preserve"> </w:t>
      </w:r>
    </w:p>
    <w:p w14:paraId="055737A7" w14:textId="1918D2A0" w:rsidR="00B75DD2" w:rsidRDefault="00B75DD2" w:rsidP="00B75DD2">
      <w:pPr>
        <w:pStyle w:val="ListParagraph"/>
        <w:numPr>
          <w:ilvl w:val="0"/>
          <w:numId w:val="32"/>
        </w:numPr>
        <w:spacing w:after="120"/>
        <w:contextualSpacing w:val="0"/>
        <w:jc w:val="both"/>
      </w:pPr>
      <w:r>
        <w:t>W</w:t>
      </w:r>
      <w:r w:rsidR="00EB4204" w:rsidRPr="00BF6FA4">
        <w:t xml:space="preserve">hen developing these additional analyses or scenarios used to inform cost allocation, </w:t>
      </w:r>
      <w:r>
        <w:t>TPs</w:t>
      </w:r>
      <w:r w:rsidR="00EB4204" w:rsidRPr="00BF6FA4">
        <w:t xml:space="preserve"> have the flexibility to depart from Order No. 1920’s requirements related to the development of </w:t>
      </w:r>
      <w:r>
        <w:t>LTS</w:t>
      </w:r>
      <w:r w:rsidR="00EB4204" w:rsidRPr="00BF6FA4">
        <w:t xml:space="preserve">.  For example, </w:t>
      </w:r>
      <w:r>
        <w:t>TPs</w:t>
      </w:r>
      <w:r w:rsidR="00EB4204" w:rsidRPr="00BF6FA4">
        <w:t xml:space="preserve"> may develop scenarios that consider the incremental cost and benefits of </w:t>
      </w:r>
      <w:r w:rsidR="00BF6FA4" w:rsidRPr="00BF6FA4">
        <w:t>LTRTF</w:t>
      </w:r>
      <w:r w:rsidR="00EB4204" w:rsidRPr="00BF6FA4">
        <w:t xml:space="preserve"> needed to achieve state laws, policies, and regulations beyond the cost and benefits of </w:t>
      </w:r>
      <w:r w:rsidR="00BF6FA4" w:rsidRPr="00BF6FA4">
        <w:t>LTRTF</w:t>
      </w:r>
      <w:r w:rsidR="00EB4204" w:rsidRPr="00BF6FA4">
        <w:t xml:space="preserve"> needed in the absence of those laws, policies, and regulations.   </w:t>
      </w:r>
    </w:p>
    <w:p w14:paraId="592FB4EA" w14:textId="3513E234" w:rsidR="00B75DD2" w:rsidRDefault="00B75DD2" w:rsidP="00103AEB">
      <w:pPr>
        <w:pStyle w:val="ListParagraph"/>
        <w:numPr>
          <w:ilvl w:val="0"/>
          <w:numId w:val="32"/>
        </w:numPr>
        <w:spacing w:after="120"/>
        <w:contextualSpacing w:val="0"/>
        <w:jc w:val="both"/>
      </w:pPr>
      <w:r>
        <w:t>I</w:t>
      </w:r>
      <w:r w:rsidR="00EB4204" w:rsidRPr="00BF6FA4">
        <w:t xml:space="preserve">f the Relevant State Entities wish for the </w:t>
      </w:r>
      <w:r>
        <w:t>TP</w:t>
      </w:r>
      <w:r w:rsidR="00EB4204" w:rsidRPr="00BF6FA4">
        <w:t xml:space="preserve"> to develop a reasonable number of additional scenarios for </w:t>
      </w:r>
      <w:r>
        <w:t xml:space="preserve">LTRTP </w:t>
      </w:r>
      <w:r w:rsidR="00EB4204" w:rsidRPr="00BF6FA4">
        <w:t xml:space="preserve">or Long-Term Regional Cost Allocation, then the </w:t>
      </w:r>
      <w:r>
        <w:t xml:space="preserve">TP </w:t>
      </w:r>
      <w:r w:rsidR="00EB4204" w:rsidRPr="00BF6FA4">
        <w:t xml:space="preserve">will develop these scenarios. While </w:t>
      </w:r>
      <w:r>
        <w:t>TPs</w:t>
      </w:r>
      <w:r w:rsidR="00EB4204" w:rsidRPr="00BF6FA4">
        <w:t xml:space="preserve"> may conduct such additional analyses, additional analyses that do not meet Order No. 1920’s </w:t>
      </w:r>
      <w:r>
        <w:t>LTS</w:t>
      </w:r>
      <w:r w:rsidR="00EB4204" w:rsidRPr="00BF6FA4">
        <w:t xml:space="preserve"> requirements are not considered </w:t>
      </w:r>
      <w:r>
        <w:t>LTS</w:t>
      </w:r>
      <w:r w:rsidR="00EB4204" w:rsidRPr="00BF6FA4">
        <w:t xml:space="preserve"> as defined in Order No. 1920.   In other words, </w:t>
      </w:r>
      <w:r>
        <w:t xml:space="preserve">TPs </w:t>
      </w:r>
      <w:r w:rsidR="00EB4204" w:rsidRPr="00BF6FA4">
        <w:t xml:space="preserve">may not use any such additional analyses to identify Long-Term Transmission Needs, identify </w:t>
      </w:r>
      <w:r w:rsidR="00BF6FA4" w:rsidRPr="00BF6FA4">
        <w:t>LTRTF</w:t>
      </w:r>
      <w:r w:rsidR="00EB4204" w:rsidRPr="00BF6FA4">
        <w:t xml:space="preserve">, or to meet the requirement that </w:t>
      </w:r>
      <w:r>
        <w:t>TPs</w:t>
      </w:r>
      <w:r w:rsidR="00EB4204" w:rsidRPr="00BF6FA4">
        <w:t xml:space="preserve"> estimate the costs and measure the benefits of </w:t>
      </w:r>
      <w:r w:rsidR="00BF6FA4" w:rsidRPr="00BF6FA4">
        <w:t>LTRTF</w:t>
      </w:r>
      <w:r>
        <w:t>s</w:t>
      </w:r>
      <w:r w:rsidR="00EB4204" w:rsidRPr="00BF6FA4">
        <w:t xml:space="preserve"> for purposes of selection (i.e., to apply the transmission provider’s selection criteria).  </w:t>
      </w:r>
      <w:r>
        <w:t>TPs</w:t>
      </w:r>
      <w:r w:rsidR="00EB4204" w:rsidRPr="00BF6FA4">
        <w:t xml:space="preserve"> also may not, consistent with the requirement that </w:t>
      </w:r>
      <w:r>
        <w:t>they</w:t>
      </w:r>
      <w:r w:rsidR="00EB4204" w:rsidRPr="00BF6FA4">
        <w:t xml:space="preserve"> have the opportunity to select more efficient or cost-effective </w:t>
      </w:r>
      <w:r w:rsidR="00BF6FA4" w:rsidRPr="00BF6FA4">
        <w:t>LTRTF</w:t>
      </w:r>
      <w:r>
        <w:t>s</w:t>
      </w:r>
      <w:r w:rsidR="00EB4204" w:rsidRPr="00BF6FA4">
        <w:t xml:space="preserve"> to meet Long-Term Transmission Needs, condition the selection of a</w:t>
      </w:r>
      <w:r>
        <w:t>n</w:t>
      </w:r>
      <w:r w:rsidR="00EB4204" w:rsidRPr="00BF6FA4">
        <w:t xml:space="preserve"> </w:t>
      </w:r>
      <w:r>
        <w:t>LTRTF</w:t>
      </w:r>
      <w:r w:rsidR="00EB4204" w:rsidRPr="00BF6FA4">
        <w:t xml:space="preserve"> on the information provided in these additional analyses. </w:t>
      </w:r>
    </w:p>
    <w:p w14:paraId="7C496204" w14:textId="7DDD1BA2" w:rsidR="00EB4204" w:rsidRPr="00BF6FA4" w:rsidRDefault="00EB4204" w:rsidP="00103AEB">
      <w:pPr>
        <w:pStyle w:val="ListParagraph"/>
        <w:numPr>
          <w:ilvl w:val="0"/>
          <w:numId w:val="32"/>
        </w:numPr>
        <w:spacing w:after="120"/>
        <w:contextualSpacing w:val="0"/>
        <w:jc w:val="both"/>
      </w:pPr>
      <w:r w:rsidRPr="00BF6FA4">
        <w:t xml:space="preserve">On compliance, </w:t>
      </w:r>
      <w:r w:rsidR="00B75DD2">
        <w:t>TPs</w:t>
      </w:r>
      <w:r w:rsidRPr="00BF6FA4">
        <w:t xml:space="preserve"> may propose processes to determine when Relevant State Entities have requested additional analyses and how to determine what a reasonable number of additional analyses may be.</w:t>
      </w:r>
      <w:r w:rsidRPr="00BF6FA4">
        <w:rPr>
          <w:rStyle w:val="FootnoteReference"/>
        </w:rPr>
        <w:footnoteReference w:id="117"/>
      </w:r>
    </w:p>
    <w:p w14:paraId="62BA385F" w14:textId="0B9E8099" w:rsidR="002763DD" w:rsidRPr="00BF6FA4" w:rsidRDefault="002763DD" w:rsidP="00436394">
      <w:pPr>
        <w:spacing w:after="240"/>
        <w:jc w:val="both"/>
        <w:rPr>
          <w:b/>
          <w:bCs/>
          <w:u w:val="single"/>
        </w:rPr>
      </w:pPr>
      <w:r w:rsidRPr="00BF6FA4">
        <w:rPr>
          <w:b/>
          <w:bCs/>
          <w:u w:val="single"/>
        </w:rPr>
        <w:t>Evaluation of Benefits</w:t>
      </w:r>
      <w:r w:rsidR="00196185" w:rsidRPr="00BF6FA4">
        <w:rPr>
          <w:b/>
          <w:bCs/>
          <w:u w:val="single"/>
        </w:rPr>
        <w:t xml:space="preserve"> of </w:t>
      </w:r>
      <w:r w:rsidR="00C741E5" w:rsidRPr="00BF6FA4">
        <w:rPr>
          <w:b/>
          <w:bCs/>
          <w:u w:val="single"/>
        </w:rPr>
        <w:t>LTRTF</w:t>
      </w:r>
    </w:p>
    <w:p w14:paraId="248D3FC7" w14:textId="7D1C5D51" w:rsidR="00C66DCB" w:rsidRPr="00BF6FA4" w:rsidRDefault="00C741E5" w:rsidP="00103AEB">
      <w:pPr>
        <w:spacing w:after="240"/>
        <w:ind w:firstLine="720"/>
        <w:jc w:val="both"/>
      </w:pPr>
      <w:r w:rsidRPr="00BF6FA4">
        <w:rPr>
          <w:b/>
          <w:bCs/>
          <w:i/>
          <w:iCs/>
        </w:rPr>
        <w:t xml:space="preserve">Requirement to Use a Set of Benefits. </w:t>
      </w:r>
      <w:r w:rsidR="00C96D79" w:rsidRPr="00BF6FA4">
        <w:t xml:space="preserve">In </w:t>
      </w:r>
      <w:r w:rsidR="00BA0730" w:rsidRPr="00BF6FA4">
        <w:t xml:space="preserve">Order No. 1920, </w:t>
      </w:r>
      <w:r w:rsidR="00F04FFA" w:rsidRPr="00BF6FA4">
        <w:t xml:space="preserve">the Commission </w:t>
      </w:r>
      <w:r w:rsidR="00BA0730" w:rsidRPr="00BF6FA4">
        <w:t xml:space="preserve">required </w:t>
      </w:r>
      <w:r w:rsidR="00E86711" w:rsidRPr="00BF6FA4">
        <w:t>TPs</w:t>
      </w:r>
      <w:r w:rsidR="00BA0730" w:rsidRPr="00BF6FA4">
        <w:t xml:space="preserve"> in each transmission planning region to measure a set of seven required benefits for </w:t>
      </w:r>
      <w:r w:rsidR="00196185" w:rsidRPr="00BF6FA4">
        <w:t xml:space="preserve">identified </w:t>
      </w:r>
      <w:r w:rsidRPr="00BF6FA4">
        <w:t>LTRTF</w:t>
      </w:r>
      <w:r w:rsidR="00B75DD2">
        <w:t>s</w:t>
      </w:r>
      <w:r w:rsidR="00BA0730" w:rsidRPr="00BF6FA4">
        <w:t xml:space="preserve"> under each </w:t>
      </w:r>
      <w:r w:rsidR="00B75DD2">
        <w:t>LTS</w:t>
      </w:r>
      <w:r w:rsidR="00BA0730" w:rsidRPr="00BF6FA4">
        <w:t xml:space="preserve"> and to use these measured benefits to evaluate </w:t>
      </w:r>
      <w:r w:rsidRPr="00BF6FA4">
        <w:t>LTRTF</w:t>
      </w:r>
      <w:r w:rsidR="00B75DD2">
        <w:t>s</w:t>
      </w:r>
      <w:r w:rsidR="00C66DCB" w:rsidRPr="00BF6FA4">
        <w:t>.</w:t>
      </w:r>
      <w:r w:rsidR="00F04FFA" w:rsidRPr="00BF6FA4">
        <w:t xml:space="preserve"> The required benefits include</w:t>
      </w:r>
      <w:r w:rsidR="00C66DCB" w:rsidRPr="00BF6FA4">
        <w:t>: (1) avoided or deferred reliability transmission facilities and aging infrastructure replacement; (2) a benefit that can be characterized and measured as either reduced loss of load probability or reduced planning reserve margin; (3) production cost savings; (4) reduced transmission energy losses; (5) reduced congestion due to transmission outages; (6) mitigation of extreme weather events and unexpected system conditions; and (7) capacity cost benefits from reduced peak energy losses.</w:t>
      </w:r>
      <w:r w:rsidR="00196185" w:rsidRPr="00BF6FA4">
        <w:rPr>
          <w:rStyle w:val="FootnoteReference"/>
        </w:rPr>
        <w:footnoteReference w:id="118"/>
      </w:r>
      <w:r w:rsidR="00C66DCB" w:rsidRPr="00BF6FA4">
        <w:t xml:space="preserve"> </w:t>
      </w:r>
      <w:r w:rsidR="008E697F" w:rsidRPr="00BF6FA4">
        <w:t>FERC</w:t>
      </w:r>
      <w:r w:rsidR="00C66DCB" w:rsidRPr="00BF6FA4">
        <w:t xml:space="preserve"> found that the record demonstrated that, in order to ensure just and reasonable Commission-jurisdictional transmission rates, it was necessary to require </w:t>
      </w:r>
      <w:r w:rsidR="00E86711" w:rsidRPr="00BF6FA4">
        <w:t>TPs</w:t>
      </w:r>
      <w:r w:rsidR="00C66DCB" w:rsidRPr="00BF6FA4">
        <w:t xml:space="preserve"> to measure and use in </w:t>
      </w:r>
      <w:r w:rsidR="00196185" w:rsidRPr="00BF6FA4">
        <w:t xml:space="preserve">LTRTP </w:t>
      </w:r>
      <w:r w:rsidR="00C66DCB" w:rsidRPr="00BF6FA4">
        <w:t>a set of particular benefits so that they may identify, evaluate, and select regional transmission facilities that are more efficient or cost-effective transmission solutions to Long-Term Transmission Needs.</w:t>
      </w:r>
      <w:r w:rsidR="00196185" w:rsidRPr="00BF6FA4">
        <w:rPr>
          <w:rStyle w:val="FootnoteReference"/>
        </w:rPr>
        <w:footnoteReference w:id="119"/>
      </w:r>
      <w:r w:rsidR="00C66DCB" w:rsidRPr="00BF6FA4">
        <w:t xml:space="preserve"> </w:t>
      </w:r>
    </w:p>
    <w:p w14:paraId="0403D120" w14:textId="0D65B695" w:rsidR="00C66DCB" w:rsidRPr="00BF6FA4" w:rsidRDefault="00C66DCB" w:rsidP="00103AEB">
      <w:pPr>
        <w:spacing w:after="240"/>
        <w:ind w:firstLine="720"/>
        <w:jc w:val="both"/>
      </w:pPr>
      <w:r w:rsidRPr="00BF6FA4">
        <w:t>Order No. 1920-A</w:t>
      </w:r>
      <w:r w:rsidR="00F04FFA" w:rsidRPr="00BF6FA4">
        <w:t xml:space="preserve"> affirms the use of these seven required benefits for the evaluation and selection of LTRTF</w:t>
      </w:r>
      <w:r w:rsidR="00B75DD2">
        <w:t>s</w:t>
      </w:r>
      <w:r w:rsidR="00196185" w:rsidRPr="00BF6FA4">
        <w:t>,</w:t>
      </w:r>
      <w:r w:rsidR="00042151" w:rsidRPr="00BF6FA4">
        <w:t xml:space="preserve"> </w:t>
      </w:r>
      <w:r w:rsidR="00F04FFA" w:rsidRPr="00BF6FA4">
        <w:t xml:space="preserve">with the Commission </w:t>
      </w:r>
      <w:r w:rsidR="00196185" w:rsidRPr="00BF6FA4">
        <w:t>reiterating</w:t>
      </w:r>
      <w:r w:rsidR="00042151" w:rsidRPr="00BF6FA4">
        <w:t xml:space="preserve"> that the measurement and use of certain benefits in </w:t>
      </w:r>
      <w:r w:rsidR="00EB4204" w:rsidRPr="00BF6FA4">
        <w:t xml:space="preserve">LTRTP </w:t>
      </w:r>
      <w:r w:rsidR="00042151" w:rsidRPr="00BF6FA4">
        <w:t>is essential to ensuring just and reasonable Commission-jurisdictional rates</w:t>
      </w:r>
      <w:r w:rsidRPr="00BF6FA4">
        <w:t>.</w:t>
      </w:r>
      <w:r w:rsidR="00196185" w:rsidRPr="00BF6FA4">
        <w:rPr>
          <w:rStyle w:val="FootnoteReference"/>
        </w:rPr>
        <w:footnoteReference w:id="120"/>
      </w:r>
      <w:r w:rsidRPr="00BF6FA4">
        <w:t xml:space="preserve"> </w:t>
      </w:r>
      <w:r w:rsidR="00F04FFA" w:rsidRPr="00BF6FA4">
        <w:t>The Commission</w:t>
      </w:r>
      <w:r w:rsidRPr="00BF6FA4">
        <w:t xml:space="preserve"> </w:t>
      </w:r>
      <w:r w:rsidR="00B75DD2" w:rsidRPr="00BF6FA4">
        <w:t>reject</w:t>
      </w:r>
      <w:r w:rsidR="00B75DD2">
        <w:t>s</w:t>
      </w:r>
      <w:r w:rsidR="00B75DD2" w:rsidRPr="00BF6FA4">
        <w:t xml:space="preserve"> </w:t>
      </w:r>
      <w:r w:rsidRPr="00BF6FA4">
        <w:t xml:space="preserve">arguments that it failed to provide adequate notice and opportunity to comment on </w:t>
      </w:r>
      <w:r w:rsidR="00196185" w:rsidRPr="00BF6FA4">
        <w:t>this requirement</w:t>
      </w:r>
      <w:r w:rsidRPr="00BF6FA4">
        <w:t>.</w:t>
      </w:r>
      <w:r w:rsidR="00196185" w:rsidRPr="00BF6FA4">
        <w:rPr>
          <w:rStyle w:val="FootnoteReference"/>
        </w:rPr>
        <w:footnoteReference w:id="121"/>
      </w:r>
      <w:r w:rsidRPr="00BF6FA4">
        <w:t xml:space="preserve"> </w:t>
      </w:r>
      <w:r w:rsidR="00196185" w:rsidRPr="00BF6FA4">
        <w:t xml:space="preserve">This Commission also </w:t>
      </w:r>
      <w:r w:rsidR="00B75DD2" w:rsidRPr="00BF6FA4">
        <w:t>disagree</w:t>
      </w:r>
      <w:r w:rsidR="00B75DD2">
        <w:t>s</w:t>
      </w:r>
      <w:r w:rsidR="00B75DD2" w:rsidRPr="00BF6FA4">
        <w:t xml:space="preserve"> </w:t>
      </w:r>
      <w:r w:rsidR="00196185" w:rsidRPr="00BF6FA4">
        <w:t>with arguments</w:t>
      </w:r>
      <w:r w:rsidR="00042151" w:rsidRPr="00BF6FA4">
        <w:t xml:space="preserve"> that the seven required benefits will overlap and will double-count or exaggerate the potential benefits of </w:t>
      </w:r>
      <w:r w:rsidR="00C741E5" w:rsidRPr="00BF6FA4">
        <w:t>LTRTF</w:t>
      </w:r>
      <w:r w:rsidR="00B75DD2">
        <w:t>s</w:t>
      </w:r>
      <w:r w:rsidR="00042151" w:rsidRPr="00BF6FA4">
        <w:t>.</w:t>
      </w:r>
      <w:r w:rsidR="00196185" w:rsidRPr="00BF6FA4">
        <w:rPr>
          <w:rStyle w:val="FootnoteReference"/>
        </w:rPr>
        <w:footnoteReference w:id="122"/>
      </w:r>
      <w:r w:rsidR="00042151" w:rsidRPr="00BF6FA4">
        <w:t xml:space="preserve"> </w:t>
      </w:r>
    </w:p>
    <w:p w14:paraId="16B0F647" w14:textId="08CFE2F9" w:rsidR="00042151" w:rsidRPr="00BF6FA4" w:rsidRDefault="00E86711" w:rsidP="00340D48">
      <w:pPr>
        <w:spacing w:after="240"/>
        <w:ind w:firstLine="360"/>
        <w:jc w:val="both"/>
      </w:pPr>
      <w:r w:rsidRPr="00BF6FA4">
        <w:t>TPs</w:t>
      </w:r>
      <w:r w:rsidR="00042151" w:rsidRPr="00BF6FA4">
        <w:t xml:space="preserve">’ evaluation of </w:t>
      </w:r>
      <w:r w:rsidR="00C741E5" w:rsidRPr="00BF6FA4">
        <w:t>LTRTF</w:t>
      </w:r>
      <w:r w:rsidR="00B75DD2">
        <w:t>s</w:t>
      </w:r>
      <w:r w:rsidR="00042151" w:rsidRPr="00BF6FA4">
        <w:t xml:space="preserve"> must culminate in a determination that is sufficiently detailed for stakeholders to understand why a particular </w:t>
      </w:r>
      <w:r w:rsidR="00B75DD2">
        <w:t>LTRTF</w:t>
      </w:r>
      <w:r w:rsidR="00042151" w:rsidRPr="00BF6FA4">
        <w:t xml:space="preserve"> (or portfolio of </w:t>
      </w:r>
      <w:r w:rsidR="00C741E5" w:rsidRPr="00BF6FA4">
        <w:t>LTRTF</w:t>
      </w:r>
      <w:r w:rsidR="00B75DD2">
        <w:t>s</w:t>
      </w:r>
      <w:r w:rsidR="00042151" w:rsidRPr="00BF6FA4">
        <w:t xml:space="preserve">) was selected or not selected.  </w:t>
      </w:r>
      <w:r w:rsidR="00D47DF2" w:rsidRPr="00BF6FA4">
        <w:t xml:space="preserve">The Commission </w:t>
      </w:r>
      <w:r w:rsidR="00042151" w:rsidRPr="00BF6FA4">
        <w:t xml:space="preserve">explained that this determination must include the estimated costs and measured benefits of each alternative </w:t>
      </w:r>
      <w:r w:rsidR="00B75DD2">
        <w:t>LTRTF</w:t>
      </w:r>
      <w:r w:rsidR="00042151" w:rsidRPr="00BF6FA4">
        <w:t xml:space="preserve">(or portfolio of </w:t>
      </w:r>
      <w:r w:rsidR="00C741E5" w:rsidRPr="00BF6FA4">
        <w:t>LTRTF</w:t>
      </w:r>
      <w:r w:rsidR="00B75DD2">
        <w:t>s</w:t>
      </w:r>
      <w:r w:rsidR="00042151" w:rsidRPr="00BF6FA4">
        <w:t xml:space="preserve">) that </w:t>
      </w:r>
      <w:r w:rsidRPr="00BF6FA4">
        <w:t>TPs</w:t>
      </w:r>
      <w:r w:rsidR="00042151" w:rsidRPr="00BF6FA4">
        <w:t xml:space="preserve"> evaluated in the </w:t>
      </w:r>
      <w:r w:rsidR="00196185" w:rsidRPr="00BF6FA4">
        <w:t>LTRTP</w:t>
      </w:r>
      <w:r w:rsidR="00042151" w:rsidRPr="00BF6FA4">
        <w:t xml:space="preserve"> process, regardless of whether or not the </w:t>
      </w:r>
      <w:r w:rsidR="00B75DD2">
        <w:t>LTRTF</w:t>
      </w:r>
      <w:r w:rsidR="00042151" w:rsidRPr="00BF6FA4">
        <w:t xml:space="preserve"> (or portfolio of </w:t>
      </w:r>
      <w:r w:rsidR="00B75DD2">
        <w:t>LTRTFs</w:t>
      </w:r>
      <w:r w:rsidR="00042151" w:rsidRPr="00BF6FA4">
        <w:t>) is selected.</w:t>
      </w:r>
      <w:r w:rsidR="00196185" w:rsidRPr="00BF6FA4">
        <w:rPr>
          <w:rStyle w:val="FootnoteReference"/>
        </w:rPr>
        <w:footnoteReference w:id="123"/>
      </w:r>
      <w:r w:rsidR="00042151" w:rsidRPr="00BF6FA4">
        <w:t xml:space="preserve"> </w:t>
      </w:r>
      <w:r w:rsidR="00D47DF2" w:rsidRPr="00BF6FA4">
        <w:t>In Order 1920-A the Commission</w:t>
      </w:r>
      <w:r w:rsidR="00196185" w:rsidRPr="00BF6FA4">
        <w:t xml:space="preserve"> </w:t>
      </w:r>
      <w:r w:rsidR="00B75DD2" w:rsidRPr="00BF6FA4">
        <w:t>decline</w:t>
      </w:r>
      <w:r w:rsidR="00B75DD2">
        <w:t>s</w:t>
      </w:r>
      <w:r w:rsidR="00B75DD2" w:rsidRPr="00BF6FA4">
        <w:t xml:space="preserve"> </w:t>
      </w:r>
      <w:r w:rsidR="00196185" w:rsidRPr="00BF6FA4">
        <w:t>requests to modify this process</w:t>
      </w:r>
      <w:r w:rsidR="00D47DF2" w:rsidRPr="00BF6FA4">
        <w:t xml:space="preserve"> but </w:t>
      </w:r>
      <w:r w:rsidR="00196185" w:rsidRPr="00BF6FA4">
        <w:t>did issue a few clarifications on the benefits to be used for LTRTF</w:t>
      </w:r>
      <w:r w:rsidR="00B75DD2">
        <w:t>s</w:t>
      </w:r>
      <w:r w:rsidR="00196185" w:rsidRPr="00BF6FA4">
        <w:t>:</w:t>
      </w:r>
    </w:p>
    <w:p w14:paraId="0772BE63" w14:textId="56D9A6C1" w:rsidR="00196185" w:rsidRPr="00BF6FA4" w:rsidRDefault="00196185" w:rsidP="00103AEB">
      <w:pPr>
        <w:pStyle w:val="ListParagraph"/>
        <w:numPr>
          <w:ilvl w:val="0"/>
          <w:numId w:val="27"/>
        </w:numPr>
        <w:spacing w:after="120"/>
        <w:contextualSpacing w:val="0"/>
        <w:jc w:val="both"/>
      </w:pPr>
      <w:r w:rsidRPr="00BF6FA4">
        <w:t>Regarding Benefit 2,</w:t>
      </w:r>
      <w:r w:rsidR="003629BF" w:rsidRPr="00BF6FA4">
        <w:t xml:space="preserve"> Order No. 1920 does not require </w:t>
      </w:r>
      <w:r w:rsidR="00E86711" w:rsidRPr="00BF6FA4">
        <w:t>TPs</w:t>
      </w:r>
      <w:r w:rsidR="003629BF" w:rsidRPr="00BF6FA4">
        <w:t xml:space="preserve"> to establish a different planning reserve margin than the one established by resource planners or load-serving entities in a particular </w:t>
      </w:r>
      <w:r w:rsidR="00E86711" w:rsidRPr="00BF6FA4">
        <w:t>TP</w:t>
      </w:r>
      <w:r w:rsidR="003629BF" w:rsidRPr="00BF6FA4">
        <w:t xml:space="preserve">’s system, including in measuring Final Rule Benefit 2. </w:t>
      </w:r>
      <w:r w:rsidRPr="00BF6FA4">
        <w:t xml:space="preserve">Any </w:t>
      </w:r>
      <w:r w:rsidR="003629BF" w:rsidRPr="00BF6FA4">
        <w:t xml:space="preserve">calculation of this benefit will only serve to support the benefits assessment of potential </w:t>
      </w:r>
      <w:r w:rsidR="00C741E5" w:rsidRPr="00BF6FA4">
        <w:t>LTRTF</w:t>
      </w:r>
      <w:r w:rsidR="003629BF" w:rsidRPr="00BF6FA4">
        <w:t xml:space="preserve"> during the Long-Term Regional Transmission Planning process.</w:t>
      </w:r>
      <w:r w:rsidRPr="00BF6FA4">
        <w:rPr>
          <w:rStyle w:val="FootnoteReference"/>
        </w:rPr>
        <w:footnoteReference w:id="124"/>
      </w:r>
      <w:r w:rsidR="003629BF" w:rsidRPr="00BF6FA4">
        <w:t xml:space="preserve"> </w:t>
      </w:r>
    </w:p>
    <w:p w14:paraId="60B45F75" w14:textId="57F5A0E6" w:rsidR="003629BF" w:rsidRPr="00BF6FA4" w:rsidRDefault="00196185" w:rsidP="00103AEB">
      <w:pPr>
        <w:pStyle w:val="ListParagraph"/>
        <w:numPr>
          <w:ilvl w:val="0"/>
          <w:numId w:val="27"/>
        </w:numPr>
        <w:spacing w:after="120"/>
        <w:contextualSpacing w:val="0"/>
        <w:jc w:val="both"/>
      </w:pPr>
      <w:r w:rsidRPr="00BF6FA4">
        <w:t xml:space="preserve">With respect to </w:t>
      </w:r>
      <w:r w:rsidR="003629BF" w:rsidRPr="00BF6FA4">
        <w:t>Benefit 3</w:t>
      </w:r>
      <w:r w:rsidRPr="00BF6FA4">
        <w:t>,</w:t>
      </w:r>
      <w:r w:rsidR="003629BF" w:rsidRPr="00BF6FA4">
        <w:t xml:space="preserve"> if </w:t>
      </w:r>
      <w:r w:rsidR="00E86711" w:rsidRPr="00BF6FA4">
        <w:t>TPs</w:t>
      </w:r>
      <w:r w:rsidR="003629BF" w:rsidRPr="00BF6FA4">
        <w:t xml:space="preserve"> in a transmission planning region believe they can use production cost savings from one or more state integrated resource plans as an appropriate method to measure</w:t>
      </w:r>
      <w:r w:rsidR="003629BF" w:rsidRPr="00BF6FA4" w:rsidDel="00AE025C">
        <w:t xml:space="preserve"> the value of</w:t>
      </w:r>
      <w:r w:rsidR="003629BF" w:rsidRPr="00BF6FA4">
        <w:t xml:space="preserve"> Final Rule Benefit 3, they may propose to do so on compliance.</w:t>
      </w:r>
      <w:r w:rsidRPr="00BF6FA4">
        <w:rPr>
          <w:rStyle w:val="FootnoteReference"/>
        </w:rPr>
        <w:footnoteReference w:id="125"/>
      </w:r>
      <w:r w:rsidR="003516AD" w:rsidRPr="00BF6FA4">
        <w:t xml:space="preserve"> </w:t>
      </w:r>
    </w:p>
    <w:p w14:paraId="1B9EB2F2" w14:textId="65D3CB8D" w:rsidR="003516AD" w:rsidRPr="00BF6FA4" w:rsidRDefault="00C741E5" w:rsidP="00103AEB">
      <w:pPr>
        <w:spacing w:after="240"/>
        <w:ind w:firstLine="720"/>
        <w:jc w:val="both"/>
      </w:pPr>
      <w:r w:rsidRPr="00BF6FA4">
        <w:rPr>
          <w:b/>
          <w:bCs/>
          <w:i/>
          <w:iCs/>
        </w:rPr>
        <w:t xml:space="preserve">Measurement and Use of Other Benefits. </w:t>
      </w:r>
      <w:r w:rsidR="003516AD" w:rsidRPr="00BF6FA4">
        <w:t>Order No. 192</w:t>
      </w:r>
      <w:r w:rsidR="00DA6CEE" w:rsidRPr="00BF6FA4">
        <w:t>0 did not</w:t>
      </w:r>
      <w:r w:rsidR="003516AD" w:rsidRPr="00BF6FA4">
        <w:t xml:space="preserve"> require </w:t>
      </w:r>
      <w:r w:rsidR="00E86711" w:rsidRPr="00BF6FA4">
        <w:t>TPs</w:t>
      </w:r>
      <w:r w:rsidR="003516AD" w:rsidRPr="00BF6FA4">
        <w:t xml:space="preserve"> to measure and use the remaining five benefits described in the NOPR</w:t>
      </w:r>
      <w:r w:rsidR="00B75DD2">
        <w:t xml:space="preserve"> </w:t>
      </w:r>
      <w:r w:rsidR="003516AD" w:rsidRPr="00BF6FA4">
        <w:t xml:space="preserve">(i.e., mitigation of weather and load uncertainty, generation capacity investments, access to lower-cost generation, increased competition, and increased market liquidity), but permitted </w:t>
      </w:r>
      <w:r w:rsidR="00E86711" w:rsidRPr="00BF6FA4">
        <w:t>TPs</w:t>
      </w:r>
      <w:r w:rsidR="003516AD" w:rsidRPr="00BF6FA4">
        <w:t xml:space="preserve"> to measure and use additional benefits beyond the set of seven required benefits, including on a transmission facility or plan-specific basis, subject to the requirement that they do so in a manner that is consistent with their obligations under Order No. 890 and Order No. 1000 transmission planning principles to be open and transparent as to their transmission planning processes.</w:t>
      </w:r>
      <w:r w:rsidRPr="00BF6FA4">
        <w:rPr>
          <w:rStyle w:val="FootnoteReference"/>
        </w:rPr>
        <w:footnoteReference w:id="126"/>
      </w:r>
      <w:r w:rsidR="003516AD" w:rsidRPr="00BF6FA4">
        <w:t xml:space="preserve"> </w:t>
      </w:r>
      <w:r w:rsidR="00DA6CEE" w:rsidRPr="00BF6FA4">
        <w:t>The Commission</w:t>
      </w:r>
      <w:r w:rsidRPr="00BF6FA4">
        <w:t xml:space="preserve"> </w:t>
      </w:r>
      <w:r w:rsidR="00B75DD2" w:rsidRPr="00BF6FA4">
        <w:t>clarifie</w:t>
      </w:r>
      <w:r w:rsidR="00B75DD2">
        <w:t>s</w:t>
      </w:r>
      <w:r w:rsidR="00B75DD2" w:rsidRPr="00BF6FA4">
        <w:t xml:space="preserve"> </w:t>
      </w:r>
      <w:r w:rsidR="003516AD" w:rsidRPr="00BF6FA4">
        <w:t xml:space="preserve">that </w:t>
      </w:r>
      <w:r w:rsidR="00B75DD2">
        <w:t>Order No. 1920’s</w:t>
      </w:r>
      <w:r w:rsidR="003516AD" w:rsidRPr="00BF6FA4">
        <w:t xml:space="preserve"> requirements for </w:t>
      </w:r>
      <w:r w:rsidR="00E86711" w:rsidRPr="00BF6FA4">
        <w:t>TPs</w:t>
      </w:r>
      <w:r w:rsidR="003516AD" w:rsidRPr="00BF6FA4">
        <w:t xml:space="preserve"> to be “open and transparent” applies to the process of deciding whether to use and how to measure other benefits in addition to the required benefits as well as to the implementation of other benefits for specific </w:t>
      </w:r>
      <w:r w:rsidRPr="00BF6FA4">
        <w:t>LTRTF.</w:t>
      </w:r>
      <w:r w:rsidRPr="00BF6FA4">
        <w:rPr>
          <w:rStyle w:val="FootnoteReference"/>
        </w:rPr>
        <w:footnoteReference w:id="127"/>
      </w:r>
      <w:r w:rsidR="003516AD" w:rsidRPr="00BF6FA4">
        <w:t xml:space="preserve"> </w:t>
      </w:r>
    </w:p>
    <w:p w14:paraId="3B55FC5C" w14:textId="76DF155F" w:rsidR="003516AD" w:rsidRPr="00BF6FA4" w:rsidRDefault="00C741E5" w:rsidP="00103AEB">
      <w:pPr>
        <w:spacing w:after="240"/>
        <w:ind w:firstLine="720"/>
        <w:jc w:val="both"/>
      </w:pPr>
      <w:r w:rsidRPr="00BF6FA4">
        <w:rPr>
          <w:b/>
          <w:bCs/>
          <w:i/>
          <w:iCs/>
        </w:rPr>
        <w:t xml:space="preserve">Identification, Measurement and Evaluation of Benefits. </w:t>
      </w:r>
      <w:r w:rsidR="003516AD" w:rsidRPr="00BF6FA4">
        <w:t xml:space="preserve">In Order No. 1920, </w:t>
      </w:r>
      <w:r w:rsidR="008E697F" w:rsidRPr="00BF6FA4">
        <w:t>FERC</w:t>
      </w:r>
      <w:r w:rsidR="003516AD" w:rsidRPr="00BF6FA4">
        <w:t xml:space="preserve"> required </w:t>
      </w:r>
      <w:r w:rsidR="00E86711" w:rsidRPr="00BF6FA4">
        <w:t>TPs</w:t>
      </w:r>
      <w:r w:rsidR="003516AD" w:rsidRPr="00BF6FA4">
        <w:t xml:space="preserve"> to include in their OATTs a general description of how they will measure each of the set of seven required benefits, sufficient only to enable stakeholders to understand </w:t>
      </w:r>
      <w:r w:rsidR="00127F69" w:rsidRPr="00BF6FA4">
        <w:t>how</w:t>
      </w:r>
      <w:r w:rsidR="003516AD" w:rsidRPr="00BF6FA4">
        <w:t xml:space="preserve"> </w:t>
      </w:r>
      <w:r w:rsidR="00E86711" w:rsidRPr="00BF6FA4">
        <w:t>TPs</w:t>
      </w:r>
      <w:r w:rsidR="003516AD" w:rsidRPr="00BF6FA4">
        <w:t xml:space="preserve"> will measure these benefits. Order No. 1920</w:t>
      </w:r>
      <w:r w:rsidR="003516AD" w:rsidRPr="00BF6FA4" w:rsidDel="0024214D">
        <w:t xml:space="preserve"> </w:t>
      </w:r>
      <w:r w:rsidR="003516AD" w:rsidRPr="00BF6FA4">
        <w:t>provided flexibility to transmission planners to specify the method for measuring each of the seven required benefits, as well as discretion to measure and use additional benefits that go beyond the set of seven required benefits, subject to the requirement that they do so in a manner that is consistent with their obligations under Order No. 890 and Order No. 1000 transmission planning principles to be open and transparent as to their transmission planning processes.</w:t>
      </w:r>
      <w:r w:rsidRPr="00BF6FA4">
        <w:rPr>
          <w:rStyle w:val="FootnoteReference"/>
        </w:rPr>
        <w:footnoteReference w:id="128"/>
      </w:r>
      <w:r w:rsidR="003516AD" w:rsidRPr="00BF6FA4">
        <w:t xml:space="preserve"> </w:t>
      </w:r>
      <w:r w:rsidR="00127F69" w:rsidRPr="00BF6FA4">
        <w:t>Order 1920-A</w:t>
      </w:r>
      <w:r w:rsidR="00B75DD2">
        <w:t xml:space="preserve"> </w:t>
      </w:r>
      <w:r w:rsidRPr="00BF6FA4">
        <w:t>clarifie</w:t>
      </w:r>
      <w:r w:rsidR="00127F69" w:rsidRPr="00BF6FA4">
        <w:t>s</w:t>
      </w:r>
      <w:r w:rsidR="003516AD" w:rsidRPr="00BF6FA4">
        <w:t xml:space="preserve"> that Order No. 1920 does not require </w:t>
      </w:r>
      <w:r w:rsidR="00E86711" w:rsidRPr="00BF6FA4">
        <w:t>TPs</w:t>
      </w:r>
      <w:r w:rsidR="003516AD" w:rsidRPr="00BF6FA4">
        <w:t xml:space="preserve"> to engage in generation or resource planning as part of </w:t>
      </w:r>
      <w:r w:rsidRPr="00BF6FA4">
        <w:t>LTRTP</w:t>
      </w:r>
      <w:r w:rsidR="003516AD" w:rsidRPr="00BF6FA4">
        <w:t>.</w:t>
      </w:r>
      <w:r w:rsidRPr="00BF6FA4">
        <w:rPr>
          <w:rStyle w:val="FootnoteReference"/>
        </w:rPr>
        <w:footnoteReference w:id="129"/>
      </w:r>
      <w:r w:rsidR="003516AD" w:rsidRPr="00BF6FA4">
        <w:t xml:space="preserve"> </w:t>
      </w:r>
      <w:r w:rsidR="00127F69" w:rsidRPr="00BF6FA4">
        <w:t xml:space="preserve">Order 1920-A </w:t>
      </w:r>
      <w:r w:rsidRPr="00BF6FA4">
        <w:t>also clarifie</w:t>
      </w:r>
      <w:r w:rsidR="00127F69" w:rsidRPr="00BF6FA4">
        <w:t>s</w:t>
      </w:r>
      <w:r w:rsidRPr="00BF6FA4">
        <w:t xml:space="preserve"> </w:t>
      </w:r>
      <w:r w:rsidR="003516AD" w:rsidRPr="00BF6FA4">
        <w:t xml:space="preserve">that Order No. 1920 does not prohibit </w:t>
      </w:r>
      <w:r w:rsidR="00E86711" w:rsidRPr="00BF6FA4">
        <w:t>TPs</w:t>
      </w:r>
      <w:r w:rsidR="003516AD" w:rsidRPr="00BF6FA4">
        <w:t xml:space="preserve"> from proposing to establish protocols by which they can rely, to the extent available, on resource planners and load-serving entities for generation-based data and information in satisfying the requirement to measure the benefits of </w:t>
      </w:r>
      <w:r w:rsidRPr="00BF6FA4">
        <w:t>LTRTF</w:t>
      </w:r>
      <w:r w:rsidR="003516AD" w:rsidRPr="00BF6FA4" w:rsidDel="00F20156">
        <w:t>.</w:t>
      </w:r>
      <w:r w:rsidRPr="00BF6FA4">
        <w:rPr>
          <w:rStyle w:val="FootnoteReference"/>
        </w:rPr>
        <w:footnoteReference w:id="130"/>
      </w:r>
      <w:r w:rsidR="003516AD" w:rsidRPr="00BF6FA4">
        <w:t xml:space="preserve">  </w:t>
      </w:r>
      <w:r w:rsidR="00127F69" w:rsidRPr="00BF6FA4">
        <w:t>Regardless of the method used to measure benefits, the description of the method must be set forth in the OATT in a way that will enable stakeholders to understand how benefits will be measured.</w:t>
      </w:r>
      <w:r w:rsidR="00127F69" w:rsidRPr="00BF6FA4">
        <w:rPr>
          <w:rStyle w:val="FootnoteReference"/>
        </w:rPr>
        <w:footnoteReference w:id="131"/>
      </w:r>
    </w:p>
    <w:p w14:paraId="6FD9ABAA" w14:textId="69989B64" w:rsidR="003516AD" w:rsidRPr="00BF6FA4" w:rsidRDefault="003516AD" w:rsidP="00103AEB">
      <w:pPr>
        <w:spacing w:after="240"/>
        <w:ind w:firstLine="720"/>
        <w:jc w:val="both"/>
      </w:pPr>
      <w:r w:rsidRPr="00BF6FA4">
        <w:rPr>
          <w:b/>
          <w:bCs/>
          <w:i/>
          <w:iCs/>
        </w:rPr>
        <w:t xml:space="preserve">Benefits Horizon. </w:t>
      </w:r>
      <w:r w:rsidRPr="00BF6FA4">
        <w:t xml:space="preserve">In Order No. 1920, </w:t>
      </w:r>
      <w:r w:rsidR="00127F69" w:rsidRPr="00BF6FA4">
        <w:t>the Commission</w:t>
      </w:r>
      <w:r w:rsidRPr="00BF6FA4">
        <w:t xml:space="preserve"> required </w:t>
      </w:r>
      <w:r w:rsidR="00E86711" w:rsidRPr="00BF6FA4">
        <w:t>TPs</w:t>
      </w:r>
      <w:r w:rsidRPr="00BF6FA4">
        <w:t xml:space="preserve">, as part of </w:t>
      </w:r>
      <w:r w:rsidR="00B75DD2">
        <w:t>LTRTP</w:t>
      </w:r>
      <w:r w:rsidRPr="00BF6FA4">
        <w:t xml:space="preserve">, to calculate the benefits of </w:t>
      </w:r>
      <w:r w:rsidR="00C741E5" w:rsidRPr="00BF6FA4">
        <w:t>LTRTF</w:t>
      </w:r>
      <w:r w:rsidR="00B75DD2">
        <w:t>s</w:t>
      </w:r>
      <w:r w:rsidRPr="00BF6FA4">
        <w:t xml:space="preserve"> over a time horizon that covers, at a minimum, 20 years starting from the estimated in-service date of the transmission facilities, and </w:t>
      </w:r>
      <w:r w:rsidR="008E697F" w:rsidRPr="00BF6FA4">
        <w:t>FERC</w:t>
      </w:r>
      <w:r w:rsidRPr="00BF6FA4">
        <w:t xml:space="preserve"> stated that this minimum 20-year benefit horizon must be used both for the evaluation and selection of </w:t>
      </w:r>
      <w:r w:rsidR="00C741E5" w:rsidRPr="00BF6FA4">
        <w:t>LTRTF</w:t>
      </w:r>
      <w:r w:rsidRPr="00BF6FA4">
        <w:t>.</w:t>
      </w:r>
      <w:r w:rsidR="00C741E5" w:rsidRPr="00BF6FA4">
        <w:rPr>
          <w:rStyle w:val="FootnoteReference"/>
        </w:rPr>
        <w:footnoteReference w:id="132"/>
      </w:r>
      <w:r w:rsidRPr="00BF6FA4">
        <w:t xml:space="preserve"> </w:t>
      </w:r>
      <w:r w:rsidR="00C741E5" w:rsidRPr="00BF6FA4">
        <w:t>Order No. 1920-A sustains this requirement.</w:t>
      </w:r>
      <w:r w:rsidR="00127F69" w:rsidRPr="00BF6FA4">
        <w:rPr>
          <w:rStyle w:val="FootnoteReference"/>
        </w:rPr>
        <w:footnoteReference w:id="133"/>
      </w:r>
    </w:p>
    <w:p w14:paraId="25DF97E8" w14:textId="154C6FD8" w:rsidR="00D3765F" w:rsidRPr="00BF6FA4" w:rsidRDefault="00D3765F" w:rsidP="00103AEB">
      <w:pPr>
        <w:spacing w:after="240"/>
        <w:ind w:firstLine="720"/>
        <w:jc w:val="both"/>
      </w:pPr>
      <w:r w:rsidRPr="00BF6FA4">
        <w:rPr>
          <w:b/>
          <w:bCs/>
          <w:i/>
          <w:iCs/>
        </w:rPr>
        <w:t>Evaluation of the Benefits of Portfolios of Transmission Facilities.</w:t>
      </w:r>
      <w:r w:rsidRPr="00BF6FA4">
        <w:t xml:space="preserve"> In Order No. 1920, </w:t>
      </w:r>
      <w:r w:rsidR="008E697F" w:rsidRPr="00BF6FA4">
        <w:t>FERC</w:t>
      </w:r>
      <w:r w:rsidRPr="00BF6FA4">
        <w:t xml:space="preserve"> allowed, but not did not require, </w:t>
      </w:r>
      <w:r w:rsidR="00E86711" w:rsidRPr="00BF6FA4">
        <w:t>TPs</w:t>
      </w:r>
      <w:r w:rsidRPr="00BF6FA4">
        <w:t xml:space="preserve"> in each transmission planning region to use a portfolio approach when evaluating the benefits of </w:t>
      </w:r>
      <w:r w:rsidR="00C741E5" w:rsidRPr="00BF6FA4">
        <w:t>LTRTF</w:t>
      </w:r>
      <w:r w:rsidRPr="00BF6FA4">
        <w:t xml:space="preserve">. </w:t>
      </w:r>
      <w:r w:rsidR="00C741E5" w:rsidRPr="00BF6FA4">
        <w:t>Order No. 1920-A sustains this requirement.</w:t>
      </w:r>
      <w:r w:rsidR="00C741E5" w:rsidRPr="00BF6FA4">
        <w:rPr>
          <w:rStyle w:val="FootnoteReference"/>
        </w:rPr>
        <w:footnoteReference w:id="134"/>
      </w:r>
    </w:p>
    <w:p w14:paraId="53234ACE" w14:textId="3DC57B32" w:rsidR="002763DD" w:rsidRPr="00BF6FA4" w:rsidRDefault="002763DD" w:rsidP="00436394">
      <w:pPr>
        <w:spacing w:after="240"/>
        <w:jc w:val="both"/>
        <w:rPr>
          <w:b/>
          <w:bCs/>
          <w:u w:val="single"/>
        </w:rPr>
      </w:pPr>
      <w:r w:rsidRPr="00BF6FA4">
        <w:rPr>
          <w:b/>
          <w:bCs/>
          <w:u w:val="single"/>
        </w:rPr>
        <w:t>Evaluation and Selection of LTRTF</w:t>
      </w:r>
    </w:p>
    <w:p w14:paraId="0394439F" w14:textId="6783861F" w:rsidR="00B77849" w:rsidRPr="00BF6FA4" w:rsidRDefault="00D3765F" w:rsidP="00103AEB">
      <w:pPr>
        <w:spacing w:after="240"/>
        <w:ind w:firstLine="720"/>
        <w:jc w:val="both"/>
      </w:pPr>
      <w:r w:rsidRPr="00BF6FA4">
        <w:rPr>
          <w:b/>
          <w:bCs/>
          <w:i/>
          <w:iCs/>
        </w:rPr>
        <w:t>Minimum Requirements</w:t>
      </w:r>
      <w:r w:rsidRPr="00BF6FA4">
        <w:t xml:space="preserve">. In Order No. 1920, </w:t>
      </w:r>
      <w:r w:rsidR="00127F69" w:rsidRPr="00BF6FA4">
        <w:t xml:space="preserve">the </w:t>
      </w:r>
      <w:r w:rsidR="008E697F" w:rsidRPr="00BF6FA4">
        <w:t>FERC</w:t>
      </w:r>
      <w:r w:rsidRPr="00BF6FA4">
        <w:t xml:space="preserve"> required </w:t>
      </w:r>
      <w:r w:rsidR="00E86711" w:rsidRPr="00BF6FA4">
        <w:t>TPs</w:t>
      </w:r>
      <w:r w:rsidRPr="00BF6FA4">
        <w:t xml:space="preserve"> in each transmission planning region to include in their OATTs an evaluation process, including selection criteria, that they will use to identify and evaluate </w:t>
      </w:r>
      <w:r w:rsidR="00C741E5" w:rsidRPr="00BF6FA4">
        <w:t>LTRTF</w:t>
      </w:r>
      <w:r w:rsidR="00B75DD2">
        <w:t>s</w:t>
      </w:r>
      <w:r w:rsidRPr="00BF6FA4">
        <w:t xml:space="preserve"> for potential selection to address Long-Term Transmission Needs.</w:t>
      </w:r>
      <w:r w:rsidR="00B77849" w:rsidRPr="00BF6FA4">
        <w:rPr>
          <w:rStyle w:val="FootnoteReference"/>
        </w:rPr>
        <w:footnoteReference w:id="135"/>
      </w:r>
      <w:r w:rsidRPr="00BF6FA4">
        <w:t xml:space="preserve"> </w:t>
      </w:r>
      <w:r w:rsidR="008E697F" w:rsidRPr="00BF6FA4">
        <w:t>FERC</w:t>
      </w:r>
      <w:r w:rsidRPr="00BF6FA4">
        <w:t xml:space="preserve"> provided flexibility to </w:t>
      </w:r>
      <w:r w:rsidR="00E86711" w:rsidRPr="00BF6FA4">
        <w:t>TPs</w:t>
      </w:r>
      <w:r w:rsidRPr="00BF6FA4">
        <w:t xml:space="preserve"> to propose, after consultation with </w:t>
      </w:r>
      <w:r w:rsidR="00B77849" w:rsidRPr="00BF6FA4">
        <w:t>R</w:t>
      </w:r>
      <w:r w:rsidR="00127F69" w:rsidRPr="00BF6FA4">
        <w:t>elevant State Entities</w:t>
      </w:r>
      <w:r w:rsidRPr="00BF6FA4">
        <w:t xml:space="preserve"> and other stakeholders, evaluation processes, including selection criteria, provided that they (1) are transparent and not unduly discriminatory; (2) aim to ensure that more efficient or cost-effective </w:t>
      </w:r>
      <w:r w:rsidR="00C741E5" w:rsidRPr="00BF6FA4">
        <w:t>LTRTF</w:t>
      </w:r>
      <w:r w:rsidR="00B75DD2">
        <w:t>s</w:t>
      </w:r>
      <w:r w:rsidRPr="00BF6FA4">
        <w:t xml:space="preserve"> are selected to address Long-Term Transmission Needs;</w:t>
      </w:r>
      <w:r w:rsidR="00B77849" w:rsidRPr="00BF6FA4">
        <w:rPr>
          <w:rStyle w:val="FootnoteReference"/>
        </w:rPr>
        <w:footnoteReference w:id="136"/>
      </w:r>
      <w:r w:rsidRPr="00BF6FA4">
        <w:t xml:space="preserve"> and (3) seek to maximize benefits accounting for costs over time without over-building transmission facilities.</w:t>
      </w:r>
      <w:r w:rsidR="00B77849" w:rsidRPr="00BF6FA4">
        <w:rPr>
          <w:rStyle w:val="FootnoteReference"/>
        </w:rPr>
        <w:footnoteReference w:id="137"/>
      </w:r>
      <w:r w:rsidRPr="00BF6FA4">
        <w:t xml:space="preserve"> </w:t>
      </w:r>
      <w:r w:rsidR="00127F69" w:rsidRPr="00BF6FA4">
        <w:t xml:space="preserve">The Commission </w:t>
      </w:r>
      <w:r w:rsidR="00B75DD2" w:rsidRPr="00BF6FA4">
        <w:t>reject</w:t>
      </w:r>
      <w:r w:rsidR="00B75DD2">
        <w:t>s</w:t>
      </w:r>
      <w:r w:rsidR="00B75DD2" w:rsidRPr="00BF6FA4">
        <w:t xml:space="preserve"> </w:t>
      </w:r>
      <w:r w:rsidR="00B77849" w:rsidRPr="00BF6FA4">
        <w:t>arguments that this requirement was not a logical outgrowth of the NOPR.</w:t>
      </w:r>
      <w:r w:rsidR="00B77849" w:rsidRPr="00BF6FA4">
        <w:rPr>
          <w:rStyle w:val="FootnoteReference"/>
        </w:rPr>
        <w:footnoteReference w:id="138"/>
      </w:r>
      <w:r w:rsidR="00B77849" w:rsidRPr="00BF6FA4">
        <w:t xml:space="preserve"> </w:t>
      </w:r>
      <w:r w:rsidR="00127F69" w:rsidRPr="00BF6FA4">
        <w:t>The Commission</w:t>
      </w:r>
      <w:r w:rsidR="00B77849" w:rsidRPr="00BF6FA4">
        <w:t xml:space="preserve"> issue</w:t>
      </w:r>
      <w:r w:rsidR="00B75DD2">
        <w:t>s</w:t>
      </w:r>
      <w:r w:rsidR="00B77849" w:rsidRPr="00BF6FA4">
        <w:t xml:space="preserve"> several clarifications</w:t>
      </w:r>
      <w:r w:rsidR="00127F69" w:rsidRPr="00BF6FA4">
        <w:t xml:space="preserve"> regarding evaluation</w:t>
      </w:r>
      <w:r w:rsidR="00B77849" w:rsidRPr="00BF6FA4">
        <w:t>:</w:t>
      </w:r>
    </w:p>
    <w:p w14:paraId="1BF77504" w14:textId="48A05408" w:rsidR="00B77849" w:rsidRPr="00BF6FA4" w:rsidRDefault="00E86711" w:rsidP="00103AEB">
      <w:pPr>
        <w:pStyle w:val="ListParagraph"/>
        <w:numPr>
          <w:ilvl w:val="0"/>
          <w:numId w:val="28"/>
        </w:numPr>
        <w:spacing w:after="120"/>
        <w:ind w:left="778"/>
        <w:contextualSpacing w:val="0"/>
        <w:jc w:val="both"/>
      </w:pPr>
      <w:r w:rsidRPr="00BF6FA4">
        <w:t>TPs</w:t>
      </w:r>
      <w:r w:rsidR="00830D0B" w:rsidRPr="00BF6FA4">
        <w:t xml:space="preserve">’ evaluation processes </w:t>
      </w:r>
      <w:r w:rsidR="00830D0B" w:rsidRPr="00BF6FA4">
        <w:rPr>
          <w:u w:val="single"/>
        </w:rPr>
        <w:t>must</w:t>
      </w:r>
      <w:r w:rsidR="00B77849" w:rsidRPr="00BF6FA4">
        <w:t xml:space="preserve"> </w:t>
      </w:r>
      <w:r w:rsidR="00830D0B" w:rsidRPr="00BF6FA4">
        <w:t xml:space="preserve">compare the measured benefits of </w:t>
      </w:r>
      <w:r w:rsidR="00C741E5" w:rsidRPr="00BF6FA4">
        <w:t>LTRTF</w:t>
      </w:r>
      <w:r w:rsidR="00830D0B" w:rsidRPr="00BF6FA4">
        <w:t xml:space="preserve"> against their estimated </w:t>
      </w:r>
      <w:r w:rsidR="00B77849" w:rsidRPr="00BF6FA4">
        <w:t>costs</w:t>
      </w:r>
      <w:r w:rsidR="00127F69" w:rsidRPr="00BF6FA4">
        <w:t>.</w:t>
      </w:r>
      <w:r w:rsidR="00983B66" w:rsidRPr="00BF6FA4">
        <w:rPr>
          <w:rStyle w:val="FootnoteReference"/>
        </w:rPr>
        <w:footnoteReference w:id="139"/>
      </w:r>
    </w:p>
    <w:p w14:paraId="6BC1E416" w14:textId="5648AB8B" w:rsidR="00B77849" w:rsidRPr="00BF6FA4" w:rsidRDefault="00B77849" w:rsidP="00103AEB">
      <w:pPr>
        <w:pStyle w:val="ListParagraph"/>
        <w:numPr>
          <w:ilvl w:val="0"/>
          <w:numId w:val="28"/>
        </w:numPr>
        <w:spacing w:after="120"/>
        <w:ind w:left="778"/>
        <w:contextualSpacing w:val="0"/>
        <w:jc w:val="both"/>
      </w:pPr>
      <w:r w:rsidRPr="00BF6FA4">
        <w:t>O</w:t>
      </w:r>
      <w:r w:rsidR="00830D0B" w:rsidRPr="00BF6FA4">
        <w:t xml:space="preserve">nce a </w:t>
      </w:r>
      <w:r w:rsidR="00E86711" w:rsidRPr="00BF6FA4">
        <w:t>TP</w:t>
      </w:r>
      <w:r w:rsidR="00830D0B" w:rsidRPr="00BF6FA4">
        <w:t xml:space="preserve"> makes a selection decision, i.e., for each selected </w:t>
      </w:r>
      <w:r w:rsidR="00B75DD2">
        <w:t>LTRTF</w:t>
      </w:r>
      <w:r w:rsidR="00830D0B" w:rsidRPr="00BF6FA4">
        <w:t xml:space="preserve">(or portfolio of such Facilities), and, if a State Agreement Process is used, once a cost allocation method is agreed upon, </w:t>
      </w:r>
      <w:r w:rsidR="00E86711" w:rsidRPr="00BF6FA4">
        <w:t>TPs</w:t>
      </w:r>
      <w:r w:rsidR="00830D0B" w:rsidRPr="00BF6FA4">
        <w:t xml:space="preserve"> must make available, on a password-protected portion of OASIS or other password-protected website, a breakdown of how those estimated costs will be allocated, by zone (i.e., by </w:t>
      </w:r>
      <w:r w:rsidR="00E86711" w:rsidRPr="00BF6FA4">
        <w:t>TP</w:t>
      </w:r>
      <w:r w:rsidR="00830D0B" w:rsidRPr="00BF6FA4">
        <w:t xml:space="preserve"> retail distribution service territory/footprint or RTO/ISO transmission pricing zone), and a quantification of those estimated benefits as imputed to each zone, as such benefits can be reasonably estimated.</w:t>
      </w:r>
      <w:r w:rsidR="00983B66" w:rsidRPr="00BF6FA4">
        <w:rPr>
          <w:rStyle w:val="FootnoteReference"/>
        </w:rPr>
        <w:footnoteReference w:id="140"/>
      </w:r>
      <w:r w:rsidR="00830D0B" w:rsidRPr="00BF6FA4">
        <w:t xml:space="preserve"> </w:t>
      </w:r>
    </w:p>
    <w:p w14:paraId="1BF07CE4" w14:textId="6D7E068A" w:rsidR="00983B66" w:rsidRPr="00BF6FA4" w:rsidRDefault="00983B66" w:rsidP="00103AEB">
      <w:pPr>
        <w:pStyle w:val="ListParagraph"/>
        <w:numPr>
          <w:ilvl w:val="0"/>
          <w:numId w:val="28"/>
        </w:numPr>
        <w:spacing w:after="120"/>
        <w:ind w:left="778"/>
        <w:contextualSpacing w:val="0"/>
        <w:jc w:val="both"/>
      </w:pPr>
      <w:r w:rsidRPr="00BF6FA4">
        <w:t>TPs may use qualitative measures in addition to estimated costs to evaluate LTRTF against measured benefits.</w:t>
      </w:r>
      <w:r w:rsidRPr="00BF6FA4">
        <w:rPr>
          <w:rStyle w:val="FootnoteReference"/>
        </w:rPr>
        <w:footnoteReference w:id="141"/>
      </w:r>
    </w:p>
    <w:p w14:paraId="7FD7346C" w14:textId="0441B623" w:rsidR="00B77849" w:rsidRPr="00BF6FA4" w:rsidRDefault="00E86711" w:rsidP="00103AEB">
      <w:pPr>
        <w:pStyle w:val="ListParagraph"/>
        <w:numPr>
          <w:ilvl w:val="0"/>
          <w:numId w:val="28"/>
        </w:numPr>
        <w:spacing w:after="120"/>
        <w:ind w:left="778"/>
        <w:contextualSpacing w:val="0"/>
        <w:jc w:val="both"/>
      </w:pPr>
      <w:r w:rsidRPr="00BF6FA4">
        <w:t>TPs</w:t>
      </w:r>
      <w:r w:rsidR="00830D0B" w:rsidRPr="00BF6FA4">
        <w:t xml:space="preserve">’ evaluation processes must culminate in a </w:t>
      </w:r>
      <w:r w:rsidR="00830D0B" w:rsidRPr="00BF6FA4">
        <w:rPr>
          <w:i/>
          <w:iCs/>
        </w:rPr>
        <w:t>determination</w:t>
      </w:r>
      <w:r w:rsidR="00830D0B" w:rsidRPr="00BF6FA4">
        <w:t xml:space="preserve">—not selection criteria—that is sufficiently detailed for stakeholders to understand why a particular </w:t>
      </w:r>
      <w:r w:rsidR="00B75DD2">
        <w:t xml:space="preserve">LTRTF </w:t>
      </w:r>
      <w:r w:rsidR="00830D0B" w:rsidRPr="00BF6FA4">
        <w:t>(or portfolio of such Facilities) was selected or not selected.</w:t>
      </w:r>
      <w:r w:rsidR="00983B66" w:rsidRPr="00BF6FA4">
        <w:rPr>
          <w:rStyle w:val="FootnoteReference"/>
        </w:rPr>
        <w:footnoteReference w:id="142"/>
      </w:r>
      <w:r w:rsidR="00830D0B" w:rsidRPr="00BF6FA4">
        <w:t xml:space="preserve">  </w:t>
      </w:r>
    </w:p>
    <w:p w14:paraId="0294C1A6" w14:textId="3E1BF575" w:rsidR="00830D0B" w:rsidRPr="00BF6FA4" w:rsidRDefault="00983B66" w:rsidP="00103AEB">
      <w:pPr>
        <w:pStyle w:val="ListParagraph"/>
        <w:numPr>
          <w:ilvl w:val="0"/>
          <w:numId w:val="28"/>
        </w:numPr>
        <w:spacing w:after="120"/>
        <w:ind w:left="778"/>
        <w:contextualSpacing w:val="0"/>
        <w:jc w:val="both"/>
      </w:pPr>
      <w:r w:rsidRPr="00BF6FA4">
        <w:t xml:space="preserve">Subject to the requirements of the final rule, </w:t>
      </w:r>
      <w:r w:rsidR="00E86711" w:rsidRPr="00BF6FA4">
        <w:t>TPs</w:t>
      </w:r>
      <w:r w:rsidR="00830D0B" w:rsidRPr="00BF6FA4">
        <w:t xml:space="preserve"> </w:t>
      </w:r>
      <w:r w:rsidRPr="00BF6FA4">
        <w:t>have</w:t>
      </w:r>
      <w:r w:rsidR="00B75DD2">
        <w:t xml:space="preserve"> </w:t>
      </w:r>
      <w:r w:rsidR="00830D0B" w:rsidRPr="00BF6FA4">
        <w:t>discretion to use engineering judgment in designing and conducting transmission planning studies.</w:t>
      </w:r>
      <w:r w:rsidRPr="00BF6FA4">
        <w:rPr>
          <w:rStyle w:val="FootnoteReference"/>
        </w:rPr>
        <w:footnoteReference w:id="143"/>
      </w:r>
    </w:p>
    <w:p w14:paraId="0A1A69D6" w14:textId="75DE2343" w:rsidR="00830D0B" w:rsidRPr="00BF6FA4" w:rsidRDefault="00830D0B" w:rsidP="00103AEB">
      <w:pPr>
        <w:spacing w:after="240"/>
        <w:ind w:firstLine="720"/>
        <w:jc w:val="both"/>
      </w:pPr>
      <w:r w:rsidRPr="00BF6FA4">
        <w:rPr>
          <w:b/>
          <w:bCs/>
          <w:i/>
          <w:iCs/>
        </w:rPr>
        <w:t>Role of Relevant State Entities.</w:t>
      </w:r>
      <w:r w:rsidRPr="00BF6FA4">
        <w:t xml:space="preserve"> In Order No. 1920, </w:t>
      </w:r>
      <w:r w:rsidR="008E697F" w:rsidRPr="00BF6FA4">
        <w:t>FERC</w:t>
      </w:r>
      <w:r w:rsidRPr="00BF6FA4">
        <w:t xml:space="preserve"> required </w:t>
      </w:r>
      <w:r w:rsidR="00E86711" w:rsidRPr="00BF6FA4">
        <w:t>TPs</w:t>
      </w:r>
      <w:r w:rsidRPr="00BF6FA4">
        <w:t xml:space="preserve"> to consult with and seek support from </w:t>
      </w:r>
      <w:r w:rsidR="00983B66" w:rsidRPr="00BF6FA4">
        <w:t>Relevant State Entities</w:t>
      </w:r>
      <w:r w:rsidRPr="00BF6FA4">
        <w:t xml:space="preserve"> regarding the evaluation process, including selection criteria, that </w:t>
      </w:r>
      <w:r w:rsidR="00E86711" w:rsidRPr="00BF6FA4">
        <w:t>TPs</w:t>
      </w:r>
      <w:r w:rsidRPr="00BF6FA4">
        <w:t xml:space="preserve"> propose to use to identify and evaluate </w:t>
      </w:r>
      <w:r w:rsidR="00C741E5" w:rsidRPr="00BF6FA4">
        <w:t>LTRTF</w:t>
      </w:r>
      <w:r w:rsidRPr="00BF6FA4">
        <w:t xml:space="preserve"> for selection.</w:t>
      </w:r>
      <w:r w:rsidR="00B77849" w:rsidRPr="00BF6FA4">
        <w:rPr>
          <w:rStyle w:val="FootnoteReference"/>
        </w:rPr>
        <w:footnoteReference w:id="144"/>
      </w:r>
      <w:r w:rsidR="00B77849" w:rsidRPr="00BF6FA4">
        <w:t xml:space="preserve"> FERC clarifie</w:t>
      </w:r>
      <w:r w:rsidR="00B75DD2">
        <w:t>s</w:t>
      </w:r>
      <w:r w:rsidR="00B77849" w:rsidRPr="00BF6FA4">
        <w:t xml:space="preserve"> that </w:t>
      </w:r>
      <w:r w:rsidRPr="00BF6FA4">
        <w:t>good faith efforts standard is similar to a “reasonable efforts” standard, which can be defined as “one or more actions rationally calculated to achieve a usually stated objective, but not necessarily with the expectation that all possibilities are to be exhausted.”</w:t>
      </w:r>
      <w:r w:rsidR="00B77849" w:rsidRPr="00BF6FA4">
        <w:rPr>
          <w:rStyle w:val="FootnoteReference"/>
        </w:rPr>
        <w:footnoteReference w:id="145"/>
      </w:r>
      <w:r w:rsidRPr="00BF6FA4">
        <w:t xml:space="preserve"> </w:t>
      </w:r>
    </w:p>
    <w:p w14:paraId="7E444A6C" w14:textId="5CC0A3F2" w:rsidR="00830D0B" w:rsidRPr="00BF6FA4" w:rsidRDefault="00830D0B" w:rsidP="00103AEB">
      <w:pPr>
        <w:spacing w:after="240"/>
        <w:ind w:firstLine="720"/>
        <w:jc w:val="both"/>
      </w:pPr>
      <w:r w:rsidRPr="00BF6FA4">
        <w:rPr>
          <w:b/>
          <w:bCs/>
          <w:i/>
          <w:iCs/>
        </w:rPr>
        <w:t>Voluntary Funding</w:t>
      </w:r>
      <w:r w:rsidRPr="00BF6FA4">
        <w:t xml:space="preserve">. In Order No. 1920, </w:t>
      </w:r>
      <w:r w:rsidR="008E697F" w:rsidRPr="00BF6FA4">
        <w:t>FERC</w:t>
      </w:r>
      <w:r w:rsidRPr="00BF6FA4">
        <w:t xml:space="preserve"> required </w:t>
      </w:r>
      <w:r w:rsidR="00E86711" w:rsidRPr="00BF6FA4">
        <w:t>TPs</w:t>
      </w:r>
      <w:r w:rsidRPr="00BF6FA4">
        <w:t xml:space="preserve"> to include in their OATTs a process to provide </w:t>
      </w:r>
      <w:r w:rsidR="00983B66" w:rsidRPr="00BF6FA4">
        <w:t>Relevant State Entities</w:t>
      </w:r>
      <w:r w:rsidRPr="00BF6FA4">
        <w:t xml:space="preserve"> and interconnection customers with the opportunity to voluntarily fund the cost of, or a portion of the cost of, a</w:t>
      </w:r>
      <w:r w:rsidR="008E697F" w:rsidRPr="00BF6FA4">
        <w:t xml:space="preserve">n LTRTF </w:t>
      </w:r>
      <w:r w:rsidRPr="00BF6FA4">
        <w:t xml:space="preserve">that otherwise would not meet </w:t>
      </w:r>
      <w:r w:rsidR="00E86711" w:rsidRPr="00BF6FA4">
        <w:t>TPs</w:t>
      </w:r>
      <w:r w:rsidRPr="00BF6FA4">
        <w:t>’ selection criteria.</w:t>
      </w:r>
      <w:r w:rsidR="008E697F" w:rsidRPr="00BF6FA4">
        <w:rPr>
          <w:rStyle w:val="FootnoteReference"/>
        </w:rPr>
        <w:footnoteReference w:id="146"/>
      </w:r>
      <w:r w:rsidRPr="00BF6FA4">
        <w:t xml:space="preserve"> </w:t>
      </w:r>
      <w:r w:rsidR="00983B66" w:rsidRPr="00BF6FA4">
        <w:t xml:space="preserve">The </w:t>
      </w:r>
      <w:r w:rsidR="008E697F" w:rsidRPr="00BF6FA4">
        <w:t>FERC</w:t>
      </w:r>
      <w:r w:rsidRPr="00BF6FA4">
        <w:t xml:space="preserve"> provided </w:t>
      </w:r>
      <w:r w:rsidR="00E86711" w:rsidRPr="00BF6FA4">
        <w:t>TPs</w:t>
      </w:r>
      <w:r w:rsidRPr="00BF6FA4">
        <w:t xml:space="preserve"> with flexibility to propose certain features of such a voluntary funding process in their compliance filings, provided that: (1) the process is transparent and not unduly discriminatory or preferential; and (2) they consult with and seek support from Relevant State Entities when developing such processes.</w:t>
      </w:r>
      <w:r w:rsidR="008E697F" w:rsidRPr="00BF6FA4">
        <w:rPr>
          <w:rStyle w:val="FootnoteReference"/>
        </w:rPr>
        <w:footnoteReference w:id="147"/>
      </w:r>
      <w:r w:rsidRPr="00BF6FA4">
        <w:t xml:space="preserve"> </w:t>
      </w:r>
      <w:r w:rsidR="003203D1" w:rsidRPr="00BF6FA4">
        <w:t xml:space="preserve">In Order No. 1920-A, </w:t>
      </w:r>
      <w:r w:rsidR="00983B66" w:rsidRPr="00BF6FA4">
        <w:t xml:space="preserve">the </w:t>
      </w:r>
      <w:r w:rsidR="003203D1" w:rsidRPr="00BF6FA4">
        <w:t>FERC reiterate</w:t>
      </w:r>
      <w:r w:rsidR="00B75DD2">
        <w:t>s</w:t>
      </w:r>
      <w:r w:rsidRPr="00BF6FA4">
        <w:t xml:space="preserve"> that Order No. 1920 does not prohibit voluntary funding approaches.  </w:t>
      </w:r>
      <w:r w:rsidR="00E86711" w:rsidRPr="00BF6FA4">
        <w:t>TPs</w:t>
      </w:r>
      <w:r w:rsidRPr="00BF6FA4">
        <w:t xml:space="preserve"> may seek to demonstrate on compliance that other voluntary funding approaches are consistent with or superior to Order No. 1920’s requirements, or they may submit a filing under FPA section 205 </w:t>
      </w:r>
      <w:r w:rsidR="00983B66" w:rsidRPr="00BF6FA4">
        <w:t xml:space="preserve">as a supplemental process </w:t>
      </w:r>
      <w:r w:rsidRPr="00BF6FA4">
        <w:t>to propose such approaches.</w:t>
      </w:r>
      <w:r w:rsidR="003203D1" w:rsidRPr="00BF6FA4">
        <w:rPr>
          <w:rStyle w:val="FootnoteReference"/>
        </w:rPr>
        <w:footnoteReference w:id="148"/>
      </w:r>
      <w:r w:rsidRPr="00BF6FA4">
        <w:t xml:space="preserve"> </w:t>
      </w:r>
    </w:p>
    <w:p w14:paraId="52F8D0C5" w14:textId="3948A3BD" w:rsidR="00830D0B" w:rsidRPr="00BF6FA4" w:rsidRDefault="00830D0B" w:rsidP="00103AEB">
      <w:pPr>
        <w:spacing w:after="240"/>
        <w:ind w:firstLine="720"/>
        <w:jc w:val="both"/>
      </w:pPr>
      <w:r w:rsidRPr="00BF6FA4">
        <w:rPr>
          <w:b/>
          <w:bCs/>
          <w:i/>
          <w:iCs/>
        </w:rPr>
        <w:t>No Selection Requirement.</w:t>
      </w:r>
      <w:r w:rsidRPr="00BF6FA4">
        <w:t xml:space="preserve"> In Order No. 1920, </w:t>
      </w:r>
      <w:r w:rsidR="008E697F" w:rsidRPr="00BF6FA4">
        <w:t>FERC</w:t>
      </w:r>
      <w:r w:rsidRPr="00BF6FA4">
        <w:t xml:space="preserve"> stated that it would not require </w:t>
      </w:r>
      <w:r w:rsidR="00E86711" w:rsidRPr="00BF6FA4">
        <w:t>TPs</w:t>
      </w:r>
      <w:r w:rsidRPr="00BF6FA4">
        <w:t xml:space="preserve"> to select any particular </w:t>
      </w:r>
      <w:r w:rsidR="003203D1" w:rsidRPr="00BF6FA4">
        <w:t>LTRTF</w:t>
      </w:r>
      <w:r w:rsidRPr="00BF6FA4">
        <w:t xml:space="preserve">, even where it meets the </w:t>
      </w:r>
      <w:r w:rsidR="00E86711" w:rsidRPr="00BF6FA4">
        <w:t>TP</w:t>
      </w:r>
      <w:r w:rsidRPr="00BF6FA4">
        <w:t xml:space="preserve">’s selection criteria. </w:t>
      </w:r>
      <w:r w:rsidR="003203D1" w:rsidRPr="00BF6FA4">
        <w:t>Order No. 1920-A sustains this requirement.</w:t>
      </w:r>
      <w:r w:rsidR="003203D1" w:rsidRPr="00BF6FA4">
        <w:rPr>
          <w:rStyle w:val="FootnoteReference"/>
        </w:rPr>
        <w:footnoteReference w:id="149"/>
      </w:r>
      <w:r w:rsidR="00983B66" w:rsidRPr="00BF6FA4">
        <w:t xml:space="preserve"> The Commission emphasizes that Order Nos. 1920/1920-</w:t>
      </w:r>
      <w:r w:rsidR="00B75DD2">
        <w:t>A</w:t>
      </w:r>
      <w:r w:rsidR="00983B66" w:rsidRPr="00BF6FA4">
        <w:t xml:space="preserve"> do not require the selection and development of any actual transmission facilities.</w:t>
      </w:r>
    </w:p>
    <w:p w14:paraId="540C62A7" w14:textId="10E81318" w:rsidR="00830D0B" w:rsidRPr="00BF6FA4" w:rsidRDefault="00830D0B" w:rsidP="00103AEB">
      <w:pPr>
        <w:spacing w:after="240"/>
        <w:ind w:firstLine="720"/>
        <w:jc w:val="both"/>
      </w:pPr>
      <w:r w:rsidRPr="00BF6FA4">
        <w:rPr>
          <w:b/>
          <w:bCs/>
          <w:i/>
          <w:iCs/>
        </w:rPr>
        <w:t>Reevaluation.</w:t>
      </w:r>
      <w:r w:rsidRPr="00BF6FA4">
        <w:t xml:space="preserve"> In Order No. 1920, </w:t>
      </w:r>
      <w:r w:rsidR="008E697F" w:rsidRPr="00BF6FA4">
        <w:t>FERC</w:t>
      </w:r>
      <w:r w:rsidRPr="00BF6FA4">
        <w:t xml:space="preserve"> required </w:t>
      </w:r>
      <w:r w:rsidR="00E86711" w:rsidRPr="00BF6FA4">
        <w:t>TPs</w:t>
      </w:r>
      <w:r w:rsidRPr="00BF6FA4">
        <w:t xml:space="preserve"> to include in their OATTs provisions that require them to reevaluate previously selected </w:t>
      </w:r>
      <w:r w:rsidR="00C741E5" w:rsidRPr="00BF6FA4">
        <w:t>LTRTF</w:t>
      </w:r>
      <w:r w:rsidRPr="00BF6FA4">
        <w:t xml:space="preserve"> in three situations, where:  (1) delays in the development of a previously selected </w:t>
      </w:r>
      <w:r w:rsidR="008857BE">
        <w:t>LTRTF</w:t>
      </w:r>
      <w:r w:rsidRPr="00BF6FA4">
        <w:t xml:space="preserve"> would jeopardize a </w:t>
      </w:r>
      <w:r w:rsidR="00E86711" w:rsidRPr="00BF6FA4">
        <w:t>TP</w:t>
      </w:r>
      <w:r w:rsidRPr="00BF6FA4">
        <w:t xml:space="preserve">’s ability to meet its reliability needs or reliability-related service obligations; (2) the actual or projected costs of a previously selected </w:t>
      </w:r>
      <w:r w:rsidR="008857BE">
        <w:t xml:space="preserve">LTRTF </w:t>
      </w:r>
      <w:r w:rsidRPr="00BF6FA4">
        <w:t xml:space="preserve">significantly exceed cost estimates used in that </w:t>
      </w:r>
      <w:r w:rsidR="008857BE">
        <w:t xml:space="preserve">LTRTF’s </w:t>
      </w:r>
      <w:r w:rsidRPr="00BF6FA4">
        <w:t xml:space="preserve">selection; or (3) significant changes in federal, federally-recognized Tribal, state, or local laws or regulations cause reasonable concern that a previously selected Long-Term Regional Transmission Facility may no longer meet the </w:t>
      </w:r>
      <w:r w:rsidR="00E86711" w:rsidRPr="00BF6FA4">
        <w:t>TP</w:t>
      </w:r>
      <w:r w:rsidRPr="00BF6FA4">
        <w:t>’s selection criteria.</w:t>
      </w:r>
      <w:r w:rsidR="002D2351" w:rsidRPr="00BF6FA4">
        <w:rPr>
          <w:rStyle w:val="FootnoteReference"/>
        </w:rPr>
        <w:footnoteReference w:id="150"/>
      </w:r>
      <w:r w:rsidRPr="00BF6FA4">
        <w:t xml:space="preserve">  </w:t>
      </w:r>
      <w:r w:rsidR="00493114" w:rsidRPr="00BF6FA4">
        <w:t xml:space="preserve">In Order 1920-A the </w:t>
      </w:r>
      <w:r w:rsidR="003203D1" w:rsidRPr="00BF6FA4">
        <w:t xml:space="preserve">FERC </w:t>
      </w:r>
      <w:r w:rsidR="00B75DD2" w:rsidRPr="00BF6FA4">
        <w:t>reject</w:t>
      </w:r>
      <w:r w:rsidR="00B75DD2">
        <w:t>s</w:t>
      </w:r>
      <w:r w:rsidR="00B75DD2" w:rsidRPr="00BF6FA4">
        <w:t xml:space="preserve"> </w:t>
      </w:r>
      <w:r w:rsidRPr="00BF6FA4">
        <w:t xml:space="preserve">requests to change </w:t>
      </w:r>
      <w:r w:rsidR="00493114" w:rsidRPr="00BF6FA4">
        <w:t xml:space="preserve">the </w:t>
      </w:r>
      <w:r w:rsidRPr="00BF6FA4">
        <w:t>reevaluation requirement.</w:t>
      </w:r>
      <w:r w:rsidR="002D2351" w:rsidRPr="00BF6FA4">
        <w:rPr>
          <w:rStyle w:val="FootnoteReference"/>
        </w:rPr>
        <w:footnoteReference w:id="151"/>
      </w:r>
      <w:r w:rsidRPr="00BF6FA4">
        <w:t xml:space="preserve"> </w:t>
      </w:r>
    </w:p>
    <w:p w14:paraId="1B8AA486" w14:textId="782D4782" w:rsidR="002763DD" w:rsidRPr="00BF6FA4" w:rsidRDefault="002763DD" w:rsidP="00436394">
      <w:pPr>
        <w:spacing w:after="240"/>
        <w:jc w:val="both"/>
        <w:rPr>
          <w:b/>
          <w:bCs/>
          <w:u w:val="single"/>
        </w:rPr>
      </w:pPr>
      <w:r w:rsidRPr="00BF6FA4">
        <w:rPr>
          <w:b/>
          <w:bCs/>
          <w:u w:val="single"/>
        </w:rPr>
        <w:t>Implementation of LTRTP</w:t>
      </w:r>
    </w:p>
    <w:p w14:paraId="627949FC" w14:textId="4BCBAE00" w:rsidR="00830D0B" w:rsidRPr="00BF6FA4" w:rsidRDefault="00830D0B" w:rsidP="00103AEB">
      <w:pPr>
        <w:spacing w:after="240"/>
        <w:ind w:firstLine="720"/>
        <w:jc w:val="both"/>
      </w:pPr>
      <w:r w:rsidRPr="00BF6FA4">
        <w:t xml:space="preserve">In Order No. 1920, </w:t>
      </w:r>
      <w:r w:rsidR="00493114" w:rsidRPr="00BF6FA4">
        <w:t xml:space="preserve">the </w:t>
      </w:r>
      <w:r w:rsidR="008E697F" w:rsidRPr="00BF6FA4">
        <w:t>FERC</w:t>
      </w:r>
      <w:r w:rsidRPr="00BF6FA4">
        <w:t xml:space="preserve"> required </w:t>
      </w:r>
      <w:r w:rsidR="00E86711" w:rsidRPr="00BF6FA4">
        <w:t>TPs</w:t>
      </w:r>
      <w:r w:rsidRPr="00BF6FA4">
        <w:t xml:space="preserve"> to explain on compliance how the initial timing sequence for </w:t>
      </w:r>
      <w:r w:rsidR="002D2351" w:rsidRPr="00BF6FA4">
        <w:t>LTRTP</w:t>
      </w:r>
      <w:r w:rsidRPr="00BF6FA4">
        <w:t xml:space="preserve"> interacts with existing regional transmission planning processes. </w:t>
      </w:r>
      <w:r w:rsidRPr="00BF6FA4" w:rsidDel="00504901">
        <w:t xml:space="preserve"> </w:t>
      </w:r>
      <w:r w:rsidR="008E697F" w:rsidRPr="00BF6FA4">
        <w:t>FERC</w:t>
      </w:r>
      <w:r w:rsidRPr="00BF6FA4">
        <w:t xml:space="preserve"> required </w:t>
      </w:r>
      <w:r w:rsidR="00E86711" w:rsidRPr="00BF6FA4">
        <w:t>TPs</w:t>
      </w:r>
      <w:r w:rsidRPr="00BF6FA4">
        <w:t xml:space="preserve"> to provide in their explanations any information necessary to ensure that stakeholders understand this interaction, including at least the following two components.  First, </w:t>
      </w:r>
      <w:r w:rsidR="008E697F" w:rsidRPr="00BF6FA4">
        <w:t>FERC</w:t>
      </w:r>
      <w:r w:rsidRPr="00BF6FA4">
        <w:t xml:space="preserve"> required </w:t>
      </w:r>
      <w:r w:rsidR="00E86711" w:rsidRPr="00BF6FA4">
        <w:t>TPs</w:t>
      </w:r>
      <w:r w:rsidRPr="00BF6FA4">
        <w:t xml:space="preserve"> to address the possible interaction between the transmission planning cycles for </w:t>
      </w:r>
      <w:r w:rsidR="00B75DD2">
        <w:t>LTRTP</w:t>
      </w:r>
      <w:r w:rsidRPr="00BF6FA4">
        <w:t xml:space="preserve"> and existing Order No. 1000 regional transmission planning processes. Second, </w:t>
      </w:r>
      <w:r w:rsidR="008E697F" w:rsidRPr="00BF6FA4">
        <w:t>FERC</w:t>
      </w:r>
      <w:r w:rsidRPr="00BF6FA4">
        <w:t xml:space="preserve"> required </w:t>
      </w:r>
      <w:r w:rsidR="00E86711" w:rsidRPr="00BF6FA4">
        <w:t>TPs</w:t>
      </w:r>
      <w:r w:rsidRPr="00BF6FA4">
        <w:t xml:space="preserve"> to address the possible displacement of regional transmission facilities from the existing regional transmission planning processes.</w:t>
      </w:r>
    </w:p>
    <w:p w14:paraId="31EE1EE9" w14:textId="32312ACE" w:rsidR="00830D0B" w:rsidRPr="00BF6FA4" w:rsidRDefault="002D2351" w:rsidP="00103AEB">
      <w:pPr>
        <w:spacing w:after="240"/>
        <w:ind w:firstLine="720"/>
        <w:jc w:val="both"/>
      </w:pPr>
      <w:r w:rsidRPr="00BF6FA4">
        <w:rPr>
          <w:b/>
          <w:bCs/>
        </w:rPr>
        <w:t>FERC sets</w:t>
      </w:r>
      <w:r w:rsidR="00830D0B" w:rsidRPr="00BF6FA4">
        <w:rPr>
          <w:b/>
          <w:bCs/>
        </w:rPr>
        <w:t xml:space="preserve"> set aside, in part, Order No. 1920’s requirement that </w:t>
      </w:r>
      <w:r w:rsidR="00E86711" w:rsidRPr="00BF6FA4">
        <w:rPr>
          <w:b/>
          <w:bCs/>
        </w:rPr>
        <w:t>TPs</w:t>
      </w:r>
      <w:r w:rsidR="00830D0B" w:rsidRPr="00BF6FA4">
        <w:rPr>
          <w:b/>
          <w:bCs/>
        </w:rPr>
        <w:t xml:space="preserve"> in each transmission planning region must propose on compliance a date, no later than one year from the date on which initial filings to comply with the final rule are due, on which they will commence the first Long-Term Regional Transmission Planning cycle. Instead, </w:t>
      </w:r>
      <w:r w:rsidRPr="00BF6FA4">
        <w:rPr>
          <w:b/>
          <w:bCs/>
        </w:rPr>
        <w:t>FERC</w:t>
      </w:r>
      <w:r w:rsidR="00830D0B" w:rsidRPr="00BF6FA4">
        <w:rPr>
          <w:b/>
          <w:bCs/>
        </w:rPr>
        <w:t xml:space="preserve"> </w:t>
      </w:r>
      <w:r w:rsidR="007A573B" w:rsidRPr="00BF6FA4">
        <w:rPr>
          <w:b/>
          <w:bCs/>
        </w:rPr>
        <w:t>requires</w:t>
      </w:r>
      <w:r w:rsidR="00830D0B" w:rsidRPr="00BF6FA4">
        <w:rPr>
          <w:b/>
          <w:bCs/>
        </w:rPr>
        <w:t xml:space="preserve"> that </w:t>
      </w:r>
      <w:r w:rsidR="00E86711" w:rsidRPr="00BF6FA4">
        <w:rPr>
          <w:b/>
          <w:bCs/>
        </w:rPr>
        <w:t>TPs</w:t>
      </w:r>
      <w:r w:rsidR="00830D0B" w:rsidRPr="00BF6FA4">
        <w:rPr>
          <w:b/>
          <w:bCs/>
        </w:rPr>
        <w:t xml:space="preserve"> must propose on compliance a date, no later than </w:t>
      </w:r>
      <w:r w:rsidR="00830D0B" w:rsidRPr="00BF6FA4">
        <w:rPr>
          <w:b/>
          <w:bCs/>
          <w:i/>
          <w:iCs/>
        </w:rPr>
        <w:t>two</w:t>
      </w:r>
      <w:r w:rsidR="00830D0B" w:rsidRPr="00BF6FA4">
        <w:rPr>
          <w:b/>
          <w:bCs/>
        </w:rPr>
        <w:t xml:space="preserve"> years from the date on which initial filings to comply with Order No. 1920 are due, on which they will commence the first Long-Term Regional Transmission Planning cycle.</w:t>
      </w:r>
      <w:r w:rsidRPr="00BF6FA4">
        <w:rPr>
          <w:rStyle w:val="FootnoteReference"/>
          <w:b/>
          <w:bCs/>
        </w:rPr>
        <w:footnoteReference w:id="152"/>
      </w:r>
    </w:p>
    <w:p w14:paraId="36B0A1A8" w14:textId="2D4BE6F2" w:rsidR="00830D0B" w:rsidRPr="00BF6FA4" w:rsidRDefault="00493114" w:rsidP="00103AEB">
      <w:pPr>
        <w:spacing w:after="240"/>
        <w:ind w:firstLine="720"/>
        <w:jc w:val="both"/>
      </w:pPr>
      <w:r w:rsidRPr="00BF6FA4">
        <w:t>Order 1920-A</w:t>
      </w:r>
      <w:r w:rsidR="00B75DD2">
        <w:t xml:space="preserve"> </w:t>
      </w:r>
      <w:r w:rsidR="002D2351" w:rsidRPr="00BF6FA4">
        <w:t>also</w:t>
      </w:r>
      <w:r w:rsidR="00830D0B" w:rsidRPr="00BF6FA4">
        <w:t xml:space="preserve"> modif</w:t>
      </w:r>
      <w:r w:rsidR="002D2351" w:rsidRPr="00BF6FA4">
        <w:t>ies</w:t>
      </w:r>
      <w:r w:rsidR="00830D0B" w:rsidRPr="00BF6FA4">
        <w:t xml:space="preserve"> Order No. 1920’s requirement that </w:t>
      </w:r>
      <w:r w:rsidR="00E86711" w:rsidRPr="00BF6FA4">
        <w:t>TPs</w:t>
      </w:r>
      <w:r w:rsidR="00830D0B" w:rsidRPr="00BF6FA4">
        <w:t xml:space="preserve"> that propose a commencement date of later than one year from the compliance due date must include adequate support explaining how the proposed date to begin the first </w:t>
      </w:r>
      <w:r w:rsidR="00B75DD2">
        <w:t>LTRTP</w:t>
      </w:r>
      <w:r w:rsidR="00830D0B" w:rsidRPr="00BF6FA4">
        <w:t xml:space="preserve"> cycle is necessary and appropriately tailored for their transmission planning region.  Instead, </w:t>
      </w:r>
      <w:r w:rsidRPr="00BF6FA4">
        <w:t xml:space="preserve">the Commission </w:t>
      </w:r>
      <w:r w:rsidR="00830D0B" w:rsidRPr="00BF6FA4">
        <w:t>require</w:t>
      </w:r>
      <w:r w:rsidRPr="00BF6FA4">
        <w:t>s</w:t>
      </w:r>
      <w:r w:rsidR="00830D0B" w:rsidRPr="00BF6FA4">
        <w:t xml:space="preserve"> that</w:t>
      </w:r>
      <w:r w:rsidRPr="00BF6FA4">
        <w:t>,</w:t>
      </w:r>
      <w:r w:rsidR="00830D0B" w:rsidRPr="00BF6FA4">
        <w:t xml:space="preserve"> regardless of the date that </w:t>
      </w:r>
      <w:r w:rsidR="00E86711" w:rsidRPr="00BF6FA4">
        <w:t>TPs</w:t>
      </w:r>
      <w:r w:rsidR="00830D0B" w:rsidRPr="00BF6FA4">
        <w:t xml:space="preserve"> propose on compliance, they must explain in their compliance filing why the proposed date on which they will commence the first </w:t>
      </w:r>
      <w:r w:rsidR="00B75DD2">
        <w:t>LTRTP</w:t>
      </w:r>
      <w:r w:rsidR="00830D0B" w:rsidRPr="00BF6FA4">
        <w:t xml:space="preserve"> cycle is necessary and appropriately tailored for their transmission planning region.</w:t>
      </w:r>
      <w:r w:rsidR="002D2351" w:rsidRPr="00BF6FA4">
        <w:rPr>
          <w:rStyle w:val="FootnoteReference"/>
        </w:rPr>
        <w:footnoteReference w:id="153"/>
      </w:r>
    </w:p>
    <w:p w14:paraId="22311F3C" w14:textId="35048795" w:rsidR="00E91111" w:rsidRPr="00BF6FA4" w:rsidRDefault="00E91111" w:rsidP="00436394">
      <w:pPr>
        <w:pStyle w:val="Heading1"/>
        <w:spacing w:before="0" w:after="240"/>
        <w:ind w:left="720" w:hanging="720"/>
        <w:jc w:val="both"/>
        <w:rPr>
          <w:rFonts w:ascii="Times New Roman" w:hAnsi="Times New Roman" w:cs="Times New Roman"/>
          <w:sz w:val="24"/>
          <w:szCs w:val="24"/>
        </w:rPr>
      </w:pPr>
      <w:r w:rsidRPr="00BF6FA4">
        <w:rPr>
          <w:rFonts w:ascii="Times New Roman" w:hAnsi="Times New Roman" w:cs="Times New Roman"/>
          <w:sz w:val="24"/>
          <w:szCs w:val="24"/>
        </w:rPr>
        <w:t>Coordination of Regional Transmission Planning and Generator Interconnection Processes</w:t>
      </w:r>
    </w:p>
    <w:p w14:paraId="54D23ED7" w14:textId="7EC15560" w:rsidR="00482ED4" w:rsidRPr="00BF6FA4" w:rsidRDefault="00482ED4" w:rsidP="00103AEB">
      <w:pPr>
        <w:spacing w:after="240"/>
        <w:ind w:firstLine="720"/>
        <w:jc w:val="both"/>
      </w:pPr>
      <w:r w:rsidRPr="00BF6FA4">
        <w:rPr>
          <w:b/>
          <w:bCs/>
          <w:i/>
          <w:iCs/>
        </w:rPr>
        <w:t>Qualifying Criteria</w:t>
      </w:r>
      <w:r w:rsidR="005C5D4C" w:rsidRPr="00BF6FA4">
        <w:rPr>
          <w:b/>
          <w:bCs/>
          <w:i/>
          <w:iCs/>
        </w:rPr>
        <w:t>.</w:t>
      </w:r>
      <w:r w:rsidRPr="00BF6FA4">
        <w:t xml:space="preserve"> In Order No. 1920, the Commission required </w:t>
      </w:r>
      <w:r w:rsidR="005C5D4C" w:rsidRPr="00BF6FA4">
        <w:t>TPs</w:t>
      </w:r>
      <w:r w:rsidRPr="00BF6FA4">
        <w:t xml:space="preserve"> to evaluate for selection in their existing Order No 1000 regional transmission planning processes regional transmission facilities to address interconnection-related transmission needs that have been identified in the generator interconnection process by meeting four qualifying criteria.  Specifically, </w:t>
      </w:r>
      <w:r w:rsidR="005C5D4C" w:rsidRPr="00BF6FA4">
        <w:t>FERC</w:t>
      </w:r>
      <w:r w:rsidRPr="00BF6FA4">
        <w:t xml:space="preserve"> required </w:t>
      </w:r>
      <w:r w:rsidR="005C5D4C" w:rsidRPr="00BF6FA4">
        <w:t>TPs</w:t>
      </w:r>
      <w:r w:rsidRPr="00BF6FA4">
        <w:t xml:space="preserve"> to evaluate interconnection-related network upgrades where: (1) the </w:t>
      </w:r>
      <w:r w:rsidR="005C5D4C" w:rsidRPr="00BF6FA4">
        <w:t>TP</w:t>
      </w:r>
      <w:r w:rsidRPr="00BF6FA4">
        <w:t xml:space="preserve"> has identified interconnection-related network upgrades in interconnection studies to address those interconnection-related transmission needs in at least two interconnection queue cycles during the preceding five years (looking back from the effective date of the Commission-accepted tariff provisions proposed to comply with this reform, and the later-in-time withdrawn interconnection request occurring after the effective date of the Commission-accepted tariff provisions); (2) an interconnection-related network upgrade identified to meet those interconnection-related transmission needs has a voltage of at least 200 kV </w:t>
      </w:r>
      <w:r w:rsidRPr="00BF6FA4">
        <w:rPr>
          <w:i/>
        </w:rPr>
        <w:t>and</w:t>
      </w:r>
      <w:r w:rsidRPr="00BF6FA4">
        <w:t xml:space="preserve"> an estimated cost of at least $30 million; (3) such interconnection-related network upgrade(s) have not been developed and are not currently planned to be developed because the interconnection request(s) driving the need for the network upgrade(s) has been withdrawn; and (4) the transmission provider has not identified an interconnection-related network upgrade to address the relevant interconnection-related transmission need in an executed generator interconnection agreement or in a generator interconnection agreement that the interconnection customer requested that the transmission provider file unexecuted with the Commission.</w:t>
      </w:r>
      <w:r w:rsidR="005C5D4C" w:rsidRPr="00BF6FA4">
        <w:rPr>
          <w:rStyle w:val="FootnoteReference"/>
        </w:rPr>
        <w:footnoteReference w:id="154"/>
      </w:r>
      <w:r w:rsidRPr="00BF6FA4">
        <w:t xml:space="preserve"> </w:t>
      </w:r>
    </w:p>
    <w:p w14:paraId="5E4F6369" w14:textId="22E2A402" w:rsidR="001A21BC" w:rsidRDefault="005C5D4C" w:rsidP="001A21BC">
      <w:pPr>
        <w:ind w:firstLine="720"/>
        <w:jc w:val="both"/>
      </w:pPr>
      <w:r w:rsidRPr="00BF6FA4">
        <w:t xml:space="preserve">In Order No. 1920-A, </w:t>
      </w:r>
      <w:r w:rsidR="001A21BC">
        <w:t>the Commission upholds the use of criteria but modifies the criteria themselves. The Commission specifies that the purpose of this area of reform is to address the “narrow issue of interconnection-related transmission needs being repeatedly identified yet continuing to go unresolved through the generator interconnection process, even though more efficient or cost-effective regional transmission solutions could be achieved if evaluated through regional transmission planning and cost allocation processes.</w:t>
      </w:r>
      <w:r w:rsidR="001A21BC">
        <w:rPr>
          <w:rStyle w:val="FootnoteReference"/>
        </w:rPr>
        <w:footnoteReference w:id="155"/>
      </w:r>
      <w:r w:rsidR="001A21BC">
        <w:t xml:space="preserve"> The Commission continued to believe that requiring TPs to consider a more limited set of interconnection-related transmission needs through their existing regional transmission planning processes is warranted because a more expansive set could include transmission needs associated with expensive but relatively low voltage </w:t>
      </w:r>
      <w:r w:rsidR="001A21BC" w:rsidRPr="00DB37CD">
        <w:t>interconnection-related network upgrades (which are less likely to provide widespread benefits to transmission customers compared to higher voltage transmission facilities) and transmission needs associated with high voltage but relatively inexpensive network upgrades (which are less likely to remain unbuilt by interconnection customers).</w:t>
      </w:r>
      <w:r w:rsidR="001A21BC">
        <w:rPr>
          <w:rStyle w:val="FootnoteReference"/>
        </w:rPr>
        <w:footnoteReference w:id="156"/>
      </w:r>
      <w:r w:rsidR="001A21BC" w:rsidRPr="00DB37CD">
        <w:t xml:space="preserve">  </w:t>
      </w:r>
    </w:p>
    <w:p w14:paraId="2B653CEE" w14:textId="77777777" w:rsidR="001A21BC" w:rsidRDefault="001A21BC" w:rsidP="001A21BC">
      <w:pPr>
        <w:ind w:firstLine="720"/>
        <w:jc w:val="both"/>
      </w:pPr>
    </w:p>
    <w:p w14:paraId="3515F326" w14:textId="44F3A454" w:rsidR="001A21BC" w:rsidRPr="00103AEB" w:rsidRDefault="001A21BC" w:rsidP="00103AEB">
      <w:pPr>
        <w:ind w:firstLine="720"/>
        <w:jc w:val="both"/>
        <w:rPr>
          <w:b/>
          <w:bCs/>
        </w:rPr>
      </w:pPr>
      <w:r>
        <w:t>The Commission modifies the qualifying criteria under which a TP must evaluate interconnection-related network upgrades. The criteria are now: (1)</w:t>
      </w:r>
      <w:r w:rsidRPr="001A21BC">
        <w:t xml:space="preserve"> </w:t>
      </w:r>
      <w:r w:rsidR="000677D7">
        <w:t>TPs</w:t>
      </w:r>
      <w:r w:rsidRPr="00DB37CD">
        <w:t xml:space="preserve"> in the transmission planning region have identified the relevant interconnection-related transmission need in interconnection studies in at least two interconnection queue cycles</w:t>
      </w:r>
      <w:r w:rsidRPr="00DB37CD">
        <w:rPr>
          <w:b/>
        </w:rPr>
        <w:t xml:space="preserve"> </w:t>
      </w:r>
      <w:r w:rsidRPr="00103AEB">
        <w:rPr>
          <w:bCs/>
          <w:iCs/>
        </w:rPr>
        <w:t xml:space="preserve">(or in at least two individual interconnection studies for </w:t>
      </w:r>
      <w:r w:rsidR="000677D7">
        <w:rPr>
          <w:bCs/>
          <w:iCs/>
        </w:rPr>
        <w:t>TPs</w:t>
      </w:r>
      <w:r w:rsidRPr="00103AEB">
        <w:rPr>
          <w:bCs/>
          <w:iCs/>
        </w:rPr>
        <w:t xml:space="preserve"> that use a first-come, first-served serial generator interconnection process)</w:t>
      </w:r>
      <w:r>
        <w:rPr>
          <w:bCs/>
          <w:iCs/>
        </w:rPr>
        <w:t xml:space="preserve">; </w:t>
      </w:r>
      <w:r w:rsidRPr="00BF6FA4">
        <w:t xml:space="preserve">(2) an interconnection-related network upgrade identified to meet those interconnection-related transmission needs has a voltage of at least 200 kV </w:t>
      </w:r>
      <w:r w:rsidRPr="00BF6FA4">
        <w:rPr>
          <w:i/>
        </w:rPr>
        <w:t>and</w:t>
      </w:r>
      <w:r w:rsidRPr="00BF6FA4">
        <w:t xml:space="preserve"> an estimated cost of at least $30 million;</w:t>
      </w:r>
      <w:r>
        <w:t xml:space="preserve"> (3) </w:t>
      </w:r>
      <w:r w:rsidRPr="00DB37CD">
        <w:t>the interconnection request</w:t>
      </w:r>
      <w:r>
        <w:t xml:space="preserve"> t</w:t>
      </w:r>
      <w:r w:rsidRPr="00DB37CD">
        <w:t xml:space="preserve">hat led to the identification of the interconnection-related transmission need </w:t>
      </w:r>
      <w:r w:rsidRPr="00103AEB">
        <w:t xml:space="preserve">in two or more interconnection queue cycles (or two individual interconnection studies if the </w:t>
      </w:r>
      <w:r w:rsidR="000677D7">
        <w:t>TP</w:t>
      </w:r>
      <w:r w:rsidRPr="00103AEB">
        <w:t xml:space="preserve"> uses a first-come, first-served serial generator interconnection process) have</w:t>
      </w:r>
      <w:r w:rsidRPr="001A21BC">
        <w:t xml:space="preserve"> been withdrawn </w:t>
      </w:r>
      <w:r w:rsidRPr="00103AEB">
        <w:t>and no more than five calendar years have passed between the date of an earlier interconnection request withdrawal and the date of a later interconnection request withdrawal</w:t>
      </w:r>
      <w:r w:rsidRPr="00DB37CD">
        <w:t>;</w:t>
      </w:r>
      <w:r w:rsidRPr="00DB37CD">
        <w:rPr>
          <w:i/>
          <w:iCs/>
        </w:rPr>
        <w:t xml:space="preserve"> </w:t>
      </w:r>
      <w:r w:rsidRPr="00103AEB">
        <w:t xml:space="preserve">(4) </w:t>
      </w:r>
      <w:r w:rsidRPr="00DB37CD">
        <w:t xml:space="preserve">the </w:t>
      </w:r>
      <w:r w:rsidR="000677D7">
        <w:t>TPs</w:t>
      </w:r>
      <w:r w:rsidRPr="00DB37CD">
        <w:t xml:space="preserve"> have not identified a different interconnection-related Network Upgrade to meet the relevant interconnection-related transmission need in an executed Generator Interconnection Agreement or in a Generator Interconnection Agreement that the interconnection customer requested that the Transmission Provider file unexecuted with the Commission</w:t>
      </w:r>
      <w:r>
        <w:t>; and (5) t</w:t>
      </w:r>
      <w:r w:rsidRPr="001A21BC">
        <w:t>he interconnection request withdrawals associated with the repeatedly identified interconnection-related transmission need occurred no earlier than seven calendar years prior to the commencement date of the Order No. 1000 regional transmission planning and cost allocation cycle.  The initial evaluation should occur in the first Order No. 1000 regional transmission planning and cost allocation cycle to occur after the effective date of the tariff revisions implementing this reform.</w:t>
      </w:r>
      <w:r w:rsidR="009D2106">
        <w:t xml:space="preserve"> </w:t>
      </w:r>
      <w:r w:rsidRPr="001A21BC">
        <w:t xml:space="preserve">  The transmission provider need not evaluate an interconnection-related transmission need that has been evaluated in a previous Order No. 1000 regional transmission planning and cost allocation cycle</w:t>
      </w:r>
      <w:r>
        <w:t>.</w:t>
      </w:r>
      <w:r>
        <w:rPr>
          <w:rStyle w:val="FootnoteReference"/>
        </w:rPr>
        <w:footnoteReference w:id="157"/>
      </w:r>
    </w:p>
    <w:p w14:paraId="35601A3D" w14:textId="77777777" w:rsidR="001A21BC" w:rsidRDefault="001A21BC" w:rsidP="00436394">
      <w:pPr>
        <w:jc w:val="both"/>
      </w:pPr>
    </w:p>
    <w:p w14:paraId="0240DF6F" w14:textId="2D31268C" w:rsidR="005C5D4C" w:rsidRPr="00BF6FA4" w:rsidRDefault="001A21BC" w:rsidP="00103AEB">
      <w:pPr>
        <w:ind w:firstLine="720"/>
        <w:jc w:val="both"/>
      </w:pPr>
      <w:r>
        <w:t xml:space="preserve">The Commission adjusts these criteria to resolve discrepancy on timing for these requirements. </w:t>
      </w:r>
      <w:r w:rsidR="00482ED4" w:rsidRPr="00BF6FA4">
        <w:t xml:space="preserve">FERC </w:t>
      </w:r>
      <w:r>
        <w:t xml:space="preserve">also </w:t>
      </w:r>
      <w:r w:rsidR="00103AEB">
        <w:t>ma</w:t>
      </w:r>
      <w:r>
        <w:t>kes</w:t>
      </w:r>
      <w:r w:rsidRPr="00BF6FA4">
        <w:t xml:space="preserve"> </w:t>
      </w:r>
      <w:r w:rsidR="005C5D4C" w:rsidRPr="00BF6FA4">
        <w:t xml:space="preserve">several </w:t>
      </w:r>
      <w:r>
        <w:t xml:space="preserve">other </w:t>
      </w:r>
      <w:r w:rsidR="005C5D4C" w:rsidRPr="00BF6FA4">
        <w:t>clarifications regarding the timing of this process:</w:t>
      </w:r>
    </w:p>
    <w:p w14:paraId="4323A5D5" w14:textId="0E38818D" w:rsidR="005C5D4C" w:rsidRPr="00BF6FA4" w:rsidRDefault="005C5D4C" w:rsidP="00103AEB">
      <w:pPr>
        <w:pStyle w:val="ListParagraph"/>
        <w:numPr>
          <w:ilvl w:val="0"/>
          <w:numId w:val="30"/>
        </w:numPr>
        <w:spacing w:after="120"/>
        <w:contextualSpacing w:val="0"/>
        <w:jc w:val="both"/>
      </w:pPr>
      <w:r w:rsidRPr="00BF6FA4">
        <w:t>The</w:t>
      </w:r>
      <w:r w:rsidR="00482ED4" w:rsidRPr="00BF6FA4">
        <w:t xml:space="preserve"> time period that </w:t>
      </w:r>
      <w:r w:rsidR="00226FEE" w:rsidRPr="00BF6FA4">
        <w:t>TPs</w:t>
      </w:r>
      <w:r w:rsidR="001A21BC">
        <w:t xml:space="preserve"> </w:t>
      </w:r>
      <w:r w:rsidR="008857BE">
        <w:t xml:space="preserve">have </w:t>
      </w:r>
      <w:r w:rsidR="00482ED4" w:rsidRPr="00BF6FA4">
        <w:t>to identify interconnection-related transmission needs for potential consideration during any Order No. 1000 regional transmission planning and cost allocation process cycle will be longer than five calendar year.</w:t>
      </w:r>
      <w:r w:rsidR="00482ED4" w:rsidRPr="00BF6FA4">
        <w:rPr>
          <w:rStyle w:val="FootnoteReference"/>
        </w:rPr>
        <w:footnoteReference w:id="158"/>
      </w:r>
    </w:p>
    <w:p w14:paraId="0049C85E" w14:textId="6BE7681B" w:rsidR="005C5D4C" w:rsidRPr="00BF6FA4" w:rsidRDefault="005C5D4C" w:rsidP="00103AEB">
      <w:pPr>
        <w:pStyle w:val="ListParagraph"/>
        <w:numPr>
          <w:ilvl w:val="0"/>
          <w:numId w:val="30"/>
        </w:numPr>
        <w:spacing w:after="120"/>
        <w:contextualSpacing w:val="0"/>
        <w:jc w:val="both"/>
      </w:pPr>
      <w:r w:rsidRPr="00BF6FA4">
        <w:t>A</w:t>
      </w:r>
      <w:r w:rsidR="00482ED4" w:rsidRPr="00BF6FA4">
        <w:t xml:space="preserve"> </w:t>
      </w:r>
      <w:r w:rsidR="00226FEE" w:rsidRPr="00BF6FA4">
        <w:t>TP</w:t>
      </w:r>
      <w:r w:rsidR="001A21BC">
        <w:t xml:space="preserve"> </w:t>
      </w:r>
      <w:r w:rsidR="00482ED4" w:rsidRPr="00BF6FA4">
        <w:t>need not evaluate an interconnection-related transmission need if more than five calendar years separate the withdrawal of the earlier and later interconnection requests associated with an interconnection-related transmission need (the double withdrawal criterion</w:t>
      </w:r>
      <w:r w:rsidR="001A21BC">
        <w:t xml:space="preserve"> 3</w:t>
      </w:r>
      <w:r w:rsidR="00482ED4" w:rsidRPr="00BF6FA4">
        <w:t>)</w:t>
      </w:r>
      <w:r w:rsidR="00482ED4" w:rsidRPr="00BF6FA4">
        <w:rPr>
          <w:rStyle w:val="FootnoteReference"/>
        </w:rPr>
        <w:footnoteReference w:id="159"/>
      </w:r>
    </w:p>
    <w:p w14:paraId="6CCEC8AA" w14:textId="59F534DE" w:rsidR="005C5D4C" w:rsidRPr="00BF6FA4" w:rsidRDefault="005C5D4C" w:rsidP="00103AEB">
      <w:pPr>
        <w:pStyle w:val="ListParagraph"/>
        <w:numPr>
          <w:ilvl w:val="0"/>
          <w:numId w:val="30"/>
        </w:numPr>
        <w:spacing w:after="120"/>
        <w:contextualSpacing w:val="0"/>
        <w:jc w:val="both"/>
      </w:pPr>
      <w:r w:rsidRPr="00BF6FA4">
        <w:t>T</w:t>
      </w:r>
      <w:r w:rsidR="00482ED4" w:rsidRPr="00BF6FA4">
        <w:t>he withdrawal window criterion</w:t>
      </w:r>
      <w:r w:rsidR="001A21BC">
        <w:t xml:space="preserve"> 5</w:t>
      </w:r>
      <w:r w:rsidR="00482ED4" w:rsidRPr="00BF6FA4">
        <w:t xml:space="preserve"> </w:t>
      </w:r>
      <w:r w:rsidR="008857BE">
        <w:t>demonstrates</w:t>
      </w:r>
      <w:r w:rsidR="00482ED4" w:rsidRPr="00BF6FA4">
        <w:t xml:space="preserve"> that a </w:t>
      </w:r>
      <w:r w:rsidR="00226FEE" w:rsidRPr="00BF6FA4">
        <w:t xml:space="preserve">TP </w:t>
      </w:r>
      <w:r w:rsidR="00482ED4" w:rsidRPr="00BF6FA4">
        <w:t>need only evaluate an interconnection-related transmission need in its Order No. 1000 regional transmission planning and cost allocation cycle if the withdrawal of the interconnection requests associated with the repeatedly identified interconnection-related transmission need occurred within the seven calendar years prior to the commencement date of the Order No. 1000 regional transmission planning and cost allocation cycle.</w:t>
      </w:r>
      <w:r w:rsidR="00482ED4" w:rsidRPr="00BF6FA4">
        <w:rPr>
          <w:rStyle w:val="FootnoteReference"/>
        </w:rPr>
        <w:footnoteReference w:id="160"/>
      </w:r>
    </w:p>
    <w:p w14:paraId="676B1D56" w14:textId="43806ACD" w:rsidR="005C5D4C" w:rsidRPr="00BF6FA4" w:rsidRDefault="005C5D4C" w:rsidP="001A21BC">
      <w:pPr>
        <w:pStyle w:val="ListParagraph"/>
        <w:numPr>
          <w:ilvl w:val="0"/>
          <w:numId w:val="30"/>
        </w:numPr>
        <w:spacing w:after="120"/>
        <w:contextualSpacing w:val="0"/>
        <w:jc w:val="both"/>
      </w:pPr>
      <w:r w:rsidRPr="00BF6FA4">
        <w:t xml:space="preserve">The </w:t>
      </w:r>
      <w:r w:rsidR="00482ED4" w:rsidRPr="00BF6FA4">
        <w:t xml:space="preserve">double withdrawal criterion </w:t>
      </w:r>
      <w:r w:rsidR="001A21BC">
        <w:t xml:space="preserve">3 </w:t>
      </w:r>
      <w:r w:rsidR="00482ED4" w:rsidRPr="00BF6FA4">
        <w:t xml:space="preserve">requires that no more than five calendar years occur between the earlier and later interconnection request withdrawals and that the withdrawal window criterion </w:t>
      </w:r>
      <w:r w:rsidR="001A21BC">
        <w:t xml:space="preserve">and </w:t>
      </w:r>
      <w:r w:rsidR="00482ED4" w:rsidRPr="00BF6FA4">
        <w:t xml:space="preserve">makes clear that </w:t>
      </w:r>
      <w:r w:rsidR="00226FEE" w:rsidRPr="00BF6FA4">
        <w:t xml:space="preserve">TPs </w:t>
      </w:r>
      <w:r w:rsidR="00482ED4" w:rsidRPr="00BF6FA4">
        <w:t xml:space="preserve">need not evaluate an interconnection-related transmission need if the relevant interconnection request withdrawals do not occur within the seven calendar years prior to the commencement date of the Order No. 1000 regional transmission planning and cost allocation cycle.  </w:t>
      </w:r>
      <w:r w:rsidR="00482ED4" w:rsidRPr="00BF6FA4">
        <w:rPr>
          <w:rStyle w:val="FootnoteReference"/>
        </w:rPr>
        <w:footnoteReference w:id="161"/>
      </w:r>
    </w:p>
    <w:p w14:paraId="60FCF3BF" w14:textId="2EF9FF31" w:rsidR="00482ED4" w:rsidRPr="00BF6FA4" w:rsidRDefault="00482ED4" w:rsidP="00103AEB">
      <w:pPr>
        <w:spacing w:after="240"/>
        <w:ind w:firstLine="720"/>
        <w:jc w:val="both"/>
        <w:rPr>
          <w:b/>
          <w:bCs/>
        </w:rPr>
      </w:pPr>
      <w:r w:rsidRPr="00BF6FA4">
        <w:rPr>
          <w:b/>
          <w:bCs/>
          <w:i/>
          <w:iCs/>
        </w:rPr>
        <w:t>Cost Allocation</w:t>
      </w:r>
      <w:r w:rsidR="00226FEE" w:rsidRPr="00BF6FA4">
        <w:rPr>
          <w:b/>
          <w:bCs/>
          <w:i/>
          <w:iCs/>
        </w:rPr>
        <w:t xml:space="preserve"> Related to Generator Interconnection</w:t>
      </w:r>
      <w:r w:rsidR="005C5D4C" w:rsidRPr="00BF6FA4">
        <w:rPr>
          <w:b/>
          <w:bCs/>
          <w:i/>
          <w:iCs/>
        </w:rPr>
        <w:t>.</w:t>
      </w:r>
      <w:r w:rsidR="005C5D4C" w:rsidRPr="00BF6FA4">
        <w:rPr>
          <w:b/>
          <w:bCs/>
        </w:rPr>
        <w:t xml:space="preserve"> </w:t>
      </w:r>
      <w:r w:rsidR="005C5D4C" w:rsidRPr="00BF6FA4">
        <w:t xml:space="preserve">In Order No. 1920, the Commission adopted new coordination requirements to require that </w:t>
      </w:r>
      <w:r w:rsidR="00226FEE" w:rsidRPr="00BF6FA4">
        <w:t xml:space="preserve">TPs </w:t>
      </w:r>
      <w:r w:rsidR="005C5D4C" w:rsidRPr="00BF6FA4">
        <w:t>evaluate regional transmission facilities that address certain interconnection-related transmission needs identified by this reform in the existing</w:t>
      </w:r>
      <w:r w:rsidR="005C5D4C" w:rsidRPr="00BF6FA4">
        <w:rPr>
          <w:i/>
          <w:iCs/>
        </w:rPr>
        <w:t xml:space="preserve"> </w:t>
      </w:r>
      <w:r w:rsidR="005C5D4C" w:rsidRPr="00BF6FA4">
        <w:t>Order No. 1000 regional transmission planning and cost allocation processes.</w:t>
      </w:r>
      <w:r w:rsidR="005C5D4C" w:rsidRPr="00BF6FA4">
        <w:rPr>
          <w:rStyle w:val="FootnoteReference"/>
        </w:rPr>
        <w:footnoteReference w:id="162"/>
      </w:r>
      <w:r w:rsidR="005C5D4C" w:rsidRPr="00BF6FA4">
        <w:rPr>
          <w:b/>
          <w:bCs/>
        </w:rPr>
        <w:t xml:space="preserve"> </w:t>
      </w:r>
      <w:r w:rsidR="005C5D4C" w:rsidRPr="00BF6FA4">
        <w:t>In Order No. 1920-A, F</w:t>
      </w:r>
      <w:r w:rsidRPr="00BF6FA4">
        <w:t xml:space="preserve">ERC </w:t>
      </w:r>
      <w:r w:rsidR="005C5D4C" w:rsidRPr="00BF6FA4">
        <w:t>clarifies</w:t>
      </w:r>
      <w:r w:rsidRPr="00BF6FA4">
        <w:t xml:space="preserve"> that the coordination requirements in Order No. 1920 do not require changes to existing cost allocation methods that </w:t>
      </w:r>
      <w:r w:rsidR="008857BE">
        <w:t>TPs</w:t>
      </w:r>
      <w:r w:rsidRPr="00BF6FA4">
        <w:t xml:space="preserve"> have adopted in either the generator interconnection or existing Order No. 1000 regional transmission planning and cost allocation processes.  Therefore, those existing cost allocation methods remain intact.</w:t>
      </w:r>
      <w:r w:rsidRPr="00BF6FA4">
        <w:rPr>
          <w:rStyle w:val="FootnoteReference"/>
        </w:rPr>
        <w:footnoteReference w:id="163"/>
      </w:r>
      <w:r w:rsidR="005C5D4C" w:rsidRPr="00BF6FA4">
        <w:t xml:space="preserve"> The </w:t>
      </w:r>
      <w:r w:rsidRPr="00BF6FA4">
        <w:t>coordination reform does not alter existing cost allocation methods or create a new cost allocation method for generator interconnection processes</w:t>
      </w:r>
      <w:r w:rsidR="00226FEE" w:rsidRPr="00BF6FA4">
        <w:t>.</w:t>
      </w:r>
      <w:r w:rsidRPr="00BF6FA4">
        <w:rPr>
          <w:rStyle w:val="FootnoteReference"/>
        </w:rPr>
        <w:footnoteReference w:id="164"/>
      </w:r>
    </w:p>
    <w:p w14:paraId="73099330" w14:textId="7703FABE" w:rsidR="00482ED4" w:rsidRPr="001A21BC" w:rsidRDefault="00226FEE" w:rsidP="00103AEB">
      <w:pPr>
        <w:ind w:firstLine="720"/>
        <w:jc w:val="both"/>
      </w:pPr>
      <w:r w:rsidRPr="00BF6FA4">
        <w:t xml:space="preserve">The </w:t>
      </w:r>
      <w:r w:rsidR="00482ED4" w:rsidRPr="00BF6FA4">
        <w:t xml:space="preserve">FERC reiterates in </w:t>
      </w:r>
      <w:r w:rsidR="001A21BC">
        <w:t>Order No. 1920-A</w:t>
      </w:r>
      <w:r w:rsidR="00482ED4" w:rsidRPr="00BF6FA4">
        <w:t xml:space="preserve"> that there is no obligation for </w:t>
      </w:r>
      <w:r w:rsidRPr="00BF6FA4">
        <w:t xml:space="preserve">TPs </w:t>
      </w:r>
      <w:r w:rsidR="00482ED4" w:rsidRPr="00BF6FA4">
        <w:t>to select a transmission facility that addresses the interconnection-related transmission need that must be evaluated pursuant to this reform,</w:t>
      </w:r>
      <w:r w:rsidR="00482ED4" w:rsidRPr="00BF6FA4">
        <w:rPr>
          <w:rStyle w:val="FootnoteReference"/>
        </w:rPr>
        <w:footnoteReference w:id="165"/>
      </w:r>
      <w:r w:rsidR="00482ED4" w:rsidRPr="00BF6FA4">
        <w:t xml:space="preserve"> nor does the reform compel </w:t>
      </w:r>
      <w:r w:rsidRPr="00BF6FA4">
        <w:t xml:space="preserve">TPs </w:t>
      </w:r>
      <w:r w:rsidR="00482ED4" w:rsidRPr="00BF6FA4">
        <w:t>to adopt a new cost allocation method for transmission facilities that address interconnection-related transmission needs</w:t>
      </w:r>
      <w:r w:rsidR="00482ED4" w:rsidRPr="00BF6FA4">
        <w:rPr>
          <w:rStyle w:val="FootnoteReference"/>
        </w:rPr>
        <w:footnoteReference w:id="166"/>
      </w:r>
      <w:r w:rsidR="001A21BC">
        <w:t xml:space="preserve"> Transmission providers must </w:t>
      </w:r>
      <w:r w:rsidR="001A21BC">
        <w:rPr>
          <w:i/>
          <w:iCs/>
        </w:rPr>
        <w:t xml:space="preserve">evaluate </w:t>
      </w:r>
      <w:r w:rsidR="001A21BC">
        <w:t>certain interconnection-related transmission needs pursuant to existing Order No. 1000 regional transmission planning and cost allocation processes.</w:t>
      </w:r>
      <w:r w:rsidR="001A21BC">
        <w:rPr>
          <w:rStyle w:val="FootnoteReference"/>
        </w:rPr>
        <w:footnoteReference w:id="167"/>
      </w:r>
    </w:p>
    <w:p w14:paraId="552C6450" w14:textId="77777777" w:rsidR="005C5D4C" w:rsidRPr="00BF6FA4" w:rsidRDefault="005C5D4C" w:rsidP="00436394">
      <w:pPr>
        <w:jc w:val="both"/>
      </w:pPr>
    </w:p>
    <w:p w14:paraId="1AA6212E" w14:textId="0ED3FEED" w:rsidR="00482ED4" w:rsidRPr="00BF6FA4" w:rsidRDefault="00482ED4" w:rsidP="00103AEB">
      <w:pPr>
        <w:spacing w:after="240"/>
        <w:ind w:firstLine="720"/>
        <w:jc w:val="both"/>
      </w:pPr>
      <w:r w:rsidRPr="00BF6FA4">
        <w:rPr>
          <w:b/>
          <w:bCs/>
          <w:i/>
          <w:iCs/>
        </w:rPr>
        <w:t>Gaming</w:t>
      </w:r>
      <w:r w:rsidR="005C5D4C" w:rsidRPr="00BF6FA4">
        <w:rPr>
          <w:b/>
          <w:bCs/>
          <w:i/>
          <w:iCs/>
        </w:rPr>
        <w:t>.</w:t>
      </w:r>
      <w:r w:rsidR="005C5D4C" w:rsidRPr="00BF6FA4">
        <w:t xml:space="preserve"> In Order No. 1920 the Commission did not adopt revisions to the proposed </w:t>
      </w:r>
      <w:r w:rsidR="001A21BC">
        <w:t xml:space="preserve">generator interconnection </w:t>
      </w:r>
      <w:r w:rsidR="005C5D4C" w:rsidRPr="00BF6FA4">
        <w:t xml:space="preserve">coordination reform in response to assertions that the reform would lead to “gaming,” resulting in spurious interconnection requests. </w:t>
      </w:r>
      <w:r w:rsidRPr="00BF6FA4">
        <w:t xml:space="preserve">FERC </w:t>
      </w:r>
      <w:r w:rsidR="005C5D4C" w:rsidRPr="00BF6FA4">
        <w:t xml:space="preserve">upholds this </w:t>
      </w:r>
      <w:r w:rsidR="00226FEE" w:rsidRPr="00BF6FA4">
        <w:t>determination</w:t>
      </w:r>
      <w:r w:rsidR="005C5D4C" w:rsidRPr="00BF6FA4">
        <w:t>.</w:t>
      </w:r>
      <w:r w:rsidR="005C5D4C" w:rsidRPr="00BF6FA4">
        <w:rPr>
          <w:rStyle w:val="FootnoteReference"/>
        </w:rPr>
        <w:footnoteReference w:id="168"/>
      </w:r>
    </w:p>
    <w:p w14:paraId="23F0F6EE" w14:textId="6964CACE" w:rsidR="005C5D4C" w:rsidRPr="00BF6FA4" w:rsidRDefault="005C5D4C" w:rsidP="00103AEB">
      <w:pPr>
        <w:spacing w:after="240"/>
        <w:ind w:firstLine="720"/>
        <w:jc w:val="both"/>
      </w:pPr>
      <w:r w:rsidRPr="00BF6FA4">
        <w:rPr>
          <w:b/>
          <w:bCs/>
          <w:i/>
          <w:iCs/>
        </w:rPr>
        <w:t>Transmission Planning Process Evaluation.</w:t>
      </w:r>
      <w:r w:rsidRPr="00BF6FA4">
        <w:t xml:space="preserve"> In Order No. 1920, the Commission required </w:t>
      </w:r>
      <w:r w:rsidR="001A21BC">
        <w:t>TPs</w:t>
      </w:r>
      <w:r w:rsidRPr="00BF6FA4">
        <w:t xml:space="preserve"> to evaluate regional transmission facilities that address certain interconnection-related transmission needs in their existing Order No. 1000 regional transmission planning and cost allocation processes instead of in </w:t>
      </w:r>
      <w:r w:rsidR="00AD3EC0" w:rsidRPr="00BF6FA4">
        <w:t>LTRTP</w:t>
      </w:r>
      <w:r w:rsidRPr="00BF6FA4">
        <w:t>, as was proposed in the NOPR.</w:t>
      </w:r>
      <w:r w:rsidRPr="00BF6FA4">
        <w:rPr>
          <w:rStyle w:val="FootnoteReference"/>
        </w:rPr>
        <w:footnoteReference w:id="169"/>
      </w:r>
      <w:r w:rsidR="00AD3EC0" w:rsidRPr="00BF6FA4">
        <w:t xml:space="preserve"> The Commission </w:t>
      </w:r>
      <w:r w:rsidR="001A21BC" w:rsidRPr="00BF6FA4">
        <w:t>reject</w:t>
      </w:r>
      <w:r w:rsidR="001A21BC">
        <w:t>s</w:t>
      </w:r>
      <w:r w:rsidR="001A21BC" w:rsidRPr="00BF6FA4">
        <w:t xml:space="preserve"> </w:t>
      </w:r>
      <w:r w:rsidR="00AD3EC0" w:rsidRPr="00BF6FA4">
        <w:t xml:space="preserve">arguments that this finding was not a logical outgrowth of the NOPR and </w:t>
      </w:r>
      <w:r w:rsidR="001A21BC" w:rsidRPr="00BF6FA4">
        <w:t>uph</w:t>
      </w:r>
      <w:r w:rsidR="001A21BC">
        <w:t>olds</w:t>
      </w:r>
      <w:r w:rsidR="001A21BC" w:rsidRPr="00BF6FA4">
        <w:t xml:space="preserve"> </w:t>
      </w:r>
      <w:r w:rsidR="00AD3EC0" w:rsidRPr="00BF6FA4">
        <w:t xml:space="preserve">its </w:t>
      </w:r>
      <w:r w:rsidR="00226FEE" w:rsidRPr="00BF6FA4">
        <w:t>determinations</w:t>
      </w:r>
      <w:r w:rsidR="00AD3EC0" w:rsidRPr="00BF6FA4">
        <w:t>.</w:t>
      </w:r>
      <w:r w:rsidR="00AD3EC0" w:rsidRPr="00BF6FA4">
        <w:rPr>
          <w:rStyle w:val="FootnoteReference"/>
        </w:rPr>
        <w:footnoteReference w:id="170"/>
      </w:r>
      <w:r w:rsidR="00AC5436" w:rsidRPr="00BF6FA4">
        <w:t xml:space="preserve"> Order 1920-A rejects arguments for addition transmission needs analysis to account for generator interconnection needs beyond what is already in Order Nos. 1920/1920-A, with the Commission stating</w:t>
      </w:r>
      <w:r w:rsidR="001A21BC">
        <w:t xml:space="preserve">, </w:t>
      </w:r>
      <w:r w:rsidR="00AC5436" w:rsidRPr="00BF6FA4">
        <w:t>“</w:t>
      </w:r>
      <w:r w:rsidR="001A21BC">
        <w:t>[i]</w:t>
      </w:r>
      <w:r w:rsidR="00AC5436" w:rsidRPr="00BF6FA4">
        <w:t>f any transmission provider chooses to develop additional processes to address interconnection-related transmission needs in Long-Term Regional Transmission Planning, they must demonstrate that the proposal is consistent with or superior to Order No. 1920’s requirements.”</w:t>
      </w:r>
      <w:r w:rsidR="001A21BC">
        <w:rPr>
          <w:rStyle w:val="FootnoteReference"/>
        </w:rPr>
        <w:footnoteReference w:id="171"/>
      </w:r>
    </w:p>
    <w:p w14:paraId="70B3B4D3" w14:textId="19D9881A" w:rsidR="00E91111" w:rsidRPr="00BF6FA4" w:rsidRDefault="00E91111" w:rsidP="00436394">
      <w:pPr>
        <w:pStyle w:val="Heading1"/>
        <w:spacing w:before="0" w:after="240"/>
        <w:jc w:val="both"/>
        <w:rPr>
          <w:rFonts w:ascii="Times New Roman" w:hAnsi="Times New Roman" w:cs="Times New Roman"/>
          <w:sz w:val="24"/>
          <w:szCs w:val="24"/>
        </w:rPr>
      </w:pPr>
      <w:r w:rsidRPr="00BF6FA4">
        <w:rPr>
          <w:rFonts w:ascii="Times New Roman" w:hAnsi="Times New Roman" w:cs="Times New Roman"/>
          <w:sz w:val="24"/>
          <w:szCs w:val="24"/>
        </w:rPr>
        <w:t>Consideration of Dynamic Line Ratings and Advanced Power Flow Control Devices</w:t>
      </w:r>
    </w:p>
    <w:p w14:paraId="1899A962" w14:textId="54D6F8C8" w:rsidR="00AD3EC0" w:rsidRPr="00BF6FA4" w:rsidRDefault="00AC5436" w:rsidP="00103AEB">
      <w:pPr>
        <w:ind w:firstLine="720"/>
        <w:jc w:val="both"/>
      </w:pPr>
      <w:r w:rsidRPr="00BF6FA4">
        <w:t xml:space="preserve">In </w:t>
      </w:r>
      <w:r w:rsidR="00AD3EC0" w:rsidRPr="00BF6FA4">
        <w:t xml:space="preserve">Order 1920, FERC required </w:t>
      </w:r>
      <w:r w:rsidR="000B331E">
        <w:t>TPs</w:t>
      </w:r>
      <w:r w:rsidR="00AD3EC0" w:rsidRPr="00BF6FA4">
        <w:t xml:space="preserve"> to consider in LTRTP the following enumerated alternative transmission technologies for each identified transmission need:  (1) dynamic line ratings; (2) advanced power flow control devices; (3) advanced conductors; and (4) transmission switching.</w:t>
      </w:r>
      <w:r w:rsidR="00AD3EC0" w:rsidRPr="00BF6FA4">
        <w:rPr>
          <w:rStyle w:val="FootnoteReference"/>
        </w:rPr>
        <w:footnoteReference w:id="172"/>
      </w:r>
      <w:r w:rsidR="00AD3EC0" w:rsidRPr="00BF6FA4">
        <w:t xml:space="preserve"> When evaluating regional transmission facilities for potential selection</w:t>
      </w:r>
      <w:r w:rsidR="000B331E">
        <w:t>,</w:t>
      </w:r>
      <w:r w:rsidR="00AD3EC0" w:rsidRPr="00BF6FA4">
        <w:t xml:space="preserve"> </w:t>
      </w:r>
      <w:r w:rsidR="000B331E">
        <w:t>TPs</w:t>
      </w:r>
      <w:r w:rsidR="00AD3EC0" w:rsidRPr="00BF6FA4">
        <w:t xml:space="preserve"> must consider whether regional transmission facilities that incorporate, or solely consist of, any of the enumerated list of alternative transmission technologies would be more efficient or cost-effective than selecting new regional transmission facilities </w:t>
      </w:r>
      <w:r w:rsidR="00AD3EC0" w:rsidRPr="00BF6FA4">
        <w:rPr>
          <w:u w:val="single"/>
        </w:rPr>
        <w:t>or</w:t>
      </w:r>
      <w:r w:rsidRPr="00BF6FA4">
        <w:rPr>
          <w:u w:val="single"/>
        </w:rPr>
        <w:t xml:space="preserve"> </w:t>
      </w:r>
      <w:r w:rsidR="00AD3EC0" w:rsidRPr="00BF6FA4">
        <w:rPr>
          <w:u w:val="single"/>
        </w:rPr>
        <w:t>upgrades</w:t>
      </w:r>
      <w:r w:rsidR="00AD3EC0" w:rsidRPr="00BF6FA4">
        <w:t xml:space="preserve"> to existing transmission facilities that do not incorporate these technologies</w:t>
      </w:r>
      <w:r w:rsidRPr="00BF6FA4">
        <w:t>.</w:t>
      </w:r>
      <w:r w:rsidR="00AD3EC0" w:rsidRPr="00BF6FA4">
        <w:rPr>
          <w:rStyle w:val="FootnoteReference"/>
        </w:rPr>
        <w:footnoteReference w:id="173"/>
      </w:r>
    </w:p>
    <w:p w14:paraId="2EB6E9F1" w14:textId="5A03D710" w:rsidR="00AD3EC0" w:rsidRPr="00BF6FA4" w:rsidRDefault="00AD3EC0" w:rsidP="00436394">
      <w:pPr>
        <w:jc w:val="both"/>
      </w:pPr>
    </w:p>
    <w:p w14:paraId="5912D390" w14:textId="711C6A23" w:rsidR="00AD3EC0" w:rsidRPr="00BF6FA4" w:rsidRDefault="00AD3EC0" w:rsidP="00103AEB">
      <w:pPr>
        <w:ind w:firstLine="720"/>
        <w:jc w:val="both"/>
      </w:pPr>
      <w:r w:rsidRPr="00BF6FA4">
        <w:t xml:space="preserve">In Order 1920-A, FERC clarifies that it does not require detailed production cost simulations to demonstrate costs and benefits of each alternative transmission technology for each existing transmission element, and that </w:t>
      </w:r>
      <w:r w:rsidR="00AC5436" w:rsidRPr="00BF6FA4">
        <w:t xml:space="preserve">TPs </w:t>
      </w:r>
      <w:r w:rsidRPr="00BF6FA4">
        <w:t>have flexibility to apply good engineering judgment to identify the specific transmission elements that are likely candidates for specific enumerated alternative transmission technologies.</w:t>
      </w:r>
      <w:r w:rsidRPr="00BF6FA4">
        <w:rPr>
          <w:rStyle w:val="FootnoteReference"/>
        </w:rPr>
        <w:footnoteReference w:id="174"/>
      </w:r>
      <w:r w:rsidRPr="00BF6FA4">
        <w:t xml:space="preserve"> </w:t>
      </w:r>
      <w:r w:rsidR="00AC5436" w:rsidRPr="00BF6FA4">
        <w:t xml:space="preserve">TPs </w:t>
      </w:r>
      <w:r w:rsidRPr="00BF6FA4">
        <w:t xml:space="preserve">must consider, as discussed above, dynamic line ratings, advanced power flow control devices, advanced conductors, and transmission switching for each identified transmission need during </w:t>
      </w:r>
      <w:r w:rsidR="000B331E">
        <w:t>LTRTP</w:t>
      </w:r>
      <w:r w:rsidRPr="00BF6FA4">
        <w:t xml:space="preserve"> and existing Order No. 1000 regional transmission planning processes</w:t>
      </w:r>
      <w:r w:rsidR="000B331E">
        <w:t xml:space="preserve"> in evaluating both new regional transmission facilities, as well as upgrades to existing</w:t>
      </w:r>
      <w:r w:rsidRPr="00BF6FA4">
        <w:t>.</w:t>
      </w:r>
      <w:r w:rsidRPr="00BF6FA4">
        <w:rPr>
          <w:rStyle w:val="FootnoteReference"/>
        </w:rPr>
        <w:footnoteReference w:id="175"/>
      </w:r>
    </w:p>
    <w:p w14:paraId="694CAD32" w14:textId="77777777" w:rsidR="00AD3EC0" w:rsidRPr="00BF6FA4" w:rsidRDefault="00AD3EC0" w:rsidP="00436394">
      <w:pPr>
        <w:pStyle w:val="ListParagraph"/>
        <w:jc w:val="both"/>
      </w:pPr>
    </w:p>
    <w:p w14:paraId="396C4308" w14:textId="1ECE2250" w:rsidR="00E91111" w:rsidRPr="00BF6FA4" w:rsidRDefault="00AD3EC0" w:rsidP="00103AEB">
      <w:pPr>
        <w:ind w:firstLine="720"/>
        <w:jc w:val="both"/>
      </w:pPr>
      <w:r w:rsidRPr="00BF6FA4">
        <w:t xml:space="preserve">FERC declines to create a presumption in favor of substituting alternative transmission technologies in either </w:t>
      </w:r>
      <w:r w:rsidR="000B331E">
        <w:t>LTRTP</w:t>
      </w:r>
      <w:r w:rsidRPr="00BF6FA4">
        <w:t xml:space="preserve"> or the existing Order No. 1000 regional transmission planning processes</w:t>
      </w:r>
      <w:r w:rsidR="00AC5436" w:rsidRPr="00BF6FA4">
        <w:t>, based on its policy of being resource neutral</w:t>
      </w:r>
      <w:r w:rsidRPr="00BF6FA4">
        <w:t>.</w:t>
      </w:r>
      <w:r w:rsidRPr="00BF6FA4">
        <w:rPr>
          <w:rStyle w:val="FootnoteReference"/>
        </w:rPr>
        <w:footnoteReference w:id="176"/>
      </w:r>
      <w:r w:rsidRPr="00BF6FA4">
        <w:t xml:space="preserve"> </w:t>
      </w:r>
      <w:r w:rsidR="002829CF" w:rsidRPr="00BF6FA4">
        <w:t>In Order No. 1920-A, t</w:t>
      </w:r>
      <w:r w:rsidR="00AC5436" w:rsidRPr="00BF6FA4">
        <w:t xml:space="preserve">he </w:t>
      </w:r>
      <w:r w:rsidRPr="00BF6FA4">
        <w:t xml:space="preserve">FERC sustains </w:t>
      </w:r>
      <w:r w:rsidR="00AC5436" w:rsidRPr="00BF6FA4">
        <w:t xml:space="preserve">its determination </w:t>
      </w:r>
      <w:r w:rsidR="002829CF" w:rsidRPr="00BF6FA4">
        <w:t xml:space="preserve"> not </w:t>
      </w:r>
      <w:r w:rsidRPr="00BF6FA4">
        <w:t>t</w:t>
      </w:r>
      <w:r w:rsidR="002829CF" w:rsidRPr="00BF6FA4">
        <w:t>o</w:t>
      </w:r>
      <w:r w:rsidRPr="00BF6FA4">
        <w:t xml:space="preserve"> include </w:t>
      </w:r>
      <w:r w:rsidR="00AC5436" w:rsidRPr="00BF6FA4">
        <w:t xml:space="preserve">electric </w:t>
      </w:r>
      <w:r w:rsidRPr="00BF6FA4">
        <w:t>storage as a transmission asset in the enumerated list of alternative transmission technologies that transmission providers must consider.</w:t>
      </w:r>
      <w:r w:rsidRPr="00BF6FA4">
        <w:rPr>
          <w:rStyle w:val="FootnoteReference"/>
        </w:rPr>
        <w:footnoteReference w:id="177"/>
      </w:r>
      <w:r w:rsidRPr="00BF6FA4">
        <w:t xml:space="preserve"> </w:t>
      </w:r>
      <w:r w:rsidR="002829CF" w:rsidRPr="00BF6FA4">
        <w:t>Instead, the Commission states</w:t>
      </w:r>
      <w:r w:rsidR="000B331E">
        <w:t>,</w:t>
      </w:r>
      <w:r w:rsidR="002829CF" w:rsidRPr="00BF6FA4">
        <w:t xml:space="preserve"> “</w:t>
      </w:r>
      <w:r w:rsidR="000B331E">
        <w:t>w</w:t>
      </w:r>
      <w:r w:rsidR="002829CF" w:rsidRPr="00BF6FA4">
        <w:t>e continue to find that the evaluation of whether an electric storage resource performs a transmission function requires a case-by-case analysis of how a particular electric storage resource would be operated as well as any requirements set forth in an OATT governing selection of such electric storage resources as transmission solutions.”</w:t>
      </w:r>
      <w:r w:rsidR="000B331E">
        <w:rPr>
          <w:rStyle w:val="FootnoteReference"/>
        </w:rPr>
        <w:footnoteReference w:id="178"/>
      </w:r>
      <w:r w:rsidR="002829CF" w:rsidRPr="00BF6FA4">
        <w:t xml:space="preserve"> </w:t>
      </w:r>
      <w:r w:rsidRPr="00BF6FA4">
        <w:t xml:space="preserve">FERC clarifies that that the requirement to consider alternative transmission technologies necessitates that transmission providers consider the types of advanced conductors that Congress intended to be reviewed in the Energy Policy Act of 2005 and that the </w:t>
      </w:r>
      <w:r w:rsidR="00AC5436" w:rsidRPr="00BF6FA4">
        <w:t>Department of Energy</w:t>
      </w:r>
      <w:r w:rsidRPr="00BF6FA4">
        <w:t xml:space="preserve"> has described in its reports.</w:t>
      </w:r>
      <w:r w:rsidRPr="00BF6FA4">
        <w:rPr>
          <w:rStyle w:val="FootnoteReference"/>
        </w:rPr>
        <w:footnoteReference w:id="179"/>
      </w:r>
      <w:r w:rsidRPr="00BF6FA4">
        <w:t xml:space="preserve"> </w:t>
      </w:r>
      <w:r w:rsidR="00AC5436" w:rsidRPr="00BF6FA4">
        <w:t xml:space="preserve">The </w:t>
      </w:r>
      <w:r w:rsidRPr="00BF6FA4">
        <w:t>FERC clarifies that</w:t>
      </w:r>
      <w:r w:rsidR="002829CF" w:rsidRPr="00BF6FA4">
        <w:t>, although HVDC is not included in the enumerated list of alternative transmission technologies,</w:t>
      </w:r>
      <w:r w:rsidRPr="00BF6FA4">
        <w:t xml:space="preserve"> </w:t>
      </w:r>
      <w:r w:rsidR="002829CF" w:rsidRPr="00BF6FA4">
        <w:t xml:space="preserve">TPs </w:t>
      </w:r>
      <w:r w:rsidRPr="00BF6FA4">
        <w:t>are not precluded from considering HVDC facilities in LTRTP and existing Order No. 1000 regional transmission planning processes.</w:t>
      </w:r>
      <w:r w:rsidRPr="00BF6FA4">
        <w:rPr>
          <w:rStyle w:val="FootnoteReference"/>
        </w:rPr>
        <w:footnoteReference w:id="180"/>
      </w:r>
    </w:p>
    <w:p w14:paraId="58157F3D" w14:textId="77777777" w:rsidR="00AD3EC0" w:rsidRPr="00BF6FA4" w:rsidRDefault="00AD3EC0" w:rsidP="00436394">
      <w:pPr>
        <w:jc w:val="both"/>
      </w:pPr>
    </w:p>
    <w:p w14:paraId="79112CC3" w14:textId="22CA8EC8" w:rsidR="00E91111" w:rsidRPr="00BF6FA4" w:rsidRDefault="00E91111" w:rsidP="00436394">
      <w:pPr>
        <w:pStyle w:val="Heading1"/>
        <w:spacing w:before="0" w:after="240"/>
        <w:jc w:val="both"/>
        <w:rPr>
          <w:rFonts w:ascii="Times New Roman" w:hAnsi="Times New Roman" w:cs="Times New Roman"/>
          <w:sz w:val="24"/>
          <w:szCs w:val="24"/>
        </w:rPr>
      </w:pPr>
      <w:r w:rsidRPr="00BF6FA4">
        <w:rPr>
          <w:rFonts w:ascii="Times New Roman" w:hAnsi="Times New Roman" w:cs="Times New Roman"/>
          <w:sz w:val="24"/>
          <w:szCs w:val="24"/>
        </w:rPr>
        <w:t>Regional Transmission Cost Allocation</w:t>
      </w:r>
    </w:p>
    <w:p w14:paraId="20B920BD" w14:textId="58A7EE85" w:rsidR="00342D99" w:rsidRPr="00BF6FA4" w:rsidRDefault="00342D99" w:rsidP="00436394">
      <w:pPr>
        <w:ind w:firstLine="720"/>
        <w:jc w:val="both"/>
        <w:rPr>
          <w:rFonts w:eastAsia="Aptos"/>
        </w:rPr>
      </w:pPr>
      <w:r w:rsidRPr="00BF6FA4">
        <w:t xml:space="preserve">Significantly, Order No. 1920-A expands the roles of states and places an affirmative obligation on TPs to provide a meaningful opportunity for </w:t>
      </w:r>
      <w:r w:rsidR="002829CF" w:rsidRPr="00BF6FA4">
        <w:t>Relevant State Entities</w:t>
      </w:r>
      <w:r w:rsidRPr="00BF6FA4">
        <w:t xml:space="preserve"> to inform and provide alternatives to the TPs’ proposed Long-Term Regional Transmission Cost Allocation Method (</w:t>
      </w:r>
      <w:r w:rsidR="000B331E">
        <w:t xml:space="preserve">in this section, </w:t>
      </w:r>
      <w:r w:rsidRPr="00BF6FA4">
        <w:t>“Cost Allocation Method”)</w:t>
      </w:r>
      <w:r w:rsidR="002829CF" w:rsidRPr="00BF6FA4">
        <w:t>.</w:t>
      </w:r>
      <w:r w:rsidR="00325AC0">
        <w:rPr>
          <w:rStyle w:val="FootnoteReference"/>
        </w:rPr>
        <w:footnoteReference w:id="181"/>
      </w:r>
      <w:r w:rsidR="002829CF" w:rsidRPr="00BF6FA4">
        <w:t xml:space="preserve"> While Order 1920-A </w:t>
      </w:r>
      <w:r w:rsidRPr="00BF6FA4" w:rsidDel="005515C3">
        <w:t>sustain</w:t>
      </w:r>
      <w:r w:rsidRPr="00BF6FA4">
        <w:t>s</w:t>
      </w:r>
      <w:r w:rsidRPr="00BF6FA4" w:rsidDel="005515C3">
        <w:t xml:space="preserve"> Order No.</w:t>
      </w:r>
      <w:r w:rsidRPr="00BF6FA4">
        <w:t xml:space="preserve"> 1920’s determination that TPs retain the right </w:t>
      </w:r>
      <w:r w:rsidR="002829CF" w:rsidRPr="00BF6FA4">
        <w:t xml:space="preserve">and obligation </w:t>
      </w:r>
      <w:r w:rsidRPr="00BF6FA4">
        <w:t xml:space="preserve">to </w:t>
      </w:r>
      <w:r w:rsidR="002829CF" w:rsidRPr="00BF6FA4">
        <w:t xml:space="preserve">propose </w:t>
      </w:r>
      <w:r w:rsidRPr="00BF6FA4">
        <w:t>cost allocation methods on compliance</w:t>
      </w:r>
      <w:r w:rsidR="002829CF" w:rsidRPr="00BF6FA4">
        <w:t>,</w:t>
      </w:r>
      <w:r w:rsidRPr="00BF6FA4">
        <w:rPr>
          <w:rStyle w:val="FootnoteReference"/>
        </w:rPr>
        <w:footnoteReference w:id="182"/>
      </w:r>
      <w:r w:rsidR="002829CF" w:rsidRPr="00BF6FA4">
        <w:t xml:space="preserve"> it also modifies the obligation to include the </w:t>
      </w:r>
      <w:r w:rsidR="002829CF" w:rsidRPr="00BF6FA4">
        <w:rPr>
          <w:i/>
          <w:iCs/>
        </w:rPr>
        <w:t>ex ante</w:t>
      </w:r>
      <w:r w:rsidR="002829CF" w:rsidRPr="00BF6FA4">
        <w:t xml:space="preserve"> cost allocation method(s) proposed by the Relevant State Entities as part of the compliance filing, which the </w:t>
      </w:r>
      <w:r w:rsidR="000B331E" w:rsidRPr="00BF6FA4">
        <w:t>Commission</w:t>
      </w:r>
      <w:r w:rsidR="002829CF" w:rsidRPr="00BF6FA4">
        <w:t xml:space="preserve"> will consider on equal footing with the TP’s proposal</w:t>
      </w:r>
      <w:r w:rsidR="0066491C">
        <w:t>.</w:t>
      </w:r>
      <w:r w:rsidR="0066491C">
        <w:rPr>
          <w:rStyle w:val="FootnoteReference"/>
        </w:rPr>
        <w:footnoteReference w:id="183"/>
      </w:r>
      <w:r w:rsidRPr="00BF6FA4">
        <w:t xml:space="preserve">  </w:t>
      </w:r>
    </w:p>
    <w:p w14:paraId="7929C0CF" w14:textId="77777777" w:rsidR="00342D99" w:rsidRPr="00BF6FA4" w:rsidRDefault="00342D99" w:rsidP="00436394">
      <w:pPr>
        <w:jc w:val="both"/>
        <w:rPr>
          <w:rFonts w:eastAsia="Aptos"/>
        </w:rPr>
      </w:pPr>
    </w:p>
    <w:p w14:paraId="51D6B059" w14:textId="47BFCCC6" w:rsidR="00342D99" w:rsidRPr="00BF6FA4" w:rsidRDefault="00342D99" w:rsidP="000B331E">
      <w:pPr>
        <w:pStyle w:val="BodyText"/>
        <w:jc w:val="both"/>
        <w:rPr>
          <w:szCs w:val="24"/>
        </w:rPr>
      </w:pPr>
      <w:r w:rsidRPr="00BF6FA4">
        <w:rPr>
          <w:b/>
          <w:bCs/>
          <w:i/>
          <w:iCs/>
          <w:szCs w:val="24"/>
        </w:rPr>
        <w:t xml:space="preserve">Definition of </w:t>
      </w:r>
      <w:r w:rsidR="002829CF" w:rsidRPr="00BF6FA4">
        <w:rPr>
          <w:b/>
          <w:bCs/>
          <w:i/>
          <w:iCs/>
          <w:szCs w:val="24"/>
        </w:rPr>
        <w:t>Relevant State Entity</w:t>
      </w:r>
      <w:r w:rsidRPr="00BF6FA4">
        <w:rPr>
          <w:b/>
          <w:bCs/>
          <w:i/>
          <w:iCs/>
          <w:szCs w:val="24"/>
        </w:rPr>
        <w:t>.</w:t>
      </w:r>
      <w:r w:rsidRPr="00BF6FA4">
        <w:rPr>
          <w:szCs w:val="24"/>
        </w:rPr>
        <w:t xml:space="preserve"> FERC </w:t>
      </w:r>
      <w:r w:rsidR="005F050F" w:rsidRPr="00BF6FA4">
        <w:rPr>
          <w:szCs w:val="24"/>
        </w:rPr>
        <w:t>reiterate</w:t>
      </w:r>
      <w:r w:rsidR="005F050F">
        <w:rPr>
          <w:szCs w:val="24"/>
        </w:rPr>
        <w:t>s</w:t>
      </w:r>
      <w:r w:rsidR="005F050F" w:rsidRPr="00BF6FA4">
        <w:rPr>
          <w:szCs w:val="24"/>
        </w:rPr>
        <w:t xml:space="preserve"> </w:t>
      </w:r>
      <w:r w:rsidRPr="00BF6FA4">
        <w:rPr>
          <w:szCs w:val="24"/>
        </w:rPr>
        <w:t xml:space="preserve">its determination in Order No. 1920 to define </w:t>
      </w:r>
      <w:r w:rsidR="002829CF" w:rsidRPr="00BF6FA4">
        <w:rPr>
          <w:szCs w:val="24"/>
        </w:rPr>
        <w:t>Relevant State Entity</w:t>
      </w:r>
      <w:r w:rsidRPr="00BF6FA4">
        <w:rPr>
          <w:szCs w:val="24"/>
        </w:rPr>
        <w:t xml:space="preserve"> as any state entity responsible for electric utility regulation or siting electric transmission facilities within the state or portion of a state located in the transmission planning region, including any state entity as may be designated for that purpose by the law of such state.</w:t>
      </w:r>
      <w:r w:rsidRPr="00BF6FA4">
        <w:rPr>
          <w:rStyle w:val="FootnoteReference"/>
          <w:szCs w:val="24"/>
        </w:rPr>
        <w:footnoteReference w:id="184"/>
      </w:r>
      <w:r w:rsidRPr="00BF6FA4">
        <w:rPr>
          <w:szCs w:val="24"/>
        </w:rPr>
        <w:t xml:space="preserve"> FERC decline</w:t>
      </w:r>
      <w:r w:rsidR="005F050F">
        <w:rPr>
          <w:szCs w:val="24"/>
        </w:rPr>
        <w:t>s</w:t>
      </w:r>
      <w:r w:rsidRPr="00BF6FA4">
        <w:rPr>
          <w:szCs w:val="24"/>
        </w:rPr>
        <w:t xml:space="preserve"> to expand this definition,</w:t>
      </w:r>
      <w:r w:rsidRPr="00BF6FA4">
        <w:rPr>
          <w:rStyle w:val="FootnoteReference"/>
          <w:szCs w:val="24"/>
        </w:rPr>
        <w:footnoteReference w:id="185"/>
      </w:r>
      <w:r w:rsidRPr="00BF6FA4">
        <w:rPr>
          <w:szCs w:val="24"/>
        </w:rPr>
        <w:t xml:space="preserve"> and decline</w:t>
      </w:r>
      <w:r w:rsidR="005F050F">
        <w:rPr>
          <w:szCs w:val="24"/>
        </w:rPr>
        <w:t>s</w:t>
      </w:r>
      <w:r w:rsidRPr="00BF6FA4">
        <w:rPr>
          <w:szCs w:val="24"/>
        </w:rPr>
        <w:t xml:space="preserve"> to determine whether state laws and other factors deem an entity a</w:t>
      </w:r>
      <w:r w:rsidR="002829CF" w:rsidRPr="00BF6FA4">
        <w:rPr>
          <w:szCs w:val="24"/>
        </w:rPr>
        <w:t xml:space="preserve"> Relevant State Entity</w:t>
      </w:r>
      <w:r w:rsidRPr="00BF6FA4">
        <w:rPr>
          <w:szCs w:val="24"/>
        </w:rPr>
        <w:t xml:space="preserve">. Instead, entities within a state must determine if they qualify as </w:t>
      </w:r>
      <w:r w:rsidR="002829CF" w:rsidRPr="00BF6FA4">
        <w:rPr>
          <w:szCs w:val="24"/>
        </w:rPr>
        <w:t>Relevant State Entities</w:t>
      </w:r>
      <w:r w:rsidRPr="00BF6FA4">
        <w:rPr>
          <w:szCs w:val="24"/>
        </w:rPr>
        <w:t xml:space="preserve"> using </w:t>
      </w:r>
      <w:r w:rsidR="002829CF" w:rsidRPr="00BF6FA4">
        <w:rPr>
          <w:szCs w:val="24"/>
        </w:rPr>
        <w:t xml:space="preserve">the </w:t>
      </w:r>
      <w:r w:rsidRPr="00BF6FA4">
        <w:rPr>
          <w:szCs w:val="24"/>
        </w:rPr>
        <w:t>FERC’s definition.</w:t>
      </w:r>
      <w:r w:rsidRPr="00BF6FA4">
        <w:rPr>
          <w:rStyle w:val="FootnoteReference"/>
          <w:szCs w:val="24"/>
        </w:rPr>
        <w:footnoteReference w:id="186"/>
      </w:r>
    </w:p>
    <w:p w14:paraId="308EA521" w14:textId="241F96D5" w:rsidR="00064BE6" w:rsidRPr="00BF6FA4" w:rsidRDefault="00342D99" w:rsidP="000B331E">
      <w:pPr>
        <w:ind w:firstLine="720"/>
        <w:jc w:val="both"/>
      </w:pPr>
      <w:r w:rsidRPr="00BF6FA4">
        <w:rPr>
          <w:b/>
          <w:bCs/>
          <w:i/>
          <w:iCs/>
        </w:rPr>
        <w:t xml:space="preserve">Obtain Agreement of </w:t>
      </w:r>
      <w:r w:rsidR="002829CF" w:rsidRPr="00BF6FA4">
        <w:rPr>
          <w:b/>
          <w:bCs/>
          <w:i/>
          <w:iCs/>
        </w:rPr>
        <w:t>Relevant State Entities</w:t>
      </w:r>
      <w:r w:rsidRPr="00BF6FA4">
        <w:rPr>
          <w:b/>
          <w:bCs/>
          <w:i/>
          <w:iCs/>
        </w:rPr>
        <w:t>.</w:t>
      </w:r>
      <w:r w:rsidRPr="00BF6FA4">
        <w:t xml:space="preserve">  FERC sustains the requirement that TPs establish an Engagement Period with </w:t>
      </w:r>
      <w:r w:rsidR="002829CF" w:rsidRPr="00BF6FA4">
        <w:t>Relevant State Entities</w:t>
      </w:r>
      <w:r w:rsidRPr="00BF6FA4">
        <w:t xml:space="preserve"> for cost allocation negotiations.</w:t>
      </w:r>
      <w:r w:rsidRPr="00BF6FA4">
        <w:rPr>
          <w:rStyle w:val="FootnoteReference"/>
        </w:rPr>
        <w:footnoteReference w:id="187"/>
      </w:r>
      <w:r w:rsidRPr="00BF6FA4">
        <w:t xml:space="preserve"> </w:t>
      </w:r>
      <w:r w:rsidR="002829CF" w:rsidRPr="00BF6FA4">
        <w:t>The Commission</w:t>
      </w:r>
      <w:r w:rsidRPr="00BF6FA4">
        <w:t xml:space="preserve"> partially </w:t>
      </w:r>
      <w:r w:rsidRPr="00103AEB">
        <w:rPr>
          <w:b/>
          <w:bCs/>
        </w:rPr>
        <w:t>sets aside Order No. 1920</w:t>
      </w:r>
      <w:r w:rsidRPr="00BF6FA4">
        <w:t xml:space="preserve"> and requires that </w:t>
      </w:r>
      <w:r w:rsidR="005F050F" w:rsidRPr="00BF6FA4">
        <w:t>R</w:t>
      </w:r>
      <w:r w:rsidR="005F050F">
        <w:t>elevant State Entitie</w:t>
      </w:r>
      <w:r w:rsidR="005F050F" w:rsidRPr="00BF6FA4">
        <w:t xml:space="preserve">s </w:t>
      </w:r>
      <w:r w:rsidRPr="00BF6FA4">
        <w:t>notify TPs that they agree on a Cost Allocation Method and/or State Agreement Process from the Engagement Period by the deadline.</w:t>
      </w:r>
      <w:r w:rsidRPr="00BF6FA4">
        <w:rPr>
          <w:rStyle w:val="FootnoteReference"/>
        </w:rPr>
        <w:footnoteReference w:id="188"/>
      </w:r>
      <w:r w:rsidRPr="00BF6FA4">
        <w:t xml:space="preserve"> TPs must include that process in their compliance filings either in the transmittal or as an attachment, even if they propose a different method or omit a State Agreement Process.</w:t>
      </w:r>
      <w:r w:rsidRPr="00BF6FA4">
        <w:rPr>
          <w:rStyle w:val="FootnoteReference"/>
        </w:rPr>
        <w:footnoteReference w:id="189"/>
      </w:r>
      <w:r w:rsidRPr="00BF6FA4">
        <w:t xml:space="preserve"> However, TPs are not required to characterize this information and independently justify </w:t>
      </w:r>
      <w:r w:rsidR="00064BE6" w:rsidRPr="00BF6FA4">
        <w:t xml:space="preserve">Relevant State Entities’ </w:t>
      </w:r>
      <w:r w:rsidRPr="00BF6FA4">
        <w:t xml:space="preserve"> proposals.</w:t>
      </w:r>
      <w:r w:rsidRPr="00BF6FA4">
        <w:rPr>
          <w:rStyle w:val="FootnoteReference"/>
        </w:rPr>
        <w:footnoteReference w:id="190"/>
      </w:r>
      <w:r w:rsidR="00064BE6" w:rsidRPr="00BF6FA4">
        <w:t xml:space="preserve"> </w:t>
      </w:r>
      <w:r w:rsidR="005F050F">
        <w:t>Specifically, t</w:t>
      </w:r>
      <w:r w:rsidR="00064BE6" w:rsidRPr="00BF6FA4">
        <w:t>he Commission states</w:t>
      </w:r>
      <w:r w:rsidR="008857BE">
        <w:t>:</w:t>
      </w:r>
    </w:p>
    <w:p w14:paraId="6B61B8A1" w14:textId="77777777" w:rsidR="00064BE6" w:rsidRPr="00BF6FA4" w:rsidRDefault="00064BE6" w:rsidP="00064BE6">
      <w:pPr>
        <w:jc w:val="both"/>
      </w:pPr>
    </w:p>
    <w:p w14:paraId="602BE57A" w14:textId="60684171" w:rsidR="0066491C" w:rsidRDefault="00064BE6" w:rsidP="009D2106">
      <w:pPr>
        <w:ind w:left="720" w:right="720"/>
        <w:jc w:val="both"/>
      </w:pPr>
      <w:r w:rsidRPr="00BF6FA4">
        <w:t>… we set aside Order No. 1920, in part, and require that when Relevant State Entities notify transmission providers by the deadline for communicating agreement  that they agree on a Long-Term Regional Transmission Cost Allocation Method and/or State Agreement Process resulting from the Engagement Period, the transmission providers must include that method or process in the transmittal or as an attachment to their compliance filing, even if the transmission providers propose a different Long-Term Regional Transmission Cost Allocation Method or do not propose to adopt a State Agreement Process.  We further direct transmission providers to include in the transmittal or as an attachment to their compliance filings any information that Relevant State Entities provide to them regarding the state negotiations during the Engagement Period.  We also set aside Order No. 1920, in part, to require that, upon the request of Relevant State Entities, transmission providers must facilitate and participate in a cost allocation discussion during the Engagement Period with Relevant State Entities.</w:t>
      </w:r>
      <w:r w:rsidR="005F050F">
        <w:rPr>
          <w:rStyle w:val="FootnoteReference"/>
        </w:rPr>
        <w:footnoteReference w:id="191"/>
      </w:r>
    </w:p>
    <w:p w14:paraId="3D5A8EA5" w14:textId="77777777" w:rsidR="00103AEB" w:rsidRDefault="00103AEB" w:rsidP="0066491C">
      <w:pPr>
        <w:ind w:right="720"/>
        <w:jc w:val="both"/>
      </w:pPr>
    </w:p>
    <w:p w14:paraId="31CFABBA" w14:textId="71068EEB" w:rsidR="005F050F" w:rsidRDefault="005F050F" w:rsidP="00103AEB">
      <w:pPr>
        <w:ind w:firstLine="720"/>
        <w:jc w:val="both"/>
      </w:pPr>
      <w:r>
        <w:t>The Commission also sets aside Order No. 1920, in part, to require that, when Relevant State Entities communicate t</w:t>
      </w:r>
      <w:r w:rsidR="0066491C">
        <w:t>o</w:t>
      </w:r>
      <w:r>
        <w:t xml:space="preserve"> the TP by the deadline for communicating agreement that they agree on a Cost Allocation Method and/or State Agreement Process, </w:t>
      </w:r>
      <w:r w:rsidRPr="00DB37CD">
        <w:t xml:space="preserve">the </w:t>
      </w:r>
      <w:r w:rsidR="008857BE">
        <w:t>TPs</w:t>
      </w:r>
      <w:r w:rsidRPr="00DB37CD">
        <w:t xml:space="preserve"> must include that method or process in the transmittal or as an attachment to their compliance filings, even if the </w:t>
      </w:r>
      <w:r w:rsidR="008857BE">
        <w:t>TPs</w:t>
      </w:r>
      <w:r w:rsidRPr="00DB37CD">
        <w:t xml:space="preserve"> propose to adopt a different Cost Allocation Method or do not propose to revise their tariffs to include a State Agreement Process</w:t>
      </w:r>
      <w:r>
        <w:t>.</w:t>
      </w:r>
      <w:r>
        <w:rPr>
          <w:rStyle w:val="FootnoteReference"/>
        </w:rPr>
        <w:footnoteReference w:id="192"/>
      </w:r>
      <w:r w:rsidR="0066491C">
        <w:t xml:space="preserve"> TPs are also required to include in the transmittal or as an attachment </w:t>
      </w:r>
      <w:r w:rsidR="0066491C" w:rsidRPr="00DB37CD">
        <w:t xml:space="preserve">to their compliance filings any </w:t>
      </w:r>
      <w:r w:rsidR="0066491C" w:rsidRPr="00DB37CD" w:rsidDel="00FB2FBF">
        <w:t>information</w:t>
      </w:r>
      <w:r w:rsidR="0066491C" w:rsidRPr="00DB37CD">
        <w:t xml:space="preserve"> that any Relevant State Entities provide to them regarding the state negotiations during the Engagement Period.</w:t>
      </w:r>
      <w:r w:rsidR="0066491C">
        <w:rPr>
          <w:rStyle w:val="FootnoteReference"/>
        </w:rPr>
        <w:footnoteReference w:id="193"/>
      </w:r>
    </w:p>
    <w:p w14:paraId="3D191488" w14:textId="77777777" w:rsidR="005F050F" w:rsidRPr="00BF6FA4" w:rsidRDefault="005F050F" w:rsidP="00103AEB">
      <w:pPr>
        <w:ind w:right="720" w:firstLine="720"/>
        <w:jc w:val="both"/>
      </w:pPr>
    </w:p>
    <w:p w14:paraId="6CA5E2A3" w14:textId="4BE86F89" w:rsidR="00BA4C99" w:rsidRDefault="00342D99" w:rsidP="000B331E">
      <w:pPr>
        <w:ind w:firstLine="720"/>
        <w:jc w:val="both"/>
      </w:pPr>
      <w:r w:rsidRPr="00BF6FA4">
        <w:rPr>
          <w:b/>
          <w:bCs/>
          <w:i/>
          <w:iCs/>
        </w:rPr>
        <w:t>Engagement Period.</w:t>
      </w:r>
      <w:r w:rsidRPr="00BF6FA4">
        <w:rPr>
          <w:b/>
          <w:bCs/>
        </w:rPr>
        <w:t xml:space="preserve">  </w:t>
      </w:r>
      <w:r w:rsidR="0066491C" w:rsidRPr="00103AEB">
        <w:t>In Order No. 1920, the Commission established a six-month Engagement Period, during which TPs must, among other things, provide a forum for negotiation of a Cost Allocation Method and/or State Agreement Process that enables meaningful participation by Relevant State Entities.</w:t>
      </w:r>
      <w:r w:rsidR="0066491C">
        <w:rPr>
          <w:rStyle w:val="FootnoteReference"/>
        </w:rPr>
        <w:footnoteReference w:id="194"/>
      </w:r>
      <w:r w:rsidR="0066491C" w:rsidRPr="00103AEB">
        <w:t xml:space="preserve"> </w:t>
      </w:r>
      <w:r w:rsidR="0066491C">
        <w:t>In Order No. 1920-A, the Commission continues to find that the Engagement Period provides an opportunity for robust state engagement in the cost allocation process.</w:t>
      </w:r>
      <w:r w:rsidR="0066491C">
        <w:rPr>
          <w:rStyle w:val="FootnoteReference"/>
        </w:rPr>
        <w:footnoteReference w:id="195"/>
      </w:r>
      <w:r w:rsidR="0066491C">
        <w:t xml:space="preserve"> However, the Commission does</w:t>
      </w:r>
      <w:r w:rsidRPr="00BF6FA4">
        <w:t xml:space="preserve"> partially revise the Engagement Period’s duration requirements.</w:t>
      </w:r>
      <w:r w:rsidR="00BA4C99">
        <w:rPr>
          <w:rStyle w:val="FootnoteReference"/>
        </w:rPr>
        <w:footnoteReference w:id="196"/>
      </w:r>
      <w:r w:rsidRPr="00BF6FA4">
        <w:t xml:space="preserve"> </w:t>
      </w:r>
      <w:r w:rsidR="00C16CFC" w:rsidRPr="00BF6FA4">
        <w:t xml:space="preserve">As modified in Order 1920-A, </w:t>
      </w:r>
      <w:r w:rsidR="00BA4C99">
        <w:t>the Engagement Period may be extended for up to an additional six months when Relevant State Entities, consistent with their chosen method to reach agreement, request additional time to complete cost allocation discussions.</w:t>
      </w:r>
      <w:r w:rsidR="00BA4C99">
        <w:rPr>
          <w:rStyle w:val="FootnoteReference"/>
        </w:rPr>
        <w:footnoteReference w:id="197"/>
      </w:r>
      <w:r w:rsidR="00BA4C99">
        <w:t xml:space="preserve"> </w:t>
      </w:r>
    </w:p>
    <w:p w14:paraId="4F68844D" w14:textId="77777777" w:rsidR="00103AEB" w:rsidRDefault="00103AEB" w:rsidP="000B331E">
      <w:pPr>
        <w:ind w:firstLine="720"/>
        <w:jc w:val="both"/>
      </w:pPr>
    </w:p>
    <w:p w14:paraId="410C6317" w14:textId="01731FB9" w:rsidR="00064BE6" w:rsidRPr="00BF6FA4" w:rsidRDefault="00BA4C99" w:rsidP="000B331E">
      <w:pPr>
        <w:ind w:firstLine="720"/>
        <w:jc w:val="both"/>
      </w:pPr>
      <w:r>
        <w:t xml:space="preserve">With respect to the content of the Engagement Period, the </w:t>
      </w:r>
      <w:r w:rsidR="0066491C">
        <w:t>Commission clarifie</w:t>
      </w:r>
      <w:r>
        <w:t>s</w:t>
      </w:r>
      <w:r w:rsidR="0066491C">
        <w:t xml:space="preserve"> that during the Engagement Period, TPs must facilitate and participate in cost allocation discussions with Relevant State Entities.</w:t>
      </w:r>
      <w:r w:rsidR="0066491C">
        <w:rPr>
          <w:rStyle w:val="FootnoteReference"/>
        </w:rPr>
        <w:footnoteReference w:id="198"/>
      </w:r>
      <w:r>
        <w:t xml:space="preserve"> In order to comply with the requirement that TPs </w:t>
      </w:r>
      <w:r w:rsidRPr="00DB37CD">
        <w:t>explain how they provided a forum for negotiation of a Cost Allocation Method(s) and/or a State Agreement Process during the Engagement Period that enables meaningful</w:t>
      </w:r>
      <w:r>
        <w:t xml:space="preserve"> </w:t>
      </w:r>
      <w:r w:rsidRPr="00DB37CD">
        <w:t>participation by Relevant State Entities</w:t>
      </w:r>
      <w:r>
        <w:t xml:space="preserve">, TPs </w:t>
      </w:r>
      <w:r w:rsidRPr="00DB37CD">
        <w:t xml:space="preserve">must at minimum disclose any deadlines set by transmission providers during the Engagement Period </w:t>
      </w:r>
      <w:r w:rsidRPr="00DB37CD" w:rsidDel="00F1068D">
        <w:t>and</w:t>
      </w:r>
      <w:r w:rsidRPr="00DB37CD">
        <w:t xml:space="preserve"> how transmission providers communicated any such deadlines to Relevant State Entities,</w:t>
      </w:r>
      <w:r w:rsidRPr="00DB37CD" w:rsidDel="00816692">
        <w:t xml:space="preserve"> </w:t>
      </w:r>
      <w:r w:rsidRPr="00DB37CD">
        <w:t>and provide a general description of the forum for negotiation.</w:t>
      </w:r>
      <w:r>
        <w:rPr>
          <w:rStyle w:val="FootnoteReference"/>
        </w:rPr>
        <w:footnoteReference w:id="199"/>
      </w:r>
    </w:p>
    <w:p w14:paraId="75D360FA" w14:textId="77777777" w:rsidR="00064BE6" w:rsidRPr="00BF6FA4" w:rsidRDefault="00064BE6" w:rsidP="00436394">
      <w:pPr>
        <w:jc w:val="both"/>
      </w:pPr>
    </w:p>
    <w:p w14:paraId="22842282" w14:textId="23A5AF87" w:rsidR="00342D99" w:rsidRDefault="00342D99" w:rsidP="009D2106">
      <w:pPr>
        <w:ind w:firstLine="720"/>
        <w:jc w:val="both"/>
      </w:pPr>
      <w:r w:rsidRPr="00BF6FA4">
        <w:t xml:space="preserve">FERC </w:t>
      </w:r>
      <w:r w:rsidR="00BA4C99" w:rsidRPr="00BF6FA4">
        <w:t>confirm</w:t>
      </w:r>
      <w:r w:rsidR="00BA4C99">
        <w:t>s</w:t>
      </w:r>
      <w:r w:rsidR="00BA4C99" w:rsidRPr="00BF6FA4">
        <w:t xml:space="preserve"> </w:t>
      </w:r>
      <w:r w:rsidRPr="00BF6FA4">
        <w:t xml:space="preserve">that the Engagement Period is limited to </w:t>
      </w:r>
      <w:r w:rsidR="00C16CFC" w:rsidRPr="00BF6FA4">
        <w:t>Relevant State Entities</w:t>
      </w:r>
      <w:r w:rsidR="00C16CFC" w:rsidRPr="00BF6FA4" w:rsidDel="00C16CFC">
        <w:t xml:space="preserve"> </w:t>
      </w:r>
      <w:r w:rsidRPr="00BF6FA4">
        <w:t xml:space="preserve">unless </w:t>
      </w:r>
      <w:r w:rsidR="00C16CFC" w:rsidRPr="00BF6FA4">
        <w:t>they</w:t>
      </w:r>
      <w:r w:rsidRPr="00BF6FA4">
        <w:t xml:space="preserve"> permit the inclusion of other entities, such as municipal electric </w:t>
      </w:r>
      <w:r w:rsidR="00C16CFC" w:rsidRPr="00BF6FA4">
        <w:t xml:space="preserve">entities </w:t>
      </w:r>
      <w:r w:rsidRPr="00BF6FA4">
        <w:t xml:space="preserve">and non-public utility entities that do not otherwise meet the definition of </w:t>
      </w:r>
      <w:r w:rsidR="00C16CFC" w:rsidRPr="00BF6FA4">
        <w:t>a Relevant State Entity</w:t>
      </w:r>
      <w:r w:rsidRPr="00BF6FA4">
        <w:t>.</w:t>
      </w:r>
      <w:r w:rsidRPr="00BF6FA4">
        <w:rPr>
          <w:rStyle w:val="FootnoteReference"/>
        </w:rPr>
        <w:footnoteReference w:id="200"/>
      </w:r>
      <w:r w:rsidRPr="00BF6FA4">
        <w:t xml:space="preserve"> Additionally, if </w:t>
      </w:r>
      <w:r w:rsidR="00C16CFC" w:rsidRPr="00BF6FA4">
        <w:t>Relevant State Entities</w:t>
      </w:r>
      <w:r w:rsidR="00C16CFC" w:rsidRPr="00BF6FA4" w:rsidDel="00C16CFC">
        <w:t xml:space="preserve"> </w:t>
      </w:r>
      <w:r w:rsidRPr="00BF6FA4">
        <w:t>agree, other entities may participate in the development of an agreed upon State Agreement Process.</w:t>
      </w:r>
      <w:r w:rsidRPr="00BF6FA4">
        <w:rPr>
          <w:rStyle w:val="FootnoteReference"/>
        </w:rPr>
        <w:footnoteReference w:id="201"/>
      </w:r>
    </w:p>
    <w:p w14:paraId="4C0F0820" w14:textId="77777777" w:rsidR="00103AEB" w:rsidRPr="00BF6FA4" w:rsidRDefault="00103AEB" w:rsidP="00436394">
      <w:pPr>
        <w:jc w:val="both"/>
      </w:pPr>
    </w:p>
    <w:p w14:paraId="43B899B7" w14:textId="264BA616" w:rsidR="00342D99" w:rsidRPr="00BF6FA4" w:rsidRDefault="00C16CFC" w:rsidP="000B331E">
      <w:pPr>
        <w:pStyle w:val="BodyText"/>
        <w:jc w:val="both"/>
        <w:rPr>
          <w:szCs w:val="24"/>
        </w:rPr>
      </w:pPr>
      <w:r w:rsidRPr="00BF6FA4">
        <w:rPr>
          <w:b/>
          <w:bCs/>
          <w:i/>
          <w:iCs/>
          <w:szCs w:val="24"/>
        </w:rPr>
        <w:t>Relevant State Entities</w:t>
      </w:r>
      <w:r w:rsidR="00342D99" w:rsidRPr="00BF6FA4">
        <w:rPr>
          <w:b/>
          <w:bCs/>
          <w:i/>
          <w:iCs/>
          <w:szCs w:val="24"/>
        </w:rPr>
        <w:t xml:space="preserve"> Negotiations.</w:t>
      </w:r>
      <w:r w:rsidR="00342D99" w:rsidRPr="00BF6FA4">
        <w:rPr>
          <w:szCs w:val="24"/>
        </w:rPr>
        <w:t xml:space="preserve"> TPs must provide the forum for cost allocation negotiations, allowing </w:t>
      </w:r>
      <w:r w:rsidR="001F150A" w:rsidRPr="00BF6FA4">
        <w:rPr>
          <w:szCs w:val="24"/>
        </w:rPr>
        <w:t>R</w:t>
      </w:r>
      <w:r w:rsidR="001F150A">
        <w:rPr>
          <w:szCs w:val="24"/>
        </w:rPr>
        <w:t>elevant State Entitie</w:t>
      </w:r>
      <w:r w:rsidR="001F150A" w:rsidRPr="00BF6FA4">
        <w:rPr>
          <w:szCs w:val="24"/>
        </w:rPr>
        <w:t xml:space="preserve">s </w:t>
      </w:r>
      <w:r w:rsidR="00342D99" w:rsidRPr="00BF6FA4">
        <w:rPr>
          <w:szCs w:val="24"/>
        </w:rPr>
        <w:t>to agree to a cost allocation method or State Agreement Process at a level of their choosing, such as unanimity.</w:t>
      </w:r>
      <w:r w:rsidR="00342D99" w:rsidRPr="00BF6FA4">
        <w:rPr>
          <w:b/>
          <w:szCs w:val="24"/>
          <w:vertAlign w:val="superscript"/>
        </w:rPr>
        <w:footnoteReference w:id="202"/>
      </w:r>
      <w:r w:rsidR="00342D99" w:rsidRPr="00BF6FA4">
        <w:rPr>
          <w:szCs w:val="24"/>
        </w:rPr>
        <w:t xml:space="preserve"> FERC declined to define what constitutes an agreement among the </w:t>
      </w:r>
      <w:r w:rsidR="001F150A" w:rsidRPr="00BF6FA4">
        <w:rPr>
          <w:szCs w:val="24"/>
        </w:rPr>
        <w:t>R</w:t>
      </w:r>
      <w:r w:rsidR="001F150A">
        <w:rPr>
          <w:szCs w:val="24"/>
        </w:rPr>
        <w:t>elevant State Entitie</w:t>
      </w:r>
      <w:r w:rsidR="001F150A" w:rsidRPr="00BF6FA4">
        <w:rPr>
          <w:szCs w:val="24"/>
        </w:rPr>
        <w:t>s</w:t>
      </w:r>
      <w:r w:rsidR="00342D99" w:rsidRPr="00BF6FA4">
        <w:rPr>
          <w:szCs w:val="24"/>
        </w:rPr>
        <w:t xml:space="preserve">, but noted that existing state processes may guide </w:t>
      </w:r>
      <w:r w:rsidR="003315AC" w:rsidRPr="00BF6FA4">
        <w:rPr>
          <w:szCs w:val="24"/>
        </w:rPr>
        <w:t>Relevant State Entities</w:t>
      </w:r>
      <w:r w:rsidR="003315AC" w:rsidRPr="00BF6FA4" w:rsidDel="00C16CFC">
        <w:rPr>
          <w:szCs w:val="24"/>
        </w:rPr>
        <w:t xml:space="preserve"> </w:t>
      </w:r>
      <w:r w:rsidR="00342D99" w:rsidRPr="00BF6FA4">
        <w:rPr>
          <w:szCs w:val="24"/>
        </w:rPr>
        <w:t xml:space="preserve"> for a definition of “agreement” and in negotiations.</w:t>
      </w:r>
      <w:r w:rsidR="00342D99" w:rsidRPr="00BF6FA4">
        <w:rPr>
          <w:rStyle w:val="FootnoteReference"/>
          <w:szCs w:val="24"/>
        </w:rPr>
        <w:footnoteReference w:id="203"/>
      </w:r>
      <w:r w:rsidR="00342D99" w:rsidRPr="00BF6FA4">
        <w:rPr>
          <w:szCs w:val="24"/>
        </w:rPr>
        <w:t xml:space="preserve"> I</w:t>
      </w:r>
      <w:r w:rsidR="003315AC" w:rsidRPr="00BF6FA4">
        <w:rPr>
          <w:szCs w:val="24"/>
        </w:rPr>
        <w:t>f Relevant State Entities</w:t>
      </w:r>
      <w:r w:rsidR="003315AC" w:rsidRPr="00BF6FA4" w:rsidDel="00C16CFC">
        <w:rPr>
          <w:szCs w:val="24"/>
        </w:rPr>
        <w:t xml:space="preserve"> </w:t>
      </w:r>
      <w:r w:rsidR="00342D99" w:rsidRPr="00BF6FA4">
        <w:rPr>
          <w:szCs w:val="24"/>
        </w:rPr>
        <w:t xml:space="preserve"> need additional information for negotiations, TPs must develop a reasonable number of additional scenarios.</w:t>
      </w:r>
      <w:r w:rsidR="00342D99" w:rsidRPr="00BF6FA4">
        <w:rPr>
          <w:bCs/>
          <w:szCs w:val="24"/>
          <w:vertAlign w:val="superscript"/>
        </w:rPr>
        <w:footnoteReference w:id="204"/>
      </w:r>
      <w:r w:rsidR="003315AC" w:rsidRPr="00BF6FA4">
        <w:rPr>
          <w:szCs w:val="24"/>
        </w:rPr>
        <w:t xml:space="preserve"> Regarding this process, the Commission states</w:t>
      </w:r>
      <w:r w:rsidR="00B03914">
        <w:rPr>
          <w:szCs w:val="24"/>
        </w:rPr>
        <w:t>,</w:t>
      </w:r>
      <w:r w:rsidR="003315AC" w:rsidRPr="00BF6FA4">
        <w:rPr>
          <w:szCs w:val="24"/>
        </w:rPr>
        <w:t xml:space="preserve"> “we believe that Relevant State Entities would benefit from the assistance of transmission providers in some cases, as transmission providers may have more experience with the transmission providers’ OATTs and with the Commission’s processes and precedent.  Therefore, we set aside Order No. 1920, in part, and now include a requirement that upon the request of Relevant State Entities, </w:t>
      </w:r>
      <w:r w:rsidR="008857BE">
        <w:rPr>
          <w:szCs w:val="24"/>
        </w:rPr>
        <w:t>TPs</w:t>
      </w:r>
      <w:r w:rsidR="003315AC" w:rsidRPr="00BF6FA4">
        <w:rPr>
          <w:szCs w:val="24"/>
        </w:rPr>
        <w:t xml:space="preserve"> must facilitate and participate in a cost allocation discussion during the Engagement Period with Relevant State Entities.”</w:t>
      </w:r>
      <w:r w:rsidR="00B03914">
        <w:rPr>
          <w:rStyle w:val="FootnoteReference"/>
          <w:szCs w:val="24"/>
        </w:rPr>
        <w:footnoteReference w:id="205"/>
      </w:r>
      <w:r w:rsidR="00930537" w:rsidRPr="00BF6FA4">
        <w:rPr>
          <w:szCs w:val="24"/>
        </w:rPr>
        <w:t xml:space="preserve"> </w:t>
      </w:r>
      <w:r w:rsidR="00B03914">
        <w:rPr>
          <w:szCs w:val="24"/>
        </w:rPr>
        <w:t>The</w:t>
      </w:r>
      <w:r w:rsidR="00930537" w:rsidRPr="00BF6FA4">
        <w:rPr>
          <w:szCs w:val="24"/>
        </w:rPr>
        <w:t xml:space="preserve"> Commission summarizes some of these key requirements regarding cost allocation proposals:</w:t>
      </w:r>
    </w:p>
    <w:p w14:paraId="07137EF9" w14:textId="618273F0" w:rsidR="00930537" w:rsidRPr="00BF6FA4" w:rsidRDefault="00930537" w:rsidP="000B331E">
      <w:pPr>
        <w:pStyle w:val="BodyText"/>
        <w:ind w:left="720" w:right="720" w:firstLine="0"/>
        <w:jc w:val="both"/>
        <w:rPr>
          <w:szCs w:val="24"/>
        </w:rPr>
      </w:pPr>
      <w:r w:rsidRPr="00BF6FA4">
        <w:rPr>
          <w:szCs w:val="24"/>
        </w:rPr>
        <w:t>Specifically, transmission providers must (1) provide the opportunity for Relevant State Entities from all states in a transmission planning region to participate in the Engagement Period;  (2) upon the request of Relevant State Entities, facilitate and participate in a cost allocation discussion during the Engagement Period with Relevant State Entities;  and (3) include, in the transmittal or as an attachment to their compliance filings, any Long-Term Regional Transmission Cost Allocation Method and/or State Agreement Process agreed to by Relevant State Entities.</w:t>
      </w:r>
      <w:r w:rsidR="00B03914">
        <w:rPr>
          <w:rStyle w:val="FootnoteReference"/>
          <w:szCs w:val="24"/>
        </w:rPr>
        <w:footnoteReference w:id="206"/>
      </w:r>
    </w:p>
    <w:p w14:paraId="1BEDD8C6" w14:textId="343B5446" w:rsidR="00342D99" w:rsidRPr="00BF6FA4" w:rsidRDefault="00342D99" w:rsidP="000B331E">
      <w:pPr>
        <w:pStyle w:val="BodyText"/>
        <w:jc w:val="both"/>
        <w:rPr>
          <w:szCs w:val="24"/>
        </w:rPr>
      </w:pPr>
      <w:r w:rsidRPr="00BF6FA4">
        <w:rPr>
          <w:b/>
          <w:bCs/>
          <w:i/>
          <w:iCs/>
          <w:szCs w:val="24"/>
        </w:rPr>
        <w:t>FERC Review of Record.</w:t>
      </w:r>
      <w:r w:rsidRPr="00BF6FA4">
        <w:rPr>
          <w:szCs w:val="24"/>
        </w:rPr>
        <w:t xml:space="preserve"> FERC noted that it would consider the entire record, including the </w:t>
      </w:r>
      <w:r w:rsidR="003315AC" w:rsidRPr="00BF6FA4">
        <w:rPr>
          <w:szCs w:val="24"/>
        </w:rPr>
        <w:t>Relevant State Entities</w:t>
      </w:r>
      <w:r w:rsidRPr="00BF6FA4">
        <w:rPr>
          <w:szCs w:val="24"/>
        </w:rPr>
        <w:t xml:space="preserve">’ agreed upon Cost Allocation Method/State Agreement Process, and the </w:t>
      </w:r>
      <w:r w:rsidR="00B03914">
        <w:rPr>
          <w:szCs w:val="24"/>
        </w:rPr>
        <w:t>TP’s</w:t>
      </w:r>
      <w:r w:rsidRPr="00BF6FA4">
        <w:rPr>
          <w:szCs w:val="24"/>
        </w:rPr>
        <w:t xml:space="preserve"> proposal when approving the replacement rate.</w:t>
      </w:r>
      <w:r w:rsidRPr="00BF6FA4">
        <w:rPr>
          <w:rStyle w:val="FootnoteReference"/>
          <w:szCs w:val="24"/>
        </w:rPr>
        <w:footnoteReference w:id="207"/>
      </w:r>
      <w:r w:rsidRPr="00BF6FA4">
        <w:rPr>
          <w:szCs w:val="24"/>
        </w:rPr>
        <w:t xml:space="preserve"> However, </w:t>
      </w:r>
      <w:r w:rsidR="00930537" w:rsidRPr="00BF6FA4">
        <w:rPr>
          <w:szCs w:val="24"/>
        </w:rPr>
        <w:t xml:space="preserve">the </w:t>
      </w:r>
      <w:r w:rsidRPr="00BF6FA4">
        <w:rPr>
          <w:szCs w:val="24"/>
        </w:rPr>
        <w:t xml:space="preserve">FERC confirms that ultimately, </w:t>
      </w:r>
      <w:r w:rsidR="00930537" w:rsidRPr="00BF6FA4">
        <w:rPr>
          <w:szCs w:val="24"/>
        </w:rPr>
        <w:t xml:space="preserve">jurisdictional </w:t>
      </w:r>
      <w:r w:rsidRPr="00BF6FA4">
        <w:rPr>
          <w:szCs w:val="24"/>
        </w:rPr>
        <w:t xml:space="preserve">TPs </w:t>
      </w:r>
      <w:r w:rsidR="00930537" w:rsidRPr="00BF6FA4">
        <w:rPr>
          <w:szCs w:val="24"/>
        </w:rPr>
        <w:t>have the obligation to</w:t>
      </w:r>
      <w:r w:rsidRPr="00BF6FA4">
        <w:rPr>
          <w:szCs w:val="24"/>
        </w:rPr>
        <w:t xml:space="preserve"> respond and comply with Order No</w:t>
      </w:r>
      <w:r w:rsidR="00930537" w:rsidRPr="00BF6FA4">
        <w:rPr>
          <w:szCs w:val="24"/>
        </w:rPr>
        <w:t>s</w:t>
      </w:r>
      <w:r w:rsidRPr="00BF6FA4">
        <w:rPr>
          <w:szCs w:val="24"/>
        </w:rPr>
        <w:t>. 1920</w:t>
      </w:r>
      <w:r w:rsidR="00930537" w:rsidRPr="00BF6FA4">
        <w:rPr>
          <w:szCs w:val="24"/>
        </w:rPr>
        <w:t>/1920-A</w:t>
      </w:r>
      <w:r w:rsidRPr="00BF6FA4">
        <w:rPr>
          <w:szCs w:val="24"/>
        </w:rPr>
        <w:t>.</w:t>
      </w:r>
      <w:r w:rsidRPr="00BF6FA4">
        <w:rPr>
          <w:rStyle w:val="FootnoteReference"/>
          <w:szCs w:val="24"/>
        </w:rPr>
        <w:footnoteReference w:id="208"/>
      </w:r>
      <w:r w:rsidRPr="00BF6FA4">
        <w:rPr>
          <w:szCs w:val="24"/>
        </w:rPr>
        <w:t xml:space="preserve"> </w:t>
      </w:r>
    </w:p>
    <w:p w14:paraId="0EA1EEDC" w14:textId="356DFB37" w:rsidR="00342D99" w:rsidRPr="00BF6FA4" w:rsidRDefault="00342D99" w:rsidP="000B331E">
      <w:pPr>
        <w:pStyle w:val="BodyText"/>
        <w:jc w:val="both"/>
        <w:rPr>
          <w:szCs w:val="24"/>
        </w:rPr>
      </w:pPr>
      <w:r w:rsidRPr="00BF6FA4">
        <w:rPr>
          <w:b/>
          <w:bCs/>
          <w:i/>
          <w:iCs/>
          <w:szCs w:val="24"/>
        </w:rPr>
        <w:t xml:space="preserve">Consultation with </w:t>
      </w:r>
      <w:r w:rsidR="003315AC" w:rsidRPr="00BF6FA4">
        <w:rPr>
          <w:b/>
          <w:bCs/>
          <w:i/>
          <w:iCs/>
          <w:szCs w:val="24"/>
        </w:rPr>
        <w:t xml:space="preserve">Relevant State Entities </w:t>
      </w:r>
      <w:r w:rsidRPr="00BF6FA4">
        <w:rPr>
          <w:b/>
          <w:bCs/>
          <w:i/>
          <w:iCs/>
          <w:szCs w:val="24"/>
        </w:rPr>
        <w:t>Post Engagement Period.</w:t>
      </w:r>
      <w:r w:rsidRPr="00BF6FA4">
        <w:rPr>
          <w:szCs w:val="24"/>
        </w:rPr>
        <w:t xml:space="preserve">  TPs must consult with </w:t>
      </w:r>
      <w:r w:rsidR="003315AC" w:rsidRPr="00BF6FA4">
        <w:rPr>
          <w:szCs w:val="24"/>
        </w:rPr>
        <w:t xml:space="preserve">Relevant State Entities </w:t>
      </w:r>
      <w:r w:rsidRPr="00BF6FA4">
        <w:rPr>
          <w:szCs w:val="24"/>
        </w:rPr>
        <w:t xml:space="preserve">prior to amending the Cost Allocation Method(s) and/or State Agreement Process(es), whether by the </w:t>
      </w:r>
      <w:r w:rsidR="001F150A">
        <w:rPr>
          <w:szCs w:val="24"/>
        </w:rPr>
        <w:t>Relevant State Entities’</w:t>
      </w:r>
      <w:r w:rsidR="001F150A" w:rsidRPr="00BF6FA4">
        <w:rPr>
          <w:szCs w:val="24"/>
        </w:rPr>
        <w:t xml:space="preserve"> </w:t>
      </w:r>
      <w:r w:rsidRPr="00BF6FA4">
        <w:rPr>
          <w:szCs w:val="24"/>
        </w:rPr>
        <w:t>agreed upon request or by TPs’ own initiative.</w:t>
      </w:r>
      <w:r w:rsidRPr="00BF6FA4">
        <w:rPr>
          <w:rStyle w:val="FootnoteReference"/>
          <w:szCs w:val="24"/>
        </w:rPr>
        <w:footnoteReference w:id="209"/>
      </w:r>
      <w:r w:rsidRPr="00BF6FA4">
        <w:rPr>
          <w:szCs w:val="24"/>
        </w:rPr>
        <w:t xml:space="preserve"> </w:t>
      </w:r>
      <w:r w:rsidR="003315AC" w:rsidRPr="00BF6FA4">
        <w:rPr>
          <w:szCs w:val="24"/>
        </w:rPr>
        <w:t xml:space="preserve">The </w:t>
      </w:r>
      <w:r w:rsidRPr="00BF6FA4">
        <w:rPr>
          <w:szCs w:val="24"/>
        </w:rPr>
        <w:t xml:space="preserve">FERC requires TPs </w:t>
      </w:r>
      <w:r w:rsidR="003315AC" w:rsidRPr="00BF6FA4">
        <w:rPr>
          <w:szCs w:val="24"/>
        </w:rPr>
        <w:t xml:space="preserve">to </w:t>
      </w:r>
      <w:r w:rsidRPr="00BF6FA4">
        <w:rPr>
          <w:szCs w:val="24"/>
        </w:rPr>
        <w:t xml:space="preserve">provide descriptions of how they will consult. For consultations initiated by TPs or </w:t>
      </w:r>
      <w:r w:rsidR="003315AC" w:rsidRPr="00BF6FA4">
        <w:rPr>
          <w:szCs w:val="24"/>
        </w:rPr>
        <w:t>Relevant State Entities</w:t>
      </w:r>
      <w:r w:rsidR="003315AC" w:rsidRPr="00BF6FA4" w:rsidDel="00C16CFC">
        <w:rPr>
          <w:szCs w:val="24"/>
        </w:rPr>
        <w:t xml:space="preserve"> </w:t>
      </w:r>
      <w:r w:rsidRPr="00BF6FA4">
        <w:rPr>
          <w:szCs w:val="24"/>
        </w:rPr>
        <w:t xml:space="preserve"> regarding amendments to cost allocation methods, TPs must publicly post on their OASIS or other website the results of their consultations with </w:t>
      </w:r>
      <w:r w:rsidR="001F150A" w:rsidRPr="00BF6FA4">
        <w:rPr>
          <w:szCs w:val="24"/>
        </w:rPr>
        <w:t>R</w:t>
      </w:r>
      <w:r w:rsidR="001F150A">
        <w:rPr>
          <w:szCs w:val="24"/>
        </w:rPr>
        <w:t>elevant State Entitie</w:t>
      </w:r>
      <w:r w:rsidR="001F150A" w:rsidRPr="00BF6FA4">
        <w:rPr>
          <w:szCs w:val="24"/>
        </w:rPr>
        <w:t xml:space="preserve">s </w:t>
      </w:r>
      <w:r w:rsidRPr="00BF6FA4">
        <w:rPr>
          <w:szCs w:val="24"/>
        </w:rPr>
        <w:t>prior to filing their amendment.</w:t>
      </w:r>
      <w:r w:rsidRPr="00BF6FA4">
        <w:rPr>
          <w:rStyle w:val="FootnoteReference"/>
          <w:szCs w:val="24"/>
        </w:rPr>
        <w:footnoteReference w:id="210"/>
      </w:r>
      <w:r w:rsidRPr="00BF6FA4">
        <w:rPr>
          <w:szCs w:val="24"/>
        </w:rPr>
        <w:t xml:space="preserve"> TPs may include a proposed process in addition to their Section 205 filing for consultation with </w:t>
      </w:r>
      <w:r w:rsidR="003315AC" w:rsidRPr="00BF6FA4">
        <w:rPr>
          <w:szCs w:val="24"/>
        </w:rPr>
        <w:t>Relevant State Entities</w:t>
      </w:r>
      <w:r w:rsidR="003315AC" w:rsidRPr="00BF6FA4" w:rsidDel="00C16CFC">
        <w:rPr>
          <w:szCs w:val="24"/>
        </w:rPr>
        <w:t xml:space="preserve"> </w:t>
      </w:r>
      <w:r w:rsidRPr="00BF6FA4">
        <w:rPr>
          <w:szCs w:val="24"/>
        </w:rPr>
        <w:t>.</w:t>
      </w:r>
      <w:r w:rsidRPr="00BF6FA4">
        <w:rPr>
          <w:rStyle w:val="FootnoteReference"/>
          <w:szCs w:val="24"/>
        </w:rPr>
        <w:footnoteReference w:id="211"/>
      </w:r>
    </w:p>
    <w:p w14:paraId="755539F9" w14:textId="56D403E7" w:rsidR="00342D99" w:rsidRPr="00BF6FA4" w:rsidRDefault="00342D99" w:rsidP="000B331E">
      <w:pPr>
        <w:ind w:firstLine="720"/>
        <w:jc w:val="both"/>
      </w:pPr>
      <w:r w:rsidRPr="00BF6FA4">
        <w:rPr>
          <w:b/>
          <w:bCs/>
          <w:i/>
          <w:iCs/>
        </w:rPr>
        <w:t>Existing Cost Allocation Methods.</w:t>
      </w:r>
      <w:r w:rsidRPr="00BF6FA4">
        <w:t xml:space="preserve"> FERC sustained Order No. 1920’s requirement that TPs may seek to continue using existing transmission planning and cost allocation processes so long as they demonstrate on compliance that such processes do not interfere with or undermine the LTRTP and comply with Order No. 1920.</w:t>
      </w:r>
      <w:r w:rsidRPr="00BF6FA4">
        <w:rPr>
          <w:rStyle w:val="FootnoteReference"/>
        </w:rPr>
        <w:footnoteReference w:id="212"/>
      </w:r>
    </w:p>
    <w:p w14:paraId="619DED4E" w14:textId="77777777" w:rsidR="00342D99" w:rsidRPr="00BF6FA4" w:rsidRDefault="00342D99" w:rsidP="00436394">
      <w:pPr>
        <w:jc w:val="both"/>
      </w:pPr>
    </w:p>
    <w:p w14:paraId="02A5C040" w14:textId="7FAFE425" w:rsidR="00342D99" w:rsidRPr="00BF6FA4" w:rsidRDefault="00342D99" w:rsidP="000B331E">
      <w:pPr>
        <w:ind w:firstLine="720"/>
        <w:jc w:val="both"/>
      </w:pPr>
      <w:r w:rsidRPr="00BF6FA4">
        <w:rPr>
          <w:b/>
          <w:bCs/>
          <w:i/>
          <w:iCs/>
        </w:rPr>
        <w:t>Regional Cost Allocation Principles.</w:t>
      </w:r>
      <w:r w:rsidRPr="00BF6FA4">
        <w:t xml:space="preserve"> FERC upheld its decision to exclude Order No. 1000 regional cost allocation principle (6), which allows for project-type-limited Cost Allocation Methods, and methods that allocate costs </w:t>
      </w:r>
      <w:r w:rsidR="00930537" w:rsidRPr="00BF6FA4">
        <w:t xml:space="preserve">based </w:t>
      </w:r>
      <w:r w:rsidRPr="00BF6FA4">
        <w:t>on a single benefit</w:t>
      </w:r>
      <w:r w:rsidR="00930537" w:rsidRPr="00BF6FA4">
        <w:t xml:space="preserve"> type</w:t>
      </w:r>
      <w:r w:rsidRPr="00BF6FA4">
        <w:t xml:space="preserve"> (i.e. reliability, economic, and public policy) from Order No. 1920</w:t>
      </w:r>
      <w:r w:rsidR="00930537" w:rsidRPr="00BF6FA4">
        <w:t xml:space="preserve"> requirements</w:t>
      </w:r>
      <w:r w:rsidRPr="00BF6FA4">
        <w:t>.</w:t>
      </w:r>
      <w:r w:rsidRPr="00BF6FA4">
        <w:rPr>
          <w:rStyle w:val="FootnoteReference"/>
        </w:rPr>
        <w:footnoteReference w:id="213"/>
      </w:r>
      <w:r w:rsidRPr="00BF6FA4">
        <w:t xml:space="preserve"> FERC expressed concern that focusing on one issue may contribute to free rider problems and hinder development of LTRTFs.</w:t>
      </w:r>
      <w:r w:rsidRPr="00BF6FA4">
        <w:rPr>
          <w:bCs/>
          <w:vertAlign w:val="superscript"/>
        </w:rPr>
        <w:footnoteReference w:id="214"/>
      </w:r>
      <w:r w:rsidRPr="00BF6FA4">
        <w:rPr>
          <w:bCs/>
        </w:rPr>
        <w:t xml:space="preserve"> </w:t>
      </w:r>
      <w:r w:rsidR="008E2309" w:rsidRPr="00BF6FA4">
        <w:rPr>
          <w:bCs/>
        </w:rPr>
        <w:t xml:space="preserve">The </w:t>
      </w:r>
      <w:r w:rsidRPr="00BF6FA4">
        <w:t xml:space="preserve">FERC believes that LTRTFs will likely have </w:t>
      </w:r>
      <w:r w:rsidR="008E2309" w:rsidRPr="00BF6FA4">
        <w:t xml:space="preserve">multiple </w:t>
      </w:r>
      <w:r w:rsidRPr="00BF6FA4">
        <w:t xml:space="preserve">benefits </w:t>
      </w:r>
      <w:r w:rsidR="008E2309" w:rsidRPr="00BF6FA4">
        <w:t>over a diversity of benefit types.</w:t>
      </w:r>
      <w:r w:rsidRPr="00BF6FA4">
        <w:rPr>
          <w:rStyle w:val="FootnoteReference"/>
        </w:rPr>
        <w:footnoteReference w:id="215"/>
      </w:r>
      <w:r w:rsidRPr="00BF6FA4">
        <w:t xml:space="preserve"> </w:t>
      </w:r>
      <w:r w:rsidR="008E2309" w:rsidRPr="00BF6FA4">
        <w:t>The Commission clarifie</w:t>
      </w:r>
      <w:r w:rsidR="00B03914">
        <w:t>s</w:t>
      </w:r>
      <w:r w:rsidR="008E2309" w:rsidRPr="00BF6FA4">
        <w:t xml:space="preserve"> that, without using different cost allocation methods for different types of transmission facilities, in a single cost allocation method “transmission providers and Relevant State Entities may consider different types of benefits provided by Long-Term Regional Transmission Facilities and allocate costs in proportion to those benefits.”</w:t>
      </w:r>
      <w:r w:rsidR="00B03914">
        <w:rPr>
          <w:rStyle w:val="FootnoteReference"/>
        </w:rPr>
        <w:footnoteReference w:id="216"/>
      </w:r>
    </w:p>
    <w:p w14:paraId="2BCD14D8" w14:textId="77777777" w:rsidR="00342D99" w:rsidRPr="00BF6FA4" w:rsidRDefault="00342D99" w:rsidP="00436394">
      <w:pPr>
        <w:jc w:val="both"/>
      </w:pPr>
    </w:p>
    <w:p w14:paraId="318E84FB" w14:textId="173149F2" w:rsidR="00342D99" w:rsidRPr="00BF6FA4" w:rsidRDefault="005C5D4C" w:rsidP="009D2106">
      <w:pPr>
        <w:jc w:val="both"/>
      </w:pPr>
      <w:r w:rsidRPr="00BF6FA4">
        <w:t xml:space="preserve">FERC </w:t>
      </w:r>
      <w:r w:rsidR="00241EF0" w:rsidRPr="00BF6FA4">
        <w:t>emphasize</w:t>
      </w:r>
      <w:r w:rsidR="00241EF0">
        <w:t>s</w:t>
      </w:r>
      <w:r w:rsidR="00241EF0" w:rsidRPr="00BF6FA4">
        <w:t xml:space="preserve"> </w:t>
      </w:r>
      <w:r w:rsidRPr="00BF6FA4">
        <w:t>that Order No. 1000 regional cost allocation principles (1) through (5) safeguard against cost causation concerns.</w:t>
      </w:r>
      <w:r w:rsidRPr="00BF6FA4">
        <w:rPr>
          <w:rStyle w:val="FootnoteReference"/>
        </w:rPr>
        <w:footnoteReference w:id="217"/>
      </w:r>
      <w:r w:rsidRPr="00BF6FA4">
        <w:t xml:space="preserve"> </w:t>
      </w:r>
      <w:r w:rsidR="00342D99" w:rsidRPr="00BF6FA4">
        <w:t>TPs and R</w:t>
      </w:r>
      <w:r w:rsidR="008E2309" w:rsidRPr="00BF6FA4">
        <w:t>elevant State Entities</w:t>
      </w:r>
      <w:r w:rsidR="00342D99" w:rsidRPr="00BF6FA4">
        <w:t xml:space="preserve"> may consider the incremental costs of transmission needed to achieve state laws, policies, and regulations when considering Cost Allocation Methods.</w:t>
      </w:r>
      <w:r w:rsidR="00342D99" w:rsidRPr="00BF6FA4">
        <w:rPr>
          <w:rStyle w:val="FootnoteReference"/>
        </w:rPr>
        <w:footnoteReference w:id="218"/>
      </w:r>
      <w:r w:rsidR="009E6D46">
        <w:t xml:space="preserve"> </w:t>
      </w:r>
      <w:r w:rsidR="00342D99" w:rsidRPr="00BF6FA4">
        <w:t>Order No. 1920 does not preclude the adoption of Cost Allocation Methods based on different benefits associated with a particular LTRTF or portfolio</w:t>
      </w:r>
      <w:r w:rsidR="00613535" w:rsidRPr="00BF6FA4">
        <w:t>s</w:t>
      </w:r>
      <w:r w:rsidR="00342D99" w:rsidRPr="00BF6FA4">
        <w:t xml:space="preserve"> of LTRTFs. TPs may propose Cost Allocation Methods that allocate costs by benefit type, assigning portions to the respective beneficiaries.</w:t>
      </w:r>
      <w:r w:rsidR="00342D99" w:rsidRPr="00BF6FA4">
        <w:rPr>
          <w:rStyle w:val="FootnoteReference"/>
        </w:rPr>
        <w:footnoteReference w:id="219"/>
      </w:r>
      <w:r w:rsidR="00342D99" w:rsidRPr="00BF6FA4">
        <w:t xml:space="preserve"> </w:t>
      </w:r>
    </w:p>
    <w:p w14:paraId="439055AB" w14:textId="77777777" w:rsidR="00342D99" w:rsidRPr="00BF6FA4" w:rsidRDefault="00342D99" w:rsidP="00436394">
      <w:pPr>
        <w:jc w:val="both"/>
      </w:pPr>
    </w:p>
    <w:p w14:paraId="125651BB" w14:textId="6B2CF92E" w:rsidR="00613535" w:rsidRPr="00BF6FA4" w:rsidRDefault="00342D99" w:rsidP="00103AEB">
      <w:pPr>
        <w:ind w:firstLine="720"/>
        <w:jc w:val="both"/>
      </w:pPr>
      <w:r w:rsidRPr="00BF6FA4">
        <w:rPr>
          <w:b/>
          <w:bCs/>
          <w:i/>
          <w:iCs/>
        </w:rPr>
        <w:t>Cost Causation.</w:t>
      </w:r>
      <w:r w:rsidRPr="00BF6FA4">
        <w:t xml:space="preserve"> FERC </w:t>
      </w:r>
      <w:r w:rsidR="00241EF0" w:rsidRPr="00BF6FA4">
        <w:t>reiterate</w:t>
      </w:r>
      <w:r w:rsidR="00241EF0">
        <w:t>s</w:t>
      </w:r>
      <w:r w:rsidR="00241EF0" w:rsidRPr="00BF6FA4">
        <w:t xml:space="preserve"> </w:t>
      </w:r>
      <w:r w:rsidRPr="00BF6FA4">
        <w:t xml:space="preserve">that all Cost Allocation Methods must comply with the </w:t>
      </w:r>
      <w:r w:rsidR="00613535" w:rsidRPr="00BF6FA4">
        <w:t>fundamental</w:t>
      </w:r>
      <w:r w:rsidR="00241EF0">
        <w:t xml:space="preserve"> </w:t>
      </w:r>
      <w:r w:rsidRPr="00BF6FA4">
        <w:t>cost causation principle</w:t>
      </w:r>
      <w:r w:rsidRPr="00BF6FA4">
        <w:rPr>
          <w:rStyle w:val="FootnoteReference"/>
        </w:rPr>
        <w:footnoteReference w:id="220"/>
      </w:r>
      <w:r w:rsidRPr="00BF6FA4">
        <w:t xml:space="preserve"> that costs are allocated in a manner at least roughly commensurate with estimated benefits.</w:t>
      </w:r>
      <w:r w:rsidRPr="00BF6FA4">
        <w:rPr>
          <w:rStyle w:val="FootnoteReference"/>
        </w:rPr>
        <w:footnoteReference w:id="221"/>
      </w:r>
      <w:r w:rsidRPr="00BF6FA4">
        <w:t xml:space="preserve"> </w:t>
      </w:r>
      <w:r w:rsidR="00613535" w:rsidRPr="00BF6FA4">
        <w:t xml:space="preserve">The </w:t>
      </w:r>
      <w:r w:rsidRPr="00BF6FA4">
        <w:t>FERC disagree</w:t>
      </w:r>
      <w:r w:rsidR="00241EF0">
        <w:t>s</w:t>
      </w:r>
      <w:r w:rsidRPr="00BF6FA4">
        <w:t xml:space="preserve"> with arguments raised on rehearing that Order No. 1920’s transmission planning and cost allocation requirements force TPs to plan transmission projects based on decarbonization goals of other states in the transmission planning region and require TPs to account for abstract assumed benefits.</w:t>
      </w:r>
      <w:r w:rsidRPr="00BF6FA4">
        <w:rPr>
          <w:rStyle w:val="FootnoteReference"/>
        </w:rPr>
        <w:footnoteReference w:id="222"/>
      </w:r>
      <w:r w:rsidRPr="00BF6FA4">
        <w:t xml:space="preserve"> </w:t>
      </w:r>
      <w:r w:rsidR="00613535" w:rsidRPr="00BF6FA4">
        <w:t xml:space="preserve">The </w:t>
      </w:r>
      <w:r w:rsidRPr="00BF6FA4">
        <w:t>FERC clarifie</w:t>
      </w:r>
      <w:r w:rsidR="00241EF0">
        <w:t>s</w:t>
      </w:r>
      <w:r w:rsidRPr="00BF6FA4">
        <w:t xml:space="preserve"> that Order No. 1920 does not prevent transmission providers from recognizing different types of benefits and using them to allocate costs in proportion to those benefits.</w:t>
      </w:r>
      <w:r w:rsidRPr="00BF6FA4">
        <w:rPr>
          <w:rStyle w:val="FootnoteReference"/>
        </w:rPr>
        <w:footnoteReference w:id="223"/>
      </w:r>
      <w:r w:rsidR="00613535" w:rsidRPr="00BF6FA4">
        <w:t xml:space="preserve"> The Commission provided a non-binding example of what it considers a just and reasonable </w:t>
      </w:r>
      <w:r w:rsidR="00613535" w:rsidRPr="00103AEB">
        <w:rPr>
          <w:i/>
          <w:iCs/>
        </w:rPr>
        <w:t>ex ante</w:t>
      </w:r>
      <w:r w:rsidR="00613535" w:rsidRPr="00BF6FA4">
        <w:t xml:space="preserve"> cost allocation method that takes into account multiple states in a region and their public policies:</w:t>
      </w:r>
    </w:p>
    <w:p w14:paraId="27196C36" w14:textId="77777777" w:rsidR="000B331E" w:rsidRDefault="000B331E" w:rsidP="00613535">
      <w:pPr>
        <w:ind w:left="720"/>
        <w:jc w:val="both"/>
      </w:pPr>
    </w:p>
    <w:p w14:paraId="06255527" w14:textId="43FB9F41" w:rsidR="00613535" w:rsidRDefault="00613535" w:rsidP="00613535">
      <w:pPr>
        <w:ind w:left="720"/>
        <w:jc w:val="both"/>
      </w:pPr>
      <w:r w:rsidRPr="00BF6FA4">
        <w:t>This example is as follows:</w:t>
      </w:r>
    </w:p>
    <w:p w14:paraId="1C704017" w14:textId="77777777" w:rsidR="00241EF0" w:rsidRPr="00BF6FA4" w:rsidRDefault="00241EF0" w:rsidP="00613535">
      <w:pPr>
        <w:ind w:left="720"/>
        <w:jc w:val="both"/>
      </w:pPr>
    </w:p>
    <w:p w14:paraId="614061A1" w14:textId="53D790BF" w:rsidR="00613535" w:rsidRDefault="00613535" w:rsidP="00241EF0">
      <w:pPr>
        <w:pStyle w:val="ListParagraph"/>
        <w:numPr>
          <w:ilvl w:val="0"/>
          <w:numId w:val="33"/>
        </w:numPr>
        <w:jc w:val="both"/>
      </w:pPr>
      <w:r w:rsidRPr="00BF6FA4">
        <w:t xml:space="preserve">For the purposes of cost allocation, transmission providers shall run an additional scenario analysis to identify transmission needs using the same Long-Term Scenarios and sensitivities used in its Long-Term Regional Transmission Planning process, except that the inputs to such additional scenarios shall not include state laws, policies and regulations.  Transmission providers shall identify transmission facilities to meet the needs identified in such additional scenario analysis and those facilities’ costs.  Transmission providers shall then determine the difference in costs between the set of Long-Term Regional Transmission Facilities selected in the regional transmission plan for purposes of cost allocation and the set of transmission facilities that would be selected based upon the additional scenario analysis. </w:t>
      </w:r>
    </w:p>
    <w:p w14:paraId="37E17236" w14:textId="77777777" w:rsidR="00241EF0" w:rsidRDefault="00241EF0" w:rsidP="00103AEB">
      <w:pPr>
        <w:pStyle w:val="ListParagraph"/>
        <w:ind w:left="1095"/>
        <w:jc w:val="both"/>
      </w:pPr>
    </w:p>
    <w:p w14:paraId="7DEE3A9F" w14:textId="49200336" w:rsidR="00613535" w:rsidRDefault="00613535" w:rsidP="00103AEB">
      <w:pPr>
        <w:pStyle w:val="ListParagraph"/>
        <w:numPr>
          <w:ilvl w:val="0"/>
          <w:numId w:val="33"/>
        </w:numPr>
        <w:jc w:val="both"/>
      </w:pPr>
      <w:r w:rsidRPr="00BF6FA4">
        <w:t xml:space="preserve">The portion of total selected Long-Term Regional Transmission Facility costs identified in (1) could be cost allocated according to an existing Commission-accepted cost allocation method that may be proposed on compliance with Order No. 1920. </w:t>
      </w:r>
    </w:p>
    <w:p w14:paraId="21EE5F2C" w14:textId="77777777" w:rsidR="00241EF0" w:rsidRPr="00BF6FA4" w:rsidRDefault="00241EF0" w:rsidP="00103AEB">
      <w:pPr>
        <w:pStyle w:val="ListParagraph"/>
        <w:ind w:left="1095"/>
        <w:jc w:val="both"/>
      </w:pPr>
    </w:p>
    <w:p w14:paraId="374BDD7F" w14:textId="77777777" w:rsidR="00613535" w:rsidRDefault="00613535" w:rsidP="00613535">
      <w:pPr>
        <w:ind w:left="720"/>
        <w:jc w:val="both"/>
      </w:pPr>
      <w:r w:rsidRPr="00BF6FA4">
        <w:t>(3) The amount representing the cost difference between the costs of projects selected pursuant to the Long-Term Regional Transmission Planning process and (1) shall be allocated as follows:</w:t>
      </w:r>
    </w:p>
    <w:p w14:paraId="65ED9E09" w14:textId="77777777" w:rsidR="00241EF0" w:rsidRPr="00BF6FA4" w:rsidRDefault="00241EF0" w:rsidP="00613535">
      <w:pPr>
        <w:ind w:left="720"/>
        <w:jc w:val="both"/>
      </w:pPr>
    </w:p>
    <w:p w14:paraId="747D352A" w14:textId="55E17E75" w:rsidR="00613535" w:rsidRPr="00BF6FA4" w:rsidRDefault="00613535" w:rsidP="00340D48">
      <w:pPr>
        <w:ind w:left="1440"/>
        <w:jc w:val="both"/>
      </w:pPr>
      <w:r w:rsidRPr="00BF6FA4">
        <w:t>a.  The transmission providers shall identify by state the specific state laws, policies, and regulations that were used to plan and select the Long-Term Regional Transmission Facilities and shall quantify by state the specific costs of such Facilities.</w:t>
      </w:r>
    </w:p>
    <w:p w14:paraId="026D78E8" w14:textId="77777777" w:rsidR="00613535" w:rsidRPr="00BF6FA4" w:rsidRDefault="00613535" w:rsidP="00613535">
      <w:pPr>
        <w:ind w:left="720"/>
        <w:jc w:val="both"/>
      </w:pPr>
    </w:p>
    <w:p w14:paraId="5BDEFE5F" w14:textId="74894580" w:rsidR="00613535" w:rsidRPr="00BF6FA4" w:rsidRDefault="00613535" w:rsidP="00103AEB">
      <w:pPr>
        <w:ind w:left="1440"/>
        <w:jc w:val="both"/>
      </w:pPr>
      <w:r w:rsidRPr="00BF6FA4">
        <w:t>b.  The costs identified in 3(a) shall be allocated solely to the state or states that are the sources of the policies used in planning and selection.  The total difference between the costs of Long-Term Regional Transmission Facilities selected pursuant to the Long-Term Regional Transmission Planning process and (1) would be fully accounted for using this method of allocating costs among the states.  For RTOs/ISOs, the cost allocation to transmission customers in a transmission pricing zone within a state would be developed by the applicable Transmission Owner(s).  For non-RTOs/ISOs, the costs allocated to transmission customers in a transmission provider’s retail distribution service territory or footprint within a state would be developed by the applicable transmission provider.</w:t>
      </w:r>
      <w:r w:rsidR="00241EF0">
        <w:rPr>
          <w:rStyle w:val="FootnoteReference"/>
        </w:rPr>
        <w:footnoteReference w:id="224"/>
      </w:r>
    </w:p>
    <w:p w14:paraId="4D98B8EE" w14:textId="77777777" w:rsidR="00342D99" w:rsidRPr="00BF6FA4" w:rsidRDefault="00342D99" w:rsidP="00436394">
      <w:pPr>
        <w:jc w:val="both"/>
      </w:pPr>
    </w:p>
    <w:p w14:paraId="77E66FE2" w14:textId="62BD931F" w:rsidR="00342D99" w:rsidRPr="00BF6FA4" w:rsidRDefault="00342D99" w:rsidP="00436394">
      <w:pPr>
        <w:ind w:firstLine="720"/>
        <w:jc w:val="both"/>
      </w:pPr>
      <w:r w:rsidRPr="00BF6FA4">
        <w:t xml:space="preserve">FERC </w:t>
      </w:r>
      <w:r w:rsidR="00241EF0" w:rsidRPr="00BF6FA4">
        <w:t>f</w:t>
      </w:r>
      <w:r w:rsidR="00241EF0">
        <w:t>inds</w:t>
      </w:r>
      <w:r w:rsidR="00241EF0" w:rsidRPr="00BF6FA4">
        <w:t xml:space="preserve"> </w:t>
      </w:r>
      <w:r w:rsidRPr="00BF6FA4">
        <w:t>that the record does not support a blanket prohibition on postage-stamp-type cost allocation,</w:t>
      </w:r>
      <w:r w:rsidRPr="00BF6FA4">
        <w:rPr>
          <w:rStyle w:val="FootnoteReference"/>
        </w:rPr>
        <w:t xml:space="preserve"> </w:t>
      </w:r>
      <w:r w:rsidRPr="00BF6FA4">
        <w:rPr>
          <w:rStyle w:val="FootnoteReference"/>
        </w:rPr>
        <w:footnoteReference w:id="225"/>
      </w:r>
      <w:r w:rsidRPr="00BF6FA4">
        <w:t xml:space="preserve"> and reiterate</w:t>
      </w:r>
      <w:r w:rsidR="00241EF0">
        <w:t>s</w:t>
      </w:r>
      <w:r w:rsidRPr="00BF6FA4">
        <w:t xml:space="preserve"> that Order No. 1920 does not change existing mechanisms for cost-recovery through retail rates.</w:t>
      </w:r>
      <w:r w:rsidRPr="00BF6FA4">
        <w:rPr>
          <w:rStyle w:val="FootnoteReference"/>
        </w:rPr>
        <w:footnoteReference w:id="226"/>
      </w:r>
      <w:r w:rsidRPr="00BF6FA4">
        <w:t xml:space="preserve"> However, FERC decline</w:t>
      </w:r>
      <w:r w:rsidR="00241EF0">
        <w:t>s</w:t>
      </w:r>
      <w:r w:rsidRPr="00BF6FA4">
        <w:t xml:space="preserve"> to modify Order No. 1920 to enable states to conduct a </w:t>
      </w:r>
      <w:r w:rsidRPr="00BF6FA4">
        <w:rPr>
          <w:i/>
          <w:iCs/>
        </w:rPr>
        <w:t>post hoc</w:t>
      </w:r>
      <w:r w:rsidRPr="00BF6FA4">
        <w:t xml:space="preserve"> review of costs allocated to retail customers.</w:t>
      </w:r>
      <w:r w:rsidRPr="00BF6FA4">
        <w:rPr>
          <w:rStyle w:val="FootnoteReference"/>
        </w:rPr>
        <w:footnoteReference w:id="227"/>
      </w:r>
      <w:r w:rsidRPr="00BF6FA4">
        <w:t xml:space="preserve"> Order No. 1920 does not alter the requirement for states to pass through Commission-jurisdictional rates to retail customers.</w:t>
      </w:r>
      <w:r w:rsidRPr="00BF6FA4">
        <w:rPr>
          <w:rStyle w:val="FootnoteReference"/>
        </w:rPr>
        <w:footnoteReference w:id="228"/>
      </w:r>
      <w:r w:rsidR="005C5D4C" w:rsidRPr="00BF6FA4">
        <w:t xml:space="preserve"> </w:t>
      </w:r>
      <w:r w:rsidRPr="00BF6FA4">
        <w:t>FERC reiterate</w:t>
      </w:r>
      <w:r w:rsidR="00241EF0">
        <w:t>s</w:t>
      </w:r>
      <w:r w:rsidRPr="00BF6FA4">
        <w:t xml:space="preserve"> that cost containment reform is outside the scope of this proceeding.</w:t>
      </w:r>
      <w:r w:rsidRPr="00BF6FA4">
        <w:rPr>
          <w:rStyle w:val="FootnoteReference"/>
        </w:rPr>
        <w:footnoteReference w:id="229"/>
      </w:r>
    </w:p>
    <w:p w14:paraId="5E5F2BAF" w14:textId="77777777" w:rsidR="00342D99" w:rsidRPr="00BF6FA4" w:rsidRDefault="00342D99" w:rsidP="00436394">
      <w:pPr>
        <w:jc w:val="both"/>
      </w:pPr>
    </w:p>
    <w:p w14:paraId="041BB8B6" w14:textId="76B63882" w:rsidR="00342D99" w:rsidRPr="00BF6FA4" w:rsidRDefault="00342D99" w:rsidP="000B331E">
      <w:pPr>
        <w:ind w:firstLine="720"/>
        <w:jc w:val="both"/>
      </w:pPr>
      <w:r w:rsidRPr="00BF6FA4">
        <w:rPr>
          <w:b/>
          <w:bCs/>
          <w:i/>
          <w:iCs/>
        </w:rPr>
        <w:t>Reporting Requirement.</w:t>
      </w:r>
      <w:r w:rsidRPr="00BF6FA4">
        <w:t xml:space="preserve"> Under Order No. 1920-A, once a cost allocation method is determined, TPs must provide a breakdown of how costs will be allocated by zone and quantification of estimated benefits as imputed to each zone on a password protected portion of OASIS or some other </w:t>
      </w:r>
      <w:r w:rsidR="008857BE">
        <w:t>password</w:t>
      </w:r>
      <w:r w:rsidR="00FC11AF">
        <w:t xml:space="preserve">-protected portion of its </w:t>
      </w:r>
      <w:r w:rsidRPr="00BF6FA4">
        <w:t>website.</w:t>
      </w:r>
      <w:r w:rsidRPr="00BF6FA4">
        <w:rPr>
          <w:rStyle w:val="FootnoteReference"/>
        </w:rPr>
        <w:footnoteReference w:id="230"/>
      </w:r>
    </w:p>
    <w:p w14:paraId="4F76F2E7" w14:textId="77777777" w:rsidR="00342D99" w:rsidRPr="00BF6FA4" w:rsidRDefault="00342D99" w:rsidP="00436394">
      <w:pPr>
        <w:jc w:val="both"/>
      </w:pPr>
    </w:p>
    <w:p w14:paraId="7C9DF20B" w14:textId="52D01B59" w:rsidR="00E91111" w:rsidRPr="00BF6FA4" w:rsidRDefault="00E91111" w:rsidP="00103AEB">
      <w:pPr>
        <w:pStyle w:val="Heading1"/>
        <w:spacing w:before="0" w:after="240"/>
        <w:ind w:left="720" w:hanging="720"/>
        <w:jc w:val="both"/>
        <w:rPr>
          <w:rFonts w:ascii="Times New Roman" w:hAnsi="Times New Roman" w:cs="Times New Roman"/>
          <w:sz w:val="24"/>
          <w:szCs w:val="24"/>
        </w:rPr>
      </w:pPr>
      <w:r w:rsidRPr="00BF6FA4">
        <w:rPr>
          <w:rFonts w:ascii="Times New Roman" w:hAnsi="Times New Roman" w:cs="Times New Roman"/>
          <w:sz w:val="24"/>
          <w:szCs w:val="24"/>
        </w:rPr>
        <w:t xml:space="preserve">Construction Work in Progress </w:t>
      </w:r>
      <w:r w:rsidR="00E93463">
        <w:rPr>
          <w:rFonts w:ascii="Times New Roman" w:hAnsi="Times New Roman" w:cs="Times New Roman"/>
          <w:sz w:val="24"/>
          <w:szCs w:val="24"/>
        </w:rPr>
        <w:t xml:space="preserve">(CWIP) </w:t>
      </w:r>
      <w:r w:rsidRPr="00BF6FA4">
        <w:rPr>
          <w:rFonts w:ascii="Times New Roman" w:hAnsi="Times New Roman" w:cs="Times New Roman"/>
          <w:sz w:val="24"/>
          <w:szCs w:val="24"/>
        </w:rPr>
        <w:t>Incentive and the Federal Right of First Refusal</w:t>
      </w:r>
      <w:r w:rsidR="008E6E4E" w:rsidRPr="00BF6FA4">
        <w:rPr>
          <w:rFonts w:ascii="Times New Roman" w:hAnsi="Times New Roman" w:cs="Times New Roman"/>
          <w:sz w:val="24"/>
          <w:szCs w:val="24"/>
        </w:rPr>
        <w:t xml:space="preserve"> </w:t>
      </w:r>
      <w:r w:rsidR="00495620">
        <w:rPr>
          <w:rFonts w:ascii="Times New Roman" w:hAnsi="Times New Roman" w:cs="Times New Roman"/>
          <w:sz w:val="24"/>
          <w:szCs w:val="24"/>
        </w:rPr>
        <w:t xml:space="preserve">(ROFR) </w:t>
      </w:r>
      <w:r w:rsidR="008E6E4E" w:rsidRPr="00BF6FA4">
        <w:rPr>
          <w:rFonts w:ascii="Times New Roman" w:hAnsi="Times New Roman" w:cs="Times New Roman"/>
          <w:sz w:val="24"/>
          <w:szCs w:val="24"/>
        </w:rPr>
        <w:t>for Regional Transmission Facilities.</w:t>
      </w:r>
    </w:p>
    <w:p w14:paraId="7D55191C" w14:textId="14B6137B" w:rsidR="00E91111" w:rsidRPr="00BF6FA4" w:rsidRDefault="008E6E4E" w:rsidP="00241EF0">
      <w:pPr>
        <w:ind w:firstLine="720"/>
        <w:jc w:val="both"/>
      </w:pPr>
      <w:r w:rsidRPr="00BF6FA4">
        <w:t xml:space="preserve">The </w:t>
      </w:r>
      <w:r w:rsidR="00342D99" w:rsidRPr="00BF6FA4">
        <w:t xml:space="preserve">FERC </w:t>
      </w:r>
      <w:r w:rsidR="00241EF0" w:rsidRPr="00BF6FA4">
        <w:t>sustain</w:t>
      </w:r>
      <w:r w:rsidR="00241EF0">
        <w:t>s</w:t>
      </w:r>
      <w:r w:rsidR="00241EF0" w:rsidRPr="00BF6FA4">
        <w:t xml:space="preserve"> </w:t>
      </w:r>
      <w:r w:rsidRPr="00BF6FA4">
        <w:t xml:space="preserve">its determination in Order No. 1920 </w:t>
      </w:r>
      <w:r w:rsidR="00342D99" w:rsidRPr="00BF6FA4">
        <w:t xml:space="preserve">that any action on the CWIP incentive is more </w:t>
      </w:r>
      <w:r w:rsidRPr="00BF6FA4">
        <w:t>appropriately considered in a separate proceeding to allow for a holistic approach to transmission incentives.</w:t>
      </w:r>
      <w:r w:rsidR="00342D99" w:rsidRPr="00BF6FA4">
        <w:rPr>
          <w:rStyle w:val="FootnoteReference"/>
        </w:rPr>
        <w:footnoteReference w:id="231"/>
      </w:r>
      <w:r w:rsidR="00342D99" w:rsidRPr="00BF6FA4">
        <w:t xml:space="preserve"> FERC also </w:t>
      </w:r>
      <w:r w:rsidR="00241EF0" w:rsidRPr="00BF6FA4">
        <w:t>sustain</w:t>
      </w:r>
      <w:r w:rsidR="00241EF0">
        <w:t>s</w:t>
      </w:r>
      <w:r w:rsidR="00241EF0" w:rsidRPr="00BF6FA4">
        <w:t xml:space="preserve"> </w:t>
      </w:r>
      <w:r w:rsidR="00342D99" w:rsidRPr="00BF6FA4">
        <w:t xml:space="preserve">its finding that it will consider potential ROFR issues </w:t>
      </w:r>
      <w:r w:rsidRPr="00BF6FA4">
        <w:t xml:space="preserve">related to regional transmission facilities </w:t>
      </w:r>
      <w:r w:rsidR="00342D99" w:rsidRPr="00BF6FA4">
        <w:t>in other proceedings</w:t>
      </w:r>
      <w:r w:rsidR="00495620">
        <w:t xml:space="preserve"> (except as provided for right-sized replacement transmission facilities in its discussion of local transmission planning)</w:t>
      </w:r>
      <w:r w:rsidR="00342D99" w:rsidRPr="00BF6FA4">
        <w:t>.</w:t>
      </w:r>
      <w:r w:rsidRPr="00BF6FA4">
        <w:rPr>
          <w:rStyle w:val="FootnoteReference"/>
        </w:rPr>
        <w:footnoteReference w:id="232"/>
      </w:r>
    </w:p>
    <w:p w14:paraId="19C651AC" w14:textId="77777777" w:rsidR="005C5D4C" w:rsidRPr="00BF6FA4" w:rsidRDefault="005C5D4C" w:rsidP="00436394">
      <w:pPr>
        <w:ind w:firstLine="720"/>
        <w:jc w:val="both"/>
      </w:pPr>
    </w:p>
    <w:p w14:paraId="55C564CA" w14:textId="1C852DA6" w:rsidR="00E91111" w:rsidRPr="00BF6FA4" w:rsidRDefault="00E91111" w:rsidP="00436394">
      <w:pPr>
        <w:pStyle w:val="Heading1"/>
        <w:spacing w:before="0" w:after="240"/>
        <w:jc w:val="both"/>
        <w:rPr>
          <w:rFonts w:ascii="Times New Roman" w:hAnsi="Times New Roman" w:cs="Times New Roman"/>
          <w:sz w:val="24"/>
          <w:szCs w:val="24"/>
        </w:rPr>
      </w:pPr>
      <w:r w:rsidRPr="00BF6FA4">
        <w:rPr>
          <w:rFonts w:ascii="Times New Roman" w:hAnsi="Times New Roman" w:cs="Times New Roman"/>
          <w:sz w:val="24"/>
          <w:szCs w:val="24"/>
        </w:rPr>
        <w:t>Local Transmission Planning Inputs in the Regional Transmission Planning Process</w:t>
      </w:r>
    </w:p>
    <w:p w14:paraId="62D8E6FD" w14:textId="35B77A99" w:rsidR="00342D99" w:rsidRPr="00BF6FA4" w:rsidRDefault="00342D99" w:rsidP="000B331E">
      <w:pPr>
        <w:ind w:firstLine="720"/>
        <w:jc w:val="both"/>
      </w:pPr>
      <w:r w:rsidRPr="00BF6FA4">
        <w:rPr>
          <w:b/>
          <w:bCs/>
          <w:i/>
          <w:iCs/>
        </w:rPr>
        <w:t>ROF</w:t>
      </w:r>
      <w:r w:rsidR="00495620">
        <w:rPr>
          <w:b/>
          <w:bCs/>
          <w:i/>
          <w:iCs/>
        </w:rPr>
        <w:t>R for Right-Sized Replacements</w:t>
      </w:r>
      <w:r w:rsidRPr="00BF6FA4">
        <w:rPr>
          <w:b/>
          <w:bCs/>
          <w:i/>
          <w:iCs/>
        </w:rPr>
        <w:t>.</w:t>
      </w:r>
      <w:r w:rsidRPr="00BF6FA4">
        <w:rPr>
          <w:b/>
          <w:bCs/>
        </w:rPr>
        <w:t xml:space="preserve"> </w:t>
      </w:r>
      <w:r w:rsidRPr="00BF6FA4">
        <w:t xml:space="preserve">FERC continues to find that </w:t>
      </w:r>
      <w:r w:rsidR="002829CF" w:rsidRPr="00BF6FA4">
        <w:t xml:space="preserve">the </w:t>
      </w:r>
      <w:r w:rsidRPr="00BF6FA4">
        <w:t>ROFR is appropriate for right-sized replacement transmission facilities because it aligns with Order No. 1000 and FERC precedent and it promotes the consideration of more efficient or cost-effective potential transmission solutions.</w:t>
      </w:r>
      <w:r w:rsidRPr="00BF6FA4">
        <w:rPr>
          <w:rStyle w:val="FootnoteReference"/>
        </w:rPr>
        <w:footnoteReference w:id="233"/>
      </w:r>
      <w:r w:rsidRPr="00BF6FA4">
        <w:t xml:space="preserve"> FERC </w:t>
      </w:r>
      <w:r w:rsidR="0085578C" w:rsidRPr="00BF6FA4">
        <w:t>note</w:t>
      </w:r>
      <w:r w:rsidR="0085578C">
        <w:t>s</w:t>
      </w:r>
      <w:r w:rsidR="0085578C" w:rsidRPr="00BF6FA4">
        <w:t xml:space="preserve"> </w:t>
      </w:r>
      <w:r w:rsidRPr="00BF6FA4">
        <w:t>that it does not modify any other aspect of its ROFR policy because this ROFR applies only to selected right-sized replacement transmission facilities.</w:t>
      </w:r>
      <w:r w:rsidRPr="00BF6FA4">
        <w:rPr>
          <w:rStyle w:val="FootnoteReference"/>
        </w:rPr>
        <w:footnoteReference w:id="234"/>
      </w:r>
      <w:r w:rsidR="000E23A7" w:rsidRPr="00BF6FA4">
        <w:t xml:space="preserve"> Regarding the appropriateness of</w:t>
      </w:r>
      <w:r w:rsidR="0085578C">
        <w:t xml:space="preserve"> </w:t>
      </w:r>
      <w:r w:rsidR="000E23A7" w:rsidRPr="00BF6FA4">
        <w:t xml:space="preserve">allowing the ROFR for right-sized </w:t>
      </w:r>
      <w:r w:rsidR="0085578C" w:rsidRPr="00BF6FA4">
        <w:t>replacement</w:t>
      </w:r>
      <w:r w:rsidR="0085578C">
        <w:t>s,</w:t>
      </w:r>
      <w:r w:rsidR="000E23A7" w:rsidRPr="00BF6FA4">
        <w:t xml:space="preserve"> the Commission states</w:t>
      </w:r>
      <w:r w:rsidR="0085578C">
        <w:t>:</w:t>
      </w:r>
      <w:r w:rsidR="000E23A7" w:rsidRPr="00BF6FA4">
        <w:t xml:space="preserve"> </w:t>
      </w:r>
    </w:p>
    <w:p w14:paraId="3CC2A236" w14:textId="77777777" w:rsidR="000E23A7" w:rsidRPr="00BF6FA4" w:rsidRDefault="000E23A7" w:rsidP="00436394">
      <w:pPr>
        <w:jc w:val="both"/>
      </w:pPr>
    </w:p>
    <w:p w14:paraId="5AEFF77E" w14:textId="66EA9817" w:rsidR="000E23A7" w:rsidRDefault="000E23A7" w:rsidP="009D2106">
      <w:pPr>
        <w:ind w:left="720" w:right="720"/>
        <w:jc w:val="both"/>
      </w:pPr>
      <w:r w:rsidRPr="00BF6FA4">
        <w:t xml:space="preserve">… we believe the right-sizing reform preserves transmission providers’ ability to invest in replacements of their own transmission facilities, even if such facilities are right-sized and selected in the regional transmission plan for purposes of cost allocation.   Furthermore, the Commission noted that the reasons for removing federal rights of first refusal in Order No. 1000 do not apply to right-sized replacement transmission facilities because transmission providers may have existing rights and responsibilities with respect to maintaining and, when necessary, replacing their transmission facilities.   </w:t>
      </w:r>
    </w:p>
    <w:p w14:paraId="6B17695B" w14:textId="77777777" w:rsidR="0085578C" w:rsidRPr="00BF6FA4" w:rsidRDefault="0085578C" w:rsidP="009D2106">
      <w:pPr>
        <w:ind w:left="720" w:right="720"/>
        <w:jc w:val="both"/>
      </w:pPr>
    </w:p>
    <w:p w14:paraId="238FAA96" w14:textId="6AFE910C" w:rsidR="000E23A7" w:rsidRPr="00BF6FA4" w:rsidRDefault="000E23A7" w:rsidP="009D2106">
      <w:pPr>
        <w:ind w:left="720" w:right="720"/>
        <w:jc w:val="both"/>
      </w:pPr>
      <w:r w:rsidRPr="00BF6FA4">
        <w:t>We therefore continue to find that providing for a federal right of first refusal for right-sized replacement transmission facilities aligns with the text and stated purpose of Order No. 1000 by ensuring that transmission providers consider more efficient or cost-effective regional transmission solutions.   We also reaffirm that the right-sizing reform does not depart, without explanation, from Commission precedent related to an individual transmission provider’s ability to proceed with an in-kind replacement transmission facility.  Further, we believe that, without a federal right of first refusal, the incumbent transmission provider whose in-kind replacement transmission facility is selected to be right-sized would likely opt to develop the less efficient or cost-effective in-kind replacement transmission facility rather than a right-sized replacement transmission facility.   Therefore, we continue to find that the establishment of the federal right of first refusal for right-sized replacement transmission facilities that are evaluated and selected as part of Long-Term Regional Transmission Planning is necessary to effectuate this reform and ensure that Commission-jurisdictional rates are just and reasonable</w:t>
      </w:r>
      <w:r w:rsidR="0085578C">
        <w:t>.</w:t>
      </w:r>
      <w:r w:rsidR="0085578C">
        <w:rPr>
          <w:rStyle w:val="FootnoteReference"/>
        </w:rPr>
        <w:footnoteReference w:id="235"/>
      </w:r>
    </w:p>
    <w:p w14:paraId="36226BD3" w14:textId="77777777" w:rsidR="00342D99" w:rsidRPr="00BF6FA4" w:rsidRDefault="00342D99" w:rsidP="00436394">
      <w:pPr>
        <w:jc w:val="both"/>
      </w:pPr>
    </w:p>
    <w:p w14:paraId="4C62B180" w14:textId="48D3D6C6" w:rsidR="00717B7D" w:rsidRPr="00BF6FA4" w:rsidRDefault="00342D99" w:rsidP="000B331E">
      <w:pPr>
        <w:ind w:firstLine="720"/>
        <w:jc w:val="both"/>
        <w:rPr>
          <w:rFonts w:eastAsia="Times New Roman"/>
          <w:bCs/>
          <w:kern w:val="32"/>
        </w:rPr>
      </w:pPr>
      <w:r w:rsidRPr="00BF6FA4">
        <w:rPr>
          <w:b/>
          <w:bCs/>
          <w:i/>
          <w:iCs/>
        </w:rPr>
        <w:t xml:space="preserve">Local Transmission Planning Inputs. </w:t>
      </w:r>
      <w:r w:rsidRPr="00BF6FA4">
        <w:rPr>
          <w:rFonts w:eastAsia="Times New Roman"/>
          <w:bCs/>
          <w:kern w:val="32"/>
        </w:rPr>
        <w:t xml:space="preserve">FERC </w:t>
      </w:r>
      <w:r w:rsidR="0085578C" w:rsidRPr="00BF6FA4">
        <w:rPr>
          <w:rFonts w:eastAsia="Times New Roman"/>
          <w:bCs/>
          <w:kern w:val="32"/>
        </w:rPr>
        <w:t>sustain</w:t>
      </w:r>
      <w:r w:rsidR="0085578C">
        <w:rPr>
          <w:rFonts w:eastAsia="Times New Roman"/>
          <w:bCs/>
          <w:kern w:val="32"/>
        </w:rPr>
        <w:t>s</w:t>
      </w:r>
      <w:r w:rsidR="0085578C" w:rsidRPr="00BF6FA4">
        <w:rPr>
          <w:rFonts w:eastAsia="Times New Roman"/>
          <w:bCs/>
          <w:kern w:val="32"/>
        </w:rPr>
        <w:t xml:space="preserve"> </w:t>
      </w:r>
      <w:r w:rsidRPr="00BF6FA4">
        <w:rPr>
          <w:rFonts w:eastAsia="Times New Roman"/>
          <w:bCs/>
          <w:kern w:val="32"/>
        </w:rPr>
        <w:t xml:space="preserve">its determination in Order No. </w:t>
      </w:r>
      <w:r w:rsidR="0085578C">
        <w:rPr>
          <w:rFonts w:eastAsia="Times New Roman"/>
          <w:bCs/>
          <w:kern w:val="32"/>
        </w:rPr>
        <w:t xml:space="preserve">1920 </w:t>
      </w:r>
      <w:r w:rsidR="00717B7D" w:rsidRPr="00BF6FA4">
        <w:rPr>
          <w:rFonts w:eastAsia="Times New Roman"/>
          <w:bCs/>
          <w:kern w:val="32"/>
        </w:rPr>
        <w:t xml:space="preserve">regarding </w:t>
      </w:r>
      <w:r w:rsidRPr="00BF6FA4">
        <w:rPr>
          <w:rFonts w:eastAsia="Times New Roman"/>
          <w:bCs/>
          <w:kern w:val="32"/>
        </w:rPr>
        <w:t>asset management projects</w:t>
      </w:r>
      <w:r w:rsidR="00717B7D" w:rsidRPr="00BF6FA4">
        <w:rPr>
          <w:rFonts w:eastAsia="Times New Roman"/>
          <w:bCs/>
          <w:kern w:val="32"/>
        </w:rPr>
        <w:t>, stating:</w:t>
      </w:r>
    </w:p>
    <w:p w14:paraId="58EF1E0C" w14:textId="77777777" w:rsidR="00717B7D" w:rsidRPr="00BF6FA4" w:rsidRDefault="00717B7D" w:rsidP="00436394">
      <w:pPr>
        <w:jc w:val="both"/>
        <w:rPr>
          <w:rFonts w:eastAsia="Times New Roman"/>
          <w:bCs/>
          <w:kern w:val="32"/>
        </w:rPr>
      </w:pPr>
    </w:p>
    <w:p w14:paraId="4795C2FE" w14:textId="390EAD33" w:rsidR="00717B7D" w:rsidRDefault="00717B7D" w:rsidP="000B331E">
      <w:pPr>
        <w:ind w:left="720" w:right="720"/>
        <w:jc w:val="both"/>
        <w:rPr>
          <w:rFonts w:eastAsia="Times New Roman"/>
          <w:bCs/>
          <w:kern w:val="32"/>
        </w:rPr>
      </w:pPr>
      <w:r w:rsidRPr="00BF6FA4">
        <w:rPr>
          <w:rFonts w:eastAsia="Times New Roman"/>
          <w:bCs/>
          <w:kern w:val="32"/>
        </w:rPr>
        <w:t>We sustain the determination in Order No. 1920 to exclude asset management projects from the information on local transmission planning inputs that transmission providers must include for stakeholder review as part of the Assumptions, Needs, and Solutions Meetings.  We reiterate that planning for asset management projects, which do not increase transmission capacity or only do so incidentally, is not required to be included within the scope of local transmission planning that is subject to Order No. 890 transparency requirements,  and as such, it was reasonable for the Commission to exclude them from the requirements in Order No. 1920.  Moreover, the Commission did not propose in the NOPR to require transmission providers to include information related to asset management projects in the information that they provide as part of the Assumptions, Needs, and Solutions Meetings. Instead, to enhance stakeholders’ visibility into local transmission planning inputs as they are integrated into the regional transmission planning process, the Commission proposed in the NOPR – and adopted in the final rule – requirements to enhance the transparency of such inputs, which are already subject to the local transmission planning transparency requirements of Order No. 890, in the regional transmission planning process.</w:t>
      </w:r>
      <w:r w:rsidR="0085578C">
        <w:rPr>
          <w:rStyle w:val="FootnoteReference"/>
          <w:rFonts w:eastAsia="Times New Roman"/>
          <w:bCs/>
          <w:kern w:val="32"/>
        </w:rPr>
        <w:footnoteReference w:id="236"/>
      </w:r>
    </w:p>
    <w:p w14:paraId="0010906E" w14:textId="77777777" w:rsidR="0085578C" w:rsidRPr="00BF6FA4" w:rsidRDefault="0085578C" w:rsidP="000B331E">
      <w:pPr>
        <w:ind w:left="720" w:right="720"/>
        <w:jc w:val="both"/>
        <w:rPr>
          <w:rFonts w:eastAsia="Times New Roman"/>
          <w:bCs/>
          <w:kern w:val="32"/>
        </w:rPr>
      </w:pPr>
    </w:p>
    <w:p w14:paraId="618F576A" w14:textId="7664D97F" w:rsidR="00342D99" w:rsidRPr="00BF6FA4" w:rsidRDefault="00342D99" w:rsidP="00103AEB">
      <w:pPr>
        <w:ind w:firstLine="720"/>
        <w:jc w:val="both"/>
      </w:pPr>
      <w:r w:rsidRPr="00BF6FA4">
        <w:t>FERC continues to find that Order No. 1920’s reforms to enhance transparency between local and regional transmission planning processes, will encourage TPs to consider whether a more efficient or cost-effective regional transmission solution exists before developing a local one.</w:t>
      </w:r>
      <w:r w:rsidRPr="00BF6FA4">
        <w:rPr>
          <w:rStyle w:val="FootnoteReference"/>
        </w:rPr>
        <w:footnoteReference w:id="237"/>
      </w:r>
    </w:p>
    <w:p w14:paraId="53196E93" w14:textId="77777777" w:rsidR="00342D99" w:rsidRPr="00BF6FA4" w:rsidRDefault="00342D99" w:rsidP="00436394">
      <w:pPr>
        <w:jc w:val="both"/>
      </w:pPr>
    </w:p>
    <w:p w14:paraId="6AAD9732" w14:textId="15FF708D" w:rsidR="00342D99" w:rsidRPr="00BF6FA4" w:rsidRDefault="00342D99" w:rsidP="000B331E">
      <w:pPr>
        <w:ind w:firstLine="720"/>
        <w:jc w:val="both"/>
      </w:pPr>
      <w:r w:rsidRPr="00BF6FA4">
        <w:rPr>
          <w:b/>
          <w:bCs/>
          <w:i/>
          <w:iCs/>
        </w:rPr>
        <w:t>Stakeholder Meeting Clarifications</w:t>
      </w:r>
      <w:r w:rsidRPr="00BF6FA4">
        <w:rPr>
          <w:b/>
          <w:bCs/>
        </w:rPr>
        <w:t xml:space="preserve">. </w:t>
      </w:r>
      <w:r w:rsidR="000E23A7" w:rsidRPr="00BF6FA4">
        <w:t>Order No. 1920-A</w:t>
      </w:r>
      <w:r w:rsidRPr="00BF6FA4">
        <w:t xml:space="preserve"> clarifie</w:t>
      </w:r>
      <w:r w:rsidR="000E23A7" w:rsidRPr="00BF6FA4">
        <w:t>s</w:t>
      </w:r>
      <w:r w:rsidRPr="00BF6FA4">
        <w:t xml:space="preserve"> that </w:t>
      </w:r>
      <w:r w:rsidR="0085578C">
        <w:t>TPs</w:t>
      </w:r>
      <w:r w:rsidRPr="00BF6FA4">
        <w:t xml:space="preserve"> are not obligated to incorporate stakeholder proposals or comments resulting from the stakeholder meeting process into their transmission plans.</w:t>
      </w:r>
      <w:r w:rsidRPr="00BF6FA4">
        <w:rPr>
          <w:rStyle w:val="FootnoteReference"/>
        </w:rPr>
        <w:footnoteReference w:id="238"/>
      </w:r>
      <w:r w:rsidRPr="00BF6FA4">
        <w:t xml:space="preserve"> FERC clarified that as long as TPs satisfy the public notice and stakeholder comment requirements, it may hold more than one stakeholder meeting.</w:t>
      </w:r>
      <w:r w:rsidRPr="00BF6FA4">
        <w:rPr>
          <w:rStyle w:val="FootnoteReference"/>
        </w:rPr>
        <w:footnoteReference w:id="239"/>
      </w:r>
      <w:r w:rsidRPr="00BF6FA4">
        <w:t xml:space="preserve"> TPs may also hold separate Assumptions Meetings, Needs Meetings, and Solutions Meetings for individual TPs within a transmission planning region.</w:t>
      </w:r>
      <w:r w:rsidRPr="00BF6FA4">
        <w:rPr>
          <w:rStyle w:val="FootnoteReference"/>
        </w:rPr>
        <w:footnoteReference w:id="240"/>
      </w:r>
    </w:p>
    <w:p w14:paraId="4FFE90CE" w14:textId="77777777" w:rsidR="005C5D4C" w:rsidRPr="00BF6FA4" w:rsidRDefault="005C5D4C" w:rsidP="00436394">
      <w:pPr>
        <w:jc w:val="both"/>
      </w:pPr>
    </w:p>
    <w:p w14:paraId="08BC85DC" w14:textId="2816099C" w:rsidR="005C5D4C" w:rsidRPr="00BF6FA4" w:rsidRDefault="005C5D4C" w:rsidP="000B331E">
      <w:pPr>
        <w:ind w:firstLine="720"/>
        <w:jc w:val="both"/>
      </w:pPr>
      <w:r w:rsidRPr="00BF6FA4">
        <w:rPr>
          <w:b/>
          <w:bCs/>
          <w:i/>
          <w:iCs/>
        </w:rPr>
        <w:t>Right-Sizing.</w:t>
      </w:r>
      <w:r w:rsidRPr="00BF6FA4">
        <w:t xml:space="preserve"> FERC </w:t>
      </w:r>
      <w:r w:rsidR="0085578C" w:rsidRPr="00BF6FA4">
        <w:t>sustain</w:t>
      </w:r>
      <w:r w:rsidR="0085578C">
        <w:t>s</w:t>
      </w:r>
      <w:r w:rsidR="0085578C" w:rsidRPr="00BF6FA4">
        <w:t xml:space="preserve"> </w:t>
      </w:r>
      <w:r w:rsidRPr="00BF6FA4">
        <w:t>the definition of “right-sizing” to mean “the process of modifying a transmission provider’s in-kind replacement of an existing transmission facility to increase that facility’s transfer capability.”</w:t>
      </w:r>
      <w:r w:rsidRPr="00BF6FA4">
        <w:rPr>
          <w:rStyle w:val="FootnoteReference"/>
        </w:rPr>
        <w:footnoteReference w:id="241"/>
      </w:r>
      <w:r w:rsidRPr="00BF6FA4">
        <w:t xml:space="preserve"> FERC provide</w:t>
      </w:r>
      <w:r w:rsidR="0085578C">
        <w:t>s</w:t>
      </w:r>
      <w:r w:rsidRPr="00BF6FA4">
        <w:t xml:space="preserve"> additional context for this definition noting that right-sizing could include, for example, increasing the transmission facility’s voltage level, adding circuits to the towers (e.g., redesigning a single-circuit line as a double circuit line), or incorporating advanced technologies (such as advanced conductor technologies).</w:t>
      </w:r>
      <w:r w:rsidRPr="00BF6FA4">
        <w:rPr>
          <w:rStyle w:val="FootnoteReference"/>
        </w:rPr>
        <w:footnoteReference w:id="242"/>
      </w:r>
      <w:r w:rsidRPr="00BF6FA4">
        <w:t xml:space="preserve"> FERC </w:t>
      </w:r>
      <w:r w:rsidR="0085578C" w:rsidRPr="00BF6FA4">
        <w:t>clarifie</w:t>
      </w:r>
      <w:r w:rsidR="0085578C">
        <w:t>s</w:t>
      </w:r>
      <w:r w:rsidR="0085578C" w:rsidRPr="00BF6FA4">
        <w:t xml:space="preserve"> </w:t>
      </w:r>
      <w:r w:rsidRPr="00BF6FA4">
        <w:t>that TPs may propose a threshold for all transmission facilities that are eligible to be right-sized, so long as that threshold is under 200 kV.</w:t>
      </w:r>
      <w:r w:rsidRPr="00BF6FA4">
        <w:rPr>
          <w:rStyle w:val="FootnoteReference"/>
        </w:rPr>
        <w:footnoteReference w:id="243"/>
      </w:r>
    </w:p>
    <w:p w14:paraId="43680F34" w14:textId="77777777" w:rsidR="005C5D4C" w:rsidRPr="00BF6FA4" w:rsidRDefault="005C5D4C" w:rsidP="00436394">
      <w:pPr>
        <w:jc w:val="both"/>
      </w:pPr>
    </w:p>
    <w:p w14:paraId="4BA812D4" w14:textId="532B82DC" w:rsidR="00E91111" w:rsidRPr="00BF6FA4" w:rsidRDefault="005C5D4C" w:rsidP="000B331E">
      <w:pPr>
        <w:ind w:firstLine="720"/>
        <w:jc w:val="both"/>
      </w:pPr>
      <w:r w:rsidRPr="00BF6FA4">
        <w:rPr>
          <w:b/>
          <w:bCs/>
          <w:i/>
          <w:iCs/>
        </w:rPr>
        <w:t>Confidentiality of In-Kind Replacement Facilities.</w:t>
      </w:r>
      <w:r w:rsidRPr="00BF6FA4">
        <w:t xml:space="preserve"> FERC continues to find that existing rules governing confidential or commercially sensitive information provide for the safekeeping of information within in-kind replacement estimate lists.</w:t>
      </w:r>
      <w:r w:rsidRPr="00BF6FA4">
        <w:rPr>
          <w:rStyle w:val="FootnoteReference"/>
        </w:rPr>
        <w:footnoteReference w:id="244"/>
      </w:r>
      <w:r w:rsidRPr="00BF6FA4">
        <w:t xml:space="preserve"> To the extent that TPs find that existing provisions are inadequate, they may submit a Section 205 filing with additional protections to be evaluated by FERC.</w:t>
      </w:r>
      <w:r w:rsidRPr="00BF6FA4">
        <w:rPr>
          <w:rStyle w:val="FootnoteReference"/>
        </w:rPr>
        <w:footnoteReference w:id="245"/>
      </w:r>
    </w:p>
    <w:p w14:paraId="439493F6" w14:textId="77777777" w:rsidR="005C5D4C" w:rsidRPr="00BF6FA4" w:rsidRDefault="005C5D4C" w:rsidP="00436394">
      <w:pPr>
        <w:jc w:val="both"/>
      </w:pPr>
    </w:p>
    <w:p w14:paraId="2346C930" w14:textId="41C324D4" w:rsidR="00E91111" w:rsidRPr="00BF6FA4" w:rsidRDefault="00E91111" w:rsidP="00436394">
      <w:pPr>
        <w:pStyle w:val="Heading1"/>
        <w:spacing w:before="0" w:after="240"/>
        <w:jc w:val="both"/>
        <w:rPr>
          <w:rFonts w:ascii="Times New Roman" w:hAnsi="Times New Roman" w:cs="Times New Roman"/>
          <w:sz w:val="24"/>
          <w:szCs w:val="24"/>
        </w:rPr>
      </w:pPr>
      <w:r w:rsidRPr="00BF6FA4">
        <w:rPr>
          <w:rFonts w:ascii="Times New Roman" w:hAnsi="Times New Roman" w:cs="Times New Roman"/>
          <w:sz w:val="24"/>
          <w:szCs w:val="24"/>
        </w:rPr>
        <w:t>Interregional Transmission Coordination</w:t>
      </w:r>
    </w:p>
    <w:p w14:paraId="7D70AF55" w14:textId="69762A2E" w:rsidR="00E91111" w:rsidRPr="00BF6FA4" w:rsidRDefault="00717B7D" w:rsidP="00436394">
      <w:pPr>
        <w:ind w:firstLine="720"/>
        <w:jc w:val="both"/>
      </w:pPr>
      <w:r w:rsidRPr="00BF6FA4">
        <w:t xml:space="preserve">The </w:t>
      </w:r>
      <w:r w:rsidR="005C5D4C" w:rsidRPr="00BF6FA4">
        <w:t xml:space="preserve">FERC </w:t>
      </w:r>
      <w:r w:rsidR="00241EF0" w:rsidRPr="00BF6FA4">
        <w:t>decline</w:t>
      </w:r>
      <w:r w:rsidR="00241EF0">
        <w:t>s</w:t>
      </w:r>
      <w:r w:rsidR="00241EF0" w:rsidRPr="00BF6FA4">
        <w:t xml:space="preserve"> </w:t>
      </w:r>
      <w:r w:rsidR="005C5D4C" w:rsidRPr="00BF6FA4">
        <w:t>to open a new docket to build upon interregional transmission coordination.</w:t>
      </w:r>
      <w:r w:rsidR="005C5D4C" w:rsidRPr="00BF6FA4">
        <w:rPr>
          <w:rStyle w:val="FootnoteReference"/>
        </w:rPr>
        <w:footnoteReference w:id="246"/>
      </w:r>
      <w:r w:rsidR="005C5D4C" w:rsidRPr="00BF6FA4">
        <w:t xml:space="preserve"> FERC </w:t>
      </w:r>
      <w:r w:rsidR="00241EF0" w:rsidRPr="00BF6FA4">
        <w:t>reiterate</w:t>
      </w:r>
      <w:r w:rsidR="00241EF0">
        <w:t>s</w:t>
      </w:r>
      <w:r w:rsidR="00241EF0" w:rsidRPr="00BF6FA4">
        <w:t xml:space="preserve"> </w:t>
      </w:r>
      <w:r w:rsidR="005C5D4C" w:rsidRPr="00BF6FA4">
        <w:t>that Order No. 1920’s reforms are sufficient and that FERC has an open proceeding in Docket No. AD23-3-000 to consider whether and how to establish a minimum requirement for Interregional Transfer Capability including the transmission planning and cost allocation related to such a requirement.</w:t>
      </w:r>
      <w:r w:rsidR="005C5D4C" w:rsidRPr="00BF6FA4">
        <w:rPr>
          <w:rStyle w:val="FootnoteReference"/>
        </w:rPr>
        <w:footnoteReference w:id="247"/>
      </w:r>
    </w:p>
    <w:p w14:paraId="201B6369" w14:textId="77777777" w:rsidR="005C5D4C" w:rsidRPr="00BF6FA4" w:rsidRDefault="005C5D4C" w:rsidP="00436394">
      <w:pPr>
        <w:ind w:firstLine="720"/>
        <w:jc w:val="both"/>
      </w:pPr>
    </w:p>
    <w:p w14:paraId="3BFF5D04" w14:textId="2ECB5207" w:rsidR="00E91111" w:rsidRPr="00BF6FA4" w:rsidRDefault="00E91111" w:rsidP="00436394">
      <w:pPr>
        <w:pStyle w:val="Heading1"/>
        <w:spacing w:before="0" w:after="240"/>
        <w:jc w:val="both"/>
        <w:rPr>
          <w:rFonts w:ascii="Times New Roman" w:hAnsi="Times New Roman" w:cs="Times New Roman"/>
          <w:sz w:val="24"/>
          <w:szCs w:val="24"/>
        </w:rPr>
      </w:pPr>
      <w:r w:rsidRPr="00BF6FA4">
        <w:rPr>
          <w:rFonts w:ascii="Times New Roman" w:hAnsi="Times New Roman" w:cs="Times New Roman"/>
          <w:sz w:val="24"/>
          <w:szCs w:val="24"/>
        </w:rPr>
        <w:t xml:space="preserve">Compliance </w:t>
      </w:r>
    </w:p>
    <w:p w14:paraId="01F0DE65" w14:textId="536A5F57" w:rsidR="005C5D4C" w:rsidRPr="00BF6FA4" w:rsidRDefault="005C5D4C" w:rsidP="000B331E">
      <w:pPr>
        <w:ind w:firstLine="720"/>
        <w:jc w:val="both"/>
      </w:pPr>
      <w:r w:rsidRPr="00BF6FA4">
        <w:rPr>
          <w:b/>
          <w:bCs/>
          <w:i/>
          <w:iCs/>
        </w:rPr>
        <w:t xml:space="preserve">Effective Date. </w:t>
      </w:r>
      <w:r w:rsidRPr="00BF6FA4">
        <w:t xml:space="preserve">FERC </w:t>
      </w:r>
      <w:r w:rsidR="00241EF0" w:rsidRPr="00BF6FA4">
        <w:t>sustain</w:t>
      </w:r>
      <w:r w:rsidR="00241EF0">
        <w:t>s</w:t>
      </w:r>
      <w:r w:rsidR="00241EF0" w:rsidRPr="00BF6FA4">
        <w:t xml:space="preserve"> </w:t>
      </w:r>
      <w:r w:rsidRPr="00BF6FA4">
        <w:t xml:space="preserve">Order No. 1920’s requirement that TPs submit a compliance filing within 10 months and 12 months of the effective date of Order No. 1920, August 12, 2024, to demonstrate that it meets the </w:t>
      </w:r>
      <w:r w:rsidR="00EB35C6">
        <w:t xml:space="preserve">regional </w:t>
      </w:r>
      <w:r w:rsidRPr="00BF6FA4">
        <w:t>requirements adopted in Order No. 1920</w:t>
      </w:r>
      <w:r w:rsidR="00241EF0">
        <w:t xml:space="preserve"> (10 months)</w:t>
      </w:r>
      <w:r w:rsidRPr="00BF6FA4">
        <w:t>, and the Interregional Transmission Coordination</w:t>
      </w:r>
      <w:r w:rsidR="00241EF0">
        <w:t xml:space="preserve"> requirements (12 months)</w:t>
      </w:r>
      <w:r w:rsidRPr="00BF6FA4">
        <w:t>.</w:t>
      </w:r>
      <w:r w:rsidRPr="00BF6FA4">
        <w:rPr>
          <w:rStyle w:val="FootnoteReference"/>
        </w:rPr>
        <w:footnoteReference w:id="248"/>
      </w:r>
      <w:r w:rsidRPr="00BF6FA4">
        <w:t xml:space="preserve"> FERC </w:t>
      </w:r>
      <w:r w:rsidR="00241EF0" w:rsidRPr="00BF6FA4">
        <w:t>clarifie</w:t>
      </w:r>
      <w:r w:rsidR="00241EF0">
        <w:t>s</w:t>
      </w:r>
      <w:r w:rsidR="00241EF0" w:rsidRPr="00BF6FA4">
        <w:t xml:space="preserve"> </w:t>
      </w:r>
      <w:r w:rsidRPr="00BF6FA4">
        <w:t>that the effective date associated with this order on rehearing and clarification does not extend the relevant compliance deadlines associated with Order No. 1920.</w:t>
      </w:r>
      <w:r w:rsidRPr="00BF6FA4">
        <w:rPr>
          <w:rStyle w:val="FootnoteReference"/>
        </w:rPr>
        <w:footnoteReference w:id="249"/>
      </w:r>
      <w:r w:rsidRPr="00BF6FA4">
        <w:t xml:space="preserve"> </w:t>
      </w:r>
      <w:r w:rsidR="002829CF" w:rsidRPr="00BF6FA4">
        <w:t xml:space="preserve"> Compliance filings for regional requirements are still due on June 12, 2025 and compliance filings for interregional requirements are due on August 12, 2025. </w:t>
      </w:r>
      <w:r w:rsidRPr="00BF6FA4">
        <w:t>Order No. 1920-A requires that TPs in each region propose a compliance date, within one year of the initial compliance filings, to be</w:t>
      </w:r>
      <w:r w:rsidR="002829CF" w:rsidRPr="00BF6FA4">
        <w:t>gin</w:t>
      </w:r>
      <w:r w:rsidRPr="00BF6FA4">
        <w:t xml:space="preserve"> the first LTRTP cycle.</w:t>
      </w:r>
      <w:r w:rsidRPr="00BF6FA4">
        <w:rPr>
          <w:rStyle w:val="FootnoteReference"/>
        </w:rPr>
        <w:footnoteReference w:id="250"/>
      </w:r>
    </w:p>
    <w:p w14:paraId="109084A3" w14:textId="77777777" w:rsidR="005C5D4C" w:rsidRPr="00BF6FA4" w:rsidRDefault="005C5D4C" w:rsidP="00436394">
      <w:pPr>
        <w:jc w:val="both"/>
      </w:pPr>
    </w:p>
    <w:p w14:paraId="133D20AF" w14:textId="3C761F37" w:rsidR="005C5D4C" w:rsidRPr="00BF6FA4" w:rsidRDefault="005C5D4C" w:rsidP="000B331E">
      <w:pPr>
        <w:ind w:firstLine="720"/>
        <w:jc w:val="both"/>
      </w:pPr>
      <w:r w:rsidRPr="00BF6FA4">
        <w:rPr>
          <w:b/>
          <w:bCs/>
          <w:i/>
          <w:iCs/>
        </w:rPr>
        <w:t xml:space="preserve">Consistent With or Superior </w:t>
      </w:r>
      <w:r w:rsidR="00717B7D" w:rsidRPr="00BF6FA4">
        <w:rPr>
          <w:b/>
          <w:bCs/>
          <w:i/>
          <w:iCs/>
        </w:rPr>
        <w:t>t</w:t>
      </w:r>
      <w:r w:rsidRPr="00BF6FA4">
        <w:rPr>
          <w:b/>
          <w:bCs/>
          <w:i/>
          <w:iCs/>
        </w:rPr>
        <w:t xml:space="preserve">o Standard. </w:t>
      </w:r>
      <w:r w:rsidRPr="00BF6FA4">
        <w:t xml:space="preserve">FERC </w:t>
      </w:r>
      <w:r w:rsidR="00241EF0" w:rsidRPr="00BF6FA4">
        <w:t>clarifie</w:t>
      </w:r>
      <w:r w:rsidR="00241EF0">
        <w:t>s</w:t>
      </w:r>
      <w:r w:rsidR="00241EF0" w:rsidRPr="00BF6FA4">
        <w:t xml:space="preserve"> </w:t>
      </w:r>
      <w:r w:rsidRPr="00BF6FA4">
        <w:t>that it will apply the “consistent with or superior to” standard to proposed variations from all requirements of Order No. 1920 and not limit the standard to proposed variations from pro forma OATT provisions developed in Order No. 1920.</w:t>
      </w:r>
      <w:r w:rsidRPr="00BF6FA4">
        <w:rPr>
          <w:rStyle w:val="FootnoteReference"/>
        </w:rPr>
        <w:footnoteReference w:id="251"/>
      </w:r>
      <w:r w:rsidR="00EB35C6">
        <w:t xml:space="preserve"> Additionally, this standard will apply to all transmission providers, including RTO/ISO transmission providers.</w:t>
      </w:r>
      <w:r w:rsidR="00EB35C6">
        <w:rPr>
          <w:rStyle w:val="FootnoteReference"/>
        </w:rPr>
        <w:footnoteReference w:id="252"/>
      </w:r>
    </w:p>
    <w:p w14:paraId="2B1B9E49" w14:textId="77777777" w:rsidR="005C5D4C" w:rsidRPr="00BF6FA4" w:rsidRDefault="005C5D4C" w:rsidP="00436394">
      <w:pPr>
        <w:jc w:val="both"/>
      </w:pPr>
    </w:p>
    <w:p w14:paraId="5D941FA6" w14:textId="4E53860E" w:rsidR="005C5D4C" w:rsidRPr="00BF6FA4" w:rsidRDefault="005C5D4C" w:rsidP="000B331E">
      <w:pPr>
        <w:ind w:firstLine="720"/>
        <w:jc w:val="both"/>
      </w:pPr>
      <w:r w:rsidRPr="00BF6FA4">
        <w:rPr>
          <w:b/>
          <w:bCs/>
          <w:i/>
          <w:iCs/>
        </w:rPr>
        <w:t>Reciprocity.</w:t>
      </w:r>
      <w:r w:rsidRPr="00BF6FA4">
        <w:t xml:space="preserve"> FERC </w:t>
      </w:r>
      <w:r w:rsidR="00241EF0" w:rsidRPr="00BF6FA4">
        <w:t>clarifie</w:t>
      </w:r>
      <w:r w:rsidR="00241EF0">
        <w:t>s</w:t>
      </w:r>
      <w:r w:rsidR="00241EF0" w:rsidRPr="00BF6FA4">
        <w:t xml:space="preserve"> </w:t>
      </w:r>
      <w:r w:rsidRPr="00BF6FA4">
        <w:t>that Order No. 1920 requires that non-public utility TPs comply with mandates to meet reciprocity requirements of Order No. 888 including: (1) using a FERC-approved safe harbor tariff under the pro forma OATT, (2) providing service under a bilateral agreement with a public utility, or (3) obtaining a waiver of the reciprocity requirement.</w:t>
      </w:r>
      <w:r w:rsidRPr="00BF6FA4">
        <w:rPr>
          <w:rStyle w:val="FootnoteReference"/>
        </w:rPr>
        <w:footnoteReference w:id="253"/>
      </w:r>
    </w:p>
    <w:p w14:paraId="168F07F0" w14:textId="77777777" w:rsidR="005C5D4C" w:rsidRPr="00BF6FA4" w:rsidRDefault="005C5D4C" w:rsidP="00436394">
      <w:pPr>
        <w:jc w:val="both"/>
      </w:pPr>
    </w:p>
    <w:p w14:paraId="0830337E" w14:textId="50937B57" w:rsidR="005C5D4C" w:rsidRPr="00BF6FA4" w:rsidRDefault="005C5D4C" w:rsidP="000B331E">
      <w:pPr>
        <w:ind w:firstLine="720"/>
        <w:jc w:val="both"/>
      </w:pPr>
      <w:r w:rsidRPr="00BF6FA4">
        <w:rPr>
          <w:b/>
          <w:bCs/>
          <w:i/>
          <w:iCs/>
        </w:rPr>
        <w:t>Stakeholders.</w:t>
      </w:r>
      <w:r w:rsidRPr="00BF6FA4">
        <w:t xml:space="preserve"> FERC </w:t>
      </w:r>
      <w:r w:rsidR="00241EF0" w:rsidRPr="00BF6FA4">
        <w:t>clarifie</w:t>
      </w:r>
      <w:r w:rsidR="00241EF0">
        <w:t>s</w:t>
      </w:r>
      <w:r w:rsidR="00241EF0" w:rsidRPr="00BF6FA4">
        <w:t xml:space="preserve"> </w:t>
      </w:r>
      <w:r w:rsidRPr="00BF6FA4">
        <w:t>that TPs must consult with their stakeholders to develop the process, procedures, and OATT revisions necessary to comply with Order No. 1920.</w:t>
      </w:r>
      <w:r w:rsidRPr="00BF6FA4">
        <w:rPr>
          <w:rStyle w:val="FootnoteReference"/>
        </w:rPr>
        <w:footnoteReference w:id="254"/>
      </w:r>
    </w:p>
    <w:p w14:paraId="3C34302E" w14:textId="77777777" w:rsidR="005C5D4C" w:rsidRPr="00BF6FA4" w:rsidRDefault="005C5D4C" w:rsidP="00436394">
      <w:pPr>
        <w:jc w:val="both"/>
      </w:pPr>
    </w:p>
    <w:p w14:paraId="39293286" w14:textId="149295F5" w:rsidR="005C5D4C" w:rsidRPr="00BF6FA4" w:rsidRDefault="005C5D4C" w:rsidP="000B331E">
      <w:pPr>
        <w:ind w:firstLine="720"/>
        <w:jc w:val="both"/>
      </w:pPr>
      <w:r w:rsidRPr="00BF6FA4">
        <w:rPr>
          <w:b/>
          <w:bCs/>
          <w:i/>
          <w:iCs/>
        </w:rPr>
        <w:t>Waiver.</w:t>
      </w:r>
      <w:r w:rsidRPr="00BF6FA4">
        <w:t xml:space="preserve"> FERC </w:t>
      </w:r>
      <w:r w:rsidR="00241EF0" w:rsidRPr="00BF6FA4">
        <w:t>clarifie</w:t>
      </w:r>
      <w:r w:rsidR="00241EF0">
        <w:t>s</w:t>
      </w:r>
      <w:r w:rsidR="00241EF0" w:rsidRPr="00BF6FA4">
        <w:t xml:space="preserve"> </w:t>
      </w:r>
      <w:r w:rsidRPr="00BF6FA4">
        <w:t>that entities with existing waivers under Order Nos. 888, 890, or 1000, do not need a separate waiver for Order No. 1920.</w:t>
      </w:r>
      <w:r w:rsidRPr="00BF6FA4">
        <w:rPr>
          <w:rStyle w:val="FootnoteReference"/>
        </w:rPr>
        <w:footnoteReference w:id="255"/>
      </w:r>
    </w:p>
    <w:p w14:paraId="20D99343" w14:textId="77777777" w:rsidR="00717B7D" w:rsidRPr="00BF6FA4" w:rsidRDefault="00717B7D" w:rsidP="00436394">
      <w:pPr>
        <w:jc w:val="both"/>
      </w:pPr>
    </w:p>
    <w:p w14:paraId="6EB9E4C2" w14:textId="68BD33A3" w:rsidR="00717B7D" w:rsidRPr="00BF6FA4" w:rsidRDefault="00717B7D" w:rsidP="000B331E">
      <w:pPr>
        <w:ind w:firstLine="720"/>
        <w:jc w:val="both"/>
      </w:pPr>
      <w:r w:rsidRPr="00BF6FA4">
        <w:rPr>
          <w:b/>
          <w:bCs/>
          <w:i/>
          <w:iCs/>
        </w:rPr>
        <w:t xml:space="preserve">Effective Date: </w:t>
      </w:r>
      <w:r w:rsidRPr="00BF6FA4">
        <w:t>The changes to Order No. 1920 made in Order No. 1920-A are effective 30 days from the date of its publication in the Federal Register (which as of the date of this memorandum has not yet occurred).</w:t>
      </w:r>
      <w:r w:rsidRPr="00BF6FA4">
        <w:rPr>
          <w:rStyle w:val="FootnoteReference"/>
        </w:rPr>
        <w:footnoteReference w:id="256"/>
      </w:r>
    </w:p>
    <w:p w14:paraId="7C840209" w14:textId="77777777" w:rsidR="005C5D4C" w:rsidRPr="00BF6FA4" w:rsidRDefault="005C5D4C" w:rsidP="00436394">
      <w:pPr>
        <w:jc w:val="both"/>
      </w:pPr>
    </w:p>
    <w:p w14:paraId="29A78AF9" w14:textId="5C091E42" w:rsidR="005C5D4C" w:rsidRPr="000B331E" w:rsidRDefault="005C5D4C" w:rsidP="000B331E">
      <w:pPr>
        <w:pStyle w:val="Heading1"/>
        <w:spacing w:before="0" w:after="240"/>
        <w:jc w:val="both"/>
        <w:rPr>
          <w:sz w:val="24"/>
          <w:szCs w:val="24"/>
        </w:rPr>
      </w:pPr>
      <w:r w:rsidRPr="00BF6FA4">
        <w:rPr>
          <w:sz w:val="24"/>
          <w:szCs w:val="24"/>
        </w:rPr>
        <w:t>Concurrence</w:t>
      </w:r>
    </w:p>
    <w:p w14:paraId="7B6CBB75" w14:textId="61412393" w:rsidR="005C5D4C" w:rsidRPr="00BF6FA4" w:rsidRDefault="005C5D4C" w:rsidP="009D2106">
      <w:pPr>
        <w:ind w:firstLine="720"/>
        <w:jc w:val="both"/>
      </w:pPr>
      <w:r w:rsidRPr="00BF6FA4">
        <w:rPr>
          <w:b/>
          <w:bCs/>
          <w:i/>
          <w:iCs/>
        </w:rPr>
        <w:t>Concurrence.</w:t>
      </w:r>
      <w:r w:rsidRPr="00BF6FA4">
        <w:t xml:space="preserve"> Commissioner Christie</w:t>
      </w:r>
      <w:r w:rsidR="00717B7D" w:rsidRPr="00BF6FA4">
        <w:t>, who previously issued a strong dissent to Order No. 1920,</w:t>
      </w:r>
      <w:r w:rsidRPr="00BF6FA4">
        <w:t xml:space="preserve"> issued a separate statement concurring, in part, with Order No. 1920-A finding that the modifications to the Final Rule give states more effective tools to protect their customers and their own interests. Notably, Commissioner Christie expressed support for the several changes made in Order No. 1920-A that broaden the role of states in the compliance process</w:t>
      </w:r>
      <w:r w:rsidR="00635C76">
        <w:t xml:space="preserve"> </w:t>
      </w:r>
      <w:r w:rsidR="00A96C06" w:rsidRPr="00BF6FA4">
        <w:t>and in the implementation of the LTRTP</w:t>
      </w:r>
      <w:r w:rsidRPr="00BF6FA4">
        <w:t xml:space="preserve">. These changes grant states greater flexibility to contribute input and agree to key processes, including cost allocation proposals, state agreement processes, and </w:t>
      </w:r>
      <w:r w:rsidRPr="00BF6FA4">
        <w:rPr>
          <w:i/>
          <w:iCs/>
        </w:rPr>
        <w:t>ex ante</w:t>
      </w:r>
      <w:r w:rsidRPr="00BF6FA4">
        <w:t xml:space="preserve"> formulae development. </w:t>
      </w:r>
    </w:p>
    <w:p w14:paraId="426FDE51" w14:textId="77777777" w:rsidR="00AF2855" w:rsidRPr="00BF6FA4" w:rsidRDefault="00AF2855" w:rsidP="00436394">
      <w:pPr>
        <w:spacing w:after="240"/>
        <w:jc w:val="both"/>
        <w:rPr>
          <w:vanish/>
        </w:rPr>
      </w:pPr>
    </w:p>
    <w:p w14:paraId="58B0AC7B" w14:textId="77777777" w:rsidR="00AF2855" w:rsidRPr="00BF6FA4" w:rsidRDefault="00AF2855" w:rsidP="00436394">
      <w:pPr>
        <w:spacing w:after="240"/>
        <w:jc w:val="both"/>
        <w:rPr>
          <w:vanish/>
        </w:rPr>
      </w:pPr>
    </w:p>
    <w:p w14:paraId="5705DC28" w14:textId="77777777" w:rsidR="00AD1D8E" w:rsidRPr="00BF6FA4" w:rsidRDefault="00AD1D8E" w:rsidP="00436394">
      <w:pPr>
        <w:spacing w:after="240"/>
        <w:jc w:val="both"/>
      </w:pPr>
    </w:p>
    <w:sectPr w:rsidR="00AD1D8E" w:rsidRPr="00BF6FA4" w:rsidSect="000C4DFA">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F90FF" w14:textId="77777777" w:rsidR="00B468A3" w:rsidRDefault="00B468A3" w:rsidP="0081716E">
      <w:r>
        <w:separator/>
      </w:r>
    </w:p>
  </w:endnote>
  <w:endnote w:type="continuationSeparator" w:id="0">
    <w:p w14:paraId="5CC73F9C" w14:textId="77777777" w:rsidR="00B468A3" w:rsidRDefault="00B468A3" w:rsidP="0081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119"/>
      <w:gridCol w:w="3122"/>
      <w:gridCol w:w="3119"/>
    </w:tblGrid>
    <w:tr w:rsidR="00841672" w:rsidRPr="002040FA" w14:paraId="65EF6F39" w14:textId="77777777" w:rsidTr="00582BF9">
      <w:tc>
        <w:tcPr>
          <w:tcW w:w="3192" w:type="dxa"/>
          <w:shd w:val="clear" w:color="auto" w:fill="auto"/>
        </w:tcPr>
        <w:p w14:paraId="3837CCEE" w14:textId="77777777" w:rsidR="00841672" w:rsidRDefault="00841672" w:rsidP="00582BF9">
          <w:pPr>
            <w:pStyle w:val="DocID"/>
          </w:pPr>
          <w:r>
            <w:fldChar w:fldCharType="begin"/>
          </w:r>
          <w:r>
            <w:instrText xml:space="preserve"> </w:instrText>
          </w:r>
          <w:r w:rsidRPr="001E100A">
            <w:instrText>IF "</w:instrText>
          </w:r>
          <w:r w:rsidRPr="001E100A">
            <w:fldChar w:fldCharType="begin"/>
          </w:r>
          <w:r w:rsidRPr="001E100A">
            <w:instrText xml:space="preserve"> DOCVARIABLE "SWDocIDLocation" </w:instrText>
          </w:r>
          <w:r w:rsidRPr="001E100A">
            <w:fldChar w:fldCharType="end"/>
          </w:r>
          <w:r w:rsidRPr="001E100A">
            <w:instrText>" = "1" "</w:instrText>
          </w:r>
          <w:r w:rsidRPr="001E100A">
            <w:fldChar w:fldCharType="begin"/>
          </w:r>
          <w:r w:rsidRPr="001E100A">
            <w:instrText xml:space="preserve"> DOCPROPERTY "SWDocID" </w:instrText>
          </w:r>
          <w:r w:rsidRPr="001E100A">
            <w:fldChar w:fldCharType="separate"/>
          </w:r>
          <w:r>
            <w:instrText>43053506.1 199984-014262</w:instrText>
          </w:r>
        </w:p>
        <w:p w14:paraId="4FBD9E20" w14:textId="006141C5" w:rsidR="00841672" w:rsidRPr="002040FA" w:rsidRDefault="00841672" w:rsidP="00582BF9">
          <w:pPr>
            <w:pStyle w:val="DocID"/>
          </w:pPr>
          <w:r>
            <w:instrText>Notes from 12_11_12 Conference Call</w:instrText>
          </w:r>
          <w:r w:rsidRPr="001E100A">
            <w:fldChar w:fldCharType="end"/>
          </w:r>
          <w:r w:rsidRPr="001E100A">
            <w:instrText xml:space="preserve"> " ""</w:instrText>
          </w:r>
          <w:r>
            <w:instrText xml:space="preserve"> </w:instrText>
          </w:r>
          <w:r>
            <w:fldChar w:fldCharType="end"/>
          </w:r>
        </w:p>
      </w:tc>
      <w:tc>
        <w:tcPr>
          <w:tcW w:w="3192" w:type="dxa"/>
          <w:shd w:val="clear" w:color="auto" w:fill="auto"/>
          <w:vAlign w:val="center"/>
        </w:tcPr>
        <w:p w14:paraId="38681F65" w14:textId="77777777" w:rsidR="00841672" w:rsidRPr="002040FA" w:rsidRDefault="00841672" w:rsidP="00582BF9">
          <w:pPr>
            <w:pStyle w:val="Footer"/>
            <w:jc w:val="center"/>
          </w:pPr>
          <w:r w:rsidRPr="002040FA">
            <w:t>-</w:t>
          </w:r>
          <w:r w:rsidRPr="002040FA">
            <w:fldChar w:fldCharType="begin"/>
          </w:r>
          <w:r w:rsidRPr="002040FA">
            <w:instrText xml:space="preserve"> PAGE  \* MERGEFORMAT </w:instrText>
          </w:r>
          <w:r w:rsidRPr="002040FA">
            <w:fldChar w:fldCharType="separate"/>
          </w:r>
          <w:r w:rsidR="00D10E05">
            <w:rPr>
              <w:noProof/>
            </w:rPr>
            <w:t>2</w:t>
          </w:r>
          <w:r w:rsidRPr="002040FA">
            <w:fldChar w:fldCharType="end"/>
          </w:r>
          <w:r w:rsidRPr="002040FA">
            <w:t>-</w:t>
          </w:r>
        </w:p>
      </w:tc>
      <w:tc>
        <w:tcPr>
          <w:tcW w:w="3192" w:type="dxa"/>
          <w:shd w:val="clear" w:color="auto" w:fill="auto"/>
        </w:tcPr>
        <w:p w14:paraId="0D894381" w14:textId="77777777" w:rsidR="00841672" w:rsidRPr="002040FA" w:rsidRDefault="00841672" w:rsidP="00582BF9">
          <w:pPr>
            <w:pStyle w:val="Footer"/>
          </w:pPr>
        </w:p>
      </w:tc>
    </w:tr>
  </w:tbl>
  <w:p w14:paraId="2D8AC2DD" w14:textId="77777777" w:rsidR="00841672" w:rsidRPr="00841672" w:rsidRDefault="00841672">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120"/>
      <w:gridCol w:w="3120"/>
      <w:gridCol w:w="3120"/>
    </w:tblGrid>
    <w:tr w:rsidR="00841672" w:rsidRPr="002040FA" w14:paraId="6C656591" w14:textId="77777777" w:rsidTr="00582BF9">
      <w:tc>
        <w:tcPr>
          <w:tcW w:w="3192" w:type="dxa"/>
          <w:shd w:val="clear" w:color="auto" w:fill="auto"/>
        </w:tcPr>
        <w:p w14:paraId="652BF72F" w14:textId="77777777" w:rsidR="00841672" w:rsidRDefault="00841672" w:rsidP="00582BF9">
          <w:pPr>
            <w:pStyle w:val="DocID"/>
          </w:pPr>
          <w:r>
            <w:fldChar w:fldCharType="begin"/>
          </w:r>
          <w:r>
            <w:instrText xml:space="preserve"> </w:instrText>
          </w:r>
          <w:r w:rsidRPr="001E100A">
            <w:instrText>IF "</w:instrText>
          </w:r>
          <w:r w:rsidRPr="001E100A">
            <w:fldChar w:fldCharType="begin"/>
          </w:r>
          <w:r w:rsidRPr="001E100A">
            <w:instrText xml:space="preserve"> DOCVARIABLE "SWDocIDLocation" </w:instrText>
          </w:r>
          <w:r w:rsidRPr="001E100A">
            <w:fldChar w:fldCharType="end"/>
          </w:r>
          <w:r w:rsidRPr="001E100A">
            <w:instrText>" = "1" "</w:instrText>
          </w:r>
          <w:r w:rsidRPr="001E100A">
            <w:fldChar w:fldCharType="begin"/>
          </w:r>
          <w:r w:rsidRPr="001E100A">
            <w:instrText xml:space="preserve"> DOCPROPERTY "SWDocID" </w:instrText>
          </w:r>
          <w:r w:rsidRPr="001E100A">
            <w:fldChar w:fldCharType="separate"/>
          </w:r>
          <w:r>
            <w:instrText>43053506.1 199984-014262</w:instrText>
          </w:r>
        </w:p>
        <w:p w14:paraId="62B6B57E" w14:textId="77777777" w:rsidR="00841672" w:rsidRPr="002040FA" w:rsidRDefault="00841672" w:rsidP="00582BF9">
          <w:pPr>
            <w:pStyle w:val="DocID"/>
          </w:pPr>
          <w:r>
            <w:instrText>Notes from 12_11_12 Conference Call</w:instrText>
          </w:r>
          <w:r w:rsidRPr="001E100A">
            <w:fldChar w:fldCharType="end"/>
          </w:r>
          <w:r w:rsidRPr="001E100A">
            <w:instrText xml:space="preserve"> " ""</w:instrText>
          </w:r>
          <w:r>
            <w:instrText xml:space="preserve"> </w:instrText>
          </w:r>
          <w:r w:rsidR="000C568F">
            <w:fldChar w:fldCharType="separate"/>
          </w:r>
          <w:r>
            <w:fldChar w:fldCharType="end"/>
          </w:r>
        </w:p>
      </w:tc>
      <w:tc>
        <w:tcPr>
          <w:tcW w:w="3192" w:type="dxa"/>
          <w:shd w:val="clear" w:color="auto" w:fill="auto"/>
          <w:vAlign w:val="center"/>
        </w:tcPr>
        <w:p w14:paraId="165D8070" w14:textId="77777777" w:rsidR="00841672" w:rsidRPr="002040FA" w:rsidRDefault="00841672" w:rsidP="00B77914">
          <w:pPr>
            <w:pStyle w:val="Footer"/>
            <w:jc w:val="center"/>
          </w:pPr>
        </w:p>
      </w:tc>
      <w:tc>
        <w:tcPr>
          <w:tcW w:w="3192" w:type="dxa"/>
          <w:shd w:val="clear" w:color="auto" w:fill="auto"/>
        </w:tcPr>
        <w:p w14:paraId="1C14FE1D" w14:textId="77777777" w:rsidR="00841672" w:rsidRPr="002040FA" w:rsidRDefault="00841672" w:rsidP="00582BF9">
          <w:pPr>
            <w:pStyle w:val="Footer"/>
          </w:pPr>
        </w:p>
      </w:tc>
    </w:tr>
  </w:tbl>
  <w:p w14:paraId="08F64D03" w14:textId="77777777" w:rsidR="00841672" w:rsidRPr="00841672" w:rsidRDefault="00841672">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4CF99" w14:textId="77777777" w:rsidR="00B468A3" w:rsidRDefault="00B468A3" w:rsidP="0081716E">
      <w:r>
        <w:separator/>
      </w:r>
    </w:p>
  </w:footnote>
  <w:footnote w:type="continuationSeparator" w:id="0">
    <w:p w14:paraId="1903F201" w14:textId="77777777" w:rsidR="00B468A3" w:rsidRDefault="00B468A3" w:rsidP="0081716E">
      <w:r>
        <w:continuationSeparator/>
      </w:r>
    </w:p>
  </w:footnote>
  <w:footnote w:id="1">
    <w:p w14:paraId="6FDF51B2" w14:textId="3A468860" w:rsidR="00AD3EC0" w:rsidRPr="009E6D46" w:rsidRDefault="00AD3EC0"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 xml:space="preserve">Building for the Future Through Electric Regional Transmission Planning and Cost Allocation, </w:t>
      </w:r>
      <w:r w:rsidRPr="009E6D46">
        <w:rPr>
          <w:sz w:val="22"/>
          <w:szCs w:val="22"/>
        </w:rPr>
        <w:t>Order on Reh’g, Order No. 1920-A, 189 FERC ¶ 61,126 (2024)</w:t>
      </w:r>
      <w:r w:rsidR="0008704C" w:rsidRPr="009E6D46">
        <w:rPr>
          <w:sz w:val="22"/>
          <w:szCs w:val="22"/>
        </w:rPr>
        <w:t xml:space="preserve"> (“Order No. 1920-A”)</w:t>
      </w:r>
      <w:r w:rsidR="00793520">
        <w:rPr>
          <w:sz w:val="22"/>
          <w:szCs w:val="22"/>
        </w:rPr>
        <w:t xml:space="preserve">, </w:t>
      </w:r>
      <w:r w:rsidR="00B00DED" w:rsidRPr="009E6D46">
        <w:rPr>
          <w:sz w:val="22"/>
          <w:szCs w:val="22"/>
        </w:rPr>
        <w:t xml:space="preserve">available </w:t>
      </w:r>
      <w:hyperlink r:id="rId1" w:history="1">
        <w:r w:rsidR="00B00DED" w:rsidRPr="009E6D46">
          <w:rPr>
            <w:rStyle w:val="Hyperlink"/>
            <w:sz w:val="22"/>
            <w:szCs w:val="22"/>
          </w:rPr>
          <w:t>here</w:t>
        </w:r>
      </w:hyperlink>
      <w:r w:rsidR="00B00DED" w:rsidRPr="009E6D46">
        <w:rPr>
          <w:sz w:val="22"/>
          <w:szCs w:val="22"/>
        </w:rPr>
        <w:t>.</w:t>
      </w:r>
    </w:p>
  </w:footnote>
  <w:footnote w:id="2">
    <w:p w14:paraId="0FBDD247" w14:textId="1F4B5EB4" w:rsidR="00F257F3" w:rsidRPr="009E6D46" w:rsidRDefault="00F257F3"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Building for the Future Through Elec</w:t>
      </w:r>
      <w:r w:rsidR="0008704C" w:rsidRPr="009E6D46">
        <w:rPr>
          <w:i/>
          <w:iCs/>
          <w:sz w:val="22"/>
          <w:szCs w:val="22"/>
        </w:rPr>
        <w:t>tric</w:t>
      </w:r>
      <w:r w:rsidRPr="009E6D46">
        <w:rPr>
          <w:i/>
          <w:iCs/>
          <w:sz w:val="22"/>
          <w:szCs w:val="22"/>
        </w:rPr>
        <w:t xml:space="preserve"> Reg</w:t>
      </w:r>
      <w:r w:rsidR="0008704C" w:rsidRPr="009E6D46">
        <w:rPr>
          <w:i/>
          <w:iCs/>
          <w:sz w:val="22"/>
          <w:szCs w:val="22"/>
        </w:rPr>
        <w:t>iona</w:t>
      </w:r>
      <w:r w:rsidRPr="009E6D46">
        <w:rPr>
          <w:i/>
          <w:iCs/>
          <w:sz w:val="22"/>
          <w:szCs w:val="22"/>
        </w:rPr>
        <w:t xml:space="preserve">l Transmission Planning </w:t>
      </w:r>
      <w:r w:rsidR="0008704C" w:rsidRPr="009E6D46">
        <w:rPr>
          <w:i/>
          <w:iCs/>
          <w:sz w:val="22"/>
          <w:szCs w:val="22"/>
        </w:rPr>
        <w:t>and</w:t>
      </w:r>
      <w:r w:rsidRPr="009E6D46">
        <w:rPr>
          <w:i/>
          <w:iCs/>
          <w:sz w:val="22"/>
          <w:szCs w:val="22"/>
        </w:rPr>
        <w:t xml:space="preserve"> Cost Allocation</w:t>
      </w:r>
      <w:r w:rsidRPr="009E6D46">
        <w:rPr>
          <w:sz w:val="22"/>
          <w:szCs w:val="22"/>
        </w:rPr>
        <w:t>, Order No. 1920, 89 FR 49280 (June 11, 2024), 187 FERC ¶ 61,068 (2024).</w:t>
      </w:r>
      <w:r w:rsidR="0008704C" w:rsidRPr="009E6D46">
        <w:rPr>
          <w:sz w:val="22"/>
          <w:szCs w:val="22"/>
        </w:rPr>
        <w:t xml:space="preserve"> For NEPOOL Counsel Summary on Order No. 1920 see </w:t>
      </w:r>
      <w:hyperlink r:id="rId2" w:history="1">
        <w:r w:rsidR="0008704C" w:rsidRPr="009E6D46">
          <w:rPr>
            <w:rStyle w:val="Hyperlink"/>
            <w:sz w:val="22"/>
            <w:szCs w:val="22"/>
          </w:rPr>
          <w:t>here</w:t>
        </w:r>
      </w:hyperlink>
      <w:r w:rsidR="00F701DD" w:rsidRPr="009E6D46">
        <w:rPr>
          <w:sz w:val="22"/>
          <w:szCs w:val="22"/>
        </w:rPr>
        <w:t xml:space="preserve"> and for presentation see </w:t>
      </w:r>
      <w:hyperlink r:id="rId3" w:history="1">
        <w:r w:rsidR="00F701DD" w:rsidRPr="009E6D46">
          <w:rPr>
            <w:rStyle w:val="Hyperlink"/>
            <w:sz w:val="22"/>
            <w:szCs w:val="22"/>
          </w:rPr>
          <w:t>here</w:t>
        </w:r>
      </w:hyperlink>
      <w:r w:rsidR="00F701DD" w:rsidRPr="009E6D46">
        <w:rPr>
          <w:sz w:val="22"/>
          <w:szCs w:val="22"/>
        </w:rPr>
        <w:t>.</w:t>
      </w:r>
    </w:p>
  </w:footnote>
  <w:footnote w:id="3">
    <w:p w14:paraId="6C172F89" w14:textId="69FF85B7" w:rsidR="0008704C" w:rsidRPr="009E6D46" w:rsidRDefault="0008704C"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For NEPOOL Counsel Summary of Order No. 1920 Rehearings, see </w:t>
      </w:r>
      <w:hyperlink r:id="rId4" w:history="1">
        <w:r w:rsidRPr="009E6D46">
          <w:rPr>
            <w:rStyle w:val="Hyperlink"/>
            <w:sz w:val="22"/>
            <w:szCs w:val="22"/>
          </w:rPr>
          <w:t>here</w:t>
        </w:r>
      </w:hyperlink>
      <w:r w:rsidRPr="009E6D46">
        <w:rPr>
          <w:sz w:val="22"/>
          <w:szCs w:val="22"/>
        </w:rPr>
        <w:t>.</w:t>
      </w:r>
    </w:p>
  </w:footnote>
  <w:footnote w:id="4">
    <w:p w14:paraId="59082737" w14:textId="3D81B8E2" w:rsidR="0072151B" w:rsidRPr="009E6D46" w:rsidRDefault="0072151B"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Order No. 1920-A at P 2.</w:t>
      </w:r>
    </w:p>
  </w:footnote>
  <w:footnote w:id="5">
    <w:p w14:paraId="49EF3764" w14:textId="0CA3A912" w:rsidR="008857BE" w:rsidRPr="009E6D46" w:rsidRDefault="008857BE" w:rsidP="009E6D46">
      <w:pPr>
        <w:pStyle w:val="FootnoteText"/>
        <w:spacing w:after="120"/>
        <w:rPr>
          <w:sz w:val="22"/>
          <w:szCs w:val="22"/>
        </w:rPr>
      </w:pPr>
      <w:r w:rsidRPr="009E6D46">
        <w:rPr>
          <w:rStyle w:val="FootnoteReference"/>
          <w:sz w:val="22"/>
          <w:szCs w:val="22"/>
        </w:rPr>
        <w:footnoteRef/>
      </w:r>
      <w:r w:rsidRPr="009E6D46">
        <w:rPr>
          <w:sz w:val="22"/>
          <w:szCs w:val="22"/>
        </w:rPr>
        <w:t xml:space="preserve"> Note that the composition of the Commission has changed since Order No. 1920 was issued in June 2024. Commissioner Clements departed, and Commissioners David Rosner, Lindsay See, and Judy Chang joined FERC in late June and early July this year.</w:t>
      </w:r>
    </w:p>
  </w:footnote>
  <w:footnote w:id="6">
    <w:p w14:paraId="567BC7EA" w14:textId="796121FC" w:rsidR="00AD1D8E" w:rsidRPr="009E6D46" w:rsidRDefault="00AD1D8E"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w:t>
      </w:r>
      <w:r w:rsidRPr="009E6D46">
        <w:rPr>
          <w:sz w:val="22"/>
          <w:szCs w:val="22"/>
        </w:rPr>
        <w:t>31</w:t>
      </w:r>
      <w:r w:rsidR="0008704C" w:rsidRPr="009E6D46">
        <w:rPr>
          <w:sz w:val="22"/>
          <w:szCs w:val="22"/>
        </w:rPr>
        <w:t>.</w:t>
      </w:r>
    </w:p>
  </w:footnote>
  <w:footnote w:id="7">
    <w:p w14:paraId="67BDF428" w14:textId="1152CB02"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w:t>
      </w:r>
      <w:r w:rsidR="004D4B8A" w:rsidRPr="009E6D46">
        <w:rPr>
          <w:sz w:val="22"/>
          <w:szCs w:val="22"/>
        </w:rPr>
        <w:t>P</w:t>
      </w:r>
      <w:r w:rsidRPr="009E6D46">
        <w:rPr>
          <w:sz w:val="22"/>
          <w:szCs w:val="22"/>
        </w:rPr>
        <w:t xml:space="preserve"> 4, 468.</w:t>
      </w:r>
    </w:p>
  </w:footnote>
  <w:footnote w:id="8">
    <w:p w14:paraId="7D4C9039" w14:textId="6985CA09"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w:t>
      </w:r>
      <w:r w:rsidR="004D4B8A" w:rsidRPr="009E6D46">
        <w:rPr>
          <w:sz w:val="22"/>
          <w:szCs w:val="22"/>
        </w:rPr>
        <w:t>P</w:t>
      </w:r>
      <w:r w:rsidRPr="009E6D46">
        <w:rPr>
          <w:sz w:val="22"/>
          <w:szCs w:val="22"/>
        </w:rPr>
        <w:t xml:space="preserve"> 14, 367.</w:t>
      </w:r>
    </w:p>
  </w:footnote>
  <w:footnote w:id="9">
    <w:p w14:paraId="7D45D7E9" w14:textId="10EF0526"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 xml:space="preserve">P 15. </w:t>
      </w:r>
    </w:p>
  </w:footnote>
  <w:footnote w:id="10">
    <w:p w14:paraId="7B78F390" w14:textId="28081986"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16.</w:t>
      </w:r>
    </w:p>
  </w:footnote>
  <w:footnote w:id="11">
    <w:p w14:paraId="6A24C722" w14:textId="06A8577A"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w:t>
      </w:r>
      <w:r w:rsidR="004D4B8A" w:rsidRPr="009E6D46">
        <w:rPr>
          <w:sz w:val="22"/>
          <w:szCs w:val="22"/>
        </w:rPr>
        <w:t>P</w:t>
      </w:r>
      <w:r w:rsidRPr="009E6D46">
        <w:rPr>
          <w:sz w:val="22"/>
          <w:szCs w:val="22"/>
        </w:rPr>
        <w:t xml:space="preserve"> 17, 32, 365.</w:t>
      </w:r>
    </w:p>
  </w:footnote>
  <w:footnote w:id="12">
    <w:p w14:paraId="1FF84BE1" w14:textId="64CE9E94"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241.</w:t>
      </w:r>
    </w:p>
  </w:footnote>
  <w:footnote w:id="13">
    <w:p w14:paraId="1383B921" w14:textId="48BD8F8A"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223</w:t>
      </w:r>
      <w:r w:rsidR="00E578B9" w:rsidRPr="009E6D46">
        <w:rPr>
          <w:sz w:val="22"/>
          <w:szCs w:val="22"/>
        </w:rPr>
        <w:t>-224</w:t>
      </w:r>
      <w:r w:rsidRPr="009E6D46">
        <w:rPr>
          <w:sz w:val="22"/>
          <w:szCs w:val="22"/>
        </w:rPr>
        <w:t xml:space="preserve">. </w:t>
      </w:r>
    </w:p>
  </w:footnote>
  <w:footnote w:id="14">
    <w:p w14:paraId="3F61D7EB" w14:textId="5D50A4A1"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 xml:space="preserve">P 262. </w:t>
      </w:r>
    </w:p>
  </w:footnote>
  <w:footnote w:id="15">
    <w:p w14:paraId="27A51D4D" w14:textId="5D3725B5"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 xml:space="preserve">P 272. </w:t>
      </w:r>
    </w:p>
  </w:footnote>
  <w:footnote w:id="16">
    <w:p w14:paraId="0461DF07" w14:textId="5D7A430C"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P </w:t>
      </w:r>
      <w:r w:rsidRPr="009E6D46">
        <w:rPr>
          <w:sz w:val="22"/>
          <w:szCs w:val="22"/>
        </w:rPr>
        <w:t>273.</w:t>
      </w:r>
    </w:p>
  </w:footnote>
  <w:footnote w:id="17">
    <w:p w14:paraId="39B5D108" w14:textId="77777777"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p>
  </w:footnote>
  <w:footnote w:id="18">
    <w:p w14:paraId="0F20F04F" w14:textId="7BBBE1A0"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303</w:t>
      </w:r>
      <w:r w:rsidR="004D4B8A" w:rsidRPr="009E6D46">
        <w:rPr>
          <w:sz w:val="22"/>
          <w:szCs w:val="22"/>
        </w:rPr>
        <w:t>.</w:t>
      </w:r>
    </w:p>
  </w:footnote>
  <w:footnote w:id="19">
    <w:p w14:paraId="7DAFB65A" w14:textId="03E8A124"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308.</w:t>
      </w:r>
    </w:p>
  </w:footnote>
  <w:footnote w:id="20">
    <w:p w14:paraId="3126C78F" w14:textId="63467945" w:rsidR="00E578B9" w:rsidRPr="009E6D46" w:rsidRDefault="00E578B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w:t>
      </w:r>
    </w:p>
  </w:footnote>
  <w:footnote w:id="21">
    <w:p w14:paraId="58F3889D" w14:textId="05C360FA"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309.</w:t>
      </w:r>
    </w:p>
  </w:footnote>
  <w:footnote w:id="22">
    <w:p w14:paraId="11CCDADC" w14:textId="144F37C8"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310.</w:t>
      </w:r>
    </w:p>
  </w:footnote>
  <w:footnote w:id="23">
    <w:p w14:paraId="7AF4EC01" w14:textId="6EA0D2D4"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322.</w:t>
      </w:r>
    </w:p>
  </w:footnote>
  <w:footnote w:id="24">
    <w:p w14:paraId="210EEA83" w14:textId="53AF5650"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p>
  </w:footnote>
  <w:footnote w:id="25">
    <w:p w14:paraId="544758B7" w14:textId="0A69E91E"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331.</w:t>
      </w:r>
    </w:p>
  </w:footnote>
  <w:footnote w:id="26">
    <w:p w14:paraId="50233600" w14:textId="79DFA58D"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334.</w:t>
      </w:r>
    </w:p>
  </w:footnote>
  <w:footnote w:id="27">
    <w:p w14:paraId="71DB8FD0" w14:textId="174B7970"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349.</w:t>
      </w:r>
    </w:p>
  </w:footnote>
  <w:footnote w:id="28">
    <w:p w14:paraId="0F291B65" w14:textId="62EBA688"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350.</w:t>
      </w:r>
    </w:p>
  </w:footnote>
  <w:footnote w:id="29">
    <w:p w14:paraId="370CBCD8" w14:textId="2B877457"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403.</w:t>
      </w:r>
    </w:p>
  </w:footnote>
  <w:footnote w:id="30">
    <w:p w14:paraId="7EB58B6C" w14:textId="7F7536BA"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404.</w:t>
      </w:r>
    </w:p>
  </w:footnote>
  <w:footnote w:id="31">
    <w:p w14:paraId="15B2B017" w14:textId="73C6F59A"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409.</w:t>
      </w:r>
    </w:p>
  </w:footnote>
  <w:footnote w:id="32">
    <w:p w14:paraId="031A0D98" w14:textId="61692B50"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416.</w:t>
      </w:r>
    </w:p>
  </w:footnote>
  <w:footnote w:id="33">
    <w:p w14:paraId="19882C47" w14:textId="78EF0925"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419.</w:t>
      </w:r>
    </w:p>
  </w:footnote>
  <w:footnote w:id="34">
    <w:p w14:paraId="18177225" w14:textId="2DD24955"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420.</w:t>
      </w:r>
    </w:p>
  </w:footnote>
  <w:footnote w:id="35">
    <w:p w14:paraId="5682B175" w14:textId="306460A1"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450.</w:t>
      </w:r>
    </w:p>
  </w:footnote>
  <w:footnote w:id="36">
    <w:p w14:paraId="6EDEC24C" w14:textId="77777777"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p>
  </w:footnote>
  <w:footnote w:id="37">
    <w:p w14:paraId="72D0D3EB" w14:textId="25477E7B"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P </w:t>
      </w:r>
      <w:r w:rsidRPr="009E6D46">
        <w:rPr>
          <w:sz w:val="22"/>
          <w:szCs w:val="22"/>
        </w:rPr>
        <w:t>460.</w:t>
      </w:r>
    </w:p>
  </w:footnote>
  <w:footnote w:id="38">
    <w:p w14:paraId="505ED761" w14:textId="11F367AE"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465.</w:t>
      </w:r>
    </w:p>
  </w:footnote>
  <w:footnote w:id="39">
    <w:p w14:paraId="61798B90" w14:textId="1F14B1DD"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544.</w:t>
      </w:r>
    </w:p>
  </w:footnote>
  <w:footnote w:id="40">
    <w:p w14:paraId="0EEBFFAA" w14:textId="18E98843"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547.</w:t>
      </w:r>
    </w:p>
  </w:footnote>
  <w:footnote w:id="41">
    <w:p w14:paraId="0EBBC2E6" w14:textId="0AB7BA76"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588.</w:t>
      </w:r>
    </w:p>
  </w:footnote>
  <w:footnote w:id="42">
    <w:p w14:paraId="5430B67D" w14:textId="59F84C65"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598.</w:t>
      </w:r>
    </w:p>
  </w:footnote>
  <w:footnote w:id="43">
    <w:p w14:paraId="6BD5B771" w14:textId="7A0E157C"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608.</w:t>
      </w:r>
    </w:p>
  </w:footnote>
  <w:footnote w:id="44">
    <w:p w14:paraId="00EB68AF" w14:textId="77777777"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p>
  </w:footnote>
  <w:footnote w:id="45">
    <w:p w14:paraId="621BB426" w14:textId="296E805A"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609.</w:t>
      </w:r>
    </w:p>
  </w:footnote>
  <w:footnote w:id="46">
    <w:p w14:paraId="5BDB06F2" w14:textId="2FE03BBD"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665.</w:t>
      </w:r>
    </w:p>
  </w:footnote>
  <w:footnote w:id="47">
    <w:p w14:paraId="7CA661DB" w14:textId="793F8593"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656.</w:t>
      </w:r>
    </w:p>
  </w:footnote>
  <w:footnote w:id="48">
    <w:p w14:paraId="1604F6A3" w14:textId="289BEFDB"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 xml:space="preserve">P 684. </w:t>
      </w:r>
    </w:p>
  </w:footnote>
  <w:footnote w:id="49">
    <w:p w14:paraId="57768A3A" w14:textId="3051648A"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685.</w:t>
      </w:r>
    </w:p>
  </w:footnote>
  <w:footnote w:id="50">
    <w:p w14:paraId="79A1CA0E" w14:textId="0101032F"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 xml:space="preserve">P 686. </w:t>
      </w:r>
    </w:p>
  </w:footnote>
  <w:footnote w:id="51">
    <w:p w14:paraId="4ED16602" w14:textId="1D8B2360"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P </w:t>
      </w:r>
      <w:r w:rsidRPr="009E6D46">
        <w:rPr>
          <w:sz w:val="22"/>
          <w:szCs w:val="22"/>
        </w:rPr>
        <w:t>708</w:t>
      </w:r>
      <w:r w:rsidR="004D4B8A" w:rsidRPr="009E6D46">
        <w:rPr>
          <w:sz w:val="22"/>
          <w:szCs w:val="22"/>
        </w:rPr>
        <w:t>.</w:t>
      </w:r>
    </w:p>
  </w:footnote>
  <w:footnote w:id="52">
    <w:p w14:paraId="52433C5B" w14:textId="2E837153"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717.</w:t>
      </w:r>
    </w:p>
  </w:footnote>
  <w:footnote w:id="53">
    <w:p w14:paraId="786F62E5" w14:textId="181C188D"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739.</w:t>
      </w:r>
    </w:p>
  </w:footnote>
  <w:footnote w:id="54">
    <w:p w14:paraId="6431E459" w14:textId="34FEA7F6"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745.</w:t>
      </w:r>
    </w:p>
  </w:footnote>
  <w:footnote w:id="55">
    <w:p w14:paraId="69121F98" w14:textId="26764253"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749.</w:t>
      </w:r>
    </w:p>
  </w:footnote>
  <w:footnote w:id="56">
    <w:p w14:paraId="7752EE52" w14:textId="70F57261"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753.</w:t>
      </w:r>
    </w:p>
  </w:footnote>
  <w:footnote w:id="57">
    <w:p w14:paraId="438DB367" w14:textId="61D55BD5"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767.</w:t>
      </w:r>
    </w:p>
  </w:footnote>
  <w:footnote w:id="58">
    <w:p w14:paraId="2E285AC0" w14:textId="3353AB1C"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773.</w:t>
      </w:r>
    </w:p>
  </w:footnote>
  <w:footnote w:id="59">
    <w:p w14:paraId="5D2E338B" w14:textId="5484CE84"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789.</w:t>
      </w:r>
    </w:p>
  </w:footnote>
  <w:footnote w:id="60">
    <w:p w14:paraId="507C3363" w14:textId="5CAF8834"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861.</w:t>
      </w:r>
    </w:p>
  </w:footnote>
  <w:footnote w:id="61">
    <w:p w14:paraId="47CC3947" w14:textId="4888BE6B"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862.</w:t>
      </w:r>
    </w:p>
  </w:footnote>
  <w:footnote w:id="62">
    <w:p w14:paraId="00BE2A3F" w14:textId="59CD5FBE"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881.</w:t>
      </w:r>
    </w:p>
  </w:footnote>
  <w:footnote w:id="63">
    <w:p w14:paraId="1A675103" w14:textId="039AACE3"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915.</w:t>
      </w:r>
    </w:p>
  </w:footnote>
  <w:footnote w:id="64">
    <w:p w14:paraId="089B9452" w14:textId="55580E6F"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921.</w:t>
      </w:r>
    </w:p>
  </w:footnote>
  <w:footnote w:id="65">
    <w:p w14:paraId="3295D5C7" w14:textId="226887F3" w:rsidR="007741A7" w:rsidRPr="009E6D46" w:rsidRDefault="007741A7"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4D4B8A" w:rsidRPr="009E6D46">
        <w:rPr>
          <w:i/>
          <w:iCs/>
          <w:sz w:val="22"/>
          <w:szCs w:val="22"/>
        </w:rPr>
        <w:t xml:space="preserve">Id. </w:t>
      </w:r>
      <w:r w:rsidR="004D4B8A" w:rsidRPr="009E6D46">
        <w:rPr>
          <w:sz w:val="22"/>
          <w:szCs w:val="22"/>
        </w:rPr>
        <w:t xml:space="preserve">at </w:t>
      </w:r>
      <w:r w:rsidRPr="009E6D46">
        <w:rPr>
          <w:sz w:val="22"/>
          <w:szCs w:val="22"/>
        </w:rPr>
        <w:t>P 923.</w:t>
      </w:r>
    </w:p>
  </w:footnote>
  <w:footnote w:id="66">
    <w:p w14:paraId="51B4DBE9" w14:textId="73142092" w:rsidR="00E91111" w:rsidRPr="009E6D46" w:rsidRDefault="00E91111"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w:t>
      </w:r>
      <w:r w:rsidRPr="009E6D46">
        <w:rPr>
          <w:sz w:val="22"/>
          <w:szCs w:val="22"/>
        </w:rPr>
        <w:t>2</w:t>
      </w:r>
      <w:r w:rsidR="009655B7" w:rsidRPr="009E6D46">
        <w:rPr>
          <w:sz w:val="22"/>
          <w:szCs w:val="22"/>
        </w:rPr>
        <w:t>.</w:t>
      </w:r>
    </w:p>
  </w:footnote>
  <w:footnote w:id="67">
    <w:p w14:paraId="4BE62718" w14:textId="77777777" w:rsidR="007A573B" w:rsidRPr="009E6D46" w:rsidRDefault="007A573B"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37 (citing </w:t>
      </w:r>
      <w:r w:rsidRPr="009E6D46">
        <w:rPr>
          <w:i/>
          <w:iCs/>
          <w:sz w:val="22"/>
          <w:szCs w:val="22"/>
        </w:rPr>
        <w:t>Pub. Serv. Elec. &amp; Gas Co. v. FERC</w:t>
      </w:r>
      <w:r w:rsidRPr="009E6D46">
        <w:rPr>
          <w:sz w:val="22"/>
          <w:szCs w:val="22"/>
        </w:rPr>
        <w:t>, 989 F.3d 10, 13 (D.C. Cir. 2021)).</w:t>
      </w:r>
    </w:p>
  </w:footnote>
  <w:footnote w:id="68">
    <w:p w14:paraId="5776A08E" w14:textId="34D57F16" w:rsidR="007A573B" w:rsidRPr="009E6D46" w:rsidRDefault="007A573B"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00152041" w:rsidRPr="009E6D46">
        <w:rPr>
          <w:i/>
          <w:iCs/>
          <w:sz w:val="22"/>
          <w:szCs w:val="22"/>
        </w:rPr>
        <w:t>.</w:t>
      </w:r>
      <w:r w:rsidRPr="009E6D46">
        <w:rPr>
          <w:sz w:val="22"/>
          <w:szCs w:val="22"/>
        </w:rPr>
        <w:t xml:space="preserve"> at P 35.</w:t>
      </w:r>
    </w:p>
  </w:footnote>
  <w:footnote w:id="69">
    <w:p w14:paraId="422FBED7" w14:textId="1A2FBFA7" w:rsidR="00D55084" w:rsidRPr="009E6D46" w:rsidRDefault="00D5508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PP 61-62.</w:t>
      </w:r>
    </w:p>
  </w:footnote>
  <w:footnote w:id="70">
    <w:p w14:paraId="04DF905D" w14:textId="77777777" w:rsidR="007A573B" w:rsidRPr="009E6D46" w:rsidRDefault="007A573B"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 62.</w:t>
      </w:r>
    </w:p>
  </w:footnote>
  <w:footnote w:id="71">
    <w:p w14:paraId="0FB1E481" w14:textId="6B32C796" w:rsidR="007A573B" w:rsidRPr="009E6D46" w:rsidRDefault="007A573B"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w:t>
      </w:r>
      <w:r w:rsidR="003B0AA6" w:rsidRPr="009E6D46">
        <w:rPr>
          <w:sz w:val="22"/>
          <w:szCs w:val="22"/>
        </w:rPr>
        <w:t>P</w:t>
      </w:r>
      <w:r w:rsidRPr="009E6D46">
        <w:rPr>
          <w:sz w:val="22"/>
          <w:szCs w:val="22"/>
        </w:rPr>
        <w:t xml:space="preserve"> 7</w:t>
      </w:r>
      <w:r w:rsidR="003B0AA6" w:rsidRPr="009E6D46">
        <w:rPr>
          <w:sz w:val="22"/>
          <w:szCs w:val="22"/>
        </w:rPr>
        <w:t>2-81</w:t>
      </w:r>
      <w:r w:rsidRPr="009E6D46">
        <w:rPr>
          <w:sz w:val="22"/>
          <w:szCs w:val="22"/>
        </w:rPr>
        <w:t>.</w:t>
      </w:r>
    </w:p>
  </w:footnote>
  <w:footnote w:id="72">
    <w:p w14:paraId="7CEF9CB1" w14:textId="676BF9D1" w:rsidR="003B0AA6" w:rsidRPr="009E6D46" w:rsidRDefault="003B0AA6"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w:t>
      </w:r>
      <w:r w:rsidR="009655B7" w:rsidRPr="009E6D46">
        <w:rPr>
          <w:sz w:val="22"/>
          <w:szCs w:val="22"/>
        </w:rPr>
        <w:t>a</w:t>
      </w:r>
      <w:r w:rsidRPr="009E6D46">
        <w:rPr>
          <w:sz w:val="22"/>
          <w:szCs w:val="22"/>
        </w:rPr>
        <w:t>t PP 82-84.</w:t>
      </w:r>
    </w:p>
  </w:footnote>
  <w:footnote w:id="73">
    <w:p w14:paraId="5F9371DF" w14:textId="2F0DD323" w:rsidR="0039678A" w:rsidRPr="009E6D46" w:rsidRDefault="0039678A"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 xml:space="preserve">Id. </w:t>
      </w:r>
      <w:r w:rsidRPr="009E6D46">
        <w:rPr>
          <w:sz w:val="22"/>
          <w:szCs w:val="22"/>
        </w:rPr>
        <w:t>at P</w:t>
      </w:r>
      <w:r w:rsidR="009A3826" w:rsidRPr="009E6D46">
        <w:rPr>
          <w:sz w:val="22"/>
          <w:szCs w:val="22"/>
        </w:rPr>
        <w:t>P</w:t>
      </w:r>
      <w:r w:rsidRPr="009E6D46">
        <w:rPr>
          <w:sz w:val="22"/>
          <w:szCs w:val="22"/>
        </w:rPr>
        <w:t xml:space="preserve"> 107</w:t>
      </w:r>
      <w:r w:rsidR="009A3826" w:rsidRPr="009E6D46">
        <w:rPr>
          <w:sz w:val="22"/>
          <w:szCs w:val="22"/>
        </w:rPr>
        <w:t>-114</w:t>
      </w:r>
      <w:r w:rsidRPr="009E6D46">
        <w:rPr>
          <w:sz w:val="22"/>
          <w:szCs w:val="22"/>
        </w:rPr>
        <w:t>.</w:t>
      </w:r>
    </w:p>
  </w:footnote>
  <w:footnote w:id="74">
    <w:p w14:paraId="28EC72C2" w14:textId="4077E429" w:rsidR="00D64C88" w:rsidRPr="009E6D46" w:rsidRDefault="00D64C88"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w:t>
      </w:r>
      <w:r w:rsidR="009655B7" w:rsidRPr="009E6D46">
        <w:rPr>
          <w:sz w:val="22"/>
          <w:szCs w:val="22"/>
        </w:rPr>
        <w:t>a</w:t>
      </w:r>
      <w:r w:rsidRPr="009E6D46">
        <w:rPr>
          <w:sz w:val="22"/>
          <w:szCs w:val="22"/>
        </w:rPr>
        <w:t>t P</w:t>
      </w:r>
      <w:r w:rsidR="00BF6FA4" w:rsidRPr="009E6D46">
        <w:rPr>
          <w:sz w:val="22"/>
          <w:szCs w:val="22"/>
        </w:rPr>
        <w:t xml:space="preserve"> </w:t>
      </w:r>
      <w:r w:rsidRPr="009E6D46">
        <w:rPr>
          <w:sz w:val="22"/>
          <w:szCs w:val="22"/>
        </w:rPr>
        <w:t>142.</w:t>
      </w:r>
      <w:r w:rsidR="00BF6FA4" w:rsidRPr="009E6D46">
        <w:rPr>
          <w:sz w:val="22"/>
          <w:szCs w:val="22"/>
        </w:rPr>
        <w:t xml:space="preserve"> FERC explains that regional transmission planning and cost allocation processes are practices that directly affect rates subject to its sole jurisdiction, as TPs “use those processes to determine which transmission facilities will more efficiently or cost-effectively meet transmission needs.” </w:t>
      </w:r>
      <w:r w:rsidR="00BF6FA4" w:rsidRPr="009E6D46">
        <w:rPr>
          <w:i/>
          <w:iCs/>
          <w:sz w:val="22"/>
          <w:szCs w:val="22"/>
        </w:rPr>
        <w:t>Id.</w:t>
      </w:r>
      <w:r w:rsidR="00BF6FA4" w:rsidRPr="009E6D46">
        <w:rPr>
          <w:sz w:val="22"/>
          <w:szCs w:val="22"/>
        </w:rPr>
        <w:t xml:space="preserve"> at P 136.</w:t>
      </w:r>
    </w:p>
  </w:footnote>
  <w:footnote w:id="75">
    <w:p w14:paraId="036C1A64" w14:textId="2202C840" w:rsidR="00D64C88" w:rsidRPr="009E6D46" w:rsidRDefault="00D64C88"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w:t>
      </w:r>
      <w:r w:rsidR="009655B7" w:rsidRPr="009E6D46">
        <w:rPr>
          <w:sz w:val="22"/>
          <w:szCs w:val="22"/>
        </w:rPr>
        <w:t>a</w:t>
      </w:r>
      <w:r w:rsidRPr="009E6D46">
        <w:rPr>
          <w:sz w:val="22"/>
          <w:szCs w:val="22"/>
        </w:rPr>
        <w:t>t P 144</w:t>
      </w:r>
      <w:r w:rsidR="0058533C" w:rsidRPr="009E6D46">
        <w:rPr>
          <w:sz w:val="22"/>
          <w:szCs w:val="22"/>
        </w:rPr>
        <w:t xml:space="preserve">; </w:t>
      </w:r>
      <w:r w:rsidR="0058533C" w:rsidRPr="009E6D46">
        <w:rPr>
          <w:i/>
          <w:iCs/>
          <w:sz w:val="22"/>
          <w:szCs w:val="22"/>
        </w:rPr>
        <w:t>see also</w:t>
      </w:r>
      <w:r w:rsidR="0058533C" w:rsidRPr="009E6D46">
        <w:rPr>
          <w:sz w:val="22"/>
          <w:szCs w:val="22"/>
        </w:rPr>
        <w:t xml:space="preserve"> PP 145-150</w:t>
      </w:r>
      <w:r w:rsidRPr="009E6D46">
        <w:rPr>
          <w:sz w:val="22"/>
          <w:szCs w:val="22"/>
        </w:rPr>
        <w:t>.</w:t>
      </w:r>
    </w:p>
  </w:footnote>
  <w:footnote w:id="76">
    <w:p w14:paraId="56B1FCFD" w14:textId="542E3B32" w:rsidR="00791B0F" w:rsidRPr="009E6D46" w:rsidRDefault="00791B0F"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PP 171-175</w:t>
      </w:r>
      <w:r w:rsidR="009655B7" w:rsidRPr="009E6D46">
        <w:rPr>
          <w:sz w:val="22"/>
          <w:szCs w:val="22"/>
        </w:rPr>
        <w:t>.</w:t>
      </w:r>
    </w:p>
  </w:footnote>
  <w:footnote w:id="77">
    <w:p w14:paraId="47DDEDED" w14:textId="1A2DE839" w:rsidR="0058533C" w:rsidRPr="009E6D46" w:rsidRDefault="0058533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w:t>
      </w:r>
      <w:r w:rsidR="009655B7" w:rsidRPr="009E6D46">
        <w:rPr>
          <w:sz w:val="22"/>
          <w:szCs w:val="22"/>
        </w:rPr>
        <w:t>a</w:t>
      </w:r>
      <w:r w:rsidRPr="009E6D46">
        <w:rPr>
          <w:sz w:val="22"/>
          <w:szCs w:val="22"/>
        </w:rPr>
        <w:t xml:space="preserve">t P </w:t>
      </w:r>
      <w:r w:rsidR="00CE2B9F" w:rsidRPr="009E6D46">
        <w:rPr>
          <w:sz w:val="22"/>
          <w:szCs w:val="22"/>
        </w:rPr>
        <w:t>172.</w:t>
      </w:r>
    </w:p>
  </w:footnote>
  <w:footnote w:id="78">
    <w:p w14:paraId="090D2C30" w14:textId="7DE5D959" w:rsidR="00791B0F" w:rsidRPr="009E6D46" w:rsidRDefault="00791B0F"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w:t>
      </w:r>
      <w:r w:rsidR="009655B7" w:rsidRPr="009E6D46">
        <w:rPr>
          <w:sz w:val="22"/>
          <w:szCs w:val="22"/>
        </w:rPr>
        <w:t>P</w:t>
      </w:r>
      <w:r w:rsidRPr="009E6D46">
        <w:rPr>
          <w:sz w:val="22"/>
          <w:szCs w:val="22"/>
        </w:rPr>
        <w:t xml:space="preserve"> 175</w:t>
      </w:r>
      <w:r w:rsidR="00CE2B9F" w:rsidRPr="009E6D46">
        <w:rPr>
          <w:sz w:val="22"/>
          <w:szCs w:val="22"/>
        </w:rPr>
        <w:t>-182</w:t>
      </w:r>
      <w:r w:rsidRPr="009E6D46">
        <w:rPr>
          <w:sz w:val="22"/>
          <w:szCs w:val="22"/>
        </w:rPr>
        <w:t>.</w:t>
      </w:r>
    </w:p>
  </w:footnote>
  <w:footnote w:id="79">
    <w:p w14:paraId="5E7BA30C" w14:textId="0F9F4029" w:rsidR="003E1571" w:rsidRPr="009E6D46" w:rsidRDefault="003E1571"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See e.g</w:t>
      </w:r>
      <w:r w:rsidRPr="009E6D46">
        <w:rPr>
          <w:sz w:val="22"/>
          <w:szCs w:val="22"/>
        </w:rPr>
        <w:t xml:space="preserve">., </w:t>
      </w:r>
      <w:r w:rsidR="009655B7" w:rsidRPr="009D2106">
        <w:rPr>
          <w:i/>
          <w:iCs/>
          <w:sz w:val="22"/>
          <w:szCs w:val="22"/>
        </w:rPr>
        <w:t>i</w:t>
      </w:r>
      <w:r w:rsidRPr="009E6D46">
        <w:rPr>
          <w:i/>
          <w:iCs/>
          <w:sz w:val="22"/>
          <w:szCs w:val="22"/>
        </w:rPr>
        <w:t>d</w:t>
      </w:r>
      <w:r w:rsidRPr="009E6D46">
        <w:rPr>
          <w:sz w:val="22"/>
          <w:szCs w:val="22"/>
        </w:rPr>
        <w:t xml:space="preserve">. at PP 373, 446, 457-458, 492, 583-584, 616-617, 667-668, </w:t>
      </w:r>
      <w:r w:rsidR="005024E2" w:rsidRPr="009E6D46">
        <w:rPr>
          <w:sz w:val="22"/>
          <w:szCs w:val="22"/>
        </w:rPr>
        <w:t>724-727, 774, 800, 930-931.</w:t>
      </w:r>
      <w:r w:rsidRPr="009E6D46">
        <w:rPr>
          <w:sz w:val="22"/>
          <w:szCs w:val="22"/>
        </w:rPr>
        <w:t xml:space="preserve"> </w:t>
      </w:r>
    </w:p>
  </w:footnote>
  <w:footnote w:id="80">
    <w:p w14:paraId="1109A7AE" w14:textId="3D333BC2" w:rsidR="001E0E70" w:rsidRPr="009E6D46" w:rsidRDefault="001E0E70"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200</w:t>
      </w:r>
      <w:r w:rsidR="009655B7" w:rsidRPr="009E6D46">
        <w:rPr>
          <w:sz w:val="22"/>
          <w:szCs w:val="22"/>
        </w:rPr>
        <w:t>.</w:t>
      </w:r>
    </w:p>
  </w:footnote>
  <w:footnote w:id="81">
    <w:p w14:paraId="5985CF1F" w14:textId="18A54B47" w:rsidR="001E0E70" w:rsidRPr="009E6D46" w:rsidRDefault="001E0E70"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00B83B6E" w:rsidRPr="009E6D46">
        <w:rPr>
          <w:sz w:val="22"/>
          <w:szCs w:val="22"/>
        </w:rPr>
        <w:t>.</w:t>
      </w:r>
      <w:r w:rsidRPr="009E6D46">
        <w:rPr>
          <w:sz w:val="22"/>
          <w:szCs w:val="22"/>
        </w:rPr>
        <w:t xml:space="preserve"> </w:t>
      </w:r>
      <w:r w:rsidR="00B83B6E" w:rsidRPr="009E6D46">
        <w:rPr>
          <w:sz w:val="22"/>
          <w:szCs w:val="22"/>
        </w:rPr>
        <w:t xml:space="preserve">Except as otherwise set forth in Order No. 1920, </w:t>
      </w:r>
      <w:r w:rsidR="008E697F" w:rsidRPr="009E6D46">
        <w:rPr>
          <w:sz w:val="22"/>
          <w:szCs w:val="22"/>
        </w:rPr>
        <w:t>FERC</w:t>
      </w:r>
      <w:r w:rsidR="00B83B6E" w:rsidRPr="009E6D46">
        <w:rPr>
          <w:sz w:val="22"/>
          <w:szCs w:val="22"/>
        </w:rPr>
        <w:t xml:space="preserve"> does not require any </w:t>
      </w:r>
      <w:r w:rsidR="00E86711" w:rsidRPr="009E6D46">
        <w:rPr>
          <w:sz w:val="22"/>
          <w:szCs w:val="22"/>
        </w:rPr>
        <w:t>TP</w:t>
      </w:r>
      <w:r w:rsidR="00B83B6E" w:rsidRPr="009E6D46">
        <w:rPr>
          <w:sz w:val="22"/>
          <w:szCs w:val="22"/>
        </w:rPr>
        <w:t xml:space="preserve"> to replace or otherwise make changes to its existing Order No. 1000-compliant regional transmission planning processes that plan for reliability or economic transmission needs, or the associated Order No. 1000-compliant regional cost allocation method(s). Accordingly, </w:t>
      </w:r>
      <w:r w:rsidR="00E86711" w:rsidRPr="009E6D46">
        <w:rPr>
          <w:sz w:val="22"/>
          <w:szCs w:val="22"/>
        </w:rPr>
        <w:t>TPs</w:t>
      </w:r>
      <w:r w:rsidR="00B83B6E" w:rsidRPr="009E6D46">
        <w:rPr>
          <w:sz w:val="22"/>
          <w:szCs w:val="22"/>
        </w:rPr>
        <w:t xml:space="preserve"> may may continue to rely on their existing regional transmission planning and cost allocation processes to comply with Order No. 1000’s requirements related to transmission needs driven by reliability concerns or economic considerations. </w:t>
      </w:r>
      <w:r w:rsidR="00B83B6E" w:rsidRPr="009E6D46">
        <w:rPr>
          <w:i/>
          <w:iCs/>
          <w:sz w:val="22"/>
          <w:szCs w:val="22"/>
        </w:rPr>
        <w:t>Id.</w:t>
      </w:r>
      <w:r w:rsidR="00B83B6E" w:rsidRPr="009E6D46">
        <w:rPr>
          <w:sz w:val="22"/>
          <w:szCs w:val="22"/>
        </w:rPr>
        <w:t xml:space="preserve"> at P 201.</w:t>
      </w:r>
    </w:p>
  </w:footnote>
  <w:footnote w:id="82">
    <w:p w14:paraId="67FE5F80" w14:textId="75AE8B75" w:rsidR="001E0E70" w:rsidRPr="009E6D46" w:rsidRDefault="001E0E70"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201</w:t>
      </w:r>
      <w:r w:rsidR="009655B7" w:rsidRPr="009E6D46">
        <w:rPr>
          <w:sz w:val="22"/>
          <w:szCs w:val="22"/>
        </w:rPr>
        <w:t>.</w:t>
      </w:r>
    </w:p>
  </w:footnote>
  <w:footnote w:id="83">
    <w:p w14:paraId="337C96C2" w14:textId="78AB419C" w:rsidR="00BF6FA4" w:rsidRPr="009E6D46" w:rsidRDefault="00BF6FA4"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 xml:space="preserve">Id. </w:t>
      </w:r>
    </w:p>
  </w:footnote>
  <w:footnote w:id="84">
    <w:p w14:paraId="04500B0F" w14:textId="2A2FCA0A" w:rsidR="00B83B6E" w:rsidRPr="009E6D46" w:rsidRDefault="00B83B6E"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210</w:t>
      </w:r>
      <w:r w:rsidR="009655B7" w:rsidRPr="009E6D46">
        <w:rPr>
          <w:sz w:val="22"/>
          <w:szCs w:val="22"/>
        </w:rPr>
        <w:t>.</w:t>
      </w:r>
    </w:p>
  </w:footnote>
  <w:footnote w:id="85">
    <w:p w14:paraId="4EE0103A" w14:textId="524E61B3" w:rsidR="00714A42" w:rsidRPr="009E6D46" w:rsidRDefault="00714A42"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202. </w:t>
      </w:r>
    </w:p>
  </w:footnote>
  <w:footnote w:id="86">
    <w:p w14:paraId="355825CC" w14:textId="502619AE" w:rsidR="00B83B6E" w:rsidRPr="009E6D46" w:rsidRDefault="00B83B6E"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 xml:space="preserve">211. </w:t>
      </w:r>
      <w:r w:rsidR="00E86711" w:rsidRPr="009E6D46">
        <w:rPr>
          <w:sz w:val="22"/>
          <w:szCs w:val="22"/>
        </w:rPr>
        <w:t>TPs</w:t>
      </w:r>
      <w:r w:rsidRPr="009E6D46">
        <w:rPr>
          <w:sz w:val="22"/>
          <w:szCs w:val="22"/>
        </w:rPr>
        <w:t xml:space="preserve"> that wish to continue to use some or all of their existing Order No. 1000 regional transmission planning and cost allocation processes to consider transmission needs driven by Public Policy Requirements must demonstrate that the continued use of any such processes does not interfere with or otherwise undermine Long-Term Regional Transmission Planning as set forth in Order No. 1920.</w:t>
      </w:r>
    </w:p>
  </w:footnote>
  <w:footnote w:id="87">
    <w:p w14:paraId="1B72E9D8" w14:textId="46586C84" w:rsidR="00BA1CB6" w:rsidRPr="009E6D46" w:rsidRDefault="00BA1CB6"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D2106">
        <w:rPr>
          <w:i/>
          <w:iCs/>
          <w:sz w:val="22"/>
          <w:szCs w:val="22"/>
        </w:rPr>
        <w:t>Id</w:t>
      </w:r>
      <w:r w:rsidRPr="009E6D46">
        <w:rPr>
          <w:sz w:val="22"/>
          <w:szCs w:val="22"/>
        </w:rPr>
        <w:t>. at P 213</w:t>
      </w:r>
      <w:r w:rsidR="00103AEB" w:rsidRPr="009E6D46">
        <w:rPr>
          <w:sz w:val="22"/>
          <w:szCs w:val="22"/>
        </w:rPr>
        <w:t>.</w:t>
      </w:r>
    </w:p>
    <w:p w14:paraId="774273BC" w14:textId="4526E373" w:rsidR="00BA1CB6" w:rsidRPr="009E6D46" w:rsidRDefault="00BA1CB6" w:rsidP="009E6D46">
      <w:pPr>
        <w:pStyle w:val="FootnoteText"/>
        <w:spacing w:after="120"/>
        <w:ind w:left="720" w:firstLine="0"/>
        <w:jc w:val="both"/>
        <w:rPr>
          <w:sz w:val="22"/>
          <w:szCs w:val="22"/>
        </w:rPr>
      </w:pPr>
      <w:r w:rsidRPr="009E6D46">
        <w:rPr>
          <w:sz w:val="22"/>
          <w:szCs w:val="22"/>
        </w:rPr>
        <w:t>With respect to PJM’s State Agreement Approach specifically, we note that it is separate and apart from PJM’s compliance with the Order No. 1000 requirement to consider transmission needs driven by Public Policy Requirements.   Therefore, PJM’s State Agreement Approach is unaffected by Order No. 1920’s requirement to justify continued use of regional transmission planning and cost allocation processes to consider transmission needs driven by Public Policy Requirements.  In response to PJM States and Pennsylvania Commission, we note that Order No. 1920 does not prohibit PJM from continuing to use its existing State Agreement Approach.  If the Relevant State Entities in PJM agree to rely on PJM’s existing State Agreement Approach as an Order No. 1920 State Agreement Process that applies to selected Long-Term Regional Transmission Facilities, and PJM agrees, PJM must propose and demonstrate on compliance that its State Agreement Approach complies with all of the State Agreement Process requirements set forth in Order No. 1920.</w:t>
      </w:r>
    </w:p>
  </w:footnote>
  <w:footnote w:id="88">
    <w:p w14:paraId="0296E909" w14:textId="73A92A21" w:rsidR="00D15561" w:rsidRPr="009E6D46" w:rsidRDefault="00D15561" w:rsidP="009E6D46">
      <w:pPr>
        <w:pStyle w:val="FootnoteText"/>
        <w:spacing w:after="120"/>
        <w:jc w:val="both"/>
        <w:rPr>
          <w:sz w:val="22"/>
          <w:szCs w:val="22"/>
        </w:rPr>
      </w:pPr>
      <w:r w:rsidRPr="009E6D46">
        <w:rPr>
          <w:rStyle w:val="FootnoteReference"/>
          <w:sz w:val="22"/>
          <w:szCs w:val="22"/>
        </w:rPr>
        <w:footnoteRef/>
      </w:r>
      <w:r w:rsidRPr="009D2106">
        <w:rPr>
          <w:sz w:val="22"/>
          <w:szCs w:val="22"/>
        </w:rPr>
        <w:t xml:space="preserve"> </w:t>
      </w:r>
      <w:r w:rsidR="0008704C" w:rsidRPr="009D2106">
        <w:rPr>
          <w:i/>
          <w:iCs/>
          <w:sz w:val="22"/>
          <w:szCs w:val="22"/>
        </w:rPr>
        <w:t xml:space="preserve">Id. </w:t>
      </w:r>
      <w:r w:rsidR="0008704C" w:rsidRPr="009D2106">
        <w:rPr>
          <w:sz w:val="22"/>
          <w:szCs w:val="22"/>
        </w:rPr>
        <w:t>at P</w:t>
      </w:r>
      <w:r w:rsidR="00EB4204" w:rsidRPr="009D2106">
        <w:rPr>
          <w:sz w:val="22"/>
          <w:szCs w:val="22"/>
        </w:rPr>
        <w:t>P</w:t>
      </w:r>
      <w:r w:rsidR="0008704C" w:rsidRPr="009D2106">
        <w:rPr>
          <w:sz w:val="22"/>
          <w:szCs w:val="22"/>
        </w:rPr>
        <w:t xml:space="preserve"> </w:t>
      </w:r>
      <w:r w:rsidRPr="009D2106">
        <w:rPr>
          <w:sz w:val="22"/>
          <w:szCs w:val="22"/>
        </w:rPr>
        <w:t>223</w:t>
      </w:r>
      <w:r w:rsidR="00EB4204" w:rsidRPr="009D2106">
        <w:rPr>
          <w:sz w:val="22"/>
          <w:szCs w:val="22"/>
        </w:rPr>
        <w:t>-224</w:t>
      </w:r>
      <w:r w:rsidR="00103AEB" w:rsidRPr="009E6D46">
        <w:rPr>
          <w:sz w:val="22"/>
          <w:szCs w:val="22"/>
        </w:rPr>
        <w:t>.</w:t>
      </w:r>
    </w:p>
  </w:footnote>
  <w:footnote w:id="89">
    <w:p w14:paraId="11801804" w14:textId="0CFF2D31" w:rsidR="00B75DD2" w:rsidRPr="009E6D46" w:rsidRDefault="00B75DD2"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225. “[W]e are clarifying here </w:t>
      </w:r>
      <w:r w:rsidRPr="009E6D46" w:rsidDel="0005231A">
        <w:rPr>
          <w:sz w:val="22"/>
          <w:szCs w:val="22"/>
        </w:rPr>
        <w:t>that</w:t>
      </w:r>
      <w:r w:rsidRPr="009E6D46">
        <w:rPr>
          <w:sz w:val="22"/>
          <w:szCs w:val="22"/>
        </w:rPr>
        <w:t xml:space="preserve"> the categories of factors will help transmission providers identify</w:t>
      </w:r>
      <w:r w:rsidRPr="009E6D46" w:rsidDel="0005231A">
        <w:rPr>
          <w:sz w:val="22"/>
          <w:szCs w:val="22"/>
        </w:rPr>
        <w:t xml:space="preserve"> </w:t>
      </w:r>
      <w:r w:rsidRPr="009E6D46">
        <w:rPr>
          <w:sz w:val="22"/>
          <w:szCs w:val="22"/>
        </w:rPr>
        <w:t>Long-Term Transmission Needs, consistent with the Commission’s statements in Order No. 1920. Potential Long-Term Regional Transmission Facilities that address Long-Term Transmission Needs, as identified by the Long-Term Scenarios and sensitivities, will then be evaluated for their economic and reliability benefits, which will ensure that Long-Term Regional Transmission Planning leads to transmission solutions that more efficiently or cost-effectively address reliability and economic transmission needs over the appropriate transmission planning horizon.”</w:t>
      </w:r>
    </w:p>
  </w:footnote>
  <w:footnote w:id="90">
    <w:p w14:paraId="70226FA7" w14:textId="385D2FFB" w:rsidR="00D15561" w:rsidRPr="009E6D46" w:rsidRDefault="00D15561"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2</w:t>
      </w:r>
      <w:r w:rsidR="00EB4204" w:rsidRPr="009E6D46">
        <w:rPr>
          <w:sz w:val="22"/>
          <w:szCs w:val="22"/>
        </w:rPr>
        <w:t>3</w:t>
      </w:r>
      <w:r w:rsidRPr="009E6D46">
        <w:rPr>
          <w:sz w:val="22"/>
          <w:szCs w:val="22"/>
        </w:rPr>
        <w:t>7</w:t>
      </w:r>
      <w:r w:rsidR="00152041" w:rsidRPr="009E6D46">
        <w:rPr>
          <w:sz w:val="22"/>
          <w:szCs w:val="22"/>
        </w:rPr>
        <w:t>.</w:t>
      </w:r>
    </w:p>
  </w:footnote>
  <w:footnote w:id="91">
    <w:p w14:paraId="6DB6B7D1" w14:textId="2D638BA3" w:rsidR="00EB4204" w:rsidRPr="009E6D46" w:rsidRDefault="00EB420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239. </w:t>
      </w:r>
    </w:p>
  </w:footnote>
  <w:footnote w:id="92">
    <w:p w14:paraId="5CCF9754" w14:textId="5E49CB71" w:rsidR="00EB4204" w:rsidRPr="009E6D46" w:rsidRDefault="00EB420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PP 241-242.</w:t>
      </w:r>
    </w:p>
  </w:footnote>
  <w:footnote w:id="93">
    <w:p w14:paraId="35FC9FE3" w14:textId="3B78ACEC" w:rsidR="00D15561" w:rsidRPr="009E6D46" w:rsidRDefault="00D15561"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248</w:t>
      </w:r>
      <w:r w:rsidR="00152041" w:rsidRPr="009E6D46">
        <w:rPr>
          <w:sz w:val="22"/>
          <w:szCs w:val="22"/>
        </w:rPr>
        <w:t>.</w:t>
      </w:r>
    </w:p>
  </w:footnote>
  <w:footnote w:id="94">
    <w:p w14:paraId="24BE265D" w14:textId="2B31F1E2" w:rsidR="00D15561" w:rsidRPr="009E6D46" w:rsidRDefault="00D15561"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249.</w:t>
      </w:r>
    </w:p>
  </w:footnote>
  <w:footnote w:id="95">
    <w:p w14:paraId="73162A80" w14:textId="50DA77F0" w:rsidR="00D15561" w:rsidRPr="009E6D46" w:rsidRDefault="00D15561"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at P</w:t>
      </w:r>
      <w:r w:rsidR="00EB4204" w:rsidRPr="009E6D46">
        <w:rPr>
          <w:sz w:val="22"/>
          <w:szCs w:val="22"/>
        </w:rPr>
        <w:t>P</w:t>
      </w:r>
      <w:r w:rsidR="0008704C" w:rsidRPr="009E6D46">
        <w:rPr>
          <w:sz w:val="22"/>
          <w:szCs w:val="22"/>
        </w:rPr>
        <w:t xml:space="preserve"> </w:t>
      </w:r>
      <w:r w:rsidRPr="009E6D46">
        <w:rPr>
          <w:sz w:val="22"/>
          <w:szCs w:val="22"/>
        </w:rPr>
        <w:t>256</w:t>
      </w:r>
      <w:r w:rsidR="00EB4204" w:rsidRPr="009E6D46">
        <w:rPr>
          <w:sz w:val="22"/>
          <w:szCs w:val="22"/>
        </w:rPr>
        <w:t>-258.</w:t>
      </w:r>
    </w:p>
  </w:footnote>
  <w:footnote w:id="96">
    <w:p w14:paraId="6EE1BD4E" w14:textId="57AC8AB6" w:rsidR="00EB4204" w:rsidRPr="009E6D46" w:rsidRDefault="00EB420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 262.</w:t>
      </w:r>
    </w:p>
  </w:footnote>
  <w:footnote w:id="97">
    <w:p w14:paraId="1E026C8B" w14:textId="5785B995" w:rsidR="00E86711" w:rsidRPr="009E6D46" w:rsidRDefault="00E86711"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263</w:t>
      </w:r>
    </w:p>
  </w:footnote>
  <w:footnote w:id="98">
    <w:p w14:paraId="63BB358A" w14:textId="2439F205" w:rsidR="00F04FFA" w:rsidRPr="009E6D46" w:rsidRDefault="00F04FFA"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 xml:space="preserve">Id. </w:t>
      </w:r>
      <w:r w:rsidRPr="009E6D46">
        <w:rPr>
          <w:sz w:val="22"/>
          <w:szCs w:val="22"/>
        </w:rPr>
        <w:t>at P 303</w:t>
      </w:r>
      <w:r w:rsidR="00152041" w:rsidRPr="009E6D46">
        <w:rPr>
          <w:sz w:val="22"/>
          <w:szCs w:val="22"/>
        </w:rPr>
        <w:t>.</w:t>
      </w:r>
    </w:p>
  </w:footnote>
  <w:footnote w:id="99">
    <w:p w14:paraId="774BAB87" w14:textId="74BD2898" w:rsidR="00EB4204" w:rsidRPr="009E6D46" w:rsidRDefault="00EB420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 271.</w:t>
      </w:r>
    </w:p>
  </w:footnote>
  <w:footnote w:id="100">
    <w:p w14:paraId="75D3C098" w14:textId="42ABCE22" w:rsidR="00C96D79" w:rsidRPr="009E6D46" w:rsidRDefault="00C96D7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272</w:t>
      </w:r>
      <w:r w:rsidR="00152041" w:rsidRPr="009E6D46">
        <w:rPr>
          <w:sz w:val="22"/>
          <w:szCs w:val="22"/>
        </w:rPr>
        <w:t>.</w:t>
      </w:r>
    </w:p>
  </w:footnote>
  <w:footnote w:id="101">
    <w:p w14:paraId="22A0D865" w14:textId="03E5373F" w:rsidR="00EB4204" w:rsidRPr="009E6D46" w:rsidRDefault="00EB420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00152041" w:rsidRPr="009E6D46">
        <w:rPr>
          <w:sz w:val="22"/>
          <w:szCs w:val="22"/>
        </w:rPr>
        <w:t>.</w:t>
      </w:r>
      <w:r w:rsidRPr="009E6D46">
        <w:rPr>
          <w:sz w:val="22"/>
          <w:szCs w:val="22"/>
        </w:rPr>
        <w:t xml:space="preserve"> at P 273</w:t>
      </w:r>
      <w:r w:rsidR="00152041" w:rsidRPr="009E6D46">
        <w:rPr>
          <w:sz w:val="22"/>
          <w:szCs w:val="22"/>
        </w:rPr>
        <w:t>.</w:t>
      </w:r>
    </w:p>
  </w:footnote>
  <w:footnote w:id="102">
    <w:p w14:paraId="4F00E3DB" w14:textId="754C7DC7" w:rsidR="00EB4204" w:rsidRPr="009E6D46" w:rsidRDefault="00EB420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 275</w:t>
      </w:r>
      <w:r w:rsidR="00152041" w:rsidRPr="009E6D46">
        <w:rPr>
          <w:sz w:val="22"/>
          <w:szCs w:val="22"/>
        </w:rPr>
        <w:t>.</w:t>
      </w:r>
    </w:p>
  </w:footnote>
  <w:footnote w:id="103">
    <w:p w14:paraId="2815021E" w14:textId="5927B243" w:rsidR="00C96D79" w:rsidRPr="009E6D46" w:rsidRDefault="00C96D7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323</w:t>
      </w:r>
      <w:r w:rsidR="00152041" w:rsidRPr="009E6D46">
        <w:rPr>
          <w:sz w:val="22"/>
          <w:szCs w:val="22"/>
        </w:rPr>
        <w:t>.</w:t>
      </w:r>
    </w:p>
  </w:footnote>
  <w:footnote w:id="104">
    <w:p w14:paraId="08BD4A94" w14:textId="07B2A064" w:rsidR="00C96D79" w:rsidRPr="009E6D46" w:rsidRDefault="00C96D7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w:t>
      </w:r>
    </w:p>
  </w:footnote>
  <w:footnote w:id="105">
    <w:p w14:paraId="577BDE9F" w14:textId="50A699C6" w:rsidR="00EB4204" w:rsidRPr="009E6D46" w:rsidRDefault="00EB4204"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 322</w:t>
      </w:r>
      <w:r w:rsidR="00152041" w:rsidRPr="009E6D46">
        <w:rPr>
          <w:sz w:val="22"/>
          <w:szCs w:val="22"/>
        </w:rPr>
        <w:t>.</w:t>
      </w:r>
    </w:p>
  </w:footnote>
  <w:footnote w:id="106">
    <w:p w14:paraId="0CABFFA4" w14:textId="11F858BD" w:rsidR="00C96D79" w:rsidRPr="009E6D46" w:rsidRDefault="00C96D7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335</w:t>
      </w:r>
      <w:r w:rsidR="00152041" w:rsidRPr="009E6D46">
        <w:rPr>
          <w:sz w:val="22"/>
          <w:szCs w:val="22"/>
        </w:rPr>
        <w:t>.</w:t>
      </w:r>
    </w:p>
  </w:footnote>
  <w:footnote w:id="107">
    <w:p w14:paraId="342DD28D" w14:textId="741D7AE8" w:rsidR="00C96D79" w:rsidRPr="009E6D46" w:rsidRDefault="00C96D7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344</w:t>
      </w:r>
      <w:r w:rsidR="00152041" w:rsidRPr="009E6D46">
        <w:rPr>
          <w:sz w:val="22"/>
          <w:szCs w:val="22"/>
        </w:rPr>
        <w:t>.</w:t>
      </w:r>
    </w:p>
  </w:footnote>
  <w:footnote w:id="108">
    <w:p w14:paraId="6635B3D3" w14:textId="49091FCC" w:rsidR="00C96D79" w:rsidRPr="009E6D46" w:rsidRDefault="00C96D7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EB4204" w:rsidRPr="009E6D46">
        <w:rPr>
          <w:sz w:val="22"/>
          <w:szCs w:val="22"/>
        </w:rPr>
        <w:t>(“Specifically, transmission providers shall consult with Relevant State Entities and any other authorized entities as to whether a specific state policy must be accounted for as a factor within each category (i.e., if the specific state policy will likely affect Long-Term Transmission Needs), how to account for the specific state policy in the development of Long-Term Scenarios (e.g., the method and data used to forecast generation resources added because of a specific state policy), and how to adjust the treatment of the specific state policy across Long-Term Scenarios (e.g., assume certain policy-related outcomes materialize in some but not all Long-Term Scenarios).”)</w:t>
      </w:r>
    </w:p>
  </w:footnote>
  <w:footnote w:id="109">
    <w:p w14:paraId="12E40724" w14:textId="68678C4B" w:rsidR="00C96D79" w:rsidRPr="009E6D46" w:rsidRDefault="00C96D79" w:rsidP="009E6D46">
      <w:pPr>
        <w:pStyle w:val="FootnoteText"/>
        <w:spacing w:after="120"/>
        <w:jc w:val="both"/>
        <w:rPr>
          <w:sz w:val="22"/>
          <w:szCs w:val="22"/>
        </w:rPr>
      </w:pPr>
      <w:r w:rsidRPr="009E6D46">
        <w:rPr>
          <w:rStyle w:val="FootnoteReference"/>
          <w:sz w:val="22"/>
          <w:szCs w:val="22"/>
        </w:rPr>
        <w:footnoteRef/>
      </w:r>
      <w:r w:rsidR="0008704C" w:rsidRPr="009E6D46">
        <w:rPr>
          <w:i/>
          <w:iCs/>
          <w:sz w:val="22"/>
          <w:szCs w:val="22"/>
        </w:rPr>
        <w:t xml:space="preserve"> Id. </w:t>
      </w:r>
      <w:r w:rsidR="0008704C" w:rsidRPr="009E6D46">
        <w:rPr>
          <w:sz w:val="22"/>
          <w:szCs w:val="22"/>
        </w:rPr>
        <w:t>at</w:t>
      </w:r>
      <w:r w:rsidRPr="009E6D46">
        <w:rPr>
          <w:sz w:val="22"/>
          <w:szCs w:val="22"/>
        </w:rPr>
        <w:t xml:space="preserve"> </w:t>
      </w:r>
      <w:r w:rsidR="0008704C" w:rsidRPr="009E6D46">
        <w:rPr>
          <w:sz w:val="22"/>
          <w:szCs w:val="22"/>
        </w:rPr>
        <w:t xml:space="preserve">P </w:t>
      </w:r>
      <w:r w:rsidRPr="009E6D46">
        <w:rPr>
          <w:sz w:val="22"/>
          <w:szCs w:val="22"/>
        </w:rPr>
        <w:t>345</w:t>
      </w:r>
      <w:r w:rsidR="00152041" w:rsidRPr="009E6D46">
        <w:rPr>
          <w:sz w:val="22"/>
          <w:szCs w:val="22"/>
        </w:rPr>
        <w:t>.</w:t>
      </w:r>
    </w:p>
  </w:footnote>
  <w:footnote w:id="110">
    <w:p w14:paraId="68494F93" w14:textId="0947D87E" w:rsidR="00C96D79" w:rsidRPr="009E6D46" w:rsidRDefault="00C96D7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347</w:t>
      </w:r>
      <w:r w:rsidR="00152041" w:rsidRPr="009E6D46">
        <w:rPr>
          <w:sz w:val="22"/>
          <w:szCs w:val="22"/>
        </w:rPr>
        <w:t>.</w:t>
      </w:r>
    </w:p>
  </w:footnote>
  <w:footnote w:id="111">
    <w:p w14:paraId="69D0A1A0" w14:textId="7E499DF7" w:rsidR="00EB4204" w:rsidRPr="009E6D46" w:rsidRDefault="00EB420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 311.</w:t>
      </w:r>
    </w:p>
  </w:footnote>
  <w:footnote w:id="112">
    <w:p w14:paraId="229C9914" w14:textId="5DBD9CB6" w:rsidR="00EB4204" w:rsidRPr="009E6D46" w:rsidRDefault="00EB420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 349.</w:t>
      </w:r>
    </w:p>
  </w:footnote>
  <w:footnote w:id="113">
    <w:p w14:paraId="7E71BA79" w14:textId="45CD1822" w:rsidR="00C96D79" w:rsidRPr="009E6D46" w:rsidRDefault="00C96D7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352</w:t>
      </w:r>
      <w:r w:rsidR="00152041" w:rsidRPr="009E6D46">
        <w:rPr>
          <w:sz w:val="22"/>
          <w:szCs w:val="22"/>
        </w:rPr>
        <w:t>.</w:t>
      </w:r>
    </w:p>
  </w:footnote>
  <w:footnote w:id="114">
    <w:p w14:paraId="5D366F50" w14:textId="5E9C9044" w:rsidR="00C96D79" w:rsidRPr="009E6D46" w:rsidRDefault="00C96D7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354.</w:t>
      </w:r>
    </w:p>
  </w:footnote>
  <w:footnote w:id="115">
    <w:p w14:paraId="552A69FA" w14:textId="5B40B760" w:rsidR="00C96D79" w:rsidRPr="009E6D46" w:rsidRDefault="00C96D7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36</w:t>
      </w:r>
      <w:r w:rsidR="00EB4204" w:rsidRPr="009E6D46">
        <w:rPr>
          <w:sz w:val="22"/>
          <w:szCs w:val="22"/>
        </w:rPr>
        <w:t>1-363</w:t>
      </w:r>
      <w:r w:rsidRPr="009E6D46">
        <w:rPr>
          <w:sz w:val="22"/>
          <w:szCs w:val="22"/>
        </w:rPr>
        <w:t>.</w:t>
      </w:r>
    </w:p>
  </w:footnote>
  <w:footnote w:id="116">
    <w:p w14:paraId="05C54CB1" w14:textId="6E9A6C4A" w:rsidR="00EB4204" w:rsidRPr="009E6D46" w:rsidRDefault="00EB4204"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 365</w:t>
      </w:r>
      <w:r w:rsidR="00152041" w:rsidRPr="009E6D46">
        <w:rPr>
          <w:sz w:val="22"/>
          <w:szCs w:val="22"/>
        </w:rPr>
        <w:t>.</w:t>
      </w:r>
    </w:p>
  </w:footnote>
  <w:footnote w:id="117">
    <w:p w14:paraId="4752DEE8" w14:textId="206081A9" w:rsidR="00EB4204" w:rsidRPr="009E6D46" w:rsidRDefault="00EB4204"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 367</w:t>
      </w:r>
      <w:r w:rsidR="00152041" w:rsidRPr="009E6D46">
        <w:rPr>
          <w:sz w:val="22"/>
          <w:szCs w:val="22"/>
        </w:rPr>
        <w:t>.</w:t>
      </w:r>
    </w:p>
  </w:footnote>
  <w:footnote w:id="118">
    <w:p w14:paraId="3F9EB591" w14:textId="174078DB" w:rsidR="00196185" w:rsidRPr="009E6D46" w:rsidRDefault="00196185"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369</w:t>
      </w:r>
      <w:r w:rsidR="00152041" w:rsidRPr="009E6D46">
        <w:rPr>
          <w:sz w:val="22"/>
          <w:szCs w:val="22"/>
        </w:rPr>
        <w:t>.</w:t>
      </w:r>
    </w:p>
  </w:footnote>
  <w:footnote w:id="119">
    <w:p w14:paraId="6A1B93E7" w14:textId="50B27D32" w:rsidR="00196185" w:rsidRPr="009E6D46" w:rsidRDefault="00196185"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370</w:t>
      </w:r>
      <w:r w:rsidR="00152041" w:rsidRPr="009E6D46">
        <w:rPr>
          <w:sz w:val="22"/>
          <w:szCs w:val="22"/>
        </w:rPr>
        <w:t>.</w:t>
      </w:r>
    </w:p>
  </w:footnote>
  <w:footnote w:id="120">
    <w:p w14:paraId="22C0F964" w14:textId="62847655" w:rsidR="00196185" w:rsidRPr="009E6D46" w:rsidRDefault="00196185"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at P</w:t>
      </w:r>
      <w:r w:rsidR="00152041" w:rsidRPr="009E6D46">
        <w:rPr>
          <w:sz w:val="22"/>
          <w:szCs w:val="22"/>
        </w:rPr>
        <w:t>P</w:t>
      </w:r>
      <w:r w:rsidR="0008704C" w:rsidRPr="009E6D46">
        <w:rPr>
          <w:sz w:val="22"/>
          <w:szCs w:val="22"/>
        </w:rPr>
        <w:t xml:space="preserve"> </w:t>
      </w:r>
      <w:r w:rsidRPr="009E6D46">
        <w:rPr>
          <w:sz w:val="22"/>
          <w:szCs w:val="22"/>
        </w:rPr>
        <w:t>377-</w:t>
      </w:r>
      <w:r w:rsidR="00103AEB" w:rsidRPr="009E6D46">
        <w:rPr>
          <w:sz w:val="22"/>
          <w:szCs w:val="22"/>
        </w:rPr>
        <w:t>3</w:t>
      </w:r>
      <w:r w:rsidRPr="009E6D46">
        <w:rPr>
          <w:sz w:val="22"/>
          <w:szCs w:val="22"/>
        </w:rPr>
        <w:t xml:space="preserve">84. Note that this requirement is separate from the evaluation of Long-Term Transmission Needs, for which </w:t>
      </w:r>
      <w:r w:rsidR="008E697F" w:rsidRPr="009E6D46">
        <w:rPr>
          <w:sz w:val="22"/>
          <w:szCs w:val="22"/>
        </w:rPr>
        <w:t>FERC</w:t>
      </w:r>
      <w:r w:rsidRPr="009E6D46">
        <w:rPr>
          <w:sz w:val="22"/>
          <w:szCs w:val="22"/>
        </w:rPr>
        <w:t xml:space="preserve"> granted rehearing and found that TPs are </w:t>
      </w:r>
      <w:r w:rsidRPr="009E6D46">
        <w:rPr>
          <w:i/>
          <w:iCs/>
          <w:sz w:val="22"/>
          <w:szCs w:val="22"/>
        </w:rPr>
        <w:t>not</w:t>
      </w:r>
      <w:r w:rsidRPr="009E6D46">
        <w:rPr>
          <w:sz w:val="22"/>
          <w:szCs w:val="22"/>
        </w:rPr>
        <w:t xml:space="preserve"> required to use the set of seven required benefits.</w:t>
      </w:r>
    </w:p>
  </w:footnote>
  <w:footnote w:id="121">
    <w:p w14:paraId="755A9E19" w14:textId="2087E5B3" w:rsidR="00196185" w:rsidRPr="009E6D46" w:rsidRDefault="00196185"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 xml:space="preserve">373.  </w:t>
      </w:r>
    </w:p>
  </w:footnote>
  <w:footnote w:id="122">
    <w:p w14:paraId="6BB1454A" w14:textId="0786B82B" w:rsidR="00196185" w:rsidRPr="009E6D46" w:rsidRDefault="00196185"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390</w:t>
      </w:r>
      <w:r w:rsidR="00152041" w:rsidRPr="009E6D46">
        <w:rPr>
          <w:sz w:val="22"/>
          <w:szCs w:val="22"/>
        </w:rPr>
        <w:t>.</w:t>
      </w:r>
    </w:p>
  </w:footnote>
  <w:footnote w:id="123">
    <w:p w14:paraId="343F998B" w14:textId="1C417ABE" w:rsidR="00196185" w:rsidRPr="009E6D46" w:rsidRDefault="00196185"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391</w:t>
      </w:r>
      <w:r w:rsidR="00152041" w:rsidRPr="009E6D46">
        <w:rPr>
          <w:sz w:val="22"/>
          <w:szCs w:val="22"/>
        </w:rPr>
        <w:t>.</w:t>
      </w:r>
    </w:p>
  </w:footnote>
  <w:footnote w:id="124">
    <w:p w14:paraId="01EF7882" w14:textId="3EE93E53" w:rsidR="00196185" w:rsidRPr="009E6D46" w:rsidRDefault="00196185"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403</w:t>
      </w:r>
      <w:r w:rsidR="00152041" w:rsidRPr="009E6D46">
        <w:rPr>
          <w:sz w:val="22"/>
          <w:szCs w:val="22"/>
        </w:rPr>
        <w:t>.</w:t>
      </w:r>
    </w:p>
  </w:footnote>
  <w:footnote w:id="125">
    <w:p w14:paraId="02A6C0BD" w14:textId="7F9C4426" w:rsidR="00196185" w:rsidRPr="009E6D46" w:rsidRDefault="00196185"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409</w:t>
      </w:r>
      <w:r w:rsidR="00152041" w:rsidRPr="009E6D46">
        <w:rPr>
          <w:sz w:val="22"/>
          <w:szCs w:val="22"/>
        </w:rPr>
        <w:t>.</w:t>
      </w:r>
    </w:p>
  </w:footnote>
  <w:footnote w:id="126">
    <w:p w14:paraId="09E2E020" w14:textId="51D8E810" w:rsidR="00C741E5" w:rsidRPr="009E6D46" w:rsidRDefault="00C741E5"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411</w:t>
      </w:r>
      <w:r w:rsidR="00152041" w:rsidRPr="009E6D46">
        <w:rPr>
          <w:sz w:val="22"/>
          <w:szCs w:val="22"/>
        </w:rPr>
        <w:t>.</w:t>
      </w:r>
    </w:p>
  </w:footnote>
  <w:footnote w:id="127">
    <w:p w14:paraId="5AF7199F" w14:textId="714EF095" w:rsidR="00C741E5" w:rsidRPr="009E6D46" w:rsidRDefault="00C741E5"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416</w:t>
      </w:r>
      <w:r w:rsidR="00152041" w:rsidRPr="009E6D46">
        <w:rPr>
          <w:sz w:val="22"/>
          <w:szCs w:val="22"/>
        </w:rPr>
        <w:t>.</w:t>
      </w:r>
    </w:p>
  </w:footnote>
  <w:footnote w:id="128">
    <w:p w14:paraId="7E3EDCE3" w14:textId="1F88D1D3" w:rsidR="00C741E5" w:rsidRPr="009E6D46" w:rsidRDefault="00C741E5"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417</w:t>
      </w:r>
      <w:r w:rsidR="00152041" w:rsidRPr="009E6D46">
        <w:rPr>
          <w:sz w:val="22"/>
          <w:szCs w:val="22"/>
        </w:rPr>
        <w:t>.</w:t>
      </w:r>
    </w:p>
  </w:footnote>
  <w:footnote w:id="129">
    <w:p w14:paraId="15D0D253" w14:textId="46BE5538" w:rsidR="00C741E5" w:rsidRPr="009E6D46" w:rsidRDefault="00C741E5"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419</w:t>
      </w:r>
      <w:r w:rsidR="00152041" w:rsidRPr="009E6D46">
        <w:rPr>
          <w:sz w:val="22"/>
          <w:szCs w:val="22"/>
        </w:rPr>
        <w:t>.</w:t>
      </w:r>
    </w:p>
  </w:footnote>
  <w:footnote w:id="130">
    <w:p w14:paraId="70EAEC43" w14:textId="6CAE985B" w:rsidR="00C741E5" w:rsidRPr="009E6D46" w:rsidRDefault="00C741E5"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420</w:t>
      </w:r>
      <w:r w:rsidR="00152041" w:rsidRPr="009E6D46">
        <w:rPr>
          <w:sz w:val="22"/>
          <w:szCs w:val="22"/>
        </w:rPr>
        <w:t>.</w:t>
      </w:r>
    </w:p>
  </w:footnote>
  <w:footnote w:id="131">
    <w:p w14:paraId="724950C2" w14:textId="627FDFB0" w:rsidR="00127F69" w:rsidRPr="009E6D46" w:rsidRDefault="00127F6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 420.</w:t>
      </w:r>
    </w:p>
  </w:footnote>
  <w:footnote w:id="132">
    <w:p w14:paraId="0CB8678B" w14:textId="6CD64E83" w:rsidR="00C741E5" w:rsidRPr="009E6D46" w:rsidRDefault="00C741E5"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421</w:t>
      </w:r>
      <w:r w:rsidR="00152041" w:rsidRPr="009E6D46">
        <w:rPr>
          <w:sz w:val="22"/>
          <w:szCs w:val="22"/>
        </w:rPr>
        <w:t>.</w:t>
      </w:r>
    </w:p>
  </w:footnote>
  <w:footnote w:id="133">
    <w:p w14:paraId="2479E21F" w14:textId="37532968" w:rsidR="00127F69" w:rsidRPr="009E6D46" w:rsidRDefault="00127F6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 424.</w:t>
      </w:r>
    </w:p>
  </w:footnote>
  <w:footnote w:id="134">
    <w:p w14:paraId="26875515" w14:textId="3046F652" w:rsidR="00C741E5" w:rsidRPr="009E6D46" w:rsidRDefault="00C741E5"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431.</w:t>
      </w:r>
    </w:p>
  </w:footnote>
  <w:footnote w:id="135">
    <w:p w14:paraId="422685AE" w14:textId="7D048B72" w:rsidR="00B77849" w:rsidRPr="009E6D46" w:rsidRDefault="00B7784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434</w:t>
      </w:r>
      <w:r w:rsidR="00152041" w:rsidRPr="009E6D46">
        <w:rPr>
          <w:sz w:val="22"/>
          <w:szCs w:val="22"/>
        </w:rPr>
        <w:t>.</w:t>
      </w:r>
    </w:p>
  </w:footnote>
  <w:footnote w:id="136">
    <w:p w14:paraId="32B1D88F" w14:textId="708832D4" w:rsidR="00B77849" w:rsidRPr="009E6D46" w:rsidRDefault="00B7784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8E697F" w:rsidRPr="009E6D46">
        <w:rPr>
          <w:sz w:val="22"/>
          <w:szCs w:val="22"/>
        </w:rPr>
        <w:t>FERC</w:t>
      </w:r>
      <w:r w:rsidRPr="009E6D46">
        <w:rPr>
          <w:sz w:val="22"/>
          <w:szCs w:val="22"/>
        </w:rPr>
        <w:t xml:space="preserve"> explained that evaluation processes must:  (1) identify one or more LTRTF (or portfolio of LTRTF) that address the Long-Term Transmission Needs that TPs identify in Long-Term Regional Transmission Planning; (2) estimate the costs and measure the benefits of LTRTF that are identified or proposed for potential selection; (3) designate a point in the evaluation process that is no later than three years following the beginning of the Long-Term Regional Transmission Planning cycle at which TPs will determine to select or not to select identified or proposed LTRTF; and (4) culminate in determinations that are sufficiently detailed for stakeholders to understand why a particular Long-Term Regional Transmission Facility (or portfolio of LTRTF) was selected or not selected. </w:t>
      </w:r>
      <w:r w:rsidR="0008704C" w:rsidRPr="009E6D46">
        <w:rPr>
          <w:i/>
          <w:iCs/>
          <w:sz w:val="22"/>
          <w:szCs w:val="22"/>
        </w:rPr>
        <w:t xml:space="preserve">Id. </w:t>
      </w:r>
      <w:r w:rsidR="0008704C" w:rsidRPr="009E6D46">
        <w:rPr>
          <w:sz w:val="22"/>
          <w:szCs w:val="22"/>
        </w:rPr>
        <w:t xml:space="preserve">at P </w:t>
      </w:r>
      <w:r w:rsidRPr="009E6D46">
        <w:rPr>
          <w:sz w:val="22"/>
          <w:szCs w:val="22"/>
        </w:rPr>
        <w:t>437</w:t>
      </w:r>
      <w:r w:rsidR="00152041" w:rsidRPr="009E6D46">
        <w:rPr>
          <w:sz w:val="22"/>
          <w:szCs w:val="22"/>
        </w:rPr>
        <w:t>.</w:t>
      </w:r>
    </w:p>
  </w:footnote>
  <w:footnote w:id="137">
    <w:p w14:paraId="54794850" w14:textId="62075B6B" w:rsidR="00B77849" w:rsidRPr="009E6D46" w:rsidRDefault="00B7784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435</w:t>
      </w:r>
      <w:r w:rsidR="00152041" w:rsidRPr="009E6D46">
        <w:rPr>
          <w:sz w:val="22"/>
          <w:szCs w:val="22"/>
        </w:rPr>
        <w:t>.</w:t>
      </w:r>
    </w:p>
  </w:footnote>
  <w:footnote w:id="138">
    <w:p w14:paraId="4D5FD414" w14:textId="3BA76D8B" w:rsidR="00B77849" w:rsidRPr="009E6D46" w:rsidRDefault="00B7784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at P</w:t>
      </w:r>
      <w:r w:rsidR="00152041" w:rsidRPr="009E6D46">
        <w:rPr>
          <w:sz w:val="22"/>
          <w:szCs w:val="22"/>
        </w:rPr>
        <w:t>P</w:t>
      </w:r>
      <w:r w:rsidR="0008704C" w:rsidRPr="009E6D46">
        <w:rPr>
          <w:sz w:val="22"/>
          <w:szCs w:val="22"/>
        </w:rPr>
        <w:t xml:space="preserve"> </w:t>
      </w:r>
      <w:r w:rsidRPr="009E6D46">
        <w:rPr>
          <w:sz w:val="22"/>
          <w:szCs w:val="22"/>
        </w:rPr>
        <w:t>445, 447.</w:t>
      </w:r>
    </w:p>
  </w:footnote>
  <w:footnote w:id="139">
    <w:p w14:paraId="094FB6DC" w14:textId="0BF713B1" w:rsidR="00983B66" w:rsidRPr="009E6D46" w:rsidRDefault="00983B66"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 450.</w:t>
      </w:r>
    </w:p>
  </w:footnote>
  <w:footnote w:id="140">
    <w:p w14:paraId="1D18786D" w14:textId="5D89CF82" w:rsidR="00983B66" w:rsidRPr="009E6D46" w:rsidRDefault="00983B66"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w:t>
      </w:r>
    </w:p>
  </w:footnote>
  <w:footnote w:id="141">
    <w:p w14:paraId="16CDCA5B" w14:textId="40710DB9" w:rsidR="00983B66" w:rsidRPr="009E6D46" w:rsidRDefault="00983B66"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w:t>
      </w:r>
    </w:p>
  </w:footnote>
  <w:footnote w:id="142">
    <w:p w14:paraId="2B8DB826" w14:textId="0A018A1E" w:rsidR="00983B66" w:rsidRPr="009E6D46" w:rsidRDefault="00983B66"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w:t>
      </w:r>
    </w:p>
  </w:footnote>
  <w:footnote w:id="143">
    <w:p w14:paraId="3EFE4EF3" w14:textId="272021CE" w:rsidR="00983B66" w:rsidRPr="009E6D46" w:rsidRDefault="00983B66"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w:t>
      </w:r>
    </w:p>
  </w:footnote>
  <w:footnote w:id="144">
    <w:p w14:paraId="50BEA4F4" w14:textId="3886D7AF" w:rsidR="00B77849" w:rsidRPr="009E6D46" w:rsidRDefault="00B7784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452</w:t>
      </w:r>
      <w:r w:rsidR="00152041" w:rsidRPr="009E6D46">
        <w:rPr>
          <w:sz w:val="22"/>
          <w:szCs w:val="22"/>
        </w:rPr>
        <w:t>.</w:t>
      </w:r>
    </w:p>
  </w:footnote>
  <w:footnote w:id="145">
    <w:p w14:paraId="50DA28D1" w14:textId="0E4D7063" w:rsidR="00B77849" w:rsidRPr="009E6D46" w:rsidRDefault="00B7784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460</w:t>
      </w:r>
      <w:r w:rsidR="00152041" w:rsidRPr="009E6D46">
        <w:rPr>
          <w:sz w:val="22"/>
          <w:szCs w:val="22"/>
        </w:rPr>
        <w:t>.</w:t>
      </w:r>
    </w:p>
  </w:footnote>
  <w:footnote w:id="146">
    <w:p w14:paraId="0DA27B33" w14:textId="59A5BFB1" w:rsidR="008E697F" w:rsidRPr="009E6D46" w:rsidRDefault="008E697F"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461</w:t>
      </w:r>
      <w:r w:rsidR="00152041" w:rsidRPr="009E6D46">
        <w:rPr>
          <w:sz w:val="22"/>
          <w:szCs w:val="22"/>
        </w:rPr>
        <w:t>.</w:t>
      </w:r>
    </w:p>
  </w:footnote>
  <w:footnote w:id="147">
    <w:p w14:paraId="0EE47130" w14:textId="75E41E4A" w:rsidR="008E697F" w:rsidRPr="009E6D46" w:rsidRDefault="008E697F"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462</w:t>
      </w:r>
      <w:r w:rsidR="00152041" w:rsidRPr="009E6D46">
        <w:rPr>
          <w:sz w:val="22"/>
          <w:szCs w:val="22"/>
        </w:rPr>
        <w:t>.</w:t>
      </w:r>
    </w:p>
  </w:footnote>
  <w:footnote w:id="148">
    <w:p w14:paraId="208D74F1" w14:textId="64AD4579" w:rsidR="003203D1" w:rsidRPr="009E6D46" w:rsidRDefault="003203D1"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465</w:t>
      </w:r>
      <w:r w:rsidR="00152041" w:rsidRPr="009E6D46">
        <w:rPr>
          <w:sz w:val="22"/>
          <w:szCs w:val="22"/>
        </w:rPr>
        <w:t>.</w:t>
      </w:r>
    </w:p>
  </w:footnote>
  <w:footnote w:id="149">
    <w:p w14:paraId="3CA80594" w14:textId="20B79D1B" w:rsidR="003203D1" w:rsidRPr="009E6D46" w:rsidRDefault="003203D1"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46</w:t>
      </w:r>
      <w:r w:rsidR="00493114" w:rsidRPr="009E6D46">
        <w:rPr>
          <w:sz w:val="22"/>
          <w:szCs w:val="22"/>
        </w:rPr>
        <w:t>8</w:t>
      </w:r>
      <w:r w:rsidR="00152041" w:rsidRPr="009E6D46">
        <w:rPr>
          <w:sz w:val="22"/>
          <w:szCs w:val="22"/>
        </w:rPr>
        <w:t>.</w:t>
      </w:r>
    </w:p>
  </w:footnote>
  <w:footnote w:id="150">
    <w:p w14:paraId="172DAE3C" w14:textId="45BAA7A2" w:rsidR="002D2351" w:rsidRPr="009E6D46" w:rsidRDefault="002D2351"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471</w:t>
      </w:r>
      <w:r w:rsidR="00152041" w:rsidRPr="009E6D46">
        <w:rPr>
          <w:sz w:val="22"/>
          <w:szCs w:val="22"/>
        </w:rPr>
        <w:t>.</w:t>
      </w:r>
    </w:p>
  </w:footnote>
  <w:footnote w:id="151">
    <w:p w14:paraId="1F62A08B" w14:textId="0668B328" w:rsidR="002D2351" w:rsidRPr="009E6D46" w:rsidRDefault="002D2351"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at P</w:t>
      </w:r>
      <w:r w:rsidR="00152041" w:rsidRPr="009E6D46">
        <w:rPr>
          <w:sz w:val="22"/>
          <w:szCs w:val="22"/>
        </w:rPr>
        <w:t>P</w:t>
      </w:r>
      <w:r w:rsidR="0008704C" w:rsidRPr="009E6D46">
        <w:rPr>
          <w:sz w:val="22"/>
          <w:szCs w:val="22"/>
        </w:rPr>
        <w:t xml:space="preserve"> </w:t>
      </w:r>
      <w:r w:rsidRPr="009E6D46">
        <w:rPr>
          <w:sz w:val="22"/>
          <w:szCs w:val="22"/>
        </w:rPr>
        <w:t>497</w:t>
      </w:r>
      <w:r w:rsidR="00493114" w:rsidRPr="009E6D46">
        <w:rPr>
          <w:sz w:val="22"/>
          <w:szCs w:val="22"/>
        </w:rPr>
        <w:t>-501</w:t>
      </w:r>
      <w:r w:rsidR="00152041" w:rsidRPr="009E6D46">
        <w:rPr>
          <w:sz w:val="22"/>
          <w:szCs w:val="22"/>
        </w:rPr>
        <w:t>.</w:t>
      </w:r>
    </w:p>
  </w:footnote>
  <w:footnote w:id="152">
    <w:p w14:paraId="0C6FB023" w14:textId="4E5C5400" w:rsidR="002D2351" w:rsidRPr="009E6D46" w:rsidRDefault="002D2351"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507</w:t>
      </w:r>
      <w:r w:rsidR="00152041" w:rsidRPr="009E6D46">
        <w:rPr>
          <w:sz w:val="22"/>
          <w:szCs w:val="22"/>
        </w:rPr>
        <w:t>.</w:t>
      </w:r>
    </w:p>
  </w:footnote>
  <w:footnote w:id="153">
    <w:p w14:paraId="4CF2CE1E" w14:textId="648A0366" w:rsidR="002D2351" w:rsidRPr="009E6D46" w:rsidRDefault="002D2351"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508.</w:t>
      </w:r>
    </w:p>
  </w:footnote>
  <w:footnote w:id="154">
    <w:p w14:paraId="2F0691DC" w14:textId="48A061D4"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525.</w:t>
      </w:r>
    </w:p>
  </w:footnote>
  <w:footnote w:id="155">
    <w:p w14:paraId="78219E31" w14:textId="777C1390" w:rsidR="001A21BC" w:rsidRPr="009E6D46" w:rsidRDefault="001A21B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538.</w:t>
      </w:r>
    </w:p>
  </w:footnote>
  <w:footnote w:id="156">
    <w:p w14:paraId="276D3DE8" w14:textId="7297F5F7" w:rsidR="001A21BC" w:rsidRPr="009E6D46" w:rsidRDefault="001A21B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540.</w:t>
      </w:r>
    </w:p>
  </w:footnote>
  <w:footnote w:id="157">
    <w:p w14:paraId="4A4C68A0" w14:textId="7AF381F0" w:rsidR="001A21BC" w:rsidRPr="009E6D46" w:rsidRDefault="001A21B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546.</w:t>
      </w:r>
    </w:p>
  </w:footnote>
  <w:footnote w:id="158">
    <w:p w14:paraId="4F5912BB" w14:textId="30CB6EC5" w:rsidR="00482ED4" w:rsidRPr="009E6D46" w:rsidRDefault="00482ED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544</w:t>
      </w:r>
      <w:r w:rsidR="00152041" w:rsidRPr="009E6D46">
        <w:rPr>
          <w:sz w:val="22"/>
          <w:szCs w:val="22"/>
        </w:rPr>
        <w:t>.</w:t>
      </w:r>
    </w:p>
  </w:footnote>
  <w:footnote w:id="159">
    <w:p w14:paraId="1B79036C" w14:textId="252B5987" w:rsidR="00482ED4" w:rsidRPr="009E6D46" w:rsidRDefault="00482ED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547</w:t>
      </w:r>
      <w:r w:rsidR="00152041" w:rsidRPr="009E6D46">
        <w:rPr>
          <w:sz w:val="22"/>
          <w:szCs w:val="22"/>
        </w:rPr>
        <w:t>.</w:t>
      </w:r>
    </w:p>
  </w:footnote>
  <w:footnote w:id="160">
    <w:p w14:paraId="0C850EEB" w14:textId="7452DF7D" w:rsidR="00482ED4" w:rsidRPr="009E6D46" w:rsidRDefault="00482ED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577 (</w:t>
      </w:r>
      <w:r w:rsidRPr="009E6D46">
        <w:rPr>
          <w:i/>
          <w:iCs/>
          <w:sz w:val="22"/>
          <w:szCs w:val="22"/>
        </w:rPr>
        <w:t>See</w:t>
      </w:r>
      <w:r w:rsidRPr="009E6D46">
        <w:rPr>
          <w:sz w:val="22"/>
          <w:szCs w:val="22"/>
        </w:rPr>
        <w:t xml:space="preserve"> P 548-49 for reasoning behind seven</w:t>
      </w:r>
      <w:r w:rsidR="00226FEE" w:rsidRPr="009E6D46">
        <w:rPr>
          <w:sz w:val="22"/>
          <w:szCs w:val="22"/>
        </w:rPr>
        <w:t>-</w:t>
      </w:r>
      <w:r w:rsidRPr="009E6D46">
        <w:rPr>
          <w:sz w:val="22"/>
          <w:szCs w:val="22"/>
        </w:rPr>
        <w:t>year period).</w:t>
      </w:r>
    </w:p>
  </w:footnote>
  <w:footnote w:id="161">
    <w:p w14:paraId="679A0830" w14:textId="09CD2260" w:rsidR="00482ED4" w:rsidRPr="009E6D46" w:rsidRDefault="00482ED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556</w:t>
      </w:r>
      <w:r w:rsidR="00152041" w:rsidRPr="009E6D46">
        <w:rPr>
          <w:sz w:val="22"/>
          <w:szCs w:val="22"/>
        </w:rPr>
        <w:t>.</w:t>
      </w:r>
    </w:p>
  </w:footnote>
  <w:footnote w:id="162">
    <w:p w14:paraId="6B82457B" w14:textId="6A1420CB"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557</w:t>
      </w:r>
      <w:r w:rsidR="00152041" w:rsidRPr="009E6D46">
        <w:rPr>
          <w:sz w:val="22"/>
          <w:szCs w:val="22"/>
        </w:rPr>
        <w:t>.</w:t>
      </w:r>
    </w:p>
  </w:footnote>
  <w:footnote w:id="163">
    <w:p w14:paraId="57152099" w14:textId="205FAF90" w:rsidR="00482ED4" w:rsidRPr="009E6D46" w:rsidRDefault="00482ED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562</w:t>
      </w:r>
      <w:r w:rsidR="00152041" w:rsidRPr="009E6D46">
        <w:rPr>
          <w:sz w:val="22"/>
          <w:szCs w:val="22"/>
        </w:rPr>
        <w:t>.</w:t>
      </w:r>
    </w:p>
  </w:footnote>
  <w:footnote w:id="164">
    <w:p w14:paraId="60907F8C" w14:textId="6735E5F8" w:rsidR="00482ED4" w:rsidRPr="009E6D46" w:rsidRDefault="00482ED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563</w:t>
      </w:r>
      <w:r w:rsidR="00152041" w:rsidRPr="009E6D46">
        <w:rPr>
          <w:sz w:val="22"/>
          <w:szCs w:val="22"/>
        </w:rPr>
        <w:t>.</w:t>
      </w:r>
    </w:p>
  </w:footnote>
  <w:footnote w:id="165">
    <w:p w14:paraId="227A0244" w14:textId="3E5E6167" w:rsidR="00482ED4" w:rsidRPr="009E6D46" w:rsidRDefault="00482ED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565</w:t>
      </w:r>
      <w:r w:rsidR="00152041" w:rsidRPr="009E6D46">
        <w:rPr>
          <w:sz w:val="22"/>
          <w:szCs w:val="22"/>
        </w:rPr>
        <w:t>.</w:t>
      </w:r>
    </w:p>
  </w:footnote>
  <w:footnote w:id="166">
    <w:p w14:paraId="3DB5AD77" w14:textId="5C6E8027" w:rsidR="00482ED4" w:rsidRPr="009E6D46" w:rsidRDefault="00482ED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565</w:t>
      </w:r>
      <w:r w:rsidR="00152041" w:rsidRPr="009E6D46">
        <w:rPr>
          <w:sz w:val="22"/>
          <w:szCs w:val="22"/>
        </w:rPr>
        <w:t>.</w:t>
      </w:r>
    </w:p>
  </w:footnote>
  <w:footnote w:id="167">
    <w:p w14:paraId="1C267FBB" w14:textId="2ACB8E3F" w:rsidR="001A21BC" w:rsidRPr="009E6D46" w:rsidRDefault="001A21B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564. </w:t>
      </w:r>
    </w:p>
  </w:footnote>
  <w:footnote w:id="168">
    <w:p w14:paraId="5A2D8E67" w14:textId="49963870"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566.</w:t>
      </w:r>
    </w:p>
  </w:footnote>
  <w:footnote w:id="169">
    <w:p w14:paraId="0863D80F" w14:textId="3687C1B9" w:rsidR="005C5D4C" w:rsidRPr="009E6D46" w:rsidRDefault="005C5D4C" w:rsidP="009E6D46">
      <w:pPr>
        <w:pStyle w:val="FootnoteText"/>
        <w:spacing w:after="120"/>
        <w:rPr>
          <w:sz w:val="22"/>
          <w:szCs w:val="22"/>
        </w:rPr>
      </w:pPr>
      <w:r w:rsidRPr="009E6D46">
        <w:rPr>
          <w:rStyle w:val="FootnoteReference"/>
          <w:sz w:val="22"/>
          <w:szCs w:val="22"/>
        </w:rPr>
        <w:footnoteRef/>
      </w:r>
      <w:r w:rsidR="0008704C" w:rsidRPr="009E6D46">
        <w:rPr>
          <w:i/>
          <w:iCs/>
          <w:sz w:val="22"/>
          <w:szCs w:val="22"/>
        </w:rPr>
        <w:t xml:space="preserve">Id. </w:t>
      </w:r>
      <w:r w:rsidR="0008704C" w:rsidRPr="009E6D46">
        <w:rPr>
          <w:sz w:val="22"/>
          <w:szCs w:val="22"/>
        </w:rPr>
        <w:t>at</w:t>
      </w:r>
      <w:r w:rsidRPr="009E6D46">
        <w:rPr>
          <w:sz w:val="22"/>
          <w:szCs w:val="22"/>
        </w:rPr>
        <w:t xml:space="preserve"> </w:t>
      </w:r>
      <w:r w:rsidR="0008704C" w:rsidRPr="009E6D46">
        <w:rPr>
          <w:sz w:val="22"/>
          <w:szCs w:val="22"/>
        </w:rPr>
        <w:t xml:space="preserve">P </w:t>
      </w:r>
      <w:r w:rsidRPr="009E6D46">
        <w:rPr>
          <w:sz w:val="22"/>
          <w:szCs w:val="22"/>
        </w:rPr>
        <w:t>572.</w:t>
      </w:r>
    </w:p>
  </w:footnote>
  <w:footnote w:id="170">
    <w:p w14:paraId="107594A8" w14:textId="5C8BA4FE" w:rsidR="00AD3EC0" w:rsidRPr="009E6D46" w:rsidRDefault="00AD3EC0"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588.</w:t>
      </w:r>
    </w:p>
  </w:footnote>
  <w:footnote w:id="171">
    <w:p w14:paraId="0ADBEBB1" w14:textId="4295A3AE" w:rsidR="001A21BC" w:rsidRPr="009E6D46" w:rsidRDefault="001A21B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w:t>
      </w:r>
    </w:p>
  </w:footnote>
  <w:footnote w:id="172">
    <w:p w14:paraId="3A398DEE" w14:textId="3DD32501" w:rsidR="00AD3EC0" w:rsidRPr="009E6D46" w:rsidRDefault="00AD3EC0"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594</w:t>
      </w:r>
      <w:r w:rsidR="00152041" w:rsidRPr="009E6D46">
        <w:rPr>
          <w:sz w:val="22"/>
          <w:szCs w:val="22"/>
        </w:rPr>
        <w:t>.</w:t>
      </w:r>
    </w:p>
  </w:footnote>
  <w:footnote w:id="173">
    <w:p w14:paraId="605E5F12" w14:textId="6065B1CE" w:rsidR="00AD3EC0" w:rsidRPr="009E6D46" w:rsidRDefault="00AD3EC0"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at P</w:t>
      </w:r>
      <w:r w:rsidR="00152041" w:rsidRPr="009E6D46">
        <w:rPr>
          <w:sz w:val="22"/>
          <w:szCs w:val="22"/>
        </w:rPr>
        <w:t>P</w:t>
      </w:r>
      <w:r w:rsidR="0008704C" w:rsidRPr="009E6D46">
        <w:rPr>
          <w:sz w:val="22"/>
          <w:szCs w:val="22"/>
        </w:rPr>
        <w:t xml:space="preserve"> </w:t>
      </w:r>
      <w:r w:rsidRPr="009E6D46">
        <w:rPr>
          <w:sz w:val="22"/>
          <w:szCs w:val="22"/>
        </w:rPr>
        <w:t>594</w:t>
      </w:r>
      <w:r w:rsidR="00152041" w:rsidRPr="009E6D46">
        <w:rPr>
          <w:sz w:val="22"/>
          <w:szCs w:val="22"/>
        </w:rPr>
        <w:t>,</w:t>
      </w:r>
      <w:r w:rsidR="00103AEB" w:rsidRPr="009E6D46">
        <w:rPr>
          <w:sz w:val="22"/>
          <w:szCs w:val="22"/>
        </w:rPr>
        <w:t xml:space="preserve"> </w:t>
      </w:r>
      <w:r w:rsidRPr="009E6D46">
        <w:rPr>
          <w:sz w:val="22"/>
          <w:szCs w:val="22"/>
        </w:rPr>
        <w:t>599</w:t>
      </w:r>
      <w:r w:rsidR="00152041" w:rsidRPr="009E6D46">
        <w:rPr>
          <w:sz w:val="22"/>
          <w:szCs w:val="22"/>
        </w:rPr>
        <w:t>.</w:t>
      </w:r>
    </w:p>
  </w:footnote>
  <w:footnote w:id="174">
    <w:p w14:paraId="6ADA3816" w14:textId="6A27BB05" w:rsidR="00AD3EC0" w:rsidRPr="009E6D46" w:rsidRDefault="00AD3EC0"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598</w:t>
      </w:r>
      <w:r w:rsidR="00152041" w:rsidRPr="009E6D46">
        <w:rPr>
          <w:sz w:val="22"/>
          <w:szCs w:val="22"/>
        </w:rPr>
        <w:t>.</w:t>
      </w:r>
    </w:p>
  </w:footnote>
  <w:footnote w:id="175">
    <w:p w14:paraId="50A69E5A" w14:textId="17619A93" w:rsidR="00AD3EC0" w:rsidRPr="009E6D46" w:rsidRDefault="00AD3EC0"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599</w:t>
      </w:r>
      <w:r w:rsidR="00152041" w:rsidRPr="009E6D46">
        <w:rPr>
          <w:sz w:val="22"/>
          <w:szCs w:val="22"/>
        </w:rPr>
        <w:t>.</w:t>
      </w:r>
    </w:p>
  </w:footnote>
  <w:footnote w:id="176">
    <w:p w14:paraId="2315C4EE" w14:textId="5B233314" w:rsidR="00AD3EC0" w:rsidRPr="009E6D46" w:rsidRDefault="00AD3EC0"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600</w:t>
      </w:r>
      <w:r w:rsidR="00152041" w:rsidRPr="009E6D46">
        <w:rPr>
          <w:sz w:val="22"/>
          <w:szCs w:val="22"/>
        </w:rPr>
        <w:t>.</w:t>
      </w:r>
    </w:p>
  </w:footnote>
  <w:footnote w:id="177">
    <w:p w14:paraId="153096F6" w14:textId="4ADFB5EA" w:rsidR="00AD3EC0" w:rsidRPr="009E6D46" w:rsidRDefault="00AD3EC0"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607</w:t>
      </w:r>
      <w:r w:rsidR="00152041" w:rsidRPr="009E6D46">
        <w:rPr>
          <w:sz w:val="22"/>
          <w:szCs w:val="22"/>
        </w:rPr>
        <w:t>.</w:t>
      </w:r>
    </w:p>
  </w:footnote>
  <w:footnote w:id="178">
    <w:p w14:paraId="702C527D" w14:textId="228E94A2" w:rsidR="000B331E" w:rsidRPr="009E6D46" w:rsidRDefault="000B331E"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00152041" w:rsidRPr="009E6D46">
        <w:rPr>
          <w:i/>
          <w:iCs/>
          <w:sz w:val="22"/>
          <w:szCs w:val="22"/>
        </w:rPr>
        <w:t>.</w:t>
      </w:r>
    </w:p>
  </w:footnote>
  <w:footnote w:id="179">
    <w:p w14:paraId="17EC92E0" w14:textId="67043925" w:rsidR="00AD3EC0" w:rsidRPr="009E6D46" w:rsidRDefault="00AD3EC0"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608</w:t>
      </w:r>
      <w:r w:rsidR="00152041" w:rsidRPr="009E6D46">
        <w:rPr>
          <w:sz w:val="22"/>
          <w:szCs w:val="22"/>
        </w:rPr>
        <w:t>.</w:t>
      </w:r>
    </w:p>
  </w:footnote>
  <w:footnote w:id="180">
    <w:p w14:paraId="7C429307" w14:textId="2F79D6C9" w:rsidR="00AD3EC0" w:rsidRPr="009E6D46" w:rsidRDefault="00AD3EC0"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0008704C" w:rsidRPr="009E6D46">
        <w:rPr>
          <w:i/>
          <w:iCs/>
          <w:sz w:val="22"/>
          <w:szCs w:val="22"/>
        </w:rPr>
        <w:t xml:space="preserve">Id. </w:t>
      </w:r>
      <w:r w:rsidR="0008704C" w:rsidRPr="009E6D46">
        <w:rPr>
          <w:sz w:val="22"/>
          <w:szCs w:val="22"/>
        </w:rPr>
        <w:t xml:space="preserve">at P </w:t>
      </w:r>
      <w:r w:rsidRPr="009E6D46">
        <w:rPr>
          <w:sz w:val="22"/>
          <w:szCs w:val="22"/>
        </w:rPr>
        <w:t>609</w:t>
      </w:r>
      <w:r w:rsidR="00152041" w:rsidRPr="009E6D46">
        <w:rPr>
          <w:sz w:val="22"/>
          <w:szCs w:val="22"/>
        </w:rPr>
        <w:t>.</w:t>
      </w:r>
    </w:p>
  </w:footnote>
  <w:footnote w:id="181">
    <w:p w14:paraId="10BF78F7" w14:textId="1CD0BE88" w:rsidR="00325AC0" w:rsidRPr="009E6D46" w:rsidRDefault="00325AC0"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618. In Order No. 1920, the Commission required TPs in each transmission planning region to revise their OATTs to include one or more </w:t>
      </w:r>
      <w:r w:rsidRPr="009E6D46">
        <w:rPr>
          <w:i/>
          <w:iCs/>
          <w:sz w:val="22"/>
          <w:szCs w:val="22"/>
        </w:rPr>
        <w:t>ex ante</w:t>
      </w:r>
      <w:r w:rsidRPr="009E6D46">
        <w:rPr>
          <w:sz w:val="22"/>
          <w:szCs w:val="22"/>
        </w:rPr>
        <w:t xml:space="preserve"> cost allocation methods that apply to LTRTFs that are selected in the regional transmission plan for purposes of cost allocation.</w:t>
      </w:r>
    </w:p>
  </w:footnote>
  <w:footnote w:id="182">
    <w:p w14:paraId="3689D351" w14:textId="77777777" w:rsidR="00342D99" w:rsidRPr="009E6D46" w:rsidRDefault="00342D9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650.</w:t>
      </w:r>
    </w:p>
  </w:footnote>
  <w:footnote w:id="183">
    <w:p w14:paraId="3159E294" w14:textId="3C569397" w:rsidR="0066491C" w:rsidRPr="009E6D46" w:rsidRDefault="0066491C"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659.</w:t>
      </w:r>
    </w:p>
  </w:footnote>
  <w:footnote w:id="184">
    <w:p w14:paraId="3EC0483C"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685. </w:t>
      </w:r>
    </w:p>
  </w:footnote>
  <w:footnote w:id="185">
    <w:p w14:paraId="719FED47"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701.</w:t>
      </w:r>
    </w:p>
  </w:footnote>
  <w:footnote w:id="186">
    <w:p w14:paraId="1F5EA193"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703.</w:t>
      </w:r>
    </w:p>
  </w:footnote>
  <w:footnote w:id="187">
    <w:p w14:paraId="0C6943B8"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637.</w:t>
      </w:r>
    </w:p>
  </w:footnote>
  <w:footnote w:id="188">
    <w:p w14:paraId="3D57AFFA"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651. Order No. 1920 requires that TPs in each transmission planning region provide notice, on its OASIS page or public website, of the deadline for RSEs to communicate their agreement on a Cost Allocation Method(s) and/or a State Agreement Process. This deadline must be no earlier than the end date of the Engagement Period. </w:t>
      </w:r>
      <w:r w:rsidRPr="009E6D46">
        <w:rPr>
          <w:i/>
          <w:iCs/>
          <w:sz w:val="22"/>
          <w:szCs w:val="22"/>
        </w:rPr>
        <w:t xml:space="preserve">See </w:t>
      </w:r>
      <w:r w:rsidRPr="009E6D46">
        <w:rPr>
          <w:sz w:val="22"/>
          <w:szCs w:val="22"/>
        </w:rPr>
        <w:t xml:space="preserve">Order No. 1920 at 1356. </w:t>
      </w:r>
    </w:p>
  </w:footnote>
  <w:footnote w:id="189">
    <w:p w14:paraId="6806E442"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i/>
          <w:iCs/>
          <w:sz w:val="22"/>
          <w:szCs w:val="22"/>
        </w:rPr>
        <w:t xml:space="preserve"> </w:t>
      </w:r>
      <w:r w:rsidRPr="009E6D46">
        <w:rPr>
          <w:sz w:val="22"/>
          <w:szCs w:val="22"/>
        </w:rPr>
        <w:t>Order No. 1920-A at PP 629, 651.</w:t>
      </w:r>
    </w:p>
  </w:footnote>
  <w:footnote w:id="190">
    <w:p w14:paraId="6B6F9B08"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655.</w:t>
      </w:r>
    </w:p>
  </w:footnote>
  <w:footnote w:id="191">
    <w:p w14:paraId="63DBCDC4" w14:textId="560F0FB2" w:rsidR="005F050F" w:rsidRPr="009E6D46" w:rsidRDefault="005F050F"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651.</w:t>
      </w:r>
    </w:p>
  </w:footnote>
  <w:footnote w:id="192">
    <w:p w14:paraId="34560AD7" w14:textId="12325486" w:rsidR="005F050F" w:rsidRPr="009E6D46" w:rsidRDefault="005F050F"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66491C" w:rsidRPr="009E6D46">
        <w:rPr>
          <w:i/>
          <w:iCs/>
          <w:sz w:val="22"/>
          <w:szCs w:val="22"/>
        </w:rPr>
        <w:t>Id.</w:t>
      </w:r>
      <w:r w:rsidR="0066491C" w:rsidRPr="009E6D46">
        <w:rPr>
          <w:sz w:val="22"/>
          <w:szCs w:val="22"/>
        </w:rPr>
        <w:t xml:space="preserve"> at P 654. </w:t>
      </w:r>
    </w:p>
  </w:footnote>
  <w:footnote w:id="193">
    <w:p w14:paraId="737085C6" w14:textId="6B779B8E" w:rsidR="0066491C" w:rsidRPr="009E6D46" w:rsidRDefault="0066491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655.</w:t>
      </w:r>
    </w:p>
  </w:footnote>
  <w:footnote w:id="194">
    <w:p w14:paraId="056DC1A9" w14:textId="4FAB5635" w:rsidR="0066491C" w:rsidRPr="009E6D46" w:rsidRDefault="0066491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665.</w:t>
      </w:r>
    </w:p>
  </w:footnote>
  <w:footnote w:id="195">
    <w:p w14:paraId="43E510E2" w14:textId="38EC4E72" w:rsidR="0066491C" w:rsidRPr="009E6D46" w:rsidRDefault="0066491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673.</w:t>
      </w:r>
    </w:p>
  </w:footnote>
  <w:footnote w:id="196">
    <w:p w14:paraId="4296FD57" w14:textId="72F1C181" w:rsidR="00BA4C99" w:rsidRPr="009E6D46" w:rsidRDefault="00BA4C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677.</w:t>
      </w:r>
    </w:p>
  </w:footnote>
  <w:footnote w:id="197">
    <w:p w14:paraId="31AC2785" w14:textId="12EB2249" w:rsidR="00BA4C99" w:rsidRPr="009E6D46" w:rsidRDefault="00BA4C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678. </w:t>
      </w:r>
    </w:p>
  </w:footnote>
  <w:footnote w:id="198">
    <w:p w14:paraId="203EB5FE" w14:textId="1D712204" w:rsidR="0066491C" w:rsidRPr="009E6D46" w:rsidRDefault="0066491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656.</w:t>
      </w:r>
    </w:p>
  </w:footnote>
  <w:footnote w:id="199">
    <w:p w14:paraId="39DA5FE7" w14:textId="62384686" w:rsidR="00BA4C99" w:rsidRPr="009E6D46" w:rsidRDefault="00BA4C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684.</w:t>
      </w:r>
    </w:p>
  </w:footnote>
  <w:footnote w:id="200">
    <w:p w14:paraId="3C37E530"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685. </w:t>
      </w:r>
    </w:p>
  </w:footnote>
  <w:footnote w:id="201">
    <w:p w14:paraId="47604006"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703. </w:t>
      </w:r>
    </w:p>
  </w:footnote>
  <w:footnote w:id="202">
    <w:p w14:paraId="40F2F80F" w14:textId="77777777" w:rsidR="00342D99" w:rsidRPr="009E6D46" w:rsidRDefault="00342D9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638 (citing Order No. 1920, 187 FERC ¶ 61,068 at P 1418 (“We will not specify the level of agreement among Relevant State Entities or other entities that is necessary before a transmission provider files a cost allocation method derived from a State Agreement Process.  As a state-led process, we believe that Relevant State Entities should have the ability to determine this important facet of their State Agreement Process.”)).</w:t>
      </w:r>
    </w:p>
  </w:footnote>
  <w:footnote w:id="203">
    <w:p w14:paraId="442322E7" w14:textId="77777777" w:rsidR="00342D99" w:rsidRPr="009E6D46" w:rsidRDefault="00342D9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PP 641, 654.</w:t>
      </w:r>
    </w:p>
  </w:footnote>
  <w:footnote w:id="204">
    <w:p w14:paraId="12FECE63" w14:textId="77777777" w:rsidR="00342D99" w:rsidRPr="009E6D46" w:rsidRDefault="00342D9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629.</w:t>
      </w:r>
    </w:p>
  </w:footnote>
  <w:footnote w:id="205">
    <w:p w14:paraId="77335ADC" w14:textId="3D9DEF2B" w:rsidR="00B03914" w:rsidRPr="009E6D46" w:rsidRDefault="00B0391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656.</w:t>
      </w:r>
    </w:p>
  </w:footnote>
  <w:footnote w:id="206">
    <w:p w14:paraId="64A69687" w14:textId="5C3E7BE7" w:rsidR="00B03914" w:rsidRPr="009E6D46" w:rsidRDefault="00B0391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673. </w:t>
      </w:r>
    </w:p>
  </w:footnote>
  <w:footnote w:id="207">
    <w:p w14:paraId="544076F8" w14:textId="77777777" w:rsidR="00342D99" w:rsidRPr="009E6D46" w:rsidRDefault="00342D9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659.</w:t>
      </w:r>
    </w:p>
  </w:footnote>
  <w:footnote w:id="208">
    <w:p w14:paraId="4820DB1D" w14:textId="77777777" w:rsidR="00342D99" w:rsidRPr="009E6D46" w:rsidRDefault="00342D9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639.</w:t>
      </w:r>
    </w:p>
  </w:footnote>
  <w:footnote w:id="209">
    <w:p w14:paraId="2F82CB44" w14:textId="77777777" w:rsidR="00342D99" w:rsidRPr="009E6D46" w:rsidRDefault="00342D99" w:rsidP="009E6D46">
      <w:pPr>
        <w:pStyle w:val="FootnoteText"/>
        <w:spacing w:after="120"/>
        <w:jc w:val="both"/>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691. </w:t>
      </w:r>
    </w:p>
  </w:footnote>
  <w:footnote w:id="210">
    <w:p w14:paraId="47BCC07A"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w:t>
      </w:r>
    </w:p>
  </w:footnote>
  <w:footnote w:id="211">
    <w:p w14:paraId="2F30DAD1"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692.</w:t>
      </w:r>
    </w:p>
  </w:footnote>
  <w:footnote w:id="212">
    <w:p w14:paraId="00475D3F"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712.</w:t>
      </w:r>
    </w:p>
  </w:footnote>
  <w:footnote w:id="213">
    <w:p w14:paraId="4CD0DAC8" w14:textId="2A54A1EB"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73</w:t>
      </w:r>
      <w:r w:rsidR="008E2309" w:rsidRPr="009E6D46">
        <w:rPr>
          <w:sz w:val="22"/>
          <w:szCs w:val="22"/>
        </w:rPr>
        <w:t>9</w:t>
      </w:r>
      <w:r w:rsidRPr="009E6D46">
        <w:rPr>
          <w:sz w:val="22"/>
          <w:szCs w:val="22"/>
        </w:rPr>
        <w:t>.</w:t>
      </w:r>
    </w:p>
  </w:footnote>
  <w:footnote w:id="214">
    <w:p w14:paraId="0365FA89" w14:textId="25D6B51E"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00152041" w:rsidRPr="009E6D46">
        <w:rPr>
          <w:i/>
          <w:iCs/>
          <w:sz w:val="22"/>
          <w:szCs w:val="22"/>
        </w:rPr>
        <w:t>Id.</w:t>
      </w:r>
      <w:r w:rsidR="00152041" w:rsidRPr="009E6D46">
        <w:rPr>
          <w:sz w:val="22"/>
          <w:szCs w:val="22"/>
        </w:rPr>
        <w:t xml:space="preserve"> at </w:t>
      </w:r>
      <w:r w:rsidRPr="009E6D46">
        <w:rPr>
          <w:sz w:val="22"/>
          <w:szCs w:val="22"/>
        </w:rPr>
        <w:t>P 7</w:t>
      </w:r>
      <w:r w:rsidR="008E2309" w:rsidRPr="009E6D46">
        <w:rPr>
          <w:sz w:val="22"/>
          <w:szCs w:val="22"/>
        </w:rPr>
        <w:t>25</w:t>
      </w:r>
      <w:r w:rsidR="00152041" w:rsidRPr="009E6D46">
        <w:rPr>
          <w:sz w:val="22"/>
          <w:szCs w:val="22"/>
        </w:rPr>
        <w:t>.</w:t>
      </w:r>
      <w:r w:rsidRPr="009E6D46">
        <w:rPr>
          <w:sz w:val="22"/>
          <w:szCs w:val="22"/>
        </w:rPr>
        <w:t xml:space="preserve"> </w:t>
      </w:r>
    </w:p>
  </w:footnote>
  <w:footnote w:id="215">
    <w:p w14:paraId="7A490D64"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740.</w:t>
      </w:r>
    </w:p>
  </w:footnote>
  <w:footnote w:id="216">
    <w:p w14:paraId="51313BCA" w14:textId="5DB6081D" w:rsidR="00B03914" w:rsidRPr="009E6D46" w:rsidRDefault="00B03914"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739.</w:t>
      </w:r>
    </w:p>
  </w:footnote>
  <w:footnote w:id="217">
    <w:p w14:paraId="7E0ED9F5" w14:textId="77777777"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743.</w:t>
      </w:r>
    </w:p>
  </w:footnote>
  <w:footnote w:id="218">
    <w:p w14:paraId="41854A1F"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745.</w:t>
      </w:r>
    </w:p>
  </w:footnote>
  <w:footnote w:id="219">
    <w:p w14:paraId="3179563D"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PP 751, 752.</w:t>
      </w:r>
    </w:p>
  </w:footnote>
  <w:footnote w:id="220">
    <w:p w14:paraId="16EE26DF"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763.</w:t>
      </w:r>
    </w:p>
  </w:footnote>
  <w:footnote w:id="221">
    <w:p w14:paraId="49560224"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764.</w:t>
      </w:r>
    </w:p>
  </w:footnote>
  <w:footnote w:id="222">
    <w:p w14:paraId="039D03B6"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766.</w:t>
      </w:r>
    </w:p>
  </w:footnote>
  <w:footnote w:id="223">
    <w:p w14:paraId="39A40E6C"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767.</w:t>
      </w:r>
    </w:p>
  </w:footnote>
  <w:footnote w:id="224">
    <w:p w14:paraId="22E97B1A" w14:textId="2A0DD4DF" w:rsidR="00241EF0" w:rsidRPr="009E6D46" w:rsidRDefault="00241EF0"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678.</w:t>
      </w:r>
    </w:p>
  </w:footnote>
  <w:footnote w:id="225">
    <w:p w14:paraId="1353CD64"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791.</w:t>
      </w:r>
    </w:p>
  </w:footnote>
  <w:footnote w:id="226">
    <w:p w14:paraId="10FB38B1"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792.</w:t>
      </w:r>
    </w:p>
  </w:footnote>
  <w:footnote w:id="227">
    <w:p w14:paraId="10BA9D18" w14:textId="4645259B"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w:t>
      </w:r>
    </w:p>
  </w:footnote>
  <w:footnote w:id="228">
    <w:p w14:paraId="62295D6F" w14:textId="1892DBAE"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w:t>
      </w:r>
    </w:p>
  </w:footnote>
  <w:footnote w:id="229">
    <w:p w14:paraId="67F2629C"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793.</w:t>
      </w:r>
    </w:p>
  </w:footnote>
  <w:footnote w:id="230">
    <w:p w14:paraId="58BDDB1A"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773.</w:t>
      </w:r>
    </w:p>
  </w:footnote>
  <w:footnote w:id="231">
    <w:p w14:paraId="43FDB9DF"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799.</w:t>
      </w:r>
    </w:p>
  </w:footnote>
  <w:footnote w:id="232">
    <w:p w14:paraId="59876FDB" w14:textId="7166B41E" w:rsidR="008E6E4E" w:rsidRPr="009E6D46" w:rsidRDefault="008E6E4E"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 803.</w:t>
      </w:r>
    </w:p>
  </w:footnote>
  <w:footnote w:id="233">
    <w:p w14:paraId="208E39C0"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PP 827, 875.</w:t>
      </w:r>
    </w:p>
  </w:footnote>
  <w:footnote w:id="234">
    <w:p w14:paraId="0B4A3366"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892.</w:t>
      </w:r>
    </w:p>
  </w:footnote>
  <w:footnote w:id="235">
    <w:p w14:paraId="1110025B" w14:textId="600A8F56" w:rsidR="0085578C" w:rsidRPr="009E6D46" w:rsidRDefault="0085578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PP 826-</w:t>
      </w:r>
      <w:r w:rsidR="00152041" w:rsidRPr="009E6D46">
        <w:rPr>
          <w:sz w:val="22"/>
          <w:szCs w:val="22"/>
        </w:rPr>
        <w:t>8</w:t>
      </w:r>
      <w:r w:rsidRPr="009E6D46">
        <w:rPr>
          <w:sz w:val="22"/>
          <w:szCs w:val="22"/>
        </w:rPr>
        <w:t>27.</w:t>
      </w:r>
    </w:p>
  </w:footnote>
  <w:footnote w:id="236">
    <w:p w14:paraId="27AC00A9" w14:textId="2E3C5FBA" w:rsidR="0085578C" w:rsidRPr="009E6D46" w:rsidRDefault="0085578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856.</w:t>
      </w:r>
    </w:p>
  </w:footnote>
  <w:footnote w:id="237">
    <w:p w14:paraId="4F7434DE"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w:t>
      </w:r>
    </w:p>
  </w:footnote>
  <w:footnote w:id="238">
    <w:p w14:paraId="381D10BA"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861.</w:t>
      </w:r>
    </w:p>
  </w:footnote>
  <w:footnote w:id="239">
    <w:p w14:paraId="4E176E82"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 862.</w:t>
      </w:r>
    </w:p>
  </w:footnote>
  <w:footnote w:id="240">
    <w:p w14:paraId="73F7613E" w14:textId="77777777" w:rsidR="00342D99" w:rsidRPr="009E6D46" w:rsidRDefault="00342D99"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w:t>
      </w:r>
    </w:p>
  </w:footnote>
  <w:footnote w:id="241">
    <w:p w14:paraId="74F4D983" w14:textId="77777777"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879.</w:t>
      </w:r>
    </w:p>
  </w:footnote>
  <w:footnote w:id="242">
    <w:p w14:paraId="70497C7C" w14:textId="77777777"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879.</w:t>
      </w:r>
    </w:p>
  </w:footnote>
  <w:footnote w:id="243">
    <w:p w14:paraId="4E3991AA" w14:textId="77777777"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881.</w:t>
      </w:r>
    </w:p>
  </w:footnote>
  <w:footnote w:id="244">
    <w:p w14:paraId="119600E6" w14:textId="77777777"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898.</w:t>
      </w:r>
    </w:p>
  </w:footnote>
  <w:footnote w:id="245">
    <w:p w14:paraId="42AD3EBD" w14:textId="77777777"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p>
  </w:footnote>
  <w:footnote w:id="246">
    <w:p w14:paraId="6FB0C280" w14:textId="77777777"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902.</w:t>
      </w:r>
    </w:p>
  </w:footnote>
  <w:footnote w:id="247">
    <w:p w14:paraId="6B22A208" w14:textId="77777777"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p>
  </w:footnote>
  <w:footnote w:id="248">
    <w:p w14:paraId="6F4F1EC9" w14:textId="77777777"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914.</w:t>
      </w:r>
    </w:p>
  </w:footnote>
  <w:footnote w:id="249">
    <w:p w14:paraId="495CE740" w14:textId="77777777"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915.</w:t>
      </w:r>
    </w:p>
  </w:footnote>
  <w:footnote w:id="250">
    <w:p w14:paraId="0C206130" w14:textId="77777777"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925.</w:t>
      </w:r>
    </w:p>
  </w:footnote>
  <w:footnote w:id="251">
    <w:p w14:paraId="513D273C" w14:textId="77777777"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922.</w:t>
      </w:r>
    </w:p>
  </w:footnote>
  <w:footnote w:id="252">
    <w:p w14:paraId="25496A1C" w14:textId="08824996" w:rsidR="00EB35C6" w:rsidRPr="009E6D46" w:rsidRDefault="00EB35C6"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PP 918-920.</w:t>
      </w:r>
    </w:p>
  </w:footnote>
  <w:footnote w:id="253">
    <w:p w14:paraId="3216F680" w14:textId="77777777"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920.</w:t>
      </w:r>
    </w:p>
  </w:footnote>
  <w:footnote w:id="254">
    <w:p w14:paraId="35FB4DD7" w14:textId="77777777"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923.</w:t>
      </w:r>
    </w:p>
  </w:footnote>
  <w:footnote w:id="255">
    <w:p w14:paraId="04E5F392" w14:textId="77777777" w:rsidR="005C5D4C" w:rsidRPr="009E6D46" w:rsidRDefault="005C5D4C"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xml:space="preserve"> at P 926.</w:t>
      </w:r>
    </w:p>
  </w:footnote>
  <w:footnote w:id="256">
    <w:p w14:paraId="3D72EC07" w14:textId="53893D03" w:rsidR="00717B7D" w:rsidRPr="009E6D46" w:rsidRDefault="00717B7D" w:rsidP="009E6D46">
      <w:pPr>
        <w:pStyle w:val="FootnoteText"/>
        <w:spacing w:after="120"/>
        <w:rPr>
          <w:sz w:val="22"/>
          <w:szCs w:val="22"/>
        </w:rPr>
      </w:pPr>
      <w:r w:rsidRPr="009E6D46">
        <w:rPr>
          <w:rStyle w:val="FootnoteReference"/>
          <w:sz w:val="22"/>
          <w:szCs w:val="22"/>
        </w:rPr>
        <w:footnoteRef/>
      </w:r>
      <w:r w:rsidRPr="009E6D46">
        <w:rPr>
          <w:sz w:val="22"/>
          <w:szCs w:val="22"/>
        </w:rPr>
        <w:t xml:space="preserve"> </w:t>
      </w:r>
      <w:r w:rsidRPr="009E6D46">
        <w:rPr>
          <w:i/>
          <w:iCs/>
          <w:sz w:val="22"/>
          <w:szCs w:val="22"/>
        </w:rPr>
        <w:t>Id</w:t>
      </w:r>
      <w:r w:rsidRPr="009E6D46">
        <w:rPr>
          <w:sz w:val="22"/>
          <w:szCs w:val="22"/>
        </w:rPr>
        <w:t>. at P 956.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01E8"/>
    <w:multiLevelType w:val="multilevel"/>
    <w:tmpl w:val="73666AC4"/>
    <w:name w:val="Heading"/>
    <w:lvl w:ilvl="0">
      <w:start w:val="1"/>
      <w:numFmt w:val="upperRoman"/>
      <w:pStyle w:val="Heading1"/>
      <w:lvlText w:val="%1."/>
      <w:lvlJc w:val="left"/>
      <w:pPr>
        <w:ind w:left="0" w:firstLine="0"/>
      </w:pPr>
      <w:rPr>
        <w:strike w:val="0"/>
        <w:dstrike w:val="0"/>
      </w:rPr>
    </w:lvl>
    <w:lvl w:ilvl="1">
      <w:start w:val="1"/>
      <w:numFmt w:val="none"/>
      <w:pStyle w:val="Heading2"/>
      <w:suff w:val="nothing"/>
      <w:lvlText w:val=""/>
      <w:lvlJc w:val="left"/>
      <w:pPr>
        <w:ind w:left="0" w:firstLine="0"/>
      </w:pPr>
      <w:rPr>
        <w:strike w:val="0"/>
        <w:dstrike w:val="0"/>
      </w:rPr>
    </w:lvl>
    <w:lvl w:ilvl="2">
      <w:start w:val="1"/>
      <w:numFmt w:val="none"/>
      <w:pStyle w:val="Heading3"/>
      <w:suff w:val="nothing"/>
      <w:lvlText w:val=""/>
      <w:lvlJc w:val="left"/>
      <w:pPr>
        <w:ind w:left="0" w:firstLine="0"/>
      </w:pPr>
      <w:rPr>
        <w:strike w:val="0"/>
        <w:dstrike w:val="0"/>
      </w:rPr>
    </w:lvl>
    <w:lvl w:ilvl="3">
      <w:start w:val="1"/>
      <w:numFmt w:val="none"/>
      <w:pStyle w:val="Heading4"/>
      <w:suff w:val="nothing"/>
      <w:lvlText w:val=""/>
      <w:lvlJc w:val="left"/>
      <w:pPr>
        <w:ind w:left="0" w:firstLine="0"/>
      </w:pPr>
      <w:rPr>
        <w:strike w:val="0"/>
        <w:dstrike w:val="0"/>
      </w:rPr>
    </w:lvl>
    <w:lvl w:ilvl="4">
      <w:start w:val="1"/>
      <w:numFmt w:val="none"/>
      <w:pStyle w:val="Heading5"/>
      <w:suff w:val="nothing"/>
      <w:lvlText w:val=""/>
      <w:lvlJc w:val="left"/>
      <w:pPr>
        <w:ind w:left="0" w:firstLine="0"/>
      </w:pPr>
      <w:rPr>
        <w:strike w:val="0"/>
        <w:dstrike w:val="0"/>
      </w:rPr>
    </w:lvl>
    <w:lvl w:ilvl="5">
      <w:start w:val="1"/>
      <w:numFmt w:val="none"/>
      <w:pStyle w:val="Heading6"/>
      <w:suff w:val="nothing"/>
      <w:lvlText w:val=""/>
      <w:lvlJc w:val="left"/>
      <w:pPr>
        <w:ind w:left="0" w:firstLine="0"/>
      </w:pPr>
      <w:rPr>
        <w:strike w:val="0"/>
        <w:dstrike w:val="0"/>
      </w:rPr>
    </w:lvl>
    <w:lvl w:ilvl="6">
      <w:start w:val="1"/>
      <w:numFmt w:val="none"/>
      <w:pStyle w:val="Heading7"/>
      <w:suff w:val="nothing"/>
      <w:lvlText w:val=""/>
      <w:lvlJc w:val="left"/>
      <w:pPr>
        <w:ind w:left="0" w:firstLine="0"/>
      </w:pPr>
      <w:rPr>
        <w:strike w:val="0"/>
        <w:dstrike w:val="0"/>
      </w:rPr>
    </w:lvl>
    <w:lvl w:ilvl="7">
      <w:start w:val="1"/>
      <w:numFmt w:val="none"/>
      <w:pStyle w:val="Heading8"/>
      <w:suff w:val="nothing"/>
      <w:lvlText w:val=""/>
      <w:lvlJc w:val="left"/>
      <w:pPr>
        <w:ind w:left="0" w:firstLine="0"/>
      </w:pPr>
      <w:rPr>
        <w:strike w:val="0"/>
        <w:dstrike w:val="0"/>
      </w:rPr>
    </w:lvl>
    <w:lvl w:ilvl="8">
      <w:start w:val="1"/>
      <w:numFmt w:val="none"/>
      <w:pStyle w:val="Heading9"/>
      <w:suff w:val="nothing"/>
      <w:lvlText w:val=""/>
      <w:lvlJc w:val="left"/>
      <w:pPr>
        <w:ind w:left="0" w:firstLine="0"/>
      </w:pPr>
      <w:rPr>
        <w:strike w:val="0"/>
        <w:dstrike w:val="0"/>
      </w:rPr>
    </w:lvl>
  </w:abstractNum>
  <w:abstractNum w:abstractNumId="1" w15:restartNumberingAfterBreak="0">
    <w:nsid w:val="155800F6"/>
    <w:multiLevelType w:val="hybridMultilevel"/>
    <w:tmpl w:val="5DF87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A1440"/>
    <w:multiLevelType w:val="hybridMultilevel"/>
    <w:tmpl w:val="AC04B14C"/>
    <w:lvl w:ilvl="0" w:tplc="0409000F">
      <w:start w:val="1"/>
      <w:numFmt w:val="decimal"/>
      <w:lvlText w:val="%1."/>
      <w:lvlJc w:val="left"/>
      <w:pPr>
        <w:ind w:left="720" w:hanging="360"/>
      </w:pPr>
      <w:rPr>
        <w:rFonts w:hint="default"/>
      </w:rPr>
    </w:lvl>
    <w:lvl w:ilvl="1" w:tplc="4CB65F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21733"/>
    <w:multiLevelType w:val="hybridMultilevel"/>
    <w:tmpl w:val="72B0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22E25"/>
    <w:multiLevelType w:val="hybridMultilevel"/>
    <w:tmpl w:val="DA56B7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82A0271"/>
    <w:multiLevelType w:val="hybridMultilevel"/>
    <w:tmpl w:val="BAAE13B6"/>
    <w:lvl w:ilvl="0" w:tplc="FFFFFFFF">
      <w:start w:val="1"/>
      <w:numFmt w:val="decimal"/>
      <w:lvlText w:val="(%1)"/>
      <w:lvlJc w:val="left"/>
      <w:pPr>
        <w:ind w:left="1440" w:hanging="360"/>
      </w:pPr>
      <w:rPr>
        <w:rFonts w:hint="default"/>
      </w:rPr>
    </w:lvl>
    <w:lvl w:ilvl="1" w:tplc="1416FC08">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A653237"/>
    <w:multiLevelType w:val="multilevel"/>
    <w:tmpl w:val="2818964C"/>
    <w:lvl w:ilvl="0">
      <w:start w:val="1"/>
      <w:numFmt w:val="none"/>
      <w:lvlRestart w:val="0"/>
      <w:pStyle w:val="RunIn1"/>
      <w:suff w:val="nothing"/>
      <w:lvlText w:val=""/>
      <w:lvlJc w:val="left"/>
      <w:pPr>
        <w:tabs>
          <w:tab w:val="num" w:pos="720"/>
        </w:tabs>
        <w:ind w:left="0" w:firstLine="0"/>
      </w:pPr>
      <w:rPr>
        <w:rFonts w:ascii="Times New Roman" w:hAnsi="Times New Roman" w:cs="Times New Roman"/>
        <w:b w:val="0"/>
        <w:i w:val="0"/>
        <w:caps w:val="0"/>
        <w:smallCaps w:val="0"/>
        <w:u w:val="none"/>
      </w:rPr>
    </w:lvl>
    <w:lvl w:ilvl="1">
      <w:start w:val="1"/>
      <w:numFmt w:val="none"/>
      <w:pStyle w:val="RunIn2"/>
      <w:suff w:val="nothing"/>
      <w:lvlText w:val=""/>
      <w:lvlJc w:val="left"/>
      <w:pPr>
        <w:tabs>
          <w:tab w:val="num" w:pos="0"/>
        </w:tabs>
        <w:ind w:left="0" w:firstLine="0"/>
      </w:pPr>
      <w:rPr>
        <w:rFonts w:ascii="Times New Roman" w:hAnsi="Times New Roman" w:cs="Times New Roman"/>
        <w:b w:val="0"/>
        <w:i w:val="0"/>
        <w:caps w:val="0"/>
        <w:smallCaps w:val="0"/>
        <w:u w:val="none"/>
      </w:rPr>
    </w:lvl>
    <w:lvl w:ilvl="2">
      <w:start w:val="1"/>
      <w:numFmt w:val="none"/>
      <w:pStyle w:val="RunIn3"/>
      <w:suff w:val="nothing"/>
      <w:lvlText w:val=""/>
      <w:lvlJc w:val="left"/>
      <w:pPr>
        <w:ind w:left="0" w:firstLine="720"/>
      </w:pPr>
      <w:rPr>
        <w:rFonts w:ascii="Times New Roman" w:hAnsi="Times New Roman" w:cs="Times New Roman"/>
        <w:b w:val="0"/>
        <w:i w:val="0"/>
        <w:caps w:val="0"/>
        <w:smallCaps w:val="0"/>
        <w:u w:val="none"/>
      </w:rPr>
    </w:lvl>
    <w:lvl w:ilvl="3">
      <w:start w:val="1"/>
      <w:numFmt w:val="none"/>
      <w:pStyle w:val="RunIn4"/>
      <w:suff w:val="nothing"/>
      <w:lvlText w:val=""/>
      <w:lvlJc w:val="left"/>
      <w:pPr>
        <w:ind w:left="0" w:firstLine="1440"/>
      </w:pPr>
      <w:rPr>
        <w:rFonts w:ascii="Times New Roman" w:hAnsi="Times New Roman" w:cs="Times New Roman"/>
        <w:b w:val="0"/>
        <w:i w:val="0"/>
        <w:caps w:val="0"/>
        <w:smallCaps w:val="0"/>
        <w:u w:val="none"/>
      </w:rPr>
    </w:lvl>
    <w:lvl w:ilvl="4">
      <w:start w:val="1"/>
      <w:numFmt w:val="none"/>
      <w:pStyle w:val="RunIn5"/>
      <w:suff w:val="nothing"/>
      <w:lvlText w:val=""/>
      <w:lvlJc w:val="left"/>
      <w:pPr>
        <w:ind w:left="0" w:firstLine="2160"/>
      </w:pPr>
      <w:rPr>
        <w:rFonts w:ascii="Times New Roman" w:hAnsi="Times New Roman" w:cs="Times New Roman"/>
        <w:caps w:val="0"/>
        <w:smallCaps w:val="0"/>
        <w:u w:val="none"/>
      </w:rPr>
    </w:lvl>
    <w:lvl w:ilvl="5">
      <w:start w:val="1"/>
      <w:numFmt w:val="none"/>
      <w:pStyle w:val="RunIn6"/>
      <w:suff w:val="nothing"/>
      <w:lvlText w:val=""/>
      <w:lvlJc w:val="left"/>
      <w:pPr>
        <w:ind w:left="0" w:firstLine="2880"/>
      </w:pPr>
      <w:rPr>
        <w:rFonts w:ascii="Times New Roman" w:hAnsi="Times New Roman" w:cs="Times New Roman"/>
        <w:b w:val="0"/>
        <w:i w:val="0"/>
        <w:caps w:val="0"/>
        <w:smallCaps w:val="0"/>
        <w:u w:val="none"/>
      </w:rPr>
    </w:lvl>
    <w:lvl w:ilvl="6">
      <w:start w:val="1"/>
      <w:numFmt w:val="none"/>
      <w:pStyle w:val="RunIn7"/>
      <w:suff w:val="nothing"/>
      <w:lvlText w:val=""/>
      <w:lvlJc w:val="left"/>
      <w:pPr>
        <w:ind w:left="0" w:firstLine="3600"/>
      </w:pPr>
      <w:rPr>
        <w:rFonts w:ascii="Times New Roman" w:hAnsi="Times New Roman" w:cs="Times New Roman"/>
        <w:b w:val="0"/>
        <w:i w:val="0"/>
        <w:caps w:val="0"/>
        <w:smallCaps w:val="0"/>
        <w:u w:val="none"/>
      </w:rPr>
    </w:lvl>
    <w:lvl w:ilvl="7">
      <w:start w:val="1"/>
      <w:numFmt w:val="none"/>
      <w:pStyle w:val="RunIn8"/>
      <w:suff w:val="nothing"/>
      <w:lvlText w:val=""/>
      <w:lvlJc w:val="left"/>
      <w:pPr>
        <w:ind w:left="0" w:firstLine="4320"/>
      </w:pPr>
      <w:rPr>
        <w:rFonts w:ascii="Times New Roman" w:hAnsi="Times New Roman" w:cs="Times New Roman"/>
        <w:b w:val="0"/>
        <w:i w:val="0"/>
        <w:caps w:val="0"/>
        <w:smallCaps w:val="0"/>
        <w:u w:val="none"/>
      </w:rPr>
    </w:lvl>
    <w:lvl w:ilvl="8">
      <w:start w:val="1"/>
      <w:numFmt w:val="none"/>
      <w:pStyle w:val="RunIn9"/>
      <w:suff w:val="nothing"/>
      <w:lvlText w:val=""/>
      <w:lvlJc w:val="left"/>
      <w:pPr>
        <w:ind w:left="0" w:firstLine="5040"/>
      </w:pPr>
      <w:rPr>
        <w:rFonts w:ascii="Times New Roman" w:hAnsi="Times New Roman" w:cs="Times New Roman"/>
        <w:b w:val="0"/>
        <w:i w:val="0"/>
        <w:caps w:val="0"/>
        <w:smallCaps w:val="0"/>
        <w:u w:val="none"/>
      </w:rPr>
    </w:lvl>
  </w:abstractNum>
  <w:abstractNum w:abstractNumId="7" w15:restartNumberingAfterBreak="0">
    <w:nsid w:val="2D57216B"/>
    <w:multiLevelType w:val="hybridMultilevel"/>
    <w:tmpl w:val="374A5EEE"/>
    <w:lvl w:ilvl="0" w:tplc="5BECFE74">
      <w:start w:val="1"/>
      <w:numFmt w:val="decimal"/>
      <w:lvlText w:val="%1."/>
      <w:lvlJc w:val="left"/>
      <w:pPr>
        <w:tabs>
          <w:tab w:val="num" w:pos="720"/>
        </w:tabs>
        <w:ind w:left="0" w:firstLine="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463D2"/>
    <w:multiLevelType w:val="hybridMultilevel"/>
    <w:tmpl w:val="31F4BE90"/>
    <w:lvl w:ilvl="0" w:tplc="D4B26A22">
      <w:start w:val="192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90ED5"/>
    <w:multiLevelType w:val="hybridMultilevel"/>
    <w:tmpl w:val="8782F95A"/>
    <w:lvl w:ilvl="0" w:tplc="1416FC0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8657D0"/>
    <w:multiLevelType w:val="hybridMultilevel"/>
    <w:tmpl w:val="12E41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B25B10"/>
    <w:multiLevelType w:val="hybridMultilevel"/>
    <w:tmpl w:val="8D72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E7413"/>
    <w:multiLevelType w:val="hybridMultilevel"/>
    <w:tmpl w:val="898AF65C"/>
    <w:lvl w:ilvl="0" w:tplc="1416FC0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B56693"/>
    <w:multiLevelType w:val="hybridMultilevel"/>
    <w:tmpl w:val="BA28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391F0D"/>
    <w:multiLevelType w:val="hybridMultilevel"/>
    <w:tmpl w:val="FF86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EE3723"/>
    <w:multiLevelType w:val="hybridMultilevel"/>
    <w:tmpl w:val="E95C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EE69C4"/>
    <w:multiLevelType w:val="hybridMultilevel"/>
    <w:tmpl w:val="AF8ABB68"/>
    <w:lvl w:ilvl="0" w:tplc="89F4D9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98783">
    <w:abstractNumId w:val="6"/>
  </w:num>
  <w:num w:numId="2" w16cid:durableId="524559288">
    <w:abstractNumId w:val="6"/>
  </w:num>
  <w:num w:numId="3" w16cid:durableId="1009332235">
    <w:abstractNumId w:val="6"/>
  </w:num>
  <w:num w:numId="4" w16cid:durableId="2119400570">
    <w:abstractNumId w:val="6"/>
  </w:num>
  <w:num w:numId="5" w16cid:durableId="1056663650">
    <w:abstractNumId w:val="6"/>
  </w:num>
  <w:num w:numId="6" w16cid:durableId="1393693390">
    <w:abstractNumId w:val="6"/>
  </w:num>
  <w:num w:numId="7" w16cid:durableId="1848246825">
    <w:abstractNumId w:val="6"/>
  </w:num>
  <w:num w:numId="8" w16cid:durableId="2144497631">
    <w:abstractNumId w:val="6"/>
  </w:num>
  <w:num w:numId="9" w16cid:durableId="558171496">
    <w:abstractNumId w:val="6"/>
  </w:num>
  <w:num w:numId="10" w16cid:durableId="1040518172">
    <w:abstractNumId w:val="6"/>
  </w:num>
  <w:num w:numId="11" w16cid:durableId="2017225855">
    <w:abstractNumId w:val="6"/>
  </w:num>
  <w:num w:numId="12" w16cid:durableId="821965296">
    <w:abstractNumId w:val="6"/>
  </w:num>
  <w:num w:numId="13" w16cid:durableId="1084255771">
    <w:abstractNumId w:val="6"/>
  </w:num>
  <w:num w:numId="14" w16cid:durableId="1565144299">
    <w:abstractNumId w:val="6"/>
  </w:num>
  <w:num w:numId="15" w16cid:durableId="1360425018">
    <w:abstractNumId w:val="6"/>
  </w:num>
  <w:num w:numId="16" w16cid:durableId="1450077946">
    <w:abstractNumId w:val="6"/>
  </w:num>
  <w:num w:numId="17" w16cid:durableId="45491180">
    <w:abstractNumId w:val="6"/>
  </w:num>
  <w:num w:numId="18" w16cid:durableId="1360005228">
    <w:abstractNumId w:val="6"/>
  </w:num>
  <w:num w:numId="19" w16cid:durableId="184173770">
    <w:abstractNumId w:val="16"/>
  </w:num>
  <w:num w:numId="20" w16cid:durableId="2079857042">
    <w:abstractNumId w:val="1"/>
  </w:num>
  <w:num w:numId="21" w16cid:durableId="1800100333">
    <w:abstractNumId w:val="2"/>
  </w:num>
  <w:num w:numId="22" w16cid:durableId="397096480">
    <w:abstractNumId w:val="0"/>
  </w:num>
  <w:num w:numId="23" w16cid:durableId="812917180">
    <w:abstractNumId w:val="17"/>
  </w:num>
  <w:num w:numId="24" w16cid:durableId="1742100102">
    <w:abstractNumId w:val="7"/>
  </w:num>
  <w:num w:numId="25" w16cid:durableId="112870765">
    <w:abstractNumId w:val="3"/>
  </w:num>
  <w:num w:numId="26" w16cid:durableId="528302664">
    <w:abstractNumId w:val="14"/>
  </w:num>
  <w:num w:numId="27" w16cid:durableId="238518212">
    <w:abstractNumId w:val="11"/>
  </w:num>
  <w:num w:numId="28" w16cid:durableId="296497025">
    <w:abstractNumId w:val="4"/>
  </w:num>
  <w:num w:numId="29" w16cid:durableId="760370344">
    <w:abstractNumId w:val="8"/>
  </w:num>
  <w:num w:numId="30" w16cid:durableId="1941252931">
    <w:abstractNumId w:val="15"/>
  </w:num>
  <w:num w:numId="31" w16cid:durableId="1780372433">
    <w:abstractNumId w:val="10"/>
  </w:num>
  <w:num w:numId="32" w16cid:durableId="218130924">
    <w:abstractNumId w:val="13"/>
  </w:num>
  <w:num w:numId="33" w16cid:durableId="185872894">
    <w:abstractNumId w:val="9"/>
  </w:num>
  <w:num w:numId="34" w16cid:durableId="305937380">
    <w:abstractNumId w:val="12"/>
  </w:num>
  <w:num w:numId="35" w16cid:durableId="1461338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MatterControl" w:val="swiClientMatter1"/>
    <w:docVar w:name="ClientMatterSuite" w:val="|||"/>
    <w:docVar w:name="liInnovaVariables" w:val="b=Author`b=AuthorAddress`b=MemoDate`b=Re`b=swiBeginHere`b=swiCMClientID`b=To`v=SWOtherInfo`v=ClientMatterControl`v=ClientMatterSuite`v=SWCLCString1`v=SWCLCContacts`v=SWBasicControls`"/>
    <w:docVar w:name="SWActiveDesign" w:val="Heading"/>
    <w:docVar w:name="SWAllDesigns" w:val="Heading|"/>
    <w:docVar w:name="SWAllLineBreaks" w:val="Heading~~0|0|0|0|0|0|0|0|0|@@"/>
    <w:docVar w:name="SWBasicControls" w:val="Create a Memo (External)=`IncludeDelPhraseCheckBox=&lt;ControlFalseAction:none&gt;`IncludeDelPhraseHeadLab=Include Delivery Phrase in Header:`liActionButton6=`liActionButton5=`liActionButton4=`liLabel6=To &amp;Address:`liActionButton1=`lblFrom=&amp;Author:`liLabel3= `liLabel2= `liLabel1= `lblBCC=&amp;BCC:`lblCC=&amp;CC:`lblDeliveryMethod=Delivery &amp;Phrases:`lblEnclosure.=&amp;Enclosures:`lblTypistInitials=Typist &amp;Initials:`lblTo=&amp;To:`TypistInitials=`Delivery=&lt;none&gt;`Enclosure=&lt;none&gt;`Open QF=`Save QF=`OK=Finish`Cancel=Cancel`lblDate=&amp;Date:`lblRe=&amp;Re Line:`Re=`lblClientMatter=Cli&amp;ent-Matter No.:`MemoDate=November 25, 2024`SWICalendarDate_DateFormat_MemoDate=MMMM d, yyyy`SWICalendarDate_CalendarDate_MemoDate=11/25/2024 9:20:00 PM`"/>
    <w:docVar w:name="SWCLCContacts" w:val="Author=1;AuthorBusinessTitle=1;AuthorAddress=1;AuthorPhone=1;AuthorFax=1;AuthorEmail=1;AuthorInitials=1;BCC=0;CC=0;To=0;ToInHeader=0;Salutation=0;"/>
    <w:docVar w:name="SWCLCString1" w:val="&lt;Dialog&gt;&lt;Author&gt;rRAAAB+LCAAAAAAABADNWFuP6jYQfq/U/2Cdp1Y65wT2Al0ptcoGkDgLC9pLH/pSecnAWjg2cpw9m39fO87FOGEPrVSJF6R88814Zmx/YxG+EZYB/vknhMJRpsSj/lREUcHxhrAUwsBDC+YiY4pGgmUJn3DywiBevoGUNIba7SNKEeORbjlRmYRbJtY7HAYeUJD+JJIa57T41EA0j26F2CVE7kpIgxVyTxLAOt9XIcPgAKypc5KLTEWZlMDVLMb9MPChJiyRkYhhJVJalH4vuC7MR8vEgnZmJyd7m6WUQ5o+UcXg1MwHg3NIfRTHUmd+atI3w3NIevVqI5+U8m9n0ecpeT854bPo8SQhlJ2a8rB3DinPuA6l1etk7ej9f+oRBofSF0aCK7JWtRDOFCTNYmOa7hnJi3wfMr6Fz2gi6RrdfQ0D19ZkZzT2Cd4VChpwlk6lSFYgU8E5sAXhZAsSK5npzI8YHWcr4ELm1QxwoaaLlO+w+Vly3T3zUZvKGu3USGtcW9LvNFqU5nLl2Rj3L8Og2+K73kGO+8Ner+SbT58yJ6myvStJBeCzplRq1PS2ZFnApy1oHDPApv3ud7uiZE94jsckRyuqOORoPl/VRVmj71RMCRyJjKfASq7FfGYpzg6uLWKzoWtAs3QMG6KH9O+fzP5+OiBVAR6VBFB4yQFNIQZJGLLQZ3Rxo17RlAkzal1uV5iIqhzfilQJXtVmkO4ViQK8GNVBzWcX8S+6x72Lfr/aUvPdubbuk9Ln71lfbohRETBFYoNGCehdJHWzLa0rxJzwbaYPFp7wLaPpa30+SvigvYHtr7sXwZHNsNGLYXQYI6YS1qq9Rb8M+sNf0eXV9Zer4eV1GFjej7a3uIyOM7oamItwLE8/H5vlcwryEdaZ1Bs3hzdgOLbxS6+2vXVzyPu/qfKiN/hyc3nd++9VDq+uj1d5mE1T499zsRW80EpptACc+hxbl6sRpEZiSsQnVjMGT+4eSmYN+dylzf3g4ixb9TT3RM+W+yx5cUT5oz47wl935WgYu0ox00/bRNgV7fsjJvm+ELava5F07GW5sB/ZrvdNvEQ6oa2ZHyOlx4iOUzq4Jt9tDHsiVaLnsb6xILc5IjxGz4oyfTjRnHwvYzi8tsYmcAew103oDy8ua5Wt0ZbgE8rtzXEu6aA+DY25y9EcRvdum4N7YOw+GUZR9ACF/mkC7Tt1B21rtYN3u3ia7YLdDr52N2hrKE+eniYPUyETwoqLV75q0MGg9kndUeyMrM4RIso5Ci6j27u1uYUCtwhHCqg3uJE1z9ztaO/FkcvU4nXHiJh+bPLtD9rnsj5+eOH6Ddj5+mqec8GR91z1zqv+EKiVSL8Yq1dt7WzcwsD+S/EPtw0TBq0QAAA=&lt;/Author&gt;&lt;BCC&gt;fgEAAB+LCAAAAAAABAB9kMEKwjAQRO+C/9A/CILHJWCDB0GrIHhf7SqhaRbSjeDfG2OtmIPHecwMswt3dJH0fFZVsIrCxyQFxbLXV3QDgSpodu6iE2vYxd6vPZ4dtfs7hWBbmmL/LLnjaG8eJQaqHV86DaoA2XTCYF/hIcsEzNbUzF2PoRtRgh/SYE+6NgbUD5l8W3xwFBNDIC+bVi+WoEr2LcVguKUDDzYf3rBPZ5V0nKXKXaB+p4NhL3iRoVJJg3q//QnZlbBTfgEAAA==&lt;/BCC&gt;&lt;CC&gt;fQEAAB+LCAAAAAAABAB9kM0KwjAQhO+C79A3CILHJaDBg6BVELyv7SqhaRbSTcG3N8Y/moPH+ZgZZhdGdJH0fFZVsIrCpyQFxbLXV3QDgSpodu6jE2vYxd5vPF4ctYeRQrAtfWP/LLnjZG8eJQZaO246DaoA2XTGYJ/hIcsEzM6smbseQ/dGCX5IjT1pY0BNwNe2wztHMTEE8rJt9WIJqmS/TgyGWzryYPPdNft0VUnfq1Q5C9R0ORj2go0MlUoa1OvrDzEg5fx9AQAA&lt;/CC&gt;&lt;To&gt;4AIAAB+LCAAAAAAABADFksFqAkEMhu+FvsO+wdCeFMKADoUK1gpK76mTlmFnJ5DNCL6949QqbqHspfSYjz/hC/ywx5jJ3t81Dcyy8qaMiho42Q+MPYEZ0Jp8yVGD45i79JTwPZJ/3ZNI8HRZ+y1Sb2zCZ0LNQvPIu9aCGYAaekMJp+W+jgW4pZsztx1Ke0YFfpMVdmS3DOYGXGJLPHBWl0Uo6cLbyRTMkF1vojj2tOY+1L9XnMpXQ3q2Mj+1Rpku0jOhJxlr/PC/wtcajBV+nPyZMZjbcoDjpLjTvjFlBvNV7COp52fA4AIAAA==&lt;/To&gt;&lt;/Dialog&gt;"/>
    <w:docVar w:name="SWOtherInfo" w:val="DocTypeID=3|FormID=179|"/>
  </w:docVars>
  <w:rsids>
    <w:rsidRoot w:val="00B468A3"/>
    <w:rsid w:val="000054C9"/>
    <w:rsid w:val="00035C28"/>
    <w:rsid w:val="00042151"/>
    <w:rsid w:val="00052C4D"/>
    <w:rsid w:val="0005364D"/>
    <w:rsid w:val="00056633"/>
    <w:rsid w:val="00064BE6"/>
    <w:rsid w:val="000677D7"/>
    <w:rsid w:val="00071E32"/>
    <w:rsid w:val="00085DBE"/>
    <w:rsid w:val="0008704C"/>
    <w:rsid w:val="000B331E"/>
    <w:rsid w:val="000C1B03"/>
    <w:rsid w:val="000C3F71"/>
    <w:rsid w:val="000C4DFA"/>
    <w:rsid w:val="000C568F"/>
    <w:rsid w:val="000C67E0"/>
    <w:rsid w:val="000C7646"/>
    <w:rsid w:val="000E23A7"/>
    <w:rsid w:val="000E34D8"/>
    <w:rsid w:val="00103AEB"/>
    <w:rsid w:val="00113647"/>
    <w:rsid w:val="00113C2B"/>
    <w:rsid w:val="00115B3F"/>
    <w:rsid w:val="00116AF1"/>
    <w:rsid w:val="001204D8"/>
    <w:rsid w:val="00127F69"/>
    <w:rsid w:val="00132C0D"/>
    <w:rsid w:val="00152041"/>
    <w:rsid w:val="001616E7"/>
    <w:rsid w:val="00165FCA"/>
    <w:rsid w:val="00186946"/>
    <w:rsid w:val="00196185"/>
    <w:rsid w:val="001A21BC"/>
    <w:rsid w:val="001B4CDF"/>
    <w:rsid w:val="001E0E70"/>
    <w:rsid w:val="001F150A"/>
    <w:rsid w:val="00205A48"/>
    <w:rsid w:val="00226FEE"/>
    <w:rsid w:val="00241EF0"/>
    <w:rsid w:val="00255A7F"/>
    <w:rsid w:val="00263827"/>
    <w:rsid w:val="00263AED"/>
    <w:rsid w:val="002763DD"/>
    <w:rsid w:val="002829CF"/>
    <w:rsid w:val="00287E47"/>
    <w:rsid w:val="002A1739"/>
    <w:rsid w:val="002A5A1D"/>
    <w:rsid w:val="002B58C2"/>
    <w:rsid w:val="002C5289"/>
    <w:rsid w:val="002D096C"/>
    <w:rsid w:val="002D2351"/>
    <w:rsid w:val="003203D1"/>
    <w:rsid w:val="00325AC0"/>
    <w:rsid w:val="003315AC"/>
    <w:rsid w:val="00340D48"/>
    <w:rsid w:val="00342D99"/>
    <w:rsid w:val="003516AD"/>
    <w:rsid w:val="003629BF"/>
    <w:rsid w:val="0039678A"/>
    <w:rsid w:val="003A4085"/>
    <w:rsid w:val="003B0AA6"/>
    <w:rsid w:val="003B161E"/>
    <w:rsid w:val="003B17E5"/>
    <w:rsid w:val="003B3260"/>
    <w:rsid w:val="003C6C7F"/>
    <w:rsid w:val="003D0CDB"/>
    <w:rsid w:val="003D2B1B"/>
    <w:rsid w:val="003E1571"/>
    <w:rsid w:val="003E7B57"/>
    <w:rsid w:val="003F69CC"/>
    <w:rsid w:val="00436394"/>
    <w:rsid w:val="00440D7E"/>
    <w:rsid w:val="0045331A"/>
    <w:rsid w:val="00464E38"/>
    <w:rsid w:val="00465316"/>
    <w:rsid w:val="004778A5"/>
    <w:rsid w:val="00477EDE"/>
    <w:rsid w:val="00480FB4"/>
    <w:rsid w:val="00482ED4"/>
    <w:rsid w:val="00493114"/>
    <w:rsid w:val="00495620"/>
    <w:rsid w:val="004969C2"/>
    <w:rsid w:val="004C1D9F"/>
    <w:rsid w:val="004C6B51"/>
    <w:rsid w:val="004D4B8A"/>
    <w:rsid w:val="004E7DA3"/>
    <w:rsid w:val="005024E2"/>
    <w:rsid w:val="00531E98"/>
    <w:rsid w:val="00531F55"/>
    <w:rsid w:val="005479EE"/>
    <w:rsid w:val="0058533C"/>
    <w:rsid w:val="00585F33"/>
    <w:rsid w:val="005946C2"/>
    <w:rsid w:val="005C5D4C"/>
    <w:rsid w:val="005D4314"/>
    <w:rsid w:val="005F050F"/>
    <w:rsid w:val="00613535"/>
    <w:rsid w:val="00635C76"/>
    <w:rsid w:val="00636F0B"/>
    <w:rsid w:val="0066491C"/>
    <w:rsid w:val="006B5676"/>
    <w:rsid w:val="006C0F01"/>
    <w:rsid w:val="006C5141"/>
    <w:rsid w:val="006E1863"/>
    <w:rsid w:val="006F19A7"/>
    <w:rsid w:val="00714A42"/>
    <w:rsid w:val="00715762"/>
    <w:rsid w:val="00717B7D"/>
    <w:rsid w:val="0072151B"/>
    <w:rsid w:val="00725265"/>
    <w:rsid w:val="00727275"/>
    <w:rsid w:val="007741A7"/>
    <w:rsid w:val="00791B0F"/>
    <w:rsid w:val="00793520"/>
    <w:rsid w:val="007A573B"/>
    <w:rsid w:val="007A70CC"/>
    <w:rsid w:val="007C1549"/>
    <w:rsid w:val="007C5C09"/>
    <w:rsid w:val="00814411"/>
    <w:rsid w:val="0081716E"/>
    <w:rsid w:val="00830D0B"/>
    <w:rsid w:val="00835875"/>
    <w:rsid w:val="00835A35"/>
    <w:rsid w:val="00840337"/>
    <w:rsid w:val="00841672"/>
    <w:rsid w:val="0085578C"/>
    <w:rsid w:val="00863C9C"/>
    <w:rsid w:val="0087368A"/>
    <w:rsid w:val="00882194"/>
    <w:rsid w:val="008857BE"/>
    <w:rsid w:val="008A69B9"/>
    <w:rsid w:val="008D1CAF"/>
    <w:rsid w:val="008E2309"/>
    <w:rsid w:val="008E697F"/>
    <w:rsid w:val="008E6E4E"/>
    <w:rsid w:val="009113B8"/>
    <w:rsid w:val="009148C1"/>
    <w:rsid w:val="00930537"/>
    <w:rsid w:val="00936E57"/>
    <w:rsid w:val="00940DF8"/>
    <w:rsid w:val="009655B7"/>
    <w:rsid w:val="009827C2"/>
    <w:rsid w:val="00983B66"/>
    <w:rsid w:val="00994C0A"/>
    <w:rsid w:val="00997745"/>
    <w:rsid w:val="009A3826"/>
    <w:rsid w:val="009A7D12"/>
    <w:rsid w:val="009B71EF"/>
    <w:rsid w:val="009D2106"/>
    <w:rsid w:val="009E6D46"/>
    <w:rsid w:val="00A146F5"/>
    <w:rsid w:val="00A241FF"/>
    <w:rsid w:val="00A33C5E"/>
    <w:rsid w:val="00A366FE"/>
    <w:rsid w:val="00A403C4"/>
    <w:rsid w:val="00A42870"/>
    <w:rsid w:val="00A501BF"/>
    <w:rsid w:val="00A56A37"/>
    <w:rsid w:val="00A65C48"/>
    <w:rsid w:val="00A76091"/>
    <w:rsid w:val="00A834BA"/>
    <w:rsid w:val="00A96C06"/>
    <w:rsid w:val="00AC5436"/>
    <w:rsid w:val="00AD1D8E"/>
    <w:rsid w:val="00AD3EC0"/>
    <w:rsid w:val="00AF2855"/>
    <w:rsid w:val="00AF3677"/>
    <w:rsid w:val="00B00DED"/>
    <w:rsid w:val="00B03914"/>
    <w:rsid w:val="00B20D4F"/>
    <w:rsid w:val="00B468A3"/>
    <w:rsid w:val="00B524F7"/>
    <w:rsid w:val="00B64AF4"/>
    <w:rsid w:val="00B75DD2"/>
    <w:rsid w:val="00B77849"/>
    <w:rsid w:val="00B77914"/>
    <w:rsid w:val="00B83B6E"/>
    <w:rsid w:val="00B86EA6"/>
    <w:rsid w:val="00BA0730"/>
    <w:rsid w:val="00BA1CB6"/>
    <w:rsid w:val="00BA4C99"/>
    <w:rsid w:val="00BC323B"/>
    <w:rsid w:val="00BD156D"/>
    <w:rsid w:val="00BE7D07"/>
    <w:rsid w:val="00BF6FA4"/>
    <w:rsid w:val="00C02252"/>
    <w:rsid w:val="00C12786"/>
    <w:rsid w:val="00C16CFC"/>
    <w:rsid w:val="00C2463B"/>
    <w:rsid w:val="00C46715"/>
    <w:rsid w:val="00C66DCB"/>
    <w:rsid w:val="00C741E5"/>
    <w:rsid w:val="00C849B2"/>
    <w:rsid w:val="00C96D79"/>
    <w:rsid w:val="00CB4D76"/>
    <w:rsid w:val="00CE2B9F"/>
    <w:rsid w:val="00CF6AFC"/>
    <w:rsid w:val="00D10E05"/>
    <w:rsid w:val="00D133AE"/>
    <w:rsid w:val="00D1521B"/>
    <w:rsid w:val="00D15561"/>
    <w:rsid w:val="00D3765F"/>
    <w:rsid w:val="00D47DF2"/>
    <w:rsid w:val="00D51CE1"/>
    <w:rsid w:val="00D55084"/>
    <w:rsid w:val="00D556E9"/>
    <w:rsid w:val="00D64C88"/>
    <w:rsid w:val="00D66C35"/>
    <w:rsid w:val="00D873B9"/>
    <w:rsid w:val="00D91F0A"/>
    <w:rsid w:val="00DA6CEE"/>
    <w:rsid w:val="00DC1B81"/>
    <w:rsid w:val="00E0791D"/>
    <w:rsid w:val="00E1670B"/>
    <w:rsid w:val="00E578B9"/>
    <w:rsid w:val="00E81FD2"/>
    <w:rsid w:val="00E86711"/>
    <w:rsid w:val="00E873D4"/>
    <w:rsid w:val="00E91111"/>
    <w:rsid w:val="00E93463"/>
    <w:rsid w:val="00EB35C6"/>
    <w:rsid w:val="00EB4204"/>
    <w:rsid w:val="00EE19B2"/>
    <w:rsid w:val="00F04FFA"/>
    <w:rsid w:val="00F257F3"/>
    <w:rsid w:val="00F27AB5"/>
    <w:rsid w:val="00F41CEE"/>
    <w:rsid w:val="00F701DD"/>
    <w:rsid w:val="00F775EC"/>
    <w:rsid w:val="00F902FA"/>
    <w:rsid w:val="00FC11AF"/>
    <w:rsid w:val="00FC3255"/>
    <w:rsid w:val="00FC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33F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68A3"/>
    <w:rPr>
      <w:sz w:val="24"/>
      <w:szCs w:val="24"/>
    </w:rPr>
  </w:style>
  <w:style w:type="paragraph" w:styleId="Heading1">
    <w:name w:val="heading 1"/>
    <w:basedOn w:val="Normal"/>
    <w:next w:val="Normal"/>
    <w:link w:val="Heading1Char"/>
    <w:uiPriority w:val="9"/>
    <w:unhideWhenUsed/>
    <w:rsid w:val="00AD1D8E"/>
    <w:pPr>
      <w:keepNext/>
      <w:keepLines/>
      <w:numPr>
        <w:numId w:val="22"/>
      </w:numPr>
      <w:spacing w:before="480"/>
      <w:outlineLvl w:val="0"/>
    </w:pPr>
    <w:rPr>
      <w:rFonts w:ascii="Times New Roman Bold" w:eastAsiaTheme="majorEastAsia" w:hAnsi="Times New Roman Bold" w:cstheme="majorBidi"/>
      <w:b/>
      <w:bCs/>
      <w:sz w:val="28"/>
      <w:szCs w:val="28"/>
    </w:rPr>
  </w:style>
  <w:style w:type="paragraph" w:styleId="Heading2">
    <w:name w:val="heading 2"/>
    <w:basedOn w:val="Normal"/>
    <w:next w:val="Normal"/>
    <w:link w:val="Heading2Char"/>
    <w:uiPriority w:val="9"/>
    <w:semiHidden/>
    <w:unhideWhenUsed/>
    <w:rsid w:val="00AD1D8E"/>
    <w:pPr>
      <w:keepNext/>
      <w:keepLines/>
      <w:numPr>
        <w:ilvl w:val="1"/>
        <w:numId w:val="22"/>
      </w:num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rsid w:val="00AD1D8E"/>
    <w:pPr>
      <w:keepNext/>
      <w:keepLines/>
      <w:numPr>
        <w:ilvl w:val="2"/>
        <w:numId w:val="22"/>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rsid w:val="00AD1D8E"/>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AD1D8E"/>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AD1D8E"/>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AD1D8E"/>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AD1D8E"/>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AD1D8E"/>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Text">
    <w:name w:val="Memo Text"/>
    <w:basedOn w:val="Normal"/>
    <w:rsid w:val="00263827"/>
    <w:pPr>
      <w:spacing w:after="120"/>
      <w:ind w:right="216"/>
    </w:pPr>
  </w:style>
  <w:style w:type="paragraph" w:customStyle="1" w:styleId="MemoLabel">
    <w:name w:val="Memo Label"/>
    <w:basedOn w:val="MemoText"/>
    <w:rsid w:val="00263827"/>
    <w:rPr>
      <w:b/>
      <w:caps/>
    </w:rPr>
  </w:style>
  <w:style w:type="paragraph" w:customStyle="1" w:styleId="Delivery">
    <w:name w:val="Delivery"/>
    <w:basedOn w:val="Normal"/>
    <w:rsid w:val="00263827"/>
    <w:pPr>
      <w:spacing w:after="240"/>
    </w:pPr>
    <w:rPr>
      <w:rFonts w:ascii="Times New Roman Bold" w:hAnsi="Times New Roman Bold"/>
      <w:b/>
      <w:caps/>
    </w:rPr>
  </w:style>
  <w:style w:type="paragraph" w:customStyle="1" w:styleId="bcc">
    <w:name w:val="bcc"/>
    <w:basedOn w:val="Normal"/>
    <w:rsid w:val="00936E57"/>
    <w:pPr>
      <w:pageBreakBefore/>
      <w:spacing w:after="240"/>
      <w:ind w:left="720" w:hanging="720"/>
    </w:pPr>
  </w:style>
  <w:style w:type="paragraph" w:styleId="Header">
    <w:name w:val="header"/>
    <w:basedOn w:val="Normal"/>
    <w:link w:val="HeaderChar"/>
    <w:uiPriority w:val="3"/>
    <w:unhideWhenUsed/>
    <w:rsid w:val="0081716E"/>
    <w:pPr>
      <w:tabs>
        <w:tab w:val="center" w:pos="4680"/>
        <w:tab w:val="right" w:pos="9360"/>
      </w:tabs>
    </w:pPr>
  </w:style>
  <w:style w:type="character" w:customStyle="1" w:styleId="HeaderChar">
    <w:name w:val="Header Char"/>
    <w:basedOn w:val="DefaultParagraphFont"/>
    <w:link w:val="Header"/>
    <w:uiPriority w:val="3"/>
    <w:rsid w:val="0087368A"/>
    <w:rPr>
      <w:sz w:val="24"/>
      <w:szCs w:val="24"/>
    </w:rPr>
  </w:style>
  <w:style w:type="paragraph" w:styleId="Footer">
    <w:name w:val="footer"/>
    <w:basedOn w:val="Normal"/>
    <w:link w:val="FooterChar"/>
    <w:uiPriority w:val="3"/>
    <w:unhideWhenUsed/>
    <w:rsid w:val="0081716E"/>
    <w:pPr>
      <w:tabs>
        <w:tab w:val="center" w:pos="4680"/>
        <w:tab w:val="right" w:pos="9360"/>
      </w:tabs>
    </w:pPr>
  </w:style>
  <w:style w:type="character" w:customStyle="1" w:styleId="FooterChar">
    <w:name w:val="Footer Char"/>
    <w:basedOn w:val="DefaultParagraphFont"/>
    <w:link w:val="Footer"/>
    <w:uiPriority w:val="3"/>
    <w:rsid w:val="0087368A"/>
    <w:rPr>
      <w:sz w:val="24"/>
      <w:szCs w:val="24"/>
    </w:rPr>
  </w:style>
  <w:style w:type="paragraph" w:customStyle="1" w:styleId="Letterhead">
    <w:name w:val="Letterhead"/>
    <w:rsid w:val="000054C9"/>
    <w:pPr>
      <w:tabs>
        <w:tab w:val="center" w:pos="1886"/>
      </w:tabs>
      <w:jc w:val="center"/>
    </w:pPr>
    <w:rPr>
      <w:rFonts w:eastAsia="Times New Roman"/>
      <w:noProof/>
      <w:spacing w:val="2"/>
      <w:sz w:val="16"/>
    </w:rPr>
  </w:style>
  <w:style w:type="paragraph" w:customStyle="1" w:styleId="FirmName">
    <w:name w:val="Firm Name"/>
    <w:basedOn w:val="Letterhead"/>
    <w:rsid w:val="0081716E"/>
    <w:rPr>
      <w:rFonts w:ascii="Times New Roman Bold" w:hAnsi="Times New Roman Bold"/>
      <w:b/>
      <w:smallCaps/>
      <w:spacing w:val="24"/>
      <w:sz w:val="36"/>
      <w:szCs w:val="36"/>
    </w:rPr>
  </w:style>
  <w:style w:type="paragraph" w:customStyle="1" w:styleId="ExternalMemo">
    <w:name w:val="External Memo"/>
    <w:basedOn w:val="FirmName"/>
    <w:rsid w:val="006F19A7"/>
    <w:pPr>
      <w:spacing w:after="120"/>
    </w:pPr>
    <w:rPr>
      <w:spacing w:val="0"/>
      <w:sz w:val="28"/>
    </w:rPr>
  </w:style>
  <w:style w:type="paragraph" w:customStyle="1" w:styleId="DocID">
    <w:name w:val="DocID"/>
    <w:basedOn w:val="Normal"/>
    <w:link w:val="DocIDChar"/>
    <w:rsid w:val="00841672"/>
    <w:rPr>
      <w:noProof/>
      <w:sz w:val="12"/>
    </w:rPr>
  </w:style>
  <w:style w:type="character" w:customStyle="1" w:styleId="DocIDChar">
    <w:name w:val="DocID Char"/>
    <w:link w:val="DocID"/>
    <w:rsid w:val="00841672"/>
    <w:rPr>
      <w:rFonts w:ascii="Times New Roman" w:hAnsi="Times New Roman"/>
      <w:noProof/>
      <w:sz w:val="12"/>
      <w:szCs w:val="24"/>
    </w:rPr>
  </w:style>
  <w:style w:type="paragraph" w:customStyle="1" w:styleId="MemoLetterhead">
    <w:name w:val="Memo Letterhead"/>
    <w:rsid w:val="000C7646"/>
    <w:pPr>
      <w:jc w:val="center"/>
    </w:pPr>
    <w:rPr>
      <w:rFonts w:ascii="Times New Roman Bold" w:eastAsia="Times New Roman" w:hAnsi="Times New Roman Bold"/>
      <w:smallCaps/>
      <w:noProof/>
      <w:spacing w:val="24"/>
      <w:szCs w:val="36"/>
    </w:rPr>
  </w:style>
  <w:style w:type="paragraph" w:customStyle="1" w:styleId="Offices">
    <w:name w:val="Offices"/>
    <w:basedOn w:val="Letterhead"/>
    <w:rsid w:val="00440D7E"/>
    <w:pPr>
      <w:spacing w:before="120" w:after="240"/>
    </w:pPr>
    <w:rPr>
      <w:rFonts w:ascii="Times New Roman Bold" w:hAnsi="Times New Roman Bold"/>
      <w:b/>
      <w:spacing w:val="-3"/>
    </w:rPr>
  </w:style>
  <w:style w:type="character" w:customStyle="1" w:styleId="Heading1Char">
    <w:name w:val="Heading 1 Char"/>
    <w:basedOn w:val="DefaultParagraphFont"/>
    <w:link w:val="Heading1"/>
    <w:uiPriority w:val="9"/>
    <w:rsid w:val="00465316"/>
    <w:rPr>
      <w:rFonts w:ascii="Times New Roman Bold" w:eastAsiaTheme="majorEastAsia" w:hAnsi="Times New Roman Bold" w:cstheme="majorBidi"/>
      <w:b/>
      <w:bCs/>
      <w:sz w:val="28"/>
      <w:szCs w:val="28"/>
    </w:rPr>
  </w:style>
  <w:style w:type="character" w:customStyle="1" w:styleId="Heading2Char">
    <w:name w:val="Heading 2 Char"/>
    <w:basedOn w:val="DefaultParagraphFont"/>
    <w:link w:val="Heading2"/>
    <w:uiPriority w:val="9"/>
    <w:semiHidden/>
    <w:rsid w:val="00465316"/>
    <w:rPr>
      <w:rFonts w:eastAsiaTheme="majorEastAsia" w:cstheme="majorBidi"/>
      <w:b/>
      <w:bCs/>
      <w:sz w:val="26"/>
      <w:szCs w:val="26"/>
    </w:rPr>
  </w:style>
  <w:style w:type="paragraph" w:customStyle="1" w:styleId="BFirstInd2">
    <w:name w:val="B First Ind 2"/>
    <w:basedOn w:val="Normal"/>
    <w:rsid w:val="00465316"/>
    <w:pPr>
      <w:spacing w:line="480" w:lineRule="auto"/>
      <w:ind w:firstLine="720"/>
    </w:pPr>
  </w:style>
  <w:style w:type="paragraph" w:styleId="EndnoteText">
    <w:name w:val="endnote text"/>
    <w:basedOn w:val="Normal"/>
    <w:link w:val="EndnoteTextChar"/>
    <w:uiPriority w:val="99"/>
    <w:semiHidden/>
    <w:unhideWhenUsed/>
    <w:rsid w:val="00465316"/>
    <w:pPr>
      <w:spacing w:after="240"/>
      <w:ind w:firstLine="720"/>
    </w:pPr>
    <w:rPr>
      <w:szCs w:val="20"/>
    </w:rPr>
  </w:style>
  <w:style w:type="character" w:customStyle="1" w:styleId="EndnoteTextChar">
    <w:name w:val="Endnote Text Char"/>
    <w:basedOn w:val="DefaultParagraphFont"/>
    <w:link w:val="EndnoteText"/>
    <w:uiPriority w:val="99"/>
    <w:semiHidden/>
    <w:rsid w:val="00465316"/>
    <w:rPr>
      <w:szCs w:val="20"/>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unhideWhenUsed/>
    <w:qFormat/>
    <w:rsid w:val="00465316"/>
    <w:pPr>
      <w:spacing w:after="240"/>
      <w:ind w:firstLine="720"/>
    </w:pPr>
    <w:rPr>
      <w:szCs w:val="20"/>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465316"/>
    <w:rPr>
      <w:szCs w:val="20"/>
    </w:rPr>
  </w:style>
  <w:style w:type="paragraph" w:customStyle="1" w:styleId="ArticleCont1">
    <w:name w:val="Article Cont 1"/>
    <w:basedOn w:val="Normal"/>
    <w:link w:val="ArticleCont1Char"/>
    <w:uiPriority w:val="20"/>
    <w:unhideWhenUsed/>
    <w:rsid w:val="002A1739"/>
    <w:pPr>
      <w:spacing w:after="240"/>
      <w:ind w:firstLine="720"/>
    </w:pPr>
  </w:style>
  <w:style w:type="character" w:customStyle="1" w:styleId="ArticleCont1Char">
    <w:name w:val="Article Cont 1 Char"/>
    <w:link w:val="ArticleCont1"/>
    <w:uiPriority w:val="20"/>
    <w:rsid w:val="002A1739"/>
    <w:rPr>
      <w:sz w:val="24"/>
      <w:szCs w:val="24"/>
    </w:rPr>
  </w:style>
  <w:style w:type="paragraph" w:customStyle="1" w:styleId="ArticleCont2">
    <w:name w:val="Article Cont 2"/>
    <w:basedOn w:val="ArticleCont1"/>
    <w:link w:val="ArticleCont2Char"/>
    <w:uiPriority w:val="20"/>
    <w:unhideWhenUsed/>
    <w:rsid w:val="002A1739"/>
  </w:style>
  <w:style w:type="character" w:customStyle="1" w:styleId="ArticleCont2Char">
    <w:name w:val="Article Cont 2 Char"/>
    <w:link w:val="ArticleCont2"/>
    <w:uiPriority w:val="20"/>
    <w:rsid w:val="002A1739"/>
    <w:rPr>
      <w:sz w:val="24"/>
      <w:szCs w:val="24"/>
    </w:rPr>
  </w:style>
  <w:style w:type="paragraph" w:customStyle="1" w:styleId="ArticleCont3">
    <w:name w:val="Article Cont 3"/>
    <w:basedOn w:val="ArticleCont2"/>
    <w:link w:val="ArticleCont3Char"/>
    <w:uiPriority w:val="20"/>
    <w:unhideWhenUsed/>
    <w:rsid w:val="002A1739"/>
    <w:pPr>
      <w:ind w:firstLine="1440"/>
    </w:pPr>
  </w:style>
  <w:style w:type="character" w:customStyle="1" w:styleId="ArticleCont3Char">
    <w:name w:val="Article Cont 3 Char"/>
    <w:link w:val="ArticleCont3"/>
    <w:uiPriority w:val="20"/>
    <w:rsid w:val="002A1739"/>
    <w:rPr>
      <w:sz w:val="24"/>
      <w:szCs w:val="24"/>
    </w:rPr>
  </w:style>
  <w:style w:type="paragraph" w:customStyle="1" w:styleId="ArticleCont4">
    <w:name w:val="Article Cont 4"/>
    <w:basedOn w:val="ArticleCont3"/>
    <w:link w:val="ArticleCont4Char"/>
    <w:uiPriority w:val="20"/>
    <w:unhideWhenUsed/>
    <w:rsid w:val="002A1739"/>
    <w:pPr>
      <w:ind w:firstLine="2160"/>
    </w:pPr>
  </w:style>
  <w:style w:type="character" w:customStyle="1" w:styleId="ArticleCont4Char">
    <w:name w:val="Article Cont 4 Char"/>
    <w:link w:val="ArticleCont4"/>
    <w:uiPriority w:val="20"/>
    <w:rsid w:val="002A1739"/>
    <w:rPr>
      <w:sz w:val="24"/>
      <w:szCs w:val="24"/>
    </w:rPr>
  </w:style>
  <w:style w:type="paragraph" w:customStyle="1" w:styleId="ArticleCont5">
    <w:name w:val="Article Cont 5"/>
    <w:basedOn w:val="ArticleCont4"/>
    <w:link w:val="ArticleCont5Char"/>
    <w:uiPriority w:val="20"/>
    <w:unhideWhenUsed/>
    <w:rsid w:val="002A1739"/>
    <w:pPr>
      <w:ind w:firstLine="2880"/>
    </w:pPr>
  </w:style>
  <w:style w:type="character" w:customStyle="1" w:styleId="ArticleCont5Char">
    <w:name w:val="Article Cont 5 Char"/>
    <w:link w:val="ArticleCont5"/>
    <w:uiPriority w:val="20"/>
    <w:rsid w:val="002A1739"/>
    <w:rPr>
      <w:sz w:val="24"/>
      <w:szCs w:val="24"/>
    </w:rPr>
  </w:style>
  <w:style w:type="paragraph" w:customStyle="1" w:styleId="ArticleCont6">
    <w:name w:val="Article Cont 6"/>
    <w:basedOn w:val="ArticleCont5"/>
    <w:link w:val="ArticleCont6Char"/>
    <w:uiPriority w:val="20"/>
    <w:unhideWhenUsed/>
    <w:rsid w:val="002A1739"/>
    <w:pPr>
      <w:ind w:firstLine="1440"/>
    </w:pPr>
  </w:style>
  <w:style w:type="character" w:customStyle="1" w:styleId="ArticleCont6Char">
    <w:name w:val="Article Cont 6 Char"/>
    <w:link w:val="ArticleCont6"/>
    <w:uiPriority w:val="20"/>
    <w:rsid w:val="002A1739"/>
    <w:rPr>
      <w:sz w:val="24"/>
      <w:szCs w:val="24"/>
    </w:rPr>
  </w:style>
  <w:style w:type="paragraph" w:customStyle="1" w:styleId="ArticleCont7">
    <w:name w:val="Article Cont 7"/>
    <w:basedOn w:val="ArticleCont6"/>
    <w:link w:val="ArticleCont7Char"/>
    <w:uiPriority w:val="20"/>
    <w:unhideWhenUsed/>
    <w:rsid w:val="002A1739"/>
    <w:pPr>
      <w:ind w:firstLine="2160"/>
    </w:pPr>
  </w:style>
  <w:style w:type="character" w:customStyle="1" w:styleId="ArticleCont7Char">
    <w:name w:val="Article Cont 7 Char"/>
    <w:link w:val="ArticleCont7"/>
    <w:uiPriority w:val="20"/>
    <w:rsid w:val="002A1739"/>
    <w:rPr>
      <w:sz w:val="24"/>
      <w:szCs w:val="24"/>
    </w:rPr>
  </w:style>
  <w:style w:type="paragraph" w:customStyle="1" w:styleId="ArticleCont8">
    <w:name w:val="Article Cont 8"/>
    <w:basedOn w:val="ArticleCont7"/>
    <w:link w:val="ArticleCont8Char"/>
    <w:uiPriority w:val="20"/>
    <w:unhideWhenUsed/>
    <w:rsid w:val="002A1739"/>
    <w:pPr>
      <w:ind w:firstLine="2880"/>
    </w:pPr>
  </w:style>
  <w:style w:type="character" w:customStyle="1" w:styleId="ArticleCont8Char">
    <w:name w:val="Article Cont 8 Char"/>
    <w:link w:val="ArticleCont8"/>
    <w:uiPriority w:val="20"/>
    <w:rsid w:val="002A1739"/>
    <w:rPr>
      <w:sz w:val="24"/>
      <w:szCs w:val="24"/>
    </w:rPr>
  </w:style>
  <w:style w:type="paragraph" w:customStyle="1" w:styleId="ArticleCont9">
    <w:name w:val="Article Cont 9"/>
    <w:basedOn w:val="ArticleCont8"/>
    <w:link w:val="ArticleCont9Char"/>
    <w:uiPriority w:val="20"/>
    <w:unhideWhenUsed/>
    <w:rsid w:val="002A1739"/>
    <w:pPr>
      <w:ind w:firstLine="3600"/>
    </w:pPr>
  </w:style>
  <w:style w:type="character" w:customStyle="1" w:styleId="ArticleCont9Char">
    <w:name w:val="Article Cont 9 Char"/>
    <w:link w:val="ArticleCont9"/>
    <w:uiPriority w:val="20"/>
    <w:rsid w:val="002A1739"/>
    <w:rPr>
      <w:sz w:val="24"/>
      <w:szCs w:val="24"/>
    </w:rPr>
  </w:style>
  <w:style w:type="paragraph" w:customStyle="1" w:styleId="Article2Cont1">
    <w:name w:val="Article2 Cont 1"/>
    <w:basedOn w:val="Normal"/>
    <w:link w:val="Article2Cont1Char"/>
    <w:uiPriority w:val="20"/>
    <w:unhideWhenUsed/>
    <w:rsid w:val="002A1739"/>
    <w:pPr>
      <w:spacing w:after="240"/>
      <w:ind w:firstLine="720"/>
    </w:pPr>
  </w:style>
  <w:style w:type="character" w:customStyle="1" w:styleId="Article2Cont1Char">
    <w:name w:val="Article2 Cont 1 Char"/>
    <w:link w:val="Article2Cont1"/>
    <w:uiPriority w:val="20"/>
    <w:rsid w:val="002A1739"/>
    <w:rPr>
      <w:sz w:val="24"/>
      <w:szCs w:val="24"/>
    </w:rPr>
  </w:style>
  <w:style w:type="paragraph" w:customStyle="1" w:styleId="Article2Cont2">
    <w:name w:val="Article2 Cont 2"/>
    <w:basedOn w:val="Article2Cont1"/>
    <w:link w:val="Article2Cont2Char"/>
    <w:uiPriority w:val="20"/>
    <w:unhideWhenUsed/>
    <w:rsid w:val="002A1739"/>
  </w:style>
  <w:style w:type="character" w:customStyle="1" w:styleId="Article2Cont2Char">
    <w:name w:val="Article2 Cont 2 Char"/>
    <w:link w:val="Article2Cont2"/>
    <w:uiPriority w:val="20"/>
    <w:rsid w:val="002A1739"/>
    <w:rPr>
      <w:sz w:val="24"/>
      <w:szCs w:val="24"/>
    </w:rPr>
  </w:style>
  <w:style w:type="paragraph" w:customStyle="1" w:styleId="Article2Cont3">
    <w:name w:val="Article2 Cont 3"/>
    <w:basedOn w:val="Article2Cont2"/>
    <w:link w:val="Article2Cont3Char"/>
    <w:uiPriority w:val="20"/>
    <w:unhideWhenUsed/>
    <w:rsid w:val="002A1739"/>
    <w:pPr>
      <w:ind w:firstLine="1440"/>
    </w:pPr>
  </w:style>
  <w:style w:type="character" w:customStyle="1" w:styleId="Article2Cont3Char">
    <w:name w:val="Article2 Cont 3 Char"/>
    <w:link w:val="Article2Cont3"/>
    <w:uiPriority w:val="20"/>
    <w:rsid w:val="002A1739"/>
    <w:rPr>
      <w:sz w:val="24"/>
      <w:szCs w:val="24"/>
    </w:rPr>
  </w:style>
  <w:style w:type="paragraph" w:customStyle="1" w:styleId="Article2Cont4">
    <w:name w:val="Article2 Cont 4"/>
    <w:basedOn w:val="Article2Cont3"/>
    <w:link w:val="Article2Cont4Char"/>
    <w:uiPriority w:val="20"/>
    <w:unhideWhenUsed/>
    <w:rsid w:val="002A1739"/>
    <w:pPr>
      <w:ind w:firstLine="2160"/>
    </w:pPr>
  </w:style>
  <w:style w:type="character" w:customStyle="1" w:styleId="Article2Cont4Char">
    <w:name w:val="Article2 Cont 4 Char"/>
    <w:link w:val="Article2Cont4"/>
    <w:uiPriority w:val="20"/>
    <w:rsid w:val="002A1739"/>
    <w:rPr>
      <w:sz w:val="24"/>
      <w:szCs w:val="24"/>
    </w:rPr>
  </w:style>
  <w:style w:type="paragraph" w:customStyle="1" w:styleId="Article2Cont5">
    <w:name w:val="Article2 Cont 5"/>
    <w:basedOn w:val="Article2Cont4"/>
    <w:link w:val="Article2Cont5Char"/>
    <w:uiPriority w:val="20"/>
    <w:unhideWhenUsed/>
    <w:rsid w:val="002A1739"/>
    <w:pPr>
      <w:ind w:firstLine="2880"/>
    </w:pPr>
  </w:style>
  <w:style w:type="character" w:customStyle="1" w:styleId="Article2Cont5Char">
    <w:name w:val="Article2 Cont 5 Char"/>
    <w:link w:val="Article2Cont5"/>
    <w:uiPriority w:val="20"/>
    <w:rsid w:val="002A1739"/>
    <w:rPr>
      <w:sz w:val="24"/>
      <w:szCs w:val="24"/>
    </w:rPr>
  </w:style>
  <w:style w:type="paragraph" w:customStyle="1" w:styleId="Article2Cont6">
    <w:name w:val="Article2 Cont 6"/>
    <w:basedOn w:val="Article2Cont5"/>
    <w:link w:val="Article2Cont6Char"/>
    <w:uiPriority w:val="20"/>
    <w:unhideWhenUsed/>
    <w:rsid w:val="002A1739"/>
    <w:pPr>
      <w:ind w:firstLine="3600"/>
    </w:pPr>
  </w:style>
  <w:style w:type="character" w:customStyle="1" w:styleId="Article2Cont6Char">
    <w:name w:val="Article2 Cont 6 Char"/>
    <w:link w:val="Article2Cont6"/>
    <w:uiPriority w:val="20"/>
    <w:rsid w:val="002A1739"/>
    <w:rPr>
      <w:sz w:val="24"/>
      <w:szCs w:val="24"/>
    </w:rPr>
  </w:style>
  <w:style w:type="paragraph" w:customStyle="1" w:styleId="Article2Cont7">
    <w:name w:val="Article2 Cont 7"/>
    <w:basedOn w:val="Article2Cont6"/>
    <w:link w:val="Article2Cont7Char"/>
    <w:uiPriority w:val="20"/>
    <w:unhideWhenUsed/>
    <w:rsid w:val="002A1739"/>
    <w:pPr>
      <w:ind w:firstLine="4320"/>
    </w:pPr>
  </w:style>
  <w:style w:type="character" w:customStyle="1" w:styleId="Article2Cont7Char">
    <w:name w:val="Article2 Cont 7 Char"/>
    <w:link w:val="Article2Cont7"/>
    <w:uiPriority w:val="20"/>
    <w:rsid w:val="002A1739"/>
    <w:rPr>
      <w:sz w:val="24"/>
      <w:szCs w:val="24"/>
    </w:rPr>
  </w:style>
  <w:style w:type="paragraph" w:customStyle="1" w:styleId="Article2Cont8">
    <w:name w:val="Article2 Cont 8"/>
    <w:basedOn w:val="Article2Cont7"/>
    <w:link w:val="Article2Cont8Char"/>
    <w:uiPriority w:val="20"/>
    <w:unhideWhenUsed/>
    <w:rsid w:val="002A1739"/>
    <w:pPr>
      <w:ind w:firstLine="5040"/>
    </w:pPr>
  </w:style>
  <w:style w:type="character" w:customStyle="1" w:styleId="Article2Cont8Char">
    <w:name w:val="Article2 Cont 8 Char"/>
    <w:link w:val="Article2Cont8"/>
    <w:uiPriority w:val="20"/>
    <w:rsid w:val="002A1739"/>
    <w:rPr>
      <w:sz w:val="24"/>
      <w:szCs w:val="24"/>
    </w:rPr>
  </w:style>
  <w:style w:type="paragraph" w:customStyle="1" w:styleId="Article2Cont9">
    <w:name w:val="Article2 Cont 9"/>
    <w:basedOn w:val="Article2Cont8"/>
    <w:link w:val="Article2Cont9Char"/>
    <w:uiPriority w:val="20"/>
    <w:unhideWhenUsed/>
    <w:rsid w:val="002A1739"/>
    <w:pPr>
      <w:ind w:firstLine="5760"/>
    </w:pPr>
  </w:style>
  <w:style w:type="character" w:customStyle="1" w:styleId="Article2Cont9Char">
    <w:name w:val="Article2 Cont 9 Char"/>
    <w:link w:val="Article2Cont9"/>
    <w:uiPriority w:val="20"/>
    <w:rsid w:val="002A1739"/>
    <w:rPr>
      <w:sz w:val="24"/>
      <w:szCs w:val="24"/>
    </w:rPr>
  </w:style>
  <w:style w:type="paragraph" w:customStyle="1" w:styleId="Article3Cont1">
    <w:name w:val="Article3 Cont 1"/>
    <w:basedOn w:val="Normal"/>
    <w:link w:val="Article3Cont1Char"/>
    <w:uiPriority w:val="20"/>
    <w:unhideWhenUsed/>
    <w:rsid w:val="002A1739"/>
    <w:pPr>
      <w:spacing w:after="240"/>
      <w:ind w:firstLine="720"/>
    </w:pPr>
  </w:style>
  <w:style w:type="character" w:customStyle="1" w:styleId="Article3Cont1Char">
    <w:name w:val="Article3 Cont 1 Char"/>
    <w:link w:val="Article3Cont1"/>
    <w:uiPriority w:val="20"/>
    <w:rsid w:val="002A1739"/>
    <w:rPr>
      <w:sz w:val="24"/>
      <w:szCs w:val="24"/>
    </w:rPr>
  </w:style>
  <w:style w:type="paragraph" w:customStyle="1" w:styleId="Article3Cont2">
    <w:name w:val="Article3 Cont 2"/>
    <w:basedOn w:val="Article3Cont1"/>
    <w:link w:val="Article3Cont2Char"/>
    <w:uiPriority w:val="20"/>
    <w:unhideWhenUsed/>
    <w:rsid w:val="002A1739"/>
  </w:style>
  <w:style w:type="character" w:customStyle="1" w:styleId="Article3Cont2Char">
    <w:name w:val="Article3 Cont 2 Char"/>
    <w:link w:val="Article3Cont2"/>
    <w:uiPriority w:val="20"/>
    <w:rsid w:val="002A1739"/>
    <w:rPr>
      <w:sz w:val="24"/>
      <w:szCs w:val="24"/>
    </w:rPr>
  </w:style>
  <w:style w:type="paragraph" w:customStyle="1" w:styleId="Article3Cont3">
    <w:name w:val="Article3 Cont 3"/>
    <w:basedOn w:val="Article3Cont2"/>
    <w:link w:val="Article3Cont3Char"/>
    <w:uiPriority w:val="20"/>
    <w:unhideWhenUsed/>
    <w:rsid w:val="002A1739"/>
    <w:pPr>
      <w:ind w:firstLine="1440"/>
    </w:pPr>
  </w:style>
  <w:style w:type="character" w:customStyle="1" w:styleId="Article3Cont3Char">
    <w:name w:val="Article3 Cont 3 Char"/>
    <w:link w:val="Article3Cont3"/>
    <w:uiPriority w:val="20"/>
    <w:rsid w:val="002A1739"/>
    <w:rPr>
      <w:sz w:val="24"/>
      <w:szCs w:val="24"/>
    </w:rPr>
  </w:style>
  <w:style w:type="paragraph" w:customStyle="1" w:styleId="Article3Cont4">
    <w:name w:val="Article3 Cont 4"/>
    <w:basedOn w:val="Article3Cont3"/>
    <w:link w:val="Article3Cont4Char"/>
    <w:uiPriority w:val="20"/>
    <w:unhideWhenUsed/>
    <w:rsid w:val="002A1739"/>
    <w:pPr>
      <w:ind w:firstLine="2160"/>
    </w:pPr>
  </w:style>
  <w:style w:type="character" w:customStyle="1" w:styleId="Article3Cont4Char">
    <w:name w:val="Article3 Cont 4 Char"/>
    <w:link w:val="Article3Cont4"/>
    <w:uiPriority w:val="20"/>
    <w:rsid w:val="002A1739"/>
    <w:rPr>
      <w:sz w:val="24"/>
      <w:szCs w:val="24"/>
    </w:rPr>
  </w:style>
  <w:style w:type="paragraph" w:customStyle="1" w:styleId="Article3Cont5">
    <w:name w:val="Article3 Cont 5"/>
    <w:basedOn w:val="Article3Cont4"/>
    <w:link w:val="Article3Cont5Char"/>
    <w:uiPriority w:val="20"/>
    <w:unhideWhenUsed/>
    <w:rsid w:val="002A1739"/>
    <w:pPr>
      <w:ind w:firstLine="2880"/>
    </w:pPr>
  </w:style>
  <w:style w:type="character" w:customStyle="1" w:styleId="Article3Cont5Char">
    <w:name w:val="Article3 Cont 5 Char"/>
    <w:link w:val="Article3Cont5"/>
    <w:uiPriority w:val="20"/>
    <w:rsid w:val="002A1739"/>
    <w:rPr>
      <w:sz w:val="24"/>
      <w:szCs w:val="24"/>
    </w:rPr>
  </w:style>
  <w:style w:type="paragraph" w:customStyle="1" w:styleId="Article3Cont6">
    <w:name w:val="Article3 Cont 6"/>
    <w:basedOn w:val="Article3Cont5"/>
    <w:link w:val="Article3Cont6Char"/>
    <w:uiPriority w:val="20"/>
    <w:unhideWhenUsed/>
    <w:rsid w:val="002A1739"/>
    <w:pPr>
      <w:ind w:firstLine="3600"/>
    </w:pPr>
  </w:style>
  <w:style w:type="character" w:customStyle="1" w:styleId="Article3Cont6Char">
    <w:name w:val="Article3 Cont 6 Char"/>
    <w:link w:val="Article3Cont6"/>
    <w:uiPriority w:val="20"/>
    <w:rsid w:val="002A1739"/>
    <w:rPr>
      <w:sz w:val="24"/>
      <w:szCs w:val="24"/>
    </w:rPr>
  </w:style>
  <w:style w:type="paragraph" w:customStyle="1" w:styleId="Article3Cont7">
    <w:name w:val="Article3 Cont 7"/>
    <w:basedOn w:val="Article3Cont6"/>
    <w:link w:val="Article3Cont7Char"/>
    <w:uiPriority w:val="20"/>
    <w:unhideWhenUsed/>
    <w:rsid w:val="002A1739"/>
    <w:pPr>
      <w:ind w:firstLine="4320"/>
    </w:pPr>
  </w:style>
  <w:style w:type="character" w:customStyle="1" w:styleId="Article3Cont7Char">
    <w:name w:val="Article3 Cont 7 Char"/>
    <w:link w:val="Article3Cont7"/>
    <w:uiPriority w:val="20"/>
    <w:rsid w:val="002A1739"/>
    <w:rPr>
      <w:sz w:val="24"/>
      <w:szCs w:val="24"/>
    </w:rPr>
  </w:style>
  <w:style w:type="paragraph" w:customStyle="1" w:styleId="Article3Cont8">
    <w:name w:val="Article3 Cont 8"/>
    <w:basedOn w:val="Article3Cont7"/>
    <w:link w:val="Article3Cont8Char"/>
    <w:uiPriority w:val="20"/>
    <w:unhideWhenUsed/>
    <w:rsid w:val="002A1739"/>
    <w:pPr>
      <w:ind w:firstLine="5040"/>
    </w:pPr>
  </w:style>
  <w:style w:type="character" w:customStyle="1" w:styleId="Article3Cont8Char">
    <w:name w:val="Article3 Cont 8 Char"/>
    <w:link w:val="Article3Cont8"/>
    <w:uiPriority w:val="20"/>
    <w:rsid w:val="002A1739"/>
    <w:rPr>
      <w:sz w:val="24"/>
      <w:szCs w:val="24"/>
    </w:rPr>
  </w:style>
  <w:style w:type="paragraph" w:customStyle="1" w:styleId="Article3Cont9">
    <w:name w:val="Article3 Cont 9"/>
    <w:basedOn w:val="Article3Cont8"/>
    <w:link w:val="Article3Cont9Char"/>
    <w:uiPriority w:val="20"/>
    <w:unhideWhenUsed/>
    <w:rsid w:val="002A1739"/>
    <w:pPr>
      <w:ind w:firstLine="5760"/>
    </w:pPr>
  </w:style>
  <w:style w:type="character" w:customStyle="1" w:styleId="Article3Cont9Char">
    <w:name w:val="Article3 Cont 9 Char"/>
    <w:link w:val="Article3Cont9"/>
    <w:uiPriority w:val="20"/>
    <w:rsid w:val="002A1739"/>
    <w:rPr>
      <w:sz w:val="24"/>
      <w:szCs w:val="24"/>
    </w:rPr>
  </w:style>
  <w:style w:type="paragraph" w:customStyle="1" w:styleId="BulletCont1">
    <w:name w:val="Bullet Cont 1"/>
    <w:basedOn w:val="Normal"/>
    <w:link w:val="BulletCont1Char"/>
    <w:uiPriority w:val="21"/>
    <w:unhideWhenUsed/>
    <w:rsid w:val="002A1739"/>
    <w:pPr>
      <w:spacing w:after="240"/>
      <w:ind w:left="360"/>
    </w:pPr>
  </w:style>
  <w:style w:type="character" w:customStyle="1" w:styleId="BulletCont1Char">
    <w:name w:val="Bullet Cont 1 Char"/>
    <w:link w:val="BulletCont1"/>
    <w:uiPriority w:val="21"/>
    <w:rsid w:val="002A1739"/>
    <w:rPr>
      <w:sz w:val="24"/>
      <w:szCs w:val="24"/>
    </w:rPr>
  </w:style>
  <w:style w:type="paragraph" w:customStyle="1" w:styleId="BulletCont2">
    <w:name w:val="Bullet Cont 2"/>
    <w:basedOn w:val="BulletCont1"/>
    <w:link w:val="BulletCont2Char"/>
    <w:uiPriority w:val="21"/>
    <w:unhideWhenUsed/>
    <w:rsid w:val="002A1739"/>
    <w:pPr>
      <w:ind w:left="720"/>
    </w:pPr>
  </w:style>
  <w:style w:type="character" w:customStyle="1" w:styleId="BulletCont2Char">
    <w:name w:val="Bullet Cont 2 Char"/>
    <w:link w:val="BulletCont2"/>
    <w:uiPriority w:val="21"/>
    <w:rsid w:val="002A1739"/>
    <w:rPr>
      <w:sz w:val="24"/>
      <w:szCs w:val="24"/>
    </w:rPr>
  </w:style>
  <w:style w:type="paragraph" w:customStyle="1" w:styleId="BulletCont3">
    <w:name w:val="Bullet Cont 3"/>
    <w:basedOn w:val="BulletCont2"/>
    <w:link w:val="BulletCont3Char"/>
    <w:uiPriority w:val="21"/>
    <w:unhideWhenUsed/>
    <w:rsid w:val="002A1739"/>
    <w:pPr>
      <w:ind w:left="1080"/>
    </w:pPr>
  </w:style>
  <w:style w:type="character" w:customStyle="1" w:styleId="BulletCont3Char">
    <w:name w:val="Bullet Cont 3 Char"/>
    <w:link w:val="BulletCont3"/>
    <w:uiPriority w:val="21"/>
    <w:rsid w:val="002A1739"/>
    <w:rPr>
      <w:sz w:val="24"/>
      <w:szCs w:val="24"/>
    </w:rPr>
  </w:style>
  <w:style w:type="paragraph" w:customStyle="1" w:styleId="BulletCont4">
    <w:name w:val="Bullet Cont 4"/>
    <w:basedOn w:val="BulletCont3"/>
    <w:link w:val="BulletCont4Char"/>
    <w:uiPriority w:val="21"/>
    <w:unhideWhenUsed/>
    <w:rsid w:val="002A1739"/>
    <w:pPr>
      <w:ind w:left="1440"/>
    </w:pPr>
  </w:style>
  <w:style w:type="character" w:customStyle="1" w:styleId="BulletCont4Char">
    <w:name w:val="Bullet Cont 4 Char"/>
    <w:link w:val="BulletCont4"/>
    <w:uiPriority w:val="21"/>
    <w:rsid w:val="002A1739"/>
    <w:rPr>
      <w:sz w:val="24"/>
      <w:szCs w:val="24"/>
    </w:rPr>
  </w:style>
  <w:style w:type="paragraph" w:customStyle="1" w:styleId="BulletCont5">
    <w:name w:val="Bullet Cont 5"/>
    <w:basedOn w:val="BulletCont4"/>
    <w:link w:val="BulletCont5Char"/>
    <w:uiPriority w:val="21"/>
    <w:unhideWhenUsed/>
    <w:rsid w:val="002A1739"/>
    <w:pPr>
      <w:ind w:left="1800"/>
    </w:pPr>
  </w:style>
  <w:style w:type="character" w:customStyle="1" w:styleId="BulletCont5Char">
    <w:name w:val="Bullet Cont 5 Char"/>
    <w:link w:val="BulletCont5"/>
    <w:uiPriority w:val="21"/>
    <w:rsid w:val="002A1739"/>
    <w:rPr>
      <w:sz w:val="24"/>
      <w:szCs w:val="24"/>
    </w:rPr>
  </w:style>
  <w:style w:type="paragraph" w:customStyle="1" w:styleId="BulletCont6">
    <w:name w:val="Bullet Cont 6"/>
    <w:basedOn w:val="BulletCont5"/>
    <w:link w:val="BulletCont6Char"/>
    <w:uiPriority w:val="21"/>
    <w:unhideWhenUsed/>
    <w:rsid w:val="002A1739"/>
    <w:pPr>
      <w:ind w:left="2160"/>
    </w:pPr>
  </w:style>
  <w:style w:type="character" w:customStyle="1" w:styleId="BulletCont6Char">
    <w:name w:val="Bullet Cont 6 Char"/>
    <w:link w:val="BulletCont6"/>
    <w:uiPriority w:val="21"/>
    <w:rsid w:val="002A1739"/>
    <w:rPr>
      <w:sz w:val="24"/>
      <w:szCs w:val="24"/>
    </w:rPr>
  </w:style>
  <w:style w:type="paragraph" w:customStyle="1" w:styleId="BulletCont7">
    <w:name w:val="Bullet Cont 7"/>
    <w:basedOn w:val="BulletCont6"/>
    <w:link w:val="BulletCont7Char"/>
    <w:uiPriority w:val="21"/>
    <w:unhideWhenUsed/>
    <w:rsid w:val="002A1739"/>
    <w:pPr>
      <w:ind w:left="2520"/>
    </w:pPr>
  </w:style>
  <w:style w:type="character" w:customStyle="1" w:styleId="BulletCont7Char">
    <w:name w:val="Bullet Cont 7 Char"/>
    <w:link w:val="BulletCont7"/>
    <w:uiPriority w:val="21"/>
    <w:rsid w:val="002A1739"/>
    <w:rPr>
      <w:sz w:val="24"/>
      <w:szCs w:val="24"/>
    </w:rPr>
  </w:style>
  <w:style w:type="paragraph" w:customStyle="1" w:styleId="BulletCont8">
    <w:name w:val="Bullet Cont 8"/>
    <w:basedOn w:val="BulletCont7"/>
    <w:link w:val="BulletCont8Char"/>
    <w:uiPriority w:val="21"/>
    <w:unhideWhenUsed/>
    <w:rsid w:val="002A1739"/>
    <w:pPr>
      <w:ind w:left="2880"/>
    </w:pPr>
  </w:style>
  <w:style w:type="character" w:customStyle="1" w:styleId="BulletCont8Char">
    <w:name w:val="Bullet Cont 8 Char"/>
    <w:link w:val="BulletCont8"/>
    <w:uiPriority w:val="21"/>
    <w:rsid w:val="002A1739"/>
    <w:rPr>
      <w:sz w:val="24"/>
      <w:szCs w:val="24"/>
    </w:rPr>
  </w:style>
  <w:style w:type="paragraph" w:customStyle="1" w:styleId="BulletCont9">
    <w:name w:val="Bullet Cont 9"/>
    <w:basedOn w:val="BulletCont8"/>
    <w:link w:val="BulletCont9Char"/>
    <w:uiPriority w:val="21"/>
    <w:unhideWhenUsed/>
    <w:rsid w:val="002A1739"/>
    <w:pPr>
      <w:ind w:left="3240"/>
    </w:pPr>
  </w:style>
  <w:style w:type="character" w:customStyle="1" w:styleId="BulletCont9Char">
    <w:name w:val="Bullet Cont 9 Char"/>
    <w:link w:val="BulletCont9"/>
    <w:uiPriority w:val="21"/>
    <w:rsid w:val="002A1739"/>
    <w:rPr>
      <w:sz w:val="24"/>
      <w:szCs w:val="24"/>
    </w:rPr>
  </w:style>
  <w:style w:type="paragraph" w:styleId="TOCHeading">
    <w:name w:val="TOC Heading"/>
    <w:basedOn w:val="Heading1"/>
    <w:next w:val="Normal"/>
    <w:uiPriority w:val="39"/>
    <w:semiHidden/>
    <w:unhideWhenUsed/>
    <w:qFormat/>
    <w:rsid w:val="00DC1B81"/>
    <w:pPr>
      <w:keepLines w:val="0"/>
      <w:spacing w:before="240" w:after="60"/>
      <w:outlineLvl w:val="9"/>
    </w:pPr>
    <w:rPr>
      <w:rFonts w:ascii="Times New Roman" w:hAnsi="Times New Roman"/>
      <w:kern w:val="32"/>
      <w:sz w:val="32"/>
      <w:szCs w:val="32"/>
    </w:rPr>
  </w:style>
  <w:style w:type="paragraph" w:customStyle="1" w:styleId="IndentedCont1">
    <w:name w:val="Indented Cont 1"/>
    <w:basedOn w:val="Normal"/>
    <w:uiPriority w:val="21"/>
    <w:unhideWhenUsed/>
    <w:rsid w:val="002A1739"/>
    <w:pPr>
      <w:spacing w:after="240"/>
      <w:ind w:left="720"/>
    </w:pPr>
    <w:rPr>
      <w:szCs w:val="20"/>
    </w:rPr>
  </w:style>
  <w:style w:type="paragraph" w:customStyle="1" w:styleId="IndentedCont2">
    <w:name w:val="Indented Cont 2"/>
    <w:basedOn w:val="IndentedCont1"/>
    <w:uiPriority w:val="21"/>
    <w:unhideWhenUsed/>
    <w:rsid w:val="002A1739"/>
    <w:pPr>
      <w:ind w:left="1440"/>
    </w:pPr>
  </w:style>
  <w:style w:type="paragraph" w:customStyle="1" w:styleId="IndentedCont3">
    <w:name w:val="Indented Cont 3"/>
    <w:basedOn w:val="IndentedCont2"/>
    <w:uiPriority w:val="21"/>
    <w:unhideWhenUsed/>
    <w:rsid w:val="002A1739"/>
    <w:pPr>
      <w:ind w:left="2160"/>
    </w:pPr>
  </w:style>
  <w:style w:type="paragraph" w:customStyle="1" w:styleId="IndentedCont4">
    <w:name w:val="Indented Cont 4"/>
    <w:basedOn w:val="IndentedCont3"/>
    <w:uiPriority w:val="21"/>
    <w:unhideWhenUsed/>
    <w:rsid w:val="002A1739"/>
    <w:pPr>
      <w:ind w:left="2880"/>
    </w:pPr>
  </w:style>
  <w:style w:type="paragraph" w:customStyle="1" w:styleId="IndentedCont5">
    <w:name w:val="Indented Cont 5"/>
    <w:basedOn w:val="IndentedCont4"/>
    <w:uiPriority w:val="21"/>
    <w:unhideWhenUsed/>
    <w:rsid w:val="002A1739"/>
    <w:pPr>
      <w:ind w:left="3600"/>
    </w:pPr>
  </w:style>
  <w:style w:type="paragraph" w:customStyle="1" w:styleId="IndentedCont6">
    <w:name w:val="Indented Cont 6"/>
    <w:basedOn w:val="IndentedCont5"/>
    <w:uiPriority w:val="21"/>
    <w:unhideWhenUsed/>
    <w:rsid w:val="002A1739"/>
    <w:pPr>
      <w:ind w:left="4320"/>
    </w:pPr>
  </w:style>
  <w:style w:type="paragraph" w:customStyle="1" w:styleId="IndentedCont7">
    <w:name w:val="Indented Cont 7"/>
    <w:basedOn w:val="IndentedCont6"/>
    <w:uiPriority w:val="21"/>
    <w:unhideWhenUsed/>
    <w:rsid w:val="002A1739"/>
    <w:pPr>
      <w:ind w:left="5040"/>
    </w:pPr>
  </w:style>
  <w:style w:type="paragraph" w:customStyle="1" w:styleId="IndentedCont8">
    <w:name w:val="Indented Cont 8"/>
    <w:basedOn w:val="IndentedCont7"/>
    <w:uiPriority w:val="21"/>
    <w:unhideWhenUsed/>
    <w:rsid w:val="002A1739"/>
    <w:pPr>
      <w:ind w:left="5760"/>
    </w:pPr>
  </w:style>
  <w:style w:type="paragraph" w:customStyle="1" w:styleId="IndentedCont9">
    <w:name w:val="Indented Cont 9"/>
    <w:basedOn w:val="IndentedCont8"/>
    <w:uiPriority w:val="21"/>
    <w:unhideWhenUsed/>
    <w:rsid w:val="002A1739"/>
    <w:pPr>
      <w:ind w:left="6480"/>
    </w:pPr>
  </w:style>
  <w:style w:type="paragraph" w:styleId="Caption">
    <w:name w:val="caption"/>
    <w:basedOn w:val="Normal"/>
    <w:next w:val="Normal"/>
    <w:uiPriority w:val="35"/>
    <w:semiHidden/>
    <w:unhideWhenUsed/>
    <w:rsid w:val="002A1739"/>
    <w:rPr>
      <w:b/>
      <w:bCs/>
      <w:sz w:val="20"/>
      <w:szCs w:val="20"/>
    </w:rPr>
  </w:style>
  <w:style w:type="paragraph" w:customStyle="1" w:styleId="Legal2Cont1">
    <w:name w:val="Legal2 Cont 1"/>
    <w:basedOn w:val="Normal"/>
    <w:link w:val="Legal2Cont1Char"/>
    <w:uiPriority w:val="23"/>
    <w:unhideWhenUsed/>
    <w:rsid w:val="002A1739"/>
    <w:pPr>
      <w:spacing w:after="240"/>
    </w:pPr>
  </w:style>
  <w:style w:type="character" w:customStyle="1" w:styleId="Legal2Cont1Char">
    <w:name w:val="Legal2 Cont 1 Char"/>
    <w:link w:val="Legal2Cont1"/>
    <w:uiPriority w:val="23"/>
    <w:rsid w:val="002A1739"/>
    <w:rPr>
      <w:sz w:val="24"/>
      <w:szCs w:val="24"/>
    </w:rPr>
  </w:style>
  <w:style w:type="paragraph" w:customStyle="1" w:styleId="Legal2Cont2">
    <w:name w:val="Legal2 Cont 2"/>
    <w:basedOn w:val="Legal2Cont1"/>
    <w:link w:val="Legal2Cont2Char"/>
    <w:uiPriority w:val="23"/>
    <w:unhideWhenUsed/>
    <w:rsid w:val="002A1739"/>
    <w:pPr>
      <w:ind w:firstLine="720"/>
    </w:pPr>
  </w:style>
  <w:style w:type="character" w:customStyle="1" w:styleId="Legal2Cont2Char">
    <w:name w:val="Legal2 Cont 2 Char"/>
    <w:link w:val="Legal2Cont2"/>
    <w:uiPriority w:val="23"/>
    <w:rsid w:val="002A1739"/>
    <w:rPr>
      <w:sz w:val="24"/>
      <w:szCs w:val="24"/>
    </w:rPr>
  </w:style>
  <w:style w:type="paragraph" w:customStyle="1" w:styleId="Legal2Cont3">
    <w:name w:val="Legal2 Cont 3"/>
    <w:basedOn w:val="Legal2Cont2"/>
    <w:link w:val="Legal2Cont3Char"/>
    <w:uiPriority w:val="23"/>
    <w:unhideWhenUsed/>
    <w:rsid w:val="002A1739"/>
    <w:pPr>
      <w:ind w:firstLine="1440"/>
    </w:pPr>
  </w:style>
  <w:style w:type="character" w:customStyle="1" w:styleId="Legal2Cont3Char">
    <w:name w:val="Legal2 Cont 3 Char"/>
    <w:link w:val="Legal2Cont3"/>
    <w:uiPriority w:val="23"/>
    <w:rsid w:val="002A1739"/>
    <w:rPr>
      <w:sz w:val="24"/>
      <w:szCs w:val="24"/>
    </w:rPr>
  </w:style>
  <w:style w:type="paragraph" w:customStyle="1" w:styleId="Legal2Cont4">
    <w:name w:val="Legal2 Cont 4"/>
    <w:basedOn w:val="Legal2Cont3"/>
    <w:link w:val="Legal2Cont4Char"/>
    <w:uiPriority w:val="23"/>
    <w:unhideWhenUsed/>
    <w:rsid w:val="002A1739"/>
    <w:pPr>
      <w:ind w:firstLine="2160"/>
    </w:pPr>
  </w:style>
  <w:style w:type="character" w:customStyle="1" w:styleId="Legal2Cont4Char">
    <w:name w:val="Legal2 Cont 4 Char"/>
    <w:link w:val="Legal2Cont4"/>
    <w:uiPriority w:val="23"/>
    <w:rsid w:val="002A1739"/>
    <w:rPr>
      <w:sz w:val="24"/>
      <w:szCs w:val="24"/>
    </w:rPr>
  </w:style>
  <w:style w:type="paragraph" w:customStyle="1" w:styleId="Legal2Cont5">
    <w:name w:val="Legal2 Cont 5"/>
    <w:basedOn w:val="Legal2Cont4"/>
    <w:link w:val="Legal2Cont5Char"/>
    <w:uiPriority w:val="23"/>
    <w:unhideWhenUsed/>
    <w:rsid w:val="002A1739"/>
    <w:pPr>
      <w:ind w:firstLine="2880"/>
    </w:pPr>
  </w:style>
  <w:style w:type="character" w:customStyle="1" w:styleId="Legal2Cont5Char">
    <w:name w:val="Legal2 Cont 5 Char"/>
    <w:link w:val="Legal2Cont5"/>
    <w:uiPriority w:val="23"/>
    <w:rsid w:val="002A1739"/>
    <w:rPr>
      <w:sz w:val="24"/>
      <w:szCs w:val="24"/>
    </w:rPr>
  </w:style>
  <w:style w:type="paragraph" w:customStyle="1" w:styleId="Legal2Cont6">
    <w:name w:val="Legal2 Cont 6"/>
    <w:basedOn w:val="Legal2Cont5"/>
    <w:link w:val="Legal2Cont6Char"/>
    <w:uiPriority w:val="23"/>
    <w:unhideWhenUsed/>
    <w:rsid w:val="002A1739"/>
    <w:pPr>
      <w:ind w:firstLine="2160"/>
    </w:pPr>
  </w:style>
  <w:style w:type="character" w:customStyle="1" w:styleId="Legal2Cont6Char">
    <w:name w:val="Legal2 Cont 6 Char"/>
    <w:link w:val="Legal2Cont6"/>
    <w:uiPriority w:val="23"/>
    <w:rsid w:val="002A1739"/>
    <w:rPr>
      <w:sz w:val="24"/>
      <w:szCs w:val="24"/>
    </w:rPr>
  </w:style>
  <w:style w:type="paragraph" w:customStyle="1" w:styleId="Legal2Cont7">
    <w:name w:val="Legal2 Cont 7"/>
    <w:basedOn w:val="Legal2Cont6"/>
    <w:link w:val="Legal2Cont7Char"/>
    <w:uiPriority w:val="23"/>
    <w:unhideWhenUsed/>
    <w:rsid w:val="002A1739"/>
    <w:pPr>
      <w:ind w:firstLine="2880"/>
    </w:pPr>
  </w:style>
  <w:style w:type="character" w:customStyle="1" w:styleId="Legal2Cont7Char">
    <w:name w:val="Legal2 Cont 7 Char"/>
    <w:link w:val="Legal2Cont7"/>
    <w:uiPriority w:val="23"/>
    <w:rsid w:val="002A1739"/>
    <w:rPr>
      <w:sz w:val="24"/>
      <w:szCs w:val="24"/>
    </w:rPr>
  </w:style>
  <w:style w:type="paragraph" w:customStyle="1" w:styleId="Legal2Cont8">
    <w:name w:val="Legal2 Cont 8"/>
    <w:basedOn w:val="Legal2Cont7"/>
    <w:link w:val="Legal2Cont8Char"/>
    <w:uiPriority w:val="23"/>
    <w:unhideWhenUsed/>
    <w:rsid w:val="002A1739"/>
    <w:pPr>
      <w:ind w:firstLine="3600"/>
    </w:pPr>
  </w:style>
  <w:style w:type="character" w:customStyle="1" w:styleId="Legal2Cont8Char">
    <w:name w:val="Legal2 Cont 8 Char"/>
    <w:link w:val="Legal2Cont8"/>
    <w:uiPriority w:val="23"/>
    <w:rsid w:val="002A1739"/>
    <w:rPr>
      <w:sz w:val="24"/>
      <w:szCs w:val="24"/>
    </w:rPr>
  </w:style>
  <w:style w:type="paragraph" w:customStyle="1" w:styleId="Legal2Cont9">
    <w:name w:val="Legal2 Cont 9"/>
    <w:basedOn w:val="Legal2Cont8"/>
    <w:link w:val="Legal2Cont9Char"/>
    <w:uiPriority w:val="23"/>
    <w:unhideWhenUsed/>
    <w:rsid w:val="002A1739"/>
    <w:pPr>
      <w:ind w:firstLine="4320"/>
    </w:pPr>
  </w:style>
  <w:style w:type="character" w:customStyle="1" w:styleId="Legal2Cont9Char">
    <w:name w:val="Legal2 Cont 9 Char"/>
    <w:link w:val="Legal2Cont9"/>
    <w:uiPriority w:val="23"/>
    <w:rsid w:val="002A1739"/>
    <w:rPr>
      <w:sz w:val="24"/>
      <w:szCs w:val="24"/>
    </w:rPr>
  </w:style>
  <w:style w:type="paragraph" w:customStyle="1" w:styleId="Legal3Cont1">
    <w:name w:val="Legal3 Cont 1"/>
    <w:basedOn w:val="Normal"/>
    <w:link w:val="Legal3Cont1Char"/>
    <w:uiPriority w:val="23"/>
    <w:unhideWhenUsed/>
    <w:rsid w:val="002A1739"/>
    <w:pPr>
      <w:spacing w:after="240"/>
    </w:pPr>
  </w:style>
  <w:style w:type="character" w:customStyle="1" w:styleId="Legal3Cont1Char">
    <w:name w:val="Legal3 Cont 1 Char"/>
    <w:link w:val="Legal3Cont1"/>
    <w:uiPriority w:val="23"/>
    <w:rsid w:val="002A1739"/>
    <w:rPr>
      <w:sz w:val="24"/>
      <w:szCs w:val="24"/>
    </w:rPr>
  </w:style>
  <w:style w:type="paragraph" w:customStyle="1" w:styleId="Legal3Cont2">
    <w:name w:val="Legal3 Cont 2"/>
    <w:basedOn w:val="Legal3Cont1"/>
    <w:link w:val="Legal3Cont2Char"/>
    <w:uiPriority w:val="23"/>
    <w:unhideWhenUsed/>
    <w:rsid w:val="002A1739"/>
    <w:pPr>
      <w:ind w:firstLine="720"/>
    </w:pPr>
  </w:style>
  <w:style w:type="character" w:customStyle="1" w:styleId="Legal3Cont2Char">
    <w:name w:val="Legal3 Cont 2 Char"/>
    <w:link w:val="Legal3Cont2"/>
    <w:uiPriority w:val="23"/>
    <w:rsid w:val="002A1739"/>
    <w:rPr>
      <w:sz w:val="24"/>
      <w:szCs w:val="24"/>
    </w:rPr>
  </w:style>
  <w:style w:type="paragraph" w:customStyle="1" w:styleId="Legal3Cont3">
    <w:name w:val="Legal3 Cont 3"/>
    <w:basedOn w:val="Legal3Cont2"/>
    <w:link w:val="Legal3Cont3Char"/>
    <w:uiPriority w:val="23"/>
    <w:unhideWhenUsed/>
    <w:rsid w:val="002A1739"/>
    <w:pPr>
      <w:ind w:firstLine="1440"/>
    </w:pPr>
  </w:style>
  <w:style w:type="character" w:customStyle="1" w:styleId="Legal3Cont3Char">
    <w:name w:val="Legal3 Cont 3 Char"/>
    <w:link w:val="Legal3Cont3"/>
    <w:uiPriority w:val="23"/>
    <w:rsid w:val="002A1739"/>
    <w:rPr>
      <w:sz w:val="24"/>
      <w:szCs w:val="24"/>
    </w:rPr>
  </w:style>
  <w:style w:type="paragraph" w:customStyle="1" w:styleId="Legal3Cont4">
    <w:name w:val="Legal3 Cont 4"/>
    <w:basedOn w:val="Legal3Cont3"/>
    <w:link w:val="Legal3Cont4Char"/>
    <w:uiPriority w:val="23"/>
    <w:unhideWhenUsed/>
    <w:rsid w:val="002A1739"/>
    <w:pPr>
      <w:ind w:firstLine="2160"/>
    </w:pPr>
  </w:style>
  <w:style w:type="character" w:customStyle="1" w:styleId="Legal3Cont4Char">
    <w:name w:val="Legal3 Cont 4 Char"/>
    <w:link w:val="Legal3Cont4"/>
    <w:uiPriority w:val="23"/>
    <w:rsid w:val="002A1739"/>
    <w:rPr>
      <w:sz w:val="24"/>
      <w:szCs w:val="24"/>
    </w:rPr>
  </w:style>
  <w:style w:type="paragraph" w:customStyle="1" w:styleId="Legal3Cont5">
    <w:name w:val="Legal3 Cont 5"/>
    <w:basedOn w:val="Legal3Cont4"/>
    <w:link w:val="Legal3Cont5Char"/>
    <w:uiPriority w:val="23"/>
    <w:unhideWhenUsed/>
    <w:rsid w:val="002A1739"/>
    <w:pPr>
      <w:ind w:firstLine="2880"/>
    </w:pPr>
  </w:style>
  <w:style w:type="character" w:customStyle="1" w:styleId="Legal3Cont5Char">
    <w:name w:val="Legal3 Cont 5 Char"/>
    <w:link w:val="Legal3Cont5"/>
    <w:uiPriority w:val="23"/>
    <w:rsid w:val="002A1739"/>
    <w:rPr>
      <w:sz w:val="24"/>
      <w:szCs w:val="24"/>
    </w:rPr>
  </w:style>
  <w:style w:type="paragraph" w:customStyle="1" w:styleId="Legal3Cont6">
    <w:name w:val="Legal3 Cont 6"/>
    <w:basedOn w:val="Legal3Cont5"/>
    <w:link w:val="Legal3Cont6Char"/>
    <w:uiPriority w:val="23"/>
    <w:unhideWhenUsed/>
    <w:rsid w:val="002A1739"/>
    <w:pPr>
      <w:ind w:firstLine="3600"/>
    </w:pPr>
  </w:style>
  <w:style w:type="character" w:customStyle="1" w:styleId="Legal3Cont6Char">
    <w:name w:val="Legal3 Cont 6 Char"/>
    <w:link w:val="Legal3Cont6"/>
    <w:uiPriority w:val="23"/>
    <w:rsid w:val="002A1739"/>
    <w:rPr>
      <w:sz w:val="24"/>
      <w:szCs w:val="24"/>
    </w:rPr>
  </w:style>
  <w:style w:type="paragraph" w:customStyle="1" w:styleId="Legal3Cont7">
    <w:name w:val="Legal3 Cont 7"/>
    <w:basedOn w:val="Legal3Cont6"/>
    <w:link w:val="Legal3Cont7Char"/>
    <w:uiPriority w:val="23"/>
    <w:unhideWhenUsed/>
    <w:rsid w:val="002A1739"/>
    <w:pPr>
      <w:ind w:firstLine="4320"/>
    </w:pPr>
  </w:style>
  <w:style w:type="character" w:customStyle="1" w:styleId="Legal3Cont7Char">
    <w:name w:val="Legal3 Cont 7 Char"/>
    <w:link w:val="Legal3Cont7"/>
    <w:uiPriority w:val="23"/>
    <w:rsid w:val="002A1739"/>
    <w:rPr>
      <w:sz w:val="24"/>
      <w:szCs w:val="24"/>
    </w:rPr>
  </w:style>
  <w:style w:type="paragraph" w:customStyle="1" w:styleId="Legal3Cont8">
    <w:name w:val="Legal3 Cont 8"/>
    <w:basedOn w:val="Legal3Cont7"/>
    <w:link w:val="Legal3Cont8Char"/>
    <w:uiPriority w:val="23"/>
    <w:unhideWhenUsed/>
    <w:rsid w:val="002A1739"/>
    <w:pPr>
      <w:ind w:firstLine="5040"/>
    </w:pPr>
  </w:style>
  <w:style w:type="character" w:customStyle="1" w:styleId="Legal3Cont8Char">
    <w:name w:val="Legal3 Cont 8 Char"/>
    <w:link w:val="Legal3Cont8"/>
    <w:uiPriority w:val="23"/>
    <w:rsid w:val="002A1739"/>
    <w:rPr>
      <w:sz w:val="24"/>
      <w:szCs w:val="24"/>
    </w:rPr>
  </w:style>
  <w:style w:type="paragraph" w:customStyle="1" w:styleId="Legal3Cont9">
    <w:name w:val="Legal3 Cont 9"/>
    <w:basedOn w:val="Legal3Cont8"/>
    <w:link w:val="Legal3Cont9Char"/>
    <w:uiPriority w:val="23"/>
    <w:unhideWhenUsed/>
    <w:rsid w:val="002A1739"/>
    <w:pPr>
      <w:ind w:firstLine="5760"/>
    </w:pPr>
  </w:style>
  <w:style w:type="character" w:customStyle="1" w:styleId="Legal3Cont9Char">
    <w:name w:val="Legal3 Cont 9 Char"/>
    <w:link w:val="Legal3Cont9"/>
    <w:uiPriority w:val="23"/>
    <w:rsid w:val="002A1739"/>
    <w:rPr>
      <w:sz w:val="24"/>
      <w:szCs w:val="24"/>
    </w:rPr>
  </w:style>
  <w:style w:type="paragraph" w:customStyle="1" w:styleId="Legal1Cont1">
    <w:name w:val="Legal1 Cont 1"/>
    <w:basedOn w:val="Normal"/>
    <w:link w:val="Legal1Cont1Char"/>
    <w:uiPriority w:val="23"/>
    <w:unhideWhenUsed/>
    <w:rsid w:val="002A1739"/>
    <w:pPr>
      <w:spacing w:after="240"/>
    </w:pPr>
  </w:style>
  <w:style w:type="character" w:customStyle="1" w:styleId="Legal1Cont1Char">
    <w:name w:val="Legal1 Cont 1 Char"/>
    <w:link w:val="Legal1Cont1"/>
    <w:uiPriority w:val="23"/>
    <w:rsid w:val="002A1739"/>
    <w:rPr>
      <w:sz w:val="24"/>
      <w:szCs w:val="24"/>
    </w:rPr>
  </w:style>
  <w:style w:type="paragraph" w:customStyle="1" w:styleId="Legal1Cont2">
    <w:name w:val="Legal1 Cont 2"/>
    <w:basedOn w:val="Legal1Cont1"/>
    <w:link w:val="Legal1Cont2Char"/>
    <w:uiPriority w:val="23"/>
    <w:unhideWhenUsed/>
    <w:rsid w:val="002A1739"/>
    <w:pPr>
      <w:ind w:firstLine="720"/>
    </w:pPr>
  </w:style>
  <w:style w:type="character" w:customStyle="1" w:styleId="Legal1Cont2Char">
    <w:name w:val="Legal1 Cont 2 Char"/>
    <w:link w:val="Legal1Cont2"/>
    <w:uiPriority w:val="23"/>
    <w:rsid w:val="002A1739"/>
    <w:rPr>
      <w:sz w:val="24"/>
      <w:szCs w:val="24"/>
    </w:rPr>
  </w:style>
  <w:style w:type="paragraph" w:customStyle="1" w:styleId="Legal1Cont3">
    <w:name w:val="Legal1 Cont 3"/>
    <w:basedOn w:val="Legal1Cont2"/>
    <w:link w:val="Legal1Cont3Char"/>
    <w:uiPriority w:val="23"/>
    <w:unhideWhenUsed/>
    <w:rsid w:val="002A1739"/>
    <w:pPr>
      <w:ind w:firstLine="1440"/>
    </w:pPr>
  </w:style>
  <w:style w:type="character" w:customStyle="1" w:styleId="Legal1Cont3Char">
    <w:name w:val="Legal1 Cont 3 Char"/>
    <w:link w:val="Legal1Cont3"/>
    <w:uiPriority w:val="23"/>
    <w:rsid w:val="002A1739"/>
    <w:rPr>
      <w:sz w:val="24"/>
      <w:szCs w:val="24"/>
    </w:rPr>
  </w:style>
  <w:style w:type="paragraph" w:customStyle="1" w:styleId="Legal1Cont4">
    <w:name w:val="Legal1 Cont 4"/>
    <w:basedOn w:val="Legal1Cont3"/>
    <w:link w:val="Legal1Cont4Char"/>
    <w:uiPriority w:val="23"/>
    <w:unhideWhenUsed/>
    <w:rsid w:val="002A1739"/>
    <w:pPr>
      <w:ind w:firstLine="2160"/>
    </w:pPr>
  </w:style>
  <w:style w:type="character" w:customStyle="1" w:styleId="Legal1Cont4Char">
    <w:name w:val="Legal1 Cont 4 Char"/>
    <w:link w:val="Legal1Cont4"/>
    <w:uiPriority w:val="23"/>
    <w:rsid w:val="002A1739"/>
    <w:rPr>
      <w:sz w:val="24"/>
      <w:szCs w:val="24"/>
    </w:rPr>
  </w:style>
  <w:style w:type="paragraph" w:customStyle="1" w:styleId="Legal1Cont5">
    <w:name w:val="Legal1 Cont 5"/>
    <w:basedOn w:val="Legal1Cont4"/>
    <w:link w:val="Legal1Cont5Char"/>
    <w:uiPriority w:val="23"/>
    <w:unhideWhenUsed/>
    <w:rsid w:val="002A1739"/>
    <w:pPr>
      <w:ind w:firstLine="2880"/>
    </w:pPr>
  </w:style>
  <w:style w:type="character" w:customStyle="1" w:styleId="Legal1Cont5Char">
    <w:name w:val="Legal1 Cont 5 Char"/>
    <w:link w:val="Legal1Cont5"/>
    <w:uiPriority w:val="23"/>
    <w:rsid w:val="002A1739"/>
    <w:rPr>
      <w:sz w:val="24"/>
      <w:szCs w:val="24"/>
    </w:rPr>
  </w:style>
  <w:style w:type="paragraph" w:customStyle="1" w:styleId="Legal1Cont6">
    <w:name w:val="Legal1 Cont 6"/>
    <w:basedOn w:val="Legal1Cont5"/>
    <w:link w:val="Legal1Cont6Char"/>
    <w:uiPriority w:val="23"/>
    <w:unhideWhenUsed/>
    <w:rsid w:val="002A1739"/>
    <w:pPr>
      <w:ind w:firstLine="3600"/>
    </w:pPr>
  </w:style>
  <w:style w:type="character" w:customStyle="1" w:styleId="Legal1Cont6Char">
    <w:name w:val="Legal1 Cont 6 Char"/>
    <w:link w:val="Legal1Cont6"/>
    <w:uiPriority w:val="23"/>
    <w:rsid w:val="002A1739"/>
    <w:rPr>
      <w:sz w:val="24"/>
      <w:szCs w:val="24"/>
    </w:rPr>
  </w:style>
  <w:style w:type="paragraph" w:customStyle="1" w:styleId="Legal1Cont7">
    <w:name w:val="Legal1 Cont 7"/>
    <w:basedOn w:val="Legal1Cont6"/>
    <w:link w:val="Legal1Cont7Char"/>
    <w:uiPriority w:val="23"/>
    <w:unhideWhenUsed/>
    <w:rsid w:val="002A1739"/>
    <w:pPr>
      <w:ind w:firstLine="4320"/>
    </w:pPr>
  </w:style>
  <w:style w:type="character" w:customStyle="1" w:styleId="Legal1Cont7Char">
    <w:name w:val="Legal1 Cont 7 Char"/>
    <w:link w:val="Legal1Cont7"/>
    <w:uiPriority w:val="23"/>
    <w:rsid w:val="002A1739"/>
    <w:rPr>
      <w:sz w:val="24"/>
      <w:szCs w:val="24"/>
    </w:rPr>
  </w:style>
  <w:style w:type="paragraph" w:customStyle="1" w:styleId="Legal1Cont8">
    <w:name w:val="Legal1 Cont 8"/>
    <w:basedOn w:val="Legal1Cont7"/>
    <w:link w:val="Legal1Cont8Char"/>
    <w:uiPriority w:val="23"/>
    <w:unhideWhenUsed/>
    <w:rsid w:val="002A1739"/>
    <w:pPr>
      <w:ind w:firstLine="5040"/>
    </w:pPr>
  </w:style>
  <w:style w:type="character" w:customStyle="1" w:styleId="Legal1Cont8Char">
    <w:name w:val="Legal1 Cont 8 Char"/>
    <w:link w:val="Legal1Cont8"/>
    <w:uiPriority w:val="23"/>
    <w:rsid w:val="002A1739"/>
    <w:rPr>
      <w:sz w:val="24"/>
      <w:szCs w:val="24"/>
    </w:rPr>
  </w:style>
  <w:style w:type="paragraph" w:customStyle="1" w:styleId="Legal1Cont9">
    <w:name w:val="Legal1 Cont 9"/>
    <w:basedOn w:val="Legal1Cont8"/>
    <w:link w:val="Legal1Cont9Char"/>
    <w:uiPriority w:val="23"/>
    <w:unhideWhenUsed/>
    <w:rsid w:val="002A1739"/>
    <w:pPr>
      <w:ind w:firstLine="5760"/>
    </w:pPr>
  </w:style>
  <w:style w:type="character" w:customStyle="1" w:styleId="Legal1Cont9Char">
    <w:name w:val="Legal1 Cont 9 Char"/>
    <w:link w:val="Legal1Cont9"/>
    <w:uiPriority w:val="23"/>
    <w:rsid w:val="002A1739"/>
    <w:rPr>
      <w:sz w:val="24"/>
      <w:szCs w:val="24"/>
    </w:rPr>
  </w:style>
  <w:style w:type="paragraph" w:customStyle="1" w:styleId="OutlineCont1">
    <w:name w:val="Outline Cont 1"/>
    <w:basedOn w:val="Normal"/>
    <w:link w:val="OutlineCont1Char"/>
    <w:uiPriority w:val="24"/>
    <w:unhideWhenUsed/>
    <w:rsid w:val="002A1739"/>
    <w:pPr>
      <w:spacing w:after="240"/>
    </w:pPr>
  </w:style>
  <w:style w:type="character" w:customStyle="1" w:styleId="OutlineCont1Char">
    <w:name w:val="Outline Cont 1 Char"/>
    <w:link w:val="OutlineCont1"/>
    <w:uiPriority w:val="24"/>
    <w:rsid w:val="002A1739"/>
    <w:rPr>
      <w:sz w:val="24"/>
      <w:szCs w:val="24"/>
    </w:rPr>
  </w:style>
  <w:style w:type="paragraph" w:customStyle="1" w:styleId="OutlineCont2">
    <w:name w:val="Outline Cont 2"/>
    <w:basedOn w:val="OutlineCont1"/>
    <w:link w:val="OutlineCont2Char"/>
    <w:uiPriority w:val="24"/>
    <w:unhideWhenUsed/>
    <w:rsid w:val="002A1739"/>
    <w:pPr>
      <w:ind w:firstLine="720"/>
    </w:pPr>
  </w:style>
  <w:style w:type="character" w:customStyle="1" w:styleId="OutlineCont2Char">
    <w:name w:val="Outline Cont 2 Char"/>
    <w:link w:val="OutlineCont2"/>
    <w:uiPriority w:val="24"/>
    <w:rsid w:val="002A1739"/>
    <w:rPr>
      <w:sz w:val="24"/>
      <w:szCs w:val="24"/>
    </w:rPr>
  </w:style>
  <w:style w:type="paragraph" w:customStyle="1" w:styleId="OutlineCont3">
    <w:name w:val="Outline Cont 3"/>
    <w:basedOn w:val="OutlineCont2"/>
    <w:link w:val="OutlineCont3Char"/>
    <w:uiPriority w:val="24"/>
    <w:unhideWhenUsed/>
    <w:rsid w:val="002A1739"/>
    <w:pPr>
      <w:ind w:firstLine="1440"/>
    </w:pPr>
  </w:style>
  <w:style w:type="character" w:customStyle="1" w:styleId="OutlineCont3Char">
    <w:name w:val="Outline Cont 3 Char"/>
    <w:link w:val="OutlineCont3"/>
    <w:uiPriority w:val="24"/>
    <w:rsid w:val="002A1739"/>
    <w:rPr>
      <w:sz w:val="24"/>
      <w:szCs w:val="24"/>
    </w:rPr>
  </w:style>
  <w:style w:type="paragraph" w:customStyle="1" w:styleId="OutlineCont4">
    <w:name w:val="Outline Cont 4"/>
    <w:basedOn w:val="OutlineCont3"/>
    <w:link w:val="OutlineCont4Char"/>
    <w:uiPriority w:val="24"/>
    <w:unhideWhenUsed/>
    <w:rsid w:val="002A1739"/>
    <w:pPr>
      <w:ind w:firstLine="2160"/>
    </w:pPr>
  </w:style>
  <w:style w:type="character" w:customStyle="1" w:styleId="OutlineCont4Char">
    <w:name w:val="Outline Cont 4 Char"/>
    <w:link w:val="OutlineCont4"/>
    <w:uiPriority w:val="24"/>
    <w:rsid w:val="002A1739"/>
    <w:rPr>
      <w:sz w:val="24"/>
      <w:szCs w:val="24"/>
    </w:rPr>
  </w:style>
  <w:style w:type="paragraph" w:customStyle="1" w:styleId="OutlineCont5">
    <w:name w:val="Outline Cont 5"/>
    <w:basedOn w:val="OutlineCont4"/>
    <w:link w:val="OutlineCont5Char"/>
    <w:uiPriority w:val="24"/>
    <w:unhideWhenUsed/>
    <w:rsid w:val="002A1739"/>
    <w:pPr>
      <w:ind w:firstLine="2880"/>
    </w:pPr>
  </w:style>
  <w:style w:type="character" w:customStyle="1" w:styleId="OutlineCont5Char">
    <w:name w:val="Outline Cont 5 Char"/>
    <w:link w:val="OutlineCont5"/>
    <w:uiPriority w:val="24"/>
    <w:rsid w:val="002A1739"/>
    <w:rPr>
      <w:sz w:val="24"/>
      <w:szCs w:val="24"/>
    </w:rPr>
  </w:style>
  <w:style w:type="paragraph" w:customStyle="1" w:styleId="OutlineCont6">
    <w:name w:val="Outline Cont 6"/>
    <w:basedOn w:val="OutlineCont5"/>
    <w:link w:val="OutlineCont6Char"/>
    <w:uiPriority w:val="24"/>
    <w:unhideWhenUsed/>
    <w:rsid w:val="002A1739"/>
    <w:pPr>
      <w:ind w:firstLine="3600"/>
    </w:pPr>
  </w:style>
  <w:style w:type="character" w:customStyle="1" w:styleId="OutlineCont6Char">
    <w:name w:val="Outline Cont 6 Char"/>
    <w:link w:val="OutlineCont6"/>
    <w:uiPriority w:val="24"/>
    <w:rsid w:val="002A1739"/>
    <w:rPr>
      <w:sz w:val="24"/>
      <w:szCs w:val="24"/>
    </w:rPr>
  </w:style>
  <w:style w:type="paragraph" w:customStyle="1" w:styleId="OutlineCont7">
    <w:name w:val="Outline Cont 7"/>
    <w:basedOn w:val="OutlineCont6"/>
    <w:link w:val="OutlineCont7Char"/>
    <w:uiPriority w:val="24"/>
    <w:unhideWhenUsed/>
    <w:rsid w:val="002A1739"/>
    <w:pPr>
      <w:ind w:firstLine="4320"/>
    </w:pPr>
  </w:style>
  <w:style w:type="character" w:customStyle="1" w:styleId="OutlineCont7Char">
    <w:name w:val="Outline Cont 7 Char"/>
    <w:link w:val="OutlineCont7"/>
    <w:uiPriority w:val="24"/>
    <w:rsid w:val="002A1739"/>
    <w:rPr>
      <w:sz w:val="24"/>
      <w:szCs w:val="24"/>
    </w:rPr>
  </w:style>
  <w:style w:type="paragraph" w:customStyle="1" w:styleId="OutlineCont8">
    <w:name w:val="Outline Cont 8"/>
    <w:basedOn w:val="OutlineCont7"/>
    <w:link w:val="OutlineCont8Char"/>
    <w:uiPriority w:val="24"/>
    <w:unhideWhenUsed/>
    <w:rsid w:val="002A1739"/>
    <w:pPr>
      <w:ind w:firstLine="5040"/>
    </w:pPr>
  </w:style>
  <w:style w:type="character" w:customStyle="1" w:styleId="OutlineCont8Char">
    <w:name w:val="Outline Cont 8 Char"/>
    <w:link w:val="OutlineCont8"/>
    <w:uiPriority w:val="24"/>
    <w:rsid w:val="002A1739"/>
    <w:rPr>
      <w:sz w:val="24"/>
      <w:szCs w:val="24"/>
    </w:rPr>
  </w:style>
  <w:style w:type="paragraph" w:customStyle="1" w:styleId="OutlineCont9">
    <w:name w:val="Outline Cont 9"/>
    <w:basedOn w:val="OutlineCont8"/>
    <w:link w:val="OutlineCont9Char"/>
    <w:uiPriority w:val="24"/>
    <w:unhideWhenUsed/>
    <w:rsid w:val="002A1739"/>
    <w:pPr>
      <w:ind w:firstLine="5760"/>
    </w:pPr>
  </w:style>
  <w:style w:type="character" w:customStyle="1" w:styleId="OutlineCont9Char">
    <w:name w:val="Outline Cont 9 Char"/>
    <w:link w:val="OutlineCont9"/>
    <w:uiPriority w:val="24"/>
    <w:rsid w:val="002A1739"/>
    <w:rPr>
      <w:sz w:val="24"/>
      <w:szCs w:val="24"/>
    </w:rPr>
  </w:style>
  <w:style w:type="paragraph" w:customStyle="1" w:styleId="ParagraphCont1">
    <w:name w:val="Paragraph Cont 1"/>
    <w:basedOn w:val="Normal"/>
    <w:link w:val="ParagraphCont1Char"/>
    <w:uiPriority w:val="25"/>
    <w:unhideWhenUsed/>
    <w:rsid w:val="002A1739"/>
    <w:pPr>
      <w:spacing w:after="240"/>
      <w:ind w:firstLine="720"/>
    </w:pPr>
  </w:style>
  <w:style w:type="character" w:customStyle="1" w:styleId="ParagraphCont1Char">
    <w:name w:val="Paragraph Cont 1 Char"/>
    <w:link w:val="ParagraphCont1"/>
    <w:uiPriority w:val="25"/>
    <w:rsid w:val="002A1739"/>
    <w:rPr>
      <w:sz w:val="24"/>
      <w:szCs w:val="24"/>
    </w:rPr>
  </w:style>
  <w:style w:type="paragraph" w:customStyle="1" w:styleId="ParagraphCont2">
    <w:name w:val="Paragraph Cont 2"/>
    <w:basedOn w:val="ParagraphCont1"/>
    <w:link w:val="ParagraphCont2Char"/>
    <w:uiPriority w:val="25"/>
    <w:unhideWhenUsed/>
    <w:rsid w:val="002A1739"/>
    <w:pPr>
      <w:ind w:firstLine="1440"/>
    </w:pPr>
  </w:style>
  <w:style w:type="character" w:customStyle="1" w:styleId="ParagraphCont2Char">
    <w:name w:val="Paragraph Cont 2 Char"/>
    <w:link w:val="ParagraphCont2"/>
    <w:uiPriority w:val="25"/>
    <w:rsid w:val="002A1739"/>
    <w:rPr>
      <w:sz w:val="24"/>
      <w:szCs w:val="24"/>
    </w:rPr>
  </w:style>
  <w:style w:type="paragraph" w:customStyle="1" w:styleId="ParagraphCont3">
    <w:name w:val="Paragraph Cont 3"/>
    <w:basedOn w:val="ParagraphCont2"/>
    <w:link w:val="ParagraphCont3Char"/>
    <w:uiPriority w:val="25"/>
    <w:unhideWhenUsed/>
    <w:rsid w:val="002A1739"/>
    <w:pPr>
      <w:ind w:firstLine="2160"/>
    </w:pPr>
  </w:style>
  <w:style w:type="character" w:customStyle="1" w:styleId="ParagraphCont3Char">
    <w:name w:val="Paragraph Cont 3 Char"/>
    <w:link w:val="ParagraphCont3"/>
    <w:uiPriority w:val="25"/>
    <w:rsid w:val="002A1739"/>
    <w:rPr>
      <w:sz w:val="24"/>
      <w:szCs w:val="24"/>
    </w:rPr>
  </w:style>
  <w:style w:type="paragraph" w:customStyle="1" w:styleId="ParagraphCont4">
    <w:name w:val="Paragraph Cont 4"/>
    <w:basedOn w:val="ParagraphCont3"/>
    <w:link w:val="ParagraphCont4Char"/>
    <w:uiPriority w:val="25"/>
    <w:unhideWhenUsed/>
    <w:rsid w:val="002A1739"/>
    <w:pPr>
      <w:ind w:firstLine="2880"/>
    </w:pPr>
  </w:style>
  <w:style w:type="character" w:customStyle="1" w:styleId="ParagraphCont4Char">
    <w:name w:val="Paragraph Cont 4 Char"/>
    <w:link w:val="ParagraphCont4"/>
    <w:uiPriority w:val="25"/>
    <w:rsid w:val="002A1739"/>
    <w:rPr>
      <w:sz w:val="24"/>
      <w:szCs w:val="24"/>
    </w:rPr>
  </w:style>
  <w:style w:type="paragraph" w:customStyle="1" w:styleId="ParagraphCont5">
    <w:name w:val="Paragraph Cont 5"/>
    <w:basedOn w:val="ParagraphCont4"/>
    <w:link w:val="ParagraphCont5Char"/>
    <w:uiPriority w:val="25"/>
    <w:unhideWhenUsed/>
    <w:rsid w:val="002A1739"/>
    <w:pPr>
      <w:ind w:firstLine="3600"/>
    </w:pPr>
  </w:style>
  <w:style w:type="character" w:customStyle="1" w:styleId="ParagraphCont5Char">
    <w:name w:val="Paragraph Cont 5 Char"/>
    <w:link w:val="ParagraphCont5"/>
    <w:uiPriority w:val="25"/>
    <w:rsid w:val="002A1739"/>
    <w:rPr>
      <w:sz w:val="24"/>
      <w:szCs w:val="24"/>
    </w:rPr>
  </w:style>
  <w:style w:type="paragraph" w:customStyle="1" w:styleId="ParagraphCont6">
    <w:name w:val="Paragraph Cont 6"/>
    <w:basedOn w:val="ParagraphCont5"/>
    <w:link w:val="ParagraphCont6Char"/>
    <w:uiPriority w:val="25"/>
    <w:unhideWhenUsed/>
    <w:rsid w:val="002A1739"/>
    <w:pPr>
      <w:ind w:firstLine="4320"/>
    </w:pPr>
  </w:style>
  <w:style w:type="character" w:customStyle="1" w:styleId="ParagraphCont6Char">
    <w:name w:val="Paragraph Cont 6 Char"/>
    <w:link w:val="ParagraphCont6"/>
    <w:uiPriority w:val="25"/>
    <w:rsid w:val="002A1739"/>
    <w:rPr>
      <w:sz w:val="24"/>
      <w:szCs w:val="24"/>
    </w:rPr>
  </w:style>
  <w:style w:type="paragraph" w:customStyle="1" w:styleId="ParagraphCont7">
    <w:name w:val="Paragraph Cont 7"/>
    <w:basedOn w:val="ParagraphCont6"/>
    <w:link w:val="ParagraphCont7Char"/>
    <w:uiPriority w:val="25"/>
    <w:unhideWhenUsed/>
    <w:rsid w:val="002A1739"/>
    <w:pPr>
      <w:ind w:firstLine="5040"/>
    </w:pPr>
  </w:style>
  <w:style w:type="character" w:customStyle="1" w:styleId="ParagraphCont7Char">
    <w:name w:val="Paragraph Cont 7 Char"/>
    <w:link w:val="ParagraphCont7"/>
    <w:uiPriority w:val="25"/>
    <w:rsid w:val="002A1739"/>
    <w:rPr>
      <w:sz w:val="24"/>
      <w:szCs w:val="24"/>
    </w:rPr>
  </w:style>
  <w:style w:type="paragraph" w:customStyle="1" w:styleId="ParagraphCont8">
    <w:name w:val="Paragraph Cont 8"/>
    <w:basedOn w:val="ParagraphCont7"/>
    <w:link w:val="ParagraphCont8Char"/>
    <w:uiPriority w:val="25"/>
    <w:unhideWhenUsed/>
    <w:rsid w:val="002A1739"/>
    <w:pPr>
      <w:ind w:firstLine="5760"/>
    </w:pPr>
  </w:style>
  <w:style w:type="character" w:customStyle="1" w:styleId="ParagraphCont8Char">
    <w:name w:val="Paragraph Cont 8 Char"/>
    <w:link w:val="ParagraphCont8"/>
    <w:uiPriority w:val="25"/>
    <w:rsid w:val="002A1739"/>
    <w:rPr>
      <w:sz w:val="24"/>
      <w:szCs w:val="24"/>
    </w:rPr>
  </w:style>
  <w:style w:type="paragraph" w:customStyle="1" w:styleId="ParagraphCont9">
    <w:name w:val="Paragraph Cont 9"/>
    <w:basedOn w:val="ParagraphCont8"/>
    <w:link w:val="ParagraphCont9Char"/>
    <w:uiPriority w:val="25"/>
    <w:unhideWhenUsed/>
    <w:rsid w:val="002A1739"/>
    <w:pPr>
      <w:ind w:firstLine="6480"/>
    </w:pPr>
  </w:style>
  <w:style w:type="character" w:customStyle="1" w:styleId="ParagraphCont9Char">
    <w:name w:val="Paragraph Cont 9 Char"/>
    <w:link w:val="ParagraphCont9"/>
    <w:uiPriority w:val="25"/>
    <w:rsid w:val="002A1739"/>
    <w:rPr>
      <w:sz w:val="24"/>
      <w:szCs w:val="24"/>
    </w:rPr>
  </w:style>
  <w:style w:type="paragraph" w:customStyle="1" w:styleId="PleadingCont1">
    <w:name w:val="Pleading Cont 1"/>
    <w:basedOn w:val="Normal"/>
    <w:link w:val="PleadingCont1Char"/>
    <w:uiPriority w:val="26"/>
    <w:unhideWhenUsed/>
    <w:rsid w:val="002A1739"/>
    <w:pPr>
      <w:spacing w:after="240"/>
      <w:ind w:firstLine="720"/>
    </w:pPr>
    <w:rPr>
      <w:b/>
      <w:caps/>
      <w:u w:val="single"/>
    </w:rPr>
  </w:style>
  <w:style w:type="character" w:customStyle="1" w:styleId="PleadingCont1Char">
    <w:name w:val="Pleading Cont 1 Char"/>
    <w:link w:val="PleadingCont1"/>
    <w:uiPriority w:val="26"/>
    <w:rsid w:val="002A1739"/>
    <w:rPr>
      <w:b/>
      <w:caps/>
      <w:sz w:val="24"/>
      <w:szCs w:val="24"/>
      <w:u w:val="single"/>
    </w:rPr>
  </w:style>
  <w:style w:type="paragraph" w:customStyle="1" w:styleId="PleadingCont2">
    <w:name w:val="Pleading Cont 2"/>
    <w:basedOn w:val="PleadingCont1"/>
    <w:link w:val="PleadingCont2Char"/>
    <w:uiPriority w:val="26"/>
    <w:unhideWhenUsed/>
    <w:rsid w:val="002A1739"/>
    <w:pPr>
      <w:ind w:left="720" w:firstLine="0"/>
    </w:pPr>
    <w:rPr>
      <w:caps w:val="0"/>
    </w:rPr>
  </w:style>
  <w:style w:type="character" w:customStyle="1" w:styleId="PleadingCont2Char">
    <w:name w:val="Pleading Cont 2 Char"/>
    <w:link w:val="PleadingCont2"/>
    <w:uiPriority w:val="26"/>
    <w:rsid w:val="002A1739"/>
    <w:rPr>
      <w:b/>
      <w:sz w:val="24"/>
      <w:szCs w:val="24"/>
      <w:u w:val="single"/>
    </w:rPr>
  </w:style>
  <w:style w:type="paragraph" w:customStyle="1" w:styleId="PleadingCont3">
    <w:name w:val="Pleading Cont 3"/>
    <w:basedOn w:val="PleadingCont2"/>
    <w:link w:val="PleadingCont3Char"/>
    <w:uiPriority w:val="26"/>
    <w:unhideWhenUsed/>
    <w:rsid w:val="002A1739"/>
    <w:pPr>
      <w:ind w:left="1440"/>
    </w:pPr>
    <w:rPr>
      <w:b w:val="0"/>
      <w:u w:val="none"/>
    </w:rPr>
  </w:style>
  <w:style w:type="character" w:customStyle="1" w:styleId="PleadingCont3Char">
    <w:name w:val="Pleading Cont 3 Char"/>
    <w:link w:val="PleadingCont3"/>
    <w:uiPriority w:val="26"/>
    <w:rsid w:val="002A1739"/>
    <w:rPr>
      <w:sz w:val="24"/>
      <w:szCs w:val="24"/>
    </w:rPr>
  </w:style>
  <w:style w:type="paragraph" w:customStyle="1" w:styleId="PleadingCont4">
    <w:name w:val="Pleading Cont 4"/>
    <w:basedOn w:val="PleadingCont3"/>
    <w:link w:val="PleadingCont4Char"/>
    <w:uiPriority w:val="26"/>
    <w:unhideWhenUsed/>
    <w:rsid w:val="002A1739"/>
    <w:pPr>
      <w:ind w:left="2160"/>
    </w:pPr>
  </w:style>
  <w:style w:type="character" w:customStyle="1" w:styleId="PleadingCont4Char">
    <w:name w:val="Pleading Cont 4 Char"/>
    <w:link w:val="PleadingCont4"/>
    <w:uiPriority w:val="26"/>
    <w:rsid w:val="002A1739"/>
    <w:rPr>
      <w:sz w:val="24"/>
      <w:szCs w:val="24"/>
    </w:rPr>
  </w:style>
  <w:style w:type="paragraph" w:customStyle="1" w:styleId="PleadingCont5">
    <w:name w:val="Pleading Cont 5"/>
    <w:basedOn w:val="PleadingCont4"/>
    <w:link w:val="PleadingCont5Char"/>
    <w:uiPriority w:val="26"/>
    <w:unhideWhenUsed/>
    <w:rsid w:val="002A1739"/>
    <w:pPr>
      <w:ind w:left="2880"/>
    </w:pPr>
  </w:style>
  <w:style w:type="character" w:customStyle="1" w:styleId="PleadingCont5Char">
    <w:name w:val="Pleading Cont 5 Char"/>
    <w:link w:val="PleadingCont5"/>
    <w:uiPriority w:val="26"/>
    <w:rsid w:val="002A1739"/>
    <w:rPr>
      <w:sz w:val="24"/>
      <w:szCs w:val="24"/>
    </w:rPr>
  </w:style>
  <w:style w:type="paragraph" w:customStyle="1" w:styleId="PleadingCont6">
    <w:name w:val="Pleading Cont 6"/>
    <w:basedOn w:val="PleadingCont5"/>
    <w:link w:val="PleadingCont6Char"/>
    <w:uiPriority w:val="26"/>
    <w:unhideWhenUsed/>
    <w:rsid w:val="002A1739"/>
    <w:pPr>
      <w:ind w:left="3600"/>
    </w:pPr>
  </w:style>
  <w:style w:type="character" w:customStyle="1" w:styleId="PleadingCont6Char">
    <w:name w:val="Pleading Cont 6 Char"/>
    <w:link w:val="PleadingCont6"/>
    <w:uiPriority w:val="26"/>
    <w:rsid w:val="002A1739"/>
    <w:rPr>
      <w:sz w:val="24"/>
      <w:szCs w:val="24"/>
    </w:rPr>
  </w:style>
  <w:style w:type="paragraph" w:customStyle="1" w:styleId="PleadingCont7">
    <w:name w:val="Pleading Cont 7"/>
    <w:basedOn w:val="PleadingCont6"/>
    <w:link w:val="PleadingCont7Char"/>
    <w:uiPriority w:val="26"/>
    <w:unhideWhenUsed/>
    <w:rsid w:val="002A1739"/>
    <w:pPr>
      <w:ind w:left="4320"/>
    </w:pPr>
  </w:style>
  <w:style w:type="character" w:customStyle="1" w:styleId="PleadingCont7Char">
    <w:name w:val="Pleading Cont 7 Char"/>
    <w:link w:val="PleadingCont7"/>
    <w:uiPriority w:val="26"/>
    <w:rsid w:val="002A1739"/>
    <w:rPr>
      <w:sz w:val="24"/>
      <w:szCs w:val="24"/>
    </w:rPr>
  </w:style>
  <w:style w:type="paragraph" w:customStyle="1" w:styleId="PleadingCont8">
    <w:name w:val="Pleading Cont 8"/>
    <w:basedOn w:val="PleadingCont7"/>
    <w:link w:val="PleadingCont8Char"/>
    <w:uiPriority w:val="26"/>
    <w:unhideWhenUsed/>
    <w:rsid w:val="002A1739"/>
    <w:pPr>
      <w:ind w:left="5040"/>
    </w:pPr>
  </w:style>
  <w:style w:type="character" w:customStyle="1" w:styleId="PleadingCont8Char">
    <w:name w:val="Pleading Cont 8 Char"/>
    <w:link w:val="PleadingCont8"/>
    <w:uiPriority w:val="26"/>
    <w:rsid w:val="002A1739"/>
    <w:rPr>
      <w:sz w:val="24"/>
      <w:szCs w:val="24"/>
    </w:rPr>
  </w:style>
  <w:style w:type="paragraph" w:customStyle="1" w:styleId="PleadingCont9">
    <w:name w:val="Pleading Cont 9"/>
    <w:basedOn w:val="PleadingCont8"/>
    <w:link w:val="PleadingCont9Char"/>
    <w:uiPriority w:val="26"/>
    <w:unhideWhenUsed/>
    <w:rsid w:val="002A1739"/>
    <w:pPr>
      <w:ind w:left="5760"/>
    </w:pPr>
  </w:style>
  <w:style w:type="character" w:customStyle="1" w:styleId="PleadingCont9Char">
    <w:name w:val="Pleading Cont 9 Char"/>
    <w:link w:val="PleadingCont9"/>
    <w:uiPriority w:val="26"/>
    <w:rsid w:val="002A1739"/>
    <w:rPr>
      <w:sz w:val="24"/>
      <w:szCs w:val="24"/>
    </w:rPr>
  </w:style>
  <w:style w:type="paragraph" w:customStyle="1" w:styleId="RunInCont1">
    <w:name w:val="RunIn Cont 1"/>
    <w:basedOn w:val="Normal"/>
    <w:uiPriority w:val="27"/>
    <w:unhideWhenUsed/>
    <w:rsid w:val="002A1739"/>
    <w:pPr>
      <w:spacing w:after="240"/>
    </w:pPr>
    <w:rPr>
      <w:szCs w:val="20"/>
    </w:rPr>
  </w:style>
  <w:style w:type="paragraph" w:customStyle="1" w:styleId="RunInCont2">
    <w:name w:val="RunIn Cont 2"/>
    <w:basedOn w:val="RunInCont1"/>
    <w:uiPriority w:val="27"/>
    <w:unhideWhenUsed/>
    <w:rsid w:val="002A1739"/>
  </w:style>
  <w:style w:type="paragraph" w:customStyle="1" w:styleId="RunInCont3">
    <w:name w:val="RunIn Cont 3"/>
    <w:basedOn w:val="RunInCont2"/>
    <w:uiPriority w:val="27"/>
    <w:unhideWhenUsed/>
    <w:rsid w:val="002A1739"/>
    <w:pPr>
      <w:ind w:firstLine="720"/>
    </w:pPr>
  </w:style>
  <w:style w:type="paragraph" w:customStyle="1" w:styleId="RunInCont4">
    <w:name w:val="RunIn Cont 4"/>
    <w:basedOn w:val="RunInCont3"/>
    <w:uiPriority w:val="27"/>
    <w:unhideWhenUsed/>
    <w:rsid w:val="002A1739"/>
    <w:pPr>
      <w:ind w:firstLine="1440"/>
    </w:pPr>
  </w:style>
  <w:style w:type="paragraph" w:customStyle="1" w:styleId="RunInCont5">
    <w:name w:val="RunIn Cont 5"/>
    <w:basedOn w:val="RunInCont4"/>
    <w:uiPriority w:val="27"/>
    <w:unhideWhenUsed/>
    <w:rsid w:val="002A1739"/>
    <w:pPr>
      <w:ind w:firstLine="2160"/>
    </w:pPr>
  </w:style>
  <w:style w:type="paragraph" w:customStyle="1" w:styleId="RunInCont6">
    <w:name w:val="RunIn Cont 6"/>
    <w:basedOn w:val="RunInCont5"/>
    <w:uiPriority w:val="27"/>
    <w:unhideWhenUsed/>
    <w:rsid w:val="002A1739"/>
    <w:pPr>
      <w:ind w:firstLine="2880"/>
    </w:pPr>
  </w:style>
  <w:style w:type="paragraph" w:customStyle="1" w:styleId="RunInCont7">
    <w:name w:val="RunIn Cont 7"/>
    <w:basedOn w:val="RunInCont6"/>
    <w:uiPriority w:val="27"/>
    <w:unhideWhenUsed/>
    <w:rsid w:val="002A1739"/>
    <w:pPr>
      <w:ind w:firstLine="3600"/>
    </w:pPr>
  </w:style>
  <w:style w:type="paragraph" w:customStyle="1" w:styleId="RunInCont8">
    <w:name w:val="RunIn Cont 8"/>
    <w:basedOn w:val="RunInCont7"/>
    <w:uiPriority w:val="27"/>
    <w:unhideWhenUsed/>
    <w:rsid w:val="002A1739"/>
    <w:pPr>
      <w:ind w:firstLine="4320"/>
    </w:pPr>
  </w:style>
  <w:style w:type="paragraph" w:customStyle="1" w:styleId="RunInCont9">
    <w:name w:val="RunIn Cont 9"/>
    <w:basedOn w:val="RunInCont8"/>
    <w:uiPriority w:val="27"/>
    <w:unhideWhenUsed/>
    <w:rsid w:val="002A1739"/>
    <w:pPr>
      <w:ind w:firstLine="5040"/>
    </w:pPr>
  </w:style>
  <w:style w:type="paragraph" w:customStyle="1" w:styleId="RunIn1">
    <w:name w:val="RunIn 1"/>
    <w:basedOn w:val="Normal"/>
    <w:next w:val="RunInCont1"/>
    <w:uiPriority w:val="27"/>
    <w:rsid w:val="002A1739"/>
    <w:pPr>
      <w:keepNext/>
      <w:keepLines/>
      <w:widowControl w:val="0"/>
      <w:numPr>
        <w:numId w:val="18"/>
      </w:numPr>
      <w:spacing w:after="240"/>
      <w:jc w:val="center"/>
      <w:outlineLvl w:val="0"/>
    </w:pPr>
    <w:rPr>
      <w:szCs w:val="20"/>
    </w:rPr>
  </w:style>
  <w:style w:type="paragraph" w:customStyle="1" w:styleId="RunIn2">
    <w:name w:val="RunIn 2"/>
    <w:basedOn w:val="RunIn1"/>
    <w:next w:val="RunInCont2"/>
    <w:uiPriority w:val="27"/>
    <w:rsid w:val="002A1739"/>
    <w:pPr>
      <w:keepNext w:val="0"/>
      <w:keepLines w:val="0"/>
      <w:numPr>
        <w:ilvl w:val="1"/>
      </w:numPr>
      <w:jc w:val="left"/>
      <w:outlineLvl w:val="1"/>
    </w:pPr>
  </w:style>
  <w:style w:type="paragraph" w:customStyle="1" w:styleId="RunIn3">
    <w:name w:val="RunIn 3"/>
    <w:basedOn w:val="RunIn2"/>
    <w:next w:val="RunInCont3"/>
    <w:uiPriority w:val="27"/>
    <w:rsid w:val="002A1739"/>
    <w:pPr>
      <w:numPr>
        <w:ilvl w:val="2"/>
      </w:numPr>
      <w:outlineLvl w:val="2"/>
    </w:pPr>
  </w:style>
  <w:style w:type="paragraph" w:customStyle="1" w:styleId="RunIn4">
    <w:name w:val="RunIn 4"/>
    <w:basedOn w:val="RunIn3"/>
    <w:next w:val="RunInCont4"/>
    <w:uiPriority w:val="27"/>
    <w:rsid w:val="002A1739"/>
    <w:pPr>
      <w:numPr>
        <w:ilvl w:val="3"/>
      </w:numPr>
      <w:outlineLvl w:val="3"/>
    </w:pPr>
  </w:style>
  <w:style w:type="paragraph" w:customStyle="1" w:styleId="RunIn5">
    <w:name w:val="RunIn 5"/>
    <w:basedOn w:val="RunIn4"/>
    <w:next w:val="RunInCont5"/>
    <w:uiPriority w:val="27"/>
    <w:rsid w:val="002A1739"/>
    <w:pPr>
      <w:numPr>
        <w:ilvl w:val="4"/>
      </w:numPr>
      <w:outlineLvl w:val="4"/>
    </w:pPr>
  </w:style>
  <w:style w:type="paragraph" w:customStyle="1" w:styleId="RunIn6">
    <w:name w:val="RunIn 6"/>
    <w:basedOn w:val="RunIn5"/>
    <w:next w:val="RunInCont6"/>
    <w:uiPriority w:val="27"/>
    <w:rsid w:val="002A1739"/>
    <w:pPr>
      <w:numPr>
        <w:ilvl w:val="5"/>
      </w:numPr>
      <w:outlineLvl w:val="5"/>
    </w:pPr>
  </w:style>
  <w:style w:type="paragraph" w:customStyle="1" w:styleId="RunIn7">
    <w:name w:val="RunIn 7"/>
    <w:basedOn w:val="RunIn6"/>
    <w:next w:val="RunInCont7"/>
    <w:uiPriority w:val="27"/>
    <w:rsid w:val="002A1739"/>
    <w:pPr>
      <w:numPr>
        <w:ilvl w:val="6"/>
      </w:numPr>
      <w:outlineLvl w:val="6"/>
    </w:pPr>
  </w:style>
  <w:style w:type="paragraph" w:customStyle="1" w:styleId="RunIn8">
    <w:name w:val="RunIn 8"/>
    <w:basedOn w:val="RunIn7"/>
    <w:next w:val="RunInCont8"/>
    <w:uiPriority w:val="27"/>
    <w:rsid w:val="002A1739"/>
    <w:pPr>
      <w:numPr>
        <w:ilvl w:val="7"/>
      </w:numPr>
      <w:outlineLvl w:val="7"/>
    </w:pPr>
  </w:style>
  <w:style w:type="paragraph" w:customStyle="1" w:styleId="RunIn9">
    <w:name w:val="RunIn 9"/>
    <w:basedOn w:val="RunIn8"/>
    <w:next w:val="RunInCont9"/>
    <w:uiPriority w:val="27"/>
    <w:rsid w:val="002A1739"/>
    <w:pPr>
      <w:numPr>
        <w:ilvl w:val="8"/>
      </w:numPr>
      <w:outlineLvl w:val="8"/>
    </w:pPr>
  </w:style>
  <w:style w:type="paragraph" w:customStyle="1" w:styleId="TabbedCont1">
    <w:name w:val="Tabbed Cont 1"/>
    <w:basedOn w:val="Normal"/>
    <w:link w:val="TabbedCont1Char"/>
    <w:uiPriority w:val="28"/>
    <w:unhideWhenUsed/>
    <w:rsid w:val="002A1739"/>
    <w:pPr>
      <w:spacing w:after="240"/>
      <w:ind w:firstLine="720"/>
    </w:pPr>
  </w:style>
  <w:style w:type="character" w:customStyle="1" w:styleId="TabbedCont1Char">
    <w:name w:val="Tabbed Cont 1 Char"/>
    <w:link w:val="TabbedCont1"/>
    <w:uiPriority w:val="28"/>
    <w:rsid w:val="002A1739"/>
    <w:rPr>
      <w:sz w:val="24"/>
      <w:szCs w:val="24"/>
    </w:rPr>
  </w:style>
  <w:style w:type="paragraph" w:customStyle="1" w:styleId="TabbedCont2">
    <w:name w:val="Tabbed Cont 2"/>
    <w:basedOn w:val="TabbedCont1"/>
    <w:link w:val="TabbedCont2Char"/>
    <w:uiPriority w:val="28"/>
    <w:unhideWhenUsed/>
    <w:rsid w:val="002A1739"/>
    <w:pPr>
      <w:ind w:firstLine="1440"/>
    </w:pPr>
  </w:style>
  <w:style w:type="character" w:customStyle="1" w:styleId="TabbedCont2Char">
    <w:name w:val="Tabbed Cont 2 Char"/>
    <w:link w:val="TabbedCont2"/>
    <w:uiPriority w:val="28"/>
    <w:rsid w:val="002A1739"/>
    <w:rPr>
      <w:sz w:val="24"/>
      <w:szCs w:val="24"/>
    </w:rPr>
  </w:style>
  <w:style w:type="paragraph" w:customStyle="1" w:styleId="TabbedCont3">
    <w:name w:val="Tabbed Cont 3"/>
    <w:basedOn w:val="TabbedCont2"/>
    <w:link w:val="TabbedCont3Char"/>
    <w:uiPriority w:val="28"/>
    <w:unhideWhenUsed/>
    <w:rsid w:val="002A1739"/>
    <w:pPr>
      <w:ind w:firstLine="2160"/>
    </w:pPr>
  </w:style>
  <w:style w:type="character" w:customStyle="1" w:styleId="TabbedCont3Char">
    <w:name w:val="Tabbed Cont 3 Char"/>
    <w:link w:val="TabbedCont3"/>
    <w:uiPriority w:val="28"/>
    <w:rsid w:val="002A1739"/>
    <w:rPr>
      <w:sz w:val="24"/>
      <w:szCs w:val="24"/>
    </w:rPr>
  </w:style>
  <w:style w:type="paragraph" w:customStyle="1" w:styleId="TabbedCont4">
    <w:name w:val="Tabbed Cont 4"/>
    <w:basedOn w:val="TabbedCont3"/>
    <w:link w:val="TabbedCont4Char"/>
    <w:uiPriority w:val="28"/>
    <w:unhideWhenUsed/>
    <w:rsid w:val="002A1739"/>
    <w:pPr>
      <w:ind w:firstLine="2880"/>
    </w:pPr>
  </w:style>
  <w:style w:type="character" w:customStyle="1" w:styleId="TabbedCont4Char">
    <w:name w:val="Tabbed Cont 4 Char"/>
    <w:link w:val="TabbedCont4"/>
    <w:uiPriority w:val="28"/>
    <w:rsid w:val="002A1739"/>
    <w:rPr>
      <w:sz w:val="24"/>
      <w:szCs w:val="24"/>
    </w:rPr>
  </w:style>
  <w:style w:type="paragraph" w:customStyle="1" w:styleId="TabbedCont5">
    <w:name w:val="Tabbed Cont 5"/>
    <w:basedOn w:val="TabbedCont4"/>
    <w:link w:val="TabbedCont5Char"/>
    <w:uiPriority w:val="28"/>
    <w:unhideWhenUsed/>
    <w:rsid w:val="002A1739"/>
    <w:pPr>
      <w:ind w:firstLine="3600"/>
    </w:pPr>
  </w:style>
  <w:style w:type="character" w:customStyle="1" w:styleId="TabbedCont5Char">
    <w:name w:val="Tabbed Cont 5 Char"/>
    <w:link w:val="TabbedCont5"/>
    <w:uiPriority w:val="28"/>
    <w:rsid w:val="002A1739"/>
    <w:rPr>
      <w:sz w:val="24"/>
      <w:szCs w:val="24"/>
    </w:rPr>
  </w:style>
  <w:style w:type="paragraph" w:customStyle="1" w:styleId="TabbedCont6">
    <w:name w:val="Tabbed Cont 6"/>
    <w:basedOn w:val="TabbedCont5"/>
    <w:link w:val="TabbedCont6Char"/>
    <w:uiPriority w:val="28"/>
    <w:unhideWhenUsed/>
    <w:rsid w:val="002A1739"/>
    <w:pPr>
      <w:ind w:firstLine="4320"/>
    </w:pPr>
  </w:style>
  <w:style w:type="character" w:customStyle="1" w:styleId="TabbedCont6Char">
    <w:name w:val="Tabbed Cont 6 Char"/>
    <w:link w:val="TabbedCont6"/>
    <w:uiPriority w:val="28"/>
    <w:rsid w:val="002A1739"/>
    <w:rPr>
      <w:sz w:val="24"/>
      <w:szCs w:val="24"/>
    </w:rPr>
  </w:style>
  <w:style w:type="paragraph" w:customStyle="1" w:styleId="TabbedCont7">
    <w:name w:val="Tabbed Cont 7"/>
    <w:basedOn w:val="TabbedCont6"/>
    <w:link w:val="TabbedCont7Char"/>
    <w:uiPriority w:val="28"/>
    <w:unhideWhenUsed/>
    <w:rsid w:val="002A1739"/>
    <w:pPr>
      <w:ind w:firstLine="5040"/>
    </w:pPr>
  </w:style>
  <w:style w:type="character" w:customStyle="1" w:styleId="TabbedCont7Char">
    <w:name w:val="Tabbed Cont 7 Char"/>
    <w:link w:val="TabbedCont7"/>
    <w:uiPriority w:val="28"/>
    <w:rsid w:val="002A1739"/>
    <w:rPr>
      <w:sz w:val="24"/>
      <w:szCs w:val="24"/>
    </w:rPr>
  </w:style>
  <w:style w:type="paragraph" w:customStyle="1" w:styleId="TabbedCont8">
    <w:name w:val="Tabbed Cont 8"/>
    <w:basedOn w:val="TabbedCont7"/>
    <w:link w:val="TabbedCont8Char"/>
    <w:uiPriority w:val="28"/>
    <w:unhideWhenUsed/>
    <w:rsid w:val="002A1739"/>
    <w:pPr>
      <w:ind w:firstLine="5760"/>
    </w:pPr>
  </w:style>
  <w:style w:type="character" w:customStyle="1" w:styleId="TabbedCont8Char">
    <w:name w:val="Tabbed Cont 8 Char"/>
    <w:link w:val="TabbedCont8"/>
    <w:uiPriority w:val="28"/>
    <w:rsid w:val="002A1739"/>
    <w:rPr>
      <w:sz w:val="24"/>
      <w:szCs w:val="24"/>
    </w:rPr>
  </w:style>
  <w:style w:type="paragraph" w:customStyle="1" w:styleId="TabbedCont9">
    <w:name w:val="Tabbed Cont 9"/>
    <w:basedOn w:val="TabbedCont8"/>
    <w:link w:val="TabbedCont9Char"/>
    <w:uiPriority w:val="28"/>
    <w:unhideWhenUsed/>
    <w:rsid w:val="002A1739"/>
    <w:pPr>
      <w:ind w:firstLine="6480"/>
    </w:pPr>
  </w:style>
  <w:style w:type="character" w:customStyle="1" w:styleId="TabbedCont9Char">
    <w:name w:val="Tabbed Cont 9 Char"/>
    <w:link w:val="TabbedCont9"/>
    <w:uiPriority w:val="28"/>
    <w:rsid w:val="002A1739"/>
    <w:rPr>
      <w:sz w:val="24"/>
      <w:szCs w:val="24"/>
    </w:rPr>
  </w:style>
  <w:style w:type="paragraph" w:customStyle="1" w:styleId="BlockQuote">
    <w:name w:val="Block Quote"/>
    <w:basedOn w:val="Normal"/>
    <w:uiPriority w:val="1"/>
    <w:qFormat/>
    <w:rsid w:val="00DC1B81"/>
    <w:pPr>
      <w:spacing w:after="240"/>
      <w:ind w:left="1440" w:right="1440"/>
    </w:pPr>
    <w:rPr>
      <w:rFonts w:eastAsia="Times New Roman" w:cs="Courier New"/>
    </w:rPr>
  </w:style>
  <w:style w:type="paragraph" w:customStyle="1" w:styleId="BBlock2">
    <w:name w:val="B Block 2"/>
    <w:basedOn w:val="Normal"/>
    <w:link w:val="BBlock2Char"/>
    <w:uiPriority w:val="1"/>
    <w:qFormat/>
    <w:rsid w:val="00DC1B81"/>
    <w:pPr>
      <w:spacing w:line="480" w:lineRule="auto"/>
      <w:ind w:left="720" w:right="720"/>
    </w:pPr>
  </w:style>
  <w:style w:type="character" w:customStyle="1" w:styleId="BBlock2Char">
    <w:name w:val="B Block 2 Char"/>
    <w:link w:val="BBlock2"/>
    <w:uiPriority w:val="1"/>
    <w:rsid w:val="00DC1B81"/>
    <w:rPr>
      <w:sz w:val="24"/>
      <w:szCs w:val="24"/>
    </w:rPr>
  </w:style>
  <w:style w:type="paragraph" w:customStyle="1" w:styleId="BBlock3">
    <w:name w:val="B Block 3"/>
    <w:basedOn w:val="Normal"/>
    <w:link w:val="BBlock3Char"/>
    <w:uiPriority w:val="1"/>
    <w:qFormat/>
    <w:rsid w:val="00DC1B81"/>
    <w:pPr>
      <w:spacing w:after="240"/>
      <w:ind w:left="720" w:right="720" w:firstLine="720"/>
    </w:pPr>
  </w:style>
  <w:style w:type="character" w:customStyle="1" w:styleId="BBlock3Char">
    <w:name w:val="B Block 3 Char"/>
    <w:link w:val="BBlock3"/>
    <w:uiPriority w:val="1"/>
    <w:rsid w:val="00DC1B81"/>
    <w:rPr>
      <w:sz w:val="24"/>
      <w:szCs w:val="24"/>
    </w:rPr>
  </w:style>
  <w:style w:type="paragraph" w:customStyle="1" w:styleId="BHangingInd2">
    <w:name w:val="B Hanging Ind 2"/>
    <w:basedOn w:val="Normal"/>
    <w:link w:val="BHangingInd2Char"/>
    <w:uiPriority w:val="1"/>
    <w:qFormat/>
    <w:rsid w:val="00DC1B81"/>
    <w:pPr>
      <w:spacing w:after="240"/>
      <w:ind w:left="3600" w:hanging="2160"/>
    </w:pPr>
  </w:style>
  <w:style w:type="character" w:customStyle="1" w:styleId="BHangingInd2Char">
    <w:name w:val="B Hanging Ind 2 Char"/>
    <w:link w:val="BHangingInd2"/>
    <w:uiPriority w:val="1"/>
    <w:rsid w:val="00DC1B81"/>
    <w:rPr>
      <w:sz w:val="24"/>
      <w:szCs w:val="24"/>
    </w:rPr>
  </w:style>
  <w:style w:type="paragraph" w:customStyle="1" w:styleId="BHangingInd">
    <w:name w:val="B Hanging Ind"/>
    <w:basedOn w:val="Normal"/>
    <w:link w:val="BHangingIndChar"/>
    <w:uiPriority w:val="1"/>
    <w:qFormat/>
    <w:rsid w:val="00DC1B81"/>
    <w:pPr>
      <w:spacing w:after="240"/>
      <w:ind w:left="2160" w:hanging="2160"/>
    </w:pPr>
  </w:style>
  <w:style w:type="character" w:customStyle="1" w:styleId="BHangingIndChar">
    <w:name w:val="B Hanging Ind Char"/>
    <w:link w:val="BHangingInd"/>
    <w:uiPriority w:val="1"/>
    <w:rsid w:val="00DC1B81"/>
    <w:rPr>
      <w:sz w:val="24"/>
      <w:szCs w:val="24"/>
    </w:rPr>
  </w:style>
  <w:style w:type="paragraph" w:customStyle="1" w:styleId="BFirstInd">
    <w:name w:val="B First Ind"/>
    <w:basedOn w:val="Normal"/>
    <w:link w:val="BFirstIndChar"/>
    <w:uiPriority w:val="1"/>
    <w:qFormat/>
    <w:rsid w:val="00DC1B81"/>
    <w:pPr>
      <w:spacing w:after="240"/>
      <w:ind w:firstLine="720"/>
    </w:pPr>
  </w:style>
  <w:style w:type="character" w:customStyle="1" w:styleId="BFirstIndChar">
    <w:name w:val="B First Ind Char"/>
    <w:link w:val="BFirstInd"/>
    <w:uiPriority w:val="1"/>
    <w:rsid w:val="00DC1B81"/>
    <w:rPr>
      <w:sz w:val="24"/>
      <w:szCs w:val="24"/>
    </w:rPr>
  </w:style>
  <w:style w:type="paragraph" w:customStyle="1" w:styleId="BBlock">
    <w:name w:val="B Block"/>
    <w:basedOn w:val="Normal"/>
    <w:link w:val="BBlockChar"/>
    <w:uiPriority w:val="1"/>
    <w:qFormat/>
    <w:rsid w:val="00DC1B81"/>
    <w:pPr>
      <w:spacing w:after="240"/>
      <w:ind w:left="720" w:right="720"/>
    </w:pPr>
  </w:style>
  <w:style w:type="character" w:customStyle="1" w:styleId="BBlockChar">
    <w:name w:val="B Block Char"/>
    <w:link w:val="BBlock"/>
    <w:uiPriority w:val="1"/>
    <w:rsid w:val="00DC1B81"/>
    <w:rPr>
      <w:sz w:val="24"/>
      <w:szCs w:val="24"/>
    </w:rPr>
  </w:style>
  <w:style w:type="paragraph" w:customStyle="1" w:styleId="BBody2">
    <w:name w:val="B Body 2"/>
    <w:basedOn w:val="Normal"/>
    <w:link w:val="BBody2Char"/>
    <w:uiPriority w:val="1"/>
    <w:qFormat/>
    <w:rsid w:val="00DC1B81"/>
    <w:pPr>
      <w:spacing w:line="480" w:lineRule="auto"/>
    </w:pPr>
  </w:style>
  <w:style w:type="character" w:customStyle="1" w:styleId="BBody2Char">
    <w:name w:val="B Body 2 Char"/>
    <w:link w:val="BBody2"/>
    <w:uiPriority w:val="1"/>
    <w:rsid w:val="00DC1B81"/>
    <w:rPr>
      <w:sz w:val="24"/>
      <w:szCs w:val="24"/>
    </w:rPr>
  </w:style>
  <w:style w:type="paragraph" w:customStyle="1" w:styleId="BBody">
    <w:name w:val="B Body"/>
    <w:basedOn w:val="Normal"/>
    <w:link w:val="BBodyChar"/>
    <w:uiPriority w:val="1"/>
    <w:qFormat/>
    <w:rsid w:val="00DC1B81"/>
    <w:pPr>
      <w:spacing w:after="240"/>
    </w:pPr>
  </w:style>
  <w:style w:type="character" w:customStyle="1" w:styleId="BBodyChar">
    <w:name w:val="B Body Char"/>
    <w:link w:val="BBody"/>
    <w:uiPriority w:val="1"/>
    <w:rsid w:val="00DC1B81"/>
    <w:rPr>
      <w:sz w:val="24"/>
      <w:szCs w:val="24"/>
    </w:rPr>
  </w:style>
  <w:style w:type="paragraph" w:customStyle="1" w:styleId="BFirstInd20">
    <w:name w:val="B First Ind2"/>
    <w:basedOn w:val="Normal"/>
    <w:link w:val="BFirstInd2Char"/>
    <w:uiPriority w:val="1"/>
    <w:qFormat/>
    <w:rsid w:val="00DC1B81"/>
    <w:pPr>
      <w:spacing w:line="480" w:lineRule="auto"/>
      <w:ind w:firstLine="720"/>
    </w:pPr>
  </w:style>
  <w:style w:type="character" w:customStyle="1" w:styleId="BFirstInd2Char">
    <w:name w:val="B First Ind2 Char"/>
    <w:link w:val="BFirstInd20"/>
    <w:uiPriority w:val="1"/>
    <w:rsid w:val="00DC1B81"/>
    <w:rPr>
      <w:sz w:val="24"/>
      <w:szCs w:val="24"/>
    </w:rPr>
  </w:style>
  <w:style w:type="paragraph" w:customStyle="1" w:styleId="BIndent2">
    <w:name w:val="B Indent 2"/>
    <w:basedOn w:val="Normal"/>
    <w:uiPriority w:val="1"/>
    <w:qFormat/>
    <w:rsid w:val="00DC1B81"/>
    <w:pPr>
      <w:spacing w:line="480" w:lineRule="auto"/>
      <w:ind w:left="720"/>
    </w:pPr>
  </w:style>
  <w:style w:type="paragraph" w:customStyle="1" w:styleId="BIndent3">
    <w:name w:val="B Indent 3"/>
    <w:basedOn w:val="Normal"/>
    <w:uiPriority w:val="1"/>
    <w:qFormat/>
    <w:rsid w:val="00DC1B81"/>
    <w:pPr>
      <w:spacing w:after="240"/>
      <w:ind w:left="720" w:firstLine="720"/>
    </w:pPr>
  </w:style>
  <w:style w:type="paragraph" w:customStyle="1" w:styleId="BIndent">
    <w:name w:val="B Indent"/>
    <w:basedOn w:val="Normal"/>
    <w:uiPriority w:val="1"/>
    <w:qFormat/>
    <w:rsid w:val="00DC1B81"/>
    <w:pPr>
      <w:spacing w:after="240"/>
      <w:ind w:left="720"/>
    </w:pPr>
  </w:style>
  <w:style w:type="paragraph" w:customStyle="1" w:styleId="BodyTextContinued">
    <w:name w:val="Body Text Continued"/>
    <w:basedOn w:val="BodyText"/>
    <w:next w:val="BodyText"/>
    <w:uiPriority w:val="1"/>
    <w:qFormat/>
    <w:rsid w:val="00DC1B81"/>
    <w:pPr>
      <w:ind w:firstLine="0"/>
    </w:pPr>
    <w:rPr>
      <w:rFonts w:eastAsia="Times New Roman"/>
      <w:szCs w:val="24"/>
    </w:rPr>
  </w:style>
  <w:style w:type="paragraph" w:styleId="BodyText">
    <w:name w:val="Body Text"/>
    <w:basedOn w:val="Normal"/>
    <w:link w:val="BodyTextChar"/>
    <w:qFormat/>
    <w:rsid w:val="00DC1B81"/>
    <w:pPr>
      <w:spacing w:after="240"/>
      <w:ind w:firstLine="720"/>
    </w:pPr>
    <w:rPr>
      <w:szCs w:val="20"/>
    </w:rPr>
  </w:style>
  <w:style w:type="character" w:customStyle="1" w:styleId="BodyTextChar">
    <w:name w:val="Body Text Char"/>
    <w:link w:val="BodyText"/>
    <w:rsid w:val="00DC1B81"/>
    <w:rPr>
      <w:sz w:val="24"/>
    </w:rPr>
  </w:style>
  <w:style w:type="paragraph" w:customStyle="1" w:styleId="HEADING1L">
    <w:name w:val="HEADING 1 L"/>
    <w:basedOn w:val="Normal"/>
    <w:next w:val="BFirstInd"/>
    <w:uiPriority w:val="1"/>
    <w:qFormat/>
    <w:rsid w:val="00DC1B81"/>
    <w:pPr>
      <w:keepNext/>
      <w:keepLines/>
      <w:spacing w:after="360"/>
      <w:outlineLvl w:val="0"/>
    </w:pPr>
    <w:rPr>
      <w:b/>
      <w:caps/>
    </w:rPr>
  </w:style>
  <w:style w:type="paragraph" w:customStyle="1" w:styleId="Heading2L">
    <w:name w:val="Heading 2 L"/>
    <w:basedOn w:val="Normal"/>
    <w:next w:val="BFirstInd"/>
    <w:uiPriority w:val="1"/>
    <w:qFormat/>
    <w:rsid w:val="00DC1B81"/>
    <w:pPr>
      <w:keepNext/>
      <w:keepLines/>
      <w:spacing w:after="360"/>
      <w:outlineLvl w:val="1"/>
    </w:pPr>
  </w:style>
  <w:style w:type="paragraph" w:customStyle="1" w:styleId="HEADING3C">
    <w:name w:val="HEADING 3 C"/>
    <w:basedOn w:val="Normal"/>
    <w:next w:val="BFirstInd"/>
    <w:uiPriority w:val="1"/>
    <w:qFormat/>
    <w:rsid w:val="00DC1B81"/>
    <w:pPr>
      <w:keepNext/>
      <w:keepLines/>
      <w:spacing w:after="360"/>
      <w:jc w:val="center"/>
      <w:outlineLvl w:val="0"/>
    </w:pPr>
    <w:rPr>
      <w:b/>
      <w:caps/>
    </w:rPr>
  </w:style>
  <w:style w:type="paragraph" w:customStyle="1" w:styleId="Heading4C">
    <w:name w:val="Heading 4 C"/>
    <w:basedOn w:val="Normal"/>
    <w:next w:val="BFirstInd"/>
    <w:uiPriority w:val="1"/>
    <w:qFormat/>
    <w:rsid w:val="00DC1B81"/>
    <w:pPr>
      <w:keepNext/>
      <w:keepLines/>
      <w:spacing w:after="360"/>
      <w:jc w:val="center"/>
      <w:outlineLvl w:val="1"/>
    </w:pPr>
  </w:style>
  <w:style w:type="paragraph" w:customStyle="1" w:styleId="HEADING5R">
    <w:name w:val="HEADING 5 R"/>
    <w:basedOn w:val="Normal"/>
    <w:next w:val="BFirstInd"/>
    <w:uiPriority w:val="1"/>
    <w:qFormat/>
    <w:rsid w:val="00DC1B81"/>
    <w:pPr>
      <w:keepNext/>
      <w:keepLines/>
      <w:spacing w:after="360"/>
      <w:jc w:val="right"/>
      <w:outlineLvl w:val="0"/>
    </w:pPr>
    <w:rPr>
      <w:b/>
      <w:caps/>
    </w:rPr>
  </w:style>
  <w:style w:type="paragraph" w:customStyle="1" w:styleId="Heading6R">
    <w:name w:val="Heading 6 R"/>
    <w:basedOn w:val="Normal"/>
    <w:next w:val="BFirstInd"/>
    <w:uiPriority w:val="1"/>
    <w:qFormat/>
    <w:rsid w:val="00DC1B81"/>
    <w:pPr>
      <w:keepNext/>
      <w:keepLines/>
      <w:spacing w:after="360"/>
      <w:jc w:val="right"/>
      <w:outlineLvl w:val="1"/>
    </w:pPr>
  </w:style>
  <w:style w:type="paragraph" w:customStyle="1" w:styleId="MHeader">
    <w:name w:val="M Header"/>
    <w:aliases w:val="mh"/>
    <w:basedOn w:val="Normal"/>
    <w:qFormat/>
    <w:rsid w:val="00DC1B81"/>
    <w:pPr>
      <w:keepNext/>
      <w:keepLines/>
      <w:tabs>
        <w:tab w:val="left" w:pos="1080"/>
        <w:tab w:val="left" w:pos="5040"/>
      </w:tabs>
      <w:spacing w:after="240"/>
      <w:ind w:left="1080" w:hanging="1080"/>
    </w:pPr>
  </w:style>
  <w:style w:type="paragraph" w:customStyle="1" w:styleId="MHeaderLast">
    <w:name w:val="M Header Last"/>
    <w:aliases w:val="mhl"/>
    <w:basedOn w:val="MHeader"/>
    <w:next w:val="BFirstInd20"/>
    <w:qFormat/>
    <w:rsid w:val="00DC1B81"/>
    <w:pPr>
      <w:pBdr>
        <w:bottom w:val="single" w:sz="6" w:space="22" w:color="auto"/>
      </w:pBdr>
      <w:spacing w:after="400"/>
    </w:pPr>
  </w:style>
  <w:style w:type="paragraph" w:customStyle="1" w:styleId="SigName">
    <w:name w:val="Sig Name"/>
    <w:basedOn w:val="Normal"/>
    <w:next w:val="Normal"/>
    <w:uiPriority w:val="1"/>
    <w:qFormat/>
    <w:rsid w:val="00DC1B81"/>
    <w:pPr>
      <w:keepNext/>
      <w:keepLines/>
      <w:tabs>
        <w:tab w:val="left" w:pos="720"/>
      </w:tabs>
      <w:spacing w:after="240"/>
    </w:pPr>
  </w:style>
  <w:style w:type="paragraph" w:customStyle="1" w:styleId="SigLine">
    <w:name w:val="Sig Line"/>
    <w:basedOn w:val="Normal"/>
    <w:next w:val="SigName"/>
    <w:uiPriority w:val="1"/>
    <w:qFormat/>
    <w:rsid w:val="00DC1B81"/>
    <w:pPr>
      <w:tabs>
        <w:tab w:val="right" w:leader="underscore" w:pos="4752"/>
      </w:tabs>
    </w:pPr>
  </w:style>
  <w:style w:type="paragraph" w:customStyle="1" w:styleId="SigCaption">
    <w:name w:val="Sig Caption"/>
    <w:basedOn w:val="Normal"/>
    <w:next w:val="SigLine"/>
    <w:link w:val="SigCaptionChar"/>
    <w:uiPriority w:val="1"/>
    <w:qFormat/>
    <w:rsid w:val="00DC1B81"/>
    <w:pPr>
      <w:keepNext/>
      <w:keepLines/>
      <w:tabs>
        <w:tab w:val="left" w:pos="720"/>
      </w:tabs>
      <w:spacing w:after="840"/>
    </w:pPr>
  </w:style>
  <w:style w:type="character" w:customStyle="1" w:styleId="SigCaptionChar">
    <w:name w:val="Sig Caption Char"/>
    <w:link w:val="SigCaption"/>
    <w:uiPriority w:val="1"/>
    <w:rsid w:val="00DC1B81"/>
    <w:rPr>
      <w:sz w:val="24"/>
      <w:szCs w:val="24"/>
    </w:rPr>
  </w:style>
  <w:style w:type="paragraph" w:styleId="BlockText">
    <w:name w:val="Block Text"/>
    <w:basedOn w:val="Normal"/>
    <w:uiPriority w:val="1"/>
    <w:qFormat/>
    <w:rsid w:val="00DC1B81"/>
    <w:pPr>
      <w:spacing w:after="240"/>
    </w:pPr>
    <w:rPr>
      <w:rFonts w:eastAsia="Times New Roman"/>
    </w:rPr>
  </w:style>
  <w:style w:type="paragraph" w:styleId="Quote">
    <w:name w:val="Quote"/>
    <w:basedOn w:val="Normal"/>
    <w:next w:val="BodyTextContinued"/>
    <w:link w:val="QuoteChar"/>
    <w:uiPriority w:val="1"/>
    <w:qFormat/>
    <w:rsid w:val="00DC1B81"/>
    <w:pPr>
      <w:spacing w:after="240"/>
      <w:ind w:left="1440" w:right="1440"/>
    </w:pPr>
    <w:rPr>
      <w:iCs/>
      <w:szCs w:val="20"/>
    </w:rPr>
  </w:style>
  <w:style w:type="character" w:customStyle="1" w:styleId="QuoteChar">
    <w:name w:val="Quote Char"/>
    <w:link w:val="Quote"/>
    <w:uiPriority w:val="1"/>
    <w:rsid w:val="00DC1B81"/>
    <w:rPr>
      <w:iCs/>
      <w:sz w:val="24"/>
    </w:rPr>
  </w:style>
  <w:style w:type="paragraph" w:customStyle="1" w:styleId="Heading3C0">
    <w:name w:val="Heading 3 C"/>
    <w:aliases w:val="h3"/>
    <w:basedOn w:val="Normal"/>
    <w:next w:val="Normal"/>
    <w:rsid w:val="00B468A3"/>
    <w:pPr>
      <w:keepNext/>
      <w:keepLines/>
      <w:spacing w:after="360"/>
      <w:jc w:val="center"/>
      <w:outlineLvl w:val="0"/>
    </w:pPr>
    <w:rPr>
      <w:rFonts w:eastAsia="Times New Roman"/>
      <w:b/>
      <w:caps/>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72151B"/>
    <w:rPr>
      <w:vertAlign w:val="superscript"/>
    </w:rPr>
  </w:style>
  <w:style w:type="paragraph" w:styleId="ListParagraph">
    <w:name w:val="List Paragraph"/>
    <w:basedOn w:val="Normal"/>
    <w:uiPriority w:val="34"/>
    <w:rsid w:val="00E91111"/>
    <w:pPr>
      <w:ind w:left="720"/>
      <w:contextualSpacing/>
    </w:pPr>
  </w:style>
  <w:style w:type="character" w:styleId="Hyperlink">
    <w:name w:val="Hyperlink"/>
    <w:basedOn w:val="DefaultParagraphFont"/>
    <w:uiPriority w:val="99"/>
    <w:unhideWhenUsed/>
    <w:rsid w:val="00E91111"/>
    <w:rPr>
      <w:color w:val="0000FF" w:themeColor="hyperlink"/>
      <w:u w:val="single"/>
    </w:rPr>
  </w:style>
  <w:style w:type="character" w:styleId="UnresolvedMention">
    <w:name w:val="Unresolved Mention"/>
    <w:basedOn w:val="DefaultParagraphFont"/>
    <w:uiPriority w:val="99"/>
    <w:semiHidden/>
    <w:unhideWhenUsed/>
    <w:rsid w:val="00E91111"/>
    <w:rPr>
      <w:color w:val="605E5C"/>
      <w:shd w:val="clear" w:color="auto" w:fill="E1DFDD"/>
    </w:rPr>
  </w:style>
  <w:style w:type="character" w:customStyle="1" w:styleId="Heading3Char">
    <w:name w:val="Heading 3 Char"/>
    <w:basedOn w:val="DefaultParagraphFont"/>
    <w:link w:val="Heading3"/>
    <w:uiPriority w:val="9"/>
    <w:semiHidden/>
    <w:rsid w:val="00AD1D8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D1D8E"/>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AD1D8E"/>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AD1D8E"/>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AD1D8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AD1D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1D8E"/>
    <w:rPr>
      <w:rFonts w:asciiTheme="majorHAnsi" w:eastAsiaTheme="majorEastAsia" w:hAnsiTheme="majorHAnsi" w:cstheme="majorBidi"/>
      <w:i/>
      <w:iCs/>
      <w:color w:val="272727" w:themeColor="text1" w:themeTint="D8"/>
      <w:sz w:val="21"/>
      <w:szCs w:val="21"/>
    </w:rPr>
  </w:style>
  <w:style w:type="paragraph" w:customStyle="1" w:styleId="FERCparanumber">
    <w:name w:val="FERC paranumber"/>
    <w:basedOn w:val="Normal"/>
    <w:link w:val="FERCparanumberChar"/>
    <w:qFormat/>
    <w:rsid w:val="00830D0B"/>
    <w:pPr>
      <w:numPr>
        <w:numId w:val="23"/>
      </w:numPr>
      <w:spacing w:line="480" w:lineRule="auto"/>
    </w:pPr>
    <w:rPr>
      <w:rFonts w:eastAsiaTheme="minorHAnsi"/>
      <w:sz w:val="26"/>
      <w:szCs w:val="22"/>
    </w:rPr>
  </w:style>
  <w:style w:type="character" w:customStyle="1" w:styleId="FERCparanumberChar">
    <w:name w:val="FERC paranumber Char"/>
    <w:basedOn w:val="DefaultParagraphFont"/>
    <w:link w:val="FERCparanumber"/>
    <w:rsid w:val="00830D0B"/>
    <w:rPr>
      <w:rFonts w:eastAsiaTheme="minorHAnsi"/>
      <w:sz w:val="26"/>
      <w:szCs w:val="22"/>
    </w:rPr>
  </w:style>
  <w:style w:type="paragraph" w:styleId="Revision">
    <w:name w:val="Revision"/>
    <w:hidden/>
    <w:uiPriority w:val="99"/>
    <w:semiHidden/>
    <w:rsid w:val="003F69CC"/>
    <w:rPr>
      <w:sz w:val="24"/>
      <w:szCs w:val="24"/>
    </w:rPr>
  </w:style>
  <w:style w:type="character" w:styleId="CommentReference">
    <w:name w:val="annotation reference"/>
    <w:basedOn w:val="DefaultParagraphFont"/>
    <w:uiPriority w:val="99"/>
    <w:semiHidden/>
    <w:unhideWhenUsed/>
    <w:rsid w:val="003F69CC"/>
    <w:rPr>
      <w:sz w:val="16"/>
      <w:szCs w:val="16"/>
    </w:rPr>
  </w:style>
  <w:style w:type="paragraph" w:styleId="CommentText">
    <w:name w:val="annotation text"/>
    <w:basedOn w:val="Normal"/>
    <w:link w:val="CommentTextChar"/>
    <w:uiPriority w:val="99"/>
    <w:unhideWhenUsed/>
    <w:rsid w:val="003F69CC"/>
    <w:rPr>
      <w:sz w:val="20"/>
      <w:szCs w:val="20"/>
    </w:rPr>
  </w:style>
  <w:style w:type="character" w:customStyle="1" w:styleId="CommentTextChar">
    <w:name w:val="Comment Text Char"/>
    <w:basedOn w:val="DefaultParagraphFont"/>
    <w:link w:val="CommentText"/>
    <w:uiPriority w:val="99"/>
    <w:rsid w:val="003F69CC"/>
  </w:style>
  <w:style w:type="paragraph" w:styleId="CommentSubject">
    <w:name w:val="annotation subject"/>
    <w:basedOn w:val="CommentText"/>
    <w:next w:val="CommentText"/>
    <w:link w:val="CommentSubjectChar"/>
    <w:uiPriority w:val="99"/>
    <w:semiHidden/>
    <w:unhideWhenUsed/>
    <w:rsid w:val="003F69CC"/>
    <w:rPr>
      <w:b/>
      <w:bCs/>
    </w:rPr>
  </w:style>
  <w:style w:type="character" w:customStyle="1" w:styleId="CommentSubjectChar">
    <w:name w:val="Comment Subject Char"/>
    <w:basedOn w:val="CommentTextChar"/>
    <w:link w:val="CommentSubject"/>
    <w:uiPriority w:val="99"/>
    <w:semiHidden/>
    <w:rsid w:val="003F69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zepiel@daypitney.com" TargetMode="External"/><Relationship Id="rId3" Type="http://schemas.openxmlformats.org/officeDocument/2006/relationships/settings" Target="settings.xml"/><Relationship Id="rId7" Type="http://schemas.openxmlformats.org/officeDocument/2006/relationships/hyperlink" Target="mailto:ekrunge@daypitne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so-ne.com/static-assets/documents/100011/a05_nepool_counsel_memo_transmission_planning_final_rule.pdf" TargetMode="External"/><Relationship Id="rId2" Type="http://schemas.openxmlformats.org/officeDocument/2006/relationships/hyperlink" Target="https://www.iso-ne.com/static-assets/documents/100011/nepool_counsel_memo_order_no_1920.pdf" TargetMode="External"/><Relationship Id="rId1" Type="http://schemas.openxmlformats.org/officeDocument/2006/relationships/hyperlink" Target="https://elibrary.ferc.gov/eLibrary/filedownload?fileid=6C3E4B48-E334-CA02-97A2-93513D000000" TargetMode="External"/><Relationship Id="rId4" Type="http://schemas.openxmlformats.org/officeDocument/2006/relationships/hyperlink" Target="https://www.iso-ne.com/static-assets/documents/100012/nepool_counsel_memo_order_1920_rehearing_reques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14227</Words>
  <Characters>81095</Characters>
  <Application>Microsoft Office Word</Application>
  <DocSecurity>0</DocSecurity>
  <Lines>675</Lines>
  <Paragraphs>190</Paragraphs>
  <ScaleCrop>false</ScaleCrop>
  <Company/>
  <LinksUpToDate>false</LinksUpToDate>
  <CharactersWithSpaces>95132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2024-12-04T20:01:00Z</dcterms:created>
  <dcterms:modified xsi:type="dcterms:W3CDTF">2024-12-04T20:02:00Z</dcterms:modified>
</cp:coreProperties>
</file>