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F135D" w14:textId="77777777" w:rsidR="005447C1" w:rsidRDefault="005447C1">
      <w:pPr>
        <w:pStyle w:val="Title"/>
      </w:pPr>
      <w:bookmarkStart w:id="0" w:name="Procedure7"/>
      <w:bookmarkStart w:id="1" w:name="_Hlk158017226"/>
    </w:p>
    <w:p w14:paraId="21268937" w14:textId="77777777" w:rsidR="005447C1" w:rsidRDefault="005447C1">
      <w:pPr>
        <w:pStyle w:val="Title"/>
      </w:pPr>
      <w:r>
        <w:t>ISO NEW ENGLAND PLANNING PROCEDURE NO. 7</w:t>
      </w:r>
    </w:p>
    <w:p w14:paraId="5E6ABFD2" w14:textId="77777777" w:rsidR="005447C1" w:rsidRDefault="005447C1">
      <w:pPr>
        <w:pStyle w:val="Title"/>
      </w:pPr>
      <w:r>
        <w:t xml:space="preserve">PROCEDURES FOR DETERMINING AND IMPLEMENTING TRANSMISSION FACILITY RATINGS IN NEW ENGLAND </w:t>
      </w:r>
    </w:p>
    <w:bookmarkEnd w:id="0"/>
    <w:p w14:paraId="404DC803" w14:textId="464280F3" w:rsidR="005447C1" w:rsidRDefault="005447C1">
      <w:pPr>
        <w:tabs>
          <w:tab w:val="left" w:pos="-1296"/>
          <w:tab w:val="left" w:pos="-576"/>
        </w:tabs>
        <w:spacing w:before="720" w:after="240"/>
        <w:ind w:left="2160" w:hanging="2160"/>
        <w:rPr>
          <w:sz w:val="24"/>
        </w:rPr>
      </w:pPr>
      <w:r>
        <w:rPr>
          <w:sz w:val="24"/>
        </w:rPr>
        <w:t>EFFECTIVE DATE:</w:t>
      </w:r>
      <w:r>
        <w:rPr>
          <w:sz w:val="24"/>
        </w:rPr>
        <w:tab/>
      </w:r>
      <w:r w:rsidR="00BE5436" w:rsidRPr="00586FF2">
        <w:rPr>
          <w:sz w:val="24"/>
        </w:rPr>
        <w:t>Month day</w:t>
      </w:r>
      <w:r w:rsidRPr="00586FF2">
        <w:rPr>
          <w:sz w:val="24"/>
        </w:rPr>
        <w:t>, 20</w:t>
      </w:r>
      <w:r w:rsidR="00BE5436" w:rsidRPr="00586FF2">
        <w:rPr>
          <w:sz w:val="24"/>
        </w:rPr>
        <w:t>2</w:t>
      </w:r>
      <w:r w:rsidR="00586FF2" w:rsidRPr="00586FF2">
        <w:rPr>
          <w:sz w:val="24"/>
        </w:rPr>
        <w:t>X</w:t>
      </w:r>
    </w:p>
    <w:p w14:paraId="02FEE413" w14:textId="77777777" w:rsidR="005447C1" w:rsidRDefault="005447C1">
      <w:pPr>
        <w:ind w:left="2160" w:hanging="2160"/>
        <w:rPr>
          <w:sz w:val="24"/>
        </w:rPr>
      </w:pPr>
      <w:r>
        <w:rPr>
          <w:sz w:val="24"/>
        </w:rPr>
        <w:t>REFERENCES:</w:t>
      </w:r>
      <w:r>
        <w:rPr>
          <w:sz w:val="24"/>
        </w:rPr>
        <w:tab/>
        <w:t>ISO New England Operating Procedure No. 16, Transmission System Data</w:t>
      </w:r>
    </w:p>
    <w:p w14:paraId="07805D3C" w14:textId="77777777" w:rsidR="005447C1" w:rsidRDefault="005447C1">
      <w:pPr>
        <w:ind w:left="2160" w:hanging="2160"/>
        <w:rPr>
          <w:sz w:val="24"/>
        </w:rPr>
      </w:pPr>
      <w:r>
        <w:rPr>
          <w:sz w:val="24"/>
        </w:rPr>
        <w:tab/>
      </w:r>
    </w:p>
    <w:p w14:paraId="62858058" w14:textId="77777777" w:rsidR="005447C1" w:rsidRDefault="005447C1">
      <w:pPr>
        <w:ind w:left="2160"/>
        <w:rPr>
          <w:sz w:val="24"/>
        </w:rPr>
      </w:pPr>
      <w:r>
        <w:rPr>
          <w:sz w:val="24"/>
        </w:rPr>
        <w:t>ISO New England Operating Procedure No. 19, Transmission Operations</w:t>
      </w:r>
    </w:p>
    <w:p w14:paraId="36998D9F" w14:textId="77777777" w:rsidR="005447C1" w:rsidRDefault="005447C1">
      <w:pPr>
        <w:ind w:left="2160"/>
        <w:rPr>
          <w:sz w:val="24"/>
        </w:rPr>
      </w:pPr>
    </w:p>
    <w:p w14:paraId="3BDAD944" w14:textId="77777777" w:rsidR="005447C1" w:rsidRDefault="005447C1">
      <w:pPr>
        <w:ind w:left="2160"/>
        <w:rPr>
          <w:sz w:val="24"/>
        </w:rPr>
      </w:pPr>
      <w:r>
        <w:rPr>
          <w:sz w:val="24"/>
        </w:rPr>
        <w:t>NERC Standard FAC-008 – Facilities Rating Methodology</w:t>
      </w:r>
    </w:p>
    <w:p w14:paraId="55CDCAA3" w14:textId="77777777" w:rsidR="009E3EB6" w:rsidRDefault="009E3EB6">
      <w:pPr>
        <w:ind w:left="2160"/>
        <w:rPr>
          <w:sz w:val="24"/>
        </w:rPr>
      </w:pPr>
    </w:p>
    <w:p w14:paraId="52E3AD40" w14:textId="77777777" w:rsidR="009E3EB6" w:rsidRDefault="009E3EB6">
      <w:pPr>
        <w:ind w:left="2160"/>
        <w:rPr>
          <w:sz w:val="24"/>
        </w:rPr>
      </w:pPr>
      <w:r>
        <w:rPr>
          <w:sz w:val="24"/>
        </w:rPr>
        <w:t>ISO New England Open Access Transmission Tariff</w:t>
      </w:r>
    </w:p>
    <w:p w14:paraId="037A4885" w14:textId="77777777" w:rsidR="005447C1" w:rsidRDefault="005447C1">
      <w:pPr>
        <w:ind w:left="2160"/>
        <w:rPr>
          <w:sz w:val="24"/>
        </w:rPr>
      </w:pPr>
    </w:p>
    <w:p w14:paraId="053CC8BF" w14:textId="77777777" w:rsidR="005447C1" w:rsidRDefault="005447C1">
      <w:pPr>
        <w:ind w:left="2160"/>
        <w:rPr>
          <w:sz w:val="24"/>
        </w:rPr>
      </w:pPr>
      <w:r>
        <w:rPr>
          <w:sz w:val="24"/>
        </w:rPr>
        <w:t xml:space="preserve">Transmission Operating Agreement </w:t>
      </w:r>
    </w:p>
    <w:p w14:paraId="07EE043B" w14:textId="77777777" w:rsidR="00BE5436" w:rsidRDefault="00BE5436">
      <w:pPr>
        <w:ind w:left="2160"/>
        <w:rPr>
          <w:sz w:val="24"/>
        </w:rPr>
      </w:pPr>
    </w:p>
    <w:p w14:paraId="512511CA" w14:textId="77777777" w:rsidR="00BE5436" w:rsidRDefault="00BE5436" w:rsidP="00BE5436">
      <w:pPr>
        <w:ind w:left="2160"/>
        <w:rPr>
          <w:sz w:val="24"/>
        </w:rPr>
      </w:pPr>
      <w:r w:rsidRPr="00F04E24">
        <w:rPr>
          <w:sz w:val="24"/>
        </w:rPr>
        <w:t>HVDC Transmission Operating Agreement</w:t>
      </w:r>
      <w:r>
        <w:rPr>
          <w:sz w:val="24"/>
        </w:rPr>
        <w:t xml:space="preserve"> </w:t>
      </w:r>
    </w:p>
    <w:p w14:paraId="162861BB" w14:textId="77777777" w:rsidR="00FD6F2F" w:rsidRDefault="00FD6F2F" w:rsidP="00BE5436">
      <w:pPr>
        <w:ind w:left="2160"/>
        <w:rPr>
          <w:sz w:val="24"/>
        </w:rPr>
      </w:pPr>
    </w:p>
    <w:p w14:paraId="2639F344" w14:textId="77777777" w:rsidR="00FD6F2F" w:rsidRDefault="00FD6F2F" w:rsidP="00BE5436">
      <w:pPr>
        <w:ind w:left="2160"/>
        <w:rPr>
          <w:sz w:val="24"/>
        </w:rPr>
      </w:pPr>
      <w:r>
        <w:rPr>
          <w:sz w:val="24"/>
        </w:rPr>
        <w:t>FERC Order 881</w:t>
      </w:r>
    </w:p>
    <w:p w14:paraId="18363140" w14:textId="77777777" w:rsidR="00BE5436" w:rsidRDefault="00BE5436">
      <w:pPr>
        <w:ind w:left="2160"/>
        <w:rPr>
          <w:sz w:val="24"/>
        </w:rPr>
      </w:pPr>
    </w:p>
    <w:p w14:paraId="720C2AE8" w14:textId="77777777" w:rsidR="005447C1" w:rsidRDefault="005447C1"/>
    <w:p w14:paraId="57D6EB22" w14:textId="77777777" w:rsidR="005447C1" w:rsidRDefault="005447C1">
      <w:pPr>
        <w:pStyle w:val="Heading5Text"/>
        <w:sectPr w:rsidR="005447C1" w:rsidSect="00FB58B5">
          <w:headerReference w:type="default" r:id="rId8"/>
          <w:footerReference w:type="default" r:id="rId9"/>
          <w:footnotePr>
            <w:numRestart w:val="eachSect"/>
          </w:footnotePr>
          <w:pgSz w:w="12240" w:h="15840" w:code="1"/>
          <w:pgMar w:top="1728" w:right="1440" w:bottom="1584" w:left="1440" w:header="720" w:footer="720" w:gutter="0"/>
          <w:paperSrc w:first="22528" w:other="22528"/>
          <w:pgNumType w:fmt="lowerRoman" w:start="1"/>
          <w:cols w:space="720"/>
          <w:noEndnote/>
        </w:sectPr>
      </w:pPr>
    </w:p>
    <w:p w14:paraId="6B076412" w14:textId="77777777" w:rsidR="005447C1" w:rsidRDefault="005447C1">
      <w:pPr>
        <w:jc w:val="center"/>
        <w:rPr>
          <w:b/>
          <w:smallCaps/>
          <w:sz w:val="32"/>
        </w:rPr>
      </w:pPr>
      <w:r>
        <w:rPr>
          <w:b/>
          <w:smallCaps/>
          <w:sz w:val="32"/>
        </w:rPr>
        <w:lastRenderedPageBreak/>
        <w:t>Table of Contents</w:t>
      </w:r>
    </w:p>
    <w:p w14:paraId="1596F5E3" w14:textId="77777777" w:rsidR="005447C1" w:rsidRDefault="005447C1">
      <w:pPr>
        <w:jc w:val="center"/>
        <w:rPr>
          <w:b/>
          <w:sz w:val="24"/>
        </w:rPr>
      </w:pPr>
    </w:p>
    <w:p w14:paraId="42A30C6A" w14:textId="24319BEA" w:rsidR="00E372DD" w:rsidRDefault="005447C1">
      <w:pPr>
        <w:pStyle w:val="TOC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r>
        <w:rPr>
          <w:caps/>
          <w:sz w:val="22"/>
        </w:rPr>
        <w:fldChar w:fldCharType="begin"/>
      </w:r>
      <w:r>
        <w:rPr>
          <w:caps/>
          <w:sz w:val="22"/>
        </w:rPr>
        <w:instrText xml:space="preserve"> TOC \o "1-2" \h \z </w:instrText>
      </w:r>
      <w:r>
        <w:rPr>
          <w:caps/>
          <w:sz w:val="22"/>
        </w:rPr>
        <w:fldChar w:fldCharType="separate"/>
      </w:r>
      <w:hyperlink w:anchor="_Toc182480951" w:history="1">
        <w:r w:rsidR="00E372DD" w:rsidRPr="00C63713">
          <w:rPr>
            <w:rStyle w:val="Hyperlink"/>
          </w:rPr>
          <w:t>1.0 Introduction</w:t>
        </w:r>
        <w:r w:rsidR="00E372DD">
          <w:rPr>
            <w:webHidden/>
          </w:rPr>
          <w:tab/>
        </w:r>
        <w:r w:rsidR="00E372DD">
          <w:rPr>
            <w:webHidden/>
          </w:rPr>
          <w:fldChar w:fldCharType="begin"/>
        </w:r>
        <w:r w:rsidR="00E372DD">
          <w:rPr>
            <w:webHidden/>
          </w:rPr>
          <w:instrText xml:space="preserve"> PAGEREF _Toc182480951 \h </w:instrText>
        </w:r>
        <w:r w:rsidR="00E372DD">
          <w:rPr>
            <w:webHidden/>
          </w:rPr>
        </w:r>
        <w:r w:rsidR="00E372DD">
          <w:rPr>
            <w:webHidden/>
          </w:rPr>
          <w:fldChar w:fldCharType="separate"/>
        </w:r>
        <w:r w:rsidR="00E372DD">
          <w:rPr>
            <w:webHidden/>
          </w:rPr>
          <w:t>1</w:t>
        </w:r>
        <w:r w:rsidR="00E372DD">
          <w:rPr>
            <w:webHidden/>
          </w:rPr>
          <w:fldChar w:fldCharType="end"/>
        </w:r>
      </w:hyperlink>
    </w:p>
    <w:p w14:paraId="042027A3" w14:textId="37BA13C4" w:rsidR="00E372DD" w:rsidRDefault="00E372DD">
      <w:pPr>
        <w:pStyle w:val="TOC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82480952" w:history="1">
        <w:r w:rsidRPr="00C63713">
          <w:rPr>
            <w:rStyle w:val="Hyperlink"/>
          </w:rPr>
          <w:t>2.0 Transmission Facility Rating Procedures (or Methodology)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_Toc182480952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09D459F" w14:textId="26E92033" w:rsidR="00E372DD" w:rsidRDefault="00E372DD">
      <w:pPr>
        <w:pStyle w:val="TOC2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182480955" w:history="1">
        <w:r w:rsidRPr="00C63713">
          <w:rPr>
            <w:rStyle w:val="Hyperlink"/>
          </w:rPr>
          <w:t>2.1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C63713">
          <w:rPr>
            <w:rStyle w:val="Hyperlink"/>
          </w:rPr>
          <w:t>Transmission Equipment To Be Rated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_Toc182480955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C84C174" w14:textId="76ABD780" w:rsidR="00E372DD" w:rsidRDefault="00E372DD">
      <w:pPr>
        <w:pStyle w:val="TOC2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182480957" w:history="1">
        <w:r w:rsidRPr="00C63713">
          <w:rPr>
            <w:rStyle w:val="Hyperlink"/>
          </w:rPr>
          <w:t>2.2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C63713">
          <w:rPr>
            <w:rStyle w:val="Hyperlink"/>
          </w:rPr>
          <w:t>Ratings and Limits To Be Assigned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_Toc182480957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5BFE26B4" w14:textId="15411A2A" w:rsidR="00E372DD" w:rsidRDefault="00E372DD">
      <w:pPr>
        <w:pStyle w:val="TOC2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182480959" w:history="1">
        <w:r w:rsidRPr="00C63713">
          <w:rPr>
            <w:rStyle w:val="Hyperlink"/>
          </w:rPr>
          <w:t>2.3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C63713">
          <w:rPr>
            <w:rStyle w:val="Hyperlink"/>
          </w:rPr>
          <w:t>Responsibility of Equipment Owners and the ISO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_Toc182480959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01F9DA2" w14:textId="76C42713" w:rsidR="00E372DD" w:rsidRDefault="00E372DD">
      <w:pPr>
        <w:pStyle w:val="TOC2"/>
        <w:rPr>
          <w:rFonts w:asciiTheme="minorHAnsi" w:eastAsiaTheme="minorEastAsia" w:hAnsiTheme="minorHAnsi" w:cstheme="minorBidi"/>
          <w:kern w:val="2"/>
          <w:szCs w:val="24"/>
          <w14:ligatures w14:val="standardContextual"/>
        </w:rPr>
      </w:pPr>
      <w:hyperlink w:anchor="_Toc182480990" w:history="1">
        <w:r w:rsidRPr="00C63713">
          <w:rPr>
            <w:rStyle w:val="Hyperlink"/>
          </w:rPr>
          <w:t>2.4</w:t>
        </w:r>
        <w:r>
          <w:rPr>
            <w:rFonts w:asciiTheme="minorHAnsi" w:eastAsiaTheme="minorEastAsia" w:hAnsiTheme="minorHAnsi" w:cstheme="minorBidi"/>
            <w:kern w:val="2"/>
            <w:szCs w:val="24"/>
            <w14:ligatures w14:val="standardContextual"/>
          </w:rPr>
          <w:tab/>
        </w:r>
        <w:r w:rsidRPr="00C63713">
          <w:rPr>
            <w:rStyle w:val="Hyperlink"/>
          </w:rPr>
          <w:t>Temporary Ratings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_Toc182480990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7EF2C51" w14:textId="536E2B99" w:rsidR="00E372DD" w:rsidRDefault="00E372DD">
      <w:pPr>
        <w:pStyle w:val="TOC1"/>
        <w:rPr>
          <w:rFonts w:asciiTheme="minorHAnsi" w:eastAsiaTheme="minorEastAsia" w:hAnsiTheme="minorHAnsi" w:cstheme="minorBidi"/>
          <w:b w:val="0"/>
          <w:kern w:val="2"/>
          <w:sz w:val="24"/>
          <w:szCs w:val="24"/>
          <w14:ligatures w14:val="standardContextual"/>
        </w:rPr>
      </w:pPr>
      <w:hyperlink w:anchor="_Toc182481015" w:history="1">
        <w:r w:rsidRPr="00C63713">
          <w:rPr>
            <w:rStyle w:val="Hyperlink"/>
          </w:rPr>
          <w:t>3.0 Document Revision History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_Toc182481015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C9B8EE8" w14:textId="77777777" w:rsidR="005447C1" w:rsidRDefault="005447C1">
      <w:pPr>
        <w:rPr>
          <w:caps/>
          <w:smallCaps/>
          <w:noProof/>
          <w:sz w:val="22"/>
          <w:szCs w:val="32"/>
        </w:rPr>
      </w:pPr>
      <w:r>
        <w:rPr>
          <w:caps/>
          <w:smallCaps/>
          <w:noProof/>
          <w:sz w:val="22"/>
          <w:szCs w:val="32"/>
        </w:rPr>
        <w:fldChar w:fldCharType="end"/>
      </w:r>
    </w:p>
    <w:p w14:paraId="16C62E47" w14:textId="77777777" w:rsidR="005447C1" w:rsidRDefault="005447C1">
      <w:pPr>
        <w:sectPr w:rsidR="005447C1" w:rsidSect="00FB58B5">
          <w:footnotePr>
            <w:numRestart w:val="eachSect"/>
          </w:footnotePr>
          <w:pgSz w:w="12240" w:h="15840" w:code="1"/>
          <w:pgMar w:top="1728" w:right="1440" w:bottom="1584" w:left="1440" w:header="720" w:footer="720" w:gutter="0"/>
          <w:paperSrc w:first="22528" w:other="22528"/>
          <w:pgNumType w:fmt="lowerRoman" w:start="1"/>
          <w:cols w:space="720"/>
          <w:noEndnote/>
        </w:sectPr>
      </w:pPr>
    </w:p>
    <w:p w14:paraId="4BEA2505" w14:textId="77777777" w:rsidR="005447C1" w:rsidRDefault="005447C1" w:rsidP="005447C1">
      <w:pPr>
        <w:pStyle w:val="Heading1"/>
      </w:pPr>
      <w:bookmarkStart w:id="2" w:name="_Toc133653466"/>
      <w:bookmarkStart w:id="3" w:name="_Toc182480951"/>
      <w:r>
        <w:lastRenderedPageBreak/>
        <w:t>Introduction</w:t>
      </w:r>
      <w:bookmarkEnd w:id="2"/>
      <w:bookmarkEnd w:id="3"/>
    </w:p>
    <w:p w14:paraId="709B18BD" w14:textId="5D1F5D5D" w:rsidR="00F13416" w:rsidRDefault="00F13416" w:rsidP="00F13416">
      <w:pPr>
        <w:pStyle w:val="BodyText"/>
      </w:pPr>
      <w:r>
        <w:t xml:space="preserve">In support of Attachment Q of the Open Access Transmission Tariff (Attachment Q) and ISO New England Operating Procedure No. 16 – Transmission System Data (OP-16), this ISO New England Planning Procedure No. 7 – ISO New England Procedure for Determining and Implementing Transmission Facility Ratings in New England (PP7 or Procedure) </w:t>
      </w:r>
      <w:r w:rsidRPr="000949A2">
        <w:t>describes the provisions for the</w:t>
      </w:r>
      <w:r w:rsidR="00BE102D">
        <w:t xml:space="preserve"> determination of transmission facility</w:t>
      </w:r>
      <w:r w:rsidRPr="000949A2">
        <w:t xml:space="preserve"> ratings</w:t>
      </w:r>
      <w:r>
        <w:t xml:space="preserve"> </w:t>
      </w:r>
      <w:r w:rsidR="00BE102D">
        <w:t xml:space="preserve">by Market Participants and submittal and review of </w:t>
      </w:r>
      <w:r w:rsidR="003D330B">
        <w:t xml:space="preserve">Equipment Owner-specific </w:t>
      </w:r>
      <w:r w:rsidR="00BE102D">
        <w:t>transmission facility ratings methodologies</w:t>
      </w:r>
      <w:r>
        <w:rPr>
          <w:rStyle w:val="FootnoteReference"/>
        </w:rPr>
        <w:footnoteReference w:id="1"/>
      </w:r>
      <w:r>
        <w:t xml:space="preserve">. </w:t>
      </w:r>
    </w:p>
    <w:p w14:paraId="6D7BB65F" w14:textId="007A007B" w:rsidR="005447C1" w:rsidRDefault="005447C1" w:rsidP="004B5BC5">
      <w:pPr>
        <w:pStyle w:val="BodyText"/>
      </w:pPr>
      <w:r>
        <w:t>Th</w:t>
      </w:r>
      <w:r w:rsidR="00F13416">
        <w:t xml:space="preserve">is Procedure </w:t>
      </w:r>
      <w:r>
        <w:t>describe</w:t>
      </w:r>
      <w:r w:rsidR="00F13416">
        <w:t>s</w:t>
      </w:r>
      <w:r w:rsidR="002D5AB5">
        <w:t xml:space="preserve"> the</w:t>
      </w:r>
      <w:r>
        <w:t xml:space="preserve"> </w:t>
      </w:r>
      <w:r w:rsidR="003D330B">
        <w:t xml:space="preserve">required </w:t>
      </w:r>
      <w:r w:rsidR="009D3E17">
        <w:t>s</w:t>
      </w:r>
      <w:r w:rsidR="008537A0">
        <w:t>easonal</w:t>
      </w:r>
      <w:r w:rsidR="0008593C">
        <w:rPr>
          <w:rStyle w:val="FootnoteReference"/>
        </w:rPr>
        <w:footnoteReference w:id="2"/>
      </w:r>
      <w:r w:rsidR="008537A0">
        <w:t xml:space="preserve"> </w:t>
      </w:r>
      <w:r w:rsidR="003D330B">
        <w:t xml:space="preserve">time periods and temperatures along with study case conditions for calculation of ratings </w:t>
      </w:r>
      <w:r>
        <w:t xml:space="preserve">for transmission </w:t>
      </w:r>
      <w:r w:rsidR="0074476F">
        <w:t xml:space="preserve">facilities </w:t>
      </w:r>
      <w:r w:rsidR="00DE66BC">
        <w:t xml:space="preserve">for which the </w:t>
      </w:r>
      <w:r w:rsidR="00F13416">
        <w:t xml:space="preserve">Market </w:t>
      </w:r>
      <w:r w:rsidR="00DE66BC">
        <w:t>Participant is required to provide data to ISO</w:t>
      </w:r>
      <w:r w:rsidR="00F13416">
        <w:t>,</w:t>
      </w:r>
      <w:r w:rsidR="00DE66BC">
        <w:t xml:space="preserve"> as </w:t>
      </w:r>
      <w:r w:rsidR="00F13416">
        <w:t>described</w:t>
      </w:r>
      <w:r w:rsidR="00DE66BC">
        <w:t xml:space="preserve"> in </w:t>
      </w:r>
      <w:r w:rsidR="00F13416">
        <w:t>OP-16.</w:t>
      </w:r>
    </w:p>
    <w:p w14:paraId="3E1056BE" w14:textId="22C79034" w:rsidR="005447C1" w:rsidRDefault="005447C1" w:rsidP="005447C1">
      <w:pPr>
        <w:pStyle w:val="BodyText"/>
      </w:pPr>
      <w:r>
        <w:t xml:space="preserve">The Market Participants and the ISO are responsible for collaborating in the development of </w:t>
      </w:r>
      <w:r w:rsidR="002D5AB5">
        <w:t>the transmission facility ratings methodologies described in this Procedure</w:t>
      </w:r>
      <w:r>
        <w:t>.</w:t>
      </w:r>
    </w:p>
    <w:p w14:paraId="109FB519" w14:textId="52AD1F54" w:rsidR="005447C1" w:rsidRDefault="008E4FB4" w:rsidP="005447C1">
      <w:pPr>
        <w:pStyle w:val="BodyText"/>
      </w:pPr>
      <w:r>
        <w:t>A</w:t>
      </w:r>
      <w:r w:rsidR="00A444FE">
        <w:t xml:space="preserve"> </w:t>
      </w:r>
      <w:r w:rsidR="000D770E">
        <w:t xml:space="preserve">Market Participant </w:t>
      </w:r>
      <w:r w:rsidR="00A444FE">
        <w:t xml:space="preserve">is </w:t>
      </w:r>
      <w:r w:rsidR="003B4E7F">
        <w:t xml:space="preserve">an entity that </w:t>
      </w:r>
      <w:r w:rsidR="003D330B">
        <w:t>is</w:t>
      </w:r>
      <w:r w:rsidR="00715F37">
        <w:t xml:space="preserve"> </w:t>
      </w:r>
      <w:r w:rsidR="005447C1">
        <w:t>require</w:t>
      </w:r>
      <w:r w:rsidR="00715F37">
        <w:t>d</w:t>
      </w:r>
      <w:r w:rsidR="005447C1">
        <w:t xml:space="preserve"> </w:t>
      </w:r>
      <w:r w:rsidR="00715F37">
        <w:t>to report transmission facility ratings to the ISO</w:t>
      </w:r>
      <w:r w:rsidR="00715F37">
        <w:rPr>
          <w:rStyle w:val="FootnoteReference"/>
        </w:rPr>
        <w:footnoteReference w:id="3"/>
      </w:r>
      <w:r w:rsidR="00715F37">
        <w:t>.</w:t>
      </w:r>
    </w:p>
    <w:p w14:paraId="59F33235" w14:textId="3F256F08" w:rsidR="005447C1" w:rsidRDefault="004F48D2" w:rsidP="005447C1">
      <w:pPr>
        <w:pStyle w:val="BodyText"/>
      </w:pPr>
      <w:r>
        <w:t xml:space="preserve">Pursuant to </w:t>
      </w:r>
      <w:r w:rsidR="003D330B">
        <w:t>Attachment Q,</w:t>
      </w:r>
      <w:r>
        <w:t xml:space="preserve"> ISO and the </w:t>
      </w:r>
      <w:r w:rsidR="003D330B">
        <w:t>Equipment Owner</w:t>
      </w:r>
      <w:r w:rsidR="000D770E">
        <w:t xml:space="preserve">s </w:t>
      </w:r>
      <w:r>
        <w:t>shall implement</w:t>
      </w:r>
      <w:r w:rsidR="00623324">
        <w:t xml:space="preserve"> Ambient-Adjusted Ratings (AAR) on the transmission equipment that makes up a transmission line.  These AAR ratings will not be used for transmission planning and </w:t>
      </w:r>
      <w:r>
        <w:t xml:space="preserve">will be utilized as described in the ISO Tariff.  </w:t>
      </w:r>
      <w:r w:rsidR="005631BF">
        <w:t xml:space="preserve">  </w:t>
      </w:r>
    </w:p>
    <w:p w14:paraId="61DA08F2" w14:textId="77777777" w:rsidR="005447C1" w:rsidRDefault="00632E89" w:rsidP="005447C1">
      <w:pPr>
        <w:pStyle w:val="Heading1"/>
        <w:spacing w:before="120"/>
      </w:pPr>
      <w:bookmarkStart w:id="4" w:name="_Toc133653467"/>
      <w:bookmarkStart w:id="5" w:name="_Toc182480952"/>
      <w:r>
        <w:t>Transmission Facility</w:t>
      </w:r>
      <w:r w:rsidR="005447C1">
        <w:t xml:space="preserve"> Rating Procedures</w:t>
      </w:r>
      <w:bookmarkEnd w:id="4"/>
      <w:r w:rsidR="005447C1">
        <w:t xml:space="preserve"> </w:t>
      </w:r>
      <w:r w:rsidR="00100BF2">
        <w:t>(or Methodology)</w:t>
      </w:r>
      <w:bookmarkEnd w:id="5"/>
    </w:p>
    <w:p w14:paraId="04962920" w14:textId="77777777" w:rsidR="00632E89" w:rsidRDefault="00632E89" w:rsidP="00632E89"/>
    <w:p w14:paraId="0FB451BF" w14:textId="0BB0FE98" w:rsidR="00632E89" w:rsidRDefault="007B5257" w:rsidP="00632E89">
      <w:pPr>
        <w:pStyle w:val="BodyTextNumbering"/>
        <w:spacing w:after="120"/>
      </w:pPr>
      <w:r>
        <w:t>Market Participants</w:t>
      </w:r>
      <w:r w:rsidR="00632E89" w:rsidRPr="00632E89">
        <w:t xml:space="preserve"> shall</w:t>
      </w:r>
      <w:r w:rsidR="004C2FB2">
        <w:t xml:space="preserve">, consistent with Attachment Q, </w:t>
      </w:r>
      <w:r w:rsidR="00632E89" w:rsidRPr="00632E89">
        <w:t>utilize this Section 2</w:t>
      </w:r>
      <w:r w:rsidR="0074550B">
        <w:t>.0</w:t>
      </w:r>
      <w:r w:rsidR="00632E89" w:rsidRPr="00632E89">
        <w:t xml:space="preserve"> to determine new and revised transmission facility ratings of their transmission facilities </w:t>
      </w:r>
      <w:r w:rsidR="0074550B">
        <w:t>for which ISO requires ratings as described in OP-16.</w:t>
      </w:r>
    </w:p>
    <w:p w14:paraId="00286384" w14:textId="167C0026" w:rsidR="003977F4" w:rsidRPr="00632E89" w:rsidRDefault="003977F4" w:rsidP="00632E89">
      <w:pPr>
        <w:pStyle w:val="BodyTextNumbering"/>
        <w:spacing w:after="120"/>
      </w:pPr>
      <w:r>
        <w:t xml:space="preserve">The </w:t>
      </w:r>
      <w:r w:rsidR="00F43D4B">
        <w:t xml:space="preserve">Market Participant </w:t>
      </w:r>
      <w:r>
        <w:t xml:space="preserve">shall determine and submit the required rating for equipment using their own methodology.  The </w:t>
      </w:r>
      <w:r w:rsidR="00F43D4B">
        <w:t>Market Participant</w:t>
      </w:r>
      <w:r>
        <w:t xml:space="preserve">’s methodology shall be consistent with Attachment Q, OP-16, this Procedure, and applicable industry standards.  </w:t>
      </w:r>
      <w:r w:rsidR="003F554F">
        <w:t xml:space="preserve">Each </w:t>
      </w:r>
      <w:r w:rsidR="00F43D4B">
        <w:t xml:space="preserve">Market Participant’s </w:t>
      </w:r>
      <w:r w:rsidR="003F554F">
        <w:t>methodology shall be provided to and reviewed by ISO for consistency</w:t>
      </w:r>
      <w:r w:rsidR="009F100A">
        <w:t xml:space="preserve"> </w:t>
      </w:r>
      <w:r w:rsidR="00683DD1">
        <w:t xml:space="preserve">and </w:t>
      </w:r>
      <w:r w:rsidR="009F100A">
        <w:lastRenderedPageBreak/>
        <w:t>whenever such methodology is modified</w:t>
      </w:r>
      <w:r w:rsidR="003F554F">
        <w:t>.  Following such review, ISO shall post</w:t>
      </w:r>
      <w:r w:rsidR="009F100A">
        <w:t xml:space="preserve"> the </w:t>
      </w:r>
      <w:r w:rsidR="00F43D4B">
        <w:t xml:space="preserve">Market Participant’s </w:t>
      </w:r>
      <w:r w:rsidR="009F100A">
        <w:t xml:space="preserve">methodology to </w:t>
      </w:r>
      <w:r w:rsidR="00683DD1">
        <w:t>the ISO’s</w:t>
      </w:r>
      <w:r w:rsidR="009F100A">
        <w:t xml:space="preserve"> </w:t>
      </w:r>
      <w:r w:rsidR="00187E88">
        <w:t xml:space="preserve">public </w:t>
      </w:r>
      <w:r w:rsidR="009F100A">
        <w:t>external website</w:t>
      </w:r>
      <w:r w:rsidR="00187E88">
        <w:t>.</w:t>
      </w:r>
    </w:p>
    <w:p w14:paraId="13B0CACE" w14:textId="77777777" w:rsidR="00632E89" w:rsidRDefault="00632E89" w:rsidP="00632E89">
      <w:pPr>
        <w:pStyle w:val="BodyText"/>
        <w:spacing w:after="120"/>
      </w:pPr>
      <w:r w:rsidRPr="00632E89">
        <w:t xml:space="preserve">The rating of an overall transmission facility shall equal the rating of the most limiting individual </w:t>
      </w:r>
      <w:r w:rsidR="0075186C">
        <w:t xml:space="preserve">piece of </w:t>
      </w:r>
      <w:r w:rsidRPr="00632E89">
        <w:t>equipment</w:t>
      </w:r>
      <w:r w:rsidR="00A43515">
        <w:t xml:space="preserve">, </w:t>
      </w:r>
      <w:r w:rsidR="00A43515" w:rsidRPr="00632E89">
        <w:t>including</w:t>
      </w:r>
      <w:r w:rsidR="00A43515">
        <w:t xml:space="preserve"> but not limited to relay equipment and</w:t>
      </w:r>
      <w:r w:rsidR="00A43515" w:rsidRPr="00C63EDE">
        <w:t xml:space="preserve"> settings</w:t>
      </w:r>
      <w:r w:rsidR="00A43515">
        <w:t>,</w:t>
      </w:r>
      <w:r w:rsidRPr="00632E89">
        <w:t xml:space="preserve"> compris</w:t>
      </w:r>
      <w:r w:rsidR="0096152B">
        <w:t>ing</w:t>
      </w:r>
      <w:r w:rsidRPr="00632E89">
        <w:t xml:space="preserve"> the facility</w:t>
      </w:r>
      <w:r w:rsidRPr="00C63EDE">
        <w:t>.</w:t>
      </w:r>
    </w:p>
    <w:p w14:paraId="1CA2CB96" w14:textId="77777777" w:rsidR="005447C1" w:rsidRPr="00276F3D" w:rsidRDefault="005447C1" w:rsidP="00361B76">
      <w:pPr>
        <w:pStyle w:val="Heading2"/>
      </w:pPr>
      <w:bookmarkStart w:id="6" w:name="_Toc182480953"/>
      <w:bookmarkStart w:id="7" w:name="_Toc182480954"/>
      <w:bookmarkStart w:id="8" w:name="_Toc133653469"/>
      <w:bookmarkStart w:id="9" w:name="_Toc182480955"/>
      <w:bookmarkEnd w:id="6"/>
      <w:bookmarkEnd w:id="7"/>
      <w:r w:rsidRPr="00276F3D">
        <w:t>Transmission Equipment To Be Rated</w:t>
      </w:r>
      <w:bookmarkEnd w:id="8"/>
      <w:bookmarkEnd w:id="9"/>
    </w:p>
    <w:p w14:paraId="2C690326" w14:textId="625E0D11" w:rsidR="005447C1" w:rsidRPr="00BA4C78" w:rsidRDefault="00BC3BB2" w:rsidP="00571C56">
      <w:pPr>
        <w:pStyle w:val="BodyText"/>
        <w:spacing w:after="120"/>
      </w:pPr>
      <w:r>
        <w:t>This procedure</w:t>
      </w:r>
      <w:r w:rsidR="005447C1" w:rsidRPr="00BA4C78">
        <w:t xml:space="preserve"> establish</w:t>
      </w:r>
      <w:r>
        <w:t>es</w:t>
      </w:r>
      <w:r w:rsidR="005447C1" w:rsidRPr="00BA4C78">
        <w:t xml:space="preserve"> </w:t>
      </w:r>
      <w:r w:rsidR="00B8149B">
        <w:t xml:space="preserve">general assumptions </w:t>
      </w:r>
      <w:r w:rsidR="005447C1" w:rsidRPr="00BA4C78">
        <w:t>for rating the following components, as applicable:</w:t>
      </w:r>
    </w:p>
    <w:p w14:paraId="53AA917C" w14:textId="4D283A4A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>Conductors</w:t>
      </w:r>
    </w:p>
    <w:p w14:paraId="519C233A" w14:textId="1054D660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>Cables</w:t>
      </w:r>
    </w:p>
    <w:p w14:paraId="6E005876" w14:textId="21B0E091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>Transformers</w:t>
      </w:r>
    </w:p>
    <w:p w14:paraId="1E4E9264" w14:textId="77777777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>Series and Shunt Reactive Elements</w:t>
      </w:r>
    </w:p>
    <w:p w14:paraId="4752D2FB" w14:textId="77777777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>Circuit Breakers</w:t>
      </w:r>
    </w:p>
    <w:p w14:paraId="4F74BA0E" w14:textId="19A3DD4A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 xml:space="preserve">Switches </w:t>
      </w:r>
    </w:p>
    <w:p w14:paraId="4C1280E1" w14:textId="77777777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>Current Transformers</w:t>
      </w:r>
    </w:p>
    <w:p w14:paraId="7CE710C0" w14:textId="77777777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>Line Traps</w:t>
      </w:r>
    </w:p>
    <w:p w14:paraId="477A8DDC" w14:textId="3E6D25B7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 xml:space="preserve">Buses </w:t>
      </w:r>
    </w:p>
    <w:p w14:paraId="43A1115B" w14:textId="77777777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>Current Transformer Circuits</w:t>
      </w:r>
    </w:p>
    <w:p w14:paraId="1523A122" w14:textId="77777777" w:rsidR="005447C1" w:rsidRPr="006720DF" w:rsidRDefault="005447C1" w:rsidP="00571C56">
      <w:pPr>
        <w:spacing w:after="60"/>
        <w:ind w:left="1440"/>
        <w:rPr>
          <w:sz w:val="24"/>
        </w:rPr>
      </w:pPr>
      <w:r w:rsidRPr="006720DF">
        <w:rPr>
          <w:sz w:val="24"/>
        </w:rPr>
        <w:t>VAR Compensators</w:t>
      </w:r>
    </w:p>
    <w:p w14:paraId="12E95D5C" w14:textId="77777777" w:rsidR="005447C1" w:rsidRPr="006720DF" w:rsidRDefault="005447C1" w:rsidP="00571C56">
      <w:pPr>
        <w:spacing w:after="240"/>
        <w:ind w:left="1440"/>
        <w:rPr>
          <w:sz w:val="24"/>
        </w:rPr>
      </w:pPr>
      <w:r w:rsidRPr="006720DF">
        <w:rPr>
          <w:sz w:val="24"/>
        </w:rPr>
        <w:t>HVDC Systems</w:t>
      </w:r>
    </w:p>
    <w:p w14:paraId="6B4C955E" w14:textId="77777777" w:rsidR="005447C1" w:rsidRDefault="005447C1" w:rsidP="00361B76">
      <w:pPr>
        <w:pStyle w:val="Heading2"/>
      </w:pPr>
      <w:bookmarkStart w:id="10" w:name="_Toc182480956"/>
      <w:bookmarkStart w:id="11" w:name="_Toc133653470"/>
      <w:bookmarkStart w:id="12" w:name="_Toc182480957"/>
      <w:bookmarkEnd w:id="10"/>
      <w:r>
        <w:t>Ratings and Limits To Be Assigned</w:t>
      </w:r>
      <w:bookmarkEnd w:id="11"/>
      <w:bookmarkEnd w:id="12"/>
    </w:p>
    <w:p w14:paraId="740B1F4C" w14:textId="77777777" w:rsidR="003E2300" w:rsidRDefault="003E2300" w:rsidP="007F296B">
      <w:pPr>
        <w:pStyle w:val="Heading3"/>
      </w:pPr>
      <w:r>
        <w:t xml:space="preserve">Seasonal </w:t>
      </w:r>
      <w:r w:rsidR="00DA40BF">
        <w:t xml:space="preserve">and Study Case </w:t>
      </w:r>
      <w:r>
        <w:t>Ratings</w:t>
      </w:r>
    </w:p>
    <w:p w14:paraId="69BC9307" w14:textId="77EB8160" w:rsidR="003E2300" w:rsidRDefault="00721CA0" w:rsidP="003E2300">
      <w:pPr>
        <w:pStyle w:val="BodyText"/>
        <w:spacing w:after="120"/>
      </w:pPr>
      <w:r>
        <w:t>Market Participants</w:t>
      </w:r>
      <w:r w:rsidR="003E2300">
        <w:t xml:space="preserve"> are responsible for developing and submitting </w:t>
      </w:r>
      <w:r w:rsidR="007F296B">
        <w:t xml:space="preserve">monthly </w:t>
      </w:r>
      <w:r w:rsidR="002D0BB2">
        <w:t>s</w:t>
      </w:r>
      <w:r w:rsidR="003E2300">
        <w:t xml:space="preserve">easonal and </w:t>
      </w:r>
      <w:r w:rsidR="005B51D4">
        <w:t>s</w:t>
      </w:r>
      <w:r w:rsidR="003E2300">
        <w:t xml:space="preserve">tudy </w:t>
      </w:r>
      <w:r w:rsidR="005B51D4">
        <w:t>c</w:t>
      </w:r>
      <w:r w:rsidR="003E2300">
        <w:t xml:space="preserve">ase </w:t>
      </w:r>
      <w:r w:rsidR="005B51D4">
        <w:t>r</w:t>
      </w:r>
      <w:r w:rsidR="003E2300">
        <w:t xml:space="preserve">atings for </w:t>
      </w:r>
      <w:r w:rsidR="005B51D4">
        <w:t>t</w:t>
      </w:r>
      <w:r w:rsidR="003E2300">
        <w:t xml:space="preserve">ransmission </w:t>
      </w:r>
      <w:r w:rsidR="002D0BB2">
        <w:t>f</w:t>
      </w:r>
      <w:r w:rsidR="003E2300">
        <w:t xml:space="preserve">acilities.  Seasonal Ratings include Normal, LTE, STE, and DAL ratings for a </w:t>
      </w:r>
      <w:r w:rsidR="004B5BC5">
        <w:t>t</w:t>
      </w:r>
      <w:r w:rsidR="003E2300">
        <w:t xml:space="preserve">ransmission </w:t>
      </w:r>
      <w:r w:rsidR="004B5BC5">
        <w:t>f</w:t>
      </w:r>
      <w:r w:rsidR="003E2300">
        <w:t xml:space="preserve">acility for each of the </w:t>
      </w:r>
      <w:r w:rsidR="00D87F1F">
        <w:t>defined s</w:t>
      </w:r>
      <w:r w:rsidR="003E2300">
        <w:t>easons</w:t>
      </w:r>
      <w:r w:rsidR="00D87F1F">
        <w:t>,</w:t>
      </w:r>
      <w:r w:rsidR="003E2300">
        <w:t xml:space="preserve"> as determined through the annual seasonal assumption calculation process.  Study Case Ratings include Normal, LTE, STE, and DAL ratings for a </w:t>
      </w:r>
      <w:r w:rsidR="004B5BC5">
        <w:t>t</w:t>
      </w:r>
      <w:r w:rsidR="003E2300">
        <w:t xml:space="preserve">ransmission </w:t>
      </w:r>
      <w:r w:rsidR="004B5BC5">
        <w:t>f</w:t>
      </w:r>
      <w:r w:rsidR="003E2300">
        <w:t>acility for each required Study Case set of assumptions as defined by the ISO.</w:t>
      </w:r>
    </w:p>
    <w:p w14:paraId="02616D75" w14:textId="77777777" w:rsidR="003E2300" w:rsidRDefault="003E2300" w:rsidP="003E2300"/>
    <w:p w14:paraId="6EB0C2EB" w14:textId="35693B08" w:rsidR="003E2300" w:rsidRDefault="003E2300" w:rsidP="001E024C">
      <w:pPr>
        <w:pStyle w:val="BodyText"/>
      </w:pPr>
      <w:r>
        <w:t xml:space="preserve">The </w:t>
      </w:r>
      <w:r w:rsidR="002D0BB2">
        <w:t>s</w:t>
      </w:r>
      <w:r w:rsidR="00C01C21">
        <w:t xml:space="preserve">easonal and </w:t>
      </w:r>
      <w:r w:rsidR="002D0BB2">
        <w:t>s</w:t>
      </w:r>
      <w:r w:rsidR="00C01C21">
        <w:t xml:space="preserve">tudy </w:t>
      </w:r>
      <w:r w:rsidR="002D0BB2">
        <w:t>c</w:t>
      </w:r>
      <w:r w:rsidR="00C01C21">
        <w:t>ase</w:t>
      </w:r>
      <w:r>
        <w:t xml:space="preserve"> ratings are determined using the input assumptions of Appendix A, General Rating Parameters</w:t>
      </w:r>
      <w:r w:rsidR="006263A9">
        <w:t xml:space="preserve"> </w:t>
      </w:r>
      <w:r w:rsidR="00472C1D">
        <w:t>for</w:t>
      </w:r>
      <w:r w:rsidR="00ED16E5">
        <w:t xml:space="preserve"> Seasonal and Study Case Ratings</w:t>
      </w:r>
      <w:r w:rsidR="00B8149B">
        <w:t>.</w:t>
      </w:r>
      <w:r w:rsidR="00CF77D4">
        <w:t xml:space="preserve"> </w:t>
      </w:r>
      <w:r>
        <w:t>These assumptions are recalculated at least annually using up-to-date historical weather data</w:t>
      </w:r>
      <w:r w:rsidR="0075186C">
        <w:t>. T</w:t>
      </w:r>
      <w:r>
        <w:t>he input assumptions shall</w:t>
      </w:r>
      <w:r w:rsidR="001E6D1D">
        <w:t xml:space="preserve"> </w:t>
      </w:r>
      <w:r>
        <w:t xml:space="preserve">be updated to reflect that weather data. </w:t>
      </w:r>
      <w:r w:rsidR="00721CA0">
        <w:t>Market Participant</w:t>
      </w:r>
      <w:r w:rsidR="00E9003B">
        <w:t xml:space="preserve"> </w:t>
      </w:r>
      <w:r>
        <w:t xml:space="preserve">shall recalculate the </w:t>
      </w:r>
      <w:r w:rsidR="009D3E17">
        <w:t>s</w:t>
      </w:r>
      <w:r>
        <w:t xml:space="preserve">easonal </w:t>
      </w:r>
      <w:r w:rsidR="009D3E17">
        <w:t>r</w:t>
      </w:r>
      <w:r>
        <w:t xml:space="preserve">atings </w:t>
      </w:r>
      <w:r w:rsidR="0075186C">
        <w:t xml:space="preserve">for a </w:t>
      </w:r>
      <w:r w:rsidR="004B5BC5">
        <w:t>t</w:t>
      </w:r>
      <w:r w:rsidR="0075186C">
        <w:t xml:space="preserve">ransmission </w:t>
      </w:r>
      <w:r w:rsidR="004B5BC5">
        <w:t>f</w:t>
      </w:r>
      <w:r w:rsidR="0075186C">
        <w:t xml:space="preserve">acility </w:t>
      </w:r>
      <w:r>
        <w:t>at least annuall</w:t>
      </w:r>
      <w:r w:rsidR="001E6D1D">
        <w:t>y,</w:t>
      </w:r>
      <w:r w:rsidR="00712D89">
        <w:t xml:space="preserve"> </w:t>
      </w:r>
      <w:r>
        <w:t xml:space="preserve">whenever the input assumptions are </w:t>
      </w:r>
      <w:proofErr w:type="gramStart"/>
      <w:r>
        <w:lastRenderedPageBreak/>
        <w:t>modified</w:t>
      </w:r>
      <w:proofErr w:type="gramEnd"/>
      <w:r w:rsidR="001E6D1D">
        <w:t xml:space="preserve"> or the Market Participants methodologies are modified</w:t>
      </w:r>
      <w:r>
        <w:t xml:space="preserve">.  </w:t>
      </w:r>
      <w:r w:rsidR="00E9003B">
        <w:t xml:space="preserve">Market Participants </w:t>
      </w:r>
      <w:r w:rsidR="001E6D1D">
        <w:t xml:space="preserve">shall recalculate the </w:t>
      </w:r>
      <w:r w:rsidR="00E9003B">
        <w:t>s</w:t>
      </w:r>
      <w:r w:rsidR="001E6D1D">
        <w:t xml:space="preserve">tudy </w:t>
      </w:r>
      <w:r w:rsidR="00E9003B">
        <w:t>c</w:t>
      </w:r>
      <w:r w:rsidR="001E6D1D">
        <w:t xml:space="preserve">ase </w:t>
      </w:r>
      <w:r w:rsidR="00E9003B">
        <w:t>r</w:t>
      </w:r>
      <w:r w:rsidR="001E6D1D">
        <w:t xml:space="preserve">atings for a transmission facility whenever the input assumptions are </w:t>
      </w:r>
      <w:proofErr w:type="gramStart"/>
      <w:r w:rsidR="001E6D1D">
        <w:t>modified</w:t>
      </w:r>
      <w:proofErr w:type="gramEnd"/>
      <w:r w:rsidR="001E6D1D">
        <w:t xml:space="preserve"> or the Market Participants methodologies are modified.  </w:t>
      </w:r>
    </w:p>
    <w:p w14:paraId="49E47C4D" w14:textId="77777777" w:rsidR="003E2300" w:rsidRDefault="003E2300" w:rsidP="007F296B">
      <w:pPr>
        <w:pStyle w:val="Heading3"/>
      </w:pPr>
      <w:r>
        <w:t>Ambient-Adjusted Ratings</w:t>
      </w:r>
    </w:p>
    <w:p w14:paraId="5966BC51" w14:textId="5201DB07" w:rsidR="00356FB0" w:rsidRDefault="003E2300" w:rsidP="003E2300">
      <w:pPr>
        <w:pStyle w:val="BodyText"/>
      </w:pPr>
      <w:r>
        <w:t>Ambient-Adjusted Ratings shall, consistent with Attachment Q, be ca</w:t>
      </w:r>
      <w:r w:rsidR="007D568D">
        <w:t>lculated at least hourly for a transmission f</w:t>
      </w:r>
      <w:r>
        <w:t xml:space="preserve">acility that is not excepted from Ambient-Adjusted Ratings pursuant to Attachment Q.  Ambient-Adjusted Ratings must be </w:t>
      </w:r>
      <w:r w:rsidR="007A6C90">
        <w:t>valid for at least</w:t>
      </w:r>
      <w:r w:rsidR="00D87F1F">
        <w:t>, but not limited to,</w:t>
      </w:r>
      <w:r w:rsidR="007A6C90">
        <w:t xml:space="preserve"> the range of historical temperatures plus or minus a margin of ten degrees Fahrenheit (e.g., if the historical actual temperatures range from -30F to 107F</w:t>
      </w:r>
      <w:r w:rsidR="006438C2">
        <w:t>, then a valid Ambient-Adjusted Rating must be available for the temperature range from -40F to 117F).</w:t>
      </w:r>
      <w:r>
        <w:t xml:space="preserve">  </w:t>
      </w:r>
    </w:p>
    <w:p w14:paraId="7D52A72B" w14:textId="77777777" w:rsidR="00F45F7D" w:rsidRDefault="00F45F7D" w:rsidP="00F45F7D">
      <w:pPr>
        <w:pStyle w:val="Heading3"/>
      </w:pPr>
      <w:r>
        <w:t>Determination of Normal Ratings and Emergency Ratings:</w:t>
      </w:r>
    </w:p>
    <w:p w14:paraId="66E425D0" w14:textId="77777777" w:rsidR="00F45F7D" w:rsidRPr="00F45F7D" w:rsidRDefault="00F45F7D" w:rsidP="00F45F7D"/>
    <w:p w14:paraId="598B8CE1" w14:textId="7C06B564" w:rsidR="005447C1" w:rsidRDefault="00100718" w:rsidP="005447C1">
      <w:pPr>
        <w:pStyle w:val="BodyText"/>
      </w:pPr>
      <w:r>
        <w:t xml:space="preserve">The </w:t>
      </w:r>
      <w:r w:rsidR="005A2BC9">
        <w:t>calculation assumption</w:t>
      </w:r>
      <w:r>
        <w:t xml:space="preserve"> </w:t>
      </w:r>
      <w:proofErr w:type="gramStart"/>
      <w:r>
        <w:t>are</w:t>
      </w:r>
      <w:proofErr w:type="gramEnd"/>
      <w:r>
        <w:t xml:space="preserve"> described in Appendix A, General Rating Parameters for Seasonal </w:t>
      </w:r>
      <w:r w:rsidR="005A2BC9">
        <w:t xml:space="preserve">and </w:t>
      </w:r>
      <w:r w:rsidR="007714E0">
        <w:t>S</w:t>
      </w:r>
      <w:r w:rsidR="005A2BC9">
        <w:t xml:space="preserve">tudy </w:t>
      </w:r>
      <w:r w:rsidR="007714E0">
        <w:t>C</w:t>
      </w:r>
      <w:r w:rsidR="005A2BC9">
        <w:t xml:space="preserve">ase </w:t>
      </w:r>
      <w:r>
        <w:t>Ratings. Equipment</w:t>
      </w:r>
      <w:r w:rsidR="00C95AF4">
        <w:t xml:space="preserve"> </w:t>
      </w:r>
      <w:r>
        <w:t>specific</w:t>
      </w:r>
      <w:r w:rsidR="009B746D">
        <w:t xml:space="preserve"> guidelines</w:t>
      </w:r>
      <w:r>
        <w:t xml:space="preserve"> </w:t>
      </w:r>
      <w:r w:rsidR="009B746D">
        <w:t>are</w:t>
      </w:r>
      <w:r>
        <w:t xml:space="preserve"> described in subsequent Appendices. The</w:t>
      </w:r>
      <w:r w:rsidR="00F45F7D">
        <w:t xml:space="preserve"> </w:t>
      </w:r>
      <w:r w:rsidR="005447C1">
        <w:t xml:space="preserve">conditions in which the Normal Ratings and Emergency Ratings are applied, </w:t>
      </w:r>
      <w:r w:rsidR="005447C1" w:rsidRPr="00E43A3E">
        <w:t>actions to be taken to maintain equipment loadings within ratings and limits</w:t>
      </w:r>
      <w:r w:rsidR="00F45F7D">
        <w:t>,</w:t>
      </w:r>
      <w:r w:rsidR="005447C1">
        <w:t xml:space="preserve"> and the associated allowable durations of time associated with operation at each rating</w:t>
      </w:r>
      <w:r w:rsidR="00F45F7D">
        <w:t xml:space="preserve"> are described in OP-19</w:t>
      </w:r>
      <w:r w:rsidR="005447C1">
        <w:t xml:space="preserve">. These conditions and times must be consistent with those used to determine the corresponding ratings. Thus, </w:t>
      </w:r>
    </w:p>
    <w:p w14:paraId="59A8784A" w14:textId="5DA9D7BD" w:rsidR="005447C1" w:rsidRDefault="005447C1" w:rsidP="00100BF2">
      <w:pPr>
        <w:pStyle w:val="BodyText"/>
        <w:numPr>
          <w:ilvl w:val="0"/>
          <w:numId w:val="24"/>
        </w:numPr>
      </w:pPr>
      <w:r>
        <w:t xml:space="preserve">The </w:t>
      </w:r>
      <w:r>
        <w:rPr>
          <w:u w:val="single"/>
        </w:rPr>
        <w:t>Normal Rating</w:t>
      </w:r>
      <w:r>
        <w:t xml:space="preserve"> is the rating</w:t>
      </w:r>
      <w:r w:rsidR="00493B02">
        <w:t xml:space="preserve"> </w:t>
      </w:r>
      <w:r>
        <w:t xml:space="preserve">which will allow maximum equipment loading </w:t>
      </w:r>
      <w:r w:rsidR="00E43A3E">
        <w:t>with</w:t>
      </w:r>
      <w:r w:rsidR="00100718">
        <w:t xml:space="preserve">in the appropriate </w:t>
      </w:r>
      <w:proofErr w:type="gramStart"/>
      <w:r w:rsidR="00E43A3E">
        <w:t>time period</w:t>
      </w:r>
      <w:proofErr w:type="gramEnd"/>
      <w:r w:rsidR="00100718">
        <w:t xml:space="preserve"> </w:t>
      </w:r>
      <w:r>
        <w:t xml:space="preserve">without incurring loss of life </w:t>
      </w:r>
      <w:r w:rsidR="00493B02">
        <w:t xml:space="preserve">at </w:t>
      </w:r>
      <w:r>
        <w:t>design criteria.</w:t>
      </w:r>
      <w:r w:rsidR="00100718">
        <w:t xml:space="preserve"> No time limit applies.</w:t>
      </w:r>
      <w:r>
        <w:t xml:space="preserve"> </w:t>
      </w:r>
    </w:p>
    <w:p w14:paraId="2F1BA5F2" w14:textId="2790638C" w:rsidR="005447C1" w:rsidRDefault="005447C1" w:rsidP="00100BF2">
      <w:pPr>
        <w:pStyle w:val="BodyText"/>
        <w:numPr>
          <w:ilvl w:val="0"/>
          <w:numId w:val="24"/>
        </w:numPr>
        <w:spacing w:after="120"/>
      </w:pPr>
      <w:r>
        <w:rPr>
          <w:u w:val="single"/>
        </w:rPr>
        <w:t>Emergency Ratings</w:t>
      </w:r>
      <w:r w:rsidR="0058064C">
        <w:t xml:space="preserve"> are ratings that may be used at any time on an emergency, non-scheduled basis within appropriate time limits for </w:t>
      </w:r>
      <w:r w:rsidR="0058064C" w:rsidRPr="00E43A3E">
        <w:t xml:space="preserve">conditions </w:t>
      </w:r>
      <w:r w:rsidR="00804904">
        <w:t xml:space="preserve">as </w:t>
      </w:r>
      <w:r w:rsidR="0058064C" w:rsidRPr="00E43A3E">
        <w:t xml:space="preserve">defined </w:t>
      </w:r>
      <w:r w:rsidR="00804904">
        <w:t>in Appendix A</w:t>
      </w:r>
      <w:r w:rsidR="0058064C" w:rsidRPr="00E43A3E">
        <w:t>.</w:t>
      </w:r>
      <w:r w:rsidR="0058064C">
        <w:t xml:space="preserve"> Emergency ratings</w:t>
      </w:r>
      <w:r w:rsidR="00493B02">
        <w:t xml:space="preserve"> shall be</w:t>
      </w:r>
      <w:r w:rsidR="00AD7677">
        <w:t xml:space="preserve"> equal to or greater than</w:t>
      </w:r>
      <w:r>
        <w:t xml:space="preserve"> </w:t>
      </w:r>
      <w:r w:rsidR="0058064C">
        <w:t>N</w:t>
      </w:r>
      <w:r>
        <w:t>ormal ratings</w:t>
      </w:r>
      <w:r w:rsidR="00493B02">
        <w:t xml:space="preserve"> and may </w:t>
      </w:r>
      <w:r>
        <w:t xml:space="preserve">involve loss of life or loss of tensile strength </w:t>
      </w:r>
      <w:proofErr w:type="gramStart"/>
      <w:r>
        <w:t xml:space="preserve">in </w:t>
      </w:r>
      <w:r w:rsidRPr="00E43A3E">
        <w:t>excess of</w:t>
      </w:r>
      <w:proofErr w:type="gramEnd"/>
      <w:r w:rsidRPr="00E43A3E">
        <w:t xml:space="preserve"> </w:t>
      </w:r>
      <w:r w:rsidR="001E024C">
        <w:t xml:space="preserve">nominal </w:t>
      </w:r>
      <w:r w:rsidRPr="00E43A3E">
        <w:t>design criteria</w:t>
      </w:r>
      <w:r>
        <w:t xml:space="preserve">. </w:t>
      </w:r>
      <w:r w:rsidR="004C2FB2">
        <w:t>T</w:t>
      </w:r>
      <w:r>
        <w:t>he emergency ratings shall be calculated using the time durations</w:t>
      </w:r>
      <w:r w:rsidR="004C2FB2">
        <w:t xml:space="preserve"> as specified in OP</w:t>
      </w:r>
      <w:r w:rsidR="008D2E5C">
        <w:t>-</w:t>
      </w:r>
      <w:r w:rsidR="004C2FB2">
        <w:t>19</w:t>
      </w:r>
      <w:r>
        <w:t>.</w:t>
      </w:r>
    </w:p>
    <w:p w14:paraId="52BA0071" w14:textId="77777777" w:rsidR="005447C1" w:rsidRDefault="00E70064" w:rsidP="005447C1">
      <w:pPr>
        <w:pStyle w:val="Heading3"/>
      </w:pPr>
      <w:bookmarkStart w:id="13" w:name="_Toc84745730"/>
      <w:r>
        <w:t xml:space="preserve">Determination </w:t>
      </w:r>
      <w:r w:rsidR="005447C1">
        <w:t>of Drastic Action Limits</w:t>
      </w:r>
      <w:bookmarkEnd w:id="13"/>
      <w:r w:rsidR="005447C1">
        <w:t>:</w:t>
      </w:r>
    </w:p>
    <w:p w14:paraId="64C951C9" w14:textId="53A8BDC1" w:rsidR="00717EE7" w:rsidRDefault="00E70064" w:rsidP="0099666A">
      <w:pPr>
        <w:pStyle w:val="APPXHeading4"/>
        <w:tabs>
          <w:tab w:val="clear" w:pos="1350"/>
          <w:tab w:val="left" w:pos="1440"/>
        </w:tabs>
        <w:spacing w:after="240"/>
      </w:pPr>
      <w:r w:rsidRPr="00485D33">
        <w:t>Drastic Action Limits</w:t>
      </w:r>
      <w:r>
        <w:t xml:space="preserve"> (DAL)</w:t>
      </w:r>
      <w:r w:rsidRPr="00E70064">
        <w:t>,</w:t>
      </w:r>
      <w:r>
        <w:t xml:space="preserve"> unlike </w:t>
      </w:r>
      <w:r w:rsidR="00517316">
        <w:t>Normal and Emergency</w:t>
      </w:r>
      <w:r>
        <w:t xml:space="preserve"> </w:t>
      </w:r>
      <w:r w:rsidR="00517316">
        <w:t>R</w:t>
      </w:r>
      <w:r>
        <w:t xml:space="preserve">atings, are limits that require </w:t>
      </w:r>
      <w:r>
        <w:rPr>
          <w:u w:val="single"/>
        </w:rPr>
        <w:t>immediate</w:t>
      </w:r>
      <w:r>
        <w:t xml:space="preserve"> action be taken to prevent damage to equipment. </w:t>
      </w:r>
      <w:r w:rsidR="005447C1">
        <w:t xml:space="preserve">For purposes of calculation, the Drastic Action Limit is defined as the current flow which would cause the circuit component to reach its </w:t>
      </w:r>
      <w:proofErr w:type="gramStart"/>
      <w:r w:rsidR="00CA7B1F">
        <w:t>Emergency</w:t>
      </w:r>
      <w:proofErr w:type="gramEnd"/>
      <w:r w:rsidR="00CA7B1F">
        <w:t xml:space="preserve"> temperature</w:t>
      </w:r>
      <w:r w:rsidR="00517316">
        <w:t>,</w:t>
      </w:r>
      <w:r w:rsidR="00472C1D">
        <w:t xml:space="preserve"> </w:t>
      </w:r>
      <w:r w:rsidR="005447C1">
        <w:t>if allowed to flow for five minutes</w:t>
      </w:r>
      <w:r w:rsidR="00790E3F">
        <w:t>.</w:t>
      </w:r>
      <w:r w:rsidR="005447C1">
        <w:t xml:space="preserve"> </w:t>
      </w:r>
    </w:p>
    <w:p w14:paraId="6C568746" w14:textId="4905FD04" w:rsidR="000B225A" w:rsidRDefault="000B225A" w:rsidP="000B225A">
      <w:pPr>
        <w:pStyle w:val="Heading2"/>
      </w:pPr>
      <w:bookmarkStart w:id="14" w:name="_Toc182480958"/>
      <w:bookmarkStart w:id="15" w:name="_Toc182480959"/>
      <w:bookmarkEnd w:id="14"/>
      <w:r>
        <w:t xml:space="preserve">Responsibility of </w:t>
      </w:r>
      <w:r w:rsidR="00457AA4">
        <w:t>Market Participants and the ISO</w:t>
      </w:r>
      <w:bookmarkEnd w:id="15"/>
    </w:p>
    <w:p w14:paraId="4E90681D" w14:textId="77777777" w:rsidR="000B225A" w:rsidRDefault="000B225A" w:rsidP="000B225A">
      <w:pPr>
        <w:ind w:left="720"/>
      </w:pPr>
    </w:p>
    <w:p w14:paraId="2C869BD1" w14:textId="0B8470AE" w:rsidR="000B225A" w:rsidRPr="008657A5" w:rsidRDefault="000B225A" w:rsidP="006F6731">
      <w:pPr>
        <w:rPr>
          <w:sz w:val="24"/>
          <w:szCs w:val="24"/>
        </w:rPr>
      </w:pPr>
      <w:r w:rsidRPr="008657A5">
        <w:rPr>
          <w:sz w:val="24"/>
        </w:rPr>
        <w:lastRenderedPageBreak/>
        <w:t xml:space="preserve">The individual </w:t>
      </w:r>
      <w:r w:rsidR="003D330B">
        <w:rPr>
          <w:sz w:val="24"/>
        </w:rPr>
        <w:t>Equipment Owner</w:t>
      </w:r>
      <w:r w:rsidRPr="008657A5">
        <w:rPr>
          <w:sz w:val="24"/>
        </w:rPr>
        <w:t xml:space="preserve"> </w:t>
      </w:r>
      <w:r w:rsidR="00817564">
        <w:rPr>
          <w:sz w:val="24"/>
        </w:rPr>
        <w:t>is</w:t>
      </w:r>
      <w:r w:rsidRPr="008657A5">
        <w:rPr>
          <w:sz w:val="24"/>
        </w:rPr>
        <w:t xml:space="preserve"> responsible for</w:t>
      </w:r>
      <w:r>
        <w:rPr>
          <w:sz w:val="24"/>
        </w:rPr>
        <w:t xml:space="preserve"> </w:t>
      </w:r>
      <w:r w:rsidR="005B7B72">
        <w:rPr>
          <w:sz w:val="24"/>
        </w:rPr>
        <w:t>determining</w:t>
      </w:r>
      <w:r w:rsidR="00DA1773">
        <w:rPr>
          <w:sz w:val="24"/>
        </w:rPr>
        <w:t xml:space="preserve"> the applicable </w:t>
      </w:r>
      <w:r w:rsidRPr="00C4453E">
        <w:rPr>
          <w:sz w:val="24"/>
        </w:rPr>
        <w:t>ratings methodologies</w:t>
      </w:r>
      <w:r w:rsidR="00817564">
        <w:rPr>
          <w:sz w:val="24"/>
        </w:rPr>
        <w:t xml:space="preserve">. </w:t>
      </w:r>
      <w:r w:rsidR="00D40BE2">
        <w:rPr>
          <w:sz w:val="24"/>
        </w:rPr>
        <w:t>T</w:t>
      </w:r>
      <w:r w:rsidRPr="00C4453E">
        <w:rPr>
          <w:sz w:val="24"/>
        </w:rPr>
        <w:t xml:space="preserve">he </w:t>
      </w:r>
      <w:r w:rsidR="003D330B">
        <w:rPr>
          <w:sz w:val="24"/>
        </w:rPr>
        <w:t>Equipment Owner</w:t>
      </w:r>
      <w:r w:rsidRPr="00C4453E">
        <w:rPr>
          <w:sz w:val="24"/>
        </w:rPr>
        <w:t xml:space="preserve"> shall</w:t>
      </w:r>
      <w:r w:rsidR="00D40BE2">
        <w:rPr>
          <w:sz w:val="24"/>
          <w:szCs w:val="24"/>
        </w:rPr>
        <w:t xml:space="preserve"> s</w:t>
      </w:r>
      <w:r w:rsidRPr="008657A5">
        <w:rPr>
          <w:sz w:val="24"/>
          <w:szCs w:val="24"/>
        </w:rPr>
        <w:t>ubmit</w:t>
      </w:r>
      <w:r>
        <w:rPr>
          <w:sz w:val="24"/>
          <w:szCs w:val="24"/>
        </w:rPr>
        <w:t xml:space="preserve"> </w:t>
      </w:r>
      <w:r w:rsidRPr="008657A5">
        <w:rPr>
          <w:sz w:val="24"/>
          <w:szCs w:val="24"/>
        </w:rPr>
        <w:t>documentation</w:t>
      </w:r>
      <w:r>
        <w:rPr>
          <w:sz w:val="24"/>
          <w:szCs w:val="24"/>
        </w:rPr>
        <w:t xml:space="preserve"> to ISO</w:t>
      </w:r>
      <w:r w:rsidRPr="008657A5">
        <w:rPr>
          <w:sz w:val="24"/>
          <w:szCs w:val="24"/>
        </w:rPr>
        <w:t xml:space="preserve"> describing ratings methodologies</w:t>
      </w:r>
    </w:p>
    <w:p w14:paraId="03A263C9" w14:textId="77777777" w:rsidR="000B225A" w:rsidRDefault="000B225A" w:rsidP="000B225A">
      <w:pPr>
        <w:ind w:left="1080"/>
        <w:rPr>
          <w:sz w:val="24"/>
          <w:szCs w:val="24"/>
        </w:rPr>
      </w:pPr>
    </w:p>
    <w:p w14:paraId="0D8B8122" w14:textId="78103645" w:rsidR="000B225A" w:rsidRDefault="000B225A" w:rsidP="006F6731">
      <w:pPr>
        <w:pStyle w:val="BodyText"/>
      </w:pPr>
      <w:r>
        <w:t>The ISO is responsible for</w:t>
      </w:r>
      <w:r w:rsidR="003F50A6">
        <w:t xml:space="preserve"> </w:t>
      </w:r>
      <w:r w:rsidR="006F6731">
        <w:t>Posting</w:t>
      </w:r>
      <w:r>
        <w:t xml:space="preserve"> a record of documentation describing any </w:t>
      </w:r>
      <w:r w:rsidR="00D055FD">
        <w:t>Market Participant</w:t>
      </w:r>
      <w:r>
        <w:t>’s methodologies</w:t>
      </w:r>
      <w:r w:rsidR="003F50A6">
        <w:t>.</w:t>
      </w:r>
    </w:p>
    <w:p w14:paraId="5801F736" w14:textId="77777777" w:rsidR="005447C1" w:rsidRDefault="005447C1" w:rsidP="00361B76">
      <w:pPr>
        <w:pStyle w:val="Heading2"/>
      </w:pPr>
      <w:bookmarkStart w:id="16" w:name="_Toc182480960"/>
      <w:bookmarkStart w:id="17" w:name="_Toc182480961"/>
      <w:bookmarkStart w:id="18" w:name="_Toc182480962"/>
      <w:bookmarkStart w:id="19" w:name="_Toc182480963"/>
      <w:bookmarkStart w:id="20" w:name="_Toc182480964"/>
      <w:bookmarkStart w:id="21" w:name="_Toc182480965"/>
      <w:bookmarkStart w:id="22" w:name="_Toc182480966"/>
      <w:bookmarkStart w:id="23" w:name="_Toc182480967"/>
      <w:bookmarkStart w:id="24" w:name="_Toc182480968"/>
      <w:bookmarkStart w:id="25" w:name="_Toc182480969"/>
      <w:bookmarkStart w:id="26" w:name="_Toc182480970"/>
      <w:bookmarkStart w:id="27" w:name="_Toc182480971"/>
      <w:bookmarkStart w:id="28" w:name="_Toc182480972"/>
      <w:bookmarkStart w:id="29" w:name="_Toc182480973"/>
      <w:bookmarkStart w:id="30" w:name="_Toc182480974"/>
      <w:bookmarkStart w:id="31" w:name="_Toc182480975"/>
      <w:bookmarkStart w:id="32" w:name="_Toc182480976"/>
      <w:bookmarkStart w:id="33" w:name="_Toc182480977"/>
      <w:bookmarkStart w:id="34" w:name="_Toc182480978"/>
      <w:bookmarkStart w:id="35" w:name="_Toc182480979"/>
      <w:bookmarkStart w:id="36" w:name="_Toc182480980"/>
      <w:bookmarkStart w:id="37" w:name="_Toc182480981"/>
      <w:bookmarkStart w:id="38" w:name="_Toc182480982"/>
      <w:bookmarkStart w:id="39" w:name="_Toc182480983"/>
      <w:bookmarkStart w:id="40" w:name="_Toc182480984"/>
      <w:bookmarkStart w:id="41" w:name="_Toc182480985"/>
      <w:bookmarkStart w:id="42" w:name="_Toc182480986"/>
      <w:bookmarkStart w:id="43" w:name="_Toc182480987"/>
      <w:bookmarkStart w:id="44" w:name="_Toc182480988"/>
      <w:bookmarkStart w:id="45" w:name="_Toc182480989"/>
      <w:bookmarkStart w:id="46" w:name="_Toc133653473"/>
      <w:bookmarkStart w:id="47" w:name="_Toc182480990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>
        <w:t>Temporary Ratings</w:t>
      </w:r>
      <w:bookmarkEnd w:id="46"/>
      <w:bookmarkEnd w:id="47"/>
    </w:p>
    <w:p w14:paraId="5E75B718" w14:textId="7897AFD0" w:rsidR="00F577AA" w:rsidRDefault="00EB6FA1" w:rsidP="00F577AA">
      <w:pPr>
        <w:pStyle w:val="CommentText"/>
        <w:rPr>
          <w:sz w:val="24"/>
          <w:szCs w:val="24"/>
        </w:rPr>
      </w:pPr>
      <w:r>
        <w:rPr>
          <w:sz w:val="24"/>
          <w:szCs w:val="24"/>
        </w:rPr>
        <w:t>As necessary, the Market Participant shall provide ISO with temporary transmission facility r</w:t>
      </w:r>
      <w:r w:rsidR="00F577AA" w:rsidRPr="00F577AA">
        <w:rPr>
          <w:sz w:val="24"/>
          <w:szCs w:val="24"/>
        </w:rPr>
        <w:t>atings</w:t>
      </w:r>
      <w:r>
        <w:rPr>
          <w:sz w:val="24"/>
          <w:szCs w:val="24"/>
        </w:rPr>
        <w:t xml:space="preserve">, as </w:t>
      </w:r>
      <w:r w:rsidR="00F577AA" w:rsidRPr="00F577AA">
        <w:rPr>
          <w:sz w:val="24"/>
          <w:szCs w:val="24"/>
        </w:rPr>
        <w:t>de</w:t>
      </w:r>
      <w:r>
        <w:rPr>
          <w:sz w:val="24"/>
          <w:szCs w:val="24"/>
        </w:rPr>
        <w:t xml:space="preserve">scribed </w:t>
      </w:r>
      <w:r w:rsidR="00F577AA" w:rsidRPr="00F577AA">
        <w:rPr>
          <w:sz w:val="24"/>
          <w:szCs w:val="24"/>
        </w:rPr>
        <w:t>in Attachment</w:t>
      </w:r>
      <w:r w:rsidR="00BE5E40">
        <w:rPr>
          <w:sz w:val="24"/>
          <w:szCs w:val="24"/>
        </w:rPr>
        <w:t xml:space="preserve"> Q</w:t>
      </w:r>
      <w:r w:rsidR="00F577AA" w:rsidRPr="00F577AA">
        <w:rPr>
          <w:sz w:val="24"/>
          <w:szCs w:val="24"/>
        </w:rPr>
        <w:t>.</w:t>
      </w:r>
      <w:r w:rsidR="00F577AA">
        <w:rPr>
          <w:sz w:val="24"/>
          <w:szCs w:val="24"/>
        </w:rPr>
        <w:t xml:space="preserve">  </w:t>
      </w:r>
    </w:p>
    <w:p w14:paraId="1A904B77" w14:textId="77777777" w:rsidR="00551543" w:rsidRPr="00F577AA" w:rsidRDefault="00551543" w:rsidP="00F577AA">
      <w:pPr>
        <w:pStyle w:val="CommentText"/>
        <w:rPr>
          <w:sz w:val="24"/>
          <w:szCs w:val="24"/>
        </w:rPr>
      </w:pPr>
    </w:p>
    <w:p w14:paraId="441DE273" w14:textId="77777777" w:rsidR="006841AF" w:rsidRDefault="006841AF" w:rsidP="006841AF">
      <w:pPr>
        <w:pStyle w:val="Heading1"/>
        <w:numPr>
          <w:ilvl w:val="0"/>
          <w:numId w:val="5"/>
        </w:numPr>
        <w:spacing w:before="240"/>
      </w:pPr>
      <w:bookmarkStart w:id="48" w:name="_Toc182480991"/>
      <w:bookmarkStart w:id="49" w:name="_Toc182480992"/>
      <w:bookmarkStart w:id="50" w:name="_Toc182480993"/>
      <w:bookmarkStart w:id="51" w:name="_Toc182480994"/>
      <w:bookmarkStart w:id="52" w:name="_Toc182480995"/>
      <w:bookmarkStart w:id="53" w:name="_Toc182480996"/>
      <w:bookmarkStart w:id="54" w:name="_Toc182480997"/>
      <w:bookmarkStart w:id="55" w:name="_Toc182480998"/>
      <w:bookmarkStart w:id="56" w:name="_Toc182480999"/>
      <w:bookmarkStart w:id="57" w:name="_Toc182481000"/>
      <w:bookmarkStart w:id="58" w:name="_Toc182481001"/>
      <w:bookmarkStart w:id="59" w:name="_Toc182481002"/>
      <w:bookmarkStart w:id="60" w:name="_Toc182481003"/>
      <w:bookmarkStart w:id="61" w:name="_Toc182481004"/>
      <w:bookmarkStart w:id="62" w:name="_Toc182481005"/>
      <w:bookmarkStart w:id="63" w:name="_Toc182481006"/>
      <w:bookmarkStart w:id="64" w:name="_Toc182481007"/>
      <w:bookmarkStart w:id="65" w:name="_Toc182481008"/>
      <w:bookmarkStart w:id="66" w:name="_Toc182481009"/>
      <w:bookmarkStart w:id="67" w:name="_Toc182481010"/>
      <w:bookmarkStart w:id="68" w:name="_Toc182481011"/>
      <w:bookmarkStart w:id="69" w:name="_Toc182481012"/>
      <w:bookmarkStart w:id="70" w:name="_Toc182481013"/>
      <w:bookmarkStart w:id="71" w:name="_Toc182481014"/>
      <w:bookmarkStart w:id="72" w:name="_Toc531608807"/>
      <w:bookmarkStart w:id="73" w:name="_Toc531608815"/>
      <w:bookmarkStart w:id="74" w:name="_Toc531610434"/>
      <w:bookmarkStart w:id="75" w:name="_Toc83888199"/>
      <w:bookmarkStart w:id="76" w:name="_Toc182481015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r>
        <w:t>Document Revision History</w:t>
      </w:r>
      <w:bookmarkEnd w:id="74"/>
      <w:bookmarkEnd w:id="75"/>
      <w:bookmarkEnd w:id="76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5"/>
        <w:gridCol w:w="1431"/>
        <w:gridCol w:w="6234"/>
      </w:tblGrid>
      <w:tr w:rsidR="006841AF" w14:paraId="0C909D11" w14:textId="77777777" w:rsidTr="007A0449">
        <w:trPr>
          <w:jc w:val="center"/>
        </w:trPr>
        <w:tc>
          <w:tcPr>
            <w:tcW w:w="1368" w:type="dxa"/>
            <w:shd w:val="clear" w:color="auto" w:fill="auto"/>
          </w:tcPr>
          <w:p w14:paraId="498535A6" w14:textId="77777777" w:rsidR="006841AF" w:rsidRPr="000E27F3" w:rsidRDefault="006841AF" w:rsidP="007A0449">
            <w:pPr>
              <w:spacing w:line="280" w:lineRule="exact"/>
            </w:pPr>
            <w:r>
              <w:t>Revision No.</w:t>
            </w:r>
          </w:p>
        </w:tc>
        <w:tc>
          <w:tcPr>
            <w:tcW w:w="1440" w:type="dxa"/>
            <w:shd w:val="clear" w:color="auto" w:fill="auto"/>
          </w:tcPr>
          <w:p w14:paraId="1667F7A0" w14:textId="77777777" w:rsidR="006841AF" w:rsidRPr="000E27F3" w:rsidRDefault="006841AF" w:rsidP="007A0449">
            <w:pPr>
              <w:spacing w:line="280" w:lineRule="exact"/>
            </w:pPr>
            <w:r>
              <w:t>Revision Date</w:t>
            </w:r>
          </w:p>
        </w:tc>
        <w:tc>
          <w:tcPr>
            <w:tcW w:w="6768" w:type="dxa"/>
            <w:shd w:val="clear" w:color="auto" w:fill="auto"/>
          </w:tcPr>
          <w:p w14:paraId="2D937231" w14:textId="77777777" w:rsidR="006841AF" w:rsidRPr="000E27F3" w:rsidRDefault="006841AF" w:rsidP="007A0449">
            <w:pPr>
              <w:spacing w:line="280" w:lineRule="exact"/>
            </w:pPr>
            <w:r>
              <w:t>Revision Description</w:t>
            </w:r>
          </w:p>
        </w:tc>
      </w:tr>
      <w:tr w:rsidR="006841AF" w14:paraId="357257AD" w14:textId="77777777" w:rsidTr="007A0449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22E651CB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Rev. 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8DCB08F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8/31/05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456E59A8" w14:textId="77777777" w:rsidR="006841AF" w:rsidRPr="000E27F3" w:rsidRDefault="006841AF" w:rsidP="007A0449">
            <w:pPr>
              <w:spacing w:line="280" w:lineRule="exact"/>
            </w:pPr>
            <w:r>
              <w:t>Original document</w:t>
            </w:r>
          </w:p>
        </w:tc>
      </w:tr>
      <w:tr w:rsidR="006841AF" w14:paraId="25DBCBF7" w14:textId="77777777" w:rsidTr="007A0449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7E9A52EC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Rev. 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6C2817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4/11/06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2D4AB3AD" w14:textId="77777777" w:rsidR="006841AF" w:rsidRPr="000E27F3" w:rsidRDefault="006841AF" w:rsidP="007A0449">
            <w:pPr>
              <w:spacing w:line="280" w:lineRule="exact"/>
            </w:pPr>
            <w:r>
              <w:t>Editorial changes to maintain consistency with Appendices</w:t>
            </w:r>
          </w:p>
        </w:tc>
      </w:tr>
      <w:tr w:rsidR="006841AF" w14:paraId="285938F6" w14:textId="77777777" w:rsidTr="007A0449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7C2C9915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Rev. 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5F9B4B9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2/14/07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679709A0" w14:textId="77777777" w:rsidR="006841AF" w:rsidRPr="000E27F3" w:rsidRDefault="006841AF" w:rsidP="007A0449">
            <w:pPr>
              <w:spacing w:line="280" w:lineRule="exact"/>
            </w:pPr>
            <w:r w:rsidRPr="000E27F3">
              <w:rPr>
                <w:color w:val="000000"/>
              </w:rPr>
              <w:t>Sections 2.4</w:t>
            </w:r>
            <w:r>
              <w:t xml:space="preserve"> and 2.5 modified to conform with NERC Standard FAC-008-1</w:t>
            </w:r>
          </w:p>
        </w:tc>
      </w:tr>
      <w:tr w:rsidR="006841AF" w14:paraId="3AC462EA" w14:textId="77777777" w:rsidTr="007A0449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01EAF62F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Rev. 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DF3211F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8/10/10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634A7702" w14:textId="77777777" w:rsidR="006841AF" w:rsidRPr="000E27F3" w:rsidRDefault="006841AF" w:rsidP="007A0449">
            <w:pPr>
              <w:spacing w:line="280" w:lineRule="exact"/>
            </w:pPr>
            <w:r>
              <w:t>Update on entire Planning Procedure to conform with new IEEE standards and NERC Standard FAC-008-2</w:t>
            </w:r>
          </w:p>
        </w:tc>
      </w:tr>
      <w:tr w:rsidR="006841AF" w14:paraId="27D871B8" w14:textId="77777777" w:rsidTr="007A0449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1B138706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Rev. 4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72FA6C1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11/7/2014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5A1D0F15" w14:textId="77777777" w:rsidR="006841AF" w:rsidRPr="000E27F3" w:rsidRDefault="006841AF" w:rsidP="007A0449">
            <w:pPr>
              <w:spacing w:line="280" w:lineRule="exact"/>
            </w:pPr>
            <w:r>
              <w:t>Document body cleanup</w:t>
            </w:r>
          </w:p>
        </w:tc>
      </w:tr>
      <w:tr w:rsidR="006841AF" w14:paraId="46CFA0FA" w14:textId="77777777" w:rsidTr="007A0449">
        <w:trPr>
          <w:jc w:val="center"/>
        </w:trPr>
        <w:tc>
          <w:tcPr>
            <w:tcW w:w="1368" w:type="dxa"/>
            <w:shd w:val="clear" w:color="auto" w:fill="auto"/>
            <w:vAlign w:val="center"/>
          </w:tcPr>
          <w:p w14:paraId="358F788F" w14:textId="77777777" w:rsidR="006841AF" w:rsidRPr="000E27F3" w:rsidRDefault="006841AF" w:rsidP="007A0449">
            <w:pPr>
              <w:spacing w:line="280" w:lineRule="exact"/>
              <w:jc w:val="center"/>
            </w:pPr>
            <w:r>
              <w:t>Rev. 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10E22F" w14:textId="0E85B0EC" w:rsidR="006841AF" w:rsidRPr="000E27F3" w:rsidRDefault="006841AF" w:rsidP="00A37AB0">
            <w:pPr>
              <w:spacing w:line="280" w:lineRule="exact"/>
              <w:jc w:val="center"/>
            </w:pPr>
            <w:r w:rsidRPr="009D4657">
              <w:rPr>
                <w:highlight w:val="yellow"/>
              </w:rPr>
              <w:t>XX/XX/20</w:t>
            </w:r>
            <w:r w:rsidR="00A37AB0">
              <w:rPr>
                <w:highlight w:val="yellow"/>
              </w:rPr>
              <w:t>2</w:t>
            </w:r>
            <w:r w:rsidR="00B278E3">
              <w:rPr>
                <w:highlight w:val="yellow"/>
              </w:rPr>
              <w:t>X</w:t>
            </w:r>
          </w:p>
        </w:tc>
        <w:tc>
          <w:tcPr>
            <w:tcW w:w="6768" w:type="dxa"/>
            <w:shd w:val="clear" w:color="auto" w:fill="auto"/>
            <w:vAlign w:val="center"/>
          </w:tcPr>
          <w:p w14:paraId="0EC215EB" w14:textId="77777777" w:rsidR="006841AF" w:rsidRPr="000E27F3" w:rsidRDefault="006841AF" w:rsidP="007A0449">
            <w:pPr>
              <w:spacing w:line="280" w:lineRule="exact"/>
            </w:pPr>
            <w:r>
              <w:t>Update and reorganization of entire document</w:t>
            </w:r>
            <w:r w:rsidR="00A37AB0">
              <w:t xml:space="preserve"> and updated for FERC Order No. 881</w:t>
            </w:r>
          </w:p>
        </w:tc>
      </w:tr>
    </w:tbl>
    <w:p w14:paraId="265F7109" w14:textId="77777777" w:rsidR="005447C1" w:rsidRDefault="005447C1" w:rsidP="005447C1">
      <w:pPr>
        <w:pStyle w:val="BodyText2"/>
        <w:ind w:hanging="720"/>
        <w:rPr>
          <w:sz w:val="20"/>
        </w:rPr>
      </w:pPr>
    </w:p>
    <w:bookmarkEnd w:id="1"/>
    <w:p w14:paraId="3680346C" w14:textId="77777777" w:rsidR="00100BF2" w:rsidRDefault="00100BF2" w:rsidP="005447C1"/>
    <w:sectPr w:rsidR="00100BF2" w:rsidSect="00FB58B5">
      <w:footerReference w:type="default" r:id="rId10"/>
      <w:footnotePr>
        <w:numRestart w:val="eachSect"/>
      </w:footnotePr>
      <w:pgSz w:w="12240" w:h="15840" w:code="1"/>
      <w:pgMar w:top="1728" w:right="1440" w:bottom="1584" w:left="1800" w:header="720" w:footer="720" w:gutter="0"/>
      <w:paperSrc w:first="22528" w:other="22528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930E1" w14:textId="77777777" w:rsidR="00C71EC2" w:rsidRDefault="00C71EC2">
      <w:r>
        <w:separator/>
      </w:r>
    </w:p>
  </w:endnote>
  <w:endnote w:type="continuationSeparator" w:id="0">
    <w:p w14:paraId="0006CE88" w14:textId="77777777" w:rsidR="00C71EC2" w:rsidRDefault="00C71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5EED3" w14:textId="128A2461" w:rsidR="00054EF4" w:rsidRDefault="0012390D">
    <w:pPr>
      <w:pStyle w:val="Footer"/>
      <w:tabs>
        <w:tab w:val="clear" w:pos="8640"/>
        <w:tab w:val="right" w:pos="9360"/>
      </w:tabs>
      <w:ind w:right="360"/>
    </w:pPr>
    <w:r>
      <w:t>Draft 11/20/2024</w:t>
    </w:r>
    <w:r w:rsidR="00054EF4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57B232B" wp14:editId="50010528">
              <wp:simplePos x="0" y="0"/>
              <wp:positionH relativeFrom="column">
                <wp:posOffset>-9525</wp:posOffset>
              </wp:positionH>
              <wp:positionV relativeFrom="paragraph">
                <wp:posOffset>-22860</wp:posOffset>
              </wp:positionV>
              <wp:extent cx="5943600" cy="0"/>
              <wp:effectExtent l="0" t="0" r="0" b="0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5A2E3F" id="Line 1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-1.8pt" to="467.25pt,-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" strokeweight="1.5pt"/>
          </w:pict>
        </mc:Fallback>
      </mc:AlternateContent>
    </w:r>
    <w:r w:rsidR="00054EF4">
      <w:rPr>
        <w:noProof/>
      </w:rPr>
      <w:t xml:space="preserve"> </w:t>
    </w:r>
  </w:p>
  <w:p w14:paraId="4AD7EF51" w14:textId="7ADC0D10" w:rsidR="00054EF4" w:rsidRDefault="00054EF4">
    <w:pPr>
      <w:pStyle w:val="Footer"/>
      <w:tabs>
        <w:tab w:val="clear" w:pos="8640"/>
        <w:tab w:val="right" w:pos="9360"/>
      </w:tabs>
      <w:jc w:val="center"/>
      <w:rPr>
        <w:sz w:val="22"/>
      </w:rPr>
    </w:pP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 PAGE </w:instrText>
    </w:r>
    <w:r>
      <w:rPr>
        <w:rStyle w:val="PageNumber"/>
        <w:sz w:val="22"/>
      </w:rPr>
      <w:fldChar w:fldCharType="separate"/>
    </w:r>
    <w:r w:rsidR="006E5D21">
      <w:rPr>
        <w:rStyle w:val="PageNumber"/>
        <w:noProof/>
        <w:sz w:val="22"/>
      </w:rPr>
      <w:t>i</w:t>
    </w:r>
    <w:r>
      <w:rPr>
        <w:rStyle w:val="PageNumber"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A609A" w14:textId="1E04CB75" w:rsidR="00054EF4" w:rsidRDefault="00054EF4" w:rsidP="005E5299">
    <w:pPr>
      <w:pStyle w:val="Footer"/>
      <w:tabs>
        <w:tab w:val="clear" w:pos="8640"/>
        <w:tab w:val="right" w:pos="9360"/>
      </w:tabs>
      <w:rPr>
        <w:sz w:val="22"/>
      </w:rPr>
    </w:pPr>
    <w:r w:rsidRPr="0097520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22FB5E2" wp14:editId="0B617D97">
              <wp:simplePos x="0" y="0"/>
              <wp:positionH relativeFrom="column">
                <wp:posOffset>-62865</wp:posOffset>
              </wp:positionH>
              <wp:positionV relativeFrom="paragraph">
                <wp:posOffset>-33655</wp:posOffset>
              </wp:positionV>
              <wp:extent cx="6057900" cy="0"/>
              <wp:effectExtent l="0" t="0" r="0" b="0"/>
              <wp:wrapNone/>
              <wp:docPr id="6" name="Line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54B11C" id="Line 3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-2.65pt" to="472.05pt,-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" strokeweight="1.5pt"/>
          </w:pict>
        </mc:Fallback>
      </mc:AlternateContent>
    </w:r>
    <w:r>
      <w:t xml:space="preserve">Revision 5 – </w:t>
    </w:r>
    <w:r w:rsidR="00C95AF4">
      <w:t>Draft 11/20/2024</w:t>
    </w:r>
    <w:r>
      <w:tab/>
      <w:t xml:space="preserve">ISO-NE PUBLIC </w:t>
    </w:r>
    <w:r>
      <w:rPr>
        <w:b/>
        <w:bCs/>
      </w:rPr>
      <w:t>DRAFT FOR REVIEW</w:t>
    </w:r>
    <w:r w:rsidRPr="006D45F1">
      <w:rPr>
        <w:b/>
        <w:bCs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E5D21">
      <w:rPr>
        <w:rStyle w:val="PageNumber"/>
        <w:noProof/>
      </w:rPr>
      <w:t>8</w:t>
    </w:r>
    <w:r>
      <w:rPr>
        <w:rStyle w:val="PageNumber"/>
      </w:rPr>
      <w:fldChar w:fldCharType="end"/>
    </w:r>
  </w:p>
  <w:p w14:paraId="1CD8C64B" w14:textId="77777777" w:rsidR="00054EF4" w:rsidRDefault="00054EF4">
    <w:pPr>
      <w:pStyle w:val="Footer"/>
      <w:tabs>
        <w:tab w:val="clear" w:pos="8640"/>
        <w:tab w:val="right" w:pos="9360"/>
      </w:tabs>
      <w:jc w:val="center"/>
      <w:rPr>
        <w:sz w:val="22"/>
      </w:rPr>
    </w:pPr>
  </w:p>
  <w:p w14:paraId="433BF6A0" w14:textId="77777777" w:rsidR="00054EF4" w:rsidRDefault="00054EF4"/>
  <w:p w14:paraId="6E71279F" w14:textId="77777777" w:rsidR="00054EF4" w:rsidRDefault="00054EF4"/>
  <w:p w14:paraId="0609F441" w14:textId="77777777" w:rsidR="00054EF4" w:rsidRDefault="00054E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F16AB" w14:textId="77777777" w:rsidR="00C71EC2" w:rsidRDefault="00C71EC2">
      <w:r>
        <w:separator/>
      </w:r>
    </w:p>
  </w:footnote>
  <w:footnote w:type="continuationSeparator" w:id="0">
    <w:p w14:paraId="77FC6027" w14:textId="77777777" w:rsidR="00C71EC2" w:rsidRDefault="00C71EC2">
      <w:r>
        <w:continuationSeparator/>
      </w:r>
    </w:p>
  </w:footnote>
  <w:footnote w:id="1">
    <w:p w14:paraId="361BBF35" w14:textId="51340A8D" w:rsidR="00054EF4" w:rsidRDefault="00054EF4" w:rsidP="00F1341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724DE">
        <w:t xml:space="preserve">ISO New England Operating Procedure No. 16, Transmission System Data (OP-16), requires Transmission Facility Owner </w:t>
      </w:r>
      <w:r w:rsidR="003D330B">
        <w:t>Equipment Owner</w:t>
      </w:r>
      <w:r w:rsidRPr="006724DE">
        <w:t xml:space="preserve">s to determine equipment ratings and provide them to the ISO. </w:t>
      </w:r>
    </w:p>
  </w:footnote>
  <w:footnote w:id="2">
    <w:p w14:paraId="61831451" w14:textId="77777777" w:rsidR="00054EF4" w:rsidRDefault="00054EF4">
      <w:pPr>
        <w:pStyle w:val="FootnoteText"/>
      </w:pPr>
      <w:r>
        <w:rPr>
          <w:rStyle w:val="FootnoteReference"/>
        </w:rPr>
        <w:footnoteRef/>
      </w:r>
      <w:r>
        <w:t xml:space="preserve"> Seasonal shall have the meaning as defined in Appendix A</w:t>
      </w:r>
    </w:p>
  </w:footnote>
  <w:footnote w:id="3">
    <w:p w14:paraId="68FC1C64" w14:textId="6A03EE65" w:rsidR="00054EF4" w:rsidRDefault="00054EF4">
      <w:pPr>
        <w:pStyle w:val="FootnoteText"/>
        <w:rPr>
          <w:sz w:val="18"/>
        </w:rPr>
      </w:pPr>
      <w:r>
        <w:rPr>
          <w:rStyle w:val="FootnoteReference"/>
        </w:rPr>
        <w:footnoteRef/>
      </w:r>
      <w:r>
        <w:t xml:space="preserve"> </w:t>
      </w:r>
      <w:r w:rsidRPr="009641D8">
        <w:t xml:space="preserve">OP-16 applies to Transmission Owners (TOs) and </w:t>
      </w:r>
      <w:r w:rsidR="003D330B">
        <w:t>Equipment Owner</w:t>
      </w:r>
      <w:r w:rsidRPr="009641D8">
        <w:t xml:space="preserve">s, i.e., </w:t>
      </w:r>
      <w:r w:rsidR="003D330B">
        <w:t>Equipment Owner</w:t>
      </w:r>
      <w:r w:rsidRPr="009641D8">
        <w:t xml:space="preserve">s who own the equipment or Lead </w:t>
      </w:r>
      <w:r w:rsidR="003D330B">
        <w:t>Equipment Owner</w:t>
      </w:r>
      <w:r w:rsidRPr="009641D8">
        <w:t>s for Generator Assets (collectively MPs) to determine and submit the required data for new, reconductored, and reconfigured facilities for all their transmission equipment</w:t>
      </w:r>
    </w:p>
    <w:p w14:paraId="2ADA114E" w14:textId="77777777" w:rsidR="00054EF4" w:rsidRDefault="00054EF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AB134" w14:textId="77777777" w:rsidR="00054EF4" w:rsidRDefault="00054EF4">
    <w:pPr>
      <w:pStyle w:val="Header"/>
      <w:numPr>
        <w:ilvl w:val="0"/>
        <w:numId w:val="0"/>
      </w:numPr>
      <w:tabs>
        <w:tab w:val="clear" w:pos="8640"/>
        <w:tab w:val="right" w:pos="9360"/>
      </w:tabs>
      <w:rPr>
        <w:sz w:val="22"/>
      </w:rPr>
    </w:pPr>
    <w:r>
      <w:rPr>
        <w:sz w:val="22"/>
      </w:rPr>
      <w:t>ISO New England Planning Procedure</w:t>
    </w:r>
    <w:r>
      <w:rPr>
        <w:sz w:val="22"/>
      </w:rPr>
      <w:tab/>
    </w:r>
    <w:r>
      <w:rPr>
        <w:sz w:val="22"/>
      </w:rPr>
      <w:tab/>
      <w:t>PP7 - Procedures for Determining and Implementing</w:t>
    </w:r>
  </w:p>
  <w:p w14:paraId="3E5D0B35" w14:textId="77777777" w:rsidR="00054EF4" w:rsidRDefault="00054EF4">
    <w:pPr>
      <w:pStyle w:val="Header"/>
      <w:numPr>
        <w:ilvl w:val="0"/>
        <w:numId w:val="0"/>
      </w:numPr>
      <w:tabs>
        <w:tab w:val="clear" w:pos="8640"/>
        <w:tab w:val="right" w:pos="9360"/>
      </w:tabs>
      <w:rPr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84616E" wp14:editId="629A8995">
              <wp:simplePos x="0" y="0"/>
              <wp:positionH relativeFrom="column">
                <wp:posOffset>0</wp:posOffset>
              </wp:positionH>
              <wp:positionV relativeFrom="paragraph">
                <wp:posOffset>290830</wp:posOffset>
              </wp:positionV>
              <wp:extent cx="5943600" cy="0"/>
              <wp:effectExtent l="0" t="0" r="0" b="0"/>
              <wp:wrapNone/>
              <wp:docPr id="5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DAE75A" id="Line 1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9pt" to="468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9D040D" wp14:editId="6BB14847">
              <wp:simplePos x="0" y="0"/>
              <wp:positionH relativeFrom="column">
                <wp:posOffset>0</wp:posOffset>
              </wp:positionH>
              <wp:positionV relativeFrom="paragraph">
                <wp:posOffset>290830</wp:posOffset>
              </wp:positionV>
              <wp:extent cx="5943600" cy="0"/>
              <wp:effectExtent l="0" t="0" r="0" b="0"/>
              <wp:wrapNone/>
              <wp:docPr id="4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5C8017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9pt" to="468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2EB8AB" wp14:editId="1A6F28C1">
              <wp:simplePos x="0" y="0"/>
              <wp:positionH relativeFrom="column">
                <wp:posOffset>0</wp:posOffset>
              </wp:positionH>
              <wp:positionV relativeFrom="paragraph">
                <wp:posOffset>290830</wp:posOffset>
              </wp:positionV>
              <wp:extent cx="5943600" cy="0"/>
              <wp:effectExtent l="0" t="0" r="0" b="0"/>
              <wp:wrapNone/>
              <wp:docPr id="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6CCFD2" id="Line 1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2.9pt" to="468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" strokeweight="1.5pt"/>
          </w:pict>
        </mc:Fallback>
      </mc:AlternateContent>
    </w:r>
    <w:r>
      <w:rPr>
        <w:sz w:val="22"/>
      </w:rPr>
      <w:tab/>
    </w:r>
    <w:r>
      <w:rPr>
        <w:sz w:val="22"/>
      </w:rPr>
      <w:tab/>
      <w:t>Transmission Facility Ratings in New England</w:t>
    </w:r>
  </w:p>
  <w:p w14:paraId="1283B8A3" w14:textId="77777777" w:rsidR="00054EF4" w:rsidRDefault="00054EF4" w:rsidP="00317640">
    <w:pPr>
      <w:pStyle w:val="Header"/>
      <w:numPr>
        <w:ilvl w:val="0"/>
        <w:numId w:val="0"/>
      </w:numPr>
      <w:tabs>
        <w:tab w:val="clear" w:pos="8640"/>
        <w:tab w:val="right" w:pos="9360"/>
      </w:tabs>
      <w:jc w:val="center"/>
      <w:rPr>
        <w:sz w:val="22"/>
      </w:rPr>
    </w:pPr>
    <w:r>
      <w:rPr>
        <w:b/>
        <w:bCs/>
      </w:rPr>
      <w:t>DRAFT FOR REVIEW</w:t>
    </w:r>
  </w:p>
  <w:p w14:paraId="624F0A86" w14:textId="77777777" w:rsidR="00054EF4" w:rsidRDefault="00054EF4">
    <w:pPr>
      <w:pStyle w:val="Header"/>
      <w:numPr>
        <w:ilvl w:val="0"/>
        <w:numId w:val="0"/>
      </w:numPr>
      <w:tabs>
        <w:tab w:val="clear" w:pos="864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E1EA57D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F704F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1622C7"/>
    <w:multiLevelType w:val="hybridMultilevel"/>
    <w:tmpl w:val="9398C5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D5A2E"/>
    <w:multiLevelType w:val="hybridMultilevel"/>
    <w:tmpl w:val="F8DCAB1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D56900"/>
    <w:multiLevelType w:val="hybridMultilevel"/>
    <w:tmpl w:val="406CE42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2760E7"/>
    <w:multiLevelType w:val="multilevel"/>
    <w:tmpl w:val="B128F5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15ED613C"/>
    <w:multiLevelType w:val="multilevel"/>
    <w:tmpl w:val="8C121302"/>
    <w:lvl w:ilvl="0">
      <w:start w:val="1"/>
      <w:numFmt w:val="decimal"/>
      <w:pStyle w:val="Heading1"/>
      <w:suff w:val="space"/>
      <w:lvlText w:val="%1.0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none"/>
      <w:pStyle w:val="Heading6"/>
      <w:suff w:val="nothing"/>
      <w:lvlText w:val="%6"/>
      <w:lvlJc w:val="left"/>
      <w:pPr>
        <w:ind w:left="0" w:firstLine="0"/>
      </w:pPr>
      <w:rPr>
        <w:rFonts w:hint="default"/>
        <w:u w:val="single"/>
      </w:rPr>
    </w:lvl>
    <w:lvl w:ilvl="6">
      <w:start w:val="1"/>
      <w:numFmt w:val="lowerLetter"/>
      <w:lvlText w:val="%7.)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7">
      <w:start w:val="1"/>
      <w:numFmt w:val="decimal"/>
      <w:lvlText w:val="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bullet"/>
      <w:lvlText w:val="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</w:abstractNum>
  <w:abstractNum w:abstractNumId="7" w15:restartNumberingAfterBreak="0">
    <w:nsid w:val="190D3FA2"/>
    <w:multiLevelType w:val="hybridMultilevel"/>
    <w:tmpl w:val="CE96F2EC"/>
    <w:lvl w:ilvl="0" w:tplc="D52482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C73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08BA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D25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DC59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EA7B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68D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F40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5EA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F221ABC"/>
    <w:multiLevelType w:val="hybridMultilevel"/>
    <w:tmpl w:val="C88AFB0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A728CF"/>
    <w:multiLevelType w:val="hybridMultilevel"/>
    <w:tmpl w:val="91947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2B6F1D"/>
    <w:multiLevelType w:val="hybridMultilevel"/>
    <w:tmpl w:val="81C84658"/>
    <w:lvl w:ilvl="0" w:tplc="9F4A6B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DD4489"/>
    <w:multiLevelType w:val="hybridMultilevel"/>
    <w:tmpl w:val="EB0EFC14"/>
    <w:lvl w:ilvl="0" w:tplc="3D30EE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03C9854">
      <w:start w:val="1"/>
      <w:numFmt w:val="bullet"/>
      <w:pStyle w:val="2nd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174269"/>
    <w:multiLevelType w:val="hybridMultilevel"/>
    <w:tmpl w:val="CCC06DD2"/>
    <w:lvl w:ilvl="0" w:tplc="87DEE8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2844BD"/>
    <w:multiLevelType w:val="hybridMultilevel"/>
    <w:tmpl w:val="6930C2E4"/>
    <w:lvl w:ilvl="0" w:tplc="249CC428">
      <w:numFmt w:val="bullet"/>
      <w:pStyle w:val="bullelts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8793407"/>
    <w:multiLevelType w:val="hybridMultilevel"/>
    <w:tmpl w:val="C54ECF9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DA18D6"/>
    <w:multiLevelType w:val="singleLevel"/>
    <w:tmpl w:val="7DE8904C"/>
    <w:lvl w:ilvl="0">
      <w:start w:val="1"/>
      <w:numFmt w:val="bullet"/>
      <w:pStyle w:val="Heading5Tex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ACF44E6"/>
    <w:multiLevelType w:val="multilevel"/>
    <w:tmpl w:val="D0BEA428"/>
    <w:lvl w:ilvl="0">
      <w:start w:val="1"/>
      <w:numFmt w:val="decimal"/>
      <w:pStyle w:val="Head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FA14F7F"/>
    <w:multiLevelType w:val="hybridMultilevel"/>
    <w:tmpl w:val="E5CC6FDE"/>
    <w:lvl w:ilvl="0" w:tplc="78FCE68E">
      <w:start w:val="1"/>
      <w:numFmt w:val="bullet"/>
      <w:pStyle w:val="TextBulletIndentx2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D0859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</w:abstractNum>
  <w:abstractNum w:abstractNumId="19" w15:restartNumberingAfterBreak="0">
    <w:nsid w:val="522D55E7"/>
    <w:multiLevelType w:val="hybridMultilevel"/>
    <w:tmpl w:val="A27019BE"/>
    <w:lvl w:ilvl="0" w:tplc="6772F01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F505DDD"/>
    <w:multiLevelType w:val="hybridMultilevel"/>
    <w:tmpl w:val="5486F5CA"/>
    <w:lvl w:ilvl="0" w:tplc="9F4A6BE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AC2990"/>
    <w:multiLevelType w:val="hybridMultilevel"/>
    <w:tmpl w:val="8522E598"/>
    <w:lvl w:ilvl="0" w:tplc="CDF2416E">
      <w:start w:val="1"/>
      <w:numFmt w:val="bullet"/>
      <w:pStyle w:val="Bulletsend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232540405">
    <w:abstractNumId w:val="15"/>
  </w:num>
  <w:num w:numId="2" w16cid:durableId="228079313">
    <w:abstractNumId w:val="0"/>
  </w:num>
  <w:num w:numId="3" w16cid:durableId="1337076021">
    <w:abstractNumId w:val="5"/>
  </w:num>
  <w:num w:numId="4" w16cid:durableId="538083227">
    <w:abstractNumId w:val="13"/>
  </w:num>
  <w:num w:numId="5" w16cid:durableId="819733600">
    <w:abstractNumId w:val="6"/>
  </w:num>
  <w:num w:numId="6" w16cid:durableId="917132532">
    <w:abstractNumId w:val="11"/>
  </w:num>
  <w:num w:numId="7" w16cid:durableId="1823737141">
    <w:abstractNumId w:val="17"/>
  </w:num>
  <w:num w:numId="8" w16cid:durableId="1155532164">
    <w:abstractNumId w:val="1"/>
  </w:num>
  <w:num w:numId="9" w16cid:durableId="385573511">
    <w:abstractNumId w:val="6"/>
  </w:num>
  <w:num w:numId="10" w16cid:durableId="1112624829">
    <w:abstractNumId w:val="5"/>
  </w:num>
  <w:num w:numId="11" w16cid:durableId="1489440901">
    <w:abstractNumId w:val="21"/>
  </w:num>
  <w:num w:numId="12" w16cid:durableId="1231231608">
    <w:abstractNumId w:val="12"/>
  </w:num>
  <w:num w:numId="13" w16cid:durableId="404836304">
    <w:abstractNumId w:val="3"/>
  </w:num>
  <w:num w:numId="14" w16cid:durableId="840389030">
    <w:abstractNumId w:val="4"/>
  </w:num>
  <w:num w:numId="15" w16cid:durableId="2116098448">
    <w:abstractNumId w:val="5"/>
    <w:lvlOverride w:ilvl="0">
      <w:startOverride w:val="1"/>
    </w:lvlOverride>
  </w:num>
  <w:num w:numId="16" w16cid:durableId="100956356">
    <w:abstractNumId w:val="5"/>
  </w:num>
  <w:num w:numId="17" w16cid:durableId="1972905280">
    <w:abstractNumId w:val="5"/>
    <w:lvlOverride w:ilvl="0">
      <w:startOverride w:val="1"/>
    </w:lvlOverride>
  </w:num>
  <w:num w:numId="18" w16cid:durableId="114569919">
    <w:abstractNumId w:val="5"/>
    <w:lvlOverride w:ilvl="0">
      <w:startOverride w:val="1"/>
    </w:lvlOverride>
  </w:num>
  <w:num w:numId="19" w16cid:durableId="1872961580">
    <w:abstractNumId w:val="5"/>
    <w:lvlOverride w:ilvl="0">
      <w:startOverride w:val="1"/>
    </w:lvlOverride>
  </w:num>
  <w:num w:numId="20" w16cid:durableId="811950069">
    <w:abstractNumId w:val="5"/>
    <w:lvlOverride w:ilvl="0">
      <w:startOverride w:val="1"/>
    </w:lvlOverride>
  </w:num>
  <w:num w:numId="21" w16cid:durableId="36537825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900738">
    <w:abstractNumId w:val="14"/>
  </w:num>
  <w:num w:numId="23" w16cid:durableId="460924857">
    <w:abstractNumId w:val="5"/>
    <w:lvlOverride w:ilvl="0">
      <w:startOverride w:val="1"/>
    </w:lvlOverride>
  </w:num>
  <w:num w:numId="24" w16cid:durableId="60372323">
    <w:abstractNumId w:val="2"/>
  </w:num>
  <w:num w:numId="25" w16cid:durableId="1411389916">
    <w:abstractNumId w:val="16"/>
  </w:num>
  <w:num w:numId="26" w16cid:durableId="1248729991">
    <w:abstractNumId w:val="10"/>
  </w:num>
  <w:num w:numId="27" w16cid:durableId="1270163606">
    <w:abstractNumId w:val="18"/>
  </w:num>
  <w:num w:numId="28" w16cid:durableId="2089107208">
    <w:abstractNumId w:val="8"/>
  </w:num>
  <w:num w:numId="29" w16cid:durableId="1298875974">
    <w:abstractNumId w:val="19"/>
  </w:num>
  <w:num w:numId="30" w16cid:durableId="2080128597">
    <w:abstractNumId w:val="20"/>
  </w:num>
  <w:num w:numId="31" w16cid:durableId="1019159101">
    <w:abstractNumId w:val="9"/>
  </w:num>
  <w:num w:numId="32" w16cid:durableId="1763720546">
    <w:abstractNumId w:val="6"/>
  </w:num>
  <w:num w:numId="33" w16cid:durableId="129513488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7C1"/>
    <w:rsid w:val="00015B72"/>
    <w:rsid w:val="00023126"/>
    <w:rsid w:val="0004592C"/>
    <w:rsid w:val="00045BEC"/>
    <w:rsid w:val="00047678"/>
    <w:rsid w:val="00054E98"/>
    <w:rsid w:val="00054EF4"/>
    <w:rsid w:val="00063B4D"/>
    <w:rsid w:val="00063E49"/>
    <w:rsid w:val="00066B81"/>
    <w:rsid w:val="000735E0"/>
    <w:rsid w:val="0008593C"/>
    <w:rsid w:val="000949A2"/>
    <w:rsid w:val="00097ED6"/>
    <w:rsid w:val="000A0D76"/>
    <w:rsid w:val="000A155C"/>
    <w:rsid w:val="000B0418"/>
    <w:rsid w:val="000B225A"/>
    <w:rsid w:val="000C0DF9"/>
    <w:rsid w:val="000C1336"/>
    <w:rsid w:val="000D1732"/>
    <w:rsid w:val="000D59CE"/>
    <w:rsid w:val="000D770E"/>
    <w:rsid w:val="000E7180"/>
    <w:rsid w:val="000F2ABD"/>
    <w:rsid w:val="000F2E57"/>
    <w:rsid w:val="00100718"/>
    <w:rsid w:val="00100BF2"/>
    <w:rsid w:val="001057E2"/>
    <w:rsid w:val="0012390D"/>
    <w:rsid w:val="00125646"/>
    <w:rsid w:val="001310FE"/>
    <w:rsid w:val="0013156F"/>
    <w:rsid w:val="00136C34"/>
    <w:rsid w:val="00161FEB"/>
    <w:rsid w:val="001706B2"/>
    <w:rsid w:val="00170B09"/>
    <w:rsid w:val="001847FE"/>
    <w:rsid w:val="00185E92"/>
    <w:rsid w:val="00187E88"/>
    <w:rsid w:val="001A0F45"/>
    <w:rsid w:val="001A51B1"/>
    <w:rsid w:val="001B150C"/>
    <w:rsid w:val="001B2BD1"/>
    <w:rsid w:val="001C0579"/>
    <w:rsid w:val="001D02F8"/>
    <w:rsid w:val="001D1A22"/>
    <w:rsid w:val="001D4EEA"/>
    <w:rsid w:val="001D744C"/>
    <w:rsid w:val="001E024C"/>
    <w:rsid w:val="001E40CE"/>
    <w:rsid w:val="001E64FB"/>
    <w:rsid w:val="001E6D1D"/>
    <w:rsid w:val="001F058B"/>
    <w:rsid w:val="001F3746"/>
    <w:rsid w:val="001F43D3"/>
    <w:rsid w:val="002021C9"/>
    <w:rsid w:val="002024E0"/>
    <w:rsid w:val="0020495B"/>
    <w:rsid w:val="00212E79"/>
    <w:rsid w:val="002222EB"/>
    <w:rsid w:val="00225B7D"/>
    <w:rsid w:val="00227573"/>
    <w:rsid w:val="002306CF"/>
    <w:rsid w:val="00231822"/>
    <w:rsid w:val="002354E4"/>
    <w:rsid w:val="0024324D"/>
    <w:rsid w:val="00257D1F"/>
    <w:rsid w:val="002654C9"/>
    <w:rsid w:val="002701D6"/>
    <w:rsid w:val="002728C0"/>
    <w:rsid w:val="002745EF"/>
    <w:rsid w:val="00274CD2"/>
    <w:rsid w:val="00276F3D"/>
    <w:rsid w:val="00296463"/>
    <w:rsid w:val="002A402B"/>
    <w:rsid w:val="002B7E35"/>
    <w:rsid w:val="002C451E"/>
    <w:rsid w:val="002C6119"/>
    <w:rsid w:val="002C72F4"/>
    <w:rsid w:val="002D0211"/>
    <w:rsid w:val="002D0BB2"/>
    <w:rsid w:val="002D17C0"/>
    <w:rsid w:val="002D2C0A"/>
    <w:rsid w:val="002D5AB5"/>
    <w:rsid w:val="002F0EBF"/>
    <w:rsid w:val="00317640"/>
    <w:rsid w:val="003225F3"/>
    <w:rsid w:val="00323E18"/>
    <w:rsid w:val="003243BA"/>
    <w:rsid w:val="00356FB0"/>
    <w:rsid w:val="00361B76"/>
    <w:rsid w:val="00373860"/>
    <w:rsid w:val="00373B2E"/>
    <w:rsid w:val="00375FF7"/>
    <w:rsid w:val="00380375"/>
    <w:rsid w:val="00380DC2"/>
    <w:rsid w:val="00380F7A"/>
    <w:rsid w:val="003821BE"/>
    <w:rsid w:val="00383976"/>
    <w:rsid w:val="00384E41"/>
    <w:rsid w:val="00390662"/>
    <w:rsid w:val="003977F4"/>
    <w:rsid w:val="003A2D9A"/>
    <w:rsid w:val="003B0856"/>
    <w:rsid w:val="003B2BDF"/>
    <w:rsid w:val="003B4E7F"/>
    <w:rsid w:val="003B570A"/>
    <w:rsid w:val="003B5A74"/>
    <w:rsid w:val="003B7216"/>
    <w:rsid w:val="003C04C1"/>
    <w:rsid w:val="003D262A"/>
    <w:rsid w:val="003D330B"/>
    <w:rsid w:val="003D360E"/>
    <w:rsid w:val="003D3F32"/>
    <w:rsid w:val="003D4A04"/>
    <w:rsid w:val="003D59FC"/>
    <w:rsid w:val="003E2300"/>
    <w:rsid w:val="003F270E"/>
    <w:rsid w:val="003F4F10"/>
    <w:rsid w:val="003F50A6"/>
    <w:rsid w:val="003F554F"/>
    <w:rsid w:val="00406481"/>
    <w:rsid w:val="004078E6"/>
    <w:rsid w:val="004248A6"/>
    <w:rsid w:val="00425FCF"/>
    <w:rsid w:val="00427A7A"/>
    <w:rsid w:val="0044517B"/>
    <w:rsid w:val="004525C8"/>
    <w:rsid w:val="00457AA4"/>
    <w:rsid w:val="004659BE"/>
    <w:rsid w:val="00472C1D"/>
    <w:rsid w:val="004736FF"/>
    <w:rsid w:val="0047543E"/>
    <w:rsid w:val="00485D33"/>
    <w:rsid w:val="004923EC"/>
    <w:rsid w:val="00492DCB"/>
    <w:rsid w:val="00493B02"/>
    <w:rsid w:val="004A0343"/>
    <w:rsid w:val="004B5BC5"/>
    <w:rsid w:val="004B5BE7"/>
    <w:rsid w:val="004B658A"/>
    <w:rsid w:val="004C2FB2"/>
    <w:rsid w:val="004C5428"/>
    <w:rsid w:val="004D1180"/>
    <w:rsid w:val="004E62FC"/>
    <w:rsid w:val="004F0056"/>
    <w:rsid w:val="004F48D2"/>
    <w:rsid w:val="0051470A"/>
    <w:rsid w:val="00514B15"/>
    <w:rsid w:val="00517316"/>
    <w:rsid w:val="00523D58"/>
    <w:rsid w:val="005268BD"/>
    <w:rsid w:val="00535CF1"/>
    <w:rsid w:val="00535F7A"/>
    <w:rsid w:val="00536E87"/>
    <w:rsid w:val="00540288"/>
    <w:rsid w:val="00543C50"/>
    <w:rsid w:val="005447C1"/>
    <w:rsid w:val="00546453"/>
    <w:rsid w:val="00551543"/>
    <w:rsid w:val="005631BF"/>
    <w:rsid w:val="005676B6"/>
    <w:rsid w:val="005703A2"/>
    <w:rsid w:val="005706B2"/>
    <w:rsid w:val="00571C56"/>
    <w:rsid w:val="00575BD6"/>
    <w:rsid w:val="0058064C"/>
    <w:rsid w:val="00582C4A"/>
    <w:rsid w:val="00585466"/>
    <w:rsid w:val="00586FF2"/>
    <w:rsid w:val="00587562"/>
    <w:rsid w:val="0059037B"/>
    <w:rsid w:val="005910A1"/>
    <w:rsid w:val="005922FD"/>
    <w:rsid w:val="00595102"/>
    <w:rsid w:val="00595BF9"/>
    <w:rsid w:val="005972BC"/>
    <w:rsid w:val="0059759F"/>
    <w:rsid w:val="005A1BD0"/>
    <w:rsid w:val="005A1CE0"/>
    <w:rsid w:val="005A2BC9"/>
    <w:rsid w:val="005A5529"/>
    <w:rsid w:val="005A5909"/>
    <w:rsid w:val="005A5D23"/>
    <w:rsid w:val="005B51D4"/>
    <w:rsid w:val="005B7B72"/>
    <w:rsid w:val="005D22FF"/>
    <w:rsid w:val="005D57AC"/>
    <w:rsid w:val="005E1745"/>
    <w:rsid w:val="005E5299"/>
    <w:rsid w:val="005E6D8D"/>
    <w:rsid w:val="005F64DA"/>
    <w:rsid w:val="0061251A"/>
    <w:rsid w:val="0061629C"/>
    <w:rsid w:val="006166AB"/>
    <w:rsid w:val="00617B08"/>
    <w:rsid w:val="00623324"/>
    <w:rsid w:val="006234D0"/>
    <w:rsid w:val="006263A9"/>
    <w:rsid w:val="00632E89"/>
    <w:rsid w:val="00632F83"/>
    <w:rsid w:val="00634185"/>
    <w:rsid w:val="0063474A"/>
    <w:rsid w:val="00635582"/>
    <w:rsid w:val="00643742"/>
    <w:rsid w:val="006438C2"/>
    <w:rsid w:val="00651D1D"/>
    <w:rsid w:val="006720DF"/>
    <w:rsid w:val="006724DE"/>
    <w:rsid w:val="006728CB"/>
    <w:rsid w:val="00673746"/>
    <w:rsid w:val="006739F3"/>
    <w:rsid w:val="00675D7D"/>
    <w:rsid w:val="00683DD1"/>
    <w:rsid w:val="006841AF"/>
    <w:rsid w:val="0069544F"/>
    <w:rsid w:val="00696BDE"/>
    <w:rsid w:val="006A35DB"/>
    <w:rsid w:val="006A44E0"/>
    <w:rsid w:val="006B5987"/>
    <w:rsid w:val="006B76A4"/>
    <w:rsid w:val="006C1B5D"/>
    <w:rsid w:val="006C37DB"/>
    <w:rsid w:val="006C7F6C"/>
    <w:rsid w:val="006D0400"/>
    <w:rsid w:val="006E2439"/>
    <w:rsid w:val="006E5D21"/>
    <w:rsid w:val="006F214A"/>
    <w:rsid w:val="006F6731"/>
    <w:rsid w:val="007037E5"/>
    <w:rsid w:val="00706293"/>
    <w:rsid w:val="00712D89"/>
    <w:rsid w:val="00715F37"/>
    <w:rsid w:val="00717EE7"/>
    <w:rsid w:val="00721CA0"/>
    <w:rsid w:val="007303E2"/>
    <w:rsid w:val="0074174D"/>
    <w:rsid w:val="00741D60"/>
    <w:rsid w:val="00741F96"/>
    <w:rsid w:val="0074476F"/>
    <w:rsid w:val="0074550B"/>
    <w:rsid w:val="00747F39"/>
    <w:rsid w:val="0075186C"/>
    <w:rsid w:val="007714E0"/>
    <w:rsid w:val="0077196E"/>
    <w:rsid w:val="00772CC2"/>
    <w:rsid w:val="00775F85"/>
    <w:rsid w:val="00790E3F"/>
    <w:rsid w:val="007928AE"/>
    <w:rsid w:val="00797E7C"/>
    <w:rsid w:val="007A0449"/>
    <w:rsid w:val="007A409F"/>
    <w:rsid w:val="007A5E1D"/>
    <w:rsid w:val="007A6C90"/>
    <w:rsid w:val="007B5257"/>
    <w:rsid w:val="007C47BC"/>
    <w:rsid w:val="007D568D"/>
    <w:rsid w:val="007D6121"/>
    <w:rsid w:val="007D7751"/>
    <w:rsid w:val="007E4377"/>
    <w:rsid w:val="007F296B"/>
    <w:rsid w:val="007F61A5"/>
    <w:rsid w:val="00804904"/>
    <w:rsid w:val="0080589F"/>
    <w:rsid w:val="00811A75"/>
    <w:rsid w:val="008144E7"/>
    <w:rsid w:val="00817564"/>
    <w:rsid w:val="0082010C"/>
    <w:rsid w:val="00827532"/>
    <w:rsid w:val="00835CCD"/>
    <w:rsid w:val="0083661F"/>
    <w:rsid w:val="0083734E"/>
    <w:rsid w:val="0084024C"/>
    <w:rsid w:val="008415D0"/>
    <w:rsid w:val="00844015"/>
    <w:rsid w:val="00846911"/>
    <w:rsid w:val="008537A0"/>
    <w:rsid w:val="0086255A"/>
    <w:rsid w:val="008657A5"/>
    <w:rsid w:val="008757D6"/>
    <w:rsid w:val="00877561"/>
    <w:rsid w:val="008A167B"/>
    <w:rsid w:val="008D247D"/>
    <w:rsid w:val="008D2C2E"/>
    <w:rsid w:val="008D2E5C"/>
    <w:rsid w:val="008E3E11"/>
    <w:rsid w:val="008E4FB4"/>
    <w:rsid w:val="008F166D"/>
    <w:rsid w:val="008F2237"/>
    <w:rsid w:val="008F5D12"/>
    <w:rsid w:val="00901A9E"/>
    <w:rsid w:val="00905FAD"/>
    <w:rsid w:val="00915ACC"/>
    <w:rsid w:val="00924D6E"/>
    <w:rsid w:val="009255C9"/>
    <w:rsid w:val="0092734B"/>
    <w:rsid w:val="009352BB"/>
    <w:rsid w:val="0093759E"/>
    <w:rsid w:val="00937939"/>
    <w:rsid w:val="00940972"/>
    <w:rsid w:val="0095764A"/>
    <w:rsid w:val="00960FE8"/>
    <w:rsid w:val="0096152B"/>
    <w:rsid w:val="009618AB"/>
    <w:rsid w:val="00962F0E"/>
    <w:rsid w:val="009641D8"/>
    <w:rsid w:val="00967E50"/>
    <w:rsid w:val="0098480E"/>
    <w:rsid w:val="00985E55"/>
    <w:rsid w:val="00992904"/>
    <w:rsid w:val="0099487B"/>
    <w:rsid w:val="0099666A"/>
    <w:rsid w:val="009B4B71"/>
    <w:rsid w:val="009B746D"/>
    <w:rsid w:val="009C6573"/>
    <w:rsid w:val="009C7DD1"/>
    <w:rsid w:val="009D3E17"/>
    <w:rsid w:val="009E3EB6"/>
    <w:rsid w:val="009F100A"/>
    <w:rsid w:val="00A02F19"/>
    <w:rsid w:val="00A14985"/>
    <w:rsid w:val="00A22E7C"/>
    <w:rsid w:val="00A23322"/>
    <w:rsid w:val="00A37AB0"/>
    <w:rsid w:val="00A43515"/>
    <w:rsid w:val="00A43A0E"/>
    <w:rsid w:val="00A444FE"/>
    <w:rsid w:val="00A60AF7"/>
    <w:rsid w:val="00A64EC7"/>
    <w:rsid w:val="00A83210"/>
    <w:rsid w:val="00A95062"/>
    <w:rsid w:val="00AA5FDC"/>
    <w:rsid w:val="00AB04DD"/>
    <w:rsid w:val="00AB50DF"/>
    <w:rsid w:val="00AB6DB8"/>
    <w:rsid w:val="00AC77FF"/>
    <w:rsid w:val="00AD7677"/>
    <w:rsid w:val="00AE156A"/>
    <w:rsid w:val="00AE5860"/>
    <w:rsid w:val="00AF274A"/>
    <w:rsid w:val="00AF3C71"/>
    <w:rsid w:val="00AF56EC"/>
    <w:rsid w:val="00AF6E91"/>
    <w:rsid w:val="00AF7781"/>
    <w:rsid w:val="00B024A0"/>
    <w:rsid w:val="00B131BF"/>
    <w:rsid w:val="00B146E2"/>
    <w:rsid w:val="00B21A70"/>
    <w:rsid w:val="00B24D1F"/>
    <w:rsid w:val="00B278E3"/>
    <w:rsid w:val="00B30B3A"/>
    <w:rsid w:val="00B4219A"/>
    <w:rsid w:val="00B45369"/>
    <w:rsid w:val="00B47395"/>
    <w:rsid w:val="00B55655"/>
    <w:rsid w:val="00B61511"/>
    <w:rsid w:val="00B801B4"/>
    <w:rsid w:val="00B8149B"/>
    <w:rsid w:val="00B82792"/>
    <w:rsid w:val="00BA4C78"/>
    <w:rsid w:val="00BC3BB2"/>
    <w:rsid w:val="00BC533D"/>
    <w:rsid w:val="00BD215A"/>
    <w:rsid w:val="00BD5223"/>
    <w:rsid w:val="00BD7AB3"/>
    <w:rsid w:val="00BE102D"/>
    <w:rsid w:val="00BE5436"/>
    <w:rsid w:val="00BE5E40"/>
    <w:rsid w:val="00BF1317"/>
    <w:rsid w:val="00C01C21"/>
    <w:rsid w:val="00C03EFC"/>
    <w:rsid w:val="00C127B1"/>
    <w:rsid w:val="00C206CE"/>
    <w:rsid w:val="00C2094A"/>
    <w:rsid w:val="00C21480"/>
    <w:rsid w:val="00C30EA4"/>
    <w:rsid w:val="00C32642"/>
    <w:rsid w:val="00C36559"/>
    <w:rsid w:val="00C4453E"/>
    <w:rsid w:val="00C60986"/>
    <w:rsid w:val="00C63EDE"/>
    <w:rsid w:val="00C71EC2"/>
    <w:rsid w:val="00C74389"/>
    <w:rsid w:val="00C806E9"/>
    <w:rsid w:val="00C828F4"/>
    <w:rsid w:val="00C85154"/>
    <w:rsid w:val="00C86687"/>
    <w:rsid w:val="00C928A6"/>
    <w:rsid w:val="00C95817"/>
    <w:rsid w:val="00C95AF4"/>
    <w:rsid w:val="00CA7B1F"/>
    <w:rsid w:val="00CB5619"/>
    <w:rsid w:val="00CB696D"/>
    <w:rsid w:val="00CC0B28"/>
    <w:rsid w:val="00CC2726"/>
    <w:rsid w:val="00CD2D9E"/>
    <w:rsid w:val="00CE408F"/>
    <w:rsid w:val="00CE5223"/>
    <w:rsid w:val="00CE76FC"/>
    <w:rsid w:val="00CF4796"/>
    <w:rsid w:val="00CF47FC"/>
    <w:rsid w:val="00CF77D4"/>
    <w:rsid w:val="00D009B0"/>
    <w:rsid w:val="00D04975"/>
    <w:rsid w:val="00D055FD"/>
    <w:rsid w:val="00D25448"/>
    <w:rsid w:val="00D40BE2"/>
    <w:rsid w:val="00D463F6"/>
    <w:rsid w:val="00D555AF"/>
    <w:rsid w:val="00D55ACB"/>
    <w:rsid w:val="00D61A4D"/>
    <w:rsid w:val="00D61F20"/>
    <w:rsid w:val="00D64250"/>
    <w:rsid w:val="00D64D72"/>
    <w:rsid w:val="00D770F2"/>
    <w:rsid w:val="00D81AA8"/>
    <w:rsid w:val="00D87F1F"/>
    <w:rsid w:val="00D94401"/>
    <w:rsid w:val="00D9679F"/>
    <w:rsid w:val="00DA14D3"/>
    <w:rsid w:val="00DA1773"/>
    <w:rsid w:val="00DA40BF"/>
    <w:rsid w:val="00DA4E70"/>
    <w:rsid w:val="00DA7F3C"/>
    <w:rsid w:val="00DB08B7"/>
    <w:rsid w:val="00DB44F2"/>
    <w:rsid w:val="00DB6863"/>
    <w:rsid w:val="00DC23EB"/>
    <w:rsid w:val="00DD1D2C"/>
    <w:rsid w:val="00DD5345"/>
    <w:rsid w:val="00DE19BE"/>
    <w:rsid w:val="00DE48E8"/>
    <w:rsid w:val="00DE66BC"/>
    <w:rsid w:val="00DF0D8D"/>
    <w:rsid w:val="00DF652E"/>
    <w:rsid w:val="00E03A07"/>
    <w:rsid w:val="00E16E3B"/>
    <w:rsid w:val="00E338EF"/>
    <w:rsid w:val="00E372DD"/>
    <w:rsid w:val="00E43A3E"/>
    <w:rsid w:val="00E447C5"/>
    <w:rsid w:val="00E4579D"/>
    <w:rsid w:val="00E51C81"/>
    <w:rsid w:val="00E5642A"/>
    <w:rsid w:val="00E62F56"/>
    <w:rsid w:val="00E6536C"/>
    <w:rsid w:val="00E70064"/>
    <w:rsid w:val="00E70085"/>
    <w:rsid w:val="00E74595"/>
    <w:rsid w:val="00E803C7"/>
    <w:rsid w:val="00E8504E"/>
    <w:rsid w:val="00E9003B"/>
    <w:rsid w:val="00E900BC"/>
    <w:rsid w:val="00E9241E"/>
    <w:rsid w:val="00EA4AF3"/>
    <w:rsid w:val="00EA5AEC"/>
    <w:rsid w:val="00EA7EA2"/>
    <w:rsid w:val="00EB2932"/>
    <w:rsid w:val="00EB4F97"/>
    <w:rsid w:val="00EB6FA1"/>
    <w:rsid w:val="00EC0C68"/>
    <w:rsid w:val="00EC64CB"/>
    <w:rsid w:val="00EC7587"/>
    <w:rsid w:val="00ED16E5"/>
    <w:rsid w:val="00ED5D8A"/>
    <w:rsid w:val="00EE74E5"/>
    <w:rsid w:val="00EF057D"/>
    <w:rsid w:val="00EF2CA7"/>
    <w:rsid w:val="00F10CB6"/>
    <w:rsid w:val="00F11A5E"/>
    <w:rsid w:val="00F1240A"/>
    <w:rsid w:val="00F13416"/>
    <w:rsid w:val="00F1405F"/>
    <w:rsid w:val="00F146DA"/>
    <w:rsid w:val="00F236BE"/>
    <w:rsid w:val="00F35A58"/>
    <w:rsid w:val="00F36D6D"/>
    <w:rsid w:val="00F4064E"/>
    <w:rsid w:val="00F43D4B"/>
    <w:rsid w:val="00F45F7D"/>
    <w:rsid w:val="00F46DE0"/>
    <w:rsid w:val="00F51627"/>
    <w:rsid w:val="00F518AB"/>
    <w:rsid w:val="00F55871"/>
    <w:rsid w:val="00F577AA"/>
    <w:rsid w:val="00F6190D"/>
    <w:rsid w:val="00F6544F"/>
    <w:rsid w:val="00F73C38"/>
    <w:rsid w:val="00F7578D"/>
    <w:rsid w:val="00F90545"/>
    <w:rsid w:val="00F917D9"/>
    <w:rsid w:val="00F93C93"/>
    <w:rsid w:val="00F94079"/>
    <w:rsid w:val="00FA4918"/>
    <w:rsid w:val="00FA5957"/>
    <w:rsid w:val="00FB58B5"/>
    <w:rsid w:val="00FB759F"/>
    <w:rsid w:val="00FB7E6A"/>
    <w:rsid w:val="00FC41A0"/>
    <w:rsid w:val="00FD61A9"/>
    <w:rsid w:val="00FD62D7"/>
    <w:rsid w:val="00FD6F2F"/>
    <w:rsid w:val="00FE0D82"/>
    <w:rsid w:val="00FE2352"/>
    <w:rsid w:val="00FF08CE"/>
    <w:rsid w:val="00FF1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F1EC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numPr>
        <w:numId w:val="9"/>
      </w:numPr>
      <w:spacing w:before="360" w:after="120"/>
      <w:outlineLvl w:val="0"/>
    </w:pPr>
    <w:rPr>
      <w:b/>
      <w:smallCaps/>
      <w:sz w:val="32"/>
    </w:rPr>
  </w:style>
  <w:style w:type="paragraph" w:styleId="Heading2">
    <w:name w:val="heading 2"/>
    <w:basedOn w:val="Normal"/>
    <w:next w:val="Normal"/>
    <w:autoRedefine/>
    <w:uiPriority w:val="1"/>
    <w:qFormat/>
    <w:rsid w:val="00361B76"/>
    <w:pPr>
      <w:keepNext/>
      <w:keepLines/>
      <w:numPr>
        <w:ilvl w:val="1"/>
        <w:numId w:val="9"/>
      </w:numPr>
      <w:spacing w:before="360" w:after="120"/>
      <w:outlineLvl w:val="1"/>
    </w:pPr>
    <w:rPr>
      <w:b/>
      <w:smallCaps/>
      <w:sz w:val="28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numPr>
        <w:ilvl w:val="2"/>
        <w:numId w:val="9"/>
      </w:numPr>
      <w:spacing w:before="240" w:after="60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uiPriority w:val="1"/>
    <w:qFormat/>
    <w:pPr>
      <w:keepNext/>
      <w:numPr>
        <w:ilvl w:val="3"/>
        <w:numId w:val="9"/>
      </w:numPr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uiPriority w:val="1"/>
    <w:qFormat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1"/>
    <w:qFormat/>
    <w:pPr>
      <w:keepNext/>
      <w:numPr>
        <w:ilvl w:val="5"/>
        <w:numId w:val="9"/>
      </w:numPr>
      <w:tabs>
        <w:tab w:val="left" w:pos="8190"/>
        <w:tab w:val="left" w:pos="9450"/>
        <w:tab w:val="left" w:pos="9810"/>
        <w:tab w:val="left" w:pos="9990"/>
      </w:tabs>
      <w:jc w:val="both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24"/>
      <w:u w:val="single"/>
    </w:rPr>
  </w:style>
  <w:style w:type="paragraph" w:styleId="Heading8">
    <w:name w:val="heading 8"/>
    <w:basedOn w:val="Normal"/>
    <w:next w:val="Normal"/>
    <w:qFormat/>
    <w:pPr>
      <w:keepNext/>
      <w:spacing w:line="480" w:lineRule="auto"/>
      <w:outlineLvl w:val="7"/>
    </w:pPr>
    <w:rPr>
      <w:sz w:val="24"/>
      <w:u w:val="single"/>
    </w:rPr>
  </w:style>
  <w:style w:type="paragraph" w:styleId="Heading9">
    <w:name w:val="heading 9"/>
    <w:basedOn w:val="Normal"/>
    <w:next w:val="Normal"/>
    <w:qFormat/>
    <w:pPr>
      <w:keepNext/>
      <w:spacing w:line="360" w:lineRule="auto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5TextBullet">
    <w:name w:val="Heading 5 Text Bullet"/>
    <w:basedOn w:val="Heading5Text"/>
    <w:autoRedefine/>
    <w:pPr>
      <w:numPr>
        <w:numId w:val="1"/>
      </w:numPr>
      <w:tabs>
        <w:tab w:val="clear" w:pos="360"/>
        <w:tab w:val="num" w:pos="1440"/>
      </w:tabs>
      <w:ind w:left="2520"/>
    </w:pPr>
  </w:style>
  <w:style w:type="paragraph" w:customStyle="1" w:styleId="Heading5Text">
    <w:name w:val="Heading 5 Text"/>
    <w:basedOn w:val="Normal"/>
    <w:pPr>
      <w:ind w:left="2160"/>
    </w:pPr>
    <w:rPr>
      <w:sz w:val="24"/>
    </w:r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BodyText">
    <w:name w:val="Body Text"/>
    <w:basedOn w:val="Normal"/>
    <w:link w:val="BodyTextChar"/>
    <w:uiPriority w:val="1"/>
    <w:qFormat/>
    <w:pPr>
      <w:spacing w:after="240"/>
    </w:pPr>
    <w:rPr>
      <w:sz w:val="24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Header">
    <w:name w:val="header"/>
    <w:basedOn w:val="Normal"/>
    <w:link w:val="HeaderChar"/>
    <w:uiPriority w:val="99"/>
    <w:pPr>
      <w:widowControl w:val="0"/>
      <w:numPr>
        <w:numId w:val="25"/>
      </w:num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pPr>
      <w:ind w:left="720"/>
    </w:pPr>
  </w:style>
  <w:style w:type="paragraph" w:styleId="TOC2">
    <w:name w:val="toc 2"/>
    <w:basedOn w:val="Normal"/>
    <w:next w:val="Normal"/>
    <w:autoRedefine/>
    <w:uiPriority w:val="39"/>
    <w:qFormat/>
    <w:pPr>
      <w:widowControl w:val="0"/>
      <w:tabs>
        <w:tab w:val="num" w:pos="720"/>
        <w:tab w:val="left" w:pos="800"/>
        <w:tab w:val="right" w:leader="dot" w:pos="9360"/>
      </w:tabs>
      <w:spacing w:after="20"/>
      <w:ind w:left="202" w:hanging="720"/>
    </w:pPr>
    <w:rPr>
      <w:noProof/>
      <w:sz w:val="24"/>
      <w:szCs w:val="28"/>
    </w:rPr>
  </w:style>
  <w:style w:type="paragraph" w:styleId="Title">
    <w:name w:val="Title"/>
    <w:basedOn w:val="Normal"/>
    <w:qFormat/>
    <w:pPr>
      <w:widowControl w:val="0"/>
      <w:spacing w:after="480"/>
      <w:jc w:val="center"/>
    </w:pPr>
    <w:rPr>
      <w:b/>
      <w:kern w:val="28"/>
      <w:sz w:val="32"/>
    </w:rPr>
  </w:style>
  <w:style w:type="paragraph" w:styleId="TOC1">
    <w:name w:val="toc 1"/>
    <w:basedOn w:val="Normal"/>
    <w:next w:val="Normal"/>
    <w:uiPriority w:val="39"/>
    <w:qFormat/>
    <w:rsid w:val="00D770F2"/>
    <w:pPr>
      <w:widowControl w:val="0"/>
      <w:tabs>
        <w:tab w:val="left" w:pos="0"/>
        <w:tab w:val="left" w:pos="360"/>
        <w:tab w:val="left" w:pos="400"/>
        <w:tab w:val="right" w:leader="dot" w:pos="9350"/>
      </w:tabs>
      <w:spacing w:before="360"/>
    </w:pPr>
    <w:rPr>
      <w:b/>
      <w:noProof/>
      <w:sz w:val="28"/>
      <w:szCs w:val="28"/>
    </w:rPr>
  </w:style>
  <w:style w:type="paragraph" w:styleId="BodyText2">
    <w:name w:val="Body Text 2"/>
    <w:basedOn w:val="Normal"/>
    <w:pPr>
      <w:ind w:left="720"/>
    </w:pPr>
    <w:rPr>
      <w:sz w:val="22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3">
    <w:name w:val="Body Text Indent 3"/>
    <w:basedOn w:val="Normal"/>
    <w:pPr>
      <w:spacing w:after="240"/>
      <w:ind w:left="360"/>
    </w:pPr>
    <w:rPr>
      <w:sz w:val="24"/>
    </w:rPr>
  </w:style>
  <w:style w:type="paragraph" w:styleId="BodyText3">
    <w:name w:val="Body Text 3"/>
    <w:basedOn w:val="Normal"/>
    <w:rPr>
      <w:sz w:val="24"/>
    </w:rPr>
  </w:style>
  <w:style w:type="paragraph" w:styleId="TOC3">
    <w:name w:val="toc 3"/>
    <w:basedOn w:val="Normal"/>
    <w:next w:val="Normal"/>
    <w:autoRedefine/>
    <w:uiPriority w:val="1"/>
    <w:qFormat/>
    <w:pPr>
      <w:ind w:left="400"/>
    </w:pPr>
  </w:style>
  <w:style w:type="paragraph" w:styleId="TOC4">
    <w:name w:val="toc 4"/>
    <w:basedOn w:val="Normal"/>
    <w:next w:val="Normal"/>
    <w:autoRedefine/>
    <w:uiPriority w:val="39"/>
    <w:pPr>
      <w:ind w:left="600"/>
    </w:pPr>
  </w:style>
  <w:style w:type="paragraph" w:styleId="TOC5">
    <w:name w:val="toc 5"/>
    <w:basedOn w:val="Normal"/>
    <w:next w:val="Normal"/>
    <w:autoRedefine/>
    <w:uiPriority w:val="39"/>
    <w:pPr>
      <w:ind w:left="800"/>
    </w:pPr>
  </w:style>
  <w:style w:type="paragraph" w:styleId="TOC6">
    <w:name w:val="toc 6"/>
    <w:basedOn w:val="Normal"/>
    <w:next w:val="Normal"/>
    <w:autoRedefine/>
    <w:uiPriority w:val="39"/>
    <w:pPr>
      <w:ind w:left="1000"/>
    </w:pPr>
  </w:style>
  <w:style w:type="paragraph" w:styleId="TOC7">
    <w:name w:val="toc 7"/>
    <w:basedOn w:val="Normal"/>
    <w:next w:val="Normal"/>
    <w:autoRedefine/>
    <w:uiPriority w:val="39"/>
    <w:pPr>
      <w:ind w:left="1200"/>
    </w:pPr>
  </w:style>
  <w:style w:type="paragraph" w:styleId="TOC8">
    <w:name w:val="toc 8"/>
    <w:basedOn w:val="Normal"/>
    <w:next w:val="Normal"/>
    <w:autoRedefine/>
    <w:uiPriority w:val="39"/>
    <w:pPr>
      <w:ind w:left="1400"/>
    </w:pPr>
  </w:style>
  <w:style w:type="paragraph" w:styleId="TOC9">
    <w:name w:val="toc 9"/>
    <w:basedOn w:val="Normal"/>
    <w:next w:val="Normal"/>
    <w:autoRedefine/>
    <w:uiPriority w:val="39"/>
    <w:pPr>
      <w:ind w:left="1600"/>
    </w:pPr>
  </w:style>
  <w:style w:type="paragraph" w:customStyle="1" w:styleId="Appendix">
    <w:name w:val="Appendix"/>
    <w:basedOn w:val="BodyText"/>
    <w:rsid w:val="00DA14D3"/>
    <w:pPr>
      <w:keepNext/>
      <w:spacing w:before="240" w:after="0"/>
      <w:jc w:val="center"/>
      <w:outlineLvl w:val="0"/>
    </w:pPr>
    <w:rPr>
      <w:b/>
      <w:bCs/>
      <w:sz w:val="40"/>
      <w:szCs w:val="4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s">
    <w:name w:val="bullets"/>
    <w:basedOn w:val="Normal"/>
    <w:rPr>
      <w:sz w:val="24"/>
    </w:rPr>
  </w:style>
  <w:style w:type="paragraph" w:styleId="Caption">
    <w:name w:val="caption"/>
    <w:basedOn w:val="Normal"/>
    <w:next w:val="Normal"/>
    <w:qFormat/>
    <w:pPr>
      <w:keepNext/>
      <w:keepLines/>
      <w:spacing w:before="120" w:after="120"/>
      <w:jc w:val="center"/>
    </w:pPr>
    <w:rPr>
      <w:rFonts w:ascii="Arial" w:hAnsi="Arial" w:cs="Arial"/>
      <w:b/>
      <w:bCs/>
    </w:rPr>
  </w:style>
  <w:style w:type="paragraph" w:customStyle="1" w:styleId="TitleParagraph">
    <w:name w:val="TitleParagraph"/>
    <w:basedOn w:val="Title"/>
    <w:pPr>
      <w:spacing w:before="720" w:after="240"/>
      <w:jc w:val="left"/>
    </w:pPr>
    <w:rPr>
      <w:b w:val="0"/>
      <w:kern w:val="0"/>
      <w:sz w:val="28"/>
    </w:rPr>
  </w:style>
  <w:style w:type="paragraph" w:customStyle="1" w:styleId="bullelts">
    <w:name w:val="bullelts"/>
    <w:basedOn w:val="Normal"/>
    <w:pPr>
      <w:numPr>
        <w:numId w:val="4"/>
      </w:numPr>
    </w:pPr>
    <w:rPr>
      <w:sz w:val="24"/>
    </w:rPr>
  </w:style>
  <w:style w:type="paragraph" w:customStyle="1" w:styleId="Note">
    <w:name w:val="Note"/>
    <w:basedOn w:val="Normal"/>
    <w:pPr>
      <w:spacing w:before="1680"/>
    </w:pPr>
    <w:rPr>
      <w:b/>
      <w:i/>
      <w:iCs/>
      <w:color w:val="FF0000"/>
      <w:kern w:val="28"/>
      <w:sz w:val="28"/>
    </w:rPr>
  </w:style>
  <w:style w:type="paragraph" w:customStyle="1" w:styleId="Notetext">
    <w:name w:val="Notetext"/>
    <w:basedOn w:val="Title"/>
    <w:pPr>
      <w:ind w:left="720"/>
      <w:jc w:val="left"/>
    </w:pPr>
    <w:rPr>
      <w:i/>
      <w:iCs/>
      <w:color w:val="FF0000"/>
      <w:sz w:val="28"/>
    </w:rPr>
  </w:style>
  <w:style w:type="paragraph" w:customStyle="1" w:styleId="appendices">
    <w:name w:val="appendices"/>
    <w:basedOn w:val="Normal"/>
    <w:pPr>
      <w:spacing w:before="480" w:after="120"/>
      <w:jc w:val="center"/>
    </w:pPr>
    <w:rPr>
      <w:b/>
      <w:bCs/>
      <w:sz w:val="32"/>
      <w:u w:val="single"/>
    </w:rPr>
  </w:style>
  <w:style w:type="paragraph" w:customStyle="1" w:styleId="APPXHeading">
    <w:name w:val="APPXHeading"/>
    <w:basedOn w:val="Normal"/>
    <w:pPr>
      <w:spacing w:before="240" w:after="120"/>
    </w:pPr>
    <w:rPr>
      <w:b/>
      <w:bCs/>
      <w:sz w:val="32"/>
    </w:rPr>
  </w:style>
  <w:style w:type="paragraph" w:customStyle="1" w:styleId="2ndBullet">
    <w:name w:val="2ndBullet"/>
    <w:basedOn w:val="Normal"/>
    <w:pPr>
      <w:numPr>
        <w:ilvl w:val="1"/>
        <w:numId w:val="6"/>
      </w:numPr>
    </w:pPr>
    <w:rPr>
      <w:sz w:val="24"/>
    </w:rPr>
  </w:style>
  <w:style w:type="paragraph" w:customStyle="1" w:styleId="TextBulletIndentx2">
    <w:name w:val="Text Bullet Indent x2"/>
    <w:basedOn w:val="Normal"/>
    <w:pPr>
      <w:numPr>
        <w:numId w:val="7"/>
      </w:numPr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customStyle="1" w:styleId="APPXHeading4">
    <w:name w:val="APPXHeading4"/>
    <w:basedOn w:val="APPXHeading3"/>
  </w:style>
  <w:style w:type="paragraph" w:customStyle="1" w:styleId="APPXHeading3">
    <w:name w:val="APPXHeading3"/>
    <w:basedOn w:val="APPXHeading2"/>
    <w:pPr>
      <w:keepNext w:val="0"/>
      <w:tabs>
        <w:tab w:val="clear" w:pos="900"/>
        <w:tab w:val="left" w:pos="1350"/>
      </w:tabs>
      <w:spacing w:before="0"/>
    </w:pPr>
  </w:style>
  <w:style w:type="paragraph" w:customStyle="1" w:styleId="APPXHeading2">
    <w:name w:val="APPXHeading2"/>
    <w:basedOn w:val="APPXHeading"/>
    <w:pPr>
      <w:keepNext/>
      <w:tabs>
        <w:tab w:val="left" w:pos="900"/>
      </w:tabs>
      <w:spacing w:before="120" w:after="0"/>
    </w:pPr>
    <w:rPr>
      <w:b w:val="0"/>
      <w:bCs w:val="0"/>
      <w:sz w:val="24"/>
    </w:rPr>
  </w:style>
  <w:style w:type="paragraph" w:styleId="ListBullet">
    <w:name w:val="List Bullet"/>
    <w:basedOn w:val="Normal"/>
    <w:autoRedefine/>
    <w:pPr>
      <w:numPr>
        <w:numId w:val="8"/>
      </w:numPr>
      <w:spacing w:after="240" w:line="480" w:lineRule="auto"/>
    </w:pPr>
    <w:rPr>
      <w:sz w:val="24"/>
    </w:rPr>
  </w:style>
  <w:style w:type="paragraph" w:customStyle="1" w:styleId="Byline">
    <w:name w:val="Byline"/>
    <w:basedOn w:val="BodyText"/>
    <w:pPr>
      <w:spacing w:line="480" w:lineRule="auto"/>
      <w:ind w:left="720"/>
    </w:pPr>
  </w:style>
  <w:style w:type="paragraph" w:customStyle="1" w:styleId="ReferenceLine">
    <w:name w:val="Reference Line"/>
    <w:basedOn w:val="BodyText"/>
    <w:pPr>
      <w:spacing w:line="480" w:lineRule="auto"/>
      <w:ind w:left="720"/>
    </w:pPr>
  </w:style>
  <w:style w:type="paragraph" w:customStyle="1" w:styleId="PPLine">
    <w:name w:val="PP Line"/>
    <w:basedOn w:val="Signature"/>
  </w:style>
  <w:style w:type="paragraph" w:styleId="Signature">
    <w:name w:val="Signature"/>
    <w:basedOn w:val="Normal"/>
    <w:pPr>
      <w:spacing w:after="240" w:line="480" w:lineRule="auto"/>
      <w:ind w:left="4320"/>
    </w:pPr>
    <w:rPr>
      <w:sz w:val="24"/>
    </w:rPr>
  </w:style>
  <w:style w:type="paragraph" w:customStyle="1" w:styleId="TableFontNormal">
    <w:name w:val="TableFontNormal"/>
    <w:basedOn w:val="Normal"/>
    <w:pPr>
      <w:spacing w:before="60" w:after="20"/>
      <w:jc w:val="center"/>
    </w:pPr>
    <w:rPr>
      <w:rFonts w:ascii="Arial" w:hAnsi="Arial" w:cs="Arial"/>
    </w:rPr>
  </w:style>
  <w:style w:type="paragraph" w:customStyle="1" w:styleId="TableFontHeading">
    <w:name w:val="TableFontHeading"/>
    <w:basedOn w:val="TableFontNormal"/>
    <w:rPr>
      <w:rFonts w:cs="Times New Roman"/>
      <w:b/>
      <w:bCs/>
    </w:rPr>
  </w:style>
  <w:style w:type="paragraph" w:styleId="Date">
    <w:name w:val="Date"/>
    <w:basedOn w:val="Normal"/>
    <w:next w:val="Normal"/>
    <w:pPr>
      <w:spacing w:after="240" w:line="480" w:lineRule="auto"/>
    </w:pPr>
    <w:rPr>
      <w:sz w:val="24"/>
    </w:rPr>
  </w:style>
  <w:style w:type="paragraph" w:customStyle="1" w:styleId="BodyTextNumbering">
    <w:name w:val="Body Text Numbering"/>
    <w:basedOn w:val="BodyText"/>
  </w:style>
  <w:style w:type="paragraph" w:customStyle="1" w:styleId="Bulletsend">
    <w:name w:val="Bulletsend"/>
    <w:basedOn w:val="Normal"/>
    <w:pPr>
      <w:numPr>
        <w:numId w:val="11"/>
      </w:numPr>
    </w:pPr>
  </w:style>
  <w:style w:type="paragraph" w:customStyle="1" w:styleId="EquationText">
    <w:name w:val="EquationText"/>
    <w:basedOn w:val="BodyText"/>
    <w:pPr>
      <w:tabs>
        <w:tab w:val="right" w:pos="2520"/>
        <w:tab w:val="right" w:pos="2790"/>
        <w:tab w:val="left" w:pos="2880"/>
        <w:tab w:val="right" w:pos="9180"/>
      </w:tabs>
      <w:spacing w:after="0"/>
      <w:ind w:left="1440"/>
    </w:pPr>
    <w:rPr>
      <w:sz w:val="36"/>
    </w:rPr>
  </w:style>
  <w:style w:type="paragraph" w:customStyle="1" w:styleId="Attachmentheading">
    <w:name w:val="Attachmentheading"/>
    <w:basedOn w:val="Normal"/>
    <w:pPr>
      <w:spacing w:before="720"/>
      <w:jc w:val="center"/>
    </w:pPr>
    <w:rPr>
      <w:b/>
      <w:bCs/>
      <w:sz w:val="40"/>
    </w:rPr>
  </w:style>
  <w:style w:type="paragraph" w:customStyle="1" w:styleId="TOC">
    <w:name w:val="TOC"/>
    <w:basedOn w:val="TOC1"/>
    <w:rsid w:val="00DE19BE"/>
    <w:pPr>
      <w:keepNext/>
      <w:keepLines/>
    </w:pPr>
  </w:style>
  <w:style w:type="paragraph" w:customStyle="1" w:styleId="AttachmentheadingL2">
    <w:name w:val="AttachmentheadingL2"/>
    <w:basedOn w:val="Normal"/>
    <w:autoRedefine/>
    <w:rsid w:val="00F36D6D"/>
    <w:pPr>
      <w:spacing w:before="240" w:after="240"/>
      <w:jc w:val="center"/>
      <w:outlineLvl w:val="1"/>
    </w:pPr>
    <w:rPr>
      <w:b/>
      <w:caps/>
      <w:sz w:val="40"/>
      <w:szCs w:val="40"/>
    </w:rPr>
  </w:style>
  <w:style w:type="paragraph" w:customStyle="1" w:styleId="Attachment">
    <w:name w:val="Attachment"/>
    <w:basedOn w:val="BodyText"/>
    <w:rsid w:val="00D770F2"/>
    <w:pPr>
      <w:jc w:val="center"/>
      <w:outlineLvl w:val="0"/>
    </w:pPr>
    <w:rPr>
      <w:b/>
      <w:bCs/>
      <w:caps/>
      <w:sz w:val="40"/>
      <w:szCs w:val="40"/>
    </w:rPr>
  </w:style>
  <w:style w:type="paragraph" w:styleId="BalloonText">
    <w:name w:val="Balloon Text"/>
    <w:basedOn w:val="Normal"/>
    <w:link w:val="BalloonTextChar"/>
    <w:uiPriority w:val="99"/>
    <w:rsid w:val="002C72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C72F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C82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828F4"/>
  </w:style>
  <w:style w:type="character" w:customStyle="1" w:styleId="CommentTextChar">
    <w:name w:val="Comment Text Char"/>
    <w:basedOn w:val="DefaultParagraphFont"/>
    <w:link w:val="CommentText"/>
    <w:uiPriority w:val="99"/>
    <w:rsid w:val="00C828F4"/>
  </w:style>
  <w:style w:type="paragraph" w:styleId="CommentSubject">
    <w:name w:val="annotation subject"/>
    <w:basedOn w:val="CommentText"/>
    <w:next w:val="CommentText"/>
    <w:link w:val="CommentSubjectChar"/>
    <w:uiPriority w:val="99"/>
    <w:rsid w:val="00C828F4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828F4"/>
    <w:rPr>
      <w:b/>
      <w:bCs/>
    </w:rPr>
  </w:style>
  <w:style w:type="paragraph" w:styleId="Revision">
    <w:name w:val="Revision"/>
    <w:hidden/>
    <w:uiPriority w:val="99"/>
    <w:semiHidden/>
    <w:rsid w:val="00C03EFC"/>
  </w:style>
  <w:style w:type="character" w:customStyle="1" w:styleId="Heading1Char">
    <w:name w:val="Heading 1 Char"/>
    <w:link w:val="Heading1"/>
    <w:uiPriority w:val="1"/>
    <w:rsid w:val="006841AF"/>
    <w:rPr>
      <w:b/>
      <w:smallCaps/>
      <w:sz w:val="32"/>
    </w:rPr>
  </w:style>
  <w:style w:type="character" w:customStyle="1" w:styleId="FooterChar">
    <w:name w:val="Footer Char"/>
    <w:basedOn w:val="DefaultParagraphFont"/>
    <w:link w:val="Footer"/>
    <w:uiPriority w:val="99"/>
    <w:rsid w:val="005E5299"/>
  </w:style>
  <w:style w:type="character" w:customStyle="1" w:styleId="BodyTextChar">
    <w:name w:val="Body Text Char"/>
    <w:basedOn w:val="DefaultParagraphFont"/>
    <w:link w:val="BodyText"/>
    <w:rsid w:val="007A0449"/>
    <w:rPr>
      <w:sz w:val="24"/>
    </w:rPr>
  </w:style>
  <w:style w:type="character" w:customStyle="1" w:styleId="Heading3Char">
    <w:name w:val="Heading 3 Char"/>
    <w:basedOn w:val="DefaultParagraphFont"/>
    <w:link w:val="Heading3"/>
    <w:uiPriority w:val="1"/>
    <w:rsid w:val="00FA4918"/>
    <w:rPr>
      <w:b/>
      <w:bCs/>
      <w:sz w:val="24"/>
    </w:rPr>
  </w:style>
  <w:style w:type="paragraph" w:styleId="ListParagraph">
    <w:name w:val="List Paragraph"/>
    <w:basedOn w:val="Normal"/>
    <w:uiPriority w:val="34"/>
    <w:qFormat/>
    <w:rsid w:val="00212E79"/>
    <w:pPr>
      <w:widowControl w:val="0"/>
      <w:autoSpaceDE w:val="0"/>
      <w:autoSpaceDN w:val="0"/>
      <w:ind w:left="1560" w:hanging="360"/>
    </w:pPr>
    <w:rPr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12E79"/>
    <w:pPr>
      <w:widowControl w:val="0"/>
      <w:autoSpaceDE w:val="0"/>
      <w:autoSpaceDN w:val="0"/>
      <w:ind w:left="378"/>
      <w:jc w:val="center"/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12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2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62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C7F0E-996D-456E-BF06-EC484603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1154</Words>
  <Characters>7266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8404</CharactersWithSpaces>
  <SharedDoc>false</SharedDoc>
  <HLinks>
    <vt:vector size="84" baseType="variant">
      <vt:variant>
        <vt:i4>1900670</vt:i4>
      </vt:variant>
      <vt:variant>
        <vt:i4>81</vt:i4>
      </vt:variant>
      <vt:variant>
        <vt:i4>0</vt:i4>
      </vt:variant>
      <vt:variant>
        <vt:i4>5</vt:i4>
      </vt:variant>
      <vt:variant>
        <vt:lpwstr>http://www.iso-ne.com/committees/comm_wkgrps/relblty_comm/sysdesign_tf/excptns/index.html</vt:lpwstr>
      </vt:variant>
      <vt:variant>
        <vt:lpwstr/>
      </vt:variant>
      <vt:variant>
        <vt:i4>1048626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_Toc531610722</vt:lpwstr>
      </vt:variant>
      <vt:variant>
        <vt:i4>1048626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_Toc531610721</vt:lpwstr>
      </vt:variant>
      <vt:variant>
        <vt:i4>1048626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_Toc531610720</vt:lpwstr>
      </vt:variant>
      <vt:variant>
        <vt:i4>1245234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_Toc531610719</vt:lpwstr>
      </vt:variant>
      <vt:variant>
        <vt:i4>1245234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_Toc531610718</vt:lpwstr>
      </vt:variant>
      <vt:variant>
        <vt:i4>1245234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_Toc531610717</vt:lpwstr>
      </vt:variant>
      <vt:variant>
        <vt:i4>1245234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_Toc531610716</vt:lpwstr>
      </vt:variant>
      <vt:variant>
        <vt:i4>1245234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_Toc531610715</vt:lpwstr>
      </vt:variant>
      <vt:variant>
        <vt:i4>1245234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_Toc531610714</vt:lpwstr>
      </vt:variant>
      <vt:variant>
        <vt:i4>1245234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_Toc531610713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_Toc531610712</vt:lpwstr>
      </vt:variant>
      <vt:variant>
        <vt:i4>1245234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_Toc531610711</vt:lpwstr>
      </vt:variant>
      <vt:variant>
        <vt:i4>1245234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_Toc531610710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2024-12-11T17:49:00Z</dcterms:created>
  <dcterms:modified xsi:type="dcterms:W3CDTF">2024-12-11T17:49:00Z</dcterms:modified>
</cp:coreProperties>
</file>