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3268" w14:textId="55FFCDA5" w:rsidR="003200F8" w:rsidRPr="00743DAA" w:rsidRDefault="00743DAA" w:rsidP="00743DAA">
      <w:pPr>
        <w:jc w:val="center"/>
      </w:pPr>
      <w:r>
        <w:t>191 FERC ¶ 61,026</w:t>
      </w:r>
    </w:p>
    <w:p w14:paraId="38875C60" w14:textId="30298DA3" w:rsidR="0075702A" w:rsidRPr="00395600" w:rsidRDefault="00E4083D">
      <w:pPr>
        <w:jc w:val="center"/>
      </w:pPr>
      <w:r>
        <w:t>UNITED STATES OF AMERICA</w:t>
      </w:r>
    </w:p>
    <w:p w14:paraId="3BEFB0E2" w14:textId="4A18576F" w:rsidR="0075702A" w:rsidRPr="00395600" w:rsidRDefault="0075702A">
      <w:pPr>
        <w:jc w:val="center"/>
      </w:pPr>
      <w:r w:rsidRPr="00395600">
        <w:t>FEDERAL ENERGY REGULATORY COMMISSION</w:t>
      </w:r>
    </w:p>
    <w:p w14:paraId="7561980E" w14:textId="77777777" w:rsidR="0075702A" w:rsidRPr="00395600" w:rsidRDefault="0075702A">
      <w:pPr>
        <w:jc w:val="center"/>
      </w:pPr>
    </w:p>
    <w:p w14:paraId="3C1335A4" w14:textId="751F6A6D" w:rsidR="0075702A" w:rsidRPr="00395600" w:rsidRDefault="0075702A">
      <w:pPr>
        <w:jc w:val="center"/>
      </w:pPr>
      <w:r w:rsidRPr="00395600">
        <w:t xml:space="preserve">18 CFR Part </w:t>
      </w:r>
      <w:r>
        <w:t>35</w:t>
      </w:r>
    </w:p>
    <w:p w14:paraId="47FDA56D" w14:textId="77777777" w:rsidR="0075702A" w:rsidRPr="00395600" w:rsidRDefault="0075702A">
      <w:pPr>
        <w:jc w:val="center"/>
      </w:pPr>
    </w:p>
    <w:p w14:paraId="68C0200F" w14:textId="77777777" w:rsidR="0075702A" w:rsidRDefault="0075702A">
      <w:pPr>
        <w:jc w:val="center"/>
      </w:pPr>
      <w:r w:rsidRPr="00395600">
        <w:t>[</w:t>
      </w:r>
      <w:r>
        <w:t>Docket No. RM21-17-003</w:t>
      </w:r>
      <w:r w:rsidRPr="00395600">
        <w:t>; Order No.</w:t>
      </w:r>
      <w:r>
        <w:t xml:space="preserve"> 1920-B</w:t>
      </w:r>
      <w:r w:rsidRPr="00395600">
        <w:t>]</w:t>
      </w:r>
    </w:p>
    <w:p w14:paraId="2D9ADB02" w14:textId="77777777" w:rsidR="0075702A" w:rsidRDefault="0075702A">
      <w:pPr>
        <w:jc w:val="center"/>
      </w:pPr>
    </w:p>
    <w:p w14:paraId="28D0A35C" w14:textId="2D6C778E" w:rsidR="0075702A" w:rsidRDefault="0075702A">
      <w:pPr>
        <w:jc w:val="center"/>
      </w:pPr>
      <w:r>
        <w:t>Building for the Future Through Electric</w:t>
      </w:r>
      <w:r>
        <w:br/>
        <w:t>Regional Transmission Planning and Cost Allocation</w:t>
      </w:r>
    </w:p>
    <w:p w14:paraId="6717CCC6" w14:textId="77777777" w:rsidR="0075702A" w:rsidRDefault="0075702A">
      <w:pPr>
        <w:jc w:val="center"/>
      </w:pPr>
    </w:p>
    <w:p w14:paraId="1717A54B" w14:textId="095A9937" w:rsidR="0075702A" w:rsidRPr="00395600" w:rsidRDefault="0075702A">
      <w:pPr>
        <w:jc w:val="center"/>
      </w:pPr>
      <w:r>
        <w:t xml:space="preserve">(Issued </w:t>
      </w:r>
      <w:r w:rsidR="00E4083D">
        <w:t>April 11</w:t>
      </w:r>
      <w:r>
        <w:t>, 2025)</w:t>
      </w:r>
    </w:p>
    <w:p w14:paraId="012CEE2A" w14:textId="77777777" w:rsidR="0075702A" w:rsidRPr="00395600" w:rsidRDefault="0075702A"/>
    <w:p w14:paraId="33B97269" w14:textId="77777777" w:rsidR="0075702A" w:rsidRPr="00395600" w:rsidRDefault="0075702A">
      <w:pPr>
        <w:spacing w:after="260"/>
      </w:pPr>
      <w:r w:rsidRPr="00AD5134">
        <w:rPr>
          <w:b/>
          <w:bCs/>
        </w:rPr>
        <w:t>AGENCY</w:t>
      </w:r>
      <w:r w:rsidRPr="00395600">
        <w:t>:  Federal Energy Regulatory Commission.</w:t>
      </w:r>
    </w:p>
    <w:p w14:paraId="6C6705FA" w14:textId="5909F3BD" w:rsidR="0075702A" w:rsidRPr="00395600" w:rsidRDefault="0075702A">
      <w:pPr>
        <w:spacing w:after="260"/>
      </w:pPr>
      <w:r w:rsidRPr="00AD5134">
        <w:rPr>
          <w:b/>
          <w:bCs/>
        </w:rPr>
        <w:t>ACTION</w:t>
      </w:r>
      <w:r w:rsidRPr="00395600">
        <w:t xml:space="preserve">:  </w:t>
      </w:r>
      <w:r>
        <w:t>Order on rehearing and clarification</w:t>
      </w:r>
    </w:p>
    <w:p w14:paraId="475D3960" w14:textId="356AAC75" w:rsidR="0075702A" w:rsidRPr="00395600" w:rsidRDefault="0075702A">
      <w:pPr>
        <w:spacing w:line="480" w:lineRule="auto"/>
      </w:pPr>
      <w:r w:rsidRPr="00AD5134">
        <w:rPr>
          <w:b/>
          <w:bCs/>
        </w:rPr>
        <w:t>SUMMARY</w:t>
      </w:r>
      <w:r w:rsidRPr="00395600">
        <w:t xml:space="preserve">:  </w:t>
      </w:r>
      <w:r w:rsidR="00593AFD">
        <w:t xml:space="preserve">In this order, the Federal Energy Regulatory Commission addresses arguments raised on rehearing, </w:t>
      </w:r>
      <w:r w:rsidR="00EC4CE4" w:rsidRPr="002076DE">
        <w:t>grants clarification</w:t>
      </w:r>
      <w:r w:rsidR="00593AFD" w:rsidRPr="002076DE">
        <w:t xml:space="preserve">, in part, and </w:t>
      </w:r>
      <w:r w:rsidR="00974272" w:rsidRPr="002076DE">
        <w:t xml:space="preserve">denies </w:t>
      </w:r>
      <w:r w:rsidR="00593AFD" w:rsidRPr="002076DE">
        <w:t>clarif</w:t>
      </w:r>
      <w:r w:rsidR="006F4E09" w:rsidRPr="002076DE">
        <w:t>ication</w:t>
      </w:r>
      <w:r w:rsidR="00DF6E47" w:rsidRPr="002076DE">
        <w:t>, in part,</w:t>
      </w:r>
      <w:r w:rsidR="006F4E09" w:rsidRPr="002076DE">
        <w:t xml:space="preserve"> of</w:t>
      </w:r>
      <w:r w:rsidR="00593AFD">
        <w:t xml:space="preserve"> Order No. 1920</w:t>
      </w:r>
      <w:r w:rsidR="008028E7">
        <w:t xml:space="preserve">-A, </w:t>
      </w:r>
      <w:r w:rsidR="000F396C">
        <w:t>which addressed arguments raised on rehearing</w:t>
      </w:r>
      <w:r w:rsidR="00A3021D">
        <w:t xml:space="preserve"> of</w:t>
      </w:r>
      <w:r w:rsidR="00B06F2E">
        <w:t>, set aside, in part, and clarified</w:t>
      </w:r>
      <w:r w:rsidR="0096258A">
        <w:t xml:space="preserve"> Order No. 1920</w:t>
      </w:r>
      <w:r w:rsidR="000764D8">
        <w:t xml:space="preserve">.  </w:t>
      </w:r>
      <w:r w:rsidR="0072342C">
        <w:t>Order No. 1920</w:t>
      </w:r>
      <w:r w:rsidR="00B06F2E">
        <w:t xml:space="preserve"> required transmission </w:t>
      </w:r>
      <w:r w:rsidR="00587728">
        <w:t>providers</w:t>
      </w:r>
      <w:r w:rsidR="0072342C">
        <w:t xml:space="preserve">, </w:t>
      </w:r>
      <w:r w:rsidR="0072342C">
        <w:rPr>
          <w:i/>
          <w:iCs/>
        </w:rPr>
        <w:t>inter alia</w:t>
      </w:r>
      <w:r w:rsidR="0072342C">
        <w:t>,</w:t>
      </w:r>
      <w:r w:rsidR="00587728">
        <w:t xml:space="preserve"> to conduct Long-Term Regional Transmission Planning to ensure the identification, evaluation, and selection, as well as the allocation of the costs, of more efficient or cost-effective regional transmission solutions to address Long-Term Transmission Needs.</w:t>
      </w:r>
    </w:p>
    <w:p w14:paraId="5E6EE92C" w14:textId="10B33C21" w:rsidR="0075702A" w:rsidRDefault="0075702A">
      <w:pPr>
        <w:spacing w:line="480" w:lineRule="auto"/>
        <w:rPr>
          <w:b/>
        </w:rPr>
      </w:pPr>
      <w:r w:rsidRPr="00591753">
        <w:rPr>
          <w:b/>
          <w:bCs/>
        </w:rPr>
        <w:t>DATE</w:t>
      </w:r>
      <w:r>
        <w:rPr>
          <w:b/>
          <w:bCs/>
        </w:rPr>
        <w:t>S</w:t>
      </w:r>
      <w:r w:rsidRPr="00395600">
        <w:t>:</w:t>
      </w:r>
      <w:r w:rsidR="00E4083D">
        <w:t xml:space="preserve">  </w:t>
      </w:r>
      <w:r w:rsidR="00195096" w:rsidRPr="00195096">
        <w:t xml:space="preserve">The effective date of the document published on </w:t>
      </w:r>
      <w:r w:rsidR="00072692">
        <w:t>December 6</w:t>
      </w:r>
      <w:r w:rsidR="0022361C">
        <w:t>, 2024</w:t>
      </w:r>
      <w:r w:rsidR="00195096" w:rsidRPr="00195096">
        <w:t xml:space="preserve"> </w:t>
      </w:r>
      <w:r w:rsidR="00E4083D">
        <w:t xml:space="preserve">               </w:t>
      </w:r>
      <w:proofErr w:type="gramStart"/>
      <w:r w:rsidR="00E4083D">
        <w:t xml:space="preserve">   </w:t>
      </w:r>
      <w:r w:rsidR="00195096" w:rsidRPr="00195096">
        <w:t>(</w:t>
      </w:r>
      <w:proofErr w:type="gramEnd"/>
      <w:r w:rsidR="00F83BAF" w:rsidRPr="00F83BAF">
        <w:t>89 FR 97</w:t>
      </w:r>
      <w:r w:rsidR="00C53FE3">
        <w:t>,</w:t>
      </w:r>
      <w:r w:rsidR="00F83BAF" w:rsidRPr="00F83BAF">
        <w:t>174</w:t>
      </w:r>
      <w:r w:rsidR="00195096" w:rsidRPr="00195096">
        <w:t xml:space="preserve">), is confirmed:  </w:t>
      </w:r>
      <w:r w:rsidR="001676E8">
        <w:t xml:space="preserve">January </w:t>
      </w:r>
      <w:r w:rsidR="00E14AD7" w:rsidRPr="00C874F9">
        <w:t>6</w:t>
      </w:r>
      <w:r w:rsidR="00AD4991">
        <w:t>, 2025</w:t>
      </w:r>
      <w:r w:rsidR="00195096" w:rsidRPr="00195096">
        <w:t xml:space="preserve">. </w:t>
      </w:r>
      <w:r w:rsidRPr="00395600">
        <w:t xml:space="preserve"> </w:t>
      </w:r>
    </w:p>
    <w:p w14:paraId="5DA8BA47" w14:textId="47166540" w:rsidR="0075702A" w:rsidRPr="00E4083D" w:rsidRDefault="00322B5B" w:rsidP="00E4083D">
      <w:pPr>
        <w:widowControl/>
        <w:spacing w:after="160" w:line="259" w:lineRule="auto"/>
        <w:rPr>
          <w:b/>
        </w:rPr>
      </w:pPr>
      <w:r>
        <w:rPr>
          <w:b/>
        </w:rPr>
        <w:br w:type="page"/>
      </w:r>
    </w:p>
    <w:p w14:paraId="32924906" w14:textId="413728FC" w:rsidR="0075702A" w:rsidRPr="00395600" w:rsidRDefault="0075702A" w:rsidP="00E4083D">
      <w:pPr>
        <w:widowControl/>
        <w:spacing w:after="160" w:line="259" w:lineRule="auto"/>
      </w:pPr>
      <w:r w:rsidRPr="0075702A">
        <w:lastRenderedPageBreak/>
        <w:t>FOR FURTHER INFORMATION CONTACT:</w:t>
      </w:r>
    </w:p>
    <w:p w14:paraId="345F9A75" w14:textId="5756748A" w:rsidR="002E0FA7" w:rsidRDefault="002E0FA7">
      <w:r>
        <w:t>Patrick T. Metz (Legal Information)</w:t>
      </w:r>
    </w:p>
    <w:p w14:paraId="1EE58AFA" w14:textId="4D0BDD4B" w:rsidR="002E0FA7" w:rsidRDefault="007E4201">
      <w:r>
        <w:t>Office of the General Counsel</w:t>
      </w:r>
    </w:p>
    <w:p w14:paraId="2FAACDFA" w14:textId="243FCEA3" w:rsidR="007E4201" w:rsidRDefault="007E4201">
      <w:r>
        <w:t>888 First Street, NE</w:t>
      </w:r>
    </w:p>
    <w:p w14:paraId="50F4D24D" w14:textId="0FA1571B" w:rsidR="007E4201" w:rsidRDefault="007E4201">
      <w:r>
        <w:t>Washington, DC  20426</w:t>
      </w:r>
    </w:p>
    <w:p w14:paraId="03A464B7" w14:textId="5B078CF8" w:rsidR="007E4201" w:rsidRDefault="007E4201">
      <w:r>
        <w:t>(202) 502-8197</w:t>
      </w:r>
    </w:p>
    <w:p w14:paraId="5C2F7AF2" w14:textId="7A047329" w:rsidR="007E4201" w:rsidRDefault="005A3EFC">
      <w:r w:rsidRPr="008167F8">
        <w:t>patrick.metz@ferc.gov</w:t>
      </w:r>
    </w:p>
    <w:p w14:paraId="3BCF8E3B" w14:textId="77777777" w:rsidR="005A3EFC" w:rsidRDefault="005A3EFC"/>
    <w:p w14:paraId="5D429CF0" w14:textId="77777777" w:rsidR="005A3EFC" w:rsidRPr="005A3EFC" w:rsidRDefault="005A3EFC" w:rsidP="005A3EFC">
      <w:r w:rsidRPr="005A3EFC">
        <w:t>Michael Kellermann (Legal Information)</w:t>
      </w:r>
    </w:p>
    <w:p w14:paraId="5F8B8F75" w14:textId="77777777" w:rsidR="005A3EFC" w:rsidRPr="005A3EFC" w:rsidRDefault="005A3EFC" w:rsidP="005A3EFC">
      <w:r w:rsidRPr="005A3EFC">
        <w:t>Office of the General Counsel</w:t>
      </w:r>
    </w:p>
    <w:p w14:paraId="080B6768" w14:textId="77777777" w:rsidR="005A3EFC" w:rsidRPr="005A3EFC" w:rsidRDefault="005A3EFC" w:rsidP="005A3EFC">
      <w:r w:rsidRPr="005A3EFC">
        <w:t>888 First Street, NE</w:t>
      </w:r>
    </w:p>
    <w:p w14:paraId="388AA379" w14:textId="77777777" w:rsidR="005A3EFC" w:rsidRPr="005A3EFC" w:rsidRDefault="005A3EFC" w:rsidP="005A3EFC">
      <w:r w:rsidRPr="005A3EFC">
        <w:t>Washington, DC  20426</w:t>
      </w:r>
    </w:p>
    <w:p w14:paraId="39AE369E" w14:textId="77777777" w:rsidR="005A3EFC" w:rsidRPr="005A3EFC" w:rsidRDefault="005A3EFC" w:rsidP="005A3EFC">
      <w:r w:rsidRPr="005A3EFC">
        <w:t>(202) 502-8491</w:t>
      </w:r>
    </w:p>
    <w:p w14:paraId="6B72272F" w14:textId="77777777" w:rsidR="005A3EFC" w:rsidRPr="005A3EFC" w:rsidRDefault="005A3EFC" w:rsidP="005A3EFC">
      <w:r w:rsidRPr="005A3EFC">
        <w:t>michael.kellermann@ferc.gov</w:t>
      </w:r>
    </w:p>
    <w:p w14:paraId="09F44510" w14:textId="77777777" w:rsidR="007E4201" w:rsidRDefault="007E4201"/>
    <w:p w14:paraId="4C3B038E" w14:textId="77777777" w:rsidR="00FF7E68" w:rsidRPr="00FF7E68" w:rsidRDefault="00FF7E68" w:rsidP="00FF7E68">
      <w:r w:rsidRPr="00FF7E68">
        <w:t>David Borden (Technical Information)</w:t>
      </w:r>
    </w:p>
    <w:p w14:paraId="0F044444" w14:textId="77777777" w:rsidR="00FF7E68" w:rsidRPr="00FF7E68" w:rsidRDefault="00FF7E68" w:rsidP="00FF7E68">
      <w:r w:rsidRPr="00FF7E68">
        <w:t>Office of Energy Policy and Innovation</w:t>
      </w:r>
    </w:p>
    <w:p w14:paraId="31BBAAD6" w14:textId="77777777" w:rsidR="00FF7E68" w:rsidRPr="00FF7E68" w:rsidRDefault="00FF7E68" w:rsidP="00FF7E68">
      <w:r w:rsidRPr="00FF7E68">
        <w:t>888 First Street, NE</w:t>
      </w:r>
    </w:p>
    <w:p w14:paraId="0795AE2F" w14:textId="6FD2F5C0" w:rsidR="00FF7E68" w:rsidRPr="00FF7E68" w:rsidRDefault="00FF7E68" w:rsidP="00FF7E68">
      <w:r w:rsidRPr="00FF7E68">
        <w:t>Washington, DC</w:t>
      </w:r>
      <w:r w:rsidR="001301FF">
        <w:t xml:space="preserve">  </w:t>
      </w:r>
      <w:r w:rsidRPr="00FF7E68">
        <w:t>20426</w:t>
      </w:r>
    </w:p>
    <w:p w14:paraId="1447FDC5" w14:textId="77777777" w:rsidR="00FF7E68" w:rsidRPr="00FF7E68" w:rsidRDefault="00FF7E68" w:rsidP="00FF7E68">
      <w:r w:rsidRPr="00FF7E68">
        <w:t>(202) 502-8734</w:t>
      </w:r>
    </w:p>
    <w:p w14:paraId="17C5034D" w14:textId="5328DE9D" w:rsidR="007E4201" w:rsidRDefault="00FF7E68" w:rsidP="00FF7E68">
      <w:r w:rsidRPr="000C0799">
        <w:t>david.borden@ferc.gov</w:t>
      </w:r>
    </w:p>
    <w:p w14:paraId="70F9E7FD" w14:textId="77777777" w:rsidR="00FF7E68" w:rsidRDefault="00FF7E68" w:rsidP="00FF7E68"/>
    <w:p w14:paraId="54D90F00" w14:textId="77777777" w:rsidR="00146FF4" w:rsidRPr="00146FF4" w:rsidRDefault="00146FF4" w:rsidP="00146FF4">
      <w:r w:rsidRPr="00146FF4">
        <w:t>Noah Lichtenstein (Technical Information)</w:t>
      </w:r>
    </w:p>
    <w:p w14:paraId="26215CBA" w14:textId="77777777" w:rsidR="00146FF4" w:rsidRPr="00146FF4" w:rsidRDefault="00146FF4" w:rsidP="00146FF4">
      <w:r w:rsidRPr="00146FF4">
        <w:t>Office of Energy Market Regulation</w:t>
      </w:r>
    </w:p>
    <w:p w14:paraId="68EF0A5C" w14:textId="77777777" w:rsidR="00146FF4" w:rsidRPr="00146FF4" w:rsidRDefault="00146FF4" w:rsidP="00146FF4">
      <w:r w:rsidRPr="00146FF4">
        <w:t>888 First Street, NE</w:t>
      </w:r>
    </w:p>
    <w:p w14:paraId="356D4D81" w14:textId="0B2AC1DC" w:rsidR="00146FF4" w:rsidRPr="00146FF4" w:rsidRDefault="00146FF4" w:rsidP="00146FF4">
      <w:r w:rsidRPr="00146FF4">
        <w:t xml:space="preserve">Washington, DC </w:t>
      </w:r>
      <w:r w:rsidR="001301FF">
        <w:t xml:space="preserve"> </w:t>
      </w:r>
      <w:r w:rsidRPr="00146FF4">
        <w:t>20426</w:t>
      </w:r>
    </w:p>
    <w:p w14:paraId="3D431EC9" w14:textId="77777777" w:rsidR="00146FF4" w:rsidRPr="00146FF4" w:rsidRDefault="00146FF4" w:rsidP="00146FF4">
      <w:r w:rsidRPr="00146FF4">
        <w:t>(202) 502-8696</w:t>
      </w:r>
    </w:p>
    <w:p w14:paraId="61476026" w14:textId="5300E574" w:rsidR="00FF7E68" w:rsidRDefault="00146FF4" w:rsidP="00146FF4">
      <w:r w:rsidRPr="00146FF4">
        <w:t>noah.lichtenstein@ferc.gov</w:t>
      </w:r>
    </w:p>
    <w:p w14:paraId="4D13D9F5" w14:textId="77777777" w:rsidR="00D558E3" w:rsidRDefault="00D558E3"/>
    <w:p w14:paraId="64A28690" w14:textId="77777777" w:rsidR="0075702A" w:rsidRDefault="0075702A">
      <w:r w:rsidRPr="00AD5134">
        <w:rPr>
          <w:b/>
          <w:bCs/>
        </w:rPr>
        <w:t>SUPPLEMENTARY INFORMATION</w:t>
      </w:r>
      <w:r w:rsidRPr="00395600">
        <w:t>:</w:t>
      </w:r>
    </w:p>
    <w:p w14:paraId="50BA0128" w14:textId="77777777" w:rsidR="008167F8" w:rsidRDefault="008167F8"/>
    <w:p w14:paraId="12EC31A2" w14:textId="77777777" w:rsidR="008167F8" w:rsidRPr="00395600" w:rsidRDefault="008167F8">
      <w:pPr>
        <w:sectPr w:rsidR="008167F8" w:rsidRPr="00395600" w:rsidSect="0090043F">
          <w:headerReference w:type="even" r:id="rId7"/>
          <w:headerReference w:type="default" r:id="rId8"/>
          <w:headerReference w:type="first" r:id="rId9"/>
          <w:pgSz w:w="12240" w:h="15840"/>
          <w:pgMar w:top="1440" w:right="1440" w:bottom="1440" w:left="1440" w:header="720" w:footer="720" w:gutter="0"/>
          <w:pgNumType w:fmt="lowerRoman" w:start="1"/>
          <w:cols w:space="720"/>
          <w:titlePg/>
          <w:docGrid w:linePitch="360"/>
        </w:sectPr>
      </w:pPr>
    </w:p>
    <w:p w14:paraId="144C5040" w14:textId="5A28432F" w:rsidR="001301FF" w:rsidRPr="001301FF" w:rsidRDefault="001301FF">
      <w:pPr>
        <w:jc w:val="center"/>
      </w:pPr>
      <w:r>
        <w:lastRenderedPageBreak/>
        <w:t>191 FERC ¶ 61,026</w:t>
      </w:r>
    </w:p>
    <w:p w14:paraId="0A38DEDC" w14:textId="0CB8456E" w:rsidR="0075702A" w:rsidRPr="00395600" w:rsidRDefault="0075702A">
      <w:pPr>
        <w:jc w:val="center"/>
      </w:pPr>
      <w:r w:rsidRPr="00395600">
        <w:t>UNITED STATES OF AMERICA</w:t>
      </w:r>
    </w:p>
    <w:p w14:paraId="42CA4A94" w14:textId="77777777" w:rsidR="0075702A" w:rsidRPr="00395600" w:rsidRDefault="0075702A">
      <w:pPr>
        <w:jc w:val="center"/>
      </w:pPr>
      <w:r w:rsidRPr="00395600">
        <w:t>FEDERAL ENERGY REGULATORY COMMISSION</w:t>
      </w:r>
    </w:p>
    <w:p w14:paraId="659BF37E" w14:textId="77777777" w:rsidR="0075702A" w:rsidRPr="00395600" w:rsidRDefault="0075702A"/>
    <w:p w14:paraId="2AD91FE9" w14:textId="6F2BF007" w:rsidR="0075702A" w:rsidRPr="001301FF" w:rsidRDefault="001301FF" w:rsidP="001301FF">
      <w:pPr>
        <w:widowControl/>
      </w:pPr>
      <w:r w:rsidRPr="001301FF">
        <w:t xml:space="preserve">Before Commissioners:  Mark C. Christie, </w:t>
      </w:r>
      <w:proofErr w:type="gramStart"/>
      <w:r w:rsidRPr="001301FF">
        <w:t>Chairman;</w:t>
      </w:r>
      <w:proofErr w:type="gramEnd"/>
    </w:p>
    <w:p w14:paraId="4C14DBA7" w14:textId="573B8383" w:rsidR="001301FF" w:rsidRPr="001301FF" w:rsidRDefault="001301FF" w:rsidP="001301FF">
      <w:pPr>
        <w:widowControl/>
      </w:pPr>
      <w:r w:rsidRPr="001301FF">
        <w:t xml:space="preserve">                                        Willie L. Phillips, David Rosner,</w:t>
      </w:r>
    </w:p>
    <w:p w14:paraId="744084C0" w14:textId="5983CD83" w:rsidR="001301FF" w:rsidRPr="00395600" w:rsidRDefault="001301FF" w:rsidP="001301FF">
      <w:pPr>
        <w:widowControl/>
      </w:pPr>
      <w:r w:rsidRPr="001301FF">
        <w:t xml:space="preserve">                                        and Judy W. Chang.</w:t>
      </w:r>
    </w:p>
    <w:p w14:paraId="66AA0023" w14:textId="77777777" w:rsidR="0075702A" w:rsidRPr="00395600" w:rsidRDefault="007570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7"/>
        <w:gridCol w:w="1633"/>
        <w:gridCol w:w="1800"/>
      </w:tblGrid>
      <w:tr w:rsidR="0075702A" w:rsidRPr="00395600" w14:paraId="1E14DCC6" w14:textId="77777777" w:rsidTr="0055532F">
        <w:tc>
          <w:tcPr>
            <w:tcW w:w="5927" w:type="dxa"/>
            <w:shd w:val="clear" w:color="auto" w:fill="auto"/>
          </w:tcPr>
          <w:p w14:paraId="22D43E65" w14:textId="77777777" w:rsidR="0075702A" w:rsidRPr="00395600" w:rsidRDefault="0075702A">
            <w:pPr>
              <w:widowControl/>
              <w:autoSpaceDE/>
              <w:autoSpaceDN/>
              <w:adjustRightInd/>
              <w:rPr>
                <w:rFonts w:cstheme="minorBidi"/>
                <w:szCs w:val="22"/>
              </w:rPr>
            </w:pPr>
            <w:r>
              <w:rPr>
                <w:rFonts w:cstheme="minorBidi"/>
                <w:szCs w:val="22"/>
              </w:rPr>
              <w:t>Building for the Future Through Electric Regional Transmission Planning and Cost Allocation</w:t>
            </w:r>
          </w:p>
        </w:tc>
        <w:tc>
          <w:tcPr>
            <w:tcW w:w="1633" w:type="dxa"/>
            <w:shd w:val="clear" w:color="auto" w:fill="auto"/>
          </w:tcPr>
          <w:p w14:paraId="436A6FF3" w14:textId="78110018" w:rsidR="0075702A" w:rsidRPr="00395600" w:rsidRDefault="0055532F">
            <w:pPr>
              <w:widowControl/>
              <w:autoSpaceDE/>
              <w:autoSpaceDN/>
              <w:adjustRightInd/>
              <w:rPr>
                <w:rFonts w:cstheme="minorBidi"/>
                <w:szCs w:val="22"/>
              </w:rPr>
            </w:pPr>
            <w:r>
              <w:rPr>
                <w:rFonts w:cstheme="minorBidi"/>
                <w:szCs w:val="22"/>
              </w:rPr>
              <w:t xml:space="preserve">   </w:t>
            </w:r>
            <w:r w:rsidR="0075702A">
              <w:rPr>
                <w:rFonts w:cstheme="minorBidi"/>
                <w:szCs w:val="22"/>
              </w:rPr>
              <w:t>Docket No.</w:t>
            </w:r>
          </w:p>
        </w:tc>
        <w:tc>
          <w:tcPr>
            <w:tcW w:w="1800" w:type="dxa"/>
            <w:shd w:val="clear" w:color="auto" w:fill="auto"/>
          </w:tcPr>
          <w:p w14:paraId="65558D26" w14:textId="77777777" w:rsidR="0075702A" w:rsidRPr="00395600" w:rsidRDefault="0075702A" w:rsidP="0055532F">
            <w:pPr>
              <w:widowControl/>
              <w:autoSpaceDE/>
              <w:autoSpaceDN/>
              <w:adjustRightInd/>
              <w:ind w:hanging="110"/>
              <w:rPr>
                <w:rFonts w:cstheme="minorBidi"/>
                <w:szCs w:val="22"/>
              </w:rPr>
            </w:pPr>
            <w:r>
              <w:rPr>
                <w:rFonts w:cstheme="minorBidi"/>
                <w:szCs w:val="22"/>
              </w:rPr>
              <w:t>RM21-17-003</w:t>
            </w:r>
          </w:p>
        </w:tc>
      </w:tr>
    </w:tbl>
    <w:p w14:paraId="216655F9" w14:textId="77777777" w:rsidR="0075702A" w:rsidRPr="00395600" w:rsidRDefault="0075702A"/>
    <w:p w14:paraId="1C31DC1E" w14:textId="31720A08" w:rsidR="0075702A" w:rsidRDefault="0075702A">
      <w:pPr>
        <w:jc w:val="center"/>
      </w:pPr>
      <w:r w:rsidRPr="00395600">
        <w:t>ORDER NO.</w:t>
      </w:r>
      <w:r>
        <w:t xml:space="preserve"> 1920-B</w:t>
      </w:r>
    </w:p>
    <w:p w14:paraId="3FD6215F" w14:textId="77777777" w:rsidR="0075702A" w:rsidRDefault="0075702A">
      <w:pPr>
        <w:jc w:val="center"/>
      </w:pPr>
    </w:p>
    <w:p w14:paraId="14CB1560" w14:textId="7FE452C4" w:rsidR="0075702A" w:rsidRDefault="0075702A">
      <w:pPr>
        <w:jc w:val="center"/>
      </w:pPr>
      <w:r w:rsidRPr="002076DE">
        <w:t xml:space="preserve">ORDER ON REHEARING </w:t>
      </w:r>
      <w:r w:rsidRPr="002076DE" w:rsidDel="007E44C7">
        <w:t>AND CLARIFICATION</w:t>
      </w:r>
    </w:p>
    <w:p w14:paraId="4DFFD1E0" w14:textId="77777777" w:rsidR="0075702A" w:rsidRDefault="0075702A">
      <w:pPr>
        <w:jc w:val="center"/>
      </w:pPr>
    </w:p>
    <w:p w14:paraId="6A235B95" w14:textId="544DB7DB" w:rsidR="0075702A" w:rsidRPr="00395600" w:rsidRDefault="0075702A">
      <w:pPr>
        <w:jc w:val="center"/>
      </w:pPr>
      <w:r>
        <w:t xml:space="preserve">(Issued </w:t>
      </w:r>
      <w:r w:rsidR="0055532F">
        <w:t>April 11</w:t>
      </w:r>
      <w:r>
        <w:t>, 2025)</w:t>
      </w:r>
    </w:p>
    <w:p w14:paraId="697D61D5" w14:textId="77777777" w:rsidR="0075702A" w:rsidRDefault="0075702A">
      <w:pPr>
        <w:jc w:val="center"/>
      </w:pPr>
    </w:p>
    <w:p w14:paraId="0A1F0824" w14:textId="77777777" w:rsidR="0075702A" w:rsidRDefault="0075702A">
      <w:pPr>
        <w:jc w:val="center"/>
      </w:pPr>
      <w:r>
        <w:t>TABLE OF CONTENTS</w:t>
      </w:r>
    </w:p>
    <w:p w14:paraId="638805CC" w14:textId="77777777" w:rsidR="0075702A" w:rsidRDefault="0075702A"/>
    <w:p w14:paraId="74535034" w14:textId="77777777" w:rsidR="0075702A" w:rsidRDefault="0075702A">
      <w:pPr>
        <w:tabs>
          <w:tab w:val="right" w:pos="9360"/>
        </w:tabs>
      </w:pPr>
      <w:r>
        <w:tab/>
      </w:r>
      <w:r>
        <w:rPr>
          <w:u w:val="single"/>
        </w:rPr>
        <w:t>Paragraph Numbers</w:t>
      </w:r>
    </w:p>
    <w:p w14:paraId="3B38C6B7" w14:textId="77777777" w:rsidR="0075702A" w:rsidRDefault="0075702A">
      <w:pPr>
        <w:tabs>
          <w:tab w:val="right" w:pos="9360"/>
        </w:tabs>
      </w:pPr>
    </w:p>
    <w:p w14:paraId="07CCD52F" w14:textId="48BE2E15" w:rsidR="002215FB" w:rsidRDefault="002215FB" w:rsidP="002215FB">
      <w:pPr>
        <w:pStyle w:val="myTOC1"/>
      </w:pPr>
      <w:r>
        <w:t>I. Introduction</w:t>
      </w:r>
      <w:r>
        <w:tab/>
      </w:r>
      <w:hyperlink w:anchor="_bmk1" w:history="1">
        <w:r>
          <w:rPr>
            <w:rStyle w:val="Hyperlink"/>
            <w:rFonts w:eastAsiaTheme="minorHAnsi"/>
            <w:szCs w:val="22"/>
          </w:rPr>
          <w:t>1.</w:t>
        </w:r>
      </w:hyperlink>
    </w:p>
    <w:p w14:paraId="4FEF7DCC" w14:textId="25222483" w:rsidR="002215FB" w:rsidRDefault="002215FB" w:rsidP="002215FB">
      <w:pPr>
        <w:pStyle w:val="myTOC1"/>
      </w:pPr>
      <w:r>
        <w:t>II. Long-Term Regional Transmission Planning</w:t>
      </w:r>
      <w:r>
        <w:tab/>
      </w:r>
      <w:hyperlink w:anchor="_bmk2" w:history="1">
        <w:r>
          <w:rPr>
            <w:rStyle w:val="Hyperlink"/>
            <w:rFonts w:eastAsiaTheme="minorHAnsi"/>
            <w:szCs w:val="22"/>
          </w:rPr>
          <w:t>6.</w:t>
        </w:r>
      </w:hyperlink>
    </w:p>
    <w:p w14:paraId="72DBC68A" w14:textId="7D7AA411" w:rsidR="002215FB" w:rsidRDefault="002215FB" w:rsidP="002215FB">
      <w:pPr>
        <w:pStyle w:val="myTOC2"/>
      </w:pPr>
      <w:r>
        <w:t>A. Planning for the Long-Term Transmission Needs of Unenrolled Non-Jurisdictional Transmission Providers</w:t>
      </w:r>
      <w:r>
        <w:tab/>
      </w:r>
      <w:hyperlink w:anchor="_bmk3" w:history="1">
        <w:r>
          <w:rPr>
            <w:rStyle w:val="Hyperlink"/>
            <w:rFonts w:eastAsiaTheme="minorHAnsi"/>
            <w:szCs w:val="22"/>
          </w:rPr>
          <w:t>6.</w:t>
        </w:r>
      </w:hyperlink>
    </w:p>
    <w:p w14:paraId="26708237" w14:textId="27952144" w:rsidR="002215FB" w:rsidRDefault="002215FB" w:rsidP="002215FB">
      <w:pPr>
        <w:pStyle w:val="myTOC3"/>
      </w:pPr>
      <w:r>
        <w:t>1. Order Nos. 1920 and 1920-A</w:t>
      </w:r>
      <w:r>
        <w:tab/>
      </w:r>
      <w:hyperlink w:anchor="_bmk4" w:history="1">
        <w:r>
          <w:rPr>
            <w:rStyle w:val="Hyperlink"/>
            <w:rFonts w:eastAsiaTheme="minorHAnsi"/>
            <w:szCs w:val="22"/>
          </w:rPr>
          <w:t>6.</w:t>
        </w:r>
      </w:hyperlink>
    </w:p>
    <w:p w14:paraId="4BCBB20C" w14:textId="2A3F535E" w:rsidR="002215FB" w:rsidRDefault="002215FB" w:rsidP="002215FB">
      <w:pPr>
        <w:pStyle w:val="myTOC3"/>
      </w:pPr>
      <w:r>
        <w:t>2. Rehearing Requests</w:t>
      </w:r>
      <w:r>
        <w:tab/>
      </w:r>
      <w:hyperlink w:anchor="_bmk5" w:history="1">
        <w:r>
          <w:rPr>
            <w:rStyle w:val="Hyperlink"/>
            <w:rFonts w:eastAsiaTheme="minorHAnsi"/>
            <w:szCs w:val="22"/>
          </w:rPr>
          <w:t>9.</w:t>
        </w:r>
      </w:hyperlink>
    </w:p>
    <w:p w14:paraId="73D45FDE" w14:textId="4B63A5DE" w:rsidR="002215FB" w:rsidRDefault="002215FB" w:rsidP="002215FB">
      <w:pPr>
        <w:pStyle w:val="myTOC3"/>
      </w:pPr>
      <w:r>
        <w:t>3. Commission Determination</w:t>
      </w:r>
      <w:r>
        <w:tab/>
      </w:r>
      <w:hyperlink w:anchor="_bmk6" w:history="1">
        <w:r>
          <w:rPr>
            <w:rStyle w:val="Hyperlink"/>
            <w:rFonts w:eastAsiaTheme="minorHAnsi"/>
            <w:szCs w:val="22"/>
          </w:rPr>
          <w:t>21.</w:t>
        </w:r>
      </w:hyperlink>
    </w:p>
    <w:p w14:paraId="77984C40" w14:textId="317E9348" w:rsidR="002215FB" w:rsidRDefault="002215FB" w:rsidP="002215FB">
      <w:pPr>
        <w:pStyle w:val="myTOC1"/>
      </w:pPr>
      <w:r>
        <w:t>III. Regional Transmission Cost Allocation</w:t>
      </w:r>
      <w:r>
        <w:tab/>
      </w:r>
      <w:hyperlink w:anchor="_bmk7" w:history="1">
        <w:r>
          <w:rPr>
            <w:rStyle w:val="Hyperlink"/>
            <w:rFonts w:eastAsiaTheme="minorHAnsi"/>
            <w:szCs w:val="22"/>
          </w:rPr>
          <w:t>23.</w:t>
        </w:r>
      </w:hyperlink>
    </w:p>
    <w:p w14:paraId="1EEC3F68" w14:textId="6D2C351D" w:rsidR="002215FB" w:rsidRDefault="002215FB" w:rsidP="002215FB">
      <w:pPr>
        <w:pStyle w:val="myTOC2"/>
      </w:pPr>
      <w:r>
        <w:t>A. Requirements Concerning Relevant State Entities’ Agreed-upon Cost Allocation Methods</w:t>
      </w:r>
      <w:r>
        <w:tab/>
      </w:r>
      <w:hyperlink w:anchor="_bmk8" w:history="1">
        <w:r>
          <w:rPr>
            <w:rStyle w:val="Hyperlink"/>
            <w:rFonts w:eastAsiaTheme="minorHAnsi"/>
            <w:szCs w:val="22"/>
          </w:rPr>
          <w:t>23.</w:t>
        </w:r>
      </w:hyperlink>
    </w:p>
    <w:p w14:paraId="1DD5E0A6" w14:textId="66BEF79D" w:rsidR="002215FB" w:rsidRDefault="002215FB" w:rsidP="002215FB">
      <w:pPr>
        <w:pStyle w:val="myTOC3"/>
      </w:pPr>
      <w:r>
        <w:t>1. Order Nos. 1920 and 1920-A</w:t>
      </w:r>
      <w:r>
        <w:tab/>
      </w:r>
      <w:hyperlink w:anchor="_bmk9" w:history="1">
        <w:r>
          <w:rPr>
            <w:rStyle w:val="Hyperlink"/>
            <w:rFonts w:eastAsiaTheme="minorHAnsi"/>
            <w:szCs w:val="22"/>
          </w:rPr>
          <w:t>23.</w:t>
        </w:r>
      </w:hyperlink>
    </w:p>
    <w:p w14:paraId="6C19BF87" w14:textId="5120B8D4" w:rsidR="002215FB" w:rsidRDefault="002215FB" w:rsidP="002215FB">
      <w:pPr>
        <w:pStyle w:val="myTOC3"/>
      </w:pPr>
      <w:r>
        <w:t>2. Challenges to Order No. 1920-A</w:t>
      </w:r>
      <w:r>
        <w:tab/>
      </w:r>
      <w:hyperlink w:anchor="_bmk10" w:history="1">
        <w:r>
          <w:rPr>
            <w:rStyle w:val="Hyperlink"/>
            <w:rFonts w:eastAsiaTheme="minorHAnsi"/>
            <w:szCs w:val="22"/>
          </w:rPr>
          <w:t>30.</w:t>
        </w:r>
      </w:hyperlink>
    </w:p>
    <w:p w14:paraId="3EBB025D" w14:textId="3C9BDE84" w:rsidR="002215FB" w:rsidRDefault="002215FB" w:rsidP="002215FB">
      <w:pPr>
        <w:pStyle w:val="myTOC2"/>
      </w:pPr>
      <w:r>
        <w:t>B. Consultation with Relevant State Entities After the Engagement Period</w:t>
      </w:r>
      <w:r>
        <w:tab/>
      </w:r>
      <w:hyperlink w:anchor="_bmk11" w:history="1">
        <w:r>
          <w:rPr>
            <w:rStyle w:val="Hyperlink"/>
            <w:rFonts w:eastAsiaTheme="minorHAnsi"/>
            <w:szCs w:val="22"/>
          </w:rPr>
          <w:t>105.</w:t>
        </w:r>
      </w:hyperlink>
    </w:p>
    <w:p w14:paraId="10B774E8" w14:textId="17AC1A02" w:rsidR="002215FB" w:rsidRDefault="002215FB" w:rsidP="002215FB">
      <w:pPr>
        <w:pStyle w:val="myTOC3"/>
      </w:pPr>
      <w:r>
        <w:t>1. Order Nos. 1920 and 1920-A</w:t>
      </w:r>
      <w:r>
        <w:tab/>
      </w:r>
      <w:hyperlink w:anchor="_bmk12" w:history="1">
        <w:r>
          <w:rPr>
            <w:rStyle w:val="Hyperlink"/>
            <w:rFonts w:eastAsiaTheme="minorHAnsi"/>
            <w:szCs w:val="22"/>
          </w:rPr>
          <w:t>105.</w:t>
        </w:r>
      </w:hyperlink>
    </w:p>
    <w:p w14:paraId="45A95D60" w14:textId="6B8F9EFD" w:rsidR="002215FB" w:rsidRDefault="002215FB" w:rsidP="002215FB">
      <w:pPr>
        <w:pStyle w:val="myTOC3"/>
      </w:pPr>
      <w:r>
        <w:t>2. Challenges to Order No. 1920-A</w:t>
      </w:r>
      <w:r>
        <w:tab/>
      </w:r>
      <w:hyperlink w:anchor="_bmk13" w:history="1">
        <w:r>
          <w:rPr>
            <w:rStyle w:val="Hyperlink"/>
            <w:rFonts w:eastAsiaTheme="minorHAnsi"/>
            <w:szCs w:val="22"/>
          </w:rPr>
          <w:t>108.</w:t>
        </w:r>
      </w:hyperlink>
    </w:p>
    <w:p w14:paraId="4D8584B7" w14:textId="63A1F4BC" w:rsidR="002215FB" w:rsidRDefault="002215FB" w:rsidP="002215FB">
      <w:pPr>
        <w:pStyle w:val="myTOC2"/>
      </w:pPr>
      <w:r>
        <w:t>C. Definition of Relevant State Entities</w:t>
      </w:r>
      <w:r>
        <w:tab/>
      </w:r>
      <w:hyperlink w:anchor="_bmk14" w:history="1">
        <w:r>
          <w:rPr>
            <w:rStyle w:val="Hyperlink"/>
            <w:rFonts w:eastAsiaTheme="minorHAnsi"/>
            <w:szCs w:val="22"/>
          </w:rPr>
          <w:t>131.</w:t>
        </w:r>
      </w:hyperlink>
    </w:p>
    <w:p w14:paraId="5E49C351" w14:textId="6B572246" w:rsidR="002215FB" w:rsidRDefault="002215FB" w:rsidP="002215FB">
      <w:pPr>
        <w:pStyle w:val="myTOC3"/>
      </w:pPr>
      <w:r>
        <w:t>1. Order Nos. 1920 and 1920-A</w:t>
      </w:r>
      <w:r>
        <w:tab/>
      </w:r>
      <w:hyperlink w:anchor="_bmk15" w:history="1">
        <w:r>
          <w:rPr>
            <w:rStyle w:val="Hyperlink"/>
            <w:rFonts w:eastAsiaTheme="minorHAnsi"/>
            <w:szCs w:val="22"/>
          </w:rPr>
          <w:t>131.</w:t>
        </w:r>
      </w:hyperlink>
    </w:p>
    <w:p w14:paraId="633AB991" w14:textId="68E771C9" w:rsidR="002215FB" w:rsidRDefault="002215FB" w:rsidP="002215FB">
      <w:pPr>
        <w:pStyle w:val="myTOC3"/>
      </w:pPr>
      <w:r>
        <w:t>2. Rehearing Requests</w:t>
      </w:r>
      <w:r>
        <w:tab/>
      </w:r>
      <w:hyperlink w:anchor="_bmk16" w:history="1">
        <w:r>
          <w:rPr>
            <w:rStyle w:val="Hyperlink"/>
            <w:rFonts w:eastAsiaTheme="minorHAnsi"/>
            <w:szCs w:val="22"/>
          </w:rPr>
          <w:t>134.</w:t>
        </w:r>
      </w:hyperlink>
    </w:p>
    <w:p w14:paraId="7F39E439" w14:textId="6992CE7E" w:rsidR="002215FB" w:rsidRDefault="002215FB" w:rsidP="002215FB">
      <w:pPr>
        <w:pStyle w:val="myTOC3"/>
      </w:pPr>
      <w:r>
        <w:t>3. Commission Determination</w:t>
      </w:r>
      <w:r>
        <w:tab/>
      </w:r>
      <w:hyperlink w:anchor="_bmk17" w:history="1">
        <w:r>
          <w:rPr>
            <w:rStyle w:val="Hyperlink"/>
            <w:rFonts w:eastAsiaTheme="minorHAnsi"/>
            <w:szCs w:val="22"/>
          </w:rPr>
          <w:t>138.</w:t>
        </w:r>
      </w:hyperlink>
    </w:p>
    <w:p w14:paraId="5C7FAEC5" w14:textId="25D50E0B" w:rsidR="002215FB" w:rsidRDefault="002215FB" w:rsidP="002215FB">
      <w:pPr>
        <w:pStyle w:val="myTOC2"/>
      </w:pPr>
      <w:r>
        <w:t>D. Other Cost Allocation Issues</w:t>
      </w:r>
      <w:r>
        <w:tab/>
      </w:r>
      <w:hyperlink w:anchor="_bmk18" w:history="1">
        <w:r>
          <w:rPr>
            <w:rStyle w:val="Hyperlink"/>
            <w:rFonts w:eastAsiaTheme="minorHAnsi"/>
            <w:szCs w:val="22"/>
          </w:rPr>
          <w:t>143.</w:t>
        </w:r>
      </w:hyperlink>
    </w:p>
    <w:p w14:paraId="059955BB" w14:textId="040F10C7" w:rsidR="002215FB" w:rsidRDefault="002215FB" w:rsidP="002215FB">
      <w:pPr>
        <w:pStyle w:val="myTOC3"/>
      </w:pPr>
      <w:r>
        <w:t>1. Order Nos. 1920 and 1920-A</w:t>
      </w:r>
      <w:r>
        <w:tab/>
      </w:r>
      <w:hyperlink w:anchor="_bmk19" w:history="1">
        <w:r>
          <w:rPr>
            <w:rStyle w:val="Hyperlink"/>
            <w:rFonts w:eastAsiaTheme="minorHAnsi"/>
            <w:szCs w:val="22"/>
          </w:rPr>
          <w:t>143.</w:t>
        </w:r>
      </w:hyperlink>
    </w:p>
    <w:p w14:paraId="22DED9D7" w14:textId="070CC31B" w:rsidR="002215FB" w:rsidRDefault="002215FB" w:rsidP="002215FB">
      <w:pPr>
        <w:pStyle w:val="myTOC3"/>
      </w:pPr>
      <w:r>
        <w:lastRenderedPageBreak/>
        <w:t>2. Rehearing Requests</w:t>
      </w:r>
      <w:r>
        <w:tab/>
      </w:r>
      <w:hyperlink w:anchor="_bmk20" w:history="1">
        <w:r>
          <w:rPr>
            <w:rStyle w:val="Hyperlink"/>
            <w:rFonts w:eastAsiaTheme="minorHAnsi"/>
            <w:szCs w:val="22"/>
          </w:rPr>
          <w:t>148.</w:t>
        </w:r>
      </w:hyperlink>
    </w:p>
    <w:p w14:paraId="2D7B5D2F" w14:textId="5E947F6A" w:rsidR="002215FB" w:rsidRDefault="002215FB" w:rsidP="002215FB">
      <w:pPr>
        <w:pStyle w:val="myTOC3"/>
      </w:pPr>
      <w:r>
        <w:t>3. Commission Determination</w:t>
      </w:r>
      <w:r>
        <w:tab/>
      </w:r>
      <w:hyperlink w:anchor="_bmk21" w:history="1">
        <w:r>
          <w:rPr>
            <w:rStyle w:val="Hyperlink"/>
            <w:rFonts w:eastAsiaTheme="minorHAnsi"/>
            <w:szCs w:val="22"/>
          </w:rPr>
          <w:t>152.</w:t>
        </w:r>
      </w:hyperlink>
    </w:p>
    <w:p w14:paraId="7D805F57" w14:textId="5FC7143E" w:rsidR="002215FB" w:rsidRDefault="002215FB" w:rsidP="002215FB">
      <w:pPr>
        <w:pStyle w:val="myTOC1"/>
      </w:pPr>
      <w:r>
        <w:t>IV. Document Availability</w:t>
      </w:r>
      <w:r>
        <w:tab/>
      </w:r>
      <w:hyperlink w:anchor="_bmk22" w:history="1">
        <w:r>
          <w:rPr>
            <w:rStyle w:val="Hyperlink"/>
            <w:rFonts w:eastAsiaTheme="minorHAnsi"/>
            <w:szCs w:val="22"/>
          </w:rPr>
          <w:t>155.</w:t>
        </w:r>
      </w:hyperlink>
    </w:p>
    <w:p w14:paraId="21D602AC" w14:textId="55095B07" w:rsidR="002215FB" w:rsidRPr="002215FB" w:rsidRDefault="002215FB" w:rsidP="002215FB">
      <w:pPr>
        <w:pStyle w:val="myTOC1"/>
      </w:pPr>
      <w:r>
        <w:t>V. Effective Date</w:t>
      </w:r>
      <w:r>
        <w:tab/>
      </w:r>
      <w:hyperlink w:anchor="_bmk23" w:history="1">
        <w:r>
          <w:rPr>
            <w:rStyle w:val="Hyperlink"/>
            <w:rFonts w:eastAsiaTheme="minorHAnsi"/>
            <w:szCs w:val="22"/>
          </w:rPr>
          <w:t>158.</w:t>
        </w:r>
      </w:hyperlink>
    </w:p>
    <w:p w14:paraId="45C5A282" w14:textId="77777777" w:rsidR="00C86A9D" w:rsidRPr="00AE35B5" w:rsidRDefault="00C86A9D">
      <w:pPr>
        <w:tabs>
          <w:tab w:val="right" w:pos="9360"/>
        </w:tabs>
      </w:pPr>
    </w:p>
    <w:p w14:paraId="0C2C1CA5" w14:textId="77777777" w:rsidR="0075702A" w:rsidRPr="00395600" w:rsidRDefault="0075702A"/>
    <w:p w14:paraId="1353A855" w14:textId="568A7B02" w:rsidR="0075702A" w:rsidRPr="00395600" w:rsidRDefault="003803FB" w:rsidP="00C93F77">
      <w:pPr>
        <w:pStyle w:val="Heading1"/>
      </w:pPr>
      <w:r>
        <w:t>Introduction</w:t>
      </w:r>
    </w:p>
    <w:p w14:paraId="0B6D75D0" w14:textId="55039098" w:rsidR="0075702A" w:rsidRDefault="009E0F91">
      <w:pPr>
        <w:pStyle w:val="FERCparanumber"/>
      </w:pPr>
      <w:r>
        <w:t>In Order No. 1920,</w:t>
      </w:r>
      <w:r w:rsidR="00DB7152">
        <w:rPr>
          <w:rStyle w:val="FootnoteReference"/>
        </w:rPr>
        <w:footnoteReference w:id="2"/>
      </w:r>
      <w:r>
        <w:t xml:space="preserve"> the Federal Energy Regulatory Commission (Commission) revised the </w:t>
      </w:r>
      <w:r w:rsidRPr="00D461CE">
        <w:rPr>
          <w:i/>
          <w:iCs/>
        </w:rPr>
        <w:t>pro forma</w:t>
      </w:r>
      <w:r>
        <w:t xml:space="preserve"> Open Access Transmission Tariff (OATT) to adopt reforms to its existing electric transmission </w:t>
      </w:r>
      <w:r w:rsidR="00DB7152">
        <w:t>planning and cost allocation requirements pursuant to section 206 of the Federal Power Act (FPA).</w:t>
      </w:r>
      <w:r w:rsidR="00DB7152">
        <w:rPr>
          <w:rStyle w:val="FootnoteReference"/>
        </w:rPr>
        <w:footnoteReference w:id="3"/>
      </w:r>
      <w:r w:rsidR="001E17AB">
        <w:t xml:space="preserve">  The Commission found that existing regional transmission planning and cost allocation processes are unjust, unreasonable, and unduly discriminatory or preferential because</w:t>
      </w:r>
      <w:r w:rsidR="00653493">
        <w:t xml:space="preserve">, </w:t>
      </w:r>
      <w:r w:rsidR="00653493" w:rsidRPr="00D461CE">
        <w:rPr>
          <w:i/>
          <w:iCs/>
        </w:rPr>
        <w:t>inter alia</w:t>
      </w:r>
      <w:r w:rsidR="00653493">
        <w:t>, the Commission’s existing transmission planning and cost allocation requirements do not require transmission providers</w:t>
      </w:r>
      <w:r w:rsidR="00F71C0A">
        <w:rPr>
          <w:rStyle w:val="FootnoteReference"/>
        </w:rPr>
        <w:footnoteReference w:id="4"/>
      </w:r>
      <w:r w:rsidR="00653493">
        <w:t xml:space="preserve"> to:  (1) perform a sufficiently long-term</w:t>
      </w:r>
      <w:r w:rsidR="009C034E">
        <w:t xml:space="preserve"> assessment of transmission needs that </w:t>
      </w:r>
      <w:r w:rsidR="009C034E">
        <w:lastRenderedPageBreak/>
        <w:t>identifies Long-Term Transmission Needs;</w:t>
      </w:r>
      <w:r w:rsidR="00DA37BF">
        <w:rPr>
          <w:rStyle w:val="FootnoteReference"/>
        </w:rPr>
        <w:footnoteReference w:id="5"/>
      </w:r>
      <w:r w:rsidR="009C034E">
        <w:t xml:space="preserve"> </w:t>
      </w:r>
      <w:r w:rsidR="003540C2">
        <w:t xml:space="preserve">(2) adequately account on a forward-looking basis for known determinants of Long-Term Transmission Needs; and (3) consider the broader set of benefits of regional transmission facilities planned to meet those </w:t>
      </w:r>
      <w:r w:rsidR="00806301">
        <w:t xml:space="preserve">         </w:t>
      </w:r>
      <w:r w:rsidR="003540C2">
        <w:t>Long-Term Transmission Needs.</w:t>
      </w:r>
      <w:r w:rsidR="00B028BA" w:rsidDel="00DA37BF">
        <w:rPr>
          <w:rStyle w:val="FootnoteReference"/>
        </w:rPr>
        <w:footnoteReference w:id="6"/>
      </w:r>
      <w:r w:rsidR="00A12FD9">
        <w:t xml:space="preserve">  </w:t>
      </w:r>
      <w:r w:rsidR="00AC617C">
        <w:t>Building on Order Nos. 890</w:t>
      </w:r>
      <w:r w:rsidR="00AC617C">
        <w:rPr>
          <w:rStyle w:val="FootnoteReference"/>
        </w:rPr>
        <w:footnoteReference w:id="7"/>
      </w:r>
      <w:r w:rsidR="00AC617C">
        <w:t xml:space="preserve"> and 1000,</w:t>
      </w:r>
      <w:r w:rsidR="00AC617C">
        <w:rPr>
          <w:rStyle w:val="FootnoteReference"/>
        </w:rPr>
        <w:footnoteReference w:id="8"/>
      </w:r>
      <w:r w:rsidR="00AC617C">
        <w:t xml:space="preserve"> </w:t>
      </w:r>
      <w:r w:rsidR="001E14BF">
        <w:t>Order No. 1920 addresse</w:t>
      </w:r>
      <w:r w:rsidR="003E3096">
        <w:t>s</w:t>
      </w:r>
      <w:r w:rsidR="001E14BF">
        <w:t xml:space="preserve"> these deficiencies by establishing requirements to ensure that </w:t>
      </w:r>
      <w:r w:rsidR="001E14BF">
        <w:lastRenderedPageBreak/>
        <w:t>Commission-jurisdictional rates remain just and reasonable and not unduly discriminatory or preferential</w:t>
      </w:r>
      <w:r w:rsidR="00FF3C87">
        <w:t>,</w:t>
      </w:r>
      <w:r w:rsidR="00444963">
        <w:t xml:space="preserve"> including, </w:t>
      </w:r>
      <w:r w:rsidR="00444963" w:rsidRPr="00D461CE">
        <w:rPr>
          <w:i/>
          <w:iCs/>
        </w:rPr>
        <w:t>inter alia</w:t>
      </w:r>
      <w:r w:rsidR="00444963">
        <w:t xml:space="preserve">, </w:t>
      </w:r>
      <w:r w:rsidR="008C0D40">
        <w:t xml:space="preserve">a requirement </w:t>
      </w:r>
      <w:r w:rsidR="00BE333D">
        <w:t>t</w:t>
      </w:r>
      <w:r w:rsidR="00914C77">
        <w:t>hat</w:t>
      </w:r>
      <w:r w:rsidR="008C0D40">
        <w:t xml:space="preserve"> </w:t>
      </w:r>
      <w:r w:rsidR="00444963">
        <w:t xml:space="preserve">transmission providers </w:t>
      </w:r>
      <w:r w:rsidR="00711707">
        <w:t xml:space="preserve">in each transmission planning region </w:t>
      </w:r>
      <w:r w:rsidR="000F6D51">
        <w:t>participate in a regional transmission planning process that includes Long-Term Regional Transmission Planning</w:t>
      </w:r>
      <w:r w:rsidR="007873FC">
        <w:t>,</w:t>
      </w:r>
      <w:r w:rsidR="00D54309">
        <w:rPr>
          <w:rStyle w:val="FootnoteReference"/>
        </w:rPr>
        <w:footnoteReference w:id="9"/>
      </w:r>
      <w:r w:rsidR="007873FC">
        <w:t xml:space="preserve"> which</w:t>
      </w:r>
      <w:r w:rsidR="008C0D40">
        <w:t xml:space="preserve"> will ensure the identification, evaluation, and selection of more efficient or cost-effective regional transmission facilities to address Long-Term Transmission Needs, as well as the just and reasonable allocation of the costs of those facilities.</w:t>
      </w:r>
      <w:r w:rsidR="000B7875">
        <w:rPr>
          <w:rStyle w:val="FootnoteReference"/>
        </w:rPr>
        <w:footnoteReference w:id="10"/>
      </w:r>
    </w:p>
    <w:p w14:paraId="1641B1A8" w14:textId="477B4C76" w:rsidR="00C94FC5" w:rsidRDefault="00252DEE">
      <w:pPr>
        <w:pStyle w:val="FERCparanumber"/>
      </w:pPr>
      <w:r>
        <w:t xml:space="preserve">In Order No. 1920-A, the Commission largely </w:t>
      </w:r>
      <w:r w:rsidR="0001477B">
        <w:t xml:space="preserve">sustained </w:t>
      </w:r>
      <w:r w:rsidR="00BC5012">
        <w:t xml:space="preserve">the </w:t>
      </w:r>
      <w:r w:rsidR="00C9467E">
        <w:t xml:space="preserve">reforms adopted in </w:t>
      </w:r>
      <w:r w:rsidR="00BC5012">
        <w:t>Order No. 1920</w:t>
      </w:r>
      <w:r w:rsidR="007D5A6D">
        <w:t xml:space="preserve"> while refining and improving </w:t>
      </w:r>
      <w:r w:rsidR="0021700A">
        <w:t>those reforms</w:t>
      </w:r>
      <w:r w:rsidR="00856B65">
        <w:t xml:space="preserve"> to </w:t>
      </w:r>
      <w:r w:rsidR="002D7FD0" w:rsidRPr="00FB62F0">
        <w:t>address concerns raised in response to Order No. 1920 and</w:t>
      </w:r>
      <w:r w:rsidR="002D7FD0">
        <w:t xml:space="preserve"> </w:t>
      </w:r>
      <w:r w:rsidR="008003A3">
        <w:t xml:space="preserve">to </w:t>
      </w:r>
      <w:r w:rsidR="00856B65">
        <w:t xml:space="preserve">ensure that states have a robust role </w:t>
      </w:r>
      <w:r w:rsidR="009F2316">
        <w:t xml:space="preserve">in </w:t>
      </w:r>
      <w:r w:rsidR="00930A5F">
        <w:t>Long-Term Regional Transmission P</w:t>
      </w:r>
      <w:r w:rsidR="00856B65">
        <w:t xml:space="preserve">lanning </w:t>
      </w:r>
      <w:r w:rsidR="00930A5F">
        <w:t xml:space="preserve">and </w:t>
      </w:r>
      <w:r w:rsidR="009F2316">
        <w:t xml:space="preserve">in </w:t>
      </w:r>
      <w:r w:rsidR="00F34B5F">
        <w:t xml:space="preserve">the </w:t>
      </w:r>
      <w:r w:rsidR="00930A5F">
        <w:t>cost allocation processes established in the final rule</w:t>
      </w:r>
      <w:r w:rsidR="00BC5012">
        <w:t xml:space="preserve">.  </w:t>
      </w:r>
      <w:r w:rsidR="00873F50">
        <w:t xml:space="preserve">Specifically, </w:t>
      </w:r>
      <w:r w:rsidR="00A835BD">
        <w:t xml:space="preserve">and as relevant here, </w:t>
      </w:r>
      <w:r w:rsidR="00873F50">
        <w:t>the Commission set aside</w:t>
      </w:r>
      <w:r w:rsidR="002F4647">
        <w:t>,</w:t>
      </w:r>
      <w:r w:rsidR="00BB21A3">
        <w:t xml:space="preserve"> </w:t>
      </w:r>
      <w:r w:rsidR="00C05C69">
        <w:t>in part</w:t>
      </w:r>
      <w:r w:rsidR="002F4647">
        <w:t>,</w:t>
      </w:r>
      <w:r w:rsidR="00C05C69">
        <w:t xml:space="preserve"> </w:t>
      </w:r>
      <w:r w:rsidR="00BB21A3">
        <w:t>and clarified</w:t>
      </w:r>
      <w:r w:rsidR="009871D3">
        <w:t>, in part,</w:t>
      </w:r>
      <w:r w:rsidR="00873F50">
        <w:t xml:space="preserve"> Order No. 1920 to </w:t>
      </w:r>
      <w:r w:rsidR="005B291F">
        <w:t>provide</w:t>
      </w:r>
      <w:r w:rsidR="00873F50">
        <w:t xml:space="preserve"> that:  (1)</w:t>
      </w:r>
      <w:r w:rsidR="00A835BD">
        <w:t> </w:t>
      </w:r>
      <w:r w:rsidR="009B3D57">
        <w:t xml:space="preserve">transmission providers </w:t>
      </w:r>
      <w:r w:rsidR="003154A8">
        <w:t xml:space="preserve">may not plan for the needs of a non-jurisdictional transmission provider </w:t>
      </w:r>
      <w:r w:rsidR="00C876DB">
        <w:t xml:space="preserve">if that non-jurisdictional transmission provider has not enrolled in the transmission planning region and thereby </w:t>
      </w:r>
      <w:r w:rsidR="00C876DB">
        <w:lastRenderedPageBreak/>
        <w:t>has not agreed to any cost allocation method applicable to selected Long-Term Regional Transmission Facilities;</w:t>
      </w:r>
      <w:r w:rsidR="00CA28AB">
        <w:rPr>
          <w:rStyle w:val="FootnoteReference"/>
        </w:rPr>
        <w:footnoteReference w:id="11"/>
      </w:r>
      <w:r w:rsidR="00C876DB">
        <w:t xml:space="preserve"> </w:t>
      </w:r>
      <w:r w:rsidR="007960C8">
        <w:t>(2) </w:t>
      </w:r>
      <w:r w:rsidR="00A835BD">
        <w:t>when Relevant State Entities</w:t>
      </w:r>
      <w:r w:rsidR="00316338">
        <w:rPr>
          <w:rStyle w:val="FootnoteReference"/>
        </w:rPr>
        <w:footnoteReference w:id="12"/>
      </w:r>
      <w:r w:rsidR="00A835BD">
        <w:t xml:space="preserve"> agree on a Long-Term Regional Transmission Cost Allocation Method</w:t>
      </w:r>
      <w:r w:rsidR="00406C58">
        <w:t>(s)</w:t>
      </w:r>
      <w:r w:rsidR="00E36594">
        <w:rPr>
          <w:rStyle w:val="FootnoteReference"/>
        </w:rPr>
        <w:footnoteReference w:id="13"/>
      </w:r>
      <w:r w:rsidR="00A835BD">
        <w:t xml:space="preserve"> </w:t>
      </w:r>
      <w:r w:rsidR="00D244BD">
        <w:t>and/</w:t>
      </w:r>
      <w:r w:rsidR="00A835BD">
        <w:t>or State Agreement Process</w:t>
      </w:r>
      <w:r w:rsidR="00E36594">
        <w:rPr>
          <w:rStyle w:val="FootnoteReference"/>
        </w:rPr>
        <w:footnoteReference w:id="14"/>
      </w:r>
      <w:r w:rsidR="00A835BD">
        <w:t xml:space="preserve"> resulting from the Engagement Period</w:t>
      </w:r>
      <w:r w:rsidR="00124248">
        <w:t>,</w:t>
      </w:r>
      <w:r w:rsidR="001D0750">
        <w:rPr>
          <w:rStyle w:val="FootnoteReference"/>
        </w:rPr>
        <w:footnoteReference w:id="15"/>
      </w:r>
      <w:r w:rsidR="00124248">
        <w:t xml:space="preserve"> transmission providers must include that </w:t>
      </w:r>
      <w:r w:rsidR="00124248">
        <w:lastRenderedPageBreak/>
        <w:t>method</w:t>
      </w:r>
      <w:r w:rsidR="00EB1935">
        <w:t>(s)</w:t>
      </w:r>
      <w:r w:rsidR="00124248">
        <w:t xml:space="preserve"> </w:t>
      </w:r>
      <w:r w:rsidR="00D244BD">
        <w:t>and/</w:t>
      </w:r>
      <w:r w:rsidR="00124248">
        <w:t xml:space="preserve">or process in the transmittal or as an attachment to their </w:t>
      </w:r>
      <w:r w:rsidR="00C42C97">
        <w:t xml:space="preserve">Order No. 1920 regional transmission planning and cost allocation </w:t>
      </w:r>
      <w:r w:rsidR="00124248">
        <w:t>compliance filing</w:t>
      </w:r>
      <w:r w:rsidR="00610A0C">
        <w:t>s</w:t>
      </w:r>
      <w:r w:rsidR="002E090C">
        <w:t xml:space="preserve">, </w:t>
      </w:r>
      <w:r w:rsidR="00965DFA">
        <w:t xml:space="preserve">along with any information that Relevant State Entities provide to transmission providers regarding the state negotiations during the Engagement Period, </w:t>
      </w:r>
      <w:r w:rsidR="002E090C">
        <w:t xml:space="preserve">even if transmission providers propose a different Long-Term Regional Transmission Cost Allocation Method or </w:t>
      </w:r>
      <w:r w:rsidR="00200F5C">
        <w:t xml:space="preserve">do not propose to adopt a </w:t>
      </w:r>
      <w:r w:rsidR="002E090C">
        <w:t>State Agreement Process</w:t>
      </w:r>
      <w:r w:rsidR="00617D3F">
        <w:t>;</w:t>
      </w:r>
      <w:r w:rsidR="002958FE">
        <w:rPr>
          <w:rStyle w:val="FootnoteReference"/>
        </w:rPr>
        <w:footnoteReference w:id="16"/>
      </w:r>
      <w:r w:rsidR="00B42825">
        <w:t xml:space="preserve"> (</w:t>
      </w:r>
      <w:r w:rsidR="007960C8">
        <w:t>3</w:t>
      </w:r>
      <w:r w:rsidR="00B42825">
        <w:t>) </w:t>
      </w:r>
      <w:r w:rsidR="00600FDE">
        <w:t>the Commission</w:t>
      </w:r>
      <w:r w:rsidR="00EA1016">
        <w:t xml:space="preserve"> will consider the entire record</w:t>
      </w:r>
      <w:r w:rsidR="005537A3">
        <w:t>—</w:t>
      </w:r>
      <w:r w:rsidR="00EA1016">
        <w:t>including the Relevant State Entities’ agreed-upon Long-Term Regional Transmission Cost Allocation Method</w:t>
      </w:r>
      <w:r w:rsidR="00831666" w:rsidRPr="003F6D65">
        <w:t>(s)</w:t>
      </w:r>
      <w:r w:rsidR="00EA1016">
        <w:t xml:space="preserve"> and/or State Agreement Process and the transmission provider’s proposal</w:t>
      </w:r>
      <w:r w:rsidR="005537A3">
        <w:t>—</w:t>
      </w:r>
      <w:r w:rsidR="00E401F6">
        <w:t xml:space="preserve">when setting the replacement rate in </w:t>
      </w:r>
      <w:r w:rsidR="00381A98">
        <w:t xml:space="preserve">Order No. 1920 </w:t>
      </w:r>
      <w:r w:rsidR="00CC0438">
        <w:t>regional transmission planning</w:t>
      </w:r>
      <w:r w:rsidR="00C42C97">
        <w:t xml:space="preserve"> and cost allocation</w:t>
      </w:r>
      <w:r w:rsidR="00CC0438">
        <w:t xml:space="preserve"> </w:t>
      </w:r>
      <w:r w:rsidR="00E401F6">
        <w:t>compliance proceedings</w:t>
      </w:r>
      <w:r w:rsidR="00976429">
        <w:t>;</w:t>
      </w:r>
      <w:r w:rsidR="00617D3F">
        <w:rPr>
          <w:rStyle w:val="FootnoteReference"/>
        </w:rPr>
        <w:footnoteReference w:id="17"/>
      </w:r>
      <w:r w:rsidR="00976429">
        <w:t xml:space="preserve"> and (</w:t>
      </w:r>
      <w:r w:rsidR="007960C8">
        <w:t>4</w:t>
      </w:r>
      <w:r w:rsidR="00976429">
        <w:t>) </w:t>
      </w:r>
      <w:r w:rsidR="00B42825">
        <w:t xml:space="preserve">transmission providers </w:t>
      </w:r>
      <w:r w:rsidR="00F229B6">
        <w:t xml:space="preserve">must </w:t>
      </w:r>
      <w:r w:rsidR="00B42825">
        <w:t>consult with Relevant State Entities prior to amending the Long-Term Regional Transmission Cost Allocation Method(s) and/or State Agreement Process or</w:t>
      </w:r>
      <w:r w:rsidR="0036761C">
        <w:t>,</w:t>
      </w:r>
      <w:r w:rsidR="00B42825">
        <w:t xml:space="preserve"> if Relevant State Entities seek, consistent </w:t>
      </w:r>
      <w:r w:rsidR="00301696">
        <w:t xml:space="preserve">with their chosen method to reach agreement, for the transmission providers to amend that </w:t>
      </w:r>
      <w:r w:rsidR="008E475E">
        <w:t xml:space="preserve">method or </w:t>
      </w:r>
      <w:r w:rsidR="00301696">
        <w:t>process.</w:t>
      </w:r>
      <w:r w:rsidR="00FC0120">
        <w:rPr>
          <w:rStyle w:val="FootnoteReference"/>
        </w:rPr>
        <w:footnoteReference w:id="18"/>
      </w:r>
      <w:r w:rsidR="00EB6C25">
        <w:t xml:space="preserve">  </w:t>
      </w:r>
      <w:r w:rsidR="00C12995">
        <w:t>As further relevant here</w:t>
      </w:r>
      <w:r w:rsidR="002222F6">
        <w:t xml:space="preserve">, </w:t>
      </w:r>
      <w:r w:rsidR="00C64D1F">
        <w:t xml:space="preserve">the Commission disagreed with certain </w:t>
      </w:r>
      <w:r w:rsidR="006D6F85">
        <w:t xml:space="preserve">arguments </w:t>
      </w:r>
      <w:r w:rsidR="005537A3">
        <w:t xml:space="preserve">raised </w:t>
      </w:r>
      <w:r w:rsidR="006D6F85">
        <w:t xml:space="preserve">on </w:t>
      </w:r>
      <w:r w:rsidR="00C64D1F">
        <w:t xml:space="preserve">rehearing </w:t>
      </w:r>
      <w:r w:rsidR="00F56C20">
        <w:t>of Order No. 1920</w:t>
      </w:r>
      <w:r w:rsidR="00915A89">
        <w:t xml:space="preserve"> and</w:t>
      </w:r>
      <w:r w:rsidR="00B224C5">
        <w:t xml:space="preserve"> continued to:</w:t>
      </w:r>
      <w:r w:rsidR="00915A89">
        <w:t xml:space="preserve">  </w:t>
      </w:r>
      <w:r w:rsidR="003E0832">
        <w:t>(</w:t>
      </w:r>
      <w:r w:rsidR="00C33234">
        <w:t>1</w:t>
      </w:r>
      <w:r w:rsidR="003E0832">
        <w:t>) </w:t>
      </w:r>
      <w:r w:rsidR="000B0C36">
        <w:t xml:space="preserve">find </w:t>
      </w:r>
      <w:r w:rsidR="00954FF6">
        <w:t xml:space="preserve">that </w:t>
      </w:r>
      <w:r w:rsidR="005308FF">
        <w:t xml:space="preserve">the </w:t>
      </w:r>
      <w:r w:rsidR="00B35CBD">
        <w:t xml:space="preserve">Commission </w:t>
      </w:r>
      <w:r w:rsidR="00B35CBD">
        <w:lastRenderedPageBreak/>
        <w:t>made adequate</w:t>
      </w:r>
      <w:r w:rsidR="0094362D">
        <w:t xml:space="preserve"> findings and </w:t>
      </w:r>
      <w:r w:rsidR="00B35CBD">
        <w:t xml:space="preserve">marshalled sufficient </w:t>
      </w:r>
      <w:r w:rsidR="005308FF">
        <w:t xml:space="preserve">evidence </w:t>
      </w:r>
      <w:r w:rsidR="00D44E81">
        <w:t>under the first prong of FPA section 206</w:t>
      </w:r>
      <w:r w:rsidR="008F2B30">
        <w:t xml:space="preserve"> </w:t>
      </w:r>
      <w:r w:rsidR="005E65A6">
        <w:t xml:space="preserve">to </w:t>
      </w:r>
      <w:r w:rsidR="008B0CB6">
        <w:t xml:space="preserve">establish that </w:t>
      </w:r>
      <w:r w:rsidR="00B61529">
        <w:t xml:space="preserve">existing </w:t>
      </w:r>
      <w:r w:rsidR="009901B3">
        <w:t xml:space="preserve">Commission-jurisdictional regional transmission planning and cost allocation processes </w:t>
      </w:r>
      <w:r w:rsidR="00374A00">
        <w:t xml:space="preserve">are </w:t>
      </w:r>
      <w:r w:rsidR="009901B3">
        <w:t>unjust and unreasonable</w:t>
      </w:r>
      <w:r w:rsidR="00446103">
        <w:t>;</w:t>
      </w:r>
      <w:r w:rsidR="00446103">
        <w:rPr>
          <w:rStyle w:val="FootnoteReference"/>
        </w:rPr>
        <w:footnoteReference w:id="19"/>
      </w:r>
      <w:r w:rsidR="002C6634">
        <w:t xml:space="preserve"> and</w:t>
      </w:r>
      <w:r w:rsidR="00C94FC5">
        <w:t xml:space="preserve"> </w:t>
      </w:r>
      <w:r w:rsidR="001D1EEC">
        <w:t>(</w:t>
      </w:r>
      <w:r w:rsidR="00C33234">
        <w:t>2</w:t>
      </w:r>
      <w:r w:rsidR="001D1EEC">
        <w:t>) </w:t>
      </w:r>
      <w:r w:rsidR="00E62225">
        <w:t>define Relevant State Entities</w:t>
      </w:r>
      <w:r w:rsidR="00375D2C">
        <w:t xml:space="preserve"> as </w:t>
      </w:r>
      <w:r w:rsidR="00911394" w:rsidRPr="00DB37CD">
        <w:t xml:space="preserve">any state entity responsible for </w:t>
      </w:r>
      <w:r w:rsidR="00911394" w:rsidRPr="00DB37CD">
        <w:rPr>
          <w:bCs/>
        </w:rPr>
        <w:t>electric</w:t>
      </w:r>
      <w:r w:rsidR="00911394" w:rsidRPr="00DB37CD">
        <w:t xml:space="preserve"> utility regulation or siting electric transmission facilities within the state or portion of a state located in the transmission planning region, including any state entity as may be designated for that purpose by the law of such state</w:t>
      </w:r>
      <w:r w:rsidR="00375D2C">
        <w:t>.</w:t>
      </w:r>
      <w:r w:rsidR="002C65E2">
        <w:rPr>
          <w:rStyle w:val="FootnoteReference"/>
        </w:rPr>
        <w:footnoteReference w:id="20"/>
      </w:r>
    </w:p>
    <w:p w14:paraId="63A84DD2" w14:textId="69770F2E" w:rsidR="00A9216C" w:rsidRDefault="00BB21A3" w:rsidP="00CC6057">
      <w:pPr>
        <w:pStyle w:val="FERCparanumber"/>
      </w:pPr>
      <w:r>
        <w:t xml:space="preserve">Seven </w:t>
      </w:r>
      <w:r w:rsidR="00A9216C">
        <w:t>petitioners have sought further rehearing and clarification of the Commission’s determinations in Order No. </w:t>
      </w:r>
      <w:r w:rsidR="00B116C0">
        <w:t>1920</w:t>
      </w:r>
      <w:r w:rsidR="00A9216C">
        <w:t>-A</w:t>
      </w:r>
      <w:r w:rsidR="00141112">
        <w:t>,</w:t>
      </w:r>
      <w:r w:rsidR="00CB36D8">
        <w:rPr>
          <w:rStyle w:val="FootnoteReference"/>
        </w:rPr>
        <w:footnoteReference w:id="21"/>
      </w:r>
      <w:r w:rsidR="005162E3">
        <w:t xml:space="preserve"> and the Commission received </w:t>
      </w:r>
      <w:r w:rsidR="00806301">
        <w:t xml:space="preserve">          </w:t>
      </w:r>
      <w:r w:rsidR="005162E3">
        <w:t>two additional filings.</w:t>
      </w:r>
      <w:r w:rsidR="005162E3">
        <w:rPr>
          <w:rStyle w:val="FootnoteReference"/>
        </w:rPr>
        <w:footnoteReference w:id="22"/>
      </w:r>
      <w:r w:rsidR="00A9216C">
        <w:t xml:space="preserve">  </w:t>
      </w:r>
      <w:r w:rsidR="006E5E3E">
        <w:t xml:space="preserve">Pursuant to </w:t>
      </w:r>
      <w:r w:rsidR="006E5E3E" w:rsidRPr="00061150">
        <w:rPr>
          <w:i/>
          <w:iCs/>
        </w:rPr>
        <w:t>Allegheny Defense Project v. FERC</w:t>
      </w:r>
      <w:r w:rsidR="00455C18">
        <w:t>,</w:t>
      </w:r>
      <w:r w:rsidR="004111BC">
        <w:rPr>
          <w:rStyle w:val="FootnoteReference"/>
        </w:rPr>
        <w:footnoteReference w:id="23"/>
      </w:r>
      <w:r w:rsidR="00455C18">
        <w:t xml:space="preserve"> the rehearing </w:t>
      </w:r>
      <w:r w:rsidR="00455C18">
        <w:lastRenderedPageBreak/>
        <w:t xml:space="preserve">requests filed in this proceeding may be deemed denied by operation of law.  However, as permitted by </w:t>
      </w:r>
      <w:r w:rsidR="00B70550">
        <w:t xml:space="preserve">FPA </w:t>
      </w:r>
      <w:r w:rsidR="00455C18">
        <w:t>section 313(a),</w:t>
      </w:r>
      <w:r w:rsidR="00455C18">
        <w:rPr>
          <w:rStyle w:val="FootnoteReference"/>
        </w:rPr>
        <w:footnoteReference w:id="24"/>
      </w:r>
      <w:r w:rsidR="00183A82">
        <w:t xml:space="preserve"> </w:t>
      </w:r>
      <w:r w:rsidR="00183A82" w:rsidRPr="002076DE">
        <w:t xml:space="preserve">we are </w:t>
      </w:r>
      <w:r w:rsidR="00037254" w:rsidRPr="002076DE">
        <w:t>modifying</w:t>
      </w:r>
      <w:r w:rsidR="00CE3D71" w:rsidRPr="002076DE">
        <w:t xml:space="preserve"> </w:t>
      </w:r>
      <w:r w:rsidR="00082C43" w:rsidRPr="002076DE">
        <w:t>the discussion in Order No. 1920-A and continue to reach the same result in this proceeding, as discussed belo</w:t>
      </w:r>
      <w:r w:rsidR="00061150" w:rsidRPr="002076DE">
        <w:t>w</w:t>
      </w:r>
      <w:r w:rsidR="00A84B10" w:rsidRPr="002076DE">
        <w:t>.</w:t>
      </w:r>
      <w:r w:rsidR="004B4BBC" w:rsidRPr="002076DE">
        <w:rPr>
          <w:rStyle w:val="FootnoteReference"/>
        </w:rPr>
        <w:footnoteReference w:id="25"/>
      </w:r>
      <w:r w:rsidR="00A84B10" w:rsidRPr="002076DE">
        <w:t xml:space="preserve">  </w:t>
      </w:r>
      <w:r w:rsidR="00037254" w:rsidRPr="00C94F2B">
        <w:t>That is, in this order, we do</w:t>
      </w:r>
      <w:r w:rsidR="00AE56D2" w:rsidRPr="00AE56D2">
        <w:t xml:space="preserve"> not chang</w:t>
      </w:r>
      <w:r w:rsidR="00037254" w:rsidRPr="00C94F2B">
        <w:t>e</w:t>
      </w:r>
      <w:r w:rsidR="00AE56D2" w:rsidRPr="00AE56D2">
        <w:t xml:space="preserve"> the outcome of Order No. 1920-A.</w:t>
      </w:r>
      <w:r w:rsidR="00AE56D2" w:rsidRPr="00AE56D2">
        <w:rPr>
          <w:b/>
          <w:vertAlign w:val="superscript"/>
        </w:rPr>
        <w:footnoteReference w:id="26"/>
      </w:r>
      <w:r w:rsidR="00AE56D2">
        <w:t xml:space="preserve">  </w:t>
      </w:r>
      <w:r w:rsidR="005A2930" w:rsidRPr="0066103D">
        <w:t xml:space="preserve">This order </w:t>
      </w:r>
      <w:r w:rsidR="005A2930" w:rsidRPr="00AC3D11">
        <w:t>also does not amend</w:t>
      </w:r>
      <w:r w:rsidR="005A2930">
        <w:t xml:space="preserve"> </w:t>
      </w:r>
      <w:r w:rsidR="005A2930" w:rsidRPr="0066103D">
        <w:t xml:space="preserve">the Commission’s regulations </w:t>
      </w:r>
      <w:r w:rsidR="005A2930" w:rsidRPr="00AC3D11">
        <w:t>or</w:t>
      </w:r>
      <w:r w:rsidR="005A2930" w:rsidRPr="0066103D">
        <w:t xml:space="preserve"> the provisions of Attachment K to the </w:t>
      </w:r>
      <w:r w:rsidR="005A2930" w:rsidRPr="0066103D">
        <w:rPr>
          <w:i/>
        </w:rPr>
        <w:t xml:space="preserve">pro forma </w:t>
      </w:r>
      <w:r w:rsidR="005A2930" w:rsidRPr="0066103D">
        <w:t>OATT.</w:t>
      </w:r>
      <w:r w:rsidR="005A2930">
        <w:t xml:space="preserve">  </w:t>
      </w:r>
      <w:r w:rsidR="00CC34F3">
        <w:t xml:space="preserve">  </w:t>
      </w:r>
    </w:p>
    <w:p w14:paraId="497BD966" w14:textId="4564888C" w:rsidR="00116CBE" w:rsidRPr="00395600" w:rsidRDefault="005A2930">
      <w:pPr>
        <w:pStyle w:val="FERCparanumber"/>
      </w:pPr>
      <w:r w:rsidRPr="002076DE">
        <w:t>We also grant, in part, and deny, in part, the requests for clarification.</w:t>
      </w:r>
      <w:r>
        <w:t xml:space="preserve">  </w:t>
      </w:r>
      <w:r w:rsidR="00116CBE" w:rsidRPr="002076DE">
        <w:t xml:space="preserve">Specifically, </w:t>
      </w:r>
      <w:r w:rsidR="00D91B44" w:rsidRPr="002076DE">
        <w:t xml:space="preserve">we </w:t>
      </w:r>
      <w:r w:rsidR="00240045" w:rsidRPr="002076DE">
        <w:t>clarify</w:t>
      </w:r>
      <w:r w:rsidR="004400F5" w:rsidRPr="002076DE">
        <w:t xml:space="preserve"> </w:t>
      </w:r>
      <w:r w:rsidR="00D70855" w:rsidRPr="002076DE">
        <w:t>one</w:t>
      </w:r>
      <w:r w:rsidR="004400F5" w:rsidRPr="002076DE">
        <w:t xml:space="preserve"> aspect of the Commission’s discussion in </w:t>
      </w:r>
      <w:r w:rsidR="00D91B44" w:rsidRPr="002076DE">
        <w:t>Order No. 1920-A</w:t>
      </w:r>
      <w:r w:rsidR="00D91B44">
        <w:t xml:space="preserve"> to </w:t>
      </w:r>
      <w:r w:rsidR="003B243B">
        <w:t>explain</w:t>
      </w:r>
      <w:r w:rsidR="00467B89">
        <w:t xml:space="preserve"> </w:t>
      </w:r>
      <w:r w:rsidR="0040733F">
        <w:t>that</w:t>
      </w:r>
      <w:r w:rsidR="005641DB">
        <w:t>,</w:t>
      </w:r>
      <w:r w:rsidR="0040733F">
        <w:t xml:space="preserve"> consistent with Order No. 1000</w:t>
      </w:r>
      <w:r w:rsidR="005641DB">
        <w:t xml:space="preserve">, </w:t>
      </w:r>
      <w:r w:rsidR="0040733F">
        <w:t xml:space="preserve">transmission providers are not </w:t>
      </w:r>
      <w:r w:rsidR="0040733F" w:rsidRPr="00170EC7">
        <w:t>required</w:t>
      </w:r>
      <w:r w:rsidR="0040733F">
        <w:t xml:space="preserve"> to plan for the Long-Term Transmission Needs of unenrolled non-jurisdictional </w:t>
      </w:r>
      <w:r w:rsidR="00BE2EFE">
        <w:t>transmission providers</w:t>
      </w:r>
      <w:r w:rsidR="00FA1837">
        <w:t xml:space="preserve">, but </w:t>
      </w:r>
      <w:r w:rsidR="00FA1837" w:rsidRPr="00FA1837">
        <w:t>voluntary arrangement</w:t>
      </w:r>
      <w:r w:rsidR="008F23C0">
        <w:t>s</w:t>
      </w:r>
      <w:r w:rsidR="00FA1837" w:rsidRPr="00FA1837">
        <w:t xml:space="preserve"> </w:t>
      </w:r>
      <w:r w:rsidR="00807B4C">
        <w:t>for regional transmission planning and cost allocation</w:t>
      </w:r>
      <w:r w:rsidR="00FA1837" w:rsidRPr="00FA1837">
        <w:t xml:space="preserve"> </w:t>
      </w:r>
      <w:r w:rsidR="008F23C0">
        <w:t>that</w:t>
      </w:r>
      <w:r w:rsidR="00FA1837" w:rsidRPr="00FA1837">
        <w:t xml:space="preserve"> comply with the FPA and the Commission’s cost causation precedent</w:t>
      </w:r>
      <w:r w:rsidR="008F23C0">
        <w:t xml:space="preserve"> are not prohibited.</w:t>
      </w:r>
      <w:r w:rsidR="005641DB">
        <w:rPr>
          <w:rStyle w:val="FootnoteReference"/>
        </w:rPr>
        <w:footnoteReference w:id="27"/>
      </w:r>
      <w:r w:rsidR="008F23C0">
        <w:t xml:space="preserve">  </w:t>
      </w:r>
      <w:r w:rsidRPr="00A96FBE">
        <w:t>In addition, w</w:t>
      </w:r>
      <w:r w:rsidR="002B6C5A" w:rsidRPr="00AC25CC">
        <w:t xml:space="preserve">e </w:t>
      </w:r>
      <w:r w:rsidR="00D77CC4">
        <w:t>sustain</w:t>
      </w:r>
      <w:r w:rsidR="002B6C5A">
        <w:t xml:space="preserve"> the </w:t>
      </w:r>
      <w:r w:rsidR="00385346">
        <w:t>requirement</w:t>
      </w:r>
      <w:r w:rsidR="002B6C5A">
        <w:t xml:space="preserve"> in Order </w:t>
      </w:r>
      <w:r w:rsidR="002B6C5A">
        <w:lastRenderedPageBreak/>
        <w:t>No.</w:t>
      </w:r>
      <w:r w:rsidR="00EB31B5">
        <w:t> </w:t>
      </w:r>
      <w:r w:rsidR="002B6C5A">
        <w:t>1920-A</w:t>
      </w:r>
      <w:r w:rsidR="009612AE">
        <w:t xml:space="preserve"> </w:t>
      </w:r>
      <w:r w:rsidR="0077293F">
        <w:t>that</w:t>
      </w:r>
      <w:r w:rsidR="0077293F" w:rsidRPr="00E37DB3">
        <w:t xml:space="preserve"> </w:t>
      </w:r>
      <w:r w:rsidR="00E37DB3" w:rsidRPr="00E37DB3">
        <w:t xml:space="preserve">transmission providers </w:t>
      </w:r>
      <w:r w:rsidR="00385346" w:rsidRPr="008B3BC7">
        <w:t xml:space="preserve">include </w:t>
      </w:r>
      <w:r w:rsidR="00385346" w:rsidRPr="0081745F">
        <w:t>Relevant</w:t>
      </w:r>
      <w:r w:rsidR="00385346">
        <w:t xml:space="preserve"> State Entities’ agreed-upon</w:t>
      </w:r>
      <w:r w:rsidR="00E37DB3" w:rsidRPr="00E37DB3">
        <w:t xml:space="preserve"> Long-Term Regional Transmission Cost Allocation Method</w:t>
      </w:r>
      <w:r w:rsidR="00831666" w:rsidRPr="00A96FBE">
        <w:t>(s)</w:t>
      </w:r>
      <w:r w:rsidR="00E37DB3" w:rsidRPr="00E37DB3">
        <w:t xml:space="preserve"> and/or State Agreement Process resulting from the Engagement Period, </w:t>
      </w:r>
      <w:r w:rsidR="00385346">
        <w:t>and associated information provided to</w:t>
      </w:r>
      <w:r w:rsidR="00E37DB3" w:rsidRPr="00E37DB3">
        <w:t xml:space="preserve"> transmission providers </w:t>
      </w:r>
      <w:r w:rsidR="00385346" w:rsidRPr="007B4BCC">
        <w:t>regarding the state negotiations during the Engagement Period</w:t>
      </w:r>
      <w:r w:rsidR="00385346">
        <w:t>,</w:t>
      </w:r>
      <w:r w:rsidR="009612AE" w:rsidRPr="00E37DB3">
        <w:t xml:space="preserve"> </w:t>
      </w:r>
      <w:r w:rsidR="00E37DB3" w:rsidRPr="00E37DB3">
        <w:t xml:space="preserve">in </w:t>
      </w:r>
      <w:r w:rsidR="00385346">
        <w:t>transmission providers’</w:t>
      </w:r>
      <w:r w:rsidR="00E37DB3" w:rsidRPr="00E37DB3">
        <w:t xml:space="preserve"> transmittal or as an attachment to their </w:t>
      </w:r>
      <w:r w:rsidR="001A62A9">
        <w:t xml:space="preserve">Order No. 1920 regional transmission planning </w:t>
      </w:r>
      <w:r w:rsidR="00D279AB">
        <w:t xml:space="preserve">and cost allocation </w:t>
      </w:r>
      <w:r w:rsidR="00E37DB3" w:rsidRPr="00E37DB3">
        <w:t xml:space="preserve">compliance </w:t>
      </w:r>
      <w:r w:rsidR="00385346" w:rsidRPr="008B3BC7">
        <w:t>filing</w:t>
      </w:r>
      <w:r w:rsidR="00385346">
        <w:t>s.</w:t>
      </w:r>
      <w:r w:rsidR="00385346">
        <w:rPr>
          <w:rStyle w:val="FootnoteReference"/>
        </w:rPr>
        <w:footnoteReference w:id="28"/>
      </w:r>
      <w:r w:rsidR="00385346">
        <w:t xml:space="preserve">  </w:t>
      </w:r>
      <w:r w:rsidR="00094856" w:rsidRPr="002076DE">
        <w:t>We further sustain the requirement</w:t>
      </w:r>
      <w:r w:rsidR="00094856">
        <w:t xml:space="preserve"> that </w:t>
      </w:r>
      <w:r w:rsidR="00A72947">
        <w:t>tra</w:t>
      </w:r>
      <w:r w:rsidR="00D02A99" w:rsidRPr="00ED4C61">
        <w:t>nsmission providers consult with Relevant State Entities</w:t>
      </w:r>
      <w:r w:rsidR="00806301">
        <w:t xml:space="preserve">:  </w:t>
      </w:r>
      <w:r w:rsidR="00D02A99" w:rsidRPr="00ED4C61">
        <w:t>(1)</w:t>
      </w:r>
      <w:r w:rsidR="00D02A99">
        <w:t> </w:t>
      </w:r>
      <w:r w:rsidR="00D02A99" w:rsidRPr="00ED4C61">
        <w:t>prior to amending the Long-Term Regional Transmission Cost Allocation Method(s) and/or State Agreement Process</w:t>
      </w:r>
      <w:r w:rsidR="00D02A99">
        <w:t>;</w:t>
      </w:r>
      <w:r w:rsidR="00D02A99" w:rsidRPr="00ED4C61">
        <w:t xml:space="preserve"> or (2)</w:t>
      </w:r>
      <w:r w:rsidR="00D02A99">
        <w:t> </w:t>
      </w:r>
      <w:r w:rsidR="00D02A99" w:rsidRPr="00ED4C61">
        <w:t>if Relevant State Entities seek, consistent with their chosen method to reach agreement, for the transmission provider to amend that method or process</w:t>
      </w:r>
      <w:r w:rsidR="00CC6813">
        <w:t>.</w:t>
      </w:r>
      <w:r w:rsidR="00CC6813">
        <w:rPr>
          <w:rStyle w:val="FootnoteReference"/>
        </w:rPr>
        <w:footnoteReference w:id="29"/>
      </w:r>
      <w:r w:rsidR="005F5817" w:rsidRPr="005F5817">
        <w:t xml:space="preserve"> </w:t>
      </w:r>
      <w:r w:rsidR="005F5817">
        <w:t xml:space="preserve"> </w:t>
      </w:r>
      <w:r w:rsidR="005F5817" w:rsidRPr="002076DE">
        <w:t>We are not persuaded</w:t>
      </w:r>
      <w:r w:rsidR="005F5817">
        <w:t>, however,</w:t>
      </w:r>
      <w:r w:rsidR="005F5817" w:rsidRPr="005F5817">
        <w:t xml:space="preserve"> by NRECA’s request to expand the definition of Relevant State Entity to include any entity that establishes or regulates electric rates under state law</w:t>
      </w:r>
      <w:r w:rsidR="005F5817">
        <w:t>.</w:t>
      </w:r>
      <w:r w:rsidR="005F5817">
        <w:rPr>
          <w:rStyle w:val="FootnoteReference"/>
        </w:rPr>
        <w:footnoteReference w:id="30"/>
      </w:r>
      <w:r w:rsidR="00D47835">
        <w:t xml:space="preserve">  </w:t>
      </w:r>
      <w:r w:rsidR="00D47835" w:rsidRPr="002076DE">
        <w:t xml:space="preserve">Finally, </w:t>
      </w:r>
      <w:r w:rsidR="00340B81" w:rsidRPr="002076DE">
        <w:t>w</w:t>
      </w:r>
      <w:r w:rsidR="00E85971" w:rsidRPr="002076DE">
        <w:t>e reject as procedurally barred</w:t>
      </w:r>
      <w:r w:rsidR="00E85971">
        <w:t xml:space="preserve"> Indicated PJM TOs’ and SPP TOs’ arguments that the Commission</w:t>
      </w:r>
      <w:r w:rsidR="00560108">
        <w:t>’s</w:t>
      </w:r>
      <w:r w:rsidR="00E85971">
        <w:t xml:space="preserve"> findings under the first prong of FPA section 206 </w:t>
      </w:r>
      <w:r w:rsidR="00C07668">
        <w:t>were in</w:t>
      </w:r>
      <w:r w:rsidR="00E85971">
        <w:t>sufficient to support its exercise of authority in Order No. 1920.</w:t>
      </w:r>
      <w:r w:rsidR="00E85971">
        <w:rPr>
          <w:rStyle w:val="FootnoteReference"/>
        </w:rPr>
        <w:footnoteReference w:id="31"/>
      </w:r>
      <w:r w:rsidR="00E85971">
        <w:t xml:space="preserve">  </w:t>
      </w:r>
    </w:p>
    <w:p w14:paraId="20FDF3C8" w14:textId="068218E0" w:rsidR="007771B8" w:rsidRPr="00395600" w:rsidRDefault="009E3FA2">
      <w:pPr>
        <w:pStyle w:val="FERCparanumber"/>
      </w:pPr>
      <w:r>
        <w:lastRenderedPageBreak/>
        <w:t xml:space="preserve">We continue to find that these reforms, as </w:t>
      </w:r>
      <w:r w:rsidR="00C40DD8">
        <w:t xml:space="preserve">refined and improved in Order No. 1920-A, </w:t>
      </w:r>
      <w:r w:rsidR="00FF4109">
        <w:t xml:space="preserve">ensure that transmission providers will conduct sufficiently long-term, forward looking, and comprehensive transmission planning and </w:t>
      </w:r>
      <w:r w:rsidR="00683005" w:rsidRPr="00CD3F1D">
        <w:t>cost allocation</w:t>
      </w:r>
      <w:r w:rsidR="00683005">
        <w:t xml:space="preserve"> </w:t>
      </w:r>
      <w:r w:rsidR="00FF4109">
        <w:t>processes to meet the demands of the modern transmission grid, while facilitating meaningful participation by the states, consistent with the jurisdictional boundaries delineated in the FPA.</w:t>
      </w:r>
    </w:p>
    <w:p w14:paraId="0B96B468" w14:textId="6B95B678" w:rsidR="00B47579" w:rsidRDefault="003803FB" w:rsidP="00C93F77">
      <w:pPr>
        <w:pStyle w:val="Heading1"/>
      </w:pPr>
      <w:r>
        <w:t>Long-Term Regional Transmission Planning</w:t>
      </w:r>
    </w:p>
    <w:p w14:paraId="0E516E69" w14:textId="7FFD2FB4" w:rsidR="003803FB" w:rsidRDefault="00C15971" w:rsidP="00525FC8">
      <w:pPr>
        <w:pStyle w:val="Heading2"/>
        <w:spacing w:line="240" w:lineRule="auto"/>
      </w:pPr>
      <w:r>
        <w:t xml:space="preserve">Planning for the Long-Term Transmission Needs of </w:t>
      </w:r>
      <w:r w:rsidR="00525FC8">
        <w:t xml:space="preserve">Unenrolled </w:t>
      </w:r>
      <w:r w:rsidR="00806301">
        <w:t xml:space="preserve">      </w:t>
      </w:r>
      <w:r w:rsidR="001330DA">
        <w:t>Non-</w:t>
      </w:r>
      <w:r w:rsidR="00E00DF1">
        <w:t>Jurisdictional Transmission Providers</w:t>
      </w:r>
      <w:r w:rsidR="00525FC8">
        <w:br/>
      </w:r>
    </w:p>
    <w:p w14:paraId="406AE4A3" w14:textId="1B9137CE" w:rsidR="001330DA" w:rsidRDefault="00525FC8" w:rsidP="00525FC8">
      <w:pPr>
        <w:pStyle w:val="Heading3"/>
      </w:pPr>
      <w:r>
        <w:t>Order No</w:t>
      </w:r>
      <w:r w:rsidR="00924D21">
        <w:t>s</w:t>
      </w:r>
      <w:r>
        <w:t>. 1920</w:t>
      </w:r>
      <w:r w:rsidR="00924D21">
        <w:t xml:space="preserve"> and </w:t>
      </w:r>
      <w:r>
        <w:t>1920-A</w:t>
      </w:r>
    </w:p>
    <w:p w14:paraId="3424C9EA" w14:textId="630F2151" w:rsidR="002938A8" w:rsidRPr="002751D7" w:rsidRDefault="002938A8" w:rsidP="002938A8">
      <w:pPr>
        <w:pStyle w:val="FERCparanumber"/>
      </w:pPr>
      <w:r w:rsidRPr="002751D7">
        <w:t xml:space="preserve">In Order No. 1920, the Commission required transmission providers </w:t>
      </w:r>
      <w:r w:rsidR="00886057">
        <w:t>in each transmission planning region to participate in a regional transmission planning process that includes</w:t>
      </w:r>
      <w:r w:rsidRPr="002751D7">
        <w:t xml:space="preserve"> Long-Term Regional </w:t>
      </w:r>
      <w:r w:rsidRPr="002938A8">
        <w:t>Transmission</w:t>
      </w:r>
      <w:r w:rsidRPr="002751D7">
        <w:t xml:space="preserve"> Planning</w:t>
      </w:r>
      <w:r w:rsidR="00E01D79">
        <w:t>, meaning regional transmission planning on a sufficiently long-term, forward-looking, and comprehensive basis</w:t>
      </w:r>
      <w:r w:rsidRPr="002751D7">
        <w:t xml:space="preserve"> to identify Long-Term Transmission Needs, identify transmission facilities that meet such needs, measure the benefits of those transmission facilities, and evaluate those transmission facilities for potential selection in the regional transmission plan for purposes of cost allocation</w:t>
      </w:r>
      <w:r w:rsidR="00F463F0">
        <w:t xml:space="preserve"> as the more efficient or cost-effective </w:t>
      </w:r>
      <w:r w:rsidR="00812777">
        <w:t>transmission facilities to meet Long-Term Transmission Needs</w:t>
      </w:r>
      <w:r w:rsidRPr="002751D7">
        <w:t>.</w:t>
      </w:r>
      <w:r w:rsidRPr="002751D7">
        <w:rPr>
          <w:b/>
          <w:vertAlign w:val="superscript"/>
        </w:rPr>
        <w:footnoteReference w:id="32"/>
      </w:r>
      <w:r w:rsidRPr="002751D7">
        <w:t xml:space="preserve">  To identify Long-Term Transmission Needs and </w:t>
      </w:r>
      <w:r w:rsidR="00C07C98">
        <w:t xml:space="preserve">to identify and evaluate </w:t>
      </w:r>
      <w:r w:rsidRPr="002751D7">
        <w:t xml:space="preserve">transmission facilities that meet such needs, transmission </w:t>
      </w:r>
      <w:r w:rsidRPr="002751D7">
        <w:lastRenderedPageBreak/>
        <w:t>providers must develop a set of at least three plausible and diverse Long-Term Scenarios,</w:t>
      </w:r>
      <w:r w:rsidR="00947082">
        <w:rPr>
          <w:rStyle w:val="FootnoteReference"/>
        </w:rPr>
        <w:footnoteReference w:id="33"/>
      </w:r>
      <w:r w:rsidRPr="002751D7">
        <w:t xml:space="preserve"> </w:t>
      </w:r>
      <w:r w:rsidR="0062612D">
        <w:t xml:space="preserve">each of which </w:t>
      </w:r>
      <w:r w:rsidR="00B71F20">
        <w:t>must</w:t>
      </w:r>
      <w:r w:rsidR="00EC3AAD">
        <w:t>:</w:t>
      </w:r>
      <w:r w:rsidR="005F3A2D">
        <w:t xml:space="preserve"> </w:t>
      </w:r>
      <w:r w:rsidR="00B71F20">
        <w:t xml:space="preserve"> (1) </w:t>
      </w:r>
      <w:r w:rsidR="0062612D">
        <w:t>incorporate seven specific categories of factors</w:t>
      </w:r>
      <w:r w:rsidRPr="002751D7">
        <w:t xml:space="preserve"> </w:t>
      </w:r>
      <w:r w:rsidR="00A95E46">
        <w:t xml:space="preserve">that </w:t>
      </w:r>
      <w:r w:rsidR="00522207">
        <w:t>represent</w:t>
      </w:r>
      <w:r w:rsidR="00D75713">
        <w:t xml:space="preserve"> known determinants of Long-Term Transmission Needs</w:t>
      </w:r>
      <w:r w:rsidR="004531C4">
        <w:t>;</w:t>
      </w:r>
      <w:r w:rsidRPr="002751D7">
        <w:t xml:space="preserve"> </w:t>
      </w:r>
      <w:r w:rsidR="00184192">
        <w:t xml:space="preserve">and </w:t>
      </w:r>
      <w:r w:rsidR="00B71F20">
        <w:t>(2) </w:t>
      </w:r>
      <w:r w:rsidR="00AA5087">
        <w:t>account for</w:t>
      </w:r>
      <w:r w:rsidR="008D0328">
        <w:t xml:space="preserve"> </w:t>
      </w:r>
      <w:r w:rsidR="00364639">
        <w:t>factors within each such category that the transmission provider determines are likely to affect Long-Term Transmission Needs.</w:t>
      </w:r>
      <w:r w:rsidR="00A764EF">
        <w:rPr>
          <w:rStyle w:val="FootnoteReference"/>
        </w:rPr>
        <w:footnoteReference w:id="34"/>
      </w:r>
      <w:r w:rsidRPr="002751D7">
        <w:t xml:space="preserve">  </w:t>
      </w:r>
      <w:r w:rsidR="001072F1">
        <w:t>Factor Category Three</w:t>
      </w:r>
      <w:r w:rsidRPr="002751D7">
        <w:t xml:space="preserve"> </w:t>
      </w:r>
      <w:r w:rsidR="00622EB4">
        <w:t>comprises</w:t>
      </w:r>
      <w:r w:rsidRPr="002751D7">
        <w:t xml:space="preserve"> </w:t>
      </w:r>
      <w:r w:rsidR="00806301">
        <w:t xml:space="preserve">                      </w:t>
      </w:r>
      <w:r w:rsidRPr="002751D7">
        <w:t>state-approved integrated resource plans and expected supply obligations for load-serving entities.</w:t>
      </w:r>
      <w:r w:rsidRPr="002751D7">
        <w:rPr>
          <w:b/>
          <w:vertAlign w:val="superscript"/>
        </w:rPr>
        <w:footnoteReference w:id="35"/>
      </w:r>
    </w:p>
    <w:p w14:paraId="0262D3C1" w14:textId="6FC68CF7" w:rsidR="002938A8" w:rsidRPr="002938A8" w:rsidRDefault="002938A8">
      <w:pPr>
        <w:pStyle w:val="FERCparanumber"/>
      </w:pPr>
      <w:r>
        <w:t xml:space="preserve">In Order No. 1920-A, the Commission clarified that, </w:t>
      </w:r>
      <w:r w:rsidR="005B0D6A">
        <w:t>for purposes of complying with the requirements of Order No. 1920</w:t>
      </w:r>
      <w:r w:rsidR="00596373">
        <w:t>, transmission provider</w:t>
      </w:r>
      <w:r w:rsidR="00664785">
        <w:t>s</w:t>
      </w:r>
      <w:r w:rsidR="00596373">
        <w:t xml:space="preserve"> must</w:t>
      </w:r>
      <w:r w:rsidR="00090205">
        <w:t xml:space="preserve"> plan for </w:t>
      </w:r>
      <w:r w:rsidR="00C33673">
        <w:t xml:space="preserve">the needs of </w:t>
      </w:r>
      <w:r w:rsidR="009723B3">
        <w:t>non-jurisdictional entit</w:t>
      </w:r>
      <w:r w:rsidR="00664785">
        <w:t>ies</w:t>
      </w:r>
      <w:r w:rsidR="009723B3">
        <w:t xml:space="preserve"> </w:t>
      </w:r>
      <w:r w:rsidR="00851A07">
        <w:t xml:space="preserve">that </w:t>
      </w:r>
      <w:r w:rsidR="00664785">
        <w:t xml:space="preserve">are </w:t>
      </w:r>
      <w:r w:rsidR="00BD34DC">
        <w:t xml:space="preserve">among </w:t>
      </w:r>
      <w:r w:rsidR="00851A07">
        <w:t xml:space="preserve">the </w:t>
      </w:r>
      <w:r w:rsidR="005B45A6">
        <w:t>transmission provider</w:t>
      </w:r>
      <w:r w:rsidR="00BD34DC">
        <w:t>s</w:t>
      </w:r>
      <w:r w:rsidR="00851A07">
        <w:t>’</w:t>
      </w:r>
      <w:r w:rsidR="009723B3">
        <w:t xml:space="preserve"> transmission </w:t>
      </w:r>
      <w:r w:rsidR="00F263CC">
        <w:t>customer</w:t>
      </w:r>
      <w:r w:rsidR="00575CCB">
        <w:t>s</w:t>
      </w:r>
      <w:r w:rsidR="0022430A">
        <w:t xml:space="preserve"> </w:t>
      </w:r>
      <w:r w:rsidR="00BA5A87">
        <w:t>as</w:t>
      </w:r>
      <w:r w:rsidR="0022430A">
        <w:t xml:space="preserve"> </w:t>
      </w:r>
      <w:r w:rsidR="00575CCB">
        <w:t xml:space="preserve">they </w:t>
      </w:r>
      <w:r w:rsidR="0022430A">
        <w:t xml:space="preserve">would </w:t>
      </w:r>
      <w:r w:rsidR="005B45A6">
        <w:t>plan</w:t>
      </w:r>
      <w:r w:rsidR="0022430A">
        <w:t xml:space="preserve"> for the needs of any other transmission customer</w:t>
      </w:r>
      <w:r w:rsidR="007708CF">
        <w:t xml:space="preserve">.  </w:t>
      </w:r>
      <w:r>
        <w:t xml:space="preserve">For example, each Long-Term Scenario must account for and be consistent with </w:t>
      </w:r>
      <w:r w:rsidR="005D03B3">
        <w:t>factors within Factor Category Three</w:t>
      </w:r>
      <w:r w:rsidR="00693898">
        <w:t xml:space="preserve"> </w:t>
      </w:r>
      <w:r w:rsidRPr="002938A8">
        <w:t>once transmission provider</w:t>
      </w:r>
      <w:r w:rsidR="00CD6BEA">
        <w:t>s</w:t>
      </w:r>
      <w:r w:rsidRPr="002938A8">
        <w:t xml:space="preserve"> </w:t>
      </w:r>
      <w:r w:rsidR="00C45344">
        <w:t>in a transmission planning region</w:t>
      </w:r>
      <w:r w:rsidRPr="002938A8" w:rsidDel="00CD6BEA">
        <w:t xml:space="preserve"> </w:t>
      </w:r>
      <w:r w:rsidR="00CD6BEA">
        <w:t>have</w:t>
      </w:r>
      <w:r w:rsidRPr="002938A8">
        <w:t xml:space="preserve"> determined that such factor</w:t>
      </w:r>
      <w:r w:rsidR="00C127DB">
        <w:t>s</w:t>
      </w:r>
      <w:r w:rsidRPr="002938A8">
        <w:t xml:space="preserve"> </w:t>
      </w:r>
      <w:r w:rsidR="00C127DB">
        <w:t>are</w:t>
      </w:r>
      <w:r w:rsidRPr="002938A8">
        <w:t xml:space="preserve"> likely to affect Long-Term Transmission Needs</w:t>
      </w:r>
      <w:r w:rsidR="00DF1271">
        <w:t xml:space="preserve">.  This includes </w:t>
      </w:r>
      <w:r w:rsidR="008C3D48">
        <w:t xml:space="preserve">any non-jurisdictional </w:t>
      </w:r>
      <w:r w:rsidR="00CC6F31">
        <w:t>transmission customer</w:t>
      </w:r>
      <w:r w:rsidR="008C3D48">
        <w:t xml:space="preserve">’s resource planning </w:t>
      </w:r>
      <w:r w:rsidR="008C3D48">
        <w:lastRenderedPageBreak/>
        <w:t>and procurement processes that have been approved by that entity’s respective governing authority</w:t>
      </w:r>
      <w:r w:rsidRPr="002938A8">
        <w:t>.</w:t>
      </w:r>
      <w:r w:rsidRPr="00E7314F">
        <w:rPr>
          <w:rStyle w:val="FootnoteReference"/>
        </w:rPr>
        <w:footnoteReference w:id="36"/>
      </w:r>
      <w:r w:rsidRPr="002938A8">
        <w:t xml:space="preserve">  </w:t>
      </w:r>
    </w:p>
    <w:p w14:paraId="24623A01" w14:textId="64874FDD" w:rsidR="002938A8" w:rsidRPr="002938A8" w:rsidRDefault="00AB66CB" w:rsidP="002938A8">
      <w:pPr>
        <w:pStyle w:val="FERCparanumber"/>
      </w:pPr>
      <w:r>
        <w:t>T</w:t>
      </w:r>
      <w:r w:rsidR="002938A8" w:rsidRPr="002938A8">
        <w:t xml:space="preserve">he Commission further clarified </w:t>
      </w:r>
      <w:r w:rsidR="004E5E2F">
        <w:t>in Order No. 1920-A</w:t>
      </w:r>
      <w:r w:rsidR="002938A8" w:rsidRPr="002938A8">
        <w:t xml:space="preserve"> that </w:t>
      </w:r>
      <w:r w:rsidR="00937F8C">
        <w:t>“</w:t>
      </w:r>
      <w:r w:rsidR="002938A8" w:rsidRPr="002938A8">
        <w:t xml:space="preserve">transmission providers may </w:t>
      </w:r>
      <w:r w:rsidR="002938A8" w:rsidRPr="002938A8">
        <w:rPr>
          <w:i/>
          <w:iCs/>
        </w:rPr>
        <w:t>not</w:t>
      </w:r>
      <w:r w:rsidR="002938A8" w:rsidRPr="00E7314F">
        <w:t xml:space="preserve"> </w:t>
      </w:r>
      <w:r w:rsidR="002938A8" w:rsidRPr="002938A8">
        <w:t>plan for the needs of a non-jurisdictional</w:t>
      </w:r>
      <w:r w:rsidR="00937F8C">
        <w:t xml:space="preserve"> utility</w:t>
      </w:r>
      <w:r w:rsidR="002938A8" w:rsidRPr="002938A8">
        <w:t xml:space="preserve"> transmission provider if that non-jurisdictional transmission provider has not enrolled in the transmission planning region and thereby has not agreed to any cost allocation method applicable to selected Long-Term Regional Transmission Facilities.</w:t>
      </w:r>
      <w:r w:rsidR="00937F8C">
        <w:t>”</w:t>
      </w:r>
      <w:r w:rsidR="002938A8" w:rsidRPr="00E7314F">
        <w:rPr>
          <w:b/>
          <w:vertAlign w:val="superscript"/>
        </w:rPr>
        <w:footnoteReference w:id="37"/>
      </w:r>
      <w:r w:rsidR="002938A8" w:rsidRPr="002938A8">
        <w:t xml:space="preserve">  The Commission stated that, if transmission provider</w:t>
      </w:r>
      <w:r w:rsidR="006E14FF">
        <w:t>s</w:t>
      </w:r>
      <w:r w:rsidR="002938A8" w:rsidRPr="002938A8">
        <w:t xml:space="preserve"> were to plan for and consider non-jurisdictional transmission providers’ Long-Term Transmission Needs without a way to ensure the non-jurisdictional transmission provider contributes to the costs of the resulting Long-Term Regional Transmission Facilities, the resulting cost allocation could violate the cost causation principle and result in free-ridership.</w:t>
      </w:r>
      <w:r w:rsidR="002938A8" w:rsidRPr="00E7314F">
        <w:rPr>
          <w:b/>
          <w:vertAlign w:val="superscript"/>
        </w:rPr>
        <w:footnoteReference w:id="38"/>
      </w:r>
    </w:p>
    <w:p w14:paraId="5B874FDA" w14:textId="7EE75CEC" w:rsidR="00525FC8" w:rsidRDefault="00525FC8" w:rsidP="00525FC8">
      <w:pPr>
        <w:pStyle w:val="Heading3"/>
      </w:pPr>
      <w:r>
        <w:t>Rehearing Requests</w:t>
      </w:r>
    </w:p>
    <w:p w14:paraId="00238AE9" w14:textId="59D32402" w:rsidR="00553C21" w:rsidRDefault="00BE6441" w:rsidP="00553C21">
      <w:pPr>
        <w:pStyle w:val="FERCparanumber"/>
      </w:pPr>
      <w:r w:rsidRPr="00C57E5E">
        <w:t xml:space="preserve">NRECA </w:t>
      </w:r>
      <w:r w:rsidR="00372A05">
        <w:t xml:space="preserve">and </w:t>
      </w:r>
      <w:proofErr w:type="spellStart"/>
      <w:r w:rsidR="00372A05">
        <w:t>WestConnect</w:t>
      </w:r>
      <w:proofErr w:type="spellEnd"/>
      <w:r w:rsidR="00372A05">
        <w:t xml:space="preserve"> CTOs </w:t>
      </w:r>
      <w:r w:rsidRPr="00C57E5E">
        <w:t xml:space="preserve">request rehearing </w:t>
      </w:r>
      <w:r w:rsidR="00AD536A">
        <w:t xml:space="preserve">and/or clarification </w:t>
      </w:r>
      <w:r w:rsidRPr="00C57E5E">
        <w:t xml:space="preserve">of </w:t>
      </w:r>
      <w:r w:rsidR="009C676B">
        <w:t>the</w:t>
      </w:r>
      <w:r w:rsidR="00D95600">
        <w:t xml:space="preserve"> statement in </w:t>
      </w:r>
      <w:r w:rsidRPr="00C57E5E">
        <w:t>Order No. 1920-A that “transmission providers may</w:t>
      </w:r>
      <w:r w:rsidRPr="00AF018D">
        <w:t xml:space="preserve"> </w:t>
      </w:r>
      <w:r w:rsidRPr="00BC11EC">
        <w:rPr>
          <w:i/>
          <w:iCs/>
        </w:rPr>
        <w:t xml:space="preserve">not </w:t>
      </w:r>
      <w:r w:rsidRPr="00C57E5E">
        <w:t xml:space="preserve">plan for the needs of </w:t>
      </w:r>
      <w:r w:rsidRPr="00C57E5E">
        <w:lastRenderedPageBreak/>
        <w:t>a non-jurisdictional utility transmission provider if that non-jurisdictional transmission provider has not enrolled in the transmission planning region and thereby has not agreed to any cost allocation method applicable to selected Long-Term Regional Transmission Facilities.”</w:t>
      </w:r>
      <w:r w:rsidRPr="00F959CF">
        <w:rPr>
          <w:b/>
          <w:bCs/>
          <w:vertAlign w:val="superscript"/>
        </w:rPr>
        <w:footnoteReference w:id="39"/>
      </w:r>
      <w:r w:rsidRPr="00C57E5E">
        <w:t xml:space="preserve">  </w:t>
      </w:r>
      <w:r w:rsidR="000951C9">
        <w:t xml:space="preserve">In particular, </w:t>
      </w:r>
      <w:r w:rsidRPr="00C57E5E">
        <w:t xml:space="preserve">NRECA </w:t>
      </w:r>
      <w:r w:rsidR="000951C9">
        <w:t xml:space="preserve">and </w:t>
      </w:r>
      <w:proofErr w:type="spellStart"/>
      <w:r w:rsidR="000951C9">
        <w:t>WestConnect</w:t>
      </w:r>
      <w:proofErr w:type="spellEnd"/>
      <w:r w:rsidR="000951C9">
        <w:t xml:space="preserve"> </w:t>
      </w:r>
      <w:r w:rsidR="00ED7E4D">
        <w:t xml:space="preserve">CTOs </w:t>
      </w:r>
      <w:r w:rsidR="00D7534B">
        <w:t>assert</w:t>
      </w:r>
      <w:r w:rsidRPr="00C57E5E">
        <w:t xml:space="preserve"> that this statement could be read to prohibit transmission providers from voluntarily agreeing to plan for the needs of </w:t>
      </w:r>
      <w:r w:rsidR="00D85C84">
        <w:t xml:space="preserve">unenrolled </w:t>
      </w:r>
      <w:r w:rsidRPr="00C57E5E">
        <w:t>non-jurisdictional transmission providers.</w:t>
      </w:r>
      <w:r w:rsidR="008A3CDC">
        <w:rPr>
          <w:rStyle w:val="FootnoteReference"/>
        </w:rPr>
        <w:footnoteReference w:id="40"/>
      </w:r>
      <w:r w:rsidRPr="00C57E5E">
        <w:t xml:space="preserve">  </w:t>
      </w:r>
    </w:p>
    <w:p w14:paraId="1FCDF4C2" w14:textId="07B65320" w:rsidR="00BE6441" w:rsidRPr="00C57E5E" w:rsidRDefault="00BE6441" w:rsidP="00BE6441">
      <w:pPr>
        <w:pStyle w:val="FERCparanumber"/>
      </w:pPr>
      <w:r w:rsidRPr="00C57E5E">
        <w:t>NRECA asks the Commission to clarify that Order No.</w:t>
      </w:r>
      <w:r w:rsidR="0044484B">
        <w:t> </w:t>
      </w:r>
      <w:r w:rsidRPr="00C57E5E">
        <w:t xml:space="preserve">1920-A does not change the Commission’s existing regulations and policy, and thus transmission providers in a </w:t>
      </w:r>
      <w:r w:rsidR="001F6D1F">
        <w:t xml:space="preserve">transmission </w:t>
      </w:r>
      <w:r w:rsidRPr="00C57E5E">
        <w:t xml:space="preserve">planning region continue to have </w:t>
      </w:r>
      <w:r w:rsidR="004770E7">
        <w:t xml:space="preserve">the </w:t>
      </w:r>
      <w:r w:rsidRPr="00C57E5E">
        <w:t xml:space="preserve">discretion to plan for the needs of a non-jurisdictional transmission provider that has not enrolled in the regional </w:t>
      </w:r>
      <w:r w:rsidR="001F6D1F">
        <w:t xml:space="preserve">transmission </w:t>
      </w:r>
      <w:r w:rsidRPr="00C57E5E">
        <w:t>planning process.</w:t>
      </w:r>
      <w:r w:rsidRPr="00B54EEA">
        <w:rPr>
          <w:b/>
          <w:bCs/>
          <w:vertAlign w:val="superscript"/>
        </w:rPr>
        <w:footnoteReference w:id="41"/>
      </w:r>
      <w:r w:rsidRPr="00C57E5E">
        <w:t xml:space="preserve">  NRECA </w:t>
      </w:r>
      <w:r>
        <w:t>asserts</w:t>
      </w:r>
      <w:r w:rsidRPr="00C57E5E">
        <w:t xml:space="preserve"> that its requested interpretation of Order No. 1920-A is supported by the Commission’s </w:t>
      </w:r>
      <w:r w:rsidR="006B5A97">
        <w:t xml:space="preserve">own </w:t>
      </w:r>
      <w:r w:rsidRPr="00C57E5E">
        <w:t xml:space="preserve">citation to </w:t>
      </w:r>
      <w:r w:rsidR="000E070E">
        <w:t xml:space="preserve">the language in </w:t>
      </w:r>
      <w:r w:rsidRPr="00C57E5E">
        <w:t>Order No.</w:t>
      </w:r>
      <w:r w:rsidR="000E070E">
        <w:t> </w:t>
      </w:r>
      <w:r w:rsidRPr="00C57E5E">
        <w:t>1000-A</w:t>
      </w:r>
      <w:r w:rsidR="000C7EDC">
        <w:t>,</w:t>
      </w:r>
      <w:r w:rsidR="0099625C">
        <w:t xml:space="preserve"> stating</w:t>
      </w:r>
      <w:r w:rsidR="006B5A97">
        <w:t xml:space="preserve"> that the regional transmission planning process </w:t>
      </w:r>
      <w:r w:rsidR="004F6C9C">
        <w:t xml:space="preserve">is not required to plan for the </w:t>
      </w:r>
      <w:r w:rsidR="004F6C9C">
        <w:lastRenderedPageBreak/>
        <w:t>transmission needs of a non</w:t>
      </w:r>
      <w:r w:rsidR="00D47CB9">
        <w:t>-jurisdictional</w:t>
      </w:r>
      <w:r w:rsidR="00D93168">
        <w:t xml:space="preserve">, </w:t>
      </w:r>
      <w:r w:rsidR="00CD5C0F">
        <w:t>unen</w:t>
      </w:r>
      <w:r w:rsidR="00150929">
        <w:t>rolled</w:t>
      </w:r>
      <w:r w:rsidR="006E7D45">
        <w:t xml:space="preserve"> transmission provider</w:t>
      </w:r>
      <w:r w:rsidRPr="00C57E5E">
        <w:t>.</w:t>
      </w:r>
      <w:r w:rsidRPr="00B54EEA">
        <w:rPr>
          <w:b/>
          <w:bCs/>
          <w:vertAlign w:val="superscript"/>
        </w:rPr>
        <w:footnoteReference w:id="42"/>
      </w:r>
      <w:r w:rsidRPr="00C57E5E">
        <w:t xml:space="preserve">  NRECA states that </w:t>
      </w:r>
      <w:r w:rsidR="009C288F">
        <w:t xml:space="preserve">the Commission has interpreted </w:t>
      </w:r>
      <w:r w:rsidRPr="00C57E5E">
        <w:t>Order No.</w:t>
      </w:r>
      <w:r w:rsidR="00F55586">
        <w:t> </w:t>
      </w:r>
      <w:r w:rsidRPr="00C57E5E">
        <w:t xml:space="preserve">1000-A </w:t>
      </w:r>
      <w:r w:rsidR="00684AB3">
        <w:t xml:space="preserve">as neither </w:t>
      </w:r>
      <w:r w:rsidRPr="00C57E5E">
        <w:t>prohibit</w:t>
      </w:r>
      <w:r w:rsidR="00684AB3">
        <w:t>ing nor</w:t>
      </w:r>
      <w:r w:rsidR="00FE2BF8">
        <w:t xml:space="preserve"> </w:t>
      </w:r>
      <w:r w:rsidR="001D36AB">
        <w:t>compel</w:t>
      </w:r>
      <w:r w:rsidR="00684AB3">
        <w:t>ling</w:t>
      </w:r>
      <w:r w:rsidR="00075CDE">
        <w:t xml:space="preserve"> </w:t>
      </w:r>
      <w:r w:rsidRPr="00C57E5E">
        <w:t xml:space="preserve">regional </w:t>
      </w:r>
      <w:r w:rsidR="009468AE">
        <w:t>transmission</w:t>
      </w:r>
      <w:r w:rsidRPr="00C57E5E">
        <w:t xml:space="preserve"> planning processes from planning for </w:t>
      </w:r>
      <w:r w:rsidR="00F1236E">
        <w:t xml:space="preserve">the transmission needs of </w:t>
      </w:r>
      <w:r w:rsidRPr="00C57E5E">
        <w:t xml:space="preserve">unenrolled </w:t>
      </w:r>
      <w:r w:rsidR="00A57A2D">
        <w:t xml:space="preserve">non-jurisdictional </w:t>
      </w:r>
      <w:r w:rsidRPr="00C57E5E">
        <w:t>transmission providers</w:t>
      </w:r>
      <w:r w:rsidR="00F1236E">
        <w:t>, i.e.</w:t>
      </w:r>
      <w:r w:rsidR="00C65199">
        <w:t>,</w:t>
      </w:r>
      <w:r w:rsidR="00F1236E">
        <w:t xml:space="preserve"> non-jurisdictional transmission providers that</w:t>
      </w:r>
      <w:r w:rsidR="00F1236E" w:rsidRPr="00F1236E">
        <w:t xml:space="preserve"> ha</w:t>
      </w:r>
      <w:r w:rsidR="00F1236E">
        <w:t>ve</w:t>
      </w:r>
      <w:r w:rsidR="00F1236E" w:rsidRPr="00F1236E">
        <w:t xml:space="preserve"> not agreed to accept any applicable cost allocation method for selected regional transmission facilities</w:t>
      </w:r>
      <w:r w:rsidRPr="00C57E5E">
        <w:t>.</w:t>
      </w:r>
      <w:r w:rsidRPr="00B54EEA">
        <w:rPr>
          <w:b/>
          <w:bCs/>
          <w:vertAlign w:val="superscript"/>
        </w:rPr>
        <w:footnoteReference w:id="43"/>
      </w:r>
      <w:r w:rsidR="00B3580C">
        <w:t xml:space="preserve">  </w:t>
      </w:r>
    </w:p>
    <w:p w14:paraId="218860D9" w14:textId="237EFBAA" w:rsidR="00A54DF1" w:rsidRDefault="00BE6441" w:rsidP="00BE6441">
      <w:pPr>
        <w:pStyle w:val="FERCparanumber"/>
      </w:pPr>
      <w:r w:rsidRPr="00C57E5E">
        <w:t xml:space="preserve">NRECA also argues that its requested interpretation of Order No. 1920-A is consistent with the </w:t>
      </w:r>
      <w:r w:rsidR="005A541F">
        <w:t>next sentence of Order No. 1920-A, which states that</w:t>
      </w:r>
      <w:r w:rsidR="000B1BA2">
        <w:t>,</w:t>
      </w:r>
      <w:r w:rsidRPr="00C57E5E">
        <w:t xml:space="preserve"> “[i]f the transmission provider were to plan for and consider non-jurisdictional transmission providers’ Long-Term Transmission Needs without a way to ensure </w:t>
      </w:r>
      <w:r w:rsidRPr="00BE6441">
        <w:t>the</w:t>
      </w:r>
      <w:r w:rsidRPr="00C57E5E">
        <w:t xml:space="preserve"> non-jurisdictional transmission provider contributes to the costs of the resulting Long-Term Regional Transmission Facilities, the resulting cost allocation could violate the cost causation principle and result in free-ridership.”</w:t>
      </w:r>
      <w:r w:rsidRPr="00F674C1">
        <w:rPr>
          <w:b/>
          <w:vertAlign w:val="superscript"/>
        </w:rPr>
        <w:footnoteReference w:id="44"/>
      </w:r>
      <w:r w:rsidRPr="00C57E5E">
        <w:t xml:space="preserve">  NRECA asserts that this rationale supports Order No. 1000-A</w:t>
      </w:r>
      <w:r w:rsidR="0082008D">
        <w:t>’s</w:t>
      </w:r>
      <w:r w:rsidRPr="00C57E5E">
        <w:t xml:space="preserve"> </w:t>
      </w:r>
      <w:r w:rsidR="0082008D">
        <w:t xml:space="preserve">statement that </w:t>
      </w:r>
      <w:r w:rsidR="0082008D" w:rsidRPr="0082008D">
        <w:t xml:space="preserve">the public utility transmission providers </w:t>
      </w:r>
      <w:r w:rsidR="00C651F6">
        <w:t xml:space="preserve">in a </w:t>
      </w:r>
      <w:r w:rsidR="00EC1B79">
        <w:t xml:space="preserve">transmission planning </w:t>
      </w:r>
      <w:r w:rsidR="00C651F6">
        <w:t xml:space="preserve">region </w:t>
      </w:r>
      <w:r w:rsidR="0082008D" w:rsidRPr="0082008D">
        <w:t xml:space="preserve">are not compelled to plan for the transmission needs of an unenrolled </w:t>
      </w:r>
      <w:r w:rsidR="003D73CA">
        <w:t xml:space="preserve">non-jurisdictional </w:t>
      </w:r>
      <w:r w:rsidR="0082008D" w:rsidRPr="0082008D">
        <w:t>transmission provider that has not agreed to accept</w:t>
      </w:r>
      <w:r w:rsidR="0082008D">
        <w:t xml:space="preserve"> </w:t>
      </w:r>
      <w:r w:rsidR="00C651F6" w:rsidRPr="00C651F6">
        <w:t xml:space="preserve">any </w:t>
      </w:r>
      <w:r w:rsidR="00C651F6" w:rsidRPr="00C651F6">
        <w:lastRenderedPageBreak/>
        <w:t>applicable cost allocation method for selected regional transmission facilities</w:t>
      </w:r>
      <w:r w:rsidR="00E57E1D">
        <w:t xml:space="preserve">, </w:t>
      </w:r>
      <w:r w:rsidRPr="00C57E5E">
        <w:t xml:space="preserve">but does not justify prohibiting voluntary planning for such needs if transmission providers in a </w:t>
      </w:r>
      <w:r w:rsidR="00434F77">
        <w:t xml:space="preserve">transmission </w:t>
      </w:r>
      <w:r w:rsidRPr="00C57E5E">
        <w:t xml:space="preserve">planning region </w:t>
      </w:r>
      <w:r>
        <w:t>can</w:t>
      </w:r>
      <w:r w:rsidRPr="00C57E5E">
        <w:t xml:space="preserve"> ensure that they will not be required to subsidize transmission projects that benefit the unenrolled </w:t>
      </w:r>
      <w:r w:rsidR="00352C5F">
        <w:t xml:space="preserve">non-jurisdictional </w:t>
      </w:r>
      <w:r w:rsidRPr="00C57E5E">
        <w:t>transmission providers.</w:t>
      </w:r>
      <w:r w:rsidRPr="00F009C7">
        <w:rPr>
          <w:b/>
          <w:vertAlign w:val="superscript"/>
        </w:rPr>
        <w:footnoteReference w:id="45"/>
      </w:r>
      <w:r w:rsidRPr="00C57E5E">
        <w:t xml:space="preserve"> </w:t>
      </w:r>
      <w:r w:rsidR="0019240C">
        <w:t xml:space="preserve"> </w:t>
      </w:r>
    </w:p>
    <w:p w14:paraId="70CE750B" w14:textId="4DD37AD3" w:rsidR="001C7C71" w:rsidRPr="001C7C71" w:rsidRDefault="00BE6441" w:rsidP="00BE6441">
      <w:pPr>
        <w:pStyle w:val="FERCparanumber"/>
      </w:pPr>
      <w:r w:rsidRPr="00C57E5E">
        <w:t xml:space="preserve">NRECA </w:t>
      </w:r>
      <w:r w:rsidR="006702CC">
        <w:t xml:space="preserve">and </w:t>
      </w:r>
      <w:proofErr w:type="spellStart"/>
      <w:r w:rsidR="006702CC">
        <w:t>WestConnect</w:t>
      </w:r>
      <w:proofErr w:type="spellEnd"/>
      <w:r w:rsidR="006702CC">
        <w:t xml:space="preserve"> </w:t>
      </w:r>
      <w:r w:rsidR="00580D8B">
        <w:t xml:space="preserve">CTOs </w:t>
      </w:r>
      <w:r w:rsidR="00A54DF1">
        <w:t xml:space="preserve">each </w:t>
      </w:r>
      <w:r w:rsidRPr="00C57E5E">
        <w:t xml:space="preserve">argue that </w:t>
      </w:r>
      <w:r w:rsidR="00045F49">
        <w:t xml:space="preserve">the </w:t>
      </w:r>
      <w:r w:rsidR="00C82FFD">
        <w:t xml:space="preserve">court in </w:t>
      </w:r>
      <w:r w:rsidRPr="00C57E5E">
        <w:rPr>
          <w:i/>
          <w:iCs/>
        </w:rPr>
        <w:t>El Paso</w:t>
      </w:r>
      <w:r>
        <w:t xml:space="preserve"> </w:t>
      </w:r>
      <w:r w:rsidRPr="00C57E5E">
        <w:t xml:space="preserve">did not hold that the FPA requires the Commission to prohibit transmission </w:t>
      </w:r>
      <w:r>
        <w:t xml:space="preserve">providers </w:t>
      </w:r>
      <w:r w:rsidRPr="00C57E5E">
        <w:t xml:space="preserve">in a </w:t>
      </w:r>
      <w:r w:rsidR="00A636DC">
        <w:t xml:space="preserve">transmission planning </w:t>
      </w:r>
      <w:r w:rsidRPr="00C57E5E">
        <w:t xml:space="preserve">region from voluntarily planning for unenrolled </w:t>
      </w:r>
      <w:r w:rsidR="00C675BE">
        <w:t>non-</w:t>
      </w:r>
      <w:r w:rsidR="00FB5AF3" w:rsidDel="00134351">
        <w:t>jurisdictional</w:t>
      </w:r>
      <w:r w:rsidR="00C675BE">
        <w:t xml:space="preserve"> </w:t>
      </w:r>
      <w:r w:rsidRPr="00C57E5E">
        <w:t>transmission providers</w:t>
      </w:r>
      <w:r>
        <w:t>’ needs</w:t>
      </w:r>
      <w:r w:rsidRPr="00C57E5E">
        <w:t>.</w:t>
      </w:r>
      <w:r w:rsidR="00B167CB">
        <w:rPr>
          <w:rStyle w:val="FootnoteReference"/>
        </w:rPr>
        <w:footnoteReference w:id="46"/>
      </w:r>
      <w:r w:rsidRPr="00C57E5E">
        <w:t xml:space="preserve">  NRECA states that the</w:t>
      </w:r>
      <w:r>
        <w:t xml:space="preserve"> </w:t>
      </w:r>
      <w:r>
        <w:rPr>
          <w:i/>
          <w:iCs/>
        </w:rPr>
        <w:t>El Paso</w:t>
      </w:r>
      <w:r w:rsidRPr="00C57E5E">
        <w:t xml:space="preserve"> court had no reason </w:t>
      </w:r>
      <w:r>
        <w:t xml:space="preserve">for </w:t>
      </w:r>
      <w:r w:rsidRPr="00C57E5E">
        <w:t>such a holding</w:t>
      </w:r>
      <w:r w:rsidR="00A70E13">
        <w:t xml:space="preserve"> </w:t>
      </w:r>
      <w:r w:rsidR="00D724C1">
        <w:t>in</w:t>
      </w:r>
      <w:r w:rsidRPr="00C57E5E">
        <w:t xml:space="preserve"> reviewing a</w:t>
      </w:r>
      <w:r w:rsidR="003855C3">
        <w:t>n Order No. 1000</w:t>
      </w:r>
      <w:r w:rsidRPr="00C57E5E">
        <w:t xml:space="preserve"> regional compliance filing</w:t>
      </w:r>
      <w:r w:rsidRPr="00C57E5E">
        <w:rPr>
          <w:i/>
          <w:iCs/>
        </w:rPr>
        <w:t xml:space="preserve"> </w:t>
      </w:r>
      <w:r w:rsidR="00D00FFB">
        <w:t xml:space="preserve">but </w:t>
      </w:r>
      <w:r w:rsidRPr="00C57E5E">
        <w:rPr>
          <w:iCs/>
        </w:rPr>
        <w:t>simply quoted with approval the Commission’s “</w:t>
      </w:r>
      <w:r w:rsidR="00E56953">
        <w:rPr>
          <w:iCs/>
        </w:rPr>
        <w:t>‘</w:t>
      </w:r>
      <w:r w:rsidRPr="00C57E5E">
        <w:rPr>
          <w:iCs/>
        </w:rPr>
        <w:t>clear’ statement” in Order No. 1000-A.</w:t>
      </w:r>
      <w:r w:rsidRPr="00293608">
        <w:rPr>
          <w:b/>
          <w:bCs/>
          <w:iCs/>
          <w:vertAlign w:val="superscript"/>
        </w:rPr>
        <w:footnoteReference w:id="47"/>
      </w:r>
      <w:r w:rsidR="0019240C">
        <w:rPr>
          <w:iCs/>
        </w:rPr>
        <w:t xml:space="preserve">  </w:t>
      </w:r>
      <w:r w:rsidRPr="00C57E5E">
        <w:t xml:space="preserve">Thus, NRECA </w:t>
      </w:r>
      <w:r w:rsidR="00697166">
        <w:t>contends,</w:t>
      </w:r>
      <w:r w:rsidRPr="00C57E5E">
        <w:t xml:space="preserve"> Order No. 1000-A and </w:t>
      </w:r>
      <w:r w:rsidRPr="00C57E5E">
        <w:rPr>
          <w:i/>
          <w:iCs/>
        </w:rPr>
        <w:t xml:space="preserve">El Paso </w:t>
      </w:r>
      <w:r w:rsidRPr="00C57E5E">
        <w:t xml:space="preserve">allow transmission providers in a </w:t>
      </w:r>
      <w:r w:rsidR="00F421F7">
        <w:t xml:space="preserve">transmission </w:t>
      </w:r>
      <w:r w:rsidRPr="00C57E5E">
        <w:t xml:space="preserve">planning region to agree to plan for the transmission needs of unenrolled </w:t>
      </w:r>
      <w:r w:rsidR="00630BE9">
        <w:t>non-</w:t>
      </w:r>
      <w:r w:rsidR="00B57735">
        <w:t>jurisdictional</w:t>
      </w:r>
      <w:r w:rsidRPr="00C57E5E">
        <w:t xml:space="preserve"> </w:t>
      </w:r>
      <w:r w:rsidRPr="00BE6441">
        <w:t>transmission</w:t>
      </w:r>
      <w:r w:rsidRPr="00C57E5E">
        <w:t xml:space="preserve"> providers if they have assurance that the </w:t>
      </w:r>
      <w:r w:rsidR="00630BE9">
        <w:t xml:space="preserve">enrolled </w:t>
      </w:r>
      <w:r w:rsidR="00823EDB">
        <w:lastRenderedPageBreak/>
        <w:t>transmission providers</w:t>
      </w:r>
      <w:r w:rsidRPr="00C57E5E">
        <w:t xml:space="preserve"> will not be required to subsidize transmission projects that benefit the unenrolled </w:t>
      </w:r>
      <w:r w:rsidR="00F421F7">
        <w:t xml:space="preserve">non-jurisdictional </w:t>
      </w:r>
      <w:r w:rsidRPr="00C57E5E">
        <w:t>transmission providers.</w:t>
      </w:r>
      <w:r w:rsidR="00496055">
        <w:rPr>
          <w:rStyle w:val="FootnoteReference"/>
        </w:rPr>
        <w:footnoteReference w:id="48"/>
      </w:r>
      <w:r w:rsidRPr="00C57E5E">
        <w:t xml:space="preserve">  </w:t>
      </w:r>
      <w:r w:rsidR="00C52D65" w:rsidRPr="00C52D65">
        <w:rPr>
          <w:iCs/>
        </w:rPr>
        <w:t xml:space="preserve"> </w:t>
      </w:r>
      <w:r w:rsidR="00C52D65">
        <w:rPr>
          <w:iCs/>
        </w:rPr>
        <w:t xml:space="preserve"> </w:t>
      </w:r>
    </w:p>
    <w:p w14:paraId="40E9A027" w14:textId="2F1AD0CC" w:rsidR="005B6D92" w:rsidRDefault="00C52D65" w:rsidP="005B6D92">
      <w:pPr>
        <w:pStyle w:val="FERCparanumber"/>
      </w:pPr>
      <w:proofErr w:type="spellStart"/>
      <w:r w:rsidRPr="00B84B19">
        <w:rPr>
          <w:iCs/>
        </w:rPr>
        <w:t>WestConnect</w:t>
      </w:r>
      <w:proofErr w:type="spellEnd"/>
      <w:r w:rsidRPr="00B84B19">
        <w:rPr>
          <w:iCs/>
        </w:rPr>
        <w:t xml:space="preserve"> CTOs assert that the issue on which the transmission providers prevailed in </w:t>
      </w:r>
      <w:r w:rsidRPr="00B84B19">
        <w:rPr>
          <w:i/>
          <w:iCs/>
        </w:rPr>
        <w:t xml:space="preserve">El Paso </w:t>
      </w:r>
      <w:r w:rsidRPr="00B84B19">
        <w:rPr>
          <w:iCs/>
        </w:rPr>
        <w:t xml:space="preserve">was their objection to being forced to subsidize </w:t>
      </w:r>
      <w:r w:rsidR="00E0792C">
        <w:rPr>
          <w:iCs/>
        </w:rPr>
        <w:t>transmission</w:t>
      </w:r>
      <w:r w:rsidRPr="00B84B19">
        <w:rPr>
          <w:iCs/>
        </w:rPr>
        <w:t xml:space="preserve"> projects from which </w:t>
      </w:r>
      <w:r w:rsidR="000043C2">
        <w:rPr>
          <w:iCs/>
        </w:rPr>
        <w:t xml:space="preserve">unenrolled </w:t>
      </w:r>
      <w:r w:rsidRPr="00B84B19">
        <w:rPr>
          <w:iCs/>
        </w:rPr>
        <w:t xml:space="preserve">non-jurisdictional </w:t>
      </w:r>
      <w:r w:rsidR="000043C2">
        <w:rPr>
          <w:iCs/>
        </w:rPr>
        <w:t>transmission providers</w:t>
      </w:r>
      <w:r w:rsidRPr="00B84B19">
        <w:rPr>
          <w:iCs/>
        </w:rPr>
        <w:t xml:space="preserve"> who did not commit to the allocation of costs might nonetheless benefit.  </w:t>
      </w:r>
      <w:proofErr w:type="spellStart"/>
      <w:r w:rsidRPr="006756A1">
        <w:t>WestConnect</w:t>
      </w:r>
      <w:proofErr w:type="spellEnd"/>
      <w:r w:rsidRPr="006756A1">
        <w:t xml:space="preserve"> CTOs assert that members of </w:t>
      </w:r>
      <w:proofErr w:type="spellStart"/>
      <w:r w:rsidRPr="006756A1">
        <w:t>WestConnect</w:t>
      </w:r>
      <w:proofErr w:type="spellEnd"/>
      <w:r w:rsidRPr="006756A1">
        <w:t xml:space="preserve"> believed that the risk of subsidization could be sufficiently minimized to allow their long history of beneficial coordinat</w:t>
      </w:r>
      <w:r>
        <w:t>ed</w:t>
      </w:r>
      <w:r w:rsidRPr="006756A1">
        <w:t xml:space="preserve"> transmission planning to continue without </w:t>
      </w:r>
      <w:r w:rsidR="005E4CB0">
        <w:t xml:space="preserve">enrollment of the </w:t>
      </w:r>
      <w:proofErr w:type="spellStart"/>
      <w:r w:rsidRPr="006756A1">
        <w:t>WestConnect</w:t>
      </w:r>
      <w:proofErr w:type="spellEnd"/>
      <w:r w:rsidRPr="006756A1">
        <w:t xml:space="preserve"> </w:t>
      </w:r>
      <w:r w:rsidR="005E4CB0">
        <w:t xml:space="preserve">unenrolled non-jurisdictional </w:t>
      </w:r>
      <w:r w:rsidR="00002756">
        <w:t>transmission providers</w:t>
      </w:r>
      <w:r w:rsidRPr="006756A1">
        <w:t>.</w:t>
      </w:r>
      <w:r w:rsidRPr="006756A1">
        <w:rPr>
          <w:rStyle w:val="FootnoteReference"/>
        </w:rPr>
        <w:footnoteReference w:id="49"/>
      </w:r>
      <w:r w:rsidRPr="006756A1">
        <w:t xml:space="preserve"> </w:t>
      </w:r>
      <w:r w:rsidRPr="00DF6D42">
        <w:t xml:space="preserve"> </w:t>
      </w:r>
      <w:proofErr w:type="spellStart"/>
      <w:r w:rsidR="005B6D92" w:rsidRPr="00DF6D42">
        <w:t>WestConnect</w:t>
      </w:r>
      <w:proofErr w:type="spellEnd"/>
      <w:r w:rsidR="005B6D92" w:rsidRPr="00DF6D42">
        <w:t xml:space="preserve"> CTOs argue</w:t>
      </w:r>
      <w:r w:rsidR="005B6D92">
        <w:t xml:space="preserve"> that, contrary to the Commission’s statement in Order No.</w:t>
      </w:r>
      <w:r w:rsidR="00EE1F39">
        <w:t> </w:t>
      </w:r>
      <w:r w:rsidR="005B6D92">
        <w:t>1920-A,</w:t>
      </w:r>
      <w:r w:rsidR="005B6D92" w:rsidRPr="00DF6D42">
        <w:t xml:space="preserve"> it is untrue that </w:t>
      </w:r>
      <w:r w:rsidR="005B6D92">
        <w:t>transmission providers</w:t>
      </w:r>
      <w:r w:rsidR="005B6D92" w:rsidRPr="00DF6D42">
        <w:t xml:space="preserve"> </w:t>
      </w:r>
      <w:r w:rsidR="005B6D92">
        <w:t>cannot</w:t>
      </w:r>
      <w:r w:rsidR="005B6D92" w:rsidRPr="00DF6D42">
        <w:t xml:space="preserve"> ensure </w:t>
      </w:r>
      <w:r w:rsidR="003A51D6">
        <w:t>that</w:t>
      </w:r>
      <w:r w:rsidR="005B6D92" w:rsidRPr="00DF6D42">
        <w:t xml:space="preserve"> </w:t>
      </w:r>
      <w:r w:rsidR="00104488">
        <w:t>an</w:t>
      </w:r>
      <w:r w:rsidR="005B6D92" w:rsidRPr="00DF6D42">
        <w:t xml:space="preserve"> </w:t>
      </w:r>
      <w:r w:rsidR="005B6D92">
        <w:t xml:space="preserve">unenrolled </w:t>
      </w:r>
      <w:r w:rsidR="005B6D92" w:rsidRPr="00DF6D42">
        <w:t xml:space="preserve">non-jurisdictional </w:t>
      </w:r>
      <w:r w:rsidR="005B6D92" w:rsidRPr="00104488">
        <w:t>transmission provider contributes</w:t>
      </w:r>
      <w:r w:rsidR="005B6D92" w:rsidRPr="00DF6D42">
        <w:t xml:space="preserve"> to the cost of a regional </w:t>
      </w:r>
      <w:r w:rsidR="00674ECA">
        <w:t xml:space="preserve">transmission </w:t>
      </w:r>
      <w:r w:rsidR="005B6D92" w:rsidRPr="00DF6D42">
        <w:t xml:space="preserve">project from which </w:t>
      </w:r>
      <w:r w:rsidR="005B6D92" w:rsidRPr="00104488">
        <w:t>it benefits</w:t>
      </w:r>
      <w:r w:rsidR="005B6D92" w:rsidRPr="00DF6D42">
        <w:t xml:space="preserve"> without </w:t>
      </w:r>
      <w:r w:rsidR="005B6D92" w:rsidRPr="00BE6441">
        <w:t>enrolling</w:t>
      </w:r>
      <w:r w:rsidR="005B6D92" w:rsidRPr="00DF6D42">
        <w:t xml:space="preserve"> in </w:t>
      </w:r>
      <w:r w:rsidR="00D22061">
        <w:t xml:space="preserve">the </w:t>
      </w:r>
      <w:r w:rsidR="005B6D92" w:rsidRPr="00DF6D42">
        <w:t>transmission plan</w:t>
      </w:r>
      <w:r w:rsidR="00674ECA">
        <w:t>ning region</w:t>
      </w:r>
      <w:r w:rsidR="005B6D92" w:rsidRPr="00DF6D42">
        <w:t>.</w:t>
      </w:r>
      <w:r w:rsidR="005B6D92" w:rsidRPr="00DF6D42">
        <w:rPr>
          <w:rStyle w:val="FootnoteReference"/>
        </w:rPr>
        <w:footnoteReference w:id="50"/>
      </w:r>
      <w:r w:rsidR="005B6D92" w:rsidRPr="00DF6D42">
        <w:t xml:space="preserve">  </w:t>
      </w:r>
      <w:proofErr w:type="spellStart"/>
      <w:r w:rsidR="0037095D">
        <w:t>WestConnect</w:t>
      </w:r>
      <w:proofErr w:type="spellEnd"/>
      <w:r w:rsidR="0037095D">
        <w:t xml:space="preserve"> CTOs assert </w:t>
      </w:r>
      <w:r w:rsidR="0037095D" w:rsidRPr="001C0433">
        <w:t xml:space="preserve">that </w:t>
      </w:r>
      <w:r w:rsidR="0037095D">
        <w:t xml:space="preserve">prohibiting joint regional </w:t>
      </w:r>
      <w:r w:rsidR="00CF0022">
        <w:t xml:space="preserve">transmission </w:t>
      </w:r>
      <w:r w:rsidR="0037095D">
        <w:t xml:space="preserve">planning </w:t>
      </w:r>
      <w:r w:rsidR="0037095D" w:rsidRPr="001C0433">
        <w:t xml:space="preserve">is based on a false binary choice—that non-jurisdictional </w:t>
      </w:r>
      <w:r w:rsidR="00CF0022">
        <w:t>transmission providers</w:t>
      </w:r>
      <w:r w:rsidR="00CF0022" w:rsidRPr="001C0433">
        <w:t xml:space="preserve"> </w:t>
      </w:r>
      <w:r w:rsidR="0037095D" w:rsidRPr="001C0433">
        <w:t xml:space="preserve">are not required to enroll in a transmission planning region and can only participate if </w:t>
      </w:r>
      <w:r w:rsidR="0037095D" w:rsidRPr="001C0433">
        <w:lastRenderedPageBreak/>
        <w:t>they enroll.</w:t>
      </w:r>
      <w:r w:rsidR="0037095D">
        <w:rPr>
          <w:rStyle w:val="FootnoteReference"/>
        </w:rPr>
        <w:footnoteReference w:id="51"/>
      </w:r>
      <w:r w:rsidR="0037095D">
        <w:t xml:space="preserve">  </w:t>
      </w:r>
      <w:proofErr w:type="spellStart"/>
      <w:r w:rsidR="005B6D92" w:rsidRPr="00DF6D42">
        <w:t>WestConnect</w:t>
      </w:r>
      <w:proofErr w:type="spellEnd"/>
      <w:r w:rsidR="005B6D92" w:rsidRPr="00DF6D42">
        <w:t xml:space="preserve"> CTOs represent that the </w:t>
      </w:r>
      <w:proofErr w:type="spellStart"/>
      <w:r w:rsidR="005B6D92" w:rsidRPr="00DF6D42">
        <w:t>WestConnect</w:t>
      </w:r>
      <w:proofErr w:type="spellEnd"/>
      <w:r w:rsidR="005B6D92" w:rsidRPr="00DF6D42">
        <w:t xml:space="preserve"> </w:t>
      </w:r>
      <w:r w:rsidR="005B6D92">
        <w:t>transmission planning region’s transmission providers</w:t>
      </w:r>
      <w:r w:rsidR="005B6D92" w:rsidRPr="00DF6D42">
        <w:t xml:space="preserve"> remain open to considering a </w:t>
      </w:r>
      <w:r w:rsidR="00E305EF">
        <w:t xml:space="preserve">modified </w:t>
      </w:r>
      <w:r w:rsidR="005B6D92" w:rsidRPr="00DF6D42">
        <w:t>coordinating transmission owner framework that provides them reasonable assurance that they will not have to subsidize their non-jurisdictional counterparts without requiring their enrollment.</w:t>
      </w:r>
      <w:r w:rsidR="005B6D92" w:rsidRPr="00DF6D42">
        <w:rPr>
          <w:rStyle w:val="FootnoteReference"/>
        </w:rPr>
        <w:footnoteReference w:id="52"/>
      </w:r>
      <w:r w:rsidR="005B6D92" w:rsidRPr="00DF6D42">
        <w:t xml:space="preserve">  </w:t>
      </w:r>
    </w:p>
    <w:p w14:paraId="502B0F13" w14:textId="482B909F" w:rsidR="00BE6441" w:rsidRPr="00DF6D42" w:rsidRDefault="00BE6441" w:rsidP="00BE6441">
      <w:pPr>
        <w:pStyle w:val="FERCparanumber"/>
      </w:pPr>
      <w:proofErr w:type="spellStart"/>
      <w:r w:rsidRPr="00DF6D42">
        <w:t>WestConnect</w:t>
      </w:r>
      <w:proofErr w:type="spellEnd"/>
      <w:r w:rsidRPr="00DF6D42">
        <w:t xml:space="preserve"> CTOs </w:t>
      </w:r>
      <w:r w:rsidR="0054486A">
        <w:t xml:space="preserve">further </w:t>
      </w:r>
      <w:r w:rsidRPr="00DF6D42">
        <w:t xml:space="preserve">state that banning the possibility of </w:t>
      </w:r>
      <w:r w:rsidR="009D5A67">
        <w:t xml:space="preserve">voluntary </w:t>
      </w:r>
      <w:r w:rsidRPr="00DF6D42">
        <w:t xml:space="preserve">arrangements </w:t>
      </w:r>
      <w:r w:rsidR="009D5A67">
        <w:t xml:space="preserve">for joint regional transmission planning with unenrolled non-jurisdictional </w:t>
      </w:r>
      <w:r w:rsidR="00535ACF">
        <w:t xml:space="preserve">transmission providers </w:t>
      </w:r>
      <w:r w:rsidRPr="00DF6D42">
        <w:t>violates FPA section</w:t>
      </w:r>
      <w:r w:rsidR="004A5811">
        <w:t> </w:t>
      </w:r>
      <w:r w:rsidRPr="00DF6D42">
        <w:t>202(a), under which the Commission is “affirmatively not only ‘empowered,’ but ‘</w:t>
      </w:r>
      <w:r w:rsidRPr="00DF6D42">
        <w:rPr>
          <w:i/>
          <w:iCs/>
        </w:rPr>
        <w:t>directed</w:t>
      </w:r>
      <w:r w:rsidRPr="00DF6D42">
        <w:t xml:space="preserve"> to divide the country into regional districts for the voluntary interconnection and coordination of facilities for the generation, transmission, and sale of electric energy.’”</w:t>
      </w:r>
      <w:r w:rsidRPr="00DF6D42">
        <w:rPr>
          <w:rStyle w:val="FootnoteReference"/>
        </w:rPr>
        <w:footnoteReference w:id="53"/>
      </w:r>
    </w:p>
    <w:p w14:paraId="76CF8681" w14:textId="5F23A863" w:rsidR="00BE6441" w:rsidRDefault="00BE6441" w:rsidP="002F53F8">
      <w:pPr>
        <w:pStyle w:val="FERCparanumber"/>
      </w:pPr>
      <w:proofErr w:type="spellStart"/>
      <w:r w:rsidRPr="001C0433">
        <w:t>WestConnect</w:t>
      </w:r>
      <w:proofErr w:type="spellEnd"/>
      <w:r w:rsidRPr="001C0433">
        <w:t xml:space="preserve"> CTOs </w:t>
      </w:r>
      <w:r w:rsidR="00C134C6">
        <w:t xml:space="preserve">and NRECA </w:t>
      </w:r>
      <w:r>
        <w:t xml:space="preserve">argue that </w:t>
      </w:r>
      <w:r w:rsidR="00C134C6">
        <w:t>a</w:t>
      </w:r>
      <w:r>
        <w:t xml:space="preserve"> ban on regional transmission planning by public utilities and unenrolled non-jurisdictional transmission providers </w:t>
      </w:r>
      <w:r w:rsidR="00BE23DC">
        <w:t xml:space="preserve">would be </w:t>
      </w:r>
      <w:r>
        <w:t xml:space="preserve">an </w:t>
      </w:r>
      <w:r w:rsidRPr="00BE6441">
        <w:t>unacknowledged</w:t>
      </w:r>
      <w:r>
        <w:t>, unexplained, and hence arbitrary departure from Order No. 1000 precedent.</w:t>
      </w:r>
      <w:r w:rsidR="00BE23DC">
        <w:rPr>
          <w:rStyle w:val="FootnoteReference"/>
        </w:rPr>
        <w:footnoteReference w:id="54"/>
      </w:r>
      <w:r>
        <w:t xml:space="preserve">  </w:t>
      </w:r>
      <w:proofErr w:type="spellStart"/>
      <w:r w:rsidR="0058306B">
        <w:t>WestConnect</w:t>
      </w:r>
      <w:proofErr w:type="spellEnd"/>
      <w:r w:rsidR="0058306B">
        <w:t xml:space="preserve"> CTOs </w:t>
      </w:r>
      <w:r w:rsidR="0058306B" w:rsidRPr="00BE6441">
        <w:t>argue</w:t>
      </w:r>
      <w:r w:rsidR="0058306B">
        <w:t xml:space="preserve"> that the Commission’s </w:t>
      </w:r>
      <w:r w:rsidR="0058306B">
        <w:lastRenderedPageBreak/>
        <w:t xml:space="preserve">misinterpretation of </w:t>
      </w:r>
      <w:r w:rsidR="0058306B">
        <w:rPr>
          <w:i/>
          <w:iCs/>
        </w:rPr>
        <w:t xml:space="preserve">El Paso </w:t>
      </w:r>
      <w:r w:rsidR="0058306B">
        <w:t>is counterproductive to the Commission’s professed goal of Order Nos. 1000 and 1920—to encourage and enhance regional transmission planning.</w:t>
      </w:r>
      <w:r w:rsidR="00D716BF">
        <w:rPr>
          <w:rStyle w:val="FootnoteReference"/>
        </w:rPr>
        <w:footnoteReference w:id="55"/>
      </w:r>
    </w:p>
    <w:p w14:paraId="1267F954" w14:textId="32C8FFB2" w:rsidR="00BE6441" w:rsidRPr="001E5D07" w:rsidRDefault="00BE6441" w:rsidP="00BE6441">
      <w:pPr>
        <w:pStyle w:val="FERCparanumber"/>
      </w:pPr>
      <w:proofErr w:type="spellStart"/>
      <w:r>
        <w:t>WestConnect</w:t>
      </w:r>
      <w:proofErr w:type="spellEnd"/>
      <w:r>
        <w:t xml:space="preserve"> CTOs state that the Commission has noted that it “accepted the </w:t>
      </w:r>
      <w:proofErr w:type="spellStart"/>
      <w:r>
        <w:t>WestConnect</w:t>
      </w:r>
      <w:proofErr w:type="spellEnd"/>
      <w:r>
        <w:t xml:space="preserve"> public utility transmission providers’ proposed participation framework </w:t>
      </w:r>
      <w:r w:rsidR="00C64FE7">
        <w:t>[</w:t>
      </w:r>
      <w:r w:rsidR="002E2178">
        <w:t>(i.e., the coordinating transmission owner framework)</w:t>
      </w:r>
      <w:r w:rsidR="00C64FE7">
        <w:t>]</w:t>
      </w:r>
      <w:r w:rsidR="002E2178">
        <w:t xml:space="preserve"> </w:t>
      </w:r>
      <w:r>
        <w:t xml:space="preserve">under which non-public utility transmission providers could participate in </w:t>
      </w:r>
      <w:proofErr w:type="spellStart"/>
      <w:r>
        <w:t>WestConnect</w:t>
      </w:r>
      <w:proofErr w:type="spellEnd"/>
      <w:r>
        <w:t xml:space="preserve"> as either enrolled transmission owners or coordinating transmission owners.”</w:t>
      </w:r>
      <w:r>
        <w:rPr>
          <w:rStyle w:val="FootnoteReference"/>
        </w:rPr>
        <w:footnoteReference w:id="56"/>
      </w:r>
      <w:r>
        <w:t xml:space="preserve">  </w:t>
      </w:r>
      <w:proofErr w:type="spellStart"/>
      <w:r>
        <w:t>WestConnect</w:t>
      </w:r>
      <w:proofErr w:type="spellEnd"/>
      <w:r>
        <w:t xml:space="preserve"> CTOs also state that the Commission expressly held that Order No. 1000 “does not preclude the </w:t>
      </w:r>
      <w:r w:rsidRPr="00BE6441">
        <w:t>enrolled</w:t>
      </w:r>
      <w:r>
        <w:t xml:space="preserve"> public utility transmission providers in a transmission planning region from conducting transmission planning for unenrolled non-public utility transmission providers if the enrolled public utility transmission providers elect to do so.”</w:t>
      </w:r>
      <w:r>
        <w:rPr>
          <w:rStyle w:val="FootnoteReference"/>
        </w:rPr>
        <w:footnoteReference w:id="57"/>
      </w:r>
      <w:r>
        <w:t xml:space="preserve">  </w:t>
      </w:r>
      <w:proofErr w:type="spellStart"/>
      <w:r>
        <w:t>WestConnect</w:t>
      </w:r>
      <w:proofErr w:type="spellEnd"/>
      <w:r>
        <w:t xml:space="preserve"> CTOs argue </w:t>
      </w:r>
      <w:r>
        <w:lastRenderedPageBreak/>
        <w:t xml:space="preserve">that this holding underpinned the </w:t>
      </w:r>
      <w:r w:rsidR="006C7571">
        <w:t xml:space="preserve">development of </w:t>
      </w:r>
      <w:proofErr w:type="spellStart"/>
      <w:r w:rsidR="00537D79">
        <w:t>WestConnect’s</w:t>
      </w:r>
      <w:proofErr w:type="spellEnd"/>
      <w:r w:rsidR="00537D79">
        <w:t xml:space="preserve"> existing </w:t>
      </w:r>
      <w:r>
        <w:t xml:space="preserve">coordinating transmission owner framework and was not challenged or addressed in </w:t>
      </w:r>
      <w:r w:rsidRPr="00F84A9C">
        <w:rPr>
          <w:i/>
          <w:iCs/>
        </w:rPr>
        <w:t>El Paso</w:t>
      </w:r>
      <w:r>
        <w:t xml:space="preserve">.  On the contrary, </w:t>
      </w:r>
      <w:proofErr w:type="spellStart"/>
      <w:r>
        <w:t>WestConnect</w:t>
      </w:r>
      <w:proofErr w:type="spellEnd"/>
      <w:r>
        <w:t xml:space="preserve"> CTOs argue, </w:t>
      </w:r>
      <w:r w:rsidRPr="00F84A9C">
        <w:rPr>
          <w:i/>
          <w:iCs/>
        </w:rPr>
        <w:t xml:space="preserve">El Paso </w:t>
      </w:r>
      <w:r>
        <w:t xml:space="preserve">does not alter—and could not have altered—Order No. 1000’s holdings, which were affirmed by the </w:t>
      </w:r>
      <w:r w:rsidR="008C5B17" w:rsidRPr="007F6911">
        <w:t xml:space="preserve">U.S. Court of Appeals for the </w:t>
      </w:r>
      <w:r w:rsidRPr="007F6911">
        <w:t>D.C. Circuit</w:t>
      </w:r>
      <w:r w:rsidR="008C5B17" w:rsidRPr="007F6911">
        <w:t xml:space="preserve"> (D.C. Circuit)</w:t>
      </w:r>
      <w:r>
        <w:t>.</w:t>
      </w:r>
      <w:r>
        <w:rPr>
          <w:rStyle w:val="FootnoteReference"/>
        </w:rPr>
        <w:footnoteReference w:id="58"/>
      </w:r>
      <w:r>
        <w:t xml:space="preserve">  </w:t>
      </w:r>
    </w:p>
    <w:p w14:paraId="39D4C5BC" w14:textId="46888D02" w:rsidR="00BE6441" w:rsidRDefault="00BE6441" w:rsidP="00BE6441">
      <w:pPr>
        <w:pStyle w:val="FERCparanumber"/>
      </w:pPr>
      <w:proofErr w:type="spellStart"/>
      <w:r w:rsidRPr="00350A16">
        <w:t>WestConnect</w:t>
      </w:r>
      <w:proofErr w:type="spellEnd"/>
      <w:r w:rsidRPr="00350A16">
        <w:t xml:space="preserve"> CTOs argue that the Commission’s prohibition on</w:t>
      </w:r>
      <w:r w:rsidR="00E1485D">
        <w:t xml:space="preserve"> transmission providers planning for the needs of </w:t>
      </w:r>
      <w:r w:rsidR="005C4FAF">
        <w:t>unenrolled</w:t>
      </w:r>
      <w:r w:rsidR="00644C50">
        <w:t xml:space="preserve"> non-jurisdict</w:t>
      </w:r>
      <w:r w:rsidR="00C13A71">
        <w:t xml:space="preserve">ional </w:t>
      </w:r>
      <w:r w:rsidR="00221DA5">
        <w:t>transmission provider</w:t>
      </w:r>
      <w:r w:rsidR="00EC6EC0">
        <w:t>s</w:t>
      </w:r>
      <w:r w:rsidRPr="00350A16">
        <w:t xml:space="preserve"> </w:t>
      </w:r>
      <w:r w:rsidR="004E7FBC">
        <w:t xml:space="preserve">fails to </w:t>
      </w:r>
      <w:r w:rsidR="004E7FBC" w:rsidRPr="00350A16">
        <w:t>acknowledg</w:t>
      </w:r>
      <w:r w:rsidR="004E7FBC">
        <w:t>e</w:t>
      </w:r>
      <w:r>
        <w:t xml:space="preserve">, </w:t>
      </w:r>
      <w:r w:rsidR="004E7FBC">
        <w:t>explain</w:t>
      </w:r>
      <w:r w:rsidRPr="00350A16">
        <w:t xml:space="preserve">, </w:t>
      </w:r>
      <w:r>
        <w:t xml:space="preserve">or </w:t>
      </w:r>
      <w:r w:rsidRPr="00350A16">
        <w:t xml:space="preserve">consider </w:t>
      </w:r>
      <w:proofErr w:type="spellStart"/>
      <w:r w:rsidRPr="00350A16">
        <w:t>WestConnect</w:t>
      </w:r>
      <w:proofErr w:type="spellEnd"/>
      <w:r w:rsidRPr="00350A16">
        <w:t xml:space="preserve"> CTOs’</w:t>
      </w:r>
      <w:r w:rsidR="0045423E">
        <w:t xml:space="preserve"> substantial</w:t>
      </w:r>
      <w:r w:rsidRPr="00350A16">
        <w:t xml:space="preserve"> reliance interest in the Commission’s prior approval of the coordinating transmission owner framework.</w:t>
      </w:r>
      <w:r w:rsidRPr="00350A16">
        <w:rPr>
          <w:rStyle w:val="FootnoteReference"/>
        </w:rPr>
        <w:footnoteReference w:id="59"/>
      </w:r>
      <w:r>
        <w:rPr>
          <w:shd w:val="clear" w:color="auto" w:fill="A8D08D" w:themeFill="accent6" w:themeFillTint="99"/>
        </w:rPr>
        <w:t xml:space="preserve"> </w:t>
      </w:r>
    </w:p>
    <w:p w14:paraId="32B29C4F" w14:textId="616C72B8" w:rsidR="00BE6441" w:rsidRDefault="00BE6441" w:rsidP="00BE6441">
      <w:pPr>
        <w:pStyle w:val="FERCparanumber"/>
      </w:pPr>
      <w:proofErr w:type="spellStart"/>
      <w:r>
        <w:t>WestConnect</w:t>
      </w:r>
      <w:proofErr w:type="spellEnd"/>
      <w:r>
        <w:t xml:space="preserve"> CTOs further note that</w:t>
      </w:r>
      <w:r w:rsidR="00B3100A">
        <w:t>,</w:t>
      </w:r>
      <w:r>
        <w:t xml:space="preserve"> </w:t>
      </w:r>
      <w:r w:rsidR="00DA120F">
        <w:t xml:space="preserve">in </w:t>
      </w:r>
      <w:r>
        <w:t>Order No. 1000</w:t>
      </w:r>
      <w:r w:rsidR="00957B7E">
        <w:t>,</w:t>
      </w:r>
      <w:r>
        <w:t xml:space="preserve"> </w:t>
      </w:r>
      <w:r w:rsidR="00DA120F">
        <w:t xml:space="preserve">the Commission </w:t>
      </w:r>
      <w:r>
        <w:t xml:space="preserve">required that the scope of a transmission planning region “be governed by </w:t>
      </w:r>
      <w:r w:rsidRPr="00BE6441">
        <w:t>the</w:t>
      </w:r>
      <w:r>
        <w:t xml:space="preserve"> integrated nature of the regional power grid.”</w:t>
      </w:r>
      <w:r>
        <w:rPr>
          <w:rStyle w:val="FootnoteReference"/>
        </w:rPr>
        <w:footnoteReference w:id="60"/>
      </w:r>
      <w:r>
        <w:t xml:space="preserve">  </w:t>
      </w:r>
      <w:proofErr w:type="spellStart"/>
      <w:r>
        <w:t>WestConnect</w:t>
      </w:r>
      <w:proofErr w:type="spellEnd"/>
      <w:r>
        <w:t xml:space="preserve"> CTOs </w:t>
      </w:r>
      <w:r w:rsidR="00972077">
        <w:t xml:space="preserve">allege that </w:t>
      </w:r>
      <w:r>
        <w:t xml:space="preserve">the Commission </w:t>
      </w:r>
      <w:r w:rsidR="004A0429">
        <w:t xml:space="preserve">stated that </w:t>
      </w:r>
      <w:r>
        <w:t xml:space="preserve">without the participation of non-jurisdictional </w:t>
      </w:r>
      <w:r w:rsidR="00C11390">
        <w:t xml:space="preserve">transmission providers </w:t>
      </w:r>
      <w:r>
        <w:t xml:space="preserve">interspersed throughout the </w:t>
      </w:r>
      <w:proofErr w:type="spellStart"/>
      <w:r>
        <w:t>WestConnect</w:t>
      </w:r>
      <w:proofErr w:type="spellEnd"/>
      <w:r>
        <w:t xml:space="preserve"> </w:t>
      </w:r>
      <w:r w:rsidR="00040D07">
        <w:t xml:space="preserve">transmission planning </w:t>
      </w:r>
      <w:r>
        <w:t xml:space="preserve">region that make up half of its membership, </w:t>
      </w:r>
      <w:proofErr w:type="spellStart"/>
      <w:r>
        <w:t>WestConnect</w:t>
      </w:r>
      <w:proofErr w:type="spellEnd"/>
      <w:r>
        <w:t xml:space="preserve"> would be like “</w:t>
      </w:r>
      <w:proofErr w:type="spellStart"/>
      <w:r>
        <w:t>swiss</w:t>
      </w:r>
      <w:proofErr w:type="spellEnd"/>
      <w:r>
        <w:t xml:space="preserve"> cheese.”</w:t>
      </w:r>
      <w:r>
        <w:rPr>
          <w:rStyle w:val="FootnoteReference"/>
        </w:rPr>
        <w:footnoteReference w:id="61"/>
      </w:r>
      <w:r>
        <w:t xml:space="preserve">  </w:t>
      </w:r>
      <w:proofErr w:type="spellStart"/>
      <w:r>
        <w:t>WestConnect</w:t>
      </w:r>
      <w:proofErr w:type="spellEnd"/>
      <w:r>
        <w:t xml:space="preserve"> CTOs state </w:t>
      </w:r>
      <w:r>
        <w:lastRenderedPageBreak/>
        <w:t xml:space="preserve">that one of the reasons coordinating transmission owners supported </w:t>
      </w:r>
      <w:proofErr w:type="spellStart"/>
      <w:r>
        <w:t>WestConnect’s</w:t>
      </w:r>
      <w:proofErr w:type="spellEnd"/>
      <w:r>
        <w:t xml:space="preserve"> coordinating transmission owner framework was </w:t>
      </w:r>
      <w:r w:rsidR="00CB6730">
        <w:t xml:space="preserve">the </w:t>
      </w:r>
      <w:r>
        <w:t xml:space="preserve">institutional difficulties </w:t>
      </w:r>
      <w:r w:rsidR="00781C21">
        <w:t xml:space="preserve">                     </w:t>
      </w:r>
      <w:r w:rsidR="005354F7">
        <w:t>non-jurisdictional transmission providers</w:t>
      </w:r>
      <w:r>
        <w:t xml:space="preserve"> face in agreeing to enrollment rather than </w:t>
      </w:r>
      <w:r w:rsidR="00781C21">
        <w:t xml:space="preserve">            </w:t>
      </w:r>
      <w:r>
        <w:t xml:space="preserve">case-by-case acceptance of </w:t>
      </w:r>
      <w:r w:rsidR="004D23A3">
        <w:t xml:space="preserve">cost allocation for </w:t>
      </w:r>
      <w:r>
        <w:t xml:space="preserve">regional </w:t>
      </w:r>
      <w:r w:rsidR="00825B0C">
        <w:t>transmission</w:t>
      </w:r>
      <w:r>
        <w:t xml:space="preserve"> projects.</w:t>
      </w:r>
      <w:r>
        <w:rPr>
          <w:rStyle w:val="FootnoteReference"/>
        </w:rPr>
        <w:footnoteReference w:id="62"/>
      </w:r>
      <w:r>
        <w:t xml:space="preserve">  </w:t>
      </w:r>
      <w:proofErr w:type="spellStart"/>
      <w:r>
        <w:t>WestConnect</w:t>
      </w:r>
      <w:proofErr w:type="spellEnd"/>
      <w:r>
        <w:t xml:space="preserve"> CTOs argue that Order No. 1920-A does not acknowledge or explain how </w:t>
      </w:r>
      <w:r w:rsidR="006C6F39">
        <w:t>transmission providers</w:t>
      </w:r>
      <w:r>
        <w:t xml:space="preserve"> barred from joint </w:t>
      </w:r>
      <w:r w:rsidR="006C6F39">
        <w:t xml:space="preserve">regional transmission </w:t>
      </w:r>
      <w:r>
        <w:t xml:space="preserve">planning with unenrolled non-jurisdictional </w:t>
      </w:r>
      <w:r w:rsidR="006C6F39">
        <w:t xml:space="preserve">transmission providers </w:t>
      </w:r>
      <w:r>
        <w:t xml:space="preserve">can meet Order No. 1000’s integration requirement in a </w:t>
      </w:r>
      <w:r w:rsidR="002545E4">
        <w:t xml:space="preserve">transmission planning </w:t>
      </w:r>
      <w:r>
        <w:t xml:space="preserve">region like </w:t>
      </w:r>
      <w:proofErr w:type="spellStart"/>
      <w:r>
        <w:t>WestConnect</w:t>
      </w:r>
      <w:proofErr w:type="spellEnd"/>
      <w:r>
        <w:t>.</w:t>
      </w:r>
      <w:r>
        <w:rPr>
          <w:rStyle w:val="FootnoteReference"/>
        </w:rPr>
        <w:footnoteReference w:id="63"/>
      </w:r>
      <w:r>
        <w:t xml:space="preserve">  </w:t>
      </w:r>
    </w:p>
    <w:p w14:paraId="09234278" w14:textId="511328D2" w:rsidR="00BE6441" w:rsidRDefault="00BE6441" w:rsidP="00BE6441">
      <w:pPr>
        <w:pStyle w:val="FERCparanumber"/>
      </w:pPr>
      <w:proofErr w:type="spellStart"/>
      <w:r w:rsidRPr="00FD7FB6">
        <w:t>WestConnect</w:t>
      </w:r>
      <w:proofErr w:type="spellEnd"/>
      <w:r w:rsidRPr="00FD7FB6">
        <w:t xml:space="preserve"> CTOs state that </w:t>
      </w:r>
      <w:r>
        <w:t xml:space="preserve">while the Commission found in its order on remand from </w:t>
      </w:r>
      <w:r w:rsidRPr="503BA134">
        <w:rPr>
          <w:i/>
          <w:iCs/>
        </w:rPr>
        <w:t xml:space="preserve">El Paso </w:t>
      </w:r>
      <w:r>
        <w:t xml:space="preserve">that </w:t>
      </w:r>
      <w:proofErr w:type="spellStart"/>
      <w:r>
        <w:t>WestConnect</w:t>
      </w:r>
      <w:proofErr w:type="spellEnd"/>
      <w:r>
        <w:t xml:space="preserve"> remains an integrated </w:t>
      </w:r>
      <w:r w:rsidR="00B30145">
        <w:t xml:space="preserve">transmission planning </w:t>
      </w:r>
      <w:r>
        <w:t>region even without participation of coordinat</w:t>
      </w:r>
      <w:r w:rsidR="00727720">
        <w:t>ing</w:t>
      </w:r>
      <w:r>
        <w:t xml:space="preserve"> transmission owners, the Commission does not incorporate or reference that finding in Order No. 1920-A.</w:t>
      </w:r>
      <w:r w:rsidRPr="00FD7FB6">
        <w:rPr>
          <w:rStyle w:val="FootnoteReference"/>
        </w:rPr>
        <w:footnoteReference w:id="64"/>
      </w:r>
      <w:r>
        <w:t xml:space="preserve">  Nevertheless, </w:t>
      </w:r>
      <w:proofErr w:type="spellStart"/>
      <w:r>
        <w:t>WestConnect</w:t>
      </w:r>
      <w:proofErr w:type="spellEnd"/>
      <w:r>
        <w:t xml:space="preserve"> CTOs </w:t>
      </w:r>
      <w:r w:rsidR="000D0C3A">
        <w:t xml:space="preserve">object to the Commission’s determination </w:t>
      </w:r>
      <w:r w:rsidR="00CC2088">
        <w:t xml:space="preserve">in its order on remand from </w:t>
      </w:r>
      <w:r w:rsidR="00CC2088">
        <w:rPr>
          <w:i/>
          <w:iCs/>
        </w:rPr>
        <w:t xml:space="preserve">El Paso </w:t>
      </w:r>
      <w:r w:rsidR="008E4F07">
        <w:t>regarding</w:t>
      </w:r>
      <w:r w:rsidR="000D0C3A">
        <w:t xml:space="preserve"> the continued integration of the </w:t>
      </w:r>
      <w:proofErr w:type="spellStart"/>
      <w:r w:rsidR="000D0C3A">
        <w:t>WestConnect</w:t>
      </w:r>
      <w:proofErr w:type="spellEnd"/>
      <w:r w:rsidR="000D0C3A">
        <w:t xml:space="preserve"> transmission planning region</w:t>
      </w:r>
      <w:r>
        <w:t>.</w:t>
      </w:r>
      <w:r w:rsidRPr="00FD7FB6">
        <w:rPr>
          <w:rStyle w:val="FootnoteReference"/>
        </w:rPr>
        <w:footnoteReference w:id="65"/>
      </w:r>
      <w:r w:rsidDel="00BE6441">
        <w:t xml:space="preserve">  </w:t>
      </w:r>
    </w:p>
    <w:p w14:paraId="52E0AA8B" w14:textId="2262629D" w:rsidR="0019240C" w:rsidRDefault="00BE6441" w:rsidP="00525FC8">
      <w:pPr>
        <w:pStyle w:val="FERCparanumber"/>
      </w:pPr>
      <w:proofErr w:type="spellStart"/>
      <w:r w:rsidRPr="00076A6F">
        <w:lastRenderedPageBreak/>
        <w:t>WestConnect</w:t>
      </w:r>
      <w:proofErr w:type="spellEnd"/>
      <w:r>
        <w:t xml:space="preserve"> CTOs assert that the ban on use of a coordinating transmission owner framework would all but ensure the failure of regional </w:t>
      </w:r>
      <w:r w:rsidR="000C6348">
        <w:t xml:space="preserve">transmission </w:t>
      </w:r>
      <w:r>
        <w:t xml:space="preserve">planning in </w:t>
      </w:r>
      <w:proofErr w:type="spellStart"/>
      <w:r>
        <w:t>WestConnect</w:t>
      </w:r>
      <w:proofErr w:type="spellEnd"/>
      <w:r>
        <w:t xml:space="preserve">, contrary to the objectives of Order Nos. 1000 and 1920.  </w:t>
      </w:r>
      <w:proofErr w:type="spellStart"/>
      <w:r>
        <w:t>WestConnect</w:t>
      </w:r>
      <w:proofErr w:type="spellEnd"/>
      <w:r>
        <w:t xml:space="preserve"> CTOs</w:t>
      </w:r>
      <w:r w:rsidDel="0093029A">
        <w:t xml:space="preserve"> </w:t>
      </w:r>
      <w:r w:rsidR="0093029A">
        <w:t xml:space="preserve">contend </w:t>
      </w:r>
      <w:r>
        <w:t>that the Commission’s failure to acknowledge its departure from existing policy or explain how a mandatory enrollment requirement would be consistent with Order No. 1000’s integration requirement was arbitrary.</w:t>
      </w:r>
      <w:r>
        <w:rPr>
          <w:rStyle w:val="FootnoteReference"/>
        </w:rPr>
        <w:footnoteReference w:id="66"/>
      </w:r>
    </w:p>
    <w:p w14:paraId="22FE4054" w14:textId="7AB515E5" w:rsidR="00525FC8" w:rsidRDefault="00525FC8" w:rsidP="00525FC8">
      <w:pPr>
        <w:pStyle w:val="Heading3"/>
      </w:pPr>
      <w:r>
        <w:t>Commission Determination</w:t>
      </w:r>
    </w:p>
    <w:p w14:paraId="46B56902" w14:textId="2070695E" w:rsidR="00E10040" w:rsidRDefault="00E10040" w:rsidP="00E10040">
      <w:pPr>
        <w:pStyle w:val="FERCparanumber"/>
      </w:pPr>
      <w:r w:rsidRPr="001A79F5">
        <w:t xml:space="preserve">We </w:t>
      </w:r>
      <w:r>
        <w:t xml:space="preserve">agree </w:t>
      </w:r>
      <w:r w:rsidR="00810E22">
        <w:t xml:space="preserve">with rehearing petitioners </w:t>
      </w:r>
      <w:r w:rsidR="00D60125">
        <w:t>that Order No. </w:t>
      </w:r>
      <w:r w:rsidR="00F36676">
        <w:t>1920-A does not modify the requirements of Order No. 1000</w:t>
      </w:r>
      <w:r w:rsidR="00476873">
        <w:t xml:space="preserve"> with respect to planning for the needs of unenrolled </w:t>
      </w:r>
      <w:r w:rsidR="00781C21">
        <w:t xml:space="preserve">   </w:t>
      </w:r>
      <w:r w:rsidR="00476873">
        <w:t xml:space="preserve">non-jurisdictional </w:t>
      </w:r>
      <w:r w:rsidR="00765554">
        <w:t>transmission providers</w:t>
      </w:r>
      <w:r w:rsidR="0076567D">
        <w:t>.</w:t>
      </w:r>
      <w:r w:rsidR="00F36676">
        <w:rPr>
          <w:rStyle w:val="FootnoteReference"/>
        </w:rPr>
        <w:footnoteReference w:id="67"/>
      </w:r>
      <w:r w:rsidR="00F36676">
        <w:t xml:space="preserve"> </w:t>
      </w:r>
      <w:r w:rsidR="0076567D">
        <w:t xml:space="preserve"> </w:t>
      </w:r>
      <w:r w:rsidR="004A78B0">
        <w:t>Although Order No. 1000 does not require a coordinating transmission owner framework, Order No. 1000</w:t>
      </w:r>
      <w:r w:rsidR="00AE2261">
        <w:t xml:space="preserve"> </w:t>
      </w:r>
      <w:r w:rsidR="00F36676">
        <w:t xml:space="preserve">and </w:t>
      </w:r>
      <w:r w:rsidR="00AE2261">
        <w:rPr>
          <w:i/>
          <w:iCs/>
        </w:rPr>
        <w:t>El Paso</w:t>
      </w:r>
      <w:r w:rsidR="00F36676" w:rsidDel="0058228A">
        <w:rPr>
          <w:i/>
        </w:rPr>
        <w:t xml:space="preserve"> </w:t>
      </w:r>
      <w:r w:rsidR="0058228A">
        <w:t xml:space="preserve">do not </w:t>
      </w:r>
      <w:r w:rsidR="00295F04" w:rsidRPr="0083617E">
        <w:t>explicitly</w:t>
      </w:r>
      <w:r w:rsidR="00295F04">
        <w:t xml:space="preserve"> </w:t>
      </w:r>
      <w:r w:rsidR="0058228A">
        <w:t xml:space="preserve">foreclose </w:t>
      </w:r>
      <w:r w:rsidR="00C728A2">
        <w:t xml:space="preserve">the possibility that a voluntary arrangement for regional transmission planning </w:t>
      </w:r>
      <w:r w:rsidR="00C728A2">
        <w:rPr>
          <w:i/>
          <w:iCs/>
        </w:rPr>
        <w:t xml:space="preserve">and </w:t>
      </w:r>
      <w:r w:rsidR="00C728A2">
        <w:t>cost allocation that includes unenrolled non-jurisdictional transmission providers could comply with the FPA’s mandate for just and reasonable rates and the Commission’s cost causation precedent.</w:t>
      </w:r>
      <w:r w:rsidR="0024289C">
        <w:rPr>
          <w:rStyle w:val="FootnoteReference"/>
        </w:rPr>
        <w:footnoteReference w:id="68"/>
      </w:r>
      <w:r w:rsidR="00C728A2">
        <w:t xml:space="preserve">  </w:t>
      </w:r>
      <w:r w:rsidR="00DC3AA7">
        <w:t xml:space="preserve">Accordingly, </w:t>
      </w:r>
      <w:r w:rsidR="005E7589">
        <w:t xml:space="preserve">we </w:t>
      </w:r>
      <w:r w:rsidR="00C346BA" w:rsidRPr="00220DCF">
        <w:t>clarify</w:t>
      </w:r>
      <w:r w:rsidR="00C346BA">
        <w:t xml:space="preserve"> </w:t>
      </w:r>
      <w:r w:rsidR="00FF0A00">
        <w:t>the Commission’s</w:t>
      </w:r>
      <w:r>
        <w:t xml:space="preserve"> statement</w:t>
      </w:r>
      <w:r w:rsidR="00EF390A">
        <w:t xml:space="preserve"> in Order No. 1920-A</w:t>
      </w:r>
      <w:r>
        <w:t xml:space="preserve"> that transmission providers may </w:t>
      </w:r>
      <w:r>
        <w:rPr>
          <w:i/>
          <w:iCs/>
        </w:rPr>
        <w:t xml:space="preserve">not </w:t>
      </w:r>
      <w:r>
        <w:t xml:space="preserve">plan for the needs of a non-jurisdictional transmission provider if that non-jurisdictional transmission provider </w:t>
      </w:r>
      <w:r>
        <w:lastRenderedPageBreak/>
        <w:t>has not enrolled in the transmission planning region and thereby has not agreed to any cost allocation method applicable to selected Long-Term Regional Transmission Facilities.</w:t>
      </w:r>
      <w:r>
        <w:rPr>
          <w:rStyle w:val="FootnoteReference"/>
        </w:rPr>
        <w:footnoteReference w:id="69"/>
      </w:r>
      <w:r>
        <w:t xml:space="preserve">  </w:t>
      </w:r>
      <w:r w:rsidR="00B15F21">
        <w:t>Specifically</w:t>
      </w:r>
      <w:r>
        <w:t xml:space="preserve">, we agree </w:t>
      </w:r>
      <w:r w:rsidR="00EF390A">
        <w:t xml:space="preserve">with NRECA </w:t>
      </w:r>
      <w:r>
        <w:t xml:space="preserve">that transmission providers are not </w:t>
      </w:r>
      <w:r w:rsidRPr="00C6377F">
        <w:rPr>
          <w:i/>
          <w:iCs/>
        </w:rPr>
        <w:t>required</w:t>
      </w:r>
      <w:r>
        <w:t xml:space="preserve"> to plan for the Long-Term Transmission Needs of unenrolled non-jurisdictional </w:t>
      </w:r>
      <w:r w:rsidR="00EE0EDF">
        <w:t>transmission providers</w:t>
      </w:r>
      <w:r>
        <w:t>.</w:t>
      </w:r>
      <w:r>
        <w:rPr>
          <w:rStyle w:val="FootnoteReference"/>
        </w:rPr>
        <w:footnoteReference w:id="70"/>
      </w:r>
      <w:r>
        <w:t xml:space="preserve">  </w:t>
      </w:r>
      <w:r w:rsidR="00B15F21">
        <w:t xml:space="preserve">In </w:t>
      </w:r>
      <w:r w:rsidR="00B15F21">
        <w:rPr>
          <w:i/>
          <w:iCs/>
        </w:rPr>
        <w:t xml:space="preserve">El </w:t>
      </w:r>
      <w:r w:rsidR="00B15F21" w:rsidRPr="00B15F21">
        <w:rPr>
          <w:i/>
          <w:iCs/>
        </w:rPr>
        <w:t>Paso</w:t>
      </w:r>
      <w:r w:rsidR="00B15F21">
        <w:t>, t</w:t>
      </w:r>
      <w:r w:rsidR="00DF2D38" w:rsidRPr="00B15F21">
        <w:t>he</w:t>
      </w:r>
      <w:r w:rsidR="00DF2D38" w:rsidRPr="00DF2D38">
        <w:t xml:space="preserve"> </w:t>
      </w:r>
      <w:r w:rsidR="003E3D22">
        <w:t xml:space="preserve">U.S. Court of Appeals for the </w:t>
      </w:r>
      <w:r w:rsidR="00DF2D38" w:rsidRPr="00DF2D38">
        <w:t xml:space="preserve">Fifth Circuit held that the Commission’s orders accepting </w:t>
      </w:r>
      <w:proofErr w:type="spellStart"/>
      <w:r w:rsidR="000D4963">
        <w:t>WestConnect’s</w:t>
      </w:r>
      <w:proofErr w:type="spellEnd"/>
      <w:r w:rsidR="000D4963">
        <w:t xml:space="preserve"> </w:t>
      </w:r>
      <w:r w:rsidR="00DF2D38" w:rsidRPr="00DF2D38">
        <w:t xml:space="preserve">coordinating transmission owner framework were incompatible with the FPA and with </w:t>
      </w:r>
      <w:r w:rsidR="00DC4A14">
        <w:t>the</w:t>
      </w:r>
      <w:r w:rsidR="00DF2D38" w:rsidRPr="00DF2D38">
        <w:t xml:space="preserve"> application of the cost causation principle</w:t>
      </w:r>
      <w:r w:rsidR="002D6C42">
        <w:t xml:space="preserve"> </w:t>
      </w:r>
      <w:r w:rsidR="00DC4A14">
        <w:t xml:space="preserve">in Order No. 1000 </w:t>
      </w:r>
      <w:r w:rsidR="002D6C42">
        <w:t>b</w:t>
      </w:r>
      <w:r w:rsidR="00801BED">
        <w:t>ecause the</w:t>
      </w:r>
      <w:r w:rsidR="002D6C42">
        <w:t>y permitt</w:t>
      </w:r>
      <w:r w:rsidR="00801BED">
        <w:t>ed</w:t>
      </w:r>
      <w:r w:rsidR="002D6C42">
        <w:t xml:space="preserve"> </w:t>
      </w:r>
      <w:r w:rsidR="005D6FF7">
        <w:t xml:space="preserve">non-public utility transmission providers to cause transmission costs to be incurred through the </w:t>
      </w:r>
      <w:proofErr w:type="spellStart"/>
      <w:r w:rsidR="005D6FF7">
        <w:t>WestConnect</w:t>
      </w:r>
      <w:proofErr w:type="spellEnd"/>
      <w:r w:rsidR="005D6FF7">
        <w:t xml:space="preserve"> regional transmission planning process without bearing cost responsibility</w:t>
      </w:r>
      <w:r w:rsidR="00DF2D38" w:rsidRPr="00DF2D38">
        <w:t>.</w:t>
      </w:r>
      <w:r w:rsidR="00DF2D38" w:rsidRPr="00DF2D38">
        <w:rPr>
          <w:b/>
          <w:vertAlign w:val="superscript"/>
        </w:rPr>
        <w:footnoteReference w:id="71"/>
      </w:r>
      <w:r w:rsidR="00DF2D38" w:rsidRPr="00DF2D38">
        <w:t xml:space="preserve">  </w:t>
      </w:r>
      <w:r w:rsidR="005A2930" w:rsidRPr="00446654">
        <w:t>The Commission will</w:t>
      </w:r>
      <w:r w:rsidR="005A2930">
        <w:t xml:space="preserve"> </w:t>
      </w:r>
      <w:r>
        <w:t xml:space="preserve">evaluate </w:t>
      </w:r>
      <w:r w:rsidRPr="00446654">
        <w:t>an</w:t>
      </w:r>
      <w:r w:rsidR="005A2930" w:rsidRPr="00446654">
        <w:t>y voluntary</w:t>
      </w:r>
      <w:r w:rsidRPr="00446654">
        <w:t xml:space="preserve"> arrangement</w:t>
      </w:r>
      <w:r w:rsidR="00E85714" w:rsidRPr="00446654">
        <w:t xml:space="preserve"> for regional transmission planning and cost allocation</w:t>
      </w:r>
      <w:r w:rsidR="005A2930" w:rsidRPr="00446654">
        <w:t xml:space="preserve"> </w:t>
      </w:r>
      <w:r w:rsidR="00E85714" w:rsidRPr="00446654">
        <w:t>that includes</w:t>
      </w:r>
      <w:r w:rsidR="005A2930" w:rsidRPr="00446654">
        <w:t xml:space="preserve"> </w:t>
      </w:r>
      <w:r w:rsidR="00894EFA">
        <w:t xml:space="preserve">unenrolled </w:t>
      </w:r>
      <w:r w:rsidR="005A2930" w:rsidRPr="00446654">
        <w:t>non-jurisdictional transmission providers</w:t>
      </w:r>
      <w:r>
        <w:t xml:space="preserve"> if and when it comes before </w:t>
      </w:r>
      <w:r w:rsidR="00A36919">
        <w:t>the Commission</w:t>
      </w:r>
      <w:r w:rsidR="005A2930" w:rsidRPr="00446654">
        <w:t xml:space="preserve">, </w:t>
      </w:r>
      <w:r w:rsidR="00121941" w:rsidRPr="00446654">
        <w:t>and that</w:t>
      </w:r>
      <w:r w:rsidR="00E85714" w:rsidRPr="00446654">
        <w:t xml:space="preserve"> is unaffected by</w:t>
      </w:r>
      <w:r w:rsidR="005A2930" w:rsidRPr="00446654">
        <w:t xml:space="preserve"> Order No. 1920-A</w:t>
      </w:r>
      <w:r>
        <w:t xml:space="preserve">.  We </w:t>
      </w:r>
      <w:r>
        <w:lastRenderedPageBreak/>
        <w:t xml:space="preserve">emphasize that any transmission provider proposing to include unenrolled </w:t>
      </w:r>
      <w:r w:rsidR="00894EFA">
        <w:t xml:space="preserve">                  </w:t>
      </w:r>
      <w:r>
        <w:t>non-jurisdictional transmission providers in regional transmission planning and cost allocation</w:t>
      </w:r>
      <w:r w:rsidR="00123655">
        <w:t>, including Long-Term Regional Transmission Planning,</w:t>
      </w:r>
      <w:r>
        <w:t xml:space="preserve"> must demonstrate that its proposed arrangement will</w:t>
      </w:r>
      <w:r w:rsidRPr="002B76AD">
        <w:t xml:space="preserve"> not result in free ridership in violation of the cost causation principle and otherwise complies with the requirements of </w:t>
      </w:r>
      <w:r w:rsidR="0068636F">
        <w:t xml:space="preserve">Order No. 1000, </w:t>
      </w:r>
      <w:r w:rsidRPr="002B76AD">
        <w:t>Order No.</w:t>
      </w:r>
      <w:r>
        <w:t> </w:t>
      </w:r>
      <w:proofErr w:type="gramStart"/>
      <w:r w:rsidRPr="002B76AD">
        <w:t>1920</w:t>
      </w:r>
      <w:r w:rsidR="0068636F">
        <w:t>,</w:t>
      </w:r>
      <w:r w:rsidRPr="002B76AD">
        <w:t xml:space="preserve"> </w:t>
      </w:r>
      <w:r w:rsidR="00781C21">
        <w:t xml:space="preserve">  </w:t>
      </w:r>
      <w:proofErr w:type="gramEnd"/>
      <w:r w:rsidR="00781C21">
        <w:t xml:space="preserve">             </w:t>
      </w:r>
      <w:r w:rsidR="002A547F" w:rsidRPr="002A547F">
        <w:rPr>
          <w:i/>
          <w:iCs/>
        </w:rPr>
        <w:t>El Paso</w:t>
      </w:r>
      <w:r w:rsidR="002A547F">
        <w:t xml:space="preserve">, </w:t>
      </w:r>
      <w:r w:rsidRPr="002A547F">
        <w:t>and</w:t>
      </w:r>
      <w:r w:rsidRPr="002B76AD">
        <w:t xml:space="preserve"> the FPA.</w:t>
      </w:r>
      <w:r w:rsidRPr="002B76AD">
        <w:rPr>
          <w:rStyle w:val="FootnoteReference"/>
        </w:rPr>
        <w:footnoteReference w:id="72"/>
      </w:r>
    </w:p>
    <w:p w14:paraId="315F0B96" w14:textId="31D8D56D" w:rsidR="00763517" w:rsidRPr="00525FC8" w:rsidRDefault="00E10040" w:rsidP="00E10040">
      <w:pPr>
        <w:pStyle w:val="FERCparanumber"/>
      </w:pPr>
      <w:r>
        <w:t>To the extent</w:t>
      </w:r>
      <w:r w:rsidR="009D3798">
        <w:t xml:space="preserve"> that</w:t>
      </w:r>
      <w:r>
        <w:t xml:space="preserve"> </w:t>
      </w:r>
      <w:proofErr w:type="spellStart"/>
      <w:r>
        <w:t>WestConnect</w:t>
      </w:r>
      <w:proofErr w:type="spellEnd"/>
      <w:r>
        <w:t xml:space="preserve"> CTOs request that the Commission address in this order the appropriate </w:t>
      </w:r>
      <w:r w:rsidR="002358B3">
        <w:t xml:space="preserve">geographic </w:t>
      </w:r>
      <w:r>
        <w:t xml:space="preserve">scope of the </w:t>
      </w:r>
      <w:proofErr w:type="spellStart"/>
      <w:r>
        <w:t>WestConnect</w:t>
      </w:r>
      <w:proofErr w:type="spellEnd"/>
      <w:r>
        <w:t xml:space="preserve"> transmission planning region or any other transmission planning region,</w:t>
      </w:r>
      <w:r w:rsidR="00833B07">
        <w:rPr>
          <w:rStyle w:val="FootnoteReference"/>
        </w:rPr>
        <w:footnoteReference w:id="73"/>
      </w:r>
      <w:r>
        <w:t xml:space="preserve"> we decline to address such a request here because </w:t>
      </w:r>
      <w:r w:rsidR="005E084B">
        <w:t>it is outside the scope of this proceeding</w:t>
      </w:r>
      <w:r>
        <w:t>.</w:t>
      </w:r>
      <w:r>
        <w:rPr>
          <w:rStyle w:val="FootnoteReference"/>
        </w:rPr>
        <w:footnoteReference w:id="74"/>
      </w:r>
      <w:r>
        <w:t xml:space="preserve">  We further note that </w:t>
      </w:r>
      <w:r w:rsidR="00294AE4">
        <w:t xml:space="preserve">the Commission </w:t>
      </w:r>
      <w:r>
        <w:t xml:space="preserve">responded to these concerns in </w:t>
      </w:r>
      <w:r w:rsidR="00DB7795">
        <w:t>the Remand Rehearing O</w:t>
      </w:r>
      <w:r>
        <w:t xml:space="preserve">rder and continued to find that the </w:t>
      </w:r>
      <w:proofErr w:type="spellStart"/>
      <w:r>
        <w:t>WestConnect</w:t>
      </w:r>
      <w:proofErr w:type="spellEnd"/>
      <w:r>
        <w:t xml:space="preserve"> transmission planning region complies with Order No. 1000’s </w:t>
      </w:r>
      <w:r>
        <w:lastRenderedPageBreak/>
        <w:t>requirement that the scope of a transmission planning region should be governed by the integrated nature of the regional power grid.</w:t>
      </w:r>
      <w:r>
        <w:rPr>
          <w:rStyle w:val="FootnoteReference"/>
        </w:rPr>
        <w:footnoteReference w:id="75"/>
      </w:r>
    </w:p>
    <w:p w14:paraId="014D5122" w14:textId="7E2C7BCF" w:rsidR="0075702A" w:rsidRDefault="000175EB" w:rsidP="0075702A">
      <w:pPr>
        <w:pStyle w:val="Heading1"/>
      </w:pPr>
      <w:r>
        <w:t>Regional Transmission Cost Allocation</w:t>
      </w:r>
    </w:p>
    <w:p w14:paraId="308DC26A" w14:textId="19048BD9" w:rsidR="000175EB" w:rsidRDefault="008F596F" w:rsidP="00455809">
      <w:pPr>
        <w:pStyle w:val="Heading2"/>
        <w:spacing w:line="240" w:lineRule="auto"/>
      </w:pPr>
      <w:r w:rsidRPr="008F596F">
        <w:t xml:space="preserve">Requirements Concerning Relevant State Entities’ </w:t>
      </w:r>
      <w:r w:rsidR="009F3890">
        <w:t>Agreed-</w:t>
      </w:r>
      <w:r w:rsidR="00652BD8">
        <w:t>u</w:t>
      </w:r>
      <w:r w:rsidR="009F3890">
        <w:t>pon</w:t>
      </w:r>
      <w:r w:rsidR="009F3890" w:rsidRPr="008F596F">
        <w:t xml:space="preserve"> </w:t>
      </w:r>
      <w:r w:rsidRPr="008F596F">
        <w:t>Cost Allocation Methods</w:t>
      </w:r>
      <w:r w:rsidR="00454402">
        <w:br/>
      </w:r>
    </w:p>
    <w:p w14:paraId="40C4BDF0" w14:textId="336DEC57" w:rsidR="00CB4189" w:rsidRDefault="007A3DD2" w:rsidP="004A46BB">
      <w:pPr>
        <w:pStyle w:val="Heading3"/>
        <w:spacing w:line="240" w:lineRule="auto"/>
      </w:pPr>
      <w:r w:rsidRPr="001F1AC1">
        <w:t>Order Nos. 1920 and 1920-A</w:t>
      </w:r>
      <w:r w:rsidR="00CD5804">
        <w:br/>
      </w:r>
    </w:p>
    <w:p w14:paraId="0DDB2385" w14:textId="33E4E62D" w:rsidR="00F26970" w:rsidRPr="00023A9C" w:rsidRDefault="001F1AC1" w:rsidP="00023A9C">
      <w:pPr>
        <w:pStyle w:val="Heading4"/>
        <w:spacing w:line="240" w:lineRule="auto"/>
      </w:pPr>
      <w:r>
        <w:t xml:space="preserve">Inclusion in Transmission Providers’ Compliance Filings of Relevant State Entities’ </w:t>
      </w:r>
      <w:r w:rsidR="009F3890">
        <w:t>Agreed-</w:t>
      </w:r>
      <w:r w:rsidR="00652BD8">
        <w:t>u</w:t>
      </w:r>
      <w:r w:rsidR="009F3890">
        <w:t xml:space="preserve">pon </w:t>
      </w:r>
      <w:r>
        <w:t>Long-Term Regional Transmission Cost Allocation Method</w:t>
      </w:r>
      <w:r w:rsidR="00DE1297" w:rsidRPr="00455F1F">
        <w:t>(</w:t>
      </w:r>
      <w:r w:rsidRPr="00455F1F">
        <w:t>s</w:t>
      </w:r>
      <w:r w:rsidR="00DE1297" w:rsidRPr="00455F1F">
        <w:t>)</w:t>
      </w:r>
      <w:r>
        <w:t xml:space="preserve"> and/or State Agreement Process</w:t>
      </w:r>
      <w:r w:rsidR="00423DA3">
        <w:br/>
      </w:r>
    </w:p>
    <w:p w14:paraId="70F40439" w14:textId="6F5F13FA" w:rsidR="00023A9C" w:rsidRDefault="00E365BA" w:rsidP="00C068F9">
      <w:pPr>
        <w:pStyle w:val="FERCparanumber"/>
      </w:pPr>
      <w:r w:rsidRPr="00DB37CD">
        <w:t xml:space="preserve">In Order No. </w:t>
      </w:r>
      <w:r w:rsidR="00C068F9" w:rsidRPr="00C068F9">
        <w:t>1920, the Commission</w:t>
      </w:r>
      <w:r w:rsidR="00B93050">
        <w:t xml:space="preserve">: </w:t>
      </w:r>
      <w:r w:rsidR="00C068F9" w:rsidRPr="00C068F9">
        <w:t xml:space="preserve"> </w:t>
      </w:r>
      <w:r w:rsidR="00072F3B">
        <w:t>(1) </w:t>
      </w:r>
      <w:r w:rsidR="00C068F9" w:rsidRPr="00C068F9">
        <w:t>required transmission providers in each transmission planning region to revise their OATTs to include one or more Long-Term Regional Transmission Cost Allocation Method</w:t>
      </w:r>
      <w:r w:rsidR="00411D13">
        <w:t>(</w:t>
      </w:r>
      <w:r w:rsidR="00C068F9" w:rsidRPr="00C068F9">
        <w:t>s</w:t>
      </w:r>
      <w:r w:rsidR="00411D13">
        <w:t>)</w:t>
      </w:r>
      <w:r w:rsidR="00C068F9" w:rsidRPr="00C068F9">
        <w:t xml:space="preserve"> for Long-Term Regional Transmission Facilities that are selected</w:t>
      </w:r>
      <w:r w:rsidR="00B04450">
        <w:t>;</w:t>
      </w:r>
      <w:r w:rsidR="00C068F9" w:rsidRPr="00C068F9">
        <w:t xml:space="preserve"> and </w:t>
      </w:r>
      <w:r w:rsidR="00072F3B">
        <w:t>(2) </w:t>
      </w:r>
      <w:r w:rsidR="00C068F9" w:rsidRPr="00C068F9">
        <w:t>permitted transmission providers to additionally revise their OATTs to include a State Agreement Process, if Relevant State Entities indicate that they have agreed to such a process.</w:t>
      </w:r>
      <w:r w:rsidR="00C068F9" w:rsidRPr="00C068F9" w:rsidDel="00632B0A">
        <w:rPr>
          <w:b/>
          <w:vertAlign w:val="superscript"/>
        </w:rPr>
        <w:footnoteReference w:id="76"/>
      </w:r>
    </w:p>
    <w:p w14:paraId="733D8D9E" w14:textId="38857A80" w:rsidR="00E365BA" w:rsidRDefault="00342550" w:rsidP="00C3512A">
      <w:pPr>
        <w:pStyle w:val="FERCparanumber"/>
      </w:pPr>
      <w:r>
        <w:t>T</w:t>
      </w:r>
      <w:r w:rsidR="00E365BA" w:rsidRPr="00DB37CD">
        <w:t>he</w:t>
      </w:r>
      <w:r w:rsidR="006B6114">
        <w:t xml:space="preserve"> Commission</w:t>
      </w:r>
      <w:r w:rsidR="005D79A8">
        <w:t xml:space="preserve"> </w:t>
      </w:r>
      <w:r>
        <w:t xml:space="preserve">also </w:t>
      </w:r>
      <w:r w:rsidR="005D79A8" w:rsidRPr="005D79A8">
        <w:t xml:space="preserve">established </w:t>
      </w:r>
      <w:r>
        <w:t>in Order No. 1920</w:t>
      </w:r>
      <w:r w:rsidR="005D79A8" w:rsidRPr="005D79A8">
        <w:t xml:space="preserve"> a six-month Engagement Period, during which transmission providers must, among other things, provide a forum for the negotiation of a Long-Term Regional Transmission Cost Allocation Method(s) and/or a State Agreement Process that enables meaningful participation by Relevant State Entities, and </w:t>
      </w:r>
      <w:r w:rsidR="00C61BD1">
        <w:t xml:space="preserve">the Commission </w:t>
      </w:r>
      <w:r w:rsidR="005D79A8" w:rsidRPr="005D79A8">
        <w:t xml:space="preserve">required transmission providers to explain on compliance </w:t>
      </w:r>
      <w:r w:rsidR="005D79A8" w:rsidRPr="005D79A8">
        <w:lastRenderedPageBreak/>
        <w:t>how they complied with the six-month Engagement Period requirements.</w:t>
      </w:r>
      <w:r w:rsidR="005D79A8" w:rsidRPr="005D79A8">
        <w:rPr>
          <w:b/>
          <w:vertAlign w:val="superscript"/>
        </w:rPr>
        <w:footnoteReference w:id="77"/>
      </w:r>
      <w:r w:rsidR="005D79A8">
        <w:t xml:space="preserve"> </w:t>
      </w:r>
      <w:r w:rsidR="00E365BA" w:rsidRPr="00DB37CD">
        <w:t xml:space="preserve"> </w:t>
      </w:r>
      <w:r w:rsidR="005D79A8">
        <w:t>The</w:t>
      </w:r>
      <w:r w:rsidR="00E365BA" w:rsidRPr="00DB37CD">
        <w:t xml:space="preserve"> Commission found that, if the Relevant State Entities participating in an Engagement Period agree on a Long-Term Regional Transmission Cost Allocation Method(s)</w:t>
      </w:r>
      <w:r w:rsidR="00E365BA" w:rsidRPr="00DB37CD" w:rsidDel="00661163">
        <w:t xml:space="preserve"> </w:t>
      </w:r>
      <w:r w:rsidR="00E365BA" w:rsidRPr="00DB37CD">
        <w:t>and/or State Agreement Process and provide that Method(s) and/or State Agreement Process to the transmission providers no later than the deadline for communicating agreement,</w:t>
      </w:r>
      <w:r w:rsidR="0018634F">
        <w:rPr>
          <w:rStyle w:val="FootnoteReference"/>
        </w:rPr>
        <w:footnoteReference w:id="78"/>
      </w:r>
      <w:r w:rsidR="00E365BA" w:rsidRPr="00DB37CD">
        <w:t xml:space="preserve"> the transmission providers may file the agreed-to Long-Term Regional Transmission Cost Allocation Method(s) and/or State Agreement Process on compliance.  The Commission noted, however, that the ultimate decision as to whether to file a Long-Term Regional Transmission Cost Allocation Method(s) and/or State Agreement Process to which Relevant State Entities have agreed will continue to lie with the transmission providers.</w:t>
      </w:r>
      <w:r w:rsidR="00E365BA" w:rsidRPr="00DB37CD">
        <w:rPr>
          <w:b/>
          <w:vertAlign w:val="superscript"/>
        </w:rPr>
        <w:footnoteReference w:id="79"/>
      </w:r>
      <w:r w:rsidR="00E365BA" w:rsidRPr="00DB37CD">
        <w:t xml:space="preserve">  The Commission did not impose any obligation on transmission providers to file a cost allocation method for Long-Term Regional Transmission Facilities with which they disagree, even if such a method were proposed to the transmission providers pursuant to a Commission-approved State Agreement Process, unless the transmission providers have </w:t>
      </w:r>
      <w:r w:rsidR="00E365BA" w:rsidRPr="00DB37CD">
        <w:lastRenderedPageBreak/>
        <w:t>clearly indicated their assent to do so as part of a Commission-approved State Agreement Process in their OATT.</w:t>
      </w:r>
      <w:r w:rsidR="00E365BA" w:rsidRPr="00DB37CD">
        <w:rPr>
          <w:b/>
          <w:vertAlign w:val="superscript"/>
        </w:rPr>
        <w:footnoteReference w:id="80"/>
      </w:r>
    </w:p>
    <w:p w14:paraId="01D4AC63" w14:textId="107A0065" w:rsidR="00A65CC4" w:rsidRDefault="00E365BA" w:rsidP="00C3512A">
      <w:pPr>
        <w:pStyle w:val="FERCparanumber"/>
      </w:pPr>
      <w:r>
        <w:t>In Order No. 1920-A,</w:t>
      </w:r>
      <w:r w:rsidR="00C00908">
        <w:t xml:space="preserve"> the Commission</w:t>
      </w:r>
      <w:r w:rsidR="00C00908" w:rsidRPr="00C00908">
        <w:t xml:space="preserve"> set aside Order No. 1920, in part, and require</w:t>
      </w:r>
      <w:r w:rsidR="00C00908">
        <w:t>d</w:t>
      </w:r>
      <w:r w:rsidR="00C00908" w:rsidRPr="00C00908">
        <w:t xml:space="preserve"> that</w:t>
      </w:r>
      <w:r w:rsidR="002543E7">
        <w:t>,</w:t>
      </w:r>
      <w:r w:rsidR="00C00908" w:rsidRPr="00C00908">
        <w:t xml:space="preserve"> when Relevant State Entities notify transmission providers by the deadline for communicating agreement that they agree on a Long-Term Regional Transmission Cost Allocation Method</w:t>
      </w:r>
      <w:r w:rsidR="00163C4C" w:rsidRPr="00A32247">
        <w:t>(s)</w:t>
      </w:r>
      <w:r w:rsidR="00C00908" w:rsidRPr="00C00908">
        <w:t xml:space="preserve"> and/or State Agreement Process resulting from the Engagement Period, the transmission providers must include that method or process in the transmittal or as an attachment to their compliance filing, even if the transmission providers propose a different Long-Term Regional Transmission Cost Allocation Method or do not propose to adopt a State Agreement Process.</w:t>
      </w:r>
      <w:r w:rsidR="003363A7">
        <w:rPr>
          <w:rStyle w:val="FootnoteReference"/>
        </w:rPr>
        <w:footnoteReference w:id="81"/>
      </w:r>
      <w:r w:rsidR="00C00908" w:rsidRPr="00C00908">
        <w:t xml:space="preserve">  </w:t>
      </w:r>
      <w:r w:rsidR="003A3691">
        <w:t>The Commission</w:t>
      </w:r>
      <w:r w:rsidR="00C00908" w:rsidRPr="00C00908">
        <w:t xml:space="preserve"> further direct</w:t>
      </w:r>
      <w:r w:rsidR="003A3691">
        <w:t>ed</w:t>
      </w:r>
      <w:r w:rsidR="00C00908" w:rsidRPr="00C00908">
        <w:t xml:space="preserve"> transmission providers to include in the transmittal or as an attachment to their compliance filings any </w:t>
      </w:r>
      <w:r w:rsidR="00C00908" w:rsidRPr="00C00908" w:rsidDel="00F01D8E">
        <w:t>information</w:t>
      </w:r>
      <w:r w:rsidR="00C00908" w:rsidRPr="00C00908">
        <w:t xml:space="preserve"> that Relevant State Entities provide to them regarding the state negotiations during the Engagement Period.</w:t>
      </w:r>
      <w:r w:rsidR="007603E2">
        <w:rPr>
          <w:rStyle w:val="FootnoteReference"/>
        </w:rPr>
        <w:footnoteReference w:id="82"/>
      </w:r>
      <w:r w:rsidR="00C00908" w:rsidRPr="00C00908">
        <w:t xml:space="preserve">  </w:t>
      </w:r>
      <w:r w:rsidR="00694BCA" w:rsidRPr="00694BCA">
        <w:t xml:space="preserve">As part of this requirement, </w:t>
      </w:r>
      <w:r w:rsidR="009C722C">
        <w:t>the</w:t>
      </w:r>
      <w:r w:rsidR="00694BCA" w:rsidRPr="00694BCA">
        <w:t xml:space="preserve"> </w:t>
      </w:r>
      <w:r w:rsidR="009C722C">
        <w:lastRenderedPageBreak/>
        <w:t xml:space="preserve">Commission </w:t>
      </w:r>
      <w:r w:rsidR="00694BCA" w:rsidRPr="00694BCA">
        <w:t>clarif</w:t>
      </w:r>
      <w:r w:rsidR="009C722C">
        <w:t>ied</w:t>
      </w:r>
      <w:r w:rsidR="00694BCA" w:rsidRPr="00694BCA">
        <w:t xml:space="preserve"> that transmission providers must include any and all supporting evidence and/or justification related to Relevant State Entities’ agreed-upon Long-Term Regional Transmission Cost Allocation Method</w:t>
      </w:r>
      <w:r w:rsidR="00C6648D" w:rsidRPr="00A67B15">
        <w:t>(s)</w:t>
      </w:r>
      <w:r w:rsidR="00694BCA" w:rsidRPr="00694BCA">
        <w:t xml:space="preserve"> and/or State Agreement Process that Relevant State Entities request that transmission providers include in their compliance filing.</w:t>
      </w:r>
      <w:r w:rsidR="00ED2514">
        <w:rPr>
          <w:rStyle w:val="FootnoteReference"/>
        </w:rPr>
        <w:footnoteReference w:id="83"/>
      </w:r>
      <w:r w:rsidR="00694BCA" w:rsidRPr="00694BCA">
        <w:t xml:space="preserve">  </w:t>
      </w:r>
    </w:p>
    <w:p w14:paraId="30B99AF4" w14:textId="707FD6B2" w:rsidR="00194AF9" w:rsidRDefault="00B0461D" w:rsidP="00C3512A">
      <w:pPr>
        <w:pStyle w:val="FERCparanumber"/>
      </w:pPr>
      <w:r>
        <w:t xml:space="preserve">The Commission found that </w:t>
      </w:r>
      <w:r w:rsidR="00193C8A">
        <w:t>the</w:t>
      </w:r>
      <w:r>
        <w:t xml:space="preserve"> </w:t>
      </w:r>
      <w:r w:rsidR="008F47BB">
        <w:t xml:space="preserve">additional </w:t>
      </w:r>
      <w:r>
        <w:t xml:space="preserve">requirements </w:t>
      </w:r>
      <w:r w:rsidR="005B286B">
        <w:t>adopted in Order No.</w:t>
      </w:r>
      <w:r w:rsidR="001D2C86">
        <w:t> </w:t>
      </w:r>
      <w:r w:rsidR="005B286B">
        <w:t>1920-A</w:t>
      </w:r>
      <w:r w:rsidR="00E365BA" w:rsidRPr="00DB37CD">
        <w:t xml:space="preserve"> </w:t>
      </w:r>
      <w:r w:rsidR="006901DE" w:rsidRPr="006901DE">
        <w:t>will allow the Commission to better evaluate whether transmission providers have complied with Order No. 1920’s requirement to provide a forum for negotiation that enables meaningful participation by Relevant State Entities during the Engagement Period.</w:t>
      </w:r>
      <w:r w:rsidR="006901DE" w:rsidRPr="006901DE">
        <w:rPr>
          <w:b/>
          <w:vertAlign w:val="superscript"/>
        </w:rPr>
        <w:footnoteReference w:id="84"/>
      </w:r>
      <w:r w:rsidR="006901DE" w:rsidRPr="006901DE">
        <w:t xml:space="preserve">  </w:t>
      </w:r>
      <w:r w:rsidR="000C12E2">
        <w:t xml:space="preserve">The Commission recognized that it </w:t>
      </w:r>
      <w:r w:rsidR="00142002" w:rsidRPr="00142002">
        <w:t>is critical to the success of the Long-Term Regional Transmission Planning reforms that states have an opportunity to have a significant role in the establishment of just and reasonable Long-Term Regional Transmission Cost Allocation Methods and State Agreement Processes</w:t>
      </w:r>
      <w:r w:rsidR="00142002">
        <w:t>.</w:t>
      </w:r>
      <w:r w:rsidR="00142002">
        <w:rPr>
          <w:rStyle w:val="FootnoteReference"/>
        </w:rPr>
        <w:footnoteReference w:id="85"/>
      </w:r>
      <w:r w:rsidR="00142002">
        <w:t xml:space="preserve">  </w:t>
      </w:r>
      <w:r w:rsidR="00A718E8">
        <w:t xml:space="preserve">The Commission found that </w:t>
      </w:r>
      <w:r w:rsidR="00072B95">
        <w:t xml:space="preserve">Order No. 1920, as modified in Order No. 1920-A, </w:t>
      </w:r>
      <w:r w:rsidR="00194AF9" w:rsidRPr="00194AF9">
        <w:t xml:space="preserve">strikes a reasonable balance between, on the one hand, recognizing the rights and responsibilities of the Commission and transmission providers over regional transmission planning and, </w:t>
      </w:r>
      <w:r w:rsidR="00194AF9" w:rsidRPr="00194AF9">
        <w:lastRenderedPageBreak/>
        <w:t>on the other, the states’ critical interests in the resulting Long-Term Regional Transmission Facilities and how the costs associated with those facilities will be allocated</w:t>
      </w:r>
      <w:r w:rsidR="00194AF9">
        <w:t>.</w:t>
      </w:r>
      <w:r w:rsidR="00194AF9">
        <w:rPr>
          <w:rStyle w:val="FootnoteReference"/>
        </w:rPr>
        <w:footnoteReference w:id="86"/>
      </w:r>
      <w:r w:rsidR="00194AF9">
        <w:t xml:space="preserve">  </w:t>
      </w:r>
    </w:p>
    <w:p w14:paraId="17D4CFD9" w14:textId="47B47534" w:rsidR="00B22BB5" w:rsidRPr="00B22BB5" w:rsidRDefault="006901DE" w:rsidP="00C3512A">
      <w:pPr>
        <w:pStyle w:val="FERCparanumber"/>
      </w:pPr>
      <w:r w:rsidRPr="006901DE">
        <w:t xml:space="preserve">Furthermore, </w:t>
      </w:r>
      <w:r w:rsidR="005B0B21">
        <w:t xml:space="preserve">noting that </w:t>
      </w:r>
      <w:r w:rsidR="009508F4">
        <w:t>it</w:t>
      </w:r>
      <w:r w:rsidR="00DF45CF">
        <w:t xml:space="preserve"> was</w:t>
      </w:r>
      <w:r w:rsidRPr="006901DE">
        <w:t xml:space="preserve"> direct</w:t>
      </w:r>
      <w:r w:rsidR="00DF45CF">
        <w:t>ing</w:t>
      </w:r>
      <w:r w:rsidRPr="006901DE">
        <w:t xml:space="preserve"> these facilitation and informational requirements on compliance pursuant to the Commission’s authority under FPA section</w:t>
      </w:r>
      <w:r w:rsidR="00C0607F">
        <w:t> </w:t>
      </w:r>
      <w:r w:rsidRPr="006901DE">
        <w:t xml:space="preserve">206, </w:t>
      </w:r>
      <w:r w:rsidR="00DF45CF">
        <w:t>the Commission</w:t>
      </w:r>
      <w:r w:rsidRPr="006901DE">
        <w:t xml:space="preserve"> f</w:t>
      </w:r>
      <w:r w:rsidR="00DF45CF">
        <w:t>ound</w:t>
      </w:r>
      <w:r w:rsidRPr="006901DE">
        <w:t xml:space="preserve"> that these </w:t>
      </w:r>
      <w:r w:rsidR="008B36AB">
        <w:t>reforms</w:t>
      </w:r>
      <w:r w:rsidR="008B36AB" w:rsidRPr="006901DE">
        <w:t xml:space="preserve"> </w:t>
      </w:r>
      <w:r w:rsidRPr="006901DE">
        <w:t>do not implicate or infringe upon transmission providers’ filing rights under FPA section</w:t>
      </w:r>
      <w:r w:rsidR="008B36AB">
        <w:t> </w:t>
      </w:r>
      <w:r w:rsidRPr="006901DE">
        <w:t>205.</w:t>
      </w:r>
      <w:r w:rsidR="00DF45CF">
        <w:rPr>
          <w:rStyle w:val="FootnoteReference"/>
        </w:rPr>
        <w:footnoteReference w:id="87"/>
      </w:r>
      <w:r w:rsidR="00D57787">
        <w:t xml:space="preserve">  The Commission</w:t>
      </w:r>
      <w:r w:rsidR="00E70533">
        <w:t xml:space="preserve"> </w:t>
      </w:r>
      <w:r w:rsidR="002445E1">
        <w:t>reiter</w:t>
      </w:r>
      <w:r w:rsidR="009F00BA">
        <w:t xml:space="preserve">ated its </w:t>
      </w:r>
      <w:r w:rsidR="008764AE">
        <w:t xml:space="preserve">determination in Order No. 1920 that </w:t>
      </w:r>
      <w:r w:rsidR="00B63C1F" w:rsidRPr="00B63C1F">
        <w:t>existing regional transmission planning and cost allocation requirements are unjust, unreasonable, and unduly discriminatory or preferential under FPA section 206</w:t>
      </w:r>
      <w:r w:rsidR="00A874D9">
        <w:t>,</w:t>
      </w:r>
      <w:r w:rsidR="00B63C1F" w:rsidRPr="00B63C1F">
        <w:rPr>
          <w:b/>
          <w:vertAlign w:val="superscript"/>
        </w:rPr>
        <w:footnoteReference w:id="88"/>
      </w:r>
      <w:r w:rsidR="00A874D9">
        <w:t xml:space="preserve"> and that the Commission therefore ha</w:t>
      </w:r>
      <w:r w:rsidR="00295F04">
        <w:t>s</w:t>
      </w:r>
      <w:r w:rsidR="00A874D9">
        <w:t xml:space="preserve"> </w:t>
      </w:r>
      <w:r w:rsidR="006D2117" w:rsidRPr="006D2117">
        <w:t>both the authority and responsibility to “determine the just and reasonable</w:t>
      </w:r>
      <w:r w:rsidR="00934FE1">
        <w:t> </w:t>
      </w:r>
      <w:r w:rsidR="006D2117" w:rsidRPr="006D2117">
        <w:t>.</w:t>
      </w:r>
      <w:r w:rsidR="00934FE1">
        <w:t> </w:t>
      </w:r>
      <w:r w:rsidR="006D2117" w:rsidRPr="006D2117">
        <w:t>.</w:t>
      </w:r>
      <w:r w:rsidR="00934FE1">
        <w:t> </w:t>
      </w:r>
      <w:r w:rsidR="006D2117" w:rsidRPr="006D2117">
        <w:t>. practice</w:t>
      </w:r>
      <w:r w:rsidR="00934FE1">
        <w:t> </w:t>
      </w:r>
      <w:r w:rsidR="006D2117" w:rsidRPr="006D2117">
        <w:t>.</w:t>
      </w:r>
      <w:r w:rsidR="00934FE1">
        <w:t> </w:t>
      </w:r>
      <w:r w:rsidR="006D2117" w:rsidRPr="006D2117">
        <w:t>.</w:t>
      </w:r>
      <w:r w:rsidR="00934FE1">
        <w:t> </w:t>
      </w:r>
      <w:r w:rsidR="006D2117" w:rsidRPr="006D2117">
        <w:t xml:space="preserve">. to be thereafter observed and in force,” consistent with </w:t>
      </w:r>
      <w:r w:rsidR="000259DE">
        <w:t>the Commission’s findings in</w:t>
      </w:r>
      <w:r w:rsidR="006D2117" w:rsidRPr="006D2117">
        <w:t xml:space="preserve"> Order No. 1920.</w:t>
      </w:r>
      <w:r w:rsidR="006D2117" w:rsidRPr="006D2117">
        <w:rPr>
          <w:b/>
          <w:vertAlign w:val="superscript"/>
        </w:rPr>
        <w:footnoteReference w:id="89"/>
      </w:r>
      <w:r w:rsidR="00E70533">
        <w:t xml:space="preserve"> </w:t>
      </w:r>
      <w:r w:rsidR="00900D27">
        <w:t xml:space="preserve"> The Commission explained that</w:t>
      </w:r>
      <w:r w:rsidR="00C92909">
        <w:t>,</w:t>
      </w:r>
      <w:r w:rsidR="00900D27">
        <w:t xml:space="preserve"> </w:t>
      </w:r>
      <w:r w:rsidR="008408DA">
        <w:t xml:space="preserve">pursuant to </w:t>
      </w:r>
      <w:r w:rsidR="00D06FCF" w:rsidRPr="00D06FCF">
        <w:t xml:space="preserve">its authority under FPA section 206, the Commission required transmission providers to submit on compliance an </w:t>
      </w:r>
      <w:r w:rsidR="00D06FCF" w:rsidRPr="00D06FCF">
        <w:rPr>
          <w:i/>
        </w:rPr>
        <w:t>ex ante</w:t>
      </w:r>
      <w:r w:rsidR="00D06FCF" w:rsidRPr="00D06FCF">
        <w:t xml:space="preserve"> cost allocation method.</w:t>
      </w:r>
      <w:r w:rsidR="00D7167C">
        <w:t xml:space="preserve">  The Commission further explained that </w:t>
      </w:r>
      <w:r w:rsidR="000A312E">
        <w:t xml:space="preserve">this </w:t>
      </w:r>
      <w:r w:rsidR="00970965" w:rsidRPr="00970965">
        <w:t>compliance filing</w:t>
      </w:r>
      <w:r w:rsidR="001A5255">
        <w:t>,</w:t>
      </w:r>
      <w:r w:rsidR="00970965" w:rsidRPr="00970965">
        <w:t xml:space="preserve"> submitted pursuant to FPA section</w:t>
      </w:r>
      <w:r w:rsidR="001A5255">
        <w:t> </w:t>
      </w:r>
      <w:r w:rsidR="00970965" w:rsidRPr="00970965">
        <w:t>206</w:t>
      </w:r>
      <w:r w:rsidR="001A5255">
        <w:t>,</w:t>
      </w:r>
      <w:r w:rsidR="00970965" w:rsidRPr="00970965" w:rsidDel="0069154D">
        <w:t xml:space="preserve"> </w:t>
      </w:r>
      <w:r w:rsidR="00970965" w:rsidRPr="00970965">
        <w:t xml:space="preserve">is not an </w:t>
      </w:r>
      <w:r w:rsidR="00970965" w:rsidRPr="00970965">
        <w:lastRenderedPageBreak/>
        <w:t>FPA section 205 filing</w:t>
      </w:r>
      <w:r w:rsidR="00970965" w:rsidRPr="00970965">
        <w:rPr>
          <w:b/>
          <w:vertAlign w:val="superscript"/>
        </w:rPr>
        <w:footnoteReference w:id="90"/>
      </w:r>
      <w:r w:rsidR="00970965" w:rsidRPr="00970965">
        <w:t xml:space="preserve"> and is thus distinct from any FPA section 205 filing that a transmission provider might file in the future following compliance to propose a change to its cost allocation method(s) for Long-Term Regional Transmission Facilities.</w:t>
      </w:r>
      <w:r w:rsidR="00970965" w:rsidRPr="00970965">
        <w:rPr>
          <w:b/>
          <w:vertAlign w:val="superscript"/>
        </w:rPr>
        <w:footnoteReference w:id="91"/>
      </w:r>
    </w:p>
    <w:p w14:paraId="55D38016" w14:textId="71013922" w:rsidR="00D85E36" w:rsidRPr="00B22BB5" w:rsidRDefault="00C57248" w:rsidP="0039208D">
      <w:pPr>
        <w:pStyle w:val="Heading4"/>
        <w:spacing w:after="240" w:line="240" w:lineRule="auto"/>
      </w:pPr>
      <w:r>
        <w:t xml:space="preserve">Commission </w:t>
      </w:r>
      <w:r w:rsidR="0039208D">
        <w:t xml:space="preserve">Consideration of Relevant State Entities’ </w:t>
      </w:r>
      <w:r w:rsidR="00652BD8">
        <w:t xml:space="preserve">Agreed-upon </w:t>
      </w:r>
      <w:r w:rsidR="0039208D">
        <w:t>Long-Term Regional Transmission Cost Allocation Method</w:t>
      </w:r>
      <w:r w:rsidR="00D54017" w:rsidRPr="00F4115B">
        <w:t>(</w:t>
      </w:r>
      <w:r w:rsidR="0039208D" w:rsidRPr="00F4115B">
        <w:t>s</w:t>
      </w:r>
      <w:r w:rsidR="00D54017" w:rsidRPr="00F4115B">
        <w:t>)</w:t>
      </w:r>
      <w:r w:rsidR="0039208D">
        <w:t xml:space="preserve"> and/or State Agreement </w:t>
      </w:r>
      <w:r w:rsidR="0039208D" w:rsidRPr="00865B93">
        <w:t>Processes</w:t>
      </w:r>
    </w:p>
    <w:p w14:paraId="7AE00393" w14:textId="75694D72" w:rsidR="0028199D" w:rsidRPr="00D02724" w:rsidRDefault="0028199D" w:rsidP="0028199D">
      <w:pPr>
        <w:pStyle w:val="FERCparanumber"/>
      </w:pPr>
      <w:r>
        <w:t>In Order No. 1920-A, the Commission noted that</w:t>
      </w:r>
      <w:r w:rsidR="000D7E8C">
        <w:t>,</w:t>
      </w:r>
      <w:r>
        <w:t xml:space="preserve"> when </w:t>
      </w:r>
      <w:r w:rsidRPr="0030294C">
        <w:t>acting under FPA section</w:t>
      </w:r>
      <w:r w:rsidR="000D7E8C">
        <w:t> </w:t>
      </w:r>
      <w:r w:rsidRPr="0030294C">
        <w:t xml:space="preserve">206, the Commission’s statutory burden is to </w:t>
      </w:r>
      <w:r w:rsidR="001608B4">
        <w:t>“</w:t>
      </w:r>
      <w:r w:rsidRPr="0030294C">
        <w:t xml:space="preserve">establish </w:t>
      </w:r>
      <w:r w:rsidRPr="001608B4">
        <w:rPr>
          <w:i/>
        </w:rPr>
        <w:t>a</w:t>
      </w:r>
      <w:r w:rsidRPr="001B2D49">
        <w:t xml:space="preserve"> </w:t>
      </w:r>
      <w:r w:rsidRPr="0030294C">
        <w:t>just and reasonable and not unduly discriminatory replacement rate that is supported by substantial evidence.</w:t>
      </w:r>
      <w:r w:rsidR="001608B4">
        <w:t>”</w:t>
      </w:r>
      <w:r w:rsidRPr="0030294C">
        <w:rPr>
          <w:b/>
          <w:vertAlign w:val="superscript"/>
        </w:rPr>
        <w:footnoteReference w:id="92"/>
      </w:r>
      <w:r w:rsidRPr="0030294C">
        <w:t xml:space="preserve">  The</w:t>
      </w:r>
      <w:r>
        <w:t xml:space="preserve"> Commission further noted that the</w:t>
      </w:r>
      <w:r w:rsidRPr="0030294C">
        <w:t xml:space="preserve"> statute does not necessarily require the Commission to adopt the transmission provider’s proposal on compliance, even if that proposal complies with the final rule’s requirements.  Rather, the Commission need only select a replacement rate that complies with the final rule and that is adequately supported in the record, and then intelligibly explain the reasons for its choice.</w:t>
      </w:r>
      <w:r w:rsidRPr="0030294C">
        <w:rPr>
          <w:b/>
          <w:vertAlign w:val="superscript"/>
        </w:rPr>
        <w:footnoteReference w:id="93"/>
      </w:r>
    </w:p>
    <w:p w14:paraId="4D82C50F" w14:textId="2DF42D0E" w:rsidR="0039208D" w:rsidRPr="0039208D" w:rsidRDefault="0028199D" w:rsidP="0028199D">
      <w:pPr>
        <w:pStyle w:val="FERCparanumber"/>
      </w:pPr>
      <w:bookmarkStart w:id="0" w:name="_Ref195272153"/>
      <w:r>
        <w:lastRenderedPageBreak/>
        <w:t>The Commission recognized that</w:t>
      </w:r>
      <w:r w:rsidR="00202541">
        <w:t>,</w:t>
      </w:r>
      <w:r>
        <w:t xml:space="preserve"> while it generally does not consider alternate compliance proposals other than those filed by the relevant public utility,</w:t>
      </w:r>
      <w:r>
        <w:rPr>
          <w:rStyle w:val="FootnoteReference"/>
        </w:rPr>
        <w:footnoteReference w:id="94"/>
      </w:r>
      <w:r>
        <w:t xml:space="preserve"> </w:t>
      </w:r>
      <w:r w:rsidRPr="002C363C">
        <w:t>there are “good reasons” for considering such alternatives with respect to cost allocation under Order No. 1920</w:t>
      </w:r>
      <w:r>
        <w:t>.</w:t>
      </w:r>
      <w:r>
        <w:rPr>
          <w:rStyle w:val="FootnoteReference"/>
        </w:rPr>
        <w:footnoteReference w:id="95"/>
      </w:r>
      <w:r>
        <w:t xml:space="preserve">  The Commission</w:t>
      </w:r>
      <w:r w:rsidDel="003C292F">
        <w:t xml:space="preserve"> </w:t>
      </w:r>
      <w:r w:rsidR="003C292F">
        <w:t xml:space="preserve">explained </w:t>
      </w:r>
      <w:r>
        <w:t xml:space="preserve">that states </w:t>
      </w:r>
      <w:r w:rsidRPr="00FC3C26">
        <w:t xml:space="preserve">play a unique role in </w:t>
      </w:r>
      <w:r w:rsidR="004977F1">
        <w:t xml:space="preserve">         </w:t>
      </w:r>
      <w:r w:rsidRPr="00FC3C26">
        <w:t xml:space="preserve">Long-Term Regional Transmission Planning, as their laws, regulations, and policies drive the need for Long-Term Regional Transmission Facilities, and they typically will have responsibility to consider and approve the siting, permitting, and construction of </w:t>
      </w:r>
      <w:r w:rsidR="004977F1">
        <w:t xml:space="preserve">      </w:t>
      </w:r>
      <w:r w:rsidRPr="00FC3C26">
        <w:t>Long-Term Regional Transmission Facilities selected in a regional transmission plan.</w:t>
      </w:r>
      <w:r>
        <w:t xml:space="preserve">  As such,</w:t>
      </w:r>
      <w:r w:rsidDel="00F82815">
        <w:t xml:space="preserve"> </w:t>
      </w:r>
      <w:r w:rsidRPr="00AF4F90">
        <w:t>states</w:t>
      </w:r>
      <w:r w:rsidRPr="00AF4F90">
        <w:rPr>
          <w:b/>
          <w:bCs/>
        </w:rPr>
        <w:t xml:space="preserve"> </w:t>
      </w:r>
      <w:r w:rsidRPr="00AF4F90">
        <w:t>affect whether Long-Term Regional Transmission Facilities are timely, efficiently, and cost-effectively developed such that customers actually receive the benefits associated with the selection of more efficient or cost-effective transmission solutions.</w:t>
      </w:r>
      <w:r w:rsidRPr="00AF4F90">
        <w:rPr>
          <w:b/>
          <w:vertAlign w:val="superscript"/>
        </w:rPr>
        <w:footnoteReference w:id="96"/>
      </w:r>
      <w:r>
        <w:t xml:space="preserve">  The Commission further found that </w:t>
      </w:r>
      <w:r w:rsidRPr="00914A13">
        <w:t>given the inherent uncertainty involved in planning to meet Long-Term Transmission Needs, state-developed cost allocation methods and State Agreement Process</w:t>
      </w:r>
      <w:r w:rsidR="002B4143">
        <w:t>es</w:t>
      </w:r>
      <w:r w:rsidRPr="00914A13">
        <w:t xml:space="preserve"> take on heightened importance.</w:t>
      </w:r>
      <w:r w:rsidRPr="00914A13">
        <w:rPr>
          <w:b/>
          <w:vertAlign w:val="superscript"/>
        </w:rPr>
        <w:footnoteReference w:id="97"/>
      </w:r>
      <w:r w:rsidRPr="00914A13">
        <w:t xml:space="preserve">  Th</w:t>
      </w:r>
      <w:r>
        <w:t xml:space="preserve">e Commission </w:t>
      </w:r>
      <w:r w:rsidR="004B22C5">
        <w:t>explained</w:t>
      </w:r>
      <w:r>
        <w:t xml:space="preserve"> that this</w:t>
      </w:r>
      <w:r w:rsidRPr="00914A13">
        <w:t xml:space="preserve"> means that </w:t>
      </w:r>
      <w:r>
        <w:t>it</w:t>
      </w:r>
      <w:r w:rsidRPr="00914A13">
        <w:t xml:space="preserve"> will consider the entire record</w:t>
      </w:r>
      <w:r w:rsidR="004E20F2">
        <w:t>—</w:t>
      </w:r>
      <w:r w:rsidRPr="00914A13">
        <w:t xml:space="preserve">including </w:t>
      </w:r>
      <w:r w:rsidRPr="00914A13">
        <w:lastRenderedPageBreak/>
        <w:t>the Relevant State Entities’ agreed-upon Long-Term Regional Transmission Cost Allocation Method</w:t>
      </w:r>
      <w:r w:rsidR="00D65B51" w:rsidRPr="00225393">
        <w:t>(s)</w:t>
      </w:r>
      <w:r w:rsidRPr="00914A13">
        <w:t xml:space="preserve"> and/or State Agreement Process and the transmission provider’s proposal</w:t>
      </w:r>
      <w:r w:rsidR="001020B4">
        <w:t>—</w:t>
      </w:r>
      <w:r w:rsidRPr="00914A13">
        <w:t xml:space="preserve">when setting the replacement rate.  Specifically, </w:t>
      </w:r>
      <w:r>
        <w:t>the Commission found that</w:t>
      </w:r>
      <w:r w:rsidRPr="00914A13">
        <w:t xml:space="preserve"> </w:t>
      </w:r>
      <w:r w:rsidR="007568C3">
        <w:t>it</w:t>
      </w:r>
      <w:r w:rsidRPr="00914A13">
        <w:t xml:space="preserve"> is not required to accept a cost allocation proposal from a transmission provider </w:t>
      </w:r>
      <w:r w:rsidR="00592AA7">
        <w:t xml:space="preserve">on compliance </w:t>
      </w:r>
      <w:r w:rsidRPr="00914A13">
        <w:t>simply because it may comply with Order No.</w:t>
      </w:r>
      <w:r w:rsidR="00F65812">
        <w:t> </w:t>
      </w:r>
      <w:r w:rsidRPr="00914A13">
        <w:t>1920</w:t>
      </w:r>
      <w:r w:rsidR="00887D59">
        <w:t xml:space="preserve"> but</w:t>
      </w:r>
      <w:r w:rsidRPr="00914A13">
        <w:t xml:space="preserve"> may adopt any cost allocation method proposed by the Relevant State Entities and submitted on compliance so long as it complies with Order No. 1920.</w:t>
      </w:r>
      <w:r w:rsidRPr="00914A13">
        <w:rPr>
          <w:b/>
          <w:vertAlign w:val="superscript"/>
        </w:rPr>
        <w:footnoteReference w:id="98"/>
      </w:r>
      <w:bookmarkEnd w:id="0"/>
    </w:p>
    <w:p w14:paraId="5D4E2595" w14:textId="2124836B" w:rsidR="00303DA2" w:rsidRPr="00303DA2" w:rsidRDefault="00225848" w:rsidP="00C40196">
      <w:pPr>
        <w:pStyle w:val="Heading3"/>
      </w:pPr>
      <w:r>
        <w:t>Challenges to Order No. 1920-A</w:t>
      </w:r>
    </w:p>
    <w:p w14:paraId="769C6655" w14:textId="367BC1B3" w:rsidR="00FD592B" w:rsidRPr="00FD592B" w:rsidRDefault="00C40196" w:rsidP="00C40196">
      <w:pPr>
        <w:pStyle w:val="Heading4"/>
      </w:pPr>
      <w:r>
        <w:t xml:space="preserve">Statutory </w:t>
      </w:r>
      <w:r w:rsidR="00CE75B4">
        <w:t>Filing Rights U</w:t>
      </w:r>
      <w:r w:rsidR="005F2A27">
        <w:t>nder the FPA</w:t>
      </w:r>
    </w:p>
    <w:p w14:paraId="1224D6A8" w14:textId="16F9252B" w:rsidR="00953698" w:rsidRDefault="00953698" w:rsidP="00DA79CA">
      <w:pPr>
        <w:pStyle w:val="Heading5"/>
      </w:pPr>
      <w:r>
        <w:t>Rehearing Requests</w:t>
      </w:r>
    </w:p>
    <w:p w14:paraId="67E93E15" w14:textId="5BDE30F0" w:rsidR="00D46D2D" w:rsidRDefault="00D46D2D" w:rsidP="004977F1">
      <w:pPr>
        <w:pStyle w:val="FERCparanumber"/>
      </w:pPr>
      <w:r>
        <w:t xml:space="preserve">Several of the rehearing requests argue that Order No. 1920-A unlawfully impinges on transmission providers’ FPA section 205 filing rights by requiring transmission providers </w:t>
      </w:r>
      <w:r w:rsidR="00C92909">
        <w:t>to</w:t>
      </w:r>
      <w:r>
        <w:t xml:space="preserve"> include, in their transmittal or as an attachment to their compliance filings, Relevant State Entities’ agreed-upon</w:t>
      </w:r>
      <w:r w:rsidRPr="00033D0B">
        <w:t xml:space="preserve"> Long-Term Regional Transmission Cost Allocation Method</w:t>
      </w:r>
      <w:r w:rsidR="0032765A" w:rsidRPr="009F1706">
        <w:t>(s)</w:t>
      </w:r>
      <w:r w:rsidRPr="00033D0B">
        <w:t xml:space="preserve"> and/or State Agreement</w:t>
      </w:r>
      <w:r>
        <w:t xml:space="preserve"> </w:t>
      </w:r>
      <w:r w:rsidRPr="008B3BC7">
        <w:t>Process</w:t>
      </w:r>
      <w:r>
        <w:t>.</w:t>
      </w:r>
      <w:r>
        <w:rPr>
          <w:rStyle w:val="FootnoteReference"/>
        </w:rPr>
        <w:footnoteReference w:id="99"/>
      </w:r>
      <w:r>
        <w:t xml:space="preserve">  </w:t>
      </w:r>
      <w:r w:rsidR="001A5348">
        <w:t>Multiple</w:t>
      </w:r>
      <w:r w:rsidDel="00B96479">
        <w:t xml:space="preserve"> </w:t>
      </w:r>
      <w:r>
        <w:lastRenderedPageBreak/>
        <w:t xml:space="preserve">rehearing </w:t>
      </w:r>
      <w:r w:rsidR="00B96479">
        <w:t xml:space="preserve">petitioners </w:t>
      </w:r>
      <w:r>
        <w:t>assert that this requirement in Order No.</w:t>
      </w:r>
      <w:r w:rsidR="001A5348">
        <w:t> </w:t>
      </w:r>
      <w:r>
        <w:t xml:space="preserve">1920-A is inconsistent with the division of authority set forth in </w:t>
      </w:r>
      <w:r w:rsidR="00FD494F">
        <w:t xml:space="preserve">the </w:t>
      </w:r>
      <w:r>
        <w:t xml:space="preserve">FPA, which </w:t>
      </w:r>
      <w:r w:rsidR="001B0B7F">
        <w:t xml:space="preserve">provides </w:t>
      </w:r>
      <w:r>
        <w:t xml:space="preserve">public utilities </w:t>
      </w:r>
      <w:r w:rsidR="00D60B3B">
        <w:t xml:space="preserve">with </w:t>
      </w:r>
      <w:r>
        <w:t xml:space="preserve">unilateral and exclusive </w:t>
      </w:r>
      <w:r w:rsidR="00503432">
        <w:t xml:space="preserve">FPA section 205 </w:t>
      </w:r>
      <w:r>
        <w:t>filing rights to propose rates, terms, and conditions of service, and</w:t>
      </w:r>
      <w:r w:rsidR="00782228">
        <w:t xml:space="preserve"> provides</w:t>
      </w:r>
      <w:r>
        <w:t xml:space="preserve"> the Commission </w:t>
      </w:r>
      <w:r w:rsidR="00BA3486">
        <w:t xml:space="preserve">with </w:t>
      </w:r>
      <w:r w:rsidR="009F6D10">
        <w:t xml:space="preserve">the authority to </w:t>
      </w:r>
      <w:r>
        <w:t xml:space="preserve">modify existing rates </w:t>
      </w:r>
      <w:r w:rsidR="00760B21">
        <w:t xml:space="preserve">under FPA section 206 </w:t>
      </w:r>
      <w:r>
        <w:t>after finding that the existing rate is unjust, unreasonable, or unduly discriminatory</w:t>
      </w:r>
      <w:r w:rsidR="006C4112">
        <w:t xml:space="preserve"> or preferential</w:t>
      </w:r>
      <w:r>
        <w:t>.</w:t>
      </w:r>
      <w:r>
        <w:rPr>
          <w:rStyle w:val="FootnoteReference"/>
        </w:rPr>
        <w:footnoteReference w:id="100"/>
      </w:r>
    </w:p>
    <w:p w14:paraId="386AF4BE" w14:textId="34832039" w:rsidR="00042C2B" w:rsidRDefault="00AF3CE6" w:rsidP="00042C2B">
      <w:pPr>
        <w:pStyle w:val="FERCparanumber"/>
      </w:pPr>
      <w:r>
        <w:t>R</w:t>
      </w:r>
      <w:r w:rsidR="00042C2B">
        <w:t xml:space="preserve">ehearing </w:t>
      </w:r>
      <w:r>
        <w:t xml:space="preserve">petitioners </w:t>
      </w:r>
      <w:r w:rsidR="00042C2B">
        <w:t xml:space="preserve">contend that requiring transmission providers to include Relevant State </w:t>
      </w:r>
      <w:proofErr w:type="gramStart"/>
      <w:r w:rsidR="00042C2B">
        <w:t>Entities’</w:t>
      </w:r>
      <w:proofErr w:type="gramEnd"/>
      <w:r w:rsidR="00042C2B">
        <w:t xml:space="preserve"> </w:t>
      </w:r>
      <w:r w:rsidR="003D4FC0">
        <w:t>agreed-upon</w:t>
      </w:r>
      <w:r w:rsidR="003D4FC0" w:rsidRPr="00033D0B">
        <w:t xml:space="preserve"> Long-Term Regional Transmission Cost Allocation Method</w:t>
      </w:r>
      <w:r w:rsidR="003D4FC0" w:rsidRPr="009F1706">
        <w:t>(s)</w:t>
      </w:r>
      <w:r w:rsidR="003D4FC0" w:rsidRPr="00033D0B">
        <w:t xml:space="preserve"> and/or State Agreement</w:t>
      </w:r>
      <w:r w:rsidR="003D4FC0">
        <w:t xml:space="preserve"> </w:t>
      </w:r>
      <w:r w:rsidR="003D4FC0" w:rsidRPr="008B3BC7">
        <w:t>Process</w:t>
      </w:r>
      <w:r w:rsidR="00042C2B">
        <w:t xml:space="preserve"> in transmission providers’ compliance filings unlawfully conditions or encumbers transmission providers’ FPA section 205 filing rights.  MISO TOs state that this requirement disrupts the balance set by FPA </w:t>
      </w:r>
      <w:r w:rsidR="004977F1">
        <w:t xml:space="preserve">              </w:t>
      </w:r>
      <w:r w:rsidR="00042C2B">
        <w:t>sections 205 and 206—allowing FPA section 206 to usurp FPA section 205—and encroaches on transmission providers’ FPA section 205 filing rights.</w:t>
      </w:r>
      <w:r w:rsidR="00042C2B">
        <w:rPr>
          <w:rStyle w:val="FootnoteReference"/>
        </w:rPr>
        <w:footnoteReference w:id="101"/>
      </w:r>
      <w:r w:rsidR="00042C2B">
        <w:t xml:space="preserve">  </w:t>
      </w:r>
      <w:r w:rsidR="00042C2B" w:rsidRPr="00042C2B">
        <w:rPr>
          <w:bCs/>
        </w:rPr>
        <w:t xml:space="preserve">MISO TOs </w:t>
      </w:r>
      <w:r w:rsidR="00FB53DB">
        <w:rPr>
          <w:bCs/>
        </w:rPr>
        <w:t xml:space="preserve">and </w:t>
      </w:r>
      <w:r w:rsidR="00FB53DB">
        <w:rPr>
          <w:bCs/>
        </w:rPr>
        <w:lastRenderedPageBreak/>
        <w:t xml:space="preserve">SPP TOs </w:t>
      </w:r>
      <w:r w:rsidR="00042C2B" w:rsidRPr="00042C2B">
        <w:rPr>
          <w:bCs/>
        </w:rPr>
        <w:t>argue that states may not force public utilities to make FPA section 205 filings or require them to relinquish their filing rights to other entities.</w:t>
      </w:r>
      <w:r w:rsidR="00042C2B" w:rsidRPr="00D47763">
        <w:rPr>
          <w:b/>
          <w:bCs/>
          <w:vertAlign w:val="superscript"/>
        </w:rPr>
        <w:footnoteReference w:id="102"/>
      </w:r>
      <w:r w:rsidR="00042C2B" w:rsidRPr="00042C2B">
        <w:rPr>
          <w:bCs/>
        </w:rPr>
        <w:t xml:space="preserve">  </w:t>
      </w:r>
      <w:r w:rsidR="00042C2B">
        <w:t>Indicated PJM TOs assert that this requirement “e</w:t>
      </w:r>
      <w:r w:rsidR="00042C2B" w:rsidRPr="00E81BC7">
        <w:t>ffectively</w:t>
      </w:r>
      <w:r w:rsidR="00042C2B">
        <w:t xml:space="preserve"> </w:t>
      </w:r>
      <w:r w:rsidR="00042C2B" w:rsidRPr="00E81BC7">
        <w:t>forces utilities to cede their filing rights to others, contravening the statutory directive by Congress</w:t>
      </w:r>
      <w:r w:rsidR="00042C2B">
        <w:t xml:space="preserve"> </w:t>
      </w:r>
      <w:r w:rsidR="00042C2B" w:rsidRPr="00E81BC7">
        <w:t xml:space="preserve">in </w:t>
      </w:r>
      <w:r w:rsidR="002D4E41">
        <w:t xml:space="preserve">[FPA] </w:t>
      </w:r>
      <w:r w:rsidR="00042C2B" w:rsidRPr="00E81BC7">
        <w:t>section 205 that grants utilities the exclusive right to propose their rates and terms of service</w:t>
      </w:r>
      <w:r w:rsidR="00042C2B">
        <w:t>.”</w:t>
      </w:r>
      <w:r w:rsidR="00042C2B">
        <w:rPr>
          <w:rStyle w:val="FootnoteReference"/>
        </w:rPr>
        <w:footnoteReference w:id="103"/>
      </w:r>
      <w:r w:rsidR="00042C2B">
        <w:t xml:space="preserve">  </w:t>
      </w:r>
    </w:p>
    <w:p w14:paraId="03508B80" w14:textId="62FBD468" w:rsidR="0044138A" w:rsidRDefault="00225671" w:rsidP="0044138A">
      <w:pPr>
        <w:pStyle w:val="FERCparanumber"/>
      </w:pPr>
      <w:r>
        <w:t>Some</w:t>
      </w:r>
      <w:r w:rsidR="00382622">
        <w:t xml:space="preserve"> </w:t>
      </w:r>
      <w:r w:rsidR="0044138A">
        <w:t xml:space="preserve">rehearing </w:t>
      </w:r>
      <w:r w:rsidR="006F75D6">
        <w:t>petitioners</w:t>
      </w:r>
      <w:r w:rsidR="0044138A">
        <w:t xml:space="preserve"> </w:t>
      </w:r>
      <w:r w:rsidR="003E2202">
        <w:t xml:space="preserve">assert that the Commission </w:t>
      </w:r>
      <w:r w:rsidR="00386978">
        <w:t>misconst</w:t>
      </w:r>
      <w:r w:rsidR="00933E66">
        <w:t>rues</w:t>
      </w:r>
      <w:r w:rsidR="00386978">
        <w:t xml:space="preserve"> </w:t>
      </w:r>
      <w:r w:rsidR="0044138A">
        <w:t xml:space="preserve">the structure of FPA sections 205 and 206, and particularly the rights afforded to public utilities under FPA section 205.  For instance, they argue that FPA section 205 is intended for the benefit of the </w:t>
      </w:r>
      <w:r w:rsidR="00E963BE">
        <w:t xml:space="preserve">public </w:t>
      </w:r>
      <w:r w:rsidR="0044138A">
        <w:t>utility, granting it the proactive right to initiate rate changes, in contrast to the passive role played by the Commission under that provision.</w:t>
      </w:r>
      <w:r w:rsidR="0044138A">
        <w:rPr>
          <w:rStyle w:val="FootnoteReference"/>
        </w:rPr>
        <w:footnoteReference w:id="104"/>
      </w:r>
      <w:r w:rsidR="0044138A">
        <w:t xml:space="preserve">  </w:t>
      </w:r>
      <w:r w:rsidR="00EC5964">
        <w:t>Rehearing</w:t>
      </w:r>
      <w:r w:rsidR="0044138A" w:rsidDel="00B0486A">
        <w:t xml:space="preserve"> </w:t>
      </w:r>
      <w:r w:rsidR="00B0486A">
        <w:t xml:space="preserve">petitioners </w:t>
      </w:r>
      <w:r w:rsidR="0044138A">
        <w:t xml:space="preserve">also assert that the FPA section 205 rights of public utilities to initiate rate </w:t>
      </w:r>
      <w:r w:rsidR="0044138A">
        <w:lastRenderedPageBreak/>
        <w:t>changes are exclusive and unilateral.</w:t>
      </w:r>
      <w:r w:rsidR="0044138A">
        <w:rPr>
          <w:rStyle w:val="FootnoteReference"/>
        </w:rPr>
        <w:footnoteReference w:id="105"/>
      </w:r>
      <w:r w:rsidR="0044138A">
        <w:t xml:space="preserve">  </w:t>
      </w:r>
      <w:r w:rsidR="00505181">
        <w:t xml:space="preserve">Rehearing </w:t>
      </w:r>
      <w:r w:rsidR="00FA7DB4">
        <w:t xml:space="preserve">petitioners </w:t>
      </w:r>
      <w:r w:rsidR="00505181">
        <w:t>further</w:t>
      </w:r>
      <w:r w:rsidR="0044138A">
        <w:t xml:space="preserve"> contend that public utilities are the entities entitled to</w:t>
      </w:r>
      <w:r w:rsidR="00E13B3F">
        <w:t xml:space="preserve"> </w:t>
      </w:r>
      <w:r w:rsidR="0044138A">
        <w:t xml:space="preserve">submit filings </w:t>
      </w:r>
      <w:r w:rsidR="00D33878">
        <w:t xml:space="preserve">under FPA section 205 </w:t>
      </w:r>
      <w:r w:rsidR="0044138A">
        <w:t>to set their rates and initiate rate changes.</w:t>
      </w:r>
      <w:r w:rsidR="0044138A">
        <w:rPr>
          <w:rStyle w:val="FootnoteReference"/>
        </w:rPr>
        <w:footnoteReference w:id="106"/>
      </w:r>
    </w:p>
    <w:p w14:paraId="01C15822" w14:textId="6A8317A4" w:rsidR="009307BC" w:rsidRPr="009307BC" w:rsidRDefault="001C390B" w:rsidP="009307BC">
      <w:pPr>
        <w:pStyle w:val="FERCparanumber"/>
        <w:rPr>
          <w:i/>
          <w:iCs/>
        </w:rPr>
      </w:pPr>
      <w:r>
        <w:t>In addition</w:t>
      </w:r>
      <w:r w:rsidR="009307BC">
        <w:t xml:space="preserve">, </w:t>
      </w:r>
      <w:r w:rsidR="00E347CA">
        <w:t>petitioners</w:t>
      </w:r>
      <w:r w:rsidR="009307BC">
        <w:t xml:space="preserve"> cite precedent that, they contend, reflects</w:t>
      </w:r>
      <w:r w:rsidR="00575086">
        <w:t xml:space="preserve"> the fact</w:t>
      </w:r>
      <w:r w:rsidR="009307BC">
        <w:t xml:space="preserve"> that the Commission cannot diminish </w:t>
      </w:r>
      <w:r w:rsidR="00940F85">
        <w:t xml:space="preserve">public utilities’ </w:t>
      </w:r>
      <w:r w:rsidR="009307BC">
        <w:t xml:space="preserve">FPA section 205 filing rights and, therefore, Order No. 1920-A’s requirement </w:t>
      </w:r>
      <w:r w:rsidR="00A50ACF">
        <w:t>for transmission providers</w:t>
      </w:r>
      <w:r w:rsidR="009307BC">
        <w:t xml:space="preserve"> to submit Relevant State </w:t>
      </w:r>
      <w:proofErr w:type="gramStart"/>
      <w:r w:rsidR="009307BC">
        <w:t>Entities’</w:t>
      </w:r>
      <w:proofErr w:type="gramEnd"/>
      <w:r w:rsidR="009307BC">
        <w:t xml:space="preserve"> </w:t>
      </w:r>
      <w:r w:rsidR="003D4FC0">
        <w:t>agreed-upon</w:t>
      </w:r>
      <w:r w:rsidR="003D4FC0" w:rsidRPr="00033D0B">
        <w:t xml:space="preserve"> Long-Term Regional Transmission Cost Allocation Method</w:t>
      </w:r>
      <w:r w:rsidR="003D4FC0" w:rsidRPr="009F1706">
        <w:t>(s)</w:t>
      </w:r>
      <w:r w:rsidR="003D4FC0" w:rsidRPr="00033D0B">
        <w:t xml:space="preserve"> and/or State Agreement</w:t>
      </w:r>
      <w:r w:rsidR="003D4FC0">
        <w:t xml:space="preserve"> </w:t>
      </w:r>
      <w:r w:rsidR="003D4FC0" w:rsidRPr="008B3BC7">
        <w:t>Process</w:t>
      </w:r>
      <w:r w:rsidR="009307BC">
        <w:t xml:space="preserve"> </w:t>
      </w:r>
      <w:r w:rsidR="00951CE2">
        <w:t>with</w:t>
      </w:r>
      <w:r w:rsidR="009307BC">
        <w:t xml:space="preserve"> </w:t>
      </w:r>
      <w:r w:rsidR="00A50ACF">
        <w:t xml:space="preserve">their </w:t>
      </w:r>
      <w:r w:rsidR="009307BC">
        <w:t>compliance filing</w:t>
      </w:r>
      <w:r w:rsidR="00A50ACF">
        <w:t>s</w:t>
      </w:r>
      <w:r w:rsidR="009307BC">
        <w:t xml:space="preserve"> is unlawful.  Many of the rehearing requests argue that the requirement to include Relevant State </w:t>
      </w:r>
      <w:proofErr w:type="gramStart"/>
      <w:r w:rsidR="009307BC">
        <w:t>Entities’</w:t>
      </w:r>
      <w:proofErr w:type="gramEnd"/>
      <w:r w:rsidR="009307BC">
        <w:t xml:space="preserve"> </w:t>
      </w:r>
      <w:r w:rsidR="004977F1">
        <w:t xml:space="preserve">           </w:t>
      </w:r>
      <w:r w:rsidR="003D4FC0">
        <w:t>agreed-upon</w:t>
      </w:r>
      <w:r w:rsidR="003D4FC0" w:rsidRPr="00033D0B">
        <w:t xml:space="preserve"> Long-Term Regional Transmission Cost Allocation Method</w:t>
      </w:r>
      <w:r w:rsidR="003D4FC0" w:rsidRPr="009F1706">
        <w:t>(s)</w:t>
      </w:r>
      <w:r w:rsidR="003D4FC0" w:rsidRPr="00033D0B">
        <w:t xml:space="preserve"> and/or State Agreement</w:t>
      </w:r>
      <w:r w:rsidR="003D4FC0">
        <w:t xml:space="preserve"> </w:t>
      </w:r>
      <w:r w:rsidR="003D4FC0" w:rsidRPr="008B3BC7">
        <w:t>Process</w:t>
      </w:r>
      <w:r w:rsidR="009307BC">
        <w:t xml:space="preserve"> in transmission providers’ compliance filings is contrary to </w:t>
      </w:r>
      <w:r w:rsidR="004977F1">
        <w:t xml:space="preserve">           </w:t>
      </w:r>
      <w:r w:rsidR="009307BC" w:rsidRPr="009307BC">
        <w:rPr>
          <w:i/>
          <w:iCs/>
        </w:rPr>
        <w:t>Atlantic City Electric. Co. v. FERC</w:t>
      </w:r>
      <w:r w:rsidR="009307BC">
        <w:t>.</w:t>
      </w:r>
      <w:r w:rsidR="009307BC">
        <w:rPr>
          <w:rStyle w:val="FootnoteReference"/>
        </w:rPr>
        <w:footnoteReference w:id="107"/>
      </w:r>
      <w:r w:rsidR="009307BC" w:rsidRPr="007A1BAC">
        <w:t xml:space="preserve"> </w:t>
      </w:r>
      <w:r w:rsidR="009307BC">
        <w:t xml:space="preserve"> They assert that </w:t>
      </w:r>
      <w:r w:rsidR="009307BC" w:rsidRPr="009307BC">
        <w:rPr>
          <w:i/>
          <w:iCs/>
        </w:rPr>
        <w:t xml:space="preserve">Atlantic City I </w:t>
      </w:r>
      <w:r w:rsidR="00403B90">
        <w:t>holds</w:t>
      </w:r>
      <w:r w:rsidR="002C6B3B">
        <w:t xml:space="preserve"> </w:t>
      </w:r>
      <w:r w:rsidR="009307BC">
        <w:t>that public utilities—</w:t>
      </w:r>
      <w:r w:rsidR="00765875">
        <w:t xml:space="preserve">and </w:t>
      </w:r>
      <w:r w:rsidR="009307BC">
        <w:t>only public utilities—have FPA section 205 filing rights to propose rate changes and that public utilities cannot be involuntarily divested of those rights</w:t>
      </w:r>
      <w:r w:rsidR="00883A6E">
        <w:t xml:space="preserve"> as a result </w:t>
      </w:r>
      <w:r w:rsidR="00883A6E">
        <w:lastRenderedPageBreak/>
        <w:t>of an FPA section 206 compliance directive</w:t>
      </w:r>
      <w:r w:rsidR="009307BC">
        <w:t>.</w:t>
      </w:r>
      <w:r w:rsidR="009307BC">
        <w:rPr>
          <w:rStyle w:val="FootnoteReference"/>
        </w:rPr>
        <w:footnoteReference w:id="108"/>
      </w:r>
      <w:r w:rsidR="009307BC">
        <w:t xml:space="preserve">  Several </w:t>
      </w:r>
      <w:r w:rsidR="002A1A71">
        <w:t xml:space="preserve">rehearing </w:t>
      </w:r>
      <w:r w:rsidR="00BB14F4">
        <w:t xml:space="preserve">petitioners </w:t>
      </w:r>
      <w:r w:rsidR="009307BC">
        <w:t xml:space="preserve">point to other </w:t>
      </w:r>
      <w:r w:rsidR="005C281F">
        <w:t>decisions</w:t>
      </w:r>
      <w:r w:rsidR="009307BC">
        <w:t xml:space="preserve"> that, they contend, rejected attempts by the Commission to limit or compromise public utilities’ (or, in the parallel context of the Natural Gas Act</w:t>
      </w:r>
      <w:r w:rsidR="00E0419A">
        <w:t xml:space="preserve"> (NGA)</w:t>
      </w:r>
      <w:r w:rsidR="009307BC">
        <w:t>,</w:t>
      </w:r>
      <w:r w:rsidR="00431760" w:rsidRPr="006B00F9">
        <w:rPr>
          <w:rStyle w:val="FootnoteReference"/>
        </w:rPr>
        <w:footnoteReference w:id="109"/>
      </w:r>
      <w:r w:rsidR="009307BC">
        <w:t xml:space="preserve"> natural-gas companies’) statutory authority to file rates.</w:t>
      </w:r>
      <w:r w:rsidR="009307BC">
        <w:rPr>
          <w:rStyle w:val="FootnoteReference"/>
        </w:rPr>
        <w:footnoteReference w:id="110"/>
      </w:r>
      <w:r w:rsidR="009307BC">
        <w:t xml:space="preserve">  A number of the rehearing requests also rely on </w:t>
      </w:r>
      <w:r w:rsidR="00C20609" w:rsidRPr="00B368B1">
        <w:rPr>
          <w:i/>
        </w:rPr>
        <w:t>Mass</w:t>
      </w:r>
      <w:r w:rsidR="00C20609" w:rsidRPr="00B368B1" w:rsidDel="006106D2">
        <w:rPr>
          <w:i/>
        </w:rPr>
        <w:t>achusetts Department of Public Utilities</w:t>
      </w:r>
      <w:r w:rsidR="009307BC">
        <w:t>,</w:t>
      </w:r>
      <w:r w:rsidR="009307BC">
        <w:rPr>
          <w:rStyle w:val="FootnoteReference"/>
        </w:rPr>
        <w:footnoteReference w:id="111"/>
      </w:r>
      <w:r w:rsidR="009307BC">
        <w:t xml:space="preserve"> asserting that </w:t>
      </w:r>
      <w:r w:rsidR="009307BC">
        <w:lastRenderedPageBreak/>
        <w:t>“</w:t>
      </w:r>
      <w:r w:rsidR="009307BC" w:rsidRPr="004C2B6D">
        <w:t>states may not force public utilities to make section 205</w:t>
      </w:r>
      <w:r w:rsidR="009307BC">
        <w:t xml:space="preserve"> filings” or require utilities to submit “‘regulator-compelled’ utility-proposed changes.”</w:t>
      </w:r>
      <w:r w:rsidR="009307BC">
        <w:rPr>
          <w:rStyle w:val="FootnoteReference"/>
        </w:rPr>
        <w:footnoteReference w:id="112"/>
      </w:r>
    </w:p>
    <w:p w14:paraId="724C4895" w14:textId="1DA64BC1" w:rsidR="00CA0B0B" w:rsidRPr="00CA0B0B" w:rsidRDefault="00CA0B0B" w:rsidP="00CA0B0B">
      <w:pPr>
        <w:pStyle w:val="FERCparanumber"/>
        <w:rPr>
          <w:i/>
          <w:iCs/>
        </w:rPr>
      </w:pPr>
      <w:r w:rsidRPr="00CA0B0B">
        <w:t>MISO</w:t>
      </w:r>
      <w:r>
        <w:t xml:space="preserve"> TOs assert that Order No. 1920-A contravene</w:t>
      </w:r>
      <w:r w:rsidR="002D6141">
        <w:t>s</w:t>
      </w:r>
      <w:r>
        <w:t xml:space="preserve"> restrictions on the Commission’s </w:t>
      </w:r>
      <w:r w:rsidR="0014732F">
        <w:t>FPA section 206</w:t>
      </w:r>
      <w:r>
        <w:t xml:space="preserve"> authority because, by requiring attachment of Relevant State Entities’ </w:t>
      </w:r>
      <w:r w:rsidR="003D4FC0">
        <w:t>agreed-upon</w:t>
      </w:r>
      <w:r w:rsidR="003D4FC0" w:rsidRPr="00033D0B">
        <w:t xml:space="preserve"> Long-Term Regional Transmission Cost Allocation Method</w:t>
      </w:r>
      <w:r w:rsidR="003D4FC0" w:rsidRPr="009F1706">
        <w:t>(s)</w:t>
      </w:r>
      <w:r w:rsidR="003D4FC0" w:rsidRPr="00033D0B">
        <w:t xml:space="preserve"> and/or State Agreement</w:t>
      </w:r>
      <w:r w:rsidR="003D4FC0">
        <w:t xml:space="preserve"> </w:t>
      </w:r>
      <w:r w:rsidR="003D4FC0" w:rsidRPr="008B3BC7">
        <w:t>Process</w:t>
      </w:r>
      <w:r>
        <w:t xml:space="preserve"> to transmission providers’ compliance filings, it requires transmission providers to relinquish their right to file rate changes under FPA section 205 to Relevant State Entities.</w:t>
      </w:r>
      <w:r>
        <w:rPr>
          <w:rStyle w:val="FootnoteReference"/>
        </w:rPr>
        <w:footnoteReference w:id="113"/>
      </w:r>
      <w:r>
        <w:t xml:space="preserve">  MISO TOs argue that </w:t>
      </w:r>
      <w:r w:rsidR="003F3247">
        <w:t xml:space="preserve">the Commission in </w:t>
      </w:r>
      <w:r>
        <w:t xml:space="preserve">Order No. 1920 acknowledged </w:t>
      </w:r>
      <w:r w:rsidR="000E3DC6">
        <w:t xml:space="preserve">that </w:t>
      </w:r>
      <w:r w:rsidR="00EF0137">
        <w:t xml:space="preserve">it could not encumber </w:t>
      </w:r>
      <w:r>
        <w:t xml:space="preserve">these filing rights </w:t>
      </w:r>
      <w:r w:rsidR="002A5B9B">
        <w:t>by</w:t>
      </w:r>
      <w:r>
        <w:t xml:space="preserve"> </w:t>
      </w:r>
      <w:r w:rsidR="00985E52">
        <w:t>initially</w:t>
      </w:r>
      <w:r>
        <w:t xml:space="preserve"> allowing transmission providers to determine which Long-Term Regional Transmission Cost Allocation Method</w:t>
      </w:r>
      <w:r w:rsidR="00375303">
        <w:t>(</w:t>
      </w:r>
      <w:r>
        <w:t>s</w:t>
      </w:r>
      <w:r w:rsidR="00375303">
        <w:t>)</w:t>
      </w:r>
      <w:r>
        <w:t xml:space="preserve"> to file as part of their compliance filings.</w:t>
      </w:r>
      <w:r>
        <w:rPr>
          <w:rStyle w:val="FootnoteReference"/>
        </w:rPr>
        <w:footnoteReference w:id="114"/>
      </w:r>
      <w:r>
        <w:t xml:space="preserve">  Indicated PJM TOs assert that FPA section 206 “</w:t>
      </w:r>
      <w:r w:rsidRPr="00A764E9">
        <w:t xml:space="preserve">does not authorize the Commission to provide </w:t>
      </w:r>
      <w:r>
        <w:t>[Relevant State Entities]</w:t>
      </w:r>
      <w:r w:rsidRPr="00A764E9">
        <w:t xml:space="preserve"> with</w:t>
      </w:r>
      <w:r>
        <w:t xml:space="preserve"> </w:t>
      </w:r>
      <w:r w:rsidRPr="00A764E9">
        <w:t>the statutory authority reserved solely to public utilities</w:t>
      </w:r>
      <w:r>
        <w:t>,</w:t>
      </w:r>
      <w:r w:rsidDel="00803D56">
        <w:t xml:space="preserve"> </w:t>
      </w:r>
      <w:r w:rsidRPr="00A764E9">
        <w:lastRenderedPageBreak/>
        <w:t>nor does it authorize the Commission to</w:t>
      </w:r>
      <w:r>
        <w:t xml:space="preserve"> </w:t>
      </w:r>
      <w:r w:rsidRPr="00A764E9">
        <w:t xml:space="preserve">require public utilities to cede those rights to </w:t>
      </w:r>
      <w:r>
        <w:t>[Relevant State Entities]</w:t>
      </w:r>
      <w:r w:rsidRPr="00A764E9">
        <w:t xml:space="preserve"> by forcing them to submit proposals and</w:t>
      </w:r>
      <w:r>
        <w:t xml:space="preserve"> </w:t>
      </w:r>
      <w:r w:rsidRPr="00A764E9">
        <w:t xml:space="preserve">materials prepared by those </w:t>
      </w:r>
      <w:r>
        <w:t>[Relevant State Entities]</w:t>
      </w:r>
      <w:r w:rsidRPr="00A764E9">
        <w:t xml:space="preserve"> that the public utilities do not support.</w:t>
      </w:r>
      <w:r>
        <w:t>”</w:t>
      </w:r>
      <w:r>
        <w:rPr>
          <w:rStyle w:val="FootnoteReference"/>
        </w:rPr>
        <w:footnoteReference w:id="115"/>
      </w:r>
      <w:r>
        <w:t xml:space="preserve">  EEI argues that</w:t>
      </w:r>
      <w:r w:rsidR="004A72EF">
        <w:t>,</w:t>
      </w:r>
      <w:r w:rsidRPr="00CA0B0B">
        <w:rPr>
          <w:i/>
          <w:iCs/>
        </w:rPr>
        <w:t xml:space="preserve"> </w:t>
      </w:r>
      <w:r>
        <w:t>“[b]</w:t>
      </w:r>
      <w:r w:rsidRPr="00DD1D46">
        <w:t xml:space="preserve">y requiring the public utilities to file the Relevant State Entities’ proposals, the </w:t>
      </w:r>
      <w:r>
        <w:t>C</w:t>
      </w:r>
      <w:r w:rsidRPr="00DD1D46">
        <w:t>ommission is requiring those public utilities to cede their statutory rights to make filings under the FPA to the Relevant State Entities and to provide those entities with statutory rights that Congress did not intend them to hav</w:t>
      </w:r>
      <w:r>
        <w:t>e.”</w:t>
      </w:r>
      <w:r>
        <w:rPr>
          <w:rStyle w:val="FootnoteReference"/>
        </w:rPr>
        <w:footnoteReference w:id="116"/>
      </w:r>
      <w:r>
        <w:t xml:space="preserve">  SPP TOs argue that Order No.</w:t>
      </w:r>
      <w:r w:rsidR="009C7685">
        <w:t> </w:t>
      </w:r>
      <w:r>
        <w:t>1920-</w:t>
      </w:r>
      <w:r w:rsidRPr="000019F9">
        <w:t>A gives “preferential filing privileges to states that the FPA does not authorize the Commission to grant,” and thereby diminishes the FPA section 205 filing rights of public utilities.</w:t>
      </w:r>
      <w:r w:rsidRPr="000019F9">
        <w:rPr>
          <w:rStyle w:val="FootnoteReference"/>
        </w:rPr>
        <w:footnoteReference w:id="117"/>
      </w:r>
      <w:r w:rsidRPr="000019F9">
        <w:t xml:space="preserve">  WIRES states that the Commission does not have statutory authority to require a public utility to file another entity’s rate proposal, and that Order No. 1920-A </w:t>
      </w:r>
      <w:r w:rsidRPr="000019F9">
        <w:lastRenderedPageBreak/>
        <w:t>does not reflect a “mere change in the filing process” but rather a substantive change that the Commission is not authorized to make.</w:t>
      </w:r>
      <w:r w:rsidRPr="000019F9">
        <w:rPr>
          <w:rStyle w:val="FootnoteReference"/>
        </w:rPr>
        <w:footnoteReference w:id="118"/>
      </w:r>
      <w:r w:rsidRPr="000019F9">
        <w:t xml:space="preserve">  </w:t>
      </w:r>
      <w:r w:rsidR="00103986">
        <w:t>WIRES</w:t>
      </w:r>
      <w:r>
        <w:t xml:space="preserve"> further argue</w:t>
      </w:r>
      <w:r w:rsidR="00103986">
        <w:t>s</w:t>
      </w:r>
      <w:r>
        <w:t xml:space="preserve"> that Order </w:t>
      </w:r>
      <w:r w:rsidR="004977F1">
        <w:t xml:space="preserve">                  </w:t>
      </w:r>
      <w:r>
        <w:t>No. 1920-A effectively elevates states to the equivalent of public utilities in requiring that their proposals be included in the compliance filing, which will be assessed under the same just and reasonable standard articulated in FPA section 205.</w:t>
      </w:r>
      <w:r>
        <w:rPr>
          <w:rStyle w:val="FootnoteReference"/>
        </w:rPr>
        <w:footnoteReference w:id="119"/>
      </w:r>
    </w:p>
    <w:p w14:paraId="3B1E0B67" w14:textId="44A75C97" w:rsidR="00191A20" w:rsidRDefault="00FA778F" w:rsidP="00191A20">
      <w:pPr>
        <w:pStyle w:val="FERCparanumber"/>
      </w:pPr>
      <w:r>
        <w:t>Many</w:t>
      </w:r>
      <w:r w:rsidR="00191A20">
        <w:t xml:space="preserve"> rehearing </w:t>
      </w:r>
      <w:r w:rsidR="00C76B4A">
        <w:t xml:space="preserve">petitioners </w:t>
      </w:r>
      <w:r w:rsidR="00191A20">
        <w:t xml:space="preserve">also contest the Commission’s explanation for why this compliance filing requirement was statutorily permissible.  MISO TOs assert </w:t>
      </w:r>
      <w:r w:rsidR="00A027B9">
        <w:t xml:space="preserve">that </w:t>
      </w:r>
      <w:r w:rsidR="00191A20">
        <w:t>the Commission</w:t>
      </w:r>
      <w:r w:rsidR="00671896">
        <w:t>’s</w:t>
      </w:r>
      <w:r w:rsidR="00191A20">
        <w:t xml:space="preserve"> </w:t>
      </w:r>
      <w:r w:rsidR="000A67D0">
        <w:t>explanation</w:t>
      </w:r>
      <w:r w:rsidR="00FD6BDC">
        <w:t xml:space="preserve"> that </w:t>
      </w:r>
      <w:r w:rsidR="005D007D">
        <w:t xml:space="preserve">a </w:t>
      </w:r>
      <w:r w:rsidR="00191A20" w:rsidRPr="00E55595">
        <w:t xml:space="preserve">Relevant State </w:t>
      </w:r>
      <w:r w:rsidR="005D007D" w:rsidRPr="00E55595">
        <w:t>Entit</w:t>
      </w:r>
      <w:r w:rsidR="005D007D">
        <w:t>y’</w:t>
      </w:r>
      <w:r w:rsidR="005D007D" w:rsidRPr="00E55595">
        <w:t xml:space="preserve">s </w:t>
      </w:r>
      <w:r w:rsidR="00191A20" w:rsidRPr="00E55595">
        <w:t>proposed method or process</w:t>
      </w:r>
      <w:r w:rsidR="00191A20" w:rsidRPr="00E55595" w:rsidDel="00A35DB1">
        <w:t xml:space="preserve"> </w:t>
      </w:r>
      <w:r w:rsidR="00A35DB1">
        <w:t>do</w:t>
      </w:r>
      <w:r w:rsidR="005D007D">
        <w:t>es</w:t>
      </w:r>
      <w:r w:rsidR="00A35DB1" w:rsidRPr="00E55595">
        <w:t xml:space="preserve"> </w:t>
      </w:r>
      <w:r w:rsidR="00191A20" w:rsidRPr="00E55595">
        <w:t xml:space="preserve">not </w:t>
      </w:r>
      <w:r w:rsidR="0070289C">
        <w:t xml:space="preserve">constitute </w:t>
      </w:r>
      <w:r w:rsidR="00191A20" w:rsidRPr="00E55595">
        <w:t xml:space="preserve">a </w:t>
      </w:r>
      <w:r w:rsidR="005E56EF">
        <w:t>“</w:t>
      </w:r>
      <w:r w:rsidR="00191A20" w:rsidRPr="00E55595">
        <w:t>proposal</w:t>
      </w:r>
      <w:r w:rsidR="00191A20">
        <w:t>”</w:t>
      </w:r>
      <w:r w:rsidR="00191A20" w:rsidDel="00FD6BDC">
        <w:t xml:space="preserve"> </w:t>
      </w:r>
      <w:r w:rsidR="00191A20">
        <w:t xml:space="preserve">is an “empty formalism with no grounding in the statutory text” that does not change the impact of the requirement on transmission </w:t>
      </w:r>
      <w:r w:rsidR="00191A20">
        <w:lastRenderedPageBreak/>
        <w:t>providers’ FPA section 205 filing rights.</w:t>
      </w:r>
      <w:r w:rsidR="00191A20">
        <w:rPr>
          <w:rStyle w:val="FootnoteReference"/>
        </w:rPr>
        <w:footnoteReference w:id="120"/>
      </w:r>
      <w:r w:rsidR="00191A20">
        <w:t xml:space="preserve">  WIRES </w:t>
      </w:r>
      <w:r w:rsidR="00A07F7D">
        <w:t xml:space="preserve">similarly </w:t>
      </w:r>
      <w:r w:rsidR="00191A20">
        <w:t>argues that</w:t>
      </w:r>
      <w:r w:rsidR="00AC3687">
        <w:t>, despite</w:t>
      </w:r>
      <w:r w:rsidR="00191A20">
        <w:t xml:space="preserve"> </w:t>
      </w:r>
      <w:r w:rsidR="00AC3687">
        <w:t>this clarification</w:t>
      </w:r>
      <w:r w:rsidR="00191A20">
        <w:t xml:space="preserve"> and </w:t>
      </w:r>
      <w:r w:rsidR="0060596D">
        <w:t>the fact that</w:t>
      </w:r>
      <w:r w:rsidR="00191A20" w:rsidDel="0060596D">
        <w:t xml:space="preserve"> </w:t>
      </w:r>
      <w:r w:rsidR="00191A20">
        <w:t>transmission provider</w:t>
      </w:r>
      <w:r w:rsidR="0060596D">
        <w:t>s are not required</w:t>
      </w:r>
      <w:r w:rsidR="00191A20">
        <w:t xml:space="preserve"> to characterize or justify the Relevant State Entities’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rsidR="00191A20">
        <w:t>,</w:t>
      </w:r>
      <w:r w:rsidR="00191A20">
        <w:rPr>
          <w:rStyle w:val="FootnoteReference"/>
        </w:rPr>
        <w:footnoteReference w:id="121"/>
      </w:r>
      <w:r w:rsidR="00191A20">
        <w:t xml:space="preserve"> th</w:t>
      </w:r>
      <w:r w:rsidR="00D21228">
        <w:t>e compliance</w:t>
      </w:r>
      <w:r w:rsidR="00191A20">
        <w:t xml:space="preserve"> requirement remains unlawful because neither states nor Relevant State Entities are public utilities entitled to make FPA section 205 filings.</w:t>
      </w:r>
      <w:r w:rsidR="00191A20">
        <w:rPr>
          <w:rStyle w:val="FootnoteReference"/>
        </w:rPr>
        <w:footnoteReference w:id="122"/>
      </w:r>
    </w:p>
    <w:p w14:paraId="17B51FFA" w14:textId="1632DEDF" w:rsidR="001143C8" w:rsidRDefault="001143C8" w:rsidP="001143C8">
      <w:pPr>
        <w:pStyle w:val="FERCparanumber"/>
      </w:pPr>
      <w:r w:rsidRPr="001143C8">
        <w:t>MISO</w:t>
      </w:r>
      <w:r>
        <w:t xml:space="preserve"> TOs argue that the Commission</w:t>
      </w:r>
      <w:r w:rsidR="00CF596C">
        <w:t>’s distinction</w:t>
      </w:r>
      <w:r>
        <w:t xml:space="preserve"> between FPA section 205 filings and compliance filings under FPA section 206 is a “hollow explanation” that does not allow the Commission to give filing rights to Relevant State Entities in violation of the FPA or require public utilities to cede their filing rights under FPA section 205.</w:t>
      </w:r>
      <w:r>
        <w:rPr>
          <w:rStyle w:val="FootnoteReference"/>
        </w:rPr>
        <w:footnoteReference w:id="123"/>
      </w:r>
      <w:r>
        <w:t xml:space="preserve">  SPP TOs </w:t>
      </w:r>
      <w:r w:rsidR="00BA49E1">
        <w:t xml:space="preserve">acknowledge </w:t>
      </w:r>
      <w:r>
        <w:t>that Commission precedent distinguishes between FPA section</w:t>
      </w:r>
      <w:r w:rsidR="00C30A99">
        <w:t> </w:t>
      </w:r>
      <w:r>
        <w:t>205 filings and compliance filings under FPA section 206,</w:t>
      </w:r>
      <w:r>
        <w:rPr>
          <w:rStyle w:val="FootnoteReference"/>
        </w:rPr>
        <w:footnoteReference w:id="124"/>
      </w:r>
      <w:r>
        <w:t xml:space="preserve"> but still contend that Order No. 1920-A</w:t>
      </w:r>
      <w:r w:rsidR="00705FD6">
        <w:t>’s mandates are unlawful</w:t>
      </w:r>
      <w:r w:rsidR="00750E6C" w:rsidRPr="00750E6C">
        <w:t xml:space="preserve"> because they are forced encroachments on </w:t>
      </w:r>
      <w:r w:rsidR="00750E6C" w:rsidRPr="00750E6C">
        <w:lastRenderedPageBreak/>
        <w:t>public utility filing rights under the FPA, which may only be relinquished voluntarily</w:t>
      </w:r>
      <w:r>
        <w:t>.</w:t>
      </w:r>
      <w:r>
        <w:rPr>
          <w:rStyle w:val="FootnoteReference"/>
        </w:rPr>
        <w:footnoteReference w:id="125"/>
      </w:r>
      <w:r>
        <w:t xml:space="preserve">  EEI also recognizes that a compliance filing under FPA section 206 is </w:t>
      </w:r>
      <w:r w:rsidR="00061E6A">
        <w:t xml:space="preserve">not </w:t>
      </w:r>
      <w:r>
        <w:t>a change initiated by a public utility</w:t>
      </w:r>
      <w:r w:rsidR="00BC0FC1">
        <w:t xml:space="preserve"> but rather one </w:t>
      </w:r>
      <w:r w:rsidR="00DF021D">
        <w:t>directed by the Commission</w:t>
      </w:r>
      <w:r w:rsidR="00815B2F">
        <w:t>,</w:t>
      </w:r>
      <w:r w:rsidR="005551DC">
        <w:rPr>
          <w:rStyle w:val="FootnoteReference"/>
        </w:rPr>
        <w:footnoteReference w:id="126"/>
      </w:r>
      <w:r>
        <w:t xml:space="preserve"> but asserts that</w:t>
      </w:r>
      <w:r w:rsidR="00BC58AB">
        <w:t>,</w:t>
      </w:r>
      <w:r>
        <w:t xml:space="preserve"> </w:t>
      </w:r>
      <w:r w:rsidR="00F95705">
        <w:t>e</w:t>
      </w:r>
      <w:r w:rsidRPr="009E3AE8">
        <w:t>ven if the Commission were to act pursuant to FPA section 206 or via rulemaking, whatever rate or regulation the Commission establishes may not usurp the rights of public utilities to file proposed rat</w:t>
      </w:r>
      <w:r>
        <w:t>es.</w:t>
      </w:r>
      <w:r>
        <w:rPr>
          <w:rStyle w:val="FootnoteReference"/>
        </w:rPr>
        <w:footnoteReference w:id="127"/>
      </w:r>
    </w:p>
    <w:p w14:paraId="50717359" w14:textId="09EF4A6A" w:rsidR="00E52FCC" w:rsidRPr="004F6FE5" w:rsidRDefault="00E52FCC" w:rsidP="00E52FCC">
      <w:pPr>
        <w:pStyle w:val="FERCparanumber"/>
        <w:rPr>
          <w:i/>
        </w:rPr>
      </w:pPr>
      <w:r w:rsidRPr="00E52FCC">
        <w:t>SPP TOs argue that the Commission has rejected attempts to use compliance filings to bypass the FPA’s filing requirements and circumvent FPA notice requirements, and that the Commission has recognized that it could not circumvent these requirements even by invoking FPA section 309.</w:t>
      </w:r>
      <w:r w:rsidRPr="001B5CCE">
        <w:rPr>
          <w:rStyle w:val="FootnoteReference"/>
          <w:szCs w:val="26"/>
        </w:rPr>
        <w:footnoteReference w:id="128"/>
      </w:r>
      <w:r w:rsidRPr="00E52FCC">
        <w:t xml:space="preserve">  They contend that the Commission</w:t>
      </w:r>
      <w:r w:rsidR="00636173">
        <w:t>’s approach</w:t>
      </w:r>
      <w:r w:rsidRPr="00E52FCC">
        <w:t xml:space="preserve"> could </w:t>
      </w:r>
      <w:r w:rsidR="00014FCF">
        <w:t xml:space="preserve">lead it to improperly </w:t>
      </w:r>
      <w:r w:rsidRPr="00E52FCC">
        <w:t>“bypass” FPA sections 205 and 206 in future cases, e.g., in complaint proceedings</w:t>
      </w:r>
      <w:r w:rsidR="0022663F">
        <w:t>,</w:t>
      </w:r>
      <w:r w:rsidRPr="00E52FCC">
        <w:t xml:space="preserve"> by </w:t>
      </w:r>
      <w:r w:rsidR="00EE53BE">
        <w:t>author</w:t>
      </w:r>
      <w:r w:rsidR="008474DC">
        <w:t>iz</w:t>
      </w:r>
      <w:r w:rsidR="00EE53BE" w:rsidRPr="00E52FCC">
        <w:t xml:space="preserve">ing </w:t>
      </w:r>
      <w:r w:rsidRPr="00E52FCC">
        <w:t xml:space="preserve">“favored parties to include their preferred alternative remedies in other parties’ compliance filings without first having to make the first step showings under FPA section 206 that are normally required of complainants or </w:t>
      </w:r>
      <w:r w:rsidRPr="00E52FCC">
        <w:lastRenderedPageBreak/>
        <w:t>protestors.</w:t>
      </w:r>
      <w:r w:rsidR="00623B03">
        <w:t>”</w:t>
      </w:r>
      <w:r w:rsidRPr="001B5CCE">
        <w:rPr>
          <w:rStyle w:val="FootnoteReference"/>
          <w:szCs w:val="26"/>
        </w:rPr>
        <w:footnoteReference w:id="129"/>
      </w:r>
      <w:r w:rsidRPr="00E52FCC">
        <w:t xml:space="preserve">  SPP TOs claim that Order No. 1920-A</w:t>
      </w:r>
      <w:r w:rsidR="0077229A">
        <w:t>’s</w:t>
      </w:r>
      <w:r w:rsidRPr="00E52FCC">
        <w:t xml:space="preserve"> attempt to weaken FPA sections 205 and 206’s statutory constraints </w:t>
      </w:r>
      <w:r w:rsidR="00A3226D" w:rsidRPr="00A3226D">
        <w:t>wrongly attempts to resolve</w:t>
      </w:r>
      <w:r w:rsidRPr="00E52FCC">
        <w:t xml:space="preserve"> a “major question” </w:t>
      </w:r>
      <w:r w:rsidR="00A3226D">
        <w:t xml:space="preserve">under the statute </w:t>
      </w:r>
      <w:r w:rsidR="00EC51B8">
        <w:t xml:space="preserve">in ways </w:t>
      </w:r>
      <w:r w:rsidRPr="00E52FCC">
        <w:t>that Congress did not authorize and could not have foreseen.</w:t>
      </w:r>
      <w:r w:rsidRPr="005456F7">
        <w:rPr>
          <w:b/>
          <w:vertAlign w:val="superscript"/>
        </w:rPr>
        <w:footnoteReference w:id="130"/>
      </w:r>
    </w:p>
    <w:p w14:paraId="054BFA68" w14:textId="6397F95A" w:rsidR="005B6E61" w:rsidRPr="005B6E61" w:rsidRDefault="005B6E61" w:rsidP="005B6E61">
      <w:pPr>
        <w:pStyle w:val="FERCparanumber"/>
        <w:rPr>
          <w:i/>
          <w:iCs/>
        </w:rPr>
      </w:pPr>
      <w:r w:rsidRPr="006207FE">
        <w:t>Indicated</w:t>
      </w:r>
      <w:r>
        <w:t xml:space="preserve"> PJM TOs argue that Order No. 1920-A’s requirement to include Relevant State Entities’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t xml:space="preserve"> in transmission providers’ compliance filings intrudes into the decision making processes of public utilities as to whether to submit a filing under FPA section 205.</w:t>
      </w:r>
      <w:r>
        <w:rPr>
          <w:rStyle w:val="FootnoteReference"/>
        </w:rPr>
        <w:footnoteReference w:id="131"/>
      </w:r>
      <w:r>
        <w:t xml:space="preserve">  Indicated PJM TOs state that these are “</w:t>
      </w:r>
      <w:r w:rsidRPr="008378B6">
        <w:t>internal decisions by the public utility determined by its governing authority</w:t>
      </w:r>
      <w:r>
        <w:t>” that are beyond the Commission’s authority to regulate and contrary to the “passive role” assigned to the Commission under FPA section 205.</w:t>
      </w:r>
      <w:r>
        <w:rPr>
          <w:rStyle w:val="FootnoteReference"/>
        </w:rPr>
        <w:footnoteReference w:id="132"/>
      </w:r>
      <w:r>
        <w:t xml:space="preserve">  They assert that this requirement is a “direct intervention into a public utility’s decision regarding what to file even before the filing is </w:t>
      </w:r>
      <w:r>
        <w:lastRenderedPageBreak/>
        <w:t>made” and not a “practice affecting a rate” subject to Commission regulation.</w:t>
      </w:r>
      <w:r>
        <w:rPr>
          <w:rStyle w:val="FootnoteReference"/>
        </w:rPr>
        <w:footnoteReference w:id="133"/>
      </w:r>
      <w:r>
        <w:t xml:space="preserve">  Indicated PJM TOs further assert that Commission precedent addressing </w:t>
      </w:r>
      <w:r w:rsidR="00823C79">
        <w:t>RTO/ISO</w:t>
      </w:r>
      <w:r>
        <w:t xml:space="preserve"> governance is not relevant, as the two cases addressing participation in the bodies that vote on rate proposals were decided prior to the Supreme Court’s decision in </w:t>
      </w:r>
      <w:r w:rsidRPr="006207FE">
        <w:rPr>
          <w:i/>
          <w:iCs/>
        </w:rPr>
        <w:t>Loper Bright Enterprises v. Raimondo</w:t>
      </w:r>
      <w:r>
        <w:t xml:space="preserve">, did not “advance[ ] to judicial review,” and did not “address[ ] the D.C. Circuit’s decision in </w:t>
      </w:r>
      <w:r w:rsidRPr="006207FE">
        <w:rPr>
          <w:i/>
          <w:iCs/>
        </w:rPr>
        <w:t>CAISO</w:t>
      </w:r>
      <w:r>
        <w:t>.”</w:t>
      </w:r>
      <w:r>
        <w:rPr>
          <w:rStyle w:val="FootnoteReference"/>
        </w:rPr>
        <w:footnoteReference w:id="134"/>
      </w:r>
    </w:p>
    <w:p w14:paraId="4FA53E57" w14:textId="0B3EE193" w:rsidR="00A95448" w:rsidRPr="00630B9D" w:rsidRDefault="00A729E1" w:rsidP="00A729E1">
      <w:pPr>
        <w:pStyle w:val="FERCparanumber"/>
        <w:rPr>
          <w:i/>
          <w:iCs/>
        </w:rPr>
      </w:pPr>
      <w:r>
        <w:t>EEI, SPP TOs, and WIRES assert that there are other avenues for parties to be heard with respect to cost allocation, such that infringing on transmission providers’ FPA section 205 rights is not necessary or justified.  EEI argues that parties may file protests to a transmission provider’s compliance filing if they wish to advocate for an alternative approach.</w:t>
      </w:r>
      <w:r>
        <w:rPr>
          <w:rStyle w:val="FootnoteReference"/>
        </w:rPr>
        <w:footnoteReference w:id="135"/>
      </w:r>
      <w:r>
        <w:t xml:space="preserve">  SPP TOs argue that,</w:t>
      </w:r>
      <w:r w:rsidDel="00F4165A">
        <w:t xml:space="preserve"> </w:t>
      </w:r>
      <w:r>
        <w:t>because states are not authorized to file cost allocation proposals, they are limited to commenting on or protesting transmission providers’ proposals or filing FPA section 206 complaints.</w:t>
      </w:r>
      <w:r>
        <w:rPr>
          <w:rStyle w:val="FootnoteReference"/>
        </w:rPr>
        <w:footnoteReference w:id="136"/>
      </w:r>
      <w:r>
        <w:t xml:space="preserve">  WIRES argues that there are </w:t>
      </w:r>
      <w:r w:rsidRPr="0095353A">
        <w:t xml:space="preserve">ways of evaluating whether transmission providers have provided state regulators with a formal </w:t>
      </w:r>
      <w:r w:rsidRPr="0095353A">
        <w:lastRenderedPageBreak/>
        <w:t xml:space="preserve">opportunity to develop a Long-Term Regional Transmission Cost Allocation Method other than compelling transmission providers to include </w:t>
      </w:r>
      <w:r>
        <w:t>Relevant S</w:t>
      </w:r>
      <w:r w:rsidRPr="0095353A">
        <w:t>tate</w:t>
      </w:r>
      <w:r>
        <w:t xml:space="preserve"> Entitie</w:t>
      </w:r>
      <w:r w:rsidRPr="0095353A">
        <w:t xml:space="preserve">s’ </w:t>
      </w:r>
      <w:r w:rsidR="0076770C">
        <w:t xml:space="preserve">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rsidR="00FC2B98" w:rsidRPr="0095353A">
        <w:t xml:space="preserve"> </w:t>
      </w:r>
      <w:r w:rsidRPr="0095353A">
        <w:t>in their compliance filing</w:t>
      </w:r>
      <w:r>
        <w:t>, but that Order No. 1920-A adopts an adversarial approach of dueling compliance proposals.</w:t>
      </w:r>
      <w:r>
        <w:rPr>
          <w:rStyle w:val="FootnoteReference"/>
        </w:rPr>
        <w:footnoteReference w:id="137"/>
      </w:r>
    </w:p>
    <w:p w14:paraId="2E71550A" w14:textId="08DA5380" w:rsidR="00A729E1" w:rsidRPr="002D1685" w:rsidRDefault="00A95448" w:rsidP="00D46CF1">
      <w:pPr>
        <w:pStyle w:val="FERCparanumber"/>
      </w:pPr>
      <w:r w:rsidRPr="004D2D28">
        <w:t>MISO TOs assert that</w:t>
      </w:r>
      <w:r>
        <w:t>,</w:t>
      </w:r>
      <w:r w:rsidRPr="004D2D28">
        <w:t xml:space="preserve"> under Order No. 1920-A, the Commission </w:t>
      </w:r>
      <w:r>
        <w:t xml:space="preserve">is particularly likely to accept </w:t>
      </w:r>
      <w:r w:rsidRPr="004D2D28">
        <w:t xml:space="preserve">Relevant State Entities’ </w:t>
      </w:r>
      <w:r>
        <w:t xml:space="preserve">Long-Term Regional Transmission </w:t>
      </w:r>
      <w:r w:rsidRPr="004D2D28">
        <w:t>Cost Allocation Method</w:t>
      </w:r>
      <w:r>
        <w:t>s</w:t>
      </w:r>
      <w:r w:rsidRPr="004D2D28">
        <w:t xml:space="preserve"> rather than transmission providers </w:t>
      </w:r>
      <w:r w:rsidR="002236C5">
        <w:t>proposals</w:t>
      </w:r>
      <w:r w:rsidRPr="004D2D28">
        <w:t xml:space="preserve"> because </w:t>
      </w:r>
      <w:r w:rsidR="00760265">
        <w:t xml:space="preserve">they assert that </w:t>
      </w:r>
      <w:r w:rsidRPr="004D2D28">
        <w:t>Order No.</w:t>
      </w:r>
      <w:r>
        <w:t> </w:t>
      </w:r>
      <w:r w:rsidRPr="004D2D28">
        <w:t>1920-A provides that Relevant State Entities’ proposals “will be afforded heightened preference over transmission providers’ own proposals.”</w:t>
      </w:r>
      <w:r w:rsidRPr="004D2D28">
        <w:rPr>
          <w:b/>
          <w:vertAlign w:val="superscript"/>
        </w:rPr>
        <w:footnoteReference w:id="138"/>
      </w:r>
      <w:r w:rsidRPr="004D2D28">
        <w:t xml:space="preserve">  MISO TOs argue that accepting Relevant State Entities’ </w:t>
      </w:r>
      <w:r>
        <w:t>c</w:t>
      </w:r>
      <w:r w:rsidRPr="004D2D28">
        <w:t xml:space="preserve">ost </w:t>
      </w:r>
      <w:r>
        <w:t>a</w:t>
      </w:r>
      <w:r w:rsidRPr="004D2D28">
        <w:t xml:space="preserve">llocation </w:t>
      </w:r>
      <w:r>
        <w:t>m</w:t>
      </w:r>
      <w:r w:rsidRPr="004D2D28">
        <w:t xml:space="preserve">ethod </w:t>
      </w:r>
      <w:r>
        <w:t>over the transmission provider’s proposed cost allocation method</w:t>
      </w:r>
      <w:r w:rsidRPr="004D2D28">
        <w:t xml:space="preserve"> would “subvert</w:t>
      </w:r>
      <w:r>
        <w:t>[</w:t>
      </w:r>
      <w:r w:rsidR="0044642D">
        <w:t xml:space="preserve"> </w:t>
      </w:r>
      <w:r>
        <w:t>]</w:t>
      </w:r>
      <w:r w:rsidRPr="004D2D28">
        <w:t xml:space="preserve"> future FPA section 205 filings related to that rate scheme in a manner that disfavors the transmission provider’s FPA section 205 proposals.”</w:t>
      </w:r>
      <w:r w:rsidRPr="004D2D28">
        <w:rPr>
          <w:b/>
          <w:vertAlign w:val="superscript"/>
        </w:rPr>
        <w:footnoteReference w:id="139"/>
      </w:r>
    </w:p>
    <w:p w14:paraId="546667D6" w14:textId="5D380A16" w:rsidR="00D46D2D" w:rsidRDefault="00226AEB" w:rsidP="00D46D2D">
      <w:pPr>
        <w:pStyle w:val="FERCparanumber"/>
      </w:pPr>
      <w:r w:rsidRPr="00226AEB">
        <w:t>Indicated PJM TOs and SPP TOs argue that</w:t>
      </w:r>
      <w:r w:rsidR="007D5446">
        <w:t>,</w:t>
      </w:r>
      <w:r w:rsidRPr="00226AEB">
        <w:t xml:space="preserve"> in </w:t>
      </w:r>
      <w:r w:rsidR="007D5446">
        <w:t>claiming</w:t>
      </w:r>
      <w:r w:rsidRPr="00226AEB">
        <w:t xml:space="preserve"> that the Commission need not accept a transmission provider’s proposal on compliance even if the proposal complies with the final rule’s requirements, </w:t>
      </w:r>
      <w:r w:rsidR="0076176B" w:rsidRPr="00226AEB">
        <w:t>the Commission’s reliance on</w:t>
      </w:r>
      <w:r w:rsidR="0076176B" w:rsidRPr="00226AEB">
        <w:rPr>
          <w:i/>
          <w:iCs/>
        </w:rPr>
        <w:t xml:space="preserve"> </w:t>
      </w:r>
      <w:r w:rsidR="0076770C">
        <w:rPr>
          <w:i/>
          <w:iCs/>
        </w:rPr>
        <w:t xml:space="preserve">            </w:t>
      </w:r>
      <w:r w:rsidR="0076176B" w:rsidRPr="00226AEB">
        <w:rPr>
          <w:i/>
          <w:iCs/>
        </w:rPr>
        <w:lastRenderedPageBreak/>
        <w:t>Entergy Arkansas, LLC v. FERC</w:t>
      </w:r>
      <w:r w:rsidR="0076176B" w:rsidRPr="00226AEB">
        <w:t xml:space="preserve"> </w:t>
      </w:r>
      <w:r w:rsidRPr="00226AEB">
        <w:t>is misplaced.</w:t>
      </w:r>
      <w:r w:rsidRPr="00226AEB">
        <w:rPr>
          <w:b/>
          <w:vertAlign w:val="superscript"/>
        </w:rPr>
        <w:footnoteReference w:id="140"/>
      </w:r>
      <w:r w:rsidRPr="00226AEB">
        <w:t xml:space="preserve">  They contend that </w:t>
      </w:r>
      <w:r w:rsidRPr="00226AEB">
        <w:rPr>
          <w:i/>
          <w:iCs/>
        </w:rPr>
        <w:t>Entergy</w:t>
      </w:r>
      <w:r w:rsidRPr="00226AEB">
        <w:t xml:space="preserve"> is inapposite because the Commission there rejected MISO’s compliance filing before selecting a different replacement rate.</w:t>
      </w:r>
      <w:r w:rsidRPr="00226AEB">
        <w:rPr>
          <w:b/>
          <w:vertAlign w:val="superscript"/>
        </w:rPr>
        <w:footnoteReference w:id="141"/>
      </w:r>
      <w:r w:rsidRPr="00226AEB">
        <w:t xml:space="preserve">  SPP TOs argue that the Commission can accept a proposed replacement rate from a third party (including Relevant State Entities) only after finding that the transmission provider’s compliance filing does not comport with the Commission’s directives.</w:t>
      </w:r>
      <w:r w:rsidRPr="00226AEB">
        <w:rPr>
          <w:b/>
          <w:vertAlign w:val="superscript"/>
        </w:rPr>
        <w:footnoteReference w:id="142"/>
      </w:r>
      <w:r w:rsidRPr="00226AEB">
        <w:rPr>
          <w:i/>
          <w:iCs/>
        </w:rPr>
        <w:t xml:space="preserve">  </w:t>
      </w:r>
    </w:p>
    <w:p w14:paraId="60D575E2" w14:textId="111282AA" w:rsidR="00194A5C" w:rsidRDefault="00ED28CE" w:rsidP="00ED28CE">
      <w:pPr>
        <w:pStyle w:val="FERCparanumber"/>
      </w:pPr>
      <w:r w:rsidRPr="00ED28CE">
        <w:t>Indicated</w:t>
      </w:r>
      <w:r>
        <w:t xml:space="preserve"> PJM TOs assert that the preference the Commission has articulated in its precedent for accepting public utilities’ compliant, just and reasonable proposals rather than competing proposals</w:t>
      </w:r>
      <w:r>
        <w:rPr>
          <w:rStyle w:val="FootnoteReference"/>
        </w:rPr>
        <w:footnoteReference w:id="143"/>
      </w:r>
      <w:r>
        <w:t xml:space="preserve"> is, in fact, mandate</w:t>
      </w:r>
      <w:r w:rsidR="00A23B0D">
        <w:t>d by the FPA</w:t>
      </w:r>
      <w:r>
        <w:t>.</w:t>
      </w:r>
      <w:r>
        <w:rPr>
          <w:rStyle w:val="FootnoteReference"/>
        </w:rPr>
        <w:footnoteReference w:id="144"/>
      </w:r>
      <w:r>
        <w:t xml:space="preserve">  Indicated PJM TOs state that </w:t>
      </w:r>
      <w:r w:rsidRPr="002F5967">
        <w:t xml:space="preserve">FPA </w:t>
      </w:r>
      <w:r>
        <w:t xml:space="preserve">sections </w:t>
      </w:r>
      <w:r w:rsidRPr="002F5967">
        <w:t xml:space="preserve">205 and 206 are part of a single </w:t>
      </w:r>
      <w:r>
        <w:t xml:space="preserve">statutory </w:t>
      </w:r>
      <w:r w:rsidRPr="002F5967">
        <w:t xml:space="preserve">structure </w:t>
      </w:r>
      <w:r>
        <w:t>under which</w:t>
      </w:r>
      <w:r w:rsidRPr="002F5967">
        <w:t xml:space="preserve"> rates </w:t>
      </w:r>
      <w:r w:rsidRPr="002F5967">
        <w:lastRenderedPageBreak/>
        <w:t>are initially established by the utility, such that the C</w:t>
      </w:r>
      <w:r>
        <w:t>ommission</w:t>
      </w:r>
      <w:r w:rsidRPr="002F5967">
        <w:t xml:space="preserve"> must give preference to </w:t>
      </w:r>
      <w:r>
        <w:t xml:space="preserve">compliance </w:t>
      </w:r>
      <w:r w:rsidR="00040C30">
        <w:t>proposals</w:t>
      </w:r>
      <w:r w:rsidR="00040C30" w:rsidRPr="002F5967">
        <w:t xml:space="preserve"> </w:t>
      </w:r>
      <w:r w:rsidRPr="002F5967">
        <w:t>by</w:t>
      </w:r>
      <w:r>
        <w:t xml:space="preserve"> public</w:t>
      </w:r>
      <w:r w:rsidRPr="002F5967">
        <w:t xml:space="preserve"> utilit</w:t>
      </w:r>
      <w:r>
        <w:t>ies</w:t>
      </w:r>
      <w:r w:rsidRPr="002F5967">
        <w:t xml:space="preserve"> over</w:t>
      </w:r>
      <w:r>
        <w:t xml:space="preserve"> those by</w:t>
      </w:r>
      <w:r w:rsidRPr="002F5967">
        <w:t xml:space="preserve"> other entities.</w:t>
      </w:r>
      <w:r>
        <w:rPr>
          <w:rStyle w:val="FootnoteReference"/>
        </w:rPr>
        <w:footnoteReference w:id="145"/>
      </w:r>
    </w:p>
    <w:p w14:paraId="081C1E45" w14:textId="2A9D6D49" w:rsidR="00136A90" w:rsidRDefault="00EE3FD0" w:rsidP="00EE3FD0">
      <w:pPr>
        <w:pStyle w:val="FERCparanumber"/>
      </w:pPr>
      <w:r>
        <w:t>Indicated PJM TOs</w:t>
      </w:r>
      <w:r w:rsidRPr="00994008">
        <w:t xml:space="preserve"> also assert that Order No. 1920-A “did not prescribe a specific replacement rate,” instead maintaining a “light touch” and providing flexibility to transmission providers as to their compliance filings on cost allocation, and therefore “</w:t>
      </w:r>
      <w:r w:rsidRPr="000D3096">
        <w:t>forwent its opportunity to establish a specific</w:t>
      </w:r>
      <w:r w:rsidRPr="00994008">
        <w:t xml:space="preserve"> replacement rate pursuant to section</w:t>
      </w:r>
      <w:r>
        <w:t> </w:t>
      </w:r>
      <w:r w:rsidRPr="00994008">
        <w:t>206.”</w:t>
      </w:r>
      <w:r w:rsidRPr="00994008">
        <w:rPr>
          <w:rStyle w:val="FootnoteReference"/>
        </w:rPr>
        <w:footnoteReference w:id="146"/>
      </w:r>
      <w:r w:rsidRPr="00994008">
        <w:t xml:space="preserve">  Indicated PJM TOs further </w:t>
      </w:r>
      <w:r>
        <w:t>maintain</w:t>
      </w:r>
      <w:r w:rsidRPr="00994008">
        <w:t xml:space="preserve"> that the Commission’s approach in Order No</w:t>
      </w:r>
      <w:r>
        <w:t>s</w:t>
      </w:r>
      <w:r w:rsidRPr="00994008">
        <w:t>. 1920 and 1920-A is inconsistent with FPA section 206, which Indicated PJM TOs state requires that the replacement be “fixed by rule or by a later order on compliance, but not by both.”</w:t>
      </w:r>
      <w:r w:rsidRPr="00994008">
        <w:rPr>
          <w:b/>
          <w:vertAlign w:val="superscript"/>
        </w:rPr>
        <w:footnoteReference w:id="147"/>
      </w:r>
      <w:r w:rsidRPr="00994008">
        <w:t xml:space="preserve">  As a result, </w:t>
      </w:r>
      <w:r>
        <w:t>Indicated PJM TOs</w:t>
      </w:r>
      <w:r w:rsidRPr="00994008">
        <w:t xml:space="preserve"> claim that “any later filing made by the public utility to ensure that the public utility is compliant with the Commission’s rules is made pursuant to section 205”</w:t>
      </w:r>
      <w:r w:rsidRPr="00994008">
        <w:rPr>
          <w:b/>
          <w:vertAlign w:val="superscript"/>
        </w:rPr>
        <w:footnoteReference w:id="148"/>
      </w:r>
      <w:r w:rsidRPr="00994008">
        <w:t xml:space="preserve"> such that the Commission’s “</w:t>
      </w:r>
      <w:r w:rsidRPr="007E7D9A">
        <w:t>only recourse is to consider whether</w:t>
      </w:r>
      <w:r w:rsidRPr="00994008">
        <w:t xml:space="preserve"> the rate submitted by the public utility on compliance is just and reasonable.”</w:t>
      </w:r>
      <w:r w:rsidRPr="00994008">
        <w:rPr>
          <w:rStyle w:val="FootnoteReference"/>
        </w:rPr>
        <w:footnoteReference w:id="149"/>
      </w:r>
      <w:r>
        <w:t xml:space="preserve">  WIRES similarly argues that the </w:t>
      </w:r>
      <w:r w:rsidRPr="00A62C2C">
        <w:t xml:space="preserve">Commission did </w:t>
      </w:r>
      <w:r w:rsidRPr="00A62C2C">
        <w:lastRenderedPageBreak/>
        <w:t>not “take the initiative in setting the replacement rates” but instead</w:t>
      </w:r>
      <w:r w:rsidRPr="00A62C2C">
        <w:rPr>
          <w:bCs/>
        </w:rPr>
        <w:t xml:space="preserve"> directed transmission providers on compliance to submit just and reasonable cost allocation methods consistent with the requirements of Order No. 1920, </w:t>
      </w:r>
      <w:r w:rsidRPr="00A62C2C">
        <w:t>such that “the public utility need only propose a just and reasonable replacement rate in compliance with the Commission order</w:t>
      </w:r>
      <w:r>
        <w:t>.</w:t>
      </w:r>
      <w:r w:rsidRPr="00A62C2C">
        <w:t>”</w:t>
      </w:r>
      <w:r>
        <w:rPr>
          <w:rStyle w:val="FootnoteReference"/>
        </w:rPr>
        <w:footnoteReference w:id="150"/>
      </w:r>
    </w:p>
    <w:p w14:paraId="74FF30DB" w14:textId="3AC21617" w:rsidR="00B335D5" w:rsidRPr="0024233D" w:rsidRDefault="00B335D5" w:rsidP="000771CD">
      <w:pPr>
        <w:pStyle w:val="FERCparanumber"/>
        <w:rPr>
          <w:i/>
          <w:iCs/>
        </w:rPr>
      </w:pPr>
      <w:r w:rsidRPr="00226AEB">
        <w:t>SPP TOs argue that certain Commission precedent cited in Order No. 1920-A</w:t>
      </w:r>
      <w:r w:rsidRPr="00226AEB">
        <w:rPr>
          <w:b/>
          <w:vertAlign w:val="superscript"/>
        </w:rPr>
        <w:footnoteReference w:id="151"/>
      </w:r>
      <w:r w:rsidRPr="00226AEB">
        <w:t xml:space="preserve"> does not support—and, in fact, undermines—the requirement that transmission providers submit Relevant State </w:t>
      </w:r>
      <w:proofErr w:type="gramStart"/>
      <w:r w:rsidRPr="00226AEB">
        <w:t>Entities’</w:t>
      </w:r>
      <w:proofErr w:type="gramEnd"/>
      <w:r w:rsidRPr="00226AEB">
        <w:t xml:space="preserve">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rsidRPr="00226AEB">
        <w:t xml:space="preserve"> with transmission providers’ compliance filings.</w:t>
      </w:r>
      <w:r w:rsidRPr="00226AEB">
        <w:rPr>
          <w:b/>
          <w:vertAlign w:val="superscript"/>
        </w:rPr>
        <w:footnoteReference w:id="152"/>
      </w:r>
    </w:p>
    <w:p w14:paraId="2210EA68" w14:textId="5FA35377" w:rsidR="00953698" w:rsidRPr="000771CD" w:rsidRDefault="00953698" w:rsidP="0024233D">
      <w:pPr>
        <w:pStyle w:val="Heading5"/>
      </w:pPr>
      <w:r>
        <w:t>Commission Determination</w:t>
      </w:r>
    </w:p>
    <w:p w14:paraId="1E1A0C3C" w14:textId="4E326A83" w:rsidR="00577558" w:rsidRDefault="00577558" w:rsidP="00577558">
      <w:pPr>
        <w:pStyle w:val="FERCparanumber"/>
      </w:pPr>
      <w:r w:rsidRPr="00E1390B">
        <w:t>For</w:t>
      </w:r>
      <w:r>
        <w:t xml:space="preserve"> the reasons below and those stated in Order No. 1920-A, we</w:t>
      </w:r>
      <w:r w:rsidRPr="007929D2">
        <w:t xml:space="preserve"> sustain the Commission’s determination</w:t>
      </w:r>
      <w:r>
        <w:t xml:space="preserve"> in Order No. 1920-A requiring </w:t>
      </w:r>
      <w:r w:rsidRPr="008B3BC7">
        <w:t xml:space="preserve">transmission providers </w:t>
      </w:r>
      <w:r>
        <w:t xml:space="preserve">to </w:t>
      </w:r>
      <w:r w:rsidRPr="008B3BC7">
        <w:t xml:space="preserve">include </w:t>
      </w:r>
      <w:r w:rsidRPr="0081745F">
        <w:t>Relevant</w:t>
      </w:r>
      <w:r>
        <w:t xml:space="preserve"> State Entities’ agreed-upon </w:t>
      </w:r>
      <w:r w:rsidRPr="00202CCA">
        <w:t>Long-Term Regional Transmission Cost Allocation Method</w:t>
      </w:r>
      <w:r w:rsidR="0032765A" w:rsidRPr="00D15472">
        <w:t>(s)</w:t>
      </w:r>
      <w:r w:rsidRPr="00202CCA">
        <w:t xml:space="preserve"> and/or State Agreement Process resulting from the Engagement Period</w:t>
      </w:r>
      <w:r>
        <w:t xml:space="preserve">, and associated information provided to transmission providers </w:t>
      </w:r>
      <w:r w:rsidRPr="007B4BCC">
        <w:t xml:space="preserve">regarding the state </w:t>
      </w:r>
      <w:r w:rsidRPr="007B4BCC">
        <w:lastRenderedPageBreak/>
        <w:t>negotiations during the Engagement Period</w:t>
      </w:r>
      <w:r>
        <w:t>,</w:t>
      </w:r>
      <w:r w:rsidRPr="008B3BC7">
        <w:t xml:space="preserve"> in </w:t>
      </w:r>
      <w:r>
        <w:t>transmission providers’</w:t>
      </w:r>
      <w:r w:rsidRPr="008B3BC7">
        <w:t xml:space="preserve"> transmittal or as an attachment to their </w:t>
      </w:r>
      <w:r w:rsidR="00681232">
        <w:t xml:space="preserve">Order No. 1920 regional transmission planning and cost allocation </w:t>
      </w:r>
      <w:r w:rsidRPr="008B3BC7">
        <w:t>compliance filing</w:t>
      </w:r>
      <w:r w:rsidR="005F0CE0">
        <w:t>s</w:t>
      </w:r>
      <w:r>
        <w:t>.</w:t>
      </w:r>
      <w:r>
        <w:rPr>
          <w:rStyle w:val="FootnoteReference"/>
        </w:rPr>
        <w:footnoteReference w:id="153"/>
      </w:r>
      <w:r>
        <w:t xml:space="preserve">  We further sustain the Commission’s determination that, pursuant to its FPA section 206 authority, it will consider the entire record—including any </w:t>
      </w:r>
      <w:r w:rsidR="0076770C">
        <w:t xml:space="preserve">   </w:t>
      </w:r>
      <w:r>
        <w:t>agreed-upon Long-Term Regional Transmission Cost Allocation Method</w:t>
      </w:r>
      <w:r w:rsidR="0032765A" w:rsidRPr="00655EAD">
        <w:t>(s)</w:t>
      </w:r>
      <w:r>
        <w:t xml:space="preserve"> and/or State Agreement Process and the transmission providers’ proposal—when setting the replacement rate.</w:t>
      </w:r>
      <w:r>
        <w:rPr>
          <w:rStyle w:val="FootnoteReference"/>
        </w:rPr>
        <w:footnoteReference w:id="154"/>
      </w:r>
      <w:r>
        <w:t xml:space="preserve"> </w:t>
      </w:r>
    </w:p>
    <w:p w14:paraId="7C124226" w14:textId="5B7508E7" w:rsidR="00577558" w:rsidRPr="005134BA" w:rsidRDefault="00577558" w:rsidP="00577558">
      <w:pPr>
        <w:pStyle w:val="Heading6"/>
        <w:spacing w:line="240" w:lineRule="auto"/>
      </w:pPr>
      <w:r w:rsidRPr="00A93F9E">
        <w:t xml:space="preserve">The Statutory Text and Structure, and Applicable Precedent, Support the </w:t>
      </w:r>
      <w:r>
        <w:t xml:space="preserve">Commission’s </w:t>
      </w:r>
      <w:r w:rsidR="00081536">
        <w:t xml:space="preserve">Order No. 1920-A </w:t>
      </w:r>
      <w:r>
        <w:t>Approach</w:t>
      </w:r>
      <w:r>
        <w:br/>
      </w:r>
    </w:p>
    <w:p w14:paraId="6380ADCE" w14:textId="2F8D7D00" w:rsidR="00577558" w:rsidRPr="007F6CAA" w:rsidRDefault="00EE7F8A" w:rsidP="00577558">
      <w:pPr>
        <w:pStyle w:val="FERCparanumber"/>
      </w:pPr>
      <w:r>
        <w:t>Order No. 1920-A</w:t>
      </w:r>
      <w:r w:rsidR="00577558" w:rsidRPr="007F6CAA">
        <w:t xml:space="preserve"> </w:t>
      </w:r>
      <w:r w:rsidR="00F30E53">
        <w:t xml:space="preserve">requires </w:t>
      </w:r>
      <w:r w:rsidR="003D7F94">
        <w:t>that</w:t>
      </w:r>
      <w:r w:rsidR="003D7F94" w:rsidRPr="007F6CAA">
        <w:t xml:space="preserve"> </w:t>
      </w:r>
      <w:r w:rsidR="00577558" w:rsidRPr="007F6CAA">
        <w:t>transmission providers include Relevant State Entities’</w:t>
      </w:r>
      <w:r w:rsidR="00577558" w:rsidRPr="007F6CAA" w:rsidDel="00DD3657">
        <w:t xml:space="preserve"> </w:t>
      </w:r>
      <w:r w:rsidR="00DD3657">
        <w:t xml:space="preserve">agreed-upon </w:t>
      </w:r>
      <w:r w:rsidR="00DD3657" w:rsidRPr="00202CCA">
        <w:t>Long-Term Regional Transmission Cost Allocation Method</w:t>
      </w:r>
      <w:r w:rsidR="008E5A2E" w:rsidRPr="00BD0CCD">
        <w:t>(s)</w:t>
      </w:r>
      <w:r w:rsidR="00DD3657" w:rsidRPr="00202CCA">
        <w:t xml:space="preserve"> and/or State Agreement Process </w:t>
      </w:r>
      <w:r w:rsidR="00053C24">
        <w:t xml:space="preserve">and associated information </w:t>
      </w:r>
      <w:r w:rsidR="00577558" w:rsidRPr="007F6CAA">
        <w:t xml:space="preserve">in </w:t>
      </w:r>
      <w:r w:rsidR="0005762D">
        <w:t xml:space="preserve">the transmittal or as an attachment to </w:t>
      </w:r>
      <w:r w:rsidR="00577558" w:rsidRPr="007F6CAA">
        <w:t xml:space="preserve">their </w:t>
      </w:r>
      <w:r w:rsidR="00C32351">
        <w:t>Order No. 1920</w:t>
      </w:r>
      <w:r w:rsidR="00C32351" w:rsidDel="0005762D">
        <w:t xml:space="preserve"> </w:t>
      </w:r>
      <w:r w:rsidR="00577558" w:rsidRPr="007F6CAA">
        <w:t>compliance filing</w:t>
      </w:r>
      <w:r w:rsidR="00C32351">
        <w:t>s</w:t>
      </w:r>
      <w:r w:rsidR="00577558" w:rsidRPr="007F6CAA">
        <w:t xml:space="preserve"> and </w:t>
      </w:r>
      <w:r w:rsidR="00F30E53">
        <w:t xml:space="preserve">provides for </w:t>
      </w:r>
      <w:r w:rsidR="00577558" w:rsidRPr="007F6CAA">
        <w:t>the Commission</w:t>
      </w:r>
      <w:r w:rsidR="00F30E53">
        <w:t xml:space="preserve">’s </w:t>
      </w:r>
      <w:r w:rsidR="00577558" w:rsidRPr="007F6CAA">
        <w:t>consider</w:t>
      </w:r>
      <w:r w:rsidR="00F30E53">
        <w:t xml:space="preserve">ation </w:t>
      </w:r>
      <w:r w:rsidR="00577558" w:rsidRPr="007F6CAA" w:rsidDel="00F30E53">
        <w:t>of</w:t>
      </w:r>
      <w:r w:rsidR="00577558" w:rsidRPr="007F6CAA">
        <w:t xml:space="preserve"> the entire record</w:t>
      </w:r>
      <w:r w:rsidR="004A703B">
        <w:t>,</w:t>
      </w:r>
      <w:r w:rsidR="00763D66">
        <w:t xml:space="preserve"> </w:t>
      </w:r>
      <w:r w:rsidR="00F30E53">
        <w:t xml:space="preserve">which </w:t>
      </w:r>
      <w:r w:rsidR="00763D66">
        <w:t>includ</w:t>
      </w:r>
      <w:r w:rsidR="00F30E53">
        <w:t>es</w:t>
      </w:r>
      <w:r w:rsidR="00763D66" w:rsidDel="004E4861">
        <w:t xml:space="preserve"> </w:t>
      </w:r>
      <w:r w:rsidR="00763D66">
        <w:t>proposals from transmission providers and attach</w:t>
      </w:r>
      <w:r w:rsidR="00F30E53">
        <w:t>ments</w:t>
      </w:r>
      <w:r w:rsidR="00763D66">
        <w:t xml:space="preserve"> to t</w:t>
      </w:r>
      <w:r w:rsidR="00F30E53">
        <w:t>ransmission providers’</w:t>
      </w:r>
      <w:r w:rsidR="00763D66">
        <w:t xml:space="preserve"> filings,</w:t>
      </w:r>
      <w:r w:rsidR="00577558" w:rsidRPr="007F6CAA">
        <w:t xml:space="preserve"> when </w:t>
      </w:r>
      <w:r w:rsidR="004E4861">
        <w:t>finalizing</w:t>
      </w:r>
      <w:r w:rsidR="004E4861" w:rsidRPr="007F6CAA">
        <w:t xml:space="preserve"> </w:t>
      </w:r>
      <w:r w:rsidR="00577558" w:rsidRPr="007F6CAA">
        <w:t>the replacement rate</w:t>
      </w:r>
      <w:r w:rsidR="00F30E53">
        <w:t>.  T</w:t>
      </w:r>
      <w:r w:rsidR="00577558" w:rsidRPr="007F6CAA">
        <w:t>he challenges raised on rehearing</w:t>
      </w:r>
      <w:r w:rsidR="000434B4">
        <w:t xml:space="preserve"> to both of these aspects of Order No. 1920-A </w:t>
      </w:r>
      <w:r w:rsidR="00F12611">
        <w:t xml:space="preserve">incorrectly </w:t>
      </w:r>
      <w:r w:rsidR="00577558" w:rsidRPr="007F6CAA">
        <w:t xml:space="preserve">treat </w:t>
      </w:r>
      <w:r w:rsidR="000434B4">
        <w:t xml:space="preserve">filings to comply with Order Nos. 1920 and </w:t>
      </w:r>
      <w:r w:rsidR="000434B4">
        <w:lastRenderedPageBreak/>
        <w:t xml:space="preserve">1920-A </w:t>
      </w:r>
      <w:r w:rsidR="00577558" w:rsidRPr="007F6CAA">
        <w:t>as arising under or implicating FPA section 205, which sets forth public utilities’ filing rights and obligations</w:t>
      </w:r>
      <w:r w:rsidR="000434B4">
        <w:t xml:space="preserve">. </w:t>
      </w:r>
      <w:r w:rsidR="00577558" w:rsidRPr="007F6CAA">
        <w:t xml:space="preserve"> </w:t>
      </w:r>
      <w:r w:rsidR="000434B4">
        <w:t>R</w:t>
      </w:r>
      <w:r w:rsidR="00577558" w:rsidRPr="007F6CAA">
        <w:t>ather</w:t>
      </w:r>
      <w:r w:rsidR="000434B4">
        <w:t>, these aspects of Order No. 1920-A</w:t>
      </w:r>
      <w:r w:rsidR="00577558" w:rsidRPr="007F6CAA" w:rsidDel="000434B4">
        <w:t xml:space="preserve"> </w:t>
      </w:r>
      <w:r w:rsidR="005837D3">
        <w:t>aris</w:t>
      </w:r>
      <w:r w:rsidR="000434B4">
        <w:t>e</w:t>
      </w:r>
      <w:r w:rsidR="005837D3">
        <w:t xml:space="preserve"> from </w:t>
      </w:r>
      <w:r w:rsidR="00577558" w:rsidRPr="007F6CAA">
        <w:t>FPA section 206, which sets forth the Commission’s authority to determine and fix by order a replacement rate after appropriate findings.</w:t>
      </w:r>
      <w:r w:rsidR="00577558">
        <w:rPr>
          <w:rStyle w:val="FootnoteReference"/>
        </w:rPr>
        <w:footnoteReference w:id="155"/>
      </w:r>
      <w:r w:rsidR="00577558" w:rsidRPr="007F6CAA">
        <w:t xml:space="preserve">  </w:t>
      </w:r>
      <w:r w:rsidR="00856AB0">
        <w:t>The c</w:t>
      </w:r>
      <w:r w:rsidR="00856AB0" w:rsidRPr="007F6CAA">
        <w:t xml:space="preserve">ompliance </w:t>
      </w:r>
      <w:r w:rsidR="00577558" w:rsidRPr="007F6CAA">
        <w:t>filings</w:t>
      </w:r>
      <w:r w:rsidR="00594865">
        <w:t xml:space="preserve"> required </w:t>
      </w:r>
      <w:r w:rsidR="001B4635">
        <w:t>by Order No</w:t>
      </w:r>
      <w:r w:rsidR="000434B4">
        <w:t>s</w:t>
      </w:r>
      <w:r w:rsidR="001B4635">
        <w:t>. 1920</w:t>
      </w:r>
      <w:r w:rsidR="00577558" w:rsidRPr="007F6CAA">
        <w:t xml:space="preserve"> </w:t>
      </w:r>
      <w:r w:rsidR="000434B4">
        <w:t xml:space="preserve">and 1920-A </w:t>
      </w:r>
      <w:r w:rsidR="00577558" w:rsidRPr="007F6CAA">
        <w:t xml:space="preserve">are a tool to implement the Commission’s authority under FPA section 206, </w:t>
      </w:r>
      <w:r w:rsidR="00DB17D3">
        <w:t>and do not implicate</w:t>
      </w:r>
      <w:r w:rsidR="00577558" w:rsidRPr="007F6CAA">
        <w:t xml:space="preserve"> public utilities’ rights and obligations under FPA section 205.  Thus, we address at the outset the statutory text and structure of the FPA, as well as relevant Commission and judicial decisions, in addressing these arguments.</w:t>
      </w:r>
    </w:p>
    <w:p w14:paraId="5A98975E" w14:textId="65DB3EDC" w:rsidR="00577558" w:rsidRPr="007F6CAA" w:rsidRDefault="00577558" w:rsidP="00577558">
      <w:pPr>
        <w:pStyle w:val="FERCparanumber"/>
      </w:pPr>
      <w:r w:rsidRPr="007F6CAA">
        <w:t>Order No</w:t>
      </w:r>
      <w:r w:rsidR="000434B4">
        <w:t>s</w:t>
      </w:r>
      <w:r w:rsidRPr="007F6CAA">
        <w:t>. 1920 and</w:t>
      </w:r>
      <w:r w:rsidRPr="007F6CAA" w:rsidDel="000434B4">
        <w:t xml:space="preserve"> </w:t>
      </w:r>
      <w:r w:rsidRPr="007F6CAA">
        <w:t>1920-A were issued pursuant to Commission-initiated proceedings under FPA section 206.</w:t>
      </w:r>
      <w:r w:rsidRPr="001D2E96">
        <w:rPr>
          <w:rStyle w:val="FootnoteReference"/>
          <w:bCs/>
        </w:rPr>
        <w:footnoteReference w:id="156"/>
      </w:r>
      <w:r w:rsidRPr="007F6CAA">
        <w:t xml:space="preserve">  As the Commission stated in Order No.</w:t>
      </w:r>
      <w:r>
        <w:t> </w:t>
      </w:r>
      <w:r w:rsidRPr="007F6CAA">
        <w:t>1920-A, having determined that the Commission’s existing regional transmission planning and cost allocation requirements are unjust, unreasonable, and unduly discriminatory or preferential under FPA section 206, “[t]he Commission thus had both the authority and responsibility to ‘determine the just and reasonable . . . practice . . . to be thereafter observed and in force.’”</w:t>
      </w:r>
      <w:r w:rsidRPr="001D2E96">
        <w:rPr>
          <w:rStyle w:val="FootnoteReference"/>
          <w:bCs/>
        </w:rPr>
        <w:footnoteReference w:id="157"/>
      </w:r>
      <w:r w:rsidRPr="007F6CAA">
        <w:t xml:space="preserve">  The Commission require</w:t>
      </w:r>
      <w:r w:rsidR="00813CD1">
        <w:t>d</w:t>
      </w:r>
      <w:r w:rsidRPr="007F6CAA">
        <w:t xml:space="preserve"> the submission of compliance filings to assist in effectuating the Commission’s authority under FPA section 206, </w:t>
      </w:r>
      <w:r w:rsidRPr="007F6CAA">
        <w:lastRenderedPageBreak/>
        <w:t xml:space="preserve">explaining </w:t>
      </w:r>
      <w:r w:rsidR="00AE7212">
        <w:t>in Order No. 1920-A</w:t>
      </w:r>
      <w:r w:rsidRPr="007F6CAA">
        <w:t xml:space="preserve"> that “[t]his compliance filing submitted pursuant to FPA section 206</w:t>
      </w:r>
      <w:r w:rsidRPr="007F6CAA" w:rsidDel="0069154D">
        <w:t xml:space="preserve"> </w:t>
      </w:r>
      <w:r w:rsidRPr="007F6CAA">
        <w:t>is not an FPA section 205 filing.”</w:t>
      </w:r>
      <w:r w:rsidRPr="001D2E96">
        <w:rPr>
          <w:rStyle w:val="FootnoteReference"/>
        </w:rPr>
        <w:footnoteReference w:id="158"/>
      </w:r>
    </w:p>
    <w:p w14:paraId="2AF3E1B1" w14:textId="64F46981" w:rsidR="00577558" w:rsidRPr="007F6CAA" w:rsidRDefault="00577558" w:rsidP="00577558">
      <w:pPr>
        <w:pStyle w:val="FERCparanumber"/>
      </w:pPr>
      <w:r w:rsidRPr="007F6CAA">
        <w:t xml:space="preserve">While FPA sections 205 and 206 embody a complementary structure for regulating the rates and practices of public utilities, they are distinct provisions which assign </w:t>
      </w:r>
      <w:r w:rsidR="00AE7212">
        <w:t>rights and responsibilities</w:t>
      </w:r>
      <w:r w:rsidRPr="007F6CAA">
        <w:t xml:space="preserve"> to different entities under different circumstances.  FPA section 205 requires that the public utility</w:t>
      </w:r>
      <w:r w:rsidR="00096099">
        <w:t>, subject to Commission oversight</w:t>
      </w:r>
      <w:r w:rsidRPr="007F6CAA" w:rsidDel="00630490">
        <w:t>,</w:t>
      </w:r>
      <w:r w:rsidRPr="007F6CAA">
        <w:t xml:space="preserve"> “file with the Commission</w:t>
      </w:r>
      <w:r w:rsidR="004043D8">
        <w:t> </w:t>
      </w:r>
      <w:r w:rsidRPr="007F6CAA">
        <w:t>.</w:t>
      </w:r>
      <w:r w:rsidR="004043D8">
        <w:t> </w:t>
      </w:r>
      <w:r w:rsidRPr="007F6CAA">
        <w:t>.</w:t>
      </w:r>
      <w:r w:rsidR="004043D8">
        <w:t> </w:t>
      </w:r>
      <w:r w:rsidRPr="007F6CAA">
        <w:t>. schedules showing all rates and charges for any transmission or sale subject to the jurisdiction of the Commission, and the classifications, practices, and regulations affecting such rates and charges.”</w:t>
      </w:r>
      <w:r w:rsidRPr="001D2E96">
        <w:rPr>
          <w:rStyle w:val="FootnoteReference"/>
          <w:bCs/>
        </w:rPr>
        <w:footnoteReference w:id="159"/>
      </w:r>
      <w:r w:rsidRPr="007F6CAA">
        <w:t xml:space="preserve">  FPA section 206(a), by contrast, delineates the authority of the Commission—the subject of the provision—to modify public utilities’ existing rates on appropriate findings and, itself, </w:t>
      </w:r>
      <w:r w:rsidR="00226300">
        <w:t xml:space="preserve">determine and </w:t>
      </w:r>
      <w:r w:rsidRPr="007F6CAA">
        <w:t>fix by order the</w:t>
      </w:r>
      <w:r w:rsidR="005E3F4D">
        <w:t xml:space="preserve"> </w:t>
      </w:r>
      <w:r w:rsidRPr="007F6CAA">
        <w:t>just and reasonable rate, charge, classification, rule, regulation, practice, or contract to be observed and in force.</w:t>
      </w:r>
      <w:r w:rsidRPr="001D2E96">
        <w:rPr>
          <w:rStyle w:val="FootnoteReference"/>
        </w:rPr>
        <w:footnoteReference w:id="160"/>
      </w:r>
      <w:r w:rsidRPr="007F6CAA">
        <w:t xml:space="preserve">  </w:t>
      </w:r>
    </w:p>
    <w:p w14:paraId="69261665" w14:textId="1708C51D" w:rsidR="00577558" w:rsidRPr="007F6CAA" w:rsidRDefault="00577558" w:rsidP="00577558">
      <w:pPr>
        <w:pStyle w:val="FERCparanumber"/>
      </w:pPr>
      <w:r w:rsidRPr="007F6CAA">
        <w:t xml:space="preserve">The express text of FPA section 206 </w:t>
      </w:r>
      <w:r>
        <w:t xml:space="preserve">does not </w:t>
      </w:r>
      <w:r w:rsidRPr="007F6CAA">
        <w:t xml:space="preserve">provide public utilities with statutory filing rights with respect to the just and reasonable replacement rate following a </w:t>
      </w:r>
      <w:r w:rsidRPr="007F6CAA">
        <w:lastRenderedPageBreak/>
        <w:t xml:space="preserve">finding that existing rates are unjust, unreasonable, </w:t>
      </w:r>
      <w:r w:rsidR="00A60FEF">
        <w:t xml:space="preserve">or </w:t>
      </w:r>
      <w:r w:rsidRPr="007F6CAA">
        <w:t xml:space="preserve">unduly discriminatory or preferential.  Rather, the authority to “determine the just and reasonable rate, charge, classification, rule, regulation, practice, or contract to be thereafter observed and in force” is vested in the Commission, and—in Commission-initiated proceedings under FPA section 206—the Commission must find that the replacement rate it </w:t>
      </w:r>
      <w:r w:rsidR="00243068">
        <w:t>determines and fixes</w:t>
      </w:r>
      <w:r w:rsidR="00243068" w:rsidRPr="007F6CAA">
        <w:t xml:space="preserve"> </w:t>
      </w:r>
      <w:r w:rsidRPr="007F6CAA">
        <w:t>meets the statutory criteria.</w:t>
      </w:r>
      <w:r w:rsidRPr="001D2E96">
        <w:rPr>
          <w:rStyle w:val="FootnoteReference"/>
        </w:rPr>
        <w:footnoteReference w:id="161"/>
      </w:r>
      <w:r w:rsidRPr="007F6CAA">
        <w:t xml:space="preserve">  To implement this authority the Commission frequently requires public utilities to submit compliance filings, as </w:t>
      </w:r>
      <w:r w:rsidR="00BF43AB">
        <w:t xml:space="preserve">it did </w:t>
      </w:r>
      <w:r w:rsidRPr="007F6CAA">
        <w:t>in Order No</w:t>
      </w:r>
      <w:r w:rsidR="00096099">
        <w:t>s</w:t>
      </w:r>
      <w:r w:rsidRPr="007F6CAA">
        <w:t>. 1920 and</w:t>
      </w:r>
      <w:r w:rsidRPr="007F6CAA" w:rsidDel="00096099">
        <w:t xml:space="preserve"> </w:t>
      </w:r>
      <w:r w:rsidRPr="007F6CAA">
        <w:t>1920-A, which the Commission will review and address in further order</w:t>
      </w:r>
      <w:r>
        <w:t>s</w:t>
      </w:r>
      <w:r w:rsidRPr="007F6CAA">
        <w:t>.</w:t>
      </w:r>
      <w:r>
        <w:rPr>
          <w:rStyle w:val="FootnoteReference"/>
        </w:rPr>
        <w:footnoteReference w:id="162"/>
      </w:r>
      <w:r w:rsidRPr="007F6CAA">
        <w:t xml:space="preserve"> </w:t>
      </w:r>
    </w:p>
    <w:p w14:paraId="75360B63" w14:textId="3F6BE3D0" w:rsidR="00577558" w:rsidRPr="007F6CAA" w:rsidRDefault="00577558" w:rsidP="00577558">
      <w:pPr>
        <w:pStyle w:val="FERCparanumber"/>
      </w:pPr>
      <w:r w:rsidRPr="007F6CAA">
        <w:t xml:space="preserve">As the D.C. Circuit held in discussing what it means to “‘fix’ a rate within the meaning of [FPA section 206],” </w:t>
      </w:r>
      <w:r>
        <w:t>when the Commission</w:t>
      </w:r>
      <w:r w:rsidRPr="007F6CAA">
        <w:t xml:space="preserve"> determine</w:t>
      </w:r>
      <w:r>
        <w:t>s</w:t>
      </w:r>
      <w:r w:rsidRPr="007F6CAA">
        <w:t xml:space="preserve"> that an existing rate is </w:t>
      </w:r>
      <w:r w:rsidRPr="007F6CAA">
        <w:lastRenderedPageBreak/>
        <w:t>unjust and unreasonable</w:t>
      </w:r>
      <w:r>
        <w:t>,</w:t>
      </w:r>
      <w:r w:rsidRPr="007F6CAA">
        <w:t xml:space="preserve"> it is </w:t>
      </w:r>
      <w:r w:rsidR="00096099">
        <w:t xml:space="preserve">not </w:t>
      </w:r>
      <w:r w:rsidRPr="007F6CAA">
        <w:t>“inevitable that the Commission has the obligation to end an unlawful rate from the moment it finds unlawfulness</w:t>
      </w:r>
      <w:r w:rsidR="003D76A4" w:rsidRPr="009B568E">
        <w:t>.</w:t>
      </w:r>
      <w:r w:rsidRPr="009B568E">
        <w:t>”</w:t>
      </w:r>
      <w:r w:rsidRPr="001D2E96">
        <w:rPr>
          <w:rStyle w:val="FootnoteReference"/>
        </w:rPr>
        <w:footnoteReference w:id="163"/>
      </w:r>
      <w:r w:rsidRPr="007F6CAA">
        <w:t xml:space="preserve">  The court therefore rejected the Commission’s argument that a replacement rate necessarily must go into effect as of the date the Commission finds that an existing rate is not lawful under the FPA, rather than the </w:t>
      </w:r>
      <w:r w:rsidR="005E4928">
        <w:t>effective</w:t>
      </w:r>
      <w:r w:rsidRPr="007F6CAA">
        <w:t xml:space="preserve"> date </w:t>
      </w:r>
      <w:r w:rsidR="00630418">
        <w:t xml:space="preserve">provided when </w:t>
      </w:r>
      <w:r w:rsidRPr="007F6CAA">
        <w:t xml:space="preserve">the Commission </w:t>
      </w:r>
      <w:r w:rsidR="00BD30F2">
        <w:t>determines and fixes</w:t>
      </w:r>
      <w:r w:rsidR="0011464F">
        <w:t xml:space="preserve"> the replacement rate</w:t>
      </w:r>
      <w:r w:rsidR="00BD30F2" w:rsidRPr="007F6CAA">
        <w:t xml:space="preserve"> </w:t>
      </w:r>
      <w:r w:rsidRPr="007F6CAA">
        <w:t>on compliance.</w:t>
      </w:r>
      <w:r w:rsidRPr="00C62AC0">
        <w:rPr>
          <w:rStyle w:val="FootnoteReference"/>
        </w:rPr>
        <w:footnoteReference w:id="164"/>
      </w:r>
      <w:r w:rsidRPr="007F6CAA">
        <w:t xml:space="preserve">  This decision underscores that the Commission’s authority </w:t>
      </w:r>
      <w:r w:rsidR="00756DFC">
        <w:t>and responsibility</w:t>
      </w:r>
      <w:r w:rsidRPr="007F6CAA">
        <w:t xml:space="preserve"> under FPA section 206 </w:t>
      </w:r>
      <w:r w:rsidR="00A56C2A">
        <w:t xml:space="preserve">to fix the replacement rate </w:t>
      </w:r>
      <w:r w:rsidR="00FB03F6" w:rsidRPr="0014279C">
        <w:t>continue</w:t>
      </w:r>
      <w:r w:rsidR="00720F7B" w:rsidRPr="0014279C">
        <w:t xml:space="preserve">d, in the Order Nos. 1920 and 1920-A context, </w:t>
      </w:r>
      <w:r w:rsidR="0022418B">
        <w:t xml:space="preserve"> from the point at which</w:t>
      </w:r>
      <w:r w:rsidRPr="007F6CAA">
        <w:t xml:space="preserve"> </w:t>
      </w:r>
      <w:r w:rsidR="00FB03F6">
        <w:t>the Commission</w:t>
      </w:r>
      <w:r w:rsidRPr="007F6CAA">
        <w:t xml:space="preserve"> determines that existing rates are unlawful and requires compliance filings until </w:t>
      </w:r>
      <w:r w:rsidR="0022418B">
        <w:t>the Commission</w:t>
      </w:r>
      <w:r w:rsidRPr="007F6CAA">
        <w:t xml:space="preserve"> fixes the replacement rate by order.</w:t>
      </w:r>
      <w:r w:rsidRPr="00C62AC0">
        <w:rPr>
          <w:rStyle w:val="FootnoteReference"/>
        </w:rPr>
        <w:footnoteReference w:id="165"/>
      </w:r>
      <w:r w:rsidRPr="007F6CAA">
        <w:t xml:space="preserve">  The</w:t>
      </w:r>
      <w:r w:rsidR="006C537D" w:rsidDel="00CD2179">
        <w:t xml:space="preserve"> </w:t>
      </w:r>
      <w:r w:rsidRPr="007F6CAA">
        <w:t xml:space="preserve">submission and Commission </w:t>
      </w:r>
      <w:r w:rsidRPr="007F6CAA">
        <w:lastRenderedPageBreak/>
        <w:t>consideration of compliance filings</w:t>
      </w:r>
      <w:r w:rsidR="00EA10B9">
        <w:t xml:space="preserve"> </w:t>
      </w:r>
      <w:r w:rsidR="00594873" w:rsidRPr="00282C47">
        <w:t>pursuant to those orders</w:t>
      </w:r>
      <w:r w:rsidRPr="007F6CAA">
        <w:t xml:space="preserve">, and the Commission’s subsequent determination of the replacement rate, </w:t>
      </w:r>
      <w:r w:rsidR="003811C6" w:rsidRPr="00282C47">
        <w:t xml:space="preserve">are thus </w:t>
      </w:r>
      <w:r w:rsidR="00E8124B" w:rsidRPr="00282C47">
        <w:t xml:space="preserve">later </w:t>
      </w:r>
      <w:r w:rsidR="003811C6" w:rsidRPr="00282C47">
        <w:t>stages occurring as part of a continuing process</w:t>
      </w:r>
      <w:r w:rsidRPr="007F6CAA">
        <w:t xml:space="preserve"> under FPA section 206, not </w:t>
      </w:r>
      <w:r w:rsidR="001C2F8D">
        <w:t xml:space="preserve">under </w:t>
      </w:r>
      <w:r w:rsidRPr="007F6CAA">
        <w:t>FPA section 205.</w:t>
      </w:r>
      <w:r w:rsidRPr="00C62AC0">
        <w:rPr>
          <w:rStyle w:val="FootnoteReference"/>
        </w:rPr>
        <w:footnoteReference w:id="166"/>
      </w:r>
      <w:r w:rsidRPr="007F6CAA">
        <w:t xml:space="preserve">  Accordingly, the Commission has distinguished compliance filings </w:t>
      </w:r>
      <w:r>
        <w:t>that</w:t>
      </w:r>
      <w:r w:rsidRPr="007F6CAA">
        <w:t xml:space="preserve"> assist the Commission’s exercise of its authority under FPA section 206 from </w:t>
      </w:r>
      <w:r w:rsidR="00132D6D">
        <w:t xml:space="preserve">other </w:t>
      </w:r>
      <w:r w:rsidRPr="007F6CAA">
        <w:t xml:space="preserve">filings made by public utilities under </w:t>
      </w:r>
      <w:r w:rsidR="006B7574">
        <w:t>the distinct</w:t>
      </w:r>
      <w:r w:rsidR="006B7574" w:rsidRPr="007F6CAA">
        <w:t xml:space="preserve"> </w:t>
      </w:r>
      <w:r w:rsidR="00DB1D01">
        <w:t>rights</w:t>
      </w:r>
      <w:r w:rsidRPr="007F6CAA">
        <w:t xml:space="preserve"> </w:t>
      </w:r>
      <w:r w:rsidR="006B7574">
        <w:t xml:space="preserve">afforded to them </w:t>
      </w:r>
      <w:r w:rsidRPr="007F6CAA">
        <w:t>under FPA section 205.</w:t>
      </w:r>
      <w:r w:rsidRPr="00C62AC0">
        <w:rPr>
          <w:rStyle w:val="FootnoteReference"/>
        </w:rPr>
        <w:footnoteReference w:id="167"/>
      </w:r>
    </w:p>
    <w:p w14:paraId="355FC7FB" w14:textId="617239A0" w:rsidR="00577558" w:rsidRPr="007F6CAA" w:rsidRDefault="00577558" w:rsidP="00577558">
      <w:pPr>
        <w:pStyle w:val="FERCparanumber"/>
      </w:pPr>
      <w:r w:rsidRPr="007F6CAA">
        <w:t xml:space="preserve">FPA section 206 does not </w:t>
      </w:r>
      <w:r w:rsidR="005E2B36">
        <w:t>prevent</w:t>
      </w:r>
      <w:r w:rsidR="00880214" w:rsidRPr="007F6CAA">
        <w:t xml:space="preserve"> </w:t>
      </w:r>
      <w:r w:rsidRPr="007F6CAA">
        <w:t xml:space="preserve">the Commission, after having found an existing rate unjust and unreasonable, </w:t>
      </w:r>
      <w:r w:rsidR="005E5230">
        <w:t xml:space="preserve">from choosing </w:t>
      </w:r>
      <w:r w:rsidR="00852870">
        <w:t>in a specific rulemaking proceeding</w:t>
      </w:r>
      <w:r w:rsidR="005E5230">
        <w:t xml:space="preserve"> </w:t>
      </w:r>
      <w:r w:rsidRPr="007F6CAA">
        <w:t xml:space="preserve">to </w:t>
      </w:r>
      <w:r w:rsidRPr="007F6CAA">
        <w:lastRenderedPageBreak/>
        <w:t>consider</w:t>
      </w:r>
      <w:r w:rsidRPr="007F6CAA" w:rsidDel="00613F61">
        <w:t xml:space="preserve"> </w:t>
      </w:r>
      <w:r w:rsidR="003811C6" w:rsidRPr="00433360">
        <w:t xml:space="preserve">the </w:t>
      </w:r>
      <w:r w:rsidR="007C2EF5">
        <w:t>approaches</w:t>
      </w:r>
      <w:r w:rsidR="003811C6" w:rsidRPr="00433360">
        <w:t xml:space="preserve"> of</w:t>
      </w:r>
      <w:r w:rsidRPr="007F6CAA">
        <w:t xml:space="preserve"> </w:t>
      </w:r>
      <w:r w:rsidR="008D0999">
        <w:t xml:space="preserve">entities other than </w:t>
      </w:r>
      <w:r w:rsidRPr="007F6CAA">
        <w:t xml:space="preserve">the public utility </w:t>
      </w:r>
      <w:r w:rsidR="00831881">
        <w:t xml:space="preserve">to inform the Commission’s </w:t>
      </w:r>
      <w:r w:rsidR="00CD2179">
        <w:t>determination of the</w:t>
      </w:r>
      <w:r w:rsidR="00831881">
        <w:t xml:space="preserve"> </w:t>
      </w:r>
      <w:r w:rsidRPr="007F6CAA">
        <w:t>replacement rate;</w:t>
      </w:r>
      <w:r w:rsidR="00DB5655">
        <w:rPr>
          <w:rStyle w:val="FootnoteReference"/>
        </w:rPr>
        <w:footnoteReference w:id="168"/>
      </w:r>
      <w:r w:rsidRPr="007F6CAA">
        <w:t xml:space="preserve"> rather, it states that “the Commission shall determine the just and reasonable rate” to be thereafter observed and in force.</w:t>
      </w:r>
      <w:r w:rsidRPr="00C62AC0">
        <w:rPr>
          <w:rStyle w:val="FootnoteReference"/>
        </w:rPr>
        <w:footnoteReference w:id="169"/>
      </w:r>
      <w:r w:rsidRPr="007F6CAA">
        <w:t xml:space="preserve">  It also does not preclude the Commission from requiring that </w:t>
      </w:r>
      <w:r>
        <w:t>transmission providers</w:t>
      </w:r>
      <w:r w:rsidRPr="007F6CAA">
        <w:t xml:space="preserve"> submit </w:t>
      </w:r>
      <w:r w:rsidR="00FC2B98">
        <w:t>Relevant State Entities’ agreed-upon</w:t>
      </w:r>
      <w:r w:rsidR="00FC2B98" w:rsidRPr="00033D0B">
        <w:t xml:space="preserve"> Long-Term Regional Transmission Cost Allocation Method</w:t>
      </w:r>
      <w:r w:rsidR="00FC2B98" w:rsidRPr="009F1706">
        <w:t>(s)</w:t>
      </w:r>
      <w:r w:rsidR="00FC2B98" w:rsidRPr="00033D0B">
        <w:t xml:space="preserve"> and/</w:t>
      </w:r>
      <w:r w:rsidRPr="007F6CAA">
        <w:t xml:space="preserve">or </w:t>
      </w:r>
      <w:r w:rsidR="00FC2B98" w:rsidRPr="00033D0B">
        <w:t>State Agreement</w:t>
      </w:r>
      <w:r w:rsidR="00FC2B98">
        <w:t xml:space="preserve"> </w:t>
      </w:r>
      <w:r w:rsidR="00FC2B98" w:rsidRPr="008B3BC7">
        <w:t>Process</w:t>
      </w:r>
      <w:r w:rsidRPr="007F6CAA">
        <w:t xml:space="preserve"> with </w:t>
      </w:r>
      <w:r w:rsidR="00FC2B98">
        <w:t>transmission providers’</w:t>
      </w:r>
      <w:r w:rsidRPr="007F6CAA">
        <w:t xml:space="preserve"> compliance filings.</w:t>
      </w:r>
      <w:r w:rsidRPr="00C62AC0">
        <w:rPr>
          <w:rStyle w:val="FootnoteReference"/>
        </w:rPr>
        <w:footnoteReference w:id="170"/>
      </w:r>
      <w:r w:rsidRPr="007F6CAA">
        <w:t xml:space="preserve">  Neither does FPA section 205, which governs the distinct process of a public utility </w:t>
      </w:r>
      <w:r w:rsidR="00B00806">
        <w:t>filing</w:t>
      </w:r>
      <w:r w:rsidRPr="007F6CAA">
        <w:t xml:space="preserve"> its own rates in the first instance, subject to Commission oversight,</w:t>
      </w:r>
      <w:r w:rsidRPr="00C62AC0">
        <w:rPr>
          <w:rStyle w:val="FootnoteReference"/>
          <w:bCs/>
        </w:rPr>
        <w:footnoteReference w:id="171"/>
      </w:r>
      <w:r w:rsidRPr="007F6CAA">
        <w:t xml:space="preserve"> rather than the </w:t>
      </w:r>
      <w:r w:rsidR="007864C1">
        <w:t>determination</w:t>
      </w:r>
      <w:r w:rsidRPr="007F6CAA">
        <w:t xml:space="preserve"> of a replacement rate by the Commission after appropriate findings under FPA section 206.  Moreover, that a public utility is the entity that submits a compliance filing does not transform that </w:t>
      </w:r>
      <w:r w:rsidRPr="007F6CAA">
        <w:lastRenderedPageBreak/>
        <w:t xml:space="preserve">submission into an FPA section 205 filing, subject to the </w:t>
      </w:r>
      <w:r>
        <w:t>requirements</w:t>
      </w:r>
      <w:r w:rsidRPr="007F6CAA">
        <w:t xml:space="preserve"> of that provision.</w:t>
      </w:r>
      <w:r w:rsidRPr="00C62AC0">
        <w:rPr>
          <w:rStyle w:val="FootnoteReference"/>
        </w:rPr>
        <w:footnoteReference w:id="172"/>
      </w:r>
      <w:r w:rsidRPr="007F6CAA">
        <w:t xml:space="preserve">  A contrary conclusion would fail to recognize and give effect to the distinct and express statutory authority afforded to the Commission in FPA section 206, which arises pursuant to specific statutory findings and </w:t>
      </w:r>
      <w:r w:rsidR="009A057F">
        <w:t>which</w:t>
      </w:r>
      <w:r w:rsidRPr="007F6CAA">
        <w:t>, once triggered, is subject to different requirements than FPA section 205 filings.</w:t>
      </w:r>
    </w:p>
    <w:p w14:paraId="3687BB21" w14:textId="0DEF2B6E" w:rsidR="00577558" w:rsidRPr="007F6CAA" w:rsidRDefault="00F84B15" w:rsidP="00577558">
      <w:pPr>
        <w:pStyle w:val="FERCparanumber"/>
      </w:pPr>
      <w:r>
        <w:t>We agree with</w:t>
      </w:r>
      <w:r w:rsidR="00FC6458">
        <w:t xml:space="preserve"> rehearing petitioners that FPA section 205 expressly provides public utilities with statutory filing rights.  But</w:t>
      </w:r>
      <w:r>
        <w:t xml:space="preserve"> </w:t>
      </w:r>
      <w:r w:rsidR="00FC6458">
        <w:t>w</w:t>
      </w:r>
      <w:r w:rsidR="00577558" w:rsidRPr="007F6CAA">
        <w:t>hen considered in the correct statutory context, the arguments on rehearing that the Commission has intruded on</w:t>
      </w:r>
      <w:r w:rsidR="003C7E3D">
        <w:t xml:space="preserve"> those</w:t>
      </w:r>
      <w:r w:rsidR="00577558" w:rsidRPr="007F6CAA">
        <w:t xml:space="preserve"> public utilities’ FPA section 205 filing rights by</w:t>
      </w:r>
      <w:r w:rsidR="00577558">
        <w:t>:</w:t>
      </w:r>
      <w:r w:rsidR="00577558" w:rsidRPr="007F6CAA">
        <w:t xml:space="preserve"> </w:t>
      </w:r>
      <w:r w:rsidR="00901F59">
        <w:t xml:space="preserve"> </w:t>
      </w:r>
      <w:r w:rsidR="00577558" w:rsidRPr="007F6CAA">
        <w:t xml:space="preserve">(1) requiring that public utilities attach to their compliance filings Relevant State Entities’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rsidR="00577558" w:rsidRPr="007F6CAA">
        <w:t xml:space="preserve"> and associated information</w:t>
      </w:r>
      <w:r w:rsidR="00577558">
        <w:t>;</w:t>
      </w:r>
      <w:r w:rsidR="00577558" w:rsidRPr="007F6CAA">
        <w:t xml:space="preserve"> or (2) considering, and potentially adopting, Relevant State Entities</w:t>
      </w:r>
      <w:r w:rsidR="004013B5">
        <w:t>’</w:t>
      </w:r>
      <w:r w:rsidR="00577558" w:rsidRPr="007F6CAA">
        <w:t xml:space="preserve"> </w:t>
      </w:r>
      <w:r w:rsidR="00514AE7">
        <w:t xml:space="preserve">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rsidR="00577558" w:rsidRPr="007F6CAA">
        <w:t xml:space="preserve"> in </w:t>
      </w:r>
      <w:r w:rsidR="00100902">
        <w:t>determining</w:t>
      </w:r>
      <w:r w:rsidR="00577558" w:rsidRPr="007F6CAA">
        <w:t xml:space="preserve"> the replacement rate</w:t>
      </w:r>
      <w:r w:rsidR="00577558">
        <w:t>,</w:t>
      </w:r>
      <w:r w:rsidR="00577558" w:rsidRPr="007F6CAA">
        <w:t xml:space="preserve"> are </w:t>
      </w:r>
      <w:r w:rsidR="00577558">
        <w:t>not persuasive</w:t>
      </w:r>
      <w:r w:rsidR="00577558" w:rsidRPr="007F6CAA">
        <w:t>.</w:t>
      </w:r>
      <w:r w:rsidR="00577558" w:rsidRPr="00C62AC0">
        <w:rPr>
          <w:rStyle w:val="FootnoteReference"/>
        </w:rPr>
        <w:footnoteReference w:id="173"/>
      </w:r>
      <w:r w:rsidR="00577558" w:rsidRPr="007F6CAA">
        <w:t xml:space="preserve">  </w:t>
      </w:r>
      <w:r w:rsidR="006F54DC" w:rsidRPr="00F83CCA">
        <w:t>These aspects of Order No. 1920-A were adopted pursuant to FPA section 206, to assist in building the record for the Commission’s exercise of its own authority to determine and fix the just and reasonable rate</w:t>
      </w:r>
      <w:r w:rsidR="00361DF7" w:rsidRPr="00F83CCA">
        <w:t>,</w:t>
      </w:r>
      <w:r w:rsidR="00D737F1" w:rsidRPr="00F83CCA">
        <w:t xml:space="preserve"> as well as </w:t>
      </w:r>
      <w:r w:rsidR="00F92E80" w:rsidRPr="00F83CCA">
        <w:t xml:space="preserve">in </w:t>
      </w:r>
      <w:r w:rsidR="00D737F1" w:rsidRPr="00F83CCA">
        <w:t xml:space="preserve">monitoring compliance with the </w:t>
      </w:r>
      <w:r w:rsidR="008E754D" w:rsidRPr="00F83CCA">
        <w:t xml:space="preserve">requirements related to the </w:t>
      </w:r>
      <w:r w:rsidR="00D737F1" w:rsidRPr="00F83CCA">
        <w:t xml:space="preserve">Engagement Period and efficiently considering the views of </w:t>
      </w:r>
      <w:r w:rsidR="00D737F1" w:rsidRPr="00F83CCA">
        <w:lastRenderedPageBreak/>
        <w:t>both Relevant State Entities and transmission providers</w:t>
      </w:r>
      <w:r w:rsidR="00D737F1" w:rsidRPr="00B568DA">
        <w:t>.</w:t>
      </w:r>
      <w:r w:rsidR="00577558" w:rsidRPr="007F6CAA">
        <w:t xml:space="preserve">  FPA section 205 is not implicated by these aspects of Order No. 1920-A and arguments to the contrary conflate compliance filings to assist the Commission in implementing its authority under FPA section 206 with public utilities’ rate filings under FPA section 205.</w:t>
      </w:r>
    </w:p>
    <w:p w14:paraId="1022BDC1" w14:textId="2E3FE415" w:rsidR="00577558" w:rsidRPr="007F6CAA" w:rsidRDefault="00577558" w:rsidP="00577558">
      <w:pPr>
        <w:pStyle w:val="FERCparanumber"/>
      </w:pPr>
      <w:r w:rsidRPr="007F6CAA">
        <w:t>Efforts to connect public utilities’ FPA section 205 rights to this distinct FPA section 206 process by appealing to the structure of FPA sections 205 and 206</w:t>
      </w:r>
      <w:r w:rsidRPr="00C62AC0">
        <w:rPr>
          <w:rStyle w:val="FootnoteReference"/>
        </w:rPr>
        <w:footnoteReference w:id="174"/>
      </w:r>
      <w:r w:rsidRPr="007F6CAA">
        <w:t xml:space="preserve"> are misplaced for similar reasons</w:t>
      </w:r>
      <w:r>
        <w:t>;</w:t>
      </w:r>
      <w:r w:rsidRPr="007F6CAA">
        <w:t xml:space="preserve"> these arguments incorrectly blur the line between the separate authorities assigned in FPA sections 205 and 206.  As the </w:t>
      </w:r>
      <w:r>
        <w:t xml:space="preserve">petitioners </w:t>
      </w:r>
      <w:r w:rsidRPr="007F6CAA">
        <w:t xml:space="preserve">seeking rehearing observe, public utilities have the </w:t>
      </w:r>
      <w:r w:rsidR="00AC703F">
        <w:t>statu</w:t>
      </w:r>
      <w:r w:rsidR="009E2B75">
        <w:t>tory right</w:t>
      </w:r>
      <w:r w:rsidRPr="007F6CAA">
        <w:t xml:space="preserve"> under FPA section 205</w:t>
      </w:r>
      <w:r>
        <w:t xml:space="preserve"> </w:t>
      </w:r>
      <w:r w:rsidRPr="007F6CAA">
        <w:t>to file proposals to set and revise their rates of their own initiative in the first instance, and</w:t>
      </w:r>
      <w:r w:rsidR="0088373F">
        <w:t xml:space="preserve"> under that section,</w:t>
      </w:r>
      <w:r w:rsidRPr="007F6CAA">
        <w:t xml:space="preserve"> the Commission plays an essentially passive role in reviewing—and then </w:t>
      </w:r>
      <w:r w:rsidR="00E92E1D">
        <w:t>accepting</w:t>
      </w:r>
      <w:r w:rsidR="00E92E1D" w:rsidRPr="007F6CAA">
        <w:t xml:space="preserve"> </w:t>
      </w:r>
      <w:r w:rsidRPr="007F6CAA">
        <w:t>or rejecting—those proposals based on their consistency with the statutory requirements.</w:t>
      </w:r>
      <w:r w:rsidRPr="00C62AC0">
        <w:rPr>
          <w:rStyle w:val="FootnoteReference"/>
        </w:rPr>
        <w:footnoteReference w:id="175"/>
      </w:r>
      <w:r w:rsidRPr="007F6CAA">
        <w:t xml:space="preserve">  </w:t>
      </w:r>
      <w:r w:rsidR="00197646">
        <w:t>And as discussed below, public utilities retain their discretion as to whether to file—or not file—those proposals using this FPA section 205 authority.</w:t>
      </w:r>
      <w:r w:rsidR="00197646">
        <w:rPr>
          <w:rStyle w:val="FootnoteReference"/>
        </w:rPr>
        <w:footnoteReference w:id="176"/>
      </w:r>
      <w:r w:rsidR="00197646">
        <w:t xml:space="preserve">  </w:t>
      </w:r>
      <w:r w:rsidRPr="007F6CAA">
        <w:t xml:space="preserve">But as to existing, Commission-approved rates, the FPA </w:t>
      </w:r>
      <w:r w:rsidR="009E4FFC">
        <w:t xml:space="preserve">separately </w:t>
      </w:r>
      <w:r w:rsidRPr="007F6CAA">
        <w:t xml:space="preserve">assigns to the Commission </w:t>
      </w:r>
      <w:r w:rsidR="00575A00">
        <w:t xml:space="preserve">under </w:t>
      </w:r>
      <w:r w:rsidR="00CC3875" w:rsidRPr="007F27E9">
        <w:t>FPA</w:t>
      </w:r>
      <w:r w:rsidR="00CC3875">
        <w:t xml:space="preserve"> </w:t>
      </w:r>
      <w:r w:rsidR="00575A00">
        <w:t xml:space="preserve">section 206 </w:t>
      </w:r>
      <w:r w:rsidR="00F704A6">
        <w:t xml:space="preserve">the </w:t>
      </w:r>
      <w:r w:rsidRPr="007F6CAA">
        <w:t xml:space="preserve">authority to review those rates of its own </w:t>
      </w:r>
      <w:r w:rsidRPr="007F6CAA">
        <w:lastRenderedPageBreak/>
        <w:t>initiative or in response to a complaint.</w:t>
      </w:r>
      <w:r w:rsidRPr="00C62AC0">
        <w:rPr>
          <w:rStyle w:val="FootnoteReference"/>
        </w:rPr>
        <w:footnoteReference w:id="177"/>
      </w:r>
      <w:r w:rsidRPr="007F6CAA">
        <w:t xml:space="preserve">  Upon appropriate findings, the </w:t>
      </w:r>
      <w:r w:rsidR="00514AE7">
        <w:t xml:space="preserve">          </w:t>
      </w:r>
      <w:r w:rsidRPr="007F6CAA">
        <w:t>Commission</w:t>
      </w:r>
      <w:r w:rsidR="00CB1BC7">
        <w:t>—</w:t>
      </w:r>
      <w:r w:rsidRPr="007F6CAA">
        <w:t>not the public utility</w:t>
      </w:r>
      <w:r w:rsidR="00CB1BC7">
        <w:t>—</w:t>
      </w:r>
      <w:r w:rsidRPr="007F6CAA">
        <w:t xml:space="preserve">has the authority itself </w:t>
      </w:r>
      <w:r>
        <w:t xml:space="preserve">to </w:t>
      </w:r>
      <w:r w:rsidR="007A1E38">
        <w:t>determine and fix</w:t>
      </w:r>
      <w:r w:rsidR="007A1E38" w:rsidRPr="007F6CAA">
        <w:t xml:space="preserve"> </w:t>
      </w:r>
      <w:r w:rsidRPr="007F6CAA">
        <w:t>the replacement rate,</w:t>
      </w:r>
      <w:r w:rsidRPr="00C62AC0">
        <w:rPr>
          <w:rStyle w:val="FootnoteReference"/>
        </w:rPr>
        <w:footnoteReference w:id="178"/>
      </w:r>
      <w:r w:rsidRPr="007F6CAA">
        <w:t xml:space="preserve"> including </w:t>
      </w:r>
      <w:r w:rsidR="0003661B">
        <w:t xml:space="preserve">determining such rate </w:t>
      </w:r>
      <w:r w:rsidRPr="007F6CAA">
        <w:t>through the use of compliance filings.</w:t>
      </w:r>
      <w:r w:rsidRPr="00C62AC0">
        <w:rPr>
          <w:rStyle w:val="FootnoteReference"/>
        </w:rPr>
        <w:footnoteReference w:id="179"/>
      </w:r>
      <w:r w:rsidRPr="007F6CAA">
        <w:t xml:space="preserve">  Subsequently, public utilities may seek to revise that Commission-</w:t>
      </w:r>
      <w:r>
        <w:t>determined</w:t>
      </w:r>
      <w:r w:rsidRPr="007F6CAA">
        <w:t xml:space="preserve"> </w:t>
      </w:r>
      <w:r>
        <w:t xml:space="preserve">replacement </w:t>
      </w:r>
      <w:r w:rsidRPr="007F6CAA">
        <w:t>rate through the exercise of their FPA section 205 rights.</w:t>
      </w:r>
      <w:r w:rsidRPr="00C62AC0">
        <w:rPr>
          <w:rStyle w:val="FootnoteReference"/>
        </w:rPr>
        <w:footnoteReference w:id="180"/>
      </w:r>
      <w:r w:rsidRPr="007F6CAA">
        <w:t xml:space="preserve">  FPA </w:t>
      </w:r>
      <w:r w:rsidR="00514AE7">
        <w:t xml:space="preserve">              </w:t>
      </w:r>
      <w:r w:rsidRPr="007F6CAA">
        <w:t xml:space="preserve">sections 205 and 206 are thus complementary provisions under a coherent statutory structure, but they embody a </w:t>
      </w:r>
      <w:r w:rsidR="00FD3456">
        <w:t>statutor</w:t>
      </w:r>
      <w:r w:rsidR="00E13C81">
        <w:t>il</w:t>
      </w:r>
      <w:r w:rsidR="00FD3456">
        <w:t>y</w:t>
      </w:r>
      <w:r w:rsidR="00D630C0">
        <w:t>-</w:t>
      </w:r>
      <w:r w:rsidR="00E13C81">
        <w:t xml:space="preserve">imposed </w:t>
      </w:r>
      <w:r w:rsidRPr="007F6CAA">
        <w:t xml:space="preserve">division of </w:t>
      </w:r>
      <w:r w:rsidR="00E544D3">
        <w:t>rights and responsibilities</w:t>
      </w:r>
      <w:r w:rsidRPr="007F6CAA">
        <w:t xml:space="preserve"> between public utilities </w:t>
      </w:r>
      <w:r w:rsidR="0003661B">
        <w:t xml:space="preserve">under FPA section 205 </w:t>
      </w:r>
      <w:r w:rsidRPr="007F6CAA">
        <w:t>and the Commission</w:t>
      </w:r>
      <w:r w:rsidR="0003661B">
        <w:t xml:space="preserve"> under FPA </w:t>
      </w:r>
      <w:r w:rsidR="00514AE7">
        <w:t xml:space="preserve">            </w:t>
      </w:r>
      <w:r w:rsidR="0003661B">
        <w:t>section 206</w:t>
      </w:r>
      <w:r w:rsidRPr="007F6CAA">
        <w:t>.</w:t>
      </w:r>
      <w:r w:rsidRPr="00C62AC0">
        <w:rPr>
          <w:rStyle w:val="FootnoteReference"/>
        </w:rPr>
        <w:footnoteReference w:id="181"/>
      </w:r>
      <w:r w:rsidRPr="007F6CAA">
        <w:t xml:space="preserve">  </w:t>
      </w:r>
    </w:p>
    <w:p w14:paraId="1FD643A5" w14:textId="1A1A3B3B" w:rsidR="00577558" w:rsidRPr="007F6CAA" w:rsidRDefault="00577558" w:rsidP="00577558">
      <w:pPr>
        <w:pStyle w:val="FERCparanumber"/>
      </w:pPr>
      <w:r>
        <w:lastRenderedPageBreak/>
        <w:t xml:space="preserve">Nor does </w:t>
      </w:r>
      <w:r w:rsidRPr="007F6CAA">
        <w:t>the precedent that the rehearing requests rely on</w:t>
      </w:r>
      <w:r w:rsidR="000A456E" w:rsidRPr="005B007B">
        <w:rPr>
          <w:rStyle w:val="FootnoteReference"/>
        </w:rPr>
        <w:footnoteReference w:id="182"/>
      </w:r>
      <w:r w:rsidRPr="007F6CAA">
        <w:t xml:space="preserve"> to claim that Order No.</w:t>
      </w:r>
      <w:r>
        <w:t> </w:t>
      </w:r>
      <w:r w:rsidRPr="007F6CAA">
        <w:t>1920-A unlawfully intrudes on public utilities’ FPA section 205 filing rights support th</w:t>
      </w:r>
      <w:r w:rsidR="00B47CF2">
        <w:t>is</w:t>
      </w:r>
      <w:r w:rsidRPr="007F6CAA">
        <w:t xml:space="preserve"> argument.</w:t>
      </w:r>
      <w:r>
        <w:rPr>
          <w:rStyle w:val="FootnoteReference"/>
        </w:rPr>
        <w:footnoteReference w:id="183"/>
      </w:r>
      <w:r w:rsidRPr="007F6CAA">
        <w:t xml:space="preserve">  These cases do not address the context—applicable here—of how the Commission may exercise its authority, under FPA section 206, to determine the just and reasonable replacement rate, including how or from whom it obtains </w:t>
      </w:r>
      <w:r w:rsidR="006C0CDA" w:rsidRPr="003C19A6">
        <w:t>views concerning</w:t>
      </w:r>
      <w:r w:rsidRPr="003C19A6" w:rsidDel="006C0CDA">
        <w:t xml:space="preserve"> </w:t>
      </w:r>
      <w:r w:rsidRPr="007F6CAA">
        <w:t xml:space="preserve">the replacement rate or which replacement rate it may </w:t>
      </w:r>
      <w:r w:rsidR="00793BA8">
        <w:t>determine and fix</w:t>
      </w:r>
      <w:r w:rsidRPr="007F6CAA">
        <w:t>.</w:t>
      </w:r>
      <w:r w:rsidR="00E63828">
        <w:t xml:space="preserve">  Rather, they arise in proceedings under different statutory provisions—particularly including FPA section 205 and the parallel context of NGA section 4</w:t>
      </w:r>
      <w:r w:rsidR="003555E7" w:rsidRPr="003C19A6">
        <w:rPr>
          <w:rStyle w:val="FootnoteReference"/>
        </w:rPr>
        <w:footnoteReference w:id="184"/>
      </w:r>
      <w:r w:rsidR="00E63828">
        <w:t xml:space="preserve">—as discussed in greater detail below.  </w:t>
      </w:r>
      <w:r w:rsidRPr="007F6CAA">
        <w:t xml:space="preserve">As a result, none of these cases support the conclusion that the Commission intrudes on FPA section 205 when it exercises its authority under FPA section 206 by requiring that public utilities attach to their compliance filings Relevant State Entities’ </w:t>
      </w:r>
      <w:r w:rsidR="00FC2B98">
        <w:t>agreed-upon</w:t>
      </w:r>
      <w:r w:rsidR="00FC2B98" w:rsidRPr="00033D0B">
        <w:t xml:space="preserve"> Long-Term Regional Transmission Cost Allocation Method</w:t>
      </w:r>
      <w:r w:rsidR="00FC2B98" w:rsidRPr="009F1706">
        <w:t>(s)</w:t>
      </w:r>
      <w:r w:rsidR="00FC2B98" w:rsidRPr="00033D0B">
        <w:t xml:space="preserve"> and/or State Agreement</w:t>
      </w:r>
      <w:r w:rsidR="00FC2B98">
        <w:t xml:space="preserve"> </w:t>
      </w:r>
      <w:r w:rsidR="00FC2B98" w:rsidRPr="008B3BC7">
        <w:t>Process</w:t>
      </w:r>
      <w:r w:rsidRPr="007F6CAA">
        <w:t xml:space="preserve"> and associated information or by potentially adopting </w:t>
      </w:r>
      <w:r w:rsidR="0077696A">
        <w:t xml:space="preserve">that </w:t>
      </w:r>
      <w:r w:rsidR="00514AE7">
        <w:t xml:space="preserve">              </w:t>
      </w:r>
      <w:r w:rsidR="0077696A">
        <w:t>agreed-upon</w:t>
      </w:r>
      <w:r w:rsidR="0077696A" w:rsidRPr="00033D0B">
        <w:t xml:space="preserve"> Long-Term Regional Transmission Cost Allocation Method</w:t>
      </w:r>
      <w:r w:rsidR="0077696A" w:rsidRPr="009F1706">
        <w:t>(s)</w:t>
      </w:r>
      <w:r w:rsidR="0077696A" w:rsidRPr="00033D0B">
        <w:t xml:space="preserve"> and/or State Agreement</w:t>
      </w:r>
      <w:r w:rsidR="0077696A">
        <w:t xml:space="preserve"> </w:t>
      </w:r>
      <w:r w:rsidR="0077696A" w:rsidRPr="008B3BC7">
        <w:t>Process</w:t>
      </w:r>
      <w:r w:rsidR="0077696A" w:rsidRPr="007F6CAA">
        <w:t xml:space="preserve"> </w:t>
      </w:r>
      <w:r w:rsidRPr="007F6CAA">
        <w:t xml:space="preserve">in </w:t>
      </w:r>
      <w:r w:rsidR="00393017">
        <w:t>determining</w:t>
      </w:r>
      <w:r w:rsidRPr="007F6CAA">
        <w:t xml:space="preserve"> the replacement rate.</w:t>
      </w:r>
    </w:p>
    <w:p w14:paraId="79EDE30F" w14:textId="22441175" w:rsidR="00577558" w:rsidRPr="007F6CAA" w:rsidRDefault="00577558" w:rsidP="00577558">
      <w:pPr>
        <w:pStyle w:val="FERCparanumber"/>
      </w:pPr>
      <w:r w:rsidRPr="00901F59">
        <w:rPr>
          <w:i/>
        </w:rPr>
        <w:lastRenderedPageBreak/>
        <w:t>Atlantic City I</w:t>
      </w:r>
      <w:r w:rsidRPr="007F6CAA">
        <w:t xml:space="preserve"> provides a straightforward example of this distinction.  The D.C. Circuit there rebuffed a Commission attempt</w:t>
      </w:r>
      <w:r w:rsidR="00E0749B">
        <w:t>, under FPA section 20</w:t>
      </w:r>
      <w:r w:rsidR="006E5FC7" w:rsidRPr="005339D1">
        <w:t>5</w:t>
      </w:r>
      <w:r w:rsidR="00E0749B">
        <w:t>,</w:t>
      </w:r>
      <w:r w:rsidR="00E0749B">
        <w:rPr>
          <w:rStyle w:val="FootnoteReference"/>
        </w:rPr>
        <w:footnoteReference w:id="185"/>
      </w:r>
      <w:r w:rsidRPr="007F6CAA">
        <w:t xml:space="preserve"> to require that public utilities cede to an ISO their FPA section 205 right to make unilateral changes in rate design, terms or conditions of service</w:t>
      </w:r>
      <w:r w:rsidR="001448FC">
        <w:t xml:space="preserve"> </w:t>
      </w:r>
      <w:r w:rsidR="008A7617">
        <w:t>such</w:t>
      </w:r>
      <w:r w:rsidRPr="007F6CAA">
        <w:t xml:space="preserve"> that “only the ISO could propose changes in rate design.”</w:t>
      </w:r>
      <w:r w:rsidRPr="00C62AC0">
        <w:rPr>
          <w:rStyle w:val="FootnoteReference"/>
        </w:rPr>
        <w:footnoteReference w:id="186"/>
      </w:r>
      <w:r w:rsidRPr="007F6CAA">
        <w:t xml:space="preserve">  The court held that the Commission “lacks the authority to require the petitioners to cede their right under </w:t>
      </w:r>
      <w:r w:rsidR="002F6A4E">
        <w:t xml:space="preserve">[FPA] </w:t>
      </w:r>
      <w:r w:rsidRPr="007F6CAA">
        <w:t>section 205</w:t>
      </w:r>
      <w:r w:rsidR="002F6A4E">
        <w:t> . . .</w:t>
      </w:r>
      <w:r w:rsidRPr="007F6CAA">
        <w:t xml:space="preserve"> to file changes in rate design with the Commission,”</w:t>
      </w:r>
      <w:r w:rsidRPr="00C62AC0">
        <w:rPr>
          <w:rStyle w:val="FootnoteReference"/>
        </w:rPr>
        <w:footnoteReference w:id="187"/>
      </w:r>
      <w:r w:rsidRPr="007F6CAA">
        <w:t xml:space="preserve"> explaining that the Commission was “attempting to deny the utility petitioners the very statutory rights given to them by Congress.”</w:t>
      </w:r>
      <w:r w:rsidRPr="00C62AC0">
        <w:rPr>
          <w:rStyle w:val="FootnoteReference"/>
        </w:rPr>
        <w:footnoteReference w:id="188"/>
      </w:r>
      <w:r w:rsidRPr="007F6CAA">
        <w:t xml:space="preserve">  Here, by contrast, public utilities retain all of their rights to file proposed rate changes under FPA section</w:t>
      </w:r>
      <w:r w:rsidR="00274743">
        <w:t> </w:t>
      </w:r>
      <w:r w:rsidRPr="007F6CAA">
        <w:t xml:space="preserve">205.  Order No. 1920-A’s approach to cost allocation in compliance filings, under which transmission providers must attach or include Relevant State Entities’ </w:t>
      </w:r>
      <w:r w:rsidR="0077696A">
        <w:t>agreed-upon</w:t>
      </w:r>
      <w:r w:rsidR="0077696A" w:rsidRPr="00033D0B">
        <w:t xml:space="preserve"> Long-Term Regional Transmission Cost Allocation Method</w:t>
      </w:r>
      <w:r w:rsidR="0077696A" w:rsidRPr="009F1706">
        <w:t>(s)</w:t>
      </w:r>
      <w:r w:rsidR="0077696A" w:rsidRPr="00033D0B">
        <w:t xml:space="preserve"> and/or State Agreement</w:t>
      </w:r>
      <w:r w:rsidR="0077696A">
        <w:t xml:space="preserve"> </w:t>
      </w:r>
      <w:r w:rsidR="0077696A" w:rsidRPr="008B3BC7">
        <w:t>Process</w:t>
      </w:r>
      <w:r w:rsidRPr="007F6CAA">
        <w:t xml:space="preserve"> and associated material in transmission providers’ compliance filing</w:t>
      </w:r>
      <w:r>
        <w:t>s</w:t>
      </w:r>
      <w:r w:rsidRPr="007F6CAA">
        <w:t xml:space="preserve"> and the Commission may consider and adopt Relevant State Entities’ </w:t>
      </w:r>
      <w:r w:rsidR="0077696A">
        <w:t>agreed-upon</w:t>
      </w:r>
      <w:r w:rsidR="0077696A" w:rsidRPr="00033D0B">
        <w:t xml:space="preserve"> Long-Term Regional Transmission Cost Allocation Method</w:t>
      </w:r>
      <w:r w:rsidR="0077696A" w:rsidRPr="009F1706">
        <w:t>(s)</w:t>
      </w:r>
      <w:r w:rsidR="0077696A" w:rsidRPr="00033D0B">
        <w:t xml:space="preserve"> and/or State Agreement</w:t>
      </w:r>
      <w:r w:rsidR="0077696A">
        <w:t xml:space="preserve"> </w:t>
      </w:r>
      <w:r w:rsidR="0077696A" w:rsidRPr="008B3BC7">
        <w:t>Process</w:t>
      </w:r>
      <w:r w:rsidRPr="007F6CAA">
        <w:t xml:space="preserve">, is </w:t>
      </w:r>
      <w:r w:rsidRPr="007F6CAA">
        <w:lastRenderedPageBreak/>
        <w:t>pursuant to the Commission’s authority to set a replacement rate in FPA section 206 proceedings.</w:t>
      </w:r>
      <w:r w:rsidRPr="00C62AC0">
        <w:rPr>
          <w:rStyle w:val="FootnoteReference"/>
        </w:rPr>
        <w:footnoteReference w:id="189"/>
      </w:r>
    </w:p>
    <w:p w14:paraId="362CB9A6" w14:textId="463CB4E7" w:rsidR="00577558" w:rsidRPr="007F6CAA" w:rsidRDefault="00577558" w:rsidP="00577558">
      <w:pPr>
        <w:pStyle w:val="FERCparanumber"/>
      </w:pPr>
      <w:r w:rsidRPr="007F6CAA">
        <w:t xml:space="preserve">Other cases that the rehearing requests rely on are similarly inapposite because they rejected attempts by the Commission or its predecessor, the Federal Power Commission (FPC), to modify public utilities’ FPA section 205 filings or natural gas companies’ NGA section 4 filings, without </w:t>
      </w:r>
      <w:r w:rsidR="00D50060">
        <w:t xml:space="preserve">first </w:t>
      </w:r>
      <w:r w:rsidRPr="007F6CAA">
        <w:t>exercising its authority and carrying its burden under FPA section 206 or NGA section 5, as appropriate.</w:t>
      </w:r>
      <w:r w:rsidRPr="00C62AC0">
        <w:rPr>
          <w:rStyle w:val="FootnoteReference"/>
        </w:rPr>
        <w:footnoteReference w:id="190"/>
      </w:r>
      <w:r w:rsidRPr="007F6CAA">
        <w:t xml:space="preserve">  Also distinguishable are cases involving Commission attempts—in NGA section 4 proceedings—to require that natural gas companies refile their rates at regular intervals, rather than the </w:t>
      </w:r>
      <w:r w:rsidRPr="007F6CAA">
        <w:lastRenderedPageBreak/>
        <w:t>Commission employing its NGA section 5</w:t>
      </w:r>
      <w:r w:rsidR="00FD79E6" w:rsidRPr="0029616A">
        <w:rPr>
          <w:rStyle w:val="FootnoteReference"/>
        </w:rPr>
        <w:footnoteReference w:id="191"/>
      </w:r>
      <w:r w:rsidRPr="007F6CAA">
        <w:t xml:space="preserve"> authority to review existing rates.</w:t>
      </w:r>
      <w:r w:rsidRPr="00C62AC0">
        <w:rPr>
          <w:rStyle w:val="FootnoteReference"/>
        </w:rPr>
        <w:footnoteReference w:id="192"/>
      </w:r>
      <w:r w:rsidRPr="007F6CAA">
        <w:t xml:space="preserve">  Again, none of these cases address the circumstances presented here, where the Commission has invoked its FPA section 206 authority, made findings that existing practices do not meet the statutory standard, and </w:t>
      </w:r>
      <w:r w:rsidR="002D201E">
        <w:t>then</w:t>
      </w:r>
      <w:r w:rsidRPr="007F6CAA">
        <w:t xml:space="preserve"> further exercis</w:t>
      </w:r>
      <w:r w:rsidR="002D201E">
        <w:t>e</w:t>
      </w:r>
      <w:r w:rsidR="00026B06">
        <w:t>d</w:t>
      </w:r>
      <w:r w:rsidRPr="007F6CAA">
        <w:t xml:space="preserve"> its authority to determine and fix the replacement rate.</w:t>
      </w:r>
    </w:p>
    <w:p w14:paraId="6CDAF13D" w14:textId="658B3F94" w:rsidR="00577558" w:rsidRDefault="00577558" w:rsidP="00577558">
      <w:pPr>
        <w:pStyle w:val="FERCparanumber"/>
      </w:pPr>
      <w:r w:rsidRPr="00DA79CA">
        <w:rPr>
          <w:i/>
        </w:rPr>
        <w:t>Massachusetts Department of Public Utilities</w:t>
      </w:r>
      <w:r w:rsidRPr="007F6CAA">
        <w:t xml:space="preserve"> also does not support rehearing petitioners’ arguments.  In that case, the D.C. Circuit held that the Commission correctly concluded that Massachusetts could not compel a public utility to exercise its FPA section 205 rights to change its Commission-jurisdictional rates.</w:t>
      </w:r>
      <w:r w:rsidRPr="00C62AC0">
        <w:rPr>
          <w:rStyle w:val="FootnoteReference"/>
        </w:rPr>
        <w:footnoteReference w:id="193"/>
      </w:r>
      <w:r w:rsidRPr="007F6CAA">
        <w:t xml:space="preserve">  The court there described the “procedural dichotomy” reflected in FPA sections 205 and 206.</w:t>
      </w:r>
      <w:r w:rsidRPr="00C62AC0">
        <w:rPr>
          <w:rStyle w:val="FootnoteReference"/>
        </w:rPr>
        <w:footnoteReference w:id="194"/>
      </w:r>
      <w:r w:rsidRPr="007F6CAA">
        <w:t xml:space="preserve">  It explained that Massachusetts’</w:t>
      </w:r>
      <w:r>
        <w:t>s</w:t>
      </w:r>
      <w:r w:rsidRPr="007F6CAA">
        <w:t xml:space="preserve"> argument that it could compel a public utility to make FPA section 205 rate changes “would prevent the utility from choosing among reasonable rate-practice alternatives.”</w:t>
      </w:r>
      <w:r w:rsidRPr="00C62AC0">
        <w:rPr>
          <w:rStyle w:val="FootnoteReference"/>
        </w:rPr>
        <w:footnoteReference w:id="195"/>
      </w:r>
      <w:r w:rsidRPr="007F6CAA">
        <w:t xml:space="preserve">  By contrast, the Commission’s view was “more consistent with the purposes of the entire procedural scheme” in that it allow</w:t>
      </w:r>
      <w:r>
        <w:t>s the</w:t>
      </w:r>
      <w:r w:rsidRPr="007F6CAA">
        <w:t xml:space="preserve"> utility’s filed rate to </w:t>
      </w:r>
      <w:r>
        <w:t>remain in effect</w:t>
      </w:r>
      <w:r w:rsidRPr="007F6CAA">
        <w:t xml:space="preserve"> absent a finding that the rate is unjust, unreasonable, </w:t>
      </w:r>
      <w:r w:rsidR="00733286">
        <w:t xml:space="preserve">or </w:t>
      </w:r>
      <w:r w:rsidRPr="007F6CAA">
        <w:t xml:space="preserve">unduly </w:t>
      </w:r>
      <w:r w:rsidRPr="007F6CAA">
        <w:lastRenderedPageBreak/>
        <w:t>discriminatory or preferential</w:t>
      </w:r>
      <w:r>
        <w:t xml:space="preserve"> and allows the utility to change its rate so long as the utility can prove the proposed change is reasonable</w:t>
      </w:r>
      <w:r w:rsidRPr="007F6CAA">
        <w:t>.</w:t>
      </w:r>
      <w:r w:rsidRPr="00C62AC0">
        <w:rPr>
          <w:rStyle w:val="FootnoteReference"/>
        </w:rPr>
        <w:footnoteReference w:id="196"/>
      </w:r>
      <w:r w:rsidRPr="007F6CAA">
        <w:t xml:space="preserve">  This same “procedural dichotomy” supports the lawfulness of Order No. 1920-A</w:t>
      </w:r>
      <w:r>
        <w:t>;</w:t>
      </w:r>
      <w:r w:rsidRPr="007F6CAA">
        <w:t xml:space="preserve"> public utilities are not exercising (or being compelled to exercise) their FPA section 205 filing rights.  Rather, the Commission has made the requisite findings to support the exercise of its own authority under FPA section</w:t>
      </w:r>
      <w:r w:rsidR="00826B19">
        <w:t> </w:t>
      </w:r>
      <w:r w:rsidRPr="007F6CAA">
        <w:t xml:space="preserve">206—a posture that the court in </w:t>
      </w:r>
      <w:r w:rsidRPr="00DA79CA">
        <w:rPr>
          <w:i/>
        </w:rPr>
        <w:t>Massachusetts Department of Public Utilities</w:t>
      </w:r>
      <w:r w:rsidRPr="007F6CAA">
        <w:t xml:space="preserve"> differentiated</w:t>
      </w:r>
      <w:r w:rsidRPr="00C62AC0">
        <w:rPr>
          <w:rStyle w:val="FootnoteReference"/>
          <w:bCs/>
        </w:rPr>
        <w:footnoteReference w:id="197"/>
      </w:r>
      <w:r w:rsidRPr="007F6CAA">
        <w:t>—and the compliance filing</w:t>
      </w:r>
      <w:r w:rsidR="000027AB" w:rsidRPr="00D721D5">
        <w:t>s</w:t>
      </w:r>
      <w:r w:rsidRPr="007F6CAA">
        <w:t xml:space="preserve"> </w:t>
      </w:r>
      <w:r w:rsidR="00886618">
        <w:t xml:space="preserve">that </w:t>
      </w:r>
      <w:r w:rsidR="00886618" w:rsidRPr="00FC1472">
        <w:t>Order No</w:t>
      </w:r>
      <w:r w:rsidR="00381A72" w:rsidRPr="00FC1472">
        <w:t>s</w:t>
      </w:r>
      <w:r w:rsidR="00886618" w:rsidRPr="00FC1472">
        <w:t>. 1920</w:t>
      </w:r>
      <w:r w:rsidR="00381A72" w:rsidRPr="00FC1472">
        <w:t xml:space="preserve"> and 1920-A</w:t>
      </w:r>
      <w:r w:rsidRPr="007F6CAA">
        <w:t xml:space="preserve"> </w:t>
      </w:r>
      <w:r w:rsidR="001E2099" w:rsidRPr="00FC1472">
        <w:t>require</w:t>
      </w:r>
      <w:r w:rsidRPr="007F6CAA">
        <w:t xml:space="preserve"> and </w:t>
      </w:r>
      <w:r w:rsidR="001E2099">
        <w:t>the subsequent</w:t>
      </w:r>
      <w:r w:rsidRPr="007F6CAA">
        <w:t xml:space="preserve"> fixing of the replacement rate by order occurs under that authority, not FPA section 205.</w:t>
      </w:r>
    </w:p>
    <w:p w14:paraId="2665AC7E" w14:textId="38482E39" w:rsidR="00577558" w:rsidRDefault="00577558" w:rsidP="00167C5A">
      <w:pPr>
        <w:pStyle w:val="Heading6"/>
        <w:spacing w:line="240" w:lineRule="auto"/>
      </w:pPr>
      <w:r w:rsidRPr="005D62F8">
        <w:t xml:space="preserve">Inclusion of Relevant State Entities’ </w:t>
      </w:r>
      <w:r>
        <w:t>Agreed-upon</w:t>
      </w:r>
      <w:r w:rsidRPr="005D62F8">
        <w:t xml:space="preserve"> Long-Term Regional Transmission Cost Allocation Method</w:t>
      </w:r>
      <w:r w:rsidR="00D54017" w:rsidRPr="00D721D5">
        <w:t>(</w:t>
      </w:r>
      <w:r w:rsidRPr="00D721D5">
        <w:t>s</w:t>
      </w:r>
      <w:r w:rsidR="00D54017" w:rsidRPr="00D721D5">
        <w:t>)</w:t>
      </w:r>
      <w:r w:rsidRPr="005D62F8">
        <w:t xml:space="preserve"> and/or State Agreement Process in Transmission Providers’ Compliance Filings</w:t>
      </w:r>
      <w:r>
        <w:br/>
      </w:r>
    </w:p>
    <w:p w14:paraId="25973704" w14:textId="51935B4A" w:rsidR="00577558" w:rsidRDefault="00577558" w:rsidP="00577558">
      <w:pPr>
        <w:pStyle w:val="FERCparanumber"/>
      </w:pPr>
      <w:r>
        <w:t>As explained above, Order No. 1920</w:t>
      </w:r>
      <w:r w:rsidR="00F93DFB" w:rsidRPr="00D721D5">
        <w:t>-A</w:t>
      </w:r>
      <w:r>
        <w:t xml:space="preserve">’s compliance process with respect to cost allocation does not infringe on or encumber transmission providers’ FPA section 205 filing rights, as a matter of statutory text, structure, and applicable precedent.  </w:t>
      </w:r>
      <w:r w:rsidR="00B126A6">
        <w:lastRenderedPageBreak/>
        <w:t>Specifically,</w:t>
      </w:r>
      <w:r w:rsidR="0043167D">
        <w:t xml:space="preserve"> </w:t>
      </w:r>
      <w:r>
        <w:t xml:space="preserve">the </w:t>
      </w:r>
      <w:r w:rsidR="00887F80">
        <w:t>compliance process</w:t>
      </w:r>
      <w:r>
        <w:t xml:space="preserve"> requirement that transmission providers include in their transmittal</w:t>
      </w:r>
      <w:r w:rsidR="00444F1E">
        <w:t>s</w:t>
      </w:r>
      <w:r>
        <w:t xml:space="preserve"> or attach to their </w:t>
      </w:r>
      <w:r w:rsidR="00047ECB">
        <w:t xml:space="preserve">Order No. 1920 regional transmission planning and cost allocation </w:t>
      </w:r>
      <w:r>
        <w:t>compliance filing</w:t>
      </w:r>
      <w:r w:rsidR="00CD2E52">
        <w:t>s</w:t>
      </w:r>
      <w:r>
        <w:t xml:space="preserve"> Relevant State </w:t>
      </w:r>
      <w:proofErr w:type="gramStart"/>
      <w:r>
        <w:t>Entities’</w:t>
      </w:r>
      <w:proofErr w:type="gramEnd"/>
      <w:r>
        <w:t xml:space="preserve"> agreed-upon Long-Term Regional </w:t>
      </w:r>
      <w:r w:rsidR="00631DDA">
        <w:t xml:space="preserve">Transmission </w:t>
      </w:r>
      <w:r>
        <w:t>Cost Allocation Method</w:t>
      </w:r>
      <w:r w:rsidR="00D54017" w:rsidRPr="00D721D5">
        <w:t>(</w:t>
      </w:r>
      <w:r w:rsidRPr="00D721D5">
        <w:t>s</w:t>
      </w:r>
      <w:r w:rsidR="00D54017" w:rsidRPr="00D721D5">
        <w:t>)</w:t>
      </w:r>
      <w:r>
        <w:t xml:space="preserve"> and/or State Agreement Process</w:t>
      </w:r>
      <w:r w:rsidR="00056ADB">
        <w:t xml:space="preserve"> </w:t>
      </w:r>
      <w:r w:rsidR="00742AE0">
        <w:t xml:space="preserve">does not </w:t>
      </w:r>
      <w:r w:rsidR="009D3749">
        <w:t xml:space="preserve">infringe </w:t>
      </w:r>
      <w:r w:rsidR="00F36779">
        <w:t>or encumber</w:t>
      </w:r>
      <w:r w:rsidR="009D3749">
        <w:t xml:space="preserve"> transmission providers’ FPA section 205 filing rights</w:t>
      </w:r>
      <w:r>
        <w:t xml:space="preserve">.  We address in additional detail </w:t>
      </w:r>
      <w:r w:rsidR="00B25272">
        <w:t>here</w:t>
      </w:r>
      <w:r>
        <w:t xml:space="preserve"> certain of the arguments raised on rehearing challenging this requirement.</w:t>
      </w:r>
    </w:p>
    <w:p w14:paraId="352654BE" w14:textId="265FBA6D" w:rsidR="00577558" w:rsidRDefault="00577558" w:rsidP="00577558">
      <w:pPr>
        <w:pStyle w:val="FERCparanumber"/>
      </w:pPr>
      <w:r w:rsidRPr="009A0EFE">
        <w:t>We</w:t>
      </w:r>
      <w:r>
        <w:t xml:space="preserve"> disagree with rehearing petitioners’ claims that requiring transmission providers to include or attach these materials in transmission providers’ FPA section 206 compliance filings</w:t>
      </w:r>
      <w:r w:rsidR="007F078E">
        <w:t xml:space="preserve"> </w:t>
      </w:r>
      <w:r w:rsidR="007F078E" w:rsidRPr="00864E9C">
        <w:t>in response to Order Nos. 1920 and 1920-A</w:t>
      </w:r>
      <w:r>
        <w:t xml:space="preserve"> constitutes a “filing” </w:t>
      </w:r>
      <w:r w:rsidR="00C12B8B">
        <w:t>requirement</w:t>
      </w:r>
      <w:r>
        <w:t xml:space="preserve"> under FPA section 205, requires transmission providers to “cede” FPA section 205 filing rights or encumbers those rights, or grants such filing rights to Relevant State Entities.  The Commission required only that transmission providers include this material in their FPA section 206 compliance filings, either in the transmittal or an attachment thereto.</w:t>
      </w:r>
      <w:r>
        <w:rPr>
          <w:rStyle w:val="FootnoteReference"/>
        </w:rPr>
        <w:footnoteReference w:id="198"/>
      </w:r>
      <w:r>
        <w:t xml:space="preserve">  The Commission did not </w:t>
      </w:r>
      <w:r w:rsidRPr="00062B88">
        <w:t xml:space="preserve">require transmission providers to independently characterize this </w:t>
      </w:r>
      <w:r>
        <w:t>material.</w:t>
      </w:r>
      <w:r>
        <w:rPr>
          <w:rStyle w:val="FootnoteReference"/>
        </w:rPr>
        <w:footnoteReference w:id="199"/>
      </w:r>
      <w:r>
        <w:t xml:space="preserve">  The Commission was further clear that “t</w:t>
      </w:r>
      <w:r w:rsidRPr="001C7B8F">
        <w:t>he transmission providers decide what to submit as their actual Order No. 1920 compliance proposal, including relevant tariff language and supporting evidence or arguments</w:t>
      </w:r>
      <w:r>
        <w:t>.”</w:t>
      </w:r>
      <w:r>
        <w:rPr>
          <w:rStyle w:val="FootnoteReference"/>
        </w:rPr>
        <w:footnoteReference w:id="200"/>
      </w:r>
      <w:r w:rsidRPr="001C7B8F">
        <w:t xml:space="preserve"> </w:t>
      </w:r>
      <w:r>
        <w:t xml:space="preserve"> </w:t>
      </w:r>
      <w:r>
        <w:lastRenderedPageBreak/>
        <w:t xml:space="preserve">Put in practical terms, </w:t>
      </w:r>
      <w:r w:rsidR="003910E9">
        <w:t>in Order No. 1920</w:t>
      </w:r>
      <w:r w:rsidR="00A90E5D">
        <w:t>-A</w:t>
      </w:r>
      <w:r w:rsidR="003910E9">
        <w:t xml:space="preserve">, </w:t>
      </w:r>
      <w:r>
        <w:t>the Commission require</w:t>
      </w:r>
      <w:r w:rsidR="007C0BCD">
        <w:t>s</w:t>
      </w:r>
      <w:r>
        <w:t xml:space="preserve"> nothing more from transmission providers than attaching one or more additional </w:t>
      </w:r>
      <w:r w:rsidR="009D3085">
        <w:t>documents</w:t>
      </w:r>
      <w:r w:rsidR="00635D63">
        <w:t>, produced by parties other than transmission providers,</w:t>
      </w:r>
      <w:r w:rsidR="009D3085">
        <w:t xml:space="preserve"> </w:t>
      </w:r>
      <w:r>
        <w:t xml:space="preserve">to a compliance filing made under FPA </w:t>
      </w:r>
      <w:r w:rsidR="00514AE7">
        <w:t xml:space="preserve">          </w:t>
      </w:r>
      <w:r>
        <w:t xml:space="preserve">section 206, to assist in building the record for the Commission’s exercise of its </w:t>
      </w:r>
      <w:r w:rsidRPr="005C285E">
        <w:t>own</w:t>
      </w:r>
      <w:r>
        <w:t xml:space="preserve"> authority to </w:t>
      </w:r>
      <w:r w:rsidR="00D86226">
        <w:t xml:space="preserve">determine and fix </w:t>
      </w:r>
      <w:r>
        <w:t>the just and reasonable rate under that statutory p</w:t>
      </w:r>
      <w:bookmarkStart w:id="1" w:name="_Ref195111278"/>
      <w:r>
        <w:t>r</w:t>
      </w:r>
      <w:bookmarkEnd w:id="1"/>
      <w:r>
        <w:t>ovision</w:t>
      </w:r>
      <w:r w:rsidR="003A0CDE" w:rsidRPr="00864E9C">
        <w:t xml:space="preserve">, as well as monitoring compliance with the </w:t>
      </w:r>
      <w:r w:rsidR="00406CD0" w:rsidRPr="00864E9C">
        <w:t xml:space="preserve">requirements related to the </w:t>
      </w:r>
      <w:r w:rsidR="003A0CDE" w:rsidRPr="00864E9C">
        <w:t>Engagement Period</w:t>
      </w:r>
      <w:r w:rsidR="00037334" w:rsidRPr="00864E9C">
        <w:t xml:space="preserve"> and efficiently</w:t>
      </w:r>
      <w:r w:rsidR="00581158" w:rsidRPr="00864E9C">
        <w:t xml:space="preserve"> considering the views of both Relevant State Entities and transmission providers</w:t>
      </w:r>
      <w:r>
        <w:t>.</w:t>
      </w:r>
      <w:bookmarkStart w:id="2" w:name="_Ref193902199"/>
      <w:r w:rsidR="00745D86">
        <w:rPr>
          <w:rStyle w:val="FootnoteReference"/>
        </w:rPr>
        <w:footnoteReference w:id="201"/>
      </w:r>
      <w:bookmarkEnd w:id="2"/>
      <w:r>
        <w:t xml:space="preserve">  </w:t>
      </w:r>
      <w:r w:rsidR="00147DDF">
        <w:t xml:space="preserve">Furthermore, this </w:t>
      </w:r>
      <w:r w:rsidR="00ED37A7" w:rsidRPr="00864E9C">
        <w:t>is</w:t>
      </w:r>
      <w:r w:rsidR="00147DDF">
        <w:t xml:space="preserve"> a one-time filing requirement associated with this FPA section 206 proceeding—not an ongoing obligation affecting any future filings by </w:t>
      </w:r>
      <w:r w:rsidR="00147DDF">
        <w:lastRenderedPageBreak/>
        <w:t>transmission providers under section 205 or any other section of the FPA.</w:t>
      </w:r>
      <w:r w:rsidR="00280D3C">
        <w:rPr>
          <w:rStyle w:val="FootnoteReference"/>
        </w:rPr>
        <w:footnoteReference w:id="202"/>
      </w:r>
      <w:r w:rsidR="00147DDF">
        <w:t xml:space="preserve">  And where transmission providers’ FPA section 205 rights are at stake, Order No. 1920-A does not include these same requirements.</w:t>
      </w:r>
      <w:r w:rsidR="00147DDF">
        <w:rPr>
          <w:rStyle w:val="FootnoteReference"/>
        </w:rPr>
        <w:footnoteReference w:id="203"/>
      </w:r>
    </w:p>
    <w:p w14:paraId="1A8DD105" w14:textId="6A337FC3" w:rsidR="00577558" w:rsidRPr="0081745F" w:rsidRDefault="00303AB7" w:rsidP="00577558">
      <w:pPr>
        <w:pStyle w:val="FERCparanumber"/>
        <w:rPr>
          <w:szCs w:val="26"/>
        </w:rPr>
      </w:pPr>
      <w:r>
        <w:t xml:space="preserve">Arguments </w:t>
      </w:r>
      <w:r w:rsidR="00577558">
        <w:t xml:space="preserve">asserting that the Commission has </w:t>
      </w:r>
      <w:r w:rsidR="003B1ABD">
        <w:t xml:space="preserve">offered only </w:t>
      </w:r>
      <w:r w:rsidR="00577558">
        <w:t>a “hollow” explanation</w:t>
      </w:r>
      <w:r w:rsidR="005248A0">
        <w:t xml:space="preserve"> </w:t>
      </w:r>
      <w:r w:rsidR="005248A0" w:rsidRPr="005248A0">
        <w:t>for this requirement</w:t>
      </w:r>
      <w:r w:rsidR="00577558">
        <w:t>, resting on “empty formalisms</w:t>
      </w:r>
      <w:r w:rsidR="00B3666F">
        <w:t>,</w:t>
      </w:r>
      <w:r w:rsidR="00577558">
        <w:t>”</w:t>
      </w:r>
      <w:r w:rsidR="00577558">
        <w:rPr>
          <w:rStyle w:val="FootnoteReference"/>
        </w:rPr>
        <w:footnoteReference w:id="204"/>
      </w:r>
      <w:r w:rsidR="00577558">
        <w:t xml:space="preserve"> </w:t>
      </w:r>
      <w:r w:rsidR="00024252">
        <w:t xml:space="preserve">wrongly </w:t>
      </w:r>
      <w:r w:rsidR="00577558">
        <w:t xml:space="preserve">conflate the two distinct procedural postures and authorities set forth in FPA sections 205 and 206.  </w:t>
      </w:r>
      <w:r w:rsidR="00926ABA">
        <w:t>The fact t</w:t>
      </w:r>
      <w:r w:rsidR="00577558">
        <w:t xml:space="preserve">hat </w:t>
      </w:r>
      <w:r w:rsidR="001F76C7">
        <w:t>a</w:t>
      </w:r>
      <w:r w:rsidR="00577558">
        <w:t xml:space="preserve"> “</w:t>
      </w:r>
      <w:r w:rsidR="00577558" w:rsidRPr="00392F95">
        <w:t>compliance filing submitted pursuant to FPA section 206</w:t>
      </w:r>
      <w:r w:rsidR="00577558" w:rsidRPr="00392F95" w:rsidDel="0069154D">
        <w:t xml:space="preserve"> </w:t>
      </w:r>
      <w:r w:rsidR="00C62A4F" w:rsidRPr="000C6518">
        <w:t>[</w:t>
      </w:r>
      <w:r w:rsidR="00E27885" w:rsidRPr="000C6518">
        <w:t>as required by</w:t>
      </w:r>
      <w:r w:rsidR="00C62A4F" w:rsidRPr="000C6518">
        <w:t xml:space="preserve"> Order </w:t>
      </w:r>
      <w:r w:rsidR="0059161A">
        <w:t xml:space="preserve">                </w:t>
      </w:r>
      <w:r w:rsidR="00C62A4F" w:rsidRPr="000C6518">
        <w:t>Nos. 1920 and 1920-A]</w:t>
      </w:r>
      <w:r w:rsidR="00577558" w:rsidRPr="00392F95" w:rsidDel="0069154D">
        <w:t xml:space="preserve"> </w:t>
      </w:r>
      <w:r w:rsidR="00577558" w:rsidRPr="00392F95">
        <w:t>is not an FPA section 205 filing</w:t>
      </w:r>
      <w:r w:rsidR="00577558">
        <w:t>”</w:t>
      </w:r>
      <w:r w:rsidR="00577558">
        <w:rPr>
          <w:rStyle w:val="FootnoteReference"/>
        </w:rPr>
        <w:footnoteReference w:id="205"/>
      </w:r>
      <w:r w:rsidR="00577558">
        <w:t xml:space="preserve"> carries legal consequences.  Moreover, as the Commission explained, the requirement to include materials from Relevant State Entities</w:t>
      </w:r>
      <w:r w:rsidR="00192C39">
        <w:t xml:space="preserve"> in the context of this FPA section 206 compliance filing</w:t>
      </w:r>
      <w:r w:rsidR="00577558">
        <w:t xml:space="preserve"> “</w:t>
      </w:r>
      <w:r w:rsidR="00577558" w:rsidRPr="0052098C">
        <w:t xml:space="preserve">does not constitute a </w:t>
      </w:r>
      <w:r w:rsidR="00577558">
        <w:t>‘</w:t>
      </w:r>
      <w:r w:rsidR="00577558" w:rsidRPr="0052098C">
        <w:t>proposal</w:t>
      </w:r>
      <w:r w:rsidR="00577558">
        <w:t>’</w:t>
      </w:r>
      <w:r w:rsidR="00577558" w:rsidRPr="0052098C">
        <w:t xml:space="preserve"> from the transmission provider”</w:t>
      </w:r>
      <w:r w:rsidR="00577558" w:rsidRPr="0052098C">
        <w:rPr>
          <w:b/>
          <w:vertAlign w:val="superscript"/>
        </w:rPr>
        <w:footnoteReference w:id="206"/>
      </w:r>
      <w:r w:rsidR="00577558">
        <w:t xml:space="preserve"> and transmission providers remain free to present whatever proposal they desire </w:t>
      </w:r>
      <w:r w:rsidR="000F107E">
        <w:t>(and believe is compliant with the requirements of Order No</w:t>
      </w:r>
      <w:r w:rsidR="00C8221B">
        <w:t>s</w:t>
      </w:r>
      <w:r w:rsidR="000F107E">
        <w:t>. 1920</w:t>
      </w:r>
      <w:r w:rsidR="00C8221B">
        <w:t xml:space="preserve"> and 1920-A</w:t>
      </w:r>
      <w:r w:rsidR="000F107E">
        <w:t>)</w:t>
      </w:r>
      <w:r w:rsidR="00577558">
        <w:t xml:space="preserve">.  </w:t>
      </w:r>
      <w:r w:rsidR="004702FF" w:rsidRPr="00B568DA">
        <w:t>Furthermore</w:t>
      </w:r>
      <w:r w:rsidR="004702FF" w:rsidRPr="00A70219">
        <w:t xml:space="preserve">, transmission providers retain their full and exclusive discretion as to whether to file—or not file—proposed changes to Long-Term Regional Transmission Cost Allocation Method(s) and/or State </w:t>
      </w:r>
      <w:r w:rsidR="004702FF" w:rsidRPr="00A70219">
        <w:lastRenderedPageBreak/>
        <w:t>Agreement Process under FPA section 205.</w:t>
      </w:r>
      <w:r w:rsidR="004702FF">
        <w:t xml:space="preserve">  </w:t>
      </w:r>
      <w:r w:rsidR="00577558">
        <w:t xml:space="preserve">Transmission providers </w:t>
      </w:r>
      <w:r w:rsidR="00577558" w:rsidRPr="00372DDD">
        <w:rPr>
          <w:szCs w:val="26"/>
        </w:rPr>
        <w:t>continue to be able to fully participate in the FPA section 206 compliance process</w:t>
      </w:r>
      <w:r w:rsidR="00577558">
        <w:rPr>
          <w:szCs w:val="26"/>
        </w:rPr>
        <w:t>,</w:t>
      </w:r>
      <w:r w:rsidR="00577558" w:rsidRPr="00372DDD">
        <w:rPr>
          <w:szCs w:val="26"/>
        </w:rPr>
        <w:t xml:space="preserve"> their FPA section 205 rights are not implicated in this process</w:t>
      </w:r>
      <w:r w:rsidR="00577558">
        <w:rPr>
          <w:szCs w:val="26"/>
        </w:rPr>
        <w:t>,</w:t>
      </w:r>
      <w:r w:rsidR="00577558" w:rsidRPr="00372DDD">
        <w:rPr>
          <w:szCs w:val="26"/>
        </w:rPr>
        <w:t xml:space="preserve"> and FPA section 206 does not constrain the Commission, as it effectuates its own authority under that section, from requiring transmission providers</w:t>
      </w:r>
      <w:r w:rsidR="00577558">
        <w:rPr>
          <w:szCs w:val="26"/>
        </w:rPr>
        <w:t xml:space="preserve"> to include</w:t>
      </w:r>
      <w:r w:rsidR="00577558" w:rsidRPr="00372DDD">
        <w:rPr>
          <w:szCs w:val="26"/>
        </w:rPr>
        <w:t xml:space="preserve"> information </w:t>
      </w:r>
      <w:r w:rsidR="00577558">
        <w:rPr>
          <w:szCs w:val="26"/>
        </w:rPr>
        <w:t>from Relevant State Entities in</w:t>
      </w:r>
      <w:r w:rsidR="00577558" w:rsidRPr="00372DDD">
        <w:rPr>
          <w:szCs w:val="26"/>
        </w:rPr>
        <w:t xml:space="preserve"> </w:t>
      </w:r>
      <w:r w:rsidR="00577558">
        <w:rPr>
          <w:szCs w:val="26"/>
        </w:rPr>
        <w:t>transmission providers’</w:t>
      </w:r>
      <w:r w:rsidR="00577558" w:rsidRPr="0071644D">
        <w:rPr>
          <w:szCs w:val="26"/>
        </w:rPr>
        <w:t xml:space="preserve"> compliance filing</w:t>
      </w:r>
      <w:r w:rsidR="00577558">
        <w:rPr>
          <w:szCs w:val="26"/>
        </w:rPr>
        <w:t>s</w:t>
      </w:r>
      <w:r w:rsidR="00577558" w:rsidRPr="0071644D">
        <w:rPr>
          <w:szCs w:val="26"/>
        </w:rPr>
        <w:t xml:space="preserve"> to assist the Commission in </w:t>
      </w:r>
      <w:r w:rsidR="00577558">
        <w:rPr>
          <w:szCs w:val="26"/>
        </w:rPr>
        <w:t>setting the just and reasonable rate</w:t>
      </w:r>
      <w:r w:rsidR="00577558" w:rsidRPr="0071644D">
        <w:rPr>
          <w:szCs w:val="26"/>
        </w:rPr>
        <w:t>.</w:t>
      </w:r>
    </w:p>
    <w:p w14:paraId="4D98780B" w14:textId="49F264A6" w:rsidR="00577558" w:rsidRPr="00372DDD" w:rsidRDefault="00577558" w:rsidP="00577558">
      <w:pPr>
        <w:pStyle w:val="FERCparanumber"/>
        <w:rPr>
          <w:szCs w:val="26"/>
        </w:rPr>
      </w:pPr>
      <w:r w:rsidRPr="00372DDD">
        <w:rPr>
          <w:szCs w:val="26"/>
        </w:rPr>
        <w:t>SPP TOs</w:t>
      </w:r>
      <w:r>
        <w:rPr>
          <w:szCs w:val="26"/>
        </w:rPr>
        <w:t>’</w:t>
      </w:r>
      <w:r w:rsidRPr="00372DDD">
        <w:rPr>
          <w:szCs w:val="26"/>
        </w:rPr>
        <w:t xml:space="preserve"> argument that “[t]he Commission previously rejected attempts to use compliance filings to bypass the FPA’s filing requirements” and cannot “‘circumvent the notice and filing requirements of FPA sections 205 and 206’”</w:t>
      </w:r>
      <w:r w:rsidRPr="00372DDD">
        <w:rPr>
          <w:rStyle w:val="FootnoteReference"/>
          <w:szCs w:val="26"/>
        </w:rPr>
        <w:footnoteReference w:id="207"/>
      </w:r>
      <w:r w:rsidRPr="00372DDD">
        <w:rPr>
          <w:szCs w:val="26"/>
        </w:rPr>
        <w:t xml:space="preserve"> is immaterial because Order No. 1920-A does not have these effects</w:t>
      </w:r>
      <w:r w:rsidR="005E41E1">
        <w:rPr>
          <w:szCs w:val="26"/>
        </w:rPr>
        <w:t xml:space="preserve">—no notice and filing requirements are </w:t>
      </w:r>
      <w:r w:rsidR="00F6541A">
        <w:rPr>
          <w:szCs w:val="26"/>
        </w:rPr>
        <w:t>“bypassed,” and no filings under FPA section 205 are required at all</w:t>
      </w:r>
      <w:r w:rsidRPr="00372DDD">
        <w:rPr>
          <w:szCs w:val="26"/>
        </w:rPr>
        <w:t xml:space="preserve">.  Rather, Order </w:t>
      </w:r>
      <w:r w:rsidR="0059161A">
        <w:rPr>
          <w:szCs w:val="26"/>
        </w:rPr>
        <w:t xml:space="preserve">     </w:t>
      </w:r>
      <w:r w:rsidRPr="00372DDD">
        <w:rPr>
          <w:szCs w:val="26"/>
        </w:rPr>
        <w:t>No. 1920-A</w:t>
      </w:r>
      <w:r>
        <w:rPr>
          <w:szCs w:val="26"/>
        </w:rPr>
        <w:t>’s</w:t>
      </w:r>
      <w:r w:rsidRPr="00372DDD">
        <w:rPr>
          <w:szCs w:val="26"/>
        </w:rPr>
        <w:t xml:space="preserve"> approach to cost allocation in </w:t>
      </w:r>
      <w:r w:rsidR="00B34311">
        <w:rPr>
          <w:szCs w:val="26"/>
        </w:rPr>
        <w:t xml:space="preserve">the required </w:t>
      </w:r>
      <w:r w:rsidRPr="00372DDD">
        <w:rPr>
          <w:szCs w:val="26"/>
        </w:rPr>
        <w:t xml:space="preserve">compliance filings is a proper exercise of the Commission’s authority under FPA </w:t>
      </w:r>
      <w:r w:rsidR="0049605F">
        <w:rPr>
          <w:szCs w:val="26"/>
        </w:rPr>
        <w:t>section</w:t>
      </w:r>
      <w:r w:rsidR="00CA4B9C">
        <w:rPr>
          <w:szCs w:val="26"/>
        </w:rPr>
        <w:t> </w:t>
      </w:r>
      <w:r w:rsidRPr="00372DDD">
        <w:rPr>
          <w:szCs w:val="26"/>
        </w:rPr>
        <w:t xml:space="preserve">206.  </w:t>
      </w:r>
      <w:r w:rsidR="00B35676">
        <w:rPr>
          <w:szCs w:val="26"/>
        </w:rPr>
        <w:t>For the same reason, w</w:t>
      </w:r>
      <w:r>
        <w:rPr>
          <w:szCs w:val="26"/>
        </w:rPr>
        <w:t xml:space="preserve">e </w:t>
      </w:r>
      <w:r w:rsidR="00B35676">
        <w:rPr>
          <w:szCs w:val="26"/>
        </w:rPr>
        <w:t>disagree with</w:t>
      </w:r>
      <w:r>
        <w:rPr>
          <w:szCs w:val="26"/>
        </w:rPr>
        <w:t xml:space="preserve"> </w:t>
      </w:r>
      <w:r w:rsidRPr="00372DDD">
        <w:rPr>
          <w:szCs w:val="26"/>
        </w:rPr>
        <w:t>SPP TOs’ assertion that Order No. 1920-A raises a “major question” because it attempts to weaken FPA section</w:t>
      </w:r>
      <w:r w:rsidR="001D1621">
        <w:rPr>
          <w:szCs w:val="26"/>
        </w:rPr>
        <w:t>s</w:t>
      </w:r>
      <w:r w:rsidRPr="00372DDD">
        <w:rPr>
          <w:szCs w:val="26"/>
        </w:rPr>
        <w:t xml:space="preserve"> 205 and 206’s statutory constraints</w:t>
      </w:r>
      <w:r w:rsidR="00462014">
        <w:rPr>
          <w:szCs w:val="26"/>
        </w:rPr>
        <w:t>:</w:t>
      </w:r>
      <w:r w:rsidRPr="00372DDD">
        <w:rPr>
          <w:rStyle w:val="FootnoteReference"/>
          <w:szCs w:val="26"/>
        </w:rPr>
        <w:footnoteReference w:id="208"/>
      </w:r>
      <w:r w:rsidRPr="00372DDD" w:rsidDel="00462014">
        <w:rPr>
          <w:szCs w:val="26"/>
        </w:rPr>
        <w:t xml:space="preserve"> </w:t>
      </w:r>
      <w:r w:rsidR="008B2062">
        <w:rPr>
          <w:szCs w:val="26"/>
        </w:rPr>
        <w:t xml:space="preserve"> </w:t>
      </w:r>
      <w:r w:rsidRPr="00372DDD">
        <w:rPr>
          <w:szCs w:val="26"/>
        </w:rPr>
        <w:t xml:space="preserve">Order No. 1920-A is a </w:t>
      </w:r>
      <w:r w:rsidR="004F659E">
        <w:rPr>
          <w:szCs w:val="26"/>
        </w:rPr>
        <w:t>clear and unequivocal</w:t>
      </w:r>
      <w:r w:rsidRPr="00372DDD">
        <w:rPr>
          <w:szCs w:val="26"/>
        </w:rPr>
        <w:t xml:space="preserve"> application of the Commission’s authority under FPA</w:t>
      </w:r>
      <w:r>
        <w:rPr>
          <w:szCs w:val="26"/>
        </w:rPr>
        <w:t xml:space="preserve"> section 206</w:t>
      </w:r>
      <w:r w:rsidRPr="00372DDD">
        <w:rPr>
          <w:szCs w:val="26"/>
        </w:rPr>
        <w:t>.</w:t>
      </w:r>
    </w:p>
    <w:p w14:paraId="6D4225EB" w14:textId="3222809F" w:rsidR="00577558" w:rsidRDefault="00577558" w:rsidP="00577558">
      <w:pPr>
        <w:pStyle w:val="FERCparanumber"/>
        <w:rPr>
          <w:szCs w:val="26"/>
        </w:rPr>
      </w:pPr>
      <w:r>
        <w:rPr>
          <w:szCs w:val="26"/>
        </w:rPr>
        <w:lastRenderedPageBreak/>
        <w:t>We s</w:t>
      </w:r>
      <w:r w:rsidRPr="00372DDD">
        <w:rPr>
          <w:szCs w:val="26"/>
        </w:rPr>
        <w:t>imilarly</w:t>
      </w:r>
      <w:r>
        <w:rPr>
          <w:szCs w:val="26"/>
        </w:rPr>
        <w:t xml:space="preserve"> disagree with</w:t>
      </w:r>
      <w:r w:rsidRPr="00372DDD">
        <w:rPr>
          <w:szCs w:val="26"/>
        </w:rPr>
        <w:t xml:space="preserve"> SPP</w:t>
      </w:r>
      <w:r w:rsidR="00240032">
        <w:rPr>
          <w:szCs w:val="26"/>
        </w:rPr>
        <w:t xml:space="preserve"> TO</w:t>
      </w:r>
      <w:r w:rsidR="0073757B">
        <w:rPr>
          <w:szCs w:val="26"/>
        </w:rPr>
        <w:t>s</w:t>
      </w:r>
      <w:r w:rsidRPr="00372DDD">
        <w:rPr>
          <w:szCs w:val="26"/>
        </w:rPr>
        <w:t>’ claim that Order No. 1920-A sets a precedent in which, “in a future section 206 complaint proceeding, the Commission could authorize</w:t>
      </w:r>
      <w:r w:rsidRPr="00EC367C">
        <w:rPr>
          <w:szCs w:val="26"/>
        </w:rPr>
        <w:t xml:space="preserve"> states or other favored parties to include their preferred alternative remedies in other parties’ compliance filings without first having to make the first step showings under FPA section 206 that are normally required</w:t>
      </w:r>
      <w:r>
        <w:rPr>
          <w:szCs w:val="26"/>
        </w:rPr>
        <w:t>.</w:t>
      </w:r>
      <w:r w:rsidRPr="00EC367C">
        <w:rPr>
          <w:szCs w:val="26"/>
        </w:rPr>
        <w:t>”</w:t>
      </w:r>
      <w:r>
        <w:rPr>
          <w:rStyle w:val="FootnoteReference"/>
          <w:szCs w:val="26"/>
        </w:rPr>
        <w:footnoteReference w:id="209"/>
      </w:r>
      <w:r w:rsidRPr="00EC367C">
        <w:rPr>
          <w:szCs w:val="26"/>
        </w:rPr>
        <w:t xml:space="preserve">  The Commission considers compliance filings in FPA section 206 </w:t>
      </w:r>
      <w:r w:rsidR="00CA0B58">
        <w:rPr>
          <w:szCs w:val="26"/>
        </w:rPr>
        <w:t xml:space="preserve">rulemaking </w:t>
      </w:r>
      <w:r w:rsidRPr="00EC367C">
        <w:rPr>
          <w:szCs w:val="26"/>
        </w:rPr>
        <w:t xml:space="preserve">proceedings only after it makes a </w:t>
      </w:r>
      <w:r w:rsidR="0059161A">
        <w:rPr>
          <w:szCs w:val="26"/>
        </w:rPr>
        <w:t xml:space="preserve">  </w:t>
      </w:r>
      <w:r w:rsidRPr="00EC367C">
        <w:rPr>
          <w:szCs w:val="26"/>
        </w:rPr>
        <w:t xml:space="preserve">first-step determination that existing rates are unjust, unreasonable, </w:t>
      </w:r>
      <w:r w:rsidR="000A7BE0">
        <w:rPr>
          <w:szCs w:val="26"/>
        </w:rPr>
        <w:t xml:space="preserve">or </w:t>
      </w:r>
      <w:r w:rsidRPr="00EC367C">
        <w:rPr>
          <w:szCs w:val="26"/>
        </w:rPr>
        <w:t>unduly discriminatory or preferential</w:t>
      </w:r>
      <w:r w:rsidR="00C548C3">
        <w:rPr>
          <w:szCs w:val="26"/>
        </w:rPr>
        <w:t>,</w:t>
      </w:r>
      <w:r>
        <w:rPr>
          <w:rStyle w:val="FootnoteReference"/>
          <w:szCs w:val="26"/>
        </w:rPr>
        <w:footnoteReference w:id="210"/>
      </w:r>
      <w:r w:rsidRPr="00EC367C">
        <w:rPr>
          <w:szCs w:val="26"/>
        </w:rPr>
        <w:t xml:space="preserve"> </w:t>
      </w:r>
      <w:r w:rsidR="00C548C3">
        <w:rPr>
          <w:szCs w:val="26"/>
        </w:rPr>
        <w:t>as it did in Order No. </w:t>
      </w:r>
      <w:r w:rsidR="002500B0">
        <w:rPr>
          <w:szCs w:val="26"/>
        </w:rPr>
        <w:t xml:space="preserve">1920. </w:t>
      </w:r>
      <w:r w:rsidRPr="00EC367C">
        <w:rPr>
          <w:szCs w:val="26"/>
        </w:rPr>
        <w:t xml:space="preserve"> Once such a finding is made, the Commission </w:t>
      </w:r>
      <w:r w:rsidR="00CA0B58">
        <w:rPr>
          <w:szCs w:val="26"/>
        </w:rPr>
        <w:t>determines and fixes</w:t>
      </w:r>
      <w:r w:rsidR="00CA0B58" w:rsidRPr="00EC367C">
        <w:rPr>
          <w:szCs w:val="26"/>
        </w:rPr>
        <w:t xml:space="preserve"> </w:t>
      </w:r>
      <w:r w:rsidRPr="00EC367C">
        <w:rPr>
          <w:szCs w:val="26"/>
        </w:rPr>
        <w:t>the replacement rate, including through the use of compliance filings.</w:t>
      </w:r>
      <w:r>
        <w:rPr>
          <w:rStyle w:val="FootnoteReference"/>
          <w:szCs w:val="26"/>
        </w:rPr>
        <w:footnoteReference w:id="211"/>
      </w:r>
    </w:p>
    <w:p w14:paraId="1DB5A61A" w14:textId="7164FEEF" w:rsidR="00577558" w:rsidRPr="0081745F" w:rsidRDefault="00577558" w:rsidP="00577558">
      <w:pPr>
        <w:pStyle w:val="FERCparanumber"/>
        <w:rPr>
          <w:szCs w:val="26"/>
        </w:rPr>
      </w:pPr>
      <w:r>
        <w:rPr>
          <w:szCs w:val="26"/>
        </w:rPr>
        <w:t xml:space="preserve">Indicated PJM TOs claim that Order No. 1920-A intrudes into transmission providers’ decision making processes </w:t>
      </w:r>
      <w:r w:rsidRPr="00F67311">
        <w:rPr>
          <w:szCs w:val="26"/>
        </w:rPr>
        <w:t xml:space="preserve">by requiring that transmission providers include </w:t>
      </w:r>
      <w:r w:rsidR="0077696A">
        <w:rPr>
          <w:szCs w:val="26"/>
        </w:rPr>
        <w:t xml:space="preserve">Relevant State Entities’ </w:t>
      </w:r>
      <w:r w:rsidR="0077696A">
        <w:t>agreed-upon</w:t>
      </w:r>
      <w:r w:rsidR="0077696A" w:rsidRPr="00033D0B">
        <w:t xml:space="preserve"> Long-Term Regional Transmission Cost Allocation </w:t>
      </w:r>
      <w:r w:rsidR="0077696A" w:rsidRPr="00033D0B">
        <w:lastRenderedPageBreak/>
        <w:t>Method</w:t>
      </w:r>
      <w:r w:rsidR="0077696A" w:rsidRPr="009F1706">
        <w:t>(s)</w:t>
      </w:r>
      <w:r w:rsidR="0077696A" w:rsidRPr="00033D0B">
        <w:t xml:space="preserve"> and/or State Agreement</w:t>
      </w:r>
      <w:r w:rsidR="0077696A">
        <w:t xml:space="preserve"> </w:t>
      </w:r>
      <w:r w:rsidR="0077696A" w:rsidRPr="008B3BC7">
        <w:t>Process</w:t>
      </w:r>
      <w:r w:rsidR="0077696A" w:rsidRPr="00F67311">
        <w:rPr>
          <w:szCs w:val="26"/>
        </w:rPr>
        <w:t xml:space="preserve"> </w:t>
      </w:r>
      <w:r w:rsidRPr="00F67311">
        <w:rPr>
          <w:szCs w:val="26"/>
        </w:rPr>
        <w:t>in transmission providers</w:t>
      </w:r>
      <w:r>
        <w:rPr>
          <w:szCs w:val="26"/>
        </w:rPr>
        <w:t>’</w:t>
      </w:r>
      <w:r w:rsidRPr="00F67311">
        <w:rPr>
          <w:szCs w:val="26"/>
        </w:rPr>
        <w:t xml:space="preserve"> compliance filings</w:t>
      </w:r>
      <w:r>
        <w:rPr>
          <w:szCs w:val="26"/>
        </w:rPr>
        <w:t>.</w:t>
      </w:r>
      <w:r>
        <w:rPr>
          <w:rStyle w:val="FootnoteReference"/>
          <w:szCs w:val="26"/>
        </w:rPr>
        <w:footnoteReference w:id="212"/>
      </w:r>
      <w:r>
        <w:rPr>
          <w:szCs w:val="26"/>
        </w:rPr>
        <w:t xml:space="preserve">  </w:t>
      </w:r>
      <w:r w:rsidR="00C2607A">
        <w:rPr>
          <w:szCs w:val="26"/>
        </w:rPr>
        <w:t xml:space="preserve">We disagree, however, with </w:t>
      </w:r>
      <w:r w:rsidR="00AD5F1B">
        <w:rPr>
          <w:szCs w:val="26"/>
        </w:rPr>
        <w:t xml:space="preserve">the </w:t>
      </w:r>
      <w:r>
        <w:rPr>
          <w:szCs w:val="26"/>
        </w:rPr>
        <w:t>factual</w:t>
      </w:r>
      <w:r w:rsidRPr="0085518A">
        <w:rPr>
          <w:szCs w:val="26"/>
        </w:rPr>
        <w:t xml:space="preserve"> premise of this argument—that the requirement to include the Relevant State Entities’ </w:t>
      </w:r>
      <w:r w:rsidR="005F66B6" w:rsidRPr="00DB37CD">
        <w:t xml:space="preserve">Long-Term Regional Transmission </w:t>
      </w:r>
      <w:r w:rsidR="005F66B6" w:rsidRPr="0085518A">
        <w:rPr>
          <w:szCs w:val="26"/>
        </w:rPr>
        <w:t>Cost Allocation Method</w:t>
      </w:r>
      <w:r w:rsidR="006D4834" w:rsidRPr="00C2151D">
        <w:rPr>
          <w:szCs w:val="26"/>
        </w:rPr>
        <w:t>(s) and</w:t>
      </w:r>
      <w:r w:rsidR="006D4834">
        <w:rPr>
          <w:szCs w:val="26"/>
        </w:rPr>
        <w:t>/</w:t>
      </w:r>
      <w:r w:rsidR="005F66B6">
        <w:rPr>
          <w:szCs w:val="26"/>
        </w:rPr>
        <w:t xml:space="preserve">or State Agreement </w:t>
      </w:r>
      <w:r w:rsidR="005F66B6" w:rsidRPr="000F2589">
        <w:rPr>
          <w:szCs w:val="26"/>
        </w:rPr>
        <w:t xml:space="preserve">Process </w:t>
      </w:r>
      <w:r w:rsidRPr="0085518A">
        <w:rPr>
          <w:szCs w:val="26"/>
        </w:rPr>
        <w:t>in transmission providers’ compliance filing</w:t>
      </w:r>
      <w:r w:rsidR="008B3E1A">
        <w:rPr>
          <w:szCs w:val="26"/>
        </w:rPr>
        <w:t>s</w:t>
      </w:r>
      <w:r w:rsidRPr="0085518A">
        <w:rPr>
          <w:szCs w:val="26"/>
        </w:rPr>
        <w:t xml:space="preserve"> </w:t>
      </w:r>
      <w:r w:rsidR="00AA0B12" w:rsidRPr="00C2151D">
        <w:rPr>
          <w:szCs w:val="26"/>
        </w:rPr>
        <w:t>changes</w:t>
      </w:r>
      <w:r w:rsidR="00AA0B12" w:rsidRPr="0085518A">
        <w:rPr>
          <w:szCs w:val="26"/>
        </w:rPr>
        <w:t xml:space="preserve"> </w:t>
      </w:r>
      <w:r>
        <w:rPr>
          <w:szCs w:val="26"/>
        </w:rPr>
        <w:t>transmission providers’</w:t>
      </w:r>
      <w:r w:rsidRPr="0085518A">
        <w:rPr>
          <w:szCs w:val="26"/>
        </w:rPr>
        <w:t xml:space="preserve"> decision</w:t>
      </w:r>
      <w:r w:rsidR="00CA6CDA">
        <w:rPr>
          <w:szCs w:val="26"/>
        </w:rPr>
        <w:t>-</w:t>
      </w:r>
      <w:r w:rsidRPr="0085518A">
        <w:rPr>
          <w:szCs w:val="26"/>
        </w:rPr>
        <w:t xml:space="preserve">making process as to </w:t>
      </w:r>
      <w:r w:rsidR="00DB5133" w:rsidRPr="00C2151D">
        <w:rPr>
          <w:szCs w:val="26"/>
        </w:rPr>
        <w:t xml:space="preserve">what </w:t>
      </w:r>
      <w:r w:rsidR="0003176A" w:rsidRPr="00C2151D">
        <w:rPr>
          <w:szCs w:val="26"/>
        </w:rPr>
        <w:t xml:space="preserve">proposal </w:t>
      </w:r>
      <w:r w:rsidR="001D45F3" w:rsidRPr="00C2151D">
        <w:rPr>
          <w:szCs w:val="26"/>
        </w:rPr>
        <w:t>transmission providers</w:t>
      </w:r>
      <w:r w:rsidR="00DB5133" w:rsidRPr="00C2151D">
        <w:rPr>
          <w:szCs w:val="26"/>
        </w:rPr>
        <w:t xml:space="preserve"> </w:t>
      </w:r>
      <w:r w:rsidR="006A73C4" w:rsidRPr="00C2151D">
        <w:rPr>
          <w:szCs w:val="26"/>
        </w:rPr>
        <w:t>choose to</w:t>
      </w:r>
      <w:r w:rsidR="0003176A" w:rsidRPr="00C2151D">
        <w:rPr>
          <w:szCs w:val="26"/>
        </w:rPr>
        <w:t xml:space="preserve"> make in their compliance filing</w:t>
      </w:r>
      <w:r w:rsidR="00153F39">
        <w:rPr>
          <w:szCs w:val="26"/>
        </w:rPr>
        <w:t>.</w:t>
      </w:r>
      <w:r>
        <w:rPr>
          <w:rStyle w:val="FootnoteReference"/>
          <w:szCs w:val="26"/>
        </w:rPr>
        <w:footnoteReference w:id="213"/>
      </w:r>
      <w:r w:rsidRPr="0085518A">
        <w:rPr>
          <w:szCs w:val="26"/>
        </w:rPr>
        <w:t xml:space="preserve">  </w:t>
      </w:r>
      <w:r w:rsidR="00544903">
        <w:rPr>
          <w:szCs w:val="26"/>
        </w:rPr>
        <w:t xml:space="preserve">Regardless of </w:t>
      </w:r>
      <w:r w:rsidR="00270334">
        <w:rPr>
          <w:szCs w:val="26"/>
        </w:rPr>
        <w:t>Order No. 1920-A’s filing requirement, t</w:t>
      </w:r>
      <w:r w:rsidRPr="0085518A">
        <w:rPr>
          <w:szCs w:val="26"/>
        </w:rPr>
        <w:t xml:space="preserve">ransmission providers </w:t>
      </w:r>
      <w:r w:rsidR="00270334">
        <w:rPr>
          <w:szCs w:val="26"/>
        </w:rPr>
        <w:t>will</w:t>
      </w:r>
      <w:r w:rsidR="002829D1">
        <w:rPr>
          <w:szCs w:val="26"/>
        </w:rPr>
        <w:t xml:space="preserve"> need to</w:t>
      </w:r>
      <w:r w:rsidRPr="0085518A">
        <w:rPr>
          <w:szCs w:val="26"/>
        </w:rPr>
        <w:t xml:space="preserve"> deci</w:t>
      </w:r>
      <w:r w:rsidR="0016700F">
        <w:rPr>
          <w:szCs w:val="26"/>
        </w:rPr>
        <w:t>de</w:t>
      </w:r>
      <w:r w:rsidRPr="0085518A">
        <w:rPr>
          <w:szCs w:val="26"/>
        </w:rPr>
        <w:t xml:space="preserve"> whether to adopt Relevant State Entities’ </w:t>
      </w:r>
      <w:r w:rsidRPr="00DB37CD">
        <w:t xml:space="preserve">Long-Term Regional Transmission </w:t>
      </w:r>
      <w:r w:rsidRPr="0085518A">
        <w:rPr>
          <w:szCs w:val="26"/>
        </w:rPr>
        <w:t>Cost Allocation Method</w:t>
      </w:r>
      <w:r w:rsidR="008E5A2E" w:rsidRPr="00C2151D">
        <w:rPr>
          <w:szCs w:val="26"/>
        </w:rPr>
        <w:t>(s)</w:t>
      </w:r>
      <w:r w:rsidRPr="0085518A">
        <w:rPr>
          <w:szCs w:val="26"/>
        </w:rPr>
        <w:t xml:space="preserve"> </w:t>
      </w:r>
      <w:r w:rsidR="0015477B">
        <w:rPr>
          <w:szCs w:val="26"/>
        </w:rPr>
        <w:t>and/</w:t>
      </w:r>
      <w:r w:rsidRPr="0085518A">
        <w:rPr>
          <w:szCs w:val="26"/>
        </w:rPr>
        <w:t>or</w:t>
      </w:r>
      <w:r w:rsidR="0015477B">
        <w:rPr>
          <w:szCs w:val="26"/>
        </w:rPr>
        <w:t xml:space="preserve"> State Agreement Process, or</w:t>
      </w:r>
      <w:r w:rsidRPr="0085518A">
        <w:rPr>
          <w:szCs w:val="26"/>
        </w:rPr>
        <w:t xml:space="preserve"> file a</w:t>
      </w:r>
      <w:r>
        <w:rPr>
          <w:szCs w:val="26"/>
        </w:rPr>
        <w:t xml:space="preserve"> different </w:t>
      </w:r>
      <w:r w:rsidRPr="0085518A">
        <w:rPr>
          <w:szCs w:val="26"/>
        </w:rPr>
        <w:t xml:space="preserve">proposal.  </w:t>
      </w:r>
      <w:r w:rsidR="00134577">
        <w:rPr>
          <w:szCs w:val="26"/>
        </w:rPr>
        <w:t>And if transmission providers decide to file a different proposal, the requirement to simply include or attach</w:t>
      </w:r>
      <w:r w:rsidR="00CC7DA6">
        <w:rPr>
          <w:szCs w:val="26"/>
        </w:rPr>
        <w:t xml:space="preserve">, without characterization, </w:t>
      </w:r>
      <w:r w:rsidR="005B3787">
        <w:rPr>
          <w:szCs w:val="26"/>
        </w:rPr>
        <w:t xml:space="preserve">Relevant State </w:t>
      </w:r>
      <w:proofErr w:type="gramStart"/>
      <w:r w:rsidR="005B3787">
        <w:rPr>
          <w:szCs w:val="26"/>
        </w:rPr>
        <w:t>Entities’</w:t>
      </w:r>
      <w:proofErr w:type="gramEnd"/>
      <w:r w:rsidR="005B3787">
        <w:rPr>
          <w:szCs w:val="26"/>
        </w:rPr>
        <w:t xml:space="preserve"> agreed-upon </w:t>
      </w:r>
      <w:r w:rsidR="0059161A">
        <w:rPr>
          <w:szCs w:val="26"/>
        </w:rPr>
        <w:t xml:space="preserve">       </w:t>
      </w:r>
      <w:r w:rsidR="005B3787">
        <w:rPr>
          <w:szCs w:val="26"/>
        </w:rPr>
        <w:t>Long-Term Regional Transmission Cost Allocation Method(s) and/or State Agreement Process</w:t>
      </w:r>
      <w:r w:rsidR="00CC7DA6">
        <w:rPr>
          <w:szCs w:val="26"/>
        </w:rPr>
        <w:t xml:space="preserve"> and associated information received from Relevant State Entities need not involve deliberation.</w:t>
      </w:r>
      <w:r w:rsidR="00134577">
        <w:rPr>
          <w:szCs w:val="26"/>
        </w:rPr>
        <w:t xml:space="preserve"> </w:t>
      </w:r>
      <w:r w:rsidR="00CC7DA6">
        <w:rPr>
          <w:szCs w:val="26"/>
        </w:rPr>
        <w:t xml:space="preserve"> </w:t>
      </w:r>
      <w:r w:rsidR="00732517">
        <w:rPr>
          <w:szCs w:val="26"/>
        </w:rPr>
        <w:t>In short, t</w:t>
      </w:r>
      <w:r w:rsidRPr="0085518A">
        <w:rPr>
          <w:szCs w:val="26"/>
        </w:rPr>
        <w:t>he Commission is not regulating transmission providers</w:t>
      </w:r>
      <w:r>
        <w:rPr>
          <w:szCs w:val="26"/>
        </w:rPr>
        <w:t>’</w:t>
      </w:r>
      <w:r w:rsidRPr="0085518A">
        <w:rPr>
          <w:szCs w:val="26"/>
        </w:rPr>
        <w:t xml:space="preserve"> </w:t>
      </w:r>
      <w:r w:rsidR="008E7254">
        <w:rPr>
          <w:szCs w:val="26"/>
        </w:rPr>
        <w:t>decision</w:t>
      </w:r>
      <w:r w:rsidR="00BA368F" w:rsidRPr="002076DE" w:rsidDel="00BA368F">
        <w:rPr>
          <w:rStyle w:val="FootnoteReference"/>
        </w:rPr>
        <w:t xml:space="preserve"> </w:t>
      </w:r>
      <w:r w:rsidRPr="0085518A" w:rsidDel="00CA0B58">
        <w:rPr>
          <w:szCs w:val="26"/>
        </w:rPr>
        <w:t xml:space="preserve"> </w:t>
      </w:r>
      <w:r w:rsidRPr="0085518A">
        <w:rPr>
          <w:szCs w:val="26"/>
        </w:rPr>
        <w:t>as to what proposal they make on compliance.</w:t>
      </w:r>
      <w:r>
        <w:rPr>
          <w:rStyle w:val="FootnoteReference"/>
          <w:szCs w:val="26"/>
        </w:rPr>
        <w:footnoteReference w:id="214"/>
      </w:r>
    </w:p>
    <w:p w14:paraId="5CB2057E" w14:textId="490B4E4D" w:rsidR="00577558" w:rsidRPr="0081745F" w:rsidRDefault="00577558" w:rsidP="00577558">
      <w:pPr>
        <w:pStyle w:val="FERCparanumber"/>
        <w:rPr>
          <w:szCs w:val="26"/>
        </w:rPr>
      </w:pPr>
      <w:r>
        <w:rPr>
          <w:szCs w:val="26"/>
        </w:rPr>
        <w:lastRenderedPageBreak/>
        <w:t xml:space="preserve">Indicated PJM TOs’ argument is also incorrect for other reasons.  This argument is further premised on an alleged intrusion on public utilities’ “internal decisions on whether to submit a filing </w:t>
      </w:r>
      <w:r>
        <w:rPr>
          <w:i/>
          <w:szCs w:val="26"/>
        </w:rPr>
        <w:t>under section 205 of the FPA</w:t>
      </w:r>
      <w:r>
        <w:rPr>
          <w:szCs w:val="26"/>
        </w:rPr>
        <w:t xml:space="preserve"> and the content of that filing.”</w:t>
      </w:r>
      <w:r>
        <w:rPr>
          <w:rStyle w:val="FootnoteReference"/>
          <w:szCs w:val="26"/>
        </w:rPr>
        <w:footnoteReference w:id="215"/>
      </w:r>
      <w:r>
        <w:rPr>
          <w:szCs w:val="26"/>
        </w:rPr>
        <w:t xml:space="preserve">  But, as discussed above, compliance filings are not submitted under FPA section 205</w:t>
      </w:r>
      <w:r w:rsidR="00F53A10">
        <w:rPr>
          <w:szCs w:val="26"/>
        </w:rPr>
        <w:t xml:space="preserve">.  The compliance filing at issue here is a one-time requirement under FPA section 206.  </w:t>
      </w:r>
      <w:proofErr w:type="gramStart"/>
      <w:r w:rsidR="00F53A10">
        <w:rPr>
          <w:szCs w:val="26"/>
        </w:rPr>
        <w:t>So</w:t>
      </w:r>
      <w:proofErr w:type="gramEnd"/>
      <w:r>
        <w:rPr>
          <w:szCs w:val="26"/>
        </w:rPr>
        <w:t xml:space="preserve"> the premise of this argument is also mistaken</w:t>
      </w:r>
      <w:r w:rsidR="00893F2D">
        <w:rPr>
          <w:szCs w:val="26"/>
        </w:rPr>
        <w:t xml:space="preserve"> as a matter of law and fact</w:t>
      </w:r>
      <w:r>
        <w:rPr>
          <w:szCs w:val="26"/>
        </w:rPr>
        <w:t xml:space="preserve">.  </w:t>
      </w:r>
    </w:p>
    <w:p w14:paraId="348988A4" w14:textId="2EA15240" w:rsidR="00577558" w:rsidRPr="00792E11" w:rsidRDefault="00577558" w:rsidP="00577558">
      <w:pPr>
        <w:pStyle w:val="FERCparanumber"/>
      </w:pPr>
      <w:r>
        <w:rPr>
          <w:szCs w:val="26"/>
        </w:rPr>
        <w:t>EEI, SPP TOs, and WIRES each argue that there are other avenues (e.g., protests) for parties to be heard with respect to cost allocation, such that allegedly infringing on transmission providers</w:t>
      </w:r>
      <w:r w:rsidR="00301567">
        <w:rPr>
          <w:szCs w:val="26"/>
        </w:rPr>
        <w:t>’</w:t>
      </w:r>
      <w:r>
        <w:rPr>
          <w:szCs w:val="26"/>
        </w:rPr>
        <w:t xml:space="preserve"> FPA section 205 rights by requiring inclusion of Relevant State Entities’ materials in transmission provider’s compliance filings is not necessary or justified.</w:t>
      </w:r>
      <w:r>
        <w:rPr>
          <w:rStyle w:val="FootnoteReference"/>
          <w:szCs w:val="26"/>
        </w:rPr>
        <w:footnoteReference w:id="216"/>
      </w:r>
      <w:r>
        <w:rPr>
          <w:szCs w:val="26"/>
        </w:rPr>
        <w:t xml:space="preserve">  For the most part, these arguments appear to be claims that the Commission’s decision on this point was arbitrary and capricious or </w:t>
      </w:r>
      <w:r w:rsidR="00436001">
        <w:rPr>
          <w:szCs w:val="26"/>
        </w:rPr>
        <w:t xml:space="preserve">that </w:t>
      </w:r>
      <w:r>
        <w:rPr>
          <w:szCs w:val="26"/>
        </w:rPr>
        <w:t>the Commission should have adopted a different approach.</w:t>
      </w:r>
      <w:r>
        <w:rPr>
          <w:rStyle w:val="FootnoteReference"/>
          <w:szCs w:val="26"/>
        </w:rPr>
        <w:footnoteReference w:id="217"/>
      </w:r>
      <w:r>
        <w:rPr>
          <w:szCs w:val="26"/>
        </w:rPr>
        <w:t xml:space="preserve">  At times, however, rehearing petitioners </w:t>
      </w:r>
      <w:r>
        <w:rPr>
          <w:szCs w:val="26"/>
        </w:rPr>
        <w:lastRenderedPageBreak/>
        <w:t>link these arguments to their claims that the Commission has afforded Relevant State Entities rights not found in the FPA.</w:t>
      </w:r>
      <w:r>
        <w:rPr>
          <w:rStyle w:val="FootnoteReference"/>
          <w:szCs w:val="26"/>
        </w:rPr>
        <w:footnoteReference w:id="218"/>
      </w:r>
      <w:r>
        <w:rPr>
          <w:szCs w:val="26"/>
        </w:rPr>
        <w:t xml:space="preserve">  We reject these arguments as inconsistent with the statutory text and structure, as well as applicable precedent</w:t>
      </w:r>
      <w:r w:rsidR="00C67D91">
        <w:rPr>
          <w:szCs w:val="26"/>
        </w:rPr>
        <w:t>.  A</w:t>
      </w:r>
      <w:r w:rsidR="00C67D91" w:rsidRPr="00C67D91">
        <w:rPr>
          <w:szCs w:val="26"/>
        </w:rPr>
        <w:t xml:space="preserve">lthough protests are one way </w:t>
      </w:r>
      <w:r w:rsidR="000E003C">
        <w:rPr>
          <w:szCs w:val="26"/>
        </w:rPr>
        <w:t xml:space="preserve">that </w:t>
      </w:r>
      <w:r w:rsidR="00C67D91" w:rsidRPr="00C67D91">
        <w:rPr>
          <w:szCs w:val="26"/>
        </w:rPr>
        <w:t>other entities can be heard, the FPA does not limit the Commission</w:t>
      </w:r>
      <w:r w:rsidR="003B6287">
        <w:rPr>
          <w:szCs w:val="26"/>
        </w:rPr>
        <w:t>’</w:t>
      </w:r>
      <w:r w:rsidR="00C67D91" w:rsidRPr="00C67D91">
        <w:rPr>
          <w:szCs w:val="26"/>
        </w:rPr>
        <w:t>s ability</w:t>
      </w:r>
      <w:r w:rsidR="00D67CD1">
        <w:rPr>
          <w:szCs w:val="26"/>
        </w:rPr>
        <w:t xml:space="preserve"> to determine how to build the record when</w:t>
      </w:r>
      <w:r w:rsidR="00A21258" w:rsidDel="00D13CDA">
        <w:rPr>
          <w:szCs w:val="26"/>
        </w:rPr>
        <w:t xml:space="preserve"> </w:t>
      </w:r>
      <w:r w:rsidR="00D13CDA">
        <w:rPr>
          <w:szCs w:val="26"/>
        </w:rPr>
        <w:t xml:space="preserve">determining and fixing </w:t>
      </w:r>
      <w:r w:rsidR="001A093C">
        <w:rPr>
          <w:szCs w:val="26"/>
        </w:rPr>
        <w:t>an</w:t>
      </w:r>
      <w:r w:rsidR="00A21258">
        <w:rPr>
          <w:szCs w:val="26"/>
        </w:rPr>
        <w:t xml:space="preserve"> appropriate replacement rate under FPA section 206</w:t>
      </w:r>
      <w:r w:rsidR="00605E2D">
        <w:rPr>
          <w:szCs w:val="26"/>
        </w:rPr>
        <w:t>.</w:t>
      </w:r>
      <w:r w:rsidR="00605E2D">
        <w:rPr>
          <w:rStyle w:val="FootnoteReference"/>
          <w:szCs w:val="26"/>
        </w:rPr>
        <w:footnoteReference w:id="219"/>
      </w:r>
    </w:p>
    <w:p w14:paraId="1B4BDB90" w14:textId="2B50519B" w:rsidR="00577558" w:rsidRDefault="00D76558" w:rsidP="00167C5A">
      <w:pPr>
        <w:pStyle w:val="Heading6"/>
        <w:spacing w:line="240" w:lineRule="auto"/>
      </w:pPr>
      <w:r>
        <w:t xml:space="preserve">Commission </w:t>
      </w:r>
      <w:r w:rsidR="00577558" w:rsidRPr="00090981">
        <w:t xml:space="preserve">Consideration of Relevant State Entities’ </w:t>
      </w:r>
      <w:r w:rsidR="00577558">
        <w:t>Agreed-upon</w:t>
      </w:r>
      <w:r w:rsidR="00577558" w:rsidRPr="00090981">
        <w:t xml:space="preserve"> Long-Term Regional Transmission Cost Allocation Method</w:t>
      </w:r>
      <w:r w:rsidR="00D54017" w:rsidRPr="00434319">
        <w:t>(</w:t>
      </w:r>
      <w:r w:rsidR="00577558" w:rsidRPr="00434319">
        <w:t>s</w:t>
      </w:r>
      <w:r w:rsidR="00D54017" w:rsidRPr="00434319">
        <w:t>)</w:t>
      </w:r>
      <w:r w:rsidR="00577558" w:rsidRPr="00090981">
        <w:t xml:space="preserve"> and/or State Agreement </w:t>
      </w:r>
      <w:r w:rsidR="00577558" w:rsidRPr="00434319">
        <w:t>Process</w:t>
      </w:r>
      <w:r w:rsidR="00577558">
        <w:br/>
      </w:r>
    </w:p>
    <w:p w14:paraId="4832F0F0" w14:textId="435779CE" w:rsidR="00577558" w:rsidRDefault="00577558" w:rsidP="00577558">
      <w:pPr>
        <w:pStyle w:val="FERCparanumber"/>
      </w:pPr>
      <w:r>
        <w:t xml:space="preserve">The above discussion of the statutory text, structure, and precedent rebuts the core of the challenges to the Commission’s determination that it will “consider the entire record—including </w:t>
      </w:r>
      <w:r w:rsidR="00A14D85">
        <w:t xml:space="preserve">the </w:t>
      </w:r>
      <w:r>
        <w:t>Relevant State Entities’ agreed-upon Long-Term Regional Transmission Cost Allocation Method and/or State Agreement Process and the transmission providers’ proposal—when setting the replacement rate.”</w:t>
      </w:r>
      <w:r>
        <w:rPr>
          <w:rStyle w:val="FootnoteReference"/>
        </w:rPr>
        <w:footnoteReference w:id="220"/>
      </w:r>
      <w:r>
        <w:t xml:space="preserve">  We address in </w:t>
      </w:r>
      <w:r>
        <w:lastRenderedPageBreak/>
        <w:t>additional detail certain of the specific arguments raised on rehearing challenging Order No. 1920-A in this respect.</w:t>
      </w:r>
    </w:p>
    <w:p w14:paraId="655207EB" w14:textId="7AE3BD78" w:rsidR="00577558" w:rsidRDefault="00577558" w:rsidP="00577558">
      <w:pPr>
        <w:pStyle w:val="FERCparanumber"/>
      </w:pPr>
      <w:r>
        <w:t>We continue to conclude that “</w:t>
      </w:r>
      <w:r w:rsidRPr="001476DF">
        <w:t>the Commission need only select a replacement rate that complies with the final rule and that is adequately supported in the record, and then intelligibly explain the reasons for its choice</w:t>
      </w:r>
      <w:r>
        <w:t>.”</w:t>
      </w:r>
      <w:r>
        <w:rPr>
          <w:rStyle w:val="FootnoteReference"/>
        </w:rPr>
        <w:footnoteReference w:id="221"/>
      </w:r>
      <w:r>
        <w:t xml:space="preserve">  Claims that Order No. 1920-A distorts the statutory scheme by “elevating” Relevant State Entities to the equivalent of public </w:t>
      </w:r>
      <w:r w:rsidRPr="00CC50C6">
        <w:t xml:space="preserve">utilities by requiring that their </w:t>
      </w:r>
      <w:r w:rsidR="0077696A">
        <w:t>agreed-upon</w:t>
      </w:r>
      <w:r w:rsidR="0077696A" w:rsidRPr="00033D0B">
        <w:t xml:space="preserve"> Long-Term Regional Transmission Cost Allocation Method</w:t>
      </w:r>
      <w:r w:rsidR="0077696A" w:rsidRPr="009F1706">
        <w:t>(s)</w:t>
      </w:r>
      <w:r w:rsidR="0077696A" w:rsidRPr="00033D0B">
        <w:t xml:space="preserve"> and/or State Agreement</w:t>
      </w:r>
      <w:r w:rsidR="0077696A">
        <w:t xml:space="preserve"> </w:t>
      </w:r>
      <w:r w:rsidR="0077696A" w:rsidRPr="008B3BC7">
        <w:t>Process</w:t>
      </w:r>
      <w:r w:rsidRPr="00CC50C6">
        <w:t xml:space="preserve"> be included in the compliance filing, which will be assessed under the same just and reasonable standard as articulated in FPA section</w:t>
      </w:r>
      <w:r w:rsidR="003F6F18">
        <w:t> </w:t>
      </w:r>
      <w:r w:rsidRPr="00CC50C6">
        <w:t>205</w:t>
      </w:r>
      <w:r w:rsidR="003304CD">
        <w:t>,</w:t>
      </w:r>
      <w:r w:rsidRPr="00CC50C6">
        <w:rPr>
          <w:rStyle w:val="FootnoteReference"/>
        </w:rPr>
        <w:footnoteReference w:id="222"/>
      </w:r>
      <w:r w:rsidRPr="00CC50C6">
        <w:t xml:space="preserve"> are unpersuasive</w:t>
      </w:r>
      <w:r>
        <w:t>.  As discussed</w:t>
      </w:r>
      <w:r w:rsidR="00994B43">
        <w:t xml:space="preserve"> above</w:t>
      </w:r>
      <w:r>
        <w:t>, FPA section 206 does not specify that the Commission may only consider public utilities’ proposals for a replacement rate</w:t>
      </w:r>
      <w:r w:rsidR="00B612D1">
        <w:t xml:space="preserve">; </w:t>
      </w:r>
      <w:r w:rsidR="00B612D1" w:rsidRPr="00B612D1">
        <w:t>rather, FPA section 206 merely requires a hearing prior to finding the existing rate unjust and reasonable, and then empowers the Commission to determine and fix the replacement rate by order</w:t>
      </w:r>
      <w:r>
        <w:t>.</w:t>
      </w:r>
      <w:r>
        <w:rPr>
          <w:rStyle w:val="FootnoteReference"/>
        </w:rPr>
        <w:footnoteReference w:id="223"/>
      </w:r>
      <w:r>
        <w:t xml:space="preserve">  </w:t>
      </w:r>
      <w:r w:rsidR="00DF31F9">
        <w:t>In fact</w:t>
      </w:r>
      <w:r w:rsidR="00DF31F9" w:rsidRPr="00DF31F9">
        <w:t xml:space="preserve">, the D.C. Circuit has explained that the Commission is not required to await public utilities’ proposals on compliance at all but may instead </w:t>
      </w:r>
      <w:r w:rsidR="00DF31F9">
        <w:t>determine and fix</w:t>
      </w:r>
      <w:r w:rsidR="00DF31F9" w:rsidRPr="00DF31F9">
        <w:t xml:space="preserve"> the replacement rate</w:t>
      </w:r>
      <w:r w:rsidR="00F3453A">
        <w:t xml:space="preserve"> coincident with the finding </w:t>
      </w:r>
      <w:r w:rsidR="005A57C8">
        <w:t>under the first prong of FPA section 206</w:t>
      </w:r>
      <w:r w:rsidR="00F3453A">
        <w:t xml:space="preserve"> that the existing rate is unjust and unreasonable</w:t>
      </w:r>
      <w:r w:rsidR="00DF31F9" w:rsidRPr="00DF31F9">
        <w:t>.</w:t>
      </w:r>
      <w:r w:rsidR="00DF31F9">
        <w:rPr>
          <w:rStyle w:val="FootnoteReference"/>
        </w:rPr>
        <w:footnoteReference w:id="224"/>
      </w:r>
      <w:r w:rsidR="00DF31F9" w:rsidRPr="00DF31F9">
        <w:t xml:space="preserve">  </w:t>
      </w:r>
      <w:r>
        <w:t xml:space="preserve">And </w:t>
      </w:r>
      <w:r>
        <w:lastRenderedPageBreak/>
        <w:t>while the Commission has typically adopted public utilities’ compliant just and reasonable proposals for the replacement rate without considering alternate proposals by other entities, FPA section 206 does not</w:t>
      </w:r>
      <w:r w:rsidR="0044150D">
        <w:t xml:space="preserve"> prevent the Commission from taking a different approach</w:t>
      </w:r>
      <w:r w:rsidDel="0044150D">
        <w:t xml:space="preserve"> </w:t>
      </w:r>
      <w:r w:rsidR="00FD1578">
        <w:t xml:space="preserve">in </w:t>
      </w:r>
      <w:r w:rsidR="003A7D91">
        <w:t xml:space="preserve">a </w:t>
      </w:r>
      <w:r w:rsidR="00FD1578">
        <w:t>specific rulemaking proceeding</w:t>
      </w:r>
      <w:r>
        <w:t>.  Rather, and as discussed further below,</w:t>
      </w:r>
      <w:r>
        <w:rPr>
          <w:rStyle w:val="FootnoteReference"/>
        </w:rPr>
        <w:footnoteReference w:id="225"/>
      </w:r>
      <w:r>
        <w:t xml:space="preserve"> where the Commission has adopted transmission providers’ proposals on compliance</w:t>
      </w:r>
      <w:r w:rsidR="0031062E">
        <w:t xml:space="preserve"> where it finds them compliant with the requirements of the final rule</w:t>
      </w:r>
      <w:r>
        <w:t xml:space="preserve">, it has done so based on pragmatic considerations and </w:t>
      </w:r>
      <w:r w:rsidR="00416BF6">
        <w:t>pursuant to its</w:t>
      </w:r>
      <w:r>
        <w:t xml:space="preserve"> authority and discretion to </w:t>
      </w:r>
      <w:r w:rsidR="00361D12">
        <w:t>determine</w:t>
      </w:r>
      <w:r w:rsidR="00BA0A56">
        <w:t xml:space="preserve"> and fix</w:t>
      </w:r>
      <w:r w:rsidR="00361D12">
        <w:t xml:space="preserve"> </w:t>
      </w:r>
      <w:r>
        <w:t>a just and reasonable rate.</w:t>
      </w:r>
      <w:r>
        <w:rPr>
          <w:rStyle w:val="FootnoteReference"/>
        </w:rPr>
        <w:footnoteReference w:id="226"/>
      </w:r>
      <w:r>
        <w:t xml:space="preserve"> </w:t>
      </w:r>
    </w:p>
    <w:p w14:paraId="1706AF52" w14:textId="19ADD2E6" w:rsidR="00577558" w:rsidRPr="0024564A" w:rsidRDefault="00577558" w:rsidP="00577558">
      <w:pPr>
        <w:pStyle w:val="FERCparanumber"/>
      </w:pPr>
      <w:r>
        <w:t xml:space="preserve">Relatedly, MISO TOs misunderstand Order No. 1920-A in contending that the Commission has ascribed “heightened importance” to state-developed cost allocation methods in the context of planning to meet Long-Term Transmission Needs, such that the Commission will be particularly likely to accept Relevant State Entities’ </w:t>
      </w:r>
      <w:r w:rsidR="0077696A">
        <w:t>agreed-upon</w:t>
      </w:r>
      <w:r w:rsidR="0077696A" w:rsidRPr="00033D0B">
        <w:t xml:space="preserve"> Long-Term Regional Transmission Cost Allocation Method</w:t>
      </w:r>
      <w:r w:rsidR="0077696A" w:rsidRPr="009F1706">
        <w:t>(s)</w:t>
      </w:r>
      <w:r w:rsidR="0077696A" w:rsidRPr="00033D0B">
        <w:t xml:space="preserve"> and/or State Agreement</w:t>
      </w:r>
      <w:r w:rsidR="0077696A">
        <w:t xml:space="preserve"> </w:t>
      </w:r>
      <w:r w:rsidR="0077696A" w:rsidRPr="008B3BC7">
        <w:lastRenderedPageBreak/>
        <w:t>Process</w:t>
      </w:r>
      <w:r>
        <w:t xml:space="preserve"> rather than those of transmission providers.</w:t>
      </w:r>
      <w:r>
        <w:rPr>
          <w:rStyle w:val="FootnoteReference"/>
        </w:rPr>
        <w:footnoteReference w:id="227"/>
      </w:r>
      <w:r>
        <w:t xml:space="preserve">  </w:t>
      </w:r>
      <w:r w:rsidR="00F834CC" w:rsidRPr="00DF269E">
        <w:t>Rele</w:t>
      </w:r>
      <w:r w:rsidR="00D54F45" w:rsidRPr="00DF269E">
        <w:t xml:space="preserve">vant State Entities’ </w:t>
      </w:r>
      <w:r w:rsidR="0059161A">
        <w:t xml:space="preserve">             </w:t>
      </w:r>
      <w:r w:rsidR="00A70105" w:rsidRPr="00DF269E">
        <w:t xml:space="preserve">agreed-upon Long-Term Regional Transmission Cost Allocation </w:t>
      </w:r>
      <w:r w:rsidR="00C87C97" w:rsidRPr="00DF269E">
        <w:t>Methods and State Agreement Processes</w:t>
      </w:r>
      <w:r w:rsidR="00CC1C8C" w:rsidRPr="00DF269E">
        <w:t xml:space="preserve"> take on heightened importance </w:t>
      </w:r>
      <w:r w:rsidR="006226C3" w:rsidRPr="00DF269E">
        <w:t>in relation to other commenters</w:t>
      </w:r>
      <w:r w:rsidR="00483923" w:rsidRPr="00DF269E">
        <w:t>’</w:t>
      </w:r>
      <w:r w:rsidR="00014B3F" w:rsidRPr="00DF269E">
        <w:t xml:space="preserve"> views</w:t>
      </w:r>
      <w:r w:rsidR="006226C3" w:rsidRPr="00DF269E">
        <w:t xml:space="preserve">, </w:t>
      </w:r>
      <w:r w:rsidR="00466119" w:rsidRPr="00DF269E">
        <w:t xml:space="preserve">not </w:t>
      </w:r>
      <w:r w:rsidR="004A7E7F" w:rsidRPr="00DF269E">
        <w:t xml:space="preserve">in relation to </w:t>
      </w:r>
      <w:r w:rsidR="00466119" w:rsidRPr="00DF269E">
        <w:t>transmission providers</w:t>
      </w:r>
      <w:r w:rsidR="00B679D0" w:rsidRPr="00DF269E">
        <w:t>’</w:t>
      </w:r>
      <w:r w:rsidR="00014B3F" w:rsidRPr="00DF269E">
        <w:t xml:space="preserve"> proposal</w:t>
      </w:r>
      <w:r w:rsidR="00AE7653" w:rsidRPr="00DF269E">
        <w:t>s</w:t>
      </w:r>
      <w:r w:rsidR="00014B3F" w:rsidRPr="00DF269E">
        <w:t xml:space="preserve"> for a replacement rate in transmission providers’ compliance filing</w:t>
      </w:r>
      <w:r w:rsidR="00EE5DAA" w:rsidRPr="00DF269E">
        <w:t>s</w:t>
      </w:r>
      <w:r w:rsidR="00466119" w:rsidRPr="00DF269E">
        <w:t>.  Further, MISO TOs’</w:t>
      </w:r>
      <w:r>
        <w:t xml:space="preserve"> argument disregards the Commission’s explanation that “</w:t>
      </w:r>
      <w:r w:rsidRPr="0085639A">
        <w:t xml:space="preserve">the Commission will consider the entire </w:t>
      </w:r>
      <w:r w:rsidR="0059161A">
        <w:t xml:space="preserve">                    </w:t>
      </w:r>
      <w:r w:rsidRPr="0085639A">
        <w:t>record</w:t>
      </w:r>
      <w:r>
        <w:t>—i</w:t>
      </w:r>
      <w:r w:rsidRPr="00350F7D">
        <w:t>ncluding the Relevant State Entities</w:t>
      </w:r>
      <w:r>
        <w:t>’</w:t>
      </w:r>
      <w:r w:rsidRPr="00350F7D">
        <w:t xml:space="preserve"> agreed-upon Long-Term Regional Transmission Cost Allocation Method and/or State Agreement Process and the transmission provider</w:t>
      </w:r>
      <w:r w:rsidR="00252365">
        <w:t>’</w:t>
      </w:r>
      <w:r w:rsidRPr="00350F7D">
        <w:t>s proposal</w:t>
      </w:r>
      <w:r>
        <w:t>—</w:t>
      </w:r>
      <w:r w:rsidRPr="00350F7D">
        <w:t>when setting the replacement rate.</w:t>
      </w:r>
      <w:r>
        <w:t>”</w:t>
      </w:r>
      <w:r>
        <w:rPr>
          <w:rStyle w:val="FootnoteReference"/>
        </w:rPr>
        <w:footnoteReference w:id="228"/>
      </w:r>
      <w:r>
        <w:t xml:space="preserve">  The Commission did not </w:t>
      </w:r>
      <w:r w:rsidRPr="0024564A">
        <w:t xml:space="preserve">state that it was adopting any generic or </w:t>
      </w:r>
      <w:r w:rsidRPr="0024564A">
        <w:rPr>
          <w:i/>
          <w:iCs/>
        </w:rPr>
        <w:t xml:space="preserve">per se </w:t>
      </w:r>
      <w:r w:rsidRPr="0024564A">
        <w:t xml:space="preserve">preference for Relevant State Entities’ </w:t>
      </w:r>
      <w:r>
        <w:t>agreed-upon</w:t>
      </w:r>
      <w:r w:rsidRPr="0024564A">
        <w:t xml:space="preserve"> </w:t>
      </w:r>
      <w:r w:rsidR="0073448C">
        <w:t>Long-Term Regional Transmission Cost Allocation Method(s) and/or State Agreement Process</w:t>
      </w:r>
      <w:r w:rsidRPr="0024564A">
        <w:t xml:space="preserve">.  Rather, </w:t>
      </w:r>
      <w:r>
        <w:t xml:space="preserve">the Commission </w:t>
      </w:r>
      <w:r w:rsidR="00AE6002">
        <w:t xml:space="preserve">provided that it </w:t>
      </w:r>
      <w:r>
        <w:t xml:space="preserve">will </w:t>
      </w:r>
      <w:r w:rsidRPr="0024564A">
        <w:t>make determinations</w:t>
      </w:r>
      <w:r>
        <w:t xml:space="preserve"> as to the appropriate replacement rate</w:t>
      </w:r>
      <w:r w:rsidRPr="0024564A">
        <w:t xml:space="preserve"> on a case-by-case basis, based on the entire record and consistent with </w:t>
      </w:r>
      <w:r>
        <w:t>the Commission’s</w:t>
      </w:r>
      <w:r w:rsidRPr="0024564A">
        <w:t xml:space="preserve"> statutory authority and discretion to </w:t>
      </w:r>
      <w:r w:rsidR="00426D38">
        <w:t>determine and fix</w:t>
      </w:r>
      <w:r w:rsidR="00426D38" w:rsidRPr="0024564A">
        <w:t xml:space="preserve"> </w:t>
      </w:r>
      <w:r w:rsidRPr="0024564A">
        <w:t>the replacement rate.</w:t>
      </w:r>
      <w:r w:rsidRPr="0024564A">
        <w:rPr>
          <w:rStyle w:val="FootnoteReference"/>
        </w:rPr>
        <w:footnoteReference w:id="229"/>
      </w:r>
      <w:r w:rsidR="00426D38">
        <w:t xml:space="preserve">  And, consistent with the </w:t>
      </w:r>
      <w:r w:rsidR="00426D38">
        <w:lastRenderedPageBreak/>
        <w:t xml:space="preserve">discussion herein, nothing prevents the Commission from determining and fixing the replacement rate of its choosing, including choosing the Relevant State Entities’ </w:t>
      </w:r>
      <w:r w:rsidR="0059161A">
        <w:t xml:space="preserve">          </w:t>
      </w:r>
      <w:r w:rsidR="005A149D">
        <w:t xml:space="preserve">agreed-upon </w:t>
      </w:r>
      <w:r w:rsidR="00A552F0">
        <w:t>Long-Term Regional Transmission Cost Allocation Method(s) and/or State Agreement Process</w:t>
      </w:r>
      <w:r w:rsidR="005A149D">
        <w:t>, pursuant to FPA section 206</w:t>
      </w:r>
      <w:r w:rsidR="00443968">
        <w:t>, so long as it is consistent with the final rule, adequately supported in the record, and the Commission adequately explains the reason for its choice.</w:t>
      </w:r>
    </w:p>
    <w:p w14:paraId="7680944F" w14:textId="4405DE3E" w:rsidR="00577558" w:rsidRPr="0024564A" w:rsidRDefault="00577558" w:rsidP="00577558">
      <w:pPr>
        <w:pStyle w:val="FERCparanumber"/>
      </w:pPr>
      <w:r w:rsidRPr="0024564A">
        <w:t>MISO TOs claim that “[i]f the Commission accepts the Relevant State Entities’ Cost Allocation Method over the transmission provider’s method</w:t>
      </w:r>
      <w:r w:rsidR="001915C1">
        <w:t> </w:t>
      </w:r>
      <w:r w:rsidRPr="0024564A">
        <w:t>.</w:t>
      </w:r>
      <w:r w:rsidR="001915C1">
        <w:t> </w:t>
      </w:r>
      <w:r w:rsidRPr="0024564A">
        <w:t>.</w:t>
      </w:r>
      <w:r w:rsidR="001915C1">
        <w:t> </w:t>
      </w:r>
      <w:r w:rsidRPr="0024564A">
        <w:t>. the Commission has subverted future FPA section 205 filings related to that rate scheme in a manner that disfavors the transmission provider’s FPA section 205 proposals.”</w:t>
      </w:r>
      <w:r w:rsidRPr="0024564A">
        <w:rPr>
          <w:rStyle w:val="FootnoteReference"/>
        </w:rPr>
        <w:footnoteReference w:id="230"/>
      </w:r>
      <w:r w:rsidRPr="0024564A">
        <w:t xml:space="preserve">  </w:t>
      </w:r>
      <w:r w:rsidR="006431DF">
        <w:t xml:space="preserve">Although </w:t>
      </w:r>
      <w:r w:rsidR="00945CC4">
        <w:t xml:space="preserve">MISO TOs do not </w:t>
      </w:r>
      <w:r w:rsidR="00787840">
        <w:t xml:space="preserve">sufficiently explain </w:t>
      </w:r>
      <w:r w:rsidR="00945CC4">
        <w:t xml:space="preserve">this </w:t>
      </w:r>
      <w:r w:rsidR="003B3BDA">
        <w:t xml:space="preserve">specific </w:t>
      </w:r>
      <w:r w:rsidR="00945CC4">
        <w:t>argument</w:t>
      </w:r>
      <w:r w:rsidR="00074024">
        <w:t>,</w:t>
      </w:r>
      <w:r w:rsidR="008F6AD8">
        <w:rPr>
          <w:rStyle w:val="FootnoteReference"/>
        </w:rPr>
        <w:footnoteReference w:id="231"/>
      </w:r>
      <w:r w:rsidR="00074024">
        <w:t xml:space="preserve"> </w:t>
      </w:r>
      <w:r w:rsidR="007E363C" w:rsidRPr="007E363C">
        <w:t xml:space="preserve">namely by indicating how they believe the Commission is “subverting” future FPA section 205 filings, </w:t>
      </w:r>
      <w:r w:rsidR="00101696">
        <w:t>this</w:t>
      </w:r>
      <w:r w:rsidR="003B3BDA">
        <w:t xml:space="preserve"> argument </w:t>
      </w:r>
      <w:r w:rsidR="00101696">
        <w:t xml:space="preserve">again </w:t>
      </w:r>
      <w:r>
        <w:t xml:space="preserve">appears </w:t>
      </w:r>
      <w:r w:rsidR="003B3BDA">
        <w:t xml:space="preserve">to </w:t>
      </w:r>
      <w:r>
        <w:t>ascrib</w:t>
      </w:r>
      <w:r w:rsidR="003B3BDA">
        <w:t>e</w:t>
      </w:r>
      <w:r>
        <w:t xml:space="preserve"> </w:t>
      </w:r>
      <w:r w:rsidR="00101696">
        <w:t xml:space="preserve">effects </w:t>
      </w:r>
      <w:r>
        <w:t>to Order No. 1920-A that it does not have</w:t>
      </w:r>
      <w:r w:rsidR="00101696">
        <w:t>, which we have already addressed</w:t>
      </w:r>
      <w:r w:rsidRPr="0024564A">
        <w:t xml:space="preserve">.  Irrespective of </w:t>
      </w:r>
      <w:r w:rsidR="0047269E">
        <w:t xml:space="preserve">the </w:t>
      </w:r>
      <w:r w:rsidR="00E51D4D">
        <w:t>replacement rate</w:t>
      </w:r>
      <w:r w:rsidR="0010312A">
        <w:t xml:space="preserve"> that</w:t>
      </w:r>
      <w:r w:rsidR="00E51D4D">
        <w:t xml:space="preserve"> the Commission sets</w:t>
      </w:r>
      <w:r w:rsidR="003B3BDA">
        <w:t xml:space="preserve"> under FPA section 206</w:t>
      </w:r>
      <w:r w:rsidRPr="0024564A">
        <w:t xml:space="preserve">, </w:t>
      </w:r>
      <w:r w:rsidR="007734AF">
        <w:t xml:space="preserve">the Commission will assess </w:t>
      </w:r>
      <w:r w:rsidRPr="0024564A">
        <w:t xml:space="preserve">transmission providers’ future FPA </w:t>
      </w:r>
      <w:r w:rsidR="0059161A">
        <w:t xml:space="preserve">          </w:t>
      </w:r>
      <w:r w:rsidRPr="0024564A">
        <w:t>section 205 filings according to th</w:t>
      </w:r>
      <w:r>
        <w:t>e statutory standard prescribed by the FPA for such filings</w:t>
      </w:r>
      <w:r w:rsidRPr="0024564A">
        <w:t xml:space="preserve">.  Nothing in Order No. 1920-A “disfavors” or “subvert[s]” those hypothetical </w:t>
      </w:r>
      <w:r w:rsidRPr="0024564A">
        <w:lastRenderedPageBreak/>
        <w:t>future filings.</w:t>
      </w:r>
      <w:r w:rsidRPr="0024564A">
        <w:rPr>
          <w:rStyle w:val="FootnoteReference"/>
        </w:rPr>
        <w:footnoteReference w:id="232"/>
      </w:r>
      <w:r>
        <w:t xml:space="preserve">  Moreover,</w:t>
      </w:r>
      <w:r w:rsidRPr="1A867CDE">
        <w:t xml:space="preserve"> any challenges related to the Commission’s treatment of such future </w:t>
      </w:r>
      <w:r w:rsidR="00D6541D">
        <w:t xml:space="preserve">FPA section 205 </w:t>
      </w:r>
      <w:r w:rsidRPr="1A867CDE">
        <w:t xml:space="preserve">filings can be raised </w:t>
      </w:r>
      <w:r w:rsidR="0010312A">
        <w:t>when</w:t>
      </w:r>
      <w:r w:rsidR="005300F1">
        <w:t xml:space="preserve"> those filings are </w:t>
      </w:r>
      <w:r w:rsidR="0010312A">
        <w:t>made</w:t>
      </w:r>
      <w:r w:rsidRPr="1A867CDE">
        <w:t>.</w:t>
      </w:r>
    </w:p>
    <w:p w14:paraId="3DC68B64" w14:textId="7A376298" w:rsidR="00577558" w:rsidRPr="0075618B" w:rsidRDefault="00577558" w:rsidP="00577558">
      <w:pPr>
        <w:pStyle w:val="FERCparanumber"/>
      </w:pPr>
      <w:r w:rsidRPr="0024564A">
        <w:t>We find unpersuasive Indicated PJM TOs</w:t>
      </w:r>
      <w:r>
        <w:t>’</w:t>
      </w:r>
      <w:r w:rsidRPr="0024564A">
        <w:t xml:space="preserve"> and SPP TOs’ argument</w:t>
      </w:r>
      <w:r>
        <w:t xml:space="preserve">s that </w:t>
      </w:r>
      <w:r w:rsidRPr="0024564A">
        <w:rPr>
          <w:i/>
          <w:iCs/>
        </w:rPr>
        <w:t>Entergy</w:t>
      </w:r>
      <w:r w:rsidRPr="0024564A">
        <w:t xml:space="preserve"> is inapposite</w:t>
      </w:r>
      <w:r>
        <w:t xml:space="preserve"> to Order No. 1920-A</w:t>
      </w:r>
      <w:r w:rsidRPr="0024564A">
        <w:t xml:space="preserve"> because the Commission in that case first rejected MISO’s compliance filing before selecting a different replacement</w:t>
      </w:r>
      <w:r>
        <w:t xml:space="preserve"> rate.</w:t>
      </w:r>
      <w:r>
        <w:rPr>
          <w:rStyle w:val="FootnoteReference"/>
        </w:rPr>
        <w:footnoteReference w:id="233"/>
      </w:r>
      <w:r>
        <w:t xml:space="preserve">  First, the Commission’s determination that it may, in compliance proceedings, consider and </w:t>
      </w:r>
      <w:r w:rsidR="00BA26B5">
        <w:t xml:space="preserve">set as the replacement rate </w:t>
      </w:r>
      <w:r>
        <w:t xml:space="preserve">Relevant State Entities’ agreed-upon </w:t>
      </w:r>
      <w:r w:rsidR="00B56820">
        <w:t>Long-Term Regional Transmission Cost Allocation Method(s) and/or State Agreement Process</w:t>
      </w:r>
      <w:r>
        <w:t xml:space="preserve"> is consistent with both the text and structure of the FPA, for the reasons already discussed.</w:t>
      </w:r>
      <w:r>
        <w:rPr>
          <w:rStyle w:val="FootnoteReference"/>
        </w:rPr>
        <w:footnoteReference w:id="234"/>
      </w:r>
      <w:r>
        <w:t xml:space="preserve">  Second, </w:t>
      </w:r>
      <w:r w:rsidRPr="006D29EE">
        <w:rPr>
          <w:i/>
          <w:iCs/>
        </w:rPr>
        <w:t>Entergy</w:t>
      </w:r>
      <w:r>
        <w:t xml:space="preserve"> supports this conclusion because it reflects that the Commission, </w:t>
      </w:r>
      <w:r w:rsidR="00A907BE">
        <w:t xml:space="preserve">when </w:t>
      </w:r>
      <w:r>
        <w:t xml:space="preserve">addressing compliance filings in FPA section 206 proceedings, </w:t>
      </w:r>
      <w:r w:rsidR="00A07029">
        <w:t xml:space="preserve">is not required </w:t>
      </w:r>
      <w:r>
        <w:t>to adopt a replacement rate proposed by public utilities,</w:t>
      </w:r>
      <w:r>
        <w:rPr>
          <w:rStyle w:val="FootnoteReference"/>
        </w:rPr>
        <w:footnoteReference w:id="235"/>
      </w:r>
      <w:r>
        <w:t xml:space="preserve"> but instead may</w:t>
      </w:r>
      <w:r w:rsidR="00B34F19" w:rsidDel="00BA0A56">
        <w:t xml:space="preserve"> </w:t>
      </w:r>
      <w:r w:rsidR="00BA0A56">
        <w:t xml:space="preserve">determine and fix </w:t>
      </w:r>
      <w:r>
        <w:t xml:space="preserve">any </w:t>
      </w:r>
      <w:r>
        <w:lastRenderedPageBreak/>
        <w:t>just and reasonable replacement rate of its choosing.</w:t>
      </w:r>
      <w:r>
        <w:rPr>
          <w:rStyle w:val="FootnoteReference"/>
        </w:rPr>
        <w:footnoteReference w:id="236"/>
      </w:r>
      <w:r>
        <w:t xml:space="preserve">  Third, Indicated PJM TOs and SPP TOs misconstrue </w:t>
      </w:r>
      <w:r w:rsidRPr="006D29EE">
        <w:rPr>
          <w:i/>
          <w:iCs/>
        </w:rPr>
        <w:t>Entergy</w:t>
      </w:r>
      <w:r>
        <w:t xml:space="preserve"> as reflecting a </w:t>
      </w:r>
      <w:r w:rsidRPr="0079065A">
        <w:t>requirement</w:t>
      </w:r>
      <w:r>
        <w:t xml:space="preserve"> that the Commission must first reject a public utility’s proposal on compliance before adopting a different replacement rate.  That the Commission in that case </w:t>
      </w:r>
      <w:r w:rsidRPr="00B973D0">
        <w:t>elected</w:t>
      </w:r>
      <w:r>
        <w:t xml:space="preserve"> to first consider and reject </w:t>
      </w:r>
      <w:r w:rsidRPr="0075618B">
        <w:t>MISO’s proposal</w:t>
      </w:r>
      <w:r w:rsidRPr="0075618B">
        <w:rPr>
          <w:rStyle w:val="FootnoteReference"/>
        </w:rPr>
        <w:footnoteReference w:id="237"/>
      </w:r>
      <w:r w:rsidRPr="0075618B">
        <w:t xml:space="preserve"> before selecting a different replacement rate does not demonstrate that it was legally required to do so—and nothing in </w:t>
      </w:r>
      <w:r w:rsidRPr="0075618B">
        <w:rPr>
          <w:i/>
          <w:iCs/>
        </w:rPr>
        <w:t>Entergy</w:t>
      </w:r>
      <w:r w:rsidRPr="0075618B">
        <w:t xml:space="preserve"> holds to the contrary.</w:t>
      </w:r>
      <w:r w:rsidR="00C831B7" w:rsidRPr="00C831B7">
        <w:rPr>
          <w:b/>
          <w:vertAlign w:val="superscript"/>
        </w:rPr>
        <w:footnoteReference w:id="238"/>
      </w:r>
      <w:r w:rsidRPr="0075618B">
        <w:t xml:space="preserve">  </w:t>
      </w:r>
    </w:p>
    <w:p w14:paraId="04DE5C5D" w14:textId="79FBB813" w:rsidR="00577558" w:rsidRDefault="00577558" w:rsidP="00577558">
      <w:pPr>
        <w:pStyle w:val="FERCparanumber"/>
      </w:pPr>
      <w:r w:rsidRPr="0075618B">
        <w:t>We are also not convinced by Indicated PJM TOs</w:t>
      </w:r>
      <w:r>
        <w:t>’</w:t>
      </w:r>
      <w:r w:rsidRPr="0075618B">
        <w:t xml:space="preserve"> contention that the statutory structure of FPA sections 205 and 206 mandates a preference for the public utility’s proposal on compliance.</w:t>
      </w:r>
      <w:r w:rsidRPr="0075618B">
        <w:rPr>
          <w:rStyle w:val="FootnoteReference"/>
        </w:rPr>
        <w:footnoteReference w:id="239"/>
      </w:r>
      <w:r w:rsidRPr="0075618B">
        <w:t xml:space="preserve">  </w:t>
      </w:r>
      <w:r>
        <w:t>Although</w:t>
      </w:r>
      <w:r w:rsidRPr="0075618B">
        <w:t xml:space="preserve"> the Commission has</w:t>
      </w:r>
      <w:r w:rsidR="002B0F47">
        <w:t xml:space="preserve"> historically</w:t>
      </w:r>
      <w:r w:rsidRPr="0075618B">
        <w:t xml:space="preserve"> identified prudential and policy reasons for adopting public utilities’ proposal</w:t>
      </w:r>
      <w:r>
        <w:t>s</w:t>
      </w:r>
      <w:r w:rsidRPr="0075618B">
        <w:t xml:space="preserve"> in compliance </w:t>
      </w:r>
      <w:r w:rsidRPr="0075618B">
        <w:lastRenderedPageBreak/>
        <w:t>filings</w:t>
      </w:r>
      <w:r w:rsidR="00E03018">
        <w:t xml:space="preserve"> if they are compliant with the </w:t>
      </w:r>
      <w:r w:rsidR="00E67E33">
        <w:t xml:space="preserve">requirements of </w:t>
      </w:r>
      <w:r w:rsidR="006431DF">
        <w:t>a</w:t>
      </w:r>
      <w:r w:rsidR="00E67E33">
        <w:t xml:space="preserve"> final rule</w:t>
      </w:r>
      <w:r w:rsidR="006431DF">
        <w:t xml:space="preserve"> </w:t>
      </w:r>
      <w:r w:rsidR="00BF0260">
        <w:t>issued pursuant to FPA section 206</w:t>
      </w:r>
      <w:r w:rsidRPr="0075618B">
        <w:t>,</w:t>
      </w:r>
      <w:r w:rsidRPr="0075618B">
        <w:rPr>
          <w:rStyle w:val="FootnoteReference"/>
        </w:rPr>
        <w:footnoteReference w:id="240"/>
      </w:r>
      <w:r w:rsidRPr="0075618B">
        <w:t xml:space="preserve"> these</w:t>
      </w:r>
      <w:r w:rsidR="00413F47">
        <w:t xml:space="preserve"> prudential and policy</w:t>
      </w:r>
      <w:r w:rsidRPr="0075618B">
        <w:t xml:space="preserve"> </w:t>
      </w:r>
      <w:r w:rsidR="006431DF">
        <w:t xml:space="preserve">reasons </w:t>
      </w:r>
      <w:r w:rsidR="007B2B43">
        <w:t xml:space="preserve">are not </w:t>
      </w:r>
      <w:r w:rsidRPr="0075618B">
        <w:t>statutory command</w:t>
      </w:r>
      <w:r w:rsidR="007B2B43">
        <w:t>s</w:t>
      </w:r>
      <w:r w:rsidRPr="0075618B">
        <w:t>.</w:t>
      </w:r>
      <w:r w:rsidRPr="0075618B">
        <w:rPr>
          <w:rStyle w:val="FootnoteReference"/>
        </w:rPr>
        <w:footnoteReference w:id="241"/>
      </w:r>
      <w:r w:rsidRPr="0075618B">
        <w:t xml:space="preserve">  </w:t>
      </w:r>
      <w:r w:rsidR="006431DF">
        <w:t xml:space="preserve">Interpreting </w:t>
      </w:r>
      <w:r w:rsidR="001C46FA" w:rsidRPr="001C46FA">
        <w:t>the FPA as Indicated PJM TOs urge</w:t>
      </w:r>
      <w:r w:rsidR="006431DF">
        <w:t xml:space="preserve"> renders meaningless </w:t>
      </w:r>
      <w:r w:rsidR="00C5409F" w:rsidRPr="00C5409F">
        <w:t xml:space="preserve">this aspect of </w:t>
      </w:r>
      <w:r w:rsidR="006431DF">
        <w:t>the statutory divide of FPA sections 205 and section 206</w:t>
      </w:r>
      <w:r w:rsidR="00BC5516">
        <w:t xml:space="preserve"> and would </w:t>
      </w:r>
      <w:r w:rsidR="00B85BA4">
        <w:t xml:space="preserve">impermissibly convert </w:t>
      </w:r>
      <w:r w:rsidR="00366809" w:rsidRPr="00B321B1">
        <w:t>the Commission’s statutory</w:t>
      </w:r>
      <w:r w:rsidR="00B85BA4" w:rsidRPr="00B321B1">
        <w:t xml:space="preserve"> </w:t>
      </w:r>
      <w:r w:rsidR="002C1019" w:rsidRPr="00B321B1">
        <w:t>authority</w:t>
      </w:r>
      <w:r w:rsidR="00B85BA4" w:rsidRPr="00B321B1">
        <w:t xml:space="preserve"> </w:t>
      </w:r>
      <w:r w:rsidR="002C1019" w:rsidRPr="00B321B1">
        <w:t>to determine the replacement rate</w:t>
      </w:r>
      <w:r w:rsidR="00B85BA4" w:rsidRPr="00B321B1">
        <w:t xml:space="preserve"> </w:t>
      </w:r>
      <w:r w:rsidR="00B85BA4">
        <w:t>into a substantive statutory right for the public utilities</w:t>
      </w:r>
      <w:r w:rsidR="006431DF">
        <w:t>.</w:t>
      </w:r>
      <w:r w:rsidR="00FD0C88">
        <w:t xml:space="preserve">  </w:t>
      </w:r>
    </w:p>
    <w:p w14:paraId="09C2E025" w14:textId="2B7C28C3" w:rsidR="00577558" w:rsidRPr="007F6CAA" w:rsidRDefault="00577558" w:rsidP="00577558">
      <w:pPr>
        <w:pStyle w:val="FERCparanumber"/>
      </w:pPr>
      <w:r>
        <w:t xml:space="preserve">Indicated PJM TOs and WIRES are similarly incorrect in arguing that the Commission is limited to </w:t>
      </w:r>
      <w:r w:rsidRPr="00F76E3A">
        <w:t>consider</w:t>
      </w:r>
      <w:r>
        <w:t>ing</w:t>
      </w:r>
      <w:r w:rsidRPr="00F76E3A">
        <w:t xml:space="preserve"> whether the rate submitted by the public utility on compliance is just and reasonable</w:t>
      </w:r>
      <w:r>
        <w:t xml:space="preserve"> because the Commission failed to prescribe a specific replacement rate in Order No. 1920-A</w:t>
      </w:r>
      <w:r w:rsidRPr="00F76E3A">
        <w:t>.</w:t>
      </w:r>
      <w:r w:rsidRPr="00F76E3A">
        <w:rPr>
          <w:b/>
          <w:vertAlign w:val="superscript"/>
        </w:rPr>
        <w:footnoteReference w:id="242"/>
      </w:r>
      <w:r w:rsidRPr="00F76E3A">
        <w:t xml:space="preserve">  </w:t>
      </w:r>
      <w:r>
        <w:t xml:space="preserve">Consistent with the D.C. Circuit’s holding in </w:t>
      </w:r>
      <w:r>
        <w:rPr>
          <w:i/>
          <w:iCs/>
        </w:rPr>
        <w:lastRenderedPageBreak/>
        <w:t>Electrical District</w:t>
      </w:r>
      <w:r>
        <w:t>, the Commission is not “</w:t>
      </w:r>
      <w:proofErr w:type="spellStart"/>
      <w:r>
        <w:t>obligat</w:t>
      </w:r>
      <w:proofErr w:type="spellEnd"/>
      <w:r>
        <w:t xml:space="preserve">[ed] to end an unlawful rate from the moment it finds unlawfulness” but rather </w:t>
      </w:r>
      <w:r w:rsidR="00F145E8">
        <w:t>may</w:t>
      </w:r>
      <w:r>
        <w:t xml:space="preserve"> “</w:t>
      </w:r>
      <w:proofErr w:type="spellStart"/>
      <w:r>
        <w:t>tak</w:t>
      </w:r>
      <w:proofErr w:type="spellEnd"/>
      <w:r>
        <w:t>[e] time for further deliberations necessary to determine what the precise terms of [the replacement rate] should be.”</w:t>
      </w:r>
      <w:r>
        <w:rPr>
          <w:rStyle w:val="FootnoteReference"/>
        </w:rPr>
        <w:footnoteReference w:id="243"/>
      </w:r>
      <w:r>
        <w:t xml:space="preserve">  The “not at all ambiguous” procedures set forth in FPA section 206 establish that after finding existing rates are unjust, unreasonable, </w:t>
      </w:r>
      <w:r w:rsidR="002B39DB">
        <w:t xml:space="preserve">or </w:t>
      </w:r>
      <w:r>
        <w:t>unduly discriminatory or preferential “‘the Commission shall determine the just and reasonable rate</w:t>
      </w:r>
      <w:r w:rsidR="0030574C">
        <w:t> </w:t>
      </w:r>
      <w:r>
        <w:t>.</w:t>
      </w:r>
      <w:r w:rsidR="0030574C">
        <w:t> </w:t>
      </w:r>
      <w:r>
        <w:t>.</w:t>
      </w:r>
      <w:r w:rsidR="0030574C">
        <w:t> </w:t>
      </w:r>
      <w:r>
        <w:t xml:space="preserve">. </w:t>
      </w:r>
      <w:r>
        <w:rPr>
          <w:i/>
          <w:iCs/>
        </w:rPr>
        <w:t>to be thereafter observed and in force, and shall fix the same by order</w:t>
      </w:r>
      <w:r>
        <w:t>.’”</w:t>
      </w:r>
      <w:r>
        <w:rPr>
          <w:rStyle w:val="FootnoteReference"/>
        </w:rPr>
        <w:footnoteReference w:id="244"/>
      </w:r>
      <w:r>
        <w:t xml:space="preserve">  Claims that the Commission </w:t>
      </w:r>
      <w:r w:rsidRPr="00FD23C0">
        <w:t xml:space="preserve">somehow </w:t>
      </w:r>
      <w:r w:rsidR="00D3145B" w:rsidRPr="00FD23C0">
        <w:t xml:space="preserve">in Order No. 1920 or 1920-A </w:t>
      </w:r>
      <w:r w:rsidRPr="00FD23C0">
        <w:t>forfeited</w:t>
      </w:r>
      <w:r w:rsidR="00C05885" w:rsidRPr="00FD23C0">
        <w:t xml:space="preserve"> to </w:t>
      </w:r>
      <w:r w:rsidR="00D3145B" w:rsidRPr="00FD23C0">
        <w:t>transmission providers</w:t>
      </w:r>
      <w:r w:rsidRPr="00FD23C0">
        <w:t xml:space="preserve"> the responsibility—assigned to the Commission by the statute’s plain text—</w:t>
      </w:r>
      <w:r w:rsidR="00D3145B" w:rsidRPr="00FD23C0">
        <w:t xml:space="preserve"> to fix the replacement rate, consistent with the requirements of those orders,</w:t>
      </w:r>
      <w:r w:rsidRPr="00FD23C0">
        <w:t xml:space="preserve"> are not grounded in the statutory text or structure, and are contrary to precedent.</w:t>
      </w:r>
      <w:r w:rsidR="00443F01" w:rsidRPr="00FD23C0">
        <w:rPr>
          <w:rStyle w:val="FootnoteReference"/>
        </w:rPr>
        <w:footnoteReference w:id="245"/>
      </w:r>
      <w:r w:rsidR="00F54A14" w:rsidDel="00F54A14">
        <w:rPr>
          <w:rStyle w:val="FootnoteReference"/>
        </w:rPr>
        <w:t xml:space="preserve"> </w:t>
      </w:r>
    </w:p>
    <w:p w14:paraId="5B74B0B6" w14:textId="29528004" w:rsidR="00C40196" w:rsidRPr="00C40196" w:rsidRDefault="007D013A" w:rsidP="00C40196">
      <w:pPr>
        <w:pStyle w:val="Heading4"/>
      </w:pPr>
      <w:r>
        <w:lastRenderedPageBreak/>
        <w:t>Compliance with the APA</w:t>
      </w:r>
    </w:p>
    <w:p w14:paraId="5062C078" w14:textId="74F7E045" w:rsidR="00953698" w:rsidRDefault="00662560" w:rsidP="00B87F90">
      <w:pPr>
        <w:pStyle w:val="Heading5"/>
      </w:pPr>
      <w:r>
        <w:t>Rehearing Requests</w:t>
      </w:r>
    </w:p>
    <w:p w14:paraId="2731F44C" w14:textId="288E9565" w:rsidR="009E56F0" w:rsidRPr="00617E9F" w:rsidRDefault="009E56F0" w:rsidP="009E56F0">
      <w:pPr>
        <w:pStyle w:val="FERCparanumber"/>
      </w:pPr>
      <w:r w:rsidRPr="009E56F0">
        <w:t>Several</w:t>
      </w:r>
      <w:r>
        <w:t xml:space="preserve"> </w:t>
      </w:r>
      <w:r w:rsidR="00D049CA">
        <w:t>petitioners</w:t>
      </w:r>
      <w:r>
        <w:t xml:space="preserve"> </w:t>
      </w:r>
      <w:r w:rsidR="00E766B5">
        <w:t>argue that the Commission</w:t>
      </w:r>
      <w:r w:rsidR="0065505F">
        <w:t xml:space="preserve"> failed to engage in reasoned decision-making</w:t>
      </w:r>
      <w:r w:rsidR="00771A05">
        <w:t xml:space="preserve"> as required by the Administrative Procedure Act (APA)</w:t>
      </w:r>
      <w:r w:rsidR="009F070B">
        <w:t xml:space="preserve"> in adopting</w:t>
      </w:r>
      <w:r>
        <w:t xml:space="preserve"> the </w:t>
      </w:r>
      <w:r w:rsidR="00A14721">
        <w:t xml:space="preserve">requirement that </w:t>
      </w:r>
      <w:r w:rsidR="00B21DBF">
        <w:t>transmission providers include</w:t>
      </w:r>
      <w:r w:rsidR="00923060">
        <w:t xml:space="preserve"> </w:t>
      </w:r>
      <w:r w:rsidR="00923060" w:rsidRPr="00C00908">
        <w:t xml:space="preserve">in the transmittal or as an attachment to their </w:t>
      </w:r>
      <w:r>
        <w:t>compliance filing</w:t>
      </w:r>
      <w:r w:rsidR="001B7EB7">
        <w:t xml:space="preserve">s any </w:t>
      </w:r>
      <w:r w:rsidR="00873EA2">
        <w:t>Long-Term Regional Transmission Cost Allocation Method(s) and/or State Agreement Process agreed</w:t>
      </w:r>
      <w:r w:rsidR="006444B5">
        <w:t xml:space="preserve"> to by Relevant State Entities</w:t>
      </w:r>
      <w:r w:rsidR="00821751">
        <w:t xml:space="preserve"> as well as </w:t>
      </w:r>
      <w:r w:rsidR="00821751" w:rsidRPr="00694BCA">
        <w:t>any and all supporting evidence and/or justification related to</w:t>
      </w:r>
      <w:r w:rsidR="00380189">
        <w:t xml:space="preserve"> such method(s) and/or process</w:t>
      </w:r>
      <w:r w:rsidR="00C243B1" w:rsidRPr="009A2003">
        <w:t>.</w:t>
      </w:r>
      <w:r w:rsidR="00C243B1">
        <w:rPr>
          <w:rStyle w:val="FootnoteReference"/>
        </w:rPr>
        <w:footnoteReference w:id="246"/>
      </w:r>
      <w:r>
        <w:t xml:space="preserve">  MISO TOs, Indicated PJM TOs, SPP TOs, and EEI argue that the Commission failed to explain why states did not already have adequate opportunities to provide input to cost allocation through previously existing processes—</w:t>
      </w:r>
      <w:r w:rsidR="007C3735">
        <w:t xml:space="preserve">generally </w:t>
      </w:r>
      <w:r>
        <w:t>connecting these arguments to their view that the compliance filing requirements in Order No. 1920-A are inconsistent with FPA section 205.</w:t>
      </w:r>
      <w:r>
        <w:rPr>
          <w:rStyle w:val="FootnoteReference"/>
        </w:rPr>
        <w:footnoteReference w:id="247"/>
      </w:r>
      <w:r>
        <w:t xml:space="preserve">  MISO TOs and SPP TOs argue </w:t>
      </w:r>
      <w:r>
        <w:lastRenderedPageBreak/>
        <w:t>that Order No. 1920-A’s compliance filing requirements are inconsistent with the Commission’s determination that transmission providers have the obligation, subject to Commission oversight, to engage in transmission planning and cost allocation.</w:t>
      </w:r>
      <w:r>
        <w:rPr>
          <w:rStyle w:val="FootnoteReference"/>
        </w:rPr>
        <w:footnoteReference w:id="248"/>
      </w:r>
      <w:r w:rsidRPr="00E0490F">
        <w:t xml:space="preserve">  WIRES argues</w:t>
      </w:r>
      <w:r>
        <w:t xml:space="preserve"> that the approach the Commission selected in Order No.</w:t>
      </w:r>
      <w:r w:rsidR="00280822">
        <w:t> </w:t>
      </w:r>
      <w:r>
        <w:t xml:space="preserve">1920-A is adversarial, leading to delay and litigation, and </w:t>
      </w:r>
      <w:r w:rsidR="00976BD9">
        <w:t>that</w:t>
      </w:r>
      <w:r>
        <w:t xml:space="preserve"> “</w:t>
      </w:r>
      <w:r w:rsidRPr="00D919F8">
        <w:t>the record demonstrates that there are other less intrusive means by which states ca</w:t>
      </w:r>
      <w:r>
        <w:t xml:space="preserve">n </w:t>
      </w:r>
      <w:r w:rsidRPr="00D919F8">
        <w:t xml:space="preserve">meaningfully participate in the development of Long-Term Regional </w:t>
      </w:r>
      <w:r w:rsidR="0032616E">
        <w:t>[</w:t>
      </w:r>
      <w:r w:rsidR="00631DDA">
        <w:t>Transmission</w:t>
      </w:r>
      <w:r w:rsidR="0032616E">
        <w:t>]</w:t>
      </w:r>
      <w:r w:rsidR="00631DDA">
        <w:t xml:space="preserve"> </w:t>
      </w:r>
      <w:r w:rsidRPr="00D919F8">
        <w:t xml:space="preserve">Cost Allocation </w:t>
      </w:r>
      <w:r>
        <w:t>[M]</w:t>
      </w:r>
      <w:proofErr w:type="spellStart"/>
      <w:r w:rsidRPr="00D919F8">
        <w:t>ethods</w:t>
      </w:r>
      <w:proofErr w:type="spellEnd"/>
      <w:r w:rsidRPr="00D919F8">
        <w:t xml:space="preserve"> and </w:t>
      </w:r>
      <w:r w:rsidRPr="00617E9F">
        <w:t>State Agreement Processes.”</w:t>
      </w:r>
      <w:r w:rsidRPr="00617E9F">
        <w:rPr>
          <w:rStyle w:val="FootnoteReference"/>
        </w:rPr>
        <w:footnoteReference w:id="249"/>
      </w:r>
      <w:r w:rsidRPr="00617E9F">
        <w:t xml:space="preserve">  </w:t>
      </w:r>
      <w:r w:rsidRPr="00617E9F">
        <w:rPr>
          <w:bCs/>
        </w:rPr>
        <w:t xml:space="preserve">EEI argues that the Commission’s stated justification for </w:t>
      </w:r>
      <w:r w:rsidR="008D4E20">
        <w:rPr>
          <w:bCs/>
        </w:rPr>
        <w:t>requiring transmission providers to include in their compliance filing</w:t>
      </w:r>
      <w:r w:rsidR="0033034B">
        <w:rPr>
          <w:bCs/>
        </w:rPr>
        <w:t>s</w:t>
      </w:r>
      <w:r w:rsidR="008D4E20">
        <w:rPr>
          <w:bCs/>
        </w:rPr>
        <w:t xml:space="preserve"> the preferred approach of Relevant State Entities to cost allocation</w:t>
      </w:r>
      <w:r w:rsidR="00862EA1">
        <w:rPr>
          <w:bCs/>
        </w:rPr>
        <w:t xml:space="preserve"> </w:t>
      </w:r>
      <w:r w:rsidR="00000353">
        <w:rPr>
          <w:bCs/>
        </w:rPr>
        <w:t>(i.e.</w:t>
      </w:r>
      <w:r w:rsidR="00965F11">
        <w:rPr>
          <w:bCs/>
        </w:rPr>
        <w:t>,</w:t>
      </w:r>
      <w:r w:rsidR="00000353">
        <w:rPr>
          <w:bCs/>
        </w:rPr>
        <w:t xml:space="preserve"> </w:t>
      </w:r>
      <w:r w:rsidR="00000353" w:rsidRPr="00617E9F">
        <w:rPr>
          <w:bCs/>
        </w:rPr>
        <w:t>the unique role of Relevant State Entities</w:t>
      </w:r>
      <w:r w:rsidR="00000353">
        <w:rPr>
          <w:bCs/>
        </w:rPr>
        <w:t>)</w:t>
      </w:r>
      <w:r w:rsidR="00875124">
        <w:rPr>
          <w:bCs/>
        </w:rPr>
        <w:t xml:space="preserve"> </w:t>
      </w:r>
      <w:r w:rsidRPr="00617E9F">
        <w:rPr>
          <w:bCs/>
        </w:rPr>
        <w:t>does not relate to cost allocation and do</w:t>
      </w:r>
      <w:r>
        <w:rPr>
          <w:bCs/>
        </w:rPr>
        <w:t>es</w:t>
      </w:r>
      <w:r w:rsidRPr="00617E9F">
        <w:rPr>
          <w:bCs/>
        </w:rPr>
        <w:t xml:space="preserve"> not justify infringing on utilities’ </w:t>
      </w:r>
      <w:r w:rsidRPr="00617E9F">
        <w:rPr>
          <w:bCs/>
        </w:rPr>
        <w:lastRenderedPageBreak/>
        <w:t>FPA</w:t>
      </w:r>
      <w:r w:rsidR="00CD5D2E">
        <w:rPr>
          <w:bCs/>
        </w:rPr>
        <w:t xml:space="preserve"> </w:t>
      </w:r>
      <w:r w:rsidRPr="00617E9F">
        <w:rPr>
          <w:bCs/>
        </w:rPr>
        <w:t>filing rights.</w:t>
      </w:r>
      <w:r w:rsidRPr="00617E9F">
        <w:rPr>
          <w:b/>
          <w:bCs/>
          <w:vertAlign w:val="superscript"/>
        </w:rPr>
        <w:footnoteReference w:id="250"/>
      </w:r>
      <w:r>
        <w:rPr>
          <w:bCs/>
        </w:rPr>
        <w:t xml:space="preserve">  EEI further argues that th</w:t>
      </w:r>
      <w:r w:rsidR="00566F3D">
        <w:rPr>
          <w:bCs/>
        </w:rPr>
        <w:t>e</w:t>
      </w:r>
      <w:r>
        <w:rPr>
          <w:bCs/>
        </w:rPr>
        <w:t xml:space="preserve"> requirement </w:t>
      </w:r>
      <w:r w:rsidR="00D411B0">
        <w:rPr>
          <w:bCs/>
        </w:rPr>
        <w:t xml:space="preserve">to include Relevant State Entities’ </w:t>
      </w:r>
      <w:r w:rsidR="00FD0825">
        <w:t>agreed-upon</w:t>
      </w:r>
      <w:r w:rsidR="00FD0825" w:rsidRPr="00033D0B">
        <w:t xml:space="preserve"> Long-Term Regional Transmission Cost Allocation Method</w:t>
      </w:r>
      <w:r w:rsidR="00FD0825" w:rsidRPr="009F1706">
        <w:t>(s)</w:t>
      </w:r>
      <w:r w:rsidR="00FD0825" w:rsidRPr="00033D0B">
        <w:t xml:space="preserve"> and/or State Agreement</w:t>
      </w:r>
      <w:r w:rsidR="00FD0825">
        <w:t xml:space="preserve"> </w:t>
      </w:r>
      <w:r w:rsidR="00FD0825" w:rsidRPr="008B3BC7">
        <w:t>Process</w:t>
      </w:r>
      <w:r w:rsidR="00D411B0">
        <w:rPr>
          <w:bCs/>
        </w:rPr>
        <w:t xml:space="preserve"> in transmission providers’ compliance filing</w:t>
      </w:r>
      <w:r w:rsidR="00D2587E">
        <w:rPr>
          <w:bCs/>
        </w:rPr>
        <w:t>s</w:t>
      </w:r>
      <w:r>
        <w:rPr>
          <w:bCs/>
        </w:rPr>
        <w:t xml:space="preserve"> </w:t>
      </w:r>
      <w:r w:rsidRPr="001476DF">
        <w:rPr>
          <w:bCs/>
        </w:rPr>
        <w:t>could confus</w:t>
      </w:r>
      <w:r w:rsidR="00AB541A">
        <w:rPr>
          <w:bCs/>
        </w:rPr>
        <w:t>e</w:t>
      </w:r>
      <w:r w:rsidR="00ED40AA">
        <w:rPr>
          <w:bCs/>
        </w:rPr>
        <w:t xml:space="preserve"> </w:t>
      </w:r>
      <w:r w:rsidR="00AB541A">
        <w:rPr>
          <w:bCs/>
        </w:rPr>
        <w:t>stakeholders</w:t>
      </w:r>
      <w:r w:rsidRPr="001476DF">
        <w:rPr>
          <w:bCs/>
        </w:rPr>
        <w:t xml:space="preserve"> </w:t>
      </w:r>
      <w:r w:rsidR="009C6C5C">
        <w:rPr>
          <w:bCs/>
        </w:rPr>
        <w:t xml:space="preserve">as to which </w:t>
      </w:r>
      <w:r w:rsidR="004E62EA">
        <w:rPr>
          <w:bCs/>
        </w:rPr>
        <w:t>material</w:t>
      </w:r>
      <w:r w:rsidR="009C6C5C">
        <w:rPr>
          <w:bCs/>
        </w:rPr>
        <w:t xml:space="preserve"> </w:t>
      </w:r>
      <w:r w:rsidR="008A7A75">
        <w:rPr>
          <w:bCs/>
        </w:rPr>
        <w:t xml:space="preserve">to provide feedback on—that of the transmission provider </w:t>
      </w:r>
      <w:r w:rsidR="00193EA5">
        <w:rPr>
          <w:bCs/>
        </w:rPr>
        <w:t xml:space="preserve">or </w:t>
      </w:r>
      <w:r w:rsidR="00C7498A">
        <w:rPr>
          <w:bCs/>
        </w:rPr>
        <w:t xml:space="preserve">of </w:t>
      </w:r>
      <w:r w:rsidR="00193EA5">
        <w:rPr>
          <w:bCs/>
        </w:rPr>
        <w:t>the Relevant State Entities</w:t>
      </w:r>
      <w:r w:rsidR="006C2BDA">
        <w:rPr>
          <w:bCs/>
        </w:rPr>
        <w:t xml:space="preserve">—and </w:t>
      </w:r>
      <w:r w:rsidR="000D7B25">
        <w:rPr>
          <w:bCs/>
        </w:rPr>
        <w:t>result in</w:t>
      </w:r>
      <w:r w:rsidR="00E43040">
        <w:rPr>
          <w:bCs/>
        </w:rPr>
        <w:t xml:space="preserve"> </w:t>
      </w:r>
      <w:r w:rsidR="00351A41">
        <w:rPr>
          <w:bCs/>
        </w:rPr>
        <w:t>stakeholder feedback that is not focused on the transmission provider’s proposal</w:t>
      </w:r>
      <w:r>
        <w:rPr>
          <w:bCs/>
        </w:rPr>
        <w:t>.</w:t>
      </w:r>
      <w:r>
        <w:rPr>
          <w:rStyle w:val="FootnoteReference"/>
          <w:bCs/>
        </w:rPr>
        <w:footnoteReference w:id="251"/>
      </w:r>
    </w:p>
    <w:p w14:paraId="42C0DB6C" w14:textId="42502453" w:rsidR="00C348A1" w:rsidRPr="00C348A1" w:rsidRDefault="00C348A1" w:rsidP="00C348A1">
      <w:pPr>
        <w:pStyle w:val="FERCparanumber"/>
        <w:rPr>
          <w:i/>
          <w:iCs/>
        </w:rPr>
      </w:pPr>
      <w:r w:rsidRPr="00C348A1">
        <w:t>MISO</w:t>
      </w:r>
      <w:r>
        <w:t xml:space="preserve"> TOs, Indicated PJM TOs, SPP TOs, and EEI all argue that the Commission has departed—without sufficient basis or explanation—from its precedent</w:t>
      </w:r>
      <w:r w:rsidR="001515D9">
        <w:t xml:space="preserve"> </w:t>
      </w:r>
      <w:r w:rsidR="00E95AE1">
        <w:t>establishing</w:t>
      </w:r>
      <w:r>
        <w:t xml:space="preserve"> a preference for accepting the compliant just and reasonable compliance proposals of public utilities (or, in the context of the </w:t>
      </w:r>
      <w:r w:rsidR="00E0419A">
        <w:t>NGA</w:t>
      </w:r>
      <w:r>
        <w:t>, natural</w:t>
      </w:r>
      <w:r w:rsidR="008E0FFB">
        <w:t>-</w:t>
      </w:r>
      <w:r>
        <w:t>gas companies), rather than competing proposals.</w:t>
      </w:r>
      <w:r>
        <w:rPr>
          <w:rStyle w:val="FootnoteReference"/>
        </w:rPr>
        <w:footnoteReference w:id="252"/>
      </w:r>
      <w:r>
        <w:t xml:space="preserve">  They assert that this preference is justified (as recognized by </w:t>
      </w:r>
      <w:r>
        <w:lastRenderedPageBreak/>
        <w:t>Commission precedent) because public utilities have the primary initiative to set their rates, terms, and conditions of service and because, should the Commission adopt a compliance proposal from an entity other than the public utility, the public utility could immediately refile its own proposal under FPA section 205.</w:t>
      </w:r>
      <w:r>
        <w:rPr>
          <w:rStyle w:val="FootnoteReference"/>
        </w:rPr>
        <w:footnoteReference w:id="253"/>
      </w:r>
    </w:p>
    <w:p w14:paraId="65DC4808" w14:textId="5E2FAF8C" w:rsidR="00303DA2" w:rsidRPr="007A3BC3" w:rsidRDefault="009923CC" w:rsidP="00303DA2">
      <w:pPr>
        <w:pStyle w:val="FERCparanumber"/>
        <w:rPr>
          <w:i/>
        </w:rPr>
      </w:pPr>
      <w:r w:rsidRPr="009923CC">
        <w:t>SPP</w:t>
      </w:r>
      <w:r>
        <w:t xml:space="preserve"> TOs contend that the Commission </w:t>
      </w:r>
      <w:r w:rsidR="00803D12">
        <w:t>improperly</w:t>
      </w:r>
      <w:r>
        <w:t xml:space="preserve"> imposed different requirements on compliance proposals addressing cost allocation for Relevant State Entities versus transmission providers.</w:t>
      </w:r>
      <w:r>
        <w:rPr>
          <w:rStyle w:val="FootnoteReference"/>
        </w:rPr>
        <w:footnoteReference w:id="254"/>
      </w:r>
      <w:r>
        <w:t xml:space="preserve">  Specifically, SPP TOs state that compliance filings by transmission providers must</w:t>
      </w:r>
      <w:r w:rsidRPr="004D52E7">
        <w:t xml:space="preserve"> comply with five of O</w:t>
      </w:r>
      <w:r>
        <w:t xml:space="preserve">rder No. </w:t>
      </w:r>
      <w:r w:rsidRPr="004D52E7">
        <w:t>1000’s</w:t>
      </w:r>
      <w:r>
        <w:t xml:space="preserve"> six</w:t>
      </w:r>
      <w:r w:rsidRPr="004D52E7">
        <w:t xml:space="preserve"> regional cost allocation principles, but </w:t>
      </w:r>
      <w:r>
        <w:t>Relevant State Entities’</w:t>
      </w:r>
      <w:r w:rsidRPr="004D52E7">
        <w:t xml:space="preserve"> </w:t>
      </w:r>
      <w:r w:rsidR="004E62EA">
        <w:t>agreed-upon</w:t>
      </w:r>
      <w:r w:rsidR="004E62EA" w:rsidRPr="00033D0B">
        <w:t xml:space="preserve"> Long-Term Regional Transmission Cost Allocation Method</w:t>
      </w:r>
      <w:r w:rsidR="004E62EA" w:rsidRPr="009F1706">
        <w:t>(s)</w:t>
      </w:r>
      <w:r w:rsidR="004E62EA" w:rsidRPr="00033D0B">
        <w:t xml:space="preserve"> and/or State Agreement</w:t>
      </w:r>
      <w:r w:rsidR="004E62EA">
        <w:t xml:space="preserve"> </w:t>
      </w:r>
      <w:r w:rsidR="004E62EA" w:rsidRPr="008B3BC7">
        <w:t>Process</w:t>
      </w:r>
      <w:r w:rsidRPr="004D52E7">
        <w:t xml:space="preserve"> must merely comply with the cost-causation principle and any other legal requirements for cost allocation.</w:t>
      </w:r>
      <w:r>
        <w:rPr>
          <w:rStyle w:val="FootnoteReference"/>
        </w:rPr>
        <w:footnoteReference w:id="255"/>
      </w:r>
      <w:r>
        <w:t xml:space="preserve">  </w:t>
      </w:r>
      <w:r w:rsidRPr="00853CD1">
        <w:t>SPP TOs aver that it is unclear how the Commission will choose between competing replacement rate proposals given that they are subject to different criteria</w:t>
      </w:r>
      <w:r w:rsidR="00B65F2D">
        <w:t>,</w:t>
      </w:r>
      <w:r w:rsidRPr="00853CD1">
        <w:t xml:space="preserve"> </w:t>
      </w:r>
      <w:r w:rsidR="0017378F">
        <w:t>and assert</w:t>
      </w:r>
      <w:r w:rsidRPr="00853CD1">
        <w:t xml:space="preserve"> that the Commission will struggle to explain a decision to adopt</w:t>
      </w:r>
      <w:r w:rsidR="00CA2A46">
        <w:t xml:space="preserve">, as the </w:t>
      </w:r>
      <w:r w:rsidR="00CA2A46">
        <w:lastRenderedPageBreak/>
        <w:t>replacement rate,</w:t>
      </w:r>
      <w:r w:rsidRPr="00853CD1">
        <w:t xml:space="preserve"> Relevant State Entities’ </w:t>
      </w:r>
      <w:r w:rsidR="00574570">
        <w:t>agreed-upon</w:t>
      </w:r>
      <w:r w:rsidR="00574570" w:rsidRPr="00033D0B">
        <w:t xml:space="preserve"> Long-Term Regional Transmission Cost Allocation Method</w:t>
      </w:r>
      <w:r w:rsidR="00574570" w:rsidRPr="009F1706">
        <w:t>(s)</w:t>
      </w:r>
      <w:r w:rsidR="00574570" w:rsidRPr="00033D0B">
        <w:t xml:space="preserve"> and/or State Agreement</w:t>
      </w:r>
      <w:r w:rsidR="00574570">
        <w:t xml:space="preserve"> </w:t>
      </w:r>
      <w:r w:rsidR="00574570" w:rsidRPr="008B3BC7">
        <w:t>Process</w:t>
      </w:r>
      <w:r w:rsidRPr="00853CD1">
        <w:t>.</w:t>
      </w:r>
      <w:r w:rsidRPr="00853CD1">
        <w:rPr>
          <w:b/>
          <w:vertAlign w:val="superscript"/>
        </w:rPr>
        <w:footnoteReference w:id="256"/>
      </w:r>
    </w:p>
    <w:p w14:paraId="3DE35BDF" w14:textId="0227355C" w:rsidR="00662560" w:rsidRPr="009923CC" w:rsidRDefault="00662560" w:rsidP="007A3BC3">
      <w:pPr>
        <w:pStyle w:val="Heading5"/>
      </w:pPr>
      <w:r>
        <w:t>Commission Determination</w:t>
      </w:r>
    </w:p>
    <w:p w14:paraId="5346F65C" w14:textId="3ECFF270" w:rsidR="006A333D" w:rsidRPr="00EF1F92" w:rsidRDefault="006A333D" w:rsidP="006A333D">
      <w:pPr>
        <w:pStyle w:val="FERCparanumber"/>
      </w:pPr>
      <w:r w:rsidRPr="00EF1F92">
        <w:t xml:space="preserve">We disagree with arguments raised on rehearing that the Commission failed to comply with the APA in adopting the requirement that transmission providers include Relevant State </w:t>
      </w:r>
      <w:proofErr w:type="gramStart"/>
      <w:r w:rsidRPr="00EF1F92">
        <w:t>Entities’</w:t>
      </w:r>
      <w:proofErr w:type="gramEnd"/>
      <w:r w:rsidRPr="00EF1F92">
        <w:t xml:space="preserve"> agreed-upon Long-Term Regional Transmission Cost Allocation Method(s) and/or State Agreement Process </w:t>
      </w:r>
      <w:r w:rsidR="00EB5B7D">
        <w:t xml:space="preserve">and associated information </w:t>
      </w:r>
      <w:r w:rsidRPr="00EF1F92">
        <w:t xml:space="preserve">in their </w:t>
      </w:r>
      <w:r w:rsidR="00E82BD4">
        <w:t xml:space="preserve">Order </w:t>
      </w:r>
      <w:r w:rsidR="00BC259F">
        <w:t xml:space="preserve">             </w:t>
      </w:r>
      <w:r w:rsidR="00E82BD4">
        <w:t xml:space="preserve">No. 1920 regional transmission planning and cost allocation </w:t>
      </w:r>
      <w:r w:rsidRPr="00EF1F92">
        <w:t xml:space="preserve">compliance filings. </w:t>
      </w:r>
    </w:p>
    <w:p w14:paraId="6465FEC9" w14:textId="3A03208F" w:rsidR="006A333D" w:rsidRDefault="006A333D" w:rsidP="006A333D">
      <w:pPr>
        <w:pStyle w:val="FERCparanumber"/>
      </w:pPr>
      <w:r w:rsidRPr="00EF1F92">
        <w:t>Under the APA, agency action must be upheld unless it is arbitrary, capricious, an abuse of discretion, or otherwise not in accordance with the law.</w:t>
      </w:r>
      <w:r w:rsidRPr="00EF1F92">
        <w:rPr>
          <w:rStyle w:val="FootnoteReference"/>
        </w:rPr>
        <w:footnoteReference w:id="257"/>
      </w:r>
      <w:r w:rsidRPr="00EF1F92">
        <w:t xml:space="preserve">  In </w:t>
      </w:r>
      <w:r w:rsidRPr="00EF1F92">
        <w:rPr>
          <w:i/>
          <w:iCs/>
        </w:rPr>
        <w:t>South Carolina</w:t>
      </w:r>
      <w:r w:rsidRPr="00EF1F92">
        <w:t xml:space="preserve">, the D.C. Circuit </w:t>
      </w:r>
      <w:r>
        <w:t>set forth</w:t>
      </w:r>
      <w:r w:rsidRPr="00EF1F92">
        <w:t xml:space="preserve"> the </w:t>
      </w:r>
      <w:r>
        <w:t>standard that the Commission must meet in issuing a rule</w:t>
      </w:r>
      <w:r w:rsidRPr="00EF1F92">
        <w:t xml:space="preserve"> </w:t>
      </w:r>
      <w:r>
        <w:t>for the court to find that the</w:t>
      </w:r>
      <w:r w:rsidRPr="00EF1F92">
        <w:t xml:space="preserve"> Commission </w:t>
      </w:r>
      <w:r>
        <w:t>met its obligations under</w:t>
      </w:r>
      <w:r w:rsidRPr="00EF1F92">
        <w:t xml:space="preserve"> the APA:</w:t>
      </w:r>
    </w:p>
    <w:p w14:paraId="37EC5D48" w14:textId="551D3F04" w:rsidR="006A333D" w:rsidRPr="009F61C6" w:rsidRDefault="006A333D" w:rsidP="007A3BC3">
      <w:pPr>
        <w:pStyle w:val="BlockIndent"/>
      </w:pPr>
      <w:r w:rsidRPr="007A3BC3">
        <w:t xml:space="preserve">The Commission must examine the relevant data and articulate a satisfactory explanation for its action including a rational connection between the facts found and the choice made.  The Commission’s factual findings are conclusive if supported by substantial evidence.  Substantial evidence is such relevant evidence as a reasonable mind might accept as adequate to support a </w:t>
      </w:r>
      <w:proofErr w:type="gramStart"/>
      <w:r w:rsidRPr="007A3BC3">
        <w:t>conclusion, and</w:t>
      </w:r>
      <w:proofErr w:type="gramEnd"/>
      <w:r w:rsidRPr="007A3BC3">
        <w:t xml:space="preserve"> requires more than a scintilla but less than a preponderance of evidence.  When </w:t>
      </w:r>
      <w:r w:rsidRPr="009F61C6">
        <w:t>applied</w:t>
      </w:r>
      <w:r w:rsidRPr="007A3BC3">
        <w:t xml:space="preserve"> to rulemaking proceedings, the substantial evidence test is identical to the familiar arbitrary and capricious standard, which requires the Commission to specify the </w:t>
      </w:r>
      <w:r w:rsidRPr="007A3BC3">
        <w:lastRenderedPageBreak/>
        <w:t>evidence on which it relied and to explain how that evidence supports the conclusion it reached.</w:t>
      </w:r>
      <w:r w:rsidRPr="007A3BC3">
        <w:rPr>
          <w:b/>
          <w:vertAlign w:val="superscript"/>
        </w:rPr>
        <w:footnoteReference w:id="258"/>
      </w:r>
    </w:p>
    <w:p w14:paraId="01C35B17" w14:textId="0650E255" w:rsidR="006A333D" w:rsidRPr="00EF1F92" w:rsidRDefault="006A333D" w:rsidP="006A333D">
      <w:pPr>
        <w:pStyle w:val="FERCparanumber"/>
      </w:pPr>
      <w:r w:rsidRPr="00EF1F92">
        <w:t xml:space="preserve">We disagree with the rehearing </w:t>
      </w:r>
      <w:r>
        <w:t>petitioners</w:t>
      </w:r>
      <w:r w:rsidRPr="00EF1F92">
        <w:t xml:space="preserve"> who argue that the requirement that transmission providers include Relevant State </w:t>
      </w:r>
      <w:proofErr w:type="gramStart"/>
      <w:r w:rsidRPr="00EF1F92">
        <w:t>Entities’</w:t>
      </w:r>
      <w:proofErr w:type="gramEnd"/>
      <w:r w:rsidRPr="00EF1F92">
        <w:t xml:space="preserve"> agreed-upon Long-Term Regional Transmission Cost Allocation Method(s) and/or State Agreement Process in their compliance filings fails to satisfy these requirements.  Specifically, we disagree with the arguments by MISO TOs, Indicated PJM TOs, SPP TOs, and EEI that the Commission failed to explain why states did not already have adequate opportunities to provide input </w:t>
      </w:r>
      <w:r w:rsidR="00FA7036">
        <w:t>on</w:t>
      </w:r>
      <w:r w:rsidR="00FA7036" w:rsidRPr="00EF1F92">
        <w:t xml:space="preserve"> </w:t>
      </w:r>
      <w:r>
        <w:t xml:space="preserve">regional transmission </w:t>
      </w:r>
      <w:r w:rsidRPr="00EF1F92">
        <w:t>cost allocation</w:t>
      </w:r>
      <w:r>
        <w:t xml:space="preserve"> issues</w:t>
      </w:r>
      <w:r w:rsidRPr="00EF1F92">
        <w:t xml:space="preserve"> through previously existing processes.  </w:t>
      </w:r>
      <w:r w:rsidR="006C7193">
        <w:t>Recognizing</w:t>
      </w:r>
      <w:r w:rsidRPr="00EF1F92">
        <w:t xml:space="preserve"> the increased importance </w:t>
      </w:r>
      <w:r w:rsidR="005B68B2">
        <w:t>of</w:t>
      </w:r>
      <w:r w:rsidRPr="00EF1F92">
        <w:t xml:space="preserve"> state engagement regarding cost allocation for Long-Term Regional Transmission Facilities, the Commission </w:t>
      </w:r>
      <w:r>
        <w:t xml:space="preserve">in Order No. 1920 established </w:t>
      </w:r>
      <w:r w:rsidRPr="00EF1F92">
        <w:t xml:space="preserve">the Engagement Period and required transmission providers on compliance to explain how they complied with the requirement to provide a forum for negotiation of </w:t>
      </w:r>
      <w:r>
        <w:t xml:space="preserve">a </w:t>
      </w:r>
      <w:r w:rsidRPr="00EF1F92">
        <w:t>Long-Term Regional Transmission Cost Allocation Method(s) and</w:t>
      </w:r>
      <w:r>
        <w:t>/</w:t>
      </w:r>
      <w:r w:rsidRPr="00EF1F92">
        <w:t>or State Agreement Process that enables meaningful participation by Relevant State Entities.</w:t>
      </w:r>
      <w:r w:rsidRPr="00EF1F92">
        <w:rPr>
          <w:rStyle w:val="FootnoteReference"/>
        </w:rPr>
        <w:footnoteReference w:id="259"/>
      </w:r>
      <w:r w:rsidRPr="00EF1F92">
        <w:t xml:space="preserve">  In Order </w:t>
      </w:r>
      <w:r w:rsidR="00BC259F">
        <w:t xml:space="preserve">               </w:t>
      </w:r>
      <w:r w:rsidRPr="00EF1F92">
        <w:t xml:space="preserve">No. 1920-A, the Commission reiterated that it is critical to the success of the Long-Term Regional Transmission Planning reforms that states have an opportunity to have a </w:t>
      </w:r>
      <w:r w:rsidRPr="00EF1F92">
        <w:lastRenderedPageBreak/>
        <w:t>significant role in the establishment of just and reasonable Long-Term Regional Transmission Cost Allocation Methods and State Agreement Processes</w:t>
      </w:r>
      <w:r>
        <w:t>.</w:t>
      </w:r>
      <w:r>
        <w:rPr>
          <w:rStyle w:val="FootnoteReference"/>
        </w:rPr>
        <w:footnoteReference w:id="260"/>
      </w:r>
      <w:r>
        <w:t xml:space="preserve">  Consistent with these findings, when the Commission adopted</w:t>
      </w:r>
      <w:r w:rsidRPr="00EF1F92">
        <w:t xml:space="preserve"> the requirement that transmission providers include Relevant State Entities’ agreed-upon Long-Term Regional Transmission Cost Allocation Method(s) and/or State Agreement Process, and any information relevant thereto, in their compliance filings, the Commission found that the additional requirement would allow it to better evaluate whether transmission providers have complied with Order No. 1920’s requirement to provide a forum for negotiations that enables meaningful participation by Relevant State Entities during the Engagement</w:t>
      </w:r>
      <w:r>
        <w:t xml:space="preserve"> Period</w:t>
      </w:r>
      <w:r w:rsidRPr="00EF1F92">
        <w:t>.</w:t>
      </w:r>
      <w:r w:rsidRPr="00EF1F92">
        <w:rPr>
          <w:rStyle w:val="FootnoteReference"/>
        </w:rPr>
        <w:footnoteReference w:id="261"/>
      </w:r>
      <w:r w:rsidRPr="00EF1F92">
        <w:t xml:space="preserve">  </w:t>
      </w:r>
      <w:r w:rsidR="003675D1">
        <w:t>The</w:t>
      </w:r>
      <w:r w:rsidRPr="00EF1F92">
        <w:t xml:space="preserve"> Long-Term Regional Transmission Cost Allocation Method(s) and/or State Agreement Process agreed upon by Relevant State Entities during the Engagement Period are </w:t>
      </w:r>
      <w:r w:rsidR="00D54290">
        <w:t xml:space="preserve">thus </w:t>
      </w:r>
      <w:r w:rsidRPr="00EF1F92">
        <w:t xml:space="preserve">evidence </w:t>
      </w:r>
      <w:r w:rsidR="00D54290">
        <w:t xml:space="preserve">for compliance purposes </w:t>
      </w:r>
      <w:r w:rsidR="002C0683">
        <w:t>that will assist</w:t>
      </w:r>
      <w:r w:rsidR="000E6001">
        <w:t xml:space="preserve"> the Commission</w:t>
      </w:r>
      <w:r w:rsidR="002C0683">
        <w:t xml:space="preserve"> as it</w:t>
      </w:r>
      <w:r w:rsidR="000E6001">
        <w:t xml:space="preserve"> </w:t>
      </w:r>
      <w:r w:rsidR="00617135">
        <w:t xml:space="preserve">determines and fixes </w:t>
      </w:r>
      <w:r w:rsidR="000E6001">
        <w:t>the replacement rate</w:t>
      </w:r>
      <w:r w:rsidRPr="00EF1F92">
        <w:t>.</w:t>
      </w:r>
      <w:r>
        <w:t xml:space="preserve">  </w:t>
      </w:r>
      <w:r w:rsidR="00BE7763">
        <w:t xml:space="preserve"> </w:t>
      </w:r>
    </w:p>
    <w:p w14:paraId="3E8A4338" w14:textId="6F7B1E50" w:rsidR="006A333D" w:rsidRPr="00EF1F92" w:rsidRDefault="006A333D" w:rsidP="006A333D">
      <w:pPr>
        <w:pStyle w:val="FERCparanumber"/>
      </w:pPr>
      <w:r>
        <w:t xml:space="preserve">Moreover, receiving </w:t>
      </w:r>
      <w:r w:rsidRPr="00EF1F92">
        <w:t xml:space="preserve">Relevant State </w:t>
      </w:r>
      <w:proofErr w:type="gramStart"/>
      <w:r w:rsidRPr="00EF1F92">
        <w:t>Entities’</w:t>
      </w:r>
      <w:proofErr w:type="gramEnd"/>
      <w:r w:rsidRPr="00EF1F92">
        <w:t xml:space="preserve"> agreed-upon Long-Term Regional Transmission Cost Allocation Method(s) and/or State Agreement Process, and any information relevant thereto</w:t>
      </w:r>
      <w:r>
        <w:t xml:space="preserve">, in tandem with transmission providers’ compliance filings is procedurally consistent with </w:t>
      </w:r>
      <w:r w:rsidR="00D95CEC">
        <w:t>the Commission’s</w:t>
      </w:r>
      <w:r>
        <w:t xml:space="preserve"> intention</w:t>
      </w:r>
      <w:r w:rsidR="000C47FA">
        <w:t>, as stated</w:t>
      </w:r>
      <w:r>
        <w:t xml:space="preserve"> in </w:t>
      </w:r>
      <w:r w:rsidR="000C47FA">
        <w:t>Order No. 1920-A,</w:t>
      </w:r>
      <w:r>
        <w:t xml:space="preserve"> to review the entire record in </w:t>
      </w:r>
      <w:r w:rsidR="00CB1FC6">
        <w:t xml:space="preserve">determining and fixing </w:t>
      </w:r>
      <w:r>
        <w:t>a replacement rate.  We further conclude that</w:t>
      </w:r>
      <w:r w:rsidR="00813620">
        <w:t>, in these circumstances,</w:t>
      </w:r>
      <w:r>
        <w:t xml:space="preserve"> there is significant administrative efficiency in </w:t>
      </w:r>
      <w:r>
        <w:lastRenderedPageBreak/>
        <w:t xml:space="preserve">receiving these materials together, as—for instance—it will allow interested stakeholders to comment </w:t>
      </w:r>
      <w:r w:rsidR="009A0052">
        <w:t>simultaneously</w:t>
      </w:r>
      <w:r>
        <w:t xml:space="preserve"> on both </w:t>
      </w:r>
      <w:r w:rsidR="00574570">
        <w:t xml:space="preserve">transmission providers’ </w:t>
      </w:r>
      <w:r w:rsidRPr="007262B1">
        <w:t>proposal</w:t>
      </w:r>
      <w:r w:rsidR="00574570">
        <w:t xml:space="preserve"> and Relevant State </w:t>
      </w:r>
      <w:proofErr w:type="gramStart"/>
      <w:r w:rsidR="00574570">
        <w:t>Entities’</w:t>
      </w:r>
      <w:proofErr w:type="gramEnd"/>
      <w:r w:rsidR="00574570">
        <w:t xml:space="preserve"> agreed-upon</w:t>
      </w:r>
      <w:r w:rsidR="00574570" w:rsidRPr="00033D0B">
        <w:t xml:space="preserve"> Long-Term Regional Transmission Cost Allocation Method</w:t>
      </w:r>
      <w:r w:rsidR="00574570" w:rsidRPr="009F1706">
        <w:t>(s)</w:t>
      </w:r>
      <w:r w:rsidR="00574570" w:rsidRPr="00033D0B">
        <w:t xml:space="preserve"> and/or State Agreement</w:t>
      </w:r>
      <w:r w:rsidR="00574570">
        <w:t xml:space="preserve"> </w:t>
      </w:r>
      <w:r w:rsidR="00574570" w:rsidRPr="008B3BC7">
        <w:t>Process</w:t>
      </w:r>
      <w:r>
        <w:t xml:space="preserve">.  We anticipate that this process </w:t>
      </w:r>
      <w:r w:rsidR="009B4FA6">
        <w:t>will</w:t>
      </w:r>
      <w:r>
        <w:t xml:space="preserve"> provide the Commission with a more </w:t>
      </w:r>
      <w:r w:rsidR="00221FC6">
        <w:t>comprehensive</w:t>
      </w:r>
      <w:r>
        <w:t xml:space="preserve">, better-developed record for the exercise of its FPA section 206 authority to </w:t>
      </w:r>
      <w:r w:rsidR="0026636A">
        <w:t xml:space="preserve">determine and fix </w:t>
      </w:r>
      <w:r>
        <w:t>the replacement rate.</w:t>
      </w:r>
      <w:r w:rsidR="003C3146">
        <w:rPr>
          <w:rStyle w:val="FootnoteReference"/>
        </w:rPr>
        <w:footnoteReference w:id="262"/>
      </w:r>
    </w:p>
    <w:p w14:paraId="59418839" w14:textId="3A093580" w:rsidR="006A333D" w:rsidRDefault="006A333D" w:rsidP="006A333D">
      <w:pPr>
        <w:pStyle w:val="FERCparanumber"/>
      </w:pPr>
      <w:r w:rsidRPr="002F1CA1">
        <w:t xml:space="preserve">Rehearing petitioners </w:t>
      </w:r>
      <w:r w:rsidR="002F6AB7">
        <w:t>argue</w:t>
      </w:r>
      <w:r w:rsidR="002F6AB7" w:rsidRPr="002F1CA1">
        <w:t xml:space="preserve"> </w:t>
      </w:r>
      <w:r w:rsidRPr="002F1CA1">
        <w:t>that there are other avenues available for Relevant State Entities to present their views, such as through protests</w:t>
      </w:r>
      <w:r>
        <w:t>.</w:t>
      </w:r>
      <w:r>
        <w:rPr>
          <w:rStyle w:val="FootnoteReference"/>
        </w:rPr>
        <w:footnoteReference w:id="263"/>
      </w:r>
      <w:r>
        <w:t xml:space="preserve">  But the availability of such alternative approaches, and rehearing petitioners</w:t>
      </w:r>
      <w:r w:rsidR="00EF3D00">
        <w:t>’</w:t>
      </w:r>
      <w:r>
        <w:t xml:space="preserve"> view that they are adequate or preferable, does not render Order No. 1920-A’s requirement</w:t>
      </w:r>
      <w:r w:rsidR="00BF5546">
        <w:t>s</w:t>
      </w:r>
      <w:r>
        <w:t xml:space="preserve"> unjust and unreasonable or arbitrary and capricious.</w:t>
      </w:r>
      <w:r>
        <w:rPr>
          <w:rStyle w:val="FootnoteReference"/>
        </w:rPr>
        <w:footnoteReference w:id="264"/>
      </w:r>
      <w:r>
        <w:t xml:space="preserve">  The Commission has adequately explained and supported the approach that it adopted in Order No. 1920-A.</w:t>
      </w:r>
    </w:p>
    <w:p w14:paraId="4213CB1F" w14:textId="1FDE2E53" w:rsidR="006A333D" w:rsidRPr="00EF1F92" w:rsidRDefault="006A333D" w:rsidP="006A333D">
      <w:pPr>
        <w:pStyle w:val="FERCparanumber"/>
      </w:pPr>
      <w:r w:rsidRPr="00EF1F92">
        <w:t xml:space="preserve">We also disagree with MISO TOs’ and SPP TOs’ arguments that Order </w:t>
      </w:r>
      <w:r w:rsidR="00BC259F">
        <w:t xml:space="preserve">                      </w:t>
      </w:r>
      <w:r w:rsidRPr="00EF1F92">
        <w:t xml:space="preserve">No. 1920-A’s compliance filing requirements are inconsistent with the Commission’s </w:t>
      </w:r>
      <w:r w:rsidRPr="00EF1F92">
        <w:lastRenderedPageBreak/>
        <w:t>determination that transmission providers have the obligation, subject to Commission oversight, to engage in transmission planning and cost allocation.  Order No. 1920-A is clear that, as in Order No. 1920, transmission providers decide what to submit as their actual Order No. 1920 compliance proposal, including relevant tariff language and supporting evidence or arguments, whether they decide to propose the Relevant State Entities’ agreed-upon Long-Term Regional Transmission Cost Allocation Method</w:t>
      </w:r>
      <w:r w:rsidR="00E82885" w:rsidRPr="00A83509">
        <w:t>(s)</w:t>
      </w:r>
      <w:r w:rsidRPr="00EF1F92">
        <w:t xml:space="preserve"> and/or State Agreement Process or a different Long-Term Regional Transmission Cost Allocation Method.</w:t>
      </w:r>
      <w:r w:rsidRPr="00EF1F92">
        <w:rPr>
          <w:rStyle w:val="FootnoteReference"/>
        </w:rPr>
        <w:footnoteReference w:id="265"/>
      </w:r>
      <w:r w:rsidRPr="00EF1F92">
        <w:t xml:space="preserve">  </w:t>
      </w:r>
      <w:r w:rsidR="000A1C9C">
        <w:t>This requirement</w:t>
      </w:r>
      <w:r w:rsidRPr="00EF1F92">
        <w:t xml:space="preserve"> therefore does not </w:t>
      </w:r>
      <w:r w:rsidR="003378F8">
        <w:t xml:space="preserve">diminish </w:t>
      </w:r>
      <w:r w:rsidRPr="00EF1F92">
        <w:t>transmission providers</w:t>
      </w:r>
      <w:r w:rsidR="00855354">
        <w:t>’</w:t>
      </w:r>
      <w:r w:rsidRPr="00EF1F92">
        <w:t xml:space="preserve"> </w:t>
      </w:r>
      <w:r w:rsidR="00C519CD">
        <w:t>role</w:t>
      </w:r>
      <w:r w:rsidR="00C519CD" w:rsidRPr="00EF1F92">
        <w:t xml:space="preserve"> </w:t>
      </w:r>
      <w:r w:rsidRPr="00EF1F92">
        <w:t>in transmission planning and cost allocation</w:t>
      </w:r>
      <w:r w:rsidR="00D61D19">
        <w:t xml:space="preserve"> matters</w:t>
      </w:r>
      <w:r w:rsidRPr="00EF1F92">
        <w:t xml:space="preserve">.  Further, Order </w:t>
      </w:r>
      <w:r w:rsidR="00BC259F">
        <w:t xml:space="preserve">               </w:t>
      </w:r>
      <w:r w:rsidRPr="00EF1F92">
        <w:t xml:space="preserve">No. 1920-A retains the Commission’s oversight of transmission providers’ transmission planning and cost allocation, as the Commission will </w:t>
      </w:r>
      <w:r w:rsidR="009C7410">
        <w:t>e</w:t>
      </w:r>
      <w:r w:rsidR="00AA6ED0">
        <w:t>xercise</w:t>
      </w:r>
      <w:r w:rsidR="009C7410" w:rsidRPr="00EF1F92">
        <w:t xml:space="preserve"> </w:t>
      </w:r>
      <w:r w:rsidRPr="00EF1F92">
        <w:t>its authority under FPA section 206 to determine the replacement rate on compliance.</w:t>
      </w:r>
      <w:r w:rsidRPr="00EF1F92">
        <w:rPr>
          <w:rStyle w:val="FootnoteReference"/>
        </w:rPr>
        <w:footnoteReference w:id="266"/>
      </w:r>
    </w:p>
    <w:p w14:paraId="0C644AFE" w14:textId="38C32633" w:rsidR="006A333D" w:rsidRDefault="006A333D" w:rsidP="006A333D">
      <w:pPr>
        <w:pStyle w:val="FERCparanumber"/>
      </w:pPr>
      <w:r w:rsidRPr="00EF1F92">
        <w:t>We disagree with WIRES that Order No. 1920-A is arbitrary and capricious because, in WIRES’ opinion, Order No. 1920-A “adopts an adversarial approach” that is “likely to engender years of costly litigation that would cast a cloud over successfully siting and developing critically needed transmission in a timely manner.”</w:t>
      </w:r>
      <w:r w:rsidRPr="00EF1F92">
        <w:rPr>
          <w:rStyle w:val="FootnoteReference"/>
        </w:rPr>
        <w:footnoteReference w:id="267"/>
      </w:r>
      <w:r w:rsidRPr="00EF1F92">
        <w:t xml:space="preserve">  </w:t>
      </w:r>
      <w:r>
        <w:t xml:space="preserve">To begin </w:t>
      </w:r>
      <w:r>
        <w:lastRenderedPageBreak/>
        <w:t>with, a</w:t>
      </w:r>
      <w:r w:rsidRPr="00EF1F92">
        <w:t xml:space="preserve">s rehearing </w:t>
      </w:r>
      <w:r>
        <w:t>petitioners</w:t>
      </w:r>
      <w:r w:rsidRPr="00EF1F92">
        <w:t xml:space="preserve"> recognize,</w:t>
      </w:r>
      <w:r>
        <w:rPr>
          <w:rStyle w:val="FootnoteReference"/>
        </w:rPr>
        <w:footnoteReference w:id="268"/>
      </w:r>
      <w:r w:rsidRPr="00EF1F92">
        <w:t xml:space="preserve"> absent Order No. 1920-A’s requirement that transmission providers include Relevant State Entities’ agreed-upon Long-Term Regional Transmission Cost Allocation Method(s) and/or State Agreement Process in their compliance filings, Relevant State Entities would be able to submit their agreed-upon Long-Term Regional Transmission Cost Allocation Method(s) and/or State Agreement Process in comments in opposition to transmission providers’ compliance filings.  Therefore, </w:t>
      </w:r>
      <w:r>
        <w:t>were</w:t>
      </w:r>
      <w:r w:rsidRPr="00EF1F92">
        <w:t xml:space="preserve"> a transmission provider </w:t>
      </w:r>
      <w:r>
        <w:t xml:space="preserve">to </w:t>
      </w:r>
      <w:r w:rsidRPr="00EF1F92">
        <w:t xml:space="preserve">choose not to propose Relevant State Entities’ agreed-upon Long-Term Regional Transmission Cost Allocation Method(s) and/or State Agreement Process on compliance, the proceedings related to the transmission provider’s compliance filing </w:t>
      </w:r>
      <w:r w:rsidR="008E0C54">
        <w:t xml:space="preserve">could still </w:t>
      </w:r>
      <w:r w:rsidRPr="00EF1F92">
        <w:t>result in disagreement between the transmission provider and Relevant State Entities</w:t>
      </w:r>
      <w:r>
        <w:t>,</w:t>
      </w:r>
      <w:r w:rsidRPr="00EF1F92">
        <w:t xml:space="preserve"> regardless of whether the Commission required transmission providers to include Relevant State Entities’ </w:t>
      </w:r>
      <w:r>
        <w:t>agreed-upon</w:t>
      </w:r>
      <w:r w:rsidRPr="00EF1F92">
        <w:t xml:space="preserve"> Long-Term Regional Transmission Cost Allocation Method(s) and/or State Agreement Process in their compliance filings.  However, as discussed above, the requirement that transmission providers include Relevant State Entities’ </w:t>
      </w:r>
      <w:r>
        <w:t>agreed-upon</w:t>
      </w:r>
      <w:r w:rsidRPr="00EF1F92">
        <w:t xml:space="preserve"> Long-Term Regional Transmission Cost Allocation Method(s) and/or State Agreement Process in their compliance filings</w:t>
      </w:r>
      <w:r w:rsidR="009D751B" w:rsidRPr="00A83509">
        <w:t xml:space="preserve">, </w:t>
      </w:r>
      <w:r w:rsidR="007C646B" w:rsidRPr="00A83509">
        <w:t xml:space="preserve">as well as any </w:t>
      </w:r>
      <w:r w:rsidR="007C646B" w:rsidRPr="00A83509" w:rsidDel="00F01D8E">
        <w:t>information</w:t>
      </w:r>
      <w:r w:rsidR="007C646B" w:rsidRPr="00A83509">
        <w:t xml:space="preserve"> that Relevant State Entities provide to them regarding </w:t>
      </w:r>
      <w:r w:rsidR="00E2682C" w:rsidRPr="00A83509">
        <w:t>the</w:t>
      </w:r>
      <w:r w:rsidR="00556563" w:rsidRPr="00A83509">
        <w:t xml:space="preserve"> state negoti</w:t>
      </w:r>
      <w:r w:rsidR="00B40B4C" w:rsidRPr="00A83509">
        <w:t xml:space="preserve">ations </w:t>
      </w:r>
      <w:r w:rsidR="007C646B" w:rsidRPr="00A83509">
        <w:t>during the Engagement Period</w:t>
      </w:r>
      <w:r w:rsidR="007C646B">
        <w:t>,</w:t>
      </w:r>
      <w:r w:rsidRPr="00EF1F92">
        <w:t xml:space="preserve"> will allow the Commission to better evaluate whether transmission providers have complied with Order </w:t>
      </w:r>
      <w:r w:rsidRPr="00EF1F92">
        <w:lastRenderedPageBreak/>
        <w:t>No. 1920’s requirement to provide a forum for negotiations that enables meaningful participation by Relevant State Entities during the Engagement</w:t>
      </w:r>
      <w:r>
        <w:t xml:space="preserve"> Period</w:t>
      </w:r>
      <w:r w:rsidRPr="00EF1F92">
        <w:t>.</w:t>
      </w:r>
      <w:r w:rsidR="009777B5">
        <w:rPr>
          <w:rStyle w:val="FootnoteReference"/>
        </w:rPr>
        <w:footnoteReference w:id="269"/>
      </w:r>
      <w:r w:rsidRPr="00EF1F92">
        <w:t xml:space="preserve">  </w:t>
      </w:r>
      <w:r w:rsidRPr="002F777D">
        <w:t xml:space="preserve">Moreover, we believe that ensuring that such a forum exists—and verifying compliance with this requirement—is likely to reduce the prospect </w:t>
      </w:r>
      <w:r>
        <w:t>of</w:t>
      </w:r>
      <w:r w:rsidRPr="002F777D">
        <w:t xml:space="preserve"> dispute</w:t>
      </w:r>
      <w:r w:rsidR="00DF43C5">
        <w:t>s</w:t>
      </w:r>
      <w:r w:rsidRPr="002F777D">
        <w:t xml:space="preserve"> over cost allocation methods</w:t>
      </w:r>
      <w:r>
        <w:t xml:space="preserve"> </w:t>
      </w:r>
      <w:r w:rsidRPr="002F777D">
        <w:t>by ensuring Relevant State Entities’ views are considered by transmission providers</w:t>
      </w:r>
      <w:r w:rsidR="00E327E7">
        <w:t xml:space="preserve"> and therefore that their participation is meaningful</w:t>
      </w:r>
      <w:r w:rsidRPr="002F777D">
        <w:t>.</w:t>
      </w:r>
      <w:r>
        <w:rPr>
          <w:rStyle w:val="FootnoteReference"/>
        </w:rPr>
        <w:footnoteReference w:id="270"/>
      </w:r>
      <w:r>
        <w:t xml:space="preserve">  </w:t>
      </w:r>
      <w:r w:rsidRPr="00EF1F92">
        <w:t xml:space="preserve">Therefore, on balance, the Commission reasonably required that transmission providers include Relevant State Entities’ </w:t>
      </w:r>
      <w:r w:rsidR="00BC259F">
        <w:t xml:space="preserve">                </w:t>
      </w:r>
      <w:r>
        <w:t>agreed-upon</w:t>
      </w:r>
      <w:r w:rsidRPr="00EF1F92">
        <w:t xml:space="preserve"> Long-Term Regional Transmission Cost Allocation Method(s) and/or State Agreement Process in their compliance filings.</w:t>
      </w:r>
    </w:p>
    <w:p w14:paraId="7E9DA6DF" w14:textId="7E0CD5D4" w:rsidR="006A333D" w:rsidRPr="00EF1F92" w:rsidRDefault="006A333D" w:rsidP="006A333D">
      <w:pPr>
        <w:pStyle w:val="FERCparanumber"/>
      </w:pPr>
      <w:r>
        <w:t>We also disagree with WIRES’ argument that the Commission’s adoption of Order No. 1920-A’s “compliance mandates” is arbitrary and capricious because the Commission in Order No. 1920-A “defend[ed] its amendments by using the same justification relied upon in Order No. 1920.”</w:t>
      </w:r>
      <w:r>
        <w:rPr>
          <w:rStyle w:val="FootnoteReference"/>
        </w:rPr>
        <w:footnoteReference w:id="271"/>
      </w:r>
      <w:r>
        <w:t xml:space="preserve">  In Order No. 1920-A, the Commission “weighed [the] competing views” presented by rehearing petitioners and, based upon the substantial evidence it identified in Order No. 1920, concluded that the requirement that transmission providers include Relevant State Entities’ agreed-upon Long-Term Regional </w:t>
      </w:r>
      <w:r>
        <w:lastRenderedPageBreak/>
        <w:t>Transmission Cost Allocation Method(s) and/or State Agreement Process in their compliance filings is just and reasonable.</w:t>
      </w:r>
      <w:r>
        <w:rPr>
          <w:rStyle w:val="FootnoteReference"/>
        </w:rPr>
        <w:footnoteReference w:id="272"/>
      </w:r>
      <w:r>
        <w:t xml:space="preserve">  </w:t>
      </w:r>
      <w:r w:rsidR="000D321E" w:rsidRPr="00906A84">
        <w:t xml:space="preserve">The Commission </w:t>
      </w:r>
      <w:r w:rsidR="00B22DC6" w:rsidRPr="00906A84">
        <w:t>further</w:t>
      </w:r>
      <w:r w:rsidR="000D321E" w:rsidRPr="00906A84">
        <w:t xml:space="preserve"> concluded that</w:t>
      </w:r>
      <w:r w:rsidR="00993751" w:rsidRPr="00906A84">
        <w:t xml:space="preserve"> </w:t>
      </w:r>
      <w:r w:rsidR="0064285E" w:rsidRPr="00906A84">
        <w:t>this and other requirements adopted in Order No. 1920-A</w:t>
      </w:r>
      <w:r w:rsidR="00B22DC6" w:rsidRPr="00906A84">
        <w:t xml:space="preserve"> strike a reasonable balance between, on the one hand, recognizing the rights and responsibilities of the Commission and transmission providers over regional transmission planning and, on the other, the states’ critical interests in the resulting Long-Term Regional Transmission Facilities and how the costs associated with those facilities will be allocated.</w:t>
      </w:r>
      <w:r w:rsidR="00B22DC6" w:rsidRPr="00906A84">
        <w:rPr>
          <w:rStyle w:val="FootnoteReference"/>
        </w:rPr>
        <w:footnoteReference w:id="273"/>
      </w:r>
      <w:r w:rsidR="00B22DC6">
        <w:t xml:space="preserve"> </w:t>
      </w:r>
      <w:r w:rsidR="000D321E">
        <w:t xml:space="preserve"> </w:t>
      </w:r>
      <w:r>
        <w:t>Therefore, the Commission’s decision-making in this regard satisfies the APA.</w:t>
      </w:r>
    </w:p>
    <w:p w14:paraId="0117A67C" w14:textId="50BD18CE" w:rsidR="006A333D" w:rsidRPr="00EF1F92" w:rsidRDefault="006A333D" w:rsidP="006A333D">
      <w:pPr>
        <w:pStyle w:val="FERCparanumber"/>
      </w:pPr>
      <w:bookmarkStart w:id="3" w:name="_Ref195110265"/>
      <w:r w:rsidRPr="00EF1F92">
        <w:t xml:space="preserve">We </w:t>
      </w:r>
      <w:r>
        <w:t>also are not persuaded by</w:t>
      </w:r>
      <w:r w:rsidRPr="00EF1F92">
        <w:t xml:space="preserve"> EEI</w:t>
      </w:r>
      <w:r>
        <w:t>’s argument</w:t>
      </w:r>
      <w:r w:rsidRPr="00EF1F92">
        <w:t xml:space="preserve"> that the unique role of Relevant State Entities does not relate to cost allocation or justif</w:t>
      </w:r>
      <w:r>
        <w:t>y</w:t>
      </w:r>
      <w:r w:rsidRPr="00EF1F92">
        <w:t xml:space="preserve"> the requirement that transmission providers include Relevant State Entities’ </w:t>
      </w:r>
      <w:r>
        <w:t>agreed-upon</w:t>
      </w:r>
      <w:r w:rsidRPr="00EF1F92">
        <w:t xml:space="preserve"> Long-Term Regional Transmission Cost Allocation Method(s) and/or State Agreement Process in their compliance filings.</w:t>
      </w:r>
      <w:r>
        <w:rPr>
          <w:rStyle w:val="FootnoteReference"/>
        </w:rPr>
        <w:footnoteReference w:id="274"/>
      </w:r>
      <w:r w:rsidRPr="00EF1F92">
        <w:t xml:space="preserve">  In Order No. 1920-A</w:t>
      </w:r>
      <w:r>
        <w:t>,</w:t>
      </w:r>
      <w:r w:rsidRPr="00EF1F92">
        <w:t xml:space="preserve"> the Commission reiterated that states play a </w:t>
      </w:r>
      <w:r w:rsidRPr="00EF1F92">
        <w:lastRenderedPageBreak/>
        <w:t>unique role in Long-Term Regional Transmission Planning, as their laws, regulations, and policies drive the need for Long-Term Regional Transmission Facilities, and they typically will have responsibility to consider and approve the siting, permitting, and construction of Long-Term Regional Transmission Facilities selected in a regional transmission plan.</w:t>
      </w:r>
      <w:r w:rsidRPr="00EF1F92">
        <w:rPr>
          <w:rStyle w:val="FootnoteReference"/>
        </w:rPr>
        <w:footnoteReference w:id="275"/>
      </w:r>
      <w:r w:rsidRPr="00EF1F92">
        <w:t xml:space="preserve">  </w:t>
      </w:r>
      <w:r>
        <w:t>A</w:t>
      </w:r>
      <w:r w:rsidRPr="00EF1F92">
        <w:t>s such, states</w:t>
      </w:r>
      <w:r w:rsidRPr="00EF1F92">
        <w:rPr>
          <w:b/>
          <w:bCs/>
        </w:rPr>
        <w:t xml:space="preserve"> </w:t>
      </w:r>
      <w:r w:rsidRPr="00EF1F92">
        <w:t xml:space="preserve">affect whether Long-Term Regional Transmission Facilities are timely, efficiently, and cost-effectively developed such that customers actually receive the benefits associated with the selection of more efficient or </w:t>
      </w:r>
      <w:r w:rsidR="00BC259F">
        <w:t xml:space="preserve">                    </w:t>
      </w:r>
      <w:r w:rsidRPr="00EF1F92">
        <w:t>cost-effective transmission solutions.</w:t>
      </w:r>
      <w:r w:rsidRPr="00EF1F92">
        <w:rPr>
          <w:rStyle w:val="FootnoteReference"/>
        </w:rPr>
        <w:footnoteReference w:id="276"/>
      </w:r>
      <w:r w:rsidRPr="00EF1F92">
        <w:t xml:space="preserve">  The effect of Relevant State Entities’ decisions on </w:t>
      </w:r>
      <w:r>
        <w:t>such</w:t>
      </w:r>
      <w:r w:rsidRPr="00EF1F92">
        <w:t xml:space="preserve"> timely, efficient, and cost-effective development of Long-Term Regional Transmission Facilities directly relate</w:t>
      </w:r>
      <w:r>
        <w:t>s</w:t>
      </w:r>
      <w:r w:rsidRPr="00EF1F92">
        <w:t xml:space="preserve"> to the allocation of costs for those facilities</w:t>
      </w:r>
      <w:r w:rsidR="0017688C">
        <w:t>.</w:t>
      </w:r>
      <w:r w:rsidRPr="00EF1F92">
        <w:t xml:space="preserve">  </w:t>
      </w:r>
      <w:r w:rsidR="0017688C">
        <w:t>I</w:t>
      </w:r>
      <w:r>
        <w:t>t is therefore reasonable to</w:t>
      </w:r>
      <w:r w:rsidRPr="00EF1F92">
        <w:t xml:space="preserve"> require that transmission providers provide the Commission with </w:t>
      </w:r>
      <w:r w:rsidR="003A290A">
        <w:t xml:space="preserve">any </w:t>
      </w:r>
      <w:r w:rsidR="003F5726" w:rsidRPr="00EF1F92">
        <w:t xml:space="preserve">Long-Term Regional Transmission Cost Allocation Method(s) and/or State Agreement Process that </w:t>
      </w:r>
      <w:r w:rsidRPr="00EF1F92">
        <w:t>Relevant State Entities</w:t>
      </w:r>
      <w:r w:rsidR="003A290A">
        <w:t xml:space="preserve"> have agreed upon</w:t>
      </w:r>
      <w:r w:rsidRPr="00EF1F92">
        <w:t>.</w:t>
      </w:r>
      <w:bookmarkEnd w:id="3"/>
      <w:r w:rsidRPr="00EF1F92">
        <w:t xml:space="preserve">  </w:t>
      </w:r>
    </w:p>
    <w:p w14:paraId="035AA510" w14:textId="2F8CA7A8" w:rsidR="006A333D" w:rsidRPr="00EF1F92" w:rsidRDefault="006A333D" w:rsidP="006A333D">
      <w:pPr>
        <w:pStyle w:val="FERCparanumber"/>
      </w:pPr>
      <w:r w:rsidRPr="00EF1F92">
        <w:t>Further, we disagree with EEI that stakeholders are likely to be confused as to whether they should provide feedback on the transmission provider’s proposal or the Long-Term Regional Transmission Cost Allocation Method(s) and/or State Agreement Process that Relevant State Entities have agreed upon.</w:t>
      </w:r>
      <w:r>
        <w:rPr>
          <w:rStyle w:val="FootnoteReference"/>
        </w:rPr>
        <w:footnoteReference w:id="277"/>
      </w:r>
      <w:r w:rsidRPr="00EF1F92">
        <w:t xml:space="preserve">  </w:t>
      </w:r>
      <w:r w:rsidRPr="0066376A">
        <w:t>As</w:t>
      </w:r>
      <w:r w:rsidRPr="00EF1F92">
        <w:t xml:space="preserve"> the Commission clarified in </w:t>
      </w:r>
      <w:r w:rsidRPr="00EF1F92">
        <w:lastRenderedPageBreak/>
        <w:t xml:space="preserve">Order No. 1920-A, any Long-Term Regional Transmission Cost Allocation Method(s) and/or State Agreement Process agreed upon by Relevant State Entities and included in </w:t>
      </w:r>
      <w:r w:rsidR="00F1526B">
        <w:t xml:space="preserve">a </w:t>
      </w:r>
      <w:r w:rsidRPr="00EF1F92">
        <w:t>transmission provider</w:t>
      </w:r>
      <w:r w:rsidR="00F1526B">
        <w:t>’</w:t>
      </w:r>
      <w:r w:rsidRPr="00EF1F92">
        <w:t xml:space="preserve">s </w:t>
      </w:r>
      <w:r w:rsidR="00DD5D16">
        <w:t xml:space="preserve">transmittal or as an attachment to its </w:t>
      </w:r>
      <w:r w:rsidRPr="00EF1F92">
        <w:t xml:space="preserve">compliance filing does not constitute a proposal from the transmission provider.  </w:t>
      </w:r>
      <w:r>
        <w:t xml:space="preserve">Furthermore, </w:t>
      </w:r>
      <w:r w:rsidR="00D56AFF">
        <w:t xml:space="preserve">commenters </w:t>
      </w:r>
      <w:r>
        <w:t>may provide their support for, or feedback on, either or both the transmission provider’s proposal and any Long-Term Regional Transmission Cost Allocation Method(s) and/or State Agreement Process agreed upon by Relevant State Entities.</w:t>
      </w:r>
    </w:p>
    <w:p w14:paraId="477B0B43" w14:textId="20258F44" w:rsidR="006A333D" w:rsidRPr="00EF1F92" w:rsidRDefault="006A333D" w:rsidP="006A333D">
      <w:pPr>
        <w:pStyle w:val="FERCparanumber"/>
      </w:pPr>
      <w:r w:rsidRPr="00EF1F92">
        <w:t>We disagree with MISO TOs, Indicated PJM TOs, SPP TOs, and EEI that the Commission departed—without sufficient basis or explanation—from its precedent establishing a preference for accepting compliant, just and reasonable compliance proposals of public utilities rather than competing proposals.</w:t>
      </w:r>
      <w:r>
        <w:rPr>
          <w:rStyle w:val="FootnoteReference"/>
        </w:rPr>
        <w:footnoteReference w:id="278"/>
      </w:r>
      <w:r w:rsidRPr="00EF1F92">
        <w:t xml:space="preserve">  The Supreme Court has held that “agency action representing a policy change [need not] be justified by reasons more substantial than those required to adopt a policy in the first instance.”</w:t>
      </w:r>
      <w:r w:rsidRPr="00EF1F92">
        <w:rPr>
          <w:rStyle w:val="FootnoteReference"/>
        </w:rPr>
        <w:footnoteReference w:id="279"/>
      </w:r>
      <w:r w:rsidRPr="00EF1F92">
        <w:t xml:space="preserve">  Rather, where an agency changes its position, “it suffices that the new policy is permissible under the statute, that there are good reasons for it, and that the agency </w:t>
      </w:r>
      <w:r w:rsidRPr="00EF1F92">
        <w:rPr>
          <w:i/>
          <w:iCs/>
        </w:rPr>
        <w:t>believes </w:t>
      </w:r>
      <w:r w:rsidRPr="00EF1F92">
        <w:t>it to be better, which the conscious change of course adequately indicates.”</w:t>
      </w:r>
      <w:r w:rsidRPr="00EF1F92">
        <w:rPr>
          <w:rStyle w:val="FootnoteReference"/>
        </w:rPr>
        <w:footnoteReference w:id="280"/>
      </w:r>
    </w:p>
    <w:p w14:paraId="566BF45F" w14:textId="245B360E" w:rsidR="006A333D" w:rsidRPr="00EF1F92" w:rsidRDefault="006A333D" w:rsidP="006A333D">
      <w:pPr>
        <w:pStyle w:val="FERCparanumber"/>
      </w:pPr>
      <w:r w:rsidRPr="00EF1F92">
        <w:lastRenderedPageBreak/>
        <w:t>Order No. 1920-A satisfies these requirements.  First, as explained above,</w:t>
      </w:r>
      <w:r w:rsidRPr="00EF1F92">
        <w:rPr>
          <w:rStyle w:val="FootnoteReference"/>
        </w:rPr>
        <w:footnoteReference w:id="281"/>
      </w:r>
      <w:r w:rsidRPr="00EF1F92">
        <w:t xml:space="preserve"> the Commission’s typical </w:t>
      </w:r>
      <w:r w:rsidR="0067167D">
        <w:t>practice of</w:t>
      </w:r>
      <w:r w:rsidRPr="00EF1F92">
        <w:t xml:space="preserve"> accepting compliant just and reasonable compliance proposals of public utilities rather than competing proposals is just that:  a </w:t>
      </w:r>
      <w:r w:rsidR="00D45D8A">
        <w:t>practice</w:t>
      </w:r>
      <w:r w:rsidR="00637337">
        <w:t>, not a requirement of t</w:t>
      </w:r>
      <w:r w:rsidRPr="00EF1F92">
        <w:t>he FPA.  Next, in Order No. 1920-A, the Commission recognized that</w:t>
      </w:r>
      <w:r>
        <w:t>,</w:t>
      </w:r>
      <w:r w:rsidRPr="00EF1F92">
        <w:t xml:space="preserve"> while it generally does not consider alternate compliance proposals other than those filed by the relevant public utility,</w:t>
      </w:r>
      <w:r w:rsidRPr="00EF1F92">
        <w:rPr>
          <w:rStyle w:val="FootnoteReference"/>
        </w:rPr>
        <w:footnoteReference w:id="282"/>
      </w:r>
      <w:r w:rsidRPr="00EF1F92">
        <w:t xml:space="preserve"> there are “good reasons” for considering Relevant State Entities</w:t>
      </w:r>
      <w:r w:rsidR="00155AF0">
        <w:t>’</w:t>
      </w:r>
      <w:r w:rsidRPr="00EF1F92">
        <w:t xml:space="preserve"> agreed-upon Long-Term Regional Transmission Cost Allocation Method(s) and/or State Agreement Process in addition to transmission providers’ proposals</w:t>
      </w:r>
      <w:r w:rsidR="00336057">
        <w:t xml:space="preserve"> here</w:t>
      </w:r>
      <w:r w:rsidRPr="00EF1F92">
        <w:t>.</w:t>
      </w:r>
      <w:r w:rsidRPr="00EF1F92">
        <w:rPr>
          <w:rStyle w:val="FootnoteReference"/>
        </w:rPr>
        <w:footnoteReference w:id="283"/>
      </w:r>
      <w:r w:rsidRPr="00EF1F92">
        <w:t xml:space="preserve">  Specifically, </w:t>
      </w:r>
      <w:r>
        <w:t xml:space="preserve">and as discussed: </w:t>
      </w:r>
      <w:r w:rsidR="00E3779F">
        <w:t xml:space="preserve"> </w:t>
      </w:r>
      <w:r>
        <w:t>(1)</w:t>
      </w:r>
      <w:r w:rsidR="00E3779F">
        <w:t> </w:t>
      </w:r>
      <w:r w:rsidRPr="00EF1F92">
        <w:t>states play a unique role in Long-Term Regional Transmission Planning</w:t>
      </w:r>
      <w:r>
        <w:t>;</w:t>
      </w:r>
      <w:r w:rsidRPr="00EF1F92">
        <w:rPr>
          <w:rStyle w:val="FootnoteReference"/>
        </w:rPr>
        <w:footnoteReference w:id="284"/>
      </w:r>
      <w:r w:rsidRPr="00EF1F92">
        <w:t xml:space="preserve"> </w:t>
      </w:r>
      <w:r>
        <w:t>(2) </w:t>
      </w:r>
      <w:r w:rsidRPr="00EF1F92">
        <w:t>states</w:t>
      </w:r>
      <w:r w:rsidRPr="00EF1F92">
        <w:rPr>
          <w:b/>
          <w:bCs/>
        </w:rPr>
        <w:t xml:space="preserve"> </w:t>
      </w:r>
      <w:r w:rsidRPr="00EF1F92">
        <w:t>affect whether Long-Term Regional Transmission Facilities are timely, efficiently, and cost-effectively developed</w:t>
      </w:r>
      <w:r>
        <w:t>;</w:t>
      </w:r>
      <w:r w:rsidRPr="00EF1F92">
        <w:rPr>
          <w:b/>
          <w:vertAlign w:val="superscript"/>
        </w:rPr>
        <w:footnoteReference w:id="285"/>
      </w:r>
      <w:r w:rsidRPr="00EF1F92">
        <w:t xml:space="preserve"> and </w:t>
      </w:r>
      <w:r>
        <w:t>(3)</w:t>
      </w:r>
      <w:r w:rsidR="00F7437A">
        <w:t> </w:t>
      </w:r>
      <w:r w:rsidRPr="00EF1F92">
        <w:t xml:space="preserve">given the inherent uncertainty involved in planning to meet Long-Term Transmission Needs, </w:t>
      </w:r>
      <w:r w:rsidR="00BC259F">
        <w:t xml:space="preserve">              </w:t>
      </w:r>
      <w:r w:rsidRPr="00EF1F92">
        <w:t>state-developed cost allocation methods and State Agreement Process</w:t>
      </w:r>
      <w:r>
        <w:t>es</w:t>
      </w:r>
      <w:r w:rsidRPr="00EF1F92">
        <w:t xml:space="preserve"> take on </w:t>
      </w:r>
      <w:r w:rsidRPr="00EF1F92">
        <w:lastRenderedPageBreak/>
        <w:t>heightened importance.</w:t>
      </w:r>
      <w:r w:rsidRPr="00EF1F92">
        <w:rPr>
          <w:b/>
          <w:vertAlign w:val="superscript"/>
        </w:rPr>
        <w:footnoteReference w:id="286"/>
      </w:r>
      <w:r w:rsidRPr="00EF1F92">
        <w:t xml:space="preserve">  </w:t>
      </w:r>
      <w:r>
        <w:t>T</w:t>
      </w:r>
      <w:r w:rsidRPr="00EF1F92">
        <w:t xml:space="preserve">he Commission </w:t>
      </w:r>
      <w:r>
        <w:t xml:space="preserve">thus </w:t>
      </w:r>
      <w:r w:rsidRPr="00EF1F92">
        <w:t>adequately explained its belief</w:t>
      </w:r>
      <w:r>
        <w:t>, based on these “good reasons,”</w:t>
      </w:r>
      <w:r w:rsidRPr="00EF1F92">
        <w:t xml:space="preserve"> that considering Relevant State Entities’ agreed-upon </w:t>
      </w:r>
      <w:r w:rsidR="00BC259F">
        <w:t xml:space="preserve">                 </w:t>
      </w:r>
      <w:r w:rsidRPr="00EF1F92">
        <w:t xml:space="preserve">Long-Term Regional Transmission Cost Allocation Method(s) and/or State Agreement Process </w:t>
      </w:r>
      <w:r w:rsidR="000216D4">
        <w:t>along with</w:t>
      </w:r>
      <w:r w:rsidRPr="00EF1F92">
        <w:t xml:space="preserve"> the transmission provider’s proposal is not simply warranted, but “better” than considering the transmission provider’s proposal alone</w:t>
      </w:r>
      <w:r w:rsidR="008B0CBB">
        <w:t xml:space="preserve"> and to the exclusion of alternatives</w:t>
      </w:r>
      <w:r w:rsidRPr="00EF1F92">
        <w:t>.</w:t>
      </w:r>
      <w:r w:rsidRPr="00EF1F92">
        <w:rPr>
          <w:rStyle w:val="FootnoteReference"/>
        </w:rPr>
        <w:footnoteReference w:id="287"/>
      </w:r>
      <w:r w:rsidRPr="00EF1F92">
        <w:t xml:space="preserve">  </w:t>
      </w:r>
    </w:p>
    <w:p w14:paraId="068AB1BD" w14:textId="4EF570A3" w:rsidR="006A333D" w:rsidRDefault="006A333D" w:rsidP="006A333D">
      <w:pPr>
        <w:pStyle w:val="FERCparanumber"/>
      </w:pPr>
      <w:r>
        <w:t xml:space="preserve">We recognize that, even if the Commission adopts </w:t>
      </w:r>
      <w:r w:rsidRPr="00EF1F92">
        <w:t xml:space="preserve">Relevant State Entities’ </w:t>
      </w:r>
      <w:r w:rsidR="00BC259F">
        <w:t xml:space="preserve">  </w:t>
      </w:r>
      <w:r w:rsidRPr="00EF1F92">
        <w:t>agreed-upon Long-Term Regional Transmission Cost Allocation Method(s) and/or State Agreement Process</w:t>
      </w:r>
      <w:r>
        <w:t xml:space="preserve"> as the replacement rate under FPA section 206, transmission providers may subsequently file an FPA section 205 proposal seeking to implement their preferred approach to cost allocation.</w:t>
      </w:r>
      <w:r>
        <w:rPr>
          <w:rStyle w:val="FootnoteReference"/>
        </w:rPr>
        <w:footnoteReference w:id="288"/>
      </w:r>
      <w:r>
        <w:t xml:space="preserve">  Nonetheless, we sustain Order No. 1920-A’s determination that the Commission will consider the entire record on compliance in selecting the replacement rate and may permissibly </w:t>
      </w:r>
      <w:r w:rsidR="008B2A64">
        <w:t xml:space="preserve">adopt </w:t>
      </w:r>
      <w:r>
        <w:t xml:space="preserve">Relevant State Entities’ </w:t>
      </w:r>
      <w:r w:rsidR="00BC259F">
        <w:t xml:space="preserve">   </w:t>
      </w:r>
      <w:r>
        <w:t xml:space="preserve">agreed-upon approach.  </w:t>
      </w:r>
      <w:r w:rsidR="00DA6582">
        <w:t>W</w:t>
      </w:r>
      <w:r>
        <w:t xml:space="preserve">hile transmission providers’ ability to submit an FPA </w:t>
      </w:r>
      <w:r w:rsidR="00BC259F">
        <w:t xml:space="preserve">             </w:t>
      </w:r>
      <w:r>
        <w:t xml:space="preserve">section 205 filing of their own initiative proposing a set of preferred rates is a consideration the Commission has identified as relevant to our </w:t>
      </w:r>
      <w:r w:rsidR="0053362A">
        <w:t xml:space="preserve">typical </w:t>
      </w:r>
      <w:r>
        <w:t xml:space="preserve">approach to </w:t>
      </w:r>
      <w:r>
        <w:lastRenderedPageBreak/>
        <w:t>assessing compliance filings,</w:t>
      </w:r>
      <w:r>
        <w:rPr>
          <w:rStyle w:val="FootnoteReference"/>
        </w:rPr>
        <w:footnoteReference w:id="289"/>
      </w:r>
      <w:r>
        <w:t xml:space="preserve"> this consideration—standing alone—cannot render it inherently arbitrary and capricious for the Commission to </w:t>
      </w:r>
      <w:r w:rsidR="00D747B4">
        <w:t>require</w:t>
      </w:r>
      <w:r>
        <w:t>, in FPA section 206 proceedings, a replacement rate other than the one proposed by the transmission provider.  A contrary conclusion would effectively amend FPA section 206, removing the Commission as the entity that “determine[s] the just and reasonable rate</w:t>
      </w:r>
      <w:r w:rsidR="009C7F2A">
        <w:t> </w:t>
      </w:r>
      <w:r>
        <w:t>.</w:t>
      </w:r>
      <w:r w:rsidR="009C7F2A">
        <w:t> </w:t>
      </w:r>
      <w:r>
        <w:t>.</w:t>
      </w:r>
      <w:r w:rsidR="009C7F2A">
        <w:t> </w:t>
      </w:r>
      <w:r>
        <w:t>. to be thereafter observed and in force</w:t>
      </w:r>
      <w:r w:rsidR="00A44CCD">
        <w:t>.</w:t>
      </w:r>
      <w:r>
        <w:t>”</w:t>
      </w:r>
      <w:r>
        <w:rPr>
          <w:rStyle w:val="FootnoteReference"/>
        </w:rPr>
        <w:footnoteReference w:id="290"/>
      </w:r>
      <w:r>
        <w:t xml:space="preserve">  As discussed above, this is not the design Congress enacted.</w:t>
      </w:r>
      <w:r>
        <w:rPr>
          <w:rStyle w:val="FootnoteReference"/>
        </w:rPr>
        <w:footnoteReference w:id="291"/>
      </w:r>
    </w:p>
    <w:p w14:paraId="25D9BE1D" w14:textId="522D9438" w:rsidR="006A333D" w:rsidRPr="00303DA2" w:rsidRDefault="006A333D" w:rsidP="006A333D">
      <w:pPr>
        <w:pStyle w:val="FERCparanumber"/>
      </w:pPr>
      <w:r w:rsidRPr="00EF1F92">
        <w:t>We disagree with SPP TOs</w:t>
      </w:r>
      <w:r>
        <w:t>’ argument</w:t>
      </w:r>
      <w:r w:rsidRPr="00EF1F92">
        <w:t xml:space="preserve"> that the Commission improperly imposed different requirements on </w:t>
      </w:r>
      <w:r>
        <w:t>Long-Term Regional Transmission Cost Allocation Methods agreed upon by</w:t>
      </w:r>
      <w:r w:rsidRPr="00EF1F92">
        <w:t xml:space="preserve"> Relevant State Entities</w:t>
      </w:r>
      <w:r>
        <w:t>—which need not comply with any of the Order No. 1000 regional</w:t>
      </w:r>
      <w:r w:rsidRPr="00EF1F92">
        <w:t xml:space="preserve"> cost allocation </w:t>
      </w:r>
      <w:r>
        <w:t xml:space="preserve">principles—and Long-Term Regional Transmission Cost Allocation Methods to which </w:t>
      </w:r>
      <w:r w:rsidRPr="00EF1F92">
        <w:t xml:space="preserve">Relevant State Entities </w:t>
      </w:r>
      <w:r>
        <w:t>do not agree—which must comply with Order No. 1000 regional</w:t>
      </w:r>
      <w:r w:rsidRPr="00EF1F92">
        <w:t xml:space="preserve"> cost allocation </w:t>
      </w:r>
      <w:r>
        <w:t>principles (1) through (5).</w:t>
      </w:r>
      <w:r>
        <w:rPr>
          <w:rStyle w:val="FootnoteReference"/>
        </w:rPr>
        <w:footnoteReference w:id="292"/>
      </w:r>
      <w:r w:rsidRPr="00EF1F92">
        <w:t xml:space="preserve">  </w:t>
      </w:r>
      <w:r w:rsidR="00DA671D" w:rsidRPr="00DA671D">
        <w:t xml:space="preserve">We reiterate that all cost allocation methods must comply with the cost causation principle, as </w:t>
      </w:r>
      <w:r w:rsidR="00DA671D" w:rsidRPr="00DA671D">
        <w:lastRenderedPageBreak/>
        <w:t>required by the FPA.</w:t>
      </w:r>
      <w:r w:rsidR="00DA671D" w:rsidRPr="00DA671D">
        <w:rPr>
          <w:b/>
          <w:vertAlign w:val="superscript"/>
        </w:rPr>
        <w:footnoteReference w:id="293"/>
      </w:r>
      <w:r w:rsidR="00DA671D" w:rsidRPr="00DA671D">
        <w:t xml:space="preserve">  </w:t>
      </w:r>
      <w:r>
        <w:t xml:space="preserve">We </w:t>
      </w:r>
      <w:r w:rsidR="00D54F30">
        <w:t>also</w:t>
      </w:r>
      <w:r>
        <w:t xml:space="preserve"> continue to find</w:t>
      </w:r>
      <w:r w:rsidRPr="00EF1F92">
        <w:t xml:space="preserve"> that although there are different requirements for cost allocation methods resulting from a State Agreement Process or Long-Term Regional Transmission Cost Allocation Method that Relevant State Entities indicate that they have agreed to and have asked transmission providers to file</w:t>
      </w:r>
      <w:r w:rsidR="00842D44">
        <w:t>,</w:t>
      </w:r>
      <w:r w:rsidRPr="00EF1F92">
        <w:t xml:space="preserve"> as compared to Long-Term Regional Transmission Cost Allocation Methods</w:t>
      </w:r>
      <w:r w:rsidRPr="00EF1F92" w:rsidDel="002359EE">
        <w:t xml:space="preserve"> </w:t>
      </w:r>
      <w:r w:rsidRPr="00EF1F92">
        <w:t>to which states do not agree, th</w:t>
      </w:r>
      <w:r>
        <w:t>is distinction</w:t>
      </w:r>
      <w:r w:rsidRPr="00EF1F92">
        <w:t xml:space="preserve"> is appropriate to </w:t>
      </w:r>
      <w:r w:rsidR="005D231A">
        <w:t>afford</w:t>
      </w:r>
      <w:r w:rsidRPr="00EF1F92">
        <w:t xml:space="preserve"> flexibility</w:t>
      </w:r>
      <w:r w:rsidR="00F45D9A">
        <w:t xml:space="preserve"> </w:t>
      </w:r>
      <w:r w:rsidR="00F45D9A" w:rsidRPr="00F45D9A">
        <w:t>in order to encourage their use of these methods, which are likely to facilitate agreement over development of such Long-Term Regional Transmission Facilities and thus facilitate the selection of more efficient or cost-effective Long-Term Regional Transmission Facilities</w:t>
      </w:r>
      <w:r w:rsidRPr="00EF1F92">
        <w:t>.</w:t>
      </w:r>
      <w:r w:rsidRPr="00EF1F92">
        <w:rPr>
          <w:rStyle w:val="FootnoteReference"/>
        </w:rPr>
        <w:footnoteReference w:id="294"/>
      </w:r>
      <w:r w:rsidRPr="00EF1F92">
        <w:t xml:space="preserve">  We further </w:t>
      </w:r>
      <w:r w:rsidR="00C101FF">
        <w:t xml:space="preserve">find speculative and </w:t>
      </w:r>
      <w:r w:rsidRPr="00EF1F92">
        <w:t>disagree with SPP TOs</w:t>
      </w:r>
      <w:r w:rsidR="00C101FF">
        <w:t>’ assertion</w:t>
      </w:r>
      <w:r w:rsidRPr="00EF1F92">
        <w:t xml:space="preserve"> that the Commission will struggle to explain a decision to adopt Relevant State Entities</w:t>
      </w:r>
      <w:r w:rsidR="002B31AA">
        <w:t>’</w:t>
      </w:r>
      <w:r w:rsidRPr="00EF1F92">
        <w:t xml:space="preserve"> agreed-upon Long-Term Regional Transmission Cost Allocation Method(s) and/or State Agreement Process as the replacement rate.  </w:t>
      </w:r>
      <w:r w:rsidR="00047F28">
        <w:t>I</w:t>
      </w:r>
      <w:r w:rsidRPr="00EF1F92">
        <w:t xml:space="preserve">f the Commission </w:t>
      </w:r>
      <w:r w:rsidR="003C1EF9">
        <w:t>fixes</w:t>
      </w:r>
      <w:r w:rsidR="003C1EF9" w:rsidRPr="00EF1F92">
        <w:t xml:space="preserve"> </w:t>
      </w:r>
      <w:r w:rsidRPr="00EF1F92">
        <w:t xml:space="preserve">Relevant State </w:t>
      </w:r>
      <w:proofErr w:type="gramStart"/>
      <w:r w:rsidRPr="00EF1F92">
        <w:t>Entities</w:t>
      </w:r>
      <w:r>
        <w:t>’</w:t>
      </w:r>
      <w:proofErr w:type="gramEnd"/>
      <w:r w:rsidRPr="00EF1F92">
        <w:t xml:space="preserve"> agreed-upon </w:t>
      </w:r>
      <w:r w:rsidR="00BC259F">
        <w:t xml:space="preserve">              </w:t>
      </w:r>
      <w:r w:rsidRPr="00EF1F92">
        <w:t xml:space="preserve">Long-Term Regional Transmission Cost Allocation Method(s) and/or State Agreement Process as the replacement rate, the Commission will </w:t>
      </w:r>
      <w:r w:rsidR="00D67C7E">
        <w:t xml:space="preserve">necessarily and </w:t>
      </w:r>
      <w:r w:rsidRPr="00EF1F92">
        <w:t>intelligibly explain why that method(s) and/or process complies with the final rule based on support in the record.</w:t>
      </w:r>
      <w:r w:rsidR="00076663">
        <w:rPr>
          <w:rStyle w:val="FootnoteReference"/>
        </w:rPr>
        <w:footnoteReference w:id="295"/>
      </w:r>
    </w:p>
    <w:p w14:paraId="2041D3CA" w14:textId="5D9AAF64" w:rsidR="00F4567F" w:rsidRPr="00F4567F" w:rsidRDefault="007D4A88" w:rsidP="00C40196">
      <w:pPr>
        <w:pStyle w:val="Heading4"/>
      </w:pPr>
      <w:r>
        <w:lastRenderedPageBreak/>
        <w:t>Cooperative Federalism</w:t>
      </w:r>
    </w:p>
    <w:p w14:paraId="2E6AC827" w14:textId="1229E912" w:rsidR="00662560" w:rsidRDefault="00662560" w:rsidP="0036110B">
      <w:pPr>
        <w:pStyle w:val="Heading5"/>
      </w:pPr>
      <w:r>
        <w:t>Rehearing Requests</w:t>
      </w:r>
    </w:p>
    <w:p w14:paraId="2BF892F2" w14:textId="6F72F3F1" w:rsidR="00303DA2" w:rsidRDefault="00A22503" w:rsidP="00303DA2">
      <w:pPr>
        <w:pStyle w:val="FERCparanumber"/>
      </w:pPr>
      <w:r w:rsidRPr="00A22503">
        <w:t>SPP</w:t>
      </w:r>
      <w:r>
        <w:t xml:space="preserve"> TOs argue that Order No. 1920-A is contrary to the FPA’s structure of cooperative federalism because “[t]here is a very real possibility that a proposal could be added to a compliance filing </w:t>
      </w:r>
      <w:r w:rsidRPr="00342A2C">
        <w:t>despite one or more of the Relevant State Entities’ oppositio</w:t>
      </w:r>
      <w:r>
        <w:t>n.”</w:t>
      </w:r>
      <w:r>
        <w:rPr>
          <w:rStyle w:val="FootnoteReference"/>
        </w:rPr>
        <w:footnoteReference w:id="296"/>
      </w:r>
      <w:r>
        <w:t xml:space="preserve">  </w:t>
      </w:r>
      <w:r w:rsidR="00AF7F60">
        <w:t>In this respect,</w:t>
      </w:r>
      <w:r w:rsidDel="003A7BC5">
        <w:t xml:space="preserve"> </w:t>
      </w:r>
      <w:r w:rsidR="003A7BC5">
        <w:t>SPP TOs</w:t>
      </w:r>
      <w:r w:rsidR="00EC51B8">
        <w:t xml:space="preserve"> differentiate Order </w:t>
      </w:r>
      <w:r w:rsidR="00F6385D">
        <w:t xml:space="preserve">No. </w:t>
      </w:r>
      <w:r w:rsidR="00EC51B8">
        <w:t>1920-A from the Commission action at</w:t>
      </w:r>
      <w:r w:rsidR="002D5D86">
        <w:t xml:space="preserve"> issue</w:t>
      </w:r>
      <w:r w:rsidR="00EC51B8">
        <w:t xml:space="preserve"> in</w:t>
      </w:r>
      <w:r>
        <w:t xml:space="preserve"> </w:t>
      </w:r>
      <w:r w:rsidR="002D5D86">
        <w:t xml:space="preserve">the </w:t>
      </w:r>
      <w:r>
        <w:t xml:space="preserve">Supreme Court’s decision in </w:t>
      </w:r>
      <w:r>
        <w:rPr>
          <w:i/>
          <w:iCs/>
        </w:rPr>
        <w:t>EPSA</w:t>
      </w:r>
      <w:r>
        <w:t>, asserting that the Court there upheld the Commission’s</w:t>
      </w:r>
      <w:r w:rsidRPr="00E9368A">
        <w:t xml:space="preserve"> </w:t>
      </w:r>
      <w:r>
        <w:t>“</w:t>
      </w:r>
      <w:r w:rsidRPr="00E9368A">
        <w:t>treatment of</w:t>
      </w:r>
      <w:r>
        <w:t xml:space="preserve"> </w:t>
      </w:r>
      <w:r w:rsidRPr="00E9368A">
        <w:t xml:space="preserve">demand response resources in wholesale markets </w:t>
      </w:r>
      <w:r>
        <w:t xml:space="preserve">[because it] </w:t>
      </w:r>
      <w:r w:rsidRPr="00E9368A">
        <w:t xml:space="preserve">did not </w:t>
      </w:r>
      <w:r>
        <w:t>‘</w:t>
      </w:r>
      <w:r w:rsidRPr="00E9368A">
        <w:t>negate state decisions</w:t>
      </w:r>
      <w:r>
        <w:t>’</w:t>
      </w:r>
      <w:r w:rsidRPr="00E9368A">
        <w:t xml:space="preserve"> regarding retail</w:t>
      </w:r>
      <w:r>
        <w:t xml:space="preserve"> </w:t>
      </w:r>
      <w:r w:rsidRPr="00E9368A">
        <w:t xml:space="preserve">demand response programs on the basis that there was a </w:t>
      </w:r>
      <w:r>
        <w:t>‘</w:t>
      </w:r>
      <w:r w:rsidRPr="00E9368A">
        <w:t>veto power . . . granted to the States.</w:t>
      </w:r>
      <w:r>
        <w:t>’”</w:t>
      </w:r>
      <w:r>
        <w:rPr>
          <w:rStyle w:val="FootnoteReference"/>
        </w:rPr>
        <w:footnoteReference w:id="297"/>
      </w:r>
    </w:p>
    <w:p w14:paraId="06FF65F6" w14:textId="4C3644EF" w:rsidR="00662560" w:rsidRDefault="00662560" w:rsidP="00662560">
      <w:pPr>
        <w:pStyle w:val="Heading5"/>
      </w:pPr>
      <w:r>
        <w:t>Commission Determination</w:t>
      </w:r>
    </w:p>
    <w:p w14:paraId="7E2DDDA2" w14:textId="614DF8D4" w:rsidR="006A333D" w:rsidRDefault="006A333D" w:rsidP="006A333D">
      <w:pPr>
        <w:pStyle w:val="FERCparanumber"/>
      </w:pPr>
      <w:r>
        <w:t xml:space="preserve">We are not persuaded by </w:t>
      </w:r>
      <w:r w:rsidRPr="00A22503">
        <w:t>SPP</w:t>
      </w:r>
      <w:r>
        <w:t xml:space="preserve"> TOs’ argument invoking cooperative federalism principles.  The Supreme Court in </w:t>
      </w:r>
      <w:r w:rsidRPr="002344AD">
        <w:rPr>
          <w:i/>
          <w:iCs/>
        </w:rPr>
        <w:t xml:space="preserve">EPSA </w:t>
      </w:r>
      <w:r>
        <w:t xml:space="preserve">addressed arguments that the Commission’s regulation of demand response, pursuant to the Commission’s authority over wholesale markets, allegedly intruded on a particular area of reserved state authority over retail </w:t>
      </w:r>
      <w:r>
        <w:lastRenderedPageBreak/>
        <w:t>rates.</w:t>
      </w:r>
      <w:r>
        <w:rPr>
          <w:rStyle w:val="FootnoteReference"/>
        </w:rPr>
        <w:footnoteReference w:id="298"/>
      </w:r>
      <w:r>
        <w:t xml:space="preserve">  SPP TOs do not point to a similar alleged intrusion on a particular area of reserved state authority here.  </w:t>
      </w:r>
      <w:r w:rsidRPr="00756A97">
        <w:t xml:space="preserve">Moreover, </w:t>
      </w:r>
      <w:r>
        <w:t xml:space="preserve">even in </w:t>
      </w:r>
      <w:r w:rsidR="00B87146">
        <w:t>that</w:t>
      </w:r>
      <w:r>
        <w:t xml:space="preserve"> context where reserved state authority was implicated, </w:t>
      </w:r>
      <w:r w:rsidRPr="002344AD">
        <w:rPr>
          <w:i/>
          <w:iCs/>
        </w:rPr>
        <w:t>EPSA</w:t>
      </w:r>
      <w:r w:rsidRPr="00756A97">
        <w:t xml:space="preserve"> did not describe the state veto power</w:t>
      </w:r>
      <w:r>
        <w:t xml:space="preserve"> </w:t>
      </w:r>
      <w:r w:rsidRPr="00686617">
        <w:t>afforded</w:t>
      </w:r>
      <w:r>
        <w:t xml:space="preserve"> in the Commission’s order on demand response</w:t>
      </w:r>
      <w:r w:rsidRPr="00756A97">
        <w:t xml:space="preserve"> as “dispositive” as SPP TOs contend,</w:t>
      </w:r>
      <w:r>
        <w:rPr>
          <w:rStyle w:val="FootnoteReference"/>
        </w:rPr>
        <w:footnoteReference w:id="299"/>
      </w:r>
      <w:r w:rsidRPr="00756A97">
        <w:t xml:space="preserve"> but rather as a “finishing blow</w:t>
      </w:r>
      <w:r>
        <w:t> </w:t>
      </w:r>
      <w:r w:rsidRPr="00756A97">
        <w:t>.</w:t>
      </w:r>
      <w:r>
        <w:t> </w:t>
      </w:r>
      <w:r w:rsidRPr="00756A97">
        <w:t>.</w:t>
      </w:r>
      <w:r>
        <w:t> </w:t>
      </w:r>
      <w:r w:rsidRPr="00756A97">
        <w:t xml:space="preserve">. [that] removes any conceivable doubt as to [the order’s] compliance with [FPA section 201(b)]’s allocation </w:t>
      </w:r>
      <w:r w:rsidR="00AA2062">
        <w:t xml:space="preserve">of </w:t>
      </w:r>
      <w:r w:rsidRPr="00756A97">
        <w:t>federal and state authority.”</w:t>
      </w:r>
      <w:r>
        <w:rPr>
          <w:rStyle w:val="FootnoteReference"/>
        </w:rPr>
        <w:footnoteReference w:id="300"/>
      </w:r>
      <w:r w:rsidRPr="00756A97">
        <w:t xml:space="preserve">  In other words, the </w:t>
      </w:r>
      <w:r>
        <w:t>C</w:t>
      </w:r>
      <w:r w:rsidRPr="00756A97">
        <w:t xml:space="preserve">ourt treated the state </w:t>
      </w:r>
      <w:r>
        <w:t>“</w:t>
      </w:r>
      <w:r w:rsidRPr="00756A97">
        <w:t>veto</w:t>
      </w:r>
      <w:r>
        <w:t xml:space="preserve"> power” in that case </w:t>
      </w:r>
      <w:r w:rsidRPr="00756A97">
        <w:t>as confirm</w:t>
      </w:r>
      <w:r w:rsidR="00D05251">
        <w:t>ing</w:t>
      </w:r>
      <w:r w:rsidRPr="00756A97">
        <w:t xml:space="preserve"> the Commission’s compliance with principles of cooperative federalism, </w:t>
      </w:r>
      <w:r>
        <w:t>having already discussed at length why the Commission, regulating within the areas of its jurisdiction, was not intruding on state prerogatives.</w:t>
      </w:r>
      <w:r>
        <w:rPr>
          <w:rStyle w:val="FootnoteReference"/>
        </w:rPr>
        <w:footnoteReference w:id="301"/>
      </w:r>
      <w:r w:rsidRPr="00756A97">
        <w:t xml:space="preserve">  </w:t>
      </w:r>
      <w:r w:rsidR="00A00269" w:rsidRPr="00876489">
        <w:t>We further note that</w:t>
      </w:r>
      <w:r w:rsidR="002F5568" w:rsidRPr="00876489">
        <w:t>,</w:t>
      </w:r>
      <w:r w:rsidR="00A00269" w:rsidRPr="00876489">
        <w:t xml:space="preserve"> in Order No. 1920-A, the Commission </w:t>
      </w:r>
      <w:r w:rsidR="00F42739" w:rsidRPr="00876489">
        <w:t xml:space="preserve">explained that it would defer to the Relevant State Entities themselves to determine </w:t>
      </w:r>
      <w:r w:rsidR="00F0227F" w:rsidRPr="00876489">
        <w:t xml:space="preserve">what constitutes “agreement” </w:t>
      </w:r>
      <w:r w:rsidR="009765B4" w:rsidRPr="00876489">
        <w:t xml:space="preserve">on a </w:t>
      </w:r>
      <w:r w:rsidR="00B06396" w:rsidRPr="00876489">
        <w:t xml:space="preserve">Long-Term Regional </w:t>
      </w:r>
      <w:r w:rsidR="0033146A">
        <w:t xml:space="preserve">Transmission </w:t>
      </w:r>
      <w:r w:rsidR="00B06396" w:rsidRPr="00876489">
        <w:t>Cost Allocation Method(s) and/or State Agreement Process</w:t>
      </w:r>
      <w:r w:rsidR="0092316D" w:rsidRPr="00876489">
        <w:t>.</w:t>
      </w:r>
      <w:r w:rsidR="008B540C" w:rsidRPr="00876489">
        <w:rPr>
          <w:rStyle w:val="FootnoteReference"/>
        </w:rPr>
        <w:footnoteReference w:id="302"/>
      </w:r>
      <w:r w:rsidR="007422CA">
        <w:t xml:space="preserve">  </w:t>
      </w:r>
      <w:r w:rsidR="00EF21A9">
        <w:t>Accordingly, we continue to</w:t>
      </w:r>
      <w:r w:rsidR="00EF21A9" w:rsidRPr="00EF21A9">
        <w:t xml:space="preserve"> </w:t>
      </w:r>
      <w:r w:rsidR="00EF21A9" w:rsidRPr="00EF21A9">
        <w:lastRenderedPageBreak/>
        <w:t xml:space="preserve">find that the Commission’s approach in Order No. 1920-A is consistent with the division of responsibility set forth in the FPA, consistent with our discussion in Order </w:t>
      </w:r>
      <w:r w:rsidR="003C738B">
        <w:t xml:space="preserve">                          </w:t>
      </w:r>
      <w:r w:rsidR="00EF21A9" w:rsidRPr="00EF21A9">
        <w:t>No. 1920-A</w:t>
      </w:r>
      <w:r w:rsidR="00EF21A9">
        <w:t>.</w:t>
      </w:r>
      <w:r w:rsidR="00EF21A9">
        <w:rPr>
          <w:rStyle w:val="FootnoteReference"/>
        </w:rPr>
        <w:footnoteReference w:id="303"/>
      </w:r>
    </w:p>
    <w:p w14:paraId="5CEA36A1" w14:textId="2290729D" w:rsidR="007D4A88" w:rsidRPr="007D4A88" w:rsidRDefault="00C6542F" w:rsidP="00C40196">
      <w:pPr>
        <w:pStyle w:val="Heading4"/>
      </w:pPr>
      <w:r>
        <w:t>Sub</w:t>
      </w:r>
      <w:r w:rsidR="00C97FEC">
        <w:t>-Delegation</w:t>
      </w:r>
    </w:p>
    <w:p w14:paraId="5EE50D09" w14:textId="3AD5AADD" w:rsidR="00AF72FB" w:rsidRDefault="00AF72FB" w:rsidP="0036110B">
      <w:pPr>
        <w:pStyle w:val="Heading5"/>
      </w:pPr>
      <w:r>
        <w:t>Rehearing Requests</w:t>
      </w:r>
    </w:p>
    <w:p w14:paraId="271C7DA7" w14:textId="47BF8000" w:rsidR="00303DA2" w:rsidRDefault="00B26935" w:rsidP="00303DA2">
      <w:pPr>
        <w:pStyle w:val="FERCparanumber"/>
      </w:pPr>
      <w:r w:rsidRPr="00B26935">
        <w:t>MISO</w:t>
      </w:r>
      <w:r>
        <w:t xml:space="preserve"> TOs and SPP TOs assert that </w:t>
      </w:r>
      <w:r w:rsidR="00A94E75">
        <w:t xml:space="preserve">the Commission in </w:t>
      </w:r>
      <w:r>
        <w:t xml:space="preserve">Order No. 1920-A </w:t>
      </w:r>
      <w:r w:rsidR="00C14087">
        <w:t>impermissibly sub-delegate</w:t>
      </w:r>
      <w:r w:rsidR="00A94E75">
        <w:t>d</w:t>
      </w:r>
      <w:r w:rsidR="00C14087" w:rsidDel="00A94E75">
        <w:t xml:space="preserve"> </w:t>
      </w:r>
      <w:r w:rsidR="00A94E75">
        <w:t>its</w:t>
      </w:r>
      <w:r w:rsidR="00C14087">
        <w:t xml:space="preserve"> authority </w:t>
      </w:r>
      <w:r w:rsidR="00554C56">
        <w:t>to Relevant State Entities</w:t>
      </w:r>
      <w:r>
        <w:t>.</w:t>
      </w:r>
      <w:r>
        <w:rPr>
          <w:rStyle w:val="FootnoteReference"/>
        </w:rPr>
        <w:footnoteReference w:id="304"/>
      </w:r>
      <w:r>
        <w:t xml:space="preserve">  MISO TOs argue that the Commission is giving </w:t>
      </w:r>
      <w:r w:rsidR="007262B1">
        <w:t>Relevant State Entities’ agreed-upon</w:t>
      </w:r>
      <w:r w:rsidR="007262B1" w:rsidRPr="00033D0B">
        <w:t xml:space="preserve"> Long-Term Regional Transmission Cost Allocation Method</w:t>
      </w:r>
      <w:r w:rsidR="007262B1" w:rsidRPr="009F1706">
        <w:t>(s)</w:t>
      </w:r>
      <w:r w:rsidR="007262B1" w:rsidRPr="00033D0B">
        <w:t xml:space="preserve"> and/or State Agreement</w:t>
      </w:r>
      <w:r w:rsidR="007262B1">
        <w:t xml:space="preserve"> </w:t>
      </w:r>
      <w:r w:rsidR="007262B1" w:rsidRPr="008B3BC7">
        <w:t>Process</w:t>
      </w:r>
      <w:r>
        <w:t xml:space="preserve"> “heightened importance” over those of transmission providers, with the effect of permitting Relevant State Entities to set interstate transmission rates.</w:t>
      </w:r>
      <w:r>
        <w:rPr>
          <w:rStyle w:val="FootnoteReference"/>
        </w:rPr>
        <w:footnoteReference w:id="305"/>
      </w:r>
      <w:r>
        <w:t xml:space="preserve">  </w:t>
      </w:r>
      <w:r w:rsidRPr="00A60731">
        <w:t>MISO TOs state that statutory authority to determine whether transmission rates are unwarranted or excessive lies with the Commission</w:t>
      </w:r>
      <w:r>
        <w:t>, under the FPA, and cannot be sub-delegated to state commissions</w:t>
      </w:r>
      <w:r w:rsidRPr="00A60731">
        <w:t>.</w:t>
      </w:r>
      <w:r w:rsidRPr="00A60731">
        <w:rPr>
          <w:b/>
          <w:vertAlign w:val="superscript"/>
        </w:rPr>
        <w:footnoteReference w:id="306"/>
      </w:r>
      <w:r w:rsidRPr="00A60731">
        <w:t xml:space="preserve">  </w:t>
      </w:r>
      <w:r>
        <w:t>SPP TOs assert that the Commission “</w:t>
      </w:r>
      <w:r w:rsidRPr="009926BD">
        <w:t xml:space="preserve">effectively purports to delegate the right to file </w:t>
      </w:r>
      <w:r w:rsidRPr="009926BD">
        <w:lastRenderedPageBreak/>
        <w:t xml:space="preserve">compliance filings—which </w:t>
      </w:r>
      <w:r>
        <w:t>[is]</w:t>
      </w:r>
      <w:r w:rsidRPr="009926BD">
        <w:t xml:space="preserve"> granted to public utilities under the FPA—to the states</w:t>
      </w:r>
      <w:r>
        <w:t xml:space="preserve">,” which is impermissible under </w:t>
      </w:r>
      <w:r w:rsidRPr="009B47F8">
        <w:rPr>
          <w:i/>
          <w:iCs/>
        </w:rPr>
        <w:t>Atlantic City I</w:t>
      </w:r>
      <w:r>
        <w:t xml:space="preserve"> and other cases, but also not within the set of circumstances in which federal agencies may sub-delegate matters to the states.</w:t>
      </w:r>
      <w:r>
        <w:rPr>
          <w:rStyle w:val="FootnoteReference"/>
        </w:rPr>
        <w:footnoteReference w:id="307"/>
      </w:r>
      <w:r>
        <w:t xml:space="preserve">  SPP TOs also assert that under Order No. 1920-A “</w:t>
      </w:r>
      <w:r w:rsidRPr="00600B1A">
        <w:t xml:space="preserve">the Commission will, in practice, show a high degree of deference to alternative state </w:t>
      </w:r>
      <w:r w:rsidRPr="007262B1">
        <w:t>proposals</w:t>
      </w:r>
      <w:r>
        <w:t xml:space="preserve"> </w:t>
      </w:r>
      <w:r w:rsidRPr="00600B1A">
        <w:t xml:space="preserve">that would be tantamount to a </w:t>
      </w:r>
      <w:r w:rsidR="003C738B">
        <w:t xml:space="preserve">             </w:t>
      </w:r>
      <w:r w:rsidRPr="00600B1A">
        <w:t>sub-delegation of Commission authority to the states.</w:t>
      </w:r>
      <w:r>
        <w:t>”</w:t>
      </w:r>
      <w:r>
        <w:rPr>
          <w:rStyle w:val="FootnoteReference"/>
        </w:rPr>
        <w:footnoteReference w:id="308"/>
      </w:r>
    </w:p>
    <w:p w14:paraId="24C72B9B" w14:textId="70F58071" w:rsidR="00AF72FB" w:rsidRDefault="00AF72FB" w:rsidP="00AF72FB">
      <w:pPr>
        <w:pStyle w:val="Heading5"/>
      </w:pPr>
      <w:r>
        <w:t>Commission Determination</w:t>
      </w:r>
    </w:p>
    <w:p w14:paraId="6512BA30" w14:textId="0F5741A7" w:rsidR="006257B1" w:rsidRPr="00303DA2" w:rsidRDefault="00DD4EA4" w:rsidP="006257B1">
      <w:pPr>
        <w:pStyle w:val="FERCparanumber"/>
      </w:pPr>
      <w:r>
        <w:t>We find a</w:t>
      </w:r>
      <w:r w:rsidR="006257B1" w:rsidRPr="00734645">
        <w:t>rguments that the Commission has unlawfully sub-delegated its authority</w:t>
      </w:r>
      <w:r w:rsidR="006257B1">
        <w:rPr>
          <w:rStyle w:val="FootnoteReference"/>
        </w:rPr>
        <w:footnoteReference w:id="309"/>
      </w:r>
      <w:r w:rsidR="006257B1" w:rsidRPr="00734645">
        <w:t xml:space="preserve"> are </w:t>
      </w:r>
      <w:r w:rsidR="008C0324">
        <w:t>incorrect</w:t>
      </w:r>
      <w:r w:rsidR="005852E0">
        <w:t xml:space="preserve"> </w:t>
      </w:r>
      <w:r w:rsidR="006257B1" w:rsidRPr="00734645">
        <w:t>because there is no sub-delegation</w:t>
      </w:r>
      <w:r w:rsidR="001C6F31">
        <w:t>, impermissible or otherwise,</w:t>
      </w:r>
      <w:r w:rsidR="006257B1" w:rsidRPr="00734645">
        <w:t xml:space="preserve"> of Commission authority here.</w:t>
      </w:r>
      <w:r w:rsidR="006257B1" w:rsidRPr="00734645">
        <w:rPr>
          <w:b/>
          <w:vertAlign w:val="superscript"/>
        </w:rPr>
        <w:footnoteReference w:id="310"/>
      </w:r>
      <w:r w:rsidR="006257B1" w:rsidRPr="00734645">
        <w:t xml:space="preserve">  Contrary to MISO TOs</w:t>
      </w:r>
      <w:r w:rsidR="006257B1">
        <w:t>’</w:t>
      </w:r>
      <w:r w:rsidR="006257B1" w:rsidRPr="00734645">
        <w:t xml:space="preserve"> and SPP TOs’ claims, the Commission has not sub-delegated to states </w:t>
      </w:r>
      <w:r w:rsidR="006257B1">
        <w:t>its</w:t>
      </w:r>
      <w:r w:rsidR="006257B1" w:rsidRPr="00734645">
        <w:t xml:space="preserve"> FPA section 206 authority to </w:t>
      </w:r>
      <w:r w:rsidR="003E5E9B">
        <w:t>determine</w:t>
      </w:r>
      <w:r w:rsidR="003E5E9B" w:rsidRPr="00734645">
        <w:t xml:space="preserve"> </w:t>
      </w:r>
      <w:r w:rsidR="006257B1" w:rsidRPr="00734645">
        <w:t xml:space="preserve">the replacement rate:  the Commission has expressly stated that it will consider the entire </w:t>
      </w:r>
      <w:r w:rsidR="006257B1" w:rsidRPr="00734645">
        <w:lastRenderedPageBreak/>
        <w:t>record before it and, itself, determine the replacement rate.</w:t>
      </w:r>
      <w:r w:rsidR="006257B1" w:rsidRPr="00734645">
        <w:rPr>
          <w:b/>
          <w:vertAlign w:val="superscript"/>
        </w:rPr>
        <w:footnoteReference w:id="311"/>
      </w:r>
      <w:r w:rsidR="006257B1" w:rsidRPr="00734645">
        <w:t xml:space="preserve">  That the Commission will entertain on compliance </w:t>
      </w:r>
      <w:r w:rsidR="009C7C31">
        <w:t xml:space="preserve">Relevant State Entities’ </w:t>
      </w:r>
      <w:r w:rsidR="00D956F5">
        <w:t xml:space="preserve">agreed-upon </w:t>
      </w:r>
      <w:r w:rsidR="00465A80" w:rsidRPr="00033D0B">
        <w:t>Long-Term Regional Transmission Cost Allocation Method</w:t>
      </w:r>
      <w:r w:rsidR="00465A80" w:rsidRPr="009F1706">
        <w:t>(s)</w:t>
      </w:r>
      <w:r w:rsidR="00465A80" w:rsidRPr="00033D0B">
        <w:t xml:space="preserve"> and/or</w:t>
      </w:r>
      <w:r w:rsidR="006257B1" w:rsidRPr="00734645">
        <w:t xml:space="preserve"> State </w:t>
      </w:r>
      <w:r w:rsidR="00465A80" w:rsidRPr="00033D0B">
        <w:t>Agreement</w:t>
      </w:r>
      <w:r w:rsidR="00465A80">
        <w:t xml:space="preserve"> </w:t>
      </w:r>
      <w:r w:rsidR="00465A80" w:rsidRPr="008B3BC7">
        <w:t>Process</w:t>
      </w:r>
      <w:r w:rsidR="00721037">
        <w:t xml:space="preserve">, </w:t>
      </w:r>
      <w:r w:rsidR="00721037" w:rsidRPr="00781CD4">
        <w:rPr>
          <w:i/>
        </w:rPr>
        <w:t>in addition</w:t>
      </w:r>
      <w:r w:rsidR="00721037">
        <w:t xml:space="preserve"> to any proposals made by transmission providers,</w:t>
      </w:r>
      <w:r w:rsidR="006257B1" w:rsidRPr="00734645">
        <w:t xml:space="preserve"> and m</w:t>
      </w:r>
      <w:r w:rsidR="00733933">
        <w:t>ay</w:t>
      </w:r>
      <w:r w:rsidR="006257B1" w:rsidRPr="00734645">
        <w:t xml:space="preserve"> </w:t>
      </w:r>
      <w:r w:rsidR="001E7262">
        <w:t>fix</w:t>
      </w:r>
      <w:r w:rsidR="001E7262" w:rsidRPr="00734645">
        <w:t xml:space="preserve"> </w:t>
      </w:r>
      <w:r w:rsidR="006257B1" w:rsidRPr="00734645">
        <w:t xml:space="preserve">one of those as the replacement rate does not </w:t>
      </w:r>
      <w:r w:rsidR="006257B1">
        <w:t>suggest</w:t>
      </w:r>
      <w:r w:rsidR="006257B1" w:rsidRPr="00734645">
        <w:t xml:space="preserve"> that the Commission has abdicated to states the Commission’s </w:t>
      </w:r>
      <w:r w:rsidR="00733933">
        <w:t xml:space="preserve">clear </w:t>
      </w:r>
      <w:r w:rsidR="001E7262">
        <w:t xml:space="preserve">and exclusive </w:t>
      </w:r>
      <w:r w:rsidR="006257B1" w:rsidRPr="00734645">
        <w:t xml:space="preserve">authority to </w:t>
      </w:r>
      <w:r w:rsidR="001E7262">
        <w:t>determine and fix</w:t>
      </w:r>
      <w:r w:rsidR="001E7262" w:rsidRPr="00734645">
        <w:t xml:space="preserve"> </w:t>
      </w:r>
      <w:r w:rsidR="006257B1" w:rsidRPr="00734645">
        <w:t>the replacement rate</w:t>
      </w:r>
      <w:r w:rsidR="00733933">
        <w:t xml:space="preserve"> under FPA section 206</w:t>
      </w:r>
      <w:r w:rsidR="006257B1" w:rsidRPr="00734645">
        <w:t xml:space="preserve">.  SPP TOs’ argument that the Commission has unlawfully </w:t>
      </w:r>
      <w:r w:rsidR="003C738B">
        <w:t xml:space="preserve">                     </w:t>
      </w:r>
      <w:r w:rsidR="006257B1" w:rsidRPr="00734645">
        <w:t xml:space="preserve">sub-delegated to states the right to make compliance filings, which—SPP TOs claim—is granted solely to public utilities, is also </w:t>
      </w:r>
      <w:r w:rsidR="006257B1">
        <w:t>mistaken</w:t>
      </w:r>
      <w:r w:rsidR="006257B1" w:rsidRPr="00734645">
        <w:t xml:space="preserve">.  As explained above, the compliance process assists the Commission in determining the replacement rate, under FPA </w:t>
      </w:r>
      <w:r w:rsidR="003C738B">
        <w:t xml:space="preserve">              </w:t>
      </w:r>
      <w:r w:rsidR="006257B1" w:rsidRPr="00734645">
        <w:t>section 206</w:t>
      </w:r>
      <w:r w:rsidR="00E24903" w:rsidRPr="003A2510">
        <w:t xml:space="preserve">.  Order No. 1920-A requires </w:t>
      </w:r>
      <w:r w:rsidR="008736D4" w:rsidRPr="003A2510">
        <w:t xml:space="preserve">that </w:t>
      </w:r>
      <w:r w:rsidR="00E24903" w:rsidRPr="003A2510">
        <w:t xml:space="preserve">transmission providers—not states—make compliance </w:t>
      </w:r>
      <w:proofErr w:type="gramStart"/>
      <w:r w:rsidR="00E24903" w:rsidRPr="003A2510">
        <w:t>filings, and</w:t>
      </w:r>
      <w:proofErr w:type="gramEnd"/>
      <w:r w:rsidR="00E24903" w:rsidRPr="003A2510">
        <w:t xml:space="preserve"> sets out the information that </w:t>
      </w:r>
      <w:r w:rsidR="00DE53EA" w:rsidRPr="003A2510">
        <w:t>transmission providers</w:t>
      </w:r>
      <w:r w:rsidR="00E24903" w:rsidRPr="003A2510">
        <w:t xml:space="preserve"> must include in those filings. </w:t>
      </w:r>
      <w:r w:rsidR="006257B1" w:rsidRPr="003A2510">
        <w:t xml:space="preserve"> </w:t>
      </w:r>
      <w:r w:rsidR="00E24903" w:rsidRPr="003A2510">
        <w:t>A</w:t>
      </w:r>
      <w:r w:rsidR="006257B1" w:rsidRPr="00734645">
        <w:t xml:space="preserve">rguments </w:t>
      </w:r>
      <w:r w:rsidR="0059390B">
        <w:t xml:space="preserve">that </w:t>
      </w:r>
      <w:r w:rsidR="006257B1" w:rsidRPr="00734645">
        <w:t xml:space="preserve">Order No. 1920-A intrudes on public utilities’ rights or unlawfully assigns those rights to Relevant State Entities are </w:t>
      </w:r>
      <w:r w:rsidR="001E7262">
        <w:t>incorrect</w:t>
      </w:r>
      <w:r w:rsidR="006257B1" w:rsidRPr="00734645">
        <w:t>.</w:t>
      </w:r>
      <w:r w:rsidR="006257B1" w:rsidRPr="00734645">
        <w:rPr>
          <w:b/>
          <w:vertAlign w:val="superscript"/>
        </w:rPr>
        <w:footnoteReference w:id="312"/>
      </w:r>
      <w:r w:rsidR="00227384">
        <w:t xml:space="preserve">  </w:t>
      </w:r>
    </w:p>
    <w:p w14:paraId="7C0BF236" w14:textId="7E10BE31" w:rsidR="00C97FEC" w:rsidRPr="00C97FEC" w:rsidRDefault="00C24B83" w:rsidP="00C40196">
      <w:pPr>
        <w:pStyle w:val="Heading4"/>
      </w:pPr>
      <w:r>
        <w:lastRenderedPageBreak/>
        <w:t>First Amendment</w:t>
      </w:r>
    </w:p>
    <w:p w14:paraId="2E0D1896" w14:textId="29DAD589" w:rsidR="00AF72FB" w:rsidRDefault="00AF72FB" w:rsidP="0036110B">
      <w:pPr>
        <w:pStyle w:val="Heading5"/>
      </w:pPr>
      <w:r>
        <w:t>Rehearing Requests</w:t>
      </w:r>
    </w:p>
    <w:p w14:paraId="1E76AD1D" w14:textId="20BEE298" w:rsidR="00921BC6" w:rsidRDefault="00921BC6" w:rsidP="009F17B6">
      <w:pPr>
        <w:pStyle w:val="FERCparanumber"/>
      </w:pPr>
      <w:r w:rsidRPr="00921BC6">
        <w:t>Indicated</w:t>
      </w:r>
      <w:r>
        <w:t xml:space="preserve"> PJM TOs argue that the requirement to include Relevant State Entities’ </w:t>
      </w:r>
      <w:r w:rsidR="00417E69">
        <w:t>agreed-upon</w:t>
      </w:r>
      <w:r w:rsidR="00417E69" w:rsidRPr="00033D0B">
        <w:t xml:space="preserve"> Long-Term Regional Transmission Cost Allocation Method</w:t>
      </w:r>
      <w:r w:rsidR="00417E69" w:rsidRPr="009F1706">
        <w:t>(s)</w:t>
      </w:r>
      <w:r w:rsidR="00417E69" w:rsidRPr="00033D0B">
        <w:t xml:space="preserve"> and/or State Agreement</w:t>
      </w:r>
      <w:r w:rsidR="00417E69">
        <w:t xml:space="preserve"> </w:t>
      </w:r>
      <w:r w:rsidR="00417E69" w:rsidRPr="008B3BC7">
        <w:t>Process</w:t>
      </w:r>
      <w:r>
        <w:t xml:space="preserve"> in transmission providers’ compliance filings is governmentally compelled speech that violates the First Amendment to the Constitution.</w:t>
      </w:r>
      <w:r>
        <w:rPr>
          <w:rStyle w:val="FootnoteReference"/>
        </w:rPr>
        <w:footnoteReference w:id="313"/>
      </w:r>
      <w:r>
        <w:t xml:space="preserve">  Indicated PJM TOs assert that the First Amendment protects the right to petition the government, including through filings with courts and administrative agencies.</w:t>
      </w:r>
      <w:r>
        <w:rPr>
          <w:rStyle w:val="FootnoteReference"/>
        </w:rPr>
        <w:footnoteReference w:id="314"/>
      </w:r>
      <w:r>
        <w:t xml:space="preserve">  </w:t>
      </w:r>
      <w:r w:rsidR="006E5D77">
        <w:t xml:space="preserve">Indicated </w:t>
      </w:r>
      <w:r w:rsidR="003C1ABF">
        <w:t>PJM TOs contend that t</w:t>
      </w:r>
      <w:r>
        <w:t>he compliance filing requirement violates their rights not to speak by mandating that a public utility present views with which it disagrees when filing its own proposal.</w:t>
      </w:r>
      <w:r>
        <w:rPr>
          <w:rStyle w:val="FootnoteReference"/>
        </w:rPr>
        <w:footnoteReference w:id="315"/>
      </w:r>
      <w:r>
        <w:t xml:space="preserve">  </w:t>
      </w:r>
      <w:r w:rsidRPr="0098026B">
        <w:rPr>
          <w:bCs/>
        </w:rPr>
        <w:t xml:space="preserve">Indicated PJM TOs state that the Supreme Court has held that “the government may not require that an entity present views with which it disagrees when it </w:t>
      </w:r>
      <w:r w:rsidRPr="0098026B">
        <w:rPr>
          <w:bCs/>
        </w:rPr>
        <w:lastRenderedPageBreak/>
        <w:t>engages in expressive speech</w:t>
      </w:r>
      <w:r>
        <w:rPr>
          <w:bCs/>
        </w:rPr>
        <w:t>.</w:t>
      </w:r>
      <w:r w:rsidRPr="0098026B">
        <w:rPr>
          <w:bCs/>
        </w:rPr>
        <w:t>”</w:t>
      </w:r>
      <w:r w:rsidRPr="0098026B">
        <w:rPr>
          <w:b/>
          <w:bCs/>
          <w:vertAlign w:val="superscript"/>
        </w:rPr>
        <w:footnoteReference w:id="316"/>
      </w:r>
      <w:r w:rsidRPr="0098026B">
        <w:rPr>
          <w:bCs/>
        </w:rPr>
        <w:t xml:space="preserve"> </w:t>
      </w:r>
      <w:r>
        <w:rPr>
          <w:bCs/>
        </w:rPr>
        <w:t xml:space="preserve"> </w:t>
      </w:r>
      <w:r>
        <w:t xml:space="preserve">They </w:t>
      </w:r>
      <w:r w:rsidR="000B18A4">
        <w:t>compare</w:t>
      </w:r>
      <w:r>
        <w:t xml:space="preserve"> this case to the Supreme Court’s decision in </w:t>
      </w:r>
      <w:r w:rsidRPr="0098026B">
        <w:rPr>
          <w:i/>
          <w:iCs/>
        </w:rPr>
        <w:t>PG&amp;E</w:t>
      </w:r>
      <w:r>
        <w:t>, which overturned a state regulation requiring a utility to include material from a consumer advocacy group in a newsletter regularly included in the utility’s billing envelopes expressing the utility’s views of energy policy.</w:t>
      </w:r>
      <w:r>
        <w:rPr>
          <w:rStyle w:val="FootnoteReference"/>
        </w:rPr>
        <w:footnoteReference w:id="317"/>
      </w:r>
    </w:p>
    <w:p w14:paraId="153AE6C3" w14:textId="1B6175FD" w:rsidR="00921BC6" w:rsidRDefault="00921BC6" w:rsidP="00132D5A">
      <w:pPr>
        <w:pStyle w:val="FERCparanumber"/>
      </w:pPr>
      <w:r>
        <w:t xml:space="preserve">Indicated PJM TOs state that the Order No. 1920-A compliance filing requirement at issue here would not meet </w:t>
      </w:r>
      <w:r w:rsidR="00E67CAB">
        <w:t xml:space="preserve">the </w:t>
      </w:r>
      <w:r>
        <w:t xml:space="preserve">strict scrutiny </w:t>
      </w:r>
      <w:r w:rsidR="00E67CAB">
        <w:t>standard</w:t>
      </w:r>
      <w:r>
        <w:t xml:space="preserve"> under the First Amendment, asserting that it is not content neutral because it is “intended to give more weight to the views of [Relevant State Entities] in the Order No. 1920 </w:t>
      </w:r>
      <w:r w:rsidR="00A9235C">
        <w:t>context</w:t>
      </w:r>
      <w:r>
        <w:t xml:space="preserve"> than it normally would give in other proceedings” and that there is no compelling government interest justifying the requirement.</w:t>
      </w:r>
      <w:r>
        <w:rPr>
          <w:rStyle w:val="FootnoteReference"/>
        </w:rPr>
        <w:footnoteReference w:id="318"/>
      </w:r>
      <w:r>
        <w:t xml:space="preserve">  Indicated PJM TOs also argue that the compliance filing requirement would not survive </w:t>
      </w:r>
      <w:r w:rsidR="00A97892">
        <w:t xml:space="preserve">the </w:t>
      </w:r>
      <w:r>
        <w:t>intermediate scrutiny</w:t>
      </w:r>
      <w:r w:rsidR="00A97892">
        <w:t xml:space="preserve"> standard</w:t>
      </w:r>
      <w:r>
        <w:t>, stating that it is not narrowly tailored to achieve the Commission’s stated interest</w:t>
      </w:r>
      <w:r w:rsidR="0064317C">
        <w:t>,</w:t>
      </w:r>
      <w:r>
        <w:t xml:space="preserve"> and burdens substantially more of transmission providers’ First Amendment petitioning right than necessary to advance that interest.</w:t>
      </w:r>
      <w:r>
        <w:rPr>
          <w:rStyle w:val="FootnoteReference"/>
        </w:rPr>
        <w:footnoteReference w:id="319"/>
      </w:r>
      <w:r>
        <w:t xml:space="preserve">  </w:t>
      </w:r>
    </w:p>
    <w:p w14:paraId="0FB38E8D" w14:textId="7CDD36F4" w:rsidR="00921BC6" w:rsidRPr="00AF72FB" w:rsidRDefault="00921BC6" w:rsidP="00921BC6">
      <w:pPr>
        <w:pStyle w:val="FERCparanumber"/>
      </w:pPr>
      <w:r>
        <w:t>Indicated PJM TOs assert that the limitations the Commission imposed on the compliance filing requirement</w:t>
      </w:r>
      <w:r w:rsidR="001D55A2">
        <w:t>—</w:t>
      </w:r>
      <w:r>
        <w:t xml:space="preserve">that transmission providers do not need to separately </w:t>
      </w:r>
      <w:r>
        <w:lastRenderedPageBreak/>
        <w:t xml:space="preserve">characterize or justify Relevant State Entities’ </w:t>
      </w:r>
      <w:r w:rsidR="007519D7">
        <w:t>agreed-upon</w:t>
      </w:r>
      <w:r w:rsidR="007519D7" w:rsidRPr="00033D0B">
        <w:t xml:space="preserve"> Long-Term Regional Transmission Cost Allocation Method</w:t>
      </w:r>
      <w:r w:rsidR="007519D7" w:rsidRPr="009F1706">
        <w:t>(s)</w:t>
      </w:r>
      <w:r w:rsidR="007519D7" w:rsidRPr="00033D0B">
        <w:t xml:space="preserve"> and/or State Agreement</w:t>
      </w:r>
      <w:r w:rsidR="007519D7">
        <w:t xml:space="preserve"> </w:t>
      </w:r>
      <w:r w:rsidR="007519D7" w:rsidRPr="008B3BC7">
        <w:t>Process</w:t>
      </w:r>
      <w:r w:rsidR="001D55A2">
        <w:t>—</w:t>
      </w:r>
      <w:r>
        <w:t>do not obviate this alleged First Amendment violation.</w:t>
      </w:r>
      <w:r>
        <w:rPr>
          <w:rStyle w:val="FootnoteReference"/>
        </w:rPr>
        <w:footnoteReference w:id="320"/>
      </w:r>
      <w:r>
        <w:t xml:space="preserve">  They also state that it is “</w:t>
      </w:r>
      <w:r w:rsidRPr="000E7A52">
        <w:t>inconsequential that the</w:t>
      </w:r>
      <w:r>
        <w:t xml:space="preserve"> </w:t>
      </w:r>
      <w:r w:rsidRPr="000E7A52">
        <w:t xml:space="preserve">Commission knows and understands that the </w:t>
      </w:r>
      <w:r>
        <w:t>[Relevant State Entities’]</w:t>
      </w:r>
      <w:r w:rsidRPr="000E7A52">
        <w:t xml:space="preserve"> proposal is not the public utility transmission</w:t>
      </w:r>
      <w:r>
        <w:t xml:space="preserve"> </w:t>
      </w:r>
      <w:r w:rsidRPr="000E7A52">
        <w:t>provider’s proposal.</w:t>
      </w:r>
      <w:r>
        <w:t>”</w:t>
      </w:r>
      <w:r>
        <w:rPr>
          <w:rStyle w:val="FootnoteReference"/>
        </w:rPr>
        <w:footnoteReference w:id="321"/>
      </w:r>
      <w:r>
        <w:t xml:space="preserve">  </w:t>
      </w:r>
      <w:r w:rsidR="00F17236">
        <w:t xml:space="preserve">Indicated PJM TOs </w:t>
      </w:r>
      <w:r w:rsidRPr="0098026B">
        <w:rPr>
          <w:szCs w:val="26"/>
        </w:rPr>
        <w:t xml:space="preserve">assert </w:t>
      </w:r>
      <w:r w:rsidR="00041CEF">
        <w:rPr>
          <w:szCs w:val="26"/>
        </w:rPr>
        <w:t xml:space="preserve">specifically </w:t>
      </w:r>
      <w:r w:rsidRPr="0098026B">
        <w:rPr>
          <w:szCs w:val="26"/>
        </w:rPr>
        <w:t>that</w:t>
      </w:r>
      <w:r>
        <w:rPr>
          <w:szCs w:val="26"/>
        </w:rPr>
        <w:t xml:space="preserve"> the</w:t>
      </w:r>
      <w:r w:rsidRPr="0098026B">
        <w:rPr>
          <w:szCs w:val="26"/>
        </w:rPr>
        <w:t xml:space="preserve"> state-generated information at issue is not relevant to the transmission provider</w:t>
      </w:r>
      <w:r w:rsidR="00D56B92">
        <w:rPr>
          <w:szCs w:val="26"/>
        </w:rPr>
        <w:t>’</w:t>
      </w:r>
      <w:r w:rsidRPr="0098026B">
        <w:rPr>
          <w:szCs w:val="26"/>
        </w:rPr>
        <w:t>s rate proposal, but rather the compliance filing requirement mandates that transmission providers submit information that “undermines the public utility transmission provider’s own advocacy.”</w:t>
      </w:r>
      <w:r w:rsidRPr="00B31F7D">
        <w:rPr>
          <w:rStyle w:val="FootnoteReference"/>
          <w:szCs w:val="26"/>
        </w:rPr>
        <w:footnoteReference w:id="322"/>
      </w:r>
    </w:p>
    <w:p w14:paraId="0F910C30" w14:textId="1EC178DB" w:rsidR="00AF72FB" w:rsidRDefault="00AF72FB" w:rsidP="00E32B1D">
      <w:pPr>
        <w:pStyle w:val="Heading5"/>
      </w:pPr>
      <w:r>
        <w:t>Commission Determination</w:t>
      </w:r>
    </w:p>
    <w:p w14:paraId="3D4F5BBC" w14:textId="4FE53A5C" w:rsidR="006257B1" w:rsidRPr="003A4AEC" w:rsidRDefault="006257B1" w:rsidP="006257B1">
      <w:pPr>
        <w:pStyle w:val="FERCparanumber"/>
      </w:pPr>
      <w:r w:rsidRPr="003A4AEC">
        <w:t xml:space="preserve">We disagree with the arguments raised on rehearing by Indicated PJM TOs that the requirement that transmission providers include Relevant State Entities’ agreed-upon Long-Term Regional Transmission Cost Allocation Method(s) and/or State Agreement Process in their </w:t>
      </w:r>
      <w:r w:rsidR="00E82BD4">
        <w:t xml:space="preserve">Order No. 1920 regional transmission planning and cost allocation </w:t>
      </w:r>
      <w:r w:rsidRPr="003A4AEC">
        <w:t>compliance filings violates the First Amendment.</w:t>
      </w:r>
      <w:r>
        <w:rPr>
          <w:rStyle w:val="FootnoteReference"/>
        </w:rPr>
        <w:footnoteReference w:id="323"/>
      </w:r>
      <w:r w:rsidRPr="003A4AEC">
        <w:t xml:space="preserve">  </w:t>
      </w:r>
      <w:r w:rsidR="00956C7E">
        <w:t>W</w:t>
      </w:r>
      <w:r w:rsidRPr="003A4AEC">
        <w:t xml:space="preserve">e agree as a general matter that </w:t>
      </w:r>
      <w:r w:rsidRPr="003A4AEC">
        <w:lastRenderedPageBreak/>
        <w:t>transmission providers have First Amendment rights</w:t>
      </w:r>
      <w:r w:rsidR="0033126C">
        <w:t>.</w:t>
      </w:r>
      <w:r w:rsidRPr="003A4AEC">
        <w:rPr>
          <w:rStyle w:val="FootnoteReference"/>
        </w:rPr>
        <w:footnoteReference w:id="324"/>
      </w:r>
      <w:r w:rsidRPr="003A4AEC">
        <w:t xml:space="preserve"> </w:t>
      </w:r>
      <w:r w:rsidR="008A366B">
        <w:t xml:space="preserve"> </w:t>
      </w:r>
      <w:r w:rsidR="0033126C">
        <w:t xml:space="preserve">However, </w:t>
      </w:r>
      <w:r w:rsidRPr="003A4AEC">
        <w:t xml:space="preserve">Order No. 1920-A </w:t>
      </w:r>
      <w:r>
        <w:t xml:space="preserve">does not </w:t>
      </w:r>
      <w:r w:rsidRPr="003A4AEC">
        <w:t>implicate those rights.</w:t>
      </w:r>
      <w:r>
        <w:t xml:space="preserve">  Order No. 1920-A imposes no actual burden or limitation on transmission providers’ </w:t>
      </w:r>
      <w:proofErr w:type="gramStart"/>
      <w:r>
        <w:t>speech, but</w:t>
      </w:r>
      <w:proofErr w:type="gramEnd"/>
      <w:r>
        <w:t xml:space="preserve"> instead requires nothing more than the attachment of one or more files, containing the information provided by Relevant State Entities, to transmission providers’ </w:t>
      </w:r>
      <w:r w:rsidR="00053240">
        <w:t xml:space="preserve">compliance </w:t>
      </w:r>
      <w:r>
        <w:t>proposals</w:t>
      </w:r>
      <w:r w:rsidR="0033126C">
        <w:t xml:space="preserve"> under FPA </w:t>
      </w:r>
      <w:r w:rsidR="00E87196">
        <w:t xml:space="preserve">section </w:t>
      </w:r>
      <w:r w:rsidR="00D076EB">
        <w:t>206</w:t>
      </w:r>
      <w:r>
        <w:t>.</w:t>
      </w:r>
    </w:p>
    <w:p w14:paraId="287F1763" w14:textId="6E76969B" w:rsidR="006257B1" w:rsidRPr="003A4AEC" w:rsidRDefault="006257B1" w:rsidP="006257B1">
      <w:pPr>
        <w:pStyle w:val="FERCparanumber"/>
      </w:pPr>
      <w:r w:rsidRPr="003A4AEC">
        <w:t>As explained, given states’ unique role in Long-Term Regional Transmission Planning and the heightened importance of state-developed cost allocation methods and State Agreement Processes, the Commission will consider the entire record</w:t>
      </w:r>
      <w:r>
        <w:t>—</w:t>
      </w:r>
      <w:r w:rsidRPr="003A4AEC">
        <w:t>including the Relevant State Entities’ agreed-upon Long-Term Regional Transmission Cost Allocation Method</w:t>
      </w:r>
      <w:r w:rsidR="00E82885" w:rsidRPr="00F955E6">
        <w:t>(s)</w:t>
      </w:r>
      <w:r w:rsidRPr="003A4AEC">
        <w:t xml:space="preserve"> and/or State Agreement Process and the transmission provider’s proposal</w:t>
      </w:r>
      <w:r>
        <w:t>—</w:t>
      </w:r>
      <w:r w:rsidRPr="003A4AEC">
        <w:t>when setting the replacement rate.</w:t>
      </w:r>
      <w:r w:rsidRPr="003A4AEC">
        <w:rPr>
          <w:rStyle w:val="FootnoteReference"/>
        </w:rPr>
        <w:footnoteReference w:id="325"/>
      </w:r>
      <w:r w:rsidRPr="003A4AEC">
        <w:t xml:space="preserve">  The requirement that transmission providers include Relevant State Entities’ agreed-upon Long-Term Regional Transmission Cost Allocation Method(s) and/or State Agreement Process in their compliance filings</w:t>
      </w:r>
      <w:r w:rsidR="00F232E0">
        <w:t xml:space="preserve"> </w:t>
      </w:r>
      <w:r w:rsidR="00F232E0" w:rsidRPr="00F44713">
        <w:t>assists the Commission in monitoring</w:t>
      </w:r>
      <w:r w:rsidR="009E3EF3" w:rsidRPr="00F44713">
        <w:t xml:space="preserve"> compliance with the</w:t>
      </w:r>
      <w:r w:rsidR="00406CD0" w:rsidRPr="00F44713">
        <w:t xml:space="preserve"> requirements related to the</w:t>
      </w:r>
      <w:r w:rsidR="009E3EF3" w:rsidRPr="00F44713">
        <w:t xml:space="preserve"> Engagement</w:t>
      </w:r>
      <w:r w:rsidR="00496BDF" w:rsidRPr="00F44713">
        <w:t xml:space="preserve"> Period</w:t>
      </w:r>
      <w:r w:rsidR="00382FD0" w:rsidRPr="00F44713">
        <w:t xml:space="preserve">, </w:t>
      </w:r>
      <w:r w:rsidR="00722AB6" w:rsidRPr="00F44713">
        <w:t>allows the Commission to efficiently consider the views of both Relevant State Entities and transmission providers, and</w:t>
      </w:r>
      <w:r w:rsidRPr="003A4AEC">
        <w:t xml:space="preserve"> </w:t>
      </w:r>
      <w:r w:rsidR="00CC4848">
        <w:t>helps</w:t>
      </w:r>
      <w:r w:rsidRPr="003A4AEC">
        <w:t xml:space="preserve"> ensure that the Commission has a sufficient record on compliance to set a just and </w:t>
      </w:r>
      <w:r w:rsidRPr="003A4AEC">
        <w:lastRenderedPageBreak/>
        <w:t>reasonable replacement rate.</w:t>
      </w:r>
      <w:r>
        <w:rPr>
          <w:rStyle w:val="FootnoteReference"/>
        </w:rPr>
        <w:footnoteReference w:id="326"/>
      </w:r>
      <w:r w:rsidRPr="003A4AEC">
        <w:t xml:space="preserve">  Correctly viewed in this light, the compliance requirements of Order No. 1920-A</w:t>
      </w:r>
      <w:r>
        <w:t xml:space="preserve"> do not</w:t>
      </w:r>
      <w:r w:rsidRPr="003A4AEC">
        <w:t xml:space="preserve"> compel speech in violation of the First Amendment</w:t>
      </w:r>
      <w:r>
        <w:t xml:space="preserve">. </w:t>
      </w:r>
      <w:r w:rsidR="00E32B1D">
        <w:t xml:space="preserve"> </w:t>
      </w:r>
      <w:r>
        <w:t>Indeed, a</w:t>
      </w:r>
      <w:r w:rsidRPr="003A4AEC">
        <w:t xml:space="preserve"> myriad </w:t>
      </w:r>
      <w:r>
        <w:t xml:space="preserve">of </w:t>
      </w:r>
      <w:r w:rsidRPr="003A4AEC">
        <w:t xml:space="preserve">Commission orders have similarly directed public utilities, following a finding that an existing rate is unjust, unreasonable, and unduly discriminatory, to submit information they otherwise would not </w:t>
      </w:r>
      <w:r>
        <w:t xml:space="preserve">submit </w:t>
      </w:r>
      <w:r w:rsidRPr="003A4AEC">
        <w:t>that is necessary for the Commission to</w:t>
      </w:r>
      <w:r>
        <w:t xml:space="preserve"> determine whether they have met the relevant orders’ requirements</w:t>
      </w:r>
      <w:r w:rsidRPr="003A4AEC">
        <w:t>.</w:t>
      </w:r>
      <w:r w:rsidRPr="003A4AEC">
        <w:rPr>
          <w:rStyle w:val="FootnoteReference"/>
        </w:rPr>
        <w:footnoteReference w:id="327"/>
      </w:r>
      <w:r w:rsidRPr="003A4AEC">
        <w:t xml:space="preserve">  Considering the critical importance of Relevant State Entities’ views as to how the costs of Long-Term Regional Transmission Facilities will be allocated,</w:t>
      </w:r>
      <w:r w:rsidRPr="003A4AEC">
        <w:rPr>
          <w:rStyle w:val="FootnoteReference"/>
        </w:rPr>
        <w:footnoteReference w:id="328"/>
      </w:r>
      <w:r w:rsidRPr="003A4AEC">
        <w:t xml:space="preserve"> the requirement that transmission providers include information concerning those views in their compliance filings is akin to any other “informational requirement[ ] that</w:t>
      </w:r>
      <w:r>
        <w:t xml:space="preserve"> public </w:t>
      </w:r>
      <w:r>
        <w:lastRenderedPageBreak/>
        <w:t>utilities</w:t>
      </w:r>
      <w:r w:rsidRPr="003A4AEC">
        <w:t xml:space="preserve"> must follow to support their filings</w:t>
      </w:r>
      <w:r>
        <w:t>”</w:t>
      </w:r>
      <w:r w:rsidRPr="003A4AEC">
        <w:rPr>
          <w:rStyle w:val="FootnoteReference"/>
        </w:rPr>
        <w:footnoteReference w:id="329"/>
      </w:r>
      <w:r>
        <w:t xml:space="preserve"> and, therefore, does not implicate any First Amendment concerns.</w:t>
      </w:r>
      <w:r>
        <w:rPr>
          <w:rStyle w:val="FootnoteReference"/>
        </w:rPr>
        <w:footnoteReference w:id="330"/>
      </w:r>
      <w:r>
        <w:t xml:space="preserve"> </w:t>
      </w:r>
    </w:p>
    <w:p w14:paraId="2EB0ED82" w14:textId="567CB97C" w:rsidR="006257B1" w:rsidRPr="003A4AEC" w:rsidRDefault="006257B1" w:rsidP="006257B1">
      <w:pPr>
        <w:pStyle w:val="FERCparanumber"/>
      </w:pPr>
      <w:r w:rsidRPr="003A4AEC">
        <w:t xml:space="preserve">Further, we disagree with Indicated PJM TOs’ contention that “the Commission is not requiring the transmission provider to file state-generated information that is relevant to the Commission’s decision on the </w:t>
      </w:r>
      <w:r w:rsidRPr="003A4AEC">
        <w:rPr>
          <w:i/>
          <w:iCs/>
        </w:rPr>
        <w:t>transmission provider’s rate proposal</w:t>
      </w:r>
      <w:r>
        <w:t>.</w:t>
      </w:r>
      <w:r w:rsidRPr="003A4AEC">
        <w:t>”</w:t>
      </w:r>
      <w:r w:rsidRPr="003A4AEC">
        <w:rPr>
          <w:rStyle w:val="FootnoteReference"/>
        </w:rPr>
        <w:footnoteReference w:id="331"/>
      </w:r>
      <w:r w:rsidRPr="003A4AEC">
        <w:t xml:space="preserve">  </w:t>
      </w:r>
      <w:r>
        <w:t>G</w:t>
      </w:r>
      <w:r w:rsidRPr="003A4AEC">
        <w:t>iven the importance of Relevant State Entities’ views as to how the costs of Long-Term Regional Transmission Facilities will be allocated, we find that those views</w:t>
      </w:r>
      <w:r>
        <w:t xml:space="preserve">—and any </w:t>
      </w:r>
      <w:r w:rsidR="009235D2">
        <w:lastRenderedPageBreak/>
        <w:t>agreed-upon</w:t>
      </w:r>
      <w:r w:rsidR="009235D2" w:rsidRPr="00033D0B">
        <w:t xml:space="preserve"> Long-Term Regional Transmission Cost Allocation Method</w:t>
      </w:r>
      <w:r w:rsidR="009235D2" w:rsidRPr="009F1706">
        <w:t>(s)</w:t>
      </w:r>
      <w:r w:rsidR="009235D2" w:rsidRPr="00033D0B">
        <w:t xml:space="preserve"> and/or</w:t>
      </w:r>
      <w:r>
        <w:t xml:space="preserve"> State </w:t>
      </w:r>
      <w:r w:rsidR="009235D2" w:rsidRPr="00033D0B">
        <w:t>Agreement</w:t>
      </w:r>
      <w:r w:rsidR="009235D2">
        <w:t xml:space="preserve"> </w:t>
      </w:r>
      <w:r w:rsidR="009235D2" w:rsidRPr="008B3BC7">
        <w:t>Process</w:t>
      </w:r>
      <w:r>
        <w:t>—</w:t>
      </w:r>
      <w:r w:rsidRPr="003A4AEC">
        <w:t>are relevant to the Commission’s decision on the transmission provider’s rate proposal.</w:t>
      </w:r>
      <w:r w:rsidRPr="003A4AEC">
        <w:rPr>
          <w:rStyle w:val="FootnoteReference"/>
        </w:rPr>
        <w:footnoteReference w:id="332"/>
      </w:r>
      <w:r w:rsidRPr="003A4AEC">
        <w:t xml:space="preserve">  </w:t>
      </w:r>
      <w:r>
        <w:t>Moreover, even if this material were not relevant to the assessment of transmission providers’ proposals, this would not alter our conclusion that Order No. 1920-A’s requirements do not impinge on transmission providers’ First Amendment rights, as discussed below.</w:t>
      </w:r>
      <w:r w:rsidRPr="003A4AEC">
        <w:rPr>
          <w:rStyle w:val="FootnoteReference"/>
        </w:rPr>
        <w:footnoteReference w:id="333"/>
      </w:r>
    </w:p>
    <w:p w14:paraId="54946513" w14:textId="4FD941B3" w:rsidR="006257B1" w:rsidRPr="003A4AEC" w:rsidRDefault="006257B1" w:rsidP="006257B1">
      <w:pPr>
        <w:pStyle w:val="FERCparanumber"/>
      </w:pPr>
      <w:r w:rsidRPr="003A4AEC">
        <w:lastRenderedPageBreak/>
        <w:t xml:space="preserve">Turning to Indicated PJM TOs’ </w:t>
      </w:r>
      <w:r>
        <w:t xml:space="preserve">specific </w:t>
      </w:r>
      <w:r w:rsidRPr="003A4AEC">
        <w:t xml:space="preserve">First Amendment claims, as a preliminary matter it </w:t>
      </w:r>
      <w:r>
        <w:t xml:space="preserve">is </w:t>
      </w:r>
      <w:r w:rsidRPr="003A4AEC">
        <w:t>unclear which rights protected by the First Amendment Indicated PJM TOs believe</w:t>
      </w:r>
      <w:r w:rsidRPr="003A4AEC" w:rsidDel="004D4A1A">
        <w:t xml:space="preserve"> </w:t>
      </w:r>
      <w:r>
        <w:t>are</w:t>
      </w:r>
      <w:r w:rsidRPr="003A4AEC">
        <w:t xml:space="preserve"> implicated by Order No. 1920-A.  The First Amendment protects against government action abridging both “the freedom of speech” and the right “to petition the government for a redress of grievances.”</w:t>
      </w:r>
      <w:r w:rsidRPr="003A4AEC">
        <w:rPr>
          <w:rStyle w:val="FootnoteReference"/>
        </w:rPr>
        <w:footnoteReference w:id="334"/>
      </w:r>
      <w:r w:rsidRPr="003A4AEC">
        <w:t xml:space="preserve">  Although the Supreme Court has described these two rights as “cognate rights,”</w:t>
      </w:r>
      <w:r w:rsidRPr="003A4AEC">
        <w:rPr>
          <w:rStyle w:val="FootnoteReference"/>
        </w:rPr>
        <w:footnoteReference w:id="335"/>
      </w:r>
      <w:r w:rsidRPr="003A4AEC">
        <w:t xml:space="preserve"> the Court has also explained that courts “should not presume there is always an essential equivalence in the two Clauses or that Speech Clause precedents necessarily and in every case resolve Petition Clause claims.”</w:t>
      </w:r>
      <w:r w:rsidRPr="003A4AEC">
        <w:rPr>
          <w:rStyle w:val="FootnoteReference"/>
        </w:rPr>
        <w:footnoteReference w:id="336"/>
      </w:r>
      <w:r w:rsidRPr="003A4AEC">
        <w:t xml:space="preserve">  </w:t>
      </w:r>
      <w:r w:rsidR="00C74740">
        <w:t>We a</w:t>
      </w:r>
      <w:r w:rsidRPr="003A4AEC">
        <w:t>ssum</w:t>
      </w:r>
      <w:r w:rsidR="00C74740">
        <w:t>e</w:t>
      </w:r>
      <w:r w:rsidRPr="003A4AEC">
        <w:t xml:space="preserve"> that Indicated PJM TOs’ position is that Order No. 1920-A violates both transmission providers’ freedom of speech and their right to petition the government,</w:t>
      </w:r>
      <w:r w:rsidR="00A43ED8">
        <w:rPr>
          <w:rStyle w:val="FootnoteReference"/>
        </w:rPr>
        <w:footnoteReference w:id="337"/>
      </w:r>
      <w:r w:rsidRPr="003A4AEC">
        <w:t xml:space="preserve"> </w:t>
      </w:r>
      <w:r w:rsidR="00376411">
        <w:t xml:space="preserve">and </w:t>
      </w:r>
      <w:r w:rsidRPr="003A4AEC">
        <w:t xml:space="preserve">we </w:t>
      </w:r>
      <w:r w:rsidR="00376411">
        <w:t>therefore</w:t>
      </w:r>
      <w:r w:rsidRPr="003A4AEC">
        <w:t xml:space="preserve"> address these claims separately.</w:t>
      </w:r>
      <w:r w:rsidRPr="003A4AEC">
        <w:rPr>
          <w:rStyle w:val="FootnoteReference"/>
        </w:rPr>
        <w:footnoteReference w:id="338"/>
      </w:r>
    </w:p>
    <w:p w14:paraId="5BF6635E" w14:textId="18E9940F" w:rsidR="006257B1" w:rsidRPr="003A4AEC" w:rsidRDefault="006257B1" w:rsidP="006257B1">
      <w:pPr>
        <w:pStyle w:val="FERCparanumber"/>
      </w:pPr>
      <w:r w:rsidRPr="003A4AEC">
        <w:t>As to the First Amendment right to petition, we disagree with Indicated PJM TOs that</w:t>
      </w:r>
      <w:r>
        <w:t xml:space="preserve"> the requirement that transmission providers </w:t>
      </w:r>
      <w:r w:rsidRPr="003A4AEC">
        <w:t xml:space="preserve">include Relevant State Entities’ </w:t>
      </w:r>
      <w:r w:rsidR="003C738B">
        <w:t xml:space="preserve">          </w:t>
      </w:r>
      <w:r w:rsidRPr="003A4AEC">
        <w:t xml:space="preserve">agreed-upon Long-Term Regional Transmission Cost Allocation Method(s) and/or State </w:t>
      </w:r>
      <w:r w:rsidRPr="003A4AEC">
        <w:lastRenderedPageBreak/>
        <w:t>Agreement Process in their compliance filings</w:t>
      </w:r>
      <w:r>
        <w:t xml:space="preserve"> violates transmission providers’ </w:t>
      </w:r>
      <w:r w:rsidR="003C738B">
        <w:t xml:space="preserve">                     </w:t>
      </w:r>
      <w:r>
        <w:t>“First Amendment petitioning rights.”</w:t>
      </w:r>
      <w:r>
        <w:rPr>
          <w:rStyle w:val="FootnoteReference"/>
        </w:rPr>
        <w:footnoteReference w:id="339"/>
      </w:r>
      <w:r>
        <w:t xml:space="preserve"> </w:t>
      </w:r>
      <w:r w:rsidRPr="003A4AEC">
        <w:t xml:space="preserve"> </w:t>
      </w:r>
      <w:r>
        <w:t xml:space="preserve">The Supreme Court has described the </w:t>
      </w:r>
      <w:r w:rsidR="003C738B">
        <w:t xml:space="preserve">                </w:t>
      </w:r>
      <w:r>
        <w:t>First Amendment right to petition as “allow[</w:t>
      </w:r>
      <w:proofErr w:type="spellStart"/>
      <w:r>
        <w:t>ing</w:t>
      </w:r>
      <w:proofErr w:type="spellEnd"/>
      <w:r>
        <w:t>] citizens to express their ideas, hopes, and concerns to their government,” and a petition as “convey[</w:t>
      </w:r>
      <w:proofErr w:type="spellStart"/>
      <w:r>
        <w:t>ing</w:t>
      </w:r>
      <w:proofErr w:type="spellEnd"/>
      <w:r>
        <w:t>] the special concerns of its author to the government and, in its usual form, request[</w:t>
      </w:r>
      <w:proofErr w:type="spellStart"/>
      <w:r>
        <w:t>ing</w:t>
      </w:r>
      <w:proofErr w:type="spellEnd"/>
      <w:r>
        <w:t>] action by the government to address those concerns.”</w:t>
      </w:r>
      <w:r>
        <w:rPr>
          <w:rStyle w:val="FootnoteReference"/>
        </w:rPr>
        <w:footnoteReference w:id="340"/>
      </w:r>
      <w:r>
        <w:t xml:space="preserve">  Assuming, </w:t>
      </w:r>
      <w:r w:rsidRPr="00BD18D0">
        <w:rPr>
          <w:i/>
          <w:iCs/>
        </w:rPr>
        <w:t>arguendo</w:t>
      </w:r>
      <w:r>
        <w:t>, that</w:t>
      </w:r>
      <w:r w:rsidRPr="003A4AEC">
        <w:t xml:space="preserve"> transmission providers’ filings made in compliance with the requirements of Order Nos. 1920 and 1920-A—or filings made in compliance with the requirements of any Commission order for that </w:t>
      </w:r>
      <w:r w:rsidR="003C738B">
        <w:t xml:space="preserve">               </w:t>
      </w:r>
      <w:r w:rsidRPr="003A4AEC">
        <w:t>matter</w:t>
      </w:r>
      <w:r w:rsidRPr="003A4AEC">
        <w:rPr>
          <w:rStyle w:val="FootnoteReference"/>
        </w:rPr>
        <w:footnoteReference w:id="341"/>
      </w:r>
      <w:r w:rsidRPr="003A4AEC">
        <w:t>—constitute petition</w:t>
      </w:r>
      <w:r>
        <w:t>s under the First Amendment,</w:t>
      </w:r>
      <w:r w:rsidRPr="003A4AEC">
        <w:rPr>
          <w:rStyle w:val="FootnoteReference"/>
        </w:rPr>
        <w:footnoteReference w:id="342"/>
      </w:r>
      <w:r>
        <w:t xml:space="preserve"> we find</w:t>
      </w:r>
      <w:r w:rsidRPr="003A4AEC">
        <w:t xml:space="preserve"> </w:t>
      </w:r>
      <w:r>
        <w:t xml:space="preserve">that the </w:t>
      </w:r>
      <w:r>
        <w:lastRenderedPageBreak/>
        <w:t xml:space="preserve">requirement that transmission providers </w:t>
      </w:r>
      <w:r w:rsidRPr="003A4AEC">
        <w:t xml:space="preserve">include Relevant State Entities’ agreed-upon Long-Term Regional Transmission Cost Allocation Method(s) and/or State Agreement Process in their compliance filings </w:t>
      </w:r>
      <w:r>
        <w:t>does not infringe on transmission providers’ right to petition.  Order No. 1920-A does not prevent transmission providers from “express[</w:t>
      </w:r>
      <w:proofErr w:type="spellStart"/>
      <w:r>
        <w:t>ing</w:t>
      </w:r>
      <w:proofErr w:type="spellEnd"/>
      <w:r>
        <w:t>] their ideas” to the Commission or “request[</w:t>
      </w:r>
      <w:proofErr w:type="spellStart"/>
      <w:r>
        <w:t>ing</w:t>
      </w:r>
      <w:proofErr w:type="spellEnd"/>
      <w:r>
        <w:t>] action by the [Commission] to address [their] concerns.”</w:t>
      </w:r>
      <w:r>
        <w:rPr>
          <w:rStyle w:val="FootnoteReference"/>
        </w:rPr>
        <w:footnoteReference w:id="343"/>
      </w:r>
      <w:r>
        <w:t xml:space="preserve">  Rather, Order No. 1920-A makes clear that “</w:t>
      </w:r>
      <w:r w:rsidRPr="005B79AC">
        <w:t>transmission providers decide what to submit as their actual Order No. 1920 compliance proposal, including relevant tariff language and supporting evidence or arguments, whether they decide to propose the Relevant State Entities’ agreed-upon Long-Term Regional Transmission Cost Allocation Method</w:t>
      </w:r>
      <w:r w:rsidR="00A03774" w:rsidRPr="006C7351">
        <w:t>(s)</w:t>
      </w:r>
      <w:r w:rsidRPr="005B79AC">
        <w:t xml:space="preserve"> and/or State Agreement Process or a different Long-Term Regional Transmission Cost Allocation Method.</w:t>
      </w:r>
      <w:r>
        <w:t>”</w:t>
      </w:r>
      <w:r>
        <w:rPr>
          <w:rStyle w:val="FootnoteReference"/>
        </w:rPr>
        <w:footnoteReference w:id="344"/>
      </w:r>
      <w:r w:rsidRPr="003A4AEC">
        <w:t xml:space="preserve"> </w:t>
      </w:r>
    </w:p>
    <w:p w14:paraId="164EE258" w14:textId="599C40CB" w:rsidR="006257B1" w:rsidRPr="003A4AEC" w:rsidRDefault="006257B1" w:rsidP="006257B1">
      <w:pPr>
        <w:pStyle w:val="FERCparanumber"/>
      </w:pPr>
      <w:r w:rsidRPr="003A4AEC">
        <w:t xml:space="preserve">As to the First Amendment guarantee of freedom of speech, we find that the </w:t>
      </w:r>
      <w:r>
        <w:t xml:space="preserve">line of </w:t>
      </w:r>
      <w:r w:rsidRPr="003A4AEC">
        <w:t>cases Indicated PJM TOs</w:t>
      </w:r>
      <w:r>
        <w:t xml:space="preserve"> rely on</w:t>
      </w:r>
      <w:r w:rsidRPr="003A4AEC">
        <w:t xml:space="preserve"> in support of their argument that the compliance requirements of Order No. 1920-A violate transmission providers’ right not to speak are inapposite.</w:t>
      </w:r>
      <w:r>
        <w:t xml:space="preserve">  In both </w:t>
      </w:r>
      <w:r>
        <w:rPr>
          <w:i/>
          <w:iCs/>
        </w:rPr>
        <w:t>PG&amp;E</w:t>
      </w:r>
      <w:r>
        <w:t xml:space="preserve"> and </w:t>
      </w:r>
      <w:r>
        <w:rPr>
          <w:i/>
          <w:iCs/>
        </w:rPr>
        <w:t>Moody</w:t>
      </w:r>
      <w:r>
        <w:t xml:space="preserve">, the Supreme Court reviewed government action regulating the communication of </w:t>
      </w:r>
      <w:r w:rsidRPr="00FE288F">
        <w:rPr>
          <w:i/>
          <w:iCs/>
        </w:rPr>
        <w:t>political</w:t>
      </w:r>
      <w:r>
        <w:t xml:space="preserve"> messages to and amongst the </w:t>
      </w:r>
      <w:r w:rsidRPr="00FE288F">
        <w:rPr>
          <w:i/>
          <w:iCs/>
        </w:rPr>
        <w:t>public</w:t>
      </w:r>
      <w:r>
        <w:t>.</w:t>
      </w:r>
      <w:r>
        <w:rPr>
          <w:rStyle w:val="FootnoteReference"/>
        </w:rPr>
        <w:footnoteReference w:id="345"/>
      </w:r>
      <w:r w:rsidRPr="004D2B42">
        <w:t xml:space="preserve"> </w:t>
      </w:r>
      <w:r w:rsidRPr="003A4AEC">
        <w:t xml:space="preserve"> </w:t>
      </w:r>
      <w:r>
        <w:t xml:space="preserve">In </w:t>
      </w:r>
      <w:r>
        <w:lastRenderedPageBreak/>
        <w:t xml:space="preserve">contrast with the political discourse at issue in </w:t>
      </w:r>
      <w:r>
        <w:rPr>
          <w:i/>
          <w:iCs/>
        </w:rPr>
        <w:t xml:space="preserve">PG&amp;E </w:t>
      </w:r>
      <w:r>
        <w:t xml:space="preserve">and </w:t>
      </w:r>
      <w:r w:rsidRPr="00713EA0">
        <w:rPr>
          <w:i/>
          <w:iCs/>
        </w:rPr>
        <w:t>Moody</w:t>
      </w:r>
      <w:r>
        <w:t xml:space="preserve">, the </w:t>
      </w:r>
      <w:r w:rsidRPr="00713EA0">
        <w:t>Supreme</w:t>
      </w:r>
      <w:r w:rsidRPr="003A4AEC">
        <w:t xml:space="preserve"> Court </w:t>
      </w:r>
      <w:r w:rsidR="00CE7AB9">
        <w:t xml:space="preserve">has </w:t>
      </w:r>
      <w:r w:rsidRPr="003A4AEC">
        <w:t xml:space="preserve">held </w:t>
      </w:r>
      <w:r w:rsidR="00CE18A3">
        <w:t xml:space="preserve">that under the </w:t>
      </w:r>
      <w:r w:rsidR="003A6BEF">
        <w:t>standard</w:t>
      </w:r>
      <w:r w:rsidR="00CE18A3">
        <w:t xml:space="preserve"> articulated</w:t>
      </w:r>
      <w:r w:rsidRPr="003A4AEC">
        <w:t xml:space="preserve"> </w:t>
      </w:r>
      <w:r w:rsidR="00F37BF1">
        <w:t xml:space="preserve">in </w:t>
      </w:r>
      <w:r w:rsidR="00F37BF1">
        <w:rPr>
          <w:i/>
          <w:iCs/>
        </w:rPr>
        <w:t>Central Hudson Gas</w:t>
      </w:r>
      <w:r>
        <w:rPr>
          <w:i/>
        </w:rPr>
        <w:t xml:space="preserve"> </w:t>
      </w:r>
      <w:r w:rsidR="006C7602">
        <w:rPr>
          <w:i/>
          <w:iCs/>
        </w:rPr>
        <w:t>&amp; Ele</w:t>
      </w:r>
      <w:r w:rsidR="00BE02BE">
        <w:rPr>
          <w:i/>
          <w:iCs/>
        </w:rPr>
        <w:t xml:space="preserve">ctric </w:t>
      </w:r>
      <w:r w:rsidR="00BD4BF7">
        <w:rPr>
          <w:i/>
          <w:iCs/>
        </w:rPr>
        <w:t>Corp. v. Public Service Commission of New York</w:t>
      </w:r>
      <w:r w:rsidR="00CE18A3">
        <w:t>,</w:t>
      </w:r>
      <w:r w:rsidR="000D2334" w:rsidRPr="0064288D">
        <w:rPr>
          <w:rStyle w:val="FootnoteReference"/>
        </w:rPr>
        <w:footnoteReference w:id="346"/>
      </w:r>
      <w:r w:rsidR="00BE02BE">
        <w:rPr>
          <w:i/>
          <w:iCs/>
        </w:rPr>
        <w:t xml:space="preserve"> </w:t>
      </w:r>
      <w:r w:rsidRPr="0065776A">
        <w:t>commercial</w:t>
      </w:r>
      <w:r w:rsidRPr="003A4AEC">
        <w:t xml:space="preserve"> speech—“that is, expression related solely to the economic interests of the speaker and its audience”</w:t>
      </w:r>
      <w:r w:rsidRPr="003A4AEC">
        <w:rPr>
          <w:rStyle w:val="FootnoteReference"/>
        </w:rPr>
        <w:footnoteReference w:id="347"/>
      </w:r>
      <w:r w:rsidRPr="003A4AEC">
        <w:t>—</w:t>
      </w:r>
      <w:r>
        <w:t>is entitled to a</w:t>
      </w:r>
      <w:r w:rsidRPr="003A4AEC">
        <w:t xml:space="preserve"> “limited measure of protection, commensurate with its subordinate position in the scale of First Amendment values</w:t>
      </w:r>
      <w:r>
        <w:t>.</w:t>
      </w:r>
      <w:r w:rsidRPr="003A4AEC">
        <w:t>”</w:t>
      </w:r>
      <w:r w:rsidRPr="003A4AEC">
        <w:rPr>
          <w:rStyle w:val="FootnoteReference"/>
        </w:rPr>
        <w:footnoteReference w:id="348"/>
      </w:r>
      <w:r w:rsidRPr="003A4AEC">
        <w:t xml:space="preserve"> </w:t>
      </w:r>
      <w:r>
        <w:t xml:space="preserve"> Further, c</w:t>
      </w:r>
      <w:r w:rsidRPr="003A4AEC">
        <w:t xml:space="preserve">ourts have held that the First Amendment is not violated when agencies require </w:t>
      </w:r>
      <w:r>
        <w:t>the disclosure of information, not to influence public debate, but instead as a means to fulfilling</w:t>
      </w:r>
      <w:r w:rsidRPr="003A4AEC">
        <w:t xml:space="preserve"> </w:t>
      </w:r>
      <w:r>
        <w:t>the agencies’</w:t>
      </w:r>
      <w:r w:rsidRPr="003A4AEC">
        <w:t xml:space="preserve"> statutory mandates.</w:t>
      </w:r>
      <w:r w:rsidRPr="003A4AEC">
        <w:rPr>
          <w:rStyle w:val="FootnoteReference"/>
        </w:rPr>
        <w:footnoteReference w:id="349"/>
      </w:r>
      <w:r w:rsidRPr="003A4AEC">
        <w:t xml:space="preserve">  Given </w:t>
      </w:r>
      <w:r w:rsidRPr="003A4AEC">
        <w:lastRenderedPageBreak/>
        <w:t>th</w:t>
      </w:r>
      <w:r>
        <w:t xml:space="preserve">at </w:t>
      </w:r>
      <w:r w:rsidRPr="003A4AEC">
        <w:t xml:space="preserve">Relevant State Entities’ agreed-upon Long-Term Regional Transmission Cost Allocation Method(s) and/or State Agreement Process </w:t>
      </w:r>
      <w:r>
        <w:t>relate “</w:t>
      </w:r>
      <w:r w:rsidRPr="003A4AEC">
        <w:t>solely to the economic interests</w:t>
      </w:r>
      <w:r>
        <w:t>”</w:t>
      </w:r>
      <w:r w:rsidRPr="003A4AEC">
        <w:rPr>
          <w:rStyle w:val="FootnoteReference"/>
        </w:rPr>
        <w:footnoteReference w:id="350"/>
      </w:r>
      <w:r>
        <w:t xml:space="preserve"> of those who will be allocated the costs of Long-Term Regional Transmission Facilities, and </w:t>
      </w:r>
      <w:r w:rsidR="00CF462B">
        <w:t xml:space="preserve">that </w:t>
      </w:r>
      <w:r>
        <w:t>disclosure of this information is made to</w:t>
      </w:r>
      <w:r w:rsidRPr="003A4AEC">
        <w:t xml:space="preserve"> the Commission so that it may ensure compliance with its directives,</w:t>
      </w:r>
      <w:r w:rsidRPr="003A4AEC">
        <w:rPr>
          <w:rStyle w:val="FootnoteReference"/>
        </w:rPr>
        <w:footnoteReference w:id="351"/>
      </w:r>
      <w:r w:rsidRPr="003A4AEC">
        <w:t xml:space="preserve"> we find Indicated PJM TOs’ reliance on </w:t>
      </w:r>
      <w:r w:rsidRPr="003A4AEC">
        <w:rPr>
          <w:i/>
          <w:iCs/>
        </w:rPr>
        <w:t>PG&amp;E</w:t>
      </w:r>
      <w:r>
        <w:t xml:space="preserve"> and </w:t>
      </w:r>
      <w:r>
        <w:rPr>
          <w:i/>
          <w:iCs/>
        </w:rPr>
        <w:t xml:space="preserve">Moody </w:t>
      </w:r>
      <w:r w:rsidRPr="003A4AEC">
        <w:t>misplaced</w:t>
      </w:r>
      <w:r>
        <w:t>.</w:t>
      </w:r>
      <w:r>
        <w:rPr>
          <w:rStyle w:val="FootnoteReference"/>
        </w:rPr>
        <w:footnoteReference w:id="352"/>
      </w:r>
    </w:p>
    <w:p w14:paraId="1AA0587C" w14:textId="25288D89" w:rsidR="00D932A7" w:rsidRDefault="00490AC0" w:rsidP="006257B1">
      <w:pPr>
        <w:pStyle w:val="FERCparanumber"/>
      </w:pPr>
      <w:r>
        <w:lastRenderedPageBreak/>
        <w:t>Even a</w:t>
      </w:r>
      <w:r w:rsidR="006257B1" w:rsidRPr="003A4AEC">
        <w:t xml:space="preserve">ssuming </w:t>
      </w:r>
      <w:r w:rsidR="008C446C">
        <w:t>for</w:t>
      </w:r>
      <w:r w:rsidR="006257B1" w:rsidRPr="003A4AEC">
        <w:t xml:space="preserve"> the </w:t>
      </w:r>
      <w:r w:rsidR="008C446C">
        <w:t>sake</w:t>
      </w:r>
      <w:r w:rsidR="006257B1" w:rsidRPr="003A4AEC">
        <w:t xml:space="preserve"> of </w:t>
      </w:r>
      <w:r w:rsidR="008C446C">
        <w:t>argument</w:t>
      </w:r>
      <w:r w:rsidR="006257B1" w:rsidRPr="003A4AEC">
        <w:t xml:space="preserve"> that the compliance requirements of Order No. 1920-A </w:t>
      </w:r>
      <w:r w:rsidR="006257B1">
        <w:t>implicate</w:t>
      </w:r>
      <w:r w:rsidR="006257B1" w:rsidRPr="003A4AEC">
        <w:t xml:space="preserve"> transmission providers’ freedom of speech under the </w:t>
      </w:r>
      <w:r w:rsidR="003C738B">
        <w:t xml:space="preserve">              </w:t>
      </w:r>
      <w:r w:rsidR="006257B1" w:rsidRPr="003A4AEC">
        <w:t xml:space="preserve">First Amendment, we disagree with Indicated PJM TOs’ contention that </w:t>
      </w:r>
      <w:r w:rsidR="006257B1">
        <w:t>any</w:t>
      </w:r>
      <w:r w:rsidR="006257B1" w:rsidRPr="003A4AEC">
        <w:t xml:space="preserve"> infringement </w:t>
      </w:r>
      <w:r w:rsidR="006257B1">
        <w:t xml:space="preserve">on transmission providers’ rights </w:t>
      </w:r>
      <w:r w:rsidR="006257B1" w:rsidRPr="003A4AEC">
        <w:t xml:space="preserve">should be judged under strict scrutiny or </w:t>
      </w:r>
      <w:r w:rsidR="006257B1">
        <w:t xml:space="preserve">the form of </w:t>
      </w:r>
      <w:r w:rsidR="006257B1" w:rsidRPr="003A4AEC">
        <w:t xml:space="preserve">intermediate scrutiny </w:t>
      </w:r>
      <w:r w:rsidR="006257B1">
        <w:t>described</w:t>
      </w:r>
      <w:r w:rsidR="006257B1" w:rsidRPr="003A4AEC">
        <w:t xml:space="preserve"> by Indicated PJM TOs.</w:t>
      </w:r>
      <w:r w:rsidR="006257B1" w:rsidRPr="003A4AEC">
        <w:rPr>
          <w:rStyle w:val="FootnoteReference"/>
        </w:rPr>
        <w:footnoteReference w:id="353"/>
      </w:r>
      <w:r w:rsidR="006257B1" w:rsidRPr="003A4AEC">
        <w:t xml:space="preserve">  In arguing that strict scrutiny should apply because the compliance requirements of Order No. 1920-A are not </w:t>
      </w:r>
      <w:r w:rsidR="003C738B">
        <w:t xml:space="preserve">             </w:t>
      </w:r>
      <w:r w:rsidR="006257B1" w:rsidRPr="003A4AEC">
        <w:t>content-neutral,</w:t>
      </w:r>
      <w:r w:rsidR="006257B1" w:rsidRPr="003A4AEC">
        <w:rPr>
          <w:rStyle w:val="FootnoteReference"/>
        </w:rPr>
        <w:footnoteReference w:id="354"/>
      </w:r>
      <w:r w:rsidR="006257B1" w:rsidRPr="003A4AEC">
        <w:t xml:space="preserve"> Indicated PJM TOs ignore that the Supreme Court “has consistently applied intermediate scrutiny to commercial speech restrictions, even those that were content- and speaker-based.”</w:t>
      </w:r>
      <w:r w:rsidR="006257B1" w:rsidRPr="003A4AEC">
        <w:rPr>
          <w:rStyle w:val="FootnoteReference"/>
        </w:rPr>
        <w:footnoteReference w:id="355"/>
      </w:r>
      <w:r w:rsidR="006257B1" w:rsidRPr="003A4AEC">
        <w:t xml:space="preserve">  </w:t>
      </w:r>
      <w:r w:rsidR="006257B1">
        <w:t>We find</w:t>
      </w:r>
      <w:r w:rsidR="006257B1" w:rsidRPr="003A4AEC">
        <w:t xml:space="preserve">, assuming Order No. 1920-A’s compliance </w:t>
      </w:r>
      <w:r w:rsidR="006257B1" w:rsidRPr="003A4AEC">
        <w:lastRenderedPageBreak/>
        <w:t>requirements implicate transmission providers’ First Amendment rights</w:t>
      </w:r>
      <w:r w:rsidR="006257B1">
        <w:t xml:space="preserve"> at all</w:t>
      </w:r>
      <w:r w:rsidR="006257B1" w:rsidRPr="003A4AEC">
        <w:t>, the less demanding standard applied to commercial speech</w:t>
      </w:r>
      <w:r w:rsidR="00CF462B">
        <w:t xml:space="preserve"> set forth in</w:t>
      </w:r>
      <w:r w:rsidR="006257B1" w:rsidRPr="003A4AEC">
        <w:t xml:space="preserve"> </w:t>
      </w:r>
      <w:r w:rsidR="006257B1" w:rsidRPr="00AC0E11">
        <w:rPr>
          <w:i/>
          <w:iCs/>
        </w:rPr>
        <w:t>Central Hudson</w:t>
      </w:r>
      <w:r w:rsidR="006257B1" w:rsidRPr="003A4AEC">
        <w:t>,</w:t>
      </w:r>
      <w:r w:rsidR="006257B1" w:rsidDel="000C5903">
        <w:rPr>
          <w:rStyle w:val="FootnoteReference"/>
        </w:rPr>
        <w:t xml:space="preserve"> </w:t>
      </w:r>
      <w:r w:rsidR="006257B1" w:rsidRPr="003A4AEC">
        <w:t xml:space="preserve">should apply to the requirement that transmission providers include Relevant State Entities’ agreed-upon Long-Term Regional Transmission Cost Allocation Method(s) and/or State Agreement Process in their compliance filings given </w:t>
      </w:r>
      <w:r w:rsidR="00CF462B">
        <w:t xml:space="preserve">that </w:t>
      </w:r>
      <w:r w:rsidR="006257B1" w:rsidRPr="003A4AEC">
        <w:t>these requirements “relate[ ] solely to [transmission providers’] economic interests.”</w:t>
      </w:r>
      <w:r w:rsidR="006257B1" w:rsidRPr="003A4AEC">
        <w:rPr>
          <w:rStyle w:val="FootnoteReference"/>
        </w:rPr>
        <w:footnoteReference w:id="356"/>
      </w:r>
      <w:r w:rsidR="006257B1">
        <w:t xml:space="preserve">  Furthermore, we find that this requirement satisfies </w:t>
      </w:r>
      <w:r w:rsidR="006257B1" w:rsidRPr="00AC0E11">
        <w:rPr>
          <w:i/>
          <w:iCs/>
        </w:rPr>
        <w:t>Central Hudson</w:t>
      </w:r>
      <w:r w:rsidR="006257B1">
        <w:t xml:space="preserve">.  </w:t>
      </w:r>
      <w:r w:rsidR="007B3E8B">
        <w:t xml:space="preserve">Under </w:t>
      </w:r>
      <w:r w:rsidR="007B3E8B">
        <w:rPr>
          <w:i/>
          <w:iCs/>
        </w:rPr>
        <w:t xml:space="preserve">Central </w:t>
      </w:r>
      <w:r w:rsidR="007B3E8B" w:rsidRPr="007B3E8B">
        <w:rPr>
          <w:i/>
          <w:iCs/>
        </w:rPr>
        <w:t>Hudson</w:t>
      </w:r>
      <w:r w:rsidR="007B3E8B">
        <w:t xml:space="preserve">, </w:t>
      </w:r>
      <w:r w:rsidR="00D932A7">
        <w:t>the Supreme Court undertakes a four-part analysis to determine whether a regulation that infringes on an entity’s First Amendment rights is unconstitutional:</w:t>
      </w:r>
      <w:r w:rsidR="007B3E8B">
        <w:t xml:space="preserve"> </w:t>
      </w:r>
    </w:p>
    <w:p w14:paraId="70F48704" w14:textId="276159E0" w:rsidR="00D932A7" w:rsidRDefault="00D932A7" w:rsidP="0064288D">
      <w:pPr>
        <w:pStyle w:val="FERCparanumber"/>
        <w:numPr>
          <w:ilvl w:val="0"/>
          <w:numId w:val="0"/>
        </w:numPr>
        <w:spacing w:after="240" w:line="240" w:lineRule="auto"/>
        <w:ind w:left="1440" w:right="1440"/>
      </w:pPr>
      <w:r w:rsidRPr="00D932A7">
        <w:t xml:space="preserve">At the outset, we must determine whether the expression is protected by the First Amendment. </w:t>
      </w:r>
      <w:r w:rsidR="00B734C1">
        <w:t xml:space="preserve"> </w:t>
      </w:r>
      <w:r w:rsidRPr="00D932A7">
        <w:t xml:space="preserve">For commercial speech to come within that provision, it at least must concern lawful activity and not be misleading. </w:t>
      </w:r>
      <w:r w:rsidR="00B734C1">
        <w:t xml:space="preserve"> </w:t>
      </w:r>
      <w:r w:rsidRPr="00D932A7">
        <w:t xml:space="preserve">Next, we ask whether the asserted governmental interest is substantial. </w:t>
      </w:r>
      <w:r w:rsidR="00B734C1">
        <w:t xml:space="preserve"> </w:t>
      </w:r>
      <w:r w:rsidRPr="00D932A7">
        <w:t xml:space="preserve">If both inquiries yield positive answers, we must determine whether the regulation directly advances the governmental interest </w:t>
      </w:r>
      <w:r w:rsidRPr="00D932A7">
        <w:lastRenderedPageBreak/>
        <w:t>asserted, and whether it is not more extensive than is necessary to serve that interest.</w:t>
      </w:r>
      <w:r w:rsidR="007F5412">
        <w:rPr>
          <w:rStyle w:val="FootnoteReference"/>
        </w:rPr>
        <w:footnoteReference w:id="357"/>
      </w:r>
    </w:p>
    <w:p w14:paraId="6B4E1199" w14:textId="6832097E" w:rsidR="006257B1" w:rsidRDefault="007F5412" w:rsidP="006257B1">
      <w:pPr>
        <w:pStyle w:val="FERCparanumber"/>
      </w:pPr>
      <w:r>
        <w:t>First, t</w:t>
      </w:r>
      <w:r w:rsidR="006257B1">
        <w:t xml:space="preserve">he Commission has a substantial interest </w:t>
      </w:r>
      <w:r w:rsidR="006257B1" w:rsidRPr="00300238">
        <w:t xml:space="preserve">in </w:t>
      </w:r>
      <w:r w:rsidR="00AD2067" w:rsidRPr="00300238">
        <w:t>monitoring</w:t>
      </w:r>
      <w:r w:rsidR="00130440" w:rsidRPr="00300238">
        <w:t xml:space="preserve"> tr</w:t>
      </w:r>
      <w:r w:rsidR="0015625B" w:rsidRPr="00300238">
        <w:t>ansmission providers</w:t>
      </w:r>
      <w:r w:rsidR="00AD2067" w:rsidRPr="00300238">
        <w:t>’</w:t>
      </w:r>
      <w:r w:rsidR="0015625B" w:rsidRPr="00300238">
        <w:t xml:space="preserve"> comp</w:t>
      </w:r>
      <w:r w:rsidR="00AD2067" w:rsidRPr="00300238">
        <w:t>liance</w:t>
      </w:r>
      <w:r w:rsidR="0015625B" w:rsidRPr="00300238">
        <w:t xml:space="preserve"> with the requirements concerning</w:t>
      </w:r>
      <w:r w:rsidR="00710303" w:rsidRPr="00300238">
        <w:t xml:space="preserve"> the Engagement Period</w:t>
      </w:r>
      <w:r w:rsidR="006257B1" w:rsidRPr="00300238">
        <w:t>,</w:t>
      </w:r>
      <w:r w:rsidR="00E07C07" w:rsidRPr="00300238">
        <w:t xml:space="preserve"> being </w:t>
      </w:r>
      <w:r w:rsidR="00BF39F0" w:rsidRPr="00300238">
        <w:t>able t</w:t>
      </w:r>
      <w:r w:rsidR="001B705C" w:rsidRPr="00300238">
        <w:t>o efficiently</w:t>
      </w:r>
      <w:r w:rsidR="004F599F" w:rsidRPr="00300238">
        <w:t xml:space="preserve"> consider the views of both Relevant State Entities</w:t>
      </w:r>
      <w:r w:rsidR="00CC1A96" w:rsidRPr="00300238">
        <w:t xml:space="preserve"> and transmission providers</w:t>
      </w:r>
      <w:r w:rsidR="001B3180" w:rsidRPr="00300238">
        <w:t>,</w:t>
      </w:r>
      <w:r w:rsidR="00AD2067" w:rsidRPr="00300238">
        <w:t xml:space="preserve"> and ensuring that</w:t>
      </w:r>
      <w:r w:rsidR="006257B1">
        <w:t xml:space="preserve"> when setting the replacement rate on compliance,</w:t>
      </w:r>
      <w:r w:rsidR="006257B1" w:rsidRPr="003A4AEC">
        <w:t xml:space="preserve"> the record before </w:t>
      </w:r>
      <w:r w:rsidR="00DC0C11">
        <w:t xml:space="preserve">it </w:t>
      </w:r>
      <w:r w:rsidR="006257B1" w:rsidRPr="003A4AEC">
        <w:t>includes Relevant State Entities’ views concerning how the cost of Long-Term Regional Transmission Facilities will be allocated</w:t>
      </w:r>
      <w:r w:rsidR="006257B1">
        <w:t>,</w:t>
      </w:r>
      <w:r w:rsidR="006257B1">
        <w:rPr>
          <w:rStyle w:val="FootnoteReference"/>
        </w:rPr>
        <w:footnoteReference w:id="358"/>
      </w:r>
      <w:r w:rsidR="006257B1">
        <w:t xml:space="preserve"> and </w:t>
      </w:r>
      <w:r w:rsidR="006257B1" w:rsidRPr="003A4AEC">
        <w:t xml:space="preserve">the Commission directly </w:t>
      </w:r>
      <w:r w:rsidR="006257B1">
        <w:t xml:space="preserve">and materially </w:t>
      </w:r>
      <w:r w:rsidR="006257B1" w:rsidRPr="003A4AEC">
        <w:t xml:space="preserve">advances </w:t>
      </w:r>
      <w:r w:rsidR="006257B1">
        <w:t>that</w:t>
      </w:r>
      <w:r w:rsidR="006257B1" w:rsidRPr="003A4AEC">
        <w:t xml:space="preserve"> substantial interest by requiring that transmission providers document those views in their compliance filings</w:t>
      </w:r>
      <w:r w:rsidR="006257B1">
        <w:t>.</w:t>
      </w:r>
      <w:r w:rsidR="006257B1">
        <w:rPr>
          <w:rStyle w:val="FootnoteReference"/>
        </w:rPr>
        <w:footnoteReference w:id="359"/>
      </w:r>
      <w:r w:rsidR="006257B1">
        <w:t xml:space="preserve">  Additionally, Order No. 1920-A </w:t>
      </w:r>
      <w:r w:rsidR="006257B1" w:rsidRPr="003A4AEC">
        <w:t>is not more extensive than is necessary</w:t>
      </w:r>
      <w:r w:rsidR="006257B1">
        <w:t xml:space="preserve"> to serve the Commission’s substantial interest because it requires </w:t>
      </w:r>
      <w:r w:rsidR="002F6A7D">
        <w:t xml:space="preserve">only </w:t>
      </w:r>
      <w:r w:rsidR="006257B1">
        <w:t>the attachment of one or more files, containing the information provided by Relevant State Entities, to transmission providers’ proposal</w:t>
      </w:r>
      <w:r w:rsidR="004C4F7C">
        <w:t xml:space="preserve"> </w:t>
      </w:r>
      <w:r w:rsidR="004C4F7C" w:rsidRPr="004C4F7C">
        <w:t>and does not require that transmission providers separately characterize any of this information.</w:t>
      </w:r>
      <w:r w:rsidR="004C4F7C" w:rsidRPr="004C4F7C">
        <w:rPr>
          <w:b/>
          <w:vertAlign w:val="superscript"/>
        </w:rPr>
        <w:footnoteReference w:id="360"/>
      </w:r>
    </w:p>
    <w:p w14:paraId="48F70AA3" w14:textId="3159CB4C" w:rsidR="009F77B3" w:rsidRDefault="0099325E" w:rsidP="00855574">
      <w:pPr>
        <w:pStyle w:val="Heading2"/>
      </w:pPr>
      <w:r>
        <w:lastRenderedPageBreak/>
        <w:t>Consultation with Relevant State Entities</w:t>
      </w:r>
      <w:r w:rsidR="00550C5E">
        <w:t xml:space="preserve"> After the Engagement Period</w:t>
      </w:r>
    </w:p>
    <w:p w14:paraId="22AA82F2" w14:textId="7D7F7559" w:rsidR="00550C5E" w:rsidRDefault="00550C5E" w:rsidP="00855574">
      <w:pPr>
        <w:pStyle w:val="Heading3"/>
      </w:pPr>
      <w:r>
        <w:t>Order No</w:t>
      </w:r>
      <w:r w:rsidR="005C7039">
        <w:t>s</w:t>
      </w:r>
      <w:r>
        <w:t>.</w:t>
      </w:r>
      <w:r w:rsidR="005C7039">
        <w:t xml:space="preserve"> 1920 and</w:t>
      </w:r>
      <w:r>
        <w:t> 1920-A</w:t>
      </w:r>
    </w:p>
    <w:p w14:paraId="637E808F" w14:textId="1DC5D284" w:rsidR="00164793" w:rsidRPr="00164793" w:rsidRDefault="00020136" w:rsidP="00164793">
      <w:pPr>
        <w:pStyle w:val="FERCparanumber"/>
      </w:pPr>
      <w:r w:rsidRPr="00020136">
        <w:t>In Order No. 1920, the Commission declined to require future Engagement Periods but noted that transmission providers may hold future Engagement Periods if they believe that such periods would be beneficial.</w:t>
      </w:r>
      <w:r w:rsidRPr="00020136">
        <w:rPr>
          <w:b/>
          <w:vertAlign w:val="superscript"/>
        </w:rPr>
        <w:footnoteReference w:id="361"/>
      </w:r>
    </w:p>
    <w:p w14:paraId="40A892E6" w14:textId="12A5E876" w:rsidR="00550C5E" w:rsidRDefault="005379EF" w:rsidP="00550C5E">
      <w:pPr>
        <w:pStyle w:val="FERCparanumber"/>
      </w:pPr>
      <w:r>
        <w:t xml:space="preserve">In Order No. 1920-A, the Commission </w:t>
      </w:r>
      <w:r w:rsidR="00ED4C61" w:rsidRPr="00ED4C61">
        <w:t>set aside Order No. 1920, in part, and require</w:t>
      </w:r>
      <w:r w:rsidR="00ED4C61">
        <w:t>d</w:t>
      </w:r>
      <w:r w:rsidR="00ED4C61" w:rsidRPr="00ED4C61">
        <w:t xml:space="preserve"> that, as part of transmission providers’ obligations with respect to transmission planning and cost allocation, transmission providers shall consult with Relevant State Entities</w:t>
      </w:r>
      <w:r w:rsidR="00AF40A2">
        <w:t xml:space="preserve">:  </w:t>
      </w:r>
      <w:r w:rsidR="00ED4C61" w:rsidRPr="00ED4C61">
        <w:t>(1)</w:t>
      </w:r>
      <w:r w:rsidR="00D719CE">
        <w:t> </w:t>
      </w:r>
      <w:r w:rsidR="00ED4C61" w:rsidRPr="00ED4C61">
        <w:t>prior to amending the Long-Term Regional Transmission Cost Allocation Method(s) and/or State Agreement Process</w:t>
      </w:r>
      <w:r w:rsidR="00A361E0">
        <w:t>;</w:t>
      </w:r>
      <w:r w:rsidR="00ED4C61" w:rsidRPr="00ED4C61">
        <w:t xml:space="preserve"> or (2)</w:t>
      </w:r>
      <w:r w:rsidR="00D719CE">
        <w:t> </w:t>
      </w:r>
      <w:r w:rsidR="00ED4C61" w:rsidRPr="00ED4C61">
        <w:t>if Relevant State Entities seek, consistent with their chosen method to reach agreement, for the transmission provider to amend that method</w:t>
      </w:r>
      <w:r w:rsidR="005810E6" w:rsidRPr="006C7114">
        <w:t>(s)</w:t>
      </w:r>
      <w:r w:rsidR="00ED4C61" w:rsidRPr="00ED4C61">
        <w:t xml:space="preserve"> or process.</w:t>
      </w:r>
      <w:r w:rsidR="00BA73AB">
        <w:rPr>
          <w:rStyle w:val="FootnoteReference"/>
        </w:rPr>
        <w:footnoteReference w:id="362"/>
      </w:r>
      <w:r w:rsidR="00ED4C61" w:rsidRPr="00ED4C61">
        <w:t xml:space="preserve">  The</w:t>
      </w:r>
      <w:r w:rsidR="00ED4C61">
        <w:t xml:space="preserve"> Commission found that the</w:t>
      </w:r>
      <w:r w:rsidR="00ED4C61" w:rsidRPr="00ED4C61">
        <w:t xml:space="preserve"> consultation requirement will provide a mechanism through which transmission providers and Relevant State Entities can engage </w:t>
      </w:r>
      <w:r w:rsidR="006D42C9">
        <w:t xml:space="preserve">with each other </w:t>
      </w:r>
      <w:r w:rsidR="00ED4C61" w:rsidRPr="00ED4C61">
        <w:t xml:space="preserve">regarding possible future </w:t>
      </w:r>
      <w:r w:rsidR="00FE091C">
        <w:t xml:space="preserve">FPA </w:t>
      </w:r>
      <w:r w:rsidR="00AF40A2">
        <w:t xml:space="preserve">          </w:t>
      </w:r>
      <w:r w:rsidR="00EF494B">
        <w:lastRenderedPageBreak/>
        <w:t xml:space="preserve">section </w:t>
      </w:r>
      <w:r w:rsidR="00FE091C">
        <w:t xml:space="preserve">205 filings that seek to </w:t>
      </w:r>
      <w:r w:rsidR="00ED4C61" w:rsidRPr="00ED4C61">
        <w:t>change cost allocation methods accepted by the Commission in compliance with Order No. 1920.</w:t>
      </w:r>
      <w:r w:rsidR="00ED4C61" w:rsidRPr="00ED4C61">
        <w:rPr>
          <w:b/>
          <w:vertAlign w:val="superscript"/>
        </w:rPr>
        <w:footnoteReference w:id="363"/>
      </w:r>
      <w:r w:rsidR="00ED4C61" w:rsidRPr="00ED4C61">
        <w:t xml:space="preserve">  </w:t>
      </w:r>
      <w:r w:rsidR="0064079F">
        <w:t>The Commission further</w:t>
      </w:r>
      <w:r w:rsidR="00ED4C61" w:rsidRPr="00ED4C61">
        <w:t xml:space="preserve"> require</w:t>
      </w:r>
      <w:r w:rsidR="0064079F">
        <w:t>d</w:t>
      </w:r>
      <w:r w:rsidR="00ED4C61" w:rsidRPr="00ED4C61">
        <w:t xml:space="preserve"> transmission providers to include in their OATTs a description of how they will consult with Relevant State Entities in these circumstances.  Additionally, for a consultation initiated by </w:t>
      </w:r>
      <w:r w:rsidR="00446082">
        <w:t>a</w:t>
      </w:r>
      <w:r w:rsidR="00ED4C61" w:rsidRPr="00ED4C61">
        <w:t xml:space="preserve"> transmission provider, </w:t>
      </w:r>
      <w:r w:rsidR="0064079F">
        <w:t>the Commission</w:t>
      </w:r>
      <w:r w:rsidR="00ED4C61" w:rsidRPr="00ED4C61">
        <w:t xml:space="preserve"> require</w:t>
      </w:r>
      <w:r w:rsidR="0064079F">
        <w:t>d</w:t>
      </w:r>
      <w:r w:rsidR="00ED4C61" w:rsidRPr="00ED4C61">
        <w:t xml:space="preserve"> </w:t>
      </w:r>
      <w:r w:rsidR="00446082">
        <w:t xml:space="preserve">the </w:t>
      </w:r>
      <w:r w:rsidR="00ED4C61" w:rsidRPr="00ED4C61">
        <w:t>transmission provider to document publicly on their OASIS or other public website the results of their consultation with Relevant State Entities prior to filing their amendment.  For a consultation initiated by Relevant State Entities, if the transmission provider choose</w:t>
      </w:r>
      <w:r w:rsidR="00581AB3">
        <w:t>s</w:t>
      </w:r>
      <w:r w:rsidR="00ED4C61" w:rsidRPr="00ED4C61">
        <w:t xml:space="preserve"> not to propose any amendments to the Long-Term Regional Transmission Cost Allocation Method(s) and/or State Agreement Process preferred by Relevant State Entities during the required consultation, </w:t>
      </w:r>
      <w:r w:rsidR="0064079F">
        <w:t>the Commission</w:t>
      </w:r>
      <w:r w:rsidR="00ED4C61" w:rsidRPr="00ED4C61">
        <w:t xml:space="preserve"> also require</w:t>
      </w:r>
      <w:r w:rsidR="00BF648F">
        <w:t>d</w:t>
      </w:r>
      <w:r w:rsidR="00ED4C61" w:rsidRPr="00ED4C61">
        <w:t xml:space="preserve"> </w:t>
      </w:r>
      <w:r w:rsidR="00E8753A">
        <w:t xml:space="preserve">the </w:t>
      </w:r>
      <w:r w:rsidR="00ED4C61" w:rsidRPr="00ED4C61">
        <w:t>transmission provider to document publicly on their OASIS or other public website the results of their consultation with Relevant State Entities, including an explanation for why they have chosen not to propose any amendments.</w:t>
      </w:r>
      <w:r w:rsidR="00F95D47">
        <w:rPr>
          <w:rStyle w:val="FootnoteReference"/>
        </w:rPr>
        <w:footnoteReference w:id="364"/>
      </w:r>
    </w:p>
    <w:p w14:paraId="79E8BBA3" w14:textId="018808E0" w:rsidR="00BF648F" w:rsidRDefault="0050473F" w:rsidP="00550C5E">
      <w:pPr>
        <w:pStyle w:val="FERCparanumber"/>
      </w:pPr>
      <w:r>
        <w:t xml:space="preserve">The Commission found that </w:t>
      </w:r>
      <w:r w:rsidR="00B74840" w:rsidRPr="00B74840">
        <w:t xml:space="preserve">these requirements will ensure that states have the opportunity to be involved in establishing cost allocation methods for Long-Term Regional Transmission Facilities subsequent to the Commission’s acceptance of </w:t>
      </w:r>
      <w:r w:rsidR="00B74840" w:rsidRPr="00B74840">
        <w:lastRenderedPageBreak/>
        <w:t>transmission providers’ filings made in compliance with Order No. 1920, which has the potential to minimize additional costs and delays in the siting process and to facilitate the development of Long-Term Regional Transmission Facilities.</w:t>
      </w:r>
      <w:r w:rsidR="00B74840" w:rsidRPr="00B74840">
        <w:rPr>
          <w:b/>
          <w:vertAlign w:val="superscript"/>
        </w:rPr>
        <w:footnoteReference w:id="365"/>
      </w:r>
      <w:r w:rsidR="00B74840" w:rsidRPr="00B74840">
        <w:t xml:space="preserve">  </w:t>
      </w:r>
      <w:r w:rsidR="00E06769">
        <w:t>The Commission noted that</w:t>
      </w:r>
      <w:r w:rsidR="00883B77">
        <w:t>,</w:t>
      </w:r>
      <w:r w:rsidR="00E06769">
        <w:t xml:space="preserve"> while</w:t>
      </w:r>
      <w:r w:rsidR="00B74840" w:rsidRPr="00B74840">
        <w:t xml:space="preserve"> </w:t>
      </w:r>
      <w:r w:rsidR="00E06769">
        <w:t>it</w:t>
      </w:r>
      <w:r w:rsidR="00B74840" w:rsidRPr="00B74840">
        <w:t xml:space="preserve"> provide</w:t>
      </w:r>
      <w:r w:rsidR="00E06769">
        <w:t>d</w:t>
      </w:r>
      <w:r w:rsidR="00B74840" w:rsidRPr="00B74840">
        <w:t xml:space="preserve"> transmission providers </w:t>
      </w:r>
      <w:r w:rsidR="001B4E22">
        <w:t xml:space="preserve">with </w:t>
      </w:r>
      <w:r w:rsidR="00B74840" w:rsidRPr="00B74840">
        <w:t>flexibility as to the form and duration of their required consultation with Relevant State Entities, one way transmission providers could satisfy the requirement to consult with Relevant State Entities is by revising their OATTs to include a process under which the transmission provider must present to the Commission, in addition to its own FPA section 205 proposal, an alternative cost allocation method proposed by Relevant State Entities for evaluation by the Commission on equal footing.</w:t>
      </w:r>
      <w:r w:rsidR="00B74840" w:rsidRPr="00B74840">
        <w:rPr>
          <w:b/>
          <w:vertAlign w:val="superscript"/>
        </w:rPr>
        <w:footnoteReference w:id="366"/>
      </w:r>
      <w:r w:rsidR="00B74840" w:rsidRPr="00B74840">
        <w:t xml:space="preserve">  </w:t>
      </w:r>
      <w:r w:rsidR="00E06769">
        <w:t>The Commission noted that t</w:t>
      </w:r>
      <w:r w:rsidR="00B74840" w:rsidRPr="00B74840">
        <w:t>ransmission providers could also satisfy the requirement to consult with Relevant State Entities by revising their OATTs to include mechanisms similar to those used in SPP</w:t>
      </w:r>
      <w:r w:rsidR="0011507D">
        <w:rPr>
          <w:rStyle w:val="FootnoteReference"/>
        </w:rPr>
        <w:footnoteReference w:id="367"/>
      </w:r>
      <w:r w:rsidR="00B74840" w:rsidRPr="00B74840">
        <w:t xml:space="preserve"> and MISO.</w:t>
      </w:r>
      <w:r w:rsidR="00B74840" w:rsidRPr="00B74840">
        <w:rPr>
          <w:b/>
          <w:vertAlign w:val="superscript"/>
        </w:rPr>
        <w:footnoteReference w:id="368"/>
      </w:r>
    </w:p>
    <w:p w14:paraId="4FB8B5D8" w14:textId="4058C5BF" w:rsidR="00550C5E" w:rsidRDefault="00B655C5" w:rsidP="00855574">
      <w:pPr>
        <w:pStyle w:val="Heading3"/>
      </w:pPr>
      <w:r>
        <w:lastRenderedPageBreak/>
        <w:t>Challenges to Order No. 1920-A</w:t>
      </w:r>
    </w:p>
    <w:p w14:paraId="5E410B99" w14:textId="7B1AEA68" w:rsidR="00550C5E" w:rsidRDefault="004E4BA4" w:rsidP="004E4BA4">
      <w:pPr>
        <w:pStyle w:val="Heading4"/>
      </w:pPr>
      <w:r>
        <w:t>Sta</w:t>
      </w:r>
      <w:r w:rsidR="00C15ADE">
        <w:t xml:space="preserve">tutory </w:t>
      </w:r>
      <w:r w:rsidR="00CE75B4">
        <w:t>Filing Rights U</w:t>
      </w:r>
      <w:r w:rsidR="0009108A">
        <w:t>nder the FPA</w:t>
      </w:r>
    </w:p>
    <w:p w14:paraId="684E74C7" w14:textId="2CCAE9A7" w:rsidR="00B655C5" w:rsidRDefault="00B655C5" w:rsidP="0036110B">
      <w:pPr>
        <w:pStyle w:val="Heading5"/>
      </w:pPr>
      <w:r>
        <w:t>Rehearing Requests</w:t>
      </w:r>
    </w:p>
    <w:p w14:paraId="26ED3105" w14:textId="0D0921AC" w:rsidR="00F369AF" w:rsidRDefault="00F369AF" w:rsidP="00F369AF">
      <w:pPr>
        <w:pStyle w:val="FERCparanumber"/>
      </w:pPr>
      <w:r w:rsidRPr="00F369AF">
        <w:t>Several</w:t>
      </w:r>
      <w:r>
        <w:t xml:space="preserve"> rehearing </w:t>
      </w:r>
      <w:r w:rsidR="000A0031">
        <w:t>petitioners</w:t>
      </w:r>
      <w:r>
        <w:t xml:space="preserve"> argue that the consultation requirement unlawfully impinges on transmission providers’ FPA section 205 filing rights by conditioning the exercise of those rights on consultation with Relevant State Entities before filing a proposed tariff amendment.</w:t>
      </w:r>
      <w:r>
        <w:rPr>
          <w:rStyle w:val="FootnoteReference"/>
        </w:rPr>
        <w:footnoteReference w:id="369"/>
      </w:r>
      <w:r>
        <w:t xml:space="preserve">  They argue that FPA section 205 is intended for the benefit of the </w:t>
      </w:r>
      <w:r w:rsidR="004D20CE">
        <w:t xml:space="preserve">public </w:t>
      </w:r>
      <w:r>
        <w:t xml:space="preserve">utilities, that this provision provides </w:t>
      </w:r>
      <w:r w:rsidR="006D765F">
        <w:t xml:space="preserve">public utilities </w:t>
      </w:r>
      <w:r w:rsidR="00CB5B5F">
        <w:t xml:space="preserve">with </w:t>
      </w:r>
      <w:r>
        <w:t>the unilateral and exclusive right to make filings setting their rates (subject to Commission approval), and that the Commission cannot encumber this right by conditioning it on such consultation.</w:t>
      </w:r>
      <w:r>
        <w:rPr>
          <w:rStyle w:val="FootnoteReference"/>
        </w:rPr>
        <w:footnoteReference w:id="370"/>
      </w:r>
      <w:r>
        <w:t xml:space="preserve">  In support,</w:t>
      </w:r>
      <w:r w:rsidR="00673AD3">
        <w:t xml:space="preserve"> </w:t>
      </w:r>
      <w:r w:rsidR="000759D2">
        <w:t xml:space="preserve">some </w:t>
      </w:r>
      <w:r w:rsidR="0007282A">
        <w:t xml:space="preserve">rehearing petitioners </w:t>
      </w:r>
      <w:r>
        <w:t xml:space="preserve">cite </w:t>
      </w:r>
      <w:r w:rsidRPr="00DD77BB">
        <w:rPr>
          <w:i/>
          <w:iCs/>
        </w:rPr>
        <w:t>Atlantic City I</w:t>
      </w:r>
      <w:r>
        <w:t xml:space="preserve"> as reflecting that the Commission cannot abridge the statutory rights afforded to public utilities by Congress</w:t>
      </w:r>
      <w:r w:rsidRPr="00EF494B">
        <w:t>.</w:t>
      </w:r>
      <w:r w:rsidRPr="00EF494B">
        <w:rPr>
          <w:rStyle w:val="FootnoteReference"/>
        </w:rPr>
        <w:footnoteReference w:id="371"/>
      </w:r>
      <w:r w:rsidRPr="00EF494B">
        <w:t xml:space="preserve">  MISO TOs, SPP TOs, and WIRES also rely on </w:t>
      </w:r>
      <w:r w:rsidR="00394CA6" w:rsidRPr="00EF494B">
        <w:t>a</w:t>
      </w:r>
      <w:r w:rsidR="00B53FBC" w:rsidRPr="00EF494B">
        <w:t xml:space="preserve"> statement </w:t>
      </w:r>
      <w:r w:rsidR="00394CA6" w:rsidRPr="00EF494B">
        <w:t>in</w:t>
      </w:r>
      <w:r w:rsidR="00B53FBC" w:rsidRPr="00EF494B">
        <w:t xml:space="preserve"> </w:t>
      </w:r>
      <w:r w:rsidRPr="00EF494B">
        <w:rPr>
          <w:i/>
        </w:rPr>
        <w:t xml:space="preserve">City of </w:t>
      </w:r>
      <w:r w:rsidRPr="00EF494B">
        <w:rPr>
          <w:i/>
        </w:rPr>
        <w:lastRenderedPageBreak/>
        <w:t>Cleveland v. Federal Power Commission</w:t>
      </w:r>
      <w:r w:rsidRPr="00EF494B" w:rsidDel="004135FD">
        <w:t xml:space="preserve"> </w:t>
      </w:r>
      <w:r w:rsidRPr="00EF494B">
        <w:t xml:space="preserve">that a </w:t>
      </w:r>
      <w:r w:rsidR="005C582E" w:rsidRPr="00EF494B">
        <w:t xml:space="preserve">public </w:t>
      </w:r>
      <w:r w:rsidRPr="00EF494B">
        <w:t>utility “may, without negotiation or consultation with anyone, set the rates it will charge prospective customers, and change them at will, so long as they have not been set aside by the Commission on grounds of inconsistency with the [FPA].”</w:t>
      </w:r>
      <w:r w:rsidRPr="00EF494B">
        <w:rPr>
          <w:rStyle w:val="FootnoteReference"/>
        </w:rPr>
        <w:footnoteReference w:id="372"/>
      </w:r>
      <w:r>
        <w:t xml:space="preserve">  </w:t>
      </w:r>
    </w:p>
    <w:p w14:paraId="0BE1F349" w14:textId="20DC6E4A" w:rsidR="000465AC" w:rsidRDefault="000465AC" w:rsidP="000465AC">
      <w:pPr>
        <w:pStyle w:val="FERCparanumber"/>
      </w:pPr>
      <w:r w:rsidRPr="000465AC">
        <w:t>MISO</w:t>
      </w:r>
      <w:r>
        <w:t xml:space="preserve"> TOs argue that the requirement that transmission providers consult with Relevant State Entities </w:t>
      </w:r>
      <w:r w:rsidRPr="009354CC">
        <w:t>prior to amending the Long-Term Regional Transmission Cost Allocation Method(s) and/or State Agreement Process</w:t>
      </w:r>
      <w:r>
        <w:t xml:space="preserve"> “</w:t>
      </w:r>
      <w:r w:rsidRPr="00931269">
        <w:t xml:space="preserve">encumbers the transmission providers’ ability to exercise their FPA section 205 rights to amend their tariffs </w:t>
      </w:r>
      <w:r>
        <w:t>‘</w:t>
      </w:r>
      <w:r w:rsidRPr="00931269">
        <w:t>at any time</w:t>
      </w:r>
      <w:r>
        <w:t>.’”</w:t>
      </w:r>
      <w:r>
        <w:rPr>
          <w:rStyle w:val="FootnoteReference"/>
        </w:rPr>
        <w:footnoteReference w:id="373"/>
      </w:r>
      <w:r>
        <w:t xml:space="preserve">  SPP TOs similarly argue that the Commission cannot “</w:t>
      </w:r>
      <w:proofErr w:type="spellStart"/>
      <w:r>
        <w:t>impos</w:t>
      </w:r>
      <w:proofErr w:type="spellEnd"/>
      <w:r>
        <w:t>[e]</w:t>
      </w:r>
      <w:r w:rsidRPr="00445E42">
        <w:t xml:space="preserve"> pre-conditions that could delay section 205 filings, potentially for an</w:t>
      </w:r>
      <w:r>
        <w:t xml:space="preserve"> </w:t>
      </w:r>
      <w:r w:rsidRPr="00445E42">
        <w:t>indefinite time</w:t>
      </w:r>
      <w:r>
        <w:t>.”</w:t>
      </w:r>
      <w:r>
        <w:rPr>
          <w:rStyle w:val="FootnoteReference"/>
        </w:rPr>
        <w:footnoteReference w:id="374"/>
      </w:r>
      <w:r>
        <w:t xml:space="preserve">  WIRES argues that this requirement is a pre-condition to transmission providers exercising their filing </w:t>
      </w:r>
      <w:r>
        <w:lastRenderedPageBreak/>
        <w:t>rights that is not contemplated under the statute which could, “[i]</w:t>
      </w:r>
      <w:r w:rsidRPr="00E40428">
        <w:t>n the extreme,</w:t>
      </w:r>
      <w:r w:rsidR="003E39FA">
        <w:t> </w:t>
      </w:r>
      <w:r>
        <w:t>.</w:t>
      </w:r>
      <w:r w:rsidR="003E39FA">
        <w:t> </w:t>
      </w:r>
      <w:r>
        <w:t>.</w:t>
      </w:r>
      <w:r w:rsidR="003E39FA">
        <w:t> </w:t>
      </w:r>
      <w:r>
        <w:t>.</w:t>
      </w:r>
      <w:r w:rsidRPr="00E40428">
        <w:t xml:space="preserve"> serve as a prohibition to a public utility’s ability to file revisions under FPA section 20</w:t>
      </w:r>
      <w:r>
        <w:t>5,” in contrast to the intent of the FPA to allow public utilities to act quickly and without obstacles.</w:t>
      </w:r>
      <w:r>
        <w:rPr>
          <w:rStyle w:val="FootnoteReference"/>
        </w:rPr>
        <w:footnoteReference w:id="375"/>
      </w:r>
    </w:p>
    <w:p w14:paraId="03694D1B" w14:textId="7CBF2D76" w:rsidR="00637BC6" w:rsidRPr="008B5926" w:rsidRDefault="00637BC6" w:rsidP="00637BC6">
      <w:pPr>
        <w:pStyle w:val="FERCparanumber"/>
      </w:pPr>
      <w:r w:rsidRPr="00637BC6">
        <w:t>EEI</w:t>
      </w:r>
      <w:r w:rsidRPr="008B5926">
        <w:t xml:space="preserve"> asserts that th</w:t>
      </w:r>
      <w:r w:rsidR="001B388D">
        <w:t>e</w:t>
      </w:r>
      <w:r w:rsidRPr="008B5926">
        <w:t xml:space="preserve"> consultation requirement impermissibly changes the Commission’s role from passively considering rate proposals to actively infringing upon public utilities’ exclusive power under </w:t>
      </w:r>
      <w:r w:rsidR="00ED51BE">
        <w:t xml:space="preserve">FPA </w:t>
      </w:r>
      <w:r w:rsidRPr="008B5926">
        <w:t>section 205 to initiate rate changes.</w:t>
      </w:r>
      <w:r w:rsidRPr="008B5926">
        <w:rPr>
          <w:b/>
          <w:vertAlign w:val="superscript"/>
        </w:rPr>
        <w:footnoteReference w:id="376"/>
      </w:r>
      <w:r w:rsidRPr="008B5926">
        <w:t xml:space="preserve">  EEI contends that the structure of th</w:t>
      </w:r>
      <w:r w:rsidR="00ED51BE">
        <w:t>e consultation</w:t>
      </w:r>
      <w:r w:rsidRPr="008B5926">
        <w:t xml:space="preserve"> requirement implicitly shows that the Commission recognizes </w:t>
      </w:r>
      <w:r w:rsidR="00D505CC">
        <w:t xml:space="preserve">that </w:t>
      </w:r>
      <w:r w:rsidRPr="008B5926">
        <w:t>it cannot reject a tariff filing by a public utility for failing to consult a Relevant State Entity.</w:t>
      </w:r>
      <w:r w:rsidRPr="008B5926">
        <w:rPr>
          <w:b/>
          <w:vertAlign w:val="superscript"/>
        </w:rPr>
        <w:footnoteReference w:id="377"/>
      </w:r>
    </w:p>
    <w:p w14:paraId="156EA5B7" w14:textId="70367C29" w:rsidR="003B6766" w:rsidRPr="006F7CF5" w:rsidRDefault="003B6766" w:rsidP="003B6766">
      <w:pPr>
        <w:pStyle w:val="FERCparanumber"/>
      </w:pPr>
      <w:r w:rsidRPr="003B6766">
        <w:t>A</w:t>
      </w:r>
      <w:r>
        <w:t xml:space="preserve"> number of the rehearing requests also argue that decisions by </w:t>
      </w:r>
      <w:r w:rsidR="0015745D">
        <w:t xml:space="preserve">public </w:t>
      </w:r>
      <w:r>
        <w:t xml:space="preserve">utilities to adopt a similar consultation mechanism in certain circumstances, allow greater state participation in </w:t>
      </w:r>
      <w:r w:rsidR="00D350BF">
        <w:t xml:space="preserve">regional </w:t>
      </w:r>
      <w:r>
        <w:t>transmission planning or cost allocation, or otherwise cede their FPA section</w:t>
      </w:r>
      <w:r w:rsidR="00A22076">
        <w:t> </w:t>
      </w:r>
      <w:r>
        <w:t xml:space="preserve">205 filing rights to other entities do not support the Commission’s decision </w:t>
      </w:r>
      <w:r w:rsidR="003A61FB">
        <w:t xml:space="preserve">here </w:t>
      </w:r>
      <w:r>
        <w:t>because those decisions were voluntary, rather than compelled by the Commission.</w:t>
      </w:r>
      <w:r>
        <w:rPr>
          <w:rStyle w:val="FootnoteReference"/>
        </w:rPr>
        <w:footnoteReference w:id="378"/>
      </w:r>
      <w:r>
        <w:t xml:space="preserve">  </w:t>
      </w:r>
      <w:r w:rsidRPr="006F7CF5">
        <w:t>EEI recommends that the Commission reconsider th</w:t>
      </w:r>
      <w:r w:rsidR="0015745D">
        <w:t>e</w:t>
      </w:r>
      <w:r w:rsidRPr="006F7CF5">
        <w:t xml:space="preserve"> consultation </w:t>
      </w:r>
      <w:r w:rsidRPr="006F7CF5">
        <w:lastRenderedPageBreak/>
        <w:t xml:space="preserve">requirement, </w:t>
      </w:r>
      <w:r w:rsidR="00B330FD">
        <w:t>averring that</w:t>
      </w:r>
      <w:r w:rsidR="00B330FD" w:rsidRPr="006F7CF5">
        <w:t xml:space="preserve"> </w:t>
      </w:r>
      <w:r w:rsidRPr="006F7CF5">
        <w:t>uncoerced, voluntary agreements</w:t>
      </w:r>
      <w:r w:rsidR="00B330FD">
        <w:t xml:space="preserve">, </w:t>
      </w:r>
      <w:r w:rsidR="00374AE3">
        <w:t>such as</w:t>
      </w:r>
      <w:r w:rsidR="00B330FD" w:rsidRPr="006F7CF5">
        <w:t xml:space="preserve"> when </w:t>
      </w:r>
      <w:r w:rsidR="00B330FD">
        <w:t>transmission owners in the MISO region</w:t>
      </w:r>
      <w:r w:rsidR="00B330FD" w:rsidRPr="006F7CF5">
        <w:t xml:space="preserve"> voluntarily ceded certain rights to the Organization of MISO States</w:t>
      </w:r>
      <w:r w:rsidR="00374AE3">
        <w:t xml:space="preserve"> in 2013,</w:t>
      </w:r>
      <w:r w:rsidRPr="006F7CF5">
        <w:t xml:space="preserve"> offer a lawful and more appropriate means of ensuring engagement between transmission providers and Relevant State Entities.</w:t>
      </w:r>
      <w:r w:rsidRPr="006F7CF5">
        <w:rPr>
          <w:b/>
          <w:vertAlign w:val="superscript"/>
        </w:rPr>
        <w:footnoteReference w:id="379"/>
      </w:r>
    </w:p>
    <w:p w14:paraId="60F97CA3" w14:textId="437FDFAE" w:rsidR="00A16F02" w:rsidRDefault="005C74F4" w:rsidP="00931B20">
      <w:pPr>
        <w:pStyle w:val="FERCparanumber"/>
      </w:pPr>
      <w:r w:rsidRPr="005C74F4">
        <w:t>MISO</w:t>
      </w:r>
      <w:r>
        <w:t xml:space="preserve"> TOs, Indicated PJM TOs, and SPP TOs contend that Order No. 1920-A is also inconsistent with the FPA in requiring, in certain circumstances, that transmission providers publicly document</w:t>
      </w:r>
      <w:r w:rsidRPr="00CC55B7">
        <w:t xml:space="preserve"> the results of their consultation</w:t>
      </w:r>
      <w:r w:rsidR="000C7524">
        <w:t>s</w:t>
      </w:r>
      <w:r w:rsidRPr="00CC55B7">
        <w:t xml:space="preserve"> with Relevant State Entities</w:t>
      </w:r>
      <w:r w:rsidR="00BC58FE">
        <w:t xml:space="preserve"> </w:t>
      </w:r>
      <w:r w:rsidR="00BC58FE" w:rsidRPr="00CC55B7">
        <w:t>on transmission providers</w:t>
      </w:r>
      <w:r w:rsidR="00BC58FE">
        <w:t>’</w:t>
      </w:r>
      <w:r w:rsidR="00BC58FE" w:rsidRPr="00CC55B7">
        <w:t xml:space="preserve"> OASIS or other public website</w:t>
      </w:r>
      <w:r w:rsidRPr="00CC55B7">
        <w:t>.</w:t>
      </w:r>
      <w:r>
        <w:rPr>
          <w:rStyle w:val="FootnoteReference"/>
        </w:rPr>
        <w:footnoteReference w:id="380"/>
      </w:r>
      <w:r>
        <w:t xml:space="preserve">  </w:t>
      </w:r>
      <w:r w:rsidR="00E01738">
        <w:t xml:space="preserve">In particular, </w:t>
      </w:r>
      <w:r>
        <w:t>SPP TOs assert that the Commission may not “</w:t>
      </w:r>
      <w:r w:rsidRPr="00A50B94">
        <w:t xml:space="preserve">require a public utility to justify a decision </w:t>
      </w:r>
      <w:r w:rsidRPr="005C74F4">
        <w:rPr>
          <w:i/>
          <w:iCs/>
        </w:rPr>
        <w:t xml:space="preserve">not </w:t>
      </w:r>
      <w:r w:rsidRPr="00A50B94">
        <w:t>to make</w:t>
      </w:r>
      <w:r>
        <w:t xml:space="preserve"> </w:t>
      </w:r>
      <w:r w:rsidRPr="00A50B94">
        <w:t>a section 205 filing when the filing decision is wholly voluntary under the FPA.</w:t>
      </w:r>
      <w:r>
        <w:t>”</w:t>
      </w:r>
      <w:r>
        <w:rPr>
          <w:rStyle w:val="FootnoteReference"/>
        </w:rPr>
        <w:footnoteReference w:id="381"/>
      </w:r>
      <w:r>
        <w:t xml:space="preserve">  </w:t>
      </w:r>
      <w:r w:rsidRPr="005D7B93">
        <w:t xml:space="preserve">Indicated PJM TOs argue, citing </w:t>
      </w:r>
      <w:r w:rsidRPr="005D7B93">
        <w:rPr>
          <w:i/>
        </w:rPr>
        <w:t>Atlantic City I</w:t>
      </w:r>
      <w:r w:rsidRPr="005D7B93">
        <w:t xml:space="preserve">, that “inherent in a public utility’s right to file to change its own rates under section 205 is its right to </w:t>
      </w:r>
      <w:r w:rsidRPr="005D7B93">
        <w:rPr>
          <w:i/>
        </w:rPr>
        <w:t xml:space="preserve">not </w:t>
      </w:r>
      <w:r w:rsidRPr="005D7B93">
        <w:t>change its own just and reasonable rates” and that “nothing in section 205 requires a utility to explain why it is not changing a just and reasonable rate.”</w:t>
      </w:r>
      <w:r w:rsidRPr="005D7B93">
        <w:rPr>
          <w:rStyle w:val="FootnoteReference"/>
        </w:rPr>
        <w:footnoteReference w:id="382"/>
      </w:r>
    </w:p>
    <w:p w14:paraId="0D1A6B69" w14:textId="12E5C78A" w:rsidR="00B655C5" w:rsidRDefault="00B655C5" w:rsidP="00B655C5">
      <w:pPr>
        <w:pStyle w:val="Heading5"/>
      </w:pPr>
      <w:r>
        <w:lastRenderedPageBreak/>
        <w:t>Commission Determination</w:t>
      </w:r>
    </w:p>
    <w:p w14:paraId="3B993055" w14:textId="05C36769" w:rsidR="00C566F1" w:rsidRDefault="00C566F1" w:rsidP="00C566F1">
      <w:pPr>
        <w:pStyle w:val="FERCparanumber"/>
      </w:pPr>
      <w:r w:rsidRPr="007929D2">
        <w:t xml:space="preserve">We </w:t>
      </w:r>
      <w:r>
        <w:t xml:space="preserve">disagree with the arguments that Order No. 1920-A’s cost allocation consultation requirement is unlawful because it infringes on or abridges transmission providers’ FPA section 205 filing rights.  The consultation requirement does not regulate transmission providers’ filing rights under FPA section </w:t>
      </w:r>
      <w:proofErr w:type="gramStart"/>
      <w:r>
        <w:t>205, but</w:t>
      </w:r>
      <w:proofErr w:type="gramEnd"/>
      <w:r>
        <w:t xml:space="preserve"> rather addresses the practices through which cost allocation </w:t>
      </w:r>
      <w:r w:rsidR="004A64E9">
        <w:t xml:space="preserve">methods </w:t>
      </w:r>
      <w:r>
        <w:t xml:space="preserve">for Long-Term Regional Transmission Facilities </w:t>
      </w:r>
      <w:r w:rsidR="004A64E9">
        <w:t>are developed</w:t>
      </w:r>
      <w:r>
        <w:t xml:space="preserve">, which is integrally tied to the likelihood of the </w:t>
      </w:r>
      <w:r w:rsidR="00031845">
        <w:t xml:space="preserve">construction </w:t>
      </w:r>
      <w:r>
        <w:t>of those facilities and their associated costs.</w:t>
      </w:r>
      <w:r>
        <w:rPr>
          <w:rStyle w:val="FootnoteReference"/>
        </w:rPr>
        <w:footnoteReference w:id="383"/>
      </w:r>
    </w:p>
    <w:p w14:paraId="7EE00AC3" w14:textId="2635622B" w:rsidR="00C566F1" w:rsidRDefault="00C566F1" w:rsidP="00C566F1">
      <w:pPr>
        <w:pStyle w:val="FERCparanumber"/>
      </w:pPr>
      <w:r>
        <w:t>In Order No. 1000, the Commission required—and the D.C. Circuit upheld—that transmission providers’ transmission planning processes “</w:t>
      </w:r>
      <w:r w:rsidRPr="002E4E12">
        <w:t xml:space="preserve">have a method for allocating </w:t>
      </w:r>
      <w:r w:rsidRPr="002E4E12">
        <w:rPr>
          <w:i/>
          <w:iCs/>
        </w:rPr>
        <w:t>ex ante</w:t>
      </w:r>
      <w:r w:rsidRPr="002E4E12">
        <w:t xml:space="preserve"> among beneficiaries the costs of new transmission facilities in the regional transmission plan, and the method must satisfy six regional cost allocation principles</w:t>
      </w:r>
      <w:r>
        <w:t>.</w:t>
      </w:r>
      <w:r w:rsidRPr="002E4E12">
        <w:t>”</w:t>
      </w:r>
      <w:r>
        <w:rPr>
          <w:rStyle w:val="FootnoteReference"/>
        </w:rPr>
        <w:footnoteReference w:id="384"/>
      </w:r>
      <w:r>
        <w:t xml:space="preserve">  In doing so, the Commission regulated not only the substantive content of such cost allocation methods (i.e., consistency with the six regional cost allocation principles), but also the very practice of developing cost allocation methods by “[r]</w:t>
      </w:r>
      <w:proofErr w:type="spellStart"/>
      <w:r>
        <w:t>eforming</w:t>
      </w:r>
      <w:proofErr w:type="spellEnd"/>
      <w:r>
        <w:t xml:space="preserve"> the practice</w:t>
      </w:r>
      <w:r w:rsidR="00E317A6">
        <w:t>[ </w:t>
      </w:r>
      <w:r>
        <w:t xml:space="preserve">] of failing to engage in . . . </w:t>
      </w:r>
      <w:proofErr w:type="spellStart"/>
      <w:r>
        <w:rPr>
          <w:i/>
          <w:iCs/>
        </w:rPr>
        <w:t>ex ante</w:t>
      </w:r>
      <w:proofErr w:type="spellEnd"/>
      <w:r>
        <w:t xml:space="preserve"> cost allocation.”</w:t>
      </w:r>
      <w:r>
        <w:rPr>
          <w:rStyle w:val="FootnoteReference"/>
        </w:rPr>
        <w:footnoteReference w:id="385"/>
      </w:r>
      <w:r>
        <w:t xml:space="preserve">  Order No. 1920-A’s </w:t>
      </w:r>
      <w:r>
        <w:lastRenderedPageBreak/>
        <w:t xml:space="preserve">consultation requirement, similarly, </w:t>
      </w:r>
      <w:r w:rsidR="00EB3709">
        <w:t>aims</w:t>
      </w:r>
      <w:r>
        <w:t xml:space="preserve"> to ensure the development</w:t>
      </w:r>
      <w:r w:rsidR="005F3419">
        <w:t xml:space="preserve"> and application</w:t>
      </w:r>
      <w:r>
        <w:t xml:space="preserve"> of cost allocation methods that will </w:t>
      </w:r>
      <w:r w:rsidR="00D111C2">
        <w:t xml:space="preserve">themselves </w:t>
      </w:r>
      <w:r>
        <w:t>facilitate the timely, efficient development of Long-Term Regional Transmission Facilities,</w:t>
      </w:r>
      <w:r w:rsidR="003C59EF">
        <w:t xml:space="preserve"> through states’</w:t>
      </w:r>
      <w:r>
        <w:t xml:space="preserve"> critical role in that process.</w:t>
      </w:r>
    </w:p>
    <w:p w14:paraId="7409CB87" w14:textId="469136AB" w:rsidR="00C566F1" w:rsidRDefault="00C566F1" w:rsidP="00C566F1">
      <w:pPr>
        <w:pStyle w:val="FERCparanumber"/>
      </w:pPr>
      <w:r>
        <w:t xml:space="preserve">In </w:t>
      </w:r>
      <w:r w:rsidR="005E0A1A">
        <w:t>Order No. 1920-A</w:t>
      </w:r>
      <w:r>
        <w:t>, the Commission determined—and we here sustain—that requiring transmission providers to consult with Relevant State Entities will provide an opportunity for state input, which “</w:t>
      </w:r>
      <w:r w:rsidRPr="000A3DB1">
        <w:t>has the potential to minimize additional costs and delays in the siting process and to facilitate the development of Long-Term Regional Transmission Facilities</w:t>
      </w:r>
      <w:r>
        <w:t>.”</w:t>
      </w:r>
      <w:r>
        <w:rPr>
          <w:rStyle w:val="FootnoteReference"/>
        </w:rPr>
        <w:footnoteReference w:id="386"/>
      </w:r>
      <w:r>
        <w:t xml:space="preserve">  As the Commission explained in the NOPR, Long-Term Regional Transmission Planning “</w:t>
      </w:r>
      <w:r w:rsidRPr="008B1265">
        <w:t>may entail a more complex set of considerations compared to existing regional transmission planning requirements, which, in turn, may increase the importance of ensuring that the cost allocations method for projects identified and developed through these processes are perceived as fair</w:t>
      </w:r>
      <w:r>
        <w:t>.”</w:t>
      </w:r>
      <w:r>
        <w:rPr>
          <w:rStyle w:val="FootnoteReference"/>
        </w:rPr>
        <w:footnoteReference w:id="387"/>
      </w:r>
      <w:r>
        <w:t xml:space="preserve">  “</w:t>
      </w:r>
      <w:r w:rsidRPr="004A5574">
        <w:t xml:space="preserve">As </w:t>
      </w:r>
      <w:r w:rsidR="00AF40A2">
        <w:t xml:space="preserve">         </w:t>
      </w:r>
      <w:r w:rsidRPr="004A5574">
        <w:lastRenderedPageBreak/>
        <w:t>such,</w:t>
      </w:r>
      <w:r>
        <w:t xml:space="preserve"> . . . </w:t>
      </w:r>
      <w:r w:rsidRPr="004A5574">
        <w:t>state entities charged with siting transmission facilities within their state may, at least in certain circumstances, take a more skeptical approach to evaluating applications to site Long-Term Regional Transmission Facilities.</w:t>
      </w:r>
      <w:r>
        <w:t>”</w:t>
      </w:r>
      <w:r>
        <w:rPr>
          <w:rStyle w:val="FootnoteReference"/>
        </w:rPr>
        <w:footnoteReference w:id="388"/>
      </w:r>
      <w:r>
        <w:t xml:space="preserve">  To address this problem, the Commission proposed that providing opportunities for state involvement in establishing a cost allocation method “</w:t>
      </w:r>
      <w:r w:rsidRPr="004A5574">
        <w:t>would help to address any such concerns on the part of state regulators, increasing the likelihood that Long-Term Regional Transmission Facilities are actually developed, and without delay.</w:t>
      </w:r>
      <w:r>
        <w:t>”</w:t>
      </w:r>
      <w:r>
        <w:rPr>
          <w:rStyle w:val="FootnoteReference"/>
        </w:rPr>
        <w:footnoteReference w:id="389"/>
      </w:r>
    </w:p>
    <w:p w14:paraId="36D20170" w14:textId="0CF73850" w:rsidR="00C566F1" w:rsidRDefault="00C566F1" w:rsidP="00C566F1">
      <w:pPr>
        <w:pStyle w:val="FERCparanumber"/>
      </w:pPr>
      <w:r>
        <w:t xml:space="preserve">Order No. 1920 sustained these preliminary findings from the NOPR, which provide the foundation for the expanded opportunities for state participation in cost allocation adopted in that order and </w:t>
      </w:r>
      <w:r w:rsidR="003157CC">
        <w:t xml:space="preserve">in </w:t>
      </w:r>
      <w:r>
        <w:t>Order No. 1920-A.</w:t>
      </w:r>
      <w:r>
        <w:rPr>
          <w:rStyle w:val="FootnoteReference"/>
        </w:rPr>
        <w:footnoteReference w:id="390"/>
      </w:r>
      <w:r>
        <w:t xml:space="preserve">  The Commission in Order </w:t>
      </w:r>
      <w:r>
        <w:lastRenderedPageBreak/>
        <w:t>No. 1920-A recognized that such concerns over inadequate state participation—and the Commission’s findings as to how increased state involvement in cost allocation can help ensure that the benefits of Long-Term Regional Transmission Planning are realized—will also arise in the future, as transmission providers consider whether changes are warranted to the cost allocation process.</w:t>
      </w:r>
      <w:r>
        <w:rPr>
          <w:rStyle w:val="FootnoteReference"/>
        </w:rPr>
        <w:footnoteReference w:id="391"/>
      </w:r>
      <w:r>
        <w:t xml:space="preserve">  Likewise, the same dynamic may occur where Relevant State Entities have identified an alternative approach to the existing cost allocation mechanism; consulting with the Relevant State Entities regarding alternative approaches may increase Relevant State Entities’ confidence in Long-Term Regional Transmission </w:t>
      </w:r>
      <w:r>
        <w:lastRenderedPageBreak/>
        <w:t xml:space="preserve">Planning processes, thereby minimizing delays, disputes, and costs associated with those processes.  </w:t>
      </w:r>
    </w:p>
    <w:p w14:paraId="318E0838" w14:textId="4E25060C" w:rsidR="00C566F1" w:rsidRDefault="00D30B78" w:rsidP="00C566F1">
      <w:pPr>
        <w:pStyle w:val="FERCparanumber"/>
      </w:pPr>
      <w:r>
        <w:t xml:space="preserve">The Commission in </w:t>
      </w:r>
      <w:r w:rsidR="00C566F1">
        <w:t xml:space="preserve">Order No. 1920-A therefore </w:t>
      </w:r>
      <w:r w:rsidR="00EB39EC">
        <w:t xml:space="preserve">addressed </w:t>
      </w:r>
      <w:r w:rsidR="00C566F1">
        <w:t xml:space="preserve">transmission providers’ </w:t>
      </w:r>
      <w:r w:rsidR="00704526">
        <w:t>process</w:t>
      </w:r>
      <w:r w:rsidR="000A4F27">
        <w:t>es</w:t>
      </w:r>
      <w:r w:rsidR="00704526">
        <w:t xml:space="preserve"> for developing</w:t>
      </w:r>
      <w:r w:rsidR="00C566F1">
        <w:t xml:space="preserve"> cost allocation </w:t>
      </w:r>
      <w:r w:rsidR="00EB39EC">
        <w:t>methods</w:t>
      </w:r>
      <w:r w:rsidR="00C566F1">
        <w:t xml:space="preserve"> for Long-Term Regional Transmission Facilities by requiring that transmission providers engage in consultation with Relevant State Entities on cost allocation to receive input from these key stakeholders.</w:t>
      </w:r>
      <w:r w:rsidR="00C566F1">
        <w:rPr>
          <w:rStyle w:val="FootnoteReference"/>
        </w:rPr>
        <w:footnoteReference w:id="392"/>
      </w:r>
      <w:r w:rsidR="00C566F1">
        <w:t xml:space="preserve">  Specifically, it required the adoption of the consultation mechanisms discussed above, and </w:t>
      </w:r>
      <w:r w:rsidR="004B479A">
        <w:t xml:space="preserve">required </w:t>
      </w:r>
      <w:r w:rsidR="00C566F1">
        <w:t>“</w:t>
      </w:r>
      <w:r w:rsidR="00C566F1" w:rsidRPr="006E786B">
        <w:t>transmission providers to include in their OATTs a description of how they will consult with Relevant State Entities in these circumstances</w:t>
      </w:r>
      <w:r w:rsidR="00C566F1">
        <w:t>.”</w:t>
      </w:r>
      <w:r w:rsidR="00C566F1">
        <w:rPr>
          <w:rStyle w:val="FootnoteReference"/>
        </w:rPr>
        <w:footnoteReference w:id="393"/>
      </w:r>
      <w:r w:rsidR="00C566F1">
        <w:t xml:space="preserve">  These </w:t>
      </w:r>
      <w:r w:rsidR="004A4390">
        <w:t xml:space="preserve">consultation </w:t>
      </w:r>
      <w:r w:rsidR="00C566F1">
        <w:t>practices occur prior to any FPA section 205 filing that transmission providers might make addressing cost allocation and are directed toward transmission providers’ communications with Relevant State Entities regarding cost allocation, rather than any such FPA section 205 filing.</w:t>
      </w:r>
      <w:r w:rsidR="00C566F1">
        <w:rPr>
          <w:rStyle w:val="FootnoteReference"/>
        </w:rPr>
        <w:footnoteReference w:id="394"/>
      </w:r>
    </w:p>
    <w:p w14:paraId="30DE20B7" w14:textId="7DD42A35" w:rsidR="00C566F1" w:rsidRPr="009506CD" w:rsidRDefault="00521BFC" w:rsidP="00C566F1">
      <w:pPr>
        <w:pStyle w:val="FERCparanumber"/>
      </w:pPr>
      <w:r>
        <w:lastRenderedPageBreak/>
        <w:t xml:space="preserve">We agree with </w:t>
      </w:r>
      <w:r w:rsidR="00C57ACD">
        <w:t>r</w:t>
      </w:r>
      <w:r>
        <w:t xml:space="preserve">ehearing </w:t>
      </w:r>
      <w:r w:rsidR="00C57ACD">
        <w:t>p</w:t>
      </w:r>
      <w:r>
        <w:t>etitioners that FPA section 205 expressly grants rights to transmission providers.  But contrary</w:t>
      </w:r>
      <w:r w:rsidR="00C566F1">
        <w:t xml:space="preserve"> to the arguments raised on rehearing,</w:t>
      </w:r>
      <w:r w:rsidR="00C566F1">
        <w:rPr>
          <w:rStyle w:val="FootnoteReference"/>
        </w:rPr>
        <w:footnoteReference w:id="395"/>
      </w:r>
      <w:r w:rsidR="00C566F1">
        <w:t xml:space="preserve"> regulation of these consultation practices does not infringe on </w:t>
      </w:r>
      <w:r w:rsidR="00380B82">
        <w:t xml:space="preserve">those </w:t>
      </w:r>
      <w:r w:rsidR="00C566F1">
        <w:t>rights.</w:t>
      </w:r>
      <w:r w:rsidR="00C566F1">
        <w:rPr>
          <w:rStyle w:val="FootnoteReference"/>
        </w:rPr>
        <w:footnoteReference w:id="396"/>
      </w:r>
      <w:r w:rsidR="00C566F1">
        <w:t xml:space="preserve">  Transmission providers retain their full and exclusive discretion as to whether to file—or not file—proposed changes to </w:t>
      </w:r>
      <w:r w:rsidR="00C566F1" w:rsidRPr="009354CC">
        <w:t>Long-Term Regional Transmission Cost Allocation Method(s) and/or State Agreement Process</w:t>
      </w:r>
      <w:r w:rsidR="00C566F1">
        <w:t xml:space="preserve"> under FPA section 205.  </w:t>
      </w:r>
      <w:r w:rsidR="00B82E71" w:rsidRPr="00B82E71">
        <w:t>Transmission providers likewise retain their full and exclusive discretion to determine the</w:t>
      </w:r>
      <w:r w:rsidR="00C566F1">
        <w:t xml:space="preserve"> content of any such proposal, notwithstanding that transmission providers are required to engage in this consultation process.  Transmission providers also control the timing of when they choose to make any such filing</w:t>
      </w:r>
      <w:r w:rsidR="00850EBD" w:rsidRPr="00850EBD">
        <w:t xml:space="preserve">, including, to reiterate, </w:t>
      </w:r>
      <w:r w:rsidR="00850EBD" w:rsidRPr="00850EBD">
        <w:rPr>
          <w:i/>
          <w:iCs/>
        </w:rPr>
        <w:t>whether to make such a filing at all</w:t>
      </w:r>
      <w:r w:rsidR="00C566F1">
        <w:t>.</w:t>
      </w:r>
      <w:r w:rsidR="00C566F1">
        <w:rPr>
          <w:rStyle w:val="FootnoteReference"/>
        </w:rPr>
        <w:footnoteReference w:id="397"/>
      </w:r>
      <w:r w:rsidR="00C566F1">
        <w:t xml:space="preserve">  </w:t>
      </w:r>
      <w:r w:rsidR="00361192">
        <w:t>Under this framework, t</w:t>
      </w:r>
      <w:r w:rsidR="00C566F1">
        <w:t>he Commission</w:t>
      </w:r>
      <w:r w:rsidR="00361192">
        <w:t xml:space="preserve"> demonstrably</w:t>
      </w:r>
      <w:r w:rsidR="00C566F1">
        <w:t xml:space="preserve"> retains its passive and reactive role of reviewing the transmission providers’ </w:t>
      </w:r>
      <w:r w:rsidR="009267E2" w:rsidRPr="00C32F51">
        <w:t>FPA</w:t>
      </w:r>
      <w:r w:rsidR="009267E2">
        <w:t xml:space="preserve"> </w:t>
      </w:r>
      <w:r w:rsidR="00A75ECA">
        <w:t>section</w:t>
      </w:r>
      <w:r w:rsidR="005935B9">
        <w:t> </w:t>
      </w:r>
      <w:r w:rsidR="00A75ECA">
        <w:t>205</w:t>
      </w:r>
      <w:r w:rsidR="00C566F1">
        <w:t xml:space="preserve"> filings.</w:t>
      </w:r>
      <w:r w:rsidR="00C566F1">
        <w:rPr>
          <w:rStyle w:val="FootnoteReference"/>
        </w:rPr>
        <w:footnoteReference w:id="398"/>
      </w:r>
      <w:r w:rsidR="00C566F1">
        <w:t xml:space="preserve">  </w:t>
      </w:r>
      <w:r w:rsidR="00C566F1" w:rsidRPr="009506CD">
        <w:t>As a result, FPA section</w:t>
      </w:r>
      <w:r w:rsidR="005935B9">
        <w:t> </w:t>
      </w:r>
      <w:r w:rsidR="00C566F1" w:rsidRPr="009506CD">
        <w:t>205</w:t>
      </w:r>
      <w:r w:rsidR="001C6552">
        <w:t xml:space="preserve"> </w:t>
      </w:r>
      <w:r w:rsidR="00C566F1" w:rsidRPr="009506CD">
        <w:t xml:space="preserve">continues to function to the benefit of the </w:t>
      </w:r>
      <w:r w:rsidR="00C566F1">
        <w:t>transmission providers</w:t>
      </w:r>
      <w:r w:rsidR="00C566F1" w:rsidRPr="009506CD">
        <w:t xml:space="preserve"> </w:t>
      </w:r>
      <w:r w:rsidR="00C566F1" w:rsidRPr="009506CD">
        <w:lastRenderedPageBreak/>
        <w:t>in allowing them, subject to Commission review and approval, to propose to set and change their own rates.</w:t>
      </w:r>
      <w:r w:rsidR="00C566F1" w:rsidRPr="009506CD">
        <w:rPr>
          <w:rStyle w:val="FootnoteReference"/>
        </w:rPr>
        <w:footnoteReference w:id="399"/>
      </w:r>
      <w:r w:rsidR="00C566F1" w:rsidRPr="009506CD">
        <w:t xml:space="preserve">  </w:t>
      </w:r>
    </w:p>
    <w:p w14:paraId="5499D430" w14:textId="49928796" w:rsidR="00C566F1" w:rsidRPr="009506CD" w:rsidRDefault="00C566F1" w:rsidP="00C566F1">
      <w:pPr>
        <w:pStyle w:val="FERCparanumber"/>
      </w:pPr>
      <w:r>
        <w:t>Thus</w:t>
      </w:r>
      <w:r w:rsidRPr="009506CD">
        <w:t xml:space="preserve">, the precedent relied on by </w:t>
      </w:r>
      <w:r>
        <w:t>rehearing</w:t>
      </w:r>
      <w:r w:rsidRPr="009506CD" w:rsidDel="00D842DA">
        <w:t xml:space="preserve"> </w:t>
      </w:r>
      <w:r>
        <w:t>petitioners</w:t>
      </w:r>
      <w:r w:rsidRPr="009506CD">
        <w:t xml:space="preserve"> challenging these requirements is </w:t>
      </w:r>
      <w:r>
        <w:t>in</w:t>
      </w:r>
      <w:r w:rsidRPr="009506CD">
        <w:t xml:space="preserve">apposite.  As discussed in greater detail above, </w:t>
      </w:r>
      <w:r>
        <w:t xml:space="preserve">the court </w:t>
      </w:r>
      <w:r w:rsidRPr="009506CD">
        <w:t>in</w:t>
      </w:r>
      <w:r w:rsidR="00AF40A2">
        <w:t xml:space="preserve">                  </w:t>
      </w:r>
      <w:r w:rsidRPr="009506CD">
        <w:rPr>
          <w:i/>
          <w:iCs/>
        </w:rPr>
        <w:t xml:space="preserve"> Atlantic City</w:t>
      </w:r>
      <w:r w:rsidR="00A839F5">
        <w:rPr>
          <w:i/>
          <w:iCs/>
        </w:rPr>
        <w:t> </w:t>
      </w:r>
      <w:r w:rsidRPr="009506CD">
        <w:rPr>
          <w:i/>
          <w:iCs/>
        </w:rPr>
        <w:t>I</w:t>
      </w:r>
      <w:r w:rsidRPr="0064288D">
        <w:rPr>
          <w:rStyle w:val="FootnoteReference"/>
        </w:rPr>
        <w:footnoteReference w:id="400"/>
      </w:r>
      <w:r w:rsidRPr="009506CD">
        <w:t xml:space="preserve"> was not addressing a Commission regulation </w:t>
      </w:r>
      <w:r>
        <w:t>akin to</w:t>
      </w:r>
      <w:r w:rsidRPr="009506CD">
        <w:t xml:space="preserve"> the regulation of transmission providers’ consultation practices relating to cost allocation for Long-Term Regional Transmission Facilities.</w:t>
      </w:r>
      <w:r w:rsidRPr="009506CD">
        <w:rPr>
          <w:rStyle w:val="FootnoteReference"/>
        </w:rPr>
        <w:footnoteReference w:id="401"/>
      </w:r>
      <w:r w:rsidRPr="009506CD">
        <w:t xml:space="preserve">  Rather, the court there overturned a Commission order requiring that public utilities </w:t>
      </w:r>
      <w:r w:rsidR="00FA043D">
        <w:t xml:space="preserve">clearly </w:t>
      </w:r>
      <w:r w:rsidRPr="009506CD">
        <w:t>cede to an ISO their FPA section 205 rights, such that only the ISO</w:t>
      </w:r>
      <w:r w:rsidR="00AD52E3">
        <w:t xml:space="preserve"> </w:t>
      </w:r>
      <w:r w:rsidRPr="009506CD">
        <w:t>could propose changes in rate design</w:t>
      </w:r>
      <w:r>
        <w:t>.</w:t>
      </w:r>
      <w:r w:rsidRPr="009506CD">
        <w:t xml:space="preserve"> </w:t>
      </w:r>
      <w:r>
        <w:t xml:space="preserve"> H</w:t>
      </w:r>
      <w:r w:rsidRPr="009506CD">
        <w:t xml:space="preserve">ere, by contrast, </w:t>
      </w:r>
      <w:r>
        <w:t>transmission providers</w:t>
      </w:r>
      <w:r w:rsidRPr="009506CD">
        <w:t xml:space="preserve"> retain the full scope of their FPA section 205 filing rights.  For similar reasons, th</w:t>
      </w:r>
      <w:r>
        <w:t>is</w:t>
      </w:r>
      <w:r w:rsidRPr="009506CD">
        <w:t xml:space="preserve"> consultation requirement do</w:t>
      </w:r>
      <w:r>
        <w:t>es</w:t>
      </w:r>
      <w:r w:rsidRPr="009506CD">
        <w:t xml:space="preserve"> not contravene </w:t>
      </w:r>
      <w:r w:rsidRPr="009506CD">
        <w:rPr>
          <w:i/>
          <w:iCs/>
        </w:rPr>
        <w:t>Massachusetts Department of Public Utilities</w:t>
      </w:r>
      <w:r w:rsidRPr="009506CD">
        <w:rPr>
          <w:rStyle w:val="FootnoteReference"/>
        </w:rPr>
        <w:footnoteReference w:id="402"/>
      </w:r>
      <w:r w:rsidRPr="009506CD">
        <w:t xml:space="preserve"> because transmission providers retain their full authority to file </w:t>
      </w:r>
      <w:r w:rsidRPr="007A09A0">
        <w:t>only</w:t>
      </w:r>
      <w:r w:rsidRPr="009506CD">
        <w:rPr>
          <w:i/>
          <w:iCs/>
        </w:rPr>
        <w:t xml:space="preserve"> </w:t>
      </w:r>
      <w:r w:rsidRPr="009506CD">
        <w:t>the FPA section 205 proposals of their own choosing</w:t>
      </w:r>
      <w:r w:rsidR="004048D0">
        <w:t>, as well as the right to file nothing at all</w:t>
      </w:r>
      <w:r w:rsidRPr="009506CD">
        <w:t>.</w:t>
      </w:r>
      <w:r w:rsidRPr="009506CD">
        <w:rPr>
          <w:rStyle w:val="FootnoteReference"/>
        </w:rPr>
        <w:footnoteReference w:id="403"/>
      </w:r>
    </w:p>
    <w:p w14:paraId="2C6E08C2" w14:textId="5095B294" w:rsidR="00C566F1" w:rsidRDefault="00C566F1" w:rsidP="00C566F1">
      <w:pPr>
        <w:pStyle w:val="FERCparanumber"/>
      </w:pPr>
      <w:r w:rsidRPr="009506CD">
        <w:lastRenderedPageBreak/>
        <w:t xml:space="preserve">We are also not persuaded </w:t>
      </w:r>
      <w:r>
        <w:t>by</w:t>
      </w:r>
      <w:r w:rsidRPr="009506CD">
        <w:t xml:space="preserve"> challenges to th</w:t>
      </w:r>
      <w:r>
        <w:t>is</w:t>
      </w:r>
      <w:r w:rsidRPr="009506CD">
        <w:t xml:space="preserve"> consultation</w:t>
      </w:r>
      <w:r>
        <w:t xml:space="preserve"> requirement relying on </w:t>
      </w:r>
      <w:r w:rsidRPr="00F249DE">
        <w:rPr>
          <w:i/>
          <w:iCs/>
        </w:rPr>
        <w:t>City of Cleveland</w:t>
      </w:r>
      <w:r>
        <w:t>.</w:t>
      </w:r>
      <w:r>
        <w:rPr>
          <w:rStyle w:val="FootnoteReference"/>
        </w:rPr>
        <w:footnoteReference w:id="404"/>
      </w:r>
      <w:r>
        <w:t xml:space="preserve">  </w:t>
      </w:r>
      <w:r w:rsidR="00F47D62" w:rsidRPr="00362FF1">
        <w:t>In that case</w:t>
      </w:r>
      <w:r w:rsidR="00B17193" w:rsidRPr="00362FF1">
        <w:t>,</w:t>
      </w:r>
      <w:r w:rsidR="00F47D62" w:rsidRPr="00362FF1">
        <w:t xml:space="preserve"> the court considered “whether the Federal Power Commission erred in adopting a rate structure specified in a schedule filed by a public electric utility without resolving its municipal customer’s contention that the schedule contravenes a preexisting agreement between the parties.”</w:t>
      </w:r>
      <w:r w:rsidR="00F47D62" w:rsidRPr="00362FF1">
        <w:rPr>
          <w:rStyle w:val="FootnoteReference"/>
        </w:rPr>
        <w:footnoteReference w:id="405"/>
      </w:r>
      <w:r w:rsidR="00F47D62" w:rsidRPr="00362FF1">
        <w:t xml:space="preserve">  </w:t>
      </w:r>
      <w:r w:rsidR="00B17193" w:rsidRPr="00362FF1">
        <w:t>The court held</w:t>
      </w:r>
      <w:r w:rsidR="00D20DB1" w:rsidRPr="00362FF1">
        <w:t xml:space="preserve"> that where a public utility has </w:t>
      </w:r>
      <w:r w:rsidR="006D402C" w:rsidRPr="00362FF1">
        <w:t>actually agreed to particular rates, by contract,</w:t>
      </w:r>
      <w:r w:rsidR="00E71552" w:rsidRPr="00362FF1">
        <w:t xml:space="preserve"> the Commission cannot overlook that agreement</w:t>
      </w:r>
      <w:r w:rsidR="0004744E" w:rsidRPr="00362FF1">
        <w:t xml:space="preserve"> and approve different rates</w:t>
      </w:r>
      <w:r w:rsidR="006B6E3F" w:rsidRPr="00362FF1">
        <w:t>.</w:t>
      </w:r>
      <w:r w:rsidR="009D6A3F" w:rsidRPr="00362FF1">
        <w:rPr>
          <w:rStyle w:val="FootnoteReference"/>
        </w:rPr>
        <w:footnoteReference w:id="406"/>
      </w:r>
      <w:r w:rsidR="00F47D62">
        <w:t xml:space="preserve"> </w:t>
      </w:r>
      <w:r w:rsidR="00933F9A">
        <w:t xml:space="preserve"> </w:t>
      </w:r>
      <w:r>
        <w:t xml:space="preserve">While the court in that case stated that </w:t>
      </w:r>
      <w:r w:rsidRPr="00F249DE">
        <w:t>a utility “may, without negotiation or consultation with anyone, set the rates it will charge prospective customers, and change them at will, so long as they have not been set aside by the Commission on grounds of inconsistency with the [FPA]</w:t>
      </w:r>
      <w:r>
        <w:t>,</w:t>
      </w:r>
      <w:r w:rsidRPr="00F249DE">
        <w:t>”</w:t>
      </w:r>
      <w:r>
        <w:rPr>
          <w:rStyle w:val="FootnoteReference"/>
        </w:rPr>
        <w:footnoteReference w:id="407"/>
      </w:r>
      <w:r>
        <w:t xml:space="preserve"> </w:t>
      </w:r>
      <w:r w:rsidR="00DE778C" w:rsidRPr="00362FF1">
        <w:t xml:space="preserve">the </w:t>
      </w:r>
      <w:r w:rsidR="001152CA" w:rsidRPr="00362FF1">
        <w:t>c</w:t>
      </w:r>
      <w:r w:rsidR="00DE778C">
        <w:t>ourt</w:t>
      </w:r>
      <w:r>
        <w:t xml:space="preserve"> was </w:t>
      </w:r>
      <w:r>
        <w:lastRenderedPageBreak/>
        <w:t xml:space="preserve">not called upon to address the Commission’s authority, under FPA section 206, to regulate transmission providers’ practices </w:t>
      </w:r>
      <w:r w:rsidR="004A3F39">
        <w:t>for developing</w:t>
      </w:r>
      <w:r>
        <w:t xml:space="preserve"> cost allocation</w:t>
      </w:r>
      <w:r w:rsidR="004A3F39">
        <w:t xml:space="preserve"> methods</w:t>
      </w:r>
      <w:r>
        <w:t>.</w:t>
      </w:r>
      <w:r>
        <w:rPr>
          <w:rStyle w:val="FootnoteReference"/>
        </w:rPr>
        <w:footnoteReference w:id="408"/>
      </w:r>
      <w:r>
        <w:t xml:space="preserve"> </w:t>
      </w:r>
      <w:r w:rsidR="00A774A6">
        <w:t xml:space="preserve"> </w:t>
      </w:r>
      <w:r>
        <w:t>Moreover, that decision substantially pre-dates the Supreme Court and D.C. Circuit’s precedent affirming the Commission’s authority over the practices of public utilities that directly affect the areas subject to the Commission’s jurisdiction.</w:t>
      </w:r>
      <w:r>
        <w:rPr>
          <w:rStyle w:val="FootnoteReference"/>
        </w:rPr>
        <w:footnoteReference w:id="409"/>
      </w:r>
      <w:r>
        <w:t xml:space="preserve">  </w:t>
      </w:r>
      <w:r w:rsidR="005E5647">
        <w:t>Regardless</w:t>
      </w:r>
      <w:r>
        <w:t>, under Order No. 1920-A, transmission providers are still entitled, subject to Commission review and approval, “</w:t>
      </w:r>
      <w:r w:rsidRPr="00F249DE">
        <w:t xml:space="preserve">without negotiation or consultation with anyone, </w:t>
      </w:r>
      <w:r>
        <w:t xml:space="preserve">[to] </w:t>
      </w:r>
      <w:r w:rsidRPr="00F249DE">
        <w:rPr>
          <w:i/>
          <w:iCs/>
        </w:rPr>
        <w:t>set</w:t>
      </w:r>
      <w:r w:rsidRPr="00F249DE">
        <w:t xml:space="preserve"> the rates </w:t>
      </w:r>
      <w:r>
        <w:t>[they]</w:t>
      </w:r>
      <w:r w:rsidRPr="00F249DE">
        <w:t xml:space="preserve"> will charge prospective customers, and </w:t>
      </w:r>
      <w:r w:rsidRPr="00F249DE">
        <w:rPr>
          <w:i/>
          <w:iCs/>
        </w:rPr>
        <w:t>change</w:t>
      </w:r>
      <w:r w:rsidRPr="00F249DE">
        <w:t xml:space="preserve"> them at will</w:t>
      </w:r>
      <w:r>
        <w:t>,”</w:t>
      </w:r>
      <w:r>
        <w:rPr>
          <w:rStyle w:val="FootnoteReference"/>
        </w:rPr>
        <w:footnoteReference w:id="410"/>
      </w:r>
      <w:r>
        <w:t xml:space="preserve"> including as to cost allocation.  Despite Order No. 1920-A’s regulation of their pre-filing practices, transmission providers’ filing rights as set forth by FPA section 205</w:t>
      </w:r>
      <w:r>
        <w:rPr>
          <w:rStyle w:val="FootnoteReference"/>
        </w:rPr>
        <w:footnoteReference w:id="411"/>
      </w:r>
      <w:r>
        <w:t xml:space="preserve"> remain wholly intact</w:t>
      </w:r>
      <w:r w:rsidR="0003638A">
        <w:t xml:space="preserve"> and unchanged</w:t>
      </w:r>
      <w:r>
        <w:t xml:space="preserve">; any FPA section 205 filing that transmission providers make seeking to set or change their rates does not need to reflect a compromise proposal resulting from negotiation or consultation. </w:t>
      </w:r>
    </w:p>
    <w:p w14:paraId="3AE4CBB5" w14:textId="21FC1B2D" w:rsidR="005A4680" w:rsidRPr="00B41FF9" w:rsidRDefault="00C566F1">
      <w:pPr>
        <w:pStyle w:val="FERCparanumber"/>
      </w:pPr>
      <w:r w:rsidRPr="009E380A">
        <w:lastRenderedPageBreak/>
        <w:t xml:space="preserve">MISO TOs, SPP TOs, and WIRES </w:t>
      </w:r>
      <w:r>
        <w:t>assert</w:t>
      </w:r>
      <w:r w:rsidRPr="009E380A">
        <w:t xml:space="preserve"> that the requirement that transmission providers consult with Relevant State Entities prior to a</w:t>
      </w:r>
      <w:r w:rsidR="0003718D">
        <w:t>n</w:t>
      </w:r>
      <w:r w:rsidRPr="009E380A">
        <w:t xml:space="preserve"> FPA section 205 filing</w:t>
      </w:r>
      <w:r>
        <w:t xml:space="preserve"> unlawfully</w:t>
      </w:r>
      <w:r w:rsidRPr="009E380A">
        <w:t xml:space="preserve"> limits their ability to propose to change their rates at any time.</w:t>
      </w:r>
      <w:r w:rsidRPr="009E380A">
        <w:rPr>
          <w:rStyle w:val="FootnoteReference"/>
        </w:rPr>
        <w:footnoteReference w:id="412"/>
      </w:r>
      <w:r w:rsidRPr="009E380A">
        <w:t xml:space="preserve">  We </w:t>
      </w:r>
      <w:r>
        <w:t>disagree</w:t>
      </w:r>
      <w:r w:rsidRPr="009E380A">
        <w:t>.  Order No. 1920-A’s regulation of transmission provider practices in this respect may result in</w:t>
      </w:r>
      <w:r>
        <w:t xml:space="preserve"> </w:t>
      </w:r>
      <w:r w:rsidRPr="009E380A">
        <w:t xml:space="preserve">practical considerations </w:t>
      </w:r>
      <w:r>
        <w:t xml:space="preserve">affecting the timing of transmission providers’ FPA section 205 filings, which transmission providers must plan for in order to file their proposal at their preferred time, </w:t>
      </w:r>
      <w:r w:rsidR="001216BA">
        <w:t xml:space="preserve">but it </w:t>
      </w:r>
      <w:r>
        <w:t xml:space="preserve">does not amount to a curtailment of </w:t>
      </w:r>
      <w:r w:rsidR="001216BA">
        <w:t xml:space="preserve">transmission providers’ </w:t>
      </w:r>
      <w:r>
        <w:t>filing rights.</w:t>
      </w:r>
      <w:r w:rsidR="00A00907" w:rsidDel="00A00907">
        <w:rPr>
          <w:rStyle w:val="FootnoteReference"/>
        </w:rPr>
        <w:t xml:space="preserve"> </w:t>
      </w:r>
      <w:r>
        <w:t xml:space="preserve">  Indeed, the same challenge could be leveled at essentially </w:t>
      </w:r>
      <w:r w:rsidRPr="00644102">
        <w:rPr>
          <w:i/>
          <w:iCs/>
        </w:rPr>
        <w:t>any</w:t>
      </w:r>
      <w:r>
        <w:t xml:space="preserve"> Commission order that imposes a requirement on a public utility that may affect the contents of a FPA section 205 filing, because meeting this requirement could impose a practical constraint on the timing of that filing.</w:t>
      </w:r>
      <w:r>
        <w:rPr>
          <w:rStyle w:val="FootnoteReference"/>
        </w:rPr>
        <w:footnoteReference w:id="413"/>
      </w:r>
      <w:r w:rsidR="006D0DAD">
        <w:t xml:space="preserve">  We note that transmission providers must follow </w:t>
      </w:r>
      <w:r w:rsidR="00497435">
        <w:t xml:space="preserve">any applicable </w:t>
      </w:r>
      <w:r w:rsidR="006D0DAD">
        <w:t xml:space="preserve">stakeholder processes to that effect under their currently </w:t>
      </w:r>
      <w:r w:rsidR="006D0DAD" w:rsidRPr="00B41FF9">
        <w:t xml:space="preserve">effective </w:t>
      </w:r>
      <w:r w:rsidR="006F4041" w:rsidRPr="00B41FF9">
        <w:t>governing documents</w:t>
      </w:r>
      <w:r w:rsidR="006D0DAD" w:rsidRPr="00B41FF9">
        <w:t>,</w:t>
      </w:r>
      <w:r w:rsidR="006D0DAD">
        <w:t xml:space="preserve"> and we view th</w:t>
      </w:r>
      <w:r w:rsidR="00D9526A">
        <w:t>ose to be</w:t>
      </w:r>
      <w:r w:rsidR="006D0DAD">
        <w:t xml:space="preserve"> functional</w:t>
      </w:r>
      <w:r w:rsidR="00D9526A">
        <w:t>ly</w:t>
      </w:r>
      <w:r w:rsidR="006D0DAD">
        <w:t xml:space="preserve"> </w:t>
      </w:r>
      <w:r w:rsidR="00D9526A">
        <w:t xml:space="preserve">similar </w:t>
      </w:r>
      <w:r w:rsidR="006D0DAD">
        <w:t xml:space="preserve">to </w:t>
      </w:r>
      <w:r w:rsidR="00531454">
        <w:t xml:space="preserve">the consultation </w:t>
      </w:r>
      <w:r w:rsidR="00531454" w:rsidRPr="00B41FF9">
        <w:t>requirement.</w:t>
      </w:r>
      <w:r w:rsidR="00840BBB" w:rsidRPr="00B41FF9">
        <w:rPr>
          <w:rStyle w:val="FootnoteReference"/>
        </w:rPr>
        <w:footnoteReference w:id="414"/>
      </w:r>
    </w:p>
    <w:p w14:paraId="4890FA22" w14:textId="5E9E6101" w:rsidR="00C566F1" w:rsidRDefault="00C566F1" w:rsidP="00C566F1">
      <w:pPr>
        <w:pStyle w:val="FERCparanumber"/>
      </w:pPr>
      <w:r w:rsidRPr="0098152A">
        <w:lastRenderedPageBreak/>
        <w:t xml:space="preserve">None of the precedent </w:t>
      </w:r>
      <w:r w:rsidRPr="00621BD7">
        <w:t>cited by MISO TOs, SPP TOs, or WIRES</w:t>
      </w:r>
      <w:r w:rsidRPr="0098152A">
        <w:t xml:space="preserve"> holds to the contrary.</w:t>
      </w:r>
      <w:r w:rsidRPr="00621BD7">
        <w:t xml:space="preserve">  </w:t>
      </w:r>
      <w:r>
        <w:t xml:space="preserve">While </w:t>
      </w:r>
      <w:r w:rsidRPr="00B96266">
        <w:rPr>
          <w:i/>
          <w:iCs/>
        </w:rPr>
        <w:t>Atlantic City I</w:t>
      </w:r>
      <w:r>
        <w:t xml:space="preserve"> states that under FPA section 205(d) “</w:t>
      </w:r>
      <w:r w:rsidRPr="00297414">
        <w:t xml:space="preserve">a public utility may file changes to rates, charges, classification, or service at any time upon 60 </w:t>
      </w:r>
      <w:proofErr w:type="spellStart"/>
      <w:r w:rsidRPr="00297414">
        <w:t>days notice</w:t>
      </w:r>
      <w:proofErr w:type="spellEnd"/>
      <w:r>
        <w:t>,”</w:t>
      </w:r>
      <w:r>
        <w:rPr>
          <w:rStyle w:val="FootnoteReference"/>
        </w:rPr>
        <w:footnoteReference w:id="415"/>
      </w:r>
      <w:r>
        <w:t xml:space="preserve"> it does not suggest that a Commission regulation that might, as a practical matter, affect the timing of such filings is unlawful as an intrusion on public utilities’ filing rights.</w:t>
      </w:r>
      <w:r>
        <w:rPr>
          <w:rStyle w:val="FootnoteReference"/>
        </w:rPr>
        <w:footnoteReference w:id="416"/>
      </w:r>
      <w:r>
        <w:t xml:space="preserve">  Neither do the cases on which SPP TOs rely,</w:t>
      </w:r>
      <w:r>
        <w:rPr>
          <w:rStyle w:val="FootnoteReference"/>
        </w:rPr>
        <w:footnoteReference w:id="417"/>
      </w:r>
      <w:r>
        <w:t xml:space="preserve"> which addressed Commission attempts to modify a FPA section 205 filing made by a public utility</w:t>
      </w:r>
      <w:r>
        <w:rPr>
          <w:rStyle w:val="FootnoteReference"/>
        </w:rPr>
        <w:footnoteReference w:id="418"/>
      </w:r>
      <w:r>
        <w:t xml:space="preserve"> or explained that</w:t>
      </w:r>
      <w:r w:rsidR="00A14EA2">
        <w:t>,</w:t>
      </w:r>
      <w:r>
        <w:t xml:space="preserve"> where a filing is made under FPA section 205, the Commission has “</w:t>
      </w:r>
      <w:r w:rsidRPr="009F3804">
        <w:t>a statutory obligation to process the filing in a timely manner</w:t>
      </w:r>
      <w:r>
        <w:t>.”</w:t>
      </w:r>
      <w:r>
        <w:rPr>
          <w:rStyle w:val="FootnoteReference"/>
        </w:rPr>
        <w:footnoteReference w:id="419"/>
      </w:r>
    </w:p>
    <w:p w14:paraId="7CD8BE58" w14:textId="35D46E98" w:rsidR="00C566F1" w:rsidRDefault="00C566F1" w:rsidP="00C566F1">
      <w:pPr>
        <w:pStyle w:val="FERCparanumber"/>
      </w:pPr>
      <w:r>
        <w:t>Challenges to Order No. 1920-A’s requirements that transmission providers publicly document the results of their consultation with Relevant State Entities</w:t>
      </w:r>
      <w:r>
        <w:rPr>
          <w:rStyle w:val="FootnoteReference"/>
        </w:rPr>
        <w:footnoteReference w:id="420"/>
      </w:r>
      <w:r>
        <w:t xml:space="preserve"> do not change our analysis.  Here, too, these documentation requirements do not impinge on or </w:t>
      </w:r>
      <w:r>
        <w:lastRenderedPageBreak/>
        <w:t>alter transmission providers’ FPA section 205 filing rights, as transmission providers retain their full, exclusive, and unilateral right to file, or not file,</w:t>
      </w:r>
      <w:r>
        <w:rPr>
          <w:rStyle w:val="FootnoteReference"/>
        </w:rPr>
        <w:footnoteReference w:id="421"/>
      </w:r>
      <w:r>
        <w:t xml:space="preserve"> FPA section 205 proposals of their own choosing.  This aspect of Order No. 1920-A regulates only transmission providers’ practices around publicly documenting their consultation with Relevant State Entities, pursuant to the Commission’s authority under FPA section 206.  </w:t>
      </w:r>
      <w:r w:rsidR="003145FC" w:rsidRPr="00996DE3">
        <w:t xml:space="preserve">The Commission </w:t>
      </w:r>
      <w:r w:rsidR="00C7085D" w:rsidRPr="00996DE3">
        <w:t xml:space="preserve">has often </w:t>
      </w:r>
      <w:r w:rsidR="00185577" w:rsidRPr="00996DE3">
        <w:t xml:space="preserve">introduced documentation requirements aimed at increasing </w:t>
      </w:r>
      <w:r w:rsidR="002C66D4" w:rsidRPr="00996DE3">
        <w:t>transparency</w:t>
      </w:r>
      <w:r w:rsidR="003145FC" w:rsidRPr="00996DE3">
        <w:t>.</w:t>
      </w:r>
      <w:r w:rsidR="00CD2666" w:rsidRPr="00996DE3">
        <w:rPr>
          <w:rStyle w:val="FootnoteReference"/>
        </w:rPr>
        <w:footnoteReference w:id="422"/>
      </w:r>
      <w:r w:rsidR="003145FC">
        <w:t xml:space="preserve">  </w:t>
      </w:r>
      <w:r>
        <w:t xml:space="preserve">Nothing in FPA section 205 precludes the Commission from exercising </w:t>
      </w:r>
      <w:r>
        <w:lastRenderedPageBreak/>
        <w:t>that FPA section 206 authority to require documentation of these discussions, including in scenarios where the transmission provider elects not to file an FPA section 205 proposal to change its approach to cost allocation.</w:t>
      </w:r>
    </w:p>
    <w:p w14:paraId="20F980E1" w14:textId="0E544C26" w:rsidR="00C566F1" w:rsidRPr="00C73E94" w:rsidRDefault="00C566F1" w:rsidP="00C566F1">
      <w:pPr>
        <w:pStyle w:val="FERCparanumber"/>
      </w:pPr>
      <w:r>
        <w:t xml:space="preserve">Moreover, the Commission has authority under </w:t>
      </w:r>
      <w:r w:rsidR="00D71B20">
        <w:t xml:space="preserve">the </w:t>
      </w:r>
      <w:r>
        <w:t>FPA to require the disclosure of information as necessary or appropriate to assist the Commission in the administration of its duties under the FPA, in the “manner or form” as the Commission may prescribe and providing “specific answers to all questions upon which the Commission may need information.”</w:t>
      </w:r>
      <w:r>
        <w:rPr>
          <w:rStyle w:val="FootnoteReference"/>
        </w:rPr>
        <w:footnoteReference w:id="423"/>
      </w:r>
      <w:r>
        <w:t xml:space="preserve">  Order No. 1920-A’s requirements that transmission providers publicly document the results of their consultation with Relevant State Entities fall comfortably within this broad authority.</w:t>
      </w:r>
      <w:r>
        <w:rPr>
          <w:rStyle w:val="FootnoteReference"/>
        </w:rPr>
        <w:footnoteReference w:id="424"/>
      </w:r>
    </w:p>
    <w:p w14:paraId="7E97D50E" w14:textId="546614EB" w:rsidR="00CE7A2D" w:rsidRDefault="00575779" w:rsidP="00CE7A2D">
      <w:pPr>
        <w:pStyle w:val="Heading4"/>
      </w:pPr>
      <w:r>
        <w:t>Compliance with the APA</w:t>
      </w:r>
    </w:p>
    <w:p w14:paraId="37847305" w14:textId="1D1BF41A" w:rsidR="00B655C5" w:rsidRDefault="00B655C5" w:rsidP="0036110B">
      <w:pPr>
        <w:pStyle w:val="Heading5"/>
      </w:pPr>
      <w:r>
        <w:t>Rehearing Requests</w:t>
      </w:r>
    </w:p>
    <w:p w14:paraId="14A25E01" w14:textId="4B05C5DC" w:rsidR="00B420F5" w:rsidRDefault="003A24A9" w:rsidP="00B420F5">
      <w:pPr>
        <w:pStyle w:val="FERCparanumber"/>
        <w:tabs>
          <w:tab w:val="clear" w:pos="720"/>
        </w:tabs>
      </w:pPr>
      <w:r w:rsidRPr="00B420F5">
        <w:t>MISO</w:t>
      </w:r>
      <w:r>
        <w:t xml:space="preserve"> TOs, SPP TOs, and WIRES assert that Order No. 1920-A’s consultation requirement is </w:t>
      </w:r>
      <w:r w:rsidR="00C57561">
        <w:t>inconsistent with the objectives of Order No. 1920</w:t>
      </w:r>
      <w:r w:rsidR="00AC77D3">
        <w:t xml:space="preserve"> and insufficiently </w:t>
      </w:r>
      <w:r w:rsidR="00AC77D3">
        <w:lastRenderedPageBreak/>
        <w:t>supported</w:t>
      </w:r>
      <w:r w:rsidR="000F053E">
        <w:t xml:space="preserve"> </w:t>
      </w:r>
      <w:r w:rsidR="00406724">
        <w:t xml:space="preserve">and is therefore arbitrary </w:t>
      </w:r>
      <w:r w:rsidR="0021725A">
        <w:t>and capricious under the APA</w:t>
      </w:r>
      <w:r>
        <w:t>.</w:t>
      </w:r>
      <w:r w:rsidR="00F91168">
        <w:rPr>
          <w:rStyle w:val="FootnoteReference"/>
        </w:rPr>
        <w:footnoteReference w:id="425"/>
      </w:r>
      <w:r>
        <w:t xml:space="preserve">  MISO TOs argue that the requirement contravenes the stated purpose of Order No. 1920 of promoting efficiency and cost-effectiveness of transmission solutions stating that “</w:t>
      </w:r>
      <w:r w:rsidRPr="00D735F8">
        <w:t xml:space="preserve">when the Commission places roadblocks, such as additional consultations and detailed explanations of decisions, in the way of reaching appropriate </w:t>
      </w:r>
      <w:r>
        <w:t>[c]</w:t>
      </w:r>
      <w:proofErr w:type="spellStart"/>
      <w:r w:rsidRPr="00D735F8">
        <w:t>ost</w:t>
      </w:r>
      <w:proofErr w:type="spellEnd"/>
      <w:r w:rsidRPr="00D735F8">
        <w:t xml:space="preserve"> </w:t>
      </w:r>
      <w:r>
        <w:t>[a]</w:t>
      </w:r>
      <w:proofErr w:type="spellStart"/>
      <w:r w:rsidRPr="00D735F8">
        <w:t>llocation</w:t>
      </w:r>
      <w:proofErr w:type="spellEnd"/>
      <w:r w:rsidRPr="00D735F8">
        <w:t xml:space="preserve"> </w:t>
      </w:r>
      <w:r>
        <w:t>[m]</w:t>
      </w:r>
      <w:proofErr w:type="spellStart"/>
      <w:r w:rsidRPr="00D735F8">
        <w:t>ethods</w:t>
      </w:r>
      <w:proofErr w:type="spellEnd"/>
      <w:r w:rsidRPr="00D735F8">
        <w:t>, it belies the purpose of the reforms, does not demonstrate a clear path of reasoning, and is, thus, arbitrary and capricious</w:t>
      </w:r>
      <w:r>
        <w:t>.”</w:t>
      </w:r>
      <w:r>
        <w:rPr>
          <w:rStyle w:val="FootnoteReference"/>
        </w:rPr>
        <w:footnoteReference w:id="426"/>
      </w:r>
      <w:r>
        <w:t xml:space="preserve">  SPP TOs broadly challenge Order No. 1920-A’s </w:t>
      </w:r>
      <w:r w:rsidR="00511D94">
        <w:t>c</w:t>
      </w:r>
      <w:r>
        <w:t xml:space="preserve">onsultation </w:t>
      </w:r>
      <w:r w:rsidR="00511D94">
        <w:t>requirement</w:t>
      </w:r>
      <w:r>
        <w:t xml:space="preserve"> as insufficiently supported by the Commission’s explanation </w:t>
      </w:r>
      <w:r w:rsidRPr="00863735">
        <w:t xml:space="preserve">that states have a unique role and voice in </w:t>
      </w:r>
      <w:r w:rsidR="00E51B82">
        <w:t xml:space="preserve">regional </w:t>
      </w:r>
      <w:r w:rsidRPr="00863735">
        <w:t>transmission planning, given that states have other avenues to be heard and transmission providers have every incentive to consult voluntarily with Relevant State Entities.</w:t>
      </w:r>
      <w:r w:rsidRPr="00863735">
        <w:rPr>
          <w:rStyle w:val="FootnoteReference"/>
        </w:rPr>
        <w:footnoteReference w:id="427"/>
      </w:r>
      <w:r w:rsidRPr="00863735">
        <w:t xml:space="preserve">  WIRES argues that “[b]</w:t>
      </w:r>
      <w:proofErr w:type="spellStart"/>
      <w:r w:rsidRPr="00863735">
        <w:t>ecause</w:t>
      </w:r>
      <w:proofErr w:type="spellEnd"/>
      <w:r w:rsidRPr="00863735">
        <w:t xml:space="preserve"> the record demonstrates that there are other less intrusive means by which </w:t>
      </w:r>
      <w:r w:rsidRPr="00863735">
        <w:lastRenderedPageBreak/>
        <w:t xml:space="preserve">states can </w:t>
      </w:r>
      <w:r w:rsidRPr="00D919F8">
        <w:t>meaningfully participate in the development of Long-Term Regional</w:t>
      </w:r>
      <w:r>
        <w:t xml:space="preserve"> [Transmission]</w:t>
      </w:r>
      <w:r w:rsidRPr="00D919F8">
        <w:t xml:space="preserve"> Cost Allocation </w:t>
      </w:r>
      <w:r>
        <w:t>[M]</w:t>
      </w:r>
      <w:proofErr w:type="spellStart"/>
      <w:r w:rsidRPr="00D919F8">
        <w:t>ethods</w:t>
      </w:r>
      <w:proofErr w:type="spellEnd"/>
      <w:r w:rsidRPr="00D919F8">
        <w:t xml:space="preserve"> and State Agreement Processes, the Commission’s revisions are arbitrary and capri</w:t>
      </w:r>
      <w:r>
        <w:t>cious.”</w:t>
      </w:r>
      <w:r>
        <w:rPr>
          <w:rStyle w:val="FootnoteReference"/>
        </w:rPr>
        <w:footnoteReference w:id="428"/>
      </w:r>
    </w:p>
    <w:p w14:paraId="26812CD0" w14:textId="7A5ED026" w:rsidR="00B655C5" w:rsidRDefault="00B655C5" w:rsidP="00B655C5">
      <w:pPr>
        <w:pStyle w:val="Heading5"/>
      </w:pPr>
      <w:r>
        <w:t>Commission Determination</w:t>
      </w:r>
    </w:p>
    <w:p w14:paraId="3086FF22" w14:textId="730861DB" w:rsidR="00A82D05" w:rsidRPr="00D24FD6" w:rsidRDefault="00A82D05" w:rsidP="00A82D05">
      <w:pPr>
        <w:pStyle w:val="FERCparanumber"/>
        <w:rPr>
          <w:b/>
          <w:bCs/>
        </w:rPr>
      </w:pPr>
      <w:r w:rsidRPr="00EF1F92">
        <w:t>We disagree with the arguments raised on rehearing that the Commission failed to comply with the APA in adopting the requirement that</w:t>
      </w:r>
      <w:r>
        <w:t xml:space="preserve"> transmission providers consult with Relevant State Entities</w:t>
      </w:r>
      <w:r w:rsidR="008D4A8E" w:rsidRPr="008D4A8E">
        <w:t xml:space="preserve"> </w:t>
      </w:r>
      <w:r w:rsidR="008D4A8E" w:rsidRPr="00ED4C61">
        <w:t>prior to amending the Long-Term Regional Transmission Cost Allocation Method(s) and/or State Agreement Process</w:t>
      </w:r>
      <w:r>
        <w:t>.</w:t>
      </w:r>
      <w:r>
        <w:rPr>
          <w:rStyle w:val="FootnoteReference"/>
        </w:rPr>
        <w:footnoteReference w:id="429"/>
      </w:r>
      <w:r>
        <w:t xml:space="preserve">  First, MISO TOs mischaracterize the consultation requirement in calling it a “roadblock[ ]</w:t>
      </w:r>
      <w:r w:rsidRPr="006229BC">
        <w:t xml:space="preserve"> . . . in the way of reaching appropriate [c]</w:t>
      </w:r>
      <w:proofErr w:type="spellStart"/>
      <w:r w:rsidRPr="006229BC">
        <w:t>ost</w:t>
      </w:r>
      <w:proofErr w:type="spellEnd"/>
      <w:r w:rsidRPr="006229BC">
        <w:t xml:space="preserve"> [a]</w:t>
      </w:r>
      <w:proofErr w:type="spellStart"/>
      <w:r w:rsidRPr="006229BC">
        <w:t>llocation</w:t>
      </w:r>
      <w:proofErr w:type="spellEnd"/>
      <w:r w:rsidRPr="006229BC">
        <w:t xml:space="preserve"> [m]</w:t>
      </w:r>
      <w:proofErr w:type="spellStart"/>
      <w:r w:rsidRPr="006229BC">
        <w:t>ethods</w:t>
      </w:r>
      <w:proofErr w:type="spellEnd"/>
      <w:r>
        <w:t>,”</w:t>
      </w:r>
      <w:r>
        <w:rPr>
          <w:rStyle w:val="FootnoteReference"/>
        </w:rPr>
        <w:footnoteReference w:id="430"/>
      </w:r>
      <w:r>
        <w:t xml:space="preserve"> as Order No. 1920-A provides transmission providers flexibility as to both the form and duration of the required consultation.</w:t>
      </w:r>
      <w:r>
        <w:rPr>
          <w:rStyle w:val="FootnoteReference"/>
        </w:rPr>
        <w:footnoteReference w:id="431"/>
      </w:r>
      <w:r>
        <w:t xml:space="preserve">  Moreover, Order No. 1920-A does not require that transmission </w:t>
      </w:r>
      <w:r>
        <w:lastRenderedPageBreak/>
        <w:t xml:space="preserve">providers </w:t>
      </w:r>
      <w:r w:rsidR="00402AA4">
        <w:t>post</w:t>
      </w:r>
      <w:r>
        <w:t xml:space="preserve"> any detail beyond the results of any consultation,</w:t>
      </w:r>
      <w:r>
        <w:rPr>
          <w:rStyle w:val="FootnoteReference"/>
        </w:rPr>
        <w:footnoteReference w:id="432"/>
      </w:r>
      <w:r>
        <w:t xml:space="preserve"> and for consultations initiated by Relevant State Entities, </w:t>
      </w:r>
      <w:r w:rsidR="004B1B33">
        <w:t xml:space="preserve">Order No. 1920-A requires </w:t>
      </w:r>
      <w:r w:rsidR="00FA6998">
        <w:t>only</w:t>
      </w:r>
      <w:r w:rsidR="004B1B33">
        <w:t xml:space="preserve"> </w:t>
      </w:r>
      <w:r>
        <w:t xml:space="preserve">an explanation for why the transmission provider has chosen not to propose any </w:t>
      </w:r>
      <w:r w:rsidRPr="00DB37CD">
        <w:t xml:space="preserve">amendments to the </w:t>
      </w:r>
      <w:r w:rsidR="00822DE6">
        <w:t xml:space="preserve">                 </w:t>
      </w:r>
      <w:r w:rsidRPr="00DB37CD">
        <w:t>Long-Term Regional Transmission Cost Allocation Method(s) and/or State Agreement Process preferred by Relevant State Entities</w:t>
      </w:r>
      <w:r>
        <w:t xml:space="preserve"> during the required consultation.</w:t>
      </w:r>
      <w:r>
        <w:rPr>
          <w:rStyle w:val="FootnoteReference"/>
        </w:rPr>
        <w:footnoteReference w:id="433"/>
      </w:r>
      <w:r>
        <w:t xml:space="preserve">  Contrary to MISO TOs’ contention that the consultation requirement contravenes the purpose of Order No. 1920, we find that the consultation requirement directly furthers the</w:t>
      </w:r>
      <w:r w:rsidR="002E4B06">
        <w:t xml:space="preserve"> essential purpose of</w:t>
      </w:r>
      <w:r>
        <w:t xml:space="preserve"> Long-Term Regional Transmission Planning</w:t>
      </w:r>
      <w:r w:rsidR="002E4B06">
        <w:t xml:space="preserve"> to </w:t>
      </w:r>
      <w:r>
        <w:t>develop more efficient or cost-effective regional transmission facilities.</w:t>
      </w:r>
      <w:r>
        <w:rPr>
          <w:rStyle w:val="FootnoteReference"/>
        </w:rPr>
        <w:footnoteReference w:id="434"/>
      </w:r>
      <w:r>
        <w:t xml:space="preserve">  The consultation requirement, in ensuring that states have the opportunity to be involved in </w:t>
      </w:r>
      <w:r w:rsidR="00BF6E69">
        <w:t xml:space="preserve">development of </w:t>
      </w:r>
      <w:r>
        <w:t xml:space="preserve">cost allocation methods for Long-Term Regional Transmission Facilities subsequent to the Commission’s </w:t>
      </w:r>
      <w:r w:rsidRPr="002214C5">
        <w:t>acceptance of transmission providers’ filings made in compliance with Order No. 1920</w:t>
      </w:r>
      <w:r>
        <w:t>, has the potential to minimize additional costs and delays in the siting process and to facilitate the development of Long-Term Regional Transmission Facilities.</w:t>
      </w:r>
      <w:r>
        <w:rPr>
          <w:rStyle w:val="FootnoteReference"/>
        </w:rPr>
        <w:footnoteReference w:id="435"/>
      </w:r>
      <w:r>
        <w:t xml:space="preserve">  Therefore, on balance, we find that the consultation requirement adopted in </w:t>
      </w:r>
      <w:r>
        <w:lastRenderedPageBreak/>
        <w:t xml:space="preserve">Order No. 1920-A is an appropriate, tailored means of </w:t>
      </w:r>
      <w:r w:rsidR="003E5AF0">
        <w:t xml:space="preserve">furthering </w:t>
      </w:r>
      <w:r>
        <w:t>Order No. 1920’s essential purpose.</w:t>
      </w:r>
    </w:p>
    <w:p w14:paraId="45F684DB" w14:textId="5B6820E4" w:rsidR="00A82D05" w:rsidRPr="00EF1F92" w:rsidRDefault="00A82D05" w:rsidP="00A82D05">
      <w:pPr>
        <w:pStyle w:val="FERCparanumber"/>
        <w:rPr>
          <w:b/>
          <w:bCs/>
        </w:rPr>
      </w:pPr>
      <w:r>
        <w:t>We also disagree with SPP TOs’ and WIRES’ arguments that the Commission’s adoption of the consultation requirement is arbitrary or capricious because Relevant State Entities have other means of participating in the development of Long-Term Regional Transmission Cost Allocation Method</w:t>
      </w:r>
      <w:r w:rsidRPr="00B13139">
        <w:t>s</w:t>
      </w:r>
      <w:r>
        <w:t xml:space="preserve"> and/or State Agreement Process, or because transmission providers would otherwise be incented to consult with Relevant State Entities and consider their input before making </w:t>
      </w:r>
      <w:r w:rsidR="00226678" w:rsidRPr="00B13139">
        <w:t>FPA</w:t>
      </w:r>
      <w:r w:rsidR="00226678">
        <w:t xml:space="preserve"> </w:t>
      </w:r>
      <w:r>
        <w:t>section 205 filings.</w:t>
      </w:r>
      <w:r>
        <w:rPr>
          <w:rStyle w:val="FootnoteReference"/>
        </w:rPr>
        <w:footnoteReference w:id="436"/>
      </w:r>
      <w:r>
        <w:t xml:space="preserve">  In Order </w:t>
      </w:r>
      <w:r w:rsidR="00822DE6">
        <w:t xml:space="preserve">             </w:t>
      </w:r>
      <w:r>
        <w:t xml:space="preserve">No. 1920-A, the Commission found that the consultation requirement will </w:t>
      </w:r>
      <w:r w:rsidRPr="00CC08A9">
        <w:t>ensure</w:t>
      </w:r>
      <w:r>
        <w:t xml:space="preserve"> that states have the opportunity to be involved in </w:t>
      </w:r>
      <w:r w:rsidR="00BF6E69">
        <w:t xml:space="preserve">developing </w:t>
      </w:r>
      <w:r w:rsidRPr="00607AD4">
        <w:t>cost allocation methods for Long-Term Regional Transmission Facilities subsequent to the Commission’s acceptance of transmission providers’ filings made in compliance with Order No. 1920</w:t>
      </w:r>
      <w:r>
        <w:t>.</w:t>
      </w:r>
      <w:r>
        <w:rPr>
          <w:rStyle w:val="FootnoteReference"/>
        </w:rPr>
        <w:footnoteReference w:id="437"/>
      </w:r>
      <w:r>
        <w:t xml:space="preserve">  </w:t>
      </w:r>
      <w:r w:rsidR="00E009E1">
        <w:t>T</w:t>
      </w:r>
      <w:r>
        <w:t xml:space="preserve">ransmission providers may already have an incentive to provide states </w:t>
      </w:r>
      <w:r w:rsidR="003958A2">
        <w:t xml:space="preserve">with </w:t>
      </w:r>
      <w:r>
        <w:t xml:space="preserve">an opportunity to be involved in establishing cost allocation methods for Long-Term Regional </w:t>
      </w:r>
      <w:r w:rsidRPr="00607AD4">
        <w:t>Transmission Facilities subsequent to the Commission’s acceptance of transmission providers’ filings made in compliance with Order No. 1920</w:t>
      </w:r>
      <w:r>
        <w:t xml:space="preserve">—given such involvement </w:t>
      </w:r>
      <w:r w:rsidRPr="0026332C">
        <w:t xml:space="preserve">has the potential to minimize additional costs and delays in the siting process and to facilitate the development of Long-Term Regional Transmission </w:t>
      </w:r>
      <w:r w:rsidRPr="0026332C">
        <w:lastRenderedPageBreak/>
        <w:t>Facilities</w:t>
      </w:r>
      <w:r w:rsidR="00FA7ECA">
        <w:t>.</w:t>
      </w:r>
      <w:r>
        <w:rPr>
          <w:rStyle w:val="FootnoteReference"/>
        </w:rPr>
        <w:footnoteReference w:id="438"/>
      </w:r>
      <w:r w:rsidR="005B3FD7">
        <w:t xml:space="preserve">  </w:t>
      </w:r>
      <w:r w:rsidR="0071012E">
        <w:t xml:space="preserve">However, </w:t>
      </w:r>
      <w:r>
        <w:t xml:space="preserve">the consultation requirement adopted in Order No. 1920-A </w:t>
      </w:r>
      <w:r>
        <w:rPr>
          <w:i/>
          <w:iCs/>
        </w:rPr>
        <w:t>ensures</w:t>
      </w:r>
      <w:r>
        <w:t xml:space="preserve"> that Relevant State Entities have such an opportunity.  </w:t>
      </w:r>
    </w:p>
    <w:p w14:paraId="5A6111CE" w14:textId="3793749D" w:rsidR="004D2321" w:rsidRPr="004D2321" w:rsidRDefault="00B709D8" w:rsidP="004D2321">
      <w:pPr>
        <w:pStyle w:val="Heading4"/>
      </w:pPr>
      <w:r>
        <w:t>First Amendment</w:t>
      </w:r>
    </w:p>
    <w:p w14:paraId="58F49FBD" w14:textId="05D4C490" w:rsidR="00B655C5" w:rsidRDefault="00B655C5" w:rsidP="0036110B">
      <w:pPr>
        <w:pStyle w:val="Heading5"/>
      </w:pPr>
      <w:r>
        <w:t>Rehearing Requests</w:t>
      </w:r>
    </w:p>
    <w:p w14:paraId="21130A56" w14:textId="31B53BC6" w:rsidR="00B420F5" w:rsidRDefault="0037204D" w:rsidP="0037204D">
      <w:pPr>
        <w:pStyle w:val="FERCparanumber"/>
      </w:pPr>
      <w:r w:rsidRPr="0037204D">
        <w:t>Indicated</w:t>
      </w:r>
      <w:r>
        <w:t xml:space="preserve"> PJM TOs argue that the requirement that transmission providers explain why they have chosen not to propose any amendments to the Long-Term Regional Transmission Cost Allocation Method(s) and/or State Agreement Process preferred by Relevant State Entities during the required consultation violates the First Amendment</w:t>
      </w:r>
      <w:r w:rsidR="007D4938">
        <w:t xml:space="preserve"> to the U</w:t>
      </w:r>
      <w:r w:rsidR="009847E5">
        <w:t xml:space="preserve">nited </w:t>
      </w:r>
      <w:r w:rsidR="007D4938">
        <w:t>S</w:t>
      </w:r>
      <w:r w:rsidR="009847E5">
        <w:t>tates</w:t>
      </w:r>
      <w:r w:rsidR="007D4938">
        <w:t xml:space="preserve"> Constitution</w:t>
      </w:r>
      <w:r>
        <w:t>.</w:t>
      </w:r>
      <w:r>
        <w:rPr>
          <w:rStyle w:val="FootnoteReference"/>
        </w:rPr>
        <w:footnoteReference w:id="439"/>
      </w:r>
      <w:r>
        <w:t xml:space="preserve">  Indicated PJM TOs contend that the First Amendment protects transmission providers’ right to speak as well as their right not to speak, and that this requirement constitutes governmentally compelled speech that the Commission cannot require.</w:t>
      </w:r>
      <w:r>
        <w:rPr>
          <w:rStyle w:val="FootnoteReference"/>
        </w:rPr>
        <w:footnoteReference w:id="440"/>
      </w:r>
    </w:p>
    <w:p w14:paraId="52B5F2F5" w14:textId="5788F00B" w:rsidR="00E35837" w:rsidRDefault="00E35837" w:rsidP="00E35837">
      <w:pPr>
        <w:pStyle w:val="Heading5"/>
      </w:pPr>
      <w:r>
        <w:t>Commission Determination</w:t>
      </w:r>
    </w:p>
    <w:p w14:paraId="54295117" w14:textId="6C6D416C" w:rsidR="00A82D05" w:rsidRDefault="00A82D05" w:rsidP="00A82D05">
      <w:pPr>
        <w:pStyle w:val="FERCparanumber"/>
      </w:pPr>
      <w:r>
        <w:t xml:space="preserve">Above, we address Indicated PJM TOs’ argument that transmission providers’ First Amendment rights are violated by Order No. 1920-A’s requirement that transmission providers include </w:t>
      </w:r>
      <w:r w:rsidRPr="003854C8">
        <w:t xml:space="preserve">in the transmittal or as an attachment to their </w:t>
      </w:r>
      <w:r w:rsidR="004E6404">
        <w:t>Order No.</w:t>
      </w:r>
      <w:r w:rsidR="00E26973">
        <w:t> </w:t>
      </w:r>
      <w:r w:rsidR="004E6404">
        <w:t xml:space="preserve">1920 regional transmission planning and cost allocation </w:t>
      </w:r>
      <w:r w:rsidRPr="003854C8">
        <w:t>compliance filing</w:t>
      </w:r>
      <w:r>
        <w:t xml:space="preserve"> </w:t>
      </w:r>
      <w:r w:rsidR="00A50E35" w:rsidRPr="00194B85">
        <w:t>the</w:t>
      </w:r>
      <w:r w:rsidR="00A50E35">
        <w:t xml:space="preserve"> </w:t>
      </w:r>
      <w:r w:rsidR="00822DE6">
        <w:t xml:space="preserve">             </w:t>
      </w:r>
      <w:r>
        <w:lastRenderedPageBreak/>
        <w:t>Long-Term Regional Transmission Cost Allocation Method(s) and/or State Agreement Process agreed to by Relevant State Entities during the Engagement Period.</w:t>
      </w:r>
      <w:r>
        <w:rPr>
          <w:rStyle w:val="FootnoteReference"/>
        </w:rPr>
        <w:footnoteReference w:id="441"/>
      </w:r>
      <w:r>
        <w:t xml:space="preserve">  For similar reasons, we find that the </w:t>
      </w:r>
      <w:r w:rsidRPr="003A4AEC">
        <w:t xml:space="preserve">requirement that transmission providers </w:t>
      </w:r>
      <w:r>
        <w:t>explain why they have chosen not to propose any amendments to the Long-Term Regional Transmission Cost Allocation Method(s) and/or State Agreement Process preferred by Relevant State Entities during the required consultation does not implicate transmission providers’ rights under the First Amendment.  As discussed above,</w:t>
      </w:r>
      <w:r>
        <w:rPr>
          <w:rStyle w:val="FootnoteReference"/>
        </w:rPr>
        <w:footnoteReference w:id="442"/>
      </w:r>
      <w:r>
        <w:t xml:space="preserve"> the requirement </w:t>
      </w:r>
      <w:r w:rsidRPr="003A4AEC">
        <w:t xml:space="preserve">that transmission providers </w:t>
      </w:r>
      <w:r>
        <w:t>explain why they have chosen not to propose any amendments to the Long-Term Regional Transmission Cost Allocation Method(s) and/or State Agreement Process preferred by Relevant State Entities during the required consultation is a</w:t>
      </w:r>
      <w:r w:rsidRPr="008851BD">
        <w:t xml:space="preserve"> regulation of the practices surrounding cost allocation to ensure the development of </w:t>
      </w:r>
      <w:r>
        <w:t>c</w:t>
      </w:r>
      <w:r w:rsidRPr="008851BD">
        <w:t xml:space="preserve">ost </w:t>
      </w:r>
      <w:r>
        <w:t>a</w:t>
      </w:r>
      <w:r w:rsidRPr="008851BD">
        <w:t xml:space="preserve">llocation </w:t>
      </w:r>
      <w:r>
        <w:t>m</w:t>
      </w:r>
      <w:r w:rsidRPr="008851BD">
        <w:t xml:space="preserve">ethods that will facilitate the timely, efficient development of Long-Term Regional </w:t>
      </w:r>
      <w:r w:rsidR="00DB3B2B">
        <w:t xml:space="preserve">Transmission </w:t>
      </w:r>
      <w:r w:rsidRPr="008851BD">
        <w:t>Facilities, given the critical role of states in that process</w:t>
      </w:r>
      <w:r w:rsidRPr="00861E76">
        <w:t>.</w:t>
      </w:r>
      <w:r>
        <w:t xml:space="preserve">  This requirement is not a “veiled attempt to . . . ‘manipulate the public debate through coercion’”</w:t>
      </w:r>
      <w:r>
        <w:rPr>
          <w:rStyle w:val="FootnoteReference"/>
        </w:rPr>
        <w:footnoteReference w:id="443"/>
      </w:r>
      <w:r>
        <w:t xml:space="preserve"> but rather an integral component in Order No. 1920’s </w:t>
      </w:r>
      <w:r>
        <w:lastRenderedPageBreak/>
        <w:t xml:space="preserve">reforms </w:t>
      </w:r>
      <w:r w:rsidRPr="008851BD">
        <w:t>facilitat</w:t>
      </w:r>
      <w:r>
        <w:t>ing</w:t>
      </w:r>
      <w:r w:rsidRPr="008851BD">
        <w:t xml:space="preserve"> the timely, efficient development of Long-Term Regional </w:t>
      </w:r>
      <w:r w:rsidR="00DB3B2B">
        <w:t xml:space="preserve">Transmission </w:t>
      </w:r>
      <w:r w:rsidRPr="008851BD">
        <w:t>Facilities</w:t>
      </w:r>
      <w:r>
        <w:t xml:space="preserve">, and thus ensuring just and reasonable Commission-jurisdictional rates.  We therefore find no difference for the purposes of the First Amendment between this requirement and Order No. 1000’s reform, necessary to ensure just and reasonable Commission-jurisdictional rates, of the “practices of failing to engage in . . . </w:t>
      </w:r>
      <w:proofErr w:type="spellStart"/>
      <w:r>
        <w:rPr>
          <w:i/>
          <w:iCs/>
        </w:rPr>
        <w:t>ex ante</w:t>
      </w:r>
      <w:proofErr w:type="spellEnd"/>
      <w:r>
        <w:rPr>
          <w:i/>
          <w:iCs/>
        </w:rPr>
        <w:t xml:space="preserve"> </w:t>
      </w:r>
      <w:r>
        <w:t>cost allocation for development of new regional transmission facilities.”</w:t>
      </w:r>
      <w:r>
        <w:rPr>
          <w:rStyle w:val="FootnoteReference"/>
        </w:rPr>
        <w:footnoteReference w:id="444"/>
      </w:r>
      <w:r>
        <w:t xml:space="preserve">  </w:t>
      </w:r>
    </w:p>
    <w:p w14:paraId="5018AF4E" w14:textId="245D84F2" w:rsidR="00A82D05" w:rsidRPr="00C73E94" w:rsidRDefault="00A82D05" w:rsidP="00A82D05">
      <w:pPr>
        <w:pStyle w:val="FERCparanumber"/>
      </w:pPr>
      <w:r>
        <w:t xml:space="preserve">As with Indicated PJM TOs’ First Amendment arguments with respect to the requirement that transmission providers include Relevant State </w:t>
      </w:r>
      <w:proofErr w:type="gramStart"/>
      <w:r>
        <w:t>Entities’</w:t>
      </w:r>
      <w:proofErr w:type="gramEnd"/>
      <w:r>
        <w:t xml:space="preserve"> agreed-upon Long-Term Regional Transmission Cost Allocation Method(s) and/or State Agreement Process in their compliance filings, we find that Indicated PJM TOs’ reliance on cases concerning compelled expression of political and ideological messages such as </w:t>
      </w:r>
      <w:r w:rsidRPr="008D6753">
        <w:rPr>
          <w:i/>
          <w:iCs/>
        </w:rPr>
        <w:t xml:space="preserve">Wooley </w:t>
      </w:r>
      <w:r>
        <w:t xml:space="preserve">and </w:t>
      </w:r>
      <w:r w:rsidRPr="008D6753">
        <w:rPr>
          <w:i/>
          <w:iCs/>
        </w:rPr>
        <w:t>PG&amp;E</w:t>
      </w:r>
      <w:r>
        <w:t xml:space="preserve"> is misplaced.  The Supreme Court has consistently held that “</w:t>
      </w:r>
      <w:r w:rsidRPr="003A4AEC">
        <w:t>expression related solely to the economic interests of the speaker and its audience</w:t>
      </w:r>
      <w:r>
        <w:t>”</w:t>
      </w:r>
      <w:r>
        <w:rPr>
          <w:rStyle w:val="FootnoteReference"/>
        </w:rPr>
        <w:footnoteReference w:id="445"/>
      </w:r>
      <w:r>
        <w:t xml:space="preserve"> is entitled to only a “</w:t>
      </w:r>
      <w:r w:rsidRPr="003A4AEC">
        <w:t>limited measure of protection, commensurate with its subordinate position in the scale of First Amendment values</w:t>
      </w:r>
      <w:r>
        <w:t>.”</w:t>
      </w:r>
      <w:r>
        <w:rPr>
          <w:rStyle w:val="FootnoteReference"/>
        </w:rPr>
        <w:footnoteReference w:id="446"/>
      </w:r>
      <w:r>
        <w:t xml:space="preserve">  The requirement </w:t>
      </w:r>
      <w:r w:rsidRPr="003A4AEC">
        <w:t xml:space="preserve">that transmission providers </w:t>
      </w:r>
      <w:r>
        <w:lastRenderedPageBreak/>
        <w:t>explain why they have chosen not to propose any amendments to the Long-Term Regional Transmission Cost Allocation Method(s) and/or State Agreement Process preferred by Relevant State Entities during the required consultation does not compel transmission providers to utter phrases “repugnant to their moral, religious, and political beliefs,”</w:t>
      </w:r>
      <w:r>
        <w:rPr>
          <w:rStyle w:val="FootnoteReference"/>
        </w:rPr>
        <w:footnoteReference w:id="447"/>
      </w:r>
      <w:r>
        <w:t xml:space="preserve"> but instead simply requires that they explain their disagreement with Relevant State Entities as to the economic matter of how the cost of Long-Term Regional Transmission Facilities ought to be allocated.</w:t>
      </w:r>
      <w:r>
        <w:rPr>
          <w:rStyle w:val="FootnoteReference"/>
        </w:rPr>
        <w:footnoteReference w:id="448"/>
      </w:r>
      <w:r>
        <w:t xml:space="preserve">  Therefore, at most, the </w:t>
      </w:r>
      <w:r w:rsidRPr="003A4AEC">
        <w:t xml:space="preserve">requirement that transmission providers </w:t>
      </w:r>
      <w:r>
        <w:t xml:space="preserve">explain why they have chosen not to propose any amendments to the Long-Term Regional Transmission Cost Allocation Method(s) and/or State Agreement Process preferred by Relevant State Entities during the required consultation should be judged under the </w:t>
      </w:r>
      <w:r>
        <w:rPr>
          <w:i/>
          <w:iCs/>
        </w:rPr>
        <w:t>Central Hudson</w:t>
      </w:r>
      <w:r>
        <w:t xml:space="preserve"> standard applied to regulations on commercial speech.</w:t>
      </w:r>
      <w:r>
        <w:rPr>
          <w:rStyle w:val="FootnoteReference"/>
        </w:rPr>
        <w:footnoteReference w:id="449"/>
      </w:r>
      <w:r>
        <w:t xml:space="preserve">  We find that this requirement satisfies </w:t>
      </w:r>
      <w:r>
        <w:rPr>
          <w:i/>
          <w:iCs/>
        </w:rPr>
        <w:t>Central Hudson</w:t>
      </w:r>
      <w:r>
        <w:t xml:space="preserve">, as it </w:t>
      </w:r>
      <w:r>
        <w:lastRenderedPageBreak/>
        <w:t xml:space="preserve">directly advances the Commission’s substantial interest in ensuring that </w:t>
      </w:r>
      <w:r w:rsidRPr="00581992">
        <w:t>states have the opportunity to be involved in establishing cost allocation methods for Long-Term Regional Transmission Facilities subsequent to the Commission’s acceptance of transmission providers’ filings made in compliance with Order No. 1920, which has the potential to minimize additional costs and delays in the siting process and to facilitate the development of Long-Term Regional Transmission Facilities</w:t>
      </w:r>
      <w:r>
        <w:t>,</w:t>
      </w:r>
      <w:r>
        <w:rPr>
          <w:rStyle w:val="FootnoteReference"/>
        </w:rPr>
        <w:footnoteReference w:id="450"/>
      </w:r>
      <w:r>
        <w:t xml:space="preserve"> and </w:t>
      </w:r>
      <w:r w:rsidRPr="005152C9">
        <w:t>is “in proportion to” and not more extensive than is necessary to serve the Commission’s</w:t>
      </w:r>
      <w:r>
        <w:t xml:space="preserve"> substantial interest.</w:t>
      </w:r>
      <w:r>
        <w:rPr>
          <w:rStyle w:val="FootnoteReference"/>
        </w:rPr>
        <w:footnoteReference w:id="451"/>
      </w:r>
    </w:p>
    <w:p w14:paraId="1C092796" w14:textId="270CAFF6" w:rsidR="00DE134E" w:rsidRDefault="009A04CD" w:rsidP="00613797">
      <w:pPr>
        <w:pStyle w:val="Heading2"/>
      </w:pPr>
      <w:r>
        <w:t>Definition of Relevant State</w:t>
      </w:r>
      <w:r w:rsidR="00DE134E">
        <w:t xml:space="preserve"> Entities</w:t>
      </w:r>
    </w:p>
    <w:p w14:paraId="4D19C01B" w14:textId="3A191AA9" w:rsidR="00E83C42" w:rsidRDefault="009F77B3" w:rsidP="009F77B3">
      <w:pPr>
        <w:pStyle w:val="Heading3"/>
      </w:pPr>
      <w:r>
        <w:t>Order No</w:t>
      </w:r>
      <w:r w:rsidR="003F18FF">
        <w:t>s</w:t>
      </w:r>
      <w:r>
        <w:t>. 1920</w:t>
      </w:r>
      <w:r w:rsidR="00204036">
        <w:t xml:space="preserve"> </w:t>
      </w:r>
      <w:r w:rsidR="00693FA0">
        <w:t>and 1920-A</w:t>
      </w:r>
    </w:p>
    <w:p w14:paraId="14617AF4" w14:textId="2A43A64C" w:rsidR="00634135" w:rsidRPr="00634135" w:rsidRDefault="00C16C63" w:rsidP="00FE1B9A">
      <w:pPr>
        <w:pStyle w:val="FERCparanumber"/>
      </w:pPr>
      <w:r w:rsidRPr="006C4913">
        <w:t xml:space="preserve">In Order No. 1920, the </w:t>
      </w:r>
      <w:r w:rsidRPr="002751D7">
        <w:t xml:space="preserve">Commission </w:t>
      </w:r>
      <w:r>
        <w:t>defined a “Relevant State Entity” as “</w:t>
      </w:r>
      <w:r w:rsidRPr="0021761D">
        <w:t xml:space="preserve">any state entity responsible for electric utility regulation or siting electric transmission </w:t>
      </w:r>
      <w:r w:rsidRPr="0021761D">
        <w:lastRenderedPageBreak/>
        <w:t>facilities within the state or portion of a state located in the transmission planning region, including any state entity as may be designated for that purpose by the law of such state</w:t>
      </w:r>
      <w:r>
        <w:t>.”</w:t>
      </w:r>
      <w:r w:rsidRPr="00134546">
        <w:rPr>
          <w:rStyle w:val="FootnoteReference"/>
        </w:rPr>
        <w:footnoteReference w:id="452"/>
      </w:r>
      <w:r w:rsidRPr="00134546">
        <w:t xml:space="preserve"> </w:t>
      </w:r>
      <w:r>
        <w:t xml:space="preserve"> </w:t>
      </w:r>
      <w:r w:rsidR="00634135">
        <w:rPr>
          <w:bCs/>
        </w:rPr>
        <w:t>In response to comments on the NOPR, the Commission declined to expand the definition of Relevant State Entities to include additional entities, including electric cooperatives</w:t>
      </w:r>
      <w:r w:rsidR="00D33555">
        <w:rPr>
          <w:bCs/>
        </w:rPr>
        <w:t xml:space="preserve">, and explained that </w:t>
      </w:r>
      <w:r w:rsidR="002211AE">
        <w:rPr>
          <w:bCs/>
        </w:rPr>
        <w:t xml:space="preserve">providing state regulators </w:t>
      </w:r>
      <w:r w:rsidR="0027507C">
        <w:rPr>
          <w:bCs/>
        </w:rPr>
        <w:t>with a formal opportunity to develop cost allocation methods in Long-Term Regional Transmission Planning</w:t>
      </w:r>
      <w:r w:rsidR="00DD51A8">
        <w:rPr>
          <w:bCs/>
        </w:rPr>
        <w:t xml:space="preserve"> could increase state support for Long-Term Regional Transmission Facilities that </w:t>
      </w:r>
      <w:r w:rsidR="00677FA9">
        <w:rPr>
          <w:bCs/>
        </w:rPr>
        <w:t xml:space="preserve">transmission providers </w:t>
      </w:r>
      <w:r w:rsidR="00DD51A8">
        <w:rPr>
          <w:bCs/>
        </w:rPr>
        <w:t>select</w:t>
      </w:r>
      <w:r w:rsidR="00A42EB9">
        <w:rPr>
          <w:bCs/>
        </w:rPr>
        <w:t xml:space="preserve"> and that this may </w:t>
      </w:r>
      <w:r w:rsidR="00B051C6">
        <w:rPr>
          <w:bCs/>
        </w:rPr>
        <w:t xml:space="preserve">increase the likelihood that such </w:t>
      </w:r>
      <w:r w:rsidR="00642323">
        <w:rPr>
          <w:bCs/>
        </w:rPr>
        <w:t>f</w:t>
      </w:r>
      <w:r w:rsidR="00B051C6">
        <w:rPr>
          <w:bCs/>
        </w:rPr>
        <w:t xml:space="preserve">acilities </w:t>
      </w:r>
      <w:r w:rsidR="003131D2">
        <w:rPr>
          <w:bCs/>
        </w:rPr>
        <w:t xml:space="preserve">are sited and ultimately developed with fewer costly delays </w:t>
      </w:r>
      <w:r w:rsidR="00E87ED6">
        <w:rPr>
          <w:bCs/>
        </w:rPr>
        <w:t xml:space="preserve">and </w:t>
      </w:r>
      <w:r w:rsidR="00727B06">
        <w:rPr>
          <w:bCs/>
        </w:rPr>
        <w:t>better ensure just and reasonable Commission-jurisdictional rates</w:t>
      </w:r>
      <w:r w:rsidR="00634135">
        <w:rPr>
          <w:bCs/>
        </w:rPr>
        <w:t>.</w:t>
      </w:r>
      <w:r w:rsidR="00634135">
        <w:rPr>
          <w:rStyle w:val="FootnoteReference"/>
          <w:bCs/>
        </w:rPr>
        <w:footnoteReference w:id="453"/>
      </w:r>
      <w:r w:rsidR="00634135">
        <w:rPr>
          <w:bCs/>
        </w:rPr>
        <w:t xml:space="preserve">  </w:t>
      </w:r>
      <w:r w:rsidR="00D01650">
        <w:t>The Commission made clear, however, that nothing in Order No. 1920 diminishes the role of stakeholders that are not Relevant State Entities nor absolves transmission providers of any existing obligations that they may have to provide opportunities for stakeholder input.</w:t>
      </w:r>
      <w:r w:rsidR="00D01650">
        <w:rPr>
          <w:rStyle w:val="FootnoteReference"/>
        </w:rPr>
        <w:footnoteReference w:id="454"/>
      </w:r>
    </w:p>
    <w:p w14:paraId="59108D24" w14:textId="470CC36A" w:rsidR="00C16C63" w:rsidRPr="00FE1B9A" w:rsidRDefault="00696359" w:rsidP="00FE1B9A">
      <w:pPr>
        <w:pStyle w:val="FERCparanumber"/>
      </w:pPr>
      <w:r>
        <w:t xml:space="preserve">Order No. 1920 </w:t>
      </w:r>
      <w:r w:rsidR="000D7B04">
        <w:t xml:space="preserve">provided </w:t>
      </w:r>
      <w:r w:rsidR="0066777B">
        <w:t xml:space="preserve">opportunities </w:t>
      </w:r>
      <w:r w:rsidR="000D7B04">
        <w:t xml:space="preserve">for </w:t>
      </w:r>
      <w:r w:rsidR="00EC0557">
        <w:t xml:space="preserve">Relevant State Entities </w:t>
      </w:r>
      <w:r w:rsidR="002415BC">
        <w:t xml:space="preserve">to </w:t>
      </w:r>
      <w:r w:rsidR="0066777B">
        <w:t>participate</w:t>
      </w:r>
      <w:r w:rsidR="002415BC">
        <w:t xml:space="preserve"> in Long-Term Regional Transmission Planning, </w:t>
      </w:r>
      <w:r w:rsidR="00C20BF3">
        <w:t>including</w:t>
      </w:r>
      <w:r w:rsidR="001A7CA4">
        <w:t xml:space="preserve">, but not limited </w:t>
      </w:r>
      <w:r w:rsidR="002D7AA9">
        <w:t>to,</w:t>
      </w:r>
      <w:r w:rsidR="0063781B">
        <w:t xml:space="preserve"> </w:t>
      </w:r>
      <w:r w:rsidR="009D0F04">
        <w:t>the requirement</w:t>
      </w:r>
      <w:r w:rsidR="00C0363D">
        <w:t>s</w:t>
      </w:r>
      <w:r w:rsidR="009D0F04">
        <w:t xml:space="preserve"> that</w:t>
      </w:r>
      <w:r w:rsidR="004F67B2">
        <w:t xml:space="preserve"> transmission providers in each transmission planning region</w:t>
      </w:r>
      <w:r w:rsidR="00C0363D">
        <w:t xml:space="preserve">: </w:t>
      </w:r>
      <w:r w:rsidR="00E07E91">
        <w:t xml:space="preserve"> </w:t>
      </w:r>
      <w:r w:rsidR="00C0363D">
        <w:t>(1)</w:t>
      </w:r>
      <w:r w:rsidR="00735EB4">
        <w:t> </w:t>
      </w:r>
      <w:r w:rsidR="00E07E91" w:rsidRPr="00E07E91">
        <w:t xml:space="preserve">consult with and seek support from Relevant State Entities regarding the evaluation </w:t>
      </w:r>
      <w:r w:rsidR="00E07E91" w:rsidRPr="00E07E91">
        <w:lastRenderedPageBreak/>
        <w:t>process, including selection criteria, that transmission providers propose to use to identify and evaluate Long-Term Regional Transmission Facilities for selection</w:t>
      </w:r>
      <w:r w:rsidR="00974AAC">
        <w:t>;</w:t>
      </w:r>
      <w:r w:rsidR="00E07E91">
        <w:rPr>
          <w:rStyle w:val="FootnoteReference"/>
        </w:rPr>
        <w:footnoteReference w:id="455"/>
      </w:r>
      <w:r w:rsidR="00E07E91">
        <w:t xml:space="preserve"> </w:t>
      </w:r>
      <w:r w:rsidR="00C0363D">
        <w:t>(2)</w:t>
      </w:r>
      <w:r w:rsidR="003F1B46" w:rsidRPr="003F1B46">
        <w:t xml:space="preserve"> include in their OATTs a process to provide Relevant State Entities and interconnection customers with the opportunity to voluntarily fund the cost of, or a portion of the cost of, a </w:t>
      </w:r>
      <w:r w:rsidR="00822DE6">
        <w:t xml:space="preserve">                 </w:t>
      </w:r>
      <w:r w:rsidR="003F1B46" w:rsidRPr="003F1B46">
        <w:t>Long-Term Regional Transmission Facility that otherwise would not meet the transmission providers’ selection criteria</w:t>
      </w:r>
      <w:r w:rsidR="00974AAC">
        <w:t>;</w:t>
      </w:r>
      <w:r w:rsidR="003F1B46">
        <w:rPr>
          <w:rStyle w:val="FootnoteReference"/>
        </w:rPr>
        <w:footnoteReference w:id="456"/>
      </w:r>
      <w:r w:rsidR="003F1B46">
        <w:t xml:space="preserve"> </w:t>
      </w:r>
      <w:r w:rsidR="00371BC3">
        <w:t xml:space="preserve">and </w:t>
      </w:r>
      <w:r w:rsidR="00AE71D4">
        <w:t>(3) </w:t>
      </w:r>
      <w:r w:rsidR="00081253" w:rsidRPr="00081253">
        <w:t>provide a forum for negotiation of a Long-Term Regional Transmission Cost Allocation Method(s) and/or a State Agreement Process that enables meaningful participation by Relevant State Entities</w:t>
      </w:r>
      <w:r w:rsidR="001A7CA4">
        <w:t>.</w:t>
      </w:r>
      <w:r w:rsidR="00081253">
        <w:rPr>
          <w:rStyle w:val="FootnoteReference"/>
        </w:rPr>
        <w:footnoteReference w:id="457"/>
      </w:r>
      <w:r w:rsidR="001A7CA4">
        <w:t xml:space="preserve">  </w:t>
      </w:r>
      <w:r w:rsidR="00A3150D">
        <w:rPr>
          <w:bCs/>
        </w:rPr>
        <w:t xml:space="preserve">The Commission declined to </w:t>
      </w:r>
      <w:r w:rsidR="00FC74A6">
        <w:rPr>
          <w:bCs/>
        </w:rPr>
        <w:t xml:space="preserve">expand </w:t>
      </w:r>
      <w:r w:rsidR="00241234">
        <w:rPr>
          <w:bCs/>
        </w:rPr>
        <w:t xml:space="preserve">participation in </w:t>
      </w:r>
      <w:r w:rsidR="00BA5B04">
        <w:rPr>
          <w:bCs/>
        </w:rPr>
        <w:t>the Engagement Period beyond Relevant State Entities</w:t>
      </w:r>
      <w:r w:rsidR="00D12968">
        <w:rPr>
          <w:bCs/>
        </w:rPr>
        <w:t xml:space="preserve"> but stat</w:t>
      </w:r>
      <w:r w:rsidR="004C6311">
        <w:rPr>
          <w:bCs/>
        </w:rPr>
        <w:t>ed that</w:t>
      </w:r>
      <w:r w:rsidR="00B04031">
        <w:rPr>
          <w:bCs/>
        </w:rPr>
        <w:t xml:space="preserve"> </w:t>
      </w:r>
      <w:r w:rsidR="00CD3AC5" w:rsidRPr="00CD3AC5">
        <w:rPr>
          <w:bCs/>
        </w:rPr>
        <w:t xml:space="preserve">other participants beyond Relevant State Entities </w:t>
      </w:r>
      <w:r w:rsidR="00CD3AC5">
        <w:rPr>
          <w:bCs/>
        </w:rPr>
        <w:t>may</w:t>
      </w:r>
      <w:r w:rsidR="00CD3AC5" w:rsidRPr="00CD3AC5">
        <w:rPr>
          <w:bCs/>
        </w:rPr>
        <w:t xml:space="preserve"> participate in the State Agreement Process, if agreed to by Relevant State Entities</w:t>
      </w:r>
      <w:r w:rsidR="00F636A6">
        <w:rPr>
          <w:bCs/>
        </w:rPr>
        <w:t>.</w:t>
      </w:r>
      <w:r w:rsidR="00F636A6">
        <w:rPr>
          <w:rStyle w:val="FootnoteReference"/>
          <w:bCs/>
        </w:rPr>
        <w:footnoteReference w:id="458"/>
      </w:r>
    </w:p>
    <w:p w14:paraId="4786221B" w14:textId="7A8BA30F" w:rsidR="00406F49" w:rsidRDefault="00406F49" w:rsidP="00E072D1">
      <w:pPr>
        <w:pStyle w:val="FERCparanumber"/>
      </w:pPr>
      <w:r w:rsidRPr="002751D7">
        <w:t>In Order No. 1920-A,</w:t>
      </w:r>
      <w:r w:rsidRPr="002B4AB6">
        <w:t xml:space="preserve"> </w:t>
      </w:r>
      <w:r>
        <w:t>t</w:t>
      </w:r>
      <w:r w:rsidRPr="002B4AB6">
        <w:t xml:space="preserve">he Commission </w:t>
      </w:r>
      <w:r w:rsidR="00D2299D">
        <w:t xml:space="preserve">recognized the valuable </w:t>
      </w:r>
      <w:r w:rsidR="002923E9">
        <w:t>insight that municipal electric regulatory bodies and non-public utilities</w:t>
      </w:r>
      <w:r w:rsidR="00297D08">
        <w:t xml:space="preserve"> provide as stakeholders in Commission-</w:t>
      </w:r>
      <w:r w:rsidR="004261CA">
        <w:t>sanctioned processes</w:t>
      </w:r>
      <w:r w:rsidR="00707C07">
        <w:t xml:space="preserve"> but</w:t>
      </w:r>
      <w:r w:rsidR="002923E9">
        <w:t xml:space="preserve"> </w:t>
      </w:r>
      <w:r w:rsidRPr="002B4AB6">
        <w:t>declined requests to expand the definition of Relevant State Entity</w:t>
      </w:r>
      <w:r>
        <w:t xml:space="preserve"> to </w:t>
      </w:r>
      <w:r w:rsidR="00A41B03">
        <w:t>encompass other entities</w:t>
      </w:r>
      <w:r w:rsidRPr="002B4AB6">
        <w:t>.</w:t>
      </w:r>
      <w:r w:rsidRPr="00AE7B70">
        <w:rPr>
          <w:rStyle w:val="FootnoteReference"/>
        </w:rPr>
        <w:footnoteReference w:id="459"/>
      </w:r>
      <w:r w:rsidRPr="00743050">
        <w:rPr>
          <w:bCs/>
        </w:rPr>
        <w:t xml:space="preserve"> </w:t>
      </w:r>
      <w:r w:rsidRPr="002B4AB6">
        <w:t xml:space="preserve"> </w:t>
      </w:r>
      <w:r w:rsidR="00ED06A1">
        <w:t>In support of its decision, t</w:t>
      </w:r>
      <w:r>
        <w:t>he Commission emphasized</w:t>
      </w:r>
      <w:r w:rsidDel="0065388D">
        <w:t xml:space="preserve"> </w:t>
      </w:r>
      <w:r w:rsidR="0065388D">
        <w:t>that</w:t>
      </w:r>
      <w:r>
        <w:t xml:space="preserve"> </w:t>
      </w:r>
      <w:r w:rsidRPr="00890483">
        <w:rPr>
          <w:bCs/>
        </w:rPr>
        <w:t xml:space="preserve">state entities responsible for electric utility regulation or </w:t>
      </w:r>
      <w:r w:rsidRPr="00890483">
        <w:rPr>
          <w:bCs/>
        </w:rPr>
        <w:lastRenderedPageBreak/>
        <w:t>siting electric transmission facilities are</w:t>
      </w:r>
      <w:r>
        <w:rPr>
          <w:bCs/>
        </w:rPr>
        <w:t xml:space="preserve"> </w:t>
      </w:r>
      <w:r w:rsidRPr="00890483">
        <w:rPr>
          <w:bCs/>
        </w:rPr>
        <w:t>uniquely situated to influence whether or not a Long-Term Regional Transmission Facility reaches completion.</w:t>
      </w:r>
      <w:r w:rsidRPr="00AE7B70">
        <w:rPr>
          <w:rStyle w:val="FootnoteReference"/>
        </w:rPr>
        <w:footnoteReference w:id="460"/>
      </w:r>
      <w:r>
        <w:rPr>
          <w:bCs/>
        </w:rPr>
        <w:t xml:space="preserve">  </w:t>
      </w:r>
      <w:r w:rsidR="00D50522">
        <w:rPr>
          <w:bCs/>
        </w:rPr>
        <w:t xml:space="preserve">The Commission </w:t>
      </w:r>
      <w:r>
        <w:rPr>
          <w:bCs/>
        </w:rPr>
        <w:t>continued</w:t>
      </w:r>
      <w:r w:rsidRPr="00936799">
        <w:rPr>
          <w:bCs/>
        </w:rPr>
        <w:t xml:space="preserve"> to find that “regional transmission facilities face significant uncertainty and risk of not reaching construction if certain stakeholders</w:t>
      </w:r>
      <w:r w:rsidR="007E37DB">
        <w:rPr>
          <w:bCs/>
        </w:rPr>
        <w:t>—</w:t>
      </w:r>
      <w:r w:rsidRPr="00936799">
        <w:rPr>
          <w:bCs/>
        </w:rPr>
        <w:t>in particular, a state regulator responsible for permitting transmission facilities</w:t>
      </w:r>
      <w:r w:rsidR="007E37DB">
        <w:rPr>
          <w:bCs/>
        </w:rPr>
        <w:t>—</w:t>
      </w:r>
      <w:r w:rsidRPr="00936799">
        <w:rPr>
          <w:bCs/>
        </w:rPr>
        <w:t>do not perceive the regional transmission facilities’ value as commensurate with their costs.”</w:t>
      </w:r>
      <w:r w:rsidRPr="00936799">
        <w:rPr>
          <w:b/>
          <w:bCs/>
          <w:vertAlign w:val="superscript"/>
        </w:rPr>
        <w:footnoteReference w:id="461"/>
      </w:r>
      <w:r w:rsidRPr="00936799">
        <w:rPr>
          <w:bCs/>
        </w:rPr>
        <w:t xml:space="preserve"> </w:t>
      </w:r>
      <w:r>
        <w:rPr>
          <w:bCs/>
        </w:rPr>
        <w:t xml:space="preserve"> However, the Commission did not make a determination on whether</w:t>
      </w:r>
      <w:r w:rsidRPr="009A6D9F">
        <w:rPr>
          <w:bCs/>
        </w:rPr>
        <w:t xml:space="preserve"> an individual state’s laws, regulations, and/or policies, or inclusion in a larger association of regulators, deem a</w:t>
      </w:r>
      <w:r w:rsidR="00522901">
        <w:rPr>
          <w:bCs/>
        </w:rPr>
        <w:t>ny particular</w:t>
      </w:r>
      <w:r w:rsidRPr="009A6D9F">
        <w:rPr>
          <w:bCs/>
        </w:rPr>
        <w:t xml:space="preserve"> entity to be a Relevant State Entity, though </w:t>
      </w:r>
      <w:r w:rsidR="00E122FF">
        <w:rPr>
          <w:bCs/>
        </w:rPr>
        <w:t>the Commission noted that</w:t>
      </w:r>
      <w:r w:rsidRPr="009A6D9F">
        <w:rPr>
          <w:bCs/>
        </w:rPr>
        <w:t xml:space="preserve"> state law may be a persuasive or dispositive factor in such determinations</w:t>
      </w:r>
      <w:r>
        <w:rPr>
          <w:bCs/>
        </w:rPr>
        <w:t>.</w:t>
      </w:r>
      <w:r w:rsidRPr="00AE7B70">
        <w:rPr>
          <w:rStyle w:val="FootnoteReference"/>
        </w:rPr>
        <w:footnoteReference w:id="462"/>
      </w:r>
    </w:p>
    <w:p w14:paraId="38AADE6A" w14:textId="7D0F2C99" w:rsidR="009F77B3" w:rsidRDefault="009F77B3" w:rsidP="009F77B3">
      <w:pPr>
        <w:pStyle w:val="Heading3"/>
      </w:pPr>
      <w:r>
        <w:t>Rehearing Requests</w:t>
      </w:r>
    </w:p>
    <w:p w14:paraId="13F84AFB" w14:textId="24FDC890" w:rsidR="004D0659" w:rsidRPr="002A29E1" w:rsidRDefault="004D0659" w:rsidP="00E072D1">
      <w:pPr>
        <w:pStyle w:val="FERCparanumber"/>
      </w:pPr>
      <w:r w:rsidRPr="002A29E1">
        <w:t xml:space="preserve">NRECA </w:t>
      </w:r>
      <w:r>
        <w:t>requests</w:t>
      </w:r>
      <w:r w:rsidRPr="002A29E1">
        <w:t xml:space="preserve"> that the Commission </w:t>
      </w:r>
      <w:r>
        <w:t>modify the definition of Relevant State Entit</w:t>
      </w:r>
      <w:r w:rsidR="003F0990">
        <w:t>y</w:t>
      </w:r>
      <w:r>
        <w:t xml:space="preserve"> to include any entity that establishes or regulates electric rates under state law, </w:t>
      </w:r>
      <w:r w:rsidR="00511AC6">
        <w:t>in light of</w:t>
      </w:r>
      <w:r w:rsidR="00511AC6" w:rsidRPr="002A29E1">
        <w:t xml:space="preserve"> </w:t>
      </w:r>
      <w:r w:rsidRPr="002A29E1">
        <w:t xml:space="preserve">Order No. 1920-A’s </w:t>
      </w:r>
      <w:r>
        <w:t>modifications</w:t>
      </w:r>
      <w:r w:rsidRPr="002A29E1">
        <w:t xml:space="preserve"> </w:t>
      </w:r>
      <w:r w:rsidR="00B2451B">
        <w:t xml:space="preserve">to the roles played by </w:t>
      </w:r>
      <w:r w:rsidRPr="002A29E1">
        <w:t>Relevant State Entities.</w:t>
      </w:r>
      <w:r w:rsidRPr="002A29E1">
        <w:rPr>
          <w:b/>
          <w:vertAlign w:val="superscript"/>
        </w:rPr>
        <w:footnoteReference w:id="463"/>
      </w:r>
      <w:r w:rsidRPr="002A29E1">
        <w:t xml:space="preserve">  NRECA states that Order No. 1920-A substantially changes the </w:t>
      </w:r>
      <w:r w:rsidR="00737210">
        <w:t>f</w:t>
      </w:r>
      <w:r w:rsidRPr="002A29E1">
        <w:t xml:space="preserve">inal </w:t>
      </w:r>
      <w:r w:rsidR="00737210">
        <w:t>r</w:t>
      </w:r>
      <w:r w:rsidRPr="002A29E1">
        <w:t xml:space="preserve">ule by creating </w:t>
      </w:r>
      <w:r w:rsidRPr="006D3AAB">
        <w:rPr>
          <w:bCs/>
        </w:rPr>
        <w:t>expanded</w:t>
      </w:r>
      <w:r w:rsidRPr="002A29E1">
        <w:t xml:space="preserve"> and additional opportunities for Relevant State Entities to influence and determine </w:t>
      </w:r>
      <w:r w:rsidR="000F6364" w:rsidRPr="002A29E1">
        <w:t>Long</w:t>
      </w:r>
      <w:r w:rsidR="000F6364">
        <w:t>-</w:t>
      </w:r>
      <w:r w:rsidRPr="002A29E1">
        <w:t xml:space="preserve">Term Regional Transmission Planning </w:t>
      </w:r>
      <w:r w:rsidR="00944D9F">
        <w:t xml:space="preserve">and associated cost allocation </w:t>
      </w:r>
      <w:r w:rsidR="00944D9F">
        <w:lastRenderedPageBreak/>
        <w:t>methods</w:t>
      </w:r>
      <w:r w:rsidRPr="002A29E1">
        <w:t>, such as</w:t>
      </w:r>
      <w:r>
        <w:t xml:space="preserve"> </w:t>
      </w:r>
      <w:r w:rsidRPr="002A29E1">
        <w:t>requiring incorporation of input from Relevant State Entities in developing Long-Term Scenarios</w:t>
      </w:r>
      <w:r>
        <w:t xml:space="preserve"> and</w:t>
      </w:r>
      <w:r w:rsidRPr="002A29E1">
        <w:t xml:space="preserve"> requiring compliance filings to include any </w:t>
      </w:r>
      <w:r w:rsidR="00822DE6">
        <w:t xml:space="preserve">           </w:t>
      </w:r>
      <w:r w:rsidRPr="002A29E1">
        <w:t>Long-Term Regional Transmission Cost Allocation Method or State Agreement Process agreed upon by Relevant State Entities.</w:t>
      </w:r>
      <w:r w:rsidRPr="002A29E1">
        <w:rPr>
          <w:b/>
          <w:vertAlign w:val="superscript"/>
        </w:rPr>
        <w:footnoteReference w:id="464"/>
      </w:r>
      <w:r w:rsidRPr="002A29E1">
        <w:t xml:space="preserve">  </w:t>
      </w:r>
    </w:p>
    <w:p w14:paraId="376139DA" w14:textId="272143D7" w:rsidR="004D0659" w:rsidRPr="002A29E1" w:rsidRDefault="004D0659" w:rsidP="00E072D1">
      <w:pPr>
        <w:pStyle w:val="FERCparanumber"/>
      </w:pPr>
      <w:r w:rsidRPr="002A29E1">
        <w:t xml:space="preserve">NRECA argues that Order No. 1920-A’s modifications to the </w:t>
      </w:r>
      <w:r w:rsidR="009059F9">
        <w:t>f</w:t>
      </w:r>
      <w:r w:rsidRPr="002A29E1">
        <w:t xml:space="preserve">inal </w:t>
      </w:r>
      <w:r w:rsidR="009059F9">
        <w:t>r</w:t>
      </w:r>
      <w:r w:rsidRPr="002A29E1">
        <w:t>ule are incomplete</w:t>
      </w:r>
      <w:r w:rsidR="009059F9">
        <w:t>,</w:t>
      </w:r>
      <w:r w:rsidRPr="002A29E1">
        <w:t xml:space="preserve"> and the Commission’s goal of giving the entities that represent electric consumers under state law a greater voice in transmission planning and cost allocation decisions is not met, because the order does not ensure comparable representation of all electric consumers in a state.</w:t>
      </w:r>
      <w:r w:rsidRPr="002A29E1">
        <w:rPr>
          <w:b/>
          <w:vertAlign w:val="superscript"/>
        </w:rPr>
        <w:footnoteReference w:id="465"/>
      </w:r>
      <w:r w:rsidRPr="002A29E1">
        <w:t xml:space="preserve">  NRECA points out that many state public utility commissions do not regulate the rates of all electric utilities in their respective states and that often electric cooperatives establish their rates independently of their state’s utility commission.  NRECA asserts that the Commission arbitrarily and without explanation excluded or allowed </w:t>
      </w:r>
      <w:r w:rsidR="0044154B">
        <w:t xml:space="preserve">transmission </w:t>
      </w:r>
      <w:r w:rsidRPr="002A29E1">
        <w:t>planning regions to exclude the representatives of some electric consumers from the more robust process created by Order No. 1920‑A.</w:t>
      </w:r>
      <w:r w:rsidRPr="002A29E1">
        <w:rPr>
          <w:b/>
          <w:vertAlign w:val="superscript"/>
        </w:rPr>
        <w:footnoteReference w:id="466"/>
      </w:r>
      <w:r w:rsidRPr="002A29E1">
        <w:t xml:space="preserve">  NRECA states that the Commission’s definition of Relevant State Entit</w:t>
      </w:r>
      <w:r w:rsidR="006F4F52">
        <w:t>y</w:t>
      </w:r>
      <w:r w:rsidRPr="002A29E1">
        <w:t xml:space="preserve"> in Order No</w:t>
      </w:r>
      <w:r w:rsidR="00D22753">
        <w:t>s</w:t>
      </w:r>
      <w:r w:rsidRPr="002A29E1">
        <w:t>.</w:t>
      </w:r>
      <w:r w:rsidR="00C21C80">
        <w:t> </w:t>
      </w:r>
      <w:r w:rsidRPr="002A29E1">
        <w:t>1920 and</w:t>
      </w:r>
      <w:r w:rsidRPr="002A29E1" w:rsidDel="00D22753">
        <w:t xml:space="preserve"> </w:t>
      </w:r>
      <w:r w:rsidRPr="002A29E1">
        <w:t>1920-A is not bound by statute or prior regulations</w:t>
      </w:r>
      <w:r w:rsidR="001A5BC0">
        <w:t>,</w:t>
      </w:r>
      <w:r w:rsidR="00CA61B8">
        <w:t xml:space="preserve"> as</w:t>
      </w:r>
      <w:r>
        <w:t xml:space="preserve"> the Commission crafted this definition for the purpose of Order No</w:t>
      </w:r>
      <w:r w:rsidR="00F65E29">
        <w:t>s</w:t>
      </w:r>
      <w:r>
        <w:t>. 1920 and 1920-A</w:t>
      </w:r>
      <w:r w:rsidRPr="002A29E1">
        <w:t>.</w:t>
      </w:r>
      <w:r w:rsidRPr="002A29E1">
        <w:rPr>
          <w:b/>
          <w:vertAlign w:val="superscript"/>
        </w:rPr>
        <w:footnoteReference w:id="467"/>
      </w:r>
      <w:r w:rsidRPr="002A29E1">
        <w:t xml:space="preserve"> </w:t>
      </w:r>
    </w:p>
    <w:p w14:paraId="27F542A7" w14:textId="71F761E0" w:rsidR="004D0659" w:rsidRPr="002A29E1" w:rsidRDefault="004D0659" w:rsidP="00E072D1">
      <w:pPr>
        <w:pStyle w:val="FERCparanumber"/>
      </w:pPr>
      <w:r w:rsidRPr="002A29E1">
        <w:lastRenderedPageBreak/>
        <w:t>NRECA argues that the FPA’s prohibition on undue discrimination or preference extends to practices affecting jurisdictional rates as well as the rates themselves.</w:t>
      </w:r>
      <w:r w:rsidRPr="002A29E1">
        <w:rPr>
          <w:b/>
          <w:vertAlign w:val="superscript"/>
        </w:rPr>
        <w:footnoteReference w:id="468"/>
      </w:r>
      <w:r w:rsidRPr="002A29E1">
        <w:t xml:space="preserve">  Accordingly, NRECA claims that Order No. 1920-A is arbitrary, capricious, not in accordance with law, and not the product of reasoned decision-making, as it does not require transmission providers to provide the expanded opportunities for participation in transmission planning and cost allocation decision-making processes on a nondiscriminatory and non-preferential basis to all entities “responsible for electric utility regulation” under state law.</w:t>
      </w:r>
      <w:r w:rsidRPr="002A29E1">
        <w:rPr>
          <w:b/>
          <w:vertAlign w:val="superscript"/>
        </w:rPr>
        <w:footnoteReference w:id="469"/>
      </w:r>
      <w:r w:rsidRPr="002A29E1">
        <w:t xml:space="preserve">  </w:t>
      </w:r>
    </w:p>
    <w:p w14:paraId="6C4B3345" w14:textId="3A72B2B4" w:rsidR="009F77B3" w:rsidRDefault="004D0659" w:rsidP="00E072D1">
      <w:pPr>
        <w:pStyle w:val="FERCparanumber"/>
      </w:pPr>
      <w:r>
        <w:t xml:space="preserve">Finally, </w:t>
      </w:r>
      <w:r w:rsidRPr="002A29E1">
        <w:t>NRECA argues that the Commission should clarify or modify Order No.</w:t>
      </w:r>
      <w:r w:rsidR="00797261">
        <w:t> </w:t>
      </w:r>
      <w:r w:rsidRPr="002A29E1">
        <w:t>1920-A to require</w:t>
      </w:r>
      <w:r w:rsidRPr="002A29E1" w:rsidDel="00FE5B2F">
        <w:t xml:space="preserve"> </w:t>
      </w:r>
      <w:r w:rsidRPr="002A29E1">
        <w:t>transmission providers to demonstrate in their compliance filings how they are ensuring that all entities that establish or regulate electric rates under state law will be treated without undue discrimination or preference.</w:t>
      </w:r>
      <w:r w:rsidRPr="002A29E1">
        <w:rPr>
          <w:b/>
          <w:vertAlign w:val="superscript"/>
        </w:rPr>
        <w:footnoteReference w:id="470"/>
      </w:r>
      <w:r w:rsidRPr="002A29E1">
        <w:t xml:space="preserve"> </w:t>
      </w:r>
    </w:p>
    <w:p w14:paraId="564F991B" w14:textId="52A82688" w:rsidR="009F77B3" w:rsidRDefault="009F77B3" w:rsidP="009F77B3">
      <w:pPr>
        <w:pStyle w:val="Heading3"/>
      </w:pPr>
      <w:r>
        <w:t>Commission Determination</w:t>
      </w:r>
    </w:p>
    <w:p w14:paraId="46880BFE" w14:textId="101A9028" w:rsidR="00F317DA" w:rsidRDefault="00F317DA" w:rsidP="00F317DA">
      <w:pPr>
        <w:pStyle w:val="FERCparanumber"/>
      </w:pPr>
      <w:r w:rsidRPr="0098431E">
        <w:t>We</w:t>
      </w:r>
      <w:r w:rsidRPr="005D7A35">
        <w:t xml:space="preserve"> </w:t>
      </w:r>
      <w:r w:rsidR="00395B4A">
        <w:t>are not persuaded by</w:t>
      </w:r>
      <w:r w:rsidR="00395B4A" w:rsidRPr="005D7A35">
        <w:t xml:space="preserve"> </w:t>
      </w:r>
      <w:r>
        <w:t xml:space="preserve">NRECA’s </w:t>
      </w:r>
      <w:r w:rsidRPr="005D7A35">
        <w:t>request to expand the definition of Relevant State Entity</w:t>
      </w:r>
      <w:r>
        <w:t xml:space="preserve"> to include any entity that establishes or regulates electric rates under state law</w:t>
      </w:r>
      <w:r w:rsidRPr="005D7A35">
        <w:t>.</w:t>
      </w:r>
      <w:r w:rsidRPr="005D7A35">
        <w:rPr>
          <w:b/>
          <w:vertAlign w:val="superscript"/>
        </w:rPr>
        <w:footnoteReference w:id="471"/>
      </w:r>
      <w:r w:rsidRPr="005D7A35">
        <w:t xml:space="preserve">  </w:t>
      </w:r>
      <w:r>
        <w:t xml:space="preserve">As discussed in Order No. 1920-A, </w:t>
      </w:r>
      <w:r w:rsidRPr="005D7A35">
        <w:t xml:space="preserve">while we recognize the important role that </w:t>
      </w:r>
      <w:r w:rsidR="006F2CF7">
        <w:t>many</w:t>
      </w:r>
      <w:r w:rsidR="006F2CF7" w:rsidRPr="005D7A35">
        <w:t xml:space="preserve"> </w:t>
      </w:r>
      <w:r w:rsidRPr="005D7A35">
        <w:t>stakeholders</w:t>
      </w:r>
      <w:r w:rsidR="00197096">
        <w:t>,</w:t>
      </w:r>
      <w:r w:rsidRPr="005D7A35">
        <w:t xml:space="preserve"> </w:t>
      </w:r>
      <w:r w:rsidR="007206EC">
        <w:t>including</w:t>
      </w:r>
      <w:r w:rsidR="00FB70AE">
        <w:t xml:space="preserve"> </w:t>
      </w:r>
      <w:r w:rsidR="00F7374C">
        <w:t xml:space="preserve">municipal </w:t>
      </w:r>
      <w:r w:rsidR="00216BBF">
        <w:t xml:space="preserve">electric </w:t>
      </w:r>
      <w:r w:rsidR="00F7374C">
        <w:t xml:space="preserve">regulatory bodies and non-public utility </w:t>
      </w:r>
      <w:r w:rsidR="00F7374C">
        <w:lastRenderedPageBreak/>
        <w:t>entities</w:t>
      </w:r>
      <w:r w:rsidR="00197096">
        <w:t>,</w:t>
      </w:r>
      <w:r w:rsidR="003963A5" w:rsidRPr="005D7A35">
        <w:t xml:space="preserve"> </w:t>
      </w:r>
      <w:r w:rsidRPr="005D7A35">
        <w:t xml:space="preserve">play in </w:t>
      </w:r>
      <w:r w:rsidR="002A2579">
        <w:t>Commission-sanctioned processes</w:t>
      </w:r>
      <w:r w:rsidRPr="005D7A35">
        <w:t>, we continue to find that the definition of Relevant State Entities should encompass only state entities responsible for</w:t>
      </w:r>
      <w:r w:rsidRPr="0098431E">
        <w:rPr>
          <w:bCs/>
        </w:rPr>
        <w:t xml:space="preserve"> electri</w:t>
      </w:r>
      <w:r w:rsidRPr="005D7A35">
        <w:rPr>
          <w:bCs/>
        </w:rPr>
        <w:t>c</w:t>
      </w:r>
      <w:r w:rsidRPr="005D7A35">
        <w:t xml:space="preserve"> utility regulation or siting electric transmission facilities within the state or portion of a state located in the transmission planning region, including any state entity as may be designated for that purpose by the law of such state.</w:t>
      </w:r>
      <w:r w:rsidRPr="005D7A35">
        <w:rPr>
          <w:b/>
          <w:vertAlign w:val="superscript"/>
        </w:rPr>
        <w:footnoteReference w:id="472"/>
      </w:r>
      <w:r w:rsidRPr="005D7A35">
        <w:t xml:space="preserve">  </w:t>
      </w:r>
    </w:p>
    <w:p w14:paraId="416F3BF6" w14:textId="27AD52E0" w:rsidR="00BC4615" w:rsidRDefault="00F317DA" w:rsidP="00F317DA">
      <w:pPr>
        <w:pStyle w:val="FERCparanumber"/>
      </w:pPr>
      <w:r>
        <w:t xml:space="preserve">In Order No. 1920-A, </w:t>
      </w:r>
      <w:r w:rsidR="0083059A">
        <w:t>the Commission</w:t>
      </w:r>
      <w:r>
        <w:t xml:space="preserve"> </w:t>
      </w:r>
      <w:r w:rsidRPr="00DC1947">
        <w:t>reaffirm</w:t>
      </w:r>
      <w:r>
        <w:t>ed</w:t>
      </w:r>
      <w:r w:rsidRPr="00DC1947">
        <w:t xml:space="preserve"> and enhance</w:t>
      </w:r>
      <w:r>
        <w:t>d</w:t>
      </w:r>
      <w:r w:rsidRPr="00DC1947">
        <w:t xml:space="preserve"> </w:t>
      </w:r>
      <w:r w:rsidRPr="002A0940">
        <w:t xml:space="preserve">the important role </w:t>
      </w:r>
      <w:r>
        <w:t xml:space="preserve">of states in </w:t>
      </w:r>
      <w:r w:rsidR="009D0E33">
        <w:t xml:space="preserve">the </w:t>
      </w:r>
      <w:r w:rsidR="009D0E33" w:rsidRPr="005D7A35">
        <w:t>Long-Term Regional Transmission Planning</w:t>
      </w:r>
      <w:r w:rsidR="009D0E33">
        <w:t xml:space="preserve"> </w:t>
      </w:r>
      <w:r>
        <w:t xml:space="preserve">process </w:t>
      </w:r>
      <w:r w:rsidRPr="00DC1947">
        <w:t>by recognizing that meaningful engagement with states is critical to the success of the Long-Term Regional Transmission Planning reforms established in Order No. 1920</w:t>
      </w:r>
      <w:r>
        <w:t>.</w:t>
      </w:r>
      <w:r>
        <w:rPr>
          <w:rStyle w:val="FootnoteReference"/>
        </w:rPr>
        <w:footnoteReference w:id="473"/>
      </w:r>
      <w:r>
        <w:t xml:space="preserve">  Specifically, </w:t>
      </w:r>
      <w:r w:rsidR="00094F10">
        <w:t>the Commission</w:t>
      </w:r>
      <w:r w:rsidRPr="00B2158D">
        <w:t xml:space="preserve"> </w:t>
      </w:r>
      <w:r w:rsidR="00BD2523">
        <w:t>in Order No. 1920-A</w:t>
      </w:r>
      <w:r w:rsidR="00BD2523" w:rsidRPr="00B2158D">
        <w:t xml:space="preserve"> </w:t>
      </w:r>
      <w:r w:rsidRPr="00B2158D">
        <w:t>better integrate</w:t>
      </w:r>
      <w:r>
        <w:t>d</w:t>
      </w:r>
      <w:r w:rsidRPr="00B2158D">
        <w:t xml:space="preserve"> states’ input into regional transmission planning and cost allocation processes, both in the transmission providers’ development of Order No. 1920 compliance filings and the ongoing implementation of these reforms in the future.  </w:t>
      </w:r>
      <w:r>
        <w:t xml:space="preserve">  </w:t>
      </w:r>
    </w:p>
    <w:p w14:paraId="6C40E6DD" w14:textId="59DA3C0E" w:rsidR="00F317DA" w:rsidRDefault="0050460A" w:rsidP="00F317DA">
      <w:pPr>
        <w:pStyle w:val="FERCparanumber"/>
      </w:pPr>
      <w:r>
        <w:t>Importantly, however, t</w:t>
      </w:r>
      <w:r w:rsidR="00F317DA">
        <w:t xml:space="preserve">his strengthened role of Relevant State Entities does not limit or inhibit other entities from engaging </w:t>
      </w:r>
      <w:r w:rsidR="00995C91">
        <w:t xml:space="preserve">robustly </w:t>
      </w:r>
      <w:r w:rsidR="00F317DA">
        <w:t>via the Commission’s or state’s standard procedures for public participation.  We also</w:t>
      </w:r>
      <w:r w:rsidR="00F317DA" w:rsidRPr="007513D7">
        <w:t xml:space="preserve"> reiterate that Order No.</w:t>
      </w:r>
      <w:r w:rsidR="00EA494C">
        <w:t> </w:t>
      </w:r>
      <w:r w:rsidR="00F317DA" w:rsidRPr="007513D7">
        <w:t xml:space="preserve">1920 </w:t>
      </w:r>
      <w:r w:rsidR="00B93212">
        <w:t>allows</w:t>
      </w:r>
      <w:r w:rsidR="00F317DA" w:rsidRPr="007513D7">
        <w:t xml:space="preserve"> other participants, including </w:t>
      </w:r>
      <w:r w:rsidR="00E2209B">
        <w:t xml:space="preserve">the </w:t>
      </w:r>
      <w:r w:rsidR="00F317DA" w:rsidRPr="007513D7">
        <w:t xml:space="preserve">municipal electric regulatory bodies and </w:t>
      </w:r>
      <w:r w:rsidR="00822DE6">
        <w:t xml:space="preserve">                </w:t>
      </w:r>
      <w:r w:rsidR="00F317DA" w:rsidRPr="007513D7">
        <w:t xml:space="preserve">non-public utility entities </w:t>
      </w:r>
      <w:r w:rsidR="0001082B">
        <w:t xml:space="preserve">mentioned above </w:t>
      </w:r>
      <w:r w:rsidR="00F317DA" w:rsidRPr="007513D7">
        <w:t xml:space="preserve">that do not otherwise meet the definition of a Relevant State Entity, to participate in a State Agreement Process, if agreed to by </w:t>
      </w:r>
      <w:r w:rsidR="00F317DA" w:rsidRPr="007513D7">
        <w:lastRenderedPageBreak/>
        <w:t>Relevant State Entities.</w:t>
      </w:r>
      <w:r w:rsidR="00F317DA" w:rsidRPr="007513D7">
        <w:rPr>
          <w:b/>
          <w:vertAlign w:val="superscript"/>
        </w:rPr>
        <w:footnoteReference w:id="474"/>
      </w:r>
      <w:r w:rsidR="00F317DA" w:rsidRPr="007513D7">
        <w:t xml:space="preserve">  </w:t>
      </w:r>
      <w:r w:rsidR="00B17C7D">
        <w:t>F</w:t>
      </w:r>
      <w:r w:rsidR="00BB743B">
        <w:t>urther</w:t>
      </w:r>
      <w:r w:rsidR="00B17C7D">
        <w:t>, we</w:t>
      </w:r>
      <w:r w:rsidR="00BB743B">
        <w:t xml:space="preserve"> </w:t>
      </w:r>
      <w:r w:rsidR="00764605" w:rsidRPr="002D229D">
        <w:t xml:space="preserve">emphasize that nothing in </w:t>
      </w:r>
      <w:r w:rsidR="00764605">
        <w:t>Order No. 1920</w:t>
      </w:r>
      <w:r w:rsidR="00764605" w:rsidRPr="002D229D">
        <w:t xml:space="preserve"> or </w:t>
      </w:r>
      <w:r w:rsidR="00764605">
        <w:t xml:space="preserve">Order No. 1920-A </w:t>
      </w:r>
      <w:r w:rsidR="001560C9">
        <w:t>prevents transmission providers</w:t>
      </w:r>
      <w:r w:rsidR="007347E1">
        <w:t xml:space="preserve"> generally</w:t>
      </w:r>
      <w:r w:rsidR="001560C9">
        <w:t xml:space="preserve"> from </w:t>
      </w:r>
      <w:r w:rsidR="008420AB" w:rsidRPr="002D229D">
        <w:t xml:space="preserve">consulting or working closely with </w:t>
      </w:r>
      <w:r w:rsidR="008420AB">
        <w:t>stakeholders</w:t>
      </w:r>
      <w:r w:rsidR="008420AB" w:rsidRPr="002D229D">
        <w:t xml:space="preserve"> </w:t>
      </w:r>
      <w:r w:rsidR="00E92783">
        <w:t>in addition to Relevant State Entities</w:t>
      </w:r>
      <w:r w:rsidR="009C4EA5">
        <w:t xml:space="preserve"> to ensure the success of Long-Term Regional Transmission Planning. </w:t>
      </w:r>
      <w:r w:rsidR="0025285B">
        <w:t xml:space="preserve"> </w:t>
      </w:r>
      <w:r w:rsidR="00755DC8">
        <w:t>Indeed, we welcome</w:t>
      </w:r>
      <w:r w:rsidR="00186DED">
        <w:t xml:space="preserve"> </w:t>
      </w:r>
      <w:r w:rsidR="008420AB">
        <w:t>such</w:t>
      </w:r>
      <w:r w:rsidR="00B84B45" w:rsidRPr="002D229D">
        <w:t xml:space="preserve"> </w:t>
      </w:r>
      <w:r w:rsidR="003E5B57">
        <w:t>collaboration</w:t>
      </w:r>
      <w:r w:rsidR="00B84B45" w:rsidRPr="002D229D">
        <w:t>.</w:t>
      </w:r>
      <w:r w:rsidR="00B84B45" w:rsidRPr="005D7A35">
        <w:t xml:space="preserve">  </w:t>
      </w:r>
    </w:p>
    <w:p w14:paraId="10E59317" w14:textId="757ECDDE" w:rsidR="00F317DA" w:rsidRDefault="00F317DA" w:rsidP="00F317DA">
      <w:pPr>
        <w:pStyle w:val="FERCparanumber"/>
      </w:pPr>
      <w:r>
        <w:t>We disagree with NRECA’s argument that the definition of Relevant State Entit</w:t>
      </w:r>
      <w:r w:rsidR="00202C9B">
        <w:t>y</w:t>
      </w:r>
      <w:r>
        <w:t xml:space="preserve"> </w:t>
      </w:r>
      <w:r w:rsidRPr="00836F8D">
        <w:t>allows</w:t>
      </w:r>
      <w:r>
        <w:t xml:space="preserve"> for unduly discriminatory and preferential</w:t>
      </w:r>
      <w:r w:rsidRPr="00836F8D">
        <w:t xml:space="preserve"> transmission planning and cost allocation practices</w:t>
      </w:r>
      <w:r>
        <w:t xml:space="preserve"> by not expressly encompassing any entity that establishes or regulates electric rates under state law.</w:t>
      </w:r>
      <w:r>
        <w:rPr>
          <w:rStyle w:val="FootnoteReference"/>
        </w:rPr>
        <w:footnoteReference w:id="475"/>
      </w:r>
      <w:r>
        <w:t xml:space="preserve">  </w:t>
      </w:r>
      <w:r w:rsidR="001545F7">
        <w:t>A</w:t>
      </w:r>
      <w:r>
        <w:t>s discussed in Order No. 1920, allowing Relevant State Entities</w:t>
      </w:r>
      <w:r w:rsidRPr="002F67D4">
        <w:t xml:space="preserve"> </w:t>
      </w:r>
      <w:r>
        <w:t xml:space="preserve">to better </w:t>
      </w:r>
      <w:r w:rsidR="00C65DB7">
        <w:t>realize</w:t>
      </w:r>
      <w:r w:rsidRPr="002F67D4">
        <w:t xml:space="preserve"> </w:t>
      </w:r>
      <w:r w:rsidR="003E1EB8" w:rsidRPr="003E1EB8">
        <w:t>Long-Term Regional Transmission Facilities</w:t>
      </w:r>
      <w:r w:rsidR="003E1EB8">
        <w:t>’</w:t>
      </w:r>
      <w:r w:rsidRPr="002F67D4">
        <w:t xml:space="preserve"> value </w:t>
      </w:r>
      <w:r>
        <w:t xml:space="preserve">through an enhanced role in the </w:t>
      </w:r>
      <w:r w:rsidR="00CE6E5E">
        <w:t xml:space="preserve">regional transmission </w:t>
      </w:r>
      <w:r>
        <w:t xml:space="preserve">planning process greatly increases the likelihood of their </w:t>
      </w:r>
      <w:r w:rsidRPr="002F67D4">
        <w:t>support for those facilities</w:t>
      </w:r>
      <w:r w:rsidR="004F3BDC">
        <w:t xml:space="preserve">.  </w:t>
      </w:r>
      <w:r w:rsidR="00A35D13">
        <w:t xml:space="preserve">Relevant State Entities play a unique role in that they retain a variety of authorities that are integral to the success of Long-Term </w:t>
      </w:r>
      <w:r w:rsidR="00AA62CE">
        <w:t>Regional Transmission</w:t>
      </w:r>
      <w:r w:rsidR="00612403">
        <w:t xml:space="preserve"> </w:t>
      </w:r>
      <w:r w:rsidR="00AA62CE">
        <w:t>Planning</w:t>
      </w:r>
      <w:r w:rsidR="001F6DEA">
        <w:t>.</w:t>
      </w:r>
      <w:r w:rsidR="00ED4C77">
        <w:rPr>
          <w:rStyle w:val="FootnoteReference"/>
        </w:rPr>
        <w:footnoteReference w:id="476"/>
      </w:r>
      <w:r w:rsidR="00332331">
        <w:t xml:space="preserve">  Therefore, the support of</w:t>
      </w:r>
      <w:r w:rsidR="00914310">
        <w:t xml:space="preserve"> Relevant State Entities</w:t>
      </w:r>
      <w:r w:rsidRPr="002F67D4">
        <w:t xml:space="preserve"> may increase the likelihood that those facilities are sited and ultimately developed with fewer costly delays</w:t>
      </w:r>
      <w:r w:rsidR="00CB5C42">
        <w:t xml:space="preserve">, </w:t>
      </w:r>
      <w:r w:rsidR="00C02702">
        <w:t xml:space="preserve">and thus </w:t>
      </w:r>
      <w:r w:rsidRPr="002F67D4">
        <w:t>better ensure</w:t>
      </w:r>
      <w:r w:rsidR="00C02702">
        <w:t>s</w:t>
      </w:r>
      <w:r w:rsidRPr="002F67D4">
        <w:t xml:space="preserve"> just and reasonable </w:t>
      </w:r>
      <w:r w:rsidR="00822DE6">
        <w:t xml:space="preserve">                             </w:t>
      </w:r>
      <w:r w:rsidRPr="002F67D4">
        <w:t>Commission-jurisdictional rates.</w:t>
      </w:r>
      <w:r>
        <w:rPr>
          <w:rStyle w:val="FootnoteReference"/>
        </w:rPr>
        <w:footnoteReference w:id="477"/>
      </w:r>
      <w:r>
        <w:t xml:space="preserve">  Additionally, we reiterate that we are not excluding </w:t>
      </w:r>
      <w:r>
        <w:lastRenderedPageBreak/>
        <w:t>any specific entities from this process</w:t>
      </w:r>
      <w:r w:rsidR="00694ABB">
        <w:t>;</w:t>
      </w:r>
      <w:r>
        <w:t xml:space="preserve"> </w:t>
      </w:r>
      <w:r w:rsidR="00694ABB">
        <w:t>instead,</w:t>
      </w:r>
      <w:r>
        <w:t xml:space="preserve"> we</w:t>
      </w:r>
      <w:r w:rsidRPr="006643A5">
        <w:t xml:space="preserve"> make no findings regarding whether any individual municipal electric regulatory body or non-public utility entity meets the definition of a Relevant State Entity, as those determinations properly rest with entities in a state, based upon their interpretation of their state laws.</w:t>
      </w:r>
      <w:r>
        <w:rPr>
          <w:rStyle w:val="FootnoteReference"/>
        </w:rPr>
        <w:footnoteReference w:id="478"/>
      </w:r>
      <w:r w:rsidRPr="006643A5">
        <w:t xml:space="preserve">  </w:t>
      </w:r>
    </w:p>
    <w:p w14:paraId="3A2CF9EA" w14:textId="12B52BC5" w:rsidR="009F77B3" w:rsidRPr="009F77B3" w:rsidRDefault="00F317DA" w:rsidP="00F317DA">
      <w:pPr>
        <w:pStyle w:val="FERCparanumber"/>
      </w:pPr>
      <w:r w:rsidRPr="005D7A35">
        <w:t xml:space="preserve">We </w:t>
      </w:r>
      <w:r w:rsidR="00B826FA">
        <w:t xml:space="preserve">further </w:t>
      </w:r>
      <w:r w:rsidR="00811B0B">
        <w:t>are not persuaded by</w:t>
      </w:r>
      <w:r w:rsidR="00811B0B" w:rsidRPr="005D7A35">
        <w:t xml:space="preserve"> </w:t>
      </w:r>
      <w:r>
        <w:t xml:space="preserve">NRECA’s </w:t>
      </w:r>
      <w:r w:rsidRPr="005D7A35">
        <w:t xml:space="preserve">request </w:t>
      </w:r>
      <w:r>
        <w:t xml:space="preserve">for a requirement that </w:t>
      </w:r>
      <w:r w:rsidRPr="002A29E1">
        <w:t>transmission providers demonstrate in their compliance filings how they are ensuring that all entities that establish or regulate electric rates under state law will be treated without undue discrimination or preference</w:t>
      </w:r>
      <w:r>
        <w:t>.</w:t>
      </w:r>
      <w:r>
        <w:rPr>
          <w:rStyle w:val="FootnoteReference"/>
        </w:rPr>
        <w:footnoteReference w:id="479"/>
      </w:r>
      <w:r>
        <w:t xml:space="preserve">  </w:t>
      </w:r>
      <w:r w:rsidR="008F0CA0">
        <w:t xml:space="preserve">Nothing </w:t>
      </w:r>
      <w:r>
        <w:t>in Order No. 1920</w:t>
      </w:r>
      <w:r w:rsidRPr="00132AD3">
        <w:t xml:space="preserve"> diminishes the role of stakeholders that are not Relevant State Entities, nor absolves transmission providers of any existing obligations that they may have to provide opportunities for stakeholder input</w:t>
      </w:r>
      <w:r>
        <w:t>.</w:t>
      </w:r>
      <w:r>
        <w:rPr>
          <w:rStyle w:val="FootnoteReference"/>
        </w:rPr>
        <w:footnoteReference w:id="480"/>
      </w:r>
      <w:r w:rsidR="00532B1C">
        <w:t xml:space="preserve">  </w:t>
      </w:r>
      <w:r w:rsidR="00E85757">
        <w:t xml:space="preserve">  </w:t>
      </w:r>
    </w:p>
    <w:p w14:paraId="7602B8ED" w14:textId="51754C9E" w:rsidR="00613797" w:rsidRDefault="00613797" w:rsidP="00613797">
      <w:pPr>
        <w:pStyle w:val="Heading2"/>
      </w:pPr>
      <w:r>
        <w:t>Other Cost Allocation</w:t>
      </w:r>
      <w:r w:rsidR="00DA20B4">
        <w:t xml:space="preserve"> Issues</w:t>
      </w:r>
    </w:p>
    <w:p w14:paraId="5CDB8564" w14:textId="4B5CEB00" w:rsidR="00DA20B4" w:rsidRDefault="00DA20B4" w:rsidP="00DA20B4">
      <w:pPr>
        <w:pStyle w:val="Heading3"/>
      </w:pPr>
      <w:r>
        <w:t>Order No</w:t>
      </w:r>
      <w:r w:rsidR="009F282A">
        <w:t>s</w:t>
      </w:r>
      <w:r>
        <w:t>. 1920</w:t>
      </w:r>
      <w:r w:rsidR="009F282A">
        <w:t xml:space="preserve"> and 1920-A</w:t>
      </w:r>
    </w:p>
    <w:p w14:paraId="3BB75921" w14:textId="73F4142A" w:rsidR="007B5D42" w:rsidRDefault="00645960">
      <w:pPr>
        <w:pStyle w:val="FERCparanumber"/>
      </w:pPr>
      <w:r>
        <w:t xml:space="preserve">In Order No. 1920, the Commission </w:t>
      </w:r>
      <w:r w:rsidR="00792C53">
        <w:t xml:space="preserve">found that there is substantial evidence to support </w:t>
      </w:r>
      <w:r w:rsidR="007B5D42">
        <w:t>the determination that sufficiently long-term, forward-looking, and comprehensive regional transmission planning and cost allocation to meet Long-Term Transmission Needs is not occurring on a consistent and sufficient basis</w:t>
      </w:r>
      <w:r w:rsidR="004F49BE">
        <w:t xml:space="preserve">, and that </w:t>
      </w:r>
      <w:r w:rsidR="00EB6C4B">
        <w:t xml:space="preserve">the absence of such processes </w:t>
      </w:r>
      <w:r w:rsidR="00567FE4">
        <w:t xml:space="preserve">is resulting in piecemeal transmission expansion to address </w:t>
      </w:r>
      <w:r w:rsidR="00567FE4">
        <w:lastRenderedPageBreak/>
        <w:t>relatively near-term transmission needs.</w:t>
      </w:r>
      <w:r w:rsidR="001A2F48">
        <w:t xml:space="preserve">  The Commission found that </w:t>
      </w:r>
      <w:r w:rsidR="00B5380B">
        <w:t>the status quo approach results in transmission providers undertaking investments in relatively inefficient or less cost-effective transmission infrastructure</w:t>
      </w:r>
      <w:r w:rsidR="0097103E">
        <w:t xml:space="preserve">, the costs of which are </w:t>
      </w:r>
      <w:r w:rsidR="00DE3C3D">
        <w:t xml:space="preserve">ultimately recovered </w:t>
      </w:r>
      <w:r w:rsidR="006A7B1B">
        <w:t xml:space="preserve">through </w:t>
      </w:r>
      <w:r w:rsidR="00DE3C3D">
        <w:t>Commission-jurisdictional rates</w:t>
      </w:r>
      <w:r w:rsidR="009C57F2">
        <w:t>.</w:t>
      </w:r>
      <w:r w:rsidR="002A628D">
        <w:rPr>
          <w:rStyle w:val="FootnoteReference"/>
        </w:rPr>
        <w:footnoteReference w:id="481"/>
      </w:r>
    </w:p>
    <w:p w14:paraId="01EBF512" w14:textId="65DDDC6E" w:rsidR="000302ED" w:rsidRDefault="00FE16A0">
      <w:pPr>
        <w:pStyle w:val="FERCparanumber"/>
      </w:pPr>
      <w:r>
        <w:t>The Commission</w:t>
      </w:r>
      <w:r w:rsidR="0051296E">
        <w:t xml:space="preserve"> concluded that revisions to the Commission’s regional transmission planning and cost allocation requirements are necessary to ensure that Commission-jurisdictional rates, terms, and conditions are just, reasonable, and not unduly discriminatory or preferential.  </w:t>
      </w:r>
      <w:r w:rsidR="00C00D3A">
        <w:t xml:space="preserve">The Commission found that, absent the reforms instituted by Order No. 1920, regional transmission planning </w:t>
      </w:r>
      <w:r w:rsidR="00326668">
        <w:t>processes will continue to fail to identify, evaluate, and select regional transmission facilities that can more efficiently or cost-effectively meet Long-Term Transmission Needs, requiring customers to pay for relatively inefficient or less cost-effective transmission development.</w:t>
      </w:r>
      <w:r w:rsidR="00326668">
        <w:rPr>
          <w:rStyle w:val="FootnoteReference"/>
        </w:rPr>
        <w:footnoteReference w:id="482"/>
      </w:r>
      <w:r w:rsidR="00F449C0">
        <w:t xml:space="preserve">  </w:t>
      </w:r>
    </w:p>
    <w:p w14:paraId="345BF132" w14:textId="549D06EB" w:rsidR="0067594D" w:rsidRDefault="006D19AE">
      <w:pPr>
        <w:pStyle w:val="FERCparanumber"/>
      </w:pPr>
      <w:r>
        <w:t>The Commission therefore concluded, based on the record in t</w:t>
      </w:r>
      <w:r w:rsidR="00C35C2C">
        <w:t>he proceeding</w:t>
      </w:r>
      <w:r w:rsidR="00F96F74">
        <w:t xml:space="preserve">, that there is substantial evidence to support </w:t>
      </w:r>
      <w:r w:rsidR="00792C53">
        <w:t>the conclusion that deficiencies in the Commission’s existing regional transmission planning and cost allocation requirements</w:t>
      </w:r>
      <w:r w:rsidR="001B7A85">
        <w:t xml:space="preserve"> are resulting in Commission-jurisdictional rates that are unjust, unreasonable, and unduly discriminatory or preferential</w:t>
      </w:r>
      <w:r w:rsidR="00CE2B1B">
        <w:t xml:space="preserve">.  </w:t>
      </w:r>
    </w:p>
    <w:p w14:paraId="49C08C6E" w14:textId="1F0D5B8B" w:rsidR="0046114D" w:rsidRDefault="00251F16">
      <w:pPr>
        <w:pStyle w:val="FERCparanumber"/>
      </w:pPr>
      <w:r>
        <w:t>As relevant here, t</w:t>
      </w:r>
      <w:r w:rsidR="0046114D">
        <w:t xml:space="preserve">he Commission </w:t>
      </w:r>
      <w:r>
        <w:t>specifically</w:t>
      </w:r>
      <w:r w:rsidR="0046114D">
        <w:t xml:space="preserve"> found that the Commission’s current cost allocation requirements, which were designed </w:t>
      </w:r>
      <w:r w:rsidR="00713808">
        <w:t xml:space="preserve">and established </w:t>
      </w:r>
      <w:r w:rsidR="0046114D">
        <w:t xml:space="preserve">in the context </w:t>
      </w:r>
      <w:r w:rsidR="0046114D">
        <w:lastRenderedPageBreak/>
        <w:t xml:space="preserve">of existing Order No. 1000 regional transmission planning processes, are insufficient to appropriately allocate costs associated with regional transmission facilities that are selected in accordance with the new Long-Term Regional Transmission Planning requirements that the Commission established in Order No. 1920.  </w:t>
      </w:r>
      <w:r>
        <w:t>Accordingly</w:t>
      </w:r>
      <w:r w:rsidR="00F2579C">
        <w:t xml:space="preserve">, the Commission </w:t>
      </w:r>
      <w:r w:rsidR="00627FE4">
        <w:t xml:space="preserve">found that it is both necessary and appropriate to establish specific cost allocation requirements that are tailored </w:t>
      </w:r>
      <w:r w:rsidR="000250A2">
        <w:t>to the Long-Term Regional Transmission Planning reforms in Order No. 1920.</w:t>
      </w:r>
      <w:r w:rsidR="00D052BA">
        <w:rPr>
          <w:rStyle w:val="FootnoteReference"/>
        </w:rPr>
        <w:footnoteReference w:id="483"/>
      </w:r>
    </w:p>
    <w:p w14:paraId="43D63762" w14:textId="02E5399E" w:rsidR="00A95756" w:rsidRDefault="00A60581" w:rsidP="00A95756">
      <w:pPr>
        <w:pStyle w:val="FERCparanumber"/>
      </w:pPr>
      <w:r>
        <w:t>In Order No. 1920-A, t</w:t>
      </w:r>
      <w:r w:rsidR="00AC06A6">
        <w:t>he</w:t>
      </w:r>
      <w:r w:rsidR="00AC06A6" w:rsidDel="006E7388">
        <w:t xml:space="preserve"> Commission</w:t>
      </w:r>
      <w:r w:rsidR="00AC06A6">
        <w:t xml:space="preserve"> </w:t>
      </w:r>
      <w:r w:rsidR="00767A0B">
        <w:t>responded to rehearing requests</w:t>
      </w:r>
      <w:r w:rsidR="00787F31">
        <w:t xml:space="preserve"> </w:t>
      </w:r>
      <w:r w:rsidR="00D51E2C">
        <w:t xml:space="preserve">that argued </w:t>
      </w:r>
      <w:r w:rsidR="00894E68">
        <w:t xml:space="preserve">that the Commission had failed to satisfy its </w:t>
      </w:r>
      <w:r w:rsidR="00CF24D2">
        <w:t xml:space="preserve">FPA section 206 </w:t>
      </w:r>
      <w:r w:rsidR="00894E68">
        <w:t>burden to demonstrate that existing Order No. 1000 regional transmission planning and cost allocation processes are unjust, unreasonable, or unduly discriminatory or preferential</w:t>
      </w:r>
      <w:r w:rsidR="00767A0B">
        <w:rPr>
          <w:rStyle w:val="FootnoteReference"/>
        </w:rPr>
        <w:footnoteReference w:id="484"/>
      </w:r>
      <w:r w:rsidR="00767A0B">
        <w:t xml:space="preserve"> </w:t>
      </w:r>
      <w:r w:rsidR="000C3530">
        <w:t>and</w:t>
      </w:r>
      <w:r w:rsidR="00B0156E">
        <w:t xml:space="preserve"> </w:t>
      </w:r>
      <w:r w:rsidR="00AC06A6">
        <w:t xml:space="preserve">sustained its </w:t>
      </w:r>
      <w:r w:rsidR="0058308D">
        <w:t>Order No. 1920</w:t>
      </w:r>
      <w:r w:rsidR="000C3530">
        <w:t xml:space="preserve"> determinations</w:t>
      </w:r>
      <w:r w:rsidR="0058308D">
        <w:t xml:space="preserve"> as to </w:t>
      </w:r>
      <w:r w:rsidR="00490E94">
        <w:t>its action under the first prong of FPA section 206</w:t>
      </w:r>
      <w:r w:rsidR="00905FA7">
        <w:t>.</w:t>
      </w:r>
      <w:r w:rsidR="00D47F41">
        <w:rPr>
          <w:rStyle w:val="FootnoteReference"/>
        </w:rPr>
        <w:footnoteReference w:id="485"/>
      </w:r>
      <w:r w:rsidR="00A74983">
        <w:t xml:space="preserve">  </w:t>
      </w:r>
      <w:r w:rsidR="005F2C23">
        <w:t xml:space="preserve">As relevant here, the Commission continued to find that the Commission made adequate findings </w:t>
      </w:r>
      <w:r w:rsidR="00C05744">
        <w:t>and marshalled substantial evidence under the first prong of FPA section 206</w:t>
      </w:r>
      <w:r w:rsidR="00E6170D">
        <w:t xml:space="preserve">, and that it found rehearing </w:t>
      </w:r>
      <w:r w:rsidR="0007282A">
        <w:t>petitioners</w:t>
      </w:r>
      <w:r w:rsidR="00E6170D">
        <w:t>’ arguments to the contrary to be unpersuasive.</w:t>
      </w:r>
      <w:r w:rsidR="00F461BB">
        <w:t xml:space="preserve">  The Commission</w:t>
      </w:r>
      <w:r w:rsidR="008172F5">
        <w:t xml:space="preserve"> </w:t>
      </w:r>
      <w:r w:rsidR="00C71993">
        <w:t>concluded that</w:t>
      </w:r>
      <w:r w:rsidR="008172F5">
        <w:t xml:space="preserve"> the </w:t>
      </w:r>
      <w:r w:rsidR="00C71993">
        <w:t>evidence</w:t>
      </w:r>
      <w:r w:rsidR="004B7CEE">
        <w:t xml:space="preserve"> </w:t>
      </w:r>
      <w:r w:rsidR="00BB3AD8">
        <w:t>on which it relied</w:t>
      </w:r>
      <w:r w:rsidR="003E0B5F">
        <w:t xml:space="preserve">—both empirical and generic </w:t>
      </w:r>
      <w:r w:rsidR="003E0B5F">
        <w:lastRenderedPageBreak/>
        <w:t>factual predictions—</w:t>
      </w:r>
      <w:r w:rsidR="002F4F3A">
        <w:t xml:space="preserve">was </w:t>
      </w:r>
      <w:r w:rsidR="00E076AC">
        <w:t>more than sufficient to meet its evidentiary burden under FPA section 206</w:t>
      </w:r>
      <w:r w:rsidR="00E25744">
        <w:t>.</w:t>
      </w:r>
      <w:r w:rsidR="00E25744">
        <w:rPr>
          <w:rStyle w:val="FootnoteReference"/>
        </w:rPr>
        <w:footnoteReference w:id="486"/>
      </w:r>
      <w:r w:rsidR="00086497">
        <w:t xml:space="preserve"> </w:t>
      </w:r>
    </w:p>
    <w:p w14:paraId="4825D938" w14:textId="3AC11814" w:rsidR="00A95756" w:rsidRDefault="00A95756" w:rsidP="00A95756">
      <w:pPr>
        <w:pStyle w:val="Heading3"/>
      </w:pPr>
      <w:r>
        <w:t>Rehearing Requests</w:t>
      </w:r>
    </w:p>
    <w:p w14:paraId="0B13D8D2" w14:textId="2647AF8E" w:rsidR="00210CBD" w:rsidRPr="00097C43" w:rsidRDefault="00210CBD" w:rsidP="00527B31">
      <w:pPr>
        <w:pStyle w:val="FERCparanumber"/>
        <w:rPr>
          <w:szCs w:val="26"/>
        </w:rPr>
      </w:pPr>
      <w:r>
        <w:t>Indicated PJM TOs and SPP TOs argue that the Commission failed to make an adequate finding</w:t>
      </w:r>
      <w:r w:rsidR="004F7B42">
        <w:t xml:space="preserve"> </w:t>
      </w:r>
      <w:r w:rsidR="005120D8">
        <w:t>under</w:t>
      </w:r>
      <w:r>
        <w:t xml:space="preserve"> the first prong of FPA section 206 that </w:t>
      </w:r>
      <w:r w:rsidR="008B656F">
        <w:t xml:space="preserve">substantial evidence supports </w:t>
      </w:r>
      <w:r w:rsidR="00A6770A">
        <w:t xml:space="preserve">the </w:t>
      </w:r>
      <w:r w:rsidR="00740FF3">
        <w:t>determination</w:t>
      </w:r>
      <w:r w:rsidR="006312D4">
        <w:t xml:space="preserve"> that </w:t>
      </w:r>
      <w:r>
        <w:t>existing regional cost allocation methods are unjust and unreasonable.</w:t>
      </w:r>
      <w:r w:rsidR="00A6770A">
        <w:rPr>
          <w:rStyle w:val="FootnoteReference"/>
        </w:rPr>
        <w:footnoteReference w:id="487"/>
      </w:r>
      <w:r>
        <w:t xml:space="preserve">  </w:t>
      </w:r>
      <w:r w:rsidRPr="000867A1">
        <w:t>Indicated PJM TOs state that FPA section 206</w:t>
      </w:r>
      <w:r w:rsidR="00A90CE3">
        <w:t xml:space="preserve"> requires</w:t>
      </w:r>
      <w:r w:rsidRPr="000867A1">
        <w:t xml:space="preserve"> the Commission </w:t>
      </w:r>
      <w:r w:rsidR="00A90CE3">
        <w:t xml:space="preserve">to </w:t>
      </w:r>
      <w:r w:rsidRPr="000867A1">
        <w:t>prove that each rate or practice affecting such rate that it seeks to change is unlawful based on substantial evidence.</w:t>
      </w:r>
      <w:r w:rsidRPr="000867A1">
        <w:rPr>
          <w:b/>
          <w:vertAlign w:val="superscript"/>
        </w:rPr>
        <w:footnoteReference w:id="488"/>
      </w:r>
      <w:r w:rsidRPr="000867A1">
        <w:t xml:space="preserve">  </w:t>
      </w:r>
      <w:r>
        <w:t xml:space="preserve">Indicated PJM TOs assert that </w:t>
      </w:r>
      <w:r w:rsidRPr="00C6368A">
        <w:t>“</w:t>
      </w:r>
      <w:r>
        <w:t>[t]</w:t>
      </w:r>
      <w:r w:rsidRPr="00C6368A">
        <w:t xml:space="preserve">he Commission makes several findings that </w:t>
      </w:r>
      <w:r w:rsidRPr="00097C43">
        <w:rPr>
          <w:i/>
          <w:iCs/>
        </w:rPr>
        <w:t xml:space="preserve">the existing regional planning process </w:t>
      </w:r>
      <w:r w:rsidRPr="00C6368A">
        <w:t xml:space="preserve">is unjust and unreasonable but makes no findings that the existing </w:t>
      </w:r>
      <w:r w:rsidRPr="00097C43">
        <w:rPr>
          <w:i/>
          <w:iCs/>
        </w:rPr>
        <w:t xml:space="preserve">regional cost allocation </w:t>
      </w:r>
      <w:r w:rsidR="009A69D8" w:rsidRPr="00097C43">
        <w:rPr>
          <w:i/>
          <w:iCs/>
        </w:rPr>
        <w:t>method</w:t>
      </w:r>
      <w:r w:rsidR="009A69D8">
        <w:rPr>
          <w:i/>
          <w:iCs/>
        </w:rPr>
        <w:t>[]</w:t>
      </w:r>
      <w:r w:rsidR="009A69D8" w:rsidRPr="00097C43">
        <w:rPr>
          <w:i/>
          <w:iCs/>
        </w:rPr>
        <w:t xml:space="preserve"> </w:t>
      </w:r>
      <w:r w:rsidRPr="00C6368A">
        <w:t>is unjust and unreasonable.”</w:t>
      </w:r>
      <w:r>
        <w:rPr>
          <w:rStyle w:val="FootnoteReference"/>
        </w:rPr>
        <w:footnoteReference w:id="489"/>
      </w:r>
      <w:r>
        <w:t xml:space="preserve">  </w:t>
      </w:r>
      <w:r w:rsidRPr="00E718D7">
        <w:t>Indicated PJM TOs aver that the findings in Order Nos.</w:t>
      </w:r>
      <w:r w:rsidR="00914C36">
        <w:t> </w:t>
      </w:r>
      <w:r w:rsidRPr="00E718D7">
        <w:t xml:space="preserve">1920 and 1920-A that an existing rate is unjust and unreasonable are confined to the transmission planning process, and that the Commission “simply assume[d]” that existing </w:t>
      </w:r>
      <w:r w:rsidRPr="00E718D7">
        <w:lastRenderedPageBreak/>
        <w:t>regional cost allocation methods are unjust and unreasonable on the basis of evidence that existing regional transmission planning processes are unjust and unreasonable.</w:t>
      </w:r>
      <w:r w:rsidRPr="00E718D7">
        <w:rPr>
          <w:b/>
          <w:vertAlign w:val="superscript"/>
        </w:rPr>
        <w:footnoteReference w:id="490"/>
      </w:r>
      <w:r w:rsidRPr="00E718D7">
        <w:t xml:space="preserve">  </w:t>
      </w:r>
    </w:p>
    <w:p w14:paraId="0984C94D" w14:textId="051FB701" w:rsidR="00210CBD" w:rsidRPr="0072271A" w:rsidRDefault="00210CBD" w:rsidP="00760343">
      <w:pPr>
        <w:pStyle w:val="FERCparanumber"/>
        <w:rPr>
          <w:szCs w:val="26"/>
        </w:rPr>
      </w:pPr>
      <w:r>
        <w:t xml:space="preserve">Indicated PJM TOs argue that the Commission justified its </w:t>
      </w:r>
      <w:r w:rsidRPr="00F473E5">
        <w:rPr>
          <w:szCs w:val="26"/>
        </w:rPr>
        <w:t>decision by stating that existing cost allocation methods do not properly reflect the benefits to be considered in the new Order No. 1920 long-term transmission planning requirements and that there is no process to engage states in the development of regional cost allocation methods</w:t>
      </w:r>
      <w:r>
        <w:rPr>
          <w:szCs w:val="26"/>
        </w:rPr>
        <w:t>, but there is not substantial evidence in the record or analysis supporting these determinations.</w:t>
      </w:r>
      <w:r>
        <w:rPr>
          <w:rStyle w:val="FootnoteReference"/>
          <w:szCs w:val="26"/>
        </w:rPr>
        <w:footnoteReference w:id="491"/>
      </w:r>
      <w:r>
        <w:rPr>
          <w:szCs w:val="26"/>
        </w:rPr>
        <w:t xml:space="preserve">  Indicated PJM TOs argue that the Commission acknowledged that it may be just and reasonable to continue to apply existing regional cost allocation methods, that the Commission cannot conclude </w:t>
      </w:r>
      <w:r w:rsidR="00455309">
        <w:rPr>
          <w:szCs w:val="26"/>
        </w:rPr>
        <w:t xml:space="preserve">that </w:t>
      </w:r>
      <w:r>
        <w:rPr>
          <w:szCs w:val="26"/>
        </w:rPr>
        <w:t>a rate is unjust and unreasonable simply because it differs from the rate the Commission seeks to impose, and that the Commission has shifted the burden onto public utilities to demonstrate their cost allocation methods are consistent with the requirements of Order No. 1920.</w:t>
      </w:r>
      <w:r>
        <w:rPr>
          <w:rStyle w:val="FootnoteReference"/>
          <w:szCs w:val="26"/>
        </w:rPr>
        <w:footnoteReference w:id="492"/>
      </w:r>
      <w:r>
        <w:rPr>
          <w:szCs w:val="26"/>
        </w:rPr>
        <w:t xml:space="preserve">  </w:t>
      </w:r>
      <w:r>
        <w:t xml:space="preserve">Indicated PJM TOs contend that because the Commission has not carried its </w:t>
      </w:r>
      <w:r w:rsidR="009E1DF2">
        <w:t>burden under the first prong of</w:t>
      </w:r>
      <w:r>
        <w:t xml:space="preserve"> FPA section</w:t>
      </w:r>
      <w:r w:rsidR="00CE4DF8">
        <w:t> </w:t>
      </w:r>
      <w:r>
        <w:t xml:space="preserve">206 with respect to the cost allocation methods for Long-Term </w:t>
      </w:r>
      <w:r>
        <w:lastRenderedPageBreak/>
        <w:t>Regional Transmission Facilities, any proposals related to such cost allocation methods must be made and considered under FPA section</w:t>
      </w:r>
      <w:r w:rsidR="000A3A0B">
        <w:t> </w:t>
      </w:r>
      <w:r>
        <w:t>205 and approved if just and reasonable.</w:t>
      </w:r>
      <w:r>
        <w:rPr>
          <w:rStyle w:val="FootnoteReference"/>
        </w:rPr>
        <w:footnoteReference w:id="493"/>
      </w:r>
    </w:p>
    <w:p w14:paraId="059B1C34" w14:textId="1448A028" w:rsidR="00210CBD" w:rsidRDefault="00210CBD" w:rsidP="00760343">
      <w:pPr>
        <w:pStyle w:val="FERCparanumber"/>
        <w:rPr>
          <w:szCs w:val="26"/>
        </w:rPr>
      </w:pPr>
      <w:r>
        <w:rPr>
          <w:szCs w:val="26"/>
        </w:rPr>
        <w:t>SPP TOs assert that Order No</w:t>
      </w:r>
      <w:r w:rsidR="000C57A6">
        <w:rPr>
          <w:szCs w:val="26"/>
        </w:rPr>
        <w:t>s</w:t>
      </w:r>
      <w:r>
        <w:rPr>
          <w:szCs w:val="26"/>
        </w:rPr>
        <w:t xml:space="preserve">. 1920 </w:t>
      </w:r>
      <w:r w:rsidR="000C57A6">
        <w:rPr>
          <w:szCs w:val="26"/>
        </w:rPr>
        <w:t xml:space="preserve">and </w:t>
      </w:r>
      <w:r>
        <w:rPr>
          <w:szCs w:val="26"/>
        </w:rPr>
        <w:t xml:space="preserve">1920-A </w:t>
      </w:r>
      <w:r w:rsidR="00D72BA6">
        <w:rPr>
          <w:szCs w:val="26"/>
        </w:rPr>
        <w:t xml:space="preserve">do not </w:t>
      </w:r>
      <w:r>
        <w:rPr>
          <w:szCs w:val="26"/>
        </w:rPr>
        <w:t xml:space="preserve">present </w:t>
      </w:r>
      <w:r w:rsidRPr="00196E74">
        <w:rPr>
          <w:szCs w:val="26"/>
        </w:rPr>
        <w:t>substantial evidence establishing a causal link between the Commission’s changes to its transmission planning requirements and the need for replacement rates on cost allocation</w:t>
      </w:r>
      <w:r>
        <w:rPr>
          <w:szCs w:val="26"/>
        </w:rPr>
        <w:t>.</w:t>
      </w:r>
      <w:r>
        <w:rPr>
          <w:rStyle w:val="FootnoteReference"/>
          <w:szCs w:val="26"/>
        </w:rPr>
        <w:footnoteReference w:id="494"/>
      </w:r>
      <w:r>
        <w:rPr>
          <w:szCs w:val="26"/>
        </w:rPr>
        <w:t xml:space="preserve">  </w:t>
      </w:r>
      <w:r w:rsidRPr="00B2379A">
        <w:rPr>
          <w:szCs w:val="26"/>
        </w:rPr>
        <w:t>SPP TOs acknowledge that the Commission made such findings in Order Nos. 1920 and 1920-A but contend that th</w:t>
      </w:r>
      <w:r>
        <w:rPr>
          <w:szCs w:val="26"/>
        </w:rPr>
        <w:t>ese</w:t>
      </w:r>
      <w:r w:rsidRPr="00B2379A">
        <w:rPr>
          <w:szCs w:val="26"/>
        </w:rPr>
        <w:t xml:space="preserve"> finding</w:t>
      </w:r>
      <w:r>
        <w:rPr>
          <w:szCs w:val="26"/>
        </w:rPr>
        <w:t>s</w:t>
      </w:r>
      <w:r w:rsidRPr="00B2379A">
        <w:rPr>
          <w:szCs w:val="26"/>
        </w:rPr>
        <w:t xml:space="preserve"> fall short of statutory requirements.</w:t>
      </w:r>
      <w:r w:rsidRPr="00B2379A">
        <w:rPr>
          <w:b/>
          <w:szCs w:val="26"/>
          <w:vertAlign w:val="superscript"/>
        </w:rPr>
        <w:footnoteReference w:id="495"/>
      </w:r>
      <w:r w:rsidRPr="00B2379A">
        <w:rPr>
          <w:szCs w:val="26"/>
        </w:rPr>
        <w:t xml:space="preserve">  </w:t>
      </w:r>
      <w:r w:rsidR="009D2458">
        <w:rPr>
          <w:szCs w:val="26"/>
        </w:rPr>
        <w:t>Specifically, t</w:t>
      </w:r>
      <w:r>
        <w:rPr>
          <w:szCs w:val="26"/>
        </w:rPr>
        <w:t xml:space="preserve">hey argue that </w:t>
      </w:r>
      <w:r w:rsidRPr="002D1119">
        <w:rPr>
          <w:szCs w:val="26"/>
        </w:rPr>
        <w:t xml:space="preserve">“[t]he creation of new benefits in the transmission planning process does not support the Commission’s conclusion that a new transmission cost allocation scheme is also needed” because costs need not be allocated with exacting precision and there is more than one </w:t>
      </w:r>
      <w:r>
        <w:rPr>
          <w:szCs w:val="26"/>
        </w:rPr>
        <w:t>just and reasonable</w:t>
      </w:r>
      <w:r w:rsidRPr="002D1119">
        <w:rPr>
          <w:szCs w:val="26"/>
        </w:rPr>
        <w:t xml:space="preserve"> rate, such that existing </w:t>
      </w:r>
      <w:r>
        <w:rPr>
          <w:szCs w:val="26"/>
        </w:rPr>
        <w:t>rates</w:t>
      </w:r>
      <w:r w:rsidRPr="002D1119">
        <w:rPr>
          <w:szCs w:val="26"/>
        </w:rPr>
        <w:t xml:space="preserve"> may still be</w:t>
      </w:r>
      <w:r>
        <w:rPr>
          <w:szCs w:val="26"/>
        </w:rPr>
        <w:t xml:space="preserve"> just and reasonable.</w:t>
      </w:r>
      <w:r>
        <w:rPr>
          <w:rStyle w:val="FootnoteReference"/>
          <w:szCs w:val="26"/>
        </w:rPr>
        <w:footnoteReference w:id="496"/>
      </w:r>
      <w:r>
        <w:rPr>
          <w:szCs w:val="26"/>
        </w:rPr>
        <w:t xml:space="preserve">  </w:t>
      </w:r>
      <w:r w:rsidR="008F6D37">
        <w:rPr>
          <w:szCs w:val="26"/>
        </w:rPr>
        <w:t>Further, SPP TOs contend that the Commission disavowed in Order No. 1920 any causal link between</w:t>
      </w:r>
      <w:r>
        <w:rPr>
          <w:szCs w:val="26"/>
        </w:rPr>
        <w:t xml:space="preserve"> </w:t>
      </w:r>
      <w:r w:rsidR="00323C7D">
        <w:rPr>
          <w:szCs w:val="26"/>
        </w:rPr>
        <w:t>the benefits required to be used and measured for planning purposes</w:t>
      </w:r>
      <w:r w:rsidR="000070C8">
        <w:rPr>
          <w:szCs w:val="26"/>
        </w:rPr>
        <w:t xml:space="preserve"> and the </w:t>
      </w:r>
      <w:r w:rsidR="00063A69">
        <w:rPr>
          <w:szCs w:val="26"/>
        </w:rPr>
        <w:t>proposed replacement rate</w:t>
      </w:r>
      <w:r w:rsidR="001943D0">
        <w:rPr>
          <w:szCs w:val="26"/>
        </w:rPr>
        <w:t xml:space="preserve"> such that </w:t>
      </w:r>
      <w:r w:rsidR="00A17E02">
        <w:rPr>
          <w:szCs w:val="26"/>
        </w:rPr>
        <w:t xml:space="preserve">an acceptable cost allocation method </w:t>
      </w:r>
      <w:r w:rsidR="00CD2012">
        <w:rPr>
          <w:szCs w:val="26"/>
        </w:rPr>
        <w:t xml:space="preserve">need not include a mechanism for allocating the costs of Long-Term </w:t>
      </w:r>
      <w:r w:rsidR="00CD2012">
        <w:rPr>
          <w:szCs w:val="26"/>
        </w:rPr>
        <w:lastRenderedPageBreak/>
        <w:t xml:space="preserve">Regional Transmission Facilities </w:t>
      </w:r>
      <w:r w:rsidR="004763B6">
        <w:rPr>
          <w:szCs w:val="26"/>
        </w:rPr>
        <w:t xml:space="preserve">in line with the measurement of benefits.  </w:t>
      </w:r>
      <w:r w:rsidRPr="00454269">
        <w:rPr>
          <w:szCs w:val="26"/>
        </w:rPr>
        <w:t>Therefore, SPP TOs argue, the Commission was required to make additional factual findings, such as showing that Order No. 1920’s transmission planning requirements would cause existing cost allocation methods to fail to meet the cost causation principle.</w:t>
      </w:r>
      <w:r w:rsidRPr="00454269">
        <w:rPr>
          <w:b/>
          <w:szCs w:val="26"/>
          <w:vertAlign w:val="superscript"/>
        </w:rPr>
        <w:footnoteReference w:id="497"/>
      </w:r>
      <w:r w:rsidRPr="00454269">
        <w:rPr>
          <w:szCs w:val="26"/>
        </w:rPr>
        <w:t xml:space="preserve">  </w:t>
      </w:r>
    </w:p>
    <w:p w14:paraId="25C9E362" w14:textId="00850A65" w:rsidR="00210CBD" w:rsidRDefault="00210CBD" w:rsidP="00AF04BB">
      <w:pPr>
        <w:pStyle w:val="FERCparanumber"/>
      </w:pPr>
      <w:r>
        <w:rPr>
          <w:szCs w:val="26"/>
        </w:rPr>
        <w:t xml:space="preserve">SPP TOs assert that </w:t>
      </w:r>
      <w:r w:rsidR="00454797">
        <w:rPr>
          <w:szCs w:val="26"/>
        </w:rPr>
        <w:t xml:space="preserve">the holding in </w:t>
      </w:r>
      <w:r w:rsidRPr="00D43074">
        <w:rPr>
          <w:i/>
          <w:iCs/>
        </w:rPr>
        <w:t xml:space="preserve">South Carolina </w:t>
      </w:r>
      <w:r w:rsidRPr="00D43074">
        <w:t>that “</w:t>
      </w:r>
      <w:r>
        <w:t>‘</w:t>
      </w:r>
      <w:r w:rsidRPr="00D43074">
        <w:t>substantial evidence’ is not limited to empirical evidence and</w:t>
      </w:r>
      <w:r>
        <w:rPr>
          <w:i/>
          <w:iCs/>
        </w:rPr>
        <w:t xml:space="preserve"> </w:t>
      </w:r>
      <w:r w:rsidRPr="00D43074">
        <w:t>may include generic factual predictions”</w:t>
      </w:r>
      <w:r>
        <w:rPr>
          <w:rStyle w:val="FootnoteReference"/>
        </w:rPr>
        <w:footnoteReference w:id="498"/>
      </w:r>
      <w:r>
        <w:t xml:space="preserve"> does not support the Commission’</w:t>
      </w:r>
      <w:r w:rsidRPr="00BB435F">
        <w:t>s decision because “the Commission fails to show any support</w:t>
      </w:r>
      <w:r>
        <w:t xml:space="preserve"> </w:t>
      </w:r>
      <w:r w:rsidRPr="00BB435F">
        <w:t xml:space="preserve">for </w:t>
      </w:r>
      <w:r>
        <w:t>‘</w:t>
      </w:r>
      <w:r w:rsidRPr="00BB435F">
        <w:t>generic factual predictions</w:t>
      </w:r>
      <w:r>
        <w:t xml:space="preserve">’ </w:t>
      </w:r>
      <w:r w:rsidRPr="00BB435F">
        <w:t>related to supposed cost allocation deficiencies</w:t>
      </w:r>
      <w:r>
        <w:t>.”</w:t>
      </w:r>
      <w:r>
        <w:rPr>
          <w:rStyle w:val="FootnoteReference"/>
        </w:rPr>
        <w:footnoteReference w:id="499"/>
      </w:r>
      <w:r>
        <w:t xml:space="preserve">  SPP TOs further contend that the Commission’s discussion of the need for reform in Order No</w:t>
      </w:r>
      <w:r w:rsidR="00B5320A" w:rsidRPr="00E45454">
        <w:t>s</w:t>
      </w:r>
      <w:r>
        <w:t>. 1920 and 1920</w:t>
      </w:r>
      <w:r w:rsidR="00494071">
        <w:t>-A</w:t>
      </w:r>
      <w:r>
        <w:t xml:space="preserve"> do</w:t>
      </w:r>
      <w:r w:rsidR="00FA0DDF">
        <w:t>es</w:t>
      </w:r>
      <w:r>
        <w:t xml:space="preserve"> not support a finding </w:t>
      </w:r>
      <w:r w:rsidR="0073344A">
        <w:t xml:space="preserve">under </w:t>
      </w:r>
      <w:r w:rsidR="005A57C8" w:rsidRPr="00A35D13">
        <w:t>the first prong</w:t>
      </w:r>
      <w:r w:rsidR="0073344A">
        <w:t xml:space="preserve"> of FPA section 206 </w:t>
      </w:r>
      <w:r>
        <w:t xml:space="preserve">as to cost allocation, </w:t>
      </w:r>
      <w:r w:rsidR="0073344A">
        <w:t>because</w:t>
      </w:r>
      <w:r>
        <w:t xml:space="preserve"> the relevant material in the record addresses the need for improved transmission planning, not cost allocation.</w:t>
      </w:r>
      <w:r>
        <w:rPr>
          <w:rStyle w:val="FootnoteReference"/>
        </w:rPr>
        <w:footnoteReference w:id="500"/>
      </w:r>
      <w:r>
        <w:t xml:space="preserve">  In addition, SPP TOs argue that the Commission does not cite any record evidence that existing cost allocation methods fail to adequately consider the views of states, does not support the need for a dedicated process through which states have the opportunity to participate in regional </w:t>
      </w:r>
      <w:r>
        <w:lastRenderedPageBreak/>
        <w:t>cost allocation methods, and does not show that existing methods are insufficient to appropriately allocate costs in this context.</w:t>
      </w:r>
      <w:r>
        <w:rPr>
          <w:rStyle w:val="FootnoteReference"/>
        </w:rPr>
        <w:footnoteReference w:id="501"/>
      </w:r>
    </w:p>
    <w:p w14:paraId="088CE3D3" w14:textId="097B9C38" w:rsidR="00A95756" w:rsidRDefault="00BB09D5" w:rsidP="00A95756">
      <w:pPr>
        <w:pStyle w:val="Heading3"/>
      </w:pPr>
      <w:r>
        <w:t>Commission Determination</w:t>
      </w:r>
    </w:p>
    <w:p w14:paraId="3FF72768" w14:textId="11BBE6A6" w:rsidR="00232A88" w:rsidRDefault="00232A88" w:rsidP="00232A88">
      <w:pPr>
        <w:pStyle w:val="FERCparanumber"/>
      </w:pPr>
      <w:r>
        <w:t>FPA section 313(a) provides that a party aggrieved by an order issued by the Commission “may apply for a rehearing within thirty days after the issuance of such order.”</w:t>
      </w:r>
      <w:r>
        <w:rPr>
          <w:rStyle w:val="FootnoteReference"/>
        </w:rPr>
        <w:footnoteReference w:id="502"/>
      </w:r>
      <w:r>
        <w:t xml:space="preserve">  That provision further requires that “[t]</w:t>
      </w:r>
      <w:r w:rsidRPr="00D55593">
        <w:t>he application for rehearing shall set forth specifically the ground or grounds upon which such application is based.</w:t>
      </w:r>
      <w:r>
        <w:t>”</w:t>
      </w:r>
      <w:r>
        <w:rPr>
          <w:rStyle w:val="FootnoteReference"/>
        </w:rPr>
        <w:footnoteReference w:id="503"/>
      </w:r>
      <w:r>
        <w:t xml:space="preserve">  An aggrieved party is entitled to one opportunity to ask the Commission to reconsider a decision.</w:t>
      </w:r>
      <w:r>
        <w:rPr>
          <w:rStyle w:val="FootnoteReference"/>
        </w:rPr>
        <w:footnoteReference w:id="504"/>
      </w:r>
      <w:r>
        <w:t xml:space="preserve">  Arguments that are not made at the first opportunity cannot be made later unless there is reasonable ground for failure to do so.</w:t>
      </w:r>
      <w:r>
        <w:rPr>
          <w:rStyle w:val="FootnoteReference"/>
        </w:rPr>
        <w:footnoteReference w:id="505"/>
      </w:r>
      <w:r w:rsidR="007E7B73">
        <w:t xml:space="preserve">  Successive rehearing requests </w:t>
      </w:r>
      <w:r w:rsidR="007E7B73">
        <w:lastRenderedPageBreak/>
        <w:t xml:space="preserve">are only proper when the order on rehearing modifies the result reached in the original order in a manner that gives rise to a </w:t>
      </w:r>
      <w:r w:rsidR="00A36378">
        <w:t>“</w:t>
      </w:r>
      <w:r w:rsidR="007E7B73">
        <w:t>wholly new objection.</w:t>
      </w:r>
      <w:r w:rsidR="00A36378">
        <w:t>”</w:t>
      </w:r>
      <w:r w:rsidR="007E7B73">
        <w:rPr>
          <w:rStyle w:val="FootnoteReference"/>
        </w:rPr>
        <w:footnoteReference w:id="506"/>
      </w:r>
      <w:r w:rsidR="007E7B73">
        <w:t xml:space="preserve">  </w:t>
      </w:r>
    </w:p>
    <w:p w14:paraId="332E9008" w14:textId="24BE7207" w:rsidR="002E499F" w:rsidRDefault="00232A88" w:rsidP="001E07D0">
      <w:pPr>
        <w:pStyle w:val="FERCparanumber"/>
      </w:pPr>
      <w:r>
        <w:t>Here, Indicated PJM TOs did not request rehearing of this aspect of Order No. 1920,</w:t>
      </w:r>
      <w:r>
        <w:rPr>
          <w:rStyle w:val="FootnoteReference"/>
        </w:rPr>
        <w:footnoteReference w:id="507"/>
      </w:r>
      <w:r>
        <w:t xml:space="preserve"> and SPP TOs did not request rehearing of Order No. 1920.</w:t>
      </w:r>
      <w:r w:rsidR="00E51475" w:rsidRPr="00E51475">
        <w:t xml:space="preserve">  </w:t>
      </w:r>
      <w:r w:rsidR="0047116C">
        <w:t>Nor have Indicated PJM TOs or SPP TOs provided a reasonable ground for their failure to timely raise their objections to Order No. 1920’s findings under the first prong of FPA section 206.</w:t>
      </w:r>
      <w:r w:rsidR="001E07D0">
        <w:t xml:space="preserve"> </w:t>
      </w:r>
      <w:r w:rsidR="000C61C8">
        <w:t xml:space="preserve"> </w:t>
      </w:r>
      <w:r w:rsidR="005406BD">
        <w:t xml:space="preserve">Nevertheless, the concerns they raise regarding the Commission’s </w:t>
      </w:r>
      <w:r w:rsidR="005406BD" w:rsidRPr="0083203F">
        <w:t xml:space="preserve">findings under the first prong of FPA section 206 </w:t>
      </w:r>
      <w:r w:rsidR="005406BD">
        <w:t xml:space="preserve">and sufficiency of evidence to support </w:t>
      </w:r>
      <w:r w:rsidR="005406BD" w:rsidRPr="0083203F">
        <w:t>its exercise of authority in Order No. 1920</w:t>
      </w:r>
      <w:r w:rsidR="005406BD">
        <w:rPr>
          <w:rStyle w:val="FootnoteReference"/>
        </w:rPr>
        <w:footnoteReference w:id="508"/>
      </w:r>
      <w:r w:rsidR="005406BD">
        <w:t xml:space="preserve"> were thoroughly addressed in </w:t>
      </w:r>
      <w:r w:rsidR="005406BD" w:rsidRPr="00E51475">
        <w:t xml:space="preserve">Order </w:t>
      </w:r>
      <w:r w:rsidR="00D2720A">
        <w:t xml:space="preserve">                             </w:t>
      </w:r>
      <w:r w:rsidR="005406BD" w:rsidRPr="00E51475">
        <w:t>No. 1920-A,</w:t>
      </w:r>
      <w:r w:rsidR="005406BD" w:rsidRPr="00E51475">
        <w:rPr>
          <w:b/>
          <w:vertAlign w:val="superscript"/>
        </w:rPr>
        <w:footnoteReference w:id="509"/>
      </w:r>
      <w:r w:rsidR="005406BD" w:rsidRPr="00E51475">
        <w:t xml:space="preserve"> </w:t>
      </w:r>
      <w:r w:rsidR="005406BD">
        <w:t xml:space="preserve">which </w:t>
      </w:r>
      <w:r w:rsidR="005406BD" w:rsidRPr="00E51475">
        <w:t xml:space="preserve">sustained Order No. 1920’s outcome </w:t>
      </w:r>
      <w:r w:rsidR="005406BD">
        <w:t>on this issue</w:t>
      </w:r>
      <w:r w:rsidR="005406BD" w:rsidRPr="00E51475">
        <w:t>.</w:t>
      </w:r>
      <w:r w:rsidR="005406BD" w:rsidRPr="00E51475">
        <w:rPr>
          <w:b/>
          <w:vertAlign w:val="superscript"/>
        </w:rPr>
        <w:footnoteReference w:id="510"/>
      </w:r>
      <w:r w:rsidR="00CE57E5">
        <w:t xml:space="preserve">  </w:t>
      </w:r>
      <w:r w:rsidR="00C51DE9" w:rsidRPr="006F48C7">
        <w:t>The</w:t>
      </w:r>
      <w:r w:rsidR="00B72B3F" w:rsidRPr="006F48C7">
        <w:t xml:space="preserve"> </w:t>
      </w:r>
      <w:r w:rsidR="00B72B3F" w:rsidRPr="006F48C7">
        <w:lastRenderedPageBreak/>
        <w:t xml:space="preserve">reasoning </w:t>
      </w:r>
      <w:r w:rsidR="00836646" w:rsidRPr="006F48C7">
        <w:t>therein</w:t>
      </w:r>
      <w:r w:rsidR="00FA13DD">
        <w:t xml:space="preserve"> fully responds to the challenges on this issue raised here by the Indicated PJM TOs and SPP TOs</w:t>
      </w:r>
      <w:r w:rsidR="0046574B" w:rsidRPr="006F48C7">
        <w:t>.</w:t>
      </w:r>
      <w:r w:rsidR="0046574B">
        <w:t xml:space="preserve">  </w:t>
      </w:r>
    </w:p>
    <w:p w14:paraId="2C7335B6" w14:textId="7BF6427E" w:rsidR="00BB09D5" w:rsidRDefault="00396334" w:rsidP="001E07D0">
      <w:pPr>
        <w:pStyle w:val="FERCparanumber"/>
      </w:pPr>
      <w:r>
        <w:t>Accordingly</w:t>
      </w:r>
      <w:r w:rsidR="00232A88">
        <w:t>,</w:t>
      </w:r>
      <w:r w:rsidR="00682B83">
        <w:t xml:space="preserve"> we find that</w:t>
      </w:r>
      <w:r w:rsidR="00384C61">
        <w:t xml:space="preserve"> successive request</w:t>
      </w:r>
      <w:r w:rsidR="00B751B3">
        <w:t>s</w:t>
      </w:r>
      <w:r w:rsidR="00384C61">
        <w:t xml:space="preserve"> for rehearing of</w:t>
      </w:r>
      <w:r w:rsidR="00682B83">
        <w:t xml:space="preserve"> </w:t>
      </w:r>
      <w:r w:rsidR="00D516A3">
        <w:t>this</w:t>
      </w:r>
      <w:r w:rsidR="00077FBB">
        <w:t xml:space="preserve"> determination</w:t>
      </w:r>
      <w:r w:rsidR="00232A88">
        <w:t xml:space="preserve"> </w:t>
      </w:r>
      <w:r w:rsidR="00D516A3">
        <w:t xml:space="preserve">in </w:t>
      </w:r>
      <w:r w:rsidR="009D20B0">
        <w:t>Order No. </w:t>
      </w:r>
      <w:r w:rsidR="00D516A3">
        <w:t xml:space="preserve">1920 do not lie, and </w:t>
      </w:r>
      <w:r w:rsidR="00232A88">
        <w:t>SPP TOs</w:t>
      </w:r>
      <w:r w:rsidR="00D516A3">
        <w:t>’</w:t>
      </w:r>
      <w:r w:rsidR="00232A88">
        <w:t xml:space="preserve"> </w:t>
      </w:r>
      <w:r w:rsidR="00D516A3">
        <w:t xml:space="preserve">arguments </w:t>
      </w:r>
      <w:r w:rsidR="003F0E57">
        <w:t xml:space="preserve">regarding </w:t>
      </w:r>
      <w:r w:rsidR="00232A88">
        <w:t>the sufficiency of the Commission’s findings in Order No. 1920,</w:t>
      </w:r>
      <w:r w:rsidR="00232A88">
        <w:rPr>
          <w:rStyle w:val="FootnoteReference"/>
        </w:rPr>
        <w:footnoteReference w:id="511"/>
      </w:r>
      <w:r w:rsidR="00232A88">
        <w:t xml:space="preserve"> </w:t>
      </w:r>
      <w:r w:rsidR="000C3CD2">
        <w:t>as well as</w:t>
      </w:r>
      <w:r w:rsidR="00232A88">
        <w:t xml:space="preserve"> both Indicated PJM TOs</w:t>
      </w:r>
      <w:r w:rsidR="000C3CD2">
        <w:t>’</w:t>
      </w:r>
      <w:r w:rsidR="00232A88">
        <w:t xml:space="preserve"> and SPP TOs</w:t>
      </w:r>
      <w:r w:rsidR="000C3CD2">
        <w:t>’</w:t>
      </w:r>
      <w:r w:rsidR="00232A88">
        <w:t xml:space="preserve"> </w:t>
      </w:r>
      <w:r w:rsidR="00600A47">
        <w:t>objectio</w:t>
      </w:r>
      <w:r w:rsidR="00F95D7F">
        <w:t>ns</w:t>
      </w:r>
      <w:r w:rsidR="00600A47">
        <w:t xml:space="preserve"> to</w:t>
      </w:r>
      <w:r w:rsidR="00232A88">
        <w:t xml:space="preserve"> the sufficiency of statements made in Order No. 1920-A that merely sustain Order No. 1920</w:t>
      </w:r>
      <w:r w:rsidR="0074099D">
        <w:t>,</w:t>
      </w:r>
      <w:r w:rsidR="00232A88">
        <w:rPr>
          <w:rStyle w:val="FootnoteReference"/>
        </w:rPr>
        <w:footnoteReference w:id="512"/>
      </w:r>
      <w:r w:rsidR="00232A88">
        <w:t xml:space="preserve"> </w:t>
      </w:r>
      <w:r w:rsidR="00F95D7F">
        <w:t xml:space="preserve">are </w:t>
      </w:r>
      <w:r w:rsidR="00AE600D">
        <w:t>rejected.</w:t>
      </w:r>
      <w:r w:rsidR="00F3586F">
        <w:rPr>
          <w:rStyle w:val="FootnoteReference"/>
        </w:rPr>
        <w:footnoteReference w:id="513"/>
      </w:r>
      <w:r w:rsidR="00232A88">
        <w:t xml:space="preserve">  </w:t>
      </w:r>
    </w:p>
    <w:p w14:paraId="59AAEEFB" w14:textId="77777777" w:rsidR="0075702A" w:rsidRPr="00395600" w:rsidRDefault="0075702A" w:rsidP="0075702A">
      <w:pPr>
        <w:pStyle w:val="Heading1"/>
      </w:pPr>
      <w:r w:rsidRPr="00395600">
        <w:t xml:space="preserve">Document </w:t>
      </w:r>
      <w:r w:rsidRPr="00550FF9">
        <w:t>Availability</w:t>
      </w:r>
    </w:p>
    <w:p w14:paraId="0D9F02FB" w14:textId="162D394B" w:rsidR="0075702A" w:rsidRDefault="0075702A" w:rsidP="0075702A">
      <w:pPr>
        <w:pStyle w:val="FERCparanumber"/>
      </w:pPr>
      <w:r w:rsidRPr="00B70256">
        <w:t xml:space="preserve">In addition to publishing the full text of this document in the Federal Register, the Commission provides all interested persons an opportunity to view and/or print the </w:t>
      </w:r>
      <w:r w:rsidRPr="00B70256">
        <w:lastRenderedPageBreak/>
        <w:t>contents of this document via the Internet through the Commission's Home Page</w:t>
      </w:r>
      <w:r w:rsidR="0027165B">
        <w:t xml:space="preserve"> </w:t>
      </w:r>
      <w:r w:rsidRPr="00B70256">
        <w:t>(</w:t>
      </w:r>
      <w:r w:rsidRPr="0027165B">
        <w:t>http://www.ferc.gov</w:t>
      </w:r>
      <w:r w:rsidRPr="00B70256">
        <w:t>).</w:t>
      </w:r>
    </w:p>
    <w:p w14:paraId="28420AF6" w14:textId="16618E83" w:rsidR="0075702A" w:rsidRPr="00395600" w:rsidRDefault="0075702A" w:rsidP="0075702A">
      <w:pPr>
        <w:pStyle w:val="FERCparanumber"/>
      </w:pPr>
      <w:r>
        <w:rPr>
          <w:color w:val="000000"/>
        </w:rPr>
        <w:t xml:space="preserve">From </w:t>
      </w:r>
      <w:r w:rsidRPr="00B70256">
        <w:rPr>
          <w:color w:val="000000"/>
        </w:rPr>
        <w:t>the Commission’s</w:t>
      </w:r>
      <w:r>
        <w:rPr>
          <w:color w:val="000000"/>
        </w:rPr>
        <w:t xml:space="preserve"> Home Page on the Internet, this information is available on </w:t>
      </w:r>
      <w:proofErr w:type="spellStart"/>
      <w:r>
        <w:rPr>
          <w:color w:val="000000"/>
        </w:rPr>
        <w:t>eLibrary</w:t>
      </w:r>
      <w:proofErr w:type="spellEnd"/>
      <w:r>
        <w:rPr>
          <w:color w:val="000000"/>
        </w:rPr>
        <w:t xml:space="preserve">. </w:t>
      </w:r>
      <w:r w:rsidR="00691C8D">
        <w:rPr>
          <w:color w:val="000000"/>
        </w:rPr>
        <w:t xml:space="preserve"> </w:t>
      </w:r>
      <w:r>
        <w:rPr>
          <w:color w:val="000000"/>
        </w:rPr>
        <w:t xml:space="preserve">The full text of this document is available on </w:t>
      </w:r>
      <w:proofErr w:type="spellStart"/>
      <w:r>
        <w:rPr>
          <w:color w:val="000000"/>
        </w:rPr>
        <w:t>eLibrary</w:t>
      </w:r>
      <w:proofErr w:type="spellEnd"/>
      <w:r>
        <w:rPr>
          <w:color w:val="000000"/>
        </w:rPr>
        <w:t xml:space="preserve"> in PDF and Microsoft Word format for viewing, printing, and/or downloading. </w:t>
      </w:r>
      <w:r w:rsidR="00E15521">
        <w:rPr>
          <w:color w:val="000000"/>
        </w:rPr>
        <w:t xml:space="preserve"> </w:t>
      </w:r>
      <w:r>
        <w:rPr>
          <w:color w:val="000000"/>
        </w:rPr>
        <w:t xml:space="preserve">To access this document in </w:t>
      </w:r>
      <w:proofErr w:type="spellStart"/>
      <w:r>
        <w:rPr>
          <w:color w:val="000000"/>
        </w:rPr>
        <w:t>eLibrary</w:t>
      </w:r>
      <w:proofErr w:type="spellEnd"/>
      <w:r>
        <w:rPr>
          <w:color w:val="000000"/>
        </w:rPr>
        <w:t>, type the docket number excluding the last three digits of this document in the docket number field.</w:t>
      </w:r>
    </w:p>
    <w:p w14:paraId="08AB468E" w14:textId="4D0B702C" w:rsidR="0075702A" w:rsidRDefault="0075702A" w:rsidP="0075702A">
      <w:pPr>
        <w:pStyle w:val="FERCparanumber"/>
        <w:tabs>
          <w:tab w:val="clear" w:pos="720"/>
          <w:tab w:val="num" w:pos="360"/>
        </w:tabs>
        <w:rPr>
          <w:sz w:val="22"/>
        </w:rPr>
      </w:pPr>
      <w:r>
        <w:t xml:space="preserve">User assistance is available for </w:t>
      </w:r>
      <w:proofErr w:type="spellStart"/>
      <w:r>
        <w:t>eLibrary</w:t>
      </w:r>
      <w:proofErr w:type="spellEnd"/>
      <w:r>
        <w:t xml:space="preserve"> and </w:t>
      </w:r>
      <w:r w:rsidRPr="00B70256">
        <w:t>the Commission’s</w:t>
      </w:r>
      <w:r>
        <w:t xml:space="preserve"> website during normal business hours from FERC Online Support at 202-502-6652 (toll free at 1-866-208-3676) or email at </w:t>
      </w:r>
      <w:r w:rsidRPr="001E1FB7">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(202) 502-8371, TTY (202)502-8659. </w:t>
      </w:r>
      <w:r w:rsidR="0027165B">
        <w:t xml:space="preserve"> </w:t>
      </w:r>
      <w:r>
        <w:t xml:space="preserve">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w:t>
      </w:r>
      <w:r w:rsidRPr="001E1FB7">
        <w:t>public.referenceroom@ferc.gov</w:t>
      </w:r>
      <w:r>
        <w:t>.</w:t>
      </w:r>
    </w:p>
    <w:p w14:paraId="2DBE5821" w14:textId="7490B49C" w:rsidR="0075702A" w:rsidRPr="00395600" w:rsidRDefault="0075702A" w:rsidP="0075702A">
      <w:pPr>
        <w:pStyle w:val="Heading1"/>
      </w:pPr>
      <w:r w:rsidRPr="00395600">
        <w:t>Effective Date</w:t>
      </w:r>
    </w:p>
    <w:p w14:paraId="08AA5201" w14:textId="4A2A2F37" w:rsidR="0075702A" w:rsidRPr="00395600" w:rsidRDefault="001B047E" w:rsidP="001301FF">
      <w:pPr>
        <w:pStyle w:val="FERCparanumber"/>
      </w:pPr>
      <w:r w:rsidRPr="00195096">
        <w:t xml:space="preserve">The effective date of the document published on </w:t>
      </w:r>
      <w:r>
        <w:t>December 6, 2024</w:t>
      </w:r>
      <w:r w:rsidRPr="00195096">
        <w:t xml:space="preserve"> </w:t>
      </w:r>
      <w:r w:rsidR="001301FF">
        <w:t xml:space="preserve">                 </w:t>
      </w:r>
      <w:proofErr w:type="gramStart"/>
      <w:r w:rsidR="001301FF">
        <w:t xml:space="preserve">   </w:t>
      </w:r>
      <w:r w:rsidRPr="00195096">
        <w:t>(</w:t>
      </w:r>
      <w:proofErr w:type="gramEnd"/>
      <w:r w:rsidRPr="00F83BAF">
        <w:t>89 FR 97</w:t>
      </w:r>
      <w:r>
        <w:t>,</w:t>
      </w:r>
      <w:r w:rsidRPr="00F83BAF">
        <w:t>174</w:t>
      </w:r>
      <w:r w:rsidRPr="00195096">
        <w:t xml:space="preserve">), is confirmed:  </w:t>
      </w:r>
      <w:r>
        <w:t xml:space="preserve">January </w:t>
      </w:r>
      <w:r w:rsidR="00412EFC" w:rsidRPr="000059AF">
        <w:t>6</w:t>
      </w:r>
      <w:r>
        <w:t>, 2025</w:t>
      </w:r>
      <w:r w:rsidR="006F1926">
        <w:t>.</w:t>
      </w:r>
    </w:p>
    <w:p w14:paraId="0918B7D9" w14:textId="7AF55F9E" w:rsidR="0075702A" w:rsidRDefault="0075702A">
      <w:r w:rsidRPr="00395600">
        <w:t>By the Commission.</w:t>
      </w:r>
      <w:r w:rsidR="001301FF">
        <w:t xml:space="preserve">  Commissioner See is not participating.</w:t>
      </w:r>
    </w:p>
    <w:p w14:paraId="690C0E6A" w14:textId="77777777" w:rsidR="001301FF" w:rsidRDefault="001301FF"/>
    <w:p w14:paraId="0EDA287E" w14:textId="625030A7" w:rsidR="001301FF" w:rsidRDefault="001301FF" w:rsidP="001301FF">
      <w:pPr>
        <w:widowControl/>
      </w:pPr>
      <w:proofErr w:type="gramStart"/>
      <w:r w:rsidRPr="001301FF">
        <w:t>( S</w:t>
      </w:r>
      <w:proofErr w:type="gramEnd"/>
      <w:r w:rsidRPr="001301FF">
        <w:t xml:space="preserve"> E A L )</w:t>
      </w:r>
    </w:p>
    <w:p w14:paraId="5050E5CE" w14:textId="77777777" w:rsidR="001301FF" w:rsidRPr="001301FF" w:rsidRDefault="001301FF" w:rsidP="001301FF">
      <w:pPr>
        <w:widowControl/>
      </w:pPr>
    </w:p>
    <w:p w14:paraId="746546BD" w14:textId="2769BC05" w:rsidR="001301FF" w:rsidRDefault="001301FF" w:rsidP="001301FF">
      <w:pPr>
        <w:widowControl/>
      </w:pPr>
    </w:p>
    <w:p w14:paraId="79BA7C34" w14:textId="77777777" w:rsidR="001301FF" w:rsidRDefault="001301FF" w:rsidP="001301FF">
      <w:pPr>
        <w:widowControl/>
      </w:pPr>
    </w:p>
    <w:p w14:paraId="4CA08680" w14:textId="462AF982" w:rsidR="001301FF" w:rsidRPr="001301FF" w:rsidRDefault="001301FF" w:rsidP="001301FF">
      <w:pPr>
        <w:widowControl/>
        <w:ind w:firstLine="2174"/>
        <w:jc w:val="center"/>
      </w:pPr>
      <w:r w:rsidRPr="001301FF">
        <w:t>Carlos D. Clay,</w:t>
      </w:r>
    </w:p>
    <w:p w14:paraId="5E0F2E57" w14:textId="79B2D96C" w:rsidR="001301FF" w:rsidRPr="001301FF" w:rsidRDefault="001301FF" w:rsidP="001301FF">
      <w:pPr>
        <w:widowControl/>
        <w:ind w:firstLine="2174"/>
        <w:jc w:val="center"/>
      </w:pPr>
      <w:r w:rsidRPr="001301FF">
        <w:t xml:space="preserve"> Deputy Secretary.</w:t>
      </w:r>
    </w:p>
    <w:p w14:paraId="2CE772C7" w14:textId="77777777" w:rsidR="001301FF" w:rsidRPr="00395600" w:rsidRDefault="001301FF" w:rsidP="001301FF">
      <w:pPr>
        <w:widowControl/>
      </w:pPr>
    </w:p>
    <w:p w14:paraId="6F7E31BF" w14:textId="450374FB" w:rsidR="0075702A" w:rsidRDefault="0075702A">
      <w:pPr>
        <w:spacing w:line="480" w:lineRule="auto"/>
      </w:pPr>
    </w:p>
    <w:p w14:paraId="57474F11" w14:textId="77777777" w:rsidR="0075702A" w:rsidRPr="005E13DF" w:rsidRDefault="0075702A"/>
    <w:p w14:paraId="65B1218E" w14:textId="77777777" w:rsidR="0075702A" w:rsidRPr="005E13DF" w:rsidRDefault="0075702A"/>
    <w:p w14:paraId="613B7755" w14:textId="77777777" w:rsidR="006F2C51" w:rsidRDefault="006F2C51" w:rsidP="00F92067">
      <w:pPr>
        <w:pStyle w:val="FootnoteText"/>
        <w:ind w:firstLine="0"/>
        <w:sectPr w:rsidR="006F2C51" w:rsidSect="0090043F">
          <w:headerReference w:type="even" r:id="rId10"/>
          <w:headerReference w:type="default" r:id="rId11"/>
          <w:headerReference w:type="first" r:id="rId12"/>
          <w:pgSz w:w="12240" w:h="15840"/>
          <w:pgMar w:top="1440" w:right="1440" w:bottom="1440" w:left="1440" w:header="720" w:footer="720" w:gutter="0"/>
          <w:pgNumType w:fmt="numberInDash" w:start="1"/>
          <w:cols w:space="720"/>
          <w:titlePg/>
          <w:docGrid w:linePitch="360"/>
        </w:sectPr>
      </w:pPr>
    </w:p>
    <w:p w14:paraId="43D70103" w14:textId="169A5DF3" w:rsidR="00713AA8" w:rsidRDefault="00031B08" w:rsidP="00F92067">
      <w:pPr>
        <w:pStyle w:val="FootnoteText"/>
        <w:ind w:firstLine="0"/>
      </w:pPr>
      <w:r>
        <w:lastRenderedPageBreak/>
        <w:t xml:space="preserve">NOTE:  The following appendix will not appear in the Code </w:t>
      </w:r>
      <w:r w:rsidR="00713AA8">
        <w:t>of Federal Regulations.</w:t>
      </w:r>
    </w:p>
    <w:p w14:paraId="7DBDAE98" w14:textId="552B37A0" w:rsidR="00713AA8" w:rsidRDefault="00713AA8" w:rsidP="00713AA8">
      <w:pPr>
        <w:pStyle w:val="FootnoteText"/>
        <w:ind w:firstLine="0"/>
        <w:jc w:val="center"/>
      </w:pPr>
      <w:r>
        <w:rPr>
          <w:u w:val="single"/>
        </w:rPr>
        <w:t xml:space="preserve">Appendix A:  Abbreviated Names of </w:t>
      </w:r>
      <w:r w:rsidR="00FF7ED4">
        <w:rPr>
          <w:u w:val="single"/>
        </w:rPr>
        <w:t xml:space="preserve">Rehearing </w:t>
      </w:r>
      <w:r w:rsidR="00A713EB">
        <w:rPr>
          <w:u w:val="single"/>
        </w:rPr>
        <w:t>Petitioners</w:t>
      </w:r>
    </w:p>
    <w:tbl>
      <w:tblPr>
        <w:tblStyle w:val="TableGrid"/>
        <w:tblW w:w="0" w:type="auto"/>
        <w:tblLook w:val="04A0" w:firstRow="1" w:lastRow="0" w:firstColumn="1" w:lastColumn="0" w:noHBand="0" w:noVBand="1"/>
      </w:tblPr>
      <w:tblGrid>
        <w:gridCol w:w="4675"/>
        <w:gridCol w:w="4675"/>
      </w:tblGrid>
      <w:tr w:rsidR="00713AA8" w14:paraId="4A0F8659" w14:textId="77777777" w:rsidTr="00893B89">
        <w:trPr>
          <w:tblHeader/>
        </w:trPr>
        <w:tc>
          <w:tcPr>
            <w:tcW w:w="4675" w:type="dxa"/>
            <w:shd w:val="clear" w:color="auto" w:fill="BFBFBF" w:themeFill="background1" w:themeFillShade="BF"/>
          </w:tcPr>
          <w:p w14:paraId="1C415906" w14:textId="7D86F4F3" w:rsidR="00713AA8" w:rsidRPr="00FF7ED4" w:rsidRDefault="00713AA8" w:rsidP="00FF7ED4">
            <w:pPr>
              <w:pStyle w:val="FootnoteText"/>
              <w:spacing w:after="0"/>
              <w:ind w:firstLine="0"/>
              <w:rPr>
                <w:b/>
                <w:bCs/>
              </w:rPr>
            </w:pPr>
            <w:r w:rsidRPr="00FF7ED4">
              <w:rPr>
                <w:b/>
                <w:bCs/>
              </w:rPr>
              <w:t>Abbreviation</w:t>
            </w:r>
          </w:p>
        </w:tc>
        <w:tc>
          <w:tcPr>
            <w:tcW w:w="4675" w:type="dxa"/>
            <w:shd w:val="clear" w:color="auto" w:fill="BFBFBF" w:themeFill="background1" w:themeFillShade="BF"/>
          </w:tcPr>
          <w:p w14:paraId="1200F6FA" w14:textId="2AC434B1" w:rsidR="00713AA8" w:rsidRPr="00FF7ED4" w:rsidRDefault="00FF7ED4" w:rsidP="00FF7ED4">
            <w:pPr>
              <w:pStyle w:val="FootnoteText"/>
              <w:spacing w:after="0"/>
              <w:ind w:firstLine="0"/>
              <w:rPr>
                <w:b/>
                <w:bCs/>
              </w:rPr>
            </w:pPr>
            <w:r w:rsidRPr="00FF7ED4">
              <w:rPr>
                <w:b/>
                <w:bCs/>
              </w:rPr>
              <w:t>Rehearing Party(</w:t>
            </w:r>
            <w:proofErr w:type="spellStart"/>
            <w:r w:rsidRPr="00FF7ED4">
              <w:rPr>
                <w:b/>
                <w:bCs/>
              </w:rPr>
              <w:t>ies</w:t>
            </w:r>
            <w:proofErr w:type="spellEnd"/>
            <w:r w:rsidRPr="00FF7ED4">
              <w:rPr>
                <w:b/>
                <w:bCs/>
              </w:rPr>
              <w:t>)</w:t>
            </w:r>
          </w:p>
        </w:tc>
      </w:tr>
      <w:tr w:rsidR="00313D75" w14:paraId="125098AE" w14:textId="77777777" w:rsidTr="00713AA8">
        <w:tc>
          <w:tcPr>
            <w:tcW w:w="4675" w:type="dxa"/>
          </w:tcPr>
          <w:p w14:paraId="7E718F81" w14:textId="4A77BAB9" w:rsidR="00313D75" w:rsidRDefault="00E11751" w:rsidP="00FF7ED4">
            <w:pPr>
              <w:pStyle w:val="FootnoteText"/>
              <w:spacing w:after="0"/>
              <w:ind w:firstLine="0"/>
            </w:pPr>
            <w:r>
              <w:t>Developers Advocating Transmission Advancements</w:t>
            </w:r>
          </w:p>
        </w:tc>
        <w:tc>
          <w:tcPr>
            <w:tcW w:w="4675" w:type="dxa"/>
          </w:tcPr>
          <w:p w14:paraId="659B4FC8" w14:textId="6E4321D2" w:rsidR="00313D75" w:rsidRDefault="00E11751" w:rsidP="00FF7ED4">
            <w:pPr>
              <w:pStyle w:val="FootnoteText"/>
              <w:spacing w:after="0"/>
              <w:ind w:firstLine="0"/>
            </w:pPr>
            <w:r>
              <w:t>Ameren Services Company; Eversource Energy; Exelon Corporation; ITC Holdings Corp., National Grid USA; Xcel Energy</w:t>
            </w:r>
          </w:p>
        </w:tc>
      </w:tr>
      <w:tr w:rsidR="00713AA8" w14:paraId="7BDA1FCF" w14:textId="77777777" w:rsidTr="00713AA8">
        <w:tc>
          <w:tcPr>
            <w:tcW w:w="4675" w:type="dxa"/>
          </w:tcPr>
          <w:p w14:paraId="50A1E0A5" w14:textId="677CBC08" w:rsidR="00713AA8" w:rsidRDefault="00FF7ED4" w:rsidP="00FF7ED4">
            <w:pPr>
              <w:pStyle w:val="FootnoteText"/>
              <w:spacing w:after="0"/>
              <w:ind w:firstLine="0"/>
            </w:pPr>
            <w:r>
              <w:t>EEI</w:t>
            </w:r>
          </w:p>
        </w:tc>
        <w:tc>
          <w:tcPr>
            <w:tcW w:w="4675" w:type="dxa"/>
          </w:tcPr>
          <w:p w14:paraId="6D33EB63" w14:textId="1CC20DBF" w:rsidR="00713AA8" w:rsidRDefault="00FF7ED4" w:rsidP="00FF7ED4">
            <w:pPr>
              <w:pStyle w:val="FootnoteText"/>
              <w:spacing w:after="0"/>
              <w:ind w:firstLine="0"/>
            </w:pPr>
            <w:r>
              <w:t>Edison Electric Institute</w:t>
            </w:r>
          </w:p>
        </w:tc>
      </w:tr>
      <w:tr w:rsidR="00713AA8" w14:paraId="42054761" w14:textId="77777777" w:rsidTr="00713AA8">
        <w:tc>
          <w:tcPr>
            <w:tcW w:w="4675" w:type="dxa"/>
          </w:tcPr>
          <w:p w14:paraId="7A03494C" w14:textId="23BC9325" w:rsidR="00713AA8" w:rsidRDefault="00FF7ED4" w:rsidP="00FF7ED4">
            <w:pPr>
              <w:pStyle w:val="FootnoteText"/>
              <w:spacing w:after="0"/>
              <w:ind w:firstLine="0"/>
            </w:pPr>
            <w:r>
              <w:t>Indicated PJM TOs</w:t>
            </w:r>
          </w:p>
        </w:tc>
        <w:tc>
          <w:tcPr>
            <w:tcW w:w="4675" w:type="dxa"/>
          </w:tcPr>
          <w:p w14:paraId="6B1FE79C" w14:textId="2380292B" w:rsidR="00713AA8" w:rsidRDefault="00AF0801" w:rsidP="003656C4">
            <w:pPr>
              <w:pStyle w:val="FootnoteText"/>
              <w:spacing w:after="0"/>
              <w:ind w:firstLine="0"/>
            </w:pPr>
            <w:r w:rsidRPr="00AF0801">
              <w:t>American Electric Power Service Corporation on behalf</w:t>
            </w:r>
            <w:r>
              <w:t xml:space="preserve"> </w:t>
            </w:r>
            <w:r w:rsidRPr="00AF0801">
              <w:t>of its affiliates, Appalachian Power Company, Indiana</w:t>
            </w:r>
            <w:r>
              <w:t xml:space="preserve"> </w:t>
            </w:r>
            <w:r w:rsidRPr="00AF0801">
              <w:t>Michigan Power Company, Kentucky Power Company,</w:t>
            </w:r>
            <w:r>
              <w:t xml:space="preserve"> </w:t>
            </w:r>
            <w:r w:rsidRPr="00AF0801">
              <w:t>Kingsport Power Company, Ohio Power Company,</w:t>
            </w:r>
            <w:r>
              <w:t xml:space="preserve"> </w:t>
            </w:r>
            <w:r w:rsidRPr="00AF0801">
              <w:t>Wheeling Power Company, AEP Appalachian</w:t>
            </w:r>
            <w:r>
              <w:t xml:space="preserve"> </w:t>
            </w:r>
            <w:r w:rsidRPr="00AF0801">
              <w:t>Transmission Company, Inc., AEP Indiana Michigan</w:t>
            </w:r>
            <w:r>
              <w:t xml:space="preserve"> </w:t>
            </w:r>
            <w:r w:rsidRPr="00AF0801">
              <w:t>Transmission Company, Inc., AEP Kentucky</w:t>
            </w:r>
            <w:r>
              <w:t xml:space="preserve"> </w:t>
            </w:r>
            <w:r w:rsidRPr="00AF0801">
              <w:t>Transmission Company, Inc., AEP Ohio Transmission</w:t>
            </w:r>
            <w:r>
              <w:t xml:space="preserve"> </w:t>
            </w:r>
            <w:r w:rsidRPr="00AF0801">
              <w:t>Company, Inc., and AEP West Virginia Transmission</w:t>
            </w:r>
            <w:r>
              <w:t xml:space="preserve"> </w:t>
            </w:r>
            <w:r w:rsidRPr="00AF0801">
              <w:t xml:space="preserve">Company, Inc.; </w:t>
            </w:r>
            <w:r w:rsidR="0006273F">
              <w:t xml:space="preserve">the </w:t>
            </w:r>
            <w:r w:rsidRPr="00AF0801">
              <w:t>Dayton Power and Light Company;</w:t>
            </w:r>
            <w:r>
              <w:t xml:space="preserve"> </w:t>
            </w:r>
            <w:r w:rsidRPr="00AF0801">
              <w:t>Dominion Energy Services, Inc. on behalf of Virginia</w:t>
            </w:r>
            <w:r>
              <w:t xml:space="preserve"> </w:t>
            </w:r>
            <w:r w:rsidRPr="00AF0801">
              <w:t>Electric and Power Company; Duke Energy Corporation</w:t>
            </w:r>
            <w:r>
              <w:t xml:space="preserve"> </w:t>
            </w:r>
            <w:r w:rsidRPr="00AF0801">
              <w:t>on behalf of its affiliates Duke Energy Ohio, Inc., Duke</w:t>
            </w:r>
            <w:r>
              <w:t xml:space="preserve"> </w:t>
            </w:r>
            <w:r w:rsidRPr="00AF0801">
              <w:t>Energy Kentucky, Inc., and Duke Energy Business</w:t>
            </w:r>
            <w:r>
              <w:t xml:space="preserve"> </w:t>
            </w:r>
            <w:r w:rsidRPr="00AF0801">
              <w:t>Services LLC; Duquesne Light Company; East Kentucky</w:t>
            </w:r>
            <w:r>
              <w:t xml:space="preserve"> </w:t>
            </w:r>
            <w:r w:rsidRPr="00AF0801">
              <w:t>Power Cooperative; Exelon Corporation on behalf of its</w:t>
            </w:r>
            <w:r>
              <w:t xml:space="preserve"> </w:t>
            </w:r>
            <w:r w:rsidRPr="00AF0801">
              <w:t>affiliates Atlantic City Electric Company, Baltimore Gas</w:t>
            </w:r>
            <w:r>
              <w:t xml:space="preserve"> </w:t>
            </w:r>
            <w:r w:rsidRPr="00AF0801">
              <w:t>and Electric Company, Commonwealth Edison</w:t>
            </w:r>
            <w:r>
              <w:t xml:space="preserve"> </w:t>
            </w:r>
            <w:r w:rsidRPr="00AF0801">
              <w:t>Company, Delmarva Power &amp; Light Company, PECO</w:t>
            </w:r>
            <w:r>
              <w:t xml:space="preserve"> </w:t>
            </w:r>
            <w:r w:rsidRPr="00AF0801">
              <w:t>Energy Company, and Potomac Electric Power</w:t>
            </w:r>
            <w:r>
              <w:t xml:space="preserve"> </w:t>
            </w:r>
            <w:r w:rsidRPr="00AF0801">
              <w:t>Company; FirstEnergy Service Company, on behalf of its</w:t>
            </w:r>
            <w:r>
              <w:t xml:space="preserve"> </w:t>
            </w:r>
            <w:r w:rsidRPr="00AF0801">
              <w:t>affiliates American Transmission Systems, Incorporated,</w:t>
            </w:r>
            <w:r>
              <w:t xml:space="preserve"> </w:t>
            </w:r>
            <w:r w:rsidRPr="00AF0801">
              <w:t>Jersey Central Power &amp; Light Company, Mid-Atlantic</w:t>
            </w:r>
            <w:r>
              <w:t xml:space="preserve"> </w:t>
            </w:r>
            <w:r w:rsidRPr="00AF0801">
              <w:lastRenderedPageBreak/>
              <w:t>Interstate Transmission LLC, West Penn Power</w:t>
            </w:r>
            <w:r>
              <w:t xml:space="preserve"> </w:t>
            </w:r>
            <w:r w:rsidRPr="00AF0801">
              <w:t>Company, Potomac Edison Company, Monongahela</w:t>
            </w:r>
            <w:r>
              <w:t xml:space="preserve"> </w:t>
            </w:r>
            <w:r w:rsidRPr="00AF0801">
              <w:t>Power Company, Keystone Appalachian Transmission</w:t>
            </w:r>
            <w:r>
              <w:t xml:space="preserve"> </w:t>
            </w:r>
            <w:r w:rsidRPr="00AF0801">
              <w:t>Company, and Trans-Allegheny Interstate Line</w:t>
            </w:r>
            <w:r>
              <w:t xml:space="preserve"> </w:t>
            </w:r>
            <w:r w:rsidRPr="00AF0801">
              <w:t>Company; PPL Electric Utilities Corporation; Public</w:t>
            </w:r>
            <w:r>
              <w:t xml:space="preserve"> </w:t>
            </w:r>
            <w:r w:rsidRPr="00AF0801">
              <w:t xml:space="preserve">Service Electric and Gas Company; </w:t>
            </w:r>
            <w:r w:rsidR="00B84AB6">
              <w:t xml:space="preserve">Rockland Electric </w:t>
            </w:r>
            <w:r w:rsidR="00D9744C">
              <w:t xml:space="preserve">Company; and </w:t>
            </w:r>
            <w:r w:rsidRPr="00AF0801">
              <w:t>UGI Utilities Inc.</w:t>
            </w:r>
          </w:p>
        </w:tc>
      </w:tr>
      <w:tr w:rsidR="00713AA8" w14:paraId="759254B2" w14:textId="77777777" w:rsidTr="00713AA8">
        <w:tc>
          <w:tcPr>
            <w:tcW w:w="4675" w:type="dxa"/>
          </w:tcPr>
          <w:p w14:paraId="5F9029E1" w14:textId="4D3D0609" w:rsidR="00713AA8" w:rsidRDefault="00AD219B" w:rsidP="00FF7ED4">
            <w:pPr>
              <w:pStyle w:val="FootnoteText"/>
              <w:spacing w:after="0"/>
              <w:ind w:firstLine="0"/>
            </w:pPr>
            <w:r>
              <w:lastRenderedPageBreak/>
              <w:t>MISO TOs</w:t>
            </w:r>
          </w:p>
        </w:tc>
        <w:tc>
          <w:tcPr>
            <w:tcW w:w="4675" w:type="dxa"/>
          </w:tcPr>
          <w:p w14:paraId="38A38E2E" w14:textId="1CA31FBB" w:rsidR="00713AA8" w:rsidRDefault="00712845" w:rsidP="007D6CCF">
            <w:pPr>
              <w:pStyle w:val="FootnoteText"/>
              <w:spacing w:after="0"/>
              <w:ind w:firstLine="0"/>
            </w:pPr>
            <w:r>
              <w:t xml:space="preserve">AEP Indiana Michigan Transmission Company; </w:t>
            </w:r>
            <w:r w:rsidR="00365244" w:rsidRPr="00365244">
              <w:t>Ameren Services Company, as agent for Union Electric</w:t>
            </w:r>
            <w:r w:rsidR="00365244">
              <w:t xml:space="preserve"> </w:t>
            </w:r>
            <w:r w:rsidR="00365244" w:rsidRPr="00365244">
              <w:t>Company, Ameren Illinois Company, and Ameren</w:t>
            </w:r>
            <w:r w:rsidR="00365244">
              <w:t xml:space="preserve"> </w:t>
            </w:r>
            <w:r w:rsidR="00365244" w:rsidRPr="00365244">
              <w:t>Transmission Company of Illinois; American</w:t>
            </w:r>
            <w:r w:rsidR="00412EBF">
              <w:t xml:space="preserve"> </w:t>
            </w:r>
            <w:r w:rsidR="00365244" w:rsidRPr="00365244">
              <w:t>Transmission Company LLC; Big Rivers Electric</w:t>
            </w:r>
            <w:r w:rsidR="00412EBF">
              <w:t xml:space="preserve"> </w:t>
            </w:r>
            <w:r w:rsidR="00365244" w:rsidRPr="00365244">
              <w:t>Corporation; Central Minnesota Municipal Power</w:t>
            </w:r>
            <w:r w:rsidR="00412EBF">
              <w:t xml:space="preserve"> </w:t>
            </w:r>
            <w:r w:rsidR="00365244" w:rsidRPr="00365244">
              <w:t>Agency; City Water, Light &amp; Power (Springfield, IL);</w:t>
            </w:r>
            <w:r w:rsidR="00412EBF">
              <w:t xml:space="preserve"> </w:t>
            </w:r>
            <w:r w:rsidR="00365244" w:rsidRPr="00365244">
              <w:t>Cleco Power LLC; Dairyland Power</w:t>
            </w:r>
            <w:r w:rsidR="00412EBF">
              <w:t xml:space="preserve"> </w:t>
            </w:r>
            <w:r w:rsidR="00365244" w:rsidRPr="00365244">
              <w:t>Cooperative; Duke Energy Business Services, LLC for</w:t>
            </w:r>
            <w:r w:rsidR="00412EBF">
              <w:t xml:space="preserve"> </w:t>
            </w:r>
            <w:r w:rsidR="00365244" w:rsidRPr="00365244">
              <w:t>Duke Energy Indiana, LLC; Great River Energy; Hoosier</w:t>
            </w:r>
            <w:r w:rsidR="002C20C9">
              <w:t xml:space="preserve"> </w:t>
            </w:r>
            <w:r w:rsidR="00365244" w:rsidRPr="00365244">
              <w:t>Energy Rural Electric Cooperative, Inc.; Indiana</w:t>
            </w:r>
            <w:r w:rsidR="002C20C9">
              <w:t xml:space="preserve"> </w:t>
            </w:r>
            <w:r w:rsidR="00365244" w:rsidRPr="00365244">
              <w:t>Municipal Power Agency; Indianapolis Power &amp; Light</w:t>
            </w:r>
            <w:r w:rsidR="002C20C9">
              <w:t xml:space="preserve"> </w:t>
            </w:r>
            <w:r w:rsidR="00365244" w:rsidRPr="00365244">
              <w:t>Company; Lafayette Utilities System; MidAmerican</w:t>
            </w:r>
            <w:r w:rsidR="00781D81">
              <w:t xml:space="preserve"> </w:t>
            </w:r>
            <w:r w:rsidR="00365244" w:rsidRPr="00365244">
              <w:t>Energy Company; Minnesota Power (and its subsidiary</w:t>
            </w:r>
            <w:r w:rsidR="00781D81">
              <w:t xml:space="preserve"> </w:t>
            </w:r>
            <w:r w:rsidR="00365244" w:rsidRPr="00365244">
              <w:t>Superior Water, L&amp;P); Montana-Dakota Utilities Co.;</w:t>
            </w:r>
            <w:r w:rsidR="00781D81">
              <w:t xml:space="preserve"> </w:t>
            </w:r>
            <w:r w:rsidR="00365244" w:rsidRPr="00365244">
              <w:t>Northern Indiana Public Service Company LLC;</w:t>
            </w:r>
            <w:r w:rsidR="00781D81">
              <w:t xml:space="preserve"> </w:t>
            </w:r>
            <w:r w:rsidR="00365244" w:rsidRPr="00365244">
              <w:t>Northern States Power Company, a Minnesota</w:t>
            </w:r>
            <w:r w:rsidR="00781D81">
              <w:t xml:space="preserve"> </w:t>
            </w:r>
            <w:r w:rsidR="00365244" w:rsidRPr="00365244">
              <w:t>corporation, and Northern States Power Company, a</w:t>
            </w:r>
            <w:r w:rsidR="00781D81">
              <w:t xml:space="preserve"> </w:t>
            </w:r>
            <w:r w:rsidR="00365244" w:rsidRPr="00365244">
              <w:t>Wisconsin corporation, subsidiaries of Xcel Energy Inc.;</w:t>
            </w:r>
            <w:r w:rsidR="00781D81">
              <w:t xml:space="preserve"> </w:t>
            </w:r>
            <w:r w:rsidR="00365244" w:rsidRPr="00365244">
              <w:t>Northwestern Wisconsin Electric Company; Otter Tail</w:t>
            </w:r>
            <w:r w:rsidR="000D031D">
              <w:t xml:space="preserve"> </w:t>
            </w:r>
            <w:r w:rsidR="00365244" w:rsidRPr="00365244">
              <w:t>Power Company; Prairie Power, Inc.; Southern Illinois</w:t>
            </w:r>
            <w:r w:rsidR="000D031D">
              <w:t xml:space="preserve"> </w:t>
            </w:r>
            <w:r w:rsidR="00365244" w:rsidRPr="00365244">
              <w:t>Power Cooperative; Southern Indiana Gas &amp; Electric</w:t>
            </w:r>
            <w:r w:rsidR="000D031D">
              <w:t xml:space="preserve"> </w:t>
            </w:r>
            <w:r w:rsidR="00365244" w:rsidRPr="00365244">
              <w:t>Company; Southern Minnesota Municipal Power</w:t>
            </w:r>
            <w:r w:rsidR="000D031D">
              <w:t xml:space="preserve"> </w:t>
            </w:r>
            <w:r w:rsidR="00365244" w:rsidRPr="00365244">
              <w:t>Agency; Wabash Valley Power Association, Inc.;</w:t>
            </w:r>
            <w:r w:rsidR="000D031D">
              <w:t xml:space="preserve"> </w:t>
            </w:r>
            <w:r w:rsidR="00756022">
              <w:t xml:space="preserve">and </w:t>
            </w:r>
            <w:r w:rsidR="00365244" w:rsidRPr="00365244">
              <w:t>Wolverine Power Supply Cooperative, Inc.</w:t>
            </w:r>
          </w:p>
        </w:tc>
      </w:tr>
      <w:tr w:rsidR="00713AA8" w14:paraId="46E6AAC2" w14:textId="77777777" w:rsidTr="00713AA8">
        <w:tc>
          <w:tcPr>
            <w:tcW w:w="4675" w:type="dxa"/>
          </w:tcPr>
          <w:p w14:paraId="09C836A4" w14:textId="6B79B8A6" w:rsidR="00713AA8" w:rsidRDefault="00DC720B" w:rsidP="00FF7ED4">
            <w:pPr>
              <w:pStyle w:val="FootnoteText"/>
              <w:spacing w:after="0"/>
              <w:ind w:firstLine="0"/>
            </w:pPr>
            <w:r>
              <w:lastRenderedPageBreak/>
              <w:t>NRECA</w:t>
            </w:r>
          </w:p>
        </w:tc>
        <w:tc>
          <w:tcPr>
            <w:tcW w:w="4675" w:type="dxa"/>
          </w:tcPr>
          <w:p w14:paraId="60E4DC5C" w14:textId="20F78FA6" w:rsidR="00713AA8" w:rsidRDefault="00DC720B" w:rsidP="00FF7ED4">
            <w:pPr>
              <w:pStyle w:val="FootnoteText"/>
              <w:spacing w:after="0"/>
              <w:ind w:firstLine="0"/>
            </w:pPr>
            <w:r>
              <w:t>National Rural Electric Cooperative Association</w:t>
            </w:r>
          </w:p>
        </w:tc>
      </w:tr>
      <w:tr w:rsidR="00713AA8" w14:paraId="4B3A5A53" w14:textId="77777777" w:rsidTr="00713AA8">
        <w:tc>
          <w:tcPr>
            <w:tcW w:w="4675" w:type="dxa"/>
          </w:tcPr>
          <w:p w14:paraId="1A31BF8D" w14:textId="10556965" w:rsidR="00713AA8" w:rsidRDefault="00025C87" w:rsidP="00FF7ED4">
            <w:pPr>
              <w:pStyle w:val="FootnoteText"/>
              <w:spacing w:after="0"/>
              <w:ind w:firstLine="0"/>
            </w:pPr>
            <w:r>
              <w:t>SPP TOs</w:t>
            </w:r>
          </w:p>
        </w:tc>
        <w:tc>
          <w:tcPr>
            <w:tcW w:w="4675" w:type="dxa"/>
          </w:tcPr>
          <w:p w14:paraId="018E4D5B" w14:textId="5682ACAE" w:rsidR="00713AA8" w:rsidRDefault="000F61F4" w:rsidP="00FF7ED4">
            <w:pPr>
              <w:pStyle w:val="FootnoteText"/>
              <w:spacing w:after="0"/>
              <w:ind w:firstLine="0"/>
            </w:pPr>
            <w:r w:rsidRPr="000F61F4">
              <w:t>American Electric Power Service Corporation, on behalf of Southwestern Electric Power Company, Public Service Company of Oklahoma, AEP Oklahoma Transmission Company, Inc., and AEP Southwestern Transmission Company, Inc.</w:t>
            </w:r>
            <w:r>
              <w:t>;</w:t>
            </w:r>
            <w:r w:rsidRPr="000F61F4">
              <w:t xml:space="preserve"> the </w:t>
            </w:r>
            <w:proofErr w:type="spellStart"/>
            <w:r w:rsidRPr="000F61F4">
              <w:t>Evergy</w:t>
            </w:r>
            <w:proofErr w:type="spellEnd"/>
            <w:r w:rsidRPr="000F61F4">
              <w:t xml:space="preserve"> Companies</w:t>
            </w:r>
            <w:r>
              <w:t>;</w:t>
            </w:r>
            <w:r w:rsidRPr="000F61F4">
              <w:t xml:space="preserve"> and Xcel Energy Services Inc. on behalf of Southwestern Public Service Company</w:t>
            </w:r>
          </w:p>
        </w:tc>
      </w:tr>
      <w:tr w:rsidR="00713AA8" w14:paraId="3303BAB0" w14:textId="77777777" w:rsidTr="00713AA8">
        <w:tc>
          <w:tcPr>
            <w:tcW w:w="4675" w:type="dxa"/>
          </w:tcPr>
          <w:p w14:paraId="18A7F9D3" w14:textId="1DD984DC" w:rsidR="00713AA8" w:rsidRDefault="00513DC4" w:rsidP="00FF7ED4">
            <w:pPr>
              <w:pStyle w:val="FootnoteText"/>
              <w:spacing w:after="0"/>
              <w:ind w:firstLine="0"/>
            </w:pPr>
            <w:proofErr w:type="spellStart"/>
            <w:r>
              <w:t>WestConnect</w:t>
            </w:r>
            <w:proofErr w:type="spellEnd"/>
            <w:r>
              <w:t xml:space="preserve"> </w:t>
            </w:r>
            <w:r w:rsidR="008D24AC">
              <w:t>C</w:t>
            </w:r>
            <w:r>
              <w:t>TOs</w:t>
            </w:r>
          </w:p>
        </w:tc>
        <w:tc>
          <w:tcPr>
            <w:tcW w:w="4675" w:type="dxa"/>
          </w:tcPr>
          <w:p w14:paraId="7F27C028" w14:textId="69EE87C7" w:rsidR="00713AA8" w:rsidRDefault="009872F9" w:rsidP="00FF7ED4">
            <w:pPr>
              <w:pStyle w:val="FootnoteText"/>
              <w:spacing w:after="0"/>
              <w:ind w:firstLine="0"/>
            </w:pPr>
            <w:r w:rsidRPr="009872F9">
              <w:t>Colorado Springs Utilities</w:t>
            </w:r>
            <w:r>
              <w:t>;</w:t>
            </w:r>
            <w:r w:rsidRPr="009872F9">
              <w:t xml:space="preserve"> Imperial Irrigation District</w:t>
            </w:r>
            <w:r>
              <w:t>;</w:t>
            </w:r>
            <w:r w:rsidRPr="009872F9">
              <w:t xml:space="preserve"> Los Angeles Department of Water and Power</w:t>
            </w:r>
            <w:r>
              <w:t>;</w:t>
            </w:r>
            <w:r w:rsidRPr="009872F9">
              <w:t xml:space="preserve"> Platte River Power Authority</w:t>
            </w:r>
            <w:r>
              <w:t>;</w:t>
            </w:r>
            <w:r w:rsidRPr="009872F9">
              <w:t xml:space="preserve"> Sacramento Municipal Utility District</w:t>
            </w:r>
            <w:r>
              <w:t>;</w:t>
            </w:r>
            <w:r w:rsidRPr="009872F9">
              <w:t xml:space="preserve"> Salt River Project Agricultural Improvement and Power District</w:t>
            </w:r>
            <w:r>
              <w:t>;</w:t>
            </w:r>
            <w:r w:rsidRPr="009872F9">
              <w:t xml:space="preserve"> and the Transmission Agency of Northern California</w:t>
            </w:r>
          </w:p>
        </w:tc>
      </w:tr>
      <w:tr w:rsidR="00713AA8" w14:paraId="03645438" w14:textId="77777777" w:rsidTr="00713AA8">
        <w:tc>
          <w:tcPr>
            <w:tcW w:w="4675" w:type="dxa"/>
          </w:tcPr>
          <w:p w14:paraId="311DCB07" w14:textId="04CD9F13" w:rsidR="00713AA8" w:rsidRDefault="00893B89" w:rsidP="00FF7ED4">
            <w:pPr>
              <w:pStyle w:val="FootnoteText"/>
              <w:spacing w:after="0"/>
              <w:ind w:firstLine="0"/>
            </w:pPr>
            <w:r>
              <w:t>WIRES</w:t>
            </w:r>
          </w:p>
        </w:tc>
        <w:tc>
          <w:tcPr>
            <w:tcW w:w="4675" w:type="dxa"/>
          </w:tcPr>
          <w:p w14:paraId="5F02A442" w14:textId="4D7656B2" w:rsidR="00713AA8" w:rsidRDefault="00893B89" w:rsidP="00FF7ED4">
            <w:pPr>
              <w:pStyle w:val="FootnoteText"/>
              <w:spacing w:after="0"/>
              <w:ind w:firstLine="0"/>
            </w:pPr>
            <w:r>
              <w:t>WIRES</w:t>
            </w:r>
          </w:p>
        </w:tc>
      </w:tr>
    </w:tbl>
    <w:p w14:paraId="5B1EC059" w14:textId="77777777" w:rsidR="00713AA8" w:rsidRPr="0003382F" w:rsidRDefault="00713AA8" w:rsidP="00713AA8">
      <w:pPr>
        <w:pStyle w:val="FootnoteText"/>
        <w:ind w:firstLine="0"/>
      </w:pPr>
    </w:p>
    <w:sectPr w:rsidR="00713AA8" w:rsidRPr="0003382F" w:rsidSect="0090043F">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AD31" w14:textId="77777777" w:rsidR="00FF23FC" w:rsidRDefault="00FF23FC" w:rsidP="0048020B">
      <w:r>
        <w:separator/>
      </w:r>
    </w:p>
  </w:endnote>
  <w:endnote w:type="continuationSeparator" w:id="0">
    <w:p w14:paraId="27C17A35" w14:textId="77777777" w:rsidR="00FF23FC" w:rsidRDefault="00FF23FC" w:rsidP="0048020B">
      <w:r>
        <w:continuationSeparator/>
      </w:r>
    </w:p>
  </w:endnote>
  <w:endnote w:type="continuationNotice" w:id="1">
    <w:p w14:paraId="17C720EB" w14:textId="77777777" w:rsidR="00FF23FC" w:rsidRDefault="00FF2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10E9" w14:textId="77777777" w:rsidR="00FF23FC" w:rsidRDefault="00FF23FC" w:rsidP="0048020B">
      <w:r>
        <w:separator/>
      </w:r>
    </w:p>
  </w:footnote>
  <w:footnote w:type="continuationSeparator" w:id="0">
    <w:p w14:paraId="7EC8AA24" w14:textId="77777777" w:rsidR="00FF23FC" w:rsidRDefault="00FF23FC" w:rsidP="0048020B">
      <w:r>
        <w:continuationSeparator/>
      </w:r>
    </w:p>
  </w:footnote>
  <w:footnote w:type="continuationNotice" w:id="1">
    <w:p w14:paraId="335AE0E7" w14:textId="77777777" w:rsidR="00FF23FC" w:rsidRPr="007E6621" w:rsidRDefault="00FF23FC" w:rsidP="007E6621">
      <w:pPr>
        <w:spacing w:line="14" w:lineRule="exact"/>
        <w:rPr>
          <w:sz w:val="2"/>
        </w:rPr>
      </w:pPr>
    </w:p>
  </w:footnote>
  <w:footnote w:id="2">
    <w:p w14:paraId="2D6EFAC4" w14:textId="7E89AAB2" w:rsidR="00DB7152" w:rsidRPr="00DB7152" w:rsidRDefault="00DB7152">
      <w:pPr>
        <w:pStyle w:val="FootnoteText"/>
      </w:pPr>
      <w:r>
        <w:rPr>
          <w:rStyle w:val="FootnoteReference"/>
        </w:rPr>
        <w:footnoteRef/>
      </w:r>
      <w:r>
        <w:t xml:space="preserve"> </w:t>
      </w:r>
      <w:r>
        <w:rPr>
          <w:i/>
          <w:iCs/>
        </w:rPr>
        <w:t>Bldg. for the Future Through Elec. Reg’l Transmission Plan</w:t>
      </w:r>
      <w:r w:rsidR="00CD6C3C">
        <w:rPr>
          <w:i/>
          <w:iCs/>
        </w:rPr>
        <w:t>.</w:t>
      </w:r>
      <w:r>
        <w:rPr>
          <w:i/>
          <w:iCs/>
        </w:rPr>
        <w:t xml:space="preserve"> &amp; Cost Allocation</w:t>
      </w:r>
      <w:r>
        <w:t>, Order No. 1920</w:t>
      </w:r>
      <w:r w:rsidR="00B10659">
        <w:t>, 89 FR 49280 (June 11, 2024), 187 FERC ¶ 61,068</w:t>
      </w:r>
      <w:r w:rsidR="004F38E3">
        <w:t xml:space="preserve">, </w:t>
      </w:r>
      <w:r w:rsidR="00E76F62">
        <w:rPr>
          <w:i/>
          <w:iCs/>
        </w:rPr>
        <w:t xml:space="preserve">order </w:t>
      </w:r>
      <w:r w:rsidR="004F38E3">
        <w:rPr>
          <w:i/>
          <w:iCs/>
        </w:rPr>
        <w:t>on reh’g</w:t>
      </w:r>
      <w:r w:rsidR="00E76F62">
        <w:rPr>
          <w:i/>
          <w:iCs/>
        </w:rPr>
        <w:t xml:space="preserve"> &amp; clarification</w:t>
      </w:r>
      <w:r w:rsidR="004F38E3">
        <w:t xml:space="preserve">, Order No. 1920-A, </w:t>
      </w:r>
      <w:r w:rsidR="003D558A">
        <w:t>89 FR 97174 (Dec. 6, 2024)</w:t>
      </w:r>
      <w:r w:rsidR="003E6FEA">
        <w:t xml:space="preserve">, </w:t>
      </w:r>
      <w:r w:rsidR="00E76F62">
        <w:t>189 FERC ¶ 61,126 (2024)</w:t>
      </w:r>
      <w:r w:rsidR="00B10659">
        <w:t>.</w:t>
      </w:r>
    </w:p>
  </w:footnote>
  <w:footnote w:id="3">
    <w:p w14:paraId="3969810C" w14:textId="55FD20FE" w:rsidR="00DB7152" w:rsidRDefault="00DB7152">
      <w:pPr>
        <w:pStyle w:val="FootnoteText"/>
      </w:pPr>
      <w:r>
        <w:rPr>
          <w:rStyle w:val="FootnoteReference"/>
        </w:rPr>
        <w:footnoteRef/>
      </w:r>
      <w:r>
        <w:t xml:space="preserve"> </w:t>
      </w:r>
      <w:r w:rsidR="00B10659">
        <w:t>16 U.S.C. 824e.</w:t>
      </w:r>
    </w:p>
  </w:footnote>
  <w:footnote w:id="4">
    <w:p w14:paraId="2E4F92EE" w14:textId="5B7ECFAF" w:rsidR="00F71C0A" w:rsidRDefault="00F71C0A" w:rsidP="00D2720A">
      <w:pPr>
        <w:pStyle w:val="FootnoteText"/>
        <w:widowControl/>
      </w:pPr>
      <w:r>
        <w:rPr>
          <w:rStyle w:val="FootnoteReference"/>
        </w:rPr>
        <w:footnoteRef/>
      </w:r>
      <w:r>
        <w:t xml:space="preserve"> </w:t>
      </w:r>
      <w:r w:rsidR="00673958">
        <w:t>FPA</w:t>
      </w:r>
      <w:r>
        <w:t xml:space="preserve"> </w:t>
      </w:r>
      <w:r w:rsidR="00812088" w:rsidRPr="00812088">
        <w:t>Section 201(e), 16 U.S.C. 824(e), defines “public utility” to mean</w:t>
      </w:r>
      <w:r w:rsidR="00812088">
        <w:t xml:space="preserve"> </w:t>
      </w:r>
      <w:r w:rsidR="00812088" w:rsidRPr="00812088">
        <w:t>“any person who owns or operates facilities subject to the jurisdiction of the Commission</w:t>
      </w:r>
      <w:r w:rsidR="00812088">
        <w:t xml:space="preserve"> </w:t>
      </w:r>
      <w:r w:rsidR="00812088" w:rsidRPr="00812088">
        <w:t xml:space="preserve">under this subchapter.” </w:t>
      </w:r>
      <w:r w:rsidR="00C80B22">
        <w:t xml:space="preserve"> </w:t>
      </w:r>
      <w:r w:rsidR="00812088" w:rsidRPr="00812088">
        <w:t xml:space="preserve">As stated in the Order No. 888 </w:t>
      </w:r>
      <w:r w:rsidR="00812088" w:rsidRPr="00812088">
        <w:rPr>
          <w:i/>
          <w:iCs/>
        </w:rPr>
        <w:t xml:space="preserve">pro forma </w:t>
      </w:r>
      <w:r w:rsidR="00812088" w:rsidRPr="00812088">
        <w:t>OATT, “transmission provider” is a “public utility (or its</w:t>
      </w:r>
      <w:r w:rsidR="00812088">
        <w:t xml:space="preserve"> </w:t>
      </w:r>
      <w:r w:rsidR="00812088" w:rsidRPr="00812088">
        <w:t>Designated Agent) that owns, controls, or operates facilities used for the transmission of</w:t>
      </w:r>
      <w:r w:rsidR="00812088">
        <w:t xml:space="preserve"> </w:t>
      </w:r>
      <w:r w:rsidR="00812088" w:rsidRPr="00812088">
        <w:t>electric energy in interstate commerce and provides transmission service under the</w:t>
      </w:r>
      <w:r w:rsidR="00812088">
        <w:t xml:space="preserve"> </w:t>
      </w:r>
      <w:r w:rsidR="00812088" w:rsidRPr="00812088">
        <w:t xml:space="preserve">Tariff.” </w:t>
      </w:r>
      <w:r w:rsidR="00A51C03">
        <w:t xml:space="preserve"> </w:t>
      </w:r>
      <w:r w:rsidR="00812088" w:rsidRPr="00812088">
        <w:rPr>
          <w:i/>
          <w:iCs/>
        </w:rPr>
        <w:t>Promoting Wholesale Competition Through Open Access Non-Discriminatory</w:t>
      </w:r>
      <w:r w:rsidR="00812088">
        <w:rPr>
          <w:i/>
          <w:iCs/>
        </w:rPr>
        <w:t xml:space="preserve"> </w:t>
      </w:r>
      <w:r w:rsidR="00812088" w:rsidRPr="00812088">
        <w:rPr>
          <w:i/>
          <w:iCs/>
        </w:rPr>
        <w:t>Transmission Servs. by Pub. Utils.; Recovery of Stranded Costs by Pub. Utils. &amp;</w:t>
      </w:r>
      <w:r w:rsidR="00812088">
        <w:rPr>
          <w:i/>
          <w:iCs/>
        </w:rPr>
        <w:t xml:space="preserve"> </w:t>
      </w:r>
      <w:r w:rsidR="00812088" w:rsidRPr="00812088">
        <w:rPr>
          <w:i/>
          <w:iCs/>
        </w:rPr>
        <w:t>Transmitting Utils.</w:t>
      </w:r>
      <w:r w:rsidR="00812088" w:rsidRPr="00812088">
        <w:t>, Order No. 888, 61 FR 21540 (May 10, 1996), FERC Stats. &amp; Regs.</w:t>
      </w:r>
      <w:r w:rsidR="00812088">
        <w:t xml:space="preserve"> </w:t>
      </w:r>
      <w:r w:rsidR="00812088" w:rsidRPr="00812088">
        <w:t>¶</w:t>
      </w:r>
      <w:r w:rsidR="00892CC1">
        <w:t> </w:t>
      </w:r>
      <w:r w:rsidR="00812088" w:rsidRPr="00812088">
        <w:t xml:space="preserve">31,036 (1996) (cross-referenced at 75 FERC ¶ 61,080), </w:t>
      </w:r>
      <w:r w:rsidR="00812088" w:rsidRPr="00812088">
        <w:rPr>
          <w:i/>
          <w:iCs/>
        </w:rPr>
        <w:t>order on reh’g</w:t>
      </w:r>
      <w:r w:rsidR="00812088" w:rsidRPr="00812088">
        <w:t>, Order No. 888-A, 62 FR 12274 (Mar. 14, 1997), FERC Stats. &amp; Regs. ¶ 31,048 (cross-referenced at 78</w:t>
      </w:r>
      <w:r w:rsidR="00892CC1">
        <w:t xml:space="preserve"> </w:t>
      </w:r>
      <w:r w:rsidR="00812088" w:rsidRPr="00812088">
        <w:t xml:space="preserve">FERC ¶ 61,220), </w:t>
      </w:r>
      <w:r w:rsidR="00812088" w:rsidRPr="00812088">
        <w:rPr>
          <w:i/>
          <w:iCs/>
        </w:rPr>
        <w:t>order on reh’g</w:t>
      </w:r>
      <w:r w:rsidR="00812088" w:rsidRPr="00812088">
        <w:t>, Order No. 888-B, 81 FERC ¶</w:t>
      </w:r>
      <w:r w:rsidR="00E5069A">
        <w:t> </w:t>
      </w:r>
      <w:r w:rsidR="00812088" w:rsidRPr="00812088">
        <w:t xml:space="preserve">61,248 (1997), </w:t>
      </w:r>
      <w:r w:rsidR="00812088" w:rsidRPr="00812088">
        <w:rPr>
          <w:i/>
          <w:iCs/>
        </w:rPr>
        <w:t>order on</w:t>
      </w:r>
      <w:r w:rsidR="00892CC1">
        <w:rPr>
          <w:i/>
          <w:iCs/>
        </w:rPr>
        <w:t xml:space="preserve"> </w:t>
      </w:r>
      <w:r w:rsidR="00812088" w:rsidRPr="00812088">
        <w:rPr>
          <w:i/>
          <w:iCs/>
        </w:rPr>
        <w:t>reh’g</w:t>
      </w:r>
      <w:r w:rsidR="00812088" w:rsidRPr="00812088">
        <w:t xml:space="preserve">, Order No. 888-C, 82 FERC ¶ 61,046 (1998), </w:t>
      </w:r>
      <w:r w:rsidR="00812088" w:rsidRPr="00812088">
        <w:rPr>
          <w:i/>
          <w:iCs/>
        </w:rPr>
        <w:t>aff’d in relevant part sub nom.</w:t>
      </w:r>
      <w:r w:rsidR="00892CC1">
        <w:rPr>
          <w:i/>
          <w:iCs/>
        </w:rPr>
        <w:t xml:space="preserve"> </w:t>
      </w:r>
      <w:r w:rsidR="00812088" w:rsidRPr="00812088">
        <w:rPr>
          <w:i/>
          <w:iCs/>
        </w:rPr>
        <w:t xml:space="preserve">Transmission Access </w:t>
      </w:r>
      <w:proofErr w:type="spellStart"/>
      <w:r w:rsidR="00812088" w:rsidRPr="00812088">
        <w:rPr>
          <w:i/>
          <w:iCs/>
        </w:rPr>
        <w:t>Pol’y</w:t>
      </w:r>
      <w:proofErr w:type="spellEnd"/>
      <w:r w:rsidR="00812088" w:rsidRPr="00812088">
        <w:rPr>
          <w:i/>
          <w:iCs/>
        </w:rPr>
        <w:t xml:space="preserve"> Study Grp. v. FERC</w:t>
      </w:r>
      <w:r w:rsidR="00812088" w:rsidRPr="00812088">
        <w:t>, 225 F.3d 667 (D.C. Cir. 2000),</w:t>
      </w:r>
      <w:r w:rsidR="00892CC1">
        <w:t xml:space="preserve"> </w:t>
      </w:r>
      <w:r w:rsidR="00812088" w:rsidRPr="00812088">
        <w:rPr>
          <w:i/>
          <w:iCs/>
        </w:rPr>
        <w:t>aff’d sub nom. N</w:t>
      </w:r>
      <w:r w:rsidR="00806301">
        <w:rPr>
          <w:i/>
          <w:iCs/>
        </w:rPr>
        <w:t>.</w:t>
      </w:r>
      <w:r w:rsidR="00FE1A90">
        <w:rPr>
          <w:i/>
          <w:iCs/>
        </w:rPr>
        <w:t xml:space="preserve"> </w:t>
      </w:r>
      <w:r w:rsidR="00812088" w:rsidRPr="00812088">
        <w:rPr>
          <w:i/>
          <w:iCs/>
        </w:rPr>
        <w:t>Y</w:t>
      </w:r>
      <w:r w:rsidR="00806301">
        <w:rPr>
          <w:i/>
          <w:iCs/>
        </w:rPr>
        <w:t>.</w:t>
      </w:r>
      <w:r w:rsidR="00812088" w:rsidRPr="00812088">
        <w:rPr>
          <w:i/>
          <w:iCs/>
        </w:rPr>
        <w:t xml:space="preserve"> v. FERC</w:t>
      </w:r>
      <w:r w:rsidR="00812088" w:rsidRPr="00812088">
        <w:t xml:space="preserve">, 535 U.S. 1 (2002); </w:t>
      </w:r>
      <w:r w:rsidR="00F23138">
        <w:rPr>
          <w:i/>
          <w:iCs/>
        </w:rPr>
        <w:t>p</w:t>
      </w:r>
      <w:r w:rsidR="00812088" w:rsidRPr="00812088">
        <w:rPr>
          <w:i/>
          <w:iCs/>
        </w:rPr>
        <w:t xml:space="preserve">ro forma </w:t>
      </w:r>
      <w:r w:rsidR="00812088" w:rsidRPr="00812088">
        <w:t>OATT section I.1</w:t>
      </w:r>
      <w:r w:rsidR="00892CC1">
        <w:t xml:space="preserve"> </w:t>
      </w:r>
      <w:r w:rsidR="00812088" w:rsidRPr="00812088">
        <w:t xml:space="preserve">(Definitions). </w:t>
      </w:r>
      <w:r w:rsidR="006B38EB">
        <w:t xml:space="preserve"> </w:t>
      </w:r>
      <w:r w:rsidR="00812088" w:rsidRPr="00812088">
        <w:t>The term “transmission provider” includes a public utility transmission</w:t>
      </w:r>
      <w:r w:rsidR="00892CC1">
        <w:t xml:space="preserve"> </w:t>
      </w:r>
      <w:r w:rsidR="00812088" w:rsidRPr="00812088">
        <w:t>owner when the transmission owner is separate from the transmission provider, as is the</w:t>
      </w:r>
      <w:r w:rsidR="00892CC1">
        <w:t xml:space="preserve"> </w:t>
      </w:r>
      <w:r w:rsidR="00812088" w:rsidRPr="00812088">
        <w:t>case in regional transmission organizations (RTO) and independent system operators</w:t>
      </w:r>
      <w:r w:rsidR="00892CC1">
        <w:t xml:space="preserve"> (ISO).</w:t>
      </w:r>
    </w:p>
  </w:footnote>
  <w:footnote w:id="5">
    <w:p w14:paraId="644F20E6" w14:textId="685D8CD4" w:rsidR="00DA37BF" w:rsidRDefault="00DA37BF" w:rsidP="00DA37BF">
      <w:pPr>
        <w:pStyle w:val="FootnoteText"/>
      </w:pPr>
      <w:r>
        <w:rPr>
          <w:rStyle w:val="FootnoteReference"/>
        </w:rPr>
        <w:footnoteRef/>
      </w:r>
      <w:r>
        <w:t xml:space="preserve"> For purposes of </w:t>
      </w:r>
      <w:r w:rsidRPr="00AF38CD">
        <w:t>Order No. 1920</w:t>
      </w:r>
      <w:r w:rsidRPr="007F668C">
        <w:t>,</w:t>
      </w:r>
      <w:r>
        <w:t xml:space="preserve"> Long-Term Transmission Needs are transmission needs identified through Long-Term Regional Transmission Planning by, among other things and as discussed in Order Nos. 1920 and 1920-A, running scenarios and considering the enumerated categories of factors.  </w:t>
      </w:r>
      <w:r w:rsidR="00737825">
        <w:t xml:space="preserve">Order No. 1920, 187 FERC ¶ 61,068 at </w:t>
      </w:r>
      <w:r>
        <w:t>P 299; Order No. 1920-A, 189 FERC ¶ 61,126 at P 20 n.16.</w:t>
      </w:r>
    </w:p>
  </w:footnote>
  <w:footnote w:id="6">
    <w:p w14:paraId="2588C015" w14:textId="2894C482" w:rsidR="00B028BA" w:rsidDel="00DA37BF" w:rsidRDefault="00B028BA">
      <w:pPr>
        <w:pStyle w:val="FootnoteText"/>
      </w:pPr>
      <w:r w:rsidDel="00DA37BF">
        <w:rPr>
          <w:rStyle w:val="FootnoteReference"/>
        </w:rPr>
        <w:footnoteRef/>
      </w:r>
      <w:r w:rsidDel="00DA37BF">
        <w:t xml:space="preserve"> </w:t>
      </w:r>
      <w:r w:rsidR="004357A3" w:rsidDel="00DA37BF">
        <w:t>Order No. 1920, 187 FERC ¶ 61,068 at P 1</w:t>
      </w:r>
      <w:r w:rsidR="00711E12" w:rsidDel="00DA37BF">
        <w:t>.</w:t>
      </w:r>
    </w:p>
  </w:footnote>
  <w:footnote w:id="7">
    <w:p w14:paraId="0D2A2529" w14:textId="6808FEBA" w:rsidR="00AC617C" w:rsidRDefault="00AC617C">
      <w:pPr>
        <w:pStyle w:val="FootnoteText"/>
      </w:pPr>
      <w:r>
        <w:rPr>
          <w:rStyle w:val="FootnoteReference"/>
        </w:rPr>
        <w:footnoteRef/>
      </w:r>
      <w:r>
        <w:t xml:space="preserve"> </w:t>
      </w:r>
      <w:r w:rsidR="0061731D" w:rsidRPr="0061731D">
        <w:rPr>
          <w:i/>
          <w:iCs/>
        </w:rPr>
        <w:t>Preventing Undue Discrimination &amp; Preference in Transmission Serv.</w:t>
      </w:r>
      <w:r w:rsidR="0061731D" w:rsidRPr="0061731D">
        <w:t>, Order</w:t>
      </w:r>
      <w:r w:rsidR="0061731D">
        <w:t xml:space="preserve"> </w:t>
      </w:r>
      <w:r w:rsidR="0061731D" w:rsidRPr="0061731D">
        <w:t>No.</w:t>
      </w:r>
      <w:r w:rsidR="0061731D">
        <w:t> </w:t>
      </w:r>
      <w:r w:rsidR="0061731D" w:rsidRPr="0061731D">
        <w:t>890, 72 FR 12266 (Mar. 15, 2007), 118 FERC</w:t>
      </w:r>
      <w:r w:rsidR="00324D2E">
        <w:t xml:space="preserve"> </w:t>
      </w:r>
      <w:r w:rsidR="0061731D" w:rsidRPr="0061731D">
        <w:t>¶</w:t>
      </w:r>
      <w:r w:rsidR="00324D2E">
        <w:t> </w:t>
      </w:r>
      <w:r w:rsidR="0061731D" w:rsidRPr="0061731D">
        <w:t xml:space="preserve">61,119 (2007), </w:t>
      </w:r>
      <w:r w:rsidR="0061731D" w:rsidRPr="0061731D">
        <w:rPr>
          <w:i/>
          <w:iCs/>
        </w:rPr>
        <w:t xml:space="preserve">order on reh’g, </w:t>
      </w:r>
      <w:r w:rsidR="0061731D" w:rsidRPr="0061731D">
        <w:t>Order No. 890-A, 73 FR 2984 (Jan. 16, 2008), FERC</w:t>
      </w:r>
      <w:r w:rsidR="00324D2E">
        <w:t xml:space="preserve"> </w:t>
      </w:r>
      <w:r w:rsidR="0061731D" w:rsidRPr="0061731D">
        <w:t>Stats. &amp; Regs. ¶</w:t>
      </w:r>
      <w:r w:rsidR="00324D2E">
        <w:t> </w:t>
      </w:r>
      <w:r w:rsidR="0061731D" w:rsidRPr="0061731D">
        <w:t>31,261 (2007) (cross-referenced at 118 FERC ¶</w:t>
      </w:r>
      <w:r w:rsidR="007F074D">
        <w:t> </w:t>
      </w:r>
      <w:r w:rsidR="0061731D" w:rsidRPr="0061731D">
        <w:t xml:space="preserve">61,119), </w:t>
      </w:r>
      <w:r w:rsidR="0061731D" w:rsidRPr="0061731D">
        <w:rPr>
          <w:i/>
          <w:iCs/>
        </w:rPr>
        <w:t>order on reh’g and clarification</w:t>
      </w:r>
      <w:r w:rsidR="0061731D" w:rsidRPr="0061731D">
        <w:t xml:space="preserve">, Order </w:t>
      </w:r>
      <w:r w:rsidR="00806301">
        <w:t xml:space="preserve">        </w:t>
      </w:r>
      <w:r w:rsidR="0061731D" w:rsidRPr="0061731D">
        <w:t>No. 890-B, 73 FR 39092 (July 8, 2008), 123 FERC ¶</w:t>
      </w:r>
      <w:r w:rsidR="007F074D">
        <w:t> </w:t>
      </w:r>
      <w:r w:rsidR="0061731D" w:rsidRPr="0061731D">
        <w:t>61,299</w:t>
      </w:r>
      <w:r w:rsidR="00324D2E">
        <w:t xml:space="preserve"> </w:t>
      </w:r>
      <w:r w:rsidR="0061731D" w:rsidRPr="0061731D">
        <w:t xml:space="preserve">(2008), </w:t>
      </w:r>
      <w:r w:rsidR="0061731D" w:rsidRPr="0061731D">
        <w:rPr>
          <w:i/>
          <w:iCs/>
        </w:rPr>
        <w:t>order on reh’g</w:t>
      </w:r>
      <w:r w:rsidR="0061731D" w:rsidRPr="0061731D">
        <w:t>, Order No. 890-C, 74 FR 12540 (Mar. 25, 2009), 126 FERC</w:t>
      </w:r>
      <w:r w:rsidR="004956A7">
        <w:t xml:space="preserve"> </w:t>
      </w:r>
      <w:r w:rsidR="0061731D" w:rsidRPr="0061731D">
        <w:t>¶</w:t>
      </w:r>
      <w:r w:rsidR="004956A7">
        <w:t> </w:t>
      </w:r>
      <w:r w:rsidR="0061731D" w:rsidRPr="0061731D">
        <w:t xml:space="preserve">61,228 (2009), </w:t>
      </w:r>
      <w:r w:rsidR="0061731D" w:rsidRPr="0061731D">
        <w:rPr>
          <w:i/>
          <w:iCs/>
        </w:rPr>
        <w:t>order on clarification</w:t>
      </w:r>
      <w:r w:rsidR="0061731D" w:rsidRPr="0061731D">
        <w:t>, Order No. 890-D, 74 FR 61511 (Nov. 25, 2009),</w:t>
      </w:r>
      <w:r w:rsidR="008A4E57">
        <w:t xml:space="preserve"> </w:t>
      </w:r>
      <w:r w:rsidR="0061731D" w:rsidRPr="0061731D">
        <w:t>129 FERC ¶</w:t>
      </w:r>
      <w:r w:rsidR="00407F39">
        <w:t> </w:t>
      </w:r>
      <w:r w:rsidR="0061731D" w:rsidRPr="0061731D">
        <w:t>61,126 (2009).</w:t>
      </w:r>
    </w:p>
  </w:footnote>
  <w:footnote w:id="8">
    <w:p w14:paraId="0BDBC071" w14:textId="6DFE6F4F" w:rsidR="00AC617C" w:rsidRDefault="00AC617C" w:rsidP="00ED19FA">
      <w:pPr>
        <w:pStyle w:val="FootnoteText"/>
      </w:pPr>
      <w:r>
        <w:rPr>
          <w:rStyle w:val="FootnoteReference"/>
        </w:rPr>
        <w:footnoteRef/>
      </w:r>
      <w:r>
        <w:t xml:space="preserve"> </w:t>
      </w:r>
      <w:r w:rsidR="00ED19FA" w:rsidRPr="00ED19FA">
        <w:rPr>
          <w:i/>
          <w:iCs/>
        </w:rPr>
        <w:t>Transmission Plan. &amp; Cost Allocation by Transmission Owning &amp; Operating</w:t>
      </w:r>
      <w:r w:rsidR="00ED19FA">
        <w:rPr>
          <w:i/>
          <w:iCs/>
        </w:rPr>
        <w:t xml:space="preserve"> </w:t>
      </w:r>
      <w:r w:rsidR="00ED19FA" w:rsidRPr="00ED19FA">
        <w:rPr>
          <w:i/>
          <w:iCs/>
        </w:rPr>
        <w:t>Pub. Utils.</w:t>
      </w:r>
      <w:r w:rsidR="00ED19FA" w:rsidRPr="00ED19FA">
        <w:t>, Order No. 1000, 76 FR 49842 (Aug. 11, 2011), 136 FERC ¶</w:t>
      </w:r>
      <w:r w:rsidR="007F074D">
        <w:t> </w:t>
      </w:r>
      <w:r w:rsidR="00ED19FA" w:rsidRPr="00ED19FA">
        <w:t>61,051 (2011),</w:t>
      </w:r>
      <w:r w:rsidR="00ED19FA">
        <w:t xml:space="preserve"> </w:t>
      </w:r>
      <w:r w:rsidR="00ED19FA" w:rsidRPr="00ED19FA">
        <w:t>Order No. 1000-A, 77 FR 32184 (May 31, 2012), 139 FERC ¶</w:t>
      </w:r>
      <w:r w:rsidR="007F074D">
        <w:t> </w:t>
      </w:r>
      <w:r w:rsidR="00ED19FA" w:rsidRPr="00ED19FA">
        <w:t xml:space="preserve">61,132 (2012), </w:t>
      </w:r>
      <w:r w:rsidR="00ED19FA" w:rsidRPr="00ED19FA">
        <w:rPr>
          <w:i/>
          <w:iCs/>
        </w:rPr>
        <w:t>order on</w:t>
      </w:r>
      <w:r w:rsidR="00ED19FA">
        <w:rPr>
          <w:i/>
          <w:iCs/>
        </w:rPr>
        <w:t xml:space="preserve"> </w:t>
      </w:r>
      <w:r w:rsidR="00ED19FA" w:rsidRPr="00ED19FA">
        <w:rPr>
          <w:i/>
          <w:iCs/>
        </w:rPr>
        <w:t>reh’g &amp; clarification</w:t>
      </w:r>
      <w:r w:rsidR="00ED19FA" w:rsidRPr="00ED19FA">
        <w:t>, Order No. 1000-B, 141 FERC ¶</w:t>
      </w:r>
      <w:r w:rsidR="007F074D">
        <w:t> </w:t>
      </w:r>
      <w:r w:rsidR="00ED19FA" w:rsidRPr="00ED19FA">
        <w:t xml:space="preserve">61,044 (2012), </w:t>
      </w:r>
      <w:r w:rsidR="00ED19FA" w:rsidRPr="00ED19FA">
        <w:rPr>
          <w:i/>
          <w:iCs/>
        </w:rPr>
        <w:t>aff’d sub nom. S.C.</w:t>
      </w:r>
      <w:r w:rsidR="00ED19FA">
        <w:rPr>
          <w:i/>
          <w:iCs/>
        </w:rPr>
        <w:t xml:space="preserve"> </w:t>
      </w:r>
      <w:r w:rsidR="00ED19FA" w:rsidRPr="00ED19FA">
        <w:rPr>
          <w:i/>
          <w:iCs/>
        </w:rPr>
        <w:t>Pub. Serv. Auth. v. FERC</w:t>
      </w:r>
      <w:r w:rsidR="00ED19FA" w:rsidRPr="00ED19FA">
        <w:t>, 762 F.3d 41 (D.C. Cir. 2014)</w:t>
      </w:r>
      <w:r w:rsidR="00EB5D6C">
        <w:t xml:space="preserve"> (</w:t>
      </w:r>
      <w:r w:rsidR="00EB5D6C">
        <w:rPr>
          <w:i/>
          <w:iCs/>
        </w:rPr>
        <w:t>South Carolina</w:t>
      </w:r>
      <w:r w:rsidR="00EB5D6C">
        <w:t>)</w:t>
      </w:r>
      <w:r w:rsidR="00ED19FA" w:rsidRPr="00ED19FA">
        <w:t>.</w:t>
      </w:r>
    </w:p>
  </w:footnote>
  <w:footnote w:id="9">
    <w:p w14:paraId="2C058918" w14:textId="54B420C3" w:rsidR="00D54309" w:rsidRPr="001100D2" w:rsidRDefault="00D54309" w:rsidP="00D54309">
      <w:pPr>
        <w:pStyle w:val="FootnoteText"/>
      </w:pPr>
      <w:r>
        <w:rPr>
          <w:rStyle w:val="FootnoteReference"/>
        </w:rPr>
        <w:footnoteRef/>
      </w:r>
      <w:r>
        <w:t xml:space="preserve"> For purposes of Order No. 1920, Long-Term Regional Transmission Planning means regional transmission planning </w:t>
      </w:r>
      <w:r w:rsidRPr="008E21FB">
        <w:t>on a sufficiently long-term, forward-looking, and comprehensive</w:t>
      </w:r>
      <w:r>
        <w:t xml:space="preserve"> </w:t>
      </w:r>
      <w:r w:rsidRPr="008E21FB">
        <w:t>basis to identify Long-Term Transmission Needs, identify transmission facilities that</w:t>
      </w:r>
      <w:r>
        <w:t xml:space="preserve"> </w:t>
      </w:r>
      <w:r w:rsidRPr="008E21FB">
        <w:t>meet such needs, measure the benefits of those transmission facilities, and evaluate those</w:t>
      </w:r>
      <w:r>
        <w:t xml:space="preserve"> </w:t>
      </w:r>
      <w:r w:rsidRPr="008E21FB">
        <w:t>transmission facilities for potential selection in the regional transmission plan for</w:t>
      </w:r>
      <w:r>
        <w:t xml:space="preserve"> </w:t>
      </w:r>
      <w:r w:rsidRPr="008E21FB">
        <w:t>purposes of cost allocation as the more efficient or cost-effective regional transmission</w:t>
      </w:r>
      <w:r>
        <w:t xml:space="preserve"> </w:t>
      </w:r>
      <w:r w:rsidRPr="008E21FB">
        <w:t>facilities to meet Long-Term Transmission Needs.</w:t>
      </w:r>
      <w:r>
        <w:t xml:space="preserve">  </w:t>
      </w:r>
      <w:r w:rsidR="000B7875">
        <w:t>Order No. </w:t>
      </w:r>
      <w:proofErr w:type="gramStart"/>
      <w:r w:rsidR="000B7875">
        <w:t xml:space="preserve">1920, </w:t>
      </w:r>
      <w:r w:rsidR="00D2720A">
        <w:t xml:space="preserve">  </w:t>
      </w:r>
      <w:proofErr w:type="gramEnd"/>
      <w:r w:rsidR="00D2720A">
        <w:t xml:space="preserve">            </w:t>
      </w:r>
      <w:r w:rsidR="000B7875">
        <w:t xml:space="preserve">187 FERC ¶ 61,068 at </w:t>
      </w:r>
      <w:r>
        <w:t>PP 38, 250-252; Order No. 1920-A, 189 FERC ¶ 61,126 at P 21 n.17.</w:t>
      </w:r>
    </w:p>
  </w:footnote>
  <w:footnote w:id="10">
    <w:p w14:paraId="649B2B7C" w14:textId="2C59D1A9" w:rsidR="000B7875" w:rsidRDefault="000B7875">
      <w:pPr>
        <w:pStyle w:val="FootnoteText"/>
      </w:pPr>
      <w:r>
        <w:rPr>
          <w:rStyle w:val="FootnoteReference"/>
        </w:rPr>
        <w:footnoteRef/>
      </w:r>
      <w:r>
        <w:t xml:space="preserve"> Order No. 1920, 187 FERC ¶ 61,068 at PP 1-2.  </w:t>
      </w:r>
    </w:p>
  </w:footnote>
  <w:footnote w:id="11">
    <w:p w14:paraId="7AB92995" w14:textId="5B5A5524" w:rsidR="00CA28AB" w:rsidRDefault="00CA28AB">
      <w:pPr>
        <w:pStyle w:val="FootnoteText"/>
      </w:pPr>
      <w:r>
        <w:rPr>
          <w:rStyle w:val="FootnoteReference"/>
        </w:rPr>
        <w:footnoteRef/>
      </w:r>
      <w:r>
        <w:t xml:space="preserve"> </w:t>
      </w:r>
      <w:r w:rsidR="00530E93">
        <w:t>Order No. 1920-A, 189 FERC ¶ 61,126 at P 323.</w:t>
      </w:r>
      <w:r w:rsidR="001C7470">
        <w:t xml:space="preserve">  For purposes of Order No. 1920, a Long-Term Regional Transmission Facility is </w:t>
      </w:r>
      <w:r w:rsidR="00095F73">
        <w:t>a regional transmission facility, as defined in Order No. 1000, that is identified as part of Long-Term Regional Transmission Planning to address Long-Term Transmission Needs.</w:t>
      </w:r>
      <w:r w:rsidR="00DA711B">
        <w:t xml:space="preserve">  Order No. </w:t>
      </w:r>
      <w:proofErr w:type="gramStart"/>
      <w:r w:rsidR="00DA711B">
        <w:t xml:space="preserve">1920, </w:t>
      </w:r>
      <w:r w:rsidR="00806301">
        <w:t xml:space="preserve">  </w:t>
      </w:r>
      <w:proofErr w:type="gramEnd"/>
      <w:r w:rsidR="00DA711B">
        <w:t>187 FERC ¶ 61,068 at P</w:t>
      </w:r>
      <w:r w:rsidR="0009794C">
        <w:t>P</w:t>
      </w:r>
      <w:r w:rsidR="00DA711B">
        <w:t> </w:t>
      </w:r>
      <w:r w:rsidR="0009794C">
        <w:t xml:space="preserve">41, </w:t>
      </w:r>
      <w:r w:rsidR="007A0252">
        <w:t>25</w:t>
      </w:r>
      <w:r w:rsidR="006E49A5">
        <w:t>0</w:t>
      </w:r>
      <w:r w:rsidR="003E6EE3">
        <w:t xml:space="preserve">; </w:t>
      </w:r>
      <w:r w:rsidR="005A37CA">
        <w:t>Order No. 1920-A, 189 FERC ¶ 61,126 at P </w:t>
      </w:r>
      <w:r w:rsidR="00B466C7">
        <w:t>21</w:t>
      </w:r>
      <w:r w:rsidR="001933CE">
        <w:t xml:space="preserve"> n.18</w:t>
      </w:r>
      <w:r w:rsidR="00D3023C">
        <w:t>.</w:t>
      </w:r>
    </w:p>
  </w:footnote>
  <w:footnote w:id="12">
    <w:p w14:paraId="489C7CD2" w14:textId="4D2AD3B2" w:rsidR="00316338" w:rsidRDefault="00316338">
      <w:pPr>
        <w:pStyle w:val="FootnoteText"/>
      </w:pPr>
      <w:r>
        <w:rPr>
          <w:rStyle w:val="FootnoteReference"/>
        </w:rPr>
        <w:footnoteRef/>
      </w:r>
      <w:r>
        <w:t xml:space="preserve"> For purposes of Order No. 1920, </w:t>
      </w:r>
      <w:r w:rsidR="007E3830">
        <w:t xml:space="preserve">a </w:t>
      </w:r>
      <w:r>
        <w:t>Relevant State Entit</w:t>
      </w:r>
      <w:r w:rsidR="007E3830">
        <w:t>y</w:t>
      </w:r>
      <w:r>
        <w:t xml:space="preserve"> </w:t>
      </w:r>
      <w:r w:rsidR="007E3830">
        <w:t xml:space="preserve">is </w:t>
      </w:r>
      <w:r w:rsidR="004D23A4">
        <w:t>any state entity responsible for electric utility regulation or siting electric transmission facilities within the state or portion of a state located in the transmission planning region, including any state entity as may be designated for that purpose by the law of such state.</w:t>
      </w:r>
      <w:r w:rsidR="00272843">
        <w:t xml:space="preserve">  Order No. 1920, 187 FERC ¶ 61,068 at </w:t>
      </w:r>
      <w:r w:rsidR="00870554">
        <w:t>P</w:t>
      </w:r>
      <w:r w:rsidR="00272843">
        <w:t>P 44</w:t>
      </w:r>
      <w:r w:rsidR="005C4CE7">
        <w:t>, 1355</w:t>
      </w:r>
      <w:r w:rsidR="000D37CB">
        <w:t xml:space="preserve">; Order No. 1920-A, 189 FERC ¶ 61,126 </w:t>
      </w:r>
      <w:r w:rsidR="00806301">
        <w:t xml:space="preserve">         </w:t>
      </w:r>
      <w:r w:rsidR="000D37CB">
        <w:t>at P </w:t>
      </w:r>
      <w:r w:rsidR="00315BA2">
        <w:t>23 &amp; n.23.</w:t>
      </w:r>
    </w:p>
  </w:footnote>
  <w:footnote w:id="13">
    <w:p w14:paraId="7EAC4D50" w14:textId="2DF95335" w:rsidR="00E36594" w:rsidRPr="00FC0D3F" w:rsidRDefault="00E36594">
      <w:pPr>
        <w:pStyle w:val="FootnoteText"/>
      </w:pPr>
      <w:r>
        <w:rPr>
          <w:rStyle w:val="FootnoteReference"/>
        </w:rPr>
        <w:footnoteRef/>
      </w:r>
      <w:r>
        <w:t xml:space="preserve"> </w:t>
      </w:r>
      <w:r w:rsidR="00FC0D3F">
        <w:t xml:space="preserve">For purposes of Order No. 1920, a Long-Term Regional Transmission Cost Allocation Method is an </w:t>
      </w:r>
      <w:r w:rsidR="00FC0D3F">
        <w:rPr>
          <w:i/>
          <w:iCs/>
        </w:rPr>
        <w:t>ex ante</w:t>
      </w:r>
      <w:r w:rsidR="00FC0D3F">
        <w:t xml:space="preserve"> regional cost allocation method for one or more </w:t>
      </w:r>
      <w:r w:rsidR="00806301">
        <w:t xml:space="preserve">           </w:t>
      </w:r>
      <w:r w:rsidR="00FC0D3F">
        <w:t xml:space="preserve">Long-Term Regional Transmission Facilities (or a portfolio of such Facilities) that are selected in the regional transmission plan for purposes of cost allocation.  </w:t>
      </w:r>
      <w:r w:rsidR="00A56A95">
        <w:t>Order No. 1920, 187 FERC ¶ 61,068 at P </w:t>
      </w:r>
      <w:r w:rsidR="00454D79">
        <w:t>1291</w:t>
      </w:r>
      <w:r w:rsidR="00BA1157">
        <w:t xml:space="preserve">; </w:t>
      </w:r>
      <w:r w:rsidR="00454D79">
        <w:t xml:space="preserve">Order No. 1920-A, 189 FERC ¶ 61,126 </w:t>
      </w:r>
      <w:r w:rsidR="00806301">
        <w:t xml:space="preserve">                </w:t>
      </w:r>
      <w:r w:rsidR="00454D79">
        <w:t>at P </w:t>
      </w:r>
      <w:r w:rsidR="00BA1157">
        <w:t>612 n.1539</w:t>
      </w:r>
      <w:r w:rsidR="00454D79">
        <w:t>.</w:t>
      </w:r>
    </w:p>
  </w:footnote>
  <w:footnote w:id="14">
    <w:p w14:paraId="052C2820" w14:textId="1C8BBA95" w:rsidR="00E36594" w:rsidRDefault="00E36594">
      <w:pPr>
        <w:pStyle w:val="FootnoteText"/>
      </w:pPr>
      <w:r>
        <w:rPr>
          <w:rStyle w:val="FootnoteReference"/>
        </w:rPr>
        <w:footnoteRef/>
      </w:r>
      <w:r>
        <w:t xml:space="preserve"> </w:t>
      </w:r>
      <w:r w:rsidR="00654210">
        <w:t xml:space="preserve">For purposes of Order No. 1920, a State Agreement Process is </w:t>
      </w:r>
      <w:r w:rsidR="00356ED9">
        <w:t>a process by which one or more Relevant State Entities may voluntarily agree to a cost allocation method for Long-Term Regional Transmission Facilities (or a portfolio of such Facilities) before or no later than six months after they are selected</w:t>
      </w:r>
      <w:r w:rsidR="00557857">
        <w:t xml:space="preserve"> </w:t>
      </w:r>
      <w:r w:rsidR="00557857" w:rsidRPr="00557857">
        <w:t>in the regional transmission plan for purposes of cost allocation</w:t>
      </w:r>
      <w:r w:rsidR="00356ED9">
        <w:t>.</w:t>
      </w:r>
      <w:r w:rsidR="00A80414">
        <w:t xml:space="preserve">  Order No. 1920, 187 FERC ¶ 61,068 at P 45</w:t>
      </w:r>
      <w:r w:rsidR="00286A3B">
        <w:t xml:space="preserve">; </w:t>
      </w:r>
      <w:r w:rsidR="00D71B5F">
        <w:t>Order No. 1920-A, 189 FERC ¶ 61,126 at P </w:t>
      </w:r>
      <w:r w:rsidR="0031493C">
        <w:t>24 n.28</w:t>
      </w:r>
      <w:r w:rsidR="007D069A">
        <w:t>.</w:t>
      </w:r>
    </w:p>
  </w:footnote>
  <w:footnote w:id="15">
    <w:p w14:paraId="3DFE9B9F" w14:textId="7433BEF7" w:rsidR="001D0750" w:rsidRDefault="001D0750" w:rsidP="00D2720A">
      <w:pPr>
        <w:pStyle w:val="FootnoteText"/>
        <w:widowControl/>
      </w:pPr>
      <w:r>
        <w:rPr>
          <w:rStyle w:val="FootnoteReference"/>
        </w:rPr>
        <w:footnoteRef/>
      </w:r>
      <w:r>
        <w:t xml:space="preserve"> </w:t>
      </w:r>
      <w:r w:rsidR="0020602B">
        <w:t xml:space="preserve">For purposes of Order No. 1920, </w:t>
      </w:r>
      <w:r w:rsidR="007A0091">
        <w:t xml:space="preserve">an Engagement Period is </w:t>
      </w:r>
      <w:r w:rsidR="00443776">
        <w:t xml:space="preserve">a six-month time period during which transmission providers </w:t>
      </w:r>
      <w:r w:rsidR="00FE3C4B" w:rsidRPr="00FE3C4B">
        <w:t xml:space="preserve">must: </w:t>
      </w:r>
      <w:r w:rsidR="00FE3C4B">
        <w:t xml:space="preserve"> </w:t>
      </w:r>
      <w:r w:rsidR="00FE3C4B" w:rsidRPr="00FE3C4B">
        <w:t>(1)</w:t>
      </w:r>
      <w:r w:rsidR="00FE3C4B">
        <w:t> </w:t>
      </w:r>
      <w:r w:rsidR="00FE3C4B" w:rsidRPr="00FE3C4B">
        <w:t>provide notice of the starting and end dates for the six-month time</w:t>
      </w:r>
      <w:r w:rsidR="00FE3C4B">
        <w:t xml:space="preserve"> </w:t>
      </w:r>
      <w:r w:rsidR="00FE3C4B" w:rsidRPr="00FE3C4B">
        <w:t>period; (2)</w:t>
      </w:r>
      <w:r w:rsidR="00FE3C4B">
        <w:t> </w:t>
      </w:r>
      <w:r w:rsidR="00FE3C4B" w:rsidRPr="00FE3C4B">
        <w:t>post contact information that Relevant State Entities may use to communicate</w:t>
      </w:r>
      <w:r w:rsidR="00FE3C4B">
        <w:t xml:space="preserve"> </w:t>
      </w:r>
      <w:r w:rsidR="00FE3C4B" w:rsidRPr="00FE3C4B">
        <w:t>with transmission providers about any agreement among Relevant State Entities on a</w:t>
      </w:r>
      <w:r w:rsidR="00FE3C4B">
        <w:t xml:space="preserve"> </w:t>
      </w:r>
      <w:r w:rsidR="00FE3C4B" w:rsidRPr="00FE3C4B">
        <w:t>Long-Term Regional Transmission Cost Allocation Method(s) and/or a State Agreement</w:t>
      </w:r>
      <w:r w:rsidR="00FE3C4B">
        <w:t xml:space="preserve"> </w:t>
      </w:r>
      <w:r w:rsidR="00FE3C4B" w:rsidRPr="00FE3C4B">
        <w:t>Process, as well as a deadline for communicating such agreement; and (3)</w:t>
      </w:r>
      <w:r w:rsidR="00033802">
        <w:t> </w:t>
      </w:r>
      <w:r w:rsidR="00FE3C4B" w:rsidRPr="00FE3C4B">
        <w:t>provide a</w:t>
      </w:r>
      <w:r w:rsidR="00FE3C4B">
        <w:t xml:space="preserve"> </w:t>
      </w:r>
      <w:r w:rsidR="00FE3C4B" w:rsidRPr="00FE3C4B">
        <w:t>forum for negotiation of a Long-Term Regional Transmission Cost Allocation Method(s)</w:t>
      </w:r>
      <w:r w:rsidR="00FE3C4B">
        <w:t xml:space="preserve"> </w:t>
      </w:r>
      <w:r w:rsidR="00FE3C4B" w:rsidRPr="00FE3C4B">
        <w:t>and/or a State Agreement Process that enables robust participation by Relevant State</w:t>
      </w:r>
      <w:r w:rsidR="00FE3C4B">
        <w:t xml:space="preserve"> </w:t>
      </w:r>
      <w:r w:rsidR="00FE3C4B" w:rsidRPr="00FE3C4B">
        <w:t>Entities.</w:t>
      </w:r>
      <w:r w:rsidR="0089344C">
        <w:t xml:space="preserve">  Order No. 1920, 187 FERC ¶ 61,068 </w:t>
      </w:r>
      <w:r w:rsidR="00806301">
        <w:t xml:space="preserve">             </w:t>
      </w:r>
      <w:r w:rsidR="0089344C">
        <w:t>at P</w:t>
      </w:r>
      <w:r w:rsidR="00557857">
        <w:t>P 5,</w:t>
      </w:r>
      <w:r w:rsidR="0089344C">
        <w:t> </w:t>
      </w:r>
      <w:r w:rsidR="00F216D9">
        <w:t>1354</w:t>
      </w:r>
      <w:r w:rsidR="005734E5">
        <w:t xml:space="preserve">; </w:t>
      </w:r>
      <w:r w:rsidR="00033802">
        <w:t>Order No. 1920-A, 189 FERC ¶ 61,126 at P </w:t>
      </w:r>
      <w:r w:rsidR="00621E4A">
        <w:t>24.</w:t>
      </w:r>
    </w:p>
  </w:footnote>
  <w:footnote w:id="16">
    <w:p w14:paraId="5D8F8729" w14:textId="6CD0695A" w:rsidR="002958FE" w:rsidRDefault="002958FE">
      <w:pPr>
        <w:pStyle w:val="FootnoteText"/>
      </w:pPr>
      <w:r>
        <w:rPr>
          <w:rStyle w:val="FootnoteReference"/>
        </w:rPr>
        <w:footnoteRef/>
      </w:r>
      <w:r>
        <w:t xml:space="preserve"> Order No. 1920-A, 189 FERC ¶ 61,126 at P 651.</w:t>
      </w:r>
    </w:p>
  </w:footnote>
  <w:footnote w:id="17">
    <w:p w14:paraId="4D01EC6C" w14:textId="7C59BE96" w:rsidR="00617D3F" w:rsidRDefault="00617D3F" w:rsidP="00617D3F">
      <w:pPr>
        <w:pStyle w:val="FootnoteText"/>
      </w:pPr>
      <w:r>
        <w:rPr>
          <w:rStyle w:val="FootnoteReference"/>
        </w:rPr>
        <w:footnoteRef/>
      </w:r>
      <w:r>
        <w:t xml:space="preserve"> </w:t>
      </w:r>
      <w:r w:rsidR="00EA414A" w:rsidRPr="00EA414A">
        <w:rPr>
          <w:i/>
          <w:iCs/>
        </w:rPr>
        <w:t>Id</w:t>
      </w:r>
      <w:r w:rsidR="00EA414A" w:rsidRPr="00367E3D">
        <w:rPr>
          <w:i/>
        </w:rPr>
        <w:t>.</w:t>
      </w:r>
      <w:r>
        <w:t xml:space="preserve"> P 659.</w:t>
      </w:r>
    </w:p>
  </w:footnote>
  <w:footnote w:id="18">
    <w:p w14:paraId="7A757B51" w14:textId="19F18545" w:rsidR="00FC0120" w:rsidRDefault="00FC0120">
      <w:pPr>
        <w:pStyle w:val="FootnoteText"/>
      </w:pPr>
      <w:r>
        <w:rPr>
          <w:rStyle w:val="FootnoteReference"/>
        </w:rPr>
        <w:footnoteRef/>
      </w:r>
      <w:r>
        <w:t xml:space="preserve"> </w:t>
      </w:r>
      <w:r w:rsidR="008C569C" w:rsidRPr="00EA414A">
        <w:rPr>
          <w:i/>
          <w:iCs/>
        </w:rPr>
        <w:t>Id</w:t>
      </w:r>
      <w:r w:rsidR="008C569C" w:rsidRPr="00367E3D">
        <w:rPr>
          <w:i/>
        </w:rPr>
        <w:t>.</w:t>
      </w:r>
      <w:r>
        <w:t xml:space="preserve"> P </w:t>
      </w:r>
      <w:r w:rsidR="00283E6F">
        <w:t>691.</w:t>
      </w:r>
    </w:p>
  </w:footnote>
  <w:footnote w:id="19">
    <w:p w14:paraId="6D1D2616" w14:textId="61925672" w:rsidR="00446103" w:rsidRPr="008077D4" w:rsidRDefault="00446103" w:rsidP="00446103">
      <w:pPr>
        <w:pStyle w:val="FootnoteText"/>
      </w:pPr>
      <w:r>
        <w:rPr>
          <w:rStyle w:val="FootnoteReference"/>
        </w:rPr>
        <w:footnoteRef/>
      </w:r>
      <w:r>
        <w:t xml:space="preserve"> </w:t>
      </w:r>
      <w:r>
        <w:rPr>
          <w:i/>
          <w:iCs/>
        </w:rPr>
        <w:t>See</w:t>
      </w:r>
      <w:r>
        <w:t xml:space="preserve"> </w:t>
      </w:r>
      <w:r w:rsidR="00682CB5" w:rsidRPr="00682CB5">
        <w:rPr>
          <w:i/>
          <w:iCs/>
        </w:rPr>
        <w:t>id</w:t>
      </w:r>
      <w:r w:rsidR="00682CB5" w:rsidRPr="00367E3D">
        <w:rPr>
          <w:i/>
        </w:rPr>
        <w:t>.</w:t>
      </w:r>
      <w:r>
        <w:t xml:space="preserve"> PP 72-8</w:t>
      </w:r>
      <w:r w:rsidR="00F61BC4">
        <w:t>6</w:t>
      </w:r>
      <w:r>
        <w:t>.</w:t>
      </w:r>
    </w:p>
  </w:footnote>
  <w:footnote w:id="20">
    <w:p w14:paraId="7B1B04A5" w14:textId="460B3DF6" w:rsidR="002C65E2" w:rsidRDefault="002C65E2">
      <w:pPr>
        <w:pStyle w:val="FootnoteText"/>
      </w:pPr>
      <w:r>
        <w:rPr>
          <w:rStyle w:val="FootnoteReference"/>
        </w:rPr>
        <w:footnoteRef/>
      </w:r>
      <w:r>
        <w:t xml:space="preserve"> </w:t>
      </w:r>
      <w:r>
        <w:rPr>
          <w:i/>
          <w:iCs/>
        </w:rPr>
        <w:t>See</w:t>
      </w:r>
      <w:r>
        <w:t xml:space="preserve"> </w:t>
      </w:r>
      <w:r w:rsidR="007F1F37" w:rsidRPr="007F1F37">
        <w:rPr>
          <w:i/>
          <w:iCs/>
        </w:rPr>
        <w:t>id</w:t>
      </w:r>
      <w:r w:rsidR="007F1F37" w:rsidRPr="00367E3D">
        <w:rPr>
          <w:i/>
        </w:rPr>
        <w:t>.</w:t>
      </w:r>
      <w:r>
        <w:t xml:space="preserve"> P </w:t>
      </w:r>
      <w:r w:rsidR="0051456F">
        <w:t>685</w:t>
      </w:r>
      <w:r>
        <w:t>.</w:t>
      </w:r>
    </w:p>
  </w:footnote>
  <w:footnote w:id="21">
    <w:p w14:paraId="40B791D8" w14:textId="0BBE978A" w:rsidR="00CB36D8" w:rsidRDefault="00CB36D8">
      <w:pPr>
        <w:pStyle w:val="FootnoteText"/>
      </w:pPr>
      <w:r>
        <w:rPr>
          <w:rStyle w:val="FootnoteReference"/>
        </w:rPr>
        <w:footnoteRef/>
      </w:r>
      <w:r>
        <w:t xml:space="preserve"> </w:t>
      </w:r>
      <w:r w:rsidR="0053247B">
        <w:t>A</w:t>
      </w:r>
      <w:r w:rsidR="00F5075E">
        <w:t>ppendix A includes a</w:t>
      </w:r>
      <w:r w:rsidR="0053247B">
        <w:t xml:space="preserve"> list of p</w:t>
      </w:r>
      <w:r>
        <w:t>etitioners</w:t>
      </w:r>
      <w:r w:rsidR="0053247B">
        <w:t xml:space="preserve"> submitting requests for rehearing and/or clarification of Order No. 1920-A.</w:t>
      </w:r>
    </w:p>
  </w:footnote>
  <w:footnote w:id="22">
    <w:p w14:paraId="2407E495" w14:textId="26E3BE7B" w:rsidR="005162E3" w:rsidRDefault="005162E3">
      <w:pPr>
        <w:pStyle w:val="FootnoteText"/>
      </w:pPr>
      <w:r>
        <w:rPr>
          <w:rStyle w:val="FootnoteReference"/>
        </w:rPr>
        <w:footnoteRef/>
      </w:r>
      <w:r>
        <w:t xml:space="preserve"> </w:t>
      </w:r>
      <w:r w:rsidR="00BA4C83">
        <w:t>On February 5, 202</w:t>
      </w:r>
      <w:r w:rsidR="00063B24">
        <w:t>5</w:t>
      </w:r>
      <w:r w:rsidR="00BA4C83">
        <w:t xml:space="preserve">, </w:t>
      </w:r>
      <w:r>
        <w:t>NRECA</w:t>
      </w:r>
      <w:r w:rsidR="00D20BDA">
        <w:t xml:space="preserve"> </w:t>
      </w:r>
      <w:r w:rsidR="00F54CB8">
        <w:t xml:space="preserve">sent </w:t>
      </w:r>
      <w:r w:rsidR="001D7304">
        <w:t>a letter</w:t>
      </w:r>
      <w:r w:rsidR="005D0A75">
        <w:t xml:space="preserve"> </w:t>
      </w:r>
      <w:r w:rsidR="00DB62FE">
        <w:t xml:space="preserve">to Chairman </w:t>
      </w:r>
      <w:r w:rsidR="003F6DE3">
        <w:t xml:space="preserve">Mark </w:t>
      </w:r>
      <w:r w:rsidR="00DB62FE">
        <w:t xml:space="preserve">Christie </w:t>
      </w:r>
      <w:r w:rsidR="00931306">
        <w:t xml:space="preserve">addressing </w:t>
      </w:r>
      <w:r w:rsidR="00A2310B">
        <w:t>Order No. 1920-A</w:t>
      </w:r>
      <w:r w:rsidR="00BA4C83">
        <w:t>.</w:t>
      </w:r>
      <w:r w:rsidR="00A67105">
        <w:t xml:space="preserve"> </w:t>
      </w:r>
      <w:r w:rsidR="00BA4C83">
        <w:t xml:space="preserve"> On February 12, 202</w:t>
      </w:r>
      <w:r w:rsidR="00063B24">
        <w:t>5</w:t>
      </w:r>
      <w:r w:rsidR="00BA4C83">
        <w:t xml:space="preserve">, </w:t>
      </w:r>
      <w:r>
        <w:t xml:space="preserve">Developers Advocating Transmission Advancements </w:t>
      </w:r>
      <w:r w:rsidR="00A67105">
        <w:t xml:space="preserve">submitted </w:t>
      </w:r>
      <w:r w:rsidR="00A71F7F">
        <w:t xml:space="preserve">a late-filed pleading </w:t>
      </w:r>
      <w:r w:rsidR="00055612">
        <w:t xml:space="preserve">and white paper </w:t>
      </w:r>
      <w:r w:rsidR="003C669F">
        <w:t>in response to the 2021 Advanced Notice of Proposed Rulemaking</w:t>
      </w:r>
      <w:r w:rsidR="00A1042F">
        <w:t>.</w:t>
      </w:r>
      <w:r w:rsidR="004B6745">
        <w:t xml:space="preserve">  </w:t>
      </w:r>
      <w:r w:rsidR="00B42663" w:rsidRPr="00B42663">
        <w:t>To the extent that they intend to seek rehearing, these pleadings are untimely and we therefore reject them.  16 U.S.C. 825</w:t>
      </w:r>
      <w:r w:rsidR="00B42663" w:rsidRPr="00B42663">
        <w:rPr>
          <w:i/>
          <w:iCs/>
        </w:rPr>
        <w:t>l</w:t>
      </w:r>
      <w:r w:rsidR="00B42663" w:rsidRPr="00B42663">
        <w:t>(a); 18 CFR 385.713(b)</w:t>
      </w:r>
      <w:r w:rsidR="00806301">
        <w:t xml:space="preserve"> (2024)</w:t>
      </w:r>
      <w:r w:rsidR="00B42663" w:rsidRPr="00B42663">
        <w:t>.  They also do not include a separate section entitled “Statement of Issues” listing each issue presented to the Commission in a separately enumerated</w:t>
      </w:r>
      <w:r w:rsidR="002073D4">
        <w:t xml:space="preserve"> </w:t>
      </w:r>
      <w:r w:rsidR="002073D4" w:rsidRPr="00C94F2B">
        <w:t>paragraph</w:t>
      </w:r>
      <w:r w:rsidR="00B42663" w:rsidRPr="00B42663">
        <w:t xml:space="preserve">, as required by Rule 713(c)(2) of the Commission’s Rules of Practice and Procedure.  18 CFR 385.713(c)(2).  </w:t>
      </w:r>
      <w:r w:rsidR="001336FC" w:rsidRPr="001336FC">
        <w:t xml:space="preserve">Below, we address NRECA’s rehearing request, which raised similar issues to those NRECA raised in its letter.  </w:t>
      </w:r>
      <w:r w:rsidR="001336FC" w:rsidRPr="00C94F2B">
        <w:rPr>
          <w:i/>
        </w:rPr>
        <w:t xml:space="preserve">See </w:t>
      </w:r>
      <w:proofErr w:type="gramStart"/>
      <w:r w:rsidR="001336FC" w:rsidRPr="00C94F2B">
        <w:rPr>
          <w:i/>
        </w:rPr>
        <w:t>infra</w:t>
      </w:r>
      <w:r w:rsidR="001336FC" w:rsidRPr="00C94F2B">
        <w:t xml:space="preserve"> Definition</w:t>
      </w:r>
      <w:proofErr w:type="gramEnd"/>
      <w:r w:rsidR="001336FC" w:rsidRPr="00C94F2B">
        <w:t xml:space="preserve"> of Relevant State Entities section.</w:t>
      </w:r>
      <w:r w:rsidR="001336FC" w:rsidRPr="001336FC" w:rsidDel="00E71310">
        <w:t xml:space="preserve"> </w:t>
      </w:r>
    </w:p>
  </w:footnote>
  <w:footnote w:id="23">
    <w:p w14:paraId="265A3115" w14:textId="0796ED8E" w:rsidR="004111BC" w:rsidRDefault="004111BC">
      <w:pPr>
        <w:pStyle w:val="FootnoteText"/>
      </w:pPr>
      <w:r>
        <w:rPr>
          <w:rStyle w:val="FootnoteReference"/>
        </w:rPr>
        <w:footnoteRef/>
      </w:r>
      <w:r>
        <w:t xml:space="preserve"> </w:t>
      </w:r>
      <w:r w:rsidRPr="004111BC">
        <w:t>964 F.3d 1 (D.C. Cir. 2020) (</w:t>
      </w:r>
      <w:proofErr w:type="spellStart"/>
      <w:r w:rsidRPr="004111BC">
        <w:t>en</w:t>
      </w:r>
      <w:proofErr w:type="spellEnd"/>
      <w:r w:rsidRPr="004111BC">
        <w:t xml:space="preserve"> banc).</w:t>
      </w:r>
    </w:p>
  </w:footnote>
  <w:footnote w:id="24">
    <w:p w14:paraId="369451C0" w14:textId="4B986212" w:rsidR="00455C18" w:rsidRPr="000E4A6B" w:rsidRDefault="00455C18" w:rsidP="000E4A6B">
      <w:pPr>
        <w:pStyle w:val="FootnoteText"/>
      </w:pPr>
      <w:r>
        <w:rPr>
          <w:rStyle w:val="FootnoteReference"/>
        </w:rPr>
        <w:footnoteRef/>
      </w:r>
      <w:r>
        <w:t xml:space="preserve"> </w:t>
      </w:r>
      <w:r w:rsidR="000E4A6B">
        <w:t>16 U.S.C. 825</w:t>
      </w:r>
      <w:r w:rsidR="000E4A6B">
        <w:rPr>
          <w:i/>
          <w:iCs/>
        </w:rPr>
        <w:t>l</w:t>
      </w:r>
      <w:r w:rsidR="000E4A6B">
        <w:t xml:space="preserve">(a) (“Until </w:t>
      </w:r>
      <w:r w:rsidR="000E4A6B" w:rsidRPr="000E4A6B">
        <w:t>the record in a proceeding shall have been filed in a</w:t>
      </w:r>
      <w:r w:rsidR="000E4A6B">
        <w:t xml:space="preserve"> </w:t>
      </w:r>
      <w:r w:rsidR="000E4A6B" w:rsidRPr="000E4A6B">
        <w:t>court of appeals, as provided in subsection (b), the Commission may at any time, upon</w:t>
      </w:r>
      <w:r w:rsidR="000E4A6B">
        <w:t xml:space="preserve"> </w:t>
      </w:r>
      <w:r w:rsidR="000E4A6B" w:rsidRPr="000E4A6B">
        <w:t>reasonable notice and in such manner as it shall deem proper, modify or set aside, in</w:t>
      </w:r>
      <w:r w:rsidR="000E4A6B">
        <w:t xml:space="preserve"> </w:t>
      </w:r>
      <w:r w:rsidR="000E4A6B" w:rsidRPr="000E4A6B">
        <w:t>whole or in part, any finding or order made or issued by it under the provisions of this</w:t>
      </w:r>
      <w:r w:rsidR="000E4A6B">
        <w:t xml:space="preserve"> </w:t>
      </w:r>
      <w:r w:rsidR="000E4A6B" w:rsidRPr="000E4A6B">
        <w:t>chapter.”).</w:t>
      </w:r>
    </w:p>
  </w:footnote>
  <w:footnote w:id="25">
    <w:p w14:paraId="6473137F" w14:textId="3980634B" w:rsidR="004B4BBC" w:rsidRDefault="004B4BBC">
      <w:pPr>
        <w:pStyle w:val="FootnoteText"/>
      </w:pPr>
      <w:r>
        <w:rPr>
          <w:rStyle w:val="FootnoteReference"/>
        </w:rPr>
        <w:footnoteRef/>
      </w:r>
      <w:r>
        <w:t xml:space="preserve"> </w:t>
      </w:r>
      <w:r w:rsidRPr="005A129F">
        <w:rPr>
          <w:i/>
          <w:iCs/>
          <w:szCs w:val="26"/>
        </w:rPr>
        <w:t>Allegheny Def</w:t>
      </w:r>
      <w:r>
        <w:rPr>
          <w:i/>
          <w:iCs/>
          <w:szCs w:val="26"/>
        </w:rPr>
        <w:t>.</w:t>
      </w:r>
      <w:r w:rsidRPr="005A129F">
        <w:rPr>
          <w:i/>
          <w:iCs/>
          <w:szCs w:val="26"/>
        </w:rPr>
        <w:t xml:space="preserve"> Project</w:t>
      </w:r>
      <w:r w:rsidRPr="005A129F">
        <w:rPr>
          <w:szCs w:val="26"/>
        </w:rPr>
        <w:t xml:space="preserve">, </w:t>
      </w:r>
      <w:r w:rsidRPr="00CB155A">
        <w:rPr>
          <w:szCs w:val="26"/>
        </w:rPr>
        <w:t xml:space="preserve">964 F.3d </w:t>
      </w:r>
      <w:r>
        <w:rPr>
          <w:szCs w:val="26"/>
        </w:rPr>
        <w:t>at 16-17</w:t>
      </w:r>
      <w:r w:rsidRPr="005A129F">
        <w:rPr>
          <w:szCs w:val="26"/>
        </w:rPr>
        <w:t>. </w:t>
      </w:r>
    </w:p>
  </w:footnote>
  <w:footnote w:id="26">
    <w:p w14:paraId="556AC1DF" w14:textId="6CB077AB" w:rsidR="00AE56D2" w:rsidRDefault="00AE56D2" w:rsidP="00AE56D2">
      <w:pPr>
        <w:pStyle w:val="FootnoteText"/>
      </w:pPr>
      <w:r w:rsidRPr="00FA1126">
        <w:rPr>
          <w:rStyle w:val="FootnoteReference"/>
        </w:rPr>
        <w:footnoteRef/>
      </w:r>
      <w:r w:rsidRPr="00FA1126">
        <w:t xml:space="preserve"> </w:t>
      </w:r>
      <w:r w:rsidRPr="00D07186">
        <w:rPr>
          <w:i/>
          <w:iCs/>
          <w:szCs w:val="26"/>
        </w:rPr>
        <w:t xml:space="preserve">See Smith Lake Improvement &amp; Stakeholders </w:t>
      </w:r>
      <w:proofErr w:type="spellStart"/>
      <w:r w:rsidRPr="00D07186">
        <w:rPr>
          <w:i/>
          <w:iCs/>
          <w:szCs w:val="26"/>
        </w:rPr>
        <w:t>Ass’n</w:t>
      </w:r>
      <w:proofErr w:type="spellEnd"/>
      <w:r w:rsidRPr="00D07186">
        <w:rPr>
          <w:i/>
          <w:iCs/>
          <w:szCs w:val="26"/>
        </w:rPr>
        <w:t xml:space="preserve"> v. FERC</w:t>
      </w:r>
      <w:r w:rsidRPr="00D07186">
        <w:rPr>
          <w:szCs w:val="26"/>
        </w:rPr>
        <w:t xml:space="preserve">, 809 F.3d </w:t>
      </w:r>
      <w:proofErr w:type="gramStart"/>
      <w:r w:rsidRPr="00D07186">
        <w:rPr>
          <w:szCs w:val="26"/>
        </w:rPr>
        <w:t xml:space="preserve">55, </w:t>
      </w:r>
      <w:r w:rsidR="00806301">
        <w:rPr>
          <w:szCs w:val="26"/>
        </w:rPr>
        <w:t xml:space="preserve">  </w:t>
      </w:r>
      <w:proofErr w:type="gramEnd"/>
      <w:r w:rsidR="00806301">
        <w:rPr>
          <w:szCs w:val="26"/>
        </w:rPr>
        <w:t xml:space="preserve">         </w:t>
      </w:r>
      <w:r w:rsidRPr="00D07186">
        <w:rPr>
          <w:szCs w:val="26"/>
        </w:rPr>
        <w:t>56-57 (D.C. Cir. 2015).</w:t>
      </w:r>
    </w:p>
  </w:footnote>
  <w:footnote w:id="27">
    <w:p w14:paraId="46232575" w14:textId="4139A504" w:rsidR="005641DB" w:rsidRPr="00B57199" w:rsidRDefault="005641DB">
      <w:pPr>
        <w:pStyle w:val="FootnoteText"/>
      </w:pPr>
      <w:r>
        <w:rPr>
          <w:rStyle w:val="FootnoteReference"/>
        </w:rPr>
        <w:footnoteRef/>
      </w:r>
      <w:r w:rsidR="00414CC1">
        <w:t xml:space="preserve"> </w:t>
      </w:r>
      <w:r w:rsidR="001D48CC">
        <w:rPr>
          <w:i/>
          <w:iCs/>
        </w:rPr>
        <w:t>See</w:t>
      </w:r>
      <w:r w:rsidR="00414CC1" w:rsidRPr="002076DE">
        <w:rPr>
          <w:i/>
        </w:rPr>
        <w:t xml:space="preserve"> </w:t>
      </w:r>
      <w:r w:rsidR="00414CC1">
        <w:t xml:space="preserve">Order No. 1920-A, 189 FERC ¶ 61,068 at P 323; </w:t>
      </w:r>
      <w:r w:rsidR="00414CC1">
        <w:rPr>
          <w:i/>
          <w:iCs/>
        </w:rPr>
        <w:t xml:space="preserve">infra </w:t>
      </w:r>
      <w:r w:rsidR="00544A6C">
        <w:t>Planning for the Long-Term Transmi</w:t>
      </w:r>
      <w:r w:rsidR="00714B56">
        <w:t xml:space="preserve">ssion Needs </w:t>
      </w:r>
      <w:r w:rsidR="00F55CFD">
        <w:t xml:space="preserve">of Unenrolled </w:t>
      </w:r>
      <w:r w:rsidR="00945DE0">
        <w:t xml:space="preserve">Non-Jurisdictional Transmission Providers </w:t>
      </w:r>
      <w:r w:rsidR="00284675" w:rsidRPr="00646731">
        <w:t>section</w:t>
      </w:r>
      <w:r w:rsidR="00D5490F" w:rsidRPr="00704856">
        <w:t>.</w:t>
      </w:r>
    </w:p>
  </w:footnote>
  <w:footnote w:id="28">
    <w:p w14:paraId="6615EAEF" w14:textId="602E5589" w:rsidR="00385346" w:rsidRPr="00B57199" w:rsidRDefault="00385346" w:rsidP="00385346">
      <w:pPr>
        <w:pStyle w:val="FootnoteText"/>
      </w:pPr>
      <w:r w:rsidRPr="00B57199">
        <w:rPr>
          <w:rStyle w:val="FootnoteReference"/>
        </w:rPr>
        <w:footnoteRef/>
      </w:r>
      <w:r w:rsidRPr="00B57199">
        <w:t xml:space="preserve"> Order No. 1920-A, 189 FERC ¶ 61,126 at PP 651, 655; </w:t>
      </w:r>
      <w:proofErr w:type="gramStart"/>
      <w:r w:rsidRPr="00B57199">
        <w:rPr>
          <w:i/>
          <w:iCs/>
        </w:rPr>
        <w:t xml:space="preserve">infra </w:t>
      </w:r>
      <w:r w:rsidR="00D02C4F" w:rsidRPr="00B57199">
        <w:t>Requirement</w:t>
      </w:r>
      <w:r w:rsidR="006934DD" w:rsidRPr="00B57199">
        <w:t>s</w:t>
      </w:r>
      <w:proofErr w:type="gramEnd"/>
      <w:r w:rsidR="00D02C4F" w:rsidRPr="00B57199">
        <w:t xml:space="preserve"> Concerning Relevant State</w:t>
      </w:r>
      <w:r w:rsidR="00685306" w:rsidRPr="00B57199">
        <w:t xml:space="preserve"> Entities’ </w:t>
      </w:r>
      <w:r w:rsidR="008770E8" w:rsidRPr="00B57199">
        <w:t xml:space="preserve">Agreed-upon Cost Allocation Methods </w:t>
      </w:r>
      <w:r w:rsidRPr="00646731">
        <w:t>section</w:t>
      </w:r>
      <w:r w:rsidRPr="00B57199">
        <w:t>.</w:t>
      </w:r>
    </w:p>
  </w:footnote>
  <w:footnote w:id="29">
    <w:p w14:paraId="75CFFC33" w14:textId="1553F338" w:rsidR="00CC6813" w:rsidRPr="00CC6813" w:rsidRDefault="00CC6813">
      <w:pPr>
        <w:pStyle w:val="FootnoteText"/>
      </w:pPr>
      <w:r w:rsidRPr="00B57199">
        <w:rPr>
          <w:rStyle w:val="FootnoteReference"/>
        </w:rPr>
        <w:footnoteRef/>
      </w:r>
      <w:r w:rsidRPr="00B57199">
        <w:t xml:space="preserve"> Order No. 1920-A, 189 FERC ¶ 61,126 at P 691; </w:t>
      </w:r>
      <w:proofErr w:type="gramStart"/>
      <w:r w:rsidRPr="00B57199">
        <w:rPr>
          <w:i/>
          <w:iCs/>
        </w:rPr>
        <w:t xml:space="preserve">infra </w:t>
      </w:r>
      <w:r w:rsidR="0050125F" w:rsidRPr="00B57199">
        <w:t>Consultation</w:t>
      </w:r>
      <w:proofErr w:type="gramEnd"/>
      <w:r w:rsidR="0050125F" w:rsidRPr="00B57199">
        <w:t xml:space="preserve"> with Relevant State Entities After the Engagement Period </w:t>
      </w:r>
      <w:r w:rsidRPr="00646731">
        <w:t>section</w:t>
      </w:r>
      <w:r w:rsidR="00094856" w:rsidRPr="00B57199">
        <w:t>.</w:t>
      </w:r>
    </w:p>
  </w:footnote>
  <w:footnote w:id="30">
    <w:p w14:paraId="0CFA7BA0" w14:textId="41310C3B" w:rsidR="005F5817" w:rsidRPr="00B57199" w:rsidRDefault="005F5817">
      <w:pPr>
        <w:pStyle w:val="FootnoteText"/>
      </w:pPr>
      <w:r>
        <w:rPr>
          <w:rStyle w:val="FootnoteReference"/>
        </w:rPr>
        <w:footnoteRef/>
      </w:r>
      <w:r>
        <w:t xml:space="preserve"> </w:t>
      </w:r>
      <w:r w:rsidR="00D47835" w:rsidRPr="00D47835">
        <w:t>Order No. 1920-A, 189 FERC ¶ 61,126 at P 701</w:t>
      </w:r>
      <w:r w:rsidR="00D47835">
        <w:t xml:space="preserve">; </w:t>
      </w:r>
      <w:proofErr w:type="gramStart"/>
      <w:r w:rsidR="00D47835">
        <w:rPr>
          <w:i/>
          <w:iCs/>
        </w:rPr>
        <w:t xml:space="preserve">infra </w:t>
      </w:r>
      <w:r w:rsidR="00BA2E96">
        <w:t>Definition</w:t>
      </w:r>
      <w:proofErr w:type="gramEnd"/>
      <w:r w:rsidR="00BA2E96">
        <w:t xml:space="preserve"> of Relevant State </w:t>
      </w:r>
      <w:r w:rsidR="00BA2E96" w:rsidRPr="00B57199">
        <w:t xml:space="preserve">Entities </w:t>
      </w:r>
      <w:r w:rsidR="00D47835" w:rsidRPr="00646731">
        <w:t>section</w:t>
      </w:r>
      <w:r w:rsidR="00D47835" w:rsidRPr="00B57199">
        <w:t>.</w:t>
      </w:r>
    </w:p>
  </w:footnote>
  <w:footnote w:id="31">
    <w:p w14:paraId="2DC8D117" w14:textId="152194A4" w:rsidR="001C15AA" w:rsidRDefault="009442BB">
      <w:pPr>
        <w:pStyle w:val="FootnoteText"/>
      </w:pPr>
      <w:r w:rsidRPr="00B57199">
        <w:rPr>
          <w:rStyle w:val="FootnoteReference"/>
        </w:rPr>
        <w:footnoteRef/>
      </w:r>
      <w:r w:rsidRPr="00B57199">
        <w:t xml:space="preserve"> </w:t>
      </w:r>
      <w:r w:rsidR="004D1519" w:rsidRPr="00B57199">
        <w:t>Order No. 1920-A, 189 FERC ¶ 61,126 at</w:t>
      </w:r>
      <w:r w:rsidR="004D1519" w:rsidRPr="00B57199">
        <w:rPr>
          <w:szCs w:val="22"/>
        </w:rPr>
        <w:t xml:space="preserve"> </w:t>
      </w:r>
      <w:r w:rsidR="004D1519" w:rsidRPr="00B57199">
        <w:t>PP 72-8</w:t>
      </w:r>
      <w:r w:rsidR="00161FD2">
        <w:t>6</w:t>
      </w:r>
      <w:r w:rsidR="004D1519" w:rsidRPr="00B57199">
        <w:t xml:space="preserve">; </w:t>
      </w:r>
      <w:proofErr w:type="gramStart"/>
      <w:r w:rsidR="004D1519" w:rsidRPr="00B57199">
        <w:rPr>
          <w:i/>
          <w:iCs/>
        </w:rPr>
        <w:t xml:space="preserve">infra </w:t>
      </w:r>
      <w:r w:rsidR="00BA2E96" w:rsidRPr="00B57199">
        <w:t>Other</w:t>
      </w:r>
      <w:proofErr w:type="gramEnd"/>
      <w:r w:rsidR="00BA2E96" w:rsidRPr="00B57199">
        <w:t xml:space="preserve"> Cost Allocation Issues </w:t>
      </w:r>
      <w:r w:rsidR="004D1519" w:rsidRPr="00646731">
        <w:t>section.</w:t>
      </w:r>
    </w:p>
  </w:footnote>
  <w:footnote w:id="32">
    <w:p w14:paraId="348F0DCE" w14:textId="35CF8B36" w:rsidR="002938A8" w:rsidRPr="00AC7691" w:rsidRDefault="002938A8" w:rsidP="002938A8">
      <w:pPr>
        <w:pStyle w:val="FootnoteText"/>
      </w:pPr>
      <w:r>
        <w:rPr>
          <w:rStyle w:val="FootnoteReference"/>
        </w:rPr>
        <w:footnoteRef/>
      </w:r>
      <w:r>
        <w:t xml:space="preserve"> Order No. 1920, 187 FERC ¶</w:t>
      </w:r>
      <w:r w:rsidR="00CC0295">
        <w:t> </w:t>
      </w:r>
      <w:r>
        <w:t>61,068 at P</w:t>
      </w:r>
      <w:r w:rsidR="00CC0295">
        <w:t> </w:t>
      </w:r>
      <w:r w:rsidR="00812777">
        <w:t>224</w:t>
      </w:r>
      <w:r>
        <w:t xml:space="preserve">; </w:t>
      </w:r>
      <w:r>
        <w:rPr>
          <w:i/>
          <w:iCs/>
        </w:rPr>
        <w:t xml:space="preserve">see also </w:t>
      </w:r>
      <w:r>
        <w:t>Order No. 1920-</w:t>
      </w:r>
      <w:proofErr w:type="gramStart"/>
      <w:r>
        <w:t xml:space="preserve">A, </w:t>
      </w:r>
      <w:r w:rsidR="00806301">
        <w:t xml:space="preserve">  </w:t>
      </w:r>
      <w:proofErr w:type="gramEnd"/>
      <w:r w:rsidR="00806301">
        <w:t xml:space="preserve">          </w:t>
      </w:r>
      <w:r>
        <w:t>189 FERC ¶</w:t>
      </w:r>
      <w:r w:rsidR="00CC0295">
        <w:t> </w:t>
      </w:r>
      <w:r>
        <w:t>61,126 at P</w:t>
      </w:r>
      <w:r w:rsidR="00CC0295">
        <w:t> </w:t>
      </w:r>
      <w:r>
        <w:t>138.</w:t>
      </w:r>
    </w:p>
  </w:footnote>
  <w:footnote w:id="33">
    <w:p w14:paraId="12B6D305" w14:textId="5B7C4F76" w:rsidR="00947082" w:rsidRDefault="00947082" w:rsidP="007605E5">
      <w:pPr>
        <w:pStyle w:val="FootnoteText"/>
      </w:pPr>
      <w:r>
        <w:rPr>
          <w:rStyle w:val="FootnoteReference"/>
        </w:rPr>
        <w:footnoteRef/>
      </w:r>
      <w:r>
        <w:t xml:space="preserve"> O</w:t>
      </w:r>
      <w:r w:rsidR="00AA6B13">
        <w:t>rder No. 1920 define</w:t>
      </w:r>
      <w:r w:rsidR="00644089">
        <w:t>s</w:t>
      </w:r>
      <w:r w:rsidR="00AA6B13">
        <w:t xml:space="preserve"> </w:t>
      </w:r>
      <w:r w:rsidR="00C13538">
        <w:t>Long-Term Scenarios as scenarios that incorporate various assumptions using best available data inputs about the future electric power system over a sufficiently long-term, forward-looking transmission planning horizon to identify Long-Term Transmission Needs and enable the identification and evaluation of</w:t>
      </w:r>
      <w:r w:rsidR="007605E5">
        <w:t xml:space="preserve"> </w:t>
      </w:r>
      <w:r w:rsidR="00C13538">
        <w:t>transmission facilities to meet such transmission needs.</w:t>
      </w:r>
      <w:r w:rsidR="00E36F87">
        <w:t xml:space="preserve">  Order No. 1920, 187 FERC ¶ 61,068 at </w:t>
      </w:r>
      <w:r w:rsidR="001F06FD">
        <w:t>P</w:t>
      </w:r>
      <w:r w:rsidR="006E58B1">
        <w:t>P</w:t>
      </w:r>
      <w:r w:rsidR="001F06FD">
        <w:t xml:space="preserve"> 40</w:t>
      </w:r>
      <w:r w:rsidR="006E58B1">
        <w:t>, 302</w:t>
      </w:r>
      <w:r w:rsidR="001F06FD">
        <w:t>.</w:t>
      </w:r>
    </w:p>
  </w:footnote>
  <w:footnote w:id="34">
    <w:p w14:paraId="0A3A576C" w14:textId="4B0146DF" w:rsidR="00A764EF" w:rsidRDefault="00A764EF">
      <w:pPr>
        <w:pStyle w:val="FootnoteText"/>
      </w:pPr>
      <w:r>
        <w:rPr>
          <w:rStyle w:val="FootnoteReference"/>
        </w:rPr>
        <w:footnoteRef/>
      </w:r>
      <w:r>
        <w:t xml:space="preserve"> </w:t>
      </w:r>
      <w:r w:rsidR="0020029D" w:rsidRPr="0020029D">
        <w:rPr>
          <w:i/>
          <w:iCs/>
        </w:rPr>
        <w:t>Id</w:t>
      </w:r>
      <w:r w:rsidR="0020029D">
        <w:t>.</w:t>
      </w:r>
      <w:r>
        <w:t xml:space="preserve"> PP </w:t>
      </w:r>
      <w:r w:rsidR="005955AF">
        <w:t xml:space="preserve">298, </w:t>
      </w:r>
      <w:r w:rsidR="00C0530B">
        <w:t xml:space="preserve">409, </w:t>
      </w:r>
      <w:r>
        <w:t>415</w:t>
      </w:r>
      <w:r w:rsidR="00E944B9">
        <w:t>.</w:t>
      </w:r>
    </w:p>
  </w:footnote>
  <w:footnote w:id="35">
    <w:p w14:paraId="7B3878E9" w14:textId="0B08AD29" w:rsidR="002938A8" w:rsidRDefault="002938A8" w:rsidP="00806301">
      <w:pPr>
        <w:pStyle w:val="FootnoteText"/>
        <w:widowControl/>
      </w:pPr>
      <w:r>
        <w:rPr>
          <w:rStyle w:val="FootnoteReference"/>
        </w:rPr>
        <w:footnoteRef/>
      </w:r>
      <w:r>
        <w:t xml:space="preserve"> </w:t>
      </w:r>
      <w:r w:rsidR="0020029D" w:rsidRPr="0020029D">
        <w:rPr>
          <w:i/>
          <w:iCs/>
        </w:rPr>
        <w:t>Id</w:t>
      </w:r>
      <w:r w:rsidR="0020029D">
        <w:t>.</w:t>
      </w:r>
      <w:r>
        <w:t xml:space="preserve"> P 447; </w:t>
      </w:r>
      <w:r>
        <w:rPr>
          <w:i/>
          <w:iCs/>
        </w:rPr>
        <w:t xml:space="preserve">see also </w:t>
      </w:r>
      <w:r>
        <w:t xml:space="preserve">Order No. 1920-A, 189 FERC ¶ 61,126 at PP 139, </w:t>
      </w:r>
      <w:r w:rsidRPr="00B101F0">
        <w:t>263,</w:t>
      </w:r>
      <w:r>
        <w:t xml:space="preserve"> 279.</w:t>
      </w:r>
    </w:p>
  </w:footnote>
  <w:footnote w:id="36">
    <w:p w14:paraId="40838911" w14:textId="1ECB6669" w:rsidR="002938A8" w:rsidRPr="002B04F1" w:rsidRDefault="002938A8" w:rsidP="002938A8">
      <w:pPr>
        <w:pStyle w:val="FootnoteText"/>
      </w:pPr>
      <w:r>
        <w:rPr>
          <w:rStyle w:val="FootnoteReference"/>
        </w:rPr>
        <w:footnoteRef/>
      </w:r>
      <w:r>
        <w:t xml:space="preserve"> Order No. 1920-A, 189 FERC ¶ 61,126 at P 323 (citing Order No. </w:t>
      </w:r>
      <w:proofErr w:type="gramStart"/>
      <w:r>
        <w:t xml:space="preserve">1920, </w:t>
      </w:r>
      <w:r w:rsidR="00806301">
        <w:t xml:space="preserve">  </w:t>
      </w:r>
      <w:proofErr w:type="gramEnd"/>
      <w:r w:rsidR="00806301">
        <w:t xml:space="preserve">      </w:t>
      </w:r>
      <w:r>
        <w:t xml:space="preserve">187 FERC ¶ 61,068 at PP 507, 510).  The Commission issued this clarification in response to </w:t>
      </w:r>
      <w:r w:rsidR="00726645">
        <w:t>a</w:t>
      </w:r>
      <w:r w:rsidR="004E7364">
        <w:t xml:space="preserve"> </w:t>
      </w:r>
      <w:r>
        <w:t xml:space="preserve">request to clarify that the resource planning and procurement processes of non-jurisdictional transmission providers that have been approved by their respective governing authorities should be included in Factor Category Three.  </w:t>
      </w:r>
      <w:r>
        <w:rPr>
          <w:i/>
          <w:iCs/>
        </w:rPr>
        <w:t xml:space="preserve">Id. </w:t>
      </w:r>
      <w:r>
        <w:t xml:space="preserve">P 315 (citing SERTP Sponsors </w:t>
      </w:r>
      <w:r w:rsidR="001A1032">
        <w:t>June 12, 2024</w:t>
      </w:r>
      <w:r>
        <w:t xml:space="preserve"> Rehearing Request at 5).</w:t>
      </w:r>
    </w:p>
  </w:footnote>
  <w:footnote w:id="37">
    <w:p w14:paraId="112E25EC" w14:textId="66E7B0B2" w:rsidR="002938A8" w:rsidRPr="00914096" w:rsidRDefault="002938A8" w:rsidP="002938A8">
      <w:pPr>
        <w:pStyle w:val="FootnoteText"/>
      </w:pPr>
      <w:r w:rsidRPr="00DC0D43">
        <w:rPr>
          <w:rStyle w:val="FootnoteReference"/>
        </w:rPr>
        <w:footnoteRef/>
      </w:r>
      <w:r w:rsidRPr="00DC0D43">
        <w:t xml:space="preserve"> </w:t>
      </w:r>
      <w:r w:rsidR="00B55AEA" w:rsidRPr="00EA414A">
        <w:rPr>
          <w:i/>
          <w:iCs/>
        </w:rPr>
        <w:t>Id</w:t>
      </w:r>
      <w:r w:rsidR="00B55AEA" w:rsidRPr="00367E3D">
        <w:rPr>
          <w:i/>
        </w:rPr>
        <w:t>.</w:t>
      </w:r>
      <w:r w:rsidRPr="00DC0D43">
        <w:t xml:space="preserve"> P 323 (citing Order No. 1000-A, 139 FERC ¶ 61,132 at P 276).</w:t>
      </w:r>
    </w:p>
  </w:footnote>
  <w:footnote w:id="38">
    <w:p w14:paraId="327192EC" w14:textId="61727C59" w:rsidR="002938A8" w:rsidRPr="00E7089C" w:rsidRDefault="002938A8" w:rsidP="002938A8">
      <w:pPr>
        <w:pStyle w:val="FootnoteText"/>
      </w:pPr>
      <w:r>
        <w:rPr>
          <w:rStyle w:val="FootnoteReference"/>
        </w:rPr>
        <w:footnoteRef/>
      </w:r>
      <w:r>
        <w:t xml:space="preserve"> </w:t>
      </w:r>
      <w:r w:rsidR="008B0A31" w:rsidRPr="00EA414A">
        <w:rPr>
          <w:i/>
          <w:iCs/>
        </w:rPr>
        <w:t>Id</w:t>
      </w:r>
      <w:r w:rsidR="008B0A31" w:rsidRPr="00367E3D">
        <w:rPr>
          <w:i/>
        </w:rPr>
        <w:t>.</w:t>
      </w:r>
      <w:r>
        <w:t xml:space="preserve"> (citing </w:t>
      </w:r>
      <w:r>
        <w:rPr>
          <w:i/>
          <w:iCs/>
        </w:rPr>
        <w:t>El Paso Elec. Co. v. FERC</w:t>
      </w:r>
      <w:r>
        <w:t>, 76 F.4th 352, 363-66 (5th Cir. 2023) (</w:t>
      </w:r>
      <w:r>
        <w:rPr>
          <w:i/>
          <w:iCs/>
        </w:rPr>
        <w:t>El Paso</w:t>
      </w:r>
      <w:r>
        <w:t>)).</w:t>
      </w:r>
    </w:p>
  </w:footnote>
  <w:footnote w:id="39">
    <w:p w14:paraId="73282546" w14:textId="6DAABEF7" w:rsidR="00BE6441" w:rsidRDefault="00BE6441" w:rsidP="00BE6441">
      <w:pPr>
        <w:pStyle w:val="FootnoteText"/>
      </w:pPr>
      <w:r>
        <w:rPr>
          <w:rStyle w:val="FootnoteReference"/>
        </w:rPr>
        <w:footnoteRef/>
      </w:r>
      <w:r>
        <w:t xml:space="preserve"> NRECA Rehearing Request at 3 (</w:t>
      </w:r>
      <w:r w:rsidR="00244F1C">
        <w:t xml:space="preserve">quoting </w:t>
      </w:r>
      <w:r>
        <w:t>Order No. 1920-A, 189 FERC ¶</w:t>
      </w:r>
      <w:r w:rsidR="00E86615">
        <w:t> </w:t>
      </w:r>
      <w:r>
        <w:t>61,126 at P 323)</w:t>
      </w:r>
      <w:r w:rsidR="001523CD">
        <w:t xml:space="preserve">; </w:t>
      </w:r>
      <w:proofErr w:type="spellStart"/>
      <w:r w:rsidR="001523CD">
        <w:t>WestConnect</w:t>
      </w:r>
      <w:proofErr w:type="spellEnd"/>
      <w:r w:rsidR="001523CD">
        <w:t xml:space="preserve"> CTOs Rehearing Request at 1</w:t>
      </w:r>
      <w:r w:rsidR="00E6516F">
        <w:t xml:space="preserve"> (</w:t>
      </w:r>
      <w:r w:rsidR="00B75AF8">
        <w:t>same</w:t>
      </w:r>
      <w:r w:rsidR="00E6516F">
        <w:t>)</w:t>
      </w:r>
      <w:r>
        <w:t>.</w:t>
      </w:r>
    </w:p>
  </w:footnote>
  <w:footnote w:id="40">
    <w:p w14:paraId="0975C365" w14:textId="40AD5790" w:rsidR="008A3CDC" w:rsidRDefault="008A3CDC">
      <w:pPr>
        <w:pStyle w:val="FootnoteText"/>
      </w:pPr>
      <w:r>
        <w:rPr>
          <w:rStyle w:val="FootnoteReference"/>
        </w:rPr>
        <w:footnoteRef/>
      </w:r>
      <w:r>
        <w:t xml:space="preserve"> </w:t>
      </w:r>
      <w:r w:rsidR="00C9458F">
        <w:t>NRECA Rehearing Request at 3, 17</w:t>
      </w:r>
      <w:r w:rsidR="000E1D92">
        <w:t xml:space="preserve">; </w:t>
      </w:r>
      <w:proofErr w:type="spellStart"/>
      <w:r w:rsidR="000E1D92" w:rsidRPr="000E1D92">
        <w:t>WestConnect</w:t>
      </w:r>
      <w:proofErr w:type="spellEnd"/>
      <w:r w:rsidR="000E1D92" w:rsidRPr="000E1D92">
        <w:t xml:space="preserve"> CTOs Rehearing Request </w:t>
      </w:r>
      <w:r w:rsidR="00806301">
        <w:t xml:space="preserve">          </w:t>
      </w:r>
      <w:r w:rsidR="000E1D92" w:rsidRPr="000E1D92">
        <w:t>at 1-5</w:t>
      </w:r>
      <w:r w:rsidR="008E49E4">
        <w:t xml:space="preserve"> (asserting that Order No. 1920-A, misinterpreting </w:t>
      </w:r>
      <w:r w:rsidR="008E49E4">
        <w:rPr>
          <w:i/>
          <w:iCs/>
        </w:rPr>
        <w:t>El Paso</w:t>
      </w:r>
      <w:r w:rsidR="008E49E4">
        <w:t>, establishes a prohibition on voluntary planning with unenrolled non-jurisdictional transmission providers)</w:t>
      </w:r>
      <w:r w:rsidR="00C9458F">
        <w:t>.</w:t>
      </w:r>
    </w:p>
  </w:footnote>
  <w:footnote w:id="41">
    <w:p w14:paraId="14099CF4" w14:textId="4C7DB85C" w:rsidR="00BE6441" w:rsidRDefault="00BE6441" w:rsidP="00BE6441">
      <w:pPr>
        <w:pStyle w:val="FootnoteText"/>
      </w:pPr>
      <w:r>
        <w:rPr>
          <w:rStyle w:val="FootnoteReference"/>
        </w:rPr>
        <w:footnoteRef/>
      </w:r>
      <w:r>
        <w:t xml:space="preserve"> NRECA Rehearing Request at 3</w:t>
      </w:r>
      <w:r w:rsidR="00625584">
        <w:t xml:space="preserve">; </w:t>
      </w:r>
      <w:r w:rsidR="00625584">
        <w:rPr>
          <w:i/>
          <w:iCs/>
        </w:rPr>
        <w:t>see also id.</w:t>
      </w:r>
      <w:r w:rsidR="00625584">
        <w:t xml:space="preserve"> at 16 (</w:t>
      </w:r>
      <w:r w:rsidR="007F29F2">
        <w:t>“</w:t>
      </w:r>
      <w:r w:rsidR="007F29F2" w:rsidRPr="007F29F2">
        <w:t xml:space="preserve">NRECA requests that the Commission clarify that </w:t>
      </w:r>
      <w:r w:rsidR="007F29F2">
        <w:t>‘</w:t>
      </w:r>
      <w:r w:rsidR="007F29F2" w:rsidRPr="007F29F2">
        <w:t xml:space="preserve">may </w:t>
      </w:r>
      <w:r w:rsidR="007F29F2" w:rsidRPr="007F29F2">
        <w:rPr>
          <w:i/>
          <w:iCs/>
        </w:rPr>
        <w:t xml:space="preserve">not </w:t>
      </w:r>
      <w:r w:rsidR="007F29F2" w:rsidRPr="007F29F2">
        <w:t>plan</w:t>
      </w:r>
      <w:r w:rsidR="007F29F2">
        <w:t>’</w:t>
      </w:r>
      <w:r w:rsidR="007F29F2" w:rsidRPr="007F29F2">
        <w:t xml:space="preserve"> means </w:t>
      </w:r>
      <w:r w:rsidR="007F29F2">
        <w:t>‘</w:t>
      </w:r>
      <w:r w:rsidR="007F29F2" w:rsidRPr="007F29F2">
        <w:t xml:space="preserve">is not </w:t>
      </w:r>
      <w:r w:rsidR="007F29F2" w:rsidRPr="007F29F2">
        <w:rPr>
          <w:i/>
          <w:iCs/>
        </w:rPr>
        <w:t xml:space="preserve">required </w:t>
      </w:r>
      <w:r w:rsidR="007F29F2" w:rsidRPr="007F29F2">
        <w:t>to plan</w:t>
      </w:r>
      <w:r w:rsidR="007F29F2">
        <w:t>’</w:t>
      </w:r>
      <w:r w:rsidR="007F29F2" w:rsidRPr="007F29F2">
        <w:t xml:space="preserve"> rather than </w:t>
      </w:r>
      <w:r w:rsidR="007F29F2">
        <w:t>‘</w:t>
      </w:r>
      <w:r w:rsidR="007F29F2" w:rsidRPr="007F29F2">
        <w:t xml:space="preserve">is not </w:t>
      </w:r>
      <w:r w:rsidR="007F29F2" w:rsidRPr="007F29F2">
        <w:rPr>
          <w:i/>
          <w:iCs/>
        </w:rPr>
        <w:t xml:space="preserve">permitted </w:t>
      </w:r>
      <w:r w:rsidR="007F29F2" w:rsidRPr="007F29F2">
        <w:t>to plan.</w:t>
      </w:r>
      <w:r w:rsidR="007F29F2">
        <w:t>’</w:t>
      </w:r>
      <w:r w:rsidR="000E214B">
        <w:t>”</w:t>
      </w:r>
      <w:r w:rsidR="007F29F2">
        <w:t xml:space="preserve"> (emphasis in original))</w:t>
      </w:r>
      <w:r>
        <w:t xml:space="preserve">. </w:t>
      </w:r>
    </w:p>
  </w:footnote>
  <w:footnote w:id="42">
    <w:p w14:paraId="06F3FBFA" w14:textId="00193A74" w:rsidR="00BE6441" w:rsidRPr="005D2AA9" w:rsidRDefault="00BE6441" w:rsidP="00806301">
      <w:pPr>
        <w:pStyle w:val="FootnoteText"/>
        <w:widowControl/>
      </w:pPr>
      <w:r>
        <w:rPr>
          <w:rStyle w:val="FootnoteReference"/>
        </w:rPr>
        <w:footnoteRef/>
      </w:r>
      <w:r>
        <w:t xml:space="preserve"> </w:t>
      </w:r>
      <w:r w:rsidR="00A4661C" w:rsidRPr="00EA414A">
        <w:rPr>
          <w:i/>
          <w:iCs/>
        </w:rPr>
        <w:t>Id</w:t>
      </w:r>
      <w:r w:rsidR="00A4661C" w:rsidRPr="0064744E">
        <w:rPr>
          <w:i/>
        </w:rPr>
        <w:t>.</w:t>
      </w:r>
      <w:r>
        <w:t xml:space="preserve"> at 16 (citing Order No. 1920-A, 189 FERC ¶</w:t>
      </w:r>
      <w:r w:rsidR="00F23188">
        <w:t> </w:t>
      </w:r>
      <w:r>
        <w:t>61,126 at P</w:t>
      </w:r>
      <w:r w:rsidR="00F23188">
        <w:t> </w:t>
      </w:r>
      <w:r>
        <w:t xml:space="preserve">323 </w:t>
      </w:r>
      <w:r w:rsidR="00B8374F">
        <w:t>n.91</w:t>
      </w:r>
      <w:r w:rsidR="00125487">
        <w:t>4</w:t>
      </w:r>
      <w:r w:rsidR="00B8374F">
        <w:t xml:space="preserve"> </w:t>
      </w:r>
      <w:r>
        <w:t>(citing Order No.</w:t>
      </w:r>
      <w:r w:rsidR="00F23188">
        <w:t> </w:t>
      </w:r>
      <w:r>
        <w:t>1000-A, 139 FERC ¶</w:t>
      </w:r>
      <w:r w:rsidR="00F23188">
        <w:t> </w:t>
      </w:r>
      <w:r>
        <w:t>61,132 at P</w:t>
      </w:r>
      <w:r w:rsidR="00F23188">
        <w:t> </w:t>
      </w:r>
      <w:r>
        <w:t>276)).</w:t>
      </w:r>
    </w:p>
  </w:footnote>
  <w:footnote w:id="43">
    <w:p w14:paraId="5916497C" w14:textId="62E418A1" w:rsidR="00BE6441" w:rsidRDefault="00BE6441" w:rsidP="00B27278">
      <w:pPr>
        <w:pStyle w:val="FootnoteText"/>
        <w:tabs>
          <w:tab w:val="left" w:pos="5310"/>
        </w:tabs>
      </w:pPr>
      <w:r>
        <w:rPr>
          <w:rStyle w:val="FootnoteReference"/>
        </w:rPr>
        <w:footnoteRef/>
      </w:r>
      <w:r>
        <w:t xml:space="preserve"> </w:t>
      </w:r>
      <w:r w:rsidR="00A4661C" w:rsidRPr="00EA414A">
        <w:rPr>
          <w:i/>
          <w:iCs/>
        </w:rPr>
        <w:t>Id</w:t>
      </w:r>
      <w:r w:rsidR="00A4661C" w:rsidRPr="0064744E">
        <w:rPr>
          <w:i/>
        </w:rPr>
        <w:t>.</w:t>
      </w:r>
      <w:r>
        <w:t xml:space="preserve"> at 16</w:t>
      </w:r>
      <w:r w:rsidR="00F1236E">
        <w:t>, 17</w:t>
      </w:r>
      <w:r w:rsidR="00B4485D" w:rsidRPr="00B4485D">
        <w:t xml:space="preserve"> </w:t>
      </w:r>
      <w:r w:rsidR="00B4485D">
        <w:t xml:space="preserve">(citing </w:t>
      </w:r>
      <w:r w:rsidR="00B4485D">
        <w:rPr>
          <w:i/>
          <w:iCs/>
        </w:rPr>
        <w:t>Pub. Serv. Co. of Colo.</w:t>
      </w:r>
      <w:r w:rsidR="00B4485D">
        <w:t>, 148 FERC ¶</w:t>
      </w:r>
      <w:r w:rsidR="00600E4D">
        <w:t> </w:t>
      </w:r>
      <w:r w:rsidR="00B4485D">
        <w:t>61,213 (2014)</w:t>
      </w:r>
      <w:r w:rsidR="00507549">
        <w:t>,</w:t>
      </w:r>
      <w:r w:rsidR="007A6B6C">
        <w:t xml:space="preserve"> </w:t>
      </w:r>
      <w:r w:rsidR="00C94532">
        <w:rPr>
          <w:i/>
          <w:iCs/>
        </w:rPr>
        <w:t>order on reh’g</w:t>
      </w:r>
      <w:r w:rsidR="00C94532">
        <w:t xml:space="preserve">, </w:t>
      </w:r>
      <w:r w:rsidR="007E43C5">
        <w:t xml:space="preserve">151 FERC ¶ 61,128 (2015), </w:t>
      </w:r>
      <w:r w:rsidR="007E43C5">
        <w:rPr>
          <w:i/>
          <w:iCs/>
        </w:rPr>
        <w:t>vacated &amp; remanded</w:t>
      </w:r>
      <w:r w:rsidR="007E43C5">
        <w:t xml:space="preserve">, </w:t>
      </w:r>
      <w:r w:rsidR="007E43C5">
        <w:rPr>
          <w:i/>
          <w:iCs/>
        </w:rPr>
        <w:t xml:space="preserve">El Paso Elec. </w:t>
      </w:r>
      <w:r w:rsidR="00645270">
        <w:rPr>
          <w:i/>
          <w:iCs/>
        </w:rPr>
        <w:t xml:space="preserve">Co. </w:t>
      </w:r>
      <w:r w:rsidR="007E43C5">
        <w:rPr>
          <w:i/>
          <w:iCs/>
        </w:rPr>
        <w:t>v. FERC</w:t>
      </w:r>
      <w:r w:rsidR="007E43C5">
        <w:t>, 832 F.3d 495 (</w:t>
      </w:r>
      <w:r w:rsidR="00645270">
        <w:t xml:space="preserve">5th Cir. </w:t>
      </w:r>
      <w:r w:rsidR="007E43C5">
        <w:t>2016)).</w:t>
      </w:r>
    </w:p>
  </w:footnote>
  <w:footnote w:id="44">
    <w:p w14:paraId="7FF87E9D" w14:textId="6391C3EF" w:rsidR="00BE6441" w:rsidRDefault="00BE6441" w:rsidP="00806301">
      <w:pPr>
        <w:pStyle w:val="FootnoteText"/>
        <w:widowControl/>
      </w:pPr>
      <w:r>
        <w:rPr>
          <w:rStyle w:val="FootnoteReference"/>
        </w:rPr>
        <w:footnoteRef/>
      </w:r>
      <w:r>
        <w:t xml:space="preserve"> </w:t>
      </w:r>
      <w:r w:rsidR="006750EA" w:rsidRPr="00EA414A">
        <w:rPr>
          <w:i/>
          <w:iCs/>
        </w:rPr>
        <w:t>Id</w:t>
      </w:r>
      <w:r w:rsidR="006750EA" w:rsidRPr="0064744E">
        <w:rPr>
          <w:i/>
        </w:rPr>
        <w:t>.</w:t>
      </w:r>
      <w:r>
        <w:t xml:space="preserve"> at 16 (citing Order No. 1920-A, 189 FERC ¶</w:t>
      </w:r>
      <w:r w:rsidR="00FB4D98">
        <w:t> </w:t>
      </w:r>
      <w:r>
        <w:t>61,126 at P</w:t>
      </w:r>
      <w:r w:rsidR="00FB4D98">
        <w:t> </w:t>
      </w:r>
      <w:r>
        <w:t>323).</w:t>
      </w:r>
    </w:p>
  </w:footnote>
  <w:footnote w:id="45">
    <w:p w14:paraId="7B1E3F4C" w14:textId="13E65484" w:rsidR="00BE6441" w:rsidRDefault="00BE6441" w:rsidP="00BE6441">
      <w:pPr>
        <w:pStyle w:val="FootnoteText"/>
      </w:pPr>
      <w:r>
        <w:rPr>
          <w:rStyle w:val="FootnoteReference"/>
        </w:rPr>
        <w:footnoteRef/>
      </w:r>
      <w:r>
        <w:t xml:space="preserve"> </w:t>
      </w:r>
      <w:r w:rsidR="00AF1203" w:rsidRPr="002207B2">
        <w:rPr>
          <w:i/>
          <w:iCs/>
        </w:rPr>
        <w:t>Id</w:t>
      </w:r>
      <w:r w:rsidR="00AF1203" w:rsidRPr="002076DE">
        <w:rPr>
          <w:i/>
        </w:rPr>
        <w:t>.</w:t>
      </w:r>
      <w:r>
        <w:t xml:space="preserve"> at </w:t>
      </w:r>
      <w:r w:rsidR="00DA4A31">
        <w:t>16-</w:t>
      </w:r>
      <w:r>
        <w:t>17.</w:t>
      </w:r>
    </w:p>
  </w:footnote>
  <w:footnote w:id="46">
    <w:p w14:paraId="0A0B3A4C" w14:textId="73B03EFD" w:rsidR="00B167CB" w:rsidRDefault="00B167CB">
      <w:pPr>
        <w:pStyle w:val="FootnoteText"/>
      </w:pPr>
      <w:r>
        <w:rPr>
          <w:rStyle w:val="FootnoteReference"/>
        </w:rPr>
        <w:footnoteRef/>
      </w:r>
      <w:r>
        <w:t xml:space="preserve"> </w:t>
      </w:r>
      <w:r w:rsidR="00F47F74" w:rsidRPr="00EA414A">
        <w:rPr>
          <w:i/>
          <w:iCs/>
        </w:rPr>
        <w:t>Id</w:t>
      </w:r>
      <w:r w:rsidR="00F47F74" w:rsidRPr="00C827A5">
        <w:rPr>
          <w:i/>
        </w:rPr>
        <w:t>.</w:t>
      </w:r>
      <w:r>
        <w:t xml:space="preserve"> at </w:t>
      </w:r>
      <w:r w:rsidR="006A3587">
        <w:t>17</w:t>
      </w:r>
      <w:r w:rsidR="00EC1B6A">
        <w:t xml:space="preserve"> (citing </w:t>
      </w:r>
      <w:r w:rsidR="00EC1B6A">
        <w:rPr>
          <w:i/>
          <w:iCs/>
        </w:rPr>
        <w:t>El Paso</w:t>
      </w:r>
      <w:r w:rsidR="00EC1B6A">
        <w:t>, 76 F.4th at 363)</w:t>
      </w:r>
      <w:r w:rsidR="006A3587">
        <w:t xml:space="preserve">; </w:t>
      </w:r>
      <w:proofErr w:type="spellStart"/>
      <w:r w:rsidR="00C843AF">
        <w:t>WestConnect</w:t>
      </w:r>
      <w:proofErr w:type="spellEnd"/>
      <w:r w:rsidR="00C843AF">
        <w:t xml:space="preserve"> CTOs Rehearing Request at 4 (</w:t>
      </w:r>
      <w:r w:rsidR="00BE4CD0">
        <w:t>asserting</w:t>
      </w:r>
      <w:r w:rsidR="00BE4CD0" w:rsidRPr="00BE4CD0">
        <w:t xml:space="preserve"> that </w:t>
      </w:r>
      <w:r w:rsidR="00BE4CD0" w:rsidRPr="00BE4CD0">
        <w:rPr>
          <w:i/>
          <w:iCs/>
        </w:rPr>
        <w:t xml:space="preserve">El Paso </w:t>
      </w:r>
      <w:r w:rsidR="00BE4CD0" w:rsidRPr="00BE4CD0">
        <w:t xml:space="preserve">holds only that public utilities may not be required to plan for the transmission needs of </w:t>
      </w:r>
      <w:r w:rsidR="00BE4CD0" w:rsidRPr="00BE4CD0" w:rsidDel="00A241CF">
        <w:t xml:space="preserve">unenrolled </w:t>
      </w:r>
      <w:r w:rsidR="00BE4CD0" w:rsidRPr="00BE4CD0">
        <w:t>non-jurisdictional utilities that do not accept the allocation of costs related to regional transmission projects from which they benefit</w:t>
      </w:r>
      <w:r w:rsidR="00BE4CD0">
        <w:t xml:space="preserve"> (</w:t>
      </w:r>
      <w:r w:rsidR="00C843AF">
        <w:t xml:space="preserve">citing </w:t>
      </w:r>
      <w:r w:rsidR="00C843AF">
        <w:rPr>
          <w:i/>
          <w:iCs/>
        </w:rPr>
        <w:t>El Paso</w:t>
      </w:r>
      <w:r w:rsidR="00C843AF">
        <w:t>, 76 F.4th at 362-63</w:t>
      </w:r>
      <w:r w:rsidR="00C843AF" w:rsidDel="00EC1B6A">
        <w:t>)</w:t>
      </w:r>
      <w:r w:rsidR="00BE4CD0">
        <w:t>)</w:t>
      </w:r>
      <w:r w:rsidR="00C843AF">
        <w:t>.</w:t>
      </w:r>
    </w:p>
  </w:footnote>
  <w:footnote w:id="47">
    <w:p w14:paraId="526F46F6" w14:textId="6F24593B" w:rsidR="00BE6441" w:rsidRPr="00114534" w:rsidRDefault="00BE6441" w:rsidP="00BE6441">
      <w:pPr>
        <w:pStyle w:val="FootnoteText"/>
      </w:pPr>
      <w:r>
        <w:rPr>
          <w:rStyle w:val="FootnoteReference"/>
        </w:rPr>
        <w:footnoteRef/>
      </w:r>
      <w:r>
        <w:t xml:space="preserve"> NRECA Rehearing Request at 17 (</w:t>
      </w:r>
      <w:r w:rsidR="0073792E">
        <w:t xml:space="preserve">quoting </w:t>
      </w:r>
      <w:r>
        <w:rPr>
          <w:i/>
          <w:iCs/>
        </w:rPr>
        <w:t>El Paso</w:t>
      </w:r>
      <w:r>
        <w:t xml:space="preserve">, 76 F.4th at 363). </w:t>
      </w:r>
    </w:p>
  </w:footnote>
  <w:footnote w:id="48">
    <w:p w14:paraId="673F6B8D" w14:textId="521053CD" w:rsidR="00496055" w:rsidRDefault="00496055">
      <w:pPr>
        <w:pStyle w:val="FootnoteText"/>
      </w:pPr>
      <w:r>
        <w:rPr>
          <w:rStyle w:val="FootnoteReference"/>
        </w:rPr>
        <w:footnoteRef/>
      </w:r>
      <w:r>
        <w:t xml:space="preserve"> </w:t>
      </w:r>
      <w:r w:rsidR="000E7657" w:rsidRPr="00EA414A">
        <w:rPr>
          <w:i/>
          <w:iCs/>
        </w:rPr>
        <w:t>Id</w:t>
      </w:r>
      <w:r w:rsidR="00300BDB" w:rsidRPr="008E4048">
        <w:rPr>
          <w:i/>
          <w:iCs/>
        </w:rPr>
        <w:t>.</w:t>
      </w:r>
    </w:p>
  </w:footnote>
  <w:footnote w:id="49">
    <w:p w14:paraId="6990538C" w14:textId="2011D620" w:rsidR="00C52D65" w:rsidRPr="00C96AB7" w:rsidRDefault="00C52D65" w:rsidP="00C52D65">
      <w:pPr>
        <w:pStyle w:val="FootnoteText"/>
      </w:pPr>
      <w:r>
        <w:rPr>
          <w:rStyle w:val="FootnoteReference"/>
        </w:rPr>
        <w:footnoteRef/>
      </w:r>
      <w:r>
        <w:t xml:space="preserve"> </w:t>
      </w:r>
      <w:proofErr w:type="spellStart"/>
      <w:r>
        <w:t>WestConnect</w:t>
      </w:r>
      <w:proofErr w:type="spellEnd"/>
      <w:r>
        <w:t xml:space="preserve"> CTOs Rehearing Request at 6 (citing </w:t>
      </w:r>
      <w:r>
        <w:rPr>
          <w:i/>
          <w:iCs/>
        </w:rPr>
        <w:t>Ariz. Pub. Serv. Co.</w:t>
      </w:r>
      <w:r>
        <w:t xml:space="preserve">, </w:t>
      </w:r>
      <w:r w:rsidR="00781C21">
        <w:t xml:space="preserve">                 </w:t>
      </w:r>
      <w:r>
        <w:t>181 FERC ¶ 61,223, at P 14 (2022)).</w:t>
      </w:r>
    </w:p>
  </w:footnote>
  <w:footnote w:id="50">
    <w:p w14:paraId="5A2F3991" w14:textId="576BC67F" w:rsidR="005B6D92" w:rsidRDefault="005B6D92" w:rsidP="005B6D92">
      <w:pPr>
        <w:pStyle w:val="FootnoteText"/>
      </w:pPr>
      <w:r>
        <w:rPr>
          <w:rStyle w:val="FootnoteReference"/>
        </w:rPr>
        <w:footnoteRef/>
      </w:r>
      <w:r>
        <w:t xml:space="preserve"> </w:t>
      </w:r>
      <w:r w:rsidR="000E7657" w:rsidRPr="00EA414A">
        <w:rPr>
          <w:i/>
          <w:iCs/>
        </w:rPr>
        <w:t>Id</w:t>
      </w:r>
      <w:r w:rsidR="000E7657" w:rsidRPr="008B5C2E">
        <w:rPr>
          <w:i/>
        </w:rPr>
        <w:t>.</w:t>
      </w:r>
      <w:r>
        <w:t xml:space="preserve"> at 5 (citing Order No. 1920-A, 189 FERC ¶ 61,126 at P 323).</w:t>
      </w:r>
    </w:p>
  </w:footnote>
  <w:footnote w:id="51">
    <w:p w14:paraId="674B8D2A" w14:textId="5CAAECF9" w:rsidR="0037095D" w:rsidRDefault="0037095D" w:rsidP="00781C21">
      <w:pPr>
        <w:pStyle w:val="FootnoteText"/>
        <w:widowControl/>
      </w:pPr>
      <w:r>
        <w:rPr>
          <w:rStyle w:val="FootnoteReference"/>
        </w:rPr>
        <w:footnoteRef/>
      </w:r>
      <w:r>
        <w:t xml:space="preserve"> </w:t>
      </w:r>
      <w:r w:rsidR="000E7657" w:rsidRPr="00EA414A">
        <w:rPr>
          <w:i/>
          <w:iCs/>
        </w:rPr>
        <w:t>Id</w:t>
      </w:r>
      <w:r w:rsidR="000E7657" w:rsidRPr="008B5C2E">
        <w:rPr>
          <w:i/>
        </w:rPr>
        <w:t>.</w:t>
      </w:r>
      <w:r>
        <w:t xml:space="preserve"> at 6; </w:t>
      </w:r>
      <w:r>
        <w:rPr>
          <w:i/>
          <w:iCs/>
        </w:rPr>
        <w:t>see also id</w:t>
      </w:r>
      <w:r w:rsidRPr="002076DE">
        <w:rPr>
          <w:i/>
        </w:rPr>
        <w:t>.</w:t>
      </w:r>
      <w:r>
        <w:t xml:space="preserve"> at 9 n.17 (citing </w:t>
      </w:r>
      <w:r>
        <w:rPr>
          <w:i/>
          <w:iCs/>
        </w:rPr>
        <w:t>Pub. Serv. Co. of Colo.</w:t>
      </w:r>
      <w:r>
        <w:t xml:space="preserve">, </w:t>
      </w:r>
      <w:proofErr w:type="spellStart"/>
      <w:r>
        <w:t>WestConnect</w:t>
      </w:r>
      <w:proofErr w:type="spellEnd"/>
      <w:r>
        <w:t xml:space="preserve"> CTOs Request for Clarification, Docket No. ER13-75-014</w:t>
      </w:r>
      <w:r w:rsidR="00B94AAF">
        <w:t>,</w:t>
      </w:r>
      <w:r>
        <w:t xml:space="preserve"> </w:t>
      </w:r>
      <w:r w:rsidRPr="00781C21">
        <w:t>et al.,</w:t>
      </w:r>
      <w:r>
        <w:t xml:space="preserve"> at n.2 (filed Nov. 18, 2024)). </w:t>
      </w:r>
    </w:p>
  </w:footnote>
  <w:footnote w:id="52">
    <w:p w14:paraId="60C06742" w14:textId="2451E972" w:rsidR="005B6D92" w:rsidRPr="00CB0B1E" w:rsidRDefault="005B6D92" w:rsidP="005B6D92">
      <w:pPr>
        <w:pStyle w:val="FootnoteText"/>
        <w:rPr>
          <w:i/>
          <w:iCs/>
        </w:rPr>
      </w:pPr>
      <w:r w:rsidRPr="00EA18E1">
        <w:rPr>
          <w:rStyle w:val="FootnoteReference"/>
        </w:rPr>
        <w:footnoteRef/>
      </w:r>
      <w:r w:rsidRPr="00EA18E1">
        <w:t xml:space="preserve"> </w:t>
      </w:r>
      <w:r w:rsidR="00387BB4" w:rsidRPr="00EA414A">
        <w:rPr>
          <w:i/>
          <w:iCs/>
        </w:rPr>
        <w:t>Id</w:t>
      </w:r>
      <w:r w:rsidR="00387BB4" w:rsidRPr="00914D25">
        <w:rPr>
          <w:i/>
        </w:rPr>
        <w:t>.</w:t>
      </w:r>
      <w:r w:rsidRPr="00EA18E1">
        <w:t xml:space="preserve"> at 5 (</w:t>
      </w:r>
      <w:r w:rsidRPr="005056CF">
        <w:t>citing</w:t>
      </w:r>
      <w:r w:rsidRPr="00EA18E1">
        <w:t xml:space="preserve"> </w:t>
      </w:r>
      <w:r>
        <w:rPr>
          <w:i/>
          <w:iCs/>
        </w:rPr>
        <w:t>Pub. Serv. Co. of Colo.</w:t>
      </w:r>
      <w:r>
        <w:t xml:space="preserve">, </w:t>
      </w:r>
      <w:proofErr w:type="spellStart"/>
      <w:r w:rsidR="00764A66">
        <w:t>WestConnect</w:t>
      </w:r>
      <w:proofErr w:type="spellEnd"/>
      <w:r w:rsidR="00764A66">
        <w:t xml:space="preserve"> CTOs </w:t>
      </w:r>
      <w:r>
        <w:t>Request for Clarification, Docket No. ER13-75-01</w:t>
      </w:r>
      <w:r w:rsidR="006D42BE">
        <w:t>4</w:t>
      </w:r>
      <w:r w:rsidR="00C66100">
        <w:t>,</w:t>
      </w:r>
      <w:r>
        <w:t xml:space="preserve"> et al. (filed Nov. 18, 2024)</w:t>
      </w:r>
      <w:r w:rsidRPr="00EA18E1">
        <w:t>).</w:t>
      </w:r>
      <w:r>
        <w:t xml:space="preserve">  </w:t>
      </w:r>
    </w:p>
  </w:footnote>
  <w:footnote w:id="53">
    <w:p w14:paraId="085BF6BF" w14:textId="75757DD9" w:rsidR="00BE6441" w:rsidRDefault="00BE6441" w:rsidP="00BE6441">
      <w:pPr>
        <w:pStyle w:val="FootnoteText"/>
      </w:pPr>
      <w:r>
        <w:rPr>
          <w:rStyle w:val="FootnoteReference"/>
        </w:rPr>
        <w:footnoteRef/>
      </w:r>
      <w:r>
        <w:t xml:space="preserve"> </w:t>
      </w:r>
      <w:r w:rsidR="00387BB4" w:rsidRPr="00EA414A">
        <w:rPr>
          <w:i/>
          <w:iCs/>
        </w:rPr>
        <w:t>Id</w:t>
      </w:r>
      <w:r w:rsidR="00387BB4" w:rsidRPr="0078240B">
        <w:rPr>
          <w:i/>
        </w:rPr>
        <w:t>.</w:t>
      </w:r>
      <w:r>
        <w:t xml:space="preserve"> (quoting 16 U.S.C. 824a(a) (emphasis added)).</w:t>
      </w:r>
    </w:p>
  </w:footnote>
  <w:footnote w:id="54">
    <w:p w14:paraId="250BD7B5" w14:textId="3769D9F4" w:rsidR="00BE23DC" w:rsidRDefault="00BE23DC">
      <w:pPr>
        <w:pStyle w:val="FootnoteText"/>
      </w:pPr>
      <w:r>
        <w:rPr>
          <w:rStyle w:val="FootnoteReference"/>
        </w:rPr>
        <w:footnoteRef/>
      </w:r>
      <w:r>
        <w:t xml:space="preserve"> </w:t>
      </w:r>
      <w:r w:rsidR="007B2859" w:rsidRPr="00EA414A">
        <w:rPr>
          <w:i/>
          <w:iCs/>
        </w:rPr>
        <w:t>Id</w:t>
      </w:r>
      <w:r w:rsidR="007B2859" w:rsidRPr="0078240B">
        <w:rPr>
          <w:i/>
        </w:rPr>
        <w:t>.</w:t>
      </w:r>
      <w:r w:rsidR="008830D2">
        <w:t xml:space="preserve"> at</w:t>
      </w:r>
      <w:r>
        <w:t xml:space="preserve"> </w:t>
      </w:r>
      <w:r w:rsidR="0095418E">
        <w:t xml:space="preserve">2-3, 6; </w:t>
      </w:r>
      <w:r>
        <w:t>NRECA Rehearing Request at 4-5, 18 (citing 5 U.S.C. § 706(2)(A)</w:t>
      </w:r>
      <w:r w:rsidR="005D365C">
        <w:t xml:space="preserve"> (</w:t>
      </w:r>
      <w:r w:rsidR="008E0248">
        <w:t xml:space="preserve">other </w:t>
      </w:r>
      <w:r w:rsidR="005D365C">
        <w:t>citations omitted)</w:t>
      </w:r>
      <w:r>
        <w:t>).</w:t>
      </w:r>
    </w:p>
  </w:footnote>
  <w:footnote w:id="55">
    <w:p w14:paraId="30051C9D" w14:textId="212FB630" w:rsidR="00D716BF" w:rsidRDefault="00D716BF">
      <w:pPr>
        <w:pStyle w:val="FootnoteText"/>
      </w:pPr>
      <w:r>
        <w:rPr>
          <w:rStyle w:val="FootnoteReference"/>
        </w:rPr>
        <w:footnoteRef/>
      </w:r>
      <w:r>
        <w:t xml:space="preserve"> </w:t>
      </w:r>
      <w:proofErr w:type="spellStart"/>
      <w:r>
        <w:t>WestConnect</w:t>
      </w:r>
      <w:proofErr w:type="spellEnd"/>
      <w:r>
        <w:t xml:space="preserve"> CTOs Rehearing Request at 6</w:t>
      </w:r>
      <w:r w:rsidR="002F2BFB">
        <w:t xml:space="preserve">; </w:t>
      </w:r>
      <w:r w:rsidR="002F2BFB">
        <w:rPr>
          <w:i/>
          <w:iCs/>
        </w:rPr>
        <w:t>see also id.</w:t>
      </w:r>
      <w:r w:rsidR="002F2BFB">
        <w:t xml:space="preserve"> at</w:t>
      </w:r>
      <w:r w:rsidR="002F2BFB" w:rsidRPr="00E95553">
        <w:t xml:space="preserve"> 6-7 </w:t>
      </w:r>
      <w:r w:rsidR="002F2BFB">
        <w:t xml:space="preserve">(asserting that, in Order No. 1000 compliance proceedings, </w:t>
      </w:r>
      <w:proofErr w:type="spellStart"/>
      <w:r w:rsidR="002F2BFB">
        <w:t>WestConnect</w:t>
      </w:r>
      <w:proofErr w:type="spellEnd"/>
      <w:r w:rsidR="002F2BFB">
        <w:t xml:space="preserve"> transmission providers explained </w:t>
      </w:r>
      <w:r w:rsidR="005B5360">
        <w:t>that</w:t>
      </w:r>
      <w:r w:rsidR="002F2BFB">
        <w:t xml:space="preserve"> non-jurisdictional </w:t>
      </w:r>
      <w:r w:rsidR="00C86BBC">
        <w:t xml:space="preserve">transmission providers’ </w:t>
      </w:r>
      <w:r w:rsidR="000A073C">
        <w:t>enrollment</w:t>
      </w:r>
      <w:r w:rsidR="002F2BFB">
        <w:t xml:space="preserve"> was not a prerequisite to their participation in regional </w:t>
      </w:r>
      <w:r w:rsidR="005B5360">
        <w:t>transmission</w:t>
      </w:r>
      <w:r w:rsidR="002F2BFB">
        <w:t xml:space="preserve"> planning and would run contrary to the goals of Order No. 1000) </w:t>
      </w:r>
      <w:r w:rsidR="002F2BFB" w:rsidRPr="00E95553">
        <w:t xml:space="preserve">(“It was precisely because of the presence of a large number of both public utility and non-jurisdictional utility transmission owners in the </w:t>
      </w:r>
      <w:proofErr w:type="spellStart"/>
      <w:r w:rsidR="002F2BFB" w:rsidRPr="00E95553">
        <w:t>WestConnect</w:t>
      </w:r>
      <w:proofErr w:type="spellEnd"/>
      <w:r w:rsidR="002F2BFB" w:rsidRPr="00E95553">
        <w:t xml:space="preserve"> region that the </w:t>
      </w:r>
      <w:r w:rsidR="001C1C82">
        <w:t>[j]</w:t>
      </w:r>
      <w:proofErr w:type="spellStart"/>
      <w:r w:rsidR="002F2BFB" w:rsidRPr="00E95553">
        <w:t>urisdictional</w:t>
      </w:r>
      <w:proofErr w:type="spellEnd"/>
      <w:r w:rsidR="002F2BFB" w:rsidRPr="00E95553">
        <w:t xml:space="preserve"> </w:t>
      </w:r>
      <w:r w:rsidR="001C1C82">
        <w:t>[u]</w:t>
      </w:r>
      <w:proofErr w:type="spellStart"/>
      <w:r w:rsidR="002F2BFB" w:rsidRPr="00E95553">
        <w:t>tilities</w:t>
      </w:r>
      <w:proofErr w:type="spellEnd"/>
      <w:r w:rsidR="002F2BFB" w:rsidRPr="00E95553">
        <w:t xml:space="preserve"> strove to create a compliance structure that would be superior to one in which non-jurisdictional utilities unwilling to subject themselves to Order No.</w:t>
      </w:r>
      <w:r w:rsidR="00945571">
        <w:t> </w:t>
      </w:r>
      <w:r w:rsidR="002F2BFB" w:rsidRPr="00E95553">
        <w:t xml:space="preserve">1000 cost allocation would be excluded from the region’s planning process entirely.” (quoting </w:t>
      </w:r>
      <w:r w:rsidR="002F2BFB" w:rsidRPr="00E95553">
        <w:rPr>
          <w:i/>
          <w:iCs/>
        </w:rPr>
        <w:t>Pub. Serv. Co. of Colo.</w:t>
      </w:r>
      <w:r w:rsidR="002F2BFB" w:rsidRPr="00E95553">
        <w:t xml:space="preserve">, Motion for Leave to Answer and Answer of the </w:t>
      </w:r>
      <w:proofErr w:type="spellStart"/>
      <w:r w:rsidR="002F2BFB" w:rsidRPr="00E95553">
        <w:t>WestConnect</w:t>
      </w:r>
      <w:proofErr w:type="spellEnd"/>
      <w:r w:rsidR="002F2BFB" w:rsidRPr="00E95553">
        <w:t xml:space="preserve"> </w:t>
      </w:r>
      <w:r w:rsidR="002F2BFB">
        <w:t>Jurisdictional</w:t>
      </w:r>
      <w:r w:rsidR="002F2BFB" w:rsidRPr="00E95553">
        <w:t xml:space="preserve"> Utilities, Docket No. ER13-75</w:t>
      </w:r>
      <w:r w:rsidR="002F2BFB">
        <w:t>-003 et al., at 13-14</w:t>
      </w:r>
      <w:r w:rsidR="002F2BFB" w:rsidRPr="00E95553">
        <w:t xml:space="preserve"> (filed Nov. 8, 2013))).</w:t>
      </w:r>
    </w:p>
  </w:footnote>
  <w:footnote w:id="56">
    <w:p w14:paraId="65EDF792" w14:textId="72DB43AC" w:rsidR="00BE6441" w:rsidRPr="007D48F4" w:rsidRDefault="00BE6441" w:rsidP="00BE6441">
      <w:pPr>
        <w:pStyle w:val="FootnoteText"/>
      </w:pPr>
      <w:r w:rsidRPr="00421A0F">
        <w:rPr>
          <w:rStyle w:val="FootnoteReference"/>
        </w:rPr>
        <w:footnoteRef/>
      </w:r>
      <w:r w:rsidRPr="00421A0F">
        <w:t xml:space="preserve"> </w:t>
      </w:r>
      <w:r w:rsidR="00C24231" w:rsidRPr="00EA414A">
        <w:rPr>
          <w:i/>
          <w:iCs/>
        </w:rPr>
        <w:t>Id</w:t>
      </w:r>
      <w:r w:rsidR="00C24231" w:rsidRPr="00114AFC">
        <w:rPr>
          <w:i/>
        </w:rPr>
        <w:t>.</w:t>
      </w:r>
      <w:r w:rsidRPr="00421A0F">
        <w:t xml:space="preserve"> at 7 (quoting </w:t>
      </w:r>
      <w:r w:rsidRPr="00421A0F">
        <w:rPr>
          <w:i/>
          <w:iCs/>
        </w:rPr>
        <w:t>Pub. Serv. Co. of Colo.</w:t>
      </w:r>
      <w:r w:rsidRPr="00421A0F">
        <w:t>, 189 FERC ¶ 61,028, at P 6 (2024)</w:t>
      </w:r>
      <w:r w:rsidR="00D95C2E">
        <w:t xml:space="preserve"> (</w:t>
      </w:r>
      <w:proofErr w:type="spellStart"/>
      <w:r w:rsidR="00D95C2E">
        <w:t>WestConnect</w:t>
      </w:r>
      <w:proofErr w:type="spellEnd"/>
      <w:r w:rsidR="00D95C2E">
        <w:t xml:space="preserve"> Remand Order)</w:t>
      </w:r>
      <w:r w:rsidR="003955D6">
        <w:t xml:space="preserve">, </w:t>
      </w:r>
      <w:r w:rsidR="00C624F2" w:rsidRPr="00C624F2">
        <w:rPr>
          <w:i/>
          <w:iCs/>
        </w:rPr>
        <w:t xml:space="preserve">order </w:t>
      </w:r>
      <w:r w:rsidR="00C624F2" w:rsidRPr="00735EB4">
        <w:rPr>
          <w:i/>
          <w:iCs/>
        </w:rPr>
        <w:t>on reh’g</w:t>
      </w:r>
      <w:r w:rsidR="00C624F2" w:rsidRPr="00735EB4">
        <w:t xml:space="preserve">, </w:t>
      </w:r>
      <w:r w:rsidR="00C07480" w:rsidRPr="00537CD4">
        <w:t>190</w:t>
      </w:r>
      <w:r w:rsidR="00C07480">
        <w:t xml:space="preserve"> FERC ¶ 61,128</w:t>
      </w:r>
      <w:r w:rsidR="00C624F2" w:rsidRPr="00574943">
        <w:t xml:space="preserve"> (2025</w:t>
      </w:r>
      <w:r w:rsidR="00C624F2" w:rsidRPr="001E7B85">
        <w:t>)</w:t>
      </w:r>
      <w:r w:rsidR="00932FFB">
        <w:t xml:space="preserve"> (Remand Rehearing Order)</w:t>
      </w:r>
      <w:r w:rsidR="00B055BA">
        <w:t>)</w:t>
      </w:r>
      <w:r w:rsidRPr="00087F8D">
        <w:t>.</w:t>
      </w:r>
    </w:p>
  </w:footnote>
  <w:footnote w:id="57">
    <w:p w14:paraId="753F8C81" w14:textId="60C01C1D" w:rsidR="00BE6441" w:rsidRPr="005754CC" w:rsidRDefault="00BE6441" w:rsidP="00BE6441">
      <w:pPr>
        <w:pStyle w:val="FootnoteText"/>
      </w:pPr>
      <w:r>
        <w:rPr>
          <w:rStyle w:val="FootnoteReference"/>
        </w:rPr>
        <w:footnoteRef/>
      </w:r>
      <w:r>
        <w:t xml:space="preserve"> </w:t>
      </w:r>
      <w:r w:rsidR="00C24231" w:rsidRPr="00EA414A">
        <w:rPr>
          <w:i/>
          <w:iCs/>
        </w:rPr>
        <w:t>Id</w:t>
      </w:r>
      <w:r w:rsidR="00C24231" w:rsidRPr="00114AFC">
        <w:rPr>
          <w:i/>
        </w:rPr>
        <w:t>.</w:t>
      </w:r>
      <w:r w:rsidRPr="00651FA7">
        <w:t xml:space="preserve"> at 7-8 (quoting </w:t>
      </w:r>
      <w:r w:rsidRPr="00651FA7">
        <w:rPr>
          <w:i/>
          <w:iCs/>
        </w:rPr>
        <w:t>Pub. Serv. Co. of Colo.</w:t>
      </w:r>
      <w:r w:rsidRPr="00651FA7">
        <w:t>, 148 FERC ¶ 61,213 at P 55).</w:t>
      </w:r>
    </w:p>
  </w:footnote>
  <w:footnote w:id="58">
    <w:p w14:paraId="21FE235B" w14:textId="45035D7A" w:rsidR="00BE6441" w:rsidRPr="006C3A90" w:rsidRDefault="00BE6441" w:rsidP="00BE6441">
      <w:pPr>
        <w:pStyle w:val="FootnoteText"/>
      </w:pPr>
      <w:r>
        <w:rPr>
          <w:rStyle w:val="FootnoteReference"/>
        </w:rPr>
        <w:footnoteRef/>
      </w:r>
      <w:r>
        <w:t xml:space="preserve"> </w:t>
      </w:r>
      <w:r w:rsidR="00C24231" w:rsidRPr="00EA414A">
        <w:rPr>
          <w:i/>
          <w:iCs/>
        </w:rPr>
        <w:t>Id</w:t>
      </w:r>
      <w:r w:rsidR="00C24231" w:rsidRPr="00114AFC">
        <w:rPr>
          <w:i/>
        </w:rPr>
        <w:t>.</w:t>
      </w:r>
      <w:r>
        <w:t xml:space="preserve"> at </w:t>
      </w:r>
      <w:r w:rsidR="00655895">
        <w:t xml:space="preserve">8 </w:t>
      </w:r>
      <w:r>
        <w:t xml:space="preserve">(citing </w:t>
      </w:r>
      <w:r w:rsidR="00EB5D6C">
        <w:rPr>
          <w:i/>
          <w:iCs/>
        </w:rPr>
        <w:t>South Carolina</w:t>
      </w:r>
      <w:r>
        <w:t>, 762 F.3d 41).</w:t>
      </w:r>
    </w:p>
  </w:footnote>
  <w:footnote w:id="59">
    <w:p w14:paraId="2D9F2284" w14:textId="2D25DC1A" w:rsidR="00BE6441" w:rsidRDefault="00BE6441" w:rsidP="00BE6441">
      <w:pPr>
        <w:pStyle w:val="FootnoteText"/>
      </w:pPr>
      <w:r>
        <w:rPr>
          <w:rStyle w:val="FootnoteReference"/>
        </w:rPr>
        <w:footnoteRef/>
      </w:r>
      <w:r>
        <w:t xml:space="preserve"> </w:t>
      </w:r>
      <w:r w:rsidR="00C24231" w:rsidRPr="00EA414A">
        <w:rPr>
          <w:i/>
          <w:iCs/>
        </w:rPr>
        <w:t>Id</w:t>
      </w:r>
      <w:r w:rsidR="00C24231" w:rsidRPr="00114AFC">
        <w:rPr>
          <w:i/>
        </w:rPr>
        <w:t>.</w:t>
      </w:r>
      <w:r>
        <w:t xml:space="preserve"> (</w:t>
      </w:r>
      <w:r w:rsidRPr="00476810">
        <w:t xml:space="preserve">citing </w:t>
      </w:r>
      <w:r w:rsidRPr="00476810">
        <w:rPr>
          <w:i/>
          <w:iCs/>
        </w:rPr>
        <w:t>FCC v. Fox Television Stations, Inc.</w:t>
      </w:r>
      <w:r w:rsidRPr="00476810">
        <w:t xml:space="preserve">, 556 U.S. </w:t>
      </w:r>
      <w:r w:rsidR="00382006">
        <w:t xml:space="preserve">502, </w:t>
      </w:r>
      <w:r w:rsidRPr="00476810">
        <w:t>515</w:t>
      </w:r>
      <w:r w:rsidR="00382006">
        <w:t xml:space="preserve"> </w:t>
      </w:r>
      <w:r w:rsidR="00BF6B01">
        <w:t>(2009)</w:t>
      </w:r>
      <w:r w:rsidRPr="00476810">
        <w:t xml:space="preserve">; </w:t>
      </w:r>
      <w:proofErr w:type="spellStart"/>
      <w:r w:rsidRPr="00476810">
        <w:rPr>
          <w:i/>
          <w:iCs/>
        </w:rPr>
        <w:t>Dep’t</w:t>
      </w:r>
      <w:proofErr w:type="spellEnd"/>
      <w:r w:rsidRPr="00476810">
        <w:rPr>
          <w:i/>
          <w:iCs/>
        </w:rPr>
        <w:t xml:space="preserve"> of Homeland Sec. v. Regents of the Univ. of Cal.</w:t>
      </w:r>
      <w:r w:rsidRPr="00476810">
        <w:t>, 591 U.S. 1, 30 (2020)).</w:t>
      </w:r>
    </w:p>
  </w:footnote>
  <w:footnote w:id="60">
    <w:p w14:paraId="4CFBEE3B" w14:textId="7285510A" w:rsidR="00BE6441" w:rsidRPr="00876063" w:rsidRDefault="00BE6441" w:rsidP="00BE6441">
      <w:pPr>
        <w:pStyle w:val="FootnoteText"/>
      </w:pPr>
      <w:r>
        <w:rPr>
          <w:rStyle w:val="FootnoteReference"/>
        </w:rPr>
        <w:footnoteRef/>
      </w:r>
      <w:r>
        <w:t xml:space="preserve"> </w:t>
      </w:r>
      <w:r w:rsidR="00C24231" w:rsidRPr="00EA414A">
        <w:rPr>
          <w:i/>
          <w:iCs/>
        </w:rPr>
        <w:t>Id</w:t>
      </w:r>
      <w:r w:rsidR="00C24231" w:rsidRPr="003764A1">
        <w:rPr>
          <w:i/>
        </w:rPr>
        <w:t>.</w:t>
      </w:r>
      <w:r w:rsidRPr="0043606D">
        <w:t xml:space="preserve"> (citing </w:t>
      </w:r>
      <w:proofErr w:type="spellStart"/>
      <w:r w:rsidR="00932FFB">
        <w:t>WestConnect</w:t>
      </w:r>
      <w:proofErr w:type="spellEnd"/>
      <w:r w:rsidR="00932FFB">
        <w:t xml:space="preserve"> Remand Order</w:t>
      </w:r>
      <w:r w:rsidRPr="0043606D">
        <w:t>, 189 FERC ¶ 61,028 at P 23 &amp; n.49</w:t>
      </w:r>
      <w:r w:rsidRPr="00876063">
        <w:t>).</w:t>
      </w:r>
    </w:p>
  </w:footnote>
  <w:footnote w:id="61">
    <w:p w14:paraId="77EF23D3" w14:textId="7F82E2A4" w:rsidR="00BE6441" w:rsidRPr="00764138" w:rsidRDefault="00BE6441" w:rsidP="00781C21">
      <w:pPr>
        <w:pStyle w:val="FootnoteText"/>
        <w:widowControl/>
      </w:pPr>
      <w:r w:rsidRPr="00876063">
        <w:rPr>
          <w:rStyle w:val="FootnoteReference"/>
        </w:rPr>
        <w:footnoteRef/>
      </w:r>
      <w:r w:rsidRPr="00876063">
        <w:t xml:space="preserve"> </w:t>
      </w:r>
      <w:r w:rsidR="00C24231" w:rsidRPr="00EA414A">
        <w:rPr>
          <w:i/>
          <w:iCs/>
        </w:rPr>
        <w:t>Id</w:t>
      </w:r>
      <w:r w:rsidR="00C24231" w:rsidRPr="003764A1">
        <w:rPr>
          <w:i/>
        </w:rPr>
        <w:t>.</w:t>
      </w:r>
      <w:r w:rsidRPr="00876063">
        <w:t xml:space="preserve"> at 8-9 (citing </w:t>
      </w:r>
      <w:r w:rsidRPr="00876063">
        <w:rPr>
          <w:i/>
          <w:iCs/>
        </w:rPr>
        <w:t>Pub. Serv. Co. of Colo.</w:t>
      </w:r>
      <w:r w:rsidRPr="00876063">
        <w:t xml:space="preserve">, 142 FERC ¶ 61,206, at P 349 (2013), </w:t>
      </w:r>
      <w:r w:rsidRPr="00876063">
        <w:rPr>
          <w:i/>
          <w:iCs/>
        </w:rPr>
        <w:t>order on reh’g</w:t>
      </w:r>
      <w:r w:rsidRPr="00876063">
        <w:t xml:space="preserve">, 148 FERC ¶ </w:t>
      </w:r>
      <w:r w:rsidR="00733B55" w:rsidRPr="00876063">
        <w:t>61,213,</w:t>
      </w:r>
      <w:r w:rsidRPr="00876063">
        <w:t xml:space="preserve"> </w:t>
      </w:r>
      <w:r w:rsidRPr="00876063">
        <w:rPr>
          <w:i/>
          <w:iCs/>
        </w:rPr>
        <w:t>order on reh’g</w:t>
      </w:r>
      <w:r w:rsidRPr="00876063">
        <w:t xml:space="preserve">, 151 FERC ¶ 61,128, </w:t>
      </w:r>
      <w:r w:rsidRPr="00876063">
        <w:rPr>
          <w:i/>
          <w:iCs/>
        </w:rPr>
        <w:t>vacated &amp; remanded</w:t>
      </w:r>
      <w:r>
        <w:t xml:space="preserve">, </w:t>
      </w:r>
      <w:r>
        <w:rPr>
          <w:i/>
          <w:iCs/>
        </w:rPr>
        <w:t>El Paso Elec. Co. v. FERC</w:t>
      </w:r>
      <w:r>
        <w:t>, 832 F.3d 495</w:t>
      </w:r>
      <w:r w:rsidRPr="00B302DD">
        <w:t>).</w:t>
      </w:r>
      <w:r>
        <w:t xml:space="preserve"> </w:t>
      </w:r>
      <w:r w:rsidR="004A0429">
        <w:t xml:space="preserve"> The order that </w:t>
      </w:r>
      <w:proofErr w:type="spellStart"/>
      <w:r w:rsidR="004A0429">
        <w:t>WestConnect</w:t>
      </w:r>
      <w:proofErr w:type="spellEnd"/>
      <w:r w:rsidR="004A0429">
        <w:t xml:space="preserve"> CTOs cite does not contain this statement.</w:t>
      </w:r>
    </w:p>
  </w:footnote>
  <w:footnote w:id="62">
    <w:p w14:paraId="2C3E400D" w14:textId="5B3DB113" w:rsidR="00BE6441" w:rsidRDefault="00BE6441" w:rsidP="00BE6441">
      <w:pPr>
        <w:pStyle w:val="FootnoteText"/>
      </w:pPr>
      <w:r>
        <w:rPr>
          <w:rStyle w:val="FootnoteReference"/>
        </w:rPr>
        <w:footnoteRef/>
      </w:r>
      <w:r>
        <w:t xml:space="preserve"> </w:t>
      </w:r>
      <w:r w:rsidR="00323C24" w:rsidRPr="00EA414A">
        <w:rPr>
          <w:i/>
          <w:iCs/>
        </w:rPr>
        <w:t>Id</w:t>
      </w:r>
      <w:r w:rsidR="00323C24" w:rsidRPr="009336CA">
        <w:rPr>
          <w:i/>
        </w:rPr>
        <w:t>.</w:t>
      </w:r>
      <w:r w:rsidR="00323C24">
        <w:t xml:space="preserve"> </w:t>
      </w:r>
      <w:r>
        <w:t>at 9.</w:t>
      </w:r>
    </w:p>
  </w:footnote>
  <w:footnote w:id="63">
    <w:p w14:paraId="138346A5" w14:textId="68BF1DB6" w:rsidR="00BE6441" w:rsidRDefault="00BE6441" w:rsidP="00BE6441">
      <w:pPr>
        <w:pStyle w:val="FootnoteText"/>
      </w:pPr>
      <w:r>
        <w:rPr>
          <w:rStyle w:val="FootnoteReference"/>
        </w:rPr>
        <w:footnoteRef/>
      </w:r>
      <w:r>
        <w:t xml:space="preserve"> </w:t>
      </w:r>
      <w:r w:rsidR="00323C24" w:rsidRPr="00EA414A">
        <w:rPr>
          <w:i/>
          <w:iCs/>
        </w:rPr>
        <w:t>Id</w:t>
      </w:r>
      <w:r w:rsidRPr="009336CA">
        <w:rPr>
          <w:i/>
        </w:rPr>
        <w:t>.</w:t>
      </w:r>
    </w:p>
  </w:footnote>
  <w:footnote w:id="64">
    <w:p w14:paraId="2E39D606" w14:textId="06E3B9F8" w:rsidR="00BE6441" w:rsidRDefault="00BE6441" w:rsidP="00BE6441">
      <w:pPr>
        <w:pStyle w:val="FootnoteText"/>
      </w:pPr>
      <w:r>
        <w:rPr>
          <w:rStyle w:val="FootnoteReference"/>
        </w:rPr>
        <w:footnoteRef/>
      </w:r>
      <w:r>
        <w:t xml:space="preserve"> </w:t>
      </w:r>
      <w:r w:rsidR="00323C24" w:rsidRPr="00EA414A">
        <w:rPr>
          <w:i/>
          <w:iCs/>
        </w:rPr>
        <w:t>Id</w:t>
      </w:r>
      <w:r w:rsidR="00323C24" w:rsidRPr="00ED7200">
        <w:rPr>
          <w:i/>
        </w:rPr>
        <w:t>.</w:t>
      </w:r>
      <w:r>
        <w:t xml:space="preserve"> at 9 n.17 (citing </w:t>
      </w:r>
      <w:proofErr w:type="spellStart"/>
      <w:r w:rsidR="00F27F75">
        <w:t>WestConnect</w:t>
      </w:r>
      <w:proofErr w:type="spellEnd"/>
      <w:r w:rsidR="00F27F75">
        <w:t xml:space="preserve"> Remand Order</w:t>
      </w:r>
      <w:r>
        <w:t>, 189 FERC ¶ 61,028 at P 23).</w:t>
      </w:r>
    </w:p>
  </w:footnote>
  <w:footnote w:id="65">
    <w:p w14:paraId="7BD472DA" w14:textId="69621351" w:rsidR="00BE6441" w:rsidRPr="00CD2343" w:rsidRDefault="00BE6441" w:rsidP="00BE6441">
      <w:pPr>
        <w:pStyle w:val="FootnoteText"/>
      </w:pPr>
      <w:r>
        <w:rPr>
          <w:rStyle w:val="FootnoteReference"/>
        </w:rPr>
        <w:footnoteRef/>
      </w:r>
      <w:r>
        <w:t xml:space="preserve"> </w:t>
      </w:r>
      <w:r w:rsidR="00EC5BA3" w:rsidRPr="00EA414A">
        <w:rPr>
          <w:i/>
          <w:iCs/>
        </w:rPr>
        <w:t>Id</w:t>
      </w:r>
      <w:r w:rsidR="00EC5BA3" w:rsidRPr="00ED7200">
        <w:rPr>
          <w:i/>
        </w:rPr>
        <w:t>.</w:t>
      </w:r>
      <w:r>
        <w:t xml:space="preserve"> </w:t>
      </w:r>
      <w:r w:rsidR="0009269A">
        <w:t xml:space="preserve">(quoting </w:t>
      </w:r>
      <w:r w:rsidR="0009269A">
        <w:rPr>
          <w:i/>
          <w:iCs/>
        </w:rPr>
        <w:t>Pub. Serv. Co. of Colo.</w:t>
      </w:r>
      <w:r w:rsidR="0009269A">
        <w:t xml:space="preserve">, </w:t>
      </w:r>
      <w:proofErr w:type="spellStart"/>
      <w:r w:rsidR="004D67F6">
        <w:t>WestConnect</w:t>
      </w:r>
      <w:proofErr w:type="spellEnd"/>
      <w:r w:rsidR="004D67F6">
        <w:t xml:space="preserve"> CTOs </w:t>
      </w:r>
      <w:r w:rsidR="0009269A">
        <w:t>Request for Clarification, Docket No. ER13-75-013</w:t>
      </w:r>
      <w:r w:rsidR="00DE1A2D">
        <w:t>,</w:t>
      </w:r>
      <w:r w:rsidR="0009269A">
        <w:t xml:space="preserve"> et al. (filed Nov. 18, 2024) (internal quotations omitted)</w:t>
      </w:r>
      <w:r w:rsidR="0009269A" w:rsidRPr="00EA18E1">
        <w:t>)</w:t>
      </w:r>
      <w:r w:rsidR="007E41DA">
        <w:t>.</w:t>
      </w:r>
    </w:p>
  </w:footnote>
  <w:footnote w:id="66">
    <w:p w14:paraId="60748E2A" w14:textId="728BFB6A" w:rsidR="00BE6441" w:rsidRPr="000A2ED7" w:rsidRDefault="00BE6441" w:rsidP="00BE6441">
      <w:pPr>
        <w:pStyle w:val="FootnoteText"/>
      </w:pPr>
      <w:r>
        <w:rPr>
          <w:rStyle w:val="FootnoteReference"/>
        </w:rPr>
        <w:footnoteRef/>
      </w:r>
      <w:r>
        <w:t xml:space="preserve"> </w:t>
      </w:r>
      <w:r w:rsidR="00EC5BA3" w:rsidRPr="00EA414A">
        <w:rPr>
          <w:i/>
          <w:iCs/>
        </w:rPr>
        <w:t>Id</w:t>
      </w:r>
      <w:r w:rsidR="00EC5BA3" w:rsidRPr="00ED7200">
        <w:rPr>
          <w:i/>
        </w:rPr>
        <w:t>.</w:t>
      </w:r>
      <w:r>
        <w:t xml:space="preserve"> at 9 (</w:t>
      </w:r>
      <w:r w:rsidRPr="00997748">
        <w:t xml:space="preserve">citing </w:t>
      </w:r>
      <w:r w:rsidRPr="00997748">
        <w:rPr>
          <w:i/>
          <w:iCs/>
        </w:rPr>
        <w:t>FCC v. Fox Television</w:t>
      </w:r>
      <w:r>
        <w:rPr>
          <w:i/>
          <w:iCs/>
        </w:rPr>
        <w:t xml:space="preserve"> Stations, Inc.</w:t>
      </w:r>
      <w:r>
        <w:t>, 556 U.S. at 515).</w:t>
      </w:r>
    </w:p>
  </w:footnote>
  <w:footnote w:id="67">
    <w:p w14:paraId="646C9236" w14:textId="10E532F3" w:rsidR="00F36676" w:rsidRPr="00F36676" w:rsidRDefault="00F36676">
      <w:pPr>
        <w:pStyle w:val="FootnoteText"/>
      </w:pPr>
      <w:r>
        <w:rPr>
          <w:rStyle w:val="FootnoteReference"/>
        </w:rPr>
        <w:footnoteRef/>
      </w:r>
      <w:r>
        <w:t xml:space="preserve"> </w:t>
      </w:r>
      <w:r>
        <w:rPr>
          <w:i/>
          <w:iCs/>
        </w:rPr>
        <w:t xml:space="preserve">See </w:t>
      </w:r>
      <w:r>
        <w:t xml:space="preserve">NRECA Rehearing Request at </w:t>
      </w:r>
      <w:r w:rsidR="009D2143">
        <w:t xml:space="preserve">3, </w:t>
      </w:r>
      <w:r>
        <w:t>17</w:t>
      </w:r>
      <w:r w:rsidR="00DA5E6F">
        <w:t xml:space="preserve">; </w:t>
      </w:r>
      <w:proofErr w:type="spellStart"/>
      <w:r w:rsidR="00DA5E6F">
        <w:t>WestConnect</w:t>
      </w:r>
      <w:proofErr w:type="spellEnd"/>
      <w:r w:rsidR="00DA5E6F">
        <w:t xml:space="preserve"> CTOs Rehearing Request at 8</w:t>
      </w:r>
      <w:r w:rsidR="00CE076E">
        <w:t>.</w:t>
      </w:r>
    </w:p>
  </w:footnote>
  <w:footnote w:id="68">
    <w:p w14:paraId="7D11797F" w14:textId="4224E0E2" w:rsidR="0024289C" w:rsidRPr="00D5151E" w:rsidRDefault="0024289C">
      <w:pPr>
        <w:pStyle w:val="FootnoteText"/>
      </w:pPr>
      <w:r>
        <w:rPr>
          <w:rStyle w:val="FootnoteReference"/>
        </w:rPr>
        <w:footnoteRef/>
      </w:r>
      <w:r>
        <w:t xml:space="preserve"> </w:t>
      </w:r>
      <w:r w:rsidR="00D5151E">
        <w:rPr>
          <w:i/>
          <w:iCs/>
        </w:rPr>
        <w:t xml:space="preserve">See </w:t>
      </w:r>
      <w:r w:rsidR="00D5151E">
        <w:t>Remand Rehearing Order, 190 FERC ¶ </w:t>
      </w:r>
      <w:r w:rsidR="00D609D3">
        <w:t>61,128 at P 28.</w:t>
      </w:r>
    </w:p>
  </w:footnote>
  <w:footnote w:id="69">
    <w:p w14:paraId="0E2825A1" w14:textId="605365DB" w:rsidR="00E10040" w:rsidRPr="00494014" w:rsidRDefault="00E10040" w:rsidP="00E10040">
      <w:pPr>
        <w:pStyle w:val="FootnoteText"/>
      </w:pPr>
      <w:r>
        <w:rPr>
          <w:rStyle w:val="FootnoteReference"/>
        </w:rPr>
        <w:footnoteRef/>
      </w:r>
      <w:r>
        <w:t xml:space="preserve"> Order No. 1920-A, 189 FERC ¶ 61,068 </w:t>
      </w:r>
      <w:r w:rsidRPr="00916744">
        <w:t>at P 323</w:t>
      </w:r>
      <w:r w:rsidR="00511825" w:rsidRPr="00916744">
        <w:t xml:space="preserve">.  </w:t>
      </w:r>
      <w:r w:rsidR="00BC529D" w:rsidRPr="008A73BA">
        <w:t>W</w:t>
      </w:r>
      <w:r w:rsidR="00511825" w:rsidRPr="008A73BA">
        <w:t>e</w:t>
      </w:r>
      <w:r w:rsidR="00511825" w:rsidRPr="008A73BA" w:rsidDel="00AD52F5">
        <w:t xml:space="preserve"> </w:t>
      </w:r>
      <w:r w:rsidR="00AD52F5" w:rsidRPr="008A73BA">
        <w:t>find</w:t>
      </w:r>
      <w:r w:rsidR="00E834EC" w:rsidRPr="008A73BA">
        <w:t xml:space="preserve"> moot</w:t>
      </w:r>
      <w:r w:rsidR="00511825" w:rsidRPr="008A73BA">
        <w:t xml:space="preserve"> </w:t>
      </w:r>
      <w:proofErr w:type="spellStart"/>
      <w:r w:rsidR="00511825" w:rsidRPr="003722AC">
        <w:t>WestConnect</w:t>
      </w:r>
      <w:proofErr w:type="spellEnd"/>
      <w:r w:rsidR="00511825" w:rsidRPr="003722AC">
        <w:t xml:space="preserve"> CTOs’ arguments that </w:t>
      </w:r>
      <w:r w:rsidR="00074A3A" w:rsidRPr="003722AC">
        <w:t xml:space="preserve">the </w:t>
      </w:r>
      <w:r w:rsidR="003722AC">
        <w:t xml:space="preserve">relevant </w:t>
      </w:r>
      <w:r w:rsidR="00074A3A" w:rsidRPr="003722AC">
        <w:t xml:space="preserve">language </w:t>
      </w:r>
      <w:r w:rsidR="00F540A3" w:rsidRPr="003722AC">
        <w:t xml:space="preserve">in </w:t>
      </w:r>
      <w:r w:rsidR="003722AC">
        <w:t>Order No. 1920-A</w:t>
      </w:r>
      <w:r w:rsidR="00F540A3" w:rsidRPr="003722AC">
        <w:t xml:space="preserve"> violates the Commission’s obligations under FPA section 202(a) and </w:t>
      </w:r>
      <w:r w:rsidR="00494014" w:rsidRPr="003722AC">
        <w:t>the objectives of Order No. 1000</w:t>
      </w:r>
      <w:r w:rsidR="00CD5A11" w:rsidRPr="008A73BA" w:rsidDel="00D77789">
        <w:t xml:space="preserve"> </w:t>
      </w:r>
      <w:r w:rsidR="00D77789" w:rsidRPr="008A73BA">
        <w:t>a</w:t>
      </w:r>
      <w:r w:rsidR="004C6B54" w:rsidRPr="008A73BA">
        <w:t>s well as</w:t>
      </w:r>
      <w:r w:rsidR="00CD5A11" w:rsidRPr="003722AC">
        <w:t xml:space="preserve"> NRECA’s argument that this language conflicts with other statements in Order No. 1920-A</w:t>
      </w:r>
      <w:r w:rsidR="00494014" w:rsidRPr="003722AC">
        <w:t xml:space="preserve">.  </w:t>
      </w:r>
      <w:r w:rsidR="00494014" w:rsidRPr="003722AC">
        <w:rPr>
          <w:i/>
          <w:iCs/>
        </w:rPr>
        <w:t xml:space="preserve">See </w:t>
      </w:r>
      <w:proofErr w:type="spellStart"/>
      <w:r w:rsidR="00494014" w:rsidRPr="003722AC">
        <w:t>WestConnect</w:t>
      </w:r>
      <w:proofErr w:type="spellEnd"/>
      <w:r w:rsidR="00494014" w:rsidRPr="003722AC">
        <w:t xml:space="preserve"> CTOs Rehearing Request at </w:t>
      </w:r>
      <w:r w:rsidR="00352D57" w:rsidRPr="003722AC">
        <w:t>4-5, 9</w:t>
      </w:r>
      <w:r w:rsidR="00CD5A11" w:rsidRPr="003722AC">
        <w:t xml:space="preserve">; NRECA Rehearing Request at </w:t>
      </w:r>
      <w:r w:rsidR="00751AC1" w:rsidRPr="003722AC">
        <w:t>16-17</w:t>
      </w:r>
      <w:r w:rsidR="00352D57" w:rsidRPr="003722AC">
        <w:t>.</w:t>
      </w:r>
      <w:r w:rsidR="00D449F6" w:rsidRPr="008A73BA">
        <w:t xml:space="preserve">  Our clarification of Order No. 1920-A in relevant part resolves these </w:t>
      </w:r>
      <w:r w:rsidR="00B41A87" w:rsidRPr="008A73BA">
        <w:t>claims</w:t>
      </w:r>
      <w:r w:rsidR="00D449F6" w:rsidRPr="008A73BA">
        <w:t>.</w:t>
      </w:r>
    </w:p>
  </w:footnote>
  <w:footnote w:id="70">
    <w:p w14:paraId="353850BB" w14:textId="0C14C401" w:rsidR="00E10040" w:rsidRDefault="00E10040" w:rsidP="00E10040">
      <w:pPr>
        <w:pStyle w:val="FootnoteText"/>
      </w:pPr>
      <w:r>
        <w:rPr>
          <w:rStyle w:val="FootnoteReference"/>
        </w:rPr>
        <w:footnoteRef/>
      </w:r>
      <w:r>
        <w:t xml:space="preserve"> </w:t>
      </w:r>
      <w:r>
        <w:rPr>
          <w:i/>
          <w:iCs/>
        </w:rPr>
        <w:t xml:space="preserve">See </w:t>
      </w:r>
      <w:r>
        <w:t>Order No. 1000-A, 139 FERC ¶ 61,132 at P 276 (“[T]</w:t>
      </w:r>
      <w:r w:rsidRPr="003C5BFC">
        <w:t>he regional transmission planning process is not required to plan for the transmission needs of such a non-public utility transmission provider that has not made the choice to join a transmission planning region.</w:t>
      </w:r>
      <w:r>
        <w:t>”)</w:t>
      </w:r>
      <w:r w:rsidR="00CF2CB1">
        <w:t xml:space="preserve">; </w:t>
      </w:r>
      <w:r w:rsidR="00CF2CB1">
        <w:rPr>
          <w:i/>
          <w:iCs/>
        </w:rPr>
        <w:t xml:space="preserve">see also </w:t>
      </w:r>
      <w:r w:rsidR="00AB1CA5">
        <w:rPr>
          <w:i/>
          <w:iCs/>
        </w:rPr>
        <w:t>El Paso</w:t>
      </w:r>
      <w:r w:rsidR="00AB1CA5">
        <w:t>, 76 F.4th at 36</w:t>
      </w:r>
      <w:r w:rsidR="00236B24">
        <w:t>2-63</w:t>
      </w:r>
      <w:r w:rsidR="008F1B1E">
        <w:t xml:space="preserve"> (quoting the same)</w:t>
      </w:r>
      <w:r>
        <w:t>.</w:t>
      </w:r>
    </w:p>
  </w:footnote>
  <w:footnote w:id="71">
    <w:p w14:paraId="2CBBA28B" w14:textId="07906150" w:rsidR="00DF2D38" w:rsidRDefault="00DF2D38" w:rsidP="00781C21">
      <w:pPr>
        <w:pStyle w:val="FootnoteText"/>
        <w:widowControl/>
      </w:pPr>
      <w:r>
        <w:rPr>
          <w:rStyle w:val="FootnoteReference"/>
        </w:rPr>
        <w:footnoteRef/>
      </w:r>
      <w:r>
        <w:t xml:space="preserve"> </w:t>
      </w:r>
      <w:r w:rsidR="000D4963">
        <w:rPr>
          <w:i/>
          <w:iCs/>
        </w:rPr>
        <w:t>El Paso</w:t>
      </w:r>
      <w:r>
        <w:t xml:space="preserve">, </w:t>
      </w:r>
      <w:r w:rsidRPr="00D9191F">
        <w:t xml:space="preserve">76 F.4th </w:t>
      </w:r>
      <w:r>
        <w:t>at</w:t>
      </w:r>
      <w:r w:rsidRPr="00D9191F">
        <w:t xml:space="preserve"> 36</w:t>
      </w:r>
      <w:r w:rsidR="008E3548">
        <w:t>5-6</w:t>
      </w:r>
      <w:r w:rsidRPr="00D9191F">
        <w:t>6</w:t>
      </w:r>
      <w:r>
        <w:t xml:space="preserve">; </w:t>
      </w:r>
      <w:r>
        <w:rPr>
          <w:i/>
          <w:iCs/>
        </w:rPr>
        <w:t>id</w:t>
      </w:r>
      <w:r>
        <w:t>. at 363 (</w:t>
      </w:r>
      <w:r w:rsidR="00CE501B">
        <w:t>discussing cost causation concerns</w:t>
      </w:r>
      <w:r>
        <w:t>).</w:t>
      </w:r>
    </w:p>
  </w:footnote>
  <w:footnote w:id="72">
    <w:p w14:paraId="1264FEA5" w14:textId="5450B67D" w:rsidR="00E10040" w:rsidRPr="00796707" w:rsidRDefault="00E10040" w:rsidP="00E10040">
      <w:pPr>
        <w:pStyle w:val="FootnoteText"/>
      </w:pPr>
      <w:r>
        <w:rPr>
          <w:rStyle w:val="FootnoteReference"/>
        </w:rPr>
        <w:footnoteRef/>
      </w:r>
      <w:r>
        <w:t xml:space="preserve"> </w:t>
      </w:r>
      <w:r w:rsidR="00EB42DA" w:rsidRPr="00EA414A">
        <w:rPr>
          <w:i/>
          <w:iCs/>
        </w:rPr>
        <w:t>Id</w:t>
      </w:r>
      <w:r w:rsidR="00EB42DA">
        <w:t>.</w:t>
      </w:r>
      <w:r>
        <w:t xml:space="preserve"> at 361-62; </w:t>
      </w:r>
      <w:proofErr w:type="spellStart"/>
      <w:r w:rsidR="00F27F75">
        <w:t>WestConnect</w:t>
      </w:r>
      <w:proofErr w:type="spellEnd"/>
      <w:r w:rsidR="00F27F75">
        <w:t xml:space="preserve"> Remand Order</w:t>
      </w:r>
      <w:r>
        <w:t xml:space="preserve">, 189 FERC ¶ 61,028 at PP 15-17. </w:t>
      </w:r>
    </w:p>
  </w:footnote>
  <w:footnote w:id="73">
    <w:p w14:paraId="031CE08D" w14:textId="0AB29F30" w:rsidR="00833B07" w:rsidRPr="002057E7" w:rsidRDefault="00833B07">
      <w:pPr>
        <w:pStyle w:val="FootnoteText"/>
      </w:pPr>
      <w:r>
        <w:rPr>
          <w:rStyle w:val="FootnoteReference"/>
        </w:rPr>
        <w:footnoteRef/>
      </w:r>
      <w:r>
        <w:t xml:space="preserve"> </w:t>
      </w:r>
      <w:r w:rsidR="002057E7">
        <w:rPr>
          <w:i/>
          <w:iCs/>
        </w:rPr>
        <w:t xml:space="preserve">See </w:t>
      </w:r>
      <w:proofErr w:type="spellStart"/>
      <w:r w:rsidR="002057E7">
        <w:t>WestConnect</w:t>
      </w:r>
      <w:proofErr w:type="spellEnd"/>
      <w:r w:rsidR="002057E7">
        <w:t xml:space="preserve"> CTOs Rehearing Request </w:t>
      </w:r>
      <w:r w:rsidR="002057E7" w:rsidRPr="00027395">
        <w:t xml:space="preserve">at </w:t>
      </w:r>
      <w:r w:rsidR="00027395" w:rsidRPr="009C2A91">
        <w:t>9 n.17</w:t>
      </w:r>
      <w:r w:rsidR="00CE5B37" w:rsidRPr="00027395">
        <w:t>.</w:t>
      </w:r>
    </w:p>
  </w:footnote>
  <w:footnote w:id="74">
    <w:p w14:paraId="72B239FB" w14:textId="011324C4" w:rsidR="00E10040" w:rsidRPr="00DA4BA9" w:rsidRDefault="00E10040" w:rsidP="003B6CDE">
      <w:pPr>
        <w:pStyle w:val="FootnoteText"/>
        <w:tabs>
          <w:tab w:val="left" w:pos="4410"/>
        </w:tabs>
      </w:pPr>
      <w:r>
        <w:rPr>
          <w:rStyle w:val="FootnoteReference"/>
        </w:rPr>
        <w:footnoteRef/>
      </w:r>
      <w:r>
        <w:t xml:space="preserve"> The Commission has declined to evaluate the appropriate geographic scope of any particular transmission planning region in our transmission planning rules.  </w:t>
      </w:r>
      <w:r>
        <w:rPr>
          <w:i/>
          <w:iCs/>
        </w:rPr>
        <w:t xml:space="preserve">See </w:t>
      </w:r>
      <w:r>
        <w:t xml:space="preserve">Order No. 1000, 136 FERC ¶ 61,051 at P 160; Order No. 890, </w:t>
      </w:r>
      <w:r w:rsidR="00781C21">
        <w:t xml:space="preserve">118 </w:t>
      </w:r>
      <w:r>
        <w:t xml:space="preserve">FERC ¶ </w:t>
      </w:r>
      <w:r w:rsidR="00781C21">
        <w:t xml:space="preserve">61,119 </w:t>
      </w:r>
      <w:r>
        <w:t xml:space="preserve">at P 527.  Instead, it is Commission practice to evaluate the proper scope of transmission planning regions in individual compliance </w:t>
      </w:r>
      <w:r w:rsidR="006F60E0">
        <w:t>or FPA section 205</w:t>
      </w:r>
      <w:r>
        <w:t xml:space="preserve"> proceedings.  </w:t>
      </w:r>
      <w:r>
        <w:rPr>
          <w:i/>
          <w:iCs/>
        </w:rPr>
        <w:t>See, e.g.</w:t>
      </w:r>
      <w:r>
        <w:t xml:space="preserve">, </w:t>
      </w:r>
      <w:r w:rsidR="0062437B">
        <w:rPr>
          <w:i/>
          <w:iCs/>
        </w:rPr>
        <w:t>Sw.</w:t>
      </w:r>
      <w:r>
        <w:rPr>
          <w:i/>
          <w:iCs/>
        </w:rPr>
        <w:t xml:space="preserve"> Power Pool, Inc.</w:t>
      </w:r>
      <w:r>
        <w:t xml:space="preserve">, 144 FERC ¶ 61,059, at P 31 (2013); </w:t>
      </w:r>
      <w:r>
        <w:rPr>
          <w:i/>
          <w:iCs/>
        </w:rPr>
        <w:t>Louisville Gas &amp; Elec. Co.</w:t>
      </w:r>
      <w:r>
        <w:t>,</w:t>
      </w:r>
      <w:r w:rsidR="00781C21">
        <w:t xml:space="preserve"> </w:t>
      </w:r>
      <w:r>
        <w:t xml:space="preserve">144 FERC </w:t>
      </w:r>
      <w:r w:rsidR="00781C21">
        <w:t xml:space="preserve">   </w:t>
      </w:r>
      <w:r>
        <w:t xml:space="preserve">¶ 61,054, at PP 28, 30 (2013), </w:t>
      </w:r>
      <w:r>
        <w:rPr>
          <w:i/>
          <w:iCs/>
        </w:rPr>
        <w:t>order on reh’g</w:t>
      </w:r>
      <w:r>
        <w:t xml:space="preserve">, </w:t>
      </w:r>
      <w:r>
        <w:rPr>
          <w:i/>
          <w:iCs/>
        </w:rPr>
        <w:t>Duke Energy Carolinas, LLC</w:t>
      </w:r>
      <w:r>
        <w:t>, 147 FERC ¶</w:t>
      </w:r>
      <w:r w:rsidR="00D94B3B">
        <w:t> </w:t>
      </w:r>
      <w:r>
        <w:t xml:space="preserve">61,241, at PP 46, 48 (2014); </w:t>
      </w:r>
      <w:r>
        <w:rPr>
          <w:i/>
          <w:iCs/>
        </w:rPr>
        <w:t>Me. Pub. Serv. Co.</w:t>
      </w:r>
      <w:r>
        <w:t xml:space="preserve">, 142 FERC ¶ 61,129, at P 21 (2013); </w:t>
      </w:r>
      <w:r w:rsidR="0062437B">
        <w:rPr>
          <w:i/>
          <w:iCs/>
        </w:rPr>
        <w:t>S.</w:t>
      </w:r>
      <w:r>
        <w:rPr>
          <w:i/>
          <w:iCs/>
        </w:rPr>
        <w:t xml:space="preserve"> Co. Servs., Inc.</w:t>
      </w:r>
      <w:r>
        <w:t xml:space="preserve">, 124 FERC ¶ 61,265, at P 71 (2008).  </w:t>
      </w:r>
      <w:r>
        <w:rPr>
          <w:i/>
          <w:iCs/>
        </w:rPr>
        <w:t xml:space="preserve">See also </w:t>
      </w:r>
      <w:r w:rsidRPr="0043150E">
        <w:rPr>
          <w:i/>
          <w:iCs/>
        </w:rPr>
        <w:t>PacifiCorp</w:t>
      </w:r>
      <w:r>
        <w:t xml:space="preserve">, 170 FERC </w:t>
      </w:r>
      <w:r w:rsidR="00781C21">
        <w:t xml:space="preserve">         </w:t>
      </w:r>
      <w:r>
        <w:t>¶ 61,298, at P</w:t>
      </w:r>
      <w:r w:rsidR="00AB1E6C">
        <w:t> </w:t>
      </w:r>
      <w:r>
        <w:t>29 (2020) (evaluating scope of transmission planning region proposed pursuant to FPA section 205).</w:t>
      </w:r>
    </w:p>
  </w:footnote>
  <w:footnote w:id="75">
    <w:p w14:paraId="3A674C9E" w14:textId="1F58CF29" w:rsidR="00E10040" w:rsidRDefault="00E10040" w:rsidP="00E10040">
      <w:pPr>
        <w:pStyle w:val="FootnoteText"/>
      </w:pPr>
      <w:r>
        <w:rPr>
          <w:rStyle w:val="FootnoteReference"/>
        </w:rPr>
        <w:footnoteRef/>
      </w:r>
      <w:r>
        <w:t xml:space="preserve"> </w:t>
      </w:r>
      <w:r>
        <w:rPr>
          <w:i/>
          <w:iCs/>
        </w:rPr>
        <w:t xml:space="preserve">See </w:t>
      </w:r>
      <w:r w:rsidR="009C363C" w:rsidRPr="00223615">
        <w:t>Remand Rehearing Order</w:t>
      </w:r>
      <w:r>
        <w:t xml:space="preserve">, </w:t>
      </w:r>
      <w:r w:rsidR="0017723F" w:rsidRPr="00685B5C">
        <w:t>190 FERC ¶ 61,128</w:t>
      </w:r>
      <w:r w:rsidRPr="00685B5C">
        <w:t xml:space="preserve"> at </w:t>
      </w:r>
      <w:r w:rsidRPr="009C2A91">
        <w:t>PP 30-32</w:t>
      </w:r>
      <w:r w:rsidRPr="00685B5C">
        <w:t>.</w:t>
      </w:r>
    </w:p>
  </w:footnote>
  <w:footnote w:id="76">
    <w:p w14:paraId="23AF7985" w14:textId="719FC210" w:rsidR="00C068F9" w:rsidRPr="00DB37CD" w:rsidRDefault="00554F1D" w:rsidP="00554F1D">
      <w:pPr>
        <w:pStyle w:val="FootnoteText"/>
      </w:pPr>
      <w:r w:rsidRPr="00554F1D">
        <w:rPr>
          <w:b/>
          <w:vertAlign w:val="superscript"/>
        </w:rPr>
        <w:footnoteRef/>
      </w:r>
      <w:r>
        <w:t xml:space="preserve"> </w:t>
      </w:r>
      <w:r w:rsidR="00A4267A">
        <w:t xml:space="preserve">Order No. 1920, </w:t>
      </w:r>
      <w:r w:rsidR="00A4267A" w:rsidRPr="00A4267A">
        <w:t>187 FERC ¶ 61,068</w:t>
      </w:r>
      <w:r w:rsidR="00A4267A">
        <w:t xml:space="preserve"> at P</w:t>
      </w:r>
      <w:r>
        <w:t xml:space="preserve"> </w:t>
      </w:r>
      <w:r w:rsidR="00A76D6A">
        <w:t>1291.</w:t>
      </w:r>
    </w:p>
  </w:footnote>
  <w:footnote w:id="77">
    <w:p w14:paraId="652E4F82" w14:textId="77777777" w:rsidR="005D79A8" w:rsidRPr="00DB37CD" w:rsidRDefault="005D79A8" w:rsidP="005D79A8">
      <w:pPr>
        <w:pStyle w:val="FootnoteText"/>
      </w:pPr>
      <w:r w:rsidRPr="00DB37CD">
        <w:rPr>
          <w:rStyle w:val="FootnoteReference"/>
        </w:rPr>
        <w:footnoteRef/>
      </w:r>
      <w:r w:rsidRPr="00DB37CD">
        <w:t xml:space="preserve"> </w:t>
      </w:r>
      <w:r w:rsidRPr="00DB37CD">
        <w:rPr>
          <w:i/>
          <w:iCs/>
        </w:rPr>
        <w:t>Id.</w:t>
      </w:r>
      <w:r w:rsidRPr="00DB37CD">
        <w:t xml:space="preserve"> PP 1354, 1357.</w:t>
      </w:r>
    </w:p>
  </w:footnote>
  <w:footnote w:id="78">
    <w:p w14:paraId="20413224" w14:textId="1061BAEC" w:rsidR="0018634F" w:rsidRDefault="0018634F">
      <w:pPr>
        <w:pStyle w:val="FootnoteText"/>
      </w:pPr>
      <w:r>
        <w:rPr>
          <w:rStyle w:val="FootnoteReference"/>
        </w:rPr>
        <w:footnoteRef/>
      </w:r>
      <w:r>
        <w:t xml:space="preserve"> </w:t>
      </w:r>
      <w:r w:rsidRPr="00DB37CD">
        <w:t xml:space="preserve">Order No. 1920 requires that transmission providers in each transmission planning region provide notice, such as on </w:t>
      </w:r>
      <w:r w:rsidR="009C3C84">
        <w:t>their</w:t>
      </w:r>
      <w:r w:rsidR="009C3C84" w:rsidRPr="00DB37CD">
        <w:t xml:space="preserve"> </w:t>
      </w:r>
      <w:r w:rsidRPr="00DB37CD">
        <w:t>OASIS</w:t>
      </w:r>
      <w:r w:rsidRPr="00DB37CD" w:rsidDel="00577860">
        <w:t xml:space="preserve"> </w:t>
      </w:r>
      <w:r w:rsidRPr="00DB37CD">
        <w:t xml:space="preserve">or </w:t>
      </w:r>
      <w:r w:rsidR="00775458">
        <w:t xml:space="preserve">other </w:t>
      </w:r>
      <w:r w:rsidRPr="00DB37CD">
        <w:t xml:space="preserve">public website, of the deadline for Relevant State Entities to communicate their agreement on a Long-Term Regional Transmission Cost Allocation Method(s) and/or a State Agreement Process, and this deadline must be no earlier than the end date of the Engagement Period.  </w:t>
      </w:r>
      <w:r w:rsidR="00620911">
        <w:rPr>
          <w:i/>
          <w:iCs/>
          <w:szCs w:val="26"/>
        </w:rPr>
        <w:t>Id.</w:t>
      </w:r>
      <w:r w:rsidR="00620911">
        <w:rPr>
          <w:szCs w:val="26"/>
        </w:rPr>
        <w:t xml:space="preserve"> </w:t>
      </w:r>
      <w:r w:rsidRPr="00DB37CD">
        <w:rPr>
          <w:szCs w:val="26"/>
        </w:rPr>
        <w:t>P 1356.</w:t>
      </w:r>
    </w:p>
  </w:footnote>
  <w:footnote w:id="79">
    <w:p w14:paraId="734B09C0" w14:textId="6E28159B" w:rsidR="00E365BA" w:rsidRPr="00DB37CD" w:rsidRDefault="00E365BA" w:rsidP="00E365BA">
      <w:pPr>
        <w:pStyle w:val="FootnoteText"/>
      </w:pPr>
      <w:r w:rsidRPr="00DB37CD">
        <w:rPr>
          <w:rStyle w:val="FootnoteReference"/>
        </w:rPr>
        <w:footnoteRef/>
      </w:r>
      <w:r w:rsidRPr="00DB37CD">
        <w:t xml:space="preserve"> </w:t>
      </w:r>
      <w:r>
        <w:rPr>
          <w:i/>
        </w:rPr>
        <w:t>Id.</w:t>
      </w:r>
      <w:r w:rsidRPr="00DB37CD">
        <w:rPr>
          <w:szCs w:val="26"/>
        </w:rPr>
        <w:t xml:space="preserve"> PP 1359, 1363.</w:t>
      </w:r>
    </w:p>
  </w:footnote>
  <w:footnote w:id="80">
    <w:p w14:paraId="5044B7B6" w14:textId="6BA988EA" w:rsidR="00E365BA" w:rsidRPr="00DB37CD" w:rsidRDefault="00E365BA" w:rsidP="00E365BA">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1429.</w:t>
      </w:r>
    </w:p>
  </w:footnote>
  <w:footnote w:id="81">
    <w:p w14:paraId="01642C1C" w14:textId="57341EFD" w:rsidR="003363A7" w:rsidRPr="009B1F91" w:rsidRDefault="003363A7">
      <w:pPr>
        <w:pStyle w:val="FootnoteText"/>
      </w:pPr>
      <w:r>
        <w:rPr>
          <w:rStyle w:val="FootnoteReference"/>
        </w:rPr>
        <w:footnoteRef/>
      </w:r>
      <w:r>
        <w:t xml:space="preserve"> </w:t>
      </w:r>
      <w:r w:rsidR="00315814">
        <w:t xml:space="preserve">Order No. 1920-A, </w:t>
      </w:r>
      <w:r w:rsidR="00315814" w:rsidRPr="001D2505">
        <w:t>189 FERC ¶ 61,126</w:t>
      </w:r>
      <w:r w:rsidR="00315814">
        <w:t xml:space="preserve"> at P</w:t>
      </w:r>
      <w:r w:rsidR="00072458">
        <w:t xml:space="preserve"> 651.</w:t>
      </w:r>
      <w:r w:rsidR="00E84E76">
        <w:t xml:space="preserve">  The Commission</w:t>
      </w:r>
      <w:r w:rsidR="00D04844">
        <w:t xml:space="preserve"> clarified that, </w:t>
      </w:r>
      <w:r w:rsidR="009C3A04" w:rsidRPr="009C3A04">
        <w:t xml:space="preserve">under this approach, the transmission providers decide what to submit as their actual Order No. 1920 compliance proposal, including relevant tariff language and supporting evidence or arguments, whether they decide to propose the Relevant State </w:t>
      </w:r>
      <w:proofErr w:type="gramStart"/>
      <w:r w:rsidR="009C3A04" w:rsidRPr="009C3A04">
        <w:t>Entities’</w:t>
      </w:r>
      <w:proofErr w:type="gramEnd"/>
      <w:r w:rsidR="009C3A04" w:rsidRPr="009C3A04">
        <w:t xml:space="preserve"> agreed-upon Long-Term Regional Transmission Cost Allocation Method</w:t>
      </w:r>
      <w:r w:rsidR="00E1321B" w:rsidRPr="0000009A">
        <w:t>(s)</w:t>
      </w:r>
      <w:r w:rsidR="009C3A04" w:rsidRPr="009C3A04">
        <w:t xml:space="preserve"> and/or State Agreement Process or a different Long-Term Regional Transmission Cost Allocation Method.  The requirement to include Relevant State Entities’ Long-Term Regional Transmission Cost Allocation Method and/or State Agreement Process as an addition to the compliance filing does not constitute a “proposal” from the transmission provider.</w:t>
      </w:r>
      <w:r w:rsidR="009C3A04">
        <w:t xml:space="preserve">  </w:t>
      </w:r>
      <w:r w:rsidR="009B1F91">
        <w:rPr>
          <w:i/>
          <w:iCs/>
        </w:rPr>
        <w:t xml:space="preserve">Id. </w:t>
      </w:r>
      <w:r w:rsidR="009B1F91">
        <w:t>P 654 n.1651.</w:t>
      </w:r>
    </w:p>
  </w:footnote>
  <w:footnote w:id="82">
    <w:p w14:paraId="566C507F" w14:textId="1BE45172" w:rsidR="007603E2" w:rsidRPr="005336F1" w:rsidRDefault="007603E2">
      <w:pPr>
        <w:pStyle w:val="FootnoteText"/>
      </w:pPr>
      <w:r>
        <w:rPr>
          <w:rStyle w:val="FootnoteReference"/>
        </w:rPr>
        <w:footnoteRef/>
      </w:r>
      <w:r>
        <w:t xml:space="preserve"> </w:t>
      </w:r>
      <w:r w:rsidR="005336F1">
        <w:rPr>
          <w:i/>
          <w:iCs/>
        </w:rPr>
        <w:t xml:space="preserve">Id. </w:t>
      </w:r>
      <w:r w:rsidR="005336F1">
        <w:t>P 651.</w:t>
      </w:r>
    </w:p>
  </w:footnote>
  <w:footnote w:id="83">
    <w:p w14:paraId="1F6068BB" w14:textId="635A4379" w:rsidR="00ED2514" w:rsidRPr="00BC1100" w:rsidRDefault="00ED2514">
      <w:pPr>
        <w:pStyle w:val="FootnoteText"/>
        <w:rPr>
          <w:i/>
        </w:rPr>
      </w:pPr>
      <w:r>
        <w:rPr>
          <w:rStyle w:val="FootnoteReference"/>
        </w:rPr>
        <w:footnoteRef/>
      </w:r>
      <w:r>
        <w:t xml:space="preserve"> </w:t>
      </w:r>
      <w:r>
        <w:rPr>
          <w:i/>
          <w:iCs/>
        </w:rPr>
        <w:t xml:space="preserve">Id. </w:t>
      </w:r>
      <w:r>
        <w:t>P 655.</w:t>
      </w:r>
      <w:r w:rsidR="00BC1100">
        <w:t xml:space="preserve">  </w:t>
      </w:r>
      <w:r w:rsidR="00BC1100" w:rsidRPr="00BC1100">
        <w:t xml:space="preserve">However, the Commission declined to require transmission providers to independently characterize this information.  For example, the Commission did not require transmission providers to separately characterize Relevant State Entities’ agreement or independently justify Relevant State </w:t>
      </w:r>
      <w:proofErr w:type="gramStart"/>
      <w:r w:rsidR="00BC1100" w:rsidRPr="00BC1100">
        <w:t>Entities’</w:t>
      </w:r>
      <w:proofErr w:type="gramEnd"/>
      <w:r w:rsidR="00BC1100" w:rsidRPr="00BC1100">
        <w:t xml:space="preserve"> </w:t>
      </w:r>
      <w:r w:rsidR="0038629E">
        <w:t>agreed-upon</w:t>
      </w:r>
      <w:r w:rsidR="0038629E" w:rsidRPr="00BC1100">
        <w:t xml:space="preserve"> </w:t>
      </w:r>
      <w:r w:rsidR="00BC1100" w:rsidRPr="00BC1100">
        <w:t>Long-Term Regional Transmission Cost Allocation Method</w:t>
      </w:r>
      <w:r w:rsidR="00C6648D" w:rsidRPr="00437B76">
        <w:t>(s)</w:t>
      </w:r>
      <w:r w:rsidR="00BC1100" w:rsidRPr="00BC1100">
        <w:t xml:space="preserve"> and/or State Agreement Process</w:t>
      </w:r>
      <w:r w:rsidR="00BC1100">
        <w:t xml:space="preserve">.  </w:t>
      </w:r>
      <w:r w:rsidR="00BC1100">
        <w:rPr>
          <w:i/>
          <w:iCs/>
        </w:rPr>
        <w:t>Id.</w:t>
      </w:r>
    </w:p>
  </w:footnote>
  <w:footnote w:id="84">
    <w:p w14:paraId="0203EBD0" w14:textId="2FA0EDB7" w:rsidR="006901DE" w:rsidRPr="00DB37CD" w:rsidRDefault="006901DE" w:rsidP="006901DE">
      <w:pPr>
        <w:pStyle w:val="FootnoteText"/>
      </w:pPr>
      <w:r w:rsidRPr="00DB37CD">
        <w:rPr>
          <w:rStyle w:val="FootnoteReference"/>
        </w:rPr>
        <w:footnoteRef/>
      </w:r>
      <w:r w:rsidRPr="00DB37CD">
        <w:t xml:space="preserve"> </w:t>
      </w:r>
      <w:r w:rsidR="00A6380E">
        <w:rPr>
          <w:i/>
          <w:iCs/>
        </w:rPr>
        <w:t xml:space="preserve">Id. </w:t>
      </w:r>
      <w:r w:rsidR="00A6380E">
        <w:t xml:space="preserve">P 657 (citing </w:t>
      </w:r>
      <w:r w:rsidRPr="00DB37CD">
        <w:t xml:space="preserve">Order No. 1920, </w:t>
      </w:r>
      <w:r w:rsidRPr="00DB37CD">
        <w:rPr>
          <w:szCs w:val="26"/>
        </w:rPr>
        <w:t>187 FERC ¶ 61,068 at P 1357</w:t>
      </w:r>
      <w:r w:rsidR="00A6380E">
        <w:rPr>
          <w:szCs w:val="26"/>
        </w:rPr>
        <w:t>)</w:t>
      </w:r>
      <w:r w:rsidRPr="00DB37CD">
        <w:rPr>
          <w:szCs w:val="26"/>
        </w:rPr>
        <w:t>.</w:t>
      </w:r>
    </w:p>
  </w:footnote>
  <w:footnote w:id="85">
    <w:p w14:paraId="4023C0A8" w14:textId="4C3028A3" w:rsidR="00142002" w:rsidRPr="00142002" w:rsidRDefault="00142002">
      <w:pPr>
        <w:pStyle w:val="FootnoteText"/>
      </w:pPr>
      <w:r>
        <w:rPr>
          <w:rStyle w:val="FootnoteReference"/>
        </w:rPr>
        <w:footnoteRef/>
      </w:r>
      <w:r>
        <w:t xml:space="preserve"> </w:t>
      </w:r>
      <w:r>
        <w:rPr>
          <w:i/>
          <w:iCs/>
        </w:rPr>
        <w:t xml:space="preserve">Id. </w:t>
      </w:r>
      <w:r>
        <w:t xml:space="preserve">P 649 (citing </w:t>
      </w:r>
      <w:r w:rsidR="0011151F" w:rsidRPr="0011151F">
        <w:t>Order No. 1920, 187 FERC ¶ 61,068 at P 1415</w:t>
      </w:r>
      <w:r w:rsidR="0011151F">
        <w:t>).</w:t>
      </w:r>
    </w:p>
  </w:footnote>
  <w:footnote w:id="86">
    <w:p w14:paraId="06F3BA57" w14:textId="5AD74914" w:rsidR="00194AF9" w:rsidRPr="00194AF9" w:rsidRDefault="00194AF9">
      <w:pPr>
        <w:pStyle w:val="FootnoteText"/>
      </w:pPr>
      <w:r>
        <w:rPr>
          <w:rStyle w:val="FootnoteReference"/>
        </w:rPr>
        <w:footnoteRef/>
      </w:r>
      <w:r>
        <w:t xml:space="preserve"> </w:t>
      </w:r>
      <w:r>
        <w:rPr>
          <w:i/>
          <w:iCs/>
        </w:rPr>
        <w:t>Id.</w:t>
      </w:r>
      <w:r>
        <w:t xml:space="preserve"> P 660.</w:t>
      </w:r>
    </w:p>
  </w:footnote>
  <w:footnote w:id="87">
    <w:p w14:paraId="6808C3D5" w14:textId="39158913" w:rsidR="00DF45CF" w:rsidRPr="00142002" w:rsidRDefault="00DF45CF">
      <w:pPr>
        <w:pStyle w:val="FootnoteText"/>
      </w:pPr>
      <w:r>
        <w:rPr>
          <w:rStyle w:val="FootnoteReference"/>
        </w:rPr>
        <w:footnoteRef/>
      </w:r>
      <w:r>
        <w:t xml:space="preserve"> </w:t>
      </w:r>
      <w:r>
        <w:rPr>
          <w:i/>
          <w:iCs/>
        </w:rPr>
        <w:t>Id.</w:t>
      </w:r>
      <w:r w:rsidR="00142002">
        <w:rPr>
          <w:i/>
          <w:iCs/>
        </w:rPr>
        <w:t xml:space="preserve"> </w:t>
      </w:r>
      <w:r w:rsidR="00142002">
        <w:t>P 657.</w:t>
      </w:r>
    </w:p>
  </w:footnote>
  <w:footnote w:id="88">
    <w:p w14:paraId="4ED99480" w14:textId="38F77518" w:rsidR="00B63C1F" w:rsidRPr="00DB37CD" w:rsidRDefault="00B63C1F" w:rsidP="00B63C1F">
      <w:pPr>
        <w:pStyle w:val="FootnoteText"/>
      </w:pPr>
      <w:r w:rsidRPr="00DB37CD">
        <w:rPr>
          <w:rStyle w:val="FootnoteReference"/>
        </w:rPr>
        <w:footnoteRef/>
      </w:r>
      <w:r w:rsidRPr="00DB37CD">
        <w:t xml:space="preserve"> </w:t>
      </w:r>
      <w:r w:rsidR="00121941">
        <w:rPr>
          <w:i/>
          <w:iCs/>
        </w:rPr>
        <w:t xml:space="preserve">See </w:t>
      </w:r>
      <w:r w:rsidR="00BE2ECE" w:rsidRPr="00BE2ECE">
        <w:rPr>
          <w:i/>
          <w:iCs/>
        </w:rPr>
        <w:t>id</w:t>
      </w:r>
      <w:r w:rsidR="00BE2ECE">
        <w:t>.</w:t>
      </w:r>
      <w:r w:rsidR="00C57C47">
        <w:t xml:space="preserve"> at P 65</w:t>
      </w:r>
      <w:r w:rsidR="006D2117">
        <w:t>2</w:t>
      </w:r>
      <w:r w:rsidR="00BA1AA1">
        <w:t xml:space="preserve"> (citing </w:t>
      </w:r>
      <w:r w:rsidRPr="00DB37CD">
        <w:rPr>
          <w:szCs w:val="26"/>
        </w:rPr>
        <w:t>Order No. 1920, 187 FERC ¶ 61,068 at PP 113-114</w:t>
      </w:r>
      <w:r w:rsidR="00BA1AA1">
        <w:rPr>
          <w:szCs w:val="26"/>
        </w:rPr>
        <w:t>)</w:t>
      </w:r>
      <w:r>
        <w:rPr>
          <w:szCs w:val="26"/>
        </w:rPr>
        <w:t>.</w:t>
      </w:r>
    </w:p>
  </w:footnote>
  <w:footnote w:id="89">
    <w:p w14:paraId="2C015687" w14:textId="24C0F9DD" w:rsidR="006D2117" w:rsidRPr="00DB37CD" w:rsidRDefault="006D2117" w:rsidP="006D2117">
      <w:pPr>
        <w:pStyle w:val="FootnoteText"/>
      </w:pPr>
      <w:r w:rsidRPr="00DB37CD">
        <w:rPr>
          <w:rStyle w:val="FootnoteReference"/>
        </w:rPr>
        <w:footnoteRef/>
      </w:r>
      <w:r w:rsidRPr="00DB37CD">
        <w:t xml:space="preserve"> </w:t>
      </w:r>
      <w:r>
        <w:rPr>
          <w:i/>
          <w:iCs/>
        </w:rPr>
        <w:t xml:space="preserve">Id. </w:t>
      </w:r>
      <w:r>
        <w:t xml:space="preserve">(quoting </w:t>
      </w:r>
      <w:r w:rsidRPr="00DB37CD">
        <w:t>16 U.S.C. 824e(a)</w:t>
      </w:r>
      <w:r>
        <w:t>)</w:t>
      </w:r>
      <w:r w:rsidRPr="00DB37CD">
        <w:t>.</w:t>
      </w:r>
    </w:p>
  </w:footnote>
  <w:footnote w:id="90">
    <w:p w14:paraId="2F084DAB" w14:textId="6DA09A22" w:rsidR="00970965" w:rsidRPr="00DB37CD" w:rsidRDefault="00970965" w:rsidP="00970965">
      <w:pPr>
        <w:pStyle w:val="FootnoteText"/>
      </w:pPr>
      <w:r w:rsidRPr="00DB37CD">
        <w:rPr>
          <w:rStyle w:val="FootnoteReference"/>
        </w:rPr>
        <w:footnoteRef/>
      </w:r>
      <w:r w:rsidRPr="00DB37CD">
        <w:t xml:space="preserve"> </w:t>
      </w:r>
      <w:r>
        <w:rPr>
          <w:i/>
          <w:iCs/>
        </w:rPr>
        <w:t xml:space="preserve">Id. </w:t>
      </w:r>
      <w:r>
        <w:t>(citing</w:t>
      </w:r>
      <w:r w:rsidRPr="00DB37CD">
        <w:rPr>
          <w:i/>
          <w:iCs/>
        </w:rPr>
        <w:t xml:space="preserve"> ISO New England Inc.</w:t>
      </w:r>
      <w:r w:rsidRPr="00DB37CD">
        <w:t xml:space="preserve">, </w:t>
      </w:r>
      <w:r w:rsidRPr="00DB37CD">
        <w:rPr>
          <w:szCs w:val="26"/>
        </w:rPr>
        <w:t xml:space="preserve">165 FERC ¶ 61,202 (2018), </w:t>
      </w:r>
      <w:r w:rsidRPr="00DB37CD">
        <w:rPr>
          <w:i/>
          <w:iCs/>
          <w:szCs w:val="26"/>
        </w:rPr>
        <w:t>order on reh’g</w:t>
      </w:r>
      <w:r w:rsidRPr="00DB37CD">
        <w:rPr>
          <w:szCs w:val="26"/>
        </w:rPr>
        <w:t xml:space="preserve">, 173 FERC ¶ 61,204, at P 8 </w:t>
      </w:r>
      <w:r w:rsidR="00010979">
        <w:rPr>
          <w:szCs w:val="26"/>
        </w:rPr>
        <w:t>(2020)</w:t>
      </w:r>
      <w:r w:rsidR="00882BC9">
        <w:rPr>
          <w:szCs w:val="26"/>
        </w:rPr>
        <w:t>).</w:t>
      </w:r>
    </w:p>
  </w:footnote>
  <w:footnote w:id="91">
    <w:p w14:paraId="6C985AC2" w14:textId="6D601387" w:rsidR="00970965" w:rsidRPr="00DB37CD" w:rsidRDefault="00970965" w:rsidP="00970965">
      <w:pPr>
        <w:pStyle w:val="FootnoteText"/>
      </w:pPr>
      <w:r w:rsidRPr="00DB37CD">
        <w:rPr>
          <w:rStyle w:val="FootnoteReference"/>
        </w:rPr>
        <w:footnoteRef/>
      </w:r>
      <w:r w:rsidRPr="00DB37CD">
        <w:t xml:space="preserve"> </w:t>
      </w:r>
      <w:r w:rsidR="00570EE5">
        <w:rPr>
          <w:i/>
          <w:iCs/>
        </w:rPr>
        <w:t>Id.</w:t>
      </w:r>
      <w:r w:rsidRPr="00DB37CD">
        <w:rPr>
          <w:i/>
          <w:iCs/>
        </w:rPr>
        <w:t xml:space="preserve"> </w:t>
      </w:r>
      <w:r w:rsidR="00570EE5">
        <w:t xml:space="preserve">(citing </w:t>
      </w:r>
      <w:r w:rsidRPr="00DB37CD">
        <w:rPr>
          <w:szCs w:val="26"/>
        </w:rPr>
        <w:t>Order No. 1920, 187 FERC ¶ 61,068 at P 1430</w:t>
      </w:r>
      <w:r w:rsidR="00570EE5">
        <w:t>).</w:t>
      </w:r>
    </w:p>
  </w:footnote>
  <w:footnote w:id="92">
    <w:p w14:paraId="4209BD2D" w14:textId="4168BF30" w:rsidR="0028199D" w:rsidRPr="00DB37CD" w:rsidRDefault="0028199D" w:rsidP="0028199D">
      <w:pPr>
        <w:pStyle w:val="FootnoteText"/>
      </w:pPr>
      <w:r w:rsidRPr="00DB37CD">
        <w:rPr>
          <w:rStyle w:val="FootnoteReference"/>
        </w:rPr>
        <w:footnoteRef/>
      </w:r>
      <w:r w:rsidRPr="00DB37CD">
        <w:t xml:space="preserve"> </w:t>
      </w:r>
      <w:r w:rsidR="00906DEC" w:rsidRPr="00EA414A">
        <w:rPr>
          <w:i/>
          <w:iCs/>
        </w:rPr>
        <w:t>Id</w:t>
      </w:r>
      <w:r w:rsidR="00906DEC" w:rsidRPr="00253320">
        <w:rPr>
          <w:i/>
        </w:rPr>
        <w:t>.</w:t>
      </w:r>
      <w:r>
        <w:t xml:space="preserve"> P 658 (</w:t>
      </w:r>
      <w:r w:rsidR="007D48AA">
        <w:t xml:space="preserve">emphasis in original) </w:t>
      </w:r>
      <w:r>
        <w:t xml:space="preserve">(citing </w:t>
      </w:r>
      <w:r w:rsidRPr="00DB37CD">
        <w:t>16 U.S.C. 824e; 16 U.S.C</w:t>
      </w:r>
      <w:r w:rsidR="008C3083">
        <w:t>.</w:t>
      </w:r>
      <w:r w:rsidRPr="00DB37CD">
        <w:t xml:space="preserve"> 825</w:t>
      </w:r>
      <w:r w:rsidRPr="00DB37CD">
        <w:rPr>
          <w:i/>
          <w:iCs/>
        </w:rPr>
        <w:t>l</w:t>
      </w:r>
      <w:r w:rsidRPr="00DB37CD">
        <w:t>(b)</w:t>
      </w:r>
      <w:r>
        <w:t>)</w:t>
      </w:r>
      <w:r w:rsidRPr="00DB37CD">
        <w:t>.</w:t>
      </w:r>
    </w:p>
  </w:footnote>
  <w:footnote w:id="93">
    <w:p w14:paraId="0AAB50ED" w14:textId="6E6CE7E8" w:rsidR="0028199D" w:rsidRPr="00DB37CD" w:rsidRDefault="0028199D" w:rsidP="0028199D">
      <w:pPr>
        <w:pStyle w:val="FootnoteText"/>
      </w:pPr>
      <w:r w:rsidRPr="00DB37CD">
        <w:rPr>
          <w:rStyle w:val="FootnoteReference"/>
        </w:rPr>
        <w:footnoteRef/>
      </w:r>
      <w:r w:rsidRPr="00DB37CD">
        <w:t xml:space="preserve"> </w:t>
      </w:r>
      <w:r>
        <w:rPr>
          <w:i/>
          <w:iCs/>
        </w:rPr>
        <w:t xml:space="preserve">Id. </w:t>
      </w:r>
      <w:r w:rsidRPr="001449D0">
        <w:t>(</w:t>
      </w:r>
      <w:r>
        <w:t>citing</w:t>
      </w:r>
      <w:r w:rsidRPr="00DB37CD">
        <w:rPr>
          <w:szCs w:val="26"/>
        </w:rPr>
        <w:t xml:space="preserve"> </w:t>
      </w:r>
      <w:r w:rsidRPr="00DB37CD">
        <w:rPr>
          <w:i/>
          <w:szCs w:val="26"/>
        </w:rPr>
        <w:t>Entergy Ark., LLC v. FERC</w:t>
      </w:r>
      <w:r w:rsidRPr="00DB37CD">
        <w:rPr>
          <w:szCs w:val="26"/>
        </w:rPr>
        <w:t xml:space="preserve">, 40 F.4th 689, 701–02 </w:t>
      </w:r>
      <w:r w:rsidRPr="001449D0">
        <w:rPr>
          <w:szCs w:val="26"/>
        </w:rPr>
        <w:t>(</w:t>
      </w:r>
      <w:r w:rsidRPr="00DB37CD">
        <w:rPr>
          <w:szCs w:val="26"/>
        </w:rPr>
        <w:t>D.C. Cir. 2022</w:t>
      </w:r>
      <w:r w:rsidRPr="001449D0">
        <w:rPr>
          <w:szCs w:val="26"/>
        </w:rPr>
        <w:t>)</w:t>
      </w:r>
      <w:r w:rsidRPr="00DB37CD">
        <w:rPr>
          <w:szCs w:val="26"/>
        </w:rPr>
        <w:t xml:space="preserve"> </w:t>
      </w:r>
      <w:r w:rsidR="003B32A2" w:rsidRPr="001449D0">
        <w:rPr>
          <w:szCs w:val="26"/>
        </w:rPr>
        <w:t>(</w:t>
      </w:r>
      <w:r w:rsidR="003B32A2">
        <w:rPr>
          <w:i/>
          <w:iCs/>
          <w:szCs w:val="26"/>
        </w:rPr>
        <w:t>Entergy</w:t>
      </w:r>
      <w:r w:rsidR="003B32A2" w:rsidRPr="001449D0">
        <w:rPr>
          <w:szCs w:val="26"/>
        </w:rPr>
        <w:t>)</w:t>
      </w:r>
      <w:r w:rsidR="003B32A2">
        <w:rPr>
          <w:szCs w:val="26"/>
        </w:rPr>
        <w:t xml:space="preserve"> </w:t>
      </w:r>
      <w:r w:rsidRPr="00DB37CD">
        <w:rPr>
          <w:szCs w:val="26"/>
        </w:rPr>
        <w:t>(noting that the Commission “is not required to choose the best solution, only a reasonable one”</w:t>
      </w:r>
      <w:r w:rsidRPr="00DB37CD">
        <w:rPr>
          <w:i/>
          <w:szCs w:val="26"/>
        </w:rPr>
        <w:t xml:space="preserve"> </w:t>
      </w:r>
      <w:r w:rsidRPr="00DB37CD">
        <w:rPr>
          <w:szCs w:val="26"/>
        </w:rPr>
        <w:t xml:space="preserve">(first quoting </w:t>
      </w:r>
      <w:r w:rsidRPr="00DB37CD">
        <w:rPr>
          <w:i/>
          <w:szCs w:val="26"/>
        </w:rPr>
        <w:t>Petal Gas Storage, LLC v. FERC</w:t>
      </w:r>
      <w:r w:rsidRPr="00DB37CD">
        <w:rPr>
          <w:szCs w:val="26"/>
        </w:rPr>
        <w:t xml:space="preserve">, 496 F.3d 695, 703 </w:t>
      </w:r>
      <w:r w:rsidRPr="001449D0">
        <w:rPr>
          <w:szCs w:val="26"/>
        </w:rPr>
        <w:t>(</w:t>
      </w:r>
      <w:r w:rsidRPr="00DB37CD">
        <w:rPr>
          <w:szCs w:val="26"/>
        </w:rPr>
        <w:t>D.C. Cir. 2007</w:t>
      </w:r>
      <w:r w:rsidRPr="001449D0">
        <w:rPr>
          <w:szCs w:val="26"/>
        </w:rPr>
        <w:t>)</w:t>
      </w:r>
      <w:r w:rsidRPr="00DB37CD">
        <w:rPr>
          <w:szCs w:val="26"/>
        </w:rPr>
        <w:t xml:space="preserve">; and then quoting </w:t>
      </w:r>
      <w:r w:rsidR="005354D4" w:rsidRPr="00A215F7">
        <w:rPr>
          <w:i/>
          <w:iCs/>
        </w:rPr>
        <w:t xml:space="preserve">FERC v. Elec. Power Supply </w:t>
      </w:r>
      <w:proofErr w:type="spellStart"/>
      <w:r w:rsidR="005354D4" w:rsidRPr="00A215F7">
        <w:rPr>
          <w:i/>
          <w:iCs/>
        </w:rPr>
        <w:t>Ass’n</w:t>
      </w:r>
      <w:proofErr w:type="spellEnd"/>
      <w:r w:rsidRPr="00DB37CD">
        <w:rPr>
          <w:szCs w:val="26"/>
        </w:rPr>
        <w:t xml:space="preserve">, 577 U.S. </w:t>
      </w:r>
      <w:r w:rsidR="005354D4">
        <w:rPr>
          <w:szCs w:val="26"/>
        </w:rPr>
        <w:t>260,</w:t>
      </w:r>
      <w:r w:rsidR="005354D4" w:rsidRPr="00DB37CD">
        <w:rPr>
          <w:szCs w:val="26"/>
        </w:rPr>
        <w:t xml:space="preserve"> </w:t>
      </w:r>
      <w:r w:rsidRPr="00DB37CD">
        <w:rPr>
          <w:szCs w:val="26"/>
        </w:rPr>
        <w:t>295</w:t>
      </w:r>
      <w:r w:rsidR="005354D4">
        <w:rPr>
          <w:szCs w:val="26"/>
        </w:rPr>
        <w:t xml:space="preserve"> </w:t>
      </w:r>
      <w:r w:rsidR="005354D4" w:rsidRPr="001449D0">
        <w:rPr>
          <w:szCs w:val="26"/>
        </w:rPr>
        <w:t>(</w:t>
      </w:r>
      <w:r w:rsidR="005354D4">
        <w:rPr>
          <w:szCs w:val="26"/>
        </w:rPr>
        <w:t>2016</w:t>
      </w:r>
      <w:r w:rsidR="005354D4" w:rsidRPr="001449D0">
        <w:rPr>
          <w:szCs w:val="26"/>
        </w:rPr>
        <w:t>)</w:t>
      </w:r>
      <w:r w:rsidR="005354D4">
        <w:rPr>
          <w:szCs w:val="26"/>
        </w:rPr>
        <w:t xml:space="preserve"> </w:t>
      </w:r>
      <w:r w:rsidR="005354D4" w:rsidRPr="001449D0">
        <w:rPr>
          <w:szCs w:val="26"/>
        </w:rPr>
        <w:t>(</w:t>
      </w:r>
      <w:r w:rsidR="005354D4">
        <w:rPr>
          <w:i/>
          <w:iCs/>
          <w:szCs w:val="26"/>
        </w:rPr>
        <w:t>EPSA</w:t>
      </w:r>
      <w:r w:rsidR="005354D4" w:rsidRPr="001449D0">
        <w:rPr>
          <w:szCs w:val="26"/>
        </w:rPr>
        <w:t>)</w:t>
      </w:r>
      <w:r w:rsidRPr="00DB37CD">
        <w:rPr>
          <w:szCs w:val="26"/>
        </w:rPr>
        <w:t>)</w:t>
      </w:r>
      <w:r>
        <w:rPr>
          <w:szCs w:val="26"/>
        </w:rPr>
        <w:t>)</w:t>
      </w:r>
      <w:r w:rsidR="005B5A82" w:rsidRPr="001449D0">
        <w:rPr>
          <w:szCs w:val="26"/>
        </w:rPr>
        <w:t>)</w:t>
      </w:r>
      <w:r w:rsidRPr="00DB37CD">
        <w:rPr>
          <w:szCs w:val="26"/>
        </w:rPr>
        <w:t>.</w:t>
      </w:r>
    </w:p>
  </w:footnote>
  <w:footnote w:id="94">
    <w:p w14:paraId="694C44F3" w14:textId="28769042" w:rsidR="0028199D" w:rsidRDefault="0028199D" w:rsidP="0028199D">
      <w:pPr>
        <w:pStyle w:val="FootnoteText"/>
      </w:pPr>
      <w:r>
        <w:rPr>
          <w:rStyle w:val="FootnoteReference"/>
        </w:rPr>
        <w:footnoteRef/>
      </w:r>
      <w:r>
        <w:t xml:space="preserve"> </w:t>
      </w:r>
      <w:r w:rsidR="00985233" w:rsidRPr="00EA414A">
        <w:rPr>
          <w:i/>
          <w:iCs/>
        </w:rPr>
        <w:t>Id</w:t>
      </w:r>
      <w:r w:rsidR="00985233" w:rsidRPr="00022FFE">
        <w:rPr>
          <w:i/>
        </w:rPr>
        <w:t>.</w:t>
      </w:r>
      <w:r>
        <w:t xml:space="preserve"> P 659 (citing </w:t>
      </w:r>
      <w:r w:rsidRPr="009E2AD8">
        <w:rPr>
          <w:i/>
          <w:iCs/>
        </w:rPr>
        <w:t>PJM Interconnection, L.L.C.</w:t>
      </w:r>
      <w:r w:rsidRPr="009E2AD8">
        <w:t xml:space="preserve">, 173 FERC ¶ 61,134, at P 117 n.175 (2020); </w:t>
      </w:r>
      <w:r w:rsidRPr="009E2AD8">
        <w:rPr>
          <w:i/>
          <w:iCs/>
        </w:rPr>
        <w:t>PJM Interconnection, L.L.C.</w:t>
      </w:r>
      <w:r w:rsidRPr="009E2AD8">
        <w:t xml:space="preserve">, 119 FERC ¶ 61,318, at P 115 (2007); </w:t>
      </w:r>
      <w:r w:rsidRPr="009E2AD8">
        <w:rPr>
          <w:i/>
          <w:iCs/>
        </w:rPr>
        <w:t>ANR Pipeline Co.</w:t>
      </w:r>
      <w:r w:rsidRPr="009E2AD8">
        <w:t>, 110 FERC ¶ 61,069, at P 49 (2005)</w:t>
      </w:r>
      <w:r>
        <w:t>).</w:t>
      </w:r>
    </w:p>
  </w:footnote>
  <w:footnote w:id="95">
    <w:p w14:paraId="2DFE089A" w14:textId="1A5CA9B7" w:rsidR="0028199D" w:rsidRDefault="0028199D" w:rsidP="0028199D">
      <w:pPr>
        <w:pStyle w:val="FootnoteText"/>
      </w:pPr>
      <w:r>
        <w:rPr>
          <w:rStyle w:val="FootnoteReference"/>
        </w:rPr>
        <w:footnoteRef/>
      </w:r>
      <w:r>
        <w:t xml:space="preserve"> </w:t>
      </w:r>
      <w:r w:rsidR="00713459" w:rsidRPr="00EA414A">
        <w:rPr>
          <w:i/>
          <w:iCs/>
        </w:rPr>
        <w:t>Id</w:t>
      </w:r>
      <w:r w:rsidR="00713459" w:rsidRPr="00022FFE">
        <w:rPr>
          <w:i/>
        </w:rPr>
        <w:t>.</w:t>
      </w:r>
      <w:r>
        <w:t xml:space="preserve"> (quoting </w:t>
      </w:r>
      <w:r w:rsidRPr="00B95AA2">
        <w:rPr>
          <w:i/>
        </w:rPr>
        <w:t>FCC v. Fox Television Stations, Inc.</w:t>
      </w:r>
      <w:r w:rsidRPr="00B95AA2">
        <w:t>, 556 U.S. at 515</w:t>
      </w:r>
      <w:r>
        <w:t>).</w:t>
      </w:r>
    </w:p>
  </w:footnote>
  <w:footnote w:id="96">
    <w:p w14:paraId="059CCC1F" w14:textId="5C2AF166" w:rsidR="0028199D" w:rsidRPr="00DB37CD" w:rsidRDefault="0028199D" w:rsidP="0028199D">
      <w:pPr>
        <w:pStyle w:val="FootnoteText"/>
      </w:pPr>
      <w:r w:rsidRPr="00DB37CD">
        <w:rPr>
          <w:rStyle w:val="FootnoteReference"/>
        </w:rPr>
        <w:footnoteRef/>
      </w:r>
      <w:r w:rsidRPr="00DB37CD">
        <w:t xml:space="preserve"> </w:t>
      </w:r>
      <w:r w:rsidR="00713459" w:rsidRPr="00EA414A">
        <w:rPr>
          <w:i/>
          <w:iCs/>
        </w:rPr>
        <w:t>Id</w:t>
      </w:r>
      <w:r w:rsidR="00713459" w:rsidRPr="00022FFE">
        <w:rPr>
          <w:i/>
        </w:rPr>
        <w:t>.</w:t>
      </w:r>
      <w:r>
        <w:t xml:space="preserve"> (citing </w:t>
      </w:r>
      <w:r w:rsidRPr="00DB37CD">
        <w:rPr>
          <w:szCs w:val="26"/>
        </w:rPr>
        <w:t>Order No. 1920, 187 FERC ¶ 61,068 at PP 124, 126, 268, 1293, 1362-1364, 1404, 1407, 1410-1411, 1415, 1477, 1515</w:t>
      </w:r>
      <w:r>
        <w:rPr>
          <w:szCs w:val="26"/>
        </w:rPr>
        <w:t>)</w:t>
      </w:r>
      <w:r w:rsidRPr="00DB37CD">
        <w:rPr>
          <w:szCs w:val="26"/>
        </w:rPr>
        <w:t>.</w:t>
      </w:r>
    </w:p>
  </w:footnote>
  <w:footnote w:id="97">
    <w:p w14:paraId="6B4F825F" w14:textId="5A90B424" w:rsidR="0028199D" w:rsidRPr="00DB37CD" w:rsidRDefault="0028199D" w:rsidP="0028199D">
      <w:pPr>
        <w:pStyle w:val="FootnoteText"/>
      </w:pPr>
      <w:r w:rsidRPr="00DB37CD">
        <w:rPr>
          <w:rStyle w:val="FootnoteReference"/>
        </w:rPr>
        <w:footnoteRef/>
      </w:r>
      <w:r w:rsidRPr="00DB37CD">
        <w:t xml:space="preserve"> </w:t>
      </w:r>
      <w:r w:rsidR="006968EC" w:rsidRPr="00EA414A">
        <w:rPr>
          <w:i/>
          <w:iCs/>
        </w:rPr>
        <w:t>Id</w:t>
      </w:r>
      <w:r w:rsidR="006968EC" w:rsidRPr="000E4F1B">
        <w:rPr>
          <w:i/>
        </w:rPr>
        <w:t>.</w:t>
      </w:r>
      <w:r>
        <w:t xml:space="preserve"> (citing </w:t>
      </w:r>
      <w:r w:rsidRPr="00DB37CD">
        <w:rPr>
          <w:szCs w:val="26"/>
        </w:rPr>
        <w:t xml:space="preserve">Order No. 1920, 187 FERC ¶ 61,068 </w:t>
      </w:r>
      <w:r>
        <w:rPr>
          <w:szCs w:val="26"/>
        </w:rPr>
        <w:t xml:space="preserve">at </w:t>
      </w:r>
      <w:r w:rsidRPr="00DB37CD">
        <w:t>P 227</w:t>
      </w:r>
      <w:r>
        <w:t>)</w:t>
      </w:r>
      <w:r w:rsidRPr="00DB37CD">
        <w:t>.</w:t>
      </w:r>
    </w:p>
  </w:footnote>
  <w:footnote w:id="98">
    <w:p w14:paraId="644970CB" w14:textId="6D75E622" w:rsidR="0028199D" w:rsidRPr="00DB37CD" w:rsidRDefault="0028199D" w:rsidP="0028199D">
      <w:pPr>
        <w:pStyle w:val="FootnoteText"/>
        <w:rPr>
          <w:szCs w:val="26"/>
        </w:rPr>
      </w:pPr>
      <w:r w:rsidRPr="00DB37CD">
        <w:rPr>
          <w:rStyle w:val="FootnoteReference"/>
          <w:szCs w:val="26"/>
        </w:rPr>
        <w:footnoteRef/>
      </w:r>
      <w:r w:rsidRPr="00DB37CD">
        <w:rPr>
          <w:szCs w:val="26"/>
        </w:rPr>
        <w:t xml:space="preserve"> </w:t>
      </w:r>
      <w:r w:rsidR="006968EC" w:rsidRPr="00EA414A">
        <w:rPr>
          <w:i/>
          <w:iCs/>
        </w:rPr>
        <w:t>Id</w:t>
      </w:r>
      <w:r w:rsidRPr="000E4F1B">
        <w:rPr>
          <w:i/>
        </w:rPr>
        <w:t>.</w:t>
      </w:r>
    </w:p>
  </w:footnote>
  <w:footnote w:id="99">
    <w:p w14:paraId="79FFA0AA" w14:textId="33688C94" w:rsidR="00D46D2D" w:rsidRPr="001F1B07" w:rsidRDefault="00D46D2D" w:rsidP="00D46D2D">
      <w:pPr>
        <w:pStyle w:val="FootnoteText"/>
      </w:pPr>
      <w:r>
        <w:rPr>
          <w:rStyle w:val="FootnoteReference"/>
        </w:rPr>
        <w:footnoteRef/>
      </w:r>
      <w:r w:rsidDel="004D6E4A">
        <w:t xml:space="preserve"> </w:t>
      </w:r>
      <w:r>
        <w:rPr>
          <w:i/>
          <w:iCs/>
        </w:rPr>
        <w:t>See, e.g.</w:t>
      </w:r>
      <w:r>
        <w:t xml:space="preserve">, </w:t>
      </w:r>
      <w:r w:rsidRPr="00BC2261">
        <w:t>SPP TOs Rehearing Request at 7, 12-15 (</w:t>
      </w:r>
      <w:r>
        <w:t xml:space="preserve">alternately describing Order No. 1920-A as </w:t>
      </w:r>
      <w:r w:rsidRPr="00704430">
        <w:t>requir</w:t>
      </w:r>
      <w:r>
        <w:t>ing</w:t>
      </w:r>
      <w:r w:rsidRPr="00704430">
        <w:t xml:space="preserve"> transmission providers to include Relevant State Entities’ preferred Long-Term Regional Transmission Cost Allocation Method</w:t>
      </w:r>
      <w:r w:rsidR="00D54017" w:rsidRPr="00EE6850">
        <w:t>(</w:t>
      </w:r>
      <w:r w:rsidRPr="00EE6850">
        <w:t>s</w:t>
      </w:r>
      <w:r w:rsidR="00D54017" w:rsidRPr="00EE6850">
        <w:t>)</w:t>
      </w:r>
      <w:r w:rsidRPr="00704430">
        <w:t xml:space="preserve"> and/or State Agreement Process in their compliance filings</w:t>
      </w:r>
      <w:r>
        <w:t xml:space="preserve">, </w:t>
      </w:r>
      <w:r w:rsidRPr="00704430">
        <w:t>or as grant</w:t>
      </w:r>
      <w:r w:rsidR="00456EBE">
        <w:t>ing</w:t>
      </w:r>
      <w:r w:rsidRPr="00704430">
        <w:t xml:space="preserve"> “preferential filing privileges” to Relevant State Entities</w:t>
      </w:r>
      <w:r w:rsidRPr="00BC2261">
        <w:t>)</w:t>
      </w:r>
      <w:r w:rsidR="002E3CFF">
        <w:t xml:space="preserve">; Indicated PJM TOs Rehearing Request at </w:t>
      </w:r>
      <w:r w:rsidR="00E3657F">
        <w:t>6</w:t>
      </w:r>
      <w:r w:rsidR="002E3CFF">
        <w:t xml:space="preserve"> (</w:t>
      </w:r>
      <w:r w:rsidR="00A81BFE">
        <w:t>de</w:t>
      </w:r>
      <w:r w:rsidR="0080410D">
        <w:t xml:space="preserve">scribing </w:t>
      </w:r>
      <w:r w:rsidR="002775AA">
        <w:t xml:space="preserve">Order No. 1920-A as </w:t>
      </w:r>
      <w:r w:rsidR="00AE3E50">
        <w:t>“</w:t>
      </w:r>
      <w:r w:rsidR="0000046D">
        <w:t>granting filing rights</w:t>
      </w:r>
      <w:r w:rsidR="006C2AEC">
        <w:t>” to Relevant State Entities</w:t>
      </w:r>
      <w:r w:rsidR="00C01891">
        <w:t xml:space="preserve">); </w:t>
      </w:r>
      <w:r w:rsidR="003864D0">
        <w:t xml:space="preserve">MISO TOs Rehearing Request at </w:t>
      </w:r>
      <w:r w:rsidR="00BD03FA">
        <w:t>20</w:t>
      </w:r>
      <w:r w:rsidR="00015324">
        <w:t xml:space="preserve"> (</w:t>
      </w:r>
      <w:r w:rsidR="00B82B23">
        <w:t>describing Order No.</w:t>
      </w:r>
      <w:r w:rsidR="00285F99">
        <w:t> </w:t>
      </w:r>
      <w:r w:rsidR="00B82B23">
        <w:t>1920-A a “</w:t>
      </w:r>
      <w:proofErr w:type="spellStart"/>
      <w:r w:rsidR="00B82B23">
        <w:t>giv</w:t>
      </w:r>
      <w:proofErr w:type="spellEnd"/>
      <w:r w:rsidR="00B82B23">
        <w:t>[</w:t>
      </w:r>
      <w:proofErr w:type="spellStart"/>
      <w:r w:rsidR="00B82B23">
        <w:t>in</w:t>
      </w:r>
      <w:r w:rsidR="00985715">
        <w:t>g</w:t>
      </w:r>
      <w:proofErr w:type="spellEnd"/>
      <w:r w:rsidR="00985715">
        <w:t>] filing rights to Relevant State Entities”</w:t>
      </w:r>
      <w:r w:rsidR="00F13487">
        <w:t>).</w:t>
      </w:r>
    </w:p>
  </w:footnote>
  <w:footnote w:id="100">
    <w:p w14:paraId="5EC38F52" w14:textId="564DAB7E" w:rsidR="00D46D2D" w:rsidRPr="006356E5" w:rsidRDefault="00D46D2D" w:rsidP="00D46D2D">
      <w:pPr>
        <w:pStyle w:val="FootnoteText"/>
      </w:pPr>
      <w:r>
        <w:rPr>
          <w:rStyle w:val="FootnoteReference"/>
        </w:rPr>
        <w:footnoteRef/>
      </w:r>
      <w:r>
        <w:t xml:space="preserve"> </w:t>
      </w:r>
      <w:r>
        <w:rPr>
          <w:i/>
          <w:iCs/>
        </w:rPr>
        <w:t>See, e.g.</w:t>
      </w:r>
      <w:r>
        <w:t xml:space="preserve">, </w:t>
      </w:r>
      <w:r w:rsidRPr="006356E5">
        <w:t xml:space="preserve">MISO TOs </w:t>
      </w:r>
      <w:r w:rsidRPr="00E0490F">
        <w:t>Rehearing Request</w:t>
      </w:r>
      <w:r w:rsidRPr="006356E5">
        <w:t xml:space="preserve"> at 5-7 (</w:t>
      </w:r>
      <w:r>
        <w:t xml:space="preserve">arguing that </w:t>
      </w:r>
      <w:r w:rsidRPr="0065732C">
        <w:t>Order No. 1920-A disrupts th</w:t>
      </w:r>
      <w:r>
        <w:t>e</w:t>
      </w:r>
      <w:r w:rsidRPr="0065732C">
        <w:t xml:space="preserve"> balance </w:t>
      </w:r>
      <w:r>
        <w:t xml:space="preserve">between the filing rights afforded to public utilities under FPA section 205 versus </w:t>
      </w:r>
      <w:r w:rsidR="00174593">
        <w:t xml:space="preserve">those </w:t>
      </w:r>
      <w:r>
        <w:t>afforded to the Commission under FPA section 206</w:t>
      </w:r>
      <w:proofErr w:type="gramStart"/>
      <w:r>
        <w:t>);</w:t>
      </w:r>
      <w:proofErr w:type="gramEnd"/>
      <w:r w:rsidRPr="006356E5">
        <w:t xml:space="preserve"> </w:t>
      </w:r>
      <w:r w:rsidRPr="006356E5">
        <w:rPr>
          <w:i/>
          <w:iCs/>
        </w:rPr>
        <w:t>id.</w:t>
      </w:r>
      <w:r w:rsidRPr="006356E5">
        <w:t xml:space="preserve"> at 7-8</w:t>
      </w:r>
      <w:r>
        <w:t xml:space="preserve">; </w:t>
      </w:r>
      <w:r w:rsidRPr="006356E5">
        <w:t xml:space="preserve">SPP TOs </w:t>
      </w:r>
      <w:r>
        <w:t>Rehearing Request</w:t>
      </w:r>
      <w:r w:rsidRPr="006356E5">
        <w:t xml:space="preserve"> at 3</w:t>
      </w:r>
      <w:r>
        <w:t xml:space="preserve">; </w:t>
      </w:r>
      <w:r>
        <w:rPr>
          <w:i/>
          <w:iCs/>
        </w:rPr>
        <w:t>id.</w:t>
      </w:r>
      <w:r>
        <w:t xml:space="preserve"> at 4-5 (“T</w:t>
      </w:r>
      <w:r w:rsidRPr="0065732C">
        <w:t>he FPA’s distinction between section 205 and 206 filing rights is well-established and binding</w:t>
      </w:r>
      <w:r>
        <w:t xml:space="preserve"> </w:t>
      </w:r>
      <w:r w:rsidRPr="0065732C">
        <w:t>on the Commission</w:t>
      </w:r>
      <w:r>
        <w:t xml:space="preserve">.”); </w:t>
      </w:r>
      <w:r w:rsidRPr="006356E5">
        <w:t xml:space="preserve">EEI </w:t>
      </w:r>
      <w:r>
        <w:t>Rehearing Request</w:t>
      </w:r>
      <w:r w:rsidRPr="006356E5">
        <w:t xml:space="preserve"> at 7-8</w:t>
      </w:r>
      <w:r>
        <w:t xml:space="preserve">; </w:t>
      </w:r>
      <w:r w:rsidRPr="006356E5">
        <w:t xml:space="preserve">WIRES </w:t>
      </w:r>
      <w:r>
        <w:t xml:space="preserve">Rehearing Request </w:t>
      </w:r>
      <w:r w:rsidRPr="006356E5">
        <w:t>at 7-8</w:t>
      </w:r>
      <w:r>
        <w:t>, 10-11</w:t>
      </w:r>
      <w:r w:rsidR="00987E46">
        <w:t xml:space="preserve">; </w:t>
      </w:r>
      <w:r w:rsidR="00631669">
        <w:t xml:space="preserve">Indicated </w:t>
      </w:r>
      <w:r w:rsidR="00987E46">
        <w:t>PJM TOs Rehearing Request at 3-4</w:t>
      </w:r>
      <w:r>
        <w:t>.</w:t>
      </w:r>
    </w:p>
  </w:footnote>
  <w:footnote w:id="101">
    <w:p w14:paraId="66107545" w14:textId="49697DE7" w:rsidR="00042C2B" w:rsidRPr="008E3991" w:rsidRDefault="00042C2B" w:rsidP="00042C2B">
      <w:pPr>
        <w:pStyle w:val="FootnoteText"/>
      </w:pPr>
      <w:r>
        <w:rPr>
          <w:rStyle w:val="FootnoteReference"/>
        </w:rPr>
        <w:footnoteRef/>
      </w:r>
      <w:r>
        <w:t xml:space="preserve"> </w:t>
      </w:r>
      <w:r w:rsidR="00BE405A">
        <w:rPr>
          <w:i/>
          <w:iCs/>
        </w:rPr>
        <w:t xml:space="preserve">See, e.g., </w:t>
      </w:r>
      <w:r>
        <w:t xml:space="preserve">MISO TOs Rehearing Request at </w:t>
      </w:r>
      <w:proofErr w:type="gramStart"/>
      <w:r>
        <w:t>6-7;</w:t>
      </w:r>
      <w:proofErr w:type="gramEnd"/>
      <w:r>
        <w:t xml:space="preserve"> </w:t>
      </w:r>
      <w:r>
        <w:rPr>
          <w:i/>
          <w:iCs/>
        </w:rPr>
        <w:t>id.</w:t>
      </w:r>
      <w:r>
        <w:t xml:space="preserve"> at </w:t>
      </w:r>
      <w:r w:rsidR="00DE1C5C">
        <w:t>10-11</w:t>
      </w:r>
      <w:r>
        <w:t xml:space="preserve">; </w:t>
      </w:r>
      <w:r w:rsidRPr="008E3991">
        <w:t>(“</w:t>
      </w:r>
      <w:r>
        <w:t>[T]</w:t>
      </w:r>
      <w:r w:rsidRPr="008E3991">
        <w:t xml:space="preserve">he Commission uses its FPA section 206 authority to mandate a broad encroachment on transmission providers’ FPA section 205 filing rights. </w:t>
      </w:r>
      <w:r>
        <w:t xml:space="preserve"> </w:t>
      </w:r>
      <w:r w:rsidRPr="00E0490F">
        <w:t>Given this encumbrance, transmission providers will be unable to exercise the full breadth of their FPA section 205 rights.</w:t>
      </w:r>
      <w:r w:rsidRPr="008E3991">
        <w:t>”)</w:t>
      </w:r>
      <w:r>
        <w:t xml:space="preserve">; </w:t>
      </w:r>
      <w:r>
        <w:rPr>
          <w:i/>
          <w:iCs/>
        </w:rPr>
        <w:t>id.</w:t>
      </w:r>
      <w:r>
        <w:t xml:space="preserve"> at 24-27 (arguing also that</w:t>
      </w:r>
      <w:r w:rsidRPr="00CD24A5">
        <w:rPr>
          <w:bCs/>
        </w:rPr>
        <w:t xml:space="preserve"> even if</w:t>
      </w:r>
      <w:r>
        <w:rPr>
          <w:bCs/>
        </w:rPr>
        <w:t xml:space="preserve"> FPA</w:t>
      </w:r>
      <w:r w:rsidRPr="00CD24A5">
        <w:rPr>
          <w:bCs/>
        </w:rPr>
        <w:t xml:space="preserve"> sections 205 and 206 are ambiguous as to whether the Commission has this authority, a reviewing court will no longer afford the Commission’s interpretation deference</w:t>
      </w:r>
      <w:r>
        <w:rPr>
          <w:bCs/>
        </w:rPr>
        <w:t>)</w:t>
      </w:r>
      <w:r>
        <w:t>.</w:t>
      </w:r>
    </w:p>
  </w:footnote>
  <w:footnote w:id="102">
    <w:p w14:paraId="206FCAC9" w14:textId="4CE5E7BA" w:rsidR="00042C2B" w:rsidRPr="00EE1DBC" w:rsidRDefault="00042C2B" w:rsidP="00042C2B">
      <w:pPr>
        <w:pStyle w:val="FootnoteText"/>
      </w:pPr>
      <w:r>
        <w:rPr>
          <w:rStyle w:val="FootnoteReference"/>
        </w:rPr>
        <w:footnoteRef/>
      </w:r>
      <w:r>
        <w:t xml:space="preserve"> </w:t>
      </w:r>
      <w:r w:rsidR="00840671" w:rsidRPr="00EA414A">
        <w:rPr>
          <w:i/>
          <w:iCs/>
        </w:rPr>
        <w:t>Id</w:t>
      </w:r>
      <w:r w:rsidR="00840671" w:rsidRPr="00F30E0A">
        <w:rPr>
          <w:i/>
        </w:rPr>
        <w:t>.</w:t>
      </w:r>
      <w:r>
        <w:t xml:space="preserve"> at 18 (citing </w:t>
      </w:r>
      <w:r>
        <w:rPr>
          <w:i/>
          <w:iCs/>
        </w:rPr>
        <w:t xml:space="preserve">Mass. </w:t>
      </w:r>
      <w:proofErr w:type="spellStart"/>
      <w:r w:rsidR="00481713" w:rsidRPr="009307BC">
        <w:rPr>
          <w:i/>
          <w:iCs/>
        </w:rPr>
        <w:t>Dep</w:t>
      </w:r>
      <w:r w:rsidR="00AD51ED">
        <w:rPr>
          <w:i/>
          <w:iCs/>
        </w:rPr>
        <w:t>’</w:t>
      </w:r>
      <w:r w:rsidR="00481713" w:rsidRPr="009307BC">
        <w:rPr>
          <w:i/>
          <w:iCs/>
        </w:rPr>
        <w:t>t</w:t>
      </w:r>
      <w:proofErr w:type="spellEnd"/>
      <w:r w:rsidR="00481713" w:rsidRPr="009307BC">
        <w:rPr>
          <w:i/>
          <w:iCs/>
        </w:rPr>
        <w:t xml:space="preserve"> of Pub</w:t>
      </w:r>
      <w:r w:rsidR="00AD51ED">
        <w:rPr>
          <w:i/>
          <w:iCs/>
        </w:rPr>
        <w:t>.</w:t>
      </w:r>
      <w:r w:rsidR="00481713" w:rsidRPr="009307BC">
        <w:rPr>
          <w:i/>
          <w:iCs/>
        </w:rPr>
        <w:t xml:space="preserve"> Ut</w:t>
      </w:r>
      <w:r w:rsidR="00481713">
        <w:rPr>
          <w:i/>
          <w:iCs/>
        </w:rPr>
        <w:t>il</w:t>
      </w:r>
      <w:r w:rsidR="00481713" w:rsidRPr="009307BC">
        <w:rPr>
          <w:i/>
          <w:iCs/>
        </w:rPr>
        <w:t xml:space="preserve">s </w:t>
      </w:r>
      <w:r>
        <w:rPr>
          <w:i/>
          <w:iCs/>
        </w:rPr>
        <w:t>v. FERC</w:t>
      </w:r>
      <w:r>
        <w:t xml:space="preserve">, 729 F.2d </w:t>
      </w:r>
      <w:r w:rsidR="00AD51ED">
        <w:t>886,</w:t>
      </w:r>
      <w:r>
        <w:t xml:space="preserve"> 886-87</w:t>
      </w:r>
      <w:r w:rsidR="00AD51ED">
        <w:t xml:space="preserve"> (1st Cir. 1984</w:t>
      </w:r>
      <w:r w:rsidR="00147EA9">
        <w:t>) (</w:t>
      </w:r>
      <w:r w:rsidR="00147EA9" w:rsidRPr="009F63A8">
        <w:rPr>
          <w:i/>
          <w:iCs/>
        </w:rPr>
        <w:t>Mass</w:t>
      </w:r>
      <w:r w:rsidR="008D1B6F" w:rsidRPr="008D1B6F">
        <w:rPr>
          <w:i/>
          <w:iCs/>
        </w:rPr>
        <w:t>achusetts Department of Public Utilities</w:t>
      </w:r>
      <w:r w:rsidR="00147EA9">
        <w:t>)</w:t>
      </w:r>
      <w:r>
        <w:t>)</w:t>
      </w:r>
      <w:r w:rsidR="00FB53DB">
        <w:t>;</w:t>
      </w:r>
      <w:r w:rsidR="00FB53DB" w:rsidRPr="00FB53DB">
        <w:t xml:space="preserve"> </w:t>
      </w:r>
      <w:r w:rsidR="00FB53DB">
        <w:t xml:space="preserve">SPP TOs Rehearing Request at 4-5 (asserting that “states may not force public utilities to make section 205 filings”); </w:t>
      </w:r>
      <w:r w:rsidR="00FB53DB">
        <w:rPr>
          <w:i/>
          <w:iCs/>
        </w:rPr>
        <w:t>see also id.</w:t>
      </w:r>
      <w:r w:rsidR="00FB53DB">
        <w:t xml:space="preserve"> at 5-6 (arguing that circumstances in which public utilities voluntarily cede statutory filing rights to others are distinct from those in which the Commission attempts </w:t>
      </w:r>
      <w:r w:rsidR="007E32E5">
        <w:t>to</w:t>
      </w:r>
      <w:r w:rsidR="00FB53DB">
        <w:t xml:space="preserve"> encroach on those rights).</w:t>
      </w:r>
    </w:p>
  </w:footnote>
  <w:footnote w:id="103">
    <w:p w14:paraId="7BC33803" w14:textId="5C1EDA0E" w:rsidR="00042C2B" w:rsidRPr="004D4C17" w:rsidRDefault="00042C2B" w:rsidP="00042C2B">
      <w:pPr>
        <w:pStyle w:val="FootnoteText"/>
      </w:pPr>
      <w:r>
        <w:rPr>
          <w:rStyle w:val="FootnoteReference"/>
        </w:rPr>
        <w:footnoteRef/>
      </w:r>
      <w:r>
        <w:t xml:space="preserve"> Indicated PJM TOs Rehearing Request at </w:t>
      </w:r>
      <w:proofErr w:type="gramStart"/>
      <w:r>
        <w:t>2;</w:t>
      </w:r>
      <w:proofErr w:type="gramEnd"/>
      <w:r>
        <w:t xml:space="preserve"> </w:t>
      </w:r>
      <w:r>
        <w:rPr>
          <w:i/>
          <w:iCs/>
        </w:rPr>
        <w:t>id.</w:t>
      </w:r>
      <w:r>
        <w:t xml:space="preserve"> at 10-11.</w:t>
      </w:r>
      <w:r w:rsidR="004D4C17">
        <w:t xml:space="preserve">  </w:t>
      </w:r>
      <w:r w:rsidR="004D4C17">
        <w:rPr>
          <w:i/>
          <w:iCs/>
        </w:rPr>
        <w:t xml:space="preserve">See also </w:t>
      </w:r>
      <w:r w:rsidR="004D4C17">
        <w:t xml:space="preserve">EEI Rehearing Request at 6-8 (arguing that this requires utilities to file cost allocation methods they are opposed to and that the Commission did not identify text in the FPA authorizing this approach); </w:t>
      </w:r>
      <w:r w:rsidR="006D7C05">
        <w:t xml:space="preserve">WIRES </w:t>
      </w:r>
      <w:r w:rsidR="004D4C17">
        <w:t>Rehearing Request at 2, 15 (same).</w:t>
      </w:r>
    </w:p>
  </w:footnote>
  <w:footnote w:id="104">
    <w:p w14:paraId="44046313" w14:textId="41FE6575" w:rsidR="0044138A" w:rsidRPr="00362C85" w:rsidRDefault="0044138A" w:rsidP="0044138A">
      <w:pPr>
        <w:pStyle w:val="FootnoteText"/>
      </w:pPr>
      <w:r>
        <w:rPr>
          <w:rStyle w:val="FootnoteReference"/>
        </w:rPr>
        <w:footnoteRef/>
      </w:r>
      <w:r>
        <w:t xml:space="preserve"> </w:t>
      </w:r>
      <w:r>
        <w:rPr>
          <w:i/>
          <w:iCs/>
        </w:rPr>
        <w:t>See, e.g.</w:t>
      </w:r>
      <w:r>
        <w:t xml:space="preserve">, MISO TOs Rehearing Request at 5-6 (citing </w:t>
      </w:r>
      <w:r w:rsidRPr="00362C85">
        <w:rPr>
          <w:i/>
          <w:iCs/>
        </w:rPr>
        <w:t xml:space="preserve">Emera Me. v. </w:t>
      </w:r>
      <w:proofErr w:type="gramStart"/>
      <w:r w:rsidRPr="00362C85">
        <w:rPr>
          <w:i/>
          <w:iCs/>
        </w:rPr>
        <w:t>FERC</w:t>
      </w:r>
      <w:r w:rsidRPr="00362C85">
        <w:t xml:space="preserve">, </w:t>
      </w:r>
      <w:r w:rsidR="004977F1">
        <w:t xml:space="preserve">  </w:t>
      </w:r>
      <w:proofErr w:type="gramEnd"/>
      <w:r w:rsidR="004977F1">
        <w:t xml:space="preserve">   </w:t>
      </w:r>
      <w:r w:rsidRPr="00362C85">
        <w:t>854 F.3d 9, 24 (D.C. Cir. 2017)</w:t>
      </w:r>
      <w:r w:rsidR="00AA39C7">
        <w:t xml:space="preserve"> (</w:t>
      </w:r>
      <w:r w:rsidR="00AA39C7">
        <w:rPr>
          <w:i/>
          <w:iCs/>
        </w:rPr>
        <w:t>Emera Maine</w:t>
      </w:r>
      <w:r w:rsidR="00AA39C7">
        <w:t>)</w:t>
      </w:r>
      <w:r>
        <w:t xml:space="preserve">); </w:t>
      </w:r>
      <w:r>
        <w:rPr>
          <w:i/>
          <w:iCs/>
        </w:rPr>
        <w:t>id.</w:t>
      </w:r>
      <w:r>
        <w:t xml:space="preserve"> at 8-9, 11, 20, 25; Indicated PJM TOs Rehearing Request at 3-4, 19 n.69; </w:t>
      </w:r>
      <w:r>
        <w:rPr>
          <w:i/>
          <w:iCs/>
        </w:rPr>
        <w:t xml:space="preserve">see also </w:t>
      </w:r>
      <w:r>
        <w:t>SPP TOs Rehearing Request at 3.</w:t>
      </w:r>
    </w:p>
  </w:footnote>
  <w:footnote w:id="105">
    <w:p w14:paraId="7759A4DF" w14:textId="77777777" w:rsidR="0044138A" w:rsidRPr="003138DC" w:rsidRDefault="0044138A" w:rsidP="004977F1">
      <w:pPr>
        <w:pStyle w:val="FootnoteText"/>
        <w:widowControl/>
      </w:pPr>
      <w:r>
        <w:rPr>
          <w:rStyle w:val="FootnoteReference"/>
        </w:rPr>
        <w:footnoteRef/>
      </w:r>
      <w:r>
        <w:t xml:space="preserve"> </w:t>
      </w:r>
      <w:r>
        <w:rPr>
          <w:i/>
          <w:iCs/>
        </w:rPr>
        <w:t>See, e.g.</w:t>
      </w:r>
      <w:r>
        <w:t>, Indicated PJM TOs Rehearing Request at 2-3, 10, 16; MISO TOs Rehearing Request at 5, 8, 12-15; SPP TOs Rehearing Request at 5; EEI Rehearing Request at 6-8, 12-13; WIRES Rehearing Request at 6.</w:t>
      </w:r>
    </w:p>
  </w:footnote>
  <w:footnote w:id="106">
    <w:p w14:paraId="4516EF1B" w14:textId="4FBCED90" w:rsidR="0044138A" w:rsidRPr="003138DC" w:rsidRDefault="0044138A" w:rsidP="0044138A">
      <w:pPr>
        <w:pStyle w:val="FootnoteText"/>
      </w:pPr>
      <w:r>
        <w:rPr>
          <w:rStyle w:val="FootnoteReference"/>
        </w:rPr>
        <w:footnoteRef/>
      </w:r>
      <w:r>
        <w:t xml:space="preserve"> </w:t>
      </w:r>
      <w:r>
        <w:rPr>
          <w:i/>
          <w:iCs/>
        </w:rPr>
        <w:t>See, e.g.</w:t>
      </w:r>
      <w:r>
        <w:t>, WIRES Rehearing Request at 6, 8; EEI Rehearing Request at 10-11,</w:t>
      </w:r>
      <w:r w:rsidDel="0052059F">
        <w:t xml:space="preserve"> </w:t>
      </w:r>
      <w:r>
        <w:t>11 n.34; SPP TOs Rehearing Request at 9, 16 n.43, 19, 21; Indicated PJM TOs Rehearing Request at 7.</w:t>
      </w:r>
    </w:p>
  </w:footnote>
  <w:footnote w:id="107">
    <w:p w14:paraId="715ED31C" w14:textId="77777777" w:rsidR="009307BC" w:rsidRPr="007A1BAC" w:rsidRDefault="009307BC" w:rsidP="009307BC">
      <w:pPr>
        <w:pStyle w:val="FootnoteText"/>
      </w:pPr>
      <w:r>
        <w:rPr>
          <w:rStyle w:val="FootnoteReference"/>
        </w:rPr>
        <w:footnoteRef/>
      </w:r>
      <w:r>
        <w:t xml:space="preserve"> </w:t>
      </w:r>
      <w:r w:rsidRPr="007A1BAC">
        <w:t>295 F.3d 1 (D.C. Cir. 2002)</w:t>
      </w:r>
      <w:r>
        <w:t xml:space="preserve"> (</w:t>
      </w:r>
      <w:r>
        <w:rPr>
          <w:i/>
          <w:iCs/>
        </w:rPr>
        <w:t>Atlantic City I</w:t>
      </w:r>
      <w:r>
        <w:t xml:space="preserve">); </w:t>
      </w:r>
      <w:r>
        <w:rPr>
          <w:i/>
          <w:iCs/>
        </w:rPr>
        <w:t xml:space="preserve">see also </w:t>
      </w:r>
      <w:r w:rsidRPr="007A1BAC">
        <w:rPr>
          <w:i/>
          <w:iCs/>
        </w:rPr>
        <w:t>Atl. City Elec. Co. v. FERC</w:t>
      </w:r>
      <w:r w:rsidRPr="007A1BAC">
        <w:t>, 329 F.3d 856 (D.C. Cir. 2003)</w:t>
      </w:r>
      <w:r>
        <w:t xml:space="preserve"> (</w:t>
      </w:r>
      <w:r>
        <w:rPr>
          <w:i/>
          <w:iCs/>
        </w:rPr>
        <w:t>Atlantic City II</w:t>
      </w:r>
      <w:r>
        <w:t xml:space="preserve">) (granting a petition for review seeking to enforce the mandate of </w:t>
      </w:r>
      <w:r>
        <w:rPr>
          <w:i/>
          <w:iCs/>
        </w:rPr>
        <w:t>Atlantic City I</w:t>
      </w:r>
      <w:r>
        <w:t xml:space="preserve"> in response to the Commission’s order on remand after </w:t>
      </w:r>
      <w:r>
        <w:rPr>
          <w:i/>
          <w:iCs/>
        </w:rPr>
        <w:t>Atlantic City I</w:t>
      </w:r>
      <w:r>
        <w:t>).</w:t>
      </w:r>
    </w:p>
  </w:footnote>
  <w:footnote w:id="108">
    <w:p w14:paraId="5DD5D34E" w14:textId="7E0D598E" w:rsidR="009307BC" w:rsidRPr="00CB592C" w:rsidRDefault="009307BC" w:rsidP="009307BC">
      <w:pPr>
        <w:pStyle w:val="FootnoteText"/>
      </w:pPr>
      <w:r>
        <w:rPr>
          <w:rStyle w:val="FootnoteReference"/>
        </w:rPr>
        <w:footnoteRef/>
      </w:r>
      <w:r>
        <w:t xml:space="preserve"> </w:t>
      </w:r>
      <w:r>
        <w:rPr>
          <w:i/>
          <w:iCs/>
        </w:rPr>
        <w:t xml:space="preserve">See </w:t>
      </w:r>
      <w:r>
        <w:t xml:space="preserve">MISO TOs Rehearing Request at 11-15 (discussing </w:t>
      </w:r>
      <w:r>
        <w:rPr>
          <w:i/>
          <w:iCs/>
        </w:rPr>
        <w:t xml:space="preserve">Atlantic City I </w:t>
      </w:r>
      <w:r>
        <w:t xml:space="preserve">and </w:t>
      </w:r>
      <w:r>
        <w:rPr>
          <w:i/>
          <w:iCs/>
        </w:rPr>
        <w:t>Atlantic City II</w:t>
      </w:r>
      <w:r>
        <w:t>, and asserting that these cases “</w:t>
      </w:r>
      <w:r w:rsidRPr="00CB592C">
        <w:t>stand as foundational determinations about the lawful statutory framework created by Congress vesting certain rights in public utilities under FPA section 205 and other rights in the Commission under section 206, and denying the Commission authority to overextend its authority under FPA section 206 when directing public utilities on compliance</w:t>
      </w:r>
      <w:r>
        <w:t xml:space="preserve">”); Indicated PJM TOs Rehearing Request </w:t>
      </w:r>
      <w:r w:rsidR="004977F1">
        <w:t xml:space="preserve">      </w:t>
      </w:r>
      <w:r>
        <w:t xml:space="preserve">at 2, 6, 11-12 (arguing that the requirement to include Relevant State Entities’ </w:t>
      </w:r>
      <w:r w:rsidR="004977F1">
        <w:t xml:space="preserve">              </w:t>
      </w:r>
      <w:r w:rsidR="003D4FC0" w:rsidRPr="003D4FC0">
        <w:t>agreed-upon Long-Term Regional Transmission Cost Allocation Method(s) and/or State Agreement Process</w:t>
      </w:r>
      <w:r>
        <w:t xml:space="preserve"> in the transmittal or as an attachment to transmission providers’ compliance filing forces transmission providers to cede their exclusive rights to Relevant State Entities and grants Relevant State Entities rights not provided by the FPA); SPP TOs Rehearing Request at 4-5, 9, 11-16; EEI Rehearing Request at 8-9 (“</w:t>
      </w:r>
      <w:r w:rsidRPr="00AC4A23">
        <w:t xml:space="preserve">The precedent in </w:t>
      </w:r>
      <w:r w:rsidRPr="00AC4A23">
        <w:rPr>
          <w:i/>
          <w:iCs/>
        </w:rPr>
        <w:t>Atlantic City II</w:t>
      </w:r>
      <w:r w:rsidRPr="00AC4A23">
        <w:t>, is clear</w:t>
      </w:r>
      <w:r>
        <w:t>—</w:t>
      </w:r>
      <w:r w:rsidRPr="00AC4A23">
        <w:t xml:space="preserve">the Commission cannot condition or encumber a utility’s right under FPA section 205 to initiate rate changes, even as a result of an FPA </w:t>
      </w:r>
      <w:r w:rsidR="004977F1">
        <w:t xml:space="preserve">              </w:t>
      </w:r>
      <w:r w:rsidRPr="00AC4A23">
        <w:t>section 206 compliance direc</w:t>
      </w:r>
      <w:r>
        <w:t>tive.”); WIRES Rehearing Request at 5-6, 8, 10.</w:t>
      </w:r>
    </w:p>
  </w:footnote>
  <w:footnote w:id="109">
    <w:p w14:paraId="3D58D0AA" w14:textId="1E9CB0A5" w:rsidR="00431760" w:rsidRPr="00926B55" w:rsidRDefault="00431760">
      <w:pPr>
        <w:pStyle w:val="FootnoteText"/>
        <w:rPr>
          <w:i/>
        </w:rPr>
      </w:pPr>
      <w:r w:rsidRPr="000970DA">
        <w:rPr>
          <w:rStyle w:val="FootnoteReference"/>
        </w:rPr>
        <w:footnoteRef/>
      </w:r>
      <w:r w:rsidRPr="000970DA">
        <w:t xml:space="preserve"> 15 U.S.C. 717</w:t>
      </w:r>
      <w:r w:rsidR="008A3125" w:rsidRPr="000970DA">
        <w:t>,</w:t>
      </w:r>
      <w:r w:rsidRPr="000970DA">
        <w:t xml:space="preserve"> </w:t>
      </w:r>
      <w:r w:rsidRPr="000970DA">
        <w:rPr>
          <w:i/>
        </w:rPr>
        <w:t>et seq.</w:t>
      </w:r>
    </w:p>
  </w:footnote>
  <w:footnote w:id="110">
    <w:p w14:paraId="6F184B19" w14:textId="1975F847" w:rsidR="009307BC" w:rsidRPr="00190C7A" w:rsidRDefault="009307BC" w:rsidP="009307BC">
      <w:pPr>
        <w:pStyle w:val="FootnoteText"/>
      </w:pPr>
      <w:r>
        <w:rPr>
          <w:rStyle w:val="FootnoteReference"/>
        </w:rPr>
        <w:footnoteRef/>
      </w:r>
      <w:r>
        <w:t xml:space="preserve"> </w:t>
      </w:r>
      <w:r>
        <w:rPr>
          <w:i/>
          <w:iCs/>
        </w:rPr>
        <w:t>See, e.g.</w:t>
      </w:r>
      <w:r>
        <w:t xml:space="preserve">, </w:t>
      </w:r>
      <w:r w:rsidRPr="00190C7A">
        <w:t xml:space="preserve">SPP TOs </w:t>
      </w:r>
      <w:r>
        <w:t>Rehearing Request</w:t>
      </w:r>
      <w:r w:rsidRPr="00190C7A">
        <w:t xml:space="preserve"> at 5</w:t>
      </w:r>
      <w:r>
        <w:t xml:space="preserve"> (citing </w:t>
      </w:r>
      <w:r w:rsidRPr="00190C7A">
        <w:rPr>
          <w:i/>
          <w:iCs/>
        </w:rPr>
        <w:t>NRG Power Mktg.</w:t>
      </w:r>
      <w:r>
        <w:rPr>
          <w:i/>
          <w:iCs/>
        </w:rPr>
        <w:t>, LLC</w:t>
      </w:r>
      <w:r w:rsidRPr="00190C7A">
        <w:rPr>
          <w:i/>
          <w:iCs/>
        </w:rPr>
        <w:t xml:space="preserve"> v. FERC</w:t>
      </w:r>
      <w:r w:rsidRPr="00190C7A">
        <w:t>, 862 F.3d 108 (D.C. Cir. 2017)</w:t>
      </w:r>
      <w:r w:rsidR="00403D42">
        <w:t xml:space="preserve"> (</w:t>
      </w:r>
      <w:r w:rsidR="00403D42" w:rsidRPr="00F76033">
        <w:rPr>
          <w:i/>
          <w:iCs/>
        </w:rPr>
        <w:t>NRG Power Mktg.</w:t>
      </w:r>
      <w:r w:rsidR="00646C50">
        <w:t>)</w:t>
      </w:r>
      <w:r>
        <w:t xml:space="preserve">; </w:t>
      </w:r>
      <w:r w:rsidRPr="00190C7A">
        <w:rPr>
          <w:i/>
          <w:iCs/>
        </w:rPr>
        <w:t xml:space="preserve">Pub. Serv. Comm’n </w:t>
      </w:r>
      <w:r>
        <w:rPr>
          <w:i/>
          <w:iCs/>
        </w:rPr>
        <w:t xml:space="preserve">of N.Y. </w:t>
      </w:r>
      <w:r w:rsidRPr="00190C7A">
        <w:rPr>
          <w:i/>
          <w:iCs/>
        </w:rPr>
        <w:t>v. FERC</w:t>
      </w:r>
      <w:r w:rsidRPr="00190C7A">
        <w:t>, 866 F.2d 487, 488-89 (D.C. Cir. 1989)</w:t>
      </w:r>
      <w:r w:rsidR="000631F8">
        <w:t xml:space="preserve"> (</w:t>
      </w:r>
      <w:r w:rsidR="000631F8">
        <w:rPr>
          <w:i/>
          <w:iCs/>
        </w:rPr>
        <w:t>NYPSC</w:t>
      </w:r>
      <w:r w:rsidRPr="00F65B26">
        <w:t>)</w:t>
      </w:r>
      <w:r w:rsidRPr="00190C7A">
        <w:t xml:space="preserve">; </w:t>
      </w:r>
      <w:r w:rsidRPr="00190C7A">
        <w:rPr>
          <w:i/>
          <w:iCs/>
        </w:rPr>
        <w:t>W</w:t>
      </w:r>
      <w:r>
        <w:rPr>
          <w:i/>
          <w:iCs/>
        </w:rPr>
        <w:t xml:space="preserve">. </w:t>
      </w:r>
      <w:r w:rsidRPr="00190C7A">
        <w:rPr>
          <w:i/>
          <w:iCs/>
        </w:rPr>
        <w:t>Res., Inc. v. FERC</w:t>
      </w:r>
      <w:r w:rsidRPr="00190C7A">
        <w:t>, 9 F.3d 1568, 1578 (D.C. Cir. 1993)</w:t>
      </w:r>
      <w:r w:rsidR="006D418D">
        <w:t xml:space="preserve"> (</w:t>
      </w:r>
      <w:r w:rsidR="006D418D">
        <w:rPr>
          <w:i/>
          <w:iCs/>
        </w:rPr>
        <w:t>Western Resources</w:t>
      </w:r>
      <w:r w:rsidR="006D418D">
        <w:t>)</w:t>
      </w:r>
      <w:r w:rsidRPr="00190C7A">
        <w:t>;</w:t>
      </w:r>
      <w:r>
        <w:t xml:space="preserve"> </w:t>
      </w:r>
      <w:r w:rsidRPr="00190C7A">
        <w:rPr>
          <w:i/>
          <w:iCs/>
        </w:rPr>
        <w:t>Consumers Energy Co. v. FERC</w:t>
      </w:r>
      <w:r w:rsidRPr="00190C7A">
        <w:t xml:space="preserve">, </w:t>
      </w:r>
      <w:r w:rsidR="004977F1">
        <w:t xml:space="preserve">              </w:t>
      </w:r>
      <w:r w:rsidRPr="00190C7A">
        <w:t xml:space="preserve">226 F.3d 777, 780 (6th Cir. 2000); </w:t>
      </w:r>
      <w:r w:rsidRPr="00190C7A">
        <w:rPr>
          <w:i/>
          <w:iCs/>
        </w:rPr>
        <w:t>Louisiana</w:t>
      </w:r>
      <w:r>
        <w:rPr>
          <w:i/>
          <w:iCs/>
        </w:rPr>
        <w:t xml:space="preserve"> </w:t>
      </w:r>
      <w:r w:rsidRPr="00190C7A">
        <w:rPr>
          <w:i/>
          <w:iCs/>
        </w:rPr>
        <w:t>v. FPC</w:t>
      </w:r>
      <w:r w:rsidRPr="00190C7A">
        <w:t>, 503 F.2d 844, 861 (5th Cir. 1974)</w:t>
      </w:r>
      <w:r>
        <w:t xml:space="preserve">); MISO TOs Rehearing Request at 9, 16 (citing </w:t>
      </w:r>
      <w:r w:rsidRPr="00190C7A">
        <w:rPr>
          <w:i/>
          <w:iCs/>
        </w:rPr>
        <w:t>NRG Power Mktg.</w:t>
      </w:r>
      <w:r w:rsidRPr="00190C7A">
        <w:t xml:space="preserve">, 862 F.3d 108; </w:t>
      </w:r>
      <w:r w:rsidRPr="00190C7A">
        <w:rPr>
          <w:i/>
          <w:iCs/>
        </w:rPr>
        <w:t>Emera M</w:t>
      </w:r>
      <w:r w:rsidR="00AA39C7">
        <w:rPr>
          <w:i/>
          <w:iCs/>
        </w:rPr>
        <w:t>ain</w:t>
      </w:r>
      <w:r w:rsidRPr="00190C7A">
        <w:rPr>
          <w:i/>
          <w:iCs/>
        </w:rPr>
        <w:t>e</w:t>
      </w:r>
      <w:r w:rsidRPr="00190C7A">
        <w:t xml:space="preserve">, 854 F.3d 9; </w:t>
      </w:r>
      <w:r w:rsidRPr="00190C7A">
        <w:rPr>
          <w:i/>
          <w:iCs/>
        </w:rPr>
        <w:t>PJM Power Providers Grp. v. FERC</w:t>
      </w:r>
      <w:r w:rsidRPr="00190C7A">
        <w:t>, 88 F.4th 250</w:t>
      </w:r>
      <w:r>
        <w:t>, 270 n.122</w:t>
      </w:r>
      <w:r w:rsidRPr="00190C7A">
        <w:t xml:space="preserve"> </w:t>
      </w:r>
      <w:r w:rsidR="004977F1">
        <w:t xml:space="preserve">              </w:t>
      </w:r>
      <w:proofErr w:type="gramStart"/>
      <w:r w:rsidR="004977F1">
        <w:t xml:space="preserve">   </w:t>
      </w:r>
      <w:r w:rsidRPr="00190C7A">
        <w:t>(</w:t>
      </w:r>
      <w:proofErr w:type="gramEnd"/>
      <w:r w:rsidRPr="00190C7A">
        <w:t>3d Cir. 2023)</w:t>
      </w:r>
      <w:r>
        <w:t>)</w:t>
      </w:r>
      <w:r w:rsidRPr="00190C7A">
        <w:t xml:space="preserve">. </w:t>
      </w:r>
    </w:p>
  </w:footnote>
  <w:footnote w:id="111">
    <w:p w14:paraId="1205F047" w14:textId="2AF79BDE" w:rsidR="009307BC" w:rsidRPr="004C2B6D" w:rsidRDefault="009307BC" w:rsidP="009307BC">
      <w:pPr>
        <w:pStyle w:val="FootnoteText"/>
      </w:pPr>
      <w:r>
        <w:rPr>
          <w:rStyle w:val="FootnoteReference"/>
        </w:rPr>
        <w:footnoteRef/>
      </w:r>
      <w:r>
        <w:t xml:space="preserve"> </w:t>
      </w:r>
      <w:r w:rsidRPr="00CB592C">
        <w:t>729 F.2d</w:t>
      </w:r>
      <w:r w:rsidR="009C2A91">
        <w:t xml:space="preserve"> </w:t>
      </w:r>
      <w:r w:rsidR="006106D2">
        <w:t>at</w:t>
      </w:r>
      <w:r w:rsidRPr="00CB592C">
        <w:t xml:space="preserve"> 888</w:t>
      </w:r>
      <w:r>
        <w:t>.</w:t>
      </w:r>
    </w:p>
  </w:footnote>
  <w:footnote w:id="112">
    <w:p w14:paraId="08DF8061" w14:textId="5B6EA390" w:rsidR="009307BC" w:rsidRPr="00EF54D4" w:rsidRDefault="009307BC" w:rsidP="009307BC">
      <w:pPr>
        <w:pStyle w:val="FootnoteText"/>
      </w:pPr>
      <w:r>
        <w:rPr>
          <w:rStyle w:val="FootnoteReference"/>
        </w:rPr>
        <w:footnoteRef/>
      </w:r>
      <w:r>
        <w:t xml:space="preserve"> SPP TOs Rehearing Request at 4-5; EEI Rehearing Request at 8 n.27;</w:t>
      </w:r>
      <w:r>
        <w:rPr>
          <w:i/>
          <w:iCs/>
        </w:rPr>
        <w:t xml:space="preserve"> </w:t>
      </w:r>
      <w:r>
        <w:t xml:space="preserve">Indicated PJM TOs Rehearing Request at 6, 10; </w:t>
      </w:r>
      <w:r>
        <w:rPr>
          <w:i/>
          <w:iCs/>
        </w:rPr>
        <w:t xml:space="preserve">see also </w:t>
      </w:r>
      <w:r>
        <w:t xml:space="preserve">MISO TOs Rehearing Request at 9, 18, 25. </w:t>
      </w:r>
    </w:p>
  </w:footnote>
  <w:footnote w:id="113">
    <w:p w14:paraId="7389786F" w14:textId="3504A621" w:rsidR="00CA0B0B" w:rsidRDefault="00CA0B0B" w:rsidP="00CA0B0B">
      <w:pPr>
        <w:pStyle w:val="FootnoteText"/>
      </w:pPr>
      <w:r>
        <w:rPr>
          <w:rStyle w:val="FootnoteReference"/>
        </w:rPr>
        <w:footnoteRef/>
      </w:r>
      <w:r>
        <w:t xml:space="preserve"> </w:t>
      </w:r>
      <w:r w:rsidRPr="00AA3FBC">
        <w:t xml:space="preserve">MISO TOs </w:t>
      </w:r>
      <w:r>
        <w:t>Rehearing Request</w:t>
      </w:r>
      <w:r w:rsidRPr="00AA3FBC">
        <w:t xml:space="preserve"> at 16-19</w:t>
      </w:r>
      <w:r>
        <w:t xml:space="preserve"> (arguing that this effectively forces transmission providers to make FPA section 205 filings that are not their own; also characterizing this as involuntarily transferring to Relevant State Entities the right to make FPA section 205 filings to make rate changes</w:t>
      </w:r>
      <w:r w:rsidRPr="00AA3FBC">
        <w:t xml:space="preserve"> (citing </w:t>
      </w:r>
      <w:r w:rsidRPr="00AA3FBC">
        <w:rPr>
          <w:i/>
          <w:iCs/>
        </w:rPr>
        <w:t>Atlantic City I</w:t>
      </w:r>
      <w:r w:rsidR="00987813">
        <w:t xml:space="preserve">, </w:t>
      </w:r>
      <w:r w:rsidR="00987813" w:rsidRPr="007A1BAC">
        <w:t>295 F.3d</w:t>
      </w:r>
      <w:r w:rsidRPr="00AA3FBC">
        <w:rPr>
          <w:i/>
          <w:iCs/>
        </w:rPr>
        <w:t xml:space="preserve"> </w:t>
      </w:r>
      <w:r w:rsidR="004977F1">
        <w:rPr>
          <w:i/>
          <w:iCs/>
        </w:rPr>
        <w:t xml:space="preserve">              </w:t>
      </w:r>
      <w:r w:rsidRPr="00AA3FBC">
        <w:t xml:space="preserve">at 9-11; </w:t>
      </w:r>
      <w:r w:rsidRPr="00AA3FBC">
        <w:rPr>
          <w:i/>
          <w:iCs/>
        </w:rPr>
        <w:t>Atlantic City II</w:t>
      </w:r>
      <w:r w:rsidR="00065C36">
        <w:t>,</w:t>
      </w:r>
      <w:r w:rsidRPr="00AA3FBC">
        <w:rPr>
          <w:i/>
          <w:iCs/>
        </w:rPr>
        <w:t xml:space="preserve"> </w:t>
      </w:r>
      <w:r w:rsidR="00065C36" w:rsidRPr="007A1BAC">
        <w:t xml:space="preserve">329 F.3d </w:t>
      </w:r>
      <w:r w:rsidRPr="00AA3FBC">
        <w:t xml:space="preserve">at 858-59; </w:t>
      </w:r>
      <w:r w:rsidRPr="00AA3FBC">
        <w:rPr>
          <w:i/>
          <w:iCs/>
        </w:rPr>
        <w:t>NRG Power Mktg.</w:t>
      </w:r>
      <w:r w:rsidRPr="00AA3FBC">
        <w:t xml:space="preserve">, 862 F.3d at 114; </w:t>
      </w:r>
      <w:r w:rsidRPr="00AA3FBC">
        <w:rPr>
          <w:i/>
          <w:iCs/>
        </w:rPr>
        <w:t>PJM Power Providers Grp.</w:t>
      </w:r>
      <w:r w:rsidRPr="00AA3FBC">
        <w:t xml:space="preserve">, 88 F.4th at 270 n.122; </w:t>
      </w:r>
      <w:r w:rsidRPr="00AA3FBC">
        <w:rPr>
          <w:i/>
          <w:iCs/>
        </w:rPr>
        <w:t>Emera M</w:t>
      </w:r>
      <w:r w:rsidR="00AA39C7">
        <w:rPr>
          <w:i/>
          <w:iCs/>
        </w:rPr>
        <w:t>ain</w:t>
      </w:r>
      <w:r w:rsidRPr="00AA3FBC">
        <w:rPr>
          <w:i/>
          <w:iCs/>
        </w:rPr>
        <w:t>e</w:t>
      </w:r>
      <w:r w:rsidRPr="00AA3FBC">
        <w:t>, 854 F.3d at 24)</w:t>
      </w:r>
      <w:r w:rsidR="00520AC1">
        <w:t>)</w:t>
      </w:r>
      <w:r>
        <w:t>.</w:t>
      </w:r>
    </w:p>
  </w:footnote>
  <w:footnote w:id="114">
    <w:p w14:paraId="7BDE2159" w14:textId="0CA48BBF" w:rsidR="00CA0B0B" w:rsidRPr="00AA3FBC" w:rsidRDefault="00CA0B0B" w:rsidP="00CA0B0B">
      <w:pPr>
        <w:pStyle w:val="FootnoteText"/>
      </w:pPr>
      <w:r>
        <w:rPr>
          <w:rStyle w:val="FootnoteReference"/>
        </w:rPr>
        <w:footnoteRef/>
      </w:r>
      <w:r>
        <w:t xml:space="preserve"> </w:t>
      </w:r>
      <w:r>
        <w:rPr>
          <w:i/>
          <w:iCs/>
        </w:rPr>
        <w:t>See id.</w:t>
      </w:r>
      <w:r>
        <w:t xml:space="preserve"> at 16-17 (noting that, under Order No. 1920, filing a Relevant State Entit</w:t>
      </w:r>
      <w:r w:rsidR="00B46166">
        <w:t>y’</w:t>
      </w:r>
      <w:r>
        <w:t>s proposed Long-Term Regional Transmission Cost Allocation Method was voluntary).</w:t>
      </w:r>
    </w:p>
  </w:footnote>
  <w:footnote w:id="115">
    <w:p w14:paraId="13B24A3F" w14:textId="56BA4546" w:rsidR="00CA0B0B" w:rsidRDefault="00CA0B0B" w:rsidP="00CA0B0B">
      <w:pPr>
        <w:pStyle w:val="FootnoteText"/>
      </w:pPr>
      <w:r>
        <w:rPr>
          <w:rStyle w:val="FootnoteReference"/>
        </w:rPr>
        <w:footnoteRef/>
      </w:r>
      <w:r>
        <w:t xml:space="preserve"> Indicated PJM TOs Rehearing Request at 11-12 (citing 16 U.S.C. 824d; </w:t>
      </w:r>
      <w:r w:rsidRPr="00061DAF">
        <w:rPr>
          <w:i/>
          <w:iCs/>
        </w:rPr>
        <w:t>Atlantic City</w:t>
      </w:r>
      <w:r w:rsidR="00BC291B">
        <w:rPr>
          <w:i/>
          <w:iCs/>
        </w:rPr>
        <w:t xml:space="preserve"> I</w:t>
      </w:r>
      <w:r w:rsidRPr="00061DAF">
        <w:t xml:space="preserve">, 295 F.2d at 9-11; </w:t>
      </w:r>
      <w:r w:rsidR="003E5EB5" w:rsidRPr="003E5EB5">
        <w:rPr>
          <w:i/>
          <w:iCs/>
        </w:rPr>
        <w:t>Massachusetts Department of Public Utilities</w:t>
      </w:r>
      <w:r w:rsidRPr="00061DAF">
        <w:t>, 729 F.2d at 888</w:t>
      </w:r>
      <w:r>
        <w:t>).</w:t>
      </w:r>
    </w:p>
  </w:footnote>
  <w:footnote w:id="116">
    <w:p w14:paraId="39D7108E" w14:textId="56EFAC1E" w:rsidR="00CA0B0B" w:rsidRPr="00DD1D46" w:rsidRDefault="00CA0B0B" w:rsidP="00CA0B0B">
      <w:pPr>
        <w:pStyle w:val="FootnoteText"/>
      </w:pPr>
      <w:r>
        <w:rPr>
          <w:rStyle w:val="FootnoteReference"/>
        </w:rPr>
        <w:footnoteRef/>
      </w:r>
      <w:r>
        <w:t xml:space="preserve"> EEI Rehearing Request at 8 (citing </w:t>
      </w:r>
      <w:r>
        <w:rPr>
          <w:i/>
          <w:iCs/>
        </w:rPr>
        <w:t>Atlantic City II</w:t>
      </w:r>
      <w:r>
        <w:t xml:space="preserve">, </w:t>
      </w:r>
      <w:r w:rsidRPr="00FE6711">
        <w:t xml:space="preserve">329 F.3d </w:t>
      </w:r>
      <w:r>
        <w:t>at</w:t>
      </w:r>
      <w:r w:rsidRPr="00FE6711">
        <w:t xml:space="preserve"> 858-5</w:t>
      </w:r>
      <w:r>
        <w:t xml:space="preserve">9) (arguing that the Commission “acknowledges this when it concedes that it </w:t>
      </w:r>
      <w:r w:rsidRPr="0085497F">
        <w:t xml:space="preserve">generally does not consider </w:t>
      </w:r>
      <w:r>
        <w:t xml:space="preserve">alternate </w:t>
      </w:r>
      <w:r w:rsidRPr="0085497F">
        <w:t xml:space="preserve">compliance proposals other than those filed by the relevant </w:t>
      </w:r>
      <w:r>
        <w:t xml:space="preserve">public </w:t>
      </w:r>
      <w:r w:rsidRPr="0085497F">
        <w:t>utility</w:t>
      </w:r>
      <w:r>
        <w:t xml:space="preserve">” (quotation marks omitted)); </w:t>
      </w:r>
      <w:r>
        <w:rPr>
          <w:i/>
          <w:iCs/>
        </w:rPr>
        <w:t>see id.</w:t>
      </w:r>
      <w:r>
        <w:t xml:space="preserve"> at 9-12 (arguing that under the FPA the Commission may not, in setting a replacement rate, </w:t>
      </w:r>
      <w:r w:rsidRPr="0085497F">
        <w:t>divest public utilities of their filing rights and give them</w:t>
      </w:r>
      <w:r>
        <w:t xml:space="preserve"> to Relevant State Entities).</w:t>
      </w:r>
    </w:p>
  </w:footnote>
  <w:footnote w:id="117">
    <w:p w14:paraId="0AA2DDDF" w14:textId="77777777" w:rsidR="00CA0B0B" w:rsidRPr="004D6101" w:rsidRDefault="00CA0B0B" w:rsidP="00CA0B0B">
      <w:pPr>
        <w:pStyle w:val="FootnoteText"/>
      </w:pPr>
      <w:r>
        <w:rPr>
          <w:rStyle w:val="FootnoteReference"/>
        </w:rPr>
        <w:footnoteRef/>
      </w:r>
      <w:r>
        <w:t xml:space="preserve"> SPP TOs Rehearing Request at 13; </w:t>
      </w:r>
      <w:r>
        <w:rPr>
          <w:i/>
          <w:iCs/>
        </w:rPr>
        <w:t>see id.</w:t>
      </w:r>
      <w:r>
        <w:t xml:space="preserve"> at 14 (“</w:t>
      </w:r>
      <w:r w:rsidRPr="001C2783">
        <w:t>The FPA does not contemplate any party, including states, being allowed to make</w:t>
      </w:r>
      <w:r>
        <w:t xml:space="preserve"> </w:t>
      </w:r>
      <w:r w:rsidRPr="001C2783">
        <w:t xml:space="preserve">compliance filings on a regulated public utility’s behalf. </w:t>
      </w:r>
      <w:r>
        <w:t xml:space="preserve"> </w:t>
      </w:r>
      <w:r w:rsidRPr="001C2783">
        <w:t>Nor does it authorize third parties to</w:t>
      </w:r>
      <w:r>
        <w:t xml:space="preserve"> </w:t>
      </w:r>
      <w:r w:rsidRPr="001C2783">
        <w:t>somehow join or commandeer a public utility’s compliance filing.</w:t>
      </w:r>
      <w:r>
        <w:t xml:space="preserve">”); </w:t>
      </w:r>
      <w:r>
        <w:rPr>
          <w:i/>
          <w:iCs/>
        </w:rPr>
        <w:t>id.</w:t>
      </w:r>
      <w:r>
        <w:t xml:space="preserve"> at 17 (“</w:t>
      </w:r>
      <w:r w:rsidRPr="007471C4">
        <w:t>The fact that states are unable to file cost allocation methods themselves and must instead</w:t>
      </w:r>
      <w:r>
        <w:t xml:space="preserve"> </w:t>
      </w:r>
      <w:r w:rsidRPr="007471C4">
        <w:t>either comment on transmission providers’ proposals or file section 206 complaints is exactly what</w:t>
      </w:r>
      <w:r>
        <w:t xml:space="preserve"> </w:t>
      </w:r>
      <w:r w:rsidRPr="007471C4">
        <w:t>the FPA requires</w:t>
      </w:r>
      <w:r>
        <w:t>.” (quotation marks omitted)).</w:t>
      </w:r>
    </w:p>
  </w:footnote>
  <w:footnote w:id="118">
    <w:p w14:paraId="25267607" w14:textId="77777777" w:rsidR="00CA0B0B" w:rsidRPr="00872A7D" w:rsidRDefault="00CA0B0B" w:rsidP="00CA0B0B">
      <w:pPr>
        <w:pStyle w:val="FootnoteText"/>
      </w:pPr>
      <w:r>
        <w:rPr>
          <w:rStyle w:val="FootnoteReference"/>
        </w:rPr>
        <w:footnoteRef/>
      </w:r>
      <w:r>
        <w:t xml:space="preserve"> WIRES Rehearing Request at 11-12; </w:t>
      </w:r>
      <w:r>
        <w:rPr>
          <w:i/>
          <w:iCs/>
        </w:rPr>
        <w:t>id.</w:t>
      </w:r>
      <w:r>
        <w:t xml:space="preserve"> at 13 (“[B]</w:t>
      </w:r>
      <w:r w:rsidRPr="00D11A96">
        <w:t>y requiring a transmission provider to include in its compliance filing a state-agreed upon method or process, the transmission provider is forced to share its statutory filing rights with another entity under a just and reasonable stand</w:t>
      </w:r>
      <w:r>
        <w:t>ard.”).</w:t>
      </w:r>
    </w:p>
  </w:footnote>
  <w:footnote w:id="119">
    <w:p w14:paraId="4F8A9EFE" w14:textId="6F2740D4" w:rsidR="00CA0B0B" w:rsidRPr="00E403CF" w:rsidRDefault="00CA0B0B" w:rsidP="00CA0B0B">
      <w:pPr>
        <w:pStyle w:val="FootnoteText"/>
      </w:pPr>
      <w:r>
        <w:rPr>
          <w:rStyle w:val="FootnoteReference"/>
        </w:rPr>
        <w:footnoteRef/>
      </w:r>
      <w:r>
        <w:t xml:space="preserve"> </w:t>
      </w:r>
      <w:r>
        <w:rPr>
          <w:i/>
          <w:iCs/>
        </w:rPr>
        <w:t>See id.</w:t>
      </w:r>
      <w:r>
        <w:t xml:space="preserve"> at 13-14 (arguing that the Commission has not previously taken the approach set forth in Order No. 1920-A and that, as the Commission recognizes, transmission planning is the tariff obligation of transmission providers); </w:t>
      </w:r>
      <w:r>
        <w:rPr>
          <w:i/>
          <w:iCs/>
        </w:rPr>
        <w:t>see also id.</w:t>
      </w:r>
      <w:r>
        <w:t xml:space="preserve"> </w:t>
      </w:r>
      <w:r w:rsidR="004977F1">
        <w:t xml:space="preserve">              </w:t>
      </w:r>
      <w:r>
        <w:t>at 10-11 (</w:t>
      </w:r>
      <w:r w:rsidRPr="00C54D09">
        <w:t xml:space="preserve">“Procedurally, the public utility’s obligation under compliance is the same as that under FPA section 205, </w:t>
      </w:r>
      <w:r w:rsidRPr="00C54D09">
        <w:rPr>
          <w:i/>
          <w:iCs/>
        </w:rPr>
        <w:t>i.e.</w:t>
      </w:r>
      <w:r w:rsidRPr="00C54D09">
        <w:t>, the public utility must submit a just and reasonable ra</w:t>
      </w:r>
      <w:r>
        <w:t xml:space="preserve">te.”); </w:t>
      </w:r>
      <w:r>
        <w:rPr>
          <w:i/>
          <w:iCs/>
        </w:rPr>
        <w:t>id.</w:t>
      </w:r>
      <w:r>
        <w:t xml:space="preserve"> at 15-16 </w:t>
      </w:r>
      <w:r w:rsidRPr="00AE3096">
        <w:t xml:space="preserve">(“Whether a filing </w:t>
      </w:r>
      <w:r>
        <w:t>i</w:t>
      </w:r>
      <w:r w:rsidRPr="00AE3096">
        <w:t>s submitted under FPA section 205 or 206, the public utility’s filing is equally subject to a just and reasonable standard, as both statutory provisions ultimately rely on the same standard</w:t>
      </w:r>
      <w:r>
        <w:t>.</w:t>
      </w:r>
      <w:r w:rsidRPr="00AE3096">
        <w:t>”)</w:t>
      </w:r>
      <w:r>
        <w:t xml:space="preserve">; </w:t>
      </w:r>
      <w:r>
        <w:rPr>
          <w:i/>
          <w:iCs/>
        </w:rPr>
        <w:t xml:space="preserve">cf. </w:t>
      </w:r>
      <w:r w:rsidR="00A41299">
        <w:t xml:space="preserve">SPP TOs </w:t>
      </w:r>
      <w:r w:rsidR="004805BF">
        <w:t xml:space="preserve">Rehearing Request </w:t>
      </w:r>
      <w:r>
        <w:t>at 30 (claiming that “[t]</w:t>
      </w:r>
      <w:r w:rsidRPr="00C50A62">
        <w:t>he Commission failed to acknowledge that it was changing policy when it decided to afford</w:t>
      </w:r>
      <w:r>
        <w:t xml:space="preserve"> </w:t>
      </w:r>
      <w:r w:rsidRPr="00C50A62">
        <w:t>public utility and state proposals equal status when the Commission’s previous approach was to</w:t>
      </w:r>
      <w:r>
        <w:t xml:space="preserve"> </w:t>
      </w:r>
      <w:r w:rsidRPr="00C50A62">
        <w:t>favor compliance proposals by the regulated entities that were the actual subject of compliance</w:t>
      </w:r>
      <w:r>
        <w:t xml:space="preserve"> </w:t>
      </w:r>
      <w:r w:rsidRPr="00C50A62">
        <w:t>mandates</w:t>
      </w:r>
      <w:r>
        <w:t>”).</w:t>
      </w:r>
    </w:p>
  </w:footnote>
  <w:footnote w:id="120">
    <w:p w14:paraId="355AFA9F" w14:textId="0308F37A" w:rsidR="00191A20" w:rsidRDefault="00191A20" w:rsidP="004977F1">
      <w:pPr>
        <w:pStyle w:val="FootnoteText"/>
        <w:widowControl/>
      </w:pPr>
      <w:r>
        <w:rPr>
          <w:rStyle w:val="FootnoteReference"/>
        </w:rPr>
        <w:footnoteRef/>
      </w:r>
      <w:r>
        <w:t xml:space="preserve"> MISO TOs Rehearing Request at 19 (quoting </w:t>
      </w:r>
      <w:r w:rsidRPr="005321AF">
        <w:t>Order No. 1920</w:t>
      </w:r>
      <w:r>
        <w:t>-A</w:t>
      </w:r>
      <w:r w:rsidRPr="005321AF">
        <w:t>,</w:t>
      </w:r>
      <w:r>
        <w:t xml:space="preserve"> </w:t>
      </w:r>
      <w:r w:rsidRPr="00AD0002">
        <w:t>189 FERC ¶</w:t>
      </w:r>
      <w:r w:rsidR="00834DBE">
        <w:t> </w:t>
      </w:r>
      <w:r w:rsidRPr="00AD0002">
        <w:t>61,126</w:t>
      </w:r>
      <w:r>
        <w:t xml:space="preserve"> at P 654 n.1651).  </w:t>
      </w:r>
    </w:p>
  </w:footnote>
  <w:footnote w:id="121">
    <w:p w14:paraId="03EB5E90" w14:textId="5B69A345" w:rsidR="00191A20" w:rsidRPr="00844E87" w:rsidRDefault="00191A20" w:rsidP="00191A20">
      <w:pPr>
        <w:pStyle w:val="FootnoteText"/>
      </w:pPr>
      <w:r>
        <w:rPr>
          <w:rStyle w:val="FootnoteReference"/>
        </w:rPr>
        <w:footnoteRef/>
      </w:r>
      <w:r>
        <w:t xml:space="preserve"> </w:t>
      </w:r>
      <w:r w:rsidR="002C1C19">
        <w:t>WIRES Rehearing Request at 13</w:t>
      </w:r>
      <w:r>
        <w:t xml:space="preserve"> (quoting </w:t>
      </w:r>
      <w:r w:rsidRPr="005321AF">
        <w:t>Order No. 1920</w:t>
      </w:r>
      <w:r>
        <w:t>-A</w:t>
      </w:r>
      <w:r w:rsidRPr="005321AF">
        <w:t>,</w:t>
      </w:r>
      <w:r>
        <w:t xml:space="preserve"> </w:t>
      </w:r>
      <w:r w:rsidRPr="00AD0002">
        <w:t>189 FERC ¶</w:t>
      </w:r>
      <w:r w:rsidR="0062495D">
        <w:t> </w:t>
      </w:r>
      <w:r w:rsidRPr="00AD0002">
        <w:t>61,126</w:t>
      </w:r>
      <w:r>
        <w:t xml:space="preserve"> at P</w:t>
      </w:r>
      <w:r w:rsidR="00B1768F">
        <w:t>P</w:t>
      </w:r>
      <w:r>
        <w:t xml:space="preserve"> </w:t>
      </w:r>
      <w:r w:rsidR="001641C1">
        <w:t xml:space="preserve">654 n.1651, </w:t>
      </w:r>
      <w:r>
        <w:t>655).</w:t>
      </w:r>
    </w:p>
  </w:footnote>
  <w:footnote w:id="122">
    <w:p w14:paraId="7797762D" w14:textId="77777777" w:rsidR="00191A20" w:rsidRPr="00742221" w:rsidRDefault="00191A20" w:rsidP="00191A20">
      <w:pPr>
        <w:pStyle w:val="FootnoteText"/>
        <w:rPr>
          <w:i/>
          <w:iCs/>
        </w:rPr>
      </w:pPr>
      <w:r>
        <w:rPr>
          <w:rStyle w:val="FootnoteReference"/>
        </w:rPr>
        <w:footnoteRef/>
      </w:r>
      <w:r>
        <w:t xml:space="preserve"> </w:t>
      </w:r>
      <w:r>
        <w:rPr>
          <w:i/>
          <w:iCs/>
        </w:rPr>
        <w:t>See id.</w:t>
      </w:r>
    </w:p>
  </w:footnote>
  <w:footnote w:id="123">
    <w:p w14:paraId="1A986E6C" w14:textId="77777777" w:rsidR="001143C8" w:rsidRDefault="001143C8" w:rsidP="001143C8">
      <w:pPr>
        <w:pStyle w:val="FootnoteText"/>
      </w:pPr>
      <w:r>
        <w:rPr>
          <w:rStyle w:val="FootnoteReference"/>
        </w:rPr>
        <w:footnoteRef/>
      </w:r>
      <w:r>
        <w:t xml:space="preserve"> MISO TOs Rehearing Request at 19-20.</w:t>
      </w:r>
    </w:p>
  </w:footnote>
  <w:footnote w:id="124">
    <w:p w14:paraId="64D0EC57" w14:textId="15F388C9" w:rsidR="001143C8" w:rsidRDefault="001143C8" w:rsidP="001143C8">
      <w:pPr>
        <w:pStyle w:val="FootnoteText"/>
      </w:pPr>
      <w:r>
        <w:rPr>
          <w:rStyle w:val="FootnoteReference"/>
        </w:rPr>
        <w:footnoteRef/>
      </w:r>
      <w:r>
        <w:t xml:space="preserve"> SPP TOs Rehearing Request at </w:t>
      </w:r>
      <w:r w:rsidR="000B787C">
        <w:t>3-</w:t>
      </w:r>
      <w:r>
        <w:t>4 (citing</w:t>
      </w:r>
      <w:r w:rsidRPr="00A76EA4">
        <w:rPr>
          <w:i/>
          <w:iCs/>
        </w:rPr>
        <w:t xml:space="preserve"> N.Y. </w:t>
      </w:r>
      <w:proofErr w:type="spellStart"/>
      <w:r w:rsidRPr="00A76EA4">
        <w:rPr>
          <w:i/>
          <w:iCs/>
        </w:rPr>
        <w:t>Indep</w:t>
      </w:r>
      <w:proofErr w:type="spellEnd"/>
      <w:r w:rsidRPr="00A76EA4">
        <w:rPr>
          <w:i/>
          <w:iCs/>
        </w:rPr>
        <w:t>. Sys. Operator, Inc</w:t>
      </w:r>
      <w:r w:rsidRPr="00C51C84">
        <w:rPr>
          <w:i/>
          <w:iCs/>
        </w:rPr>
        <w:t>.</w:t>
      </w:r>
      <w:r w:rsidRPr="00A76EA4">
        <w:t xml:space="preserve">, </w:t>
      </w:r>
      <w:r w:rsidR="004977F1">
        <w:t xml:space="preserve">     </w:t>
      </w:r>
      <w:r w:rsidRPr="00A76EA4">
        <w:t>131 FERC ¶ 61,242, at P 32 (2010)</w:t>
      </w:r>
      <w:r>
        <w:t>;</w:t>
      </w:r>
      <w:r w:rsidRPr="00A76EA4">
        <w:t xml:space="preserve"> </w:t>
      </w:r>
      <w:r w:rsidRPr="00A76EA4">
        <w:rPr>
          <w:i/>
          <w:iCs/>
        </w:rPr>
        <w:t>PJM Interconnection, L.L.C</w:t>
      </w:r>
      <w:r w:rsidRPr="00A76EA4">
        <w:t xml:space="preserve">., 85 FERC ¶ 61,111, </w:t>
      </w:r>
      <w:r w:rsidR="004977F1">
        <w:t xml:space="preserve">     </w:t>
      </w:r>
      <w:r w:rsidRPr="00A76EA4">
        <w:t>at 61,413 (1998)</w:t>
      </w:r>
      <w:r>
        <w:t xml:space="preserve">; </w:t>
      </w:r>
      <w:r w:rsidRPr="00031849">
        <w:rPr>
          <w:i/>
          <w:iCs/>
        </w:rPr>
        <w:t>PJM Interconnection, L.L.C.</w:t>
      </w:r>
      <w:r w:rsidRPr="00031849">
        <w:t>, 142 FERC ¶</w:t>
      </w:r>
      <w:r w:rsidR="00710E66">
        <w:t> </w:t>
      </w:r>
      <w:r w:rsidRPr="00031849">
        <w:t>61,214, at PP 5-7, 21 (2013)</w:t>
      </w:r>
      <w:r>
        <w:t>).</w:t>
      </w:r>
    </w:p>
  </w:footnote>
  <w:footnote w:id="125">
    <w:p w14:paraId="3E07ADE8" w14:textId="1B20734B" w:rsidR="001143C8" w:rsidRDefault="001143C8" w:rsidP="001143C8">
      <w:pPr>
        <w:pStyle w:val="FootnoteText"/>
      </w:pPr>
      <w:r>
        <w:rPr>
          <w:rStyle w:val="FootnoteReference"/>
        </w:rPr>
        <w:footnoteRef/>
      </w:r>
      <w:r>
        <w:t xml:space="preserve"> </w:t>
      </w:r>
      <w:r>
        <w:rPr>
          <w:i/>
          <w:iCs/>
        </w:rPr>
        <w:t>See id.</w:t>
      </w:r>
      <w:r>
        <w:t xml:space="preserve"> at 4-5 (“</w:t>
      </w:r>
      <w:r w:rsidRPr="00A76EA4">
        <w:t>Courts have firmly rebuffed various attempts to alter the FPA framework,</w:t>
      </w:r>
      <w:r>
        <w:t xml:space="preserve"> </w:t>
      </w:r>
      <w:r w:rsidRPr="00A76EA4">
        <w:t>especially when the purpose was to weaken public utilities’ ability to independently exercise their</w:t>
      </w:r>
      <w:r>
        <w:t xml:space="preserve"> </w:t>
      </w:r>
      <w:r w:rsidRPr="00A76EA4">
        <w:t>statutory filing rights.</w:t>
      </w:r>
      <w:r>
        <w:t>”)</w:t>
      </w:r>
      <w:r w:rsidR="00DF2AB0">
        <w:t xml:space="preserve">; </w:t>
      </w:r>
      <w:r w:rsidR="00DF2AB0" w:rsidRPr="00974E3E">
        <w:rPr>
          <w:i/>
          <w:iCs/>
        </w:rPr>
        <w:t xml:space="preserve">id </w:t>
      </w:r>
      <w:r w:rsidR="00DF2AB0">
        <w:t>at 6.</w:t>
      </w:r>
    </w:p>
  </w:footnote>
  <w:footnote w:id="126">
    <w:p w14:paraId="11F63717" w14:textId="6D7252B0" w:rsidR="005551DC" w:rsidRDefault="005551DC">
      <w:pPr>
        <w:pStyle w:val="FootnoteText"/>
      </w:pPr>
      <w:r>
        <w:rPr>
          <w:rStyle w:val="FootnoteReference"/>
        </w:rPr>
        <w:footnoteRef/>
      </w:r>
      <w:r>
        <w:t xml:space="preserve"> EEI Rehearing Request at 8-9 (citing </w:t>
      </w:r>
      <w:r w:rsidRPr="00885BBF">
        <w:rPr>
          <w:i/>
          <w:iCs/>
        </w:rPr>
        <w:t>S</w:t>
      </w:r>
      <w:r w:rsidR="002F08B5">
        <w:rPr>
          <w:i/>
          <w:iCs/>
        </w:rPr>
        <w:t>.</w:t>
      </w:r>
      <w:r w:rsidRPr="00885BBF">
        <w:rPr>
          <w:i/>
          <w:iCs/>
        </w:rPr>
        <w:t xml:space="preserve"> Co. Servs, Inc.</w:t>
      </w:r>
      <w:r w:rsidRPr="002F2E2B">
        <w:t>, 61 FERC ¶</w:t>
      </w:r>
      <w:r w:rsidR="00AC01E6">
        <w:t xml:space="preserve"> </w:t>
      </w:r>
      <w:r w:rsidRPr="002F2E2B">
        <w:t xml:space="preserve">61,339, </w:t>
      </w:r>
      <w:r w:rsidR="004977F1">
        <w:t xml:space="preserve">            </w:t>
      </w:r>
      <w:r w:rsidRPr="002F2E2B">
        <w:t xml:space="preserve">at 62,328-29 (1992), </w:t>
      </w:r>
      <w:r w:rsidRPr="00885BBF">
        <w:rPr>
          <w:i/>
          <w:iCs/>
        </w:rPr>
        <w:t>order on reh’g</w:t>
      </w:r>
      <w:r w:rsidRPr="002F2E2B">
        <w:t>, 63 FERC ¶ 61,217 (1993)</w:t>
      </w:r>
      <w:r>
        <w:t>).</w:t>
      </w:r>
    </w:p>
  </w:footnote>
  <w:footnote w:id="127">
    <w:p w14:paraId="47A77120" w14:textId="0C4B51C4" w:rsidR="001143C8" w:rsidRDefault="001143C8" w:rsidP="001143C8">
      <w:pPr>
        <w:pStyle w:val="FootnoteText"/>
      </w:pPr>
      <w:r>
        <w:rPr>
          <w:rStyle w:val="FootnoteReference"/>
        </w:rPr>
        <w:footnoteRef/>
      </w:r>
      <w:r>
        <w:t xml:space="preserve"> </w:t>
      </w:r>
      <w:r w:rsidR="00AD42A2" w:rsidRPr="009039C7">
        <w:rPr>
          <w:i/>
          <w:iCs/>
        </w:rPr>
        <w:t>Id</w:t>
      </w:r>
      <w:r w:rsidR="00AD42A2">
        <w:t>.</w:t>
      </w:r>
      <w:r>
        <w:t xml:space="preserve"> at </w:t>
      </w:r>
      <w:r w:rsidR="00DC04FB">
        <w:t>9</w:t>
      </w:r>
      <w:r w:rsidR="00B25C7E">
        <w:t xml:space="preserve"> (citing </w:t>
      </w:r>
      <w:r w:rsidR="003A49C3" w:rsidRPr="00974E3E">
        <w:rPr>
          <w:i/>
        </w:rPr>
        <w:t>Atlantic City</w:t>
      </w:r>
      <w:r w:rsidR="007C1BCB">
        <w:rPr>
          <w:i/>
        </w:rPr>
        <w:t xml:space="preserve"> I</w:t>
      </w:r>
      <w:r w:rsidR="003A49C3" w:rsidRPr="003A49C3">
        <w:t>, 295 F.3d at 10</w:t>
      </w:r>
      <w:r w:rsidR="009D4A32">
        <w:t>-11</w:t>
      </w:r>
      <w:r w:rsidR="00133E3C">
        <w:t>)</w:t>
      </w:r>
      <w:r>
        <w:t>.</w:t>
      </w:r>
    </w:p>
  </w:footnote>
  <w:footnote w:id="128">
    <w:p w14:paraId="0A4FA453" w14:textId="3FCCA3CB" w:rsidR="00E52FCC" w:rsidRDefault="00E52FCC" w:rsidP="00E52FCC">
      <w:pPr>
        <w:pStyle w:val="FootnoteText"/>
      </w:pPr>
      <w:r>
        <w:rPr>
          <w:rStyle w:val="FootnoteReference"/>
        </w:rPr>
        <w:footnoteRef/>
      </w:r>
      <w:r>
        <w:t xml:space="preserve"> </w:t>
      </w:r>
      <w:r w:rsidRPr="00000C8D">
        <w:t xml:space="preserve">SPP TOs </w:t>
      </w:r>
      <w:r>
        <w:t>Rehearing Request</w:t>
      </w:r>
      <w:r w:rsidRPr="00000C8D">
        <w:t xml:space="preserve"> at 15</w:t>
      </w:r>
      <w:r>
        <w:t xml:space="preserve"> (citing</w:t>
      </w:r>
      <w:r w:rsidR="00117F7C">
        <w:t xml:space="preserve"> 16 U.S.C. 825h;</w:t>
      </w:r>
      <w:r>
        <w:t xml:space="preserve"> </w:t>
      </w:r>
      <w:r w:rsidRPr="00000C8D">
        <w:rPr>
          <w:i/>
          <w:iCs/>
        </w:rPr>
        <w:t>PJM Interconnection, L.L.C</w:t>
      </w:r>
      <w:r w:rsidRPr="00000C8D">
        <w:t>., 178 FERC ¶ 61,083</w:t>
      </w:r>
      <w:r>
        <w:t>, at P 29</w:t>
      </w:r>
      <w:r w:rsidRPr="00000C8D">
        <w:t xml:space="preserve"> (2022)</w:t>
      </w:r>
      <w:r>
        <w:t>)</w:t>
      </w:r>
      <w:r w:rsidRPr="00000C8D">
        <w:t xml:space="preserve">.  </w:t>
      </w:r>
    </w:p>
  </w:footnote>
  <w:footnote w:id="129">
    <w:p w14:paraId="2C5FBBAD" w14:textId="5B782B9F" w:rsidR="00E52FCC" w:rsidRDefault="00E52FCC" w:rsidP="00E52FCC">
      <w:pPr>
        <w:pStyle w:val="FootnoteText"/>
      </w:pPr>
      <w:r>
        <w:rPr>
          <w:rStyle w:val="FootnoteReference"/>
        </w:rPr>
        <w:footnoteRef/>
      </w:r>
      <w:r>
        <w:t xml:space="preserve"> </w:t>
      </w:r>
      <w:r w:rsidR="002705D5" w:rsidRPr="005623F9">
        <w:rPr>
          <w:i/>
          <w:iCs/>
        </w:rPr>
        <w:t>Id</w:t>
      </w:r>
      <w:r w:rsidR="002705D5">
        <w:t>.</w:t>
      </w:r>
      <w:r w:rsidRPr="006F2746">
        <w:t xml:space="preserve"> at 15 &amp; n.39 (“The states or third parties would not have to show that the existing rates were unjust and unreasonable as they would under section 206.”)</w:t>
      </w:r>
      <w:r>
        <w:t>.</w:t>
      </w:r>
    </w:p>
  </w:footnote>
  <w:footnote w:id="130">
    <w:p w14:paraId="6FAFA62D" w14:textId="445F69F5" w:rsidR="00E52FCC" w:rsidRDefault="00E52FCC" w:rsidP="00E52FCC">
      <w:pPr>
        <w:pStyle w:val="FootnoteText"/>
      </w:pPr>
      <w:r>
        <w:rPr>
          <w:rStyle w:val="FootnoteReference"/>
        </w:rPr>
        <w:footnoteRef/>
      </w:r>
      <w:r>
        <w:t xml:space="preserve"> SPP TOs Rehearing Request at 17-18 (citing </w:t>
      </w:r>
      <w:r>
        <w:rPr>
          <w:i/>
          <w:iCs/>
        </w:rPr>
        <w:t>Biden v. Neb</w:t>
      </w:r>
      <w:r w:rsidR="004977F1">
        <w:rPr>
          <w:i/>
          <w:iCs/>
        </w:rPr>
        <w:t>.</w:t>
      </w:r>
      <w:r>
        <w:t>, 143 S.</w:t>
      </w:r>
      <w:r w:rsidR="00D608D2">
        <w:t xml:space="preserve"> </w:t>
      </w:r>
      <w:r>
        <w:t xml:space="preserve">Ct. 2355, 2374 (2023); </w:t>
      </w:r>
      <w:r>
        <w:rPr>
          <w:i/>
          <w:iCs/>
        </w:rPr>
        <w:t>W</w:t>
      </w:r>
      <w:r w:rsidR="004977F1">
        <w:rPr>
          <w:i/>
          <w:iCs/>
        </w:rPr>
        <w:t>.</w:t>
      </w:r>
      <w:r>
        <w:rPr>
          <w:i/>
          <w:iCs/>
        </w:rPr>
        <w:t xml:space="preserve"> Va</w:t>
      </w:r>
      <w:r w:rsidR="004977F1">
        <w:rPr>
          <w:i/>
          <w:iCs/>
        </w:rPr>
        <w:t>.</w:t>
      </w:r>
      <w:r>
        <w:rPr>
          <w:i/>
          <w:iCs/>
        </w:rPr>
        <w:t xml:space="preserve"> v. EPA</w:t>
      </w:r>
      <w:r>
        <w:t>, 597 U.S. 697, 724 (2022)).</w:t>
      </w:r>
    </w:p>
  </w:footnote>
  <w:footnote w:id="131">
    <w:p w14:paraId="2BA4ED04" w14:textId="77777777" w:rsidR="005B6E61" w:rsidRDefault="005B6E61" w:rsidP="005B6E61">
      <w:pPr>
        <w:pStyle w:val="FootnoteText"/>
      </w:pPr>
      <w:r>
        <w:rPr>
          <w:rStyle w:val="FootnoteReference"/>
        </w:rPr>
        <w:footnoteRef/>
      </w:r>
      <w:r w:rsidDel="003A3985">
        <w:t xml:space="preserve"> </w:t>
      </w:r>
      <w:r>
        <w:t>Indicated PJM TOs Rehearing Request at 2-3, 6-7, 12-15.</w:t>
      </w:r>
    </w:p>
  </w:footnote>
  <w:footnote w:id="132">
    <w:p w14:paraId="71258A44" w14:textId="77777777" w:rsidR="005B6E61" w:rsidRPr="00A215F7" w:rsidRDefault="005B6E61" w:rsidP="005B6E61">
      <w:pPr>
        <w:pStyle w:val="FootnoteText"/>
      </w:pPr>
      <w:r>
        <w:rPr>
          <w:rStyle w:val="FootnoteReference"/>
        </w:rPr>
        <w:footnoteRef/>
      </w:r>
      <w:r>
        <w:t xml:space="preserve"> </w:t>
      </w:r>
      <w:r>
        <w:rPr>
          <w:i/>
          <w:iCs/>
        </w:rPr>
        <w:t>Id.</w:t>
      </w:r>
      <w:r>
        <w:t xml:space="preserve"> at 12-15 (also arguing that under </w:t>
      </w:r>
      <w:r>
        <w:rPr>
          <w:i/>
          <w:iCs/>
        </w:rPr>
        <w:t>EPSA</w:t>
      </w:r>
      <w:r w:rsidRPr="00A215F7">
        <w:t>, 577 U.S. 260</w:t>
      </w:r>
      <w:r>
        <w:t xml:space="preserve"> and </w:t>
      </w:r>
      <w:r w:rsidRPr="002D37E5">
        <w:rPr>
          <w:i/>
          <w:iCs/>
        </w:rPr>
        <w:t xml:space="preserve">Cal. </w:t>
      </w:r>
      <w:proofErr w:type="spellStart"/>
      <w:r w:rsidRPr="002D37E5">
        <w:rPr>
          <w:i/>
          <w:iCs/>
        </w:rPr>
        <w:t>Indep</w:t>
      </w:r>
      <w:proofErr w:type="spellEnd"/>
      <w:r w:rsidRPr="002D37E5">
        <w:rPr>
          <w:i/>
          <w:iCs/>
        </w:rPr>
        <w:t>. Sys. Operator Corp. v. FERC</w:t>
      </w:r>
      <w:r w:rsidRPr="002D37E5">
        <w:t>, 372 F.3d 395, 403 (D.C. Cir. 2004) (</w:t>
      </w:r>
      <w:r w:rsidRPr="002D37E5">
        <w:rPr>
          <w:i/>
          <w:iCs/>
        </w:rPr>
        <w:t>CAISO</w:t>
      </w:r>
      <w:r w:rsidRPr="002D37E5">
        <w:t>)</w:t>
      </w:r>
      <w:r>
        <w:t>, the Commission’s authority is limited to regulating practices directly affecting jurisdictional rates and does not extend to regulating how a public utility makes decisions).</w:t>
      </w:r>
    </w:p>
  </w:footnote>
  <w:footnote w:id="133">
    <w:p w14:paraId="48364E69" w14:textId="77777777" w:rsidR="005B6E61" w:rsidRPr="00111307" w:rsidRDefault="005B6E61" w:rsidP="005B6E61">
      <w:pPr>
        <w:pStyle w:val="FootnoteText"/>
      </w:pPr>
      <w:r>
        <w:rPr>
          <w:rStyle w:val="FootnoteReference"/>
        </w:rPr>
        <w:footnoteRef/>
      </w:r>
      <w:r>
        <w:t xml:space="preserve"> </w:t>
      </w:r>
      <w:r>
        <w:rPr>
          <w:i/>
          <w:iCs/>
        </w:rPr>
        <w:t>Id.</w:t>
      </w:r>
      <w:r>
        <w:t xml:space="preserve"> at 14 (citing </w:t>
      </w:r>
      <w:r>
        <w:rPr>
          <w:i/>
          <w:iCs/>
        </w:rPr>
        <w:t>Atlantic City I</w:t>
      </w:r>
      <w:r>
        <w:t xml:space="preserve">, </w:t>
      </w:r>
      <w:r w:rsidRPr="007A1BAC">
        <w:t>295 F.3d</w:t>
      </w:r>
      <w:r>
        <w:t xml:space="preserve"> at 10).</w:t>
      </w:r>
    </w:p>
  </w:footnote>
  <w:footnote w:id="134">
    <w:p w14:paraId="666AE7C9" w14:textId="0478E5BF" w:rsidR="005B6E61" w:rsidRPr="00C5076A" w:rsidRDefault="005B6E61" w:rsidP="005B6E61">
      <w:pPr>
        <w:pStyle w:val="FootnoteText"/>
      </w:pPr>
      <w:r>
        <w:rPr>
          <w:rStyle w:val="FootnoteReference"/>
        </w:rPr>
        <w:footnoteRef/>
      </w:r>
      <w:r>
        <w:t xml:space="preserve"> </w:t>
      </w:r>
      <w:r>
        <w:rPr>
          <w:i/>
          <w:iCs/>
        </w:rPr>
        <w:t>Id.</w:t>
      </w:r>
      <w:r>
        <w:t xml:space="preserve"> at 15 (</w:t>
      </w:r>
      <w:r w:rsidRPr="00E0490F">
        <w:t xml:space="preserve">citing </w:t>
      </w:r>
      <w:r w:rsidRPr="00E0490F">
        <w:rPr>
          <w:i/>
        </w:rPr>
        <w:t>PJM Interconnection, L.L.C.</w:t>
      </w:r>
      <w:r w:rsidRPr="00E0490F">
        <w:t xml:space="preserve">, 154 FERC ¶ 61,147, </w:t>
      </w:r>
      <w:r>
        <w:rPr>
          <w:i/>
          <w:iCs/>
        </w:rPr>
        <w:t xml:space="preserve">order on </w:t>
      </w:r>
      <w:r w:rsidRPr="00E0490F">
        <w:rPr>
          <w:i/>
        </w:rPr>
        <w:t xml:space="preserve">reh’g, </w:t>
      </w:r>
      <w:r w:rsidRPr="00E0490F">
        <w:t xml:space="preserve">157 FERC ¶ 61,229 (2016); </w:t>
      </w:r>
      <w:r w:rsidRPr="00E0490F">
        <w:rPr>
          <w:i/>
        </w:rPr>
        <w:t>New England Power Pool Participants Comm.</w:t>
      </w:r>
      <w:r w:rsidRPr="007B5B81">
        <w:rPr>
          <w:iCs/>
        </w:rPr>
        <w:t>,</w:t>
      </w:r>
      <w:r w:rsidRPr="00E0490F">
        <w:rPr>
          <w:i/>
        </w:rPr>
        <w:t xml:space="preserve"> </w:t>
      </w:r>
      <w:r w:rsidR="004977F1">
        <w:rPr>
          <w:i/>
        </w:rPr>
        <w:t xml:space="preserve">             </w:t>
      </w:r>
      <w:r w:rsidRPr="00E0490F">
        <w:t>166 FERC ¶ 61,062 (2019)).</w:t>
      </w:r>
    </w:p>
  </w:footnote>
  <w:footnote w:id="135">
    <w:p w14:paraId="3A5E818F" w14:textId="77777777" w:rsidR="00A729E1" w:rsidRDefault="00A729E1" w:rsidP="00A729E1">
      <w:pPr>
        <w:pStyle w:val="FootnoteText"/>
      </w:pPr>
      <w:r>
        <w:rPr>
          <w:rStyle w:val="FootnoteReference"/>
        </w:rPr>
        <w:footnoteRef/>
      </w:r>
      <w:r>
        <w:t xml:space="preserve"> EEI Rehearing Request at 9-10 (arguing that “[t]</w:t>
      </w:r>
      <w:r w:rsidRPr="00DE6A4B">
        <w:t>he Commission fails to explain what procedural infirmity would be created by requiring Relevant State Entities and other stakeholders to provide comments and feedback on these filings throughout the traditional regulatory proc</w:t>
      </w:r>
      <w:r>
        <w:t xml:space="preserve">ess” and that the approach adopted in Order No. 1920-A could lead to confusion as to which proposal to provide feedback on); </w:t>
      </w:r>
      <w:r>
        <w:rPr>
          <w:i/>
          <w:iCs/>
        </w:rPr>
        <w:t>see also id.</w:t>
      </w:r>
      <w:r>
        <w:t xml:space="preserve"> at 12.</w:t>
      </w:r>
    </w:p>
  </w:footnote>
  <w:footnote w:id="136">
    <w:p w14:paraId="569D2324" w14:textId="77777777" w:rsidR="00A729E1" w:rsidRPr="00444F1F" w:rsidRDefault="00A729E1" w:rsidP="00A729E1">
      <w:pPr>
        <w:pStyle w:val="FootnoteText"/>
      </w:pPr>
      <w:r>
        <w:rPr>
          <w:rStyle w:val="FootnoteReference"/>
        </w:rPr>
        <w:footnoteRef/>
      </w:r>
      <w:r>
        <w:t xml:space="preserve"> SPP TOs Rehearing Request at 17-18; </w:t>
      </w:r>
      <w:r>
        <w:rPr>
          <w:i/>
          <w:iCs/>
        </w:rPr>
        <w:t>see also id.</w:t>
      </w:r>
      <w:r>
        <w:t xml:space="preserve"> at 15-16, 18-19.</w:t>
      </w:r>
    </w:p>
  </w:footnote>
  <w:footnote w:id="137">
    <w:p w14:paraId="6559EDE6" w14:textId="77777777" w:rsidR="00A729E1" w:rsidRDefault="00A729E1" w:rsidP="00A729E1">
      <w:pPr>
        <w:pStyle w:val="FootnoteText"/>
      </w:pPr>
      <w:r>
        <w:rPr>
          <w:rStyle w:val="FootnoteReference"/>
        </w:rPr>
        <w:footnoteRef/>
      </w:r>
      <w:r>
        <w:t xml:space="preserve"> WIRES Rehearing Request at 14.</w:t>
      </w:r>
    </w:p>
  </w:footnote>
  <w:footnote w:id="138">
    <w:p w14:paraId="696C2707" w14:textId="1C04C29D" w:rsidR="00A95448" w:rsidRDefault="00A95448" w:rsidP="00A95448">
      <w:pPr>
        <w:pStyle w:val="FootnoteText"/>
      </w:pPr>
      <w:r>
        <w:rPr>
          <w:rStyle w:val="FootnoteReference"/>
        </w:rPr>
        <w:footnoteRef/>
      </w:r>
      <w:r>
        <w:t xml:space="preserve"> MISO TOs Rehearing Request at 7</w:t>
      </w:r>
      <w:r w:rsidR="00443F01">
        <w:t xml:space="preserve">; </w:t>
      </w:r>
      <w:r w:rsidR="00443F01" w:rsidRPr="0038280F">
        <w:rPr>
          <w:i/>
        </w:rPr>
        <w:t>see id.</w:t>
      </w:r>
      <w:r w:rsidR="00443F01" w:rsidRPr="002076DE">
        <w:t xml:space="preserve"> </w:t>
      </w:r>
      <w:r w:rsidR="00443F01" w:rsidRPr="0038280F">
        <w:t>at 24-25</w:t>
      </w:r>
      <w:r w:rsidR="000A0632">
        <w:t xml:space="preserve"> </w:t>
      </w:r>
      <w:r w:rsidR="000A0632" w:rsidRPr="0038280F">
        <w:t>(citing Order No. 1920-A</w:t>
      </w:r>
      <w:r w:rsidR="00321C1D" w:rsidRPr="0038280F">
        <w:t xml:space="preserve">, </w:t>
      </w:r>
      <w:r w:rsidR="002E7455" w:rsidRPr="0038280F">
        <w:t>189 FERC ¶ 61,126 at P</w:t>
      </w:r>
      <w:r w:rsidR="002E7455">
        <w:t xml:space="preserve"> </w:t>
      </w:r>
      <w:r w:rsidR="00443F01" w:rsidRPr="0038280F">
        <w:t>659</w:t>
      </w:r>
      <w:r w:rsidR="002E7455" w:rsidRPr="0038280F">
        <w:t>)</w:t>
      </w:r>
      <w:r w:rsidRPr="0038280F">
        <w:t>;</w:t>
      </w:r>
      <w:r w:rsidRPr="0038280F">
        <w:rPr>
          <w:i/>
        </w:rPr>
        <w:t xml:space="preserve"> id. </w:t>
      </w:r>
      <w:r w:rsidRPr="0038280F">
        <w:t>at 9</w:t>
      </w:r>
      <w:r w:rsidRPr="0038280F" w:rsidDel="00443F01">
        <w:t xml:space="preserve">, </w:t>
      </w:r>
      <w:r>
        <w:t>33-37.</w:t>
      </w:r>
    </w:p>
  </w:footnote>
  <w:footnote w:id="139">
    <w:p w14:paraId="75222576" w14:textId="77777777" w:rsidR="00A95448" w:rsidRPr="0020203E" w:rsidRDefault="00A95448" w:rsidP="00A95448">
      <w:pPr>
        <w:pStyle w:val="FootnoteText"/>
      </w:pPr>
      <w:r>
        <w:rPr>
          <w:rStyle w:val="FootnoteReference"/>
        </w:rPr>
        <w:footnoteRef/>
      </w:r>
      <w:r>
        <w:t xml:space="preserve"> </w:t>
      </w:r>
      <w:r>
        <w:rPr>
          <w:i/>
          <w:iCs/>
        </w:rPr>
        <w:t>Id.</w:t>
      </w:r>
      <w:r>
        <w:t xml:space="preserve"> at 24-25.</w:t>
      </w:r>
    </w:p>
  </w:footnote>
  <w:footnote w:id="140">
    <w:p w14:paraId="0773A755" w14:textId="79299819" w:rsidR="00226AEB" w:rsidRDefault="00226AEB" w:rsidP="00226AEB">
      <w:pPr>
        <w:pStyle w:val="FootnoteText"/>
      </w:pPr>
      <w:r>
        <w:rPr>
          <w:rStyle w:val="FootnoteReference"/>
        </w:rPr>
        <w:footnoteRef/>
      </w:r>
      <w:r>
        <w:t xml:space="preserve"> Indicated PJM TOs Rehearing Request at 22-23</w:t>
      </w:r>
      <w:r w:rsidR="007E4EEE">
        <w:t xml:space="preserve"> (citing </w:t>
      </w:r>
      <w:r w:rsidR="00D26AE2" w:rsidRPr="00D26AE2">
        <w:rPr>
          <w:i/>
          <w:iCs/>
        </w:rPr>
        <w:t>Entergy</w:t>
      </w:r>
      <w:r w:rsidR="00592B7D">
        <w:t>,</w:t>
      </w:r>
      <w:r w:rsidR="00D26AE2">
        <w:t xml:space="preserve"> </w:t>
      </w:r>
      <w:r w:rsidR="007E4EEE" w:rsidRPr="00094080">
        <w:t xml:space="preserve">40 F.4th </w:t>
      </w:r>
      <w:r w:rsidR="0076770C">
        <w:t xml:space="preserve">         </w:t>
      </w:r>
      <w:r w:rsidR="003E4D20" w:rsidRPr="00094080">
        <w:t>at</w:t>
      </w:r>
      <w:r w:rsidR="007E4EEE" w:rsidRPr="00094080">
        <w:t xml:space="preserve"> 701</w:t>
      </w:r>
      <w:r w:rsidR="007E4EEE" w:rsidRPr="00996300">
        <w:t>-02</w:t>
      </w:r>
      <w:r w:rsidR="0017189D">
        <w:t>)</w:t>
      </w:r>
      <w:r>
        <w:t>; SPP TOs Rehearing Request at 18-19 n.49</w:t>
      </w:r>
      <w:r w:rsidR="0017189D">
        <w:t xml:space="preserve"> (same)</w:t>
      </w:r>
      <w:r>
        <w:t xml:space="preserve">; </w:t>
      </w:r>
      <w:r>
        <w:rPr>
          <w:i/>
          <w:iCs/>
        </w:rPr>
        <w:t xml:space="preserve">see </w:t>
      </w:r>
      <w:r w:rsidRPr="005321AF">
        <w:t>Order No. 1920</w:t>
      </w:r>
      <w:r>
        <w:t>-A</w:t>
      </w:r>
      <w:r w:rsidRPr="005321AF">
        <w:t>,</w:t>
      </w:r>
      <w:r>
        <w:t xml:space="preserve"> </w:t>
      </w:r>
      <w:r w:rsidRPr="00AD0002">
        <w:t>189 FERC ¶ 61,126</w:t>
      </w:r>
      <w:r>
        <w:t xml:space="preserve"> at P 658 &amp; n.1656.</w:t>
      </w:r>
    </w:p>
  </w:footnote>
  <w:footnote w:id="141">
    <w:p w14:paraId="7AE70D44" w14:textId="77777777" w:rsidR="00226AEB" w:rsidRDefault="00226AEB" w:rsidP="00226AEB">
      <w:pPr>
        <w:pStyle w:val="FootnoteText"/>
      </w:pPr>
      <w:r>
        <w:rPr>
          <w:rStyle w:val="FootnoteReference"/>
        </w:rPr>
        <w:footnoteRef/>
      </w:r>
      <w:r>
        <w:t xml:space="preserve"> Indicated PJM TOs Rehearing Request at 22-23; SPP TOs Rehearing Request at 18-19 &amp; n.49 (</w:t>
      </w:r>
      <w:r w:rsidRPr="00C76EDE">
        <w:t>“</w:t>
      </w:r>
      <w:r>
        <w:t>[S]</w:t>
      </w:r>
      <w:proofErr w:type="spellStart"/>
      <w:r w:rsidRPr="00C76EDE">
        <w:t>tates</w:t>
      </w:r>
      <w:proofErr w:type="spellEnd"/>
      <w:r w:rsidRPr="00C76EDE">
        <w:t>, like every other third party, should have to show that a public utility’s proposed replacement rate does not satisfy compliance directives before their preferred alternatives are considered</w:t>
      </w:r>
      <w:r>
        <w:t>.</w:t>
      </w:r>
      <w:r w:rsidRPr="00C76EDE">
        <w:t>”).</w:t>
      </w:r>
    </w:p>
  </w:footnote>
  <w:footnote w:id="142">
    <w:p w14:paraId="0CF4DC0C" w14:textId="77777777" w:rsidR="00226AEB" w:rsidRDefault="00226AEB" w:rsidP="00226AEB">
      <w:pPr>
        <w:pStyle w:val="FootnoteText"/>
      </w:pPr>
      <w:r>
        <w:rPr>
          <w:rStyle w:val="FootnoteReference"/>
        </w:rPr>
        <w:footnoteRef/>
      </w:r>
      <w:r>
        <w:t xml:space="preserve"> SPP TOs Rehearing Request at 14-15.</w:t>
      </w:r>
    </w:p>
  </w:footnote>
  <w:footnote w:id="143">
    <w:p w14:paraId="615B569E" w14:textId="7DAABF39" w:rsidR="00ED28CE" w:rsidRPr="007B77E0" w:rsidRDefault="00ED28CE" w:rsidP="00ED28CE">
      <w:pPr>
        <w:pStyle w:val="FootnoteText"/>
      </w:pPr>
      <w:r>
        <w:rPr>
          <w:rStyle w:val="FootnoteReference"/>
        </w:rPr>
        <w:footnoteRef/>
      </w:r>
      <w:r>
        <w:t xml:space="preserve"> </w:t>
      </w:r>
      <w:r>
        <w:rPr>
          <w:i/>
          <w:iCs/>
        </w:rPr>
        <w:t xml:space="preserve">See </w:t>
      </w:r>
      <w:proofErr w:type="gramStart"/>
      <w:r>
        <w:rPr>
          <w:i/>
          <w:iCs/>
        </w:rPr>
        <w:t>infra</w:t>
      </w:r>
      <w:r>
        <w:t xml:space="preserve"> P</w:t>
      </w:r>
      <w:proofErr w:type="gramEnd"/>
      <w:r>
        <w:t xml:space="preserve"> </w:t>
      </w:r>
      <w:r w:rsidR="001E0560">
        <w:t>74</w:t>
      </w:r>
      <w:r>
        <w:t xml:space="preserve"> (summarizing arguments that the Commission departed from this precedent without adequate explanation).</w:t>
      </w:r>
    </w:p>
  </w:footnote>
  <w:footnote w:id="144">
    <w:p w14:paraId="0816E769" w14:textId="12E5C7D6" w:rsidR="00ED28CE" w:rsidRDefault="00ED28CE" w:rsidP="00ED28CE">
      <w:pPr>
        <w:pStyle w:val="FootnoteText"/>
      </w:pPr>
      <w:r>
        <w:rPr>
          <w:rStyle w:val="FootnoteReference"/>
        </w:rPr>
        <w:footnoteRef/>
      </w:r>
      <w:r>
        <w:t xml:space="preserve"> Indicated PJM TOs Rehearing Request at 17-18 (arguing that </w:t>
      </w:r>
      <w:r w:rsidR="008F661B">
        <w:t>“</w:t>
      </w:r>
      <w:r w:rsidR="003D00AF">
        <w:t>[</w:t>
      </w:r>
      <w:r w:rsidRPr="002F5967">
        <w:t>t</w:t>
      </w:r>
      <w:r w:rsidR="003D00AF">
        <w:t>]</w:t>
      </w:r>
      <w:r w:rsidRPr="002F5967">
        <w:t>he statutory structure</w:t>
      </w:r>
      <w:r w:rsidR="003D00AF">
        <w:t xml:space="preserve"> of the FPA</w:t>
      </w:r>
      <w:r w:rsidRPr="002F5967">
        <w:t xml:space="preserve"> requires the Commission give preference to the proposal submitted on compliance by public utilities</w:t>
      </w:r>
      <w:r>
        <w:t>” and the Commission “</w:t>
      </w:r>
      <w:r w:rsidRPr="00B876E2">
        <w:t>cannot simply choose the</w:t>
      </w:r>
      <w:r>
        <w:t xml:space="preserve"> </w:t>
      </w:r>
      <w:r w:rsidRPr="00B876E2">
        <w:t>one it likes best</w:t>
      </w:r>
      <w:r>
        <w:t xml:space="preserve">” </w:t>
      </w:r>
      <w:r w:rsidRPr="008C7823">
        <w:t xml:space="preserve">(citing </w:t>
      </w:r>
      <w:r w:rsidRPr="008C7823">
        <w:rPr>
          <w:i/>
          <w:iCs/>
        </w:rPr>
        <w:t xml:space="preserve">United Gas Pipe Line Co. v. Mobile Gas </w:t>
      </w:r>
      <w:r w:rsidR="0062437B">
        <w:rPr>
          <w:i/>
          <w:iCs/>
        </w:rPr>
        <w:t>Serv.</w:t>
      </w:r>
      <w:r w:rsidRPr="008C7823">
        <w:rPr>
          <w:i/>
          <w:iCs/>
        </w:rPr>
        <w:t xml:space="preserve"> Corp.</w:t>
      </w:r>
      <w:r w:rsidRPr="008C7823">
        <w:t>, 350 U.S. 332, 340-41 (1956))</w:t>
      </w:r>
      <w:r w:rsidR="00B34133">
        <w:t>)</w:t>
      </w:r>
      <w:r>
        <w:t xml:space="preserve">; </w:t>
      </w:r>
      <w:r>
        <w:rPr>
          <w:i/>
          <w:iCs/>
        </w:rPr>
        <w:t>see id.</w:t>
      </w:r>
      <w:r>
        <w:t xml:space="preserve"> at </w:t>
      </w:r>
      <w:r w:rsidR="000521F1">
        <w:t>20</w:t>
      </w:r>
      <w:r>
        <w:t xml:space="preserve"> (“</w:t>
      </w:r>
      <w:r w:rsidRPr="00947554">
        <w:t>This preference for the public utility’s proposal is the only interpretation that conforms</w:t>
      </w:r>
      <w:r>
        <w:t xml:space="preserve"> </w:t>
      </w:r>
      <w:r w:rsidRPr="00947554">
        <w:t>with the statutory text of the FPA.</w:t>
      </w:r>
      <w:r>
        <w:t>”).</w:t>
      </w:r>
    </w:p>
  </w:footnote>
  <w:footnote w:id="145">
    <w:p w14:paraId="71B84BDB" w14:textId="672118F6" w:rsidR="00ED28CE" w:rsidRPr="004C4804" w:rsidRDefault="00ED28CE" w:rsidP="00ED28CE">
      <w:pPr>
        <w:pStyle w:val="FootnoteText"/>
      </w:pPr>
      <w:r>
        <w:rPr>
          <w:rStyle w:val="FootnoteReference"/>
        </w:rPr>
        <w:footnoteRef/>
      </w:r>
      <w:r>
        <w:t xml:space="preserve"> </w:t>
      </w:r>
      <w:r>
        <w:rPr>
          <w:i/>
          <w:iCs/>
        </w:rPr>
        <w:t>See id.</w:t>
      </w:r>
      <w:r w:rsidR="00A81261">
        <w:rPr>
          <w:i/>
          <w:iCs/>
        </w:rPr>
        <w:t xml:space="preserve"> </w:t>
      </w:r>
      <w:r w:rsidR="00A81261">
        <w:t>at 17.</w:t>
      </w:r>
    </w:p>
  </w:footnote>
  <w:footnote w:id="146">
    <w:p w14:paraId="174DCAA6" w14:textId="1A76FBC6" w:rsidR="00EE3FD0" w:rsidRPr="00A763A8" w:rsidRDefault="00EE3FD0" w:rsidP="00EE3FD0">
      <w:pPr>
        <w:pStyle w:val="FootnoteText"/>
      </w:pPr>
      <w:r>
        <w:rPr>
          <w:rStyle w:val="FootnoteReference"/>
        </w:rPr>
        <w:footnoteRef/>
      </w:r>
      <w:r>
        <w:t xml:space="preserve"> </w:t>
      </w:r>
      <w:r w:rsidR="00794B8B" w:rsidRPr="00EA414A">
        <w:rPr>
          <w:i/>
          <w:iCs/>
        </w:rPr>
        <w:t>Id</w:t>
      </w:r>
      <w:r w:rsidR="00794B8B" w:rsidRPr="00D47397">
        <w:rPr>
          <w:i/>
        </w:rPr>
        <w:t>.</w:t>
      </w:r>
      <w:r w:rsidR="00794B8B">
        <w:t xml:space="preserve"> </w:t>
      </w:r>
      <w:r>
        <w:t>at 27-28.</w:t>
      </w:r>
    </w:p>
  </w:footnote>
  <w:footnote w:id="147">
    <w:p w14:paraId="1E640944" w14:textId="77777777" w:rsidR="00EE3FD0" w:rsidRDefault="00EE3FD0" w:rsidP="00EE3FD0">
      <w:pPr>
        <w:pStyle w:val="FootnoteText"/>
      </w:pPr>
      <w:r>
        <w:rPr>
          <w:rStyle w:val="FootnoteReference"/>
        </w:rPr>
        <w:footnoteRef/>
      </w:r>
      <w:r>
        <w:t xml:space="preserve"> </w:t>
      </w:r>
      <w:r>
        <w:rPr>
          <w:i/>
          <w:iCs/>
        </w:rPr>
        <w:t>Id.</w:t>
      </w:r>
      <w:r>
        <w:t xml:space="preserve"> at 27 n.102 (citing </w:t>
      </w:r>
      <w:r w:rsidRPr="00C87DE8">
        <w:t>16</w:t>
      </w:r>
      <w:r>
        <w:t xml:space="preserve"> </w:t>
      </w:r>
      <w:r w:rsidRPr="00C87DE8">
        <w:t>U.S.C. 824e(a)</w:t>
      </w:r>
      <w:r>
        <w:t xml:space="preserve">; </w:t>
      </w:r>
      <w:proofErr w:type="spellStart"/>
      <w:r w:rsidRPr="00D045DF">
        <w:rPr>
          <w:i/>
          <w:iCs/>
        </w:rPr>
        <w:t>Indep</w:t>
      </w:r>
      <w:proofErr w:type="spellEnd"/>
      <w:r w:rsidRPr="00D045DF">
        <w:rPr>
          <w:i/>
          <w:iCs/>
        </w:rPr>
        <w:t xml:space="preserve">. Energy Producers </w:t>
      </w:r>
      <w:proofErr w:type="spellStart"/>
      <w:r w:rsidRPr="00D045DF">
        <w:rPr>
          <w:i/>
          <w:iCs/>
        </w:rPr>
        <w:t>Ass’n</w:t>
      </w:r>
      <w:proofErr w:type="spellEnd"/>
      <w:r w:rsidRPr="00D045DF">
        <w:rPr>
          <w:i/>
          <w:iCs/>
        </w:rPr>
        <w:t xml:space="preserve"> v. Cal. </w:t>
      </w:r>
      <w:proofErr w:type="spellStart"/>
      <w:r w:rsidRPr="00D045DF">
        <w:rPr>
          <w:i/>
          <w:iCs/>
        </w:rPr>
        <w:t>Indep</w:t>
      </w:r>
      <w:proofErr w:type="spellEnd"/>
      <w:r w:rsidRPr="00D045DF">
        <w:rPr>
          <w:i/>
          <w:iCs/>
        </w:rPr>
        <w:t>. Sys. Operator Corp.</w:t>
      </w:r>
      <w:r w:rsidRPr="00D045DF">
        <w:t>,</w:t>
      </w:r>
      <w:r>
        <w:t xml:space="preserve"> </w:t>
      </w:r>
      <w:r w:rsidRPr="00130C71">
        <w:t>128 FERC ¶ 61,165, at PP 21-26 (2009)</w:t>
      </w:r>
      <w:r>
        <w:t>).</w:t>
      </w:r>
    </w:p>
  </w:footnote>
  <w:footnote w:id="148">
    <w:p w14:paraId="7EC429B3" w14:textId="24BCCEF5" w:rsidR="00EE3FD0" w:rsidRDefault="00EE3FD0" w:rsidP="00EE3FD0">
      <w:pPr>
        <w:pStyle w:val="FootnoteText"/>
      </w:pPr>
      <w:r>
        <w:rPr>
          <w:rStyle w:val="FootnoteReference"/>
        </w:rPr>
        <w:footnoteRef/>
      </w:r>
      <w:r>
        <w:t xml:space="preserve"> </w:t>
      </w:r>
      <w:r>
        <w:rPr>
          <w:i/>
          <w:iCs/>
        </w:rPr>
        <w:t>Id</w:t>
      </w:r>
      <w:r w:rsidRPr="002076DE">
        <w:rPr>
          <w:i/>
        </w:rPr>
        <w:t>.</w:t>
      </w:r>
      <w:r w:rsidR="00B32016">
        <w:t xml:space="preserve"> at 27-28 n.102.</w:t>
      </w:r>
    </w:p>
  </w:footnote>
  <w:footnote w:id="149">
    <w:p w14:paraId="4680BA7A" w14:textId="77777777" w:rsidR="00EE3FD0" w:rsidRPr="00106243" w:rsidRDefault="00EE3FD0" w:rsidP="00EE3FD0">
      <w:pPr>
        <w:pStyle w:val="FootnoteText"/>
      </w:pPr>
      <w:r>
        <w:rPr>
          <w:rStyle w:val="FootnoteReference"/>
        </w:rPr>
        <w:footnoteRef/>
      </w:r>
      <w:r>
        <w:t xml:space="preserve"> </w:t>
      </w:r>
      <w:r>
        <w:rPr>
          <w:i/>
          <w:iCs/>
        </w:rPr>
        <w:t>Id.</w:t>
      </w:r>
      <w:r>
        <w:t xml:space="preserve"> at 28; </w:t>
      </w:r>
      <w:r>
        <w:rPr>
          <w:i/>
          <w:iCs/>
        </w:rPr>
        <w:t>see also, e.g.</w:t>
      </w:r>
      <w:r>
        <w:t xml:space="preserve">, </w:t>
      </w:r>
      <w:r>
        <w:rPr>
          <w:i/>
          <w:iCs/>
        </w:rPr>
        <w:t>id.</w:t>
      </w:r>
      <w:r>
        <w:t xml:space="preserve"> at </w:t>
      </w:r>
      <w:r w:rsidRPr="00106243">
        <w:t>3-4 (“Unless the Commission prescribes the specific replacement rate, the Commission must accept the utility’s filing if it is just and reasonable, even if the Commission prefers a different rate.”)</w:t>
      </w:r>
      <w:r>
        <w:t xml:space="preserve">; </w:t>
      </w:r>
      <w:r w:rsidRPr="00106243">
        <w:rPr>
          <w:i/>
          <w:iCs/>
        </w:rPr>
        <w:t>id.</w:t>
      </w:r>
      <w:r w:rsidRPr="00106243">
        <w:t xml:space="preserve"> at </w:t>
      </w:r>
      <w:r>
        <w:t xml:space="preserve">5, </w:t>
      </w:r>
      <w:r w:rsidRPr="00106243">
        <w:t>7-8</w:t>
      </w:r>
      <w:r>
        <w:t>.</w:t>
      </w:r>
    </w:p>
  </w:footnote>
  <w:footnote w:id="150">
    <w:p w14:paraId="537EBD4D" w14:textId="77777777" w:rsidR="00EE3FD0" w:rsidRDefault="00EE3FD0" w:rsidP="00EE3FD0">
      <w:pPr>
        <w:pStyle w:val="FootnoteText"/>
      </w:pPr>
      <w:r>
        <w:rPr>
          <w:rStyle w:val="FootnoteReference"/>
        </w:rPr>
        <w:footnoteRef/>
      </w:r>
      <w:r>
        <w:t xml:space="preserve"> WIRES Rehearing Request at 10-11.</w:t>
      </w:r>
    </w:p>
  </w:footnote>
  <w:footnote w:id="151">
    <w:p w14:paraId="38182D6A" w14:textId="00A1A5E0" w:rsidR="00B335D5" w:rsidRDefault="00B335D5" w:rsidP="00B335D5">
      <w:pPr>
        <w:pStyle w:val="FootnoteText"/>
      </w:pPr>
      <w:r>
        <w:rPr>
          <w:rStyle w:val="FootnoteReference"/>
        </w:rPr>
        <w:footnoteRef/>
      </w:r>
      <w:r>
        <w:t xml:space="preserve"> </w:t>
      </w:r>
      <w:r w:rsidRPr="005321AF">
        <w:t>Order No. 1920</w:t>
      </w:r>
      <w:r>
        <w:t>-A</w:t>
      </w:r>
      <w:r w:rsidRPr="005321AF">
        <w:t>,</w:t>
      </w:r>
      <w:r>
        <w:t xml:space="preserve"> </w:t>
      </w:r>
      <w:r w:rsidRPr="00AD0002">
        <w:t>189 FERC ¶ 61,126</w:t>
      </w:r>
      <w:r>
        <w:t xml:space="preserve"> at P 658 &amp; n.1657 (citing </w:t>
      </w:r>
      <w:r w:rsidRPr="00B03F08">
        <w:rPr>
          <w:i/>
          <w:iCs/>
        </w:rPr>
        <w:t>PJM Interconnection, L.L.C.</w:t>
      </w:r>
      <w:r w:rsidRPr="00B03F08">
        <w:t>, 173 FERC ¶ 61,134 at P 117 n.175</w:t>
      </w:r>
      <w:r w:rsidR="000D64C7">
        <w:t>;</w:t>
      </w:r>
      <w:r w:rsidRPr="00B03F08">
        <w:t xml:space="preserve"> </w:t>
      </w:r>
      <w:r w:rsidRPr="00B03F08">
        <w:rPr>
          <w:i/>
          <w:iCs/>
        </w:rPr>
        <w:t>PJM Interconnection, L.L.C.</w:t>
      </w:r>
      <w:r w:rsidRPr="00B03F08">
        <w:t>, 119 FERC ¶ 61,318 at P 115</w:t>
      </w:r>
      <w:r w:rsidR="000D64C7">
        <w:t>;</w:t>
      </w:r>
      <w:r w:rsidRPr="00B03F08">
        <w:t xml:space="preserve"> </w:t>
      </w:r>
      <w:r w:rsidRPr="00B03F08">
        <w:rPr>
          <w:i/>
          <w:iCs/>
        </w:rPr>
        <w:t>ANR Pipeline Co.</w:t>
      </w:r>
      <w:r w:rsidRPr="00B03F08">
        <w:t>, 110 FERC ¶ 61,069 at P 49</w:t>
      </w:r>
      <w:r>
        <w:t>)</w:t>
      </w:r>
      <w:r w:rsidDel="008F49D9">
        <w:t xml:space="preserve"> </w:t>
      </w:r>
      <w:r>
        <w:t>(reflecting that the Commission typically does not consider alternative proposals on compliance).</w:t>
      </w:r>
    </w:p>
  </w:footnote>
  <w:footnote w:id="152">
    <w:p w14:paraId="12930E75" w14:textId="2A9A719E" w:rsidR="00B335D5" w:rsidRDefault="00B335D5" w:rsidP="00B335D5">
      <w:pPr>
        <w:pStyle w:val="FootnoteText"/>
      </w:pPr>
      <w:r>
        <w:rPr>
          <w:rStyle w:val="FootnoteReference"/>
        </w:rPr>
        <w:footnoteRef/>
      </w:r>
      <w:r>
        <w:t xml:space="preserve"> </w:t>
      </w:r>
      <w:r>
        <w:rPr>
          <w:i/>
          <w:iCs/>
        </w:rPr>
        <w:t xml:space="preserve">See </w:t>
      </w:r>
      <w:r w:rsidRPr="00F949A8">
        <w:t>SPP TOs R</w:t>
      </w:r>
      <w:r>
        <w:t>ehearing Request</w:t>
      </w:r>
      <w:r w:rsidRPr="00F949A8">
        <w:t xml:space="preserve"> at 16-17 &amp; n.43</w:t>
      </w:r>
      <w:r>
        <w:t xml:space="preserve"> (arguing that these cases involved acceptance of and/or giving greater weight to transmission providers’ compliance filings or settlement proposals).</w:t>
      </w:r>
    </w:p>
  </w:footnote>
  <w:footnote w:id="153">
    <w:p w14:paraId="29721D56" w14:textId="4409BA11" w:rsidR="00577558" w:rsidRDefault="00577558" w:rsidP="00577558">
      <w:pPr>
        <w:pStyle w:val="FootnoteText"/>
      </w:pPr>
      <w:r>
        <w:rPr>
          <w:rStyle w:val="FootnoteReference"/>
        </w:rPr>
        <w:footnoteRef/>
      </w:r>
      <w:r>
        <w:t xml:space="preserve"> </w:t>
      </w:r>
      <w:r w:rsidRPr="005321AF">
        <w:t>Order No. 1920</w:t>
      </w:r>
      <w:r>
        <w:t>-A</w:t>
      </w:r>
      <w:r w:rsidRPr="005321AF">
        <w:t>,</w:t>
      </w:r>
      <w:r>
        <w:t xml:space="preserve"> </w:t>
      </w:r>
      <w:r w:rsidRPr="00AD0002">
        <w:t>189 FERC ¶ 61,126</w:t>
      </w:r>
      <w:r>
        <w:t xml:space="preserve"> at PP 651, </w:t>
      </w:r>
      <w:r w:rsidR="008525CB">
        <w:t>654-</w:t>
      </w:r>
      <w:r>
        <w:t>655.</w:t>
      </w:r>
    </w:p>
  </w:footnote>
  <w:footnote w:id="154">
    <w:p w14:paraId="19DC2A10" w14:textId="298EDEAA" w:rsidR="00577558" w:rsidRPr="006C7031" w:rsidRDefault="00577558" w:rsidP="00577558">
      <w:pPr>
        <w:pStyle w:val="FootnoteText"/>
      </w:pPr>
      <w:r>
        <w:rPr>
          <w:rStyle w:val="FootnoteReference"/>
        </w:rPr>
        <w:footnoteRef/>
      </w:r>
      <w:r>
        <w:t xml:space="preserve"> </w:t>
      </w:r>
      <w:r>
        <w:rPr>
          <w:i/>
          <w:iCs/>
        </w:rPr>
        <w:t>Id.</w:t>
      </w:r>
      <w:r>
        <w:t xml:space="preserve"> P 659.</w:t>
      </w:r>
      <w:r w:rsidR="007C31E8">
        <w:t xml:space="preserve">  As discussed further below, pursuant to FPA section 205, transmission providers retain their discretion over whether to make </w:t>
      </w:r>
      <w:r w:rsidR="006C7031">
        <w:t xml:space="preserve">and the contents of any future FPA section 205 filings, and Order No. 1920-A’s requirements do not affect that discretion.  </w:t>
      </w:r>
      <w:r w:rsidR="006C7031">
        <w:rPr>
          <w:i/>
          <w:iCs/>
        </w:rPr>
        <w:t>See</w:t>
      </w:r>
      <w:r w:rsidR="006C7031" w:rsidDel="00285106">
        <w:rPr>
          <w:i/>
          <w:iCs/>
        </w:rPr>
        <w:t xml:space="preserve"> </w:t>
      </w:r>
      <w:proofErr w:type="gramStart"/>
      <w:r w:rsidR="00285106">
        <w:rPr>
          <w:i/>
          <w:iCs/>
        </w:rPr>
        <w:t xml:space="preserve">infra </w:t>
      </w:r>
      <w:r w:rsidR="006C7031" w:rsidRPr="00892781">
        <w:t>PP</w:t>
      </w:r>
      <w:proofErr w:type="gramEnd"/>
      <w:r w:rsidR="006C7031" w:rsidRPr="00892781">
        <w:t> </w:t>
      </w:r>
      <w:r w:rsidR="00CE6A17" w:rsidRPr="001E0560">
        <w:t xml:space="preserve">69, </w:t>
      </w:r>
      <w:r w:rsidR="00892781" w:rsidRPr="001E0560">
        <w:t>118</w:t>
      </w:r>
      <w:r w:rsidR="006C7031" w:rsidRPr="00892781">
        <w:t>.</w:t>
      </w:r>
    </w:p>
  </w:footnote>
  <w:footnote w:id="155">
    <w:p w14:paraId="2E4655AC" w14:textId="12D38EE0" w:rsidR="00577558" w:rsidRDefault="00577558" w:rsidP="00577558">
      <w:pPr>
        <w:pStyle w:val="FootnoteText"/>
      </w:pPr>
      <w:r>
        <w:rPr>
          <w:rStyle w:val="FootnoteReference"/>
        </w:rPr>
        <w:footnoteRef/>
      </w:r>
      <w:r>
        <w:t xml:space="preserve"> 16 U.S.C. 824d (</w:t>
      </w:r>
      <w:r w:rsidR="00BB0C6C">
        <w:t xml:space="preserve">setting forth </w:t>
      </w:r>
      <w:r w:rsidR="00B5345F">
        <w:t>public utility</w:t>
      </w:r>
      <w:r w:rsidR="00587B71">
        <w:t xml:space="preserve"> </w:t>
      </w:r>
      <w:r w:rsidR="00C360CA">
        <w:t xml:space="preserve">filing </w:t>
      </w:r>
      <w:r w:rsidR="00587B71">
        <w:t xml:space="preserve">rights </w:t>
      </w:r>
      <w:r w:rsidR="00DD0733">
        <w:t>and obligations</w:t>
      </w:r>
      <w:proofErr w:type="gramStart"/>
      <w:r>
        <w:t xml:space="preserve">); </w:t>
      </w:r>
      <w:r w:rsidR="0076770C">
        <w:t xml:space="preserve">  </w:t>
      </w:r>
      <w:proofErr w:type="gramEnd"/>
      <w:r w:rsidR="0076770C">
        <w:t xml:space="preserve">             </w:t>
      </w:r>
      <w:r>
        <w:t>16 U.S.C. 824e (</w:t>
      </w:r>
      <w:r w:rsidR="003C39F2">
        <w:t xml:space="preserve">setting forth </w:t>
      </w:r>
      <w:r w:rsidR="00AA74D1">
        <w:t>p</w:t>
      </w:r>
      <w:r w:rsidRPr="00027AFA">
        <w:t>ower of Commission to fix rates and charges</w:t>
      </w:r>
      <w:r>
        <w:t>).</w:t>
      </w:r>
    </w:p>
  </w:footnote>
  <w:footnote w:id="156">
    <w:p w14:paraId="5B516141" w14:textId="060DBEFA" w:rsidR="00577558" w:rsidRPr="00E013DE" w:rsidRDefault="00577558" w:rsidP="00577558">
      <w:pPr>
        <w:pStyle w:val="FootnoteText"/>
      </w:pPr>
      <w:r>
        <w:rPr>
          <w:rStyle w:val="FootnoteReference"/>
        </w:rPr>
        <w:footnoteRef/>
      </w:r>
      <w:r>
        <w:t xml:space="preserve"> </w:t>
      </w:r>
      <w:r w:rsidRPr="00E013DE">
        <w:rPr>
          <w:i/>
          <w:iCs/>
        </w:rPr>
        <w:t xml:space="preserve">See </w:t>
      </w:r>
      <w:r w:rsidRPr="004A28D6">
        <w:rPr>
          <w:i/>
          <w:iCs/>
        </w:rPr>
        <w:t>Bldg. for the Future Through Elec. Reg'l Transmission Plan</w:t>
      </w:r>
      <w:r w:rsidR="007B5B81">
        <w:rPr>
          <w:i/>
          <w:iCs/>
        </w:rPr>
        <w:t>.</w:t>
      </w:r>
      <w:r w:rsidRPr="004A28D6">
        <w:rPr>
          <w:i/>
          <w:iCs/>
        </w:rPr>
        <w:t xml:space="preserve"> &amp; Cost Allocation &amp; Generator Interconnection</w:t>
      </w:r>
      <w:r w:rsidRPr="00E013DE">
        <w:t xml:space="preserve">, </w:t>
      </w:r>
      <w:r w:rsidRPr="00D4068B">
        <w:t>179 FERC ¶ 61,028</w:t>
      </w:r>
      <w:r>
        <w:t>,</w:t>
      </w:r>
      <w:r w:rsidRPr="00E013DE">
        <w:t xml:space="preserve"> at P 1</w:t>
      </w:r>
      <w:r>
        <w:t xml:space="preserve"> (2022) (NOPR)</w:t>
      </w:r>
      <w:r w:rsidRPr="00E013DE">
        <w:t>; Order No. 1920</w:t>
      </w:r>
      <w:r w:rsidRPr="00014C04">
        <w:t>, 187 FERC ¶ 61,068</w:t>
      </w:r>
      <w:r w:rsidRPr="00E013DE">
        <w:t xml:space="preserve"> at P 1; Order No. 1920-A, 189 FERC ¶ 61,126 </w:t>
      </w:r>
      <w:r w:rsidR="0076770C">
        <w:t xml:space="preserve">              </w:t>
      </w:r>
      <w:r w:rsidRPr="00E013DE">
        <w:t>at PP</w:t>
      </w:r>
      <w:r w:rsidR="00757F41">
        <w:t> </w:t>
      </w:r>
      <w:r w:rsidRPr="00E013DE">
        <w:t>1, 652.</w:t>
      </w:r>
    </w:p>
  </w:footnote>
  <w:footnote w:id="157">
    <w:p w14:paraId="5C0CD62D" w14:textId="77777777" w:rsidR="00577558" w:rsidRPr="009E3FD5" w:rsidRDefault="00577558" w:rsidP="0076770C">
      <w:pPr>
        <w:pStyle w:val="FootnoteText"/>
        <w:widowControl/>
        <w:rPr>
          <w:b/>
          <w:bCs/>
        </w:rPr>
      </w:pPr>
      <w:r>
        <w:rPr>
          <w:rStyle w:val="FootnoteReference"/>
        </w:rPr>
        <w:footnoteRef/>
      </w:r>
      <w:r>
        <w:t xml:space="preserve"> </w:t>
      </w:r>
      <w:r w:rsidRPr="005321AF">
        <w:t>Order No. 1920</w:t>
      </w:r>
      <w:r>
        <w:t>-A</w:t>
      </w:r>
      <w:r w:rsidRPr="005321AF">
        <w:t>,</w:t>
      </w:r>
      <w:r>
        <w:t xml:space="preserve"> </w:t>
      </w:r>
      <w:r w:rsidRPr="00AD0002">
        <w:t>189 FERC ¶ 61,126</w:t>
      </w:r>
      <w:r>
        <w:t xml:space="preserve"> at</w:t>
      </w:r>
      <w:r w:rsidRPr="00277869">
        <w:t xml:space="preserve"> P 652</w:t>
      </w:r>
      <w:r>
        <w:t xml:space="preserve"> (quoting </w:t>
      </w:r>
      <w:r w:rsidRPr="00DB37CD">
        <w:t>16 U.S.C. 824e(a)</w:t>
      </w:r>
      <w:r>
        <w:t>)</w:t>
      </w:r>
      <w:r w:rsidRPr="00277869">
        <w:t>.</w:t>
      </w:r>
    </w:p>
  </w:footnote>
  <w:footnote w:id="158">
    <w:p w14:paraId="738154D6" w14:textId="6371AB67" w:rsidR="00577558" w:rsidRPr="000E0900" w:rsidRDefault="00577558" w:rsidP="00577558">
      <w:pPr>
        <w:pStyle w:val="FootnoteText"/>
      </w:pPr>
      <w:r>
        <w:rPr>
          <w:rStyle w:val="FootnoteReference"/>
        </w:rPr>
        <w:footnoteRef/>
      </w:r>
      <w:r>
        <w:t xml:space="preserve"> </w:t>
      </w:r>
      <w:r>
        <w:rPr>
          <w:i/>
          <w:iCs/>
        </w:rPr>
        <w:t>Id.</w:t>
      </w:r>
      <w:r w:rsidR="00523759">
        <w:rPr>
          <w:i/>
          <w:iCs/>
        </w:rPr>
        <w:t xml:space="preserve"> </w:t>
      </w:r>
      <w:r w:rsidR="00523759">
        <w:t xml:space="preserve">(citing </w:t>
      </w:r>
      <w:r w:rsidR="00523759">
        <w:rPr>
          <w:i/>
          <w:iCs/>
        </w:rPr>
        <w:t>ISO New England Inc.</w:t>
      </w:r>
      <w:r w:rsidR="00523759">
        <w:t>, 173 FERC ¶ </w:t>
      </w:r>
      <w:r w:rsidR="00CD4730">
        <w:t>61,204</w:t>
      </w:r>
      <w:r w:rsidR="00E60770">
        <w:t xml:space="preserve"> at P 8).</w:t>
      </w:r>
    </w:p>
  </w:footnote>
  <w:footnote w:id="159">
    <w:p w14:paraId="43A08370" w14:textId="26CF10D7" w:rsidR="00577558" w:rsidRDefault="00577558" w:rsidP="00577558">
      <w:pPr>
        <w:pStyle w:val="FootnoteText"/>
      </w:pPr>
      <w:r>
        <w:rPr>
          <w:rStyle w:val="FootnoteReference"/>
        </w:rPr>
        <w:footnoteRef/>
      </w:r>
      <w:r>
        <w:t xml:space="preserve"> 16 U.S.C. 824d(c); </w:t>
      </w:r>
      <w:r>
        <w:rPr>
          <w:i/>
          <w:iCs/>
        </w:rPr>
        <w:t>cf. id.</w:t>
      </w:r>
      <w:r>
        <w:t xml:space="preserve"> 824d(a) (requiring that “[a]</w:t>
      </w:r>
      <w:proofErr w:type="spellStart"/>
      <w:r w:rsidRPr="003932C0">
        <w:t>ll</w:t>
      </w:r>
      <w:proofErr w:type="spellEnd"/>
      <w:r w:rsidRPr="003932C0">
        <w:t xml:space="preserve"> rates and charges made, demanded, or received by any</w:t>
      </w:r>
      <w:r w:rsidR="00D477DC">
        <w:t xml:space="preserve"> </w:t>
      </w:r>
      <w:r w:rsidRPr="003932C0">
        <w:t>public utility</w:t>
      </w:r>
      <w:r w:rsidR="00D477DC">
        <w:t xml:space="preserve"> </w:t>
      </w:r>
      <w:r w:rsidRPr="003932C0">
        <w:t>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w:t>
      </w:r>
      <w:r>
        <w:t>”).</w:t>
      </w:r>
    </w:p>
  </w:footnote>
  <w:footnote w:id="160">
    <w:p w14:paraId="7FDF3687" w14:textId="77777777" w:rsidR="00577558" w:rsidRDefault="00577558" w:rsidP="00577558">
      <w:pPr>
        <w:pStyle w:val="FootnoteText"/>
      </w:pPr>
      <w:r>
        <w:rPr>
          <w:rStyle w:val="FootnoteReference"/>
        </w:rPr>
        <w:footnoteRef/>
      </w:r>
      <w:r>
        <w:t xml:space="preserve"> </w:t>
      </w:r>
      <w:r w:rsidRPr="00DB37CD">
        <w:t>16 U.S.C. 824e(a)</w:t>
      </w:r>
      <w:r>
        <w:t xml:space="preserve"> (providing that “the Commission shall determine” the replacement rate and “shall fix the same by order”).</w:t>
      </w:r>
    </w:p>
  </w:footnote>
  <w:footnote w:id="161">
    <w:p w14:paraId="313BC6E4" w14:textId="3F167976" w:rsidR="00577558" w:rsidRPr="00834CC5" w:rsidRDefault="00577558" w:rsidP="00577558">
      <w:pPr>
        <w:pStyle w:val="FootnoteText"/>
      </w:pPr>
      <w:r>
        <w:rPr>
          <w:rStyle w:val="FootnoteReference"/>
        </w:rPr>
        <w:footnoteRef/>
      </w:r>
      <w:r>
        <w:t xml:space="preserve"> </w:t>
      </w:r>
      <w:r>
        <w:rPr>
          <w:i/>
          <w:iCs/>
        </w:rPr>
        <w:t>Id.</w:t>
      </w:r>
      <w:r>
        <w:t xml:space="preserve">; </w:t>
      </w:r>
      <w:r>
        <w:rPr>
          <w:i/>
          <w:iCs/>
        </w:rPr>
        <w:t xml:space="preserve">see </w:t>
      </w:r>
      <w:r w:rsidRPr="000E26EF">
        <w:rPr>
          <w:i/>
          <w:iCs/>
        </w:rPr>
        <w:t xml:space="preserve">E. </w:t>
      </w:r>
      <w:r>
        <w:rPr>
          <w:i/>
          <w:iCs/>
        </w:rPr>
        <w:t>Tenn.</w:t>
      </w:r>
      <w:r w:rsidRPr="000E26EF">
        <w:rPr>
          <w:i/>
          <w:iCs/>
        </w:rPr>
        <w:t xml:space="preserve"> Nat. Gas Co. v. FERC</w:t>
      </w:r>
      <w:r w:rsidRPr="000E26EF">
        <w:t>, 863 F.2d 932, 937 (D.C. Cir. 1988)</w:t>
      </w:r>
      <w:r>
        <w:t xml:space="preserve"> (explaining</w:t>
      </w:r>
      <w:r w:rsidR="00ED06E7">
        <w:t xml:space="preserve"> that</w:t>
      </w:r>
      <w:r>
        <w:t>, under the parallel provisions of the NGA, “[w]</w:t>
      </w:r>
      <w:r w:rsidRPr="000E26EF">
        <w:t xml:space="preserve">hen review of existing rates is initiated by the Commission, </w:t>
      </w:r>
      <w:r w:rsidR="000E0900">
        <w:t>.</w:t>
      </w:r>
      <w:r w:rsidR="00B4418D">
        <w:t> . . </w:t>
      </w:r>
      <w:r w:rsidRPr="000E26EF">
        <w:t xml:space="preserve">the burden of proving that the existing rates are unjust or unreasonable, and that those it orders in replacement are just and reasonable, rests with </w:t>
      </w:r>
      <w:r>
        <w:t xml:space="preserve">[the Commission]”); </w:t>
      </w:r>
      <w:r w:rsidRPr="001630E3">
        <w:rPr>
          <w:i/>
          <w:iCs/>
        </w:rPr>
        <w:t>ISO New England Inc.</w:t>
      </w:r>
      <w:r w:rsidRPr="001630E3">
        <w:t>, 153 FERC ¶</w:t>
      </w:r>
      <w:r>
        <w:t> </w:t>
      </w:r>
      <w:r w:rsidRPr="001630E3">
        <w:t>61,224</w:t>
      </w:r>
      <w:r>
        <w:t xml:space="preserve">, </w:t>
      </w:r>
      <w:r w:rsidR="004E560B">
        <w:t xml:space="preserve">at </w:t>
      </w:r>
      <w:r>
        <w:t>P</w:t>
      </w:r>
      <w:r w:rsidR="007C6E8D">
        <w:t> </w:t>
      </w:r>
      <w:r>
        <w:t>24</w:t>
      </w:r>
      <w:r w:rsidRPr="001630E3">
        <w:t xml:space="preserve"> (2015)</w:t>
      </w:r>
      <w:r>
        <w:t xml:space="preserve"> (“</w:t>
      </w:r>
      <w:r w:rsidRPr="001630E3">
        <w:t xml:space="preserve">The Commission did not place the burden on Connecticut and Rhode Island to prove that the dynamic de-list bid threshold </w:t>
      </w:r>
      <w:r>
        <w:t xml:space="preserve">[proposed in a compliance filing] </w:t>
      </w:r>
      <w:r w:rsidRPr="001630E3">
        <w:t xml:space="preserve">was unreasonable. </w:t>
      </w:r>
      <w:r w:rsidR="009B568E">
        <w:t xml:space="preserve"> </w:t>
      </w:r>
      <w:r w:rsidRPr="001630E3">
        <w:t>Rather, the Commission affirmatively found the dynamic de-list bid threshold to be just and reasonable.</w:t>
      </w:r>
      <w:r>
        <w:t>”)</w:t>
      </w:r>
      <w:r w:rsidRPr="000E26EF">
        <w:t>.</w:t>
      </w:r>
    </w:p>
  </w:footnote>
  <w:footnote w:id="162">
    <w:p w14:paraId="5D49D764" w14:textId="0DD56F1B" w:rsidR="00577558" w:rsidRPr="00944297" w:rsidRDefault="00577558" w:rsidP="00577558">
      <w:pPr>
        <w:pStyle w:val="FootnoteText"/>
      </w:pPr>
      <w:r>
        <w:rPr>
          <w:rStyle w:val="FootnoteReference"/>
        </w:rPr>
        <w:footnoteRef/>
      </w:r>
      <w:r>
        <w:t xml:space="preserve"> </w:t>
      </w:r>
      <w:r>
        <w:rPr>
          <w:i/>
          <w:iCs/>
        </w:rPr>
        <w:t>See, e.g.</w:t>
      </w:r>
      <w:r>
        <w:t xml:space="preserve">, </w:t>
      </w:r>
      <w:r w:rsidRPr="00364BDF">
        <w:rPr>
          <w:i/>
          <w:iCs/>
        </w:rPr>
        <w:t>Improvements to Generator Interconnection Procs. &amp; Agreements</w:t>
      </w:r>
      <w:r w:rsidRPr="00364BDF">
        <w:t>, Order No. 2023, 184 FERC ¶</w:t>
      </w:r>
      <w:r w:rsidR="0001254C">
        <w:t> </w:t>
      </w:r>
      <w:r w:rsidRPr="00364BDF">
        <w:t>61,054</w:t>
      </w:r>
      <w:r>
        <w:t>, at P</w:t>
      </w:r>
      <w:r w:rsidR="0001254C">
        <w:t> </w:t>
      </w:r>
      <w:r>
        <w:t>1762</w:t>
      </w:r>
      <w:r w:rsidRPr="00364BDF">
        <w:t xml:space="preserve">, </w:t>
      </w:r>
      <w:r w:rsidRPr="00364BDF">
        <w:rPr>
          <w:i/>
          <w:iCs/>
        </w:rPr>
        <w:t>order on reh</w:t>
      </w:r>
      <w:r>
        <w:rPr>
          <w:i/>
          <w:iCs/>
        </w:rPr>
        <w:t>’</w:t>
      </w:r>
      <w:r w:rsidRPr="00364BDF">
        <w:rPr>
          <w:i/>
          <w:iCs/>
        </w:rPr>
        <w:t>g</w:t>
      </w:r>
      <w:r w:rsidRPr="00364BDF">
        <w:t>, 185 FERC ¶</w:t>
      </w:r>
      <w:r w:rsidR="0001254C">
        <w:t> </w:t>
      </w:r>
      <w:r w:rsidRPr="00364BDF">
        <w:t xml:space="preserve">61,063 (2023), </w:t>
      </w:r>
      <w:r w:rsidRPr="00364BDF">
        <w:rPr>
          <w:i/>
          <w:iCs/>
        </w:rPr>
        <w:t>order on reh</w:t>
      </w:r>
      <w:r>
        <w:rPr>
          <w:i/>
          <w:iCs/>
        </w:rPr>
        <w:t>’</w:t>
      </w:r>
      <w:r w:rsidRPr="00364BDF">
        <w:rPr>
          <w:i/>
          <w:iCs/>
        </w:rPr>
        <w:t>g</w:t>
      </w:r>
      <w:r w:rsidRPr="00364BDF">
        <w:t>, Order No. 2023-A, 186 FERC ¶</w:t>
      </w:r>
      <w:r w:rsidR="0001254C">
        <w:t> </w:t>
      </w:r>
      <w:r w:rsidRPr="00364BDF">
        <w:t xml:space="preserve">61,199, </w:t>
      </w:r>
      <w:r w:rsidRPr="00364BDF">
        <w:rPr>
          <w:i/>
          <w:iCs/>
        </w:rPr>
        <w:t>errata notice</w:t>
      </w:r>
      <w:r w:rsidRPr="00364BDF">
        <w:t>, 188 FERC ¶</w:t>
      </w:r>
      <w:r w:rsidR="0001254C">
        <w:t> </w:t>
      </w:r>
      <w:r w:rsidRPr="00364BDF">
        <w:t>61,134 (2024)</w:t>
      </w:r>
      <w:r>
        <w:t xml:space="preserve">; </w:t>
      </w:r>
      <w:r w:rsidRPr="00347449">
        <w:rPr>
          <w:i/>
          <w:iCs/>
        </w:rPr>
        <w:t xml:space="preserve">Participation of Distributed Energy </w:t>
      </w:r>
      <w:r w:rsidR="00DC3906" w:rsidRPr="00347449">
        <w:rPr>
          <w:i/>
          <w:iCs/>
        </w:rPr>
        <w:t>Res</w:t>
      </w:r>
      <w:r w:rsidR="00DC3906">
        <w:rPr>
          <w:i/>
          <w:iCs/>
        </w:rPr>
        <w:t>.</w:t>
      </w:r>
      <w:r w:rsidR="00DC3906" w:rsidRPr="00347449">
        <w:rPr>
          <w:i/>
          <w:iCs/>
        </w:rPr>
        <w:t xml:space="preserve"> </w:t>
      </w:r>
      <w:r w:rsidRPr="00347449">
        <w:rPr>
          <w:i/>
          <w:iCs/>
        </w:rPr>
        <w:t xml:space="preserve">Aggregations in </w:t>
      </w:r>
      <w:r w:rsidR="00DC3906">
        <w:rPr>
          <w:i/>
          <w:iCs/>
        </w:rPr>
        <w:t>Mkts.</w:t>
      </w:r>
      <w:r w:rsidRPr="00347449">
        <w:rPr>
          <w:i/>
          <w:iCs/>
        </w:rPr>
        <w:t xml:space="preserve"> Operated by </w:t>
      </w:r>
      <w:r w:rsidR="004303B0">
        <w:rPr>
          <w:i/>
          <w:iCs/>
        </w:rPr>
        <w:t>Reg’l</w:t>
      </w:r>
      <w:r w:rsidRPr="00347449">
        <w:rPr>
          <w:i/>
          <w:iCs/>
        </w:rPr>
        <w:t xml:space="preserve"> Transmission </w:t>
      </w:r>
      <w:r w:rsidR="004303B0">
        <w:rPr>
          <w:i/>
          <w:iCs/>
        </w:rPr>
        <w:t>Orgs.</w:t>
      </w:r>
      <w:r w:rsidR="004303B0" w:rsidRPr="00347449">
        <w:rPr>
          <w:i/>
          <w:iCs/>
        </w:rPr>
        <w:t xml:space="preserve"> </w:t>
      </w:r>
      <w:r w:rsidR="0076770C">
        <w:rPr>
          <w:i/>
          <w:iCs/>
        </w:rPr>
        <w:t>&amp;</w:t>
      </w:r>
      <w:r w:rsidRPr="00347449">
        <w:rPr>
          <w:i/>
          <w:iCs/>
        </w:rPr>
        <w:t xml:space="preserve"> </w:t>
      </w:r>
      <w:proofErr w:type="spellStart"/>
      <w:r w:rsidR="004303B0">
        <w:rPr>
          <w:i/>
          <w:iCs/>
        </w:rPr>
        <w:t>Indep</w:t>
      </w:r>
      <w:proofErr w:type="spellEnd"/>
      <w:r w:rsidR="004303B0">
        <w:rPr>
          <w:i/>
          <w:iCs/>
        </w:rPr>
        <w:t>.</w:t>
      </w:r>
      <w:r w:rsidR="004303B0" w:rsidRPr="00347449">
        <w:rPr>
          <w:i/>
          <w:iCs/>
        </w:rPr>
        <w:t xml:space="preserve"> </w:t>
      </w:r>
      <w:r w:rsidR="004303B0">
        <w:rPr>
          <w:i/>
          <w:iCs/>
        </w:rPr>
        <w:t>Sys.</w:t>
      </w:r>
      <w:r w:rsidRPr="00347449">
        <w:rPr>
          <w:i/>
          <w:iCs/>
        </w:rPr>
        <w:t xml:space="preserve"> Operators</w:t>
      </w:r>
      <w:r w:rsidRPr="00347449">
        <w:t xml:space="preserve">, Order No. </w:t>
      </w:r>
      <w:proofErr w:type="gramStart"/>
      <w:r w:rsidRPr="00347449">
        <w:t xml:space="preserve">2222, </w:t>
      </w:r>
      <w:r w:rsidR="0076770C">
        <w:t xml:space="preserve">  </w:t>
      </w:r>
      <w:proofErr w:type="gramEnd"/>
      <w:r w:rsidR="0076770C">
        <w:t xml:space="preserve">         </w:t>
      </w:r>
      <w:r w:rsidRPr="00347449">
        <w:t>172 FERC ¶</w:t>
      </w:r>
      <w:r w:rsidR="00FC1D88">
        <w:t> </w:t>
      </w:r>
      <w:r w:rsidRPr="00347449">
        <w:t>61,247</w:t>
      </w:r>
      <w:r>
        <w:t>, at P</w:t>
      </w:r>
      <w:r w:rsidR="00FC1D88">
        <w:t> </w:t>
      </w:r>
      <w:r>
        <w:t>360</w:t>
      </w:r>
      <w:r w:rsidRPr="00347449">
        <w:t xml:space="preserve"> (2020), </w:t>
      </w:r>
      <w:r w:rsidRPr="00347449">
        <w:rPr>
          <w:i/>
          <w:iCs/>
        </w:rPr>
        <w:t>order on reh</w:t>
      </w:r>
      <w:r w:rsidR="00854975">
        <w:rPr>
          <w:i/>
          <w:iCs/>
        </w:rPr>
        <w:t>’</w:t>
      </w:r>
      <w:r w:rsidRPr="00347449">
        <w:rPr>
          <w:i/>
          <w:iCs/>
        </w:rPr>
        <w:t>g</w:t>
      </w:r>
      <w:r w:rsidRPr="00347449">
        <w:t xml:space="preserve">, Order No. 2222-A, 174 FERC </w:t>
      </w:r>
      <w:r w:rsidR="0076770C">
        <w:t xml:space="preserve">             </w:t>
      </w:r>
      <w:r w:rsidRPr="00347449">
        <w:t>¶ 61,197 (2021).</w:t>
      </w:r>
      <w:r w:rsidR="0003355F">
        <w:t xml:space="preserve">  </w:t>
      </w:r>
      <w:r w:rsidR="0003355F" w:rsidRPr="0003355F">
        <w:t>This particular compliance process</w:t>
      </w:r>
      <w:r w:rsidR="009E588C">
        <w:t>, however,</w:t>
      </w:r>
      <w:r w:rsidR="0003355F" w:rsidRPr="0003355F">
        <w:t xml:space="preserve"> is not prescribed by the statute and by no means required. </w:t>
      </w:r>
      <w:r w:rsidR="0095701E">
        <w:t xml:space="preserve"> </w:t>
      </w:r>
      <w:r w:rsidR="0003355F" w:rsidRPr="0003355F">
        <w:rPr>
          <w:i/>
          <w:iCs/>
        </w:rPr>
        <w:t>See Elec. Dist. No. 1 v. FERC</w:t>
      </w:r>
      <w:r w:rsidR="0003355F" w:rsidRPr="0003355F">
        <w:t>, 774 F.2d 490, 49</w:t>
      </w:r>
      <w:r w:rsidR="0058703B">
        <w:t>4</w:t>
      </w:r>
      <w:r w:rsidR="0003355F" w:rsidRPr="0003355F">
        <w:t xml:space="preserve"> (D.C. Cir. 1985) (</w:t>
      </w:r>
      <w:r w:rsidR="0003355F" w:rsidRPr="0003355F">
        <w:rPr>
          <w:i/>
          <w:iCs/>
        </w:rPr>
        <w:t>Electrical District</w:t>
      </w:r>
      <w:r w:rsidR="0003355F" w:rsidRPr="0003355F">
        <w:t>) (explaining that the Commission may instead “complete the process itself and fix the rates in its initial order”).</w:t>
      </w:r>
    </w:p>
  </w:footnote>
  <w:footnote w:id="163">
    <w:p w14:paraId="74D90ADD" w14:textId="22C5477B" w:rsidR="00577558" w:rsidRPr="0002341A" w:rsidRDefault="00577558" w:rsidP="00577558">
      <w:pPr>
        <w:pStyle w:val="FootnoteText"/>
        <w:rPr>
          <w:i/>
          <w:iCs/>
        </w:rPr>
      </w:pPr>
      <w:r>
        <w:rPr>
          <w:rStyle w:val="FootnoteReference"/>
        </w:rPr>
        <w:footnoteRef/>
      </w:r>
      <w:r w:rsidR="00A767FA">
        <w:rPr>
          <w:i/>
          <w:iCs/>
        </w:rPr>
        <w:t xml:space="preserve"> </w:t>
      </w:r>
      <w:r w:rsidR="00D04B8C">
        <w:rPr>
          <w:i/>
          <w:iCs/>
        </w:rPr>
        <w:t>Electrical District</w:t>
      </w:r>
      <w:r w:rsidRPr="00F51D8C">
        <w:t xml:space="preserve">, 774 F.2d </w:t>
      </w:r>
      <w:r w:rsidR="0027122D">
        <w:t>at</w:t>
      </w:r>
      <w:r w:rsidRPr="00F51D8C">
        <w:t xml:space="preserve"> 492</w:t>
      </w:r>
      <w:r>
        <w:t xml:space="preserve">.  The D.C. Circuit later explained how this decision could be reconciled with </w:t>
      </w:r>
      <w:r>
        <w:rPr>
          <w:i/>
          <w:iCs/>
        </w:rPr>
        <w:t>Pub</w:t>
      </w:r>
      <w:r w:rsidR="0076770C">
        <w:rPr>
          <w:i/>
          <w:iCs/>
        </w:rPr>
        <w:t>.</w:t>
      </w:r>
      <w:r w:rsidRPr="00AD14AD">
        <w:rPr>
          <w:i/>
          <w:iCs/>
        </w:rPr>
        <w:t xml:space="preserve"> </w:t>
      </w:r>
      <w:r>
        <w:rPr>
          <w:i/>
          <w:iCs/>
        </w:rPr>
        <w:t>Serv</w:t>
      </w:r>
      <w:r w:rsidR="0076770C">
        <w:rPr>
          <w:i/>
          <w:iCs/>
        </w:rPr>
        <w:t>.</w:t>
      </w:r>
      <w:r w:rsidRPr="00AD14AD">
        <w:rPr>
          <w:i/>
          <w:iCs/>
        </w:rPr>
        <w:t xml:space="preserve"> Co. of </w:t>
      </w:r>
      <w:r>
        <w:rPr>
          <w:i/>
          <w:iCs/>
        </w:rPr>
        <w:t>N</w:t>
      </w:r>
      <w:r w:rsidR="00434149">
        <w:rPr>
          <w:i/>
          <w:iCs/>
        </w:rPr>
        <w:t xml:space="preserve">ew </w:t>
      </w:r>
      <w:r>
        <w:rPr>
          <w:i/>
          <w:iCs/>
        </w:rPr>
        <w:t>H</w:t>
      </w:r>
      <w:r w:rsidR="00434149">
        <w:rPr>
          <w:i/>
          <w:iCs/>
        </w:rPr>
        <w:t>ampshire</w:t>
      </w:r>
      <w:r w:rsidRPr="00AD14AD">
        <w:rPr>
          <w:i/>
          <w:iCs/>
        </w:rPr>
        <w:t xml:space="preserve"> v. FERC</w:t>
      </w:r>
      <w:r w:rsidRPr="00C83850">
        <w:t>,</w:t>
      </w:r>
      <w:r w:rsidR="00C83850">
        <w:t xml:space="preserve"> </w:t>
      </w:r>
      <w:r w:rsidRPr="00AD14AD">
        <w:t>600 F.2d 944 (D.C.</w:t>
      </w:r>
      <w:r>
        <w:t xml:space="preserve"> </w:t>
      </w:r>
      <w:r w:rsidRPr="00AD14AD">
        <w:t>Cir.</w:t>
      </w:r>
      <w:r>
        <w:t xml:space="preserve"> </w:t>
      </w:r>
      <w:r w:rsidRPr="00AD14AD">
        <w:t>1979)</w:t>
      </w:r>
      <w:r>
        <w:t xml:space="preserve">, which applied a seemingly lower standard with respect to the necessary notice required under the FPA as to certain types of rates.  </w:t>
      </w:r>
      <w:r>
        <w:rPr>
          <w:i/>
          <w:iCs/>
        </w:rPr>
        <w:t xml:space="preserve">See </w:t>
      </w:r>
      <w:r w:rsidRPr="000822DD">
        <w:rPr>
          <w:i/>
          <w:iCs/>
        </w:rPr>
        <w:t>Transwestern Pipeline Co. v. FERC</w:t>
      </w:r>
      <w:r w:rsidRPr="000822DD">
        <w:t>, 897 F.2d 570, 577</w:t>
      </w:r>
      <w:r>
        <w:t>-</w:t>
      </w:r>
      <w:r w:rsidR="009A0318">
        <w:t>7</w:t>
      </w:r>
      <w:r>
        <w:t>8</w:t>
      </w:r>
      <w:r w:rsidRPr="000822DD">
        <w:t xml:space="preserve"> (D.C. Cir. 1990)</w:t>
      </w:r>
      <w:r>
        <w:t>.  The reconciliation of these cases does not affect the relevance of the analysis from the D.C. Circuit discussed herein regarding the Commission’s ongoing FPA section 206 authority.</w:t>
      </w:r>
    </w:p>
  </w:footnote>
  <w:footnote w:id="164">
    <w:p w14:paraId="4582C3EF" w14:textId="4E2ADF2B" w:rsidR="00577558" w:rsidRDefault="00577558" w:rsidP="00577558">
      <w:pPr>
        <w:pStyle w:val="FootnoteText"/>
      </w:pPr>
      <w:r>
        <w:rPr>
          <w:rStyle w:val="FootnoteReference"/>
        </w:rPr>
        <w:footnoteRef/>
      </w:r>
      <w:r>
        <w:t xml:space="preserve"> </w:t>
      </w:r>
      <w:r>
        <w:rPr>
          <w:i/>
          <w:iCs/>
        </w:rPr>
        <w:t xml:space="preserve">See </w:t>
      </w:r>
      <w:r w:rsidRPr="003C7FA2">
        <w:rPr>
          <w:i/>
          <w:iCs/>
        </w:rPr>
        <w:t>Electrical District</w:t>
      </w:r>
      <w:r w:rsidRPr="00AF7C0D">
        <w:t xml:space="preserve">, 774 F.2d </w:t>
      </w:r>
      <w:r>
        <w:t>at</w:t>
      </w:r>
      <w:r w:rsidRPr="00AF7C0D">
        <w:t xml:space="preserve"> 492</w:t>
      </w:r>
      <w:r>
        <w:t xml:space="preserve"> (“</w:t>
      </w:r>
      <w:r w:rsidRPr="00AF7C0D">
        <w:t>Or to use a more remote analogy, it is not the case that once a court has concluded that a particular action challenged before it is unlawful it must immediately issue an injunction, instead of taking time for further deliberations necessary to determine what the precise terms of that injunction should be.</w:t>
      </w:r>
      <w:r>
        <w:t xml:space="preserve">”); </w:t>
      </w:r>
      <w:r>
        <w:rPr>
          <w:i/>
          <w:iCs/>
        </w:rPr>
        <w:t xml:space="preserve">see also </w:t>
      </w:r>
      <w:r w:rsidRPr="001B73E8">
        <w:rPr>
          <w:i/>
          <w:iCs/>
        </w:rPr>
        <w:t>Kern River Gas Transmission Co.</w:t>
      </w:r>
      <w:r w:rsidRPr="001B73E8">
        <w:t>, 133 FERC ¶</w:t>
      </w:r>
      <w:r w:rsidR="00E12415">
        <w:t> </w:t>
      </w:r>
      <w:r w:rsidRPr="001B73E8">
        <w:t xml:space="preserve">61,162, </w:t>
      </w:r>
      <w:r>
        <w:t>at P</w:t>
      </w:r>
      <w:r w:rsidR="00E12415">
        <w:t> </w:t>
      </w:r>
      <w:r>
        <w:t>22</w:t>
      </w:r>
      <w:r w:rsidRPr="001B73E8">
        <w:t xml:space="preserve"> (2010)</w:t>
      </w:r>
      <w:r>
        <w:t xml:space="preserve"> </w:t>
      </w:r>
      <w:r w:rsidR="00863A38">
        <w:t>(</w:t>
      </w:r>
      <w:r w:rsidR="00863A38">
        <w:rPr>
          <w:i/>
          <w:iCs/>
        </w:rPr>
        <w:t>Kern River</w:t>
      </w:r>
      <w:r w:rsidR="00863A38">
        <w:t xml:space="preserve">) </w:t>
      </w:r>
      <w:r>
        <w:t>(“S</w:t>
      </w:r>
      <w:r w:rsidRPr="001B73E8">
        <w:t xml:space="preserve">ince </w:t>
      </w:r>
      <w:r w:rsidRPr="001B73E8">
        <w:rPr>
          <w:i/>
          <w:iCs/>
        </w:rPr>
        <w:t>Electrical District</w:t>
      </w:r>
      <w:r w:rsidRPr="001B73E8">
        <w:t>, the Commission</w:t>
      </w:r>
      <w:r>
        <w:t>’</w:t>
      </w:r>
      <w:r w:rsidRPr="001B73E8">
        <w:t>s general practice in determining the effective date of rate changes ordered pursuant to NGA section 5 has been to follow the approach suggested by the court in that case.</w:t>
      </w:r>
      <w:r>
        <w:t>”).</w:t>
      </w:r>
    </w:p>
  </w:footnote>
  <w:footnote w:id="165">
    <w:p w14:paraId="44A38735" w14:textId="40116E2C" w:rsidR="00577558" w:rsidRPr="00847362" w:rsidRDefault="00577558" w:rsidP="00577558">
      <w:pPr>
        <w:pStyle w:val="FootnoteText"/>
        <w:rPr>
          <w:i/>
          <w:iCs/>
        </w:rPr>
      </w:pPr>
      <w:r>
        <w:rPr>
          <w:rStyle w:val="FootnoteReference"/>
        </w:rPr>
        <w:footnoteRef/>
      </w:r>
      <w:r>
        <w:t xml:space="preserve"> </w:t>
      </w:r>
      <w:r>
        <w:rPr>
          <w:i/>
          <w:iCs/>
        </w:rPr>
        <w:t xml:space="preserve">See </w:t>
      </w:r>
      <w:r w:rsidRPr="003C7FA2">
        <w:rPr>
          <w:i/>
          <w:iCs/>
        </w:rPr>
        <w:t>Electrical District</w:t>
      </w:r>
      <w:r w:rsidRPr="00AF7C0D">
        <w:t xml:space="preserve">, 774 F.2d </w:t>
      </w:r>
      <w:r>
        <w:t xml:space="preserve">at 492 (citing FPA section 206(a), 16 U.S.C. 824e(a), as establishing “the procedures </w:t>
      </w:r>
      <w:r w:rsidR="008F31B2">
        <w:t xml:space="preserve">that </w:t>
      </w:r>
      <w:r>
        <w:t xml:space="preserve">the statute establishes for adjusting unlawful rates” and finding that these procedures </w:t>
      </w:r>
      <w:r w:rsidR="00D41354">
        <w:t xml:space="preserve">for </w:t>
      </w:r>
      <w:r>
        <w:t xml:space="preserve">the Commission </w:t>
      </w:r>
      <w:r w:rsidR="00D41354">
        <w:t xml:space="preserve">to follow in </w:t>
      </w:r>
      <w:r>
        <w:t>fix</w:t>
      </w:r>
      <w:r w:rsidR="00D41354">
        <w:t>ing</w:t>
      </w:r>
      <w:r>
        <w:t xml:space="preserve"> the replacement rate by order, pursuant to the statutory text</w:t>
      </w:r>
      <w:r w:rsidR="00385CCE">
        <w:t xml:space="preserve"> are “not at all ambiguous”</w:t>
      </w:r>
      <w:r>
        <w:t>).</w:t>
      </w:r>
    </w:p>
  </w:footnote>
  <w:footnote w:id="166">
    <w:p w14:paraId="5086DEDC" w14:textId="3984D2F2" w:rsidR="00577558" w:rsidRPr="004F44E1" w:rsidRDefault="00577558" w:rsidP="00577558">
      <w:pPr>
        <w:pStyle w:val="FootnoteText"/>
        <w:rPr>
          <w:b/>
          <w:bCs/>
        </w:rPr>
      </w:pPr>
      <w:r>
        <w:rPr>
          <w:rStyle w:val="FootnoteReference"/>
        </w:rPr>
        <w:footnoteRef/>
      </w:r>
      <w:r>
        <w:t xml:space="preserve"> </w:t>
      </w:r>
      <w:r>
        <w:rPr>
          <w:i/>
          <w:iCs/>
        </w:rPr>
        <w:t xml:space="preserve">See id.  </w:t>
      </w:r>
      <w:r>
        <w:t xml:space="preserve">Similarly, </w:t>
      </w:r>
      <w:r>
        <w:rPr>
          <w:i/>
          <w:iCs/>
        </w:rPr>
        <w:t>Entergy</w:t>
      </w:r>
      <w:r>
        <w:t xml:space="preserve"> recognizes that the Commission may select the just and reasonable rate in an FPA section 206 proceeding and that its authority to do so remains intact throughout the compliance process.  40 F.4th at 701-02.  This stands in contrast to FPA s</w:t>
      </w:r>
      <w:r w:rsidRPr="004F44E1">
        <w:t>ection 205 proposals where the Commission’s role is passive and reactive</w:t>
      </w:r>
      <w:r>
        <w:rPr>
          <w:i/>
          <w:iCs/>
        </w:rPr>
        <w:t>.  S</w:t>
      </w:r>
      <w:r w:rsidRPr="004F44E1">
        <w:rPr>
          <w:i/>
          <w:iCs/>
        </w:rPr>
        <w:t xml:space="preserve">ee </w:t>
      </w:r>
      <w:r w:rsidRPr="00CB7937">
        <w:rPr>
          <w:i/>
          <w:iCs/>
        </w:rPr>
        <w:t>City of Winnfield, La. v. FERC</w:t>
      </w:r>
      <w:r w:rsidRPr="00CB7937">
        <w:t>, 744 F.2d 871, 876 (D.C. Cir. 1984)</w:t>
      </w:r>
      <w:r w:rsidR="00EC6281">
        <w:t xml:space="preserve"> (</w:t>
      </w:r>
      <w:r w:rsidR="00EC6281" w:rsidRPr="00CB7937">
        <w:rPr>
          <w:i/>
          <w:iCs/>
        </w:rPr>
        <w:t>City of Winnfield</w:t>
      </w:r>
      <w:r w:rsidR="00EC6281" w:rsidRPr="009C175D">
        <w:t>)</w:t>
      </w:r>
      <w:r w:rsidRPr="004F44E1">
        <w:t xml:space="preserve">; </w:t>
      </w:r>
      <w:r w:rsidRPr="004F44E1">
        <w:rPr>
          <w:i/>
          <w:iCs/>
        </w:rPr>
        <w:t>NRG</w:t>
      </w:r>
      <w:r>
        <w:rPr>
          <w:i/>
          <w:iCs/>
        </w:rPr>
        <w:t xml:space="preserve"> </w:t>
      </w:r>
      <w:r w:rsidRPr="00190C7A">
        <w:rPr>
          <w:i/>
          <w:iCs/>
        </w:rPr>
        <w:t>Power Mktg.</w:t>
      </w:r>
      <w:r w:rsidRPr="004F44E1">
        <w:t>, 862 F.3d at 114.</w:t>
      </w:r>
      <w:r>
        <w:t xml:space="preserve"> </w:t>
      </w:r>
    </w:p>
  </w:footnote>
  <w:footnote w:id="167">
    <w:p w14:paraId="61207942" w14:textId="210730A2" w:rsidR="00577558" w:rsidRPr="00F76927" w:rsidRDefault="00577558" w:rsidP="00577558">
      <w:pPr>
        <w:pStyle w:val="FootnoteText"/>
      </w:pPr>
      <w:r>
        <w:rPr>
          <w:rStyle w:val="FootnoteReference"/>
        </w:rPr>
        <w:footnoteRef/>
      </w:r>
      <w:r>
        <w:t xml:space="preserve"> </w:t>
      </w:r>
      <w:r>
        <w:rPr>
          <w:i/>
          <w:iCs/>
        </w:rPr>
        <w:t>See, e.g.</w:t>
      </w:r>
      <w:r>
        <w:t xml:space="preserve">, </w:t>
      </w:r>
      <w:r w:rsidRPr="002955E1">
        <w:rPr>
          <w:i/>
          <w:iCs/>
        </w:rPr>
        <w:t>ISO New England Inc.</w:t>
      </w:r>
      <w:r w:rsidRPr="00F76927">
        <w:t xml:space="preserve">, 173 FERC ¶ 61,204 </w:t>
      </w:r>
      <w:r>
        <w:t xml:space="preserve">at P 8 (explaining that a filing from ISO-NE would be considered as a new FPA section 205 filing, rather than a compliance filing related to an FPA section 206 investigation, because the Commission “did </w:t>
      </w:r>
      <w:r w:rsidRPr="006039D0">
        <w:t>not make a finding that ISO-NE</w:t>
      </w:r>
      <w:r w:rsidR="006B7574">
        <w:t>’</w:t>
      </w:r>
      <w:r w:rsidRPr="006039D0">
        <w:t>s tariff was unjust and unreasonable without such revisions, a necessary precursor to the Commission considering ISO-NE</w:t>
      </w:r>
      <w:r w:rsidR="004D1B94">
        <w:t>’</w:t>
      </w:r>
      <w:r w:rsidRPr="006039D0">
        <w:t>s tariff revisions as a compliance filing setting forth a proposed replacement rate</w:t>
      </w:r>
      <w:r>
        <w:t xml:space="preserve">”); </w:t>
      </w:r>
      <w:r>
        <w:rPr>
          <w:i/>
          <w:iCs/>
        </w:rPr>
        <w:t>N.Y.</w:t>
      </w:r>
      <w:r w:rsidRPr="002955E1">
        <w:rPr>
          <w:i/>
          <w:iCs/>
        </w:rPr>
        <w:t xml:space="preserve"> </w:t>
      </w:r>
      <w:proofErr w:type="spellStart"/>
      <w:r w:rsidRPr="002955E1">
        <w:rPr>
          <w:i/>
          <w:iCs/>
        </w:rPr>
        <w:t>Indep</w:t>
      </w:r>
      <w:proofErr w:type="spellEnd"/>
      <w:r w:rsidRPr="002955E1">
        <w:rPr>
          <w:i/>
          <w:iCs/>
        </w:rPr>
        <w:t>. Sys. Operator, Inc</w:t>
      </w:r>
      <w:r w:rsidR="0076770C">
        <w:rPr>
          <w:i/>
          <w:iCs/>
        </w:rPr>
        <w:t>.</w:t>
      </w:r>
      <w:r w:rsidRPr="00A50C97">
        <w:t xml:space="preserve">, 131 FERC ¶ 61,242 </w:t>
      </w:r>
      <w:r>
        <w:t>at P 32</w:t>
      </w:r>
      <w:r w:rsidRPr="00A50C97">
        <w:t xml:space="preserve"> </w:t>
      </w:r>
      <w:r>
        <w:t>(stating that “</w:t>
      </w:r>
      <w:r w:rsidRPr="006A6279">
        <w:t>the Commission has always treated compliance filings differently than a company-initiated rate change application filed pursuant to section 205 of the FPA</w:t>
      </w:r>
      <w:r>
        <w:t xml:space="preserve">,” </w:t>
      </w:r>
      <w:r w:rsidRPr="003B3639">
        <w:t xml:space="preserve">including that they are not subject to the </w:t>
      </w:r>
      <w:r w:rsidR="0076770C">
        <w:t xml:space="preserve">       </w:t>
      </w:r>
      <w:r w:rsidRPr="003B3639">
        <w:t>60-day prior notice requirement under section 205(d) of the FPA</w:t>
      </w:r>
      <w:r>
        <w:t xml:space="preserve">); </w:t>
      </w:r>
      <w:r w:rsidRPr="002955E1">
        <w:rPr>
          <w:i/>
          <w:iCs/>
        </w:rPr>
        <w:t>Ameren Servs. Co.</w:t>
      </w:r>
      <w:r w:rsidR="00E43C95">
        <w:rPr>
          <w:i/>
          <w:iCs/>
        </w:rPr>
        <w:t xml:space="preserve"> v. Midwest </w:t>
      </w:r>
      <w:proofErr w:type="spellStart"/>
      <w:r w:rsidR="00E43C95">
        <w:rPr>
          <w:i/>
          <w:iCs/>
        </w:rPr>
        <w:t>Indep</w:t>
      </w:r>
      <w:proofErr w:type="spellEnd"/>
      <w:r w:rsidR="00E43C95">
        <w:rPr>
          <w:i/>
          <w:iCs/>
        </w:rPr>
        <w:t xml:space="preserve">. </w:t>
      </w:r>
      <w:r w:rsidR="000F3BB9">
        <w:rPr>
          <w:i/>
          <w:iCs/>
        </w:rPr>
        <w:t xml:space="preserve">Transmission </w:t>
      </w:r>
      <w:r w:rsidR="00E43C95">
        <w:rPr>
          <w:i/>
          <w:iCs/>
        </w:rPr>
        <w:t>Sys. Operator</w:t>
      </w:r>
      <w:r w:rsidR="00C44226">
        <w:rPr>
          <w:i/>
          <w:iCs/>
        </w:rPr>
        <w:t>, Inc.</w:t>
      </w:r>
      <w:r w:rsidRPr="000A6984">
        <w:t>, 132 FERC ¶</w:t>
      </w:r>
      <w:r w:rsidR="003B3697">
        <w:t> </w:t>
      </w:r>
      <w:r w:rsidRPr="000A6984">
        <w:t xml:space="preserve">61,186, </w:t>
      </w:r>
      <w:r w:rsidR="00F23C4A">
        <w:t xml:space="preserve">at P 28 </w:t>
      </w:r>
      <w:r w:rsidRPr="000A6984">
        <w:t>(2010)</w:t>
      </w:r>
      <w:r>
        <w:t xml:space="preserve"> (finding that aspects of a filing exceeded the scope of compliance and should, instead, have been submitted under FPA section 205); </w:t>
      </w:r>
      <w:r w:rsidRPr="002955E1">
        <w:rPr>
          <w:i/>
          <w:iCs/>
        </w:rPr>
        <w:t>PJM Interconnection, L.L.C.</w:t>
      </w:r>
      <w:r w:rsidRPr="00574B67">
        <w:t>, 85 FERC ¶</w:t>
      </w:r>
      <w:r>
        <w:t> </w:t>
      </w:r>
      <w:r w:rsidRPr="00574B67">
        <w:t xml:space="preserve">61,111 </w:t>
      </w:r>
      <w:r>
        <w:t xml:space="preserve">at </w:t>
      </w:r>
      <w:r w:rsidRPr="00574B67">
        <w:t>61,413</w:t>
      </w:r>
      <w:r>
        <w:t xml:space="preserve"> (“</w:t>
      </w:r>
      <w:r w:rsidRPr="00204977">
        <w:t xml:space="preserve">Although PJM purported to file its market monitoring plan in part pursuant to Section 205 of the FPA, it was in fact a filing in compliance with Ordering Paragraph V of the November 25 Order. </w:t>
      </w:r>
      <w:r w:rsidR="00444004">
        <w:t xml:space="preserve"> </w:t>
      </w:r>
      <w:r w:rsidRPr="00204977">
        <w:t>Such compliance filings are pursuant to a Commission directive and are not subject to the procedures of Section 205</w:t>
      </w:r>
      <w:r>
        <w:t>(</w:t>
      </w:r>
      <w:r w:rsidRPr="00204977">
        <w:t>d)</w:t>
      </w:r>
      <w:r>
        <w:t>.”)</w:t>
      </w:r>
      <w:r w:rsidR="00931A8D">
        <w:t xml:space="preserve"> (cleaned up)</w:t>
      </w:r>
      <w:r>
        <w:t>.</w:t>
      </w:r>
    </w:p>
  </w:footnote>
  <w:footnote w:id="168">
    <w:p w14:paraId="7401EC78" w14:textId="73B60C8E" w:rsidR="00DB5655" w:rsidRPr="00D73E85" w:rsidRDefault="00DB5655">
      <w:pPr>
        <w:pStyle w:val="FootnoteText"/>
      </w:pPr>
      <w:r>
        <w:rPr>
          <w:rStyle w:val="FootnoteReference"/>
        </w:rPr>
        <w:footnoteRef/>
      </w:r>
      <w:r>
        <w:t xml:space="preserve"> As discussed below, </w:t>
      </w:r>
      <w:r w:rsidR="00BB0961">
        <w:t xml:space="preserve">Order No. 1920-A’s approach to </w:t>
      </w:r>
      <w:r w:rsidR="00DB0BE3">
        <w:t xml:space="preserve">considering compliance filings on cost allocation represents a limited departure, </w:t>
      </w:r>
      <w:r w:rsidR="00C81725">
        <w:t>in these particular circumstances</w:t>
      </w:r>
      <w:r w:rsidR="00DB0BE3">
        <w:t xml:space="preserve">, from </w:t>
      </w:r>
      <w:r>
        <w:t>the Commission’s typical approach</w:t>
      </w:r>
      <w:r w:rsidR="00C81725">
        <w:t xml:space="preserve"> </w:t>
      </w:r>
      <w:r w:rsidR="00905D54">
        <w:t>of</w:t>
      </w:r>
      <w:r w:rsidR="00D73E85" w:rsidRPr="00D73E85">
        <w:t xml:space="preserve"> adopting public utilities’ proposals in compliance filings if they are compliant with the requirements of the final rule</w:t>
      </w:r>
      <w:r w:rsidR="00D73E85">
        <w:t xml:space="preserve">.  </w:t>
      </w:r>
      <w:r w:rsidR="00D73E85" w:rsidRPr="001521B8">
        <w:rPr>
          <w:i/>
        </w:rPr>
        <w:t xml:space="preserve">See </w:t>
      </w:r>
      <w:proofErr w:type="gramStart"/>
      <w:r w:rsidR="00D73E85" w:rsidRPr="001521B8">
        <w:rPr>
          <w:i/>
        </w:rPr>
        <w:t xml:space="preserve">infra </w:t>
      </w:r>
      <w:r w:rsidR="00D73E85" w:rsidRPr="001521B8">
        <w:t>PP</w:t>
      </w:r>
      <w:proofErr w:type="gramEnd"/>
      <w:r w:rsidR="00D73E85" w:rsidRPr="001521B8">
        <w:t xml:space="preserve"> </w:t>
      </w:r>
      <w:r w:rsidR="001521B8" w:rsidRPr="001521B8">
        <w:t>86-87</w:t>
      </w:r>
      <w:r w:rsidR="002350C0" w:rsidRPr="001521B8">
        <w:t>.</w:t>
      </w:r>
      <w:r w:rsidR="002350C0">
        <w:t xml:space="preserve">  </w:t>
      </w:r>
    </w:p>
  </w:footnote>
  <w:footnote w:id="169">
    <w:p w14:paraId="35D8C2ED" w14:textId="042CF3D5" w:rsidR="00577558" w:rsidRDefault="00577558" w:rsidP="00577558">
      <w:pPr>
        <w:pStyle w:val="FootnoteText"/>
      </w:pPr>
      <w:r>
        <w:rPr>
          <w:rStyle w:val="FootnoteReference"/>
        </w:rPr>
        <w:footnoteRef/>
      </w:r>
      <w:r>
        <w:t xml:space="preserve"> 16 U.S.C. 824e(a).</w:t>
      </w:r>
    </w:p>
  </w:footnote>
  <w:footnote w:id="170">
    <w:p w14:paraId="57BAD1CB" w14:textId="3281F66E" w:rsidR="00577558" w:rsidRPr="00427F6C" w:rsidRDefault="00577558" w:rsidP="00577558">
      <w:pPr>
        <w:pStyle w:val="FootnoteText"/>
      </w:pPr>
      <w:r>
        <w:rPr>
          <w:rStyle w:val="FootnoteReference"/>
        </w:rPr>
        <w:footnoteRef/>
      </w:r>
      <w:r>
        <w:t xml:space="preserve"> </w:t>
      </w:r>
      <w:r>
        <w:rPr>
          <w:i/>
          <w:iCs/>
        </w:rPr>
        <w:t xml:space="preserve">See </w:t>
      </w:r>
      <w:r>
        <w:t xml:space="preserve">16 U.S.C. 824e(a), (b) (setting forth certain procedural requirements relating to proceedings under FPA section 206, which do not include such restrictions); </w:t>
      </w:r>
      <w:r>
        <w:rPr>
          <w:i/>
          <w:iCs/>
        </w:rPr>
        <w:t xml:space="preserve">see also </w:t>
      </w:r>
      <w:r w:rsidRPr="002955E1">
        <w:rPr>
          <w:i/>
          <w:iCs/>
        </w:rPr>
        <w:t xml:space="preserve">Interstate Nat. Gas </w:t>
      </w:r>
      <w:proofErr w:type="spellStart"/>
      <w:r w:rsidRPr="002955E1">
        <w:rPr>
          <w:i/>
          <w:iCs/>
        </w:rPr>
        <w:t>Ass</w:t>
      </w:r>
      <w:r w:rsidR="007D2521">
        <w:rPr>
          <w:i/>
          <w:iCs/>
        </w:rPr>
        <w:t>’</w:t>
      </w:r>
      <w:r w:rsidRPr="002955E1">
        <w:rPr>
          <w:i/>
          <w:iCs/>
        </w:rPr>
        <w:t>n</w:t>
      </w:r>
      <w:proofErr w:type="spellEnd"/>
      <w:r w:rsidRPr="002955E1">
        <w:rPr>
          <w:i/>
          <w:iCs/>
        </w:rPr>
        <w:t xml:space="preserve"> of Am. v. FERC</w:t>
      </w:r>
      <w:r w:rsidRPr="0064008D">
        <w:t>, 285 F.3d 18, 38–39 (D.C. Cir. 2002)</w:t>
      </w:r>
      <w:r>
        <w:t xml:space="preserve"> </w:t>
      </w:r>
      <w:r w:rsidR="00EB4A59">
        <w:t>(</w:t>
      </w:r>
      <w:r w:rsidR="00EB4A59">
        <w:rPr>
          <w:i/>
          <w:iCs/>
        </w:rPr>
        <w:t>INGAA</w:t>
      </w:r>
      <w:r w:rsidRPr="0064008D">
        <w:t>)</w:t>
      </w:r>
      <w:r>
        <w:t xml:space="preserve"> (holding under parallel provisions of the NGA that “the Commission </w:t>
      </w:r>
      <w:r w:rsidRPr="00AE0D71">
        <w:t xml:space="preserve">has authority under </w:t>
      </w:r>
      <w:r>
        <w:t>[NGA section]</w:t>
      </w:r>
      <w:r w:rsidR="00054501">
        <w:t> </w:t>
      </w:r>
      <w:r w:rsidRPr="00AE0D71">
        <w:t>5 to order hearings to determine whether a given pipeline is in compliance with FERC</w:t>
      </w:r>
      <w:r>
        <w:t>’</w:t>
      </w:r>
      <w:r w:rsidRPr="00AE0D71">
        <w:t>s rules</w:t>
      </w:r>
      <w:r w:rsidR="004E3811">
        <w:t> . . .</w:t>
      </w:r>
      <w:r w:rsidRPr="00AE0D71">
        <w:t xml:space="preserve"> and under </w:t>
      </w:r>
      <w:r>
        <w:t>[NGA section</w:t>
      </w:r>
      <w:r w:rsidR="00D968CA">
        <w:t>s</w:t>
      </w:r>
      <w:r>
        <w:t>]</w:t>
      </w:r>
      <w:r w:rsidR="00D968CA">
        <w:t> </w:t>
      </w:r>
      <w:r w:rsidRPr="00AE0D71">
        <w:t>10 and</w:t>
      </w:r>
      <w:r w:rsidR="008B469A">
        <w:t> </w:t>
      </w:r>
      <w:r w:rsidRPr="00AE0D71">
        <w:t xml:space="preserve">14 to </w:t>
      </w:r>
      <w:r w:rsidRPr="00207AB2">
        <w:t>require pipelines to submit needed information for making its [NGA section] 5 decisions</w:t>
      </w:r>
      <w:r>
        <w:t xml:space="preserve">”); </w:t>
      </w:r>
      <w:r w:rsidR="00514AE7">
        <w:t xml:space="preserve">       </w:t>
      </w:r>
      <w:r w:rsidRPr="002503D6">
        <w:t>16 U.S.C. 825c(a), 825f(a), 825h</w:t>
      </w:r>
      <w:r>
        <w:t>.</w:t>
      </w:r>
    </w:p>
  </w:footnote>
  <w:footnote w:id="171">
    <w:p w14:paraId="350F2E77" w14:textId="77777777" w:rsidR="00577558" w:rsidRPr="00E02029" w:rsidRDefault="00577558" w:rsidP="00577558">
      <w:pPr>
        <w:pStyle w:val="FootnoteText"/>
        <w:rPr>
          <w:b/>
          <w:bCs/>
        </w:rPr>
      </w:pPr>
      <w:r>
        <w:rPr>
          <w:rStyle w:val="FootnoteReference"/>
        </w:rPr>
        <w:footnoteRef/>
      </w:r>
      <w:r>
        <w:t xml:space="preserve"> </w:t>
      </w:r>
      <w:r>
        <w:rPr>
          <w:i/>
          <w:iCs/>
        </w:rPr>
        <w:t xml:space="preserve">See </w:t>
      </w:r>
      <w:r>
        <w:t>16 U.S.C. 824d</w:t>
      </w:r>
      <w:r w:rsidRPr="00BA0B9D">
        <w:t>.</w:t>
      </w:r>
    </w:p>
  </w:footnote>
  <w:footnote w:id="172">
    <w:p w14:paraId="22765D47" w14:textId="0A8780DD" w:rsidR="00577558" w:rsidRPr="00EF4C5B" w:rsidRDefault="00577558" w:rsidP="00577558">
      <w:pPr>
        <w:pStyle w:val="FootnoteText"/>
      </w:pPr>
      <w:r>
        <w:rPr>
          <w:rStyle w:val="FootnoteReference"/>
        </w:rPr>
        <w:footnoteRef/>
      </w:r>
      <w:r>
        <w:t xml:space="preserve"> </w:t>
      </w:r>
      <w:r>
        <w:rPr>
          <w:i/>
          <w:iCs/>
        </w:rPr>
        <w:t xml:space="preserve">See </w:t>
      </w:r>
      <w:proofErr w:type="gramStart"/>
      <w:r>
        <w:rPr>
          <w:i/>
          <w:iCs/>
        </w:rPr>
        <w:t>supra</w:t>
      </w:r>
      <w:r>
        <w:t xml:space="preserve"> </w:t>
      </w:r>
      <w:r w:rsidRPr="00A66CC4">
        <w:t>P</w:t>
      </w:r>
      <w:proofErr w:type="gramEnd"/>
      <w:r w:rsidRPr="00A66CC4">
        <w:t xml:space="preserve"> </w:t>
      </w:r>
      <w:r w:rsidR="006E3C2A" w:rsidRPr="00451609">
        <w:t>50</w:t>
      </w:r>
      <w:r w:rsidR="00A66CC4" w:rsidRPr="008437FB">
        <w:t xml:space="preserve"> </w:t>
      </w:r>
      <w:r w:rsidR="00A66CC4" w:rsidRPr="00451609">
        <w:t>&amp;</w:t>
      </w:r>
      <w:r w:rsidRPr="00A66CC4">
        <w:t xml:space="preserve"> note</w:t>
      </w:r>
      <w:r w:rsidR="00A66CC4" w:rsidRPr="00451609">
        <w:t xml:space="preserve"> 166</w:t>
      </w:r>
      <w:r>
        <w:t xml:space="preserve"> (discussing cases distinguishing compliance filings made by public utilities, which the Commission and courts consistently and correctly </w:t>
      </w:r>
      <w:r w:rsidR="003A112D">
        <w:t>treated as made under FPA section 206, from FPA section 205 filings).</w:t>
      </w:r>
    </w:p>
  </w:footnote>
  <w:footnote w:id="173">
    <w:p w14:paraId="31E542A9" w14:textId="2BF73ED3" w:rsidR="00577558" w:rsidRPr="002D0663" w:rsidRDefault="00577558" w:rsidP="00577558">
      <w:pPr>
        <w:pStyle w:val="FootnoteText"/>
      </w:pPr>
      <w:r>
        <w:rPr>
          <w:rStyle w:val="FootnoteReference"/>
        </w:rPr>
        <w:footnoteRef/>
      </w:r>
      <w:r>
        <w:t xml:space="preserve"> </w:t>
      </w:r>
      <w:r w:rsidRPr="002D0663">
        <w:rPr>
          <w:i/>
          <w:iCs/>
        </w:rPr>
        <w:t xml:space="preserve">See </w:t>
      </w:r>
      <w:proofErr w:type="gramStart"/>
      <w:r w:rsidRPr="002D0663">
        <w:rPr>
          <w:i/>
        </w:rPr>
        <w:t xml:space="preserve">supra </w:t>
      </w:r>
      <w:r w:rsidRPr="002D0663">
        <w:t>PP</w:t>
      </w:r>
      <w:proofErr w:type="gramEnd"/>
      <w:r w:rsidRPr="002D0663">
        <w:t xml:space="preserve"> </w:t>
      </w:r>
      <w:r w:rsidR="00CD17CD" w:rsidRPr="002D0663">
        <w:t>30-31</w:t>
      </w:r>
      <w:r w:rsidR="0058173D" w:rsidRPr="002D0663">
        <w:t>.</w:t>
      </w:r>
    </w:p>
  </w:footnote>
  <w:footnote w:id="174">
    <w:p w14:paraId="433B2D61" w14:textId="021BC3ED" w:rsidR="00577558" w:rsidRPr="00E91243" w:rsidRDefault="00577558" w:rsidP="00577558">
      <w:pPr>
        <w:pStyle w:val="FootnoteText"/>
      </w:pPr>
      <w:r w:rsidRPr="002D0663">
        <w:rPr>
          <w:rStyle w:val="FootnoteReference"/>
        </w:rPr>
        <w:footnoteRef/>
      </w:r>
      <w:r w:rsidRPr="002D0663">
        <w:t xml:space="preserve"> </w:t>
      </w:r>
      <w:r w:rsidRPr="002D0663">
        <w:rPr>
          <w:i/>
          <w:iCs/>
        </w:rPr>
        <w:t xml:space="preserve">See </w:t>
      </w:r>
      <w:proofErr w:type="gramStart"/>
      <w:r w:rsidRPr="002D0663">
        <w:rPr>
          <w:i/>
        </w:rPr>
        <w:t xml:space="preserve">supra </w:t>
      </w:r>
      <w:r w:rsidRPr="002D0663" w:rsidDel="006C535D">
        <w:t>P</w:t>
      </w:r>
      <w:proofErr w:type="gramEnd"/>
      <w:r w:rsidRPr="002D0663">
        <w:t xml:space="preserve"> </w:t>
      </w:r>
      <w:r w:rsidR="00CD17CD" w:rsidRPr="002D0663">
        <w:t>32</w:t>
      </w:r>
      <w:r w:rsidRPr="002D0663">
        <w:t>.</w:t>
      </w:r>
    </w:p>
  </w:footnote>
  <w:footnote w:id="175">
    <w:p w14:paraId="5048AFDD" w14:textId="3C28F0EC" w:rsidR="00577558" w:rsidRPr="00F13EB6" w:rsidRDefault="00577558" w:rsidP="00577558">
      <w:pPr>
        <w:pStyle w:val="FootnoteText"/>
      </w:pPr>
      <w:r>
        <w:rPr>
          <w:rStyle w:val="FootnoteReference"/>
        </w:rPr>
        <w:footnoteRef/>
      </w:r>
      <w:r>
        <w:t xml:space="preserve"> </w:t>
      </w:r>
      <w:r w:rsidRPr="00F13EB6">
        <w:rPr>
          <w:i/>
          <w:iCs/>
        </w:rPr>
        <w:t>See, e.g.</w:t>
      </w:r>
      <w:r w:rsidRPr="00F13EB6">
        <w:t xml:space="preserve">, </w:t>
      </w:r>
      <w:r w:rsidR="00241226" w:rsidRPr="00F13EB6">
        <w:t>EEI</w:t>
      </w:r>
      <w:r w:rsidRPr="00F13EB6">
        <w:t xml:space="preserve"> Rehearing Request at </w:t>
      </w:r>
      <w:r w:rsidR="00241226" w:rsidRPr="00F13EB6">
        <w:t>13</w:t>
      </w:r>
      <w:r w:rsidRPr="00F13EB6">
        <w:t>; Indicated PJM TOs Rehearing Request at 2-4; MISO TOs Rehearing Request at 5-6; SPP TOs Rehearing Request at 3, 5</w:t>
      </w:r>
      <w:r w:rsidR="00173D61">
        <w:t>-6</w:t>
      </w:r>
      <w:r w:rsidRPr="00F13EB6">
        <w:t>; WIRES Rehearing Request at 8.</w:t>
      </w:r>
    </w:p>
  </w:footnote>
  <w:footnote w:id="176">
    <w:p w14:paraId="26BD24C2" w14:textId="08A80818" w:rsidR="00197646" w:rsidRPr="00722E36" w:rsidRDefault="00197646">
      <w:pPr>
        <w:pStyle w:val="FootnoteText"/>
      </w:pPr>
      <w:r>
        <w:rPr>
          <w:rStyle w:val="FootnoteReference"/>
        </w:rPr>
        <w:footnoteRef/>
      </w:r>
      <w:r>
        <w:t xml:space="preserve"> </w:t>
      </w:r>
      <w:r w:rsidR="00722E36">
        <w:rPr>
          <w:i/>
          <w:iCs/>
        </w:rPr>
        <w:t xml:space="preserve">See </w:t>
      </w:r>
      <w:proofErr w:type="gramStart"/>
      <w:r w:rsidR="00722E36">
        <w:rPr>
          <w:i/>
          <w:iCs/>
        </w:rPr>
        <w:t>infra</w:t>
      </w:r>
      <w:r w:rsidR="00722E36">
        <w:t xml:space="preserve"> </w:t>
      </w:r>
      <w:r w:rsidR="00722E36" w:rsidRPr="00ED773D">
        <w:t>P</w:t>
      </w:r>
      <w:proofErr w:type="gramEnd"/>
      <w:r w:rsidR="00722E36" w:rsidRPr="00ED773D">
        <w:t> 11</w:t>
      </w:r>
      <w:r w:rsidR="00ED773D" w:rsidRPr="00ED773D">
        <w:t>8</w:t>
      </w:r>
      <w:r w:rsidR="00722E36" w:rsidRPr="00ED773D">
        <w:t>.</w:t>
      </w:r>
    </w:p>
  </w:footnote>
  <w:footnote w:id="177">
    <w:p w14:paraId="0F8F9205" w14:textId="77777777" w:rsidR="00577558" w:rsidRDefault="00577558" w:rsidP="00577558">
      <w:pPr>
        <w:pStyle w:val="FootnoteText"/>
      </w:pPr>
      <w:r>
        <w:rPr>
          <w:rStyle w:val="FootnoteReference"/>
        </w:rPr>
        <w:footnoteRef/>
      </w:r>
      <w:r>
        <w:t xml:space="preserve"> 16 U.S.C. 824e(a).</w:t>
      </w:r>
    </w:p>
  </w:footnote>
  <w:footnote w:id="178">
    <w:p w14:paraId="11E19067" w14:textId="4540E9D9" w:rsidR="00577558" w:rsidRPr="002076DE" w:rsidRDefault="00577558" w:rsidP="00577558">
      <w:pPr>
        <w:pStyle w:val="FootnoteText"/>
      </w:pPr>
      <w:r>
        <w:rPr>
          <w:rStyle w:val="FootnoteReference"/>
        </w:rPr>
        <w:footnoteRef/>
      </w:r>
      <w:r>
        <w:t xml:space="preserve"> </w:t>
      </w:r>
      <w:proofErr w:type="gramStart"/>
      <w:r>
        <w:rPr>
          <w:i/>
          <w:iCs/>
        </w:rPr>
        <w:t>Id.</w:t>
      </w:r>
      <w:r w:rsidR="00B926B0">
        <w:t>;</w:t>
      </w:r>
      <w:proofErr w:type="gramEnd"/>
      <w:r w:rsidR="00B926B0">
        <w:t xml:space="preserve"> </w:t>
      </w:r>
      <w:r w:rsidR="00B926B0">
        <w:rPr>
          <w:i/>
          <w:iCs/>
        </w:rPr>
        <w:t>see also FirstEnergy Serv. Co. v. FERC</w:t>
      </w:r>
      <w:r w:rsidR="00B926B0">
        <w:t>, 758 F.3d 346, 353 (D.C. Cir. 2014) (stating that, under FPA</w:t>
      </w:r>
      <w:r w:rsidR="00CF71BB">
        <w:t xml:space="preserve"> section 206, “[i]t is the Commission’s job—not the petitioner’s—to find a just and reasonable rate.”</w:t>
      </w:r>
      <w:r w:rsidR="008733D7">
        <w:t xml:space="preserve"> (internal quotations omitted)</w:t>
      </w:r>
      <w:r w:rsidR="00AF6AF3">
        <w:t>)</w:t>
      </w:r>
      <w:r w:rsidR="008733D7">
        <w:t>.</w:t>
      </w:r>
    </w:p>
  </w:footnote>
  <w:footnote w:id="179">
    <w:p w14:paraId="156D76F1" w14:textId="5F884E05" w:rsidR="00577558" w:rsidRPr="00A7161F" w:rsidRDefault="00577558" w:rsidP="00577558">
      <w:pPr>
        <w:pStyle w:val="FootnoteText"/>
      </w:pPr>
      <w:r>
        <w:rPr>
          <w:rStyle w:val="FootnoteReference"/>
        </w:rPr>
        <w:footnoteRef/>
      </w:r>
      <w:r>
        <w:t xml:space="preserve"> Arguments on </w:t>
      </w:r>
      <w:r w:rsidRPr="008055B5">
        <w:t xml:space="preserve">rehearing attempting to conflate compliance filings under FPA section 206 with public utilities’ filings under FPA section 205 because both are evaluated based on a just and reasonable standard, </w:t>
      </w:r>
      <w:r w:rsidRPr="008055B5">
        <w:rPr>
          <w:i/>
          <w:iCs/>
        </w:rPr>
        <w:t>see, e.g.</w:t>
      </w:r>
      <w:r w:rsidRPr="008055B5">
        <w:t>,</w:t>
      </w:r>
      <w:r w:rsidRPr="008055B5">
        <w:rPr>
          <w:i/>
          <w:iCs/>
        </w:rPr>
        <w:t xml:space="preserve"> </w:t>
      </w:r>
      <w:r w:rsidRPr="008055B5">
        <w:t xml:space="preserve">WIRES Rehearing Request </w:t>
      </w:r>
      <w:r w:rsidR="00514AE7">
        <w:t xml:space="preserve">              </w:t>
      </w:r>
      <w:r w:rsidRPr="008055B5">
        <w:t xml:space="preserve">at </w:t>
      </w:r>
      <w:r w:rsidR="00856071">
        <w:t>14-</w:t>
      </w:r>
      <w:r w:rsidRPr="008055B5">
        <w:t xml:space="preserve">15, incorrectly blur the lines between these two distinct statutory provisions.  </w:t>
      </w:r>
      <w:r>
        <w:t xml:space="preserve">  </w:t>
      </w:r>
    </w:p>
  </w:footnote>
  <w:footnote w:id="180">
    <w:p w14:paraId="2378C5E2" w14:textId="6DB1FC30" w:rsidR="00577558" w:rsidRPr="00282597" w:rsidRDefault="00577558" w:rsidP="00577558">
      <w:pPr>
        <w:pStyle w:val="FootnoteText"/>
      </w:pPr>
      <w:r>
        <w:rPr>
          <w:rStyle w:val="FootnoteReference"/>
        </w:rPr>
        <w:footnoteRef/>
      </w:r>
      <w:r>
        <w:t xml:space="preserve"> </w:t>
      </w:r>
      <w:r>
        <w:rPr>
          <w:i/>
          <w:iCs/>
        </w:rPr>
        <w:t>See, e.g.</w:t>
      </w:r>
      <w:r>
        <w:t xml:space="preserve">, </w:t>
      </w:r>
      <w:r w:rsidRPr="00282597">
        <w:rPr>
          <w:i/>
          <w:iCs/>
        </w:rPr>
        <w:t>PJM Power Providers Grp. v. FERC</w:t>
      </w:r>
      <w:r w:rsidRPr="00282597">
        <w:t xml:space="preserve">, 88 F.4th </w:t>
      </w:r>
      <w:r>
        <w:t>at</w:t>
      </w:r>
      <w:r w:rsidRPr="00282597">
        <w:t xml:space="preserve"> 270</w:t>
      </w:r>
      <w:r>
        <w:t xml:space="preserve"> n.122 (describing the statutory structure</w:t>
      </w:r>
      <w:r w:rsidR="00CD3D93">
        <w:t xml:space="preserve"> and stating</w:t>
      </w:r>
      <w:r>
        <w:t xml:space="preserve"> that public utilities may seek, through FPA section 205 filings, to modify rates set by the Commission under FPA section 206).</w:t>
      </w:r>
    </w:p>
  </w:footnote>
  <w:footnote w:id="181">
    <w:p w14:paraId="6B4C29C5" w14:textId="6657FCED" w:rsidR="00577558" w:rsidRPr="00BC6C79" w:rsidRDefault="00577558" w:rsidP="00577558">
      <w:pPr>
        <w:pStyle w:val="FootnoteText"/>
        <w:rPr>
          <w:b/>
          <w:bCs/>
        </w:rPr>
      </w:pPr>
      <w:r>
        <w:rPr>
          <w:rStyle w:val="FootnoteReference"/>
        </w:rPr>
        <w:footnoteRef/>
      </w:r>
      <w:r>
        <w:t xml:space="preserve"> </w:t>
      </w:r>
      <w:r w:rsidRPr="00374829">
        <w:rPr>
          <w:i/>
          <w:iCs/>
        </w:rPr>
        <w:t>See, e.g.</w:t>
      </w:r>
      <w:r w:rsidRPr="00374829">
        <w:t xml:space="preserve">, </w:t>
      </w:r>
      <w:r w:rsidRPr="00374829">
        <w:rPr>
          <w:i/>
          <w:iCs/>
        </w:rPr>
        <w:t>Emera M</w:t>
      </w:r>
      <w:r w:rsidR="00AA39C7">
        <w:rPr>
          <w:i/>
          <w:iCs/>
        </w:rPr>
        <w:t>ain</w:t>
      </w:r>
      <w:r w:rsidRPr="00374829">
        <w:rPr>
          <w:i/>
          <w:iCs/>
        </w:rPr>
        <w:t>e</w:t>
      </w:r>
      <w:r w:rsidRPr="00374829">
        <w:t xml:space="preserve">, 854 F.3d </w:t>
      </w:r>
      <w:r>
        <w:t>at</w:t>
      </w:r>
      <w:r w:rsidRPr="00374829">
        <w:t xml:space="preserve"> 24 (describing this division, where FPA section 205 is intended for the benefit of the utility, but FPA section 206 has a “quite different” purpose of empowering the Commission to modify rates upon complaint or its own initiative, with “entirely different” and “stricter” procedures, such as the burden of proof and required two-step findings under FPA section 206</w:t>
      </w:r>
      <w:r>
        <w:t xml:space="preserve"> (quotation marks and citations omitted)).</w:t>
      </w:r>
    </w:p>
  </w:footnote>
  <w:footnote w:id="182">
    <w:p w14:paraId="10051839" w14:textId="0E75382E" w:rsidR="000A456E" w:rsidRPr="000A456E" w:rsidRDefault="000A456E">
      <w:pPr>
        <w:pStyle w:val="FootnoteText"/>
      </w:pPr>
      <w:r w:rsidRPr="003C19A6">
        <w:rPr>
          <w:rStyle w:val="FootnoteReference"/>
        </w:rPr>
        <w:footnoteRef/>
      </w:r>
      <w:r w:rsidRPr="003C19A6">
        <w:t xml:space="preserve"> </w:t>
      </w:r>
      <w:r w:rsidRPr="003C19A6">
        <w:rPr>
          <w:i/>
        </w:rPr>
        <w:t>See</w:t>
      </w:r>
      <w:r w:rsidR="007A5295" w:rsidRPr="003C19A6">
        <w:rPr>
          <w:i/>
        </w:rPr>
        <w:t>, e.g.</w:t>
      </w:r>
      <w:r w:rsidR="007A5295" w:rsidRPr="00A4247C">
        <w:t>,</w:t>
      </w:r>
      <w:r w:rsidRPr="003C19A6">
        <w:rPr>
          <w:i/>
        </w:rPr>
        <w:t xml:space="preserve"> </w:t>
      </w:r>
      <w:r w:rsidR="008E783F" w:rsidRPr="003C19A6">
        <w:rPr>
          <w:i/>
        </w:rPr>
        <w:t>Atlantic City I</w:t>
      </w:r>
      <w:r w:rsidR="008E783F" w:rsidRPr="003C19A6">
        <w:t>, 295 F.3d</w:t>
      </w:r>
      <w:r w:rsidR="008E783F" w:rsidRPr="003C19A6">
        <w:rPr>
          <w:i/>
        </w:rPr>
        <w:t xml:space="preserve"> </w:t>
      </w:r>
      <w:r w:rsidR="008E783F" w:rsidRPr="003C19A6">
        <w:t xml:space="preserve">at 9-11; </w:t>
      </w:r>
      <w:r w:rsidR="008E783F" w:rsidRPr="003C19A6">
        <w:rPr>
          <w:i/>
        </w:rPr>
        <w:t>Atlantic City II</w:t>
      </w:r>
      <w:r w:rsidR="008E783F" w:rsidRPr="003C19A6">
        <w:t>,</w:t>
      </w:r>
      <w:r w:rsidR="008E783F" w:rsidRPr="003C19A6">
        <w:rPr>
          <w:i/>
        </w:rPr>
        <w:t xml:space="preserve"> </w:t>
      </w:r>
      <w:r w:rsidR="008E783F" w:rsidRPr="003C19A6">
        <w:t>329 F.3d at 858-59;</w:t>
      </w:r>
      <w:r w:rsidR="00553475" w:rsidRPr="003C19A6">
        <w:t xml:space="preserve"> </w:t>
      </w:r>
      <w:r w:rsidR="00553475" w:rsidRPr="003C19A6">
        <w:rPr>
          <w:i/>
        </w:rPr>
        <w:t>NRG Power Mktg.</w:t>
      </w:r>
      <w:r w:rsidR="00553475" w:rsidRPr="003C19A6">
        <w:t>, 862 F.3d at 114</w:t>
      </w:r>
      <w:r w:rsidR="002A2B1C" w:rsidRPr="003C19A6">
        <w:t xml:space="preserve">; </w:t>
      </w:r>
      <w:r w:rsidR="002A2B1C" w:rsidRPr="003C19A6">
        <w:rPr>
          <w:i/>
        </w:rPr>
        <w:t>Western Resources</w:t>
      </w:r>
      <w:r w:rsidR="002A2B1C" w:rsidRPr="003C19A6">
        <w:t>, 9 F.3d at 1578</w:t>
      </w:r>
      <w:r w:rsidR="00E77A1E" w:rsidRPr="003C19A6">
        <w:t xml:space="preserve">; </w:t>
      </w:r>
      <w:r w:rsidR="00E77A1E" w:rsidRPr="003C19A6">
        <w:rPr>
          <w:i/>
        </w:rPr>
        <w:t>Massachusetts Department of Public Utilities</w:t>
      </w:r>
      <w:r w:rsidR="00E77A1E" w:rsidRPr="003C19A6">
        <w:t>,</w:t>
      </w:r>
      <w:r w:rsidR="00E77A1E" w:rsidRPr="003C19A6">
        <w:rPr>
          <w:i/>
        </w:rPr>
        <w:t xml:space="preserve"> </w:t>
      </w:r>
      <w:r w:rsidR="00695C34" w:rsidRPr="003C19A6">
        <w:t xml:space="preserve">729 F.2d </w:t>
      </w:r>
      <w:r w:rsidR="00000C81" w:rsidRPr="003C19A6">
        <w:t>at 886-88</w:t>
      </w:r>
      <w:r w:rsidR="00D71DF4" w:rsidRPr="003C19A6">
        <w:t>.</w:t>
      </w:r>
    </w:p>
  </w:footnote>
  <w:footnote w:id="183">
    <w:p w14:paraId="63EB4D05" w14:textId="588EFACB" w:rsidR="00577558" w:rsidRPr="0057417A" w:rsidRDefault="00577558" w:rsidP="00577558">
      <w:pPr>
        <w:pStyle w:val="FootnoteText"/>
      </w:pPr>
      <w:r>
        <w:rPr>
          <w:rStyle w:val="FootnoteReference"/>
        </w:rPr>
        <w:footnoteRef/>
      </w:r>
      <w:r>
        <w:t xml:space="preserve"> </w:t>
      </w:r>
      <w:r>
        <w:rPr>
          <w:i/>
          <w:iCs/>
        </w:rPr>
        <w:t xml:space="preserve">See </w:t>
      </w:r>
      <w:proofErr w:type="gramStart"/>
      <w:r>
        <w:rPr>
          <w:i/>
          <w:iCs/>
        </w:rPr>
        <w:t>supra</w:t>
      </w:r>
      <w:r>
        <w:t xml:space="preserve"> P</w:t>
      </w:r>
      <w:proofErr w:type="gramEnd"/>
      <w:r>
        <w:t xml:space="preserve"> </w:t>
      </w:r>
      <w:r w:rsidR="00002A5C">
        <w:t>33</w:t>
      </w:r>
      <w:r w:rsidR="00C14CE0">
        <w:t xml:space="preserve"> (summarizing the arguments by rehearing petitioners asserting that Order No. 1920-A is contrary to judicial precedent relating to public utilities’ FPA section 205 filing rights).</w:t>
      </w:r>
    </w:p>
  </w:footnote>
  <w:footnote w:id="184">
    <w:p w14:paraId="6104E7BC" w14:textId="6BA0EE8A" w:rsidR="003555E7" w:rsidRDefault="003555E7">
      <w:pPr>
        <w:pStyle w:val="FootnoteText"/>
      </w:pPr>
      <w:r w:rsidRPr="004B2737">
        <w:rPr>
          <w:rStyle w:val="FootnoteReference"/>
        </w:rPr>
        <w:footnoteRef/>
      </w:r>
      <w:r w:rsidRPr="004B2737">
        <w:t xml:space="preserve"> </w:t>
      </w:r>
      <w:r w:rsidR="002021E1" w:rsidRPr="004B2737">
        <w:t>15 U.S.C. 717c.</w:t>
      </w:r>
    </w:p>
  </w:footnote>
  <w:footnote w:id="185">
    <w:p w14:paraId="54F08456" w14:textId="2CE4409E" w:rsidR="00E0749B" w:rsidRDefault="00E0749B">
      <w:pPr>
        <w:pStyle w:val="FootnoteText"/>
      </w:pPr>
      <w:r>
        <w:rPr>
          <w:rStyle w:val="FootnoteReference"/>
        </w:rPr>
        <w:footnoteRef/>
      </w:r>
      <w:r>
        <w:t xml:space="preserve"> 16 U.S.C. 824</w:t>
      </w:r>
      <w:r w:rsidR="006E5FC7">
        <w:t>d</w:t>
      </w:r>
      <w:r>
        <w:t>.</w:t>
      </w:r>
    </w:p>
  </w:footnote>
  <w:footnote w:id="186">
    <w:p w14:paraId="54F6ACBB" w14:textId="77777777" w:rsidR="00577558" w:rsidRPr="00B4540D" w:rsidRDefault="00577558" w:rsidP="00577558">
      <w:pPr>
        <w:pStyle w:val="FootnoteText"/>
      </w:pPr>
      <w:r>
        <w:rPr>
          <w:rStyle w:val="FootnoteReference"/>
        </w:rPr>
        <w:footnoteRef/>
      </w:r>
      <w:r>
        <w:t xml:space="preserve"> </w:t>
      </w:r>
      <w:r>
        <w:rPr>
          <w:i/>
          <w:iCs/>
        </w:rPr>
        <w:t>Atlantic City I</w:t>
      </w:r>
      <w:r>
        <w:t xml:space="preserve">, 295 F.3d at 7; </w:t>
      </w:r>
      <w:r>
        <w:rPr>
          <w:i/>
          <w:iCs/>
        </w:rPr>
        <w:t>see id.</w:t>
      </w:r>
      <w:r>
        <w:t xml:space="preserve"> at 9 (“</w:t>
      </w:r>
      <w:r w:rsidRPr="00B31954">
        <w:t>FERC disapproved this sharing arrangement and directed the utility petitioners to give up all authority to make unilateral changes to rate design.”</w:t>
      </w:r>
      <w:r>
        <w:t>).</w:t>
      </w:r>
    </w:p>
  </w:footnote>
  <w:footnote w:id="187">
    <w:p w14:paraId="164D5BB3" w14:textId="77777777" w:rsidR="00577558" w:rsidRPr="00DA1472" w:rsidRDefault="00577558" w:rsidP="00577558">
      <w:pPr>
        <w:pStyle w:val="FootnoteText"/>
      </w:pPr>
      <w:r>
        <w:rPr>
          <w:rStyle w:val="FootnoteReference"/>
        </w:rPr>
        <w:footnoteRef/>
      </w:r>
      <w:r>
        <w:t xml:space="preserve"> </w:t>
      </w:r>
      <w:r>
        <w:rPr>
          <w:i/>
          <w:iCs/>
        </w:rPr>
        <w:t>Id.</w:t>
      </w:r>
      <w:r>
        <w:t xml:space="preserve"> at 11.</w:t>
      </w:r>
    </w:p>
  </w:footnote>
  <w:footnote w:id="188">
    <w:p w14:paraId="30C3ACBB" w14:textId="2404E91E" w:rsidR="00577558" w:rsidRPr="00F27C14" w:rsidRDefault="00577558" w:rsidP="00577558">
      <w:pPr>
        <w:pStyle w:val="FootnoteText"/>
      </w:pPr>
      <w:r>
        <w:rPr>
          <w:rStyle w:val="FootnoteReference"/>
        </w:rPr>
        <w:footnoteRef/>
      </w:r>
      <w:r>
        <w:t xml:space="preserve"> </w:t>
      </w:r>
      <w:r>
        <w:rPr>
          <w:i/>
          <w:iCs/>
        </w:rPr>
        <w:t>Id.</w:t>
      </w:r>
      <w:r>
        <w:t xml:space="preserve"> at </w:t>
      </w:r>
      <w:r w:rsidR="00FE3C66">
        <w:t>9</w:t>
      </w:r>
      <w:r>
        <w:t>.</w:t>
      </w:r>
    </w:p>
  </w:footnote>
  <w:footnote w:id="189">
    <w:p w14:paraId="5DC65F71" w14:textId="34F8CC94" w:rsidR="00577558" w:rsidRPr="00811FFB" w:rsidRDefault="00577558" w:rsidP="00577558">
      <w:pPr>
        <w:pStyle w:val="FootnoteText"/>
      </w:pPr>
      <w:r>
        <w:rPr>
          <w:rStyle w:val="FootnoteReference"/>
        </w:rPr>
        <w:footnoteRef/>
      </w:r>
      <w:r>
        <w:t xml:space="preserve"> </w:t>
      </w:r>
      <w:r>
        <w:rPr>
          <w:i/>
          <w:iCs/>
        </w:rPr>
        <w:t>Atlantic City II</w:t>
      </w:r>
      <w:r>
        <w:t xml:space="preserve"> is inapposite for the same reason, as that decision involved a petition to enforce the mandate of </w:t>
      </w:r>
      <w:r>
        <w:rPr>
          <w:i/>
          <w:iCs/>
        </w:rPr>
        <w:t>Atlantic City I</w:t>
      </w:r>
      <w:r>
        <w:t xml:space="preserve"> where the Commission “</w:t>
      </w:r>
      <w:r w:rsidRPr="00C762FC">
        <w:t>rather than simply vacating the offending portions of its prior order</w:t>
      </w:r>
      <w:r>
        <w:t xml:space="preserve"> . . . </w:t>
      </w:r>
      <w:r w:rsidRPr="00C762FC">
        <w:t xml:space="preserve">commanded the utilities comprising the ISO to relitigate before it the very issues upon which they had theretofore prevailed before </w:t>
      </w:r>
      <w:proofErr w:type="spellStart"/>
      <w:r w:rsidRPr="00C762FC">
        <w:t>th</w:t>
      </w:r>
      <w:proofErr w:type="spellEnd"/>
      <w:r>
        <w:t xml:space="preserve">[e] </w:t>
      </w:r>
      <w:r w:rsidRPr="00C762FC">
        <w:t>court</w:t>
      </w:r>
      <w:r>
        <w:t xml:space="preserve">.”  </w:t>
      </w:r>
      <w:r>
        <w:rPr>
          <w:i/>
          <w:iCs/>
        </w:rPr>
        <w:t>Atlantic City II</w:t>
      </w:r>
      <w:r>
        <w:t xml:space="preserve">, </w:t>
      </w:r>
      <w:r w:rsidRPr="00472CE3">
        <w:t>329 F.3d</w:t>
      </w:r>
      <w:r>
        <w:t xml:space="preserve"> at 858; </w:t>
      </w:r>
      <w:r>
        <w:rPr>
          <w:i/>
          <w:iCs/>
        </w:rPr>
        <w:t>see also id.</w:t>
      </w:r>
      <w:r>
        <w:t xml:space="preserve"> at 859 (“[W]</w:t>
      </w:r>
      <w:r w:rsidRPr="00DF781E">
        <w:t xml:space="preserve">e </w:t>
      </w:r>
      <w:proofErr w:type="gramStart"/>
      <w:r w:rsidRPr="00DF781E">
        <w:t>reaffirm</w:t>
      </w:r>
      <w:proofErr w:type="gramEnd"/>
      <w:r w:rsidRPr="00DF781E">
        <w:t xml:space="preserve"> and clarify our prior decision that </w:t>
      </w:r>
      <w:r w:rsidR="00D65039">
        <w:t>[the Commission]</w:t>
      </w:r>
      <w:r w:rsidR="00D65039" w:rsidRPr="00DF781E">
        <w:t xml:space="preserve"> </w:t>
      </w:r>
      <w:r w:rsidRPr="00DF781E">
        <w:t xml:space="preserve">has no jurisdiction to enter limitations requiring utilities to surrender their rights under </w:t>
      </w:r>
      <w:r>
        <w:t>[section]</w:t>
      </w:r>
      <w:r w:rsidRPr="00DF781E">
        <w:t xml:space="preserve"> 205 of the FPA to make filings to initiate rate changes</w:t>
      </w:r>
      <w:r>
        <w:t xml:space="preserve">.”). </w:t>
      </w:r>
    </w:p>
  </w:footnote>
  <w:footnote w:id="190">
    <w:p w14:paraId="1E486644" w14:textId="06B37BB7" w:rsidR="00577558" w:rsidRPr="000B7D99" w:rsidRDefault="00577558" w:rsidP="00577558">
      <w:pPr>
        <w:pStyle w:val="FootnoteText"/>
        <w:rPr>
          <w:i/>
          <w:iCs/>
        </w:rPr>
      </w:pPr>
      <w:r>
        <w:rPr>
          <w:rStyle w:val="FootnoteReference"/>
        </w:rPr>
        <w:footnoteRef/>
      </w:r>
      <w:r>
        <w:t xml:space="preserve"> </w:t>
      </w:r>
      <w:r>
        <w:rPr>
          <w:i/>
          <w:iCs/>
        </w:rPr>
        <w:t xml:space="preserve">See </w:t>
      </w:r>
      <w:r w:rsidRPr="00F76033">
        <w:rPr>
          <w:i/>
          <w:iCs/>
        </w:rPr>
        <w:t>NRG Power Mktg.</w:t>
      </w:r>
      <w:r w:rsidRPr="000A5A25">
        <w:t xml:space="preserve">, 862 F.3d </w:t>
      </w:r>
      <w:r>
        <w:t>at</w:t>
      </w:r>
      <w:r w:rsidRPr="000A5A25">
        <w:t xml:space="preserve"> </w:t>
      </w:r>
      <w:r>
        <w:t>110, 114-17 &amp; n.2 (explaining that, in FPA section 205 proceedings, the Commission may not unilaterally impose a new rate scheme of its own making without the consent of the utility, but that it “</w:t>
      </w:r>
      <w:r w:rsidRPr="0046560B">
        <w:t xml:space="preserve">may unilaterally impose a new rate scheme on a utility or </w:t>
      </w:r>
      <w:r>
        <w:t>[RTO]</w:t>
      </w:r>
      <w:r w:rsidRPr="0046560B">
        <w:t xml:space="preserve"> only under a different provision of the Act</w:t>
      </w:r>
      <w:r w:rsidR="006E0F1A">
        <w:t>[</w:t>
      </w:r>
      <w:r w:rsidR="00C17B1C">
        <w:t>,][</w:t>
      </w:r>
      <w:r w:rsidR="00045890">
        <w:t>FPA section 206</w:t>
      </w:r>
      <w:r w:rsidR="00431FF6">
        <w:t>,]</w:t>
      </w:r>
      <w:r>
        <w:t xml:space="preserve">” which was not </w:t>
      </w:r>
      <w:r w:rsidR="001F0FE0">
        <w:t>“</w:t>
      </w:r>
      <w:r>
        <w:t xml:space="preserve">the basis for [the Commission’s] decision in this case”); </w:t>
      </w:r>
      <w:r>
        <w:rPr>
          <w:i/>
          <w:iCs/>
        </w:rPr>
        <w:t>Western Resources</w:t>
      </w:r>
      <w:r w:rsidRPr="00343E68">
        <w:t xml:space="preserve">, 9 F.3d </w:t>
      </w:r>
      <w:r>
        <w:t>at</w:t>
      </w:r>
      <w:r w:rsidRPr="00343E68">
        <w:t xml:space="preserve"> 1577</w:t>
      </w:r>
      <w:r w:rsidR="0006005D">
        <w:t>-</w:t>
      </w:r>
      <w:r w:rsidRPr="00343E68">
        <w:t>79</w:t>
      </w:r>
      <w:r>
        <w:t xml:space="preserve"> (“</w:t>
      </w:r>
      <w:r w:rsidRPr="004B5A4C">
        <w:t xml:space="preserve">After careful consideration of the statutory framework, we cannot accept the </w:t>
      </w:r>
      <w:r w:rsidR="000A7B88" w:rsidRPr="004B5A4C">
        <w:t>Commission</w:t>
      </w:r>
      <w:r w:rsidR="000A7B88">
        <w:t>’</w:t>
      </w:r>
      <w:r w:rsidR="000A7B88" w:rsidRPr="004B5A4C">
        <w:t xml:space="preserve">s </w:t>
      </w:r>
      <w:r w:rsidRPr="004B5A4C">
        <w:t xml:space="preserve">argument that </w:t>
      </w:r>
      <w:r>
        <w:t>[NGA section]</w:t>
      </w:r>
      <w:r w:rsidR="0064704C">
        <w:t> </w:t>
      </w:r>
      <w:r w:rsidRPr="004B5A4C">
        <w:t xml:space="preserve">4 permits it to approve any rate, no matter how materially different from that proposed by the pipeline, so long as it can be viewed as a </w:t>
      </w:r>
      <w:r>
        <w:t>‘</w:t>
      </w:r>
      <w:r w:rsidRPr="004B5A4C">
        <w:t>par</w:t>
      </w:r>
      <w:r>
        <w:t>t’</w:t>
      </w:r>
      <w:r w:rsidRPr="004B5A4C">
        <w:t xml:space="preserve"> of the original request.</w:t>
      </w:r>
      <w:r>
        <w:t xml:space="preserve">”); </w:t>
      </w:r>
      <w:r w:rsidRPr="00F76033">
        <w:rPr>
          <w:i/>
          <w:iCs/>
        </w:rPr>
        <w:t>Louisiana</w:t>
      </w:r>
      <w:r w:rsidR="00F22A5A">
        <w:rPr>
          <w:i/>
          <w:iCs/>
        </w:rPr>
        <w:t xml:space="preserve"> v. </w:t>
      </w:r>
      <w:r w:rsidR="00754CCA">
        <w:rPr>
          <w:i/>
          <w:iCs/>
        </w:rPr>
        <w:t>FPC</w:t>
      </w:r>
      <w:r w:rsidRPr="00BD4982">
        <w:t xml:space="preserve">, 503 F.2d </w:t>
      </w:r>
      <w:r w:rsidR="006D2151">
        <w:t>at</w:t>
      </w:r>
      <w:r w:rsidRPr="00BD4982">
        <w:t xml:space="preserve"> 861</w:t>
      </w:r>
      <w:r w:rsidR="0006005D">
        <w:t>-</w:t>
      </w:r>
      <w:r w:rsidRPr="00BD4982">
        <w:t>62</w:t>
      </w:r>
      <w:r>
        <w:t xml:space="preserve"> (“</w:t>
      </w:r>
      <w:r w:rsidRPr="005251EC">
        <w:t xml:space="preserve">The difficulty is this: </w:t>
      </w:r>
      <w:r w:rsidR="00C16C04">
        <w:t xml:space="preserve"> </w:t>
      </w:r>
      <w:r w:rsidRPr="005251EC">
        <w:t>FPC approved the interim four-level plan as ‘just and reasonable,’ and in the next breath it ordered a new, three-level plan to take its place.</w:t>
      </w:r>
      <w:r>
        <w:t>”).</w:t>
      </w:r>
    </w:p>
  </w:footnote>
  <w:footnote w:id="191">
    <w:p w14:paraId="21F4D52A" w14:textId="4BBDC62A" w:rsidR="00FD79E6" w:rsidRDefault="00FD79E6">
      <w:pPr>
        <w:pStyle w:val="FootnoteText"/>
      </w:pPr>
      <w:r w:rsidRPr="0029616A">
        <w:rPr>
          <w:rStyle w:val="FootnoteReference"/>
        </w:rPr>
        <w:footnoteRef/>
      </w:r>
      <w:r w:rsidRPr="0029616A">
        <w:t xml:space="preserve"> </w:t>
      </w:r>
      <w:r w:rsidR="00134B41" w:rsidRPr="0029616A">
        <w:t>15 U.S.C. 717d.</w:t>
      </w:r>
    </w:p>
  </w:footnote>
  <w:footnote w:id="192">
    <w:p w14:paraId="5A880DFA" w14:textId="7D542032" w:rsidR="00577558" w:rsidRPr="00965EE4" w:rsidRDefault="00577558" w:rsidP="00577558">
      <w:pPr>
        <w:pStyle w:val="FootnoteText"/>
      </w:pPr>
      <w:r>
        <w:rPr>
          <w:rStyle w:val="FootnoteReference"/>
        </w:rPr>
        <w:footnoteRef/>
      </w:r>
      <w:r>
        <w:t xml:space="preserve"> </w:t>
      </w:r>
      <w:r>
        <w:rPr>
          <w:i/>
          <w:iCs/>
        </w:rPr>
        <w:t>See, e.g.</w:t>
      </w:r>
      <w:r>
        <w:t xml:space="preserve">, </w:t>
      </w:r>
      <w:r w:rsidRPr="00D47530">
        <w:rPr>
          <w:i/>
          <w:iCs/>
        </w:rPr>
        <w:t>Consumers Energy Co. v. FERC</w:t>
      </w:r>
      <w:r w:rsidRPr="00A57EBE">
        <w:t>, 226 F.3d 777, 780–81 (6th Cir. 2000)</w:t>
      </w:r>
      <w:r>
        <w:t xml:space="preserve">; </w:t>
      </w:r>
      <w:r w:rsidR="00C37909">
        <w:rPr>
          <w:i/>
        </w:rPr>
        <w:t>NYPSC</w:t>
      </w:r>
      <w:r w:rsidRPr="00FA5F8B">
        <w:t>, 866 F.2d 487, 488–9</w:t>
      </w:r>
      <w:r>
        <w:t>2</w:t>
      </w:r>
      <w:r w:rsidRPr="00FA5F8B">
        <w:t xml:space="preserve"> (D.C. Cir. 1989)</w:t>
      </w:r>
      <w:r>
        <w:t>.</w:t>
      </w:r>
    </w:p>
  </w:footnote>
  <w:footnote w:id="193">
    <w:p w14:paraId="308D1067" w14:textId="13C52282" w:rsidR="00577558" w:rsidRPr="00F83103" w:rsidRDefault="00577558" w:rsidP="00577558">
      <w:pPr>
        <w:pStyle w:val="FootnoteText"/>
      </w:pPr>
      <w:r>
        <w:rPr>
          <w:rStyle w:val="FootnoteReference"/>
        </w:rPr>
        <w:footnoteRef/>
      </w:r>
      <w:r>
        <w:t xml:space="preserve"> </w:t>
      </w:r>
      <w:r w:rsidRPr="00C20609">
        <w:rPr>
          <w:i/>
          <w:iCs/>
        </w:rPr>
        <w:t>Massachusetts Department of Public Utilities</w:t>
      </w:r>
      <w:r>
        <w:t>, 729 F.2d at 886-87.</w:t>
      </w:r>
    </w:p>
  </w:footnote>
  <w:footnote w:id="194">
    <w:p w14:paraId="2EBB1E6E" w14:textId="77777777" w:rsidR="00577558" w:rsidRPr="00935582" w:rsidRDefault="00577558" w:rsidP="00577558">
      <w:pPr>
        <w:pStyle w:val="FootnoteText"/>
      </w:pPr>
      <w:r>
        <w:rPr>
          <w:rStyle w:val="FootnoteReference"/>
        </w:rPr>
        <w:footnoteRef/>
      </w:r>
      <w:r>
        <w:t xml:space="preserve"> </w:t>
      </w:r>
      <w:r>
        <w:rPr>
          <w:i/>
          <w:iCs/>
        </w:rPr>
        <w:t>Id.</w:t>
      </w:r>
      <w:r>
        <w:t xml:space="preserve"> at 886-88.</w:t>
      </w:r>
    </w:p>
  </w:footnote>
  <w:footnote w:id="195">
    <w:p w14:paraId="5B8B21B9" w14:textId="77777777" w:rsidR="00577558" w:rsidRPr="007D40AE" w:rsidRDefault="00577558" w:rsidP="00577558">
      <w:pPr>
        <w:pStyle w:val="FootnoteText"/>
      </w:pPr>
      <w:r>
        <w:rPr>
          <w:rStyle w:val="FootnoteReference"/>
        </w:rPr>
        <w:footnoteRef/>
      </w:r>
      <w:r>
        <w:t xml:space="preserve"> </w:t>
      </w:r>
      <w:r>
        <w:rPr>
          <w:i/>
          <w:iCs/>
        </w:rPr>
        <w:t>Id.</w:t>
      </w:r>
      <w:r>
        <w:t xml:space="preserve"> at 888.</w:t>
      </w:r>
    </w:p>
  </w:footnote>
  <w:footnote w:id="196">
    <w:p w14:paraId="0399A627" w14:textId="0407A1F6" w:rsidR="00577558" w:rsidRPr="007D40AE" w:rsidRDefault="00577558" w:rsidP="00577558">
      <w:pPr>
        <w:pStyle w:val="FootnoteText"/>
      </w:pPr>
      <w:r>
        <w:rPr>
          <w:rStyle w:val="FootnoteReference"/>
        </w:rPr>
        <w:footnoteRef/>
      </w:r>
      <w:r>
        <w:t xml:space="preserve"> </w:t>
      </w:r>
      <w:r>
        <w:rPr>
          <w:i/>
          <w:iCs/>
        </w:rPr>
        <w:t>Id.</w:t>
      </w:r>
      <w:r w:rsidR="00D83965">
        <w:t xml:space="preserve">; </w:t>
      </w:r>
      <w:r w:rsidR="00D83965">
        <w:rPr>
          <w:i/>
          <w:iCs/>
        </w:rPr>
        <w:t>see id.</w:t>
      </w:r>
      <w:r>
        <w:t xml:space="preserve"> (explaining further that “</w:t>
      </w:r>
      <w:r w:rsidRPr="006621E5">
        <w:t>the net effect of accepting Massachusetts</w:t>
      </w:r>
      <w:r w:rsidR="00B8539F">
        <w:t>’</w:t>
      </w:r>
      <w:r w:rsidRPr="006621E5">
        <w:t xml:space="preserve"> argument is to allow a state to do what FERC itself cannot, namely, to change an </w:t>
      </w:r>
      <w:r w:rsidRPr="002076DE">
        <w:rPr>
          <w:i/>
        </w:rPr>
        <w:t>inter</w:t>
      </w:r>
      <w:r w:rsidRPr="002076DE">
        <w:t>state</w:t>
      </w:r>
      <w:r w:rsidRPr="006621E5">
        <w:t xml:space="preserve"> rate practice that FERC has not found unreasonable</w:t>
      </w:r>
      <w:r>
        <w:t xml:space="preserve">” </w:t>
      </w:r>
      <w:r w:rsidR="00795DCA">
        <w:t xml:space="preserve">and </w:t>
      </w:r>
      <w:r>
        <w:t>also identifying pragmatic considerations relating to the availability of refunds under FPA section 205 and concerns of “confusion, possibly chaos” that could result if states attempted to require conflicting changes); 16 U.S.C. 824e(a).</w:t>
      </w:r>
    </w:p>
  </w:footnote>
  <w:footnote w:id="197">
    <w:p w14:paraId="3887E7E2" w14:textId="767E3409" w:rsidR="00577558" w:rsidRPr="001C261F" w:rsidRDefault="00577558" w:rsidP="00577558">
      <w:pPr>
        <w:pStyle w:val="FootnoteText"/>
      </w:pPr>
      <w:r>
        <w:rPr>
          <w:rStyle w:val="FootnoteReference"/>
        </w:rPr>
        <w:footnoteRef/>
      </w:r>
      <w:r>
        <w:t xml:space="preserve"> </w:t>
      </w:r>
      <w:r w:rsidR="008236CE" w:rsidRPr="00C20609">
        <w:rPr>
          <w:i/>
          <w:iCs/>
        </w:rPr>
        <w:t>Massachusetts Department of Public Utilities</w:t>
      </w:r>
      <w:r w:rsidR="008236CE">
        <w:t>, 729 F.2d</w:t>
      </w:r>
      <w:r>
        <w:t xml:space="preserve"> </w:t>
      </w:r>
      <w:r w:rsidR="00017A9E">
        <w:t xml:space="preserve">at </w:t>
      </w:r>
      <w:r>
        <w:t>866-88 (contrasting the two procedural “tracks” under which rates are regulated in FPA sections 205 and 206).</w:t>
      </w:r>
    </w:p>
  </w:footnote>
  <w:footnote w:id="198">
    <w:p w14:paraId="50D7880A" w14:textId="335BCDA3" w:rsidR="00577558" w:rsidRPr="009E3FD5" w:rsidRDefault="00577558" w:rsidP="00577558">
      <w:pPr>
        <w:pStyle w:val="FootnoteText"/>
      </w:pPr>
      <w:r>
        <w:rPr>
          <w:rStyle w:val="FootnoteReference"/>
        </w:rPr>
        <w:footnoteRef/>
      </w:r>
      <w:r>
        <w:t xml:space="preserve"> Order No. 1920-A, 189 FERC ¶ 61,126 at P 651.</w:t>
      </w:r>
    </w:p>
  </w:footnote>
  <w:footnote w:id="199">
    <w:p w14:paraId="778AD7A6" w14:textId="77777777" w:rsidR="00577558" w:rsidRPr="00062B88" w:rsidRDefault="00577558" w:rsidP="00577558">
      <w:pPr>
        <w:pStyle w:val="FootnoteText"/>
      </w:pPr>
      <w:r>
        <w:rPr>
          <w:rStyle w:val="FootnoteReference"/>
        </w:rPr>
        <w:footnoteRef/>
      </w:r>
      <w:r>
        <w:t xml:space="preserve"> </w:t>
      </w:r>
      <w:r>
        <w:rPr>
          <w:i/>
          <w:iCs/>
        </w:rPr>
        <w:t>Id.</w:t>
      </w:r>
      <w:r>
        <w:t xml:space="preserve"> P 655.</w:t>
      </w:r>
    </w:p>
  </w:footnote>
  <w:footnote w:id="200">
    <w:p w14:paraId="247FEA5A" w14:textId="6A1354D3" w:rsidR="00577558" w:rsidRPr="007E43D4" w:rsidRDefault="00577558" w:rsidP="00514AE7">
      <w:pPr>
        <w:pStyle w:val="FootnoteText"/>
        <w:widowControl/>
      </w:pPr>
      <w:r>
        <w:rPr>
          <w:rStyle w:val="FootnoteReference"/>
        </w:rPr>
        <w:footnoteRef/>
      </w:r>
      <w:r>
        <w:t xml:space="preserve"> </w:t>
      </w:r>
      <w:r>
        <w:rPr>
          <w:i/>
          <w:iCs/>
        </w:rPr>
        <w:t>Id.</w:t>
      </w:r>
      <w:r>
        <w:t xml:space="preserve"> P 654 n.1651 (“</w:t>
      </w:r>
      <w:r w:rsidRPr="00810E92">
        <w:t xml:space="preserve">The requirement to include Relevant State </w:t>
      </w:r>
      <w:r w:rsidR="000458D4" w:rsidRPr="00810E92">
        <w:t>Entities</w:t>
      </w:r>
      <w:r w:rsidR="000458D4">
        <w:t>’</w:t>
      </w:r>
      <w:r w:rsidR="000458D4" w:rsidRPr="00810E92">
        <w:t xml:space="preserve"> </w:t>
      </w:r>
      <w:r w:rsidR="00514AE7">
        <w:t xml:space="preserve">     </w:t>
      </w:r>
      <w:r w:rsidRPr="00810E92">
        <w:t xml:space="preserve">Long-Term Regional Transmission Cost Allocation Method and/or State Agreement Process as an addition to the compliance filing does not constitute a </w:t>
      </w:r>
      <w:r>
        <w:t>‘</w:t>
      </w:r>
      <w:r w:rsidRPr="00810E92">
        <w:t>proposal</w:t>
      </w:r>
      <w:r>
        <w:t>’</w:t>
      </w:r>
      <w:r w:rsidRPr="00810E92">
        <w:t xml:space="preserve"> from the transmission provider.</w:t>
      </w:r>
      <w:r>
        <w:t>”)</w:t>
      </w:r>
      <w:r w:rsidR="005A5AB0">
        <w:t>.</w:t>
      </w:r>
    </w:p>
  </w:footnote>
  <w:footnote w:id="201">
    <w:p w14:paraId="150F876C" w14:textId="7CB01C0C" w:rsidR="00745D86" w:rsidRDefault="00745D86" w:rsidP="00745D86">
      <w:pPr>
        <w:pStyle w:val="FootnoteText"/>
      </w:pPr>
      <w:r>
        <w:rPr>
          <w:rStyle w:val="FootnoteReference"/>
        </w:rPr>
        <w:footnoteRef/>
      </w:r>
      <w:r>
        <w:t xml:space="preserve"> </w:t>
      </w:r>
      <w:r w:rsidRPr="00745D86">
        <w:t xml:space="preserve">FPA section 206 does not mandate a specific process through which the Commission </w:t>
      </w:r>
      <w:r>
        <w:t>chooses to build</w:t>
      </w:r>
      <w:r w:rsidRPr="00745D86">
        <w:t xml:space="preserve"> the record to </w:t>
      </w:r>
      <w:r w:rsidR="00024252">
        <w:t>determine and fix</w:t>
      </w:r>
      <w:r w:rsidR="00024252" w:rsidRPr="00745D86">
        <w:t xml:space="preserve"> </w:t>
      </w:r>
      <w:r w:rsidRPr="00745D86">
        <w:t>the replacement rate</w:t>
      </w:r>
      <w:r w:rsidR="00C27465">
        <w:t xml:space="preserve">; rather, </w:t>
      </w:r>
      <w:r w:rsidR="002F30D1">
        <w:t xml:space="preserve">FPA section 206 merely requires </w:t>
      </w:r>
      <w:r w:rsidR="001549CD">
        <w:t xml:space="preserve">a hearing prior to finding the existing rate unjust </w:t>
      </w:r>
      <w:r w:rsidR="0040690A">
        <w:t xml:space="preserve">and </w:t>
      </w:r>
      <w:proofErr w:type="gramStart"/>
      <w:r w:rsidR="0040690A">
        <w:t>reasonable, and</w:t>
      </w:r>
      <w:proofErr w:type="gramEnd"/>
      <w:r w:rsidR="0040690A">
        <w:t xml:space="preserve"> </w:t>
      </w:r>
      <w:r w:rsidR="00D0454B">
        <w:t xml:space="preserve">then </w:t>
      </w:r>
      <w:r w:rsidR="0040690A">
        <w:t>empowers the Commission to determine and fix the replacement rate by order</w:t>
      </w:r>
      <w:r w:rsidRPr="00745D86">
        <w:t>.</w:t>
      </w:r>
      <w:r>
        <w:t xml:space="preserve">  </w:t>
      </w:r>
      <w:r w:rsidR="00C8221B">
        <w:rPr>
          <w:i/>
          <w:iCs/>
        </w:rPr>
        <w:t xml:space="preserve">See </w:t>
      </w:r>
      <w:r w:rsidR="00C8221B">
        <w:t xml:space="preserve">16 U.S.C. 824e; </w:t>
      </w:r>
      <w:r w:rsidR="00C8221B">
        <w:rPr>
          <w:i/>
          <w:iCs/>
        </w:rPr>
        <w:t>s</w:t>
      </w:r>
      <w:r w:rsidRPr="00745D86">
        <w:rPr>
          <w:i/>
          <w:iCs/>
        </w:rPr>
        <w:t xml:space="preserve">ee </w:t>
      </w:r>
      <w:r w:rsidR="00C8221B">
        <w:rPr>
          <w:i/>
          <w:iCs/>
        </w:rPr>
        <w:t xml:space="preserve">also </w:t>
      </w:r>
      <w:r w:rsidRPr="00745D86">
        <w:rPr>
          <w:i/>
          <w:iCs/>
        </w:rPr>
        <w:t>Pension Ben. Guar. Corp. v. LTV Corp.</w:t>
      </w:r>
      <w:r w:rsidRPr="00910372">
        <w:t>,</w:t>
      </w:r>
      <w:r w:rsidRPr="00745D86">
        <w:rPr>
          <w:i/>
          <w:iCs/>
        </w:rPr>
        <w:t xml:space="preserve"> </w:t>
      </w:r>
      <w:r w:rsidR="00514AE7">
        <w:rPr>
          <w:i/>
          <w:iCs/>
        </w:rPr>
        <w:t xml:space="preserve">           </w:t>
      </w:r>
      <w:r w:rsidRPr="00745D86">
        <w:t>496 U.S. 633, 653</w:t>
      </w:r>
      <w:r w:rsidR="00EB347E">
        <w:t>, 655-56</w:t>
      </w:r>
      <w:r w:rsidRPr="00745D86">
        <w:t xml:space="preserve"> (1990) (</w:t>
      </w:r>
      <w:r w:rsidR="00E603AB">
        <w:t>holding</w:t>
      </w:r>
      <w:r w:rsidR="00EB347E">
        <w:t xml:space="preserve"> that when</w:t>
      </w:r>
      <w:r w:rsidRPr="00745D86">
        <w:t xml:space="preserve"> the Due Process Clause is not implicated and an agency</w:t>
      </w:r>
      <w:r w:rsidR="00E4703D">
        <w:t>’</w:t>
      </w:r>
      <w:r w:rsidRPr="00745D86">
        <w:t xml:space="preserve">s governing statute contains no specific procedural mandates, the APA establishes the maximum procedural requirements a reviewing court may impose on agencies); </w:t>
      </w:r>
      <w:r w:rsidRPr="00745D86">
        <w:rPr>
          <w:i/>
          <w:iCs/>
        </w:rPr>
        <w:t>Vermont Yankee Nuclear Power Corp. v. Nat. Res. Def. Council, Inc.</w:t>
      </w:r>
      <w:r w:rsidRPr="00745D86">
        <w:t xml:space="preserve">, 435 U.S. 519, 524 (1978) (“Even apart from the </w:t>
      </w:r>
      <w:r w:rsidR="00296425">
        <w:t>[APA</w:t>
      </w:r>
      <w:r w:rsidR="0095517D">
        <w:t>,</w:t>
      </w:r>
      <w:r w:rsidR="00296425">
        <w:t>]</w:t>
      </w:r>
      <w:r w:rsidRPr="00745D86">
        <w:t xml:space="preserve"> this Court has for more than four decades emphasized that the formulation of procedures was basically to be left within the discretion of the agencies to which Congress had confided the responsibility for substantive judgments.”); </w:t>
      </w:r>
      <w:r w:rsidRPr="00745D86">
        <w:rPr>
          <w:i/>
          <w:iCs/>
        </w:rPr>
        <w:t xml:space="preserve">FPC v. </w:t>
      </w:r>
      <w:proofErr w:type="spellStart"/>
      <w:r w:rsidRPr="00745D86">
        <w:rPr>
          <w:i/>
          <w:iCs/>
        </w:rPr>
        <w:t>Transcon</w:t>
      </w:r>
      <w:r w:rsidR="00C108FC">
        <w:rPr>
          <w:i/>
          <w:iCs/>
        </w:rPr>
        <w:t>t’l</w:t>
      </w:r>
      <w:proofErr w:type="spellEnd"/>
      <w:r w:rsidRPr="00745D86">
        <w:rPr>
          <w:i/>
          <w:iCs/>
        </w:rPr>
        <w:t xml:space="preserve"> Gas Pipe Line Corp.</w:t>
      </w:r>
      <w:r w:rsidRPr="00745D86">
        <w:t>, 423 U.S. 326, 333 (1976);</w:t>
      </w:r>
      <w:r w:rsidR="001F0855">
        <w:t xml:space="preserve"> </w:t>
      </w:r>
      <w:r w:rsidR="001F0855" w:rsidRPr="00357131">
        <w:rPr>
          <w:i/>
          <w:iCs/>
        </w:rPr>
        <w:t>Towns of Concord, Norwood, &amp; Wellesley, Mass. v. FERC</w:t>
      </w:r>
      <w:r w:rsidR="001F0855" w:rsidRPr="001F0855">
        <w:t xml:space="preserve">, </w:t>
      </w:r>
      <w:r w:rsidR="007A2DC1" w:rsidRPr="007A2DC1">
        <w:t>No. 90–1179</w:t>
      </w:r>
      <w:r w:rsidR="003B6FD6">
        <w:t xml:space="preserve">, </w:t>
      </w:r>
      <w:r w:rsidR="00094957" w:rsidRPr="00094957">
        <w:t>1991 WL 17224</w:t>
      </w:r>
      <w:r w:rsidR="00D95E79">
        <w:t>,</w:t>
      </w:r>
      <w:r w:rsidR="007A2DC1" w:rsidRPr="007A2DC1">
        <w:t xml:space="preserve"> </w:t>
      </w:r>
      <w:r w:rsidR="00D95E79">
        <w:t>at *</w:t>
      </w:r>
      <w:r w:rsidR="0074720D">
        <w:t>3</w:t>
      </w:r>
      <w:r w:rsidR="001F0855" w:rsidRPr="001F0855">
        <w:t xml:space="preserve"> (D.C. Cir.</w:t>
      </w:r>
      <w:r w:rsidR="0059161A">
        <w:t xml:space="preserve"> </w:t>
      </w:r>
      <w:r w:rsidR="001F0855" w:rsidRPr="001F0855">
        <w:t>1991)</w:t>
      </w:r>
      <w:r w:rsidR="00804CD7">
        <w:t xml:space="preserve"> (noting “</w:t>
      </w:r>
      <w:r w:rsidR="00804CD7" w:rsidRPr="00804CD7">
        <w:t>the Commission</w:t>
      </w:r>
      <w:r w:rsidR="00453B93">
        <w:t>’</w:t>
      </w:r>
      <w:r w:rsidR="00804CD7" w:rsidRPr="00804CD7">
        <w:t>s broad authority to establish its own rules of procedure and structure its own methods of inquir</w:t>
      </w:r>
      <w:r w:rsidR="00804CD7">
        <w:t>y”);</w:t>
      </w:r>
      <w:r w:rsidRPr="00745D86">
        <w:t xml:space="preserve"> 5</w:t>
      </w:r>
      <w:r w:rsidR="00457129">
        <w:t> </w:t>
      </w:r>
      <w:r w:rsidRPr="00745D86">
        <w:t xml:space="preserve">U.S.C. 706(2)(D) (permitting courts to hold unlawful and set aside action found to be “without observance of procedure </w:t>
      </w:r>
      <w:r w:rsidRPr="00745D86">
        <w:rPr>
          <w:i/>
          <w:iCs/>
        </w:rPr>
        <w:t>required by law</w:t>
      </w:r>
      <w:r w:rsidRPr="00745D86">
        <w:t>” (emphasis added)).</w:t>
      </w:r>
    </w:p>
  </w:footnote>
  <w:footnote w:id="202">
    <w:p w14:paraId="6B2BB1B4" w14:textId="19A74C08" w:rsidR="00280D3C" w:rsidRDefault="00280D3C">
      <w:pPr>
        <w:pStyle w:val="FootnoteText"/>
      </w:pPr>
      <w:r>
        <w:rPr>
          <w:rStyle w:val="FootnoteReference"/>
        </w:rPr>
        <w:footnoteRef/>
      </w:r>
      <w:r>
        <w:t xml:space="preserve"> </w:t>
      </w:r>
      <w:r w:rsidR="009C203B">
        <w:t xml:space="preserve">Order No. 1920-A, 189 FERC </w:t>
      </w:r>
      <w:r w:rsidR="008609CB">
        <w:t>¶ 61,126 at P 651.</w:t>
      </w:r>
    </w:p>
  </w:footnote>
  <w:footnote w:id="203">
    <w:p w14:paraId="108405D7" w14:textId="3C444975" w:rsidR="00147DDF" w:rsidRPr="00147DDF" w:rsidRDefault="00147DDF">
      <w:pPr>
        <w:pStyle w:val="FootnoteText"/>
      </w:pPr>
      <w:r>
        <w:rPr>
          <w:rStyle w:val="FootnoteReference"/>
        </w:rPr>
        <w:footnoteRef/>
      </w:r>
      <w:r>
        <w:t xml:space="preserve"> </w:t>
      </w:r>
      <w:r>
        <w:rPr>
          <w:i/>
          <w:iCs/>
        </w:rPr>
        <w:t xml:space="preserve">See </w:t>
      </w:r>
      <w:proofErr w:type="gramStart"/>
      <w:r>
        <w:rPr>
          <w:i/>
          <w:iCs/>
        </w:rPr>
        <w:t>infra</w:t>
      </w:r>
      <w:r>
        <w:t xml:space="preserve"> </w:t>
      </w:r>
      <w:r w:rsidRPr="00ED773D">
        <w:t>P</w:t>
      </w:r>
      <w:proofErr w:type="gramEnd"/>
      <w:r w:rsidRPr="00ED773D">
        <w:t> 11</w:t>
      </w:r>
      <w:r w:rsidR="00ED773D" w:rsidRPr="00ED773D">
        <w:t>8</w:t>
      </w:r>
      <w:r w:rsidRPr="00ED773D">
        <w:t>.</w:t>
      </w:r>
    </w:p>
  </w:footnote>
  <w:footnote w:id="204">
    <w:p w14:paraId="5A4E39AA" w14:textId="1E26790D" w:rsidR="00577558" w:rsidRPr="00D30F97" w:rsidRDefault="00577558" w:rsidP="00577558">
      <w:pPr>
        <w:pStyle w:val="FootnoteText"/>
      </w:pPr>
      <w:r>
        <w:rPr>
          <w:rStyle w:val="FootnoteReference"/>
        </w:rPr>
        <w:footnoteRef/>
      </w:r>
      <w:r>
        <w:t xml:space="preserve"> </w:t>
      </w:r>
      <w:r w:rsidRPr="00371184">
        <w:t>MISO TOs Rehearing Request at 19</w:t>
      </w:r>
      <w:r>
        <w:t xml:space="preserve">-20; </w:t>
      </w:r>
      <w:r>
        <w:rPr>
          <w:i/>
          <w:iCs/>
        </w:rPr>
        <w:t xml:space="preserve">see also </w:t>
      </w:r>
      <w:r w:rsidRPr="005B3C98">
        <w:t>WIRES Rehearing Request at</w:t>
      </w:r>
      <w:r w:rsidR="001A1CDF">
        <w:t> </w:t>
      </w:r>
      <w:r w:rsidRPr="005B3C98">
        <w:t>13</w:t>
      </w:r>
      <w:r>
        <w:t xml:space="preserve">; </w:t>
      </w:r>
      <w:r w:rsidRPr="005C1C17">
        <w:t>SPP TOs Rehearing Request at 4</w:t>
      </w:r>
      <w:r>
        <w:t xml:space="preserve">-5; </w:t>
      </w:r>
      <w:r w:rsidRPr="00D30F97">
        <w:t>EEI Rehearing Request at 8-9</w:t>
      </w:r>
      <w:r>
        <w:t>.</w:t>
      </w:r>
    </w:p>
  </w:footnote>
  <w:footnote w:id="205">
    <w:p w14:paraId="060706BA" w14:textId="77777777" w:rsidR="00577558" w:rsidRPr="00392F95" w:rsidRDefault="00577558" w:rsidP="00577558">
      <w:pPr>
        <w:pStyle w:val="FootnoteText"/>
        <w:rPr>
          <w:i/>
          <w:iCs/>
        </w:rPr>
      </w:pPr>
      <w:r>
        <w:rPr>
          <w:rStyle w:val="FootnoteReference"/>
        </w:rPr>
        <w:footnoteRef/>
      </w:r>
      <w:r>
        <w:t xml:space="preserve"> </w:t>
      </w:r>
      <w:r w:rsidRPr="005321AF">
        <w:t>Order No. 1920</w:t>
      </w:r>
      <w:r>
        <w:t>-A</w:t>
      </w:r>
      <w:r w:rsidRPr="005321AF">
        <w:t>,</w:t>
      </w:r>
      <w:r>
        <w:t xml:space="preserve"> </w:t>
      </w:r>
      <w:r w:rsidRPr="00AD0002">
        <w:t>189 FERC ¶ 61,126</w:t>
      </w:r>
      <w:r>
        <w:t xml:space="preserve"> at P 652.</w:t>
      </w:r>
    </w:p>
  </w:footnote>
  <w:footnote w:id="206">
    <w:p w14:paraId="5699CA7C" w14:textId="20AA89C9" w:rsidR="00577558" w:rsidRDefault="00577558" w:rsidP="00577558">
      <w:pPr>
        <w:pStyle w:val="FootnoteText"/>
      </w:pPr>
      <w:r>
        <w:rPr>
          <w:rStyle w:val="FootnoteReference"/>
        </w:rPr>
        <w:footnoteRef/>
      </w:r>
      <w:r>
        <w:t xml:space="preserve"> </w:t>
      </w:r>
      <w:r w:rsidRPr="0033049D">
        <w:rPr>
          <w:i/>
          <w:iCs/>
        </w:rPr>
        <w:t>Id.</w:t>
      </w:r>
      <w:r>
        <w:t xml:space="preserve"> P 654 n.1651</w:t>
      </w:r>
    </w:p>
  </w:footnote>
  <w:footnote w:id="207">
    <w:p w14:paraId="64F9EABC" w14:textId="02FB1151" w:rsidR="00577558" w:rsidRDefault="00577558" w:rsidP="00577558">
      <w:pPr>
        <w:pStyle w:val="FootnoteText"/>
      </w:pPr>
      <w:r>
        <w:rPr>
          <w:rStyle w:val="FootnoteReference"/>
        </w:rPr>
        <w:footnoteRef/>
      </w:r>
      <w:r>
        <w:t xml:space="preserve"> SPP TOs Rehearing Request at 15 &amp; nn.37-38 (quoting </w:t>
      </w:r>
      <w:r w:rsidRPr="00100E1F">
        <w:rPr>
          <w:i/>
          <w:iCs/>
        </w:rPr>
        <w:t>PJM Interconnection, L.L.C</w:t>
      </w:r>
      <w:r w:rsidRPr="00100E1F">
        <w:t>., 178 FERC ¶ 61,083</w:t>
      </w:r>
      <w:r>
        <w:t xml:space="preserve"> at P 29).</w:t>
      </w:r>
    </w:p>
  </w:footnote>
  <w:footnote w:id="208">
    <w:p w14:paraId="62AF1984" w14:textId="77777777" w:rsidR="00577558" w:rsidRDefault="00577558" w:rsidP="00577558">
      <w:pPr>
        <w:pStyle w:val="FootnoteText"/>
      </w:pPr>
      <w:r>
        <w:rPr>
          <w:rStyle w:val="FootnoteReference"/>
        </w:rPr>
        <w:footnoteRef/>
      </w:r>
      <w:r>
        <w:t xml:space="preserve"> </w:t>
      </w:r>
      <w:r>
        <w:rPr>
          <w:i/>
          <w:iCs/>
        </w:rPr>
        <w:t>Id.</w:t>
      </w:r>
      <w:r w:rsidRPr="00E47FA2">
        <w:t xml:space="preserve"> at 17-18</w:t>
      </w:r>
      <w:r>
        <w:t>.</w:t>
      </w:r>
    </w:p>
  </w:footnote>
  <w:footnote w:id="209">
    <w:p w14:paraId="7272DA61" w14:textId="77777777" w:rsidR="00577558" w:rsidRPr="00694E86" w:rsidRDefault="00577558" w:rsidP="00577558">
      <w:pPr>
        <w:pStyle w:val="FootnoteText"/>
      </w:pPr>
      <w:r>
        <w:rPr>
          <w:rStyle w:val="FootnoteReference"/>
        </w:rPr>
        <w:footnoteRef/>
      </w:r>
      <w:r>
        <w:t xml:space="preserve"> </w:t>
      </w:r>
      <w:r>
        <w:rPr>
          <w:i/>
          <w:iCs/>
        </w:rPr>
        <w:t>Id.</w:t>
      </w:r>
      <w:r>
        <w:t xml:space="preserve"> at 15.</w:t>
      </w:r>
    </w:p>
  </w:footnote>
  <w:footnote w:id="210">
    <w:p w14:paraId="3B30BDFD" w14:textId="567A74D4" w:rsidR="00577558" w:rsidRPr="00F47E6C" w:rsidRDefault="00577558" w:rsidP="00577558">
      <w:pPr>
        <w:pStyle w:val="FootnoteText"/>
      </w:pPr>
      <w:r>
        <w:rPr>
          <w:rStyle w:val="FootnoteReference"/>
        </w:rPr>
        <w:footnoteRef/>
      </w:r>
      <w:r>
        <w:t xml:space="preserve"> 16 U.S.C. 824e(a)</w:t>
      </w:r>
      <w:r w:rsidR="009B1C5A">
        <w:t xml:space="preserve">; </w:t>
      </w:r>
      <w:r w:rsidR="009B1C5A">
        <w:rPr>
          <w:i/>
          <w:iCs/>
        </w:rPr>
        <w:t>see, e.g.</w:t>
      </w:r>
      <w:r w:rsidR="009B1C5A">
        <w:t xml:space="preserve">, </w:t>
      </w:r>
      <w:r w:rsidR="009B1C5A" w:rsidRPr="00362C85">
        <w:rPr>
          <w:i/>
          <w:iCs/>
        </w:rPr>
        <w:t>Emera M</w:t>
      </w:r>
      <w:r w:rsidR="009B1C5A">
        <w:rPr>
          <w:i/>
          <w:iCs/>
        </w:rPr>
        <w:t>aine</w:t>
      </w:r>
      <w:r w:rsidR="009B1C5A" w:rsidRPr="00362C85">
        <w:t xml:space="preserve">, 854 F.3d </w:t>
      </w:r>
      <w:r w:rsidR="00DE36A2">
        <w:t xml:space="preserve">at </w:t>
      </w:r>
      <w:r w:rsidR="009B1C5A" w:rsidRPr="00362C85">
        <w:t>24</w:t>
      </w:r>
      <w:r w:rsidR="00DE36A2">
        <w:t xml:space="preserve"> (holding that “unlike section 205, section 206 mandates a two-step procedure that requires FERC to make an explicit finding that the existing rate is unlawful before setting a new rate</w:t>
      </w:r>
      <w:r w:rsidR="00CF498E">
        <w:t>”)</w:t>
      </w:r>
      <w:r>
        <w:t>.</w:t>
      </w:r>
      <w:r w:rsidR="009B1C5A">
        <w:t xml:space="preserve">  </w:t>
      </w:r>
    </w:p>
  </w:footnote>
  <w:footnote w:id="211">
    <w:p w14:paraId="57F56B66" w14:textId="4F3E43DE" w:rsidR="00577558" w:rsidRDefault="00577558" w:rsidP="00577558">
      <w:pPr>
        <w:pStyle w:val="FootnoteText"/>
      </w:pPr>
      <w:r>
        <w:rPr>
          <w:rStyle w:val="FootnoteReference"/>
        </w:rPr>
        <w:footnoteRef/>
      </w:r>
      <w:r>
        <w:t xml:space="preserve"> In a complaint proceeding under FPA section 206, the burden of proof to make this first</w:t>
      </w:r>
      <w:r w:rsidR="00F47927">
        <w:t xml:space="preserve"> prong</w:t>
      </w:r>
      <w:r>
        <w:t xml:space="preserve"> showing is on the complainant, </w:t>
      </w:r>
      <w:r>
        <w:rPr>
          <w:i/>
          <w:iCs/>
        </w:rPr>
        <w:t>see id.</w:t>
      </w:r>
      <w:r>
        <w:t xml:space="preserve"> 824e(b), but once that showing is made, the replacement rate is </w:t>
      </w:r>
      <w:r w:rsidR="0099128E">
        <w:t xml:space="preserve">determined and fixed </w:t>
      </w:r>
      <w:r>
        <w:t>by the Commission</w:t>
      </w:r>
      <w:r w:rsidR="00111848">
        <w:t>,</w:t>
      </w:r>
      <w:r>
        <w:t xml:space="preserve"> </w:t>
      </w:r>
      <w:r w:rsidR="00111848">
        <w:rPr>
          <w:i/>
          <w:iCs/>
        </w:rPr>
        <w:t>s</w:t>
      </w:r>
      <w:r>
        <w:rPr>
          <w:i/>
          <w:iCs/>
        </w:rPr>
        <w:t>ee id.</w:t>
      </w:r>
      <w:r>
        <w:t xml:space="preserve"> 824e(a); </w:t>
      </w:r>
      <w:r>
        <w:rPr>
          <w:i/>
          <w:iCs/>
        </w:rPr>
        <w:t>see also supra</w:t>
      </w:r>
      <w:r>
        <w:t xml:space="preserve"> </w:t>
      </w:r>
      <w:r w:rsidRPr="002076DE">
        <w:t xml:space="preserve">PP </w:t>
      </w:r>
      <w:r w:rsidR="00E038C9">
        <w:t>51</w:t>
      </w:r>
      <w:r>
        <w:t xml:space="preserve"> (discussing that the Commission is not, under the FPA, constrained to consider proposals only from particular entities in receiving compliance filings); </w:t>
      </w:r>
      <w:r>
        <w:rPr>
          <w:i/>
          <w:iCs/>
        </w:rPr>
        <w:t xml:space="preserve">infra </w:t>
      </w:r>
      <w:r w:rsidRPr="002076DE">
        <w:t>PP</w:t>
      </w:r>
      <w:r>
        <w:t xml:space="preserve"> </w:t>
      </w:r>
      <w:r w:rsidR="003253E9">
        <w:t>86-87</w:t>
      </w:r>
      <w:r>
        <w:t xml:space="preserve"> (discussing the Commission’s ordinary practice of accepting the </w:t>
      </w:r>
      <w:r w:rsidR="00304373">
        <w:t>compliant</w:t>
      </w:r>
      <w:r>
        <w:t xml:space="preserve">, just and reasonable proposal of the public utility and its reasons for taking a different approach with respect to cost allocation under Order No. 1920-A). </w:t>
      </w:r>
    </w:p>
  </w:footnote>
  <w:footnote w:id="212">
    <w:p w14:paraId="7D2615BF" w14:textId="77777777" w:rsidR="00577558" w:rsidRDefault="00577558" w:rsidP="00577558">
      <w:pPr>
        <w:pStyle w:val="FootnoteText"/>
      </w:pPr>
      <w:r>
        <w:rPr>
          <w:rStyle w:val="FootnoteReference"/>
        </w:rPr>
        <w:footnoteRef/>
      </w:r>
      <w:r>
        <w:t xml:space="preserve"> Indicated PJM TOs Rehearing Request at 12-15.</w:t>
      </w:r>
    </w:p>
  </w:footnote>
  <w:footnote w:id="213">
    <w:p w14:paraId="391D3D98" w14:textId="77777777" w:rsidR="00577558" w:rsidRPr="005C5408" w:rsidRDefault="00577558" w:rsidP="00577558">
      <w:pPr>
        <w:pStyle w:val="FootnoteText"/>
      </w:pPr>
      <w:r>
        <w:rPr>
          <w:rStyle w:val="FootnoteReference"/>
        </w:rPr>
        <w:footnoteRef/>
      </w:r>
      <w:r>
        <w:t xml:space="preserve"> </w:t>
      </w:r>
      <w:r>
        <w:rPr>
          <w:i/>
          <w:iCs/>
        </w:rPr>
        <w:t>See id.</w:t>
      </w:r>
      <w:r>
        <w:t xml:space="preserve"> at 12-13.</w:t>
      </w:r>
    </w:p>
  </w:footnote>
  <w:footnote w:id="214">
    <w:p w14:paraId="31D0B7C7" w14:textId="084F95BC" w:rsidR="00577558" w:rsidRPr="00C97DF7" w:rsidRDefault="00577558" w:rsidP="0059161A">
      <w:pPr>
        <w:pStyle w:val="FootnoteText"/>
        <w:widowControl/>
      </w:pPr>
      <w:r>
        <w:rPr>
          <w:rStyle w:val="FootnoteReference"/>
        </w:rPr>
        <w:footnoteRef/>
      </w:r>
      <w:r>
        <w:t xml:space="preserve"> For this reason, Indicated PJM TOs’ discussion of the applicability of precedent relating to RTO governance, </w:t>
      </w:r>
      <w:r>
        <w:rPr>
          <w:i/>
          <w:iCs/>
        </w:rPr>
        <w:t xml:space="preserve">see </w:t>
      </w:r>
      <w:r w:rsidR="00B44392">
        <w:t>Indicated PJM TOs Rehearing Request at</w:t>
      </w:r>
      <w:r>
        <w:t xml:space="preserve"> 15 &amp; n.50, is </w:t>
      </w:r>
      <w:r w:rsidR="002E7CCD">
        <w:t xml:space="preserve">mistaken and </w:t>
      </w:r>
      <w:r>
        <w:t>beside the point.</w:t>
      </w:r>
      <w:r w:rsidR="008148F5">
        <w:t xml:space="preserve">  </w:t>
      </w:r>
      <w:r w:rsidR="00C2787E" w:rsidRPr="005107E9">
        <w:t>W</w:t>
      </w:r>
      <w:r w:rsidR="00BA368F" w:rsidRPr="005107E9">
        <w:t>e</w:t>
      </w:r>
      <w:r w:rsidR="00C2787E" w:rsidRPr="005107E9">
        <w:t xml:space="preserve"> further</w:t>
      </w:r>
      <w:r w:rsidR="00BA368F" w:rsidRPr="005107E9">
        <w:t xml:space="preserve"> find that the Commission’s regulation of cost allocation methods for Long-Term Regional Transmission Facilities as practices directly affecting Commission-jurisdictional rates falls well within its authority pursuant to </w:t>
      </w:r>
      <w:r w:rsidR="00BA368F" w:rsidRPr="005107E9">
        <w:rPr>
          <w:i/>
        </w:rPr>
        <w:t>EPSA</w:t>
      </w:r>
      <w:r w:rsidR="00BA368F" w:rsidRPr="005107E9">
        <w:t xml:space="preserve">, 577 U.S. at 278.  </w:t>
      </w:r>
      <w:r w:rsidR="00871B32" w:rsidRPr="005107E9">
        <w:t>Moreover,</w:t>
      </w:r>
      <w:r w:rsidR="00BA368F" w:rsidRPr="005107E9">
        <w:t xml:space="preserve"> </w:t>
      </w:r>
      <w:r w:rsidR="00BA368F" w:rsidRPr="005107E9">
        <w:rPr>
          <w:i/>
        </w:rPr>
        <w:t>CAISO</w:t>
      </w:r>
      <w:r w:rsidR="00BA368F" w:rsidRPr="005107E9">
        <w:t xml:space="preserve">, in which the court found that a Commission attempt to order a public utility to replace its governing board exceeded the Commission’s authority, 372 F.3d at 398, 403, </w:t>
      </w:r>
      <w:r w:rsidR="00323EDE" w:rsidRPr="005107E9">
        <w:t>bears no resemblance whatsoever</w:t>
      </w:r>
      <w:r w:rsidR="00D14A94" w:rsidRPr="005107E9">
        <w:t xml:space="preserve"> </w:t>
      </w:r>
      <w:r w:rsidR="00221E79" w:rsidRPr="005107E9">
        <w:t xml:space="preserve">to the </w:t>
      </w:r>
      <w:r w:rsidR="00D14A94" w:rsidRPr="005107E9">
        <w:t>facts before us</w:t>
      </w:r>
      <w:r w:rsidR="00323EDE" w:rsidRPr="005107E9">
        <w:t xml:space="preserve"> her</w:t>
      </w:r>
      <w:r w:rsidR="00C2787E" w:rsidRPr="005107E9">
        <w:t xml:space="preserve">e, given that the Commission is in no way regulating transmission providers </w:t>
      </w:r>
      <w:r w:rsidR="0059161A">
        <w:t xml:space="preserve">    </w:t>
      </w:r>
      <w:r w:rsidR="00C2787E" w:rsidRPr="005107E9">
        <w:t>decisio</w:t>
      </w:r>
      <w:r w:rsidR="00F65D38" w:rsidRPr="005107E9">
        <w:t>n-making process</w:t>
      </w:r>
      <w:r w:rsidR="00861F39" w:rsidRPr="005107E9">
        <w:t xml:space="preserve"> or governance structure</w:t>
      </w:r>
      <w:r w:rsidR="00BA368F" w:rsidRPr="005107E9">
        <w:t xml:space="preserve">.  </w:t>
      </w:r>
      <w:r w:rsidR="00D14A94" w:rsidRPr="005107E9">
        <w:t xml:space="preserve">Indeed, we note that </w:t>
      </w:r>
      <w:r w:rsidR="00BA368F" w:rsidRPr="005107E9">
        <w:t>Indicated PJM TOs’ argument proves too much:  every time the Commission directs a public utility to make a compliance filing, it requires that the utility make decisions as to what proposal to adopt.</w:t>
      </w:r>
    </w:p>
  </w:footnote>
  <w:footnote w:id="215">
    <w:p w14:paraId="2F2712AE" w14:textId="7920D7CA" w:rsidR="00577558" w:rsidRPr="00FA4A2E" w:rsidRDefault="00577558" w:rsidP="00577558">
      <w:pPr>
        <w:pStyle w:val="FootnoteText"/>
      </w:pPr>
      <w:r>
        <w:rPr>
          <w:rStyle w:val="FootnoteReference"/>
        </w:rPr>
        <w:footnoteRef/>
      </w:r>
      <w:r>
        <w:t xml:space="preserve"> </w:t>
      </w:r>
      <w:r w:rsidR="001A44D1">
        <w:t>Indicated PJM TOs Rehearing Request</w:t>
      </w:r>
      <w:r>
        <w:t xml:space="preserve"> at 6-7 (emphasis added); </w:t>
      </w:r>
      <w:r>
        <w:rPr>
          <w:i/>
          <w:iCs/>
        </w:rPr>
        <w:t>see also id.</w:t>
      </w:r>
      <w:r>
        <w:t xml:space="preserve"> </w:t>
      </w:r>
      <w:r w:rsidR="0059161A">
        <w:t xml:space="preserve">    </w:t>
      </w:r>
      <w:r>
        <w:t xml:space="preserve">at 2-3; </w:t>
      </w:r>
      <w:r>
        <w:rPr>
          <w:i/>
          <w:iCs/>
        </w:rPr>
        <w:t>id.</w:t>
      </w:r>
      <w:r>
        <w:t xml:space="preserve"> at 14 (citing </w:t>
      </w:r>
      <w:r>
        <w:rPr>
          <w:i/>
          <w:iCs/>
        </w:rPr>
        <w:t>Atlantic City I</w:t>
      </w:r>
      <w:r>
        <w:t>, which addressed FPA section 205 rights, and referring to the “passive</w:t>
      </w:r>
      <w:r w:rsidR="00C36534">
        <w:t>”</w:t>
      </w:r>
      <w:r>
        <w:t xml:space="preserve"> role of the Commission, which pertains under FPA </w:t>
      </w:r>
      <w:r w:rsidR="0059161A">
        <w:t xml:space="preserve">               </w:t>
      </w:r>
      <w:r>
        <w:t>section 205).</w:t>
      </w:r>
    </w:p>
  </w:footnote>
  <w:footnote w:id="216">
    <w:p w14:paraId="2D2807E9" w14:textId="6595A7B0" w:rsidR="00577558" w:rsidRDefault="00577558" w:rsidP="00577558">
      <w:pPr>
        <w:pStyle w:val="FootnoteText"/>
      </w:pPr>
      <w:r>
        <w:rPr>
          <w:rStyle w:val="FootnoteReference"/>
        </w:rPr>
        <w:footnoteRef/>
      </w:r>
      <w:r>
        <w:t xml:space="preserve"> </w:t>
      </w:r>
      <w:r>
        <w:rPr>
          <w:i/>
          <w:iCs/>
        </w:rPr>
        <w:t xml:space="preserve">See </w:t>
      </w:r>
      <w:r w:rsidRPr="009D0513">
        <w:t>EEI Rehearing Request at 9-10</w:t>
      </w:r>
      <w:r>
        <w:t>,</w:t>
      </w:r>
      <w:r w:rsidRPr="009D0513">
        <w:t xml:space="preserve"> 12</w:t>
      </w:r>
      <w:r>
        <w:t xml:space="preserve">; </w:t>
      </w:r>
      <w:r w:rsidRPr="0019376B">
        <w:t>SPP TOs Rehearing Request at 1</w:t>
      </w:r>
      <w:r>
        <w:t>5-1</w:t>
      </w:r>
      <w:r w:rsidR="001218FF">
        <w:t>8</w:t>
      </w:r>
      <w:r>
        <w:t xml:space="preserve">; </w:t>
      </w:r>
      <w:r w:rsidRPr="00CC2F48">
        <w:t>WIRES Rehearing Request at 14</w:t>
      </w:r>
      <w:r w:rsidRPr="009D0513">
        <w:t>.</w:t>
      </w:r>
    </w:p>
  </w:footnote>
  <w:footnote w:id="217">
    <w:p w14:paraId="73C443B8" w14:textId="2672A085" w:rsidR="00577558" w:rsidRPr="00110C10" w:rsidRDefault="00577558" w:rsidP="00577558">
      <w:pPr>
        <w:pStyle w:val="FootnoteText"/>
      </w:pPr>
      <w:r>
        <w:rPr>
          <w:rStyle w:val="FootnoteReference"/>
        </w:rPr>
        <w:footnoteRef/>
      </w:r>
      <w:r>
        <w:t xml:space="preserve"> </w:t>
      </w:r>
      <w:r>
        <w:rPr>
          <w:i/>
          <w:iCs/>
        </w:rPr>
        <w:t xml:space="preserve">See </w:t>
      </w:r>
      <w:proofErr w:type="gramStart"/>
      <w:r>
        <w:rPr>
          <w:i/>
          <w:iCs/>
        </w:rPr>
        <w:t>infra</w:t>
      </w:r>
      <w:r>
        <w:t xml:space="preserve"> </w:t>
      </w:r>
      <w:r w:rsidRPr="002076DE">
        <w:t>PP</w:t>
      </w:r>
      <w:proofErr w:type="gramEnd"/>
      <w:r w:rsidRPr="002076DE">
        <w:t xml:space="preserve"> </w:t>
      </w:r>
      <w:r w:rsidR="00992C6E" w:rsidRPr="00074135">
        <w:t>7</w:t>
      </w:r>
      <w:r w:rsidR="00074135" w:rsidRPr="00074135">
        <w:t>8</w:t>
      </w:r>
      <w:r w:rsidR="00992C6E">
        <w:t>-80</w:t>
      </w:r>
      <w:r>
        <w:t xml:space="preserve"> (addressing these arguments).</w:t>
      </w:r>
    </w:p>
  </w:footnote>
  <w:footnote w:id="218">
    <w:p w14:paraId="4B66CE06" w14:textId="02839B3E" w:rsidR="00577558" w:rsidRPr="00130C02" w:rsidRDefault="00577558" w:rsidP="00577558">
      <w:pPr>
        <w:pStyle w:val="FootnoteText"/>
      </w:pPr>
      <w:r>
        <w:rPr>
          <w:rStyle w:val="FootnoteReference"/>
        </w:rPr>
        <w:footnoteRef/>
      </w:r>
      <w:r>
        <w:t xml:space="preserve"> </w:t>
      </w:r>
      <w:r>
        <w:rPr>
          <w:i/>
          <w:iCs/>
        </w:rPr>
        <w:t>See, e.g.</w:t>
      </w:r>
      <w:r>
        <w:t xml:space="preserve">, EEI Rehearing Request at </w:t>
      </w:r>
      <w:r w:rsidR="009D257E">
        <w:t>9</w:t>
      </w:r>
      <w:r>
        <w:t xml:space="preserve"> (arguing that the Commission “goes beyond its authority under the FPA” and that the proper method for submitting an alternative to a replacement rate proposed by a public utility on compliance is to file a protest); SPP TOs Rehearing Request at 17-18 (“</w:t>
      </w:r>
      <w:r w:rsidRPr="00C62FC5">
        <w:t xml:space="preserve">The fact that states </w:t>
      </w:r>
      <w:r>
        <w:t>‘</w:t>
      </w:r>
      <w:r w:rsidRPr="00C62FC5">
        <w:t>are unable to file cost allocation methods themselves</w:t>
      </w:r>
      <w:r>
        <w:t>’</w:t>
      </w:r>
      <w:r w:rsidRPr="00C62FC5">
        <w:t xml:space="preserve"> and must instead</w:t>
      </w:r>
      <w:r>
        <w:t xml:space="preserve"> </w:t>
      </w:r>
      <w:r w:rsidRPr="00C62FC5">
        <w:t>either comment on transmission providers’ proposals or file section 206 complaints is exactly what</w:t>
      </w:r>
      <w:r>
        <w:t xml:space="preserve"> </w:t>
      </w:r>
      <w:r w:rsidRPr="00C62FC5">
        <w:t>the FPA requires.</w:t>
      </w:r>
      <w:r>
        <w:t>” (quoting Order No. 1920-A,</w:t>
      </w:r>
      <w:r w:rsidRPr="0086425D">
        <w:t xml:space="preserve"> 189 FERC ¶ 61,126</w:t>
      </w:r>
      <w:r>
        <w:t xml:space="preserve"> at P 645)); WIRES Rehearing Request at 11, 14 (advancing this argument in contending the Commission does not have statutory authority to require a public utility to file another entity’s rate proposal).</w:t>
      </w:r>
    </w:p>
  </w:footnote>
  <w:footnote w:id="219">
    <w:p w14:paraId="73BCF22A" w14:textId="4012B35A" w:rsidR="00605E2D" w:rsidRPr="007B697E" w:rsidRDefault="00605E2D">
      <w:pPr>
        <w:pStyle w:val="FootnoteText"/>
      </w:pPr>
      <w:r>
        <w:rPr>
          <w:rStyle w:val="FootnoteReference"/>
        </w:rPr>
        <w:footnoteRef/>
      </w:r>
      <w:r>
        <w:t xml:space="preserve"> </w:t>
      </w:r>
      <w:r w:rsidRPr="00745D86">
        <w:rPr>
          <w:i/>
          <w:iCs/>
        </w:rPr>
        <w:t xml:space="preserve">See </w:t>
      </w:r>
      <w:proofErr w:type="gramStart"/>
      <w:r w:rsidR="00955723">
        <w:rPr>
          <w:i/>
          <w:iCs/>
        </w:rPr>
        <w:t>supra</w:t>
      </w:r>
      <w:r w:rsidR="007B697E">
        <w:rPr>
          <w:i/>
          <w:iCs/>
        </w:rPr>
        <w:t xml:space="preserve"> </w:t>
      </w:r>
      <w:r w:rsidR="00C70195">
        <w:t>PP</w:t>
      </w:r>
      <w:proofErr w:type="gramEnd"/>
      <w:r w:rsidR="00C70195">
        <w:t xml:space="preserve"> 5</w:t>
      </w:r>
      <w:r w:rsidR="00D75F0D">
        <w:t>1-</w:t>
      </w:r>
      <w:r w:rsidR="00C70195">
        <w:t>52, 59</w:t>
      </w:r>
      <w:r w:rsidR="00433568">
        <w:t>.</w:t>
      </w:r>
    </w:p>
  </w:footnote>
  <w:footnote w:id="220">
    <w:p w14:paraId="41FA9079" w14:textId="77777777" w:rsidR="00577558" w:rsidRPr="009E3FD5" w:rsidRDefault="00577558" w:rsidP="00577558">
      <w:pPr>
        <w:pStyle w:val="FootnoteText"/>
      </w:pPr>
      <w:r>
        <w:rPr>
          <w:rStyle w:val="FootnoteReference"/>
        </w:rPr>
        <w:footnoteRef/>
      </w:r>
      <w:r>
        <w:t xml:space="preserve"> </w:t>
      </w:r>
      <w:r w:rsidRPr="0086425D">
        <w:t xml:space="preserve">Order No. 1920-A, 189 FERC ¶ 61,126 </w:t>
      </w:r>
      <w:r>
        <w:t>at P 659.</w:t>
      </w:r>
    </w:p>
  </w:footnote>
  <w:footnote w:id="221">
    <w:p w14:paraId="4485590F" w14:textId="01F3F183" w:rsidR="00577558" w:rsidRDefault="00577558" w:rsidP="00577558">
      <w:pPr>
        <w:pStyle w:val="FootnoteText"/>
      </w:pPr>
      <w:r>
        <w:rPr>
          <w:rStyle w:val="FootnoteReference"/>
        </w:rPr>
        <w:footnoteRef/>
      </w:r>
      <w:r>
        <w:t xml:space="preserve"> </w:t>
      </w:r>
      <w:r w:rsidRPr="008D7358">
        <w:rPr>
          <w:i/>
          <w:iCs/>
        </w:rPr>
        <w:t>Id</w:t>
      </w:r>
      <w:r>
        <w:t xml:space="preserve">. </w:t>
      </w:r>
      <w:r w:rsidRPr="0086425D">
        <w:t>P 65</w:t>
      </w:r>
      <w:r>
        <w:t xml:space="preserve">8 (citing </w:t>
      </w:r>
      <w:r w:rsidRPr="007C60E3">
        <w:rPr>
          <w:i/>
        </w:rPr>
        <w:t>Entergy</w:t>
      </w:r>
      <w:r w:rsidRPr="007C60E3">
        <w:t>, 40 F.4</w:t>
      </w:r>
      <w:r>
        <w:t>th at</w:t>
      </w:r>
      <w:r w:rsidRPr="007C60E3">
        <w:t xml:space="preserve"> 701</w:t>
      </w:r>
      <w:r w:rsidR="008D2109">
        <w:t>-</w:t>
      </w:r>
      <w:r w:rsidRPr="007C60E3">
        <w:t>02</w:t>
      </w:r>
      <w:r>
        <w:t>).</w:t>
      </w:r>
    </w:p>
  </w:footnote>
  <w:footnote w:id="222">
    <w:p w14:paraId="4AB66BE4" w14:textId="4FA97349" w:rsidR="00577558" w:rsidRPr="004A29E9" w:rsidRDefault="00577558" w:rsidP="00577558">
      <w:pPr>
        <w:pStyle w:val="FootnoteText"/>
      </w:pPr>
      <w:r>
        <w:rPr>
          <w:rStyle w:val="FootnoteReference"/>
        </w:rPr>
        <w:footnoteRef/>
      </w:r>
      <w:r>
        <w:t xml:space="preserve"> </w:t>
      </w:r>
      <w:r>
        <w:rPr>
          <w:i/>
          <w:iCs/>
        </w:rPr>
        <w:t>See, e.g.</w:t>
      </w:r>
      <w:r>
        <w:t xml:space="preserve">, </w:t>
      </w:r>
      <w:r w:rsidR="00EC1F74">
        <w:t>SPP TOs</w:t>
      </w:r>
      <w:r w:rsidR="00650A0E">
        <w:t xml:space="preserve"> Rehearing Request at </w:t>
      </w:r>
      <w:r w:rsidR="00D854A3">
        <w:t>13-14</w:t>
      </w:r>
      <w:r>
        <w:t>.</w:t>
      </w:r>
    </w:p>
  </w:footnote>
  <w:footnote w:id="223">
    <w:p w14:paraId="5355E2B1" w14:textId="7C9B3353" w:rsidR="00577558" w:rsidRPr="00375112" w:rsidRDefault="00577558" w:rsidP="00577558">
      <w:pPr>
        <w:pStyle w:val="FootnoteText"/>
      </w:pPr>
      <w:r>
        <w:rPr>
          <w:rStyle w:val="FootnoteReference"/>
        </w:rPr>
        <w:footnoteRef/>
      </w:r>
      <w:r>
        <w:t xml:space="preserve"> </w:t>
      </w:r>
      <w:r>
        <w:rPr>
          <w:i/>
          <w:iCs/>
        </w:rPr>
        <w:t xml:space="preserve">See </w:t>
      </w:r>
      <w:proofErr w:type="gramStart"/>
      <w:r>
        <w:rPr>
          <w:i/>
          <w:iCs/>
        </w:rPr>
        <w:t>supra</w:t>
      </w:r>
      <w:r>
        <w:t xml:space="preserve"> </w:t>
      </w:r>
      <w:r w:rsidRPr="00AC25CC">
        <w:t>P</w:t>
      </w:r>
      <w:proofErr w:type="gramEnd"/>
      <w:r w:rsidRPr="00AC25CC">
        <w:t xml:space="preserve"> </w:t>
      </w:r>
      <w:r w:rsidR="00D75F0D">
        <w:t>51</w:t>
      </w:r>
      <w:r w:rsidRPr="00AC25CC">
        <w:t>.</w:t>
      </w:r>
    </w:p>
  </w:footnote>
  <w:footnote w:id="224">
    <w:p w14:paraId="7A5EE051" w14:textId="017A44CE" w:rsidR="00DF31F9" w:rsidRDefault="00DF31F9" w:rsidP="0059161A">
      <w:pPr>
        <w:pStyle w:val="FootnoteText"/>
        <w:widowControl/>
      </w:pPr>
      <w:r>
        <w:rPr>
          <w:rStyle w:val="FootnoteReference"/>
        </w:rPr>
        <w:footnoteRef/>
      </w:r>
      <w:r>
        <w:t xml:space="preserve"> </w:t>
      </w:r>
      <w:r w:rsidR="000D44F2" w:rsidRPr="000D44F2">
        <w:rPr>
          <w:i/>
          <w:iCs/>
        </w:rPr>
        <w:t>See Electrical District</w:t>
      </w:r>
      <w:r w:rsidR="000D44F2" w:rsidRPr="000D44F2">
        <w:t xml:space="preserve">, 774 F.2d at 494; </w:t>
      </w:r>
      <w:r w:rsidR="000D44F2" w:rsidRPr="000D44F2">
        <w:rPr>
          <w:i/>
          <w:iCs/>
        </w:rPr>
        <w:t>Kern River Gas Transmission Co.</w:t>
      </w:r>
      <w:r w:rsidR="000D44F2" w:rsidRPr="000D44F2">
        <w:t xml:space="preserve">, </w:t>
      </w:r>
      <w:r w:rsidR="0059161A">
        <w:t xml:space="preserve">   </w:t>
      </w:r>
      <w:r w:rsidR="000D44F2" w:rsidRPr="000D44F2">
        <w:t>133 FERC ¶ 61,162 at PP 21-22 (“[A]s an alternative to waiting for the pipeline to calculate the rates in a compliance filing, the Commission may calculate and fix the rate itself in the initial order.”).</w:t>
      </w:r>
    </w:p>
  </w:footnote>
  <w:footnote w:id="225">
    <w:p w14:paraId="20E68A7A" w14:textId="6D7CD774" w:rsidR="00577558" w:rsidRPr="005862A3" w:rsidRDefault="00577558" w:rsidP="00577558">
      <w:pPr>
        <w:pStyle w:val="FootnoteText"/>
      </w:pPr>
      <w:r>
        <w:rPr>
          <w:rStyle w:val="FootnoteReference"/>
        </w:rPr>
        <w:footnoteRef/>
      </w:r>
      <w:r>
        <w:t xml:space="preserve"> </w:t>
      </w:r>
      <w:r>
        <w:rPr>
          <w:i/>
          <w:iCs/>
        </w:rPr>
        <w:t xml:space="preserve">See </w:t>
      </w:r>
      <w:proofErr w:type="gramStart"/>
      <w:r>
        <w:rPr>
          <w:i/>
          <w:iCs/>
        </w:rPr>
        <w:t xml:space="preserve">infra </w:t>
      </w:r>
      <w:r w:rsidRPr="002076DE">
        <w:t>PP</w:t>
      </w:r>
      <w:proofErr w:type="gramEnd"/>
      <w:r w:rsidRPr="002076DE">
        <w:t xml:space="preserve"> </w:t>
      </w:r>
      <w:r w:rsidR="000959E1">
        <w:t xml:space="preserve">71, </w:t>
      </w:r>
      <w:r w:rsidR="00074135">
        <w:t>86-8</w:t>
      </w:r>
      <w:r w:rsidR="00074135" w:rsidRPr="00074135">
        <w:t>7</w:t>
      </w:r>
      <w:r w:rsidRPr="00074135">
        <w:t>.</w:t>
      </w:r>
    </w:p>
  </w:footnote>
  <w:footnote w:id="226">
    <w:p w14:paraId="475B2C8F" w14:textId="5B016D2D" w:rsidR="00577558" w:rsidRPr="005877AF" w:rsidRDefault="00577558" w:rsidP="00577558">
      <w:pPr>
        <w:pStyle w:val="FootnoteText"/>
        <w:rPr>
          <w:b/>
          <w:bCs/>
        </w:rPr>
      </w:pPr>
      <w:r>
        <w:rPr>
          <w:rStyle w:val="FootnoteReference"/>
        </w:rPr>
        <w:footnoteRef/>
      </w:r>
      <w:r>
        <w:t xml:space="preserve"> </w:t>
      </w:r>
      <w:r w:rsidRPr="00557F97">
        <w:rPr>
          <w:i/>
          <w:iCs/>
        </w:rPr>
        <w:t>See, e.g.</w:t>
      </w:r>
      <w:r w:rsidRPr="002076DE">
        <w:t>,</w:t>
      </w:r>
      <w:r w:rsidRPr="00557F97">
        <w:rPr>
          <w:i/>
          <w:iCs/>
        </w:rPr>
        <w:t xml:space="preserve"> Entergy</w:t>
      </w:r>
      <w:r w:rsidRPr="00DF05C9">
        <w:t xml:space="preserve">, 40 F.4th </w:t>
      </w:r>
      <w:r>
        <w:t>at</w:t>
      </w:r>
      <w:r w:rsidRPr="00DF05C9">
        <w:t xml:space="preserve"> 701–02 </w:t>
      </w:r>
      <w:r w:rsidRPr="00542F53">
        <w:t>(“</w:t>
      </w:r>
      <w:r>
        <w:t>[A]</w:t>
      </w:r>
      <w:r w:rsidRPr="00542F53">
        <w:t xml:space="preserve">t bottom, Petitioners simply argue that, in its view, a better method exists. </w:t>
      </w:r>
      <w:r w:rsidR="009C0915">
        <w:t xml:space="preserve"> </w:t>
      </w:r>
      <w:r w:rsidRPr="00542F53">
        <w:t>But [the Commission] is not required to choose the best solution, only a reasonable one.” (quotation marks and citation omitted</w:t>
      </w:r>
      <w:r>
        <w:t>)</w:t>
      </w:r>
      <w:r w:rsidRPr="00542F53">
        <w:t>)</w:t>
      </w:r>
      <w:r>
        <w:t xml:space="preserve">; </w:t>
      </w:r>
      <w:r w:rsidRPr="004817B9">
        <w:rPr>
          <w:i/>
          <w:iCs/>
        </w:rPr>
        <w:t>Duke Energy Trading &amp; Mktg., L.L.C. v. FERC</w:t>
      </w:r>
      <w:r w:rsidRPr="00425FCF">
        <w:t>, 315 F.3d 377, 382 (D.C. Cir. 2003)</w:t>
      </w:r>
      <w:r>
        <w:t xml:space="preserve"> (“</w:t>
      </w:r>
      <w:r w:rsidR="00EA2FD3">
        <w:t>[T]</w:t>
      </w:r>
      <w:r w:rsidRPr="00425FCF">
        <w:t>here may be a number of different potential rates all of which are just and reasonable.</w:t>
      </w:r>
      <w:r>
        <w:t>”)</w:t>
      </w:r>
      <w:r w:rsidRPr="004C3686">
        <w:t xml:space="preserve">; </w:t>
      </w:r>
      <w:r w:rsidRPr="00DE749F">
        <w:rPr>
          <w:i/>
          <w:iCs/>
        </w:rPr>
        <w:t>Kern River</w:t>
      </w:r>
      <w:r w:rsidRPr="00DE749F">
        <w:t xml:space="preserve">, 142 FERC ¶ 61,132 at </w:t>
      </w:r>
      <w:r>
        <w:t>P 37 (“</w:t>
      </w:r>
      <w:r w:rsidRPr="004C3686">
        <w:t xml:space="preserve">Here, the Commission is acting under NGA </w:t>
      </w:r>
      <w:r w:rsidR="0059161A">
        <w:t xml:space="preserve">            </w:t>
      </w:r>
      <w:r w:rsidRPr="004C3686">
        <w:t xml:space="preserve">section 5, not section 4. </w:t>
      </w:r>
      <w:r w:rsidR="007A7BAA">
        <w:t xml:space="preserve"> </w:t>
      </w:r>
      <w:r w:rsidRPr="004C3686">
        <w:t>However, just as there may be several just and reasonable rates, terms, or conditions which a pipeline may propose in a section 4 proceeding, there may be several just and reasonable rates, terms or conditions which the Commission may adopt as a just and reasonable remedy in a section 5 proceeding.</w:t>
      </w:r>
      <w:r>
        <w:t>”).</w:t>
      </w:r>
    </w:p>
  </w:footnote>
  <w:footnote w:id="227">
    <w:p w14:paraId="34C20A82" w14:textId="6E7FFDBB" w:rsidR="00577558" w:rsidRPr="003051C8" w:rsidRDefault="00577558" w:rsidP="00577558">
      <w:pPr>
        <w:pStyle w:val="FootnoteText"/>
      </w:pPr>
      <w:r>
        <w:rPr>
          <w:rStyle w:val="FootnoteReference"/>
        </w:rPr>
        <w:footnoteRef/>
      </w:r>
      <w:r>
        <w:t xml:space="preserve"> </w:t>
      </w:r>
      <w:r>
        <w:rPr>
          <w:i/>
          <w:iCs/>
        </w:rPr>
        <w:t>See</w:t>
      </w:r>
      <w:r w:rsidR="005646C5">
        <w:rPr>
          <w:i/>
          <w:iCs/>
        </w:rPr>
        <w:t>, e.g.</w:t>
      </w:r>
      <w:r w:rsidR="005646C5">
        <w:t>,</w:t>
      </w:r>
      <w:r>
        <w:rPr>
          <w:i/>
          <w:iCs/>
        </w:rPr>
        <w:t xml:space="preserve"> </w:t>
      </w:r>
      <w:r w:rsidRPr="003051C8">
        <w:t>MISO TOs Rehearing Request at 24-25, 33-37</w:t>
      </w:r>
      <w:r w:rsidR="00A16290">
        <w:t xml:space="preserve"> (citing Order No.</w:t>
      </w:r>
      <w:r w:rsidR="00CC669A">
        <w:t> </w:t>
      </w:r>
      <w:r w:rsidR="00A16290">
        <w:t xml:space="preserve">1920-A, </w:t>
      </w:r>
      <w:r w:rsidR="00A16290" w:rsidRPr="0086425D">
        <w:t>189 FERC ¶ 61,126 at P 65</w:t>
      </w:r>
      <w:r w:rsidR="00A16290">
        <w:t>9)</w:t>
      </w:r>
      <w:r>
        <w:t>.</w:t>
      </w:r>
    </w:p>
  </w:footnote>
  <w:footnote w:id="228">
    <w:p w14:paraId="1319E888" w14:textId="006D30B0" w:rsidR="00577558" w:rsidRPr="00CE0D6B" w:rsidRDefault="00577558" w:rsidP="00577558">
      <w:pPr>
        <w:pStyle w:val="FootnoteText"/>
      </w:pPr>
      <w:r>
        <w:rPr>
          <w:rStyle w:val="FootnoteReference"/>
        </w:rPr>
        <w:footnoteRef/>
      </w:r>
      <w:r>
        <w:t xml:space="preserve"> Order No. 1920-A, </w:t>
      </w:r>
      <w:r w:rsidRPr="0086425D">
        <w:t>189 FERC ¶ 61,126 at P 65</w:t>
      </w:r>
      <w:r>
        <w:t xml:space="preserve">9; </w:t>
      </w:r>
      <w:r>
        <w:rPr>
          <w:i/>
          <w:iCs/>
        </w:rPr>
        <w:t>see also id.</w:t>
      </w:r>
      <w:r>
        <w:t xml:space="preserve"> (explaining that the Commission was “not required to accept a cost allocation proposal from a transmission provider simply because it may comply with Order No. 1920” but could, instead, “adopt any cost allocation method proposed by Relevant State Entities and submitted on compliance so long as it complies with Order No. 1920</w:t>
      </w:r>
      <w:r w:rsidR="00A74D24">
        <w:t>”</w:t>
      </w:r>
      <w:r>
        <w:t>).</w:t>
      </w:r>
    </w:p>
  </w:footnote>
  <w:footnote w:id="229">
    <w:p w14:paraId="63FA71EF" w14:textId="00CA98CF" w:rsidR="00577558" w:rsidRDefault="00577558" w:rsidP="00577558">
      <w:pPr>
        <w:pStyle w:val="FootnoteText"/>
      </w:pPr>
      <w:r>
        <w:rPr>
          <w:rStyle w:val="FootnoteReference"/>
        </w:rPr>
        <w:footnoteRef/>
      </w:r>
      <w:r>
        <w:t xml:space="preserve"> </w:t>
      </w:r>
      <w:r w:rsidRPr="00B4633F">
        <w:rPr>
          <w:i/>
          <w:iCs/>
        </w:rPr>
        <w:t>See</w:t>
      </w:r>
      <w:r w:rsidRPr="00B4633F">
        <w:t xml:space="preserve"> </w:t>
      </w:r>
      <w:r w:rsidR="00CC669A" w:rsidRPr="00CC669A">
        <w:rPr>
          <w:i/>
          <w:iCs/>
        </w:rPr>
        <w:t>id</w:t>
      </w:r>
      <w:r w:rsidR="00CC669A">
        <w:t>.</w:t>
      </w:r>
      <w:r>
        <w:t xml:space="preserve"> P 658</w:t>
      </w:r>
      <w:r w:rsidR="002C0698">
        <w:t xml:space="preserve"> (explaining how the Commission will consider </w:t>
      </w:r>
      <w:r w:rsidR="007D765E">
        <w:t>replacement rate proposals) (</w:t>
      </w:r>
      <w:r w:rsidR="000703B2">
        <w:t>citing 16 U.S.C. 824e</w:t>
      </w:r>
      <w:r w:rsidR="007857A4">
        <w:t>,</w:t>
      </w:r>
      <w:r w:rsidR="000703B2">
        <w:t xml:space="preserve"> </w:t>
      </w:r>
      <w:r w:rsidR="002E6E2F">
        <w:t>825</w:t>
      </w:r>
      <w:r w:rsidR="002E6E2F">
        <w:rPr>
          <w:i/>
          <w:iCs/>
        </w:rPr>
        <w:t>l</w:t>
      </w:r>
      <w:r w:rsidR="002E6E2F">
        <w:t>(b)</w:t>
      </w:r>
      <w:r w:rsidR="000703B2">
        <w:t>)</w:t>
      </w:r>
      <w:r>
        <w:t>.</w:t>
      </w:r>
    </w:p>
  </w:footnote>
  <w:footnote w:id="230">
    <w:p w14:paraId="19F1D76F" w14:textId="77777777" w:rsidR="00577558" w:rsidRDefault="00577558" w:rsidP="00577558">
      <w:pPr>
        <w:pStyle w:val="FootnoteText"/>
      </w:pPr>
      <w:r>
        <w:rPr>
          <w:rStyle w:val="FootnoteReference"/>
        </w:rPr>
        <w:footnoteRef/>
      </w:r>
      <w:r>
        <w:t xml:space="preserve"> MISO TOs Rehearing Request at 24-25.</w:t>
      </w:r>
    </w:p>
  </w:footnote>
  <w:footnote w:id="231">
    <w:p w14:paraId="655EA23D" w14:textId="6A4B6285" w:rsidR="008F6AD8" w:rsidRDefault="008F6AD8">
      <w:pPr>
        <w:pStyle w:val="FootnoteText"/>
      </w:pPr>
      <w:r>
        <w:rPr>
          <w:rStyle w:val="FootnoteReference"/>
        </w:rPr>
        <w:footnoteRef/>
      </w:r>
      <w:r>
        <w:t xml:space="preserve"> </w:t>
      </w:r>
      <w:r w:rsidRPr="008F6AD8">
        <w:t>A rehearing request must set forth with specificity the grounds on which the request is based.  16 U.S.C. 825</w:t>
      </w:r>
      <w:r w:rsidRPr="008F6AD8">
        <w:rPr>
          <w:i/>
          <w:iCs/>
        </w:rPr>
        <w:t>l</w:t>
      </w:r>
      <w:r w:rsidRPr="008F6AD8">
        <w:t xml:space="preserve">(a); 18 CFR 385.713(c)(2) (2024); </w:t>
      </w:r>
      <w:r w:rsidRPr="008F6AD8">
        <w:rPr>
          <w:i/>
          <w:iCs/>
        </w:rPr>
        <w:t>see ZEP Grand Prairie Wind, LLC</w:t>
      </w:r>
      <w:r w:rsidRPr="008F6AD8">
        <w:t>, 183 FERC ¶</w:t>
      </w:r>
      <w:r w:rsidR="00BE0AD2">
        <w:t> </w:t>
      </w:r>
      <w:r w:rsidRPr="008F6AD8">
        <w:t>61,150, at P</w:t>
      </w:r>
      <w:r w:rsidR="00BE0AD2">
        <w:t> </w:t>
      </w:r>
      <w:r w:rsidRPr="008F6AD8">
        <w:t>10</w:t>
      </w:r>
      <w:r w:rsidR="006F6985">
        <w:t xml:space="preserve"> (2023)</w:t>
      </w:r>
      <w:r w:rsidRPr="008F6AD8">
        <w:t xml:space="preserve">; </w:t>
      </w:r>
      <w:r w:rsidRPr="008F6AD8">
        <w:rPr>
          <w:i/>
          <w:iCs/>
        </w:rPr>
        <w:t xml:space="preserve">Ind. Util. </w:t>
      </w:r>
      <w:proofErr w:type="spellStart"/>
      <w:r w:rsidRPr="008F6AD8">
        <w:rPr>
          <w:i/>
          <w:iCs/>
        </w:rPr>
        <w:t>Regul</w:t>
      </w:r>
      <w:proofErr w:type="spellEnd"/>
      <w:r w:rsidRPr="008F6AD8">
        <w:rPr>
          <w:i/>
          <w:iCs/>
        </w:rPr>
        <w:t>. Comm’n v. FERC</w:t>
      </w:r>
      <w:r w:rsidRPr="008F6AD8">
        <w:t xml:space="preserve">, 668 F.3d </w:t>
      </w:r>
      <w:r w:rsidR="00337EE6">
        <w:t>735,</w:t>
      </w:r>
      <w:r w:rsidRPr="008F6AD8">
        <w:t xml:space="preserve"> 738-40</w:t>
      </w:r>
      <w:r w:rsidR="00E97215" w:rsidRPr="00E97215">
        <w:rPr>
          <w:i/>
          <w:iCs/>
        </w:rPr>
        <w:t xml:space="preserve"> </w:t>
      </w:r>
      <w:r w:rsidR="00E97215" w:rsidRPr="00DB37CD">
        <w:t>(D.C. Cir. 2012)</w:t>
      </w:r>
      <w:r w:rsidRPr="008F6AD8">
        <w:t>.</w:t>
      </w:r>
    </w:p>
  </w:footnote>
  <w:footnote w:id="232">
    <w:p w14:paraId="27ABA4FE" w14:textId="77777777" w:rsidR="00577558" w:rsidRDefault="00577558" w:rsidP="00577558">
      <w:pPr>
        <w:pStyle w:val="FootnoteText"/>
      </w:pPr>
      <w:r>
        <w:rPr>
          <w:rStyle w:val="FootnoteReference"/>
        </w:rPr>
        <w:footnoteRef/>
      </w:r>
      <w:r>
        <w:t xml:space="preserve"> Challenges to the Commission’s treatment of those potential filings are not before us at this time.</w:t>
      </w:r>
    </w:p>
  </w:footnote>
  <w:footnote w:id="233">
    <w:p w14:paraId="7EE577F7" w14:textId="109541BB" w:rsidR="00577558" w:rsidRPr="000544F3" w:rsidRDefault="00577558" w:rsidP="00577558">
      <w:pPr>
        <w:pStyle w:val="FootnoteText"/>
      </w:pPr>
      <w:r>
        <w:rPr>
          <w:rStyle w:val="FootnoteReference"/>
        </w:rPr>
        <w:footnoteRef/>
      </w:r>
      <w:r>
        <w:t xml:space="preserve"> </w:t>
      </w:r>
      <w:r>
        <w:rPr>
          <w:i/>
          <w:iCs/>
        </w:rPr>
        <w:t xml:space="preserve">See </w:t>
      </w:r>
      <w:r w:rsidRPr="00BA16AB">
        <w:t>Indicated PJM TOs Rehearing Request at 22-23</w:t>
      </w:r>
      <w:r>
        <w:t xml:space="preserve">; </w:t>
      </w:r>
      <w:r w:rsidRPr="00637C4D">
        <w:t>SPP TOs Rehearing Request at 18-19 n.49</w:t>
      </w:r>
      <w:r>
        <w:t>.</w:t>
      </w:r>
    </w:p>
  </w:footnote>
  <w:footnote w:id="234">
    <w:p w14:paraId="44383AD0" w14:textId="6962764C" w:rsidR="00577558" w:rsidRPr="00F521A3" w:rsidRDefault="00577558" w:rsidP="00577558">
      <w:pPr>
        <w:pStyle w:val="FootnoteText"/>
      </w:pPr>
      <w:r>
        <w:rPr>
          <w:rStyle w:val="FootnoteReference"/>
        </w:rPr>
        <w:footnoteRef/>
      </w:r>
      <w:r>
        <w:t xml:space="preserve"> </w:t>
      </w:r>
      <w:r>
        <w:rPr>
          <w:i/>
          <w:iCs/>
        </w:rPr>
        <w:t xml:space="preserve">See </w:t>
      </w:r>
      <w:proofErr w:type="gramStart"/>
      <w:r>
        <w:rPr>
          <w:i/>
          <w:iCs/>
        </w:rPr>
        <w:t xml:space="preserve">supra </w:t>
      </w:r>
      <w:r w:rsidRPr="002076DE">
        <w:t>PP</w:t>
      </w:r>
      <w:proofErr w:type="gramEnd"/>
      <w:r w:rsidRPr="002076DE">
        <w:t xml:space="preserve"> </w:t>
      </w:r>
      <w:r w:rsidR="00C94CD0">
        <w:t>48-53</w:t>
      </w:r>
      <w:r w:rsidRPr="00AC25CC">
        <w:t>.</w:t>
      </w:r>
    </w:p>
  </w:footnote>
  <w:footnote w:id="235">
    <w:p w14:paraId="3C350F9C" w14:textId="092BB553" w:rsidR="00577558" w:rsidRPr="004D77F5" w:rsidRDefault="00577558" w:rsidP="00577558">
      <w:pPr>
        <w:pStyle w:val="FootnoteText"/>
        <w:rPr>
          <w:i/>
          <w:iCs/>
        </w:rPr>
      </w:pPr>
      <w:r>
        <w:rPr>
          <w:rStyle w:val="FootnoteReference"/>
        </w:rPr>
        <w:footnoteRef/>
      </w:r>
      <w:r>
        <w:t xml:space="preserve"> In other words, if compliance filings were subject to the requirements of FPA section 205, under which the Commission plays a passive role, once the Commission rejected MISO’s proposal in </w:t>
      </w:r>
      <w:r>
        <w:rPr>
          <w:i/>
          <w:iCs/>
        </w:rPr>
        <w:t>Entergy</w:t>
      </w:r>
      <w:r>
        <w:t xml:space="preserve"> it would not have been empowered to itself fashion a different rate.  </w:t>
      </w:r>
      <w:r>
        <w:rPr>
          <w:i/>
          <w:iCs/>
        </w:rPr>
        <w:t>Entergy</w:t>
      </w:r>
      <w:r>
        <w:t xml:space="preserve"> reflects that this is not the case, as the Commission itself fashioned the replacement rate and the court upheld this result.  </w:t>
      </w:r>
      <w:r>
        <w:rPr>
          <w:i/>
          <w:iCs/>
        </w:rPr>
        <w:t xml:space="preserve">See </w:t>
      </w:r>
      <w:r w:rsidRPr="004D77F5">
        <w:rPr>
          <w:i/>
          <w:iCs/>
        </w:rPr>
        <w:t>Entergy</w:t>
      </w:r>
      <w:r w:rsidRPr="004D77F5">
        <w:t xml:space="preserve">, 40 F.4th </w:t>
      </w:r>
      <w:r w:rsidR="0059161A">
        <w:t xml:space="preserve">            </w:t>
      </w:r>
      <w:r w:rsidRPr="004D77F5">
        <w:t>at 701-02.</w:t>
      </w:r>
      <w:r>
        <w:t xml:space="preserve">  </w:t>
      </w:r>
    </w:p>
  </w:footnote>
  <w:footnote w:id="236">
    <w:p w14:paraId="5AA4A98A" w14:textId="0982ED1F" w:rsidR="00577558" w:rsidRPr="00DB6C7F" w:rsidRDefault="00577558" w:rsidP="0059161A">
      <w:pPr>
        <w:pStyle w:val="FootnoteText"/>
        <w:widowControl/>
      </w:pPr>
      <w:r w:rsidRPr="00DB6C7F">
        <w:rPr>
          <w:rStyle w:val="FootnoteReference"/>
        </w:rPr>
        <w:footnoteRef/>
      </w:r>
      <w:r w:rsidRPr="00DB6C7F">
        <w:t xml:space="preserve"> </w:t>
      </w:r>
      <w:r w:rsidRPr="00DB6C7F">
        <w:rPr>
          <w:i/>
          <w:iCs/>
        </w:rPr>
        <w:t xml:space="preserve">See </w:t>
      </w:r>
      <w:r w:rsidR="003C6539">
        <w:rPr>
          <w:i/>
          <w:iCs/>
        </w:rPr>
        <w:t>id.</w:t>
      </w:r>
      <w:r w:rsidRPr="00DB6C7F">
        <w:t xml:space="preserve"> (noting that the Commission “is not required to choose the best solution, only a reasonable one”</w:t>
      </w:r>
      <w:r w:rsidR="00B04784">
        <w:t xml:space="preserve"> (citations omitted</w:t>
      </w:r>
      <w:r w:rsidR="006B08A2">
        <w:t>)</w:t>
      </w:r>
      <w:r w:rsidRPr="00DB6C7F">
        <w:t>)</w:t>
      </w:r>
      <w:r>
        <w:t>.</w:t>
      </w:r>
    </w:p>
  </w:footnote>
  <w:footnote w:id="237">
    <w:p w14:paraId="7A08F31D" w14:textId="7607815E" w:rsidR="00577558" w:rsidRDefault="00577558" w:rsidP="00577558">
      <w:pPr>
        <w:pStyle w:val="FootnoteText"/>
      </w:pPr>
      <w:r>
        <w:rPr>
          <w:rStyle w:val="FootnoteReference"/>
        </w:rPr>
        <w:footnoteRef/>
      </w:r>
      <w:r>
        <w:t xml:space="preserve"> </w:t>
      </w:r>
      <w:r w:rsidR="0047269E">
        <w:t>The</w:t>
      </w:r>
      <w:r>
        <w:t xml:space="preserve"> approach </w:t>
      </w:r>
      <w:r w:rsidR="0047269E">
        <w:t xml:space="preserve">in </w:t>
      </w:r>
      <w:r w:rsidR="0047269E">
        <w:rPr>
          <w:i/>
          <w:iCs/>
        </w:rPr>
        <w:t xml:space="preserve">Entergy </w:t>
      </w:r>
      <w:r>
        <w:t xml:space="preserve">was consistent with the Commission’s general practice with respect to compliance filings </w:t>
      </w:r>
      <w:r w:rsidR="005D2CC4">
        <w:t xml:space="preserve">under FPA section 206 </w:t>
      </w:r>
      <w:r>
        <w:t>by public utilities</w:t>
      </w:r>
      <w:r w:rsidR="006431DF">
        <w:t>, but</w:t>
      </w:r>
      <w:r w:rsidR="00245518">
        <w:t>,</w:t>
      </w:r>
      <w:r w:rsidR="006431DF">
        <w:t xml:space="preserve"> as we have explained above, this practice </w:t>
      </w:r>
      <w:r w:rsidRPr="005A353C">
        <w:t>is not a statutory or legal requirement</w:t>
      </w:r>
      <w:r w:rsidR="006431DF">
        <w:t xml:space="preserve"> under FPA section 206</w:t>
      </w:r>
      <w:r>
        <w:t>.</w:t>
      </w:r>
    </w:p>
  </w:footnote>
  <w:footnote w:id="238">
    <w:p w14:paraId="55FCDFDC" w14:textId="77777777" w:rsidR="00C831B7" w:rsidRPr="00F65B32" w:rsidRDefault="00C831B7" w:rsidP="00C831B7">
      <w:pPr>
        <w:pStyle w:val="FootnoteText"/>
      </w:pPr>
      <w:r>
        <w:rPr>
          <w:rStyle w:val="FootnoteReference"/>
        </w:rPr>
        <w:footnoteRef/>
      </w:r>
      <w:r>
        <w:t xml:space="preserve"> Contrary to SPP TOs’ contention that the Commission erroneously relied on certain cases that do not support its approach, </w:t>
      </w:r>
      <w:r>
        <w:rPr>
          <w:i/>
          <w:iCs/>
        </w:rPr>
        <w:t xml:space="preserve">see </w:t>
      </w:r>
      <w:r w:rsidRPr="00F65B32">
        <w:t>SPP TOs Rehearing Request at 16-17</w:t>
      </w:r>
      <w:r>
        <w:t xml:space="preserve">, </w:t>
      </w:r>
      <w:r w:rsidRPr="004710B2">
        <w:t>the Commission cited these cases in “</w:t>
      </w:r>
      <w:proofErr w:type="spellStart"/>
      <w:r w:rsidRPr="004710B2">
        <w:t>recogni</w:t>
      </w:r>
      <w:proofErr w:type="spellEnd"/>
      <w:r w:rsidRPr="004710B2">
        <w:t>[</w:t>
      </w:r>
      <w:proofErr w:type="spellStart"/>
      <w:r w:rsidRPr="004710B2">
        <w:t>tion</w:t>
      </w:r>
      <w:proofErr w:type="spellEnd"/>
      <w:r w:rsidRPr="004710B2">
        <w:t>]” of the Commission’s typical practice that it “generally does not consider alternate compliance proposals other than those filed by the relevant public utility (here, the transmission provider),” before then explaining why it was not adopting that practice in Order No. 1920-A with respect to these cost allocation proposals</w:t>
      </w:r>
      <w:r>
        <w:t xml:space="preserve">.  </w:t>
      </w:r>
      <w:r w:rsidRPr="00F65B32">
        <w:t>Order No. 1920-A, 189 FERC ¶ 61,126 at P 659</w:t>
      </w:r>
      <w:r>
        <w:t xml:space="preserve">; </w:t>
      </w:r>
      <w:r>
        <w:rPr>
          <w:i/>
          <w:iCs/>
        </w:rPr>
        <w:t>s</w:t>
      </w:r>
      <w:r w:rsidRPr="00F65B32">
        <w:rPr>
          <w:i/>
          <w:iCs/>
        </w:rPr>
        <w:t>ee F.C.C. v. Fox Television Stations, Inc.</w:t>
      </w:r>
      <w:r w:rsidRPr="00F65B32">
        <w:t>, 556 U.S. at 515 (“To be sure, the requirement that an agency provide reasoned explanation for its action would ordinarily demand that it display awareness that it</w:t>
      </w:r>
      <w:r>
        <w:t xml:space="preserve"> </w:t>
      </w:r>
      <w:r w:rsidRPr="00F65B32">
        <w:rPr>
          <w:i/>
          <w:iCs/>
        </w:rPr>
        <w:t>is</w:t>
      </w:r>
      <w:r>
        <w:rPr>
          <w:i/>
          <w:iCs/>
        </w:rPr>
        <w:t xml:space="preserve"> </w:t>
      </w:r>
      <w:r w:rsidRPr="00F65B32">
        <w:t>changing position.” (emphasis in original)).</w:t>
      </w:r>
    </w:p>
  </w:footnote>
  <w:footnote w:id="239">
    <w:p w14:paraId="44639386" w14:textId="77777777" w:rsidR="00577558" w:rsidRDefault="00577558" w:rsidP="00577558">
      <w:pPr>
        <w:pStyle w:val="FootnoteText"/>
      </w:pPr>
      <w:r>
        <w:rPr>
          <w:rStyle w:val="FootnoteReference"/>
        </w:rPr>
        <w:footnoteRef/>
      </w:r>
      <w:r>
        <w:t xml:space="preserve"> </w:t>
      </w:r>
      <w:r>
        <w:rPr>
          <w:i/>
          <w:iCs/>
        </w:rPr>
        <w:t xml:space="preserve">See </w:t>
      </w:r>
      <w:r>
        <w:t>Indicated PJM TOs Rehearing Request at 17-18, 20.</w:t>
      </w:r>
    </w:p>
  </w:footnote>
  <w:footnote w:id="240">
    <w:p w14:paraId="3B1F5C6A" w14:textId="7568528F" w:rsidR="00577558" w:rsidRPr="00BF0A60" w:rsidRDefault="00577558" w:rsidP="00577558">
      <w:pPr>
        <w:pStyle w:val="FootnoteText"/>
      </w:pPr>
      <w:r>
        <w:rPr>
          <w:rStyle w:val="FootnoteReference"/>
        </w:rPr>
        <w:footnoteRef/>
      </w:r>
      <w:r>
        <w:t xml:space="preserve"> </w:t>
      </w:r>
      <w:r>
        <w:rPr>
          <w:i/>
          <w:iCs/>
        </w:rPr>
        <w:t>See, e.g.</w:t>
      </w:r>
      <w:r>
        <w:t xml:space="preserve">, </w:t>
      </w:r>
      <w:r w:rsidRPr="00DE749F">
        <w:rPr>
          <w:i/>
          <w:iCs/>
        </w:rPr>
        <w:t>Kern River</w:t>
      </w:r>
      <w:r w:rsidRPr="00DE749F">
        <w:t xml:space="preserve">, 142 FERC ¶ 61,132 at </w:t>
      </w:r>
      <w:r>
        <w:t>P 37 (noting that “[i]</w:t>
      </w:r>
      <w:r w:rsidRPr="00520D4D">
        <w:t>f the pipeline supports one such just and reasonable remedy, the Commission finds that adopting the pipeline</w:t>
      </w:r>
      <w:r w:rsidR="0058500E">
        <w:t>’</w:t>
      </w:r>
      <w:r w:rsidRPr="00520D4D">
        <w:t>s remedy, in preference to other possible remedies, properly recognizes the NGA</w:t>
      </w:r>
      <w:r>
        <w:t>’</w:t>
      </w:r>
      <w:r w:rsidRPr="00520D4D">
        <w:t>s policy of giving pipelines the primary initiative to establish their rates, terms, and conditions of service</w:t>
      </w:r>
      <w:r>
        <w:t xml:space="preserve">” but also recognizing that </w:t>
      </w:r>
      <w:r w:rsidRPr="00D96225">
        <w:t xml:space="preserve">“there may be several just and reasonable rates, terms or conditions which the Commission may adopt as a just and reasonable remedy in </w:t>
      </w:r>
      <w:r w:rsidR="007805E9">
        <w:t>[</w:t>
      </w:r>
      <w:r w:rsidRPr="00D96225">
        <w:t>a</w:t>
      </w:r>
      <w:r w:rsidR="00BE75BE">
        <w:t>n NGA]</w:t>
      </w:r>
      <w:r w:rsidRPr="00D96225">
        <w:t xml:space="preserve"> section 5 proceeding”</w:t>
      </w:r>
      <w:r>
        <w:t xml:space="preserve">); </w:t>
      </w:r>
      <w:r w:rsidRPr="00983A42">
        <w:rPr>
          <w:i/>
          <w:iCs/>
        </w:rPr>
        <w:t>PJM Interconnection, L.L.C.</w:t>
      </w:r>
      <w:r w:rsidRPr="00983A42">
        <w:t>, 173 FERC ¶</w:t>
      </w:r>
      <w:r w:rsidR="00864608">
        <w:t> </w:t>
      </w:r>
      <w:r w:rsidRPr="00983A42">
        <w:t>61,134 at P 117 n.175</w:t>
      </w:r>
      <w:r>
        <w:t xml:space="preserve"> </w:t>
      </w:r>
      <w:r w:rsidRPr="00983A42">
        <w:t xml:space="preserve">(“Because PJM may make a section 205 filing to revise these </w:t>
      </w:r>
      <w:r w:rsidR="00E25C39">
        <w:t>[OATT]</w:t>
      </w:r>
      <w:r w:rsidR="00E25C39" w:rsidRPr="00983A42">
        <w:t xml:space="preserve"> </w:t>
      </w:r>
      <w:r w:rsidRPr="00983A42">
        <w:t>provisions, we find it reasonable to</w:t>
      </w:r>
      <w:r>
        <w:t xml:space="preserve"> </w:t>
      </w:r>
      <w:r w:rsidRPr="00983A42">
        <w:t>accept PJM’s proposal over alternatives if PJM</w:t>
      </w:r>
      <w:r w:rsidR="007C632D">
        <w:t>’</w:t>
      </w:r>
      <w:r w:rsidRPr="00983A42">
        <w:t>s proposal is just and reasonable.”).</w:t>
      </w:r>
    </w:p>
  </w:footnote>
  <w:footnote w:id="241">
    <w:p w14:paraId="3D291517" w14:textId="71026874" w:rsidR="00577558" w:rsidRDefault="00577558" w:rsidP="00577558">
      <w:pPr>
        <w:pStyle w:val="FootnoteText"/>
      </w:pPr>
      <w:r>
        <w:rPr>
          <w:rStyle w:val="FootnoteReference"/>
        </w:rPr>
        <w:footnoteRef/>
      </w:r>
      <w:r>
        <w:t xml:space="preserve"> </w:t>
      </w:r>
      <w:r w:rsidR="00395545">
        <w:rPr>
          <w:i/>
          <w:iCs/>
        </w:rPr>
        <w:t>See</w:t>
      </w:r>
      <w:r w:rsidR="00395545" w:rsidRPr="002076DE">
        <w:rPr>
          <w:i/>
        </w:rPr>
        <w:t xml:space="preserve"> </w:t>
      </w:r>
      <w:r>
        <w:t>16 U.S.C. 824e(a</w:t>
      </w:r>
      <w:r w:rsidDel="00395545">
        <w:t>)</w:t>
      </w:r>
      <w:r>
        <w:t xml:space="preserve">; </w:t>
      </w:r>
      <w:r w:rsidR="009632FB" w:rsidRPr="00E838D9">
        <w:rPr>
          <w:i/>
          <w:iCs/>
        </w:rPr>
        <w:t>Electrical District</w:t>
      </w:r>
      <w:r w:rsidR="009632FB">
        <w:t xml:space="preserve">, </w:t>
      </w:r>
      <w:r w:rsidRPr="00086914">
        <w:t>774 F.2d at 49</w:t>
      </w:r>
      <w:r w:rsidR="008D5726">
        <w:t>2</w:t>
      </w:r>
      <w:r>
        <w:t xml:space="preserve">.  Reinforcing this conclusion, the D.C. Circuit has </w:t>
      </w:r>
      <w:r w:rsidRPr="003C7FA2">
        <w:t xml:space="preserve">explained that </w:t>
      </w:r>
      <w:r>
        <w:t xml:space="preserve">the </w:t>
      </w:r>
      <w:r w:rsidRPr="003C7FA2">
        <w:t xml:space="preserve">Commission is not required to await public utilities’ proposals on compliance </w:t>
      </w:r>
      <w:r w:rsidRPr="00972748">
        <w:t>at all</w:t>
      </w:r>
      <w:r>
        <w:t xml:space="preserve"> but may instead set the replacement rate</w:t>
      </w:r>
      <w:r w:rsidRPr="003C7FA2">
        <w:t xml:space="preserve">.  </w:t>
      </w:r>
      <w:r w:rsidRPr="003C7FA2">
        <w:rPr>
          <w:i/>
          <w:iCs/>
        </w:rPr>
        <w:t>See Electrical District</w:t>
      </w:r>
      <w:r w:rsidRPr="003C7FA2">
        <w:t>, 774</w:t>
      </w:r>
      <w:r w:rsidRPr="00086914">
        <w:t xml:space="preserve"> F.2d at 49</w:t>
      </w:r>
      <w:r>
        <w:t xml:space="preserve">4; </w:t>
      </w:r>
      <w:r w:rsidRPr="00BB5CD3">
        <w:rPr>
          <w:i/>
          <w:iCs/>
        </w:rPr>
        <w:t>Kern River Gas Transmission Co.</w:t>
      </w:r>
      <w:r w:rsidRPr="000D39F3">
        <w:t>, 133 FERC ¶</w:t>
      </w:r>
      <w:r w:rsidR="006E3591">
        <w:t> </w:t>
      </w:r>
      <w:r w:rsidRPr="000D39F3">
        <w:t xml:space="preserve">61,162 </w:t>
      </w:r>
      <w:r>
        <w:t xml:space="preserve">at PP 21-22 </w:t>
      </w:r>
      <w:r w:rsidRPr="00491449">
        <w:t>(“</w:t>
      </w:r>
      <w:r>
        <w:t>[A]s a</w:t>
      </w:r>
      <w:r w:rsidRPr="00EA0FE4">
        <w:t>n alternative to waiting for the pipeline to calculate the rates in a compliance filing, the Commission may calculate and fix the rate itself in the initial order</w:t>
      </w:r>
      <w:r>
        <w:t>.</w:t>
      </w:r>
      <w:r w:rsidRPr="00491449">
        <w:t>”)</w:t>
      </w:r>
      <w:r>
        <w:t xml:space="preserve">.  </w:t>
      </w:r>
    </w:p>
  </w:footnote>
  <w:footnote w:id="242">
    <w:p w14:paraId="60A5A1DA" w14:textId="77777777" w:rsidR="00577558" w:rsidRPr="00106243" w:rsidRDefault="00577558" w:rsidP="00577558">
      <w:pPr>
        <w:pStyle w:val="FootnoteText"/>
      </w:pPr>
      <w:r>
        <w:rPr>
          <w:rStyle w:val="FootnoteReference"/>
        </w:rPr>
        <w:footnoteRef/>
      </w:r>
      <w:r>
        <w:t xml:space="preserve"> </w:t>
      </w:r>
      <w:r w:rsidRPr="008907F4">
        <w:t>Indicated PJM TOs Rehearing Request</w:t>
      </w:r>
      <w:r>
        <w:t xml:space="preserve"> at 28; </w:t>
      </w:r>
      <w:r>
        <w:rPr>
          <w:i/>
          <w:iCs/>
        </w:rPr>
        <w:t>see also, e.g.</w:t>
      </w:r>
      <w:r>
        <w:t xml:space="preserve">, </w:t>
      </w:r>
      <w:r>
        <w:rPr>
          <w:i/>
          <w:iCs/>
        </w:rPr>
        <w:t>id.</w:t>
      </w:r>
      <w:r>
        <w:t xml:space="preserve"> at </w:t>
      </w:r>
      <w:r w:rsidRPr="00106243">
        <w:t>3-4</w:t>
      </w:r>
      <w:r>
        <w:t>, 5, 7-8; WIRES Rehearing Request at 10-11.</w:t>
      </w:r>
    </w:p>
  </w:footnote>
  <w:footnote w:id="243">
    <w:p w14:paraId="4D3F093A" w14:textId="31B7E18D" w:rsidR="00577558" w:rsidRPr="002D169A" w:rsidRDefault="00577558" w:rsidP="00577558">
      <w:pPr>
        <w:pStyle w:val="FootnoteText"/>
      </w:pPr>
      <w:r>
        <w:rPr>
          <w:rStyle w:val="FootnoteReference"/>
        </w:rPr>
        <w:footnoteRef/>
      </w:r>
      <w:r>
        <w:t xml:space="preserve"> </w:t>
      </w:r>
      <w:r>
        <w:rPr>
          <w:i/>
          <w:iCs/>
        </w:rPr>
        <w:t>Electrical District</w:t>
      </w:r>
      <w:r>
        <w:t>, 774 F.2d at 492</w:t>
      </w:r>
      <w:r w:rsidR="00B76879">
        <w:t>;</w:t>
      </w:r>
      <w:r>
        <w:t xml:space="preserve"> </w:t>
      </w:r>
      <w:r>
        <w:rPr>
          <w:i/>
          <w:iCs/>
        </w:rPr>
        <w:t>see also Entergy</w:t>
      </w:r>
      <w:r>
        <w:t xml:space="preserve">, 40 F.4th at 701-02 (affirming order in which the Commission, after rejecting MISO’s compliance filings, subsequently determined the replacement rate on its own initiative, under FPA </w:t>
      </w:r>
      <w:r w:rsidR="00BC259F">
        <w:t xml:space="preserve">       </w:t>
      </w:r>
      <w:r>
        <w:t xml:space="preserve">section 206).  </w:t>
      </w:r>
    </w:p>
  </w:footnote>
  <w:footnote w:id="244">
    <w:p w14:paraId="0651D888" w14:textId="004857EE" w:rsidR="00577558" w:rsidRPr="00FA1639" w:rsidRDefault="00577558" w:rsidP="00577558">
      <w:pPr>
        <w:pStyle w:val="FootnoteText"/>
        <w:rPr>
          <w:i/>
          <w:iCs/>
        </w:rPr>
      </w:pPr>
      <w:r>
        <w:rPr>
          <w:rStyle w:val="FootnoteReference"/>
        </w:rPr>
        <w:footnoteRef/>
      </w:r>
      <w:r>
        <w:t xml:space="preserve"> </w:t>
      </w:r>
      <w:r>
        <w:rPr>
          <w:i/>
          <w:iCs/>
        </w:rPr>
        <w:t>Electrical District</w:t>
      </w:r>
      <w:r>
        <w:t xml:space="preserve">, 774 F.2d at 492 (quoting </w:t>
      </w:r>
      <w:r w:rsidR="004B7A71">
        <w:t xml:space="preserve">FPA section 206(a), </w:t>
      </w:r>
      <w:r>
        <w:t>16 U.S.C. 824e(a)</w:t>
      </w:r>
      <w:r w:rsidR="0048338A">
        <w:t>; emphasis in original</w:t>
      </w:r>
      <w:r>
        <w:t>).</w:t>
      </w:r>
    </w:p>
  </w:footnote>
  <w:footnote w:id="245">
    <w:p w14:paraId="5475922E" w14:textId="74116B7D" w:rsidR="00443F01" w:rsidRDefault="00443F01" w:rsidP="00443F01">
      <w:pPr>
        <w:pStyle w:val="FootnoteText"/>
      </w:pPr>
      <w:r w:rsidRPr="009A2003">
        <w:rPr>
          <w:rStyle w:val="FootnoteReference"/>
        </w:rPr>
        <w:footnoteRef/>
      </w:r>
      <w:r w:rsidRPr="009A2003">
        <w:t xml:space="preserve"> Contrary to Indicated PJM TOs’ argument, </w:t>
      </w:r>
      <w:r w:rsidRPr="009A2003">
        <w:rPr>
          <w:i/>
        </w:rPr>
        <w:t xml:space="preserve">see </w:t>
      </w:r>
      <w:r w:rsidRPr="009A2003">
        <w:t xml:space="preserve">Indicated PJM TOs Rehearing Request at 27 n.102, the Commission’s decision in </w:t>
      </w:r>
      <w:proofErr w:type="spellStart"/>
      <w:r w:rsidRPr="009A2003">
        <w:rPr>
          <w:i/>
        </w:rPr>
        <w:t>Indep</w:t>
      </w:r>
      <w:proofErr w:type="spellEnd"/>
      <w:r w:rsidRPr="009A2003">
        <w:rPr>
          <w:i/>
        </w:rPr>
        <w:t xml:space="preserve">. Energy Producers </w:t>
      </w:r>
      <w:proofErr w:type="spellStart"/>
      <w:r w:rsidRPr="009A2003">
        <w:rPr>
          <w:i/>
        </w:rPr>
        <w:t>Ass’n</w:t>
      </w:r>
      <w:proofErr w:type="spellEnd"/>
      <w:r w:rsidRPr="009A2003">
        <w:rPr>
          <w:i/>
        </w:rPr>
        <w:t xml:space="preserve"> v. Cal. </w:t>
      </w:r>
      <w:proofErr w:type="spellStart"/>
      <w:r w:rsidRPr="009A2003">
        <w:rPr>
          <w:i/>
        </w:rPr>
        <w:t>Indep</w:t>
      </w:r>
      <w:proofErr w:type="spellEnd"/>
      <w:r w:rsidRPr="009A2003">
        <w:rPr>
          <w:i/>
        </w:rPr>
        <w:t>. Sys. Operator Corp.</w:t>
      </w:r>
      <w:r w:rsidRPr="009A2003">
        <w:t xml:space="preserve">, 128 FERC ¶ 61,165 (2009) does not suggest that the Commission forwent the opportunity to establish a specific replacement rate.  Rather, the discussion in that case addressed the point at which a sufficient degree of specificity has been provided such that a rate can be deemed fixed for purposes of a particular effective date, </w:t>
      </w:r>
      <w:r w:rsidRPr="009A2003">
        <w:rPr>
          <w:i/>
        </w:rPr>
        <w:t>id.</w:t>
      </w:r>
      <w:r w:rsidRPr="009A2003">
        <w:t xml:space="preserve"> PP 21-26, and—in fact—is consistent with viewing the Commission’s authority under FPA section 206 as part of an ongoing process until the replacement rate is fixed.</w:t>
      </w:r>
    </w:p>
  </w:footnote>
  <w:footnote w:id="246">
    <w:p w14:paraId="22B34400" w14:textId="4C8C72D0" w:rsidR="00C243B1" w:rsidRDefault="00C243B1">
      <w:pPr>
        <w:pStyle w:val="FootnoteText"/>
      </w:pPr>
      <w:r>
        <w:rPr>
          <w:rStyle w:val="FootnoteReference"/>
        </w:rPr>
        <w:footnoteRef/>
      </w:r>
      <w:r w:rsidR="00045F71">
        <w:t xml:space="preserve"> </w:t>
      </w:r>
      <w:r w:rsidR="00BF037E">
        <w:t xml:space="preserve">Indicated PJM TOs Rehearing Request at </w:t>
      </w:r>
      <w:r w:rsidR="008F3582">
        <w:t>8</w:t>
      </w:r>
      <w:r w:rsidR="00612D5A">
        <w:t xml:space="preserve"> </w:t>
      </w:r>
      <w:r w:rsidR="009D3FD5">
        <w:t xml:space="preserve">(citing </w:t>
      </w:r>
      <w:r w:rsidR="009D3FD5" w:rsidRPr="009D3FD5">
        <w:rPr>
          <w:i/>
          <w:iCs/>
        </w:rPr>
        <w:t>Mayor of</w:t>
      </w:r>
      <w:r w:rsidR="009D3FD5">
        <w:rPr>
          <w:i/>
          <w:iCs/>
        </w:rPr>
        <w:t xml:space="preserve"> </w:t>
      </w:r>
      <w:r w:rsidR="0062437B">
        <w:rPr>
          <w:i/>
          <w:iCs/>
        </w:rPr>
        <w:t>Balt.</w:t>
      </w:r>
      <w:r w:rsidR="009D3FD5" w:rsidRPr="009D3FD5">
        <w:rPr>
          <w:i/>
          <w:iCs/>
        </w:rPr>
        <w:t xml:space="preserve"> v. </w:t>
      </w:r>
      <w:proofErr w:type="gramStart"/>
      <w:r w:rsidR="009D3FD5" w:rsidRPr="009D3FD5">
        <w:rPr>
          <w:i/>
          <w:iCs/>
        </w:rPr>
        <w:t>Azar</w:t>
      </w:r>
      <w:r w:rsidR="009D3FD5" w:rsidRPr="009D3FD5">
        <w:t xml:space="preserve">, </w:t>
      </w:r>
      <w:r w:rsidR="00BC259F">
        <w:t xml:space="preserve">  </w:t>
      </w:r>
      <w:proofErr w:type="gramEnd"/>
      <w:r w:rsidR="00BC259F">
        <w:t xml:space="preserve">         </w:t>
      </w:r>
      <w:r w:rsidR="009D3FD5" w:rsidRPr="009D3FD5">
        <w:t>973 F.3d 258, 275 (4th Cir. 2020)</w:t>
      </w:r>
      <w:r w:rsidR="00287C6D">
        <w:t xml:space="preserve"> (other citations omitted)</w:t>
      </w:r>
      <w:r w:rsidR="003D2C40">
        <w:t>)</w:t>
      </w:r>
      <w:r w:rsidR="009D3FD5">
        <w:t xml:space="preserve">; </w:t>
      </w:r>
      <w:r w:rsidR="00FC7AF3">
        <w:t xml:space="preserve">MISO TOs Rehearing Request at </w:t>
      </w:r>
      <w:r w:rsidR="00912015">
        <w:t>20-</w:t>
      </w:r>
      <w:r w:rsidR="00FC7AF3">
        <w:t xml:space="preserve">21 (citing </w:t>
      </w:r>
      <w:r w:rsidR="00BB1454">
        <w:t xml:space="preserve">5 U.S.C. </w:t>
      </w:r>
      <w:r w:rsidR="00BB1454" w:rsidRPr="00BB1454">
        <w:t>§</w:t>
      </w:r>
      <w:r w:rsidR="00BB1454">
        <w:t xml:space="preserve"> 706</w:t>
      </w:r>
      <w:r w:rsidR="00317CE0">
        <w:t xml:space="preserve"> (other citations omitted)</w:t>
      </w:r>
      <w:r w:rsidR="00974068">
        <w:t>)</w:t>
      </w:r>
      <w:r w:rsidR="00BB1454">
        <w:t xml:space="preserve">; </w:t>
      </w:r>
      <w:r w:rsidR="00DF6BC9">
        <w:t>SPP</w:t>
      </w:r>
      <w:r w:rsidR="009E2622">
        <w:t xml:space="preserve"> </w:t>
      </w:r>
      <w:r w:rsidR="009C566A">
        <w:t xml:space="preserve">TOs Rehearing Request at </w:t>
      </w:r>
      <w:r w:rsidR="00075069">
        <w:t xml:space="preserve">2 </w:t>
      </w:r>
      <w:r w:rsidR="007249E4">
        <w:t xml:space="preserve">(citing </w:t>
      </w:r>
      <w:r w:rsidR="00640237">
        <w:t xml:space="preserve">5 U.S.C. </w:t>
      </w:r>
      <w:r w:rsidR="00640237" w:rsidRPr="00BB1454">
        <w:t>§</w:t>
      </w:r>
      <w:r w:rsidR="00640237">
        <w:t xml:space="preserve"> 706(2)</w:t>
      </w:r>
      <w:r w:rsidR="007249E4">
        <w:t>)</w:t>
      </w:r>
      <w:r w:rsidR="00045F71">
        <w:t>.</w:t>
      </w:r>
    </w:p>
  </w:footnote>
  <w:footnote w:id="247">
    <w:p w14:paraId="07F7B611" w14:textId="00F5DD66" w:rsidR="009E56F0" w:rsidRDefault="009E56F0" w:rsidP="00BC259F">
      <w:pPr>
        <w:pStyle w:val="FootnoteText"/>
        <w:widowControl/>
      </w:pPr>
      <w:r>
        <w:rPr>
          <w:rStyle w:val="FootnoteReference"/>
        </w:rPr>
        <w:footnoteRef/>
      </w:r>
      <w:r>
        <w:t xml:space="preserve"> </w:t>
      </w:r>
      <w:r w:rsidRPr="00022A67">
        <w:t xml:space="preserve">MISO TOs </w:t>
      </w:r>
      <w:r>
        <w:t>Rehearing Request</w:t>
      </w:r>
      <w:r w:rsidRPr="00022A67">
        <w:t xml:space="preserve"> at</w:t>
      </w:r>
      <w:r>
        <w:t xml:space="preserve"> 8-9,</w:t>
      </w:r>
      <w:r w:rsidRPr="00022A67">
        <w:t xml:space="preserve"> 20-22 (arguing that</w:t>
      </w:r>
      <w:r>
        <w:t xml:space="preserve"> the Commission provides notice and comment review of compliance filings, through Commission Rules of Practice and Procedure 211 and 214, which is “reasonable and more statutorily aligned” than the approach adopted in Order No. 1920-A</w:t>
      </w:r>
      <w:r w:rsidRPr="00022A67">
        <w:t>)</w:t>
      </w:r>
      <w:r>
        <w:t>; Indicated PJM TOs</w:t>
      </w:r>
      <w:r w:rsidRPr="001E12F0">
        <w:t xml:space="preserve"> </w:t>
      </w:r>
      <w:r>
        <w:t>Rehearing Request</w:t>
      </w:r>
      <w:r w:rsidRPr="001E12F0">
        <w:t xml:space="preserve"> at 8 (“The Commission made no finding and there is no substantial evidence that the Commission would not have been able to consider those proposals or that the </w:t>
      </w:r>
      <w:r>
        <w:t>[Relevant State Entitie</w:t>
      </w:r>
      <w:r w:rsidRPr="001E12F0">
        <w:t>s</w:t>
      </w:r>
      <w:r>
        <w:t>]</w:t>
      </w:r>
      <w:r w:rsidRPr="001E12F0">
        <w:t xml:space="preserve"> would not have been able to submit their proposals to the Commission or were in any way impeded from doing so.”)</w:t>
      </w:r>
      <w:r>
        <w:t xml:space="preserve">; </w:t>
      </w:r>
      <w:r w:rsidRPr="005C27A0">
        <w:rPr>
          <w:i/>
          <w:iCs/>
        </w:rPr>
        <w:t xml:space="preserve">id. </w:t>
      </w:r>
      <w:r w:rsidRPr="005C27A0">
        <w:t>at 12 n.35, 32-33</w:t>
      </w:r>
      <w:r>
        <w:t xml:space="preserve">; </w:t>
      </w:r>
      <w:r w:rsidRPr="001E12F0">
        <w:t xml:space="preserve">SPP TOs </w:t>
      </w:r>
      <w:r>
        <w:t>Rehearing Request</w:t>
      </w:r>
      <w:r w:rsidRPr="001E12F0">
        <w:t xml:space="preserve"> at 29 (</w:t>
      </w:r>
      <w:r>
        <w:t>arguing that the importance the Commission ascribes to state perspectives reflects that state views would be taken seriously if presented through other means, such that there is no need for additional avenues for state participation through “</w:t>
      </w:r>
      <w:r w:rsidRPr="00587ED4">
        <w:t>preferential filing privileges that are not contemplated by the</w:t>
      </w:r>
      <w:r>
        <w:t xml:space="preserve"> </w:t>
      </w:r>
      <w:r w:rsidRPr="00587ED4">
        <w:t>FPA</w:t>
      </w:r>
      <w:r>
        <w:t>”); EEI Rehearing Request at 9-10 (“After all, state commissions are already afforded special treatment under the Commission’s procedural rules because they can intervene in rate proceedings as a matter of right.”).</w:t>
      </w:r>
    </w:p>
  </w:footnote>
  <w:footnote w:id="248">
    <w:p w14:paraId="451068F7" w14:textId="2D4E4975" w:rsidR="009E56F0" w:rsidRDefault="009E56F0" w:rsidP="009E56F0">
      <w:pPr>
        <w:pStyle w:val="FootnoteText"/>
      </w:pPr>
      <w:r>
        <w:rPr>
          <w:rStyle w:val="FootnoteReference"/>
        </w:rPr>
        <w:footnoteRef/>
      </w:r>
      <w:r>
        <w:t xml:space="preserve"> </w:t>
      </w:r>
      <w:r w:rsidRPr="00E66EE8">
        <w:t xml:space="preserve">MISO TOs </w:t>
      </w:r>
      <w:r>
        <w:t>Rehearing Request</w:t>
      </w:r>
      <w:r w:rsidRPr="00E66EE8">
        <w:t xml:space="preserve"> at 22-23</w:t>
      </w:r>
      <w:r>
        <w:t xml:space="preserve"> (citing </w:t>
      </w:r>
      <w:r w:rsidRPr="005321AF">
        <w:t>Order No. 1920</w:t>
      </w:r>
      <w:r>
        <w:t>-A</w:t>
      </w:r>
      <w:r w:rsidRPr="005321AF">
        <w:t>,</w:t>
      </w:r>
      <w:r>
        <w:t xml:space="preserve"> </w:t>
      </w:r>
      <w:r w:rsidRPr="00AD0002">
        <w:t>189 FERC ¶</w:t>
      </w:r>
      <w:r w:rsidR="00874B99">
        <w:t> </w:t>
      </w:r>
      <w:r w:rsidRPr="00AD0002">
        <w:t>61,126</w:t>
      </w:r>
      <w:r>
        <w:t xml:space="preserve"> at P 661) (“</w:t>
      </w:r>
      <w:r w:rsidRPr="00E56BF0">
        <w:t xml:space="preserve">The Commission fails to explain how it maintains this </w:t>
      </w:r>
      <w:r>
        <w:t>‘</w:t>
      </w:r>
      <w:r w:rsidRPr="00E56BF0">
        <w:t>tariff obligation</w:t>
      </w:r>
      <w:r>
        <w:t>’</w:t>
      </w:r>
      <w:r w:rsidRPr="00E56BF0">
        <w:t xml:space="preserve"> if it requires transmission providers to subordinate their interests and preferences those of state entities.</w:t>
      </w:r>
      <w:r>
        <w:t xml:space="preserve">”); </w:t>
      </w:r>
      <w:r w:rsidRPr="00E56BF0">
        <w:t xml:space="preserve">SPP TOs </w:t>
      </w:r>
      <w:r>
        <w:t>Rehearing Request</w:t>
      </w:r>
      <w:r w:rsidRPr="00E56BF0">
        <w:t xml:space="preserve"> at </w:t>
      </w:r>
      <w:r>
        <w:t xml:space="preserve">14, </w:t>
      </w:r>
      <w:r w:rsidRPr="00E56BF0">
        <w:t>29</w:t>
      </w:r>
      <w:r>
        <w:t xml:space="preserve"> </w:t>
      </w:r>
      <w:r w:rsidRPr="00044FD1">
        <w:t>(similar).</w:t>
      </w:r>
    </w:p>
  </w:footnote>
  <w:footnote w:id="249">
    <w:p w14:paraId="2197ADD0" w14:textId="219A93B7" w:rsidR="009E56F0" w:rsidRPr="005D1626" w:rsidRDefault="009E56F0" w:rsidP="009E56F0">
      <w:pPr>
        <w:pStyle w:val="FootnoteText"/>
      </w:pPr>
      <w:r>
        <w:rPr>
          <w:rStyle w:val="FootnoteReference"/>
        </w:rPr>
        <w:footnoteRef/>
      </w:r>
      <w:r>
        <w:t xml:space="preserve"> WIRES Rehearing Request at </w:t>
      </w:r>
      <w:r w:rsidR="00B64AB3">
        <w:t xml:space="preserve">14, </w:t>
      </w:r>
      <w:r>
        <w:t>16-17 (asserting that the same set of facts relied on in Order No. 1920 were used to justify the requirements of Order No. 1920-A, such that “</w:t>
      </w:r>
      <w:r w:rsidRPr="00F445BE">
        <w:t>there seems little connection between what are essentially the same facts and the choices ma</w:t>
      </w:r>
      <w:r>
        <w:t xml:space="preserve">de”).  WIRES here challenges both the compliance filing requirements, discussed above, and certain consultation requirements set forth by Order No. 1920-A, </w:t>
      </w:r>
      <w:r>
        <w:rPr>
          <w:i/>
          <w:iCs/>
        </w:rPr>
        <w:t xml:space="preserve">see </w:t>
      </w:r>
      <w:proofErr w:type="gramStart"/>
      <w:r>
        <w:rPr>
          <w:i/>
          <w:iCs/>
        </w:rPr>
        <w:t xml:space="preserve">infra </w:t>
      </w:r>
      <w:r w:rsidR="00A7566F">
        <w:t>Consultation</w:t>
      </w:r>
      <w:proofErr w:type="gramEnd"/>
      <w:r w:rsidR="00A7566F">
        <w:t xml:space="preserve"> with Relevant State Entities After the Engagement Period section,</w:t>
      </w:r>
      <w:r>
        <w:t xml:space="preserve"> as arbitrary and capricious for the same reasons.</w:t>
      </w:r>
    </w:p>
  </w:footnote>
  <w:footnote w:id="250">
    <w:p w14:paraId="52F3D57C" w14:textId="325DE498" w:rsidR="009E56F0" w:rsidRDefault="009E56F0" w:rsidP="009E56F0">
      <w:pPr>
        <w:pStyle w:val="FootnoteText"/>
      </w:pPr>
      <w:r>
        <w:rPr>
          <w:rStyle w:val="FootnoteReference"/>
        </w:rPr>
        <w:footnoteRef/>
      </w:r>
      <w:r>
        <w:t xml:space="preserve"> EEI Rehearing Request at 12.</w:t>
      </w:r>
    </w:p>
  </w:footnote>
  <w:footnote w:id="251">
    <w:p w14:paraId="6F51D67A" w14:textId="480F3FA7" w:rsidR="009E56F0" w:rsidRDefault="009E56F0" w:rsidP="009E56F0">
      <w:pPr>
        <w:pStyle w:val="FootnoteText"/>
      </w:pPr>
      <w:r>
        <w:rPr>
          <w:rStyle w:val="FootnoteReference"/>
        </w:rPr>
        <w:footnoteRef/>
      </w:r>
      <w:r>
        <w:t xml:space="preserve"> </w:t>
      </w:r>
      <w:r w:rsidR="00AE2B57" w:rsidRPr="0061246B">
        <w:rPr>
          <w:i/>
          <w:iCs/>
        </w:rPr>
        <w:t>Id</w:t>
      </w:r>
      <w:r w:rsidR="00AE2B57">
        <w:t>.</w:t>
      </w:r>
      <w:r>
        <w:t xml:space="preserve"> at 10.</w:t>
      </w:r>
    </w:p>
  </w:footnote>
  <w:footnote w:id="252">
    <w:p w14:paraId="7BAE905A" w14:textId="2D6181CB" w:rsidR="00C348A1" w:rsidRPr="00194FF9" w:rsidRDefault="00C348A1" w:rsidP="00BC259F">
      <w:pPr>
        <w:pStyle w:val="FootnoteText"/>
        <w:widowControl/>
        <w:rPr>
          <w:i/>
          <w:iCs/>
        </w:rPr>
      </w:pPr>
      <w:r>
        <w:rPr>
          <w:rStyle w:val="FootnoteReference"/>
        </w:rPr>
        <w:footnoteRef/>
      </w:r>
      <w:r>
        <w:t xml:space="preserve"> </w:t>
      </w:r>
      <w:r>
        <w:rPr>
          <w:i/>
          <w:iCs/>
        </w:rPr>
        <w:t xml:space="preserve">See </w:t>
      </w:r>
      <w:r w:rsidRPr="00C009FA">
        <w:t xml:space="preserve">MISO TOs </w:t>
      </w:r>
      <w:r>
        <w:t>Rehearing Request</w:t>
      </w:r>
      <w:r w:rsidRPr="00C009FA">
        <w:t xml:space="preserve"> at 33-3</w:t>
      </w:r>
      <w:r>
        <w:t>8 (arguing that the Commission failed to provide adequate reasoning to support this decision); Indicated PJM TOs</w:t>
      </w:r>
      <w:r w:rsidRPr="00C009FA">
        <w:t xml:space="preserve"> </w:t>
      </w:r>
      <w:r>
        <w:t>Rehearing Request</w:t>
      </w:r>
      <w:r w:rsidRPr="00237D23">
        <w:t xml:space="preserve"> </w:t>
      </w:r>
      <w:r w:rsidRPr="00C009FA">
        <w:t>at 18-20</w:t>
      </w:r>
      <w:r>
        <w:t xml:space="preserve">; </w:t>
      </w:r>
      <w:r>
        <w:rPr>
          <w:i/>
          <w:iCs/>
        </w:rPr>
        <w:t>id.</w:t>
      </w:r>
      <w:r>
        <w:t xml:space="preserve"> at 21 (arguing that “</w:t>
      </w:r>
      <w:r w:rsidRPr="00FC6F88">
        <w:t>the Commission does not explain how these</w:t>
      </w:r>
      <w:r>
        <w:t xml:space="preserve"> </w:t>
      </w:r>
      <w:r w:rsidRPr="00FC6F88">
        <w:t>considerations</w:t>
      </w:r>
      <w:r>
        <w:t xml:space="preserve"> [that it identified as supporting its approach in Order </w:t>
      </w:r>
      <w:r w:rsidR="00BC259F">
        <w:t xml:space="preserve">            </w:t>
      </w:r>
      <w:r>
        <w:t>No. 1920-A]</w:t>
      </w:r>
      <w:r w:rsidRPr="00FC6F88">
        <w:t xml:space="preserve"> are any different in the planning process under Order No. 1920 and 1920-A than</w:t>
      </w:r>
      <w:r>
        <w:t xml:space="preserve"> </w:t>
      </w:r>
      <w:r w:rsidRPr="00FC6F88">
        <w:t>they are in the planning processes under other prior rule changes</w:t>
      </w:r>
      <w:r>
        <w:t xml:space="preserve">” such as Order </w:t>
      </w:r>
      <w:r w:rsidR="00BC259F">
        <w:t xml:space="preserve">          </w:t>
      </w:r>
      <w:r>
        <w:t xml:space="preserve">No. 1000); </w:t>
      </w:r>
      <w:r w:rsidRPr="00C009FA">
        <w:t xml:space="preserve">SPP TOs </w:t>
      </w:r>
      <w:r>
        <w:t>Rehearing Request</w:t>
      </w:r>
      <w:r w:rsidRPr="00C009FA">
        <w:t xml:space="preserve"> at 16-17</w:t>
      </w:r>
      <w:r>
        <w:t xml:space="preserve">; </w:t>
      </w:r>
      <w:r>
        <w:rPr>
          <w:i/>
          <w:iCs/>
        </w:rPr>
        <w:t xml:space="preserve">id. </w:t>
      </w:r>
      <w:r>
        <w:t xml:space="preserve">at 30 (arguing that this departure from the Commission’s approach in other contexts is arbitrary and capricious); </w:t>
      </w:r>
      <w:r w:rsidRPr="00C009FA">
        <w:t xml:space="preserve">EEI </w:t>
      </w:r>
      <w:r>
        <w:t>Rehearing Request</w:t>
      </w:r>
      <w:r w:rsidRPr="00C009FA">
        <w:t xml:space="preserve"> at 10-11</w:t>
      </w:r>
      <w:r>
        <w:t xml:space="preserve">.  These </w:t>
      </w:r>
      <w:r w:rsidR="00A713EB">
        <w:t>petitioners</w:t>
      </w:r>
      <w:r>
        <w:t xml:space="preserve"> cite </w:t>
      </w:r>
      <w:r w:rsidR="00160113">
        <w:t>several</w:t>
      </w:r>
      <w:r>
        <w:t xml:space="preserve"> Commission decisions reflecting this preference, </w:t>
      </w:r>
      <w:r>
        <w:rPr>
          <w:i/>
          <w:iCs/>
        </w:rPr>
        <w:t>see, e.g.</w:t>
      </w:r>
      <w:r>
        <w:t xml:space="preserve">, </w:t>
      </w:r>
      <w:r w:rsidRPr="00C009FA">
        <w:rPr>
          <w:i/>
          <w:iCs/>
        </w:rPr>
        <w:t>PJM Interconnection, L.L.C.</w:t>
      </w:r>
      <w:r w:rsidRPr="00C009FA">
        <w:t xml:space="preserve">, 119 FERC ¶ 61,318 </w:t>
      </w:r>
      <w:r w:rsidR="00BC259F">
        <w:t xml:space="preserve">            </w:t>
      </w:r>
      <w:r w:rsidRPr="00C009FA">
        <w:t>at P 115 n.</w:t>
      </w:r>
      <w:proofErr w:type="gramStart"/>
      <w:r w:rsidRPr="00C009FA">
        <w:t>124</w:t>
      </w:r>
      <w:r w:rsidR="002F4EC2">
        <w:t>;</w:t>
      </w:r>
      <w:proofErr w:type="gramEnd"/>
      <w:r w:rsidR="002F4EC2">
        <w:t xml:space="preserve"> </w:t>
      </w:r>
      <w:r w:rsidRPr="00C009FA">
        <w:rPr>
          <w:i/>
          <w:iCs/>
        </w:rPr>
        <w:t xml:space="preserve">Midwest </w:t>
      </w:r>
      <w:proofErr w:type="spellStart"/>
      <w:r w:rsidRPr="00C009FA">
        <w:rPr>
          <w:i/>
          <w:iCs/>
        </w:rPr>
        <w:t>Indep</w:t>
      </w:r>
      <w:proofErr w:type="spellEnd"/>
      <w:r w:rsidRPr="00C009FA">
        <w:rPr>
          <w:i/>
          <w:iCs/>
        </w:rPr>
        <w:t>. Transmission Sys. Operator, Inc.</w:t>
      </w:r>
      <w:r w:rsidRPr="00C009FA">
        <w:t xml:space="preserve">, 122 FERC ¶ 61,084, </w:t>
      </w:r>
      <w:r w:rsidR="00BC259F">
        <w:t xml:space="preserve">             </w:t>
      </w:r>
      <w:r w:rsidRPr="00C009FA">
        <w:t>at P</w:t>
      </w:r>
      <w:r w:rsidR="00AA23F3">
        <w:t> </w:t>
      </w:r>
      <w:r w:rsidRPr="00C009FA">
        <w:t xml:space="preserve">21 n.18 (2008); </w:t>
      </w:r>
      <w:r w:rsidRPr="00C009FA">
        <w:rPr>
          <w:i/>
          <w:iCs/>
        </w:rPr>
        <w:t>PJM Interconnection, L.L.C.</w:t>
      </w:r>
      <w:r w:rsidRPr="00C009FA">
        <w:t>, 117 FERC ¶ 61,331, at P 85 (2006)</w:t>
      </w:r>
      <w:r>
        <w:t xml:space="preserve">; </w:t>
      </w:r>
      <w:r w:rsidRPr="00C009FA">
        <w:rPr>
          <w:i/>
          <w:iCs/>
        </w:rPr>
        <w:t>Kern River Gas Transmission Co.</w:t>
      </w:r>
      <w:r w:rsidRPr="00C009FA">
        <w:t xml:space="preserve">, Opinion No. 486-F, 142 FERC ¶ 61,132 at P 37 &amp; n.50 </w:t>
      </w:r>
      <w:r>
        <w:t xml:space="preserve">; </w:t>
      </w:r>
      <w:r w:rsidRPr="00C009FA">
        <w:rPr>
          <w:i/>
          <w:iCs/>
        </w:rPr>
        <w:t>ANR Pipeline Co.</w:t>
      </w:r>
      <w:r w:rsidRPr="00C009FA">
        <w:t xml:space="preserve">, 109 FERC ¶ 61,138, at P 28 (2004), </w:t>
      </w:r>
      <w:r w:rsidRPr="00C009FA">
        <w:rPr>
          <w:i/>
          <w:iCs/>
        </w:rPr>
        <w:t>order on reh’g</w:t>
      </w:r>
      <w:r w:rsidRPr="00C009FA">
        <w:t>, 111 FERC ¶ 61,113, at P 19 (2005)</w:t>
      </w:r>
      <w:r>
        <w:t xml:space="preserve">, as well as certain judicial decisions, </w:t>
      </w:r>
      <w:r>
        <w:rPr>
          <w:i/>
          <w:iCs/>
        </w:rPr>
        <w:t>see, e.g.</w:t>
      </w:r>
      <w:r>
        <w:t xml:space="preserve">, </w:t>
      </w:r>
      <w:r w:rsidRPr="007B4C33">
        <w:rPr>
          <w:i/>
          <w:iCs/>
        </w:rPr>
        <w:t>Emera M</w:t>
      </w:r>
      <w:r w:rsidR="00AA39C7">
        <w:rPr>
          <w:i/>
          <w:iCs/>
        </w:rPr>
        <w:t>ain</w:t>
      </w:r>
      <w:r w:rsidRPr="007B4C33">
        <w:rPr>
          <w:i/>
          <w:iCs/>
        </w:rPr>
        <w:t>e</w:t>
      </w:r>
      <w:r w:rsidRPr="007B4C33">
        <w:t xml:space="preserve">, </w:t>
      </w:r>
      <w:r w:rsidR="00BC259F">
        <w:t xml:space="preserve">      </w:t>
      </w:r>
      <w:r w:rsidRPr="007B4C33">
        <w:t xml:space="preserve">854 F.3d </w:t>
      </w:r>
      <w:r w:rsidR="00C350D9">
        <w:t>at</w:t>
      </w:r>
      <w:r w:rsidRPr="007B4C33">
        <w:t xml:space="preserve"> 674</w:t>
      </w:r>
      <w:r>
        <w:t xml:space="preserve">; </w:t>
      </w:r>
      <w:r w:rsidRPr="00C009FA">
        <w:rPr>
          <w:i/>
          <w:iCs/>
        </w:rPr>
        <w:t>Pub. Serv. Comm’n of N.Y.</w:t>
      </w:r>
      <w:r w:rsidR="005520E1">
        <w:rPr>
          <w:i/>
          <w:iCs/>
        </w:rPr>
        <w:t xml:space="preserve"> v. FERC</w:t>
      </w:r>
      <w:r w:rsidRPr="00C009FA">
        <w:t xml:space="preserve">, 642 F.2d </w:t>
      </w:r>
      <w:r w:rsidR="005520E1">
        <w:t>1335,</w:t>
      </w:r>
      <w:r w:rsidRPr="00C009FA">
        <w:t xml:space="preserve"> 1343-44</w:t>
      </w:r>
      <w:r w:rsidR="00A82478">
        <w:t xml:space="preserve"> (D.C. Cir. </w:t>
      </w:r>
      <w:r w:rsidR="00D2340C">
        <w:t>1980)</w:t>
      </w:r>
      <w:r w:rsidRPr="00C009FA">
        <w:t xml:space="preserve">; </w:t>
      </w:r>
      <w:r w:rsidRPr="00C009FA">
        <w:rPr>
          <w:i/>
          <w:iCs/>
        </w:rPr>
        <w:t>ANR Pipeline Co.</w:t>
      </w:r>
      <w:r w:rsidR="00407B99">
        <w:rPr>
          <w:i/>
          <w:iCs/>
        </w:rPr>
        <w:t xml:space="preserve"> v. FERC</w:t>
      </w:r>
      <w:r w:rsidRPr="00C009FA">
        <w:t xml:space="preserve">, 771 F.2d </w:t>
      </w:r>
      <w:r w:rsidR="00B10F53">
        <w:t>507,</w:t>
      </w:r>
      <w:r w:rsidRPr="00C009FA">
        <w:t xml:space="preserve"> 514</w:t>
      </w:r>
      <w:r w:rsidR="00B10F53">
        <w:t xml:space="preserve"> (D.C. Cir. </w:t>
      </w:r>
      <w:r w:rsidR="00586270">
        <w:t>1985</w:t>
      </w:r>
      <w:r w:rsidR="00B10F53">
        <w:t>)</w:t>
      </w:r>
      <w:r>
        <w:t xml:space="preserve">; </w:t>
      </w:r>
      <w:r w:rsidRPr="00185397">
        <w:rPr>
          <w:i/>
          <w:iCs/>
        </w:rPr>
        <w:t>Consol. Edison Co. v. FERC</w:t>
      </w:r>
      <w:r w:rsidRPr="00185397">
        <w:t>, 165 F.3d 992, 100</w:t>
      </w:r>
      <w:r>
        <w:t>0 (D.C. Cir. 1999</w:t>
      </w:r>
      <w:r w:rsidRPr="00185397">
        <w:t>)</w:t>
      </w:r>
      <w:r>
        <w:t>.</w:t>
      </w:r>
    </w:p>
  </w:footnote>
  <w:footnote w:id="253">
    <w:p w14:paraId="72E4CFE4" w14:textId="75BA8EE6" w:rsidR="00C348A1" w:rsidRPr="00194FF9" w:rsidRDefault="00C348A1" w:rsidP="00C348A1">
      <w:pPr>
        <w:pStyle w:val="FootnoteText"/>
      </w:pPr>
      <w:r>
        <w:rPr>
          <w:rStyle w:val="FootnoteReference"/>
        </w:rPr>
        <w:footnoteRef/>
      </w:r>
      <w:r>
        <w:t xml:space="preserve"> </w:t>
      </w:r>
      <w:r>
        <w:rPr>
          <w:i/>
          <w:iCs/>
        </w:rPr>
        <w:t>See, e.g.</w:t>
      </w:r>
      <w:r>
        <w:t xml:space="preserve">, MISO TOs Rehearing Request at </w:t>
      </w:r>
      <w:proofErr w:type="gramStart"/>
      <w:r>
        <w:t>33-35;</w:t>
      </w:r>
      <w:proofErr w:type="gramEnd"/>
      <w:r>
        <w:t xml:space="preserve"> </w:t>
      </w:r>
      <w:r>
        <w:rPr>
          <w:i/>
          <w:iCs/>
        </w:rPr>
        <w:t>id.</w:t>
      </w:r>
      <w:r>
        <w:t xml:space="preserve"> at 37-38 (arguing </w:t>
      </w:r>
      <w:r w:rsidDel="00DE1E70">
        <w:t xml:space="preserve">that </w:t>
      </w:r>
      <w:r w:rsidRPr="002D0576">
        <w:t xml:space="preserve">Order No. 1920-A </w:t>
      </w:r>
      <w:r>
        <w:t xml:space="preserve">creates a </w:t>
      </w:r>
      <w:r w:rsidRPr="002D0576">
        <w:t>layer of bureaucratic delay</w:t>
      </w:r>
      <w:r>
        <w:t>); Indicated PJM TOs Rehearing Request at 1</w:t>
      </w:r>
      <w:r w:rsidR="00B47A1E">
        <w:t>8</w:t>
      </w:r>
      <w:r>
        <w:t>-2</w:t>
      </w:r>
      <w:r w:rsidR="008C4D74">
        <w:t>1</w:t>
      </w:r>
      <w:r>
        <w:t>.</w:t>
      </w:r>
    </w:p>
  </w:footnote>
  <w:footnote w:id="254">
    <w:p w14:paraId="4C50FECF" w14:textId="77777777" w:rsidR="009923CC" w:rsidRDefault="009923CC" w:rsidP="009923CC">
      <w:pPr>
        <w:pStyle w:val="FootnoteText"/>
      </w:pPr>
      <w:r>
        <w:rPr>
          <w:rStyle w:val="FootnoteReference"/>
        </w:rPr>
        <w:footnoteRef/>
      </w:r>
      <w:r>
        <w:t xml:space="preserve"> </w:t>
      </w:r>
      <w:r>
        <w:rPr>
          <w:i/>
          <w:iCs/>
        </w:rPr>
        <w:t xml:space="preserve">See </w:t>
      </w:r>
      <w:r w:rsidRPr="004D52E7">
        <w:t xml:space="preserve">SPP TOs </w:t>
      </w:r>
      <w:r>
        <w:t>Rehearing Request</w:t>
      </w:r>
      <w:r w:rsidRPr="004D52E7">
        <w:t xml:space="preserve"> at 20-21</w:t>
      </w:r>
      <w:r>
        <w:t>.</w:t>
      </w:r>
    </w:p>
  </w:footnote>
  <w:footnote w:id="255">
    <w:p w14:paraId="5A4C23B0" w14:textId="77777777" w:rsidR="009923CC" w:rsidRPr="00F77E04" w:rsidRDefault="009923CC" w:rsidP="009923CC">
      <w:pPr>
        <w:pStyle w:val="FootnoteText"/>
      </w:pPr>
      <w:r>
        <w:rPr>
          <w:rStyle w:val="FootnoteReference"/>
        </w:rPr>
        <w:footnoteRef/>
      </w:r>
      <w:r>
        <w:t xml:space="preserve"> </w:t>
      </w:r>
      <w:r>
        <w:rPr>
          <w:i/>
          <w:iCs/>
        </w:rPr>
        <w:t>See id.</w:t>
      </w:r>
      <w:r>
        <w:t xml:space="preserve">; </w:t>
      </w:r>
      <w:r>
        <w:rPr>
          <w:i/>
          <w:iCs/>
        </w:rPr>
        <w:t>see also id.</w:t>
      </w:r>
      <w:r>
        <w:t xml:space="preserve"> at 7 (arguing that Order No. 1920-A </w:t>
      </w:r>
      <w:r w:rsidRPr="005E18B5">
        <w:t>violates the structure of FPA sections 205 and 206 because it imposes on transmission providers a higher burden than on Relevant State Entities</w:t>
      </w:r>
      <w:r>
        <w:t>).</w:t>
      </w:r>
    </w:p>
  </w:footnote>
  <w:footnote w:id="256">
    <w:p w14:paraId="360204A2" w14:textId="77777777" w:rsidR="009923CC" w:rsidRDefault="009923CC" w:rsidP="009923CC">
      <w:pPr>
        <w:pStyle w:val="FootnoteText"/>
      </w:pPr>
      <w:r>
        <w:rPr>
          <w:rStyle w:val="FootnoteReference"/>
        </w:rPr>
        <w:footnoteRef/>
      </w:r>
      <w:r>
        <w:t xml:space="preserve"> </w:t>
      </w:r>
      <w:r>
        <w:rPr>
          <w:i/>
          <w:iCs/>
        </w:rPr>
        <w:t>See id</w:t>
      </w:r>
      <w:r>
        <w:t>.</w:t>
      </w:r>
    </w:p>
  </w:footnote>
  <w:footnote w:id="257">
    <w:p w14:paraId="13A806F7" w14:textId="77777777" w:rsidR="006A333D" w:rsidRDefault="006A333D" w:rsidP="006A333D">
      <w:pPr>
        <w:pStyle w:val="FootnoteText"/>
      </w:pPr>
      <w:r w:rsidRPr="00A150AF">
        <w:rPr>
          <w:rStyle w:val="FootnoteReference"/>
        </w:rPr>
        <w:footnoteRef/>
      </w:r>
      <w:r>
        <w:t xml:space="preserve"> 5 U.S.C § 706(2)(A).</w:t>
      </w:r>
    </w:p>
  </w:footnote>
  <w:footnote w:id="258">
    <w:p w14:paraId="301FDF37" w14:textId="64032BE6" w:rsidR="006A333D" w:rsidRPr="009E4FFB" w:rsidRDefault="006A333D" w:rsidP="006A333D">
      <w:pPr>
        <w:pStyle w:val="FootnoteText"/>
        <w:rPr>
          <w:iCs/>
        </w:rPr>
      </w:pPr>
      <w:r>
        <w:rPr>
          <w:rStyle w:val="FootnoteReference"/>
        </w:rPr>
        <w:footnoteRef/>
      </w:r>
      <w:r>
        <w:t xml:space="preserve"> </w:t>
      </w:r>
      <w:r>
        <w:rPr>
          <w:i/>
          <w:iCs/>
        </w:rPr>
        <w:t>South Carolina</w:t>
      </w:r>
      <w:r>
        <w:rPr>
          <w:iCs/>
        </w:rPr>
        <w:t>, 762 F.3d at 54 (quotation</w:t>
      </w:r>
      <w:r w:rsidR="00B1228E">
        <w:rPr>
          <w:iCs/>
        </w:rPr>
        <w:t xml:space="preserve"> mark</w:t>
      </w:r>
      <w:r>
        <w:rPr>
          <w:iCs/>
        </w:rPr>
        <w:t xml:space="preserve">s omitted) (citing </w:t>
      </w:r>
      <w:r>
        <w:rPr>
          <w:i/>
        </w:rPr>
        <w:t xml:space="preserve">Motor Vehicle Mfrs. </w:t>
      </w:r>
      <w:proofErr w:type="spellStart"/>
      <w:r>
        <w:rPr>
          <w:i/>
        </w:rPr>
        <w:t>Ass’n</w:t>
      </w:r>
      <w:proofErr w:type="spellEnd"/>
      <w:r>
        <w:rPr>
          <w:i/>
        </w:rPr>
        <w:t xml:space="preserve"> of U.S., Inc. v. State Farm Mut. Auto. Ins. Co.</w:t>
      </w:r>
      <w:r>
        <w:rPr>
          <w:iCs/>
        </w:rPr>
        <w:t>, 463 U.S. 29, 43 (1983</w:t>
      </w:r>
      <w:proofErr w:type="gramStart"/>
      <w:r>
        <w:rPr>
          <w:iCs/>
        </w:rPr>
        <w:t xml:space="preserve">); </w:t>
      </w:r>
      <w:r w:rsidR="00BC259F">
        <w:rPr>
          <w:iCs/>
        </w:rPr>
        <w:t xml:space="preserve">  </w:t>
      </w:r>
      <w:proofErr w:type="gramEnd"/>
      <w:r w:rsidR="00BC259F">
        <w:rPr>
          <w:iCs/>
        </w:rPr>
        <w:t xml:space="preserve">              </w:t>
      </w:r>
      <w:r>
        <w:rPr>
          <w:iCs/>
        </w:rPr>
        <w:t>16 U.S.C. 825</w:t>
      </w:r>
      <w:r>
        <w:rPr>
          <w:i/>
        </w:rPr>
        <w:t>l</w:t>
      </w:r>
      <w:r>
        <w:rPr>
          <w:iCs/>
        </w:rPr>
        <w:t xml:space="preserve">(b); </w:t>
      </w:r>
      <w:r>
        <w:rPr>
          <w:i/>
        </w:rPr>
        <w:t>Murray Energy Corp. v. FERC</w:t>
      </w:r>
      <w:r>
        <w:rPr>
          <w:iCs/>
        </w:rPr>
        <w:t xml:space="preserve">, 629 F.3d 231, 235 (D.C. Cir. 2011); </w:t>
      </w:r>
      <w:r>
        <w:rPr>
          <w:i/>
        </w:rPr>
        <w:t>Fla. Gas Transmission Co. v. FERC</w:t>
      </w:r>
      <w:r>
        <w:rPr>
          <w:iCs/>
        </w:rPr>
        <w:t>, 604 F.3d 636, 645 (D.C. Cir</w:t>
      </w:r>
      <w:r w:rsidR="00161040">
        <w:rPr>
          <w:iCs/>
        </w:rPr>
        <w:t>.</w:t>
      </w:r>
      <w:r>
        <w:rPr>
          <w:iCs/>
        </w:rPr>
        <w:t xml:space="preserve"> 2010); </w:t>
      </w:r>
      <w:r>
        <w:rPr>
          <w:i/>
        </w:rPr>
        <w:t>Wis. Gas Co. v. FERC</w:t>
      </w:r>
      <w:r>
        <w:rPr>
          <w:iCs/>
        </w:rPr>
        <w:t>, 770 F.2d 1144, 1156 (D.C. Cir. 1985)).</w:t>
      </w:r>
    </w:p>
  </w:footnote>
  <w:footnote w:id="259">
    <w:p w14:paraId="51C2FE45" w14:textId="77777777" w:rsidR="006A333D" w:rsidRDefault="006A333D" w:rsidP="006A333D">
      <w:pPr>
        <w:pStyle w:val="FootnoteText"/>
      </w:pPr>
      <w:r>
        <w:rPr>
          <w:rStyle w:val="FootnoteReference"/>
        </w:rPr>
        <w:footnoteRef/>
      </w:r>
      <w:r>
        <w:t xml:space="preserve"> Order No. 1920, </w:t>
      </w:r>
      <w:r w:rsidRPr="00F53842">
        <w:t>187 FERC ¶ 61,068</w:t>
      </w:r>
      <w:r>
        <w:t xml:space="preserve"> at PP 126, 1354, 1357.</w:t>
      </w:r>
    </w:p>
  </w:footnote>
  <w:footnote w:id="260">
    <w:p w14:paraId="40A18D3C" w14:textId="77777777" w:rsidR="006A333D" w:rsidRDefault="006A333D" w:rsidP="006A333D">
      <w:pPr>
        <w:pStyle w:val="FootnoteText"/>
      </w:pPr>
      <w:r>
        <w:rPr>
          <w:rStyle w:val="FootnoteReference"/>
        </w:rPr>
        <w:footnoteRef/>
      </w:r>
      <w:r>
        <w:t xml:space="preserve"> Order No. 1920-A, </w:t>
      </w:r>
      <w:r w:rsidRPr="003C276F">
        <w:t>189 FERC ¶ 61,126</w:t>
      </w:r>
      <w:r>
        <w:t xml:space="preserve"> at PP 649, 654-657.</w:t>
      </w:r>
    </w:p>
  </w:footnote>
  <w:footnote w:id="261">
    <w:p w14:paraId="10B40D6B" w14:textId="681B1E50" w:rsidR="006A333D" w:rsidRDefault="006A333D" w:rsidP="006A333D">
      <w:pPr>
        <w:pStyle w:val="FootnoteText"/>
      </w:pPr>
      <w:r>
        <w:rPr>
          <w:rStyle w:val="FootnoteReference"/>
        </w:rPr>
        <w:footnoteRef/>
      </w:r>
      <w:r>
        <w:t xml:space="preserve"> </w:t>
      </w:r>
      <w:r w:rsidR="00B0643B">
        <w:rPr>
          <w:i/>
          <w:iCs/>
        </w:rPr>
        <w:t>Id.</w:t>
      </w:r>
    </w:p>
  </w:footnote>
  <w:footnote w:id="262">
    <w:p w14:paraId="1F7D926C" w14:textId="6CCD9699" w:rsidR="003C3146" w:rsidRDefault="003C3146">
      <w:pPr>
        <w:pStyle w:val="FootnoteText"/>
      </w:pPr>
      <w:r>
        <w:rPr>
          <w:rStyle w:val="FootnoteReference"/>
        </w:rPr>
        <w:footnoteRef/>
      </w:r>
      <w:r>
        <w:t xml:space="preserve"> </w:t>
      </w:r>
      <w:r w:rsidR="00B84DEC">
        <w:rPr>
          <w:i/>
          <w:iCs/>
        </w:rPr>
        <w:t>Id.</w:t>
      </w:r>
      <w:r w:rsidR="00B90BB3">
        <w:t xml:space="preserve"> P 659.</w:t>
      </w:r>
    </w:p>
  </w:footnote>
  <w:footnote w:id="263">
    <w:p w14:paraId="66737472" w14:textId="49C3642E" w:rsidR="006A333D" w:rsidRPr="002F1CA1" w:rsidRDefault="006A333D" w:rsidP="006A333D">
      <w:pPr>
        <w:pStyle w:val="FootnoteText"/>
      </w:pPr>
      <w:r>
        <w:rPr>
          <w:rStyle w:val="FootnoteReference"/>
        </w:rPr>
        <w:footnoteRef/>
      </w:r>
      <w:r>
        <w:t xml:space="preserve"> </w:t>
      </w:r>
      <w:r>
        <w:rPr>
          <w:i/>
          <w:iCs/>
        </w:rPr>
        <w:t>See, e.g.</w:t>
      </w:r>
      <w:r>
        <w:t xml:space="preserve">, </w:t>
      </w:r>
      <w:r w:rsidRPr="00126083">
        <w:t>EEI Rehearing Request at 9-10</w:t>
      </w:r>
      <w:r>
        <w:t xml:space="preserve">; </w:t>
      </w:r>
      <w:r w:rsidRPr="00724999">
        <w:t xml:space="preserve">SPP TOs Rehearing Request </w:t>
      </w:r>
      <w:r w:rsidR="00BC259F">
        <w:t xml:space="preserve">                     </w:t>
      </w:r>
      <w:r w:rsidRPr="00724999">
        <w:t>at 17-18</w:t>
      </w:r>
      <w:r w:rsidR="000A064E">
        <w:t xml:space="preserve">, </w:t>
      </w:r>
      <w:r w:rsidR="00036A4D">
        <w:t>29</w:t>
      </w:r>
      <w:r>
        <w:t xml:space="preserve">; </w:t>
      </w:r>
      <w:r w:rsidRPr="00AD7679">
        <w:t>WIRES Rehearing Request at 14</w:t>
      </w:r>
      <w:r>
        <w:t>.</w:t>
      </w:r>
    </w:p>
  </w:footnote>
  <w:footnote w:id="264">
    <w:p w14:paraId="76472A8E" w14:textId="0EFFC817" w:rsidR="006A333D" w:rsidRDefault="006A333D" w:rsidP="006A333D">
      <w:pPr>
        <w:pStyle w:val="FootnoteText"/>
      </w:pPr>
      <w:r>
        <w:rPr>
          <w:rStyle w:val="FootnoteReference"/>
        </w:rPr>
        <w:footnoteRef/>
      </w:r>
      <w:r>
        <w:t xml:space="preserve"> </w:t>
      </w:r>
      <w:r w:rsidRPr="00EB797F">
        <w:rPr>
          <w:i/>
          <w:iCs/>
        </w:rPr>
        <w:t>See, e.g.</w:t>
      </w:r>
      <w:r w:rsidRPr="00C8341A">
        <w:t>,</w:t>
      </w:r>
      <w:r>
        <w:rPr>
          <w:i/>
          <w:iCs/>
        </w:rPr>
        <w:t xml:space="preserve"> </w:t>
      </w:r>
      <w:r w:rsidRPr="00BC1E76">
        <w:rPr>
          <w:i/>
          <w:iCs/>
        </w:rPr>
        <w:t>EPSA</w:t>
      </w:r>
      <w:r w:rsidRPr="000B02F8">
        <w:t>, 577 U.S.</w:t>
      </w:r>
      <w:r>
        <w:t xml:space="preserve"> at</w:t>
      </w:r>
      <w:r w:rsidRPr="000B02F8">
        <w:t xml:space="preserve"> 292</w:t>
      </w:r>
      <w:r>
        <w:t xml:space="preserve"> (“</w:t>
      </w:r>
      <w:r w:rsidRPr="000B02F8">
        <w:t xml:space="preserve">A court is not to ask whether a regulatory decision is the best one possible or even whether it is better than the alternatives. </w:t>
      </w:r>
      <w:r w:rsidR="00F05A82">
        <w:t xml:space="preserve"> </w:t>
      </w:r>
      <w:r w:rsidRPr="000B02F8">
        <w:t xml:space="preserve">Rather, the court must uphold a rule if the agency has </w:t>
      </w:r>
      <w:r>
        <w:t>‘</w:t>
      </w:r>
      <w:r w:rsidRPr="000B02F8">
        <w:t xml:space="preserve">examine[d] the relevant [considerations] and articulate[d] a satisfactory explanation for its </w:t>
      </w:r>
      <w:proofErr w:type="gramStart"/>
      <w:r w:rsidRPr="000B02F8">
        <w:t>action[</w:t>
      </w:r>
      <w:proofErr w:type="gramEnd"/>
      <w:r w:rsidRPr="000B02F8">
        <w:t>,] including a rational connection between the facts found and the choice made.</w:t>
      </w:r>
      <w:r>
        <w:t>’</w:t>
      </w:r>
      <w:r w:rsidRPr="000B02F8">
        <w:t>”</w:t>
      </w:r>
      <w:r>
        <w:t xml:space="preserve"> (</w:t>
      </w:r>
      <w:r w:rsidR="000B3700">
        <w:t xml:space="preserve">alterations in original) </w:t>
      </w:r>
      <w:r>
        <w:t xml:space="preserve">(quoting </w:t>
      </w:r>
      <w:r w:rsidRPr="00BC1E76">
        <w:rPr>
          <w:i/>
          <w:iCs/>
        </w:rPr>
        <w:t>State Farm</w:t>
      </w:r>
      <w:r w:rsidRPr="0016605C">
        <w:t xml:space="preserve">, 463 U.S. </w:t>
      </w:r>
      <w:r w:rsidR="004D00CB">
        <w:t>at</w:t>
      </w:r>
      <w:r w:rsidRPr="0016605C">
        <w:t xml:space="preserve"> 43</w:t>
      </w:r>
      <w:r>
        <w:t>)</w:t>
      </w:r>
      <w:r w:rsidR="00665462">
        <w:t>)</w:t>
      </w:r>
      <w:r>
        <w:t>;</w:t>
      </w:r>
      <w:r w:rsidRPr="00EB797F">
        <w:rPr>
          <w:i/>
          <w:iCs/>
        </w:rPr>
        <w:t xml:space="preserve"> Entergy</w:t>
      </w:r>
      <w:r w:rsidRPr="00EB797F">
        <w:t xml:space="preserve">, 40 F.4th </w:t>
      </w:r>
      <w:r>
        <w:t>at</w:t>
      </w:r>
      <w:r w:rsidRPr="00EB797F">
        <w:t xml:space="preserve"> 701–02 (“[A]t bottom, Petitioners simply argue that, in its view, a better method exists.  But [the Commission] is not required to choose the best solution, only a reasonable one.” (quotation marks and citation omitted)</w:t>
      </w:r>
      <w:r w:rsidR="00264059">
        <w:t>)</w:t>
      </w:r>
      <w:r>
        <w:t>.</w:t>
      </w:r>
    </w:p>
  </w:footnote>
  <w:footnote w:id="265">
    <w:p w14:paraId="23386E11" w14:textId="77777777" w:rsidR="006A333D" w:rsidRDefault="006A333D" w:rsidP="006A333D">
      <w:pPr>
        <w:pStyle w:val="FootnoteText"/>
      </w:pPr>
      <w:r>
        <w:rPr>
          <w:rStyle w:val="FootnoteReference"/>
        </w:rPr>
        <w:footnoteRef/>
      </w:r>
      <w:r>
        <w:t xml:space="preserve"> Order No. 1920-A, </w:t>
      </w:r>
      <w:r w:rsidRPr="003C276F">
        <w:t>189 FERC ¶ 61,126</w:t>
      </w:r>
      <w:r>
        <w:t xml:space="preserve"> at P 654 n.1651 (“</w:t>
      </w:r>
      <w:r w:rsidRPr="00344001">
        <w:t xml:space="preserve">The requirement to include Relevant State Entities’ Long-Term Regional Transmission Cost Allocation Method and/or State Agreement Process as an addition to the compliance filing does not constitute a </w:t>
      </w:r>
      <w:r>
        <w:t>‘</w:t>
      </w:r>
      <w:r w:rsidRPr="00344001">
        <w:t>proposal</w:t>
      </w:r>
      <w:r>
        <w:t>’</w:t>
      </w:r>
      <w:r w:rsidRPr="00344001">
        <w:t xml:space="preserve"> from the transmission provider.</w:t>
      </w:r>
      <w:r>
        <w:t>”).</w:t>
      </w:r>
    </w:p>
  </w:footnote>
  <w:footnote w:id="266">
    <w:p w14:paraId="46E34BFB" w14:textId="71078B01" w:rsidR="006A333D" w:rsidRDefault="006A333D" w:rsidP="006A333D">
      <w:pPr>
        <w:pStyle w:val="FootnoteText"/>
      </w:pPr>
      <w:r>
        <w:rPr>
          <w:rStyle w:val="FootnoteReference"/>
        </w:rPr>
        <w:footnoteRef/>
      </w:r>
      <w:r>
        <w:t xml:space="preserve"> </w:t>
      </w:r>
      <w:r w:rsidRPr="000A4AE1">
        <w:rPr>
          <w:i/>
          <w:iCs/>
        </w:rPr>
        <w:t>Id</w:t>
      </w:r>
      <w:r w:rsidRPr="00C8341A">
        <w:rPr>
          <w:i/>
        </w:rPr>
        <w:t>.</w:t>
      </w:r>
      <w:r>
        <w:t xml:space="preserve"> P 659.</w:t>
      </w:r>
    </w:p>
  </w:footnote>
  <w:footnote w:id="267">
    <w:p w14:paraId="18E6B2CE" w14:textId="77777777" w:rsidR="006A333D" w:rsidRDefault="006A333D" w:rsidP="006A333D">
      <w:pPr>
        <w:pStyle w:val="FootnoteText"/>
      </w:pPr>
      <w:r>
        <w:rPr>
          <w:rStyle w:val="FootnoteReference"/>
        </w:rPr>
        <w:footnoteRef/>
      </w:r>
      <w:r>
        <w:t xml:space="preserve"> WIRES Rehearing Request at 14.</w:t>
      </w:r>
    </w:p>
  </w:footnote>
  <w:footnote w:id="268">
    <w:p w14:paraId="65663B69" w14:textId="65BA226B" w:rsidR="006A333D" w:rsidRDefault="006A333D" w:rsidP="006A333D">
      <w:pPr>
        <w:pStyle w:val="FootnoteText"/>
      </w:pPr>
      <w:r>
        <w:rPr>
          <w:rStyle w:val="FootnoteReference"/>
        </w:rPr>
        <w:footnoteRef/>
      </w:r>
      <w:r>
        <w:t xml:space="preserve"> </w:t>
      </w:r>
      <w:r w:rsidRPr="00F46E7E">
        <w:rPr>
          <w:i/>
          <w:iCs/>
        </w:rPr>
        <w:t>See, e.g.</w:t>
      </w:r>
      <w:r w:rsidRPr="00F46E7E">
        <w:t xml:space="preserve">, EEI Rehearing Request at 9-10; SPP TOs Rehearing Request </w:t>
      </w:r>
      <w:r w:rsidR="00BC259F">
        <w:t xml:space="preserve">                      </w:t>
      </w:r>
      <w:r w:rsidRPr="00F46E7E">
        <w:t>at 17-18</w:t>
      </w:r>
      <w:r w:rsidR="00162AC6">
        <w:t xml:space="preserve">, </w:t>
      </w:r>
      <w:r w:rsidR="00945562">
        <w:t>2</w:t>
      </w:r>
      <w:r w:rsidR="00162AC6">
        <w:t>9</w:t>
      </w:r>
      <w:r w:rsidRPr="00F46E7E">
        <w:t>; WIRES Rehearing Request at 14.</w:t>
      </w:r>
      <w:r>
        <w:t xml:space="preserve"> </w:t>
      </w:r>
    </w:p>
  </w:footnote>
  <w:footnote w:id="269">
    <w:p w14:paraId="5D6AB4CE" w14:textId="547E434C" w:rsidR="009777B5" w:rsidRDefault="009777B5">
      <w:pPr>
        <w:pStyle w:val="FootnoteText"/>
      </w:pPr>
      <w:r>
        <w:rPr>
          <w:rStyle w:val="FootnoteReference"/>
        </w:rPr>
        <w:footnoteRef/>
      </w:r>
      <w:r>
        <w:t xml:space="preserve"> </w:t>
      </w:r>
      <w:r w:rsidRPr="00A83509">
        <w:t xml:space="preserve">We note that </w:t>
      </w:r>
      <w:r w:rsidR="002A4E5F" w:rsidRPr="00A83509">
        <w:t>no rehearing petitioners challen</w:t>
      </w:r>
      <w:r w:rsidR="006E752E" w:rsidRPr="00A83509">
        <w:t>ge</w:t>
      </w:r>
      <w:r w:rsidR="002F45F5" w:rsidRPr="00A83509">
        <w:t xml:space="preserve"> </w:t>
      </w:r>
      <w:r w:rsidR="008E12DE" w:rsidRPr="00A83509">
        <w:t>the</w:t>
      </w:r>
      <w:r w:rsidR="002F45F5" w:rsidRPr="00A83509">
        <w:t xml:space="preserve"> requirements</w:t>
      </w:r>
      <w:r w:rsidR="008E12DE" w:rsidRPr="00A83509">
        <w:t xml:space="preserve"> of Order </w:t>
      </w:r>
      <w:r w:rsidR="00BC259F">
        <w:t xml:space="preserve">             </w:t>
      </w:r>
      <w:r w:rsidR="008E12DE" w:rsidRPr="00A83509">
        <w:t>Nos. 1920 and 1920-A</w:t>
      </w:r>
      <w:r w:rsidR="002F45F5" w:rsidRPr="00A83509">
        <w:t xml:space="preserve"> </w:t>
      </w:r>
      <w:r w:rsidR="0093553B" w:rsidRPr="00A83509">
        <w:t>regarding the Engagement Period.</w:t>
      </w:r>
    </w:p>
  </w:footnote>
  <w:footnote w:id="270">
    <w:p w14:paraId="1E021C4A" w14:textId="77777777" w:rsidR="006A333D" w:rsidRDefault="006A333D" w:rsidP="006A333D">
      <w:pPr>
        <w:pStyle w:val="FootnoteText"/>
      </w:pPr>
      <w:r>
        <w:rPr>
          <w:rStyle w:val="FootnoteReference"/>
        </w:rPr>
        <w:footnoteRef/>
      </w:r>
      <w:r>
        <w:t xml:space="preserve"> </w:t>
      </w:r>
      <w:r>
        <w:rPr>
          <w:i/>
          <w:iCs/>
        </w:rPr>
        <w:t>E.g.</w:t>
      </w:r>
      <w:r w:rsidRPr="00C8341A">
        <w:t>,</w:t>
      </w:r>
      <w:r>
        <w:t xml:space="preserve"> Order No. 1920, </w:t>
      </w:r>
      <w:r w:rsidRPr="00E816B5">
        <w:t>187 FERC ¶ 61,068</w:t>
      </w:r>
      <w:r>
        <w:t xml:space="preserve"> at P 124 (“</w:t>
      </w:r>
      <w:r w:rsidRPr="00D651E8">
        <w:t>As the Commission discussed in the NOPR and we continue to find in this final rule, facilitating state regulatory involvement in the cost allocation process could minimize delays and additional costs associated with state and local siting proceedings.</w:t>
      </w:r>
      <w:r>
        <w:t>”).</w:t>
      </w:r>
    </w:p>
  </w:footnote>
  <w:footnote w:id="271">
    <w:p w14:paraId="520400FF" w14:textId="77777777" w:rsidR="006A333D" w:rsidRDefault="006A333D" w:rsidP="006A333D">
      <w:pPr>
        <w:pStyle w:val="FootnoteText"/>
      </w:pPr>
      <w:r>
        <w:rPr>
          <w:rStyle w:val="FootnoteReference"/>
        </w:rPr>
        <w:footnoteRef/>
      </w:r>
      <w:r>
        <w:t xml:space="preserve"> WIRES Rehearing Request at 15.  </w:t>
      </w:r>
    </w:p>
  </w:footnote>
  <w:footnote w:id="272">
    <w:p w14:paraId="6D85A394" w14:textId="2E2C018C" w:rsidR="006A333D" w:rsidRPr="002C6DB0" w:rsidRDefault="006A333D" w:rsidP="006A333D">
      <w:pPr>
        <w:pStyle w:val="FootnoteText"/>
      </w:pPr>
      <w:r>
        <w:rPr>
          <w:rStyle w:val="FootnoteReference"/>
        </w:rPr>
        <w:footnoteRef/>
      </w:r>
      <w:r>
        <w:t xml:space="preserve"> </w:t>
      </w:r>
      <w:r>
        <w:rPr>
          <w:i/>
          <w:iCs/>
        </w:rPr>
        <w:t>See Entergy</w:t>
      </w:r>
      <w:r>
        <w:t>, 40 F.4th at 701-02 (“</w:t>
      </w:r>
      <w:r w:rsidRPr="00477949">
        <w:t xml:space="preserve">It is not our job to determine that </w:t>
      </w:r>
      <w:r>
        <w:t>‘</w:t>
      </w:r>
      <w:r w:rsidRPr="00477949">
        <w:t>FERC made the better call,</w:t>
      </w:r>
      <w:r>
        <w:t>’</w:t>
      </w:r>
      <w:r w:rsidRPr="00477949">
        <w:t xml:space="preserve"> rather, our </w:t>
      </w:r>
      <w:r>
        <w:t>‘</w:t>
      </w:r>
      <w:r w:rsidRPr="00477949">
        <w:t xml:space="preserve">important but limited role is to ensure that the Commission engaged in reasoned </w:t>
      </w:r>
      <w:proofErr w:type="spellStart"/>
      <w:r w:rsidRPr="00477949">
        <w:t>decisionmaking</w:t>
      </w:r>
      <w:proofErr w:type="spellEnd"/>
      <w:r w:rsidRPr="00477949">
        <w:t>.</w:t>
      </w:r>
      <w:r>
        <w:t>’</w:t>
      </w:r>
      <w:r w:rsidRPr="00477949">
        <w:t>”</w:t>
      </w:r>
      <w:r>
        <w:t xml:space="preserve"> (</w:t>
      </w:r>
      <w:r w:rsidR="00F350CA">
        <w:t xml:space="preserve">quoting </w:t>
      </w:r>
      <w:r>
        <w:rPr>
          <w:i/>
          <w:iCs/>
        </w:rPr>
        <w:t>EPSA</w:t>
      </w:r>
      <w:r>
        <w:t>, 577 U.S. at 295)</w:t>
      </w:r>
      <w:r w:rsidR="00294E1B">
        <w:t>)</w:t>
      </w:r>
      <w:r>
        <w:t>.</w:t>
      </w:r>
      <w:r w:rsidR="002C6DB0">
        <w:t xml:space="preserve">  </w:t>
      </w:r>
      <w:r w:rsidR="002C6DB0" w:rsidRPr="00906A84">
        <w:rPr>
          <w:i/>
          <w:iCs/>
        </w:rPr>
        <w:t xml:space="preserve">See also </w:t>
      </w:r>
      <w:r w:rsidR="002C6DB0" w:rsidRPr="00906A84">
        <w:t>Order No. 1920-A, 189 FERC ¶ 61,126 at P 649</w:t>
      </w:r>
      <w:r w:rsidR="00E52A80" w:rsidRPr="00906A84">
        <w:t xml:space="preserve"> (“As the Commission recognized in Order No. 1920, and we reiterate in this order, it is </w:t>
      </w:r>
      <w:r w:rsidR="00D31D14" w:rsidRPr="00906A84">
        <w:t xml:space="preserve">critical to the success of the Long-Term Regional Transmission Planning reforms that states have an opportunity to have a significant role in the establishment of just and reasonable Long-Term Regional Transmission Cost Allocation Methods and State Agreement Processes.” (citing </w:t>
      </w:r>
      <w:r w:rsidR="006E1926" w:rsidRPr="00906A84">
        <w:t>Order No. 1920, 187 FERC ¶ 61,068 at P 1415</w:t>
      </w:r>
      <w:r w:rsidR="005861DC" w:rsidRPr="00906A84">
        <w:t xml:space="preserve">)); </w:t>
      </w:r>
      <w:r w:rsidR="005861DC" w:rsidRPr="00906A84">
        <w:rPr>
          <w:i/>
          <w:iCs/>
        </w:rPr>
        <w:t xml:space="preserve">id. </w:t>
      </w:r>
      <w:r w:rsidR="00B77A1F" w:rsidRPr="00906A84">
        <w:t xml:space="preserve">P 659 (citing </w:t>
      </w:r>
      <w:r w:rsidR="00695384" w:rsidRPr="00906A84">
        <w:t>Order No. 1920, 187 FERC ¶</w:t>
      </w:r>
      <w:r w:rsidR="00836508">
        <w:t> </w:t>
      </w:r>
      <w:r w:rsidR="00695384" w:rsidRPr="00906A84">
        <w:t>61,068 at PP 124, 126, 268, 1293, 1362-1364, 1404, 1407, 1410-1411, 1415, 1477, 1515)</w:t>
      </w:r>
      <w:r w:rsidR="006E1926" w:rsidRPr="00906A84">
        <w:t>.</w:t>
      </w:r>
      <w:r w:rsidR="002C6DB0">
        <w:rPr>
          <w:i/>
          <w:iCs/>
        </w:rPr>
        <w:t xml:space="preserve"> </w:t>
      </w:r>
    </w:p>
  </w:footnote>
  <w:footnote w:id="273">
    <w:p w14:paraId="1C170085" w14:textId="46937E9B" w:rsidR="00B22DC6" w:rsidRDefault="00B22DC6">
      <w:pPr>
        <w:pStyle w:val="FootnoteText"/>
      </w:pPr>
      <w:r w:rsidRPr="00330C05">
        <w:rPr>
          <w:rStyle w:val="FootnoteReference"/>
        </w:rPr>
        <w:footnoteRef/>
      </w:r>
      <w:r w:rsidRPr="00330C05">
        <w:t xml:space="preserve"> Order No. 1920-A, 189 FERC ¶ 61,126 at P 660.</w:t>
      </w:r>
    </w:p>
  </w:footnote>
  <w:footnote w:id="274">
    <w:p w14:paraId="3AE16844" w14:textId="77777777" w:rsidR="006A333D" w:rsidRPr="004E0F6B" w:rsidRDefault="006A333D" w:rsidP="006A333D">
      <w:pPr>
        <w:pStyle w:val="FootnoteText"/>
      </w:pPr>
      <w:r>
        <w:rPr>
          <w:rStyle w:val="FootnoteReference"/>
        </w:rPr>
        <w:footnoteRef/>
      </w:r>
      <w:r>
        <w:t xml:space="preserve"> </w:t>
      </w:r>
      <w:r>
        <w:rPr>
          <w:i/>
          <w:iCs/>
        </w:rPr>
        <w:t xml:space="preserve">See </w:t>
      </w:r>
      <w:r>
        <w:t>EEI Rehearing Request at 12.</w:t>
      </w:r>
    </w:p>
  </w:footnote>
  <w:footnote w:id="275">
    <w:p w14:paraId="7469CA26" w14:textId="77777777" w:rsidR="006A333D" w:rsidRDefault="006A333D" w:rsidP="006A333D">
      <w:pPr>
        <w:pStyle w:val="FootnoteText"/>
      </w:pPr>
      <w:r>
        <w:rPr>
          <w:rStyle w:val="FootnoteReference"/>
        </w:rPr>
        <w:footnoteRef/>
      </w:r>
      <w:r>
        <w:t xml:space="preserve"> Order No. 1920-A, </w:t>
      </w:r>
      <w:r w:rsidRPr="003C276F">
        <w:t>189 FERC ¶ 61,126</w:t>
      </w:r>
      <w:r>
        <w:t xml:space="preserve"> at P 659.</w:t>
      </w:r>
    </w:p>
  </w:footnote>
  <w:footnote w:id="276">
    <w:p w14:paraId="197CFEA8" w14:textId="541C7971" w:rsidR="006A333D" w:rsidRDefault="006A333D" w:rsidP="006A333D">
      <w:pPr>
        <w:pStyle w:val="FootnoteText"/>
      </w:pPr>
      <w:r>
        <w:rPr>
          <w:rStyle w:val="FootnoteReference"/>
        </w:rPr>
        <w:footnoteRef/>
      </w:r>
      <w:r>
        <w:t xml:space="preserve"> </w:t>
      </w:r>
      <w:r w:rsidRPr="00F100C1">
        <w:rPr>
          <w:i/>
          <w:iCs/>
        </w:rPr>
        <w:t>Id</w:t>
      </w:r>
      <w:r w:rsidRPr="00C8341A">
        <w:rPr>
          <w:i/>
        </w:rPr>
        <w:t>.</w:t>
      </w:r>
      <w:r>
        <w:t xml:space="preserve"> (citing Order No. 1920, </w:t>
      </w:r>
      <w:r w:rsidRPr="003A1339">
        <w:t>187 FERC ¶ 61,068 at PP 124, 126, 268, 1293, 1362-1364, 1404, 1407, 1410-1411, 1415, 1477, 1515</w:t>
      </w:r>
      <w:r>
        <w:t>).</w:t>
      </w:r>
    </w:p>
  </w:footnote>
  <w:footnote w:id="277">
    <w:p w14:paraId="6B422767" w14:textId="77777777" w:rsidR="006A333D" w:rsidRPr="00F910F6" w:rsidRDefault="006A333D" w:rsidP="006A333D">
      <w:pPr>
        <w:pStyle w:val="FootnoteText"/>
      </w:pPr>
      <w:r>
        <w:rPr>
          <w:rStyle w:val="FootnoteReference"/>
        </w:rPr>
        <w:footnoteRef/>
      </w:r>
      <w:r>
        <w:t xml:space="preserve"> </w:t>
      </w:r>
      <w:r>
        <w:rPr>
          <w:i/>
          <w:iCs/>
        </w:rPr>
        <w:t xml:space="preserve">See </w:t>
      </w:r>
      <w:r>
        <w:t>EEI Rehearing Request at 10.</w:t>
      </w:r>
    </w:p>
  </w:footnote>
  <w:footnote w:id="278">
    <w:p w14:paraId="63EE9958" w14:textId="069BDA08" w:rsidR="006A333D" w:rsidRDefault="006A333D" w:rsidP="006A333D">
      <w:pPr>
        <w:pStyle w:val="FootnoteText"/>
      </w:pPr>
      <w:r>
        <w:rPr>
          <w:rStyle w:val="FootnoteReference"/>
        </w:rPr>
        <w:footnoteRef/>
      </w:r>
      <w:r>
        <w:t xml:space="preserve"> </w:t>
      </w:r>
      <w:r w:rsidRPr="00192A0E">
        <w:rPr>
          <w:i/>
          <w:iCs/>
        </w:rPr>
        <w:t xml:space="preserve">See </w:t>
      </w:r>
      <w:r w:rsidRPr="00192A0E">
        <w:t>MISO TOs Rehearing Request at 33-38; Indicated PJM TOs Rehearing Request at 18-21; SPP TOs Rehearing Request at 16-17</w:t>
      </w:r>
      <w:r w:rsidR="00BF7A17">
        <w:t>,</w:t>
      </w:r>
      <w:r w:rsidRPr="00192A0E">
        <w:t xml:space="preserve"> 30; EEI Rehearing Request </w:t>
      </w:r>
      <w:r w:rsidR="00BC259F">
        <w:t xml:space="preserve">      </w:t>
      </w:r>
      <w:r w:rsidRPr="00192A0E">
        <w:t>at 10-11.</w:t>
      </w:r>
    </w:p>
  </w:footnote>
  <w:footnote w:id="279">
    <w:p w14:paraId="537DB9C8" w14:textId="703A930B" w:rsidR="006A333D" w:rsidRPr="00B11EA1" w:rsidRDefault="006A333D" w:rsidP="006A333D">
      <w:pPr>
        <w:pStyle w:val="FootnoteText"/>
      </w:pPr>
      <w:r>
        <w:rPr>
          <w:rStyle w:val="FootnoteReference"/>
        </w:rPr>
        <w:footnoteRef/>
      </w:r>
      <w:r>
        <w:t xml:space="preserve"> </w:t>
      </w:r>
      <w:r>
        <w:rPr>
          <w:i/>
          <w:iCs/>
        </w:rPr>
        <w:t xml:space="preserve">FCC v. Fox Television </w:t>
      </w:r>
      <w:r w:rsidRPr="00BC307F">
        <w:rPr>
          <w:i/>
          <w:iCs/>
        </w:rPr>
        <w:t>Stat</w:t>
      </w:r>
      <w:r w:rsidR="00E45BEC" w:rsidRPr="00BC307F">
        <w:rPr>
          <w:i/>
          <w:iCs/>
        </w:rPr>
        <w:t>i</w:t>
      </w:r>
      <w:r w:rsidR="00BC307F">
        <w:rPr>
          <w:i/>
          <w:iCs/>
        </w:rPr>
        <w:t>on</w:t>
      </w:r>
      <w:r w:rsidRPr="00BC307F">
        <w:rPr>
          <w:i/>
          <w:iCs/>
        </w:rPr>
        <w:t>s</w:t>
      </w:r>
      <w:r>
        <w:rPr>
          <w:i/>
          <w:iCs/>
        </w:rPr>
        <w:t>, Inc.</w:t>
      </w:r>
      <w:r>
        <w:t>, 556 U.S. at 514.</w:t>
      </w:r>
    </w:p>
  </w:footnote>
  <w:footnote w:id="280">
    <w:p w14:paraId="194D0E51" w14:textId="4255D187" w:rsidR="006A333D" w:rsidRDefault="006A333D" w:rsidP="006A333D">
      <w:pPr>
        <w:pStyle w:val="FootnoteText"/>
      </w:pPr>
      <w:r>
        <w:rPr>
          <w:rStyle w:val="FootnoteReference"/>
        </w:rPr>
        <w:footnoteRef/>
      </w:r>
      <w:r w:rsidR="0041357A" w:rsidRPr="00B3322E">
        <w:t xml:space="preserve"> </w:t>
      </w:r>
      <w:r w:rsidRPr="00EB22E3">
        <w:rPr>
          <w:i/>
          <w:iCs/>
        </w:rPr>
        <w:t>Id</w:t>
      </w:r>
      <w:r w:rsidRPr="00C8341A">
        <w:rPr>
          <w:i/>
        </w:rPr>
        <w:t>.</w:t>
      </w:r>
      <w:r>
        <w:t xml:space="preserve"> </w:t>
      </w:r>
      <w:r w:rsidRPr="00EB22E3">
        <w:t>at</w:t>
      </w:r>
      <w:r>
        <w:t xml:space="preserve"> 515.</w:t>
      </w:r>
    </w:p>
  </w:footnote>
  <w:footnote w:id="281">
    <w:p w14:paraId="3C2AF90A" w14:textId="5FE35F2B" w:rsidR="006A333D" w:rsidRDefault="006A333D" w:rsidP="006A333D">
      <w:pPr>
        <w:pStyle w:val="FootnoteText"/>
      </w:pPr>
      <w:r>
        <w:rPr>
          <w:rStyle w:val="FootnoteReference"/>
        </w:rPr>
        <w:footnoteRef/>
      </w:r>
      <w:r>
        <w:t xml:space="preserve"> </w:t>
      </w:r>
      <w:r w:rsidR="00A9385F">
        <w:rPr>
          <w:i/>
          <w:iCs/>
        </w:rPr>
        <w:t xml:space="preserve">See </w:t>
      </w:r>
      <w:proofErr w:type="gramStart"/>
      <w:r w:rsidR="00A9385F">
        <w:rPr>
          <w:i/>
          <w:iCs/>
        </w:rPr>
        <w:t xml:space="preserve">supra </w:t>
      </w:r>
      <w:r w:rsidR="001E0A7D" w:rsidRPr="001E0A7D">
        <w:t>Requirements</w:t>
      </w:r>
      <w:proofErr w:type="gramEnd"/>
      <w:r w:rsidR="001E0A7D" w:rsidRPr="001E0A7D">
        <w:t xml:space="preserve"> Concerning Relevant State Entities’ Agreed-upon Cost Allocation Methods</w:t>
      </w:r>
      <w:r w:rsidR="001E0A7D">
        <w:t xml:space="preserve">, </w:t>
      </w:r>
      <w:r w:rsidR="00A9385F">
        <w:t>Statutory Filing Rights Under the FPA section.</w:t>
      </w:r>
    </w:p>
  </w:footnote>
  <w:footnote w:id="282">
    <w:p w14:paraId="57A0D6A3" w14:textId="5716E5C7" w:rsidR="006A333D" w:rsidRDefault="006A333D" w:rsidP="006A333D">
      <w:pPr>
        <w:pStyle w:val="FootnoteText"/>
      </w:pPr>
      <w:r>
        <w:rPr>
          <w:rStyle w:val="FootnoteReference"/>
        </w:rPr>
        <w:footnoteRef/>
      </w:r>
      <w:r>
        <w:t xml:space="preserve"> Order No. 1920-A, </w:t>
      </w:r>
      <w:r w:rsidRPr="003C276F">
        <w:t>189 FERC ¶ 61,126</w:t>
      </w:r>
      <w:r>
        <w:t xml:space="preserve"> at P 659 (citing </w:t>
      </w:r>
      <w:r w:rsidRPr="00970061">
        <w:rPr>
          <w:i/>
          <w:iCs/>
        </w:rPr>
        <w:t>PJM Interconnection, L.L.C.</w:t>
      </w:r>
      <w:r w:rsidRPr="00970061">
        <w:t xml:space="preserve">, 173 FERC ¶ 61,134 at P 117 n.175; </w:t>
      </w:r>
      <w:r w:rsidRPr="00970061">
        <w:rPr>
          <w:i/>
          <w:iCs/>
        </w:rPr>
        <w:t>PJM Interconnection, L.L.C.</w:t>
      </w:r>
      <w:r w:rsidRPr="00970061">
        <w:t xml:space="preserve">, 119 FERC </w:t>
      </w:r>
      <w:r w:rsidR="00BC259F">
        <w:t xml:space="preserve">                   </w:t>
      </w:r>
      <w:r w:rsidRPr="00970061">
        <w:t xml:space="preserve">¶ 61,318 at P 115; </w:t>
      </w:r>
      <w:r w:rsidRPr="00970061">
        <w:rPr>
          <w:i/>
          <w:iCs/>
        </w:rPr>
        <w:t>ANR Pipeline Co.</w:t>
      </w:r>
      <w:r w:rsidRPr="00970061">
        <w:t>, 110 FERC ¶ 61,069 at P 49</w:t>
      </w:r>
      <w:r>
        <w:t>).</w:t>
      </w:r>
    </w:p>
  </w:footnote>
  <w:footnote w:id="283">
    <w:p w14:paraId="50571B88" w14:textId="3BDB4EC1" w:rsidR="006A333D" w:rsidRDefault="006A333D" w:rsidP="006A333D">
      <w:pPr>
        <w:pStyle w:val="FootnoteText"/>
      </w:pPr>
      <w:r>
        <w:rPr>
          <w:rStyle w:val="FootnoteReference"/>
        </w:rPr>
        <w:footnoteRef/>
      </w:r>
      <w:r>
        <w:t xml:space="preserve"> </w:t>
      </w:r>
      <w:r w:rsidR="000A6209">
        <w:rPr>
          <w:i/>
          <w:iCs/>
        </w:rPr>
        <w:t>Id.</w:t>
      </w:r>
      <w:r w:rsidR="009B158A" w:rsidRPr="002076DE">
        <w:rPr>
          <w:i/>
        </w:rPr>
        <w:t xml:space="preserve"> </w:t>
      </w:r>
      <w:r w:rsidR="009B158A">
        <w:t>P 659.</w:t>
      </w:r>
    </w:p>
  </w:footnote>
  <w:footnote w:id="284">
    <w:p w14:paraId="38C814F6" w14:textId="5416A6AC" w:rsidR="006A333D" w:rsidRDefault="006A333D" w:rsidP="006A333D">
      <w:pPr>
        <w:pStyle w:val="FootnoteText"/>
      </w:pPr>
      <w:r>
        <w:rPr>
          <w:rStyle w:val="FootnoteReference"/>
        </w:rPr>
        <w:footnoteRef/>
      </w:r>
      <w:r>
        <w:t xml:space="preserve"> </w:t>
      </w:r>
      <w:r w:rsidR="000A6209" w:rsidRPr="000A6209">
        <w:rPr>
          <w:i/>
          <w:iCs/>
        </w:rPr>
        <w:t>Id.</w:t>
      </w:r>
      <w:r>
        <w:t xml:space="preserve">; </w:t>
      </w:r>
      <w:proofErr w:type="gramStart"/>
      <w:r>
        <w:rPr>
          <w:i/>
          <w:iCs/>
        </w:rPr>
        <w:t xml:space="preserve">supra </w:t>
      </w:r>
      <w:r w:rsidRPr="002076DE">
        <w:t>P</w:t>
      </w:r>
      <w:proofErr w:type="gramEnd"/>
      <w:r w:rsidRPr="002076DE">
        <w:t xml:space="preserve"> </w:t>
      </w:r>
      <w:r w:rsidR="00BC259F">
        <w:t>84</w:t>
      </w:r>
      <w:r w:rsidRPr="00AE35B5">
        <w:t>.</w:t>
      </w:r>
    </w:p>
  </w:footnote>
  <w:footnote w:id="285">
    <w:p w14:paraId="6ED8F210" w14:textId="0622E3AE" w:rsidR="006A333D" w:rsidRPr="00DB37CD" w:rsidRDefault="006A333D" w:rsidP="006A333D">
      <w:pPr>
        <w:pStyle w:val="FootnoteText"/>
      </w:pPr>
      <w:r w:rsidRPr="00DB37CD">
        <w:rPr>
          <w:rStyle w:val="FootnoteReference"/>
        </w:rPr>
        <w:footnoteRef/>
      </w:r>
      <w:r w:rsidRPr="00DB37CD">
        <w:t xml:space="preserve"> </w:t>
      </w:r>
      <w:r>
        <w:t xml:space="preserve">Order No. 1920-A, </w:t>
      </w:r>
      <w:r w:rsidRPr="003C276F">
        <w:t>189 FERC ¶ 61,126</w:t>
      </w:r>
      <w:r>
        <w:t xml:space="preserve"> at P 659 (citing </w:t>
      </w:r>
      <w:r w:rsidRPr="00DB37CD">
        <w:rPr>
          <w:szCs w:val="26"/>
        </w:rPr>
        <w:t xml:space="preserve">Order No. </w:t>
      </w:r>
      <w:proofErr w:type="gramStart"/>
      <w:r w:rsidRPr="00DB37CD">
        <w:rPr>
          <w:szCs w:val="26"/>
        </w:rPr>
        <w:t xml:space="preserve">1920, </w:t>
      </w:r>
      <w:r w:rsidR="00BC259F">
        <w:rPr>
          <w:szCs w:val="26"/>
        </w:rPr>
        <w:t xml:space="preserve">  </w:t>
      </w:r>
      <w:proofErr w:type="gramEnd"/>
      <w:r w:rsidR="00BC259F">
        <w:rPr>
          <w:szCs w:val="26"/>
        </w:rPr>
        <w:t xml:space="preserve">           </w:t>
      </w:r>
      <w:r w:rsidRPr="00DB37CD">
        <w:rPr>
          <w:szCs w:val="26"/>
        </w:rPr>
        <w:t>187 FERC ¶ 61,068 at PP 124, 126, 268, 1293, 1362-1364, 1404, 1407, 1410-1411, 1415, 1477, 1515</w:t>
      </w:r>
      <w:r>
        <w:rPr>
          <w:szCs w:val="26"/>
        </w:rPr>
        <w:t xml:space="preserve">); </w:t>
      </w:r>
      <w:r>
        <w:rPr>
          <w:i/>
          <w:iCs/>
          <w:szCs w:val="26"/>
        </w:rPr>
        <w:t xml:space="preserve">supra </w:t>
      </w:r>
      <w:r w:rsidRPr="002076DE">
        <w:t xml:space="preserve">P </w:t>
      </w:r>
      <w:r w:rsidR="00BC259F">
        <w:rPr>
          <w:szCs w:val="26"/>
        </w:rPr>
        <w:t>84</w:t>
      </w:r>
      <w:r w:rsidRPr="00AE35B5">
        <w:rPr>
          <w:szCs w:val="26"/>
        </w:rPr>
        <w:t>.</w:t>
      </w:r>
    </w:p>
  </w:footnote>
  <w:footnote w:id="286">
    <w:p w14:paraId="77A473D3" w14:textId="15F675F2" w:rsidR="006A333D" w:rsidRPr="00DB37CD" w:rsidRDefault="006A333D" w:rsidP="006A333D">
      <w:pPr>
        <w:pStyle w:val="FootnoteText"/>
      </w:pPr>
      <w:r w:rsidRPr="00DB37CD">
        <w:rPr>
          <w:rStyle w:val="FootnoteReference"/>
        </w:rPr>
        <w:footnoteRef/>
      </w:r>
      <w:r w:rsidRPr="00DB37CD">
        <w:t xml:space="preserve"> </w:t>
      </w:r>
      <w:r>
        <w:t xml:space="preserve">Order No. 1920-A, </w:t>
      </w:r>
      <w:r w:rsidRPr="003C276F">
        <w:t>189 FERC ¶ 61,126</w:t>
      </w:r>
      <w:r>
        <w:t xml:space="preserve"> at P 659 (citing </w:t>
      </w:r>
      <w:r w:rsidRPr="00DB37CD">
        <w:rPr>
          <w:szCs w:val="26"/>
        </w:rPr>
        <w:t xml:space="preserve">Order No. </w:t>
      </w:r>
      <w:proofErr w:type="gramStart"/>
      <w:r w:rsidRPr="00DB37CD">
        <w:rPr>
          <w:szCs w:val="26"/>
        </w:rPr>
        <w:t xml:space="preserve">1920, </w:t>
      </w:r>
      <w:r w:rsidR="00BC259F">
        <w:rPr>
          <w:szCs w:val="26"/>
        </w:rPr>
        <w:t xml:space="preserve">  </w:t>
      </w:r>
      <w:proofErr w:type="gramEnd"/>
      <w:r w:rsidR="00BC259F">
        <w:rPr>
          <w:szCs w:val="26"/>
        </w:rPr>
        <w:t xml:space="preserve">            </w:t>
      </w:r>
      <w:r w:rsidRPr="00DB37CD">
        <w:rPr>
          <w:szCs w:val="26"/>
        </w:rPr>
        <w:t xml:space="preserve">187 FERC ¶ 61,068 at </w:t>
      </w:r>
      <w:r w:rsidRPr="00DB37CD">
        <w:t>P 227</w:t>
      </w:r>
      <w:r>
        <w:t>).</w:t>
      </w:r>
    </w:p>
  </w:footnote>
  <w:footnote w:id="287">
    <w:p w14:paraId="7AFC52E5" w14:textId="3910A81C" w:rsidR="006A333D" w:rsidRDefault="006A333D" w:rsidP="006A333D">
      <w:pPr>
        <w:pStyle w:val="FootnoteText"/>
      </w:pPr>
      <w:r>
        <w:rPr>
          <w:rStyle w:val="FootnoteReference"/>
        </w:rPr>
        <w:footnoteRef/>
      </w:r>
      <w:r>
        <w:t xml:space="preserve"> </w:t>
      </w:r>
      <w:r>
        <w:rPr>
          <w:i/>
          <w:iCs/>
        </w:rPr>
        <w:t>FCC v. Fox Television Stat</w:t>
      </w:r>
      <w:r w:rsidR="00BC307F">
        <w:rPr>
          <w:i/>
          <w:iCs/>
        </w:rPr>
        <w:t>ion</w:t>
      </w:r>
      <w:r>
        <w:rPr>
          <w:i/>
          <w:iCs/>
        </w:rPr>
        <w:t>s, Inc.</w:t>
      </w:r>
      <w:r>
        <w:t>, 556 U.S. at 514-15.</w:t>
      </w:r>
    </w:p>
  </w:footnote>
  <w:footnote w:id="288">
    <w:p w14:paraId="3D05151A" w14:textId="77777777" w:rsidR="006A333D" w:rsidRDefault="006A333D" w:rsidP="006A333D">
      <w:pPr>
        <w:pStyle w:val="FootnoteText"/>
      </w:pPr>
      <w:r>
        <w:rPr>
          <w:rStyle w:val="FootnoteReference"/>
        </w:rPr>
        <w:footnoteRef/>
      </w:r>
      <w:r>
        <w:t xml:space="preserve"> </w:t>
      </w:r>
      <w:r w:rsidRPr="00D72852">
        <w:rPr>
          <w:i/>
          <w:iCs/>
        </w:rPr>
        <w:t>See</w:t>
      </w:r>
      <w:r>
        <w:rPr>
          <w:i/>
          <w:iCs/>
        </w:rPr>
        <w:t xml:space="preserve"> </w:t>
      </w:r>
      <w:r w:rsidRPr="00D72852">
        <w:t>MISO TOs Rehearing Request at 35</w:t>
      </w:r>
      <w:r>
        <w:t xml:space="preserve">, </w:t>
      </w:r>
      <w:r w:rsidRPr="00D72852">
        <w:t xml:space="preserve">37-38; Indicated PJM TOs Rehearing Request at </w:t>
      </w:r>
      <w:r>
        <w:t>20-21.</w:t>
      </w:r>
    </w:p>
  </w:footnote>
  <w:footnote w:id="289">
    <w:p w14:paraId="07074E4E" w14:textId="0FB97630" w:rsidR="006A333D" w:rsidRPr="00BC1E76" w:rsidRDefault="006A333D" w:rsidP="006A333D">
      <w:pPr>
        <w:pStyle w:val="FootnoteText"/>
        <w:rPr>
          <w:i/>
          <w:iCs/>
        </w:rPr>
      </w:pPr>
      <w:r>
        <w:rPr>
          <w:rStyle w:val="FootnoteReference"/>
        </w:rPr>
        <w:footnoteRef/>
      </w:r>
      <w:r>
        <w:t xml:space="preserve"> </w:t>
      </w:r>
      <w:r>
        <w:rPr>
          <w:i/>
          <w:iCs/>
        </w:rPr>
        <w:t xml:space="preserve">See </w:t>
      </w:r>
      <w:r w:rsidRPr="00BC1E76">
        <w:rPr>
          <w:i/>
          <w:iCs/>
        </w:rPr>
        <w:t>PJM Interconnection, L.L.C.</w:t>
      </w:r>
      <w:r w:rsidRPr="00765A3C">
        <w:t>, 173 FERC ¶ 61,134</w:t>
      </w:r>
      <w:r>
        <w:t xml:space="preserve"> at P 117 n.175</w:t>
      </w:r>
      <w:r w:rsidRPr="00765A3C">
        <w:t xml:space="preserve"> (“Because PJM may make a section 205 filing to revise these Tariff provisions, we find it reasonable to accept </w:t>
      </w:r>
      <w:r w:rsidR="00376A81" w:rsidRPr="00765A3C">
        <w:t>PJM</w:t>
      </w:r>
      <w:r w:rsidR="00376A81">
        <w:t>’</w:t>
      </w:r>
      <w:r w:rsidR="00376A81" w:rsidRPr="00765A3C">
        <w:t xml:space="preserve">s </w:t>
      </w:r>
      <w:r w:rsidRPr="00765A3C">
        <w:t>proposal over alternatives if PJM</w:t>
      </w:r>
      <w:r w:rsidR="00BD3EBE">
        <w:t>’</w:t>
      </w:r>
      <w:r w:rsidRPr="00765A3C">
        <w:t xml:space="preserve">s proposal is just and reasonable.”).  </w:t>
      </w:r>
    </w:p>
  </w:footnote>
  <w:footnote w:id="290">
    <w:p w14:paraId="3E53C13B" w14:textId="77777777" w:rsidR="006A333D" w:rsidRDefault="006A333D" w:rsidP="006A333D">
      <w:pPr>
        <w:pStyle w:val="FootnoteText"/>
      </w:pPr>
      <w:r>
        <w:rPr>
          <w:rStyle w:val="FootnoteReference"/>
        </w:rPr>
        <w:footnoteRef/>
      </w:r>
      <w:r>
        <w:t xml:space="preserve"> 16 U.S.C. 824e(a).</w:t>
      </w:r>
    </w:p>
  </w:footnote>
  <w:footnote w:id="291">
    <w:p w14:paraId="2E28C56F" w14:textId="19E6404C" w:rsidR="006A333D" w:rsidRPr="000822B8" w:rsidRDefault="006A333D" w:rsidP="006A333D">
      <w:pPr>
        <w:pStyle w:val="FootnoteText"/>
      </w:pPr>
      <w:r>
        <w:rPr>
          <w:rStyle w:val="FootnoteReference"/>
        </w:rPr>
        <w:footnoteRef/>
      </w:r>
      <w:r>
        <w:t xml:space="preserve"> </w:t>
      </w:r>
      <w:r>
        <w:rPr>
          <w:i/>
          <w:iCs/>
        </w:rPr>
        <w:t xml:space="preserve">See </w:t>
      </w:r>
      <w:proofErr w:type="gramStart"/>
      <w:r>
        <w:rPr>
          <w:i/>
          <w:iCs/>
        </w:rPr>
        <w:t>supra</w:t>
      </w:r>
      <w:r>
        <w:t xml:space="preserve"> </w:t>
      </w:r>
      <w:r w:rsidR="001E0A7D" w:rsidRPr="001E0A7D">
        <w:t>Requirements</w:t>
      </w:r>
      <w:proofErr w:type="gramEnd"/>
      <w:r w:rsidR="001E0A7D" w:rsidRPr="001E0A7D">
        <w:t xml:space="preserve"> Concerning Relevant State Entities’ Agreed-upon Cost Allocation Methods</w:t>
      </w:r>
      <w:r w:rsidR="001E0A7D">
        <w:t xml:space="preserve">, </w:t>
      </w:r>
      <w:r w:rsidRPr="002076DE">
        <w:t xml:space="preserve">Statutory Filing Rights </w:t>
      </w:r>
      <w:r w:rsidR="000E3301">
        <w:t>Under</w:t>
      </w:r>
      <w:r w:rsidR="00562C0D">
        <w:t xml:space="preserve"> the FPA s</w:t>
      </w:r>
      <w:r w:rsidRPr="00AC25CC">
        <w:t>ection</w:t>
      </w:r>
      <w:r w:rsidR="00B50561">
        <w:t>.</w:t>
      </w:r>
    </w:p>
  </w:footnote>
  <w:footnote w:id="292">
    <w:p w14:paraId="64A4FB1D" w14:textId="77777777" w:rsidR="006A333D" w:rsidRDefault="006A333D" w:rsidP="006A333D">
      <w:pPr>
        <w:pStyle w:val="FootnoteText"/>
      </w:pPr>
      <w:r>
        <w:rPr>
          <w:rStyle w:val="FootnoteReference"/>
        </w:rPr>
        <w:footnoteRef/>
      </w:r>
      <w:r>
        <w:t xml:space="preserve"> </w:t>
      </w:r>
      <w:r>
        <w:rPr>
          <w:i/>
          <w:iCs/>
        </w:rPr>
        <w:t xml:space="preserve">See </w:t>
      </w:r>
      <w:r w:rsidRPr="00280B7E">
        <w:t xml:space="preserve">SPP TOs Rehearing Request at </w:t>
      </w:r>
      <w:r>
        <w:t xml:space="preserve">7, </w:t>
      </w:r>
      <w:r w:rsidRPr="00280B7E">
        <w:t>20-21.</w:t>
      </w:r>
    </w:p>
  </w:footnote>
  <w:footnote w:id="293">
    <w:p w14:paraId="6418EE48" w14:textId="2F0EF007" w:rsidR="00DA671D" w:rsidRDefault="00DA671D" w:rsidP="00BC259F">
      <w:pPr>
        <w:pStyle w:val="FootnoteText"/>
        <w:widowControl/>
      </w:pPr>
      <w:r>
        <w:rPr>
          <w:rStyle w:val="FootnoteReference"/>
        </w:rPr>
        <w:footnoteRef/>
      </w:r>
      <w:r>
        <w:t xml:space="preserve"> Order No. 1920-A, </w:t>
      </w:r>
      <w:r w:rsidRPr="003C276F">
        <w:t>189 FERC ¶ 61,126</w:t>
      </w:r>
      <w:r>
        <w:t xml:space="preserve"> at P 763 (citing </w:t>
      </w:r>
      <w:r w:rsidRPr="00B7265E">
        <w:t xml:space="preserve">Order No. </w:t>
      </w:r>
      <w:proofErr w:type="gramStart"/>
      <w:r w:rsidRPr="00B7265E">
        <w:t xml:space="preserve">1920, </w:t>
      </w:r>
      <w:r w:rsidR="00BC259F">
        <w:t xml:space="preserve">  </w:t>
      </w:r>
      <w:proofErr w:type="gramEnd"/>
      <w:r w:rsidR="00BC259F">
        <w:t xml:space="preserve">            </w:t>
      </w:r>
      <w:r w:rsidRPr="00B7265E">
        <w:t>187 FERC ¶ 61,068</w:t>
      </w:r>
      <w:r>
        <w:t xml:space="preserve"> at </w:t>
      </w:r>
      <w:r w:rsidRPr="00F2029D">
        <w:t>P 1305 &amp; n.2786</w:t>
      </w:r>
      <w:r>
        <w:t>).</w:t>
      </w:r>
    </w:p>
  </w:footnote>
  <w:footnote w:id="294">
    <w:p w14:paraId="28427A2D" w14:textId="2849B014" w:rsidR="006A333D" w:rsidRDefault="006A333D" w:rsidP="006A333D">
      <w:pPr>
        <w:pStyle w:val="FootnoteText"/>
      </w:pPr>
      <w:r>
        <w:rPr>
          <w:rStyle w:val="FootnoteReference"/>
        </w:rPr>
        <w:footnoteRef/>
      </w:r>
      <w:r>
        <w:t xml:space="preserve"> Order No. </w:t>
      </w:r>
      <w:r w:rsidR="00513C16" w:rsidRPr="00513C16">
        <w:t xml:space="preserve">1920, 187 FERC ¶ 61,068 at P 1477; </w:t>
      </w:r>
      <w:r w:rsidR="00513C16" w:rsidRPr="00513C16">
        <w:rPr>
          <w:i/>
          <w:iCs/>
        </w:rPr>
        <w:t>see also</w:t>
      </w:r>
      <w:r w:rsidR="00513C16" w:rsidRPr="00513C16">
        <w:t xml:space="preserve"> </w:t>
      </w:r>
      <w:r>
        <w:t xml:space="preserve">Order No. 1920-A, </w:t>
      </w:r>
      <w:r w:rsidRPr="003C276F">
        <w:t>189 FERC ¶ 61,126</w:t>
      </w:r>
      <w:r>
        <w:t xml:space="preserve"> at P 763 </w:t>
      </w:r>
      <w:r w:rsidDel="00BA581F">
        <w:t xml:space="preserve">(citing </w:t>
      </w:r>
      <w:r w:rsidRPr="00B7265E">
        <w:t>Order No. 1920, 187 FERC ¶ 61,068 at P 1477</w:t>
      </w:r>
      <w:r w:rsidDel="00BA581F">
        <w:t>)</w:t>
      </w:r>
      <w:r>
        <w:t>.</w:t>
      </w:r>
    </w:p>
  </w:footnote>
  <w:footnote w:id="295">
    <w:p w14:paraId="7440B5B3" w14:textId="6AE6E78D" w:rsidR="00076663" w:rsidRDefault="00076663">
      <w:pPr>
        <w:pStyle w:val="FootnoteText"/>
      </w:pPr>
      <w:r>
        <w:rPr>
          <w:rStyle w:val="FootnoteReference"/>
        </w:rPr>
        <w:footnoteRef/>
      </w:r>
      <w:r>
        <w:t xml:space="preserve"> </w:t>
      </w:r>
      <w:r w:rsidR="001C6978">
        <w:rPr>
          <w:i/>
          <w:iCs/>
        </w:rPr>
        <w:t xml:space="preserve">See </w:t>
      </w:r>
      <w:r w:rsidR="001C6978" w:rsidRPr="007C60E3">
        <w:rPr>
          <w:i/>
        </w:rPr>
        <w:t>Entergy</w:t>
      </w:r>
      <w:r w:rsidR="001C6978" w:rsidRPr="007C60E3">
        <w:t>, 40 F.4</w:t>
      </w:r>
      <w:r w:rsidR="001C6978">
        <w:t>th at</w:t>
      </w:r>
      <w:r w:rsidR="001C6978" w:rsidRPr="007C60E3">
        <w:t xml:space="preserve"> 701</w:t>
      </w:r>
      <w:r w:rsidR="001C6978">
        <w:t>-</w:t>
      </w:r>
      <w:r w:rsidR="001C6978" w:rsidRPr="007C60E3">
        <w:t>02</w:t>
      </w:r>
      <w:r w:rsidR="001C6978">
        <w:t>.</w:t>
      </w:r>
    </w:p>
  </w:footnote>
  <w:footnote w:id="296">
    <w:p w14:paraId="29789E87" w14:textId="5ECA0B25" w:rsidR="00A22503" w:rsidRDefault="00A22503" w:rsidP="00A22503">
      <w:pPr>
        <w:pStyle w:val="FootnoteText"/>
        <w:spacing w:before="240"/>
      </w:pPr>
      <w:r>
        <w:rPr>
          <w:rStyle w:val="FootnoteReference"/>
        </w:rPr>
        <w:footnoteRef/>
      </w:r>
      <w:r>
        <w:t xml:space="preserve"> </w:t>
      </w:r>
      <w:r w:rsidR="00E055C7">
        <w:t>SPP TOs Rehearing Request</w:t>
      </w:r>
      <w:r>
        <w:t xml:space="preserve"> at 30</w:t>
      </w:r>
      <w:r w:rsidR="002107BD">
        <w:t>-3</w:t>
      </w:r>
      <w:r w:rsidR="00C9375F">
        <w:t>1</w:t>
      </w:r>
      <w:r>
        <w:t xml:space="preserve"> (“[U]</w:t>
      </w:r>
      <w:proofErr w:type="spellStart"/>
      <w:r w:rsidRPr="004B5A6A">
        <w:t>nder</w:t>
      </w:r>
      <w:proofErr w:type="spellEnd"/>
      <w:r w:rsidRPr="004B5A6A">
        <w:t xml:space="preserve"> Order No. 1920-A, some state policies could be</w:t>
      </w:r>
      <w:r>
        <w:t xml:space="preserve"> </w:t>
      </w:r>
      <w:r w:rsidRPr="004B5A6A">
        <w:t>imposed, not only on the transmission provider, but on dissenting states if the Commission used</w:t>
      </w:r>
      <w:r>
        <w:t xml:space="preserve"> </w:t>
      </w:r>
      <w:r w:rsidRPr="004B5A6A">
        <w:t>its claimed power to accept favored compliance filings reached through any means other than</w:t>
      </w:r>
      <w:r>
        <w:t xml:space="preserve"> </w:t>
      </w:r>
      <w:r w:rsidRPr="004B5A6A">
        <w:t>unanimity</w:t>
      </w:r>
      <w:r>
        <w:t xml:space="preserve">.”); </w:t>
      </w:r>
      <w:r>
        <w:rPr>
          <w:i/>
          <w:iCs/>
        </w:rPr>
        <w:t>see also id.</w:t>
      </w:r>
      <w:r>
        <w:t xml:space="preserve"> </w:t>
      </w:r>
      <w:r w:rsidR="000A3603">
        <w:t>at 31</w:t>
      </w:r>
      <w:r w:rsidR="00AA46B3">
        <w:t xml:space="preserve"> </w:t>
      </w:r>
      <w:r>
        <w:t>(“</w:t>
      </w:r>
      <w:r w:rsidRPr="00F510E4">
        <w:t>When the outcome of the Engagement Period process was merely advisory as the</w:t>
      </w:r>
      <w:r>
        <w:t xml:space="preserve"> </w:t>
      </w:r>
      <w:r w:rsidRPr="00F510E4">
        <w:t>Commission originally ordered in Order No</w:t>
      </w:r>
      <w:r w:rsidR="00AA46B3">
        <w:t>.</w:t>
      </w:r>
      <w:r w:rsidRPr="00F510E4">
        <w:t xml:space="preserve"> 1920, the methodology developed during the</w:t>
      </w:r>
      <w:r>
        <w:t xml:space="preserve"> </w:t>
      </w:r>
      <w:r w:rsidRPr="00F510E4">
        <w:t>Engagement Period could only be filed with the Commission on compliance if adopted by the</w:t>
      </w:r>
      <w:r>
        <w:t xml:space="preserve"> </w:t>
      </w:r>
      <w:r w:rsidRPr="00F510E4">
        <w:t xml:space="preserve">transmission provider </w:t>
      </w:r>
      <w:r w:rsidRPr="00F510E4">
        <w:rPr>
          <w:i/>
          <w:iCs/>
        </w:rPr>
        <w:t>as its own.</w:t>
      </w:r>
      <w:r w:rsidRPr="00054E4B">
        <w:t>”</w:t>
      </w:r>
      <w:r>
        <w:t>).</w:t>
      </w:r>
    </w:p>
  </w:footnote>
  <w:footnote w:id="297">
    <w:p w14:paraId="1366715F" w14:textId="573E763D" w:rsidR="00A22503" w:rsidRPr="00261A58" w:rsidRDefault="00A22503" w:rsidP="00A22503">
      <w:pPr>
        <w:pStyle w:val="FootnoteText"/>
      </w:pPr>
      <w:r>
        <w:rPr>
          <w:rStyle w:val="FootnoteReference"/>
        </w:rPr>
        <w:footnoteRef/>
      </w:r>
      <w:r>
        <w:t xml:space="preserve"> </w:t>
      </w:r>
      <w:r>
        <w:rPr>
          <w:i/>
          <w:iCs/>
        </w:rPr>
        <w:t>Id.</w:t>
      </w:r>
      <w:r>
        <w:t xml:space="preserve"> (quoting </w:t>
      </w:r>
      <w:r>
        <w:rPr>
          <w:i/>
          <w:iCs/>
        </w:rPr>
        <w:t>EPSA</w:t>
      </w:r>
      <w:r>
        <w:t>,</w:t>
      </w:r>
      <w:r w:rsidRPr="00261A58">
        <w:rPr>
          <w:rFonts w:ascii="TimesNewRomanPSMT" w:hAnsi="TimesNewRomanPSMT" w:cs="TimesNewRomanPSMT"/>
          <w:sz w:val="24"/>
          <w:szCs w:val="24"/>
        </w:rPr>
        <w:t xml:space="preserve"> </w:t>
      </w:r>
      <w:r w:rsidRPr="00261A58">
        <w:t xml:space="preserve">577 U.S. </w:t>
      </w:r>
      <w:r>
        <w:t>at 288).</w:t>
      </w:r>
    </w:p>
  </w:footnote>
  <w:footnote w:id="298">
    <w:p w14:paraId="52811AA4" w14:textId="77777777" w:rsidR="006A333D" w:rsidRDefault="006A333D" w:rsidP="006A333D">
      <w:pPr>
        <w:pStyle w:val="FootnoteText"/>
      </w:pPr>
      <w:r>
        <w:rPr>
          <w:rStyle w:val="FootnoteReference"/>
        </w:rPr>
        <w:footnoteRef/>
      </w:r>
      <w:r>
        <w:t xml:space="preserve"> </w:t>
      </w:r>
      <w:r>
        <w:rPr>
          <w:i/>
          <w:iCs/>
        </w:rPr>
        <w:t xml:space="preserve">See </w:t>
      </w:r>
      <w:r w:rsidRPr="00756A97">
        <w:rPr>
          <w:i/>
          <w:iCs/>
        </w:rPr>
        <w:t>EPSA</w:t>
      </w:r>
      <w:r w:rsidRPr="00756A97">
        <w:t>, 577 U.S. at 28</w:t>
      </w:r>
      <w:r>
        <w:t>1</w:t>
      </w:r>
      <w:r w:rsidRPr="00756A97">
        <w:t>-8</w:t>
      </w:r>
      <w:r>
        <w:t>2</w:t>
      </w:r>
      <w:r w:rsidRPr="00756A97">
        <w:t xml:space="preserve">.  </w:t>
      </w:r>
    </w:p>
  </w:footnote>
  <w:footnote w:id="299">
    <w:p w14:paraId="3DE7EC9B" w14:textId="77777777" w:rsidR="006A333D" w:rsidRDefault="006A333D" w:rsidP="006A333D">
      <w:pPr>
        <w:pStyle w:val="FootnoteText"/>
      </w:pPr>
      <w:r>
        <w:rPr>
          <w:rStyle w:val="FootnoteReference"/>
        </w:rPr>
        <w:footnoteRef/>
      </w:r>
      <w:r>
        <w:t xml:space="preserve"> </w:t>
      </w:r>
      <w:r w:rsidRPr="00756A97">
        <w:t>SPP TOs Rehearing Request at 31</w:t>
      </w:r>
      <w:r>
        <w:t>.</w:t>
      </w:r>
    </w:p>
  </w:footnote>
  <w:footnote w:id="300">
    <w:p w14:paraId="056CC6C9" w14:textId="77777777" w:rsidR="006A333D" w:rsidRDefault="006A333D" w:rsidP="006A333D">
      <w:pPr>
        <w:pStyle w:val="FootnoteText"/>
      </w:pPr>
      <w:r>
        <w:rPr>
          <w:rStyle w:val="FootnoteReference"/>
        </w:rPr>
        <w:footnoteRef/>
      </w:r>
      <w:r>
        <w:t xml:space="preserve"> </w:t>
      </w:r>
      <w:r w:rsidRPr="00756A97">
        <w:rPr>
          <w:i/>
          <w:iCs/>
        </w:rPr>
        <w:t>EPSA</w:t>
      </w:r>
      <w:r w:rsidRPr="00756A97">
        <w:t xml:space="preserve">, 577 U.S. at 287-88.  </w:t>
      </w:r>
    </w:p>
  </w:footnote>
  <w:footnote w:id="301">
    <w:p w14:paraId="3912C3A5" w14:textId="77777777" w:rsidR="006A333D" w:rsidRDefault="006A333D" w:rsidP="006A333D">
      <w:pPr>
        <w:pStyle w:val="FootnoteText"/>
      </w:pPr>
      <w:r>
        <w:rPr>
          <w:rStyle w:val="FootnoteReference"/>
        </w:rPr>
        <w:footnoteRef/>
      </w:r>
      <w:r>
        <w:t xml:space="preserve"> </w:t>
      </w:r>
      <w:r w:rsidRPr="00042D27">
        <w:rPr>
          <w:i/>
          <w:iCs/>
        </w:rPr>
        <w:t>See id.</w:t>
      </w:r>
      <w:r w:rsidRPr="00042D27">
        <w:t xml:space="preserve"> at 281-87 (</w:t>
      </w:r>
      <w:r>
        <w:t>concluding</w:t>
      </w:r>
      <w:r w:rsidRPr="00042D27">
        <w:t xml:space="preserve"> the Commission’s order was consistent with FPA section 201(b) notwithstanding that it “affects—even substantially—the quantity or terms of retail sales” because it “addresses—and addresses only—transactions occurring on the wholesale market” that are within the Commission’s jurisdiction</w:t>
      </w:r>
      <w:r>
        <w:t>, and the Commission’s regulatory justification “are all about, and only about, improving the wholesale market”</w:t>
      </w:r>
      <w:r w:rsidRPr="00042D27">
        <w:t>).</w:t>
      </w:r>
    </w:p>
  </w:footnote>
  <w:footnote w:id="302">
    <w:p w14:paraId="29CB39EE" w14:textId="2DF597FC" w:rsidR="008B540C" w:rsidRDefault="008B540C">
      <w:pPr>
        <w:pStyle w:val="FootnoteText"/>
      </w:pPr>
      <w:r w:rsidRPr="00876489">
        <w:rPr>
          <w:rStyle w:val="FootnoteReference"/>
        </w:rPr>
        <w:footnoteRef/>
      </w:r>
      <w:r w:rsidRPr="00876489">
        <w:t xml:space="preserve"> </w:t>
      </w:r>
      <w:r w:rsidR="008A3224" w:rsidRPr="00876489">
        <w:t xml:space="preserve">Order No. 1920-A, 189 FERC ¶ 61,126 at P </w:t>
      </w:r>
      <w:r w:rsidR="007F040A" w:rsidRPr="00876489">
        <w:t>654</w:t>
      </w:r>
      <w:r w:rsidR="00D51BF5" w:rsidRPr="00876489">
        <w:t xml:space="preserve"> (citing Order No. </w:t>
      </w:r>
      <w:proofErr w:type="gramStart"/>
      <w:r w:rsidR="00D51BF5" w:rsidRPr="00876489">
        <w:t xml:space="preserve">1920, </w:t>
      </w:r>
      <w:r w:rsidR="00BC259F">
        <w:t xml:space="preserve">  </w:t>
      </w:r>
      <w:proofErr w:type="gramEnd"/>
      <w:r w:rsidR="00BC259F">
        <w:t xml:space="preserve">    </w:t>
      </w:r>
      <w:r w:rsidR="0048621C" w:rsidRPr="00876489">
        <w:t>187 FERC ¶ 61,068 at P</w:t>
      </w:r>
      <w:r w:rsidR="005D60B5" w:rsidRPr="00876489">
        <w:t> 1360)</w:t>
      </w:r>
      <w:r w:rsidR="007F040A" w:rsidRPr="00876489">
        <w:t>.</w:t>
      </w:r>
    </w:p>
  </w:footnote>
  <w:footnote w:id="303">
    <w:p w14:paraId="5E68F769" w14:textId="29DDB25F" w:rsidR="00EF21A9" w:rsidRDefault="00EF21A9">
      <w:pPr>
        <w:pStyle w:val="FootnoteText"/>
      </w:pPr>
      <w:r>
        <w:rPr>
          <w:rStyle w:val="FootnoteReference"/>
        </w:rPr>
        <w:footnoteRef/>
      </w:r>
      <w:r>
        <w:t xml:space="preserve"> </w:t>
      </w:r>
      <w:r w:rsidR="00F43B0C">
        <w:rPr>
          <w:i/>
          <w:iCs/>
        </w:rPr>
        <w:t>Id.</w:t>
      </w:r>
      <w:r w:rsidR="00AF0D42" w:rsidRPr="002076DE">
        <w:rPr>
          <w:i/>
        </w:rPr>
        <w:t xml:space="preserve"> </w:t>
      </w:r>
      <w:r w:rsidR="00AF0D42">
        <w:t>PP</w:t>
      </w:r>
      <w:r w:rsidR="00A32988">
        <w:t> 135-</w:t>
      </w:r>
      <w:r w:rsidR="00C51748">
        <w:t>165.</w:t>
      </w:r>
    </w:p>
  </w:footnote>
  <w:footnote w:id="304">
    <w:p w14:paraId="3499A0D9" w14:textId="2EBE332A" w:rsidR="00B26935" w:rsidRDefault="00B26935" w:rsidP="00B26935">
      <w:pPr>
        <w:pStyle w:val="FootnoteText"/>
      </w:pPr>
      <w:r>
        <w:rPr>
          <w:rStyle w:val="FootnoteReference"/>
        </w:rPr>
        <w:footnoteRef/>
      </w:r>
      <w:r>
        <w:t xml:space="preserve"> </w:t>
      </w:r>
      <w:r w:rsidR="00BF5E2B">
        <w:rPr>
          <w:i/>
          <w:iCs/>
        </w:rPr>
        <w:t>See</w:t>
      </w:r>
      <w:r w:rsidR="00BF5E2B" w:rsidRPr="002076DE">
        <w:rPr>
          <w:i/>
        </w:rPr>
        <w:t xml:space="preserve"> </w:t>
      </w:r>
      <w:r w:rsidRPr="0008583B">
        <w:t xml:space="preserve">MISO TOs </w:t>
      </w:r>
      <w:r>
        <w:t>Rehearing Request</w:t>
      </w:r>
      <w:r w:rsidRPr="0008583B">
        <w:t xml:space="preserve"> at 8, 9-10, 38-41</w:t>
      </w:r>
      <w:r>
        <w:t xml:space="preserve">; </w:t>
      </w:r>
      <w:r w:rsidRPr="00E27F43">
        <w:t xml:space="preserve">SPP TOs </w:t>
      </w:r>
      <w:r>
        <w:t>Rehearing Request</w:t>
      </w:r>
      <w:r w:rsidRPr="00E27F43">
        <w:t xml:space="preserve"> at 3</w:t>
      </w:r>
      <w:r>
        <w:t>2</w:t>
      </w:r>
      <w:r w:rsidRPr="00E27F43">
        <w:t>-34</w:t>
      </w:r>
      <w:r>
        <w:t>.</w:t>
      </w:r>
      <w:r w:rsidR="003C01C6">
        <w:t xml:space="preserve"> </w:t>
      </w:r>
    </w:p>
  </w:footnote>
  <w:footnote w:id="305">
    <w:p w14:paraId="04BC6294" w14:textId="77777777" w:rsidR="00B26935" w:rsidRDefault="00B26935" w:rsidP="00B26935">
      <w:pPr>
        <w:pStyle w:val="FootnoteText"/>
      </w:pPr>
      <w:r>
        <w:rPr>
          <w:rStyle w:val="FootnoteReference"/>
        </w:rPr>
        <w:footnoteRef/>
      </w:r>
      <w:r>
        <w:t xml:space="preserve"> MISO TOs Rehearing Request at 38-41 (arguing that</w:t>
      </w:r>
      <w:r w:rsidRPr="00881132">
        <w:t xml:space="preserve"> the “most reasonable way to interpret the rule is that the Commission is empowering states with such new </w:t>
      </w:r>
      <w:r>
        <w:t>‘</w:t>
      </w:r>
      <w:r w:rsidRPr="00881132">
        <w:t>authority,</w:t>
      </w:r>
      <w:r>
        <w:t>’</w:t>
      </w:r>
      <w:r w:rsidRPr="00881132">
        <w:t xml:space="preserve"> permitting Relevant State Entities to dictate transmission cost allocation, critically, over the objection of the filing utility itself</w:t>
      </w:r>
      <w:r>
        <w:t xml:space="preserve">”).  </w:t>
      </w:r>
    </w:p>
  </w:footnote>
  <w:footnote w:id="306">
    <w:p w14:paraId="4A1E7A28" w14:textId="44F8038B" w:rsidR="00B26935" w:rsidRDefault="00B26935" w:rsidP="00B26935">
      <w:pPr>
        <w:pStyle w:val="FootnoteText"/>
      </w:pPr>
      <w:r>
        <w:rPr>
          <w:rStyle w:val="FootnoteReference"/>
        </w:rPr>
        <w:footnoteRef/>
      </w:r>
      <w:r>
        <w:t xml:space="preserve"> </w:t>
      </w:r>
      <w:r>
        <w:rPr>
          <w:i/>
          <w:iCs/>
        </w:rPr>
        <w:t>Id.</w:t>
      </w:r>
      <w:r>
        <w:t xml:space="preserve"> at 39-41 (citing Order No. 1920-A</w:t>
      </w:r>
      <w:r w:rsidR="00DD0CBC">
        <w:t xml:space="preserve">, </w:t>
      </w:r>
      <w:r w:rsidR="002A5D5D" w:rsidRPr="002A5D5D">
        <w:t>189 FERC ¶ 61,126</w:t>
      </w:r>
      <w:r>
        <w:t xml:space="preserve"> (Christie, Comm’r, concurring at P 3)).</w:t>
      </w:r>
    </w:p>
  </w:footnote>
  <w:footnote w:id="307">
    <w:p w14:paraId="0E411D13" w14:textId="12B1B644" w:rsidR="00B26935" w:rsidRDefault="00B26935" w:rsidP="00B26935">
      <w:pPr>
        <w:pStyle w:val="FootnoteText"/>
      </w:pPr>
      <w:r>
        <w:rPr>
          <w:rStyle w:val="FootnoteReference"/>
        </w:rPr>
        <w:footnoteRef/>
      </w:r>
      <w:r>
        <w:t xml:space="preserve"> SPP TOs Rehearing Request at 32-33 (citing </w:t>
      </w:r>
      <w:r w:rsidRPr="009E12E3">
        <w:rPr>
          <w:i/>
          <w:iCs/>
        </w:rPr>
        <w:t>U.S.</w:t>
      </w:r>
      <w:r>
        <w:rPr>
          <w:i/>
          <w:iCs/>
        </w:rPr>
        <w:t xml:space="preserve"> </w:t>
      </w:r>
      <w:r w:rsidRPr="009E12E3">
        <w:rPr>
          <w:i/>
          <w:iCs/>
        </w:rPr>
        <w:t xml:space="preserve">Telecom </w:t>
      </w:r>
      <w:proofErr w:type="spellStart"/>
      <w:r w:rsidRPr="009E12E3">
        <w:rPr>
          <w:i/>
          <w:iCs/>
        </w:rPr>
        <w:t>Ass’n</w:t>
      </w:r>
      <w:proofErr w:type="spellEnd"/>
      <w:r w:rsidRPr="009E12E3">
        <w:rPr>
          <w:i/>
          <w:iCs/>
        </w:rPr>
        <w:t xml:space="preserve"> v. </w:t>
      </w:r>
      <w:proofErr w:type="gramStart"/>
      <w:r w:rsidRPr="009E12E3">
        <w:rPr>
          <w:i/>
          <w:iCs/>
        </w:rPr>
        <w:t>FCC</w:t>
      </w:r>
      <w:r w:rsidRPr="009E12E3">
        <w:t xml:space="preserve">, </w:t>
      </w:r>
      <w:r w:rsidR="003C738B">
        <w:t xml:space="preserve">  </w:t>
      </w:r>
      <w:proofErr w:type="gramEnd"/>
      <w:r w:rsidR="003C738B">
        <w:t xml:space="preserve">                         </w:t>
      </w:r>
      <w:r w:rsidRPr="009E12E3">
        <w:t>359 F.3d 554, 565</w:t>
      </w:r>
      <w:r w:rsidR="00E40708">
        <w:t>, 567-68</w:t>
      </w:r>
      <w:r w:rsidRPr="009E12E3">
        <w:t xml:space="preserve"> (D.C. Cir. 2004) (</w:t>
      </w:r>
      <w:r w:rsidRPr="009E12E3">
        <w:rPr>
          <w:i/>
          <w:iCs/>
        </w:rPr>
        <w:t>U.S. Telecom</w:t>
      </w:r>
      <w:r w:rsidRPr="009E12E3">
        <w:t>)</w:t>
      </w:r>
      <w:r>
        <w:t>)</w:t>
      </w:r>
      <w:r w:rsidRPr="009E12E3">
        <w:t>.</w:t>
      </w:r>
    </w:p>
  </w:footnote>
  <w:footnote w:id="308">
    <w:p w14:paraId="73051719" w14:textId="77777777" w:rsidR="00B26935" w:rsidRPr="003C741D" w:rsidRDefault="00B26935" w:rsidP="00B26935">
      <w:pPr>
        <w:pStyle w:val="FootnoteText"/>
      </w:pPr>
      <w:r>
        <w:rPr>
          <w:rStyle w:val="FootnoteReference"/>
        </w:rPr>
        <w:footnoteRef/>
      </w:r>
      <w:r>
        <w:t xml:space="preserve"> </w:t>
      </w:r>
      <w:r>
        <w:rPr>
          <w:i/>
          <w:iCs/>
        </w:rPr>
        <w:t>Id.</w:t>
      </w:r>
      <w:r>
        <w:t xml:space="preserve"> at 33-34.</w:t>
      </w:r>
    </w:p>
  </w:footnote>
  <w:footnote w:id="309">
    <w:p w14:paraId="1A7DA692" w14:textId="77777777" w:rsidR="006257B1" w:rsidRDefault="006257B1" w:rsidP="006257B1">
      <w:pPr>
        <w:pStyle w:val="FootnoteText"/>
      </w:pPr>
      <w:r>
        <w:rPr>
          <w:rStyle w:val="FootnoteReference"/>
        </w:rPr>
        <w:footnoteRef/>
      </w:r>
      <w:r>
        <w:t xml:space="preserve"> </w:t>
      </w:r>
      <w:r>
        <w:rPr>
          <w:i/>
          <w:iCs/>
        </w:rPr>
        <w:t xml:space="preserve">See </w:t>
      </w:r>
      <w:r w:rsidRPr="0008583B">
        <w:t xml:space="preserve">MISO TOs </w:t>
      </w:r>
      <w:r>
        <w:t>Rehearing Request</w:t>
      </w:r>
      <w:r w:rsidRPr="0008583B">
        <w:t xml:space="preserve"> at 8, 9-10, 38-41</w:t>
      </w:r>
      <w:r>
        <w:t xml:space="preserve">; </w:t>
      </w:r>
      <w:r w:rsidRPr="00E27F43">
        <w:t xml:space="preserve">SPP TOs </w:t>
      </w:r>
      <w:r>
        <w:t>Rehearing Request</w:t>
      </w:r>
      <w:r w:rsidRPr="00E27F43">
        <w:t xml:space="preserve"> at 3</w:t>
      </w:r>
      <w:r>
        <w:t>2</w:t>
      </w:r>
      <w:r w:rsidRPr="00E27F43">
        <w:t>-34</w:t>
      </w:r>
      <w:r>
        <w:t xml:space="preserve">.  </w:t>
      </w:r>
    </w:p>
  </w:footnote>
  <w:footnote w:id="310">
    <w:p w14:paraId="616BEE6D" w14:textId="6A61ADB4" w:rsidR="006257B1" w:rsidRPr="002534A6" w:rsidRDefault="006257B1" w:rsidP="006257B1">
      <w:pPr>
        <w:pStyle w:val="FootnoteText"/>
      </w:pPr>
      <w:r>
        <w:rPr>
          <w:rStyle w:val="FootnoteReference"/>
        </w:rPr>
        <w:footnoteRef/>
      </w:r>
      <w:r>
        <w:t xml:space="preserve"> </w:t>
      </w:r>
      <w:r>
        <w:rPr>
          <w:i/>
          <w:iCs/>
        </w:rPr>
        <w:t xml:space="preserve">U.S. Telecom </w:t>
      </w:r>
      <w:r>
        <w:t xml:space="preserve">does not support MISO TOs’ or SPP TOs’ arguments.  There, the FCC had extensively sub-delegated its authority over unbundling of mass market switches to state commissions—indeed, there was no dispute that such a sub-delegation had occurred, with the FCC arguing instead that the sub-delegation was permissible.  </w:t>
      </w:r>
      <w:r>
        <w:rPr>
          <w:i/>
          <w:iCs/>
        </w:rPr>
        <w:t>See U.S. Telecom</w:t>
      </w:r>
      <w:r>
        <w:t xml:space="preserve">, 359 F.3d at 564-68.  Here, by contrast, the compliance process set forth in Order No. 1920-A as to cost allocation provides a vehicle for the receipt of Relevant State </w:t>
      </w:r>
      <w:proofErr w:type="gramStart"/>
      <w:r>
        <w:t>Entities’</w:t>
      </w:r>
      <w:proofErr w:type="gramEnd"/>
      <w:r>
        <w:t xml:space="preserve"> </w:t>
      </w:r>
      <w:r w:rsidR="00465A80" w:rsidRPr="00465A80">
        <w:t>agreed-upon Long-Term Regional Transmission Cost Allocation Method(s) and/or State Agreement Process</w:t>
      </w:r>
      <w:r>
        <w:t xml:space="preserve"> and the Commission retains all </w:t>
      </w:r>
      <w:r w:rsidR="003C738B">
        <w:t xml:space="preserve">                       </w:t>
      </w:r>
      <w:r>
        <w:t xml:space="preserve">decision-making authority under FPA section 206 to determine the replacement rate.  </w:t>
      </w:r>
    </w:p>
  </w:footnote>
  <w:footnote w:id="311">
    <w:p w14:paraId="04A6BF11" w14:textId="02F9E9A3" w:rsidR="006257B1" w:rsidRPr="008C574A" w:rsidRDefault="006257B1" w:rsidP="006257B1">
      <w:pPr>
        <w:pStyle w:val="FootnoteText"/>
      </w:pPr>
      <w:r>
        <w:rPr>
          <w:rStyle w:val="FootnoteReference"/>
        </w:rPr>
        <w:footnoteRef/>
      </w:r>
      <w:r>
        <w:t xml:space="preserve"> </w:t>
      </w:r>
      <w:r w:rsidRPr="008C574A">
        <w:t>Order No. 1920-A, 189 FERC ¶ 61,126 at P 659</w:t>
      </w:r>
      <w:r>
        <w:t xml:space="preserve">; </w:t>
      </w:r>
      <w:r>
        <w:rPr>
          <w:i/>
          <w:iCs/>
        </w:rPr>
        <w:t xml:space="preserve">see also </w:t>
      </w:r>
      <w:proofErr w:type="gramStart"/>
      <w:r>
        <w:rPr>
          <w:i/>
          <w:iCs/>
        </w:rPr>
        <w:t>supra</w:t>
      </w:r>
      <w:r>
        <w:t xml:space="preserve"> </w:t>
      </w:r>
      <w:r w:rsidRPr="002076DE">
        <w:t>P</w:t>
      </w:r>
      <w:proofErr w:type="gramEnd"/>
      <w:r w:rsidRPr="002076DE">
        <w:t xml:space="preserve"> </w:t>
      </w:r>
      <w:r w:rsidR="00001E96">
        <w:t>68</w:t>
      </w:r>
      <w:r>
        <w:t xml:space="preserve"> (explaining that the Commission expects to determine the replacement rate on a </w:t>
      </w:r>
      <w:r w:rsidR="003C738B">
        <w:t xml:space="preserve">                     </w:t>
      </w:r>
      <w:r>
        <w:t>case-by-case basis, consistent with its authority and discretion to select from the range of just and reasonable replacement rates).</w:t>
      </w:r>
    </w:p>
  </w:footnote>
  <w:footnote w:id="312">
    <w:p w14:paraId="0BFC9F22" w14:textId="614AD23C" w:rsidR="006257B1" w:rsidRPr="009735A2" w:rsidRDefault="006257B1" w:rsidP="006257B1">
      <w:pPr>
        <w:pStyle w:val="FootnoteText"/>
      </w:pPr>
      <w:r>
        <w:rPr>
          <w:rStyle w:val="FootnoteReference"/>
        </w:rPr>
        <w:footnoteRef/>
      </w:r>
      <w:r>
        <w:t xml:space="preserve"> </w:t>
      </w:r>
      <w:r>
        <w:rPr>
          <w:i/>
          <w:iCs/>
        </w:rPr>
        <w:t xml:space="preserve">See </w:t>
      </w:r>
      <w:proofErr w:type="gramStart"/>
      <w:r>
        <w:rPr>
          <w:i/>
          <w:iCs/>
        </w:rPr>
        <w:t>supra</w:t>
      </w:r>
      <w:r>
        <w:t xml:space="preserve"> </w:t>
      </w:r>
      <w:r w:rsidR="001E0A7D" w:rsidRPr="001E0A7D">
        <w:t>Requirements</w:t>
      </w:r>
      <w:proofErr w:type="gramEnd"/>
      <w:r w:rsidR="001E0A7D" w:rsidRPr="001E0A7D">
        <w:t xml:space="preserve"> Concerning Relevant State Entities’ Agreed-upon Cost Allocation Methods</w:t>
      </w:r>
      <w:r w:rsidR="001E0A7D">
        <w:t xml:space="preserve">, </w:t>
      </w:r>
      <w:r w:rsidRPr="002076DE">
        <w:t xml:space="preserve">Statutory Filing Rights </w:t>
      </w:r>
      <w:r w:rsidR="00D14086">
        <w:t>Under the FPA s</w:t>
      </w:r>
      <w:r w:rsidRPr="00AC25CC">
        <w:t>ection</w:t>
      </w:r>
      <w:r w:rsidR="00CA0748">
        <w:t>.</w:t>
      </w:r>
    </w:p>
  </w:footnote>
  <w:footnote w:id="313">
    <w:p w14:paraId="50C011F3" w14:textId="0D0DBE3C" w:rsidR="00921BC6" w:rsidRPr="00BE1AA7" w:rsidRDefault="00921BC6" w:rsidP="00921BC6">
      <w:pPr>
        <w:pStyle w:val="FootnoteText"/>
      </w:pPr>
      <w:r>
        <w:rPr>
          <w:rStyle w:val="FootnoteReference"/>
        </w:rPr>
        <w:footnoteRef/>
      </w:r>
      <w:r>
        <w:t xml:space="preserve"> Indicated PJM TOs Rehearing Request at 29-34 (citing, </w:t>
      </w:r>
      <w:r>
        <w:rPr>
          <w:i/>
          <w:iCs/>
        </w:rPr>
        <w:t>inter alia</w:t>
      </w:r>
      <w:r>
        <w:t xml:space="preserve">, </w:t>
      </w:r>
      <w:r w:rsidRPr="00507CA6">
        <w:rPr>
          <w:i/>
          <w:iCs/>
        </w:rPr>
        <w:t>Pac. Gas &amp; Elec. Co. v. Pub. Util. Comm</w:t>
      </w:r>
      <w:r w:rsidR="00875B3E">
        <w:rPr>
          <w:i/>
          <w:iCs/>
        </w:rPr>
        <w:t>’</w:t>
      </w:r>
      <w:r w:rsidRPr="00507CA6">
        <w:rPr>
          <w:i/>
          <w:iCs/>
        </w:rPr>
        <w:t>n of Cal.</w:t>
      </w:r>
      <w:r w:rsidRPr="00507CA6">
        <w:t>, 475 U.S. 1, 12-14 (1986) (</w:t>
      </w:r>
      <w:r w:rsidRPr="00507CA6">
        <w:rPr>
          <w:i/>
          <w:iCs/>
        </w:rPr>
        <w:t>PG&amp;E</w:t>
      </w:r>
      <w:r w:rsidRPr="00507CA6">
        <w:t>)</w:t>
      </w:r>
      <w:r>
        <w:t xml:space="preserve">); </w:t>
      </w:r>
      <w:r>
        <w:rPr>
          <w:i/>
          <w:iCs/>
        </w:rPr>
        <w:t xml:space="preserve">cf. </w:t>
      </w:r>
      <w:r w:rsidRPr="001D39D0">
        <w:t>SPP TOs Rehearing Request at 13-14 (</w:t>
      </w:r>
      <w:r>
        <w:t xml:space="preserve">arguing that </w:t>
      </w:r>
      <w:r w:rsidRPr="00731ACA">
        <w:t xml:space="preserve">requiring </w:t>
      </w:r>
      <w:r>
        <w:t xml:space="preserve">a </w:t>
      </w:r>
      <w:r w:rsidRPr="00731ACA">
        <w:t>transmission provider to include Relevant State Entit</w:t>
      </w:r>
      <w:r>
        <w:t>ie</w:t>
      </w:r>
      <w:r w:rsidRPr="00731ACA">
        <w:t>s</w:t>
      </w:r>
      <w:r>
        <w:t>’</w:t>
      </w:r>
      <w:r w:rsidRPr="00731ACA">
        <w:t xml:space="preserve"> information with its own commandeers the transmission provider’s compliance filing</w:t>
      </w:r>
      <w:r>
        <w:t>,</w:t>
      </w:r>
      <w:r w:rsidRPr="00564DCD">
        <w:t xml:space="preserve"> </w:t>
      </w:r>
      <w:r w:rsidRPr="001D39D0">
        <w:t xml:space="preserve">citing </w:t>
      </w:r>
      <w:r>
        <w:rPr>
          <w:i/>
          <w:iCs/>
        </w:rPr>
        <w:t>PG</w:t>
      </w:r>
      <w:r w:rsidR="000E78E6">
        <w:rPr>
          <w:i/>
          <w:iCs/>
        </w:rPr>
        <w:t>&amp;</w:t>
      </w:r>
      <w:r>
        <w:rPr>
          <w:i/>
          <w:iCs/>
        </w:rPr>
        <w:t>E</w:t>
      </w:r>
      <w:r w:rsidRPr="001D39D0">
        <w:t>, 475 U.S. 1</w:t>
      </w:r>
      <w:r>
        <w:t xml:space="preserve">).  </w:t>
      </w:r>
    </w:p>
  </w:footnote>
  <w:footnote w:id="314">
    <w:p w14:paraId="737D7E00" w14:textId="77777777" w:rsidR="00921BC6" w:rsidRPr="00D47D31" w:rsidRDefault="00921BC6" w:rsidP="00921BC6">
      <w:pPr>
        <w:pStyle w:val="FootnoteText"/>
      </w:pPr>
      <w:r>
        <w:rPr>
          <w:rStyle w:val="FootnoteReference"/>
        </w:rPr>
        <w:footnoteRef/>
      </w:r>
      <w:r>
        <w:t xml:space="preserve"> Indicated PJM TOs Rehearing Request at 29 </w:t>
      </w:r>
      <w:r w:rsidRPr="001E2870">
        <w:t xml:space="preserve">(citing U.S. Const. amend. I; </w:t>
      </w:r>
      <w:r w:rsidRPr="001E2870">
        <w:rPr>
          <w:i/>
          <w:iCs/>
        </w:rPr>
        <w:t>E. R.R. Presidents Conf. v. Noerr Motor Freight, Inc.</w:t>
      </w:r>
      <w:r w:rsidRPr="001E2870">
        <w:t xml:space="preserve">, 365 U.S. 127, 138 (1961); </w:t>
      </w:r>
      <w:r w:rsidRPr="001E2870">
        <w:rPr>
          <w:i/>
          <w:iCs/>
        </w:rPr>
        <w:t>Cal. Motor Transp. Co. v. Trucking Unlimited</w:t>
      </w:r>
      <w:r w:rsidRPr="001E2870">
        <w:t xml:space="preserve">, 404 U.S. 508, 510 (1972); </w:t>
      </w:r>
      <w:r w:rsidRPr="001E2870">
        <w:rPr>
          <w:i/>
          <w:iCs/>
        </w:rPr>
        <w:t>White v. Lee</w:t>
      </w:r>
      <w:r w:rsidRPr="001E2870">
        <w:t>, 227 F.3d 1214, 1231 (9th Cir. 2000)).</w:t>
      </w:r>
    </w:p>
  </w:footnote>
  <w:footnote w:id="315">
    <w:p w14:paraId="3057C754" w14:textId="351A4E6C" w:rsidR="00921BC6" w:rsidRPr="00F62C2F" w:rsidRDefault="00921BC6" w:rsidP="00921BC6">
      <w:pPr>
        <w:pStyle w:val="FootnoteText"/>
      </w:pPr>
      <w:r>
        <w:rPr>
          <w:rStyle w:val="FootnoteReference"/>
        </w:rPr>
        <w:footnoteRef/>
      </w:r>
      <w:r>
        <w:t xml:space="preserve"> </w:t>
      </w:r>
      <w:r>
        <w:rPr>
          <w:i/>
          <w:iCs/>
        </w:rPr>
        <w:t>Id.</w:t>
      </w:r>
      <w:r>
        <w:t xml:space="preserve"> at 30-</w:t>
      </w:r>
      <w:r w:rsidRPr="00E70EB2">
        <w:t>3</w:t>
      </w:r>
      <w:r w:rsidR="00E70EB2" w:rsidRPr="00547EC5">
        <w:t>2</w:t>
      </w:r>
      <w:r>
        <w:t xml:space="preserve"> (citing </w:t>
      </w:r>
      <w:r>
        <w:rPr>
          <w:i/>
          <w:iCs/>
        </w:rPr>
        <w:t>PG&amp;E</w:t>
      </w:r>
      <w:r w:rsidRPr="00507CA6">
        <w:t xml:space="preserve">, 475 U.S. </w:t>
      </w:r>
      <w:r>
        <w:t>at</w:t>
      </w:r>
      <w:r w:rsidRPr="00507CA6">
        <w:t xml:space="preserve"> 12-14; </w:t>
      </w:r>
      <w:r w:rsidRPr="00507CA6">
        <w:rPr>
          <w:i/>
          <w:iCs/>
        </w:rPr>
        <w:t>Moody v.</w:t>
      </w:r>
      <w:r w:rsidRPr="00F62C2F">
        <w:rPr>
          <w:i/>
          <w:iCs/>
        </w:rPr>
        <w:t xml:space="preserve"> </w:t>
      </w:r>
      <w:proofErr w:type="spellStart"/>
      <w:r w:rsidRPr="00F62C2F">
        <w:rPr>
          <w:i/>
          <w:iCs/>
        </w:rPr>
        <w:t>Netchoice</w:t>
      </w:r>
      <w:proofErr w:type="spellEnd"/>
      <w:r w:rsidRPr="00F62C2F">
        <w:rPr>
          <w:i/>
          <w:iCs/>
        </w:rPr>
        <w:t xml:space="preserve">, </w:t>
      </w:r>
      <w:proofErr w:type="gramStart"/>
      <w:r w:rsidRPr="00F62C2F">
        <w:rPr>
          <w:i/>
          <w:iCs/>
        </w:rPr>
        <w:t>LLC</w:t>
      </w:r>
      <w:r w:rsidRPr="00C8341A">
        <w:t>,</w:t>
      </w:r>
      <w:r w:rsidRPr="00F62C2F">
        <w:rPr>
          <w:i/>
          <w:iCs/>
        </w:rPr>
        <w:t xml:space="preserve"> </w:t>
      </w:r>
      <w:r w:rsidR="003C738B">
        <w:rPr>
          <w:i/>
          <w:iCs/>
        </w:rPr>
        <w:t xml:space="preserve">  </w:t>
      </w:r>
      <w:proofErr w:type="gramEnd"/>
      <w:r w:rsidR="003C738B">
        <w:rPr>
          <w:i/>
          <w:iCs/>
        </w:rPr>
        <w:t xml:space="preserve">                 </w:t>
      </w:r>
      <w:r w:rsidRPr="00F62C2F">
        <w:t>603 U.S. 707, 726-33 (2024)</w:t>
      </w:r>
      <w:r>
        <w:t xml:space="preserve">; </w:t>
      </w:r>
      <w:r w:rsidRPr="000F1559">
        <w:rPr>
          <w:i/>
          <w:iCs/>
        </w:rPr>
        <w:t>Wooley v. Maynard</w:t>
      </w:r>
      <w:r w:rsidRPr="000F1559">
        <w:t>, 430 U.S. 705, 714 (1977);</w:t>
      </w:r>
      <w:r w:rsidRPr="000F1559">
        <w:rPr>
          <w:i/>
          <w:iCs/>
        </w:rPr>
        <w:t xml:space="preserve"> United States v. United Foods,</w:t>
      </w:r>
      <w:r>
        <w:rPr>
          <w:i/>
          <w:iCs/>
        </w:rPr>
        <w:t xml:space="preserve"> </w:t>
      </w:r>
      <w:r w:rsidRPr="000F1559">
        <w:rPr>
          <w:i/>
          <w:iCs/>
        </w:rPr>
        <w:t>Inc.</w:t>
      </w:r>
      <w:r w:rsidRPr="000F1559">
        <w:t>, 533 U.S. 405, 409-10 (2001)</w:t>
      </w:r>
      <w:r>
        <w:t>)</w:t>
      </w:r>
      <w:r w:rsidRPr="000F1559">
        <w:t>.</w:t>
      </w:r>
    </w:p>
  </w:footnote>
  <w:footnote w:id="316">
    <w:p w14:paraId="3286A8C6" w14:textId="0070A8C0" w:rsidR="00921BC6" w:rsidRPr="00FE1F0C" w:rsidRDefault="00921BC6" w:rsidP="00921BC6">
      <w:pPr>
        <w:pStyle w:val="FootnoteText"/>
        <w:rPr>
          <w:i/>
        </w:rPr>
      </w:pPr>
      <w:r>
        <w:rPr>
          <w:rStyle w:val="FootnoteReference"/>
        </w:rPr>
        <w:footnoteRef/>
      </w:r>
      <w:r>
        <w:t xml:space="preserve"> </w:t>
      </w:r>
      <w:r w:rsidR="0073361E">
        <w:rPr>
          <w:i/>
          <w:iCs/>
        </w:rPr>
        <w:t>Id.</w:t>
      </w:r>
      <w:r w:rsidRPr="002076DE">
        <w:rPr>
          <w:i/>
        </w:rPr>
        <w:t xml:space="preserve"> </w:t>
      </w:r>
      <w:r>
        <w:t xml:space="preserve">at 30 (citing </w:t>
      </w:r>
      <w:r w:rsidRPr="00FE1F0C">
        <w:rPr>
          <w:i/>
          <w:iCs/>
        </w:rPr>
        <w:t xml:space="preserve">Moody, </w:t>
      </w:r>
      <w:r w:rsidRPr="00FE1F0C">
        <w:t xml:space="preserve">603 U.S. </w:t>
      </w:r>
      <w:r w:rsidR="0062162D">
        <w:t>at</w:t>
      </w:r>
      <w:r w:rsidRPr="00FE1F0C">
        <w:t xml:space="preserve"> 726-33</w:t>
      </w:r>
      <w:r>
        <w:t>).</w:t>
      </w:r>
    </w:p>
  </w:footnote>
  <w:footnote w:id="317">
    <w:p w14:paraId="730583CD" w14:textId="4BCE9C25" w:rsidR="00921BC6" w:rsidRPr="00997434" w:rsidRDefault="00921BC6" w:rsidP="00921BC6">
      <w:pPr>
        <w:pStyle w:val="FootnoteText"/>
      </w:pPr>
      <w:r>
        <w:rPr>
          <w:rStyle w:val="FootnoteReference"/>
        </w:rPr>
        <w:footnoteRef/>
      </w:r>
      <w:r>
        <w:t xml:space="preserve"> </w:t>
      </w:r>
      <w:r>
        <w:rPr>
          <w:i/>
          <w:iCs/>
        </w:rPr>
        <w:t xml:space="preserve">See id. </w:t>
      </w:r>
      <w:r>
        <w:t xml:space="preserve">(discussing </w:t>
      </w:r>
      <w:r>
        <w:rPr>
          <w:i/>
          <w:iCs/>
        </w:rPr>
        <w:t>PG&amp;E</w:t>
      </w:r>
      <w:r w:rsidRPr="00507CA6">
        <w:t xml:space="preserve">, 475 U.S. </w:t>
      </w:r>
      <w:r>
        <w:t xml:space="preserve">at </w:t>
      </w:r>
      <w:r w:rsidRPr="00507CA6">
        <w:t>12-14)</w:t>
      </w:r>
      <w:r w:rsidR="00517C3E">
        <w:t>.</w:t>
      </w:r>
    </w:p>
  </w:footnote>
  <w:footnote w:id="318">
    <w:p w14:paraId="359E4171" w14:textId="77777777" w:rsidR="00921BC6" w:rsidRPr="006A46D7" w:rsidRDefault="00921BC6" w:rsidP="00921BC6">
      <w:pPr>
        <w:pStyle w:val="FootnoteText"/>
      </w:pPr>
      <w:r>
        <w:rPr>
          <w:rStyle w:val="FootnoteReference"/>
        </w:rPr>
        <w:footnoteRef/>
      </w:r>
      <w:r>
        <w:t xml:space="preserve"> </w:t>
      </w:r>
      <w:r>
        <w:rPr>
          <w:i/>
          <w:iCs/>
        </w:rPr>
        <w:t>Id.</w:t>
      </w:r>
      <w:r>
        <w:t xml:space="preserve"> at 31-32.</w:t>
      </w:r>
    </w:p>
  </w:footnote>
  <w:footnote w:id="319">
    <w:p w14:paraId="13414A2B" w14:textId="77777777" w:rsidR="00921BC6" w:rsidRPr="004B4258" w:rsidRDefault="00921BC6" w:rsidP="00921BC6">
      <w:pPr>
        <w:pStyle w:val="FootnoteText"/>
      </w:pPr>
      <w:r>
        <w:rPr>
          <w:rStyle w:val="FootnoteReference"/>
        </w:rPr>
        <w:footnoteRef/>
      </w:r>
      <w:r>
        <w:t xml:space="preserve"> </w:t>
      </w:r>
      <w:r>
        <w:rPr>
          <w:i/>
          <w:iCs/>
        </w:rPr>
        <w:t>Id.</w:t>
      </w:r>
      <w:r>
        <w:t xml:space="preserve"> at 32-33 (arguing that states have other opportunities to make their views known, rendering the requirement unnecessary).</w:t>
      </w:r>
    </w:p>
  </w:footnote>
  <w:footnote w:id="320">
    <w:p w14:paraId="4AC71D5A" w14:textId="77777777" w:rsidR="00921BC6" w:rsidRPr="00C77B48" w:rsidRDefault="00921BC6" w:rsidP="00921BC6">
      <w:pPr>
        <w:pStyle w:val="FootnoteText"/>
      </w:pPr>
      <w:r>
        <w:rPr>
          <w:rStyle w:val="FootnoteReference"/>
        </w:rPr>
        <w:footnoteRef/>
      </w:r>
      <w:r>
        <w:t xml:space="preserve"> </w:t>
      </w:r>
      <w:r>
        <w:rPr>
          <w:i/>
          <w:iCs/>
        </w:rPr>
        <w:t>See id.</w:t>
      </w:r>
      <w:r>
        <w:t xml:space="preserve"> at 33.</w:t>
      </w:r>
    </w:p>
  </w:footnote>
  <w:footnote w:id="321">
    <w:p w14:paraId="53BDD558" w14:textId="56C2DDF1" w:rsidR="00921BC6" w:rsidRPr="000E7A52" w:rsidRDefault="00921BC6" w:rsidP="00921BC6">
      <w:pPr>
        <w:pStyle w:val="FootnoteText"/>
      </w:pPr>
      <w:r>
        <w:rPr>
          <w:rStyle w:val="FootnoteReference"/>
        </w:rPr>
        <w:footnoteRef/>
      </w:r>
      <w:r>
        <w:t xml:space="preserve"> </w:t>
      </w:r>
      <w:r>
        <w:rPr>
          <w:i/>
          <w:iCs/>
        </w:rPr>
        <w:t>Id.</w:t>
      </w:r>
      <w:r>
        <w:t xml:space="preserve"> at 33-34 (citing </w:t>
      </w:r>
      <w:r w:rsidRPr="000E7A52">
        <w:rPr>
          <w:i/>
          <w:iCs/>
        </w:rPr>
        <w:t>Moody</w:t>
      </w:r>
      <w:r w:rsidRPr="000E7A52">
        <w:t>, 603 U.S. at 739-40</w:t>
      </w:r>
      <w:r>
        <w:t>;</w:t>
      </w:r>
      <w:r w:rsidRPr="000E7A52">
        <w:rPr>
          <w:i/>
          <w:iCs/>
          <w:szCs w:val="22"/>
        </w:rPr>
        <w:t xml:space="preserve"> </w:t>
      </w:r>
      <w:r w:rsidRPr="00DD3AFD">
        <w:rPr>
          <w:i/>
          <w:iCs/>
        </w:rPr>
        <w:t>Turner Broad. Sys., Inc. v. FCC</w:t>
      </w:r>
      <w:r w:rsidRPr="00DD3AFD">
        <w:t>, 512 U.S. 622, 6</w:t>
      </w:r>
      <w:r>
        <w:t>55</w:t>
      </w:r>
      <w:r w:rsidRPr="00DD3AFD">
        <w:t xml:space="preserve"> (1994)</w:t>
      </w:r>
      <w:r>
        <w:t>)</w:t>
      </w:r>
      <w:r w:rsidR="003557E6">
        <w:t>.</w:t>
      </w:r>
    </w:p>
  </w:footnote>
  <w:footnote w:id="322">
    <w:p w14:paraId="34AE6E08" w14:textId="77777777" w:rsidR="00921BC6" w:rsidRPr="00B31F7D" w:rsidRDefault="00921BC6" w:rsidP="00921BC6">
      <w:pPr>
        <w:pStyle w:val="FootnoteText"/>
      </w:pPr>
      <w:r>
        <w:rPr>
          <w:rStyle w:val="FootnoteReference"/>
        </w:rPr>
        <w:footnoteRef/>
      </w:r>
      <w:r>
        <w:t xml:space="preserve"> </w:t>
      </w:r>
      <w:r>
        <w:rPr>
          <w:i/>
          <w:iCs/>
        </w:rPr>
        <w:t>Id.</w:t>
      </w:r>
      <w:r>
        <w:t xml:space="preserve"> at 34.</w:t>
      </w:r>
    </w:p>
  </w:footnote>
  <w:footnote w:id="323">
    <w:p w14:paraId="374390E4" w14:textId="7D0684AB" w:rsidR="006257B1" w:rsidRDefault="006257B1" w:rsidP="006257B1">
      <w:pPr>
        <w:pStyle w:val="FootnoteText"/>
      </w:pPr>
      <w:r>
        <w:rPr>
          <w:rStyle w:val="FootnoteReference"/>
        </w:rPr>
        <w:footnoteRef/>
      </w:r>
      <w:r>
        <w:t xml:space="preserve"> </w:t>
      </w:r>
      <w:r>
        <w:rPr>
          <w:i/>
          <w:iCs/>
        </w:rPr>
        <w:t xml:space="preserve">See </w:t>
      </w:r>
      <w:r w:rsidR="008B589A">
        <w:rPr>
          <w:i/>
          <w:iCs/>
        </w:rPr>
        <w:t>id.</w:t>
      </w:r>
      <w:r w:rsidRPr="002076DE">
        <w:rPr>
          <w:i/>
        </w:rPr>
        <w:t xml:space="preserve"> </w:t>
      </w:r>
      <w:r>
        <w:t xml:space="preserve">at 29-34; </w:t>
      </w:r>
      <w:r>
        <w:rPr>
          <w:i/>
          <w:iCs/>
        </w:rPr>
        <w:t xml:space="preserve">cf. </w:t>
      </w:r>
      <w:r w:rsidRPr="001D39D0">
        <w:t>SPP TOs Rehearing Request at 13-14</w:t>
      </w:r>
      <w:r>
        <w:t>.</w:t>
      </w:r>
    </w:p>
  </w:footnote>
  <w:footnote w:id="324">
    <w:p w14:paraId="361A4E26" w14:textId="21FA3802" w:rsidR="006257B1" w:rsidRPr="00816D21" w:rsidRDefault="006257B1" w:rsidP="006257B1">
      <w:pPr>
        <w:pStyle w:val="FootnoteText"/>
        <w:rPr>
          <w:szCs w:val="26"/>
        </w:rPr>
      </w:pPr>
      <w:r w:rsidRPr="00816D21">
        <w:rPr>
          <w:rStyle w:val="FootnoteReference"/>
        </w:rPr>
        <w:footnoteRef/>
      </w:r>
      <w:r w:rsidRPr="00816D21">
        <w:rPr>
          <w:szCs w:val="26"/>
        </w:rPr>
        <w:t xml:space="preserve"> </w:t>
      </w:r>
      <w:r>
        <w:rPr>
          <w:i/>
          <w:iCs/>
          <w:szCs w:val="26"/>
        </w:rPr>
        <w:t>PG&amp;E</w:t>
      </w:r>
      <w:r w:rsidRPr="00816D21">
        <w:rPr>
          <w:szCs w:val="26"/>
        </w:rPr>
        <w:t xml:space="preserve">, 475 U.S. </w:t>
      </w:r>
      <w:r>
        <w:rPr>
          <w:szCs w:val="26"/>
        </w:rPr>
        <w:t>at</w:t>
      </w:r>
      <w:r w:rsidRPr="00816D21">
        <w:rPr>
          <w:szCs w:val="26"/>
        </w:rPr>
        <w:t xml:space="preserve"> 8.</w:t>
      </w:r>
    </w:p>
  </w:footnote>
  <w:footnote w:id="325">
    <w:p w14:paraId="2A34E10C" w14:textId="7E1C99CA" w:rsidR="006257B1" w:rsidRPr="00816D21" w:rsidRDefault="006257B1" w:rsidP="006257B1">
      <w:pPr>
        <w:pStyle w:val="FootnoteText"/>
        <w:rPr>
          <w:szCs w:val="26"/>
        </w:rPr>
      </w:pPr>
      <w:r w:rsidRPr="00816D21">
        <w:rPr>
          <w:rStyle w:val="FootnoteReference"/>
        </w:rPr>
        <w:footnoteRef/>
      </w:r>
      <w:r w:rsidRPr="00816D21">
        <w:rPr>
          <w:szCs w:val="26"/>
        </w:rPr>
        <w:t xml:space="preserve"> Order No. 1920-A, 189 FERC ¶ 61,126 at P 659</w:t>
      </w:r>
      <w:r>
        <w:rPr>
          <w:szCs w:val="26"/>
        </w:rPr>
        <w:t xml:space="preserve">; </w:t>
      </w:r>
      <w:proofErr w:type="gramStart"/>
      <w:r>
        <w:rPr>
          <w:i/>
          <w:iCs/>
          <w:szCs w:val="26"/>
        </w:rPr>
        <w:t xml:space="preserve">supra </w:t>
      </w:r>
      <w:r w:rsidRPr="00AC25CC">
        <w:rPr>
          <w:szCs w:val="26"/>
        </w:rPr>
        <w:t>P</w:t>
      </w:r>
      <w:proofErr w:type="gramEnd"/>
      <w:r w:rsidR="00907F91">
        <w:rPr>
          <w:szCs w:val="26"/>
        </w:rPr>
        <w:t xml:space="preserve"> 29</w:t>
      </w:r>
      <w:r w:rsidRPr="00816D21">
        <w:rPr>
          <w:szCs w:val="26"/>
        </w:rPr>
        <w:t>.</w:t>
      </w:r>
    </w:p>
  </w:footnote>
  <w:footnote w:id="326">
    <w:p w14:paraId="49AA49A6" w14:textId="235F2D0B" w:rsidR="006257B1" w:rsidRPr="00EA28F9" w:rsidRDefault="006257B1" w:rsidP="003C738B">
      <w:pPr>
        <w:pStyle w:val="FootnoteText"/>
        <w:widowControl/>
      </w:pPr>
      <w:r>
        <w:rPr>
          <w:rStyle w:val="FootnoteReference"/>
        </w:rPr>
        <w:footnoteRef/>
      </w:r>
      <w:r>
        <w:t xml:space="preserve"> </w:t>
      </w:r>
      <w:r>
        <w:rPr>
          <w:i/>
          <w:iCs/>
        </w:rPr>
        <w:t xml:space="preserve">See </w:t>
      </w:r>
      <w:proofErr w:type="gramStart"/>
      <w:r>
        <w:rPr>
          <w:i/>
          <w:iCs/>
        </w:rPr>
        <w:t>supra</w:t>
      </w:r>
      <w:r>
        <w:t xml:space="preserve"> </w:t>
      </w:r>
      <w:r w:rsidR="001E0A7D" w:rsidRPr="001E0A7D">
        <w:t>Requirements</w:t>
      </w:r>
      <w:proofErr w:type="gramEnd"/>
      <w:r w:rsidR="001E0A7D" w:rsidRPr="001E0A7D">
        <w:t xml:space="preserve"> Concerning Relevant State Entities’ Agreed-upon Cost Allocation Methods</w:t>
      </w:r>
      <w:r w:rsidR="001E0A7D">
        <w:t xml:space="preserve">, </w:t>
      </w:r>
      <w:r w:rsidR="00001E96" w:rsidRPr="002076DE">
        <w:t xml:space="preserve">Statutory </w:t>
      </w:r>
      <w:r w:rsidR="00001E96" w:rsidRPr="00AC25CC">
        <w:t xml:space="preserve">Filing Rights </w:t>
      </w:r>
      <w:r w:rsidR="00001E96">
        <w:t>Under</w:t>
      </w:r>
      <w:r w:rsidR="00001E96" w:rsidRPr="002076DE">
        <w:t xml:space="preserve"> the FPA</w:t>
      </w:r>
      <w:r w:rsidR="00001E96">
        <w:t xml:space="preserve"> s</w:t>
      </w:r>
      <w:r w:rsidR="00001E96" w:rsidRPr="00AC25CC">
        <w:t>ection</w:t>
      </w:r>
      <w:r>
        <w:t>.</w:t>
      </w:r>
      <w:r w:rsidR="00B734C1">
        <w:t xml:space="preserve"> </w:t>
      </w:r>
    </w:p>
  </w:footnote>
  <w:footnote w:id="327">
    <w:p w14:paraId="24D8394D" w14:textId="3A45AD0C" w:rsidR="006257B1" w:rsidRPr="00BF19CA" w:rsidRDefault="006257B1" w:rsidP="006257B1">
      <w:pPr>
        <w:pStyle w:val="FootnoteText"/>
        <w:rPr>
          <w:szCs w:val="26"/>
        </w:rPr>
      </w:pPr>
      <w:r w:rsidRPr="00816D21">
        <w:rPr>
          <w:rStyle w:val="FootnoteReference"/>
        </w:rPr>
        <w:footnoteRef/>
      </w:r>
      <w:r w:rsidRPr="00816D21">
        <w:rPr>
          <w:szCs w:val="26"/>
        </w:rPr>
        <w:t xml:space="preserve"> For example, </w:t>
      </w:r>
      <w:r>
        <w:rPr>
          <w:szCs w:val="26"/>
        </w:rPr>
        <w:t>transmission providers’ First Amendment rights were not implicated by</w:t>
      </w:r>
      <w:r w:rsidRPr="00816D21">
        <w:rPr>
          <w:szCs w:val="26"/>
        </w:rPr>
        <w:t xml:space="preserve"> Order No. 1000’s directive</w:t>
      </w:r>
      <w:r w:rsidRPr="00A50B70">
        <w:rPr>
          <w:szCs w:val="26"/>
        </w:rPr>
        <w:t xml:space="preserve"> </w:t>
      </w:r>
      <w:r w:rsidRPr="00816D21">
        <w:rPr>
          <w:szCs w:val="26"/>
        </w:rPr>
        <w:t xml:space="preserve">that transmission providers propose on compliance an </w:t>
      </w:r>
      <w:r w:rsidRPr="00816D21">
        <w:rPr>
          <w:i/>
          <w:iCs/>
          <w:szCs w:val="26"/>
        </w:rPr>
        <w:t>ex ante</w:t>
      </w:r>
      <w:r w:rsidRPr="00816D21">
        <w:rPr>
          <w:szCs w:val="26"/>
        </w:rPr>
        <w:t xml:space="preserve"> method(s) for allocating the costs of new transmission facilities selected in the regional transmission plan for purposes of cost allocation</w:t>
      </w:r>
      <w:r>
        <w:rPr>
          <w:szCs w:val="26"/>
        </w:rPr>
        <w:t xml:space="preserve"> and show on compliance (i.e., provide record evidence) that this proposed method(s) is just and reasonable and not unduly discriminatory by, </w:t>
      </w:r>
      <w:r>
        <w:rPr>
          <w:i/>
          <w:iCs/>
          <w:szCs w:val="26"/>
        </w:rPr>
        <w:t>inter alia</w:t>
      </w:r>
      <w:r>
        <w:rPr>
          <w:szCs w:val="26"/>
        </w:rPr>
        <w:t>, demonstrating that it satisfies the regional cost allocation principles</w:t>
      </w:r>
      <w:r w:rsidRPr="00816D21">
        <w:rPr>
          <w:szCs w:val="26"/>
        </w:rPr>
        <w:t>.  Order No. 1000</w:t>
      </w:r>
      <w:r>
        <w:rPr>
          <w:szCs w:val="26"/>
        </w:rPr>
        <w:t xml:space="preserve">, </w:t>
      </w:r>
      <w:r w:rsidRPr="00673193">
        <w:rPr>
          <w:szCs w:val="26"/>
        </w:rPr>
        <w:t>136 FERC ¶ 61,051</w:t>
      </w:r>
      <w:r w:rsidRPr="00816D21">
        <w:rPr>
          <w:szCs w:val="26"/>
        </w:rPr>
        <w:t xml:space="preserve"> at PP 558</w:t>
      </w:r>
      <w:r>
        <w:rPr>
          <w:szCs w:val="26"/>
        </w:rPr>
        <w:t>, 603</w:t>
      </w:r>
      <w:r w:rsidRPr="00816D21">
        <w:rPr>
          <w:szCs w:val="26"/>
        </w:rPr>
        <w:t xml:space="preserve">. </w:t>
      </w:r>
      <w:r>
        <w:rPr>
          <w:szCs w:val="26"/>
        </w:rPr>
        <w:t xml:space="preserve"> As in Order No. 1000, Order No. 1920-A requires that transmission providers provide the necessary record evidence—which, given the importance of states’ views on cost allocation, necessarily includes those views—for the Commission to act on transmission providers’ compliance filings.</w:t>
      </w:r>
    </w:p>
  </w:footnote>
  <w:footnote w:id="328">
    <w:p w14:paraId="161B0A34" w14:textId="77777777" w:rsidR="006257B1" w:rsidRDefault="006257B1" w:rsidP="006257B1">
      <w:pPr>
        <w:pStyle w:val="FootnoteText"/>
      </w:pPr>
      <w:r>
        <w:rPr>
          <w:rStyle w:val="FootnoteReference"/>
        </w:rPr>
        <w:footnoteRef/>
      </w:r>
      <w:r>
        <w:t xml:space="preserve"> </w:t>
      </w:r>
      <w:r w:rsidRPr="00816D21">
        <w:rPr>
          <w:szCs w:val="26"/>
        </w:rPr>
        <w:t>Order No. 1920-A, 189 FERC ¶ 61,126</w:t>
      </w:r>
      <w:r>
        <w:rPr>
          <w:szCs w:val="26"/>
        </w:rPr>
        <w:t xml:space="preserve"> at P 649.</w:t>
      </w:r>
    </w:p>
  </w:footnote>
  <w:footnote w:id="329">
    <w:p w14:paraId="26632E74" w14:textId="71A09EF2" w:rsidR="006257B1" w:rsidRPr="006E6979" w:rsidRDefault="006257B1" w:rsidP="006257B1">
      <w:pPr>
        <w:pStyle w:val="FootnoteText"/>
        <w:rPr>
          <w:szCs w:val="26"/>
        </w:rPr>
      </w:pPr>
      <w:r w:rsidRPr="00816D21">
        <w:rPr>
          <w:rStyle w:val="FootnoteReference"/>
        </w:rPr>
        <w:footnoteRef/>
      </w:r>
      <w:r w:rsidRPr="00816D21">
        <w:rPr>
          <w:szCs w:val="26"/>
        </w:rPr>
        <w:t xml:space="preserve"> Indicated PJM TOs Rehearing Request at 29.</w:t>
      </w:r>
      <w:r>
        <w:rPr>
          <w:szCs w:val="26"/>
        </w:rPr>
        <w:t xml:space="preserve">  </w:t>
      </w:r>
      <w:r>
        <w:rPr>
          <w:i/>
          <w:iCs/>
          <w:szCs w:val="26"/>
        </w:rPr>
        <w:t xml:space="preserve">See also </w:t>
      </w:r>
      <w:r>
        <w:t>Order No. 1920-</w:t>
      </w:r>
      <w:proofErr w:type="gramStart"/>
      <w:r>
        <w:t xml:space="preserve">A, </w:t>
      </w:r>
      <w:r w:rsidR="003C738B">
        <w:t xml:space="preserve">  </w:t>
      </w:r>
      <w:proofErr w:type="gramEnd"/>
      <w:r w:rsidR="003C738B">
        <w:t xml:space="preserve">            </w:t>
      </w:r>
      <w:r w:rsidRPr="00A77893">
        <w:t>189 FERC ¶</w:t>
      </w:r>
      <w:r>
        <w:t> </w:t>
      </w:r>
      <w:r w:rsidRPr="00A77893">
        <w:t>61,126</w:t>
      </w:r>
      <w:r>
        <w:t xml:space="preserve"> at P 657 (“[W]</w:t>
      </w:r>
      <w:r w:rsidRPr="00174DCE">
        <w:t xml:space="preserve">e direct these facilitation and informational requirements on compliance pursuant to the Commission’s authority under FPA </w:t>
      </w:r>
      <w:r w:rsidR="003C738B">
        <w:t xml:space="preserve">                </w:t>
      </w:r>
      <w:r w:rsidRPr="00174DCE">
        <w:t>section 206</w:t>
      </w:r>
      <w:r>
        <w:t>.”)</w:t>
      </w:r>
      <w:r w:rsidR="002F1663">
        <w:t>;</w:t>
      </w:r>
      <w:r w:rsidR="002F1663">
        <w:rPr>
          <w:i/>
          <w:iCs/>
        </w:rPr>
        <w:t xml:space="preserve"> supra</w:t>
      </w:r>
      <w:r w:rsidR="002F1663">
        <w:t xml:space="preserve"> </w:t>
      </w:r>
      <w:r w:rsidR="006868F7">
        <w:t>The Statutory Text and Structure</w:t>
      </w:r>
      <w:r w:rsidR="00527164">
        <w:t xml:space="preserve">, and Applicable Precedent, </w:t>
      </w:r>
      <w:r w:rsidR="008B09C6">
        <w:t>Support the Commission’s Order No. 1920-A Approach section</w:t>
      </w:r>
      <w:r>
        <w:t>.</w:t>
      </w:r>
    </w:p>
  </w:footnote>
  <w:footnote w:id="330">
    <w:p w14:paraId="45F9EF82" w14:textId="5F11495D" w:rsidR="006257B1" w:rsidRPr="00174DCE" w:rsidRDefault="006257B1" w:rsidP="006257B1">
      <w:pPr>
        <w:pStyle w:val="FootnoteText"/>
      </w:pPr>
      <w:r>
        <w:rPr>
          <w:rStyle w:val="FootnoteReference"/>
        </w:rPr>
        <w:footnoteRef/>
      </w:r>
      <w:r>
        <w:t xml:space="preserve"> </w:t>
      </w:r>
      <w:r>
        <w:rPr>
          <w:i/>
          <w:iCs/>
        </w:rPr>
        <w:t>Full Value Advisors, LLC v. SEC</w:t>
      </w:r>
      <w:r>
        <w:t>, 633 F.3d 1101, 1108-09 (D.C. Cir. 2011) (holding that required disclosures of information related to the securities over which institutional managers exercise control “</w:t>
      </w:r>
      <w:r w:rsidRPr="0095262B">
        <w:t xml:space="preserve">are indistinguishable from other underlying and oft unnoticed forms of disclosure the Government requires for its </w:t>
      </w:r>
      <w:r>
        <w:t>‘</w:t>
      </w:r>
      <w:r w:rsidRPr="0095262B">
        <w:t>essential operations.</w:t>
      </w:r>
      <w:r>
        <w:t>’”</w:t>
      </w:r>
      <w:r w:rsidRPr="0095262B">
        <w:t> </w:t>
      </w:r>
      <w:r>
        <w:t xml:space="preserve">(quoting </w:t>
      </w:r>
      <w:r w:rsidRPr="00B5263B">
        <w:rPr>
          <w:i/>
          <w:iCs/>
        </w:rPr>
        <w:t>W</w:t>
      </w:r>
      <w:r>
        <w:rPr>
          <w:i/>
          <w:iCs/>
        </w:rPr>
        <w:t>.</w:t>
      </w:r>
      <w:r w:rsidRPr="00B5263B">
        <w:rPr>
          <w:i/>
          <w:iCs/>
        </w:rPr>
        <w:t xml:space="preserve"> V</w:t>
      </w:r>
      <w:r>
        <w:rPr>
          <w:i/>
          <w:iCs/>
        </w:rPr>
        <w:t>a.</w:t>
      </w:r>
      <w:r w:rsidRPr="00B5263B">
        <w:rPr>
          <w:i/>
          <w:iCs/>
        </w:rPr>
        <w:t xml:space="preserve"> State B</w:t>
      </w:r>
      <w:r>
        <w:rPr>
          <w:i/>
          <w:iCs/>
        </w:rPr>
        <w:t>d.</w:t>
      </w:r>
      <w:r w:rsidRPr="00B5263B">
        <w:rPr>
          <w:i/>
          <w:iCs/>
        </w:rPr>
        <w:t xml:space="preserve"> of Ed</w:t>
      </w:r>
      <w:r>
        <w:rPr>
          <w:i/>
          <w:iCs/>
        </w:rPr>
        <w:t>uc. v. Barnette</w:t>
      </w:r>
      <w:r w:rsidRPr="00C8341A">
        <w:t>,</w:t>
      </w:r>
      <w:r w:rsidRPr="00B5263B">
        <w:t xml:space="preserve"> 319 U.S. </w:t>
      </w:r>
      <w:r>
        <w:t xml:space="preserve">624, </w:t>
      </w:r>
      <w:r w:rsidRPr="00B5263B">
        <w:t>645</w:t>
      </w:r>
      <w:r>
        <w:t xml:space="preserve"> (1943)</w:t>
      </w:r>
      <w:r w:rsidRPr="00B5263B">
        <w:t> (Murphy, J., concurring)</w:t>
      </w:r>
      <w:r>
        <w:t xml:space="preserve">); </w:t>
      </w:r>
      <w:r>
        <w:rPr>
          <w:i/>
          <w:iCs/>
        </w:rPr>
        <w:t>United States v. Sindel</w:t>
      </w:r>
      <w:r>
        <w:t xml:space="preserve">, 53 F.3d 874, 878 (8th Cir. 1995) (holding that disclosures required by the Internal Revenue Service did not implicate the First Amendment); </w:t>
      </w:r>
      <w:r>
        <w:rPr>
          <w:i/>
          <w:iCs/>
        </w:rPr>
        <w:t>Scahill v. District of Columbia</w:t>
      </w:r>
      <w:r>
        <w:t xml:space="preserve">, 909 F.3d 1177, 1185 (D.C. Cir. 2018); </w:t>
      </w:r>
      <w:r>
        <w:rPr>
          <w:i/>
          <w:iCs/>
        </w:rPr>
        <w:t>see also</w:t>
      </w:r>
      <w:r>
        <w:t xml:space="preserve"> </w:t>
      </w:r>
      <w:proofErr w:type="spellStart"/>
      <w:r>
        <w:rPr>
          <w:i/>
          <w:iCs/>
        </w:rPr>
        <w:t>Ohralik</w:t>
      </w:r>
      <w:proofErr w:type="spellEnd"/>
      <w:r>
        <w:rPr>
          <w:i/>
          <w:iCs/>
        </w:rPr>
        <w:t xml:space="preserve"> v. Ohio State Bar </w:t>
      </w:r>
      <w:proofErr w:type="spellStart"/>
      <w:r>
        <w:rPr>
          <w:i/>
          <w:iCs/>
        </w:rPr>
        <w:t>Ass’n</w:t>
      </w:r>
      <w:proofErr w:type="spellEnd"/>
      <w:r>
        <w:t>, 436 U.S. 447, 456 (1978) (“Numerous examples could be cited of communications that are regulated without offending the First Amendment, such as the exchange of information about securities, corporate proxy statements, the exchange of price and production information among competitors, and employers’ threats of retaliation for the labor activities of employees.” (citations omitted)).</w:t>
      </w:r>
    </w:p>
  </w:footnote>
  <w:footnote w:id="331">
    <w:p w14:paraId="20662020" w14:textId="77777777" w:rsidR="006257B1" w:rsidRPr="00E46BF6" w:rsidRDefault="006257B1" w:rsidP="006257B1">
      <w:pPr>
        <w:pStyle w:val="FootnoteText"/>
      </w:pPr>
      <w:r>
        <w:rPr>
          <w:rStyle w:val="FootnoteReference"/>
        </w:rPr>
        <w:footnoteRef/>
      </w:r>
      <w:r>
        <w:t xml:space="preserve"> Indicated PJM TOs Rehearing Request at 34 (emphasis in original).  </w:t>
      </w:r>
      <w:r>
        <w:rPr>
          <w:i/>
          <w:iCs/>
        </w:rPr>
        <w:t xml:space="preserve">Cf. </w:t>
      </w:r>
      <w:r>
        <w:t xml:space="preserve">Order No. 1920-A, </w:t>
      </w:r>
      <w:r w:rsidRPr="00EB19E1">
        <w:t>189 FERC ¶ 61,126</w:t>
      </w:r>
      <w:r>
        <w:t xml:space="preserve"> at P 659 (“[T]</w:t>
      </w:r>
      <w:r w:rsidRPr="000D48DB">
        <w:t>he Commission will consider the entire record – including the Relevant State Entities’ agreed-upon Long-Term Regional Transmission Cost Allocation Method and/or State Agreement Process and the transmission provider’s proposal – when setting the replacement rate.</w:t>
      </w:r>
      <w:r>
        <w:t>”).</w:t>
      </w:r>
    </w:p>
  </w:footnote>
  <w:footnote w:id="332">
    <w:p w14:paraId="08EB338F" w14:textId="79673C49" w:rsidR="006257B1" w:rsidRPr="00F55659" w:rsidRDefault="006257B1" w:rsidP="006257B1">
      <w:pPr>
        <w:pStyle w:val="FootnoteText"/>
      </w:pPr>
      <w:r>
        <w:rPr>
          <w:rStyle w:val="FootnoteReference"/>
        </w:rPr>
        <w:footnoteRef/>
      </w:r>
      <w:r>
        <w:t xml:space="preserve"> </w:t>
      </w:r>
      <w:r>
        <w:rPr>
          <w:i/>
          <w:iCs/>
        </w:rPr>
        <w:t xml:space="preserve">See </w:t>
      </w:r>
      <w:r w:rsidRPr="00816D21">
        <w:rPr>
          <w:szCs w:val="26"/>
        </w:rPr>
        <w:t>Order No. 1920-A, 189 FERC ¶ 61,126</w:t>
      </w:r>
      <w:r>
        <w:rPr>
          <w:szCs w:val="26"/>
        </w:rPr>
        <w:t xml:space="preserve"> at P 657 (“</w:t>
      </w:r>
      <w:r w:rsidRPr="000A703E">
        <w:rPr>
          <w:szCs w:val="26"/>
        </w:rPr>
        <w:t>We find that these additional requirements will allow the Commission to better evaluate whether transmission providers have complied with Order No. 1920’s requirement to provide a forum for negotiation that enables meaningful participation by Relevant State Entities during the Engagement Period</w:t>
      </w:r>
      <w:r w:rsidR="0015389F">
        <w:rPr>
          <w:szCs w:val="26"/>
        </w:rPr>
        <w:t>.</w:t>
      </w:r>
      <w:r>
        <w:rPr>
          <w:szCs w:val="26"/>
        </w:rPr>
        <w:t xml:space="preserve">” (citing Order No. 1920, </w:t>
      </w:r>
      <w:r w:rsidRPr="00360982">
        <w:rPr>
          <w:szCs w:val="26"/>
        </w:rPr>
        <w:t>187 FERC ¶ 61,068 at P 1357</w:t>
      </w:r>
      <w:r>
        <w:rPr>
          <w:szCs w:val="26"/>
        </w:rPr>
        <w:t>)).</w:t>
      </w:r>
    </w:p>
  </w:footnote>
  <w:footnote w:id="333">
    <w:p w14:paraId="4225B6D0" w14:textId="6291A076" w:rsidR="006257B1" w:rsidRPr="00816D21" w:rsidRDefault="006257B1" w:rsidP="006257B1">
      <w:pPr>
        <w:pStyle w:val="FootnoteText"/>
        <w:rPr>
          <w:szCs w:val="26"/>
        </w:rPr>
      </w:pPr>
      <w:r w:rsidRPr="00816D21">
        <w:rPr>
          <w:rStyle w:val="FootnoteReference"/>
        </w:rPr>
        <w:footnoteRef/>
      </w:r>
      <w:r w:rsidRPr="00816D21">
        <w:rPr>
          <w:szCs w:val="26"/>
        </w:rPr>
        <w:t xml:space="preserve"> </w:t>
      </w:r>
      <w:r w:rsidRPr="007E2978">
        <w:rPr>
          <w:szCs w:val="26"/>
        </w:rPr>
        <w:t>We further note that the Commission regularly requires public utilities to submit information relevant to other entities’ proposals or positions on issues.</w:t>
      </w:r>
      <w:r>
        <w:rPr>
          <w:szCs w:val="26"/>
        </w:rPr>
        <w:t xml:space="preserve">  </w:t>
      </w:r>
      <w:r w:rsidRPr="00816D21">
        <w:rPr>
          <w:i/>
          <w:iCs/>
          <w:szCs w:val="26"/>
        </w:rPr>
        <w:t>See, e.g.</w:t>
      </w:r>
      <w:r w:rsidRPr="00816D21">
        <w:rPr>
          <w:szCs w:val="26"/>
        </w:rPr>
        <w:t xml:space="preserve">, </w:t>
      </w:r>
      <w:r w:rsidRPr="00816D21">
        <w:rPr>
          <w:i/>
          <w:iCs/>
          <w:szCs w:val="26"/>
        </w:rPr>
        <w:t xml:space="preserve">pro forma </w:t>
      </w:r>
      <w:r w:rsidRPr="00816D21">
        <w:rPr>
          <w:szCs w:val="26"/>
        </w:rPr>
        <w:t>Large Generator Interconnection Procedures, § 11.3 (Execution and Filing) (requiring, when an interconnection customer determines that negotiations with the transmission provider on the terms of the Large Generator Interconnection Agreement (LGIA) are at an impasse and requests that the transmission provider submit the unexecuted LGIA to the Commission, that the transmission provider “</w:t>
      </w:r>
      <w:r>
        <w:rPr>
          <w:szCs w:val="26"/>
        </w:rPr>
        <w:t xml:space="preserve">shall </w:t>
      </w:r>
      <w:r w:rsidRPr="00816D21">
        <w:rPr>
          <w:szCs w:val="26"/>
        </w:rPr>
        <w:t xml:space="preserve">file the LGIA with FERC, together with its explanation of any matters as to which Interconnection Customer and Transmission Provider disagree”); </w:t>
      </w:r>
      <w:r w:rsidRPr="00816D21">
        <w:rPr>
          <w:i/>
          <w:iCs/>
          <w:szCs w:val="26"/>
        </w:rPr>
        <w:t>Wholesale Competition in Regions with Organized Elec. Mkts.</w:t>
      </w:r>
      <w:r w:rsidRPr="00816D21">
        <w:rPr>
          <w:szCs w:val="26"/>
        </w:rPr>
        <w:t xml:space="preserve">, Order No. 719, </w:t>
      </w:r>
      <w:r w:rsidR="003C738B">
        <w:rPr>
          <w:szCs w:val="26"/>
        </w:rPr>
        <w:t xml:space="preserve">73 FR 64100 (Oct. 28, 2008), </w:t>
      </w:r>
      <w:r w:rsidRPr="00816D21">
        <w:rPr>
          <w:szCs w:val="26"/>
        </w:rPr>
        <w:t xml:space="preserve">125 FERC </w:t>
      </w:r>
      <w:r w:rsidR="003C738B">
        <w:rPr>
          <w:szCs w:val="26"/>
        </w:rPr>
        <w:t xml:space="preserve">                       </w:t>
      </w:r>
      <w:r w:rsidRPr="00816D21">
        <w:rPr>
          <w:szCs w:val="26"/>
        </w:rPr>
        <w:t xml:space="preserve">¶ 61,071, at P 274 (2008), </w:t>
      </w:r>
      <w:r w:rsidRPr="00816D21">
        <w:rPr>
          <w:i/>
          <w:iCs/>
          <w:szCs w:val="26"/>
        </w:rPr>
        <w:t>order on reh’g</w:t>
      </w:r>
      <w:r w:rsidRPr="00816D21">
        <w:rPr>
          <w:szCs w:val="26"/>
        </w:rPr>
        <w:t xml:space="preserve">, Order No. 719-A, </w:t>
      </w:r>
      <w:r w:rsidR="003C738B">
        <w:rPr>
          <w:szCs w:val="26"/>
        </w:rPr>
        <w:t xml:space="preserve">74 FR 37776 (Jul. 29, 2009), </w:t>
      </w:r>
      <w:r w:rsidRPr="00816D21">
        <w:rPr>
          <w:szCs w:val="26"/>
        </w:rPr>
        <w:t xml:space="preserve">128 FERC ¶ 61,059, </w:t>
      </w:r>
      <w:r w:rsidRPr="00816D21">
        <w:rPr>
          <w:i/>
          <w:iCs/>
          <w:szCs w:val="26"/>
        </w:rPr>
        <w:t>order on reh’g</w:t>
      </w:r>
      <w:r w:rsidRPr="00816D21">
        <w:rPr>
          <w:szCs w:val="26"/>
        </w:rPr>
        <w:t>, Order No. 719-B, 129 FERC ¶ 61,252 (2009) (requiring RTOs/ISOs to submit a compliance filing identifying any significant minority views as to remaining barriers to comparable treatment of jurisdictional demand response resources)</w:t>
      </w:r>
      <w:r>
        <w:rPr>
          <w:szCs w:val="26"/>
        </w:rPr>
        <w:t xml:space="preserve">; </w:t>
      </w:r>
      <w:r>
        <w:rPr>
          <w:i/>
          <w:iCs/>
          <w:szCs w:val="26"/>
        </w:rPr>
        <w:t>Allegheny Elec. Coop., Inc. v. PJM Interconnection, L.L.C</w:t>
      </w:r>
      <w:r>
        <w:rPr>
          <w:szCs w:val="26"/>
        </w:rPr>
        <w:t xml:space="preserve">, </w:t>
      </w:r>
      <w:r w:rsidRPr="00FE2059">
        <w:rPr>
          <w:szCs w:val="26"/>
        </w:rPr>
        <w:t xml:space="preserve">119 FERC </w:t>
      </w:r>
      <w:r w:rsidRPr="00816D21">
        <w:rPr>
          <w:szCs w:val="26"/>
        </w:rPr>
        <w:t>¶</w:t>
      </w:r>
      <w:r>
        <w:rPr>
          <w:szCs w:val="26"/>
        </w:rPr>
        <w:t> </w:t>
      </w:r>
      <w:r w:rsidRPr="00FE2059">
        <w:rPr>
          <w:szCs w:val="26"/>
        </w:rPr>
        <w:t>61</w:t>
      </w:r>
      <w:r>
        <w:rPr>
          <w:szCs w:val="26"/>
        </w:rPr>
        <w:t>,</w:t>
      </w:r>
      <w:r w:rsidRPr="00FE2059">
        <w:rPr>
          <w:szCs w:val="26"/>
        </w:rPr>
        <w:t>165</w:t>
      </w:r>
      <w:r>
        <w:rPr>
          <w:szCs w:val="26"/>
        </w:rPr>
        <w:t>, at P 14, app., attach. (Data and Document Request to PJM Interconnection, L.L.C) (2007) (directing PJM, in response to a complaint alleging tariff violations by PJM related to actions taken by PJM management with respect to the submission of reports by the PJM Market Monitoring Unit (MMU), to provide “[c]</w:t>
      </w:r>
      <w:proofErr w:type="spellStart"/>
      <w:r>
        <w:rPr>
          <w:szCs w:val="26"/>
        </w:rPr>
        <w:t>omplete</w:t>
      </w:r>
      <w:proofErr w:type="spellEnd"/>
      <w:r>
        <w:rPr>
          <w:szCs w:val="26"/>
        </w:rPr>
        <w:t xml:space="preserve"> details of any communications . . . with any MMU personnel regarding suggested alterations to the State of the Market Report . . . [and] [a]</w:t>
      </w:r>
      <w:proofErr w:type="spellStart"/>
      <w:r>
        <w:rPr>
          <w:szCs w:val="26"/>
        </w:rPr>
        <w:t>ny</w:t>
      </w:r>
      <w:proofErr w:type="spellEnd"/>
      <w:r>
        <w:rPr>
          <w:szCs w:val="26"/>
        </w:rPr>
        <w:t xml:space="preserve"> and all documents made in connection with such communication(s)”).</w:t>
      </w:r>
    </w:p>
  </w:footnote>
  <w:footnote w:id="334">
    <w:p w14:paraId="3BE31671" w14:textId="77777777" w:rsidR="006257B1" w:rsidRDefault="006257B1" w:rsidP="006257B1">
      <w:pPr>
        <w:pStyle w:val="FootnoteText"/>
      </w:pPr>
      <w:r>
        <w:rPr>
          <w:rStyle w:val="FootnoteReference"/>
        </w:rPr>
        <w:footnoteRef/>
      </w:r>
      <w:r>
        <w:t xml:space="preserve"> U.S. Const. amend. I.</w:t>
      </w:r>
    </w:p>
  </w:footnote>
  <w:footnote w:id="335">
    <w:p w14:paraId="11E0AE77" w14:textId="6A127FEA" w:rsidR="006257B1" w:rsidRDefault="006257B1" w:rsidP="006257B1">
      <w:pPr>
        <w:pStyle w:val="FootnoteText"/>
      </w:pPr>
      <w:r>
        <w:rPr>
          <w:rStyle w:val="FootnoteReference"/>
        </w:rPr>
        <w:footnoteRef/>
      </w:r>
      <w:r>
        <w:t xml:space="preserve"> </w:t>
      </w:r>
      <w:r w:rsidRPr="00572563">
        <w:rPr>
          <w:i/>
          <w:iCs/>
        </w:rPr>
        <w:t>Thomas v. Collins</w:t>
      </w:r>
      <w:r w:rsidRPr="00C8341A">
        <w:t>,</w:t>
      </w:r>
      <w:r w:rsidRPr="00572563">
        <w:t> 323 U.S. 516, 530</w:t>
      </w:r>
      <w:r>
        <w:t xml:space="preserve"> </w:t>
      </w:r>
      <w:r w:rsidRPr="00572563">
        <w:t>(1945)</w:t>
      </w:r>
      <w:r>
        <w:t>.</w:t>
      </w:r>
    </w:p>
  </w:footnote>
  <w:footnote w:id="336">
    <w:p w14:paraId="7391D4A8" w14:textId="77777777" w:rsidR="006257B1" w:rsidRPr="00830044" w:rsidRDefault="006257B1" w:rsidP="006257B1">
      <w:pPr>
        <w:pStyle w:val="FootnoteText"/>
      </w:pPr>
      <w:r>
        <w:rPr>
          <w:rStyle w:val="FootnoteReference"/>
        </w:rPr>
        <w:footnoteRef/>
      </w:r>
      <w:r>
        <w:t xml:space="preserve"> </w:t>
      </w:r>
      <w:r>
        <w:rPr>
          <w:i/>
          <w:iCs/>
        </w:rPr>
        <w:t>Borough of Duryea v. Guarnieri</w:t>
      </w:r>
      <w:r>
        <w:t>, 564 U.S 379, 388 (2011).</w:t>
      </w:r>
    </w:p>
  </w:footnote>
  <w:footnote w:id="337">
    <w:p w14:paraId="626280D9" w14:textId="154FD697" w:rsidR="00A43ED8" w:rsidRDefault="00A43ED8">
      <w:pPr>
        <w:pStyle w:val="FootnoteText"/>
      </w:pPr>
      <w:r>
        <w:rPr>
          <w:rStyle w:val="FootnoteReference"/>
        </w:rPr>
        <w:footnoteRef/>
      </w:r>
      <w:r>
        <w:t xml:space="preserve"> </w:t>
      </w:r>
      <w:r w:rsidR="00D03F60">
        <w:rPr>
          <w:i/>
          <w:iCs/>
        </w:rPr>
        <w:t>See</w:t>
      </w:r>
      <w:r>
        <w:rPr>
          <w:i/>
        </w:rPr>
        <w:t xml:space="preserve"> </w:t>
      </w:r>
      <w:r>
        <w:t>Indicated PJM TOs Rehearing Request at 29-30</w:t>
      </w:r>
      <w:r w:rsidR="004F58AB">
        <w:t xml:space="preserve"> (arguing that </w:t>
      </w:r>
      <w:r w:rsidR="006E594C">
        <w:t>Order No.</w:t>
      </w:r>
      <w:r w:rsidR="006B61B9">
        <w:t> </w:t>
      </w:r>
      <w:r w:rsidR="006E594C">
        <w:t xml:space="preserve">1920-A </w:t>
      </w:r>
      <w:r w:rsidR="004C45CE">
        <w:t xml:space="preserve">“compel[s] speech in violation of the </w:t>
      </w:r>
      <w:r w:rsidR="000E3A3E">
        <w:t xml:space="preserve">First </w:t>
      </w:r>
      <w:r w:rsidR="0087051C">
        <w:t>Amendment” and “</w:t>
      </w:r>
      <w:proofErr w:type="spellStart"/>
      <w:r w:rsidR="0087051C">
        <w:t>violat</w:t>
      </w:r>
      <w:proofErr w:type="spellEnd"/>
      <w:r w:rsidR="0087051C">
        <w:t xml:space="preserve">[es] </w:t>
      </w:r>
      <w:r w:rsidR="000E3A3E">
        <w:t>First Amendment petitioning rights</w:t>
      </w:r>
      <w:r w:rsidR="007F402A">
        <w:t>”</w:t>
      </w:r>
      <w:r w:rsidR="00EA1BD2">
        <w:t>).</w:t>
      </w:r>
    </w:p>
  </w:footnote>
  <w:footnote w:id="338">
    <w:p w14:paraId="668D086A" w14:textId="427FA733" w:rsidR="006257B1" w:rsidRDefault="006257B1" w:rsidP="006257B1">
      <w:pPr>
        <w:pStyle w:val="FootnoteText"/>
      </w:pPr>
      <w:r>
        <w:rPr>
          <w:rStyle w:val="FootnoteReference"/>
        </w:rPr>
        <w:footnoteRef/>
      </w:r>
      <w:r>
        <w:t xml:space="preserve"> </w:t>
      </w:r>
      <w:r>
        <w:rPr>
          <w:i/>
          <w:iCs/>
        </w:rPr>
        <w:t>Borough of Duryea</w:t>
      </w:r>
      <w:r>
        <w:t xml:space="preserve">, 564 U.S </w:t>
      </w:r>
      <w:r w:rsidR="008F6E58">
        <w:t>at</w:t>
      </w:r>
      <w:r>
        <w:t xml:space="preserve"> 388 (there is not a presumption of “essential equivalence” in the speech and petition clauses negating the need to address them individually).</w:t>
      </w:r>
    </w:p>
  </w:footnote>
  <w:footnote w:id="339">
    <w:p w14:paraId="4B88BC79" w14:textId="77777777" w:rsidR="006257B1" w:rsidRDefault="006257B1" w:rsidP="006257B1">
      <w:pPr>
        <w:pStyle w:val="FootnoteText"/>
      </w:pPr>
      <w:r>
        <w:rPr>
          <w:rStyle w:val="FootnoteReference"/>
        </w:rPr>
        <w:footnoteRef/>
      </w:r>
      <w:r>
        <w:t xml:space="preserve"> Indicated PJM TOs Rehearing Request at 30.</w:t>
      </w:r>
    </w:p>
  </w:footnote>
  <w:footnote w:id="340">
    <w:p w14:paraId="57B3525C" w14:textId="670B8CA1" w:rsidR="006257B1" w:rsidRDefault="006257B1" w:rsidP="006257B1">
      <w:pPr>
        <w:pStyle w:val="FootnoteText"/>
      </w:pPr>
      <w:r>
        <w:rPr>
          <w:rStyle w:val="FootnoteReference"/>
        </w:rPr>
        <w:footnoteRef/>
      </w:r>
      <w:r>
        <w:t xml:space="preserve"> </w:t>
      </w:r>
      <w:r>
        <w:rPr>
          <w:i/>
          <w:iCs/>
        </w:rPr>
        <w:t>Borough of Duryea</w:t>
      </w:r>
      <w:r>
        <w:t>, 564 U.S at 388</w:t>
      </w:r>
      <w:r w:rsidR="0012095D">
        <w:t>-89</w:t>
      </w:r>
      <w:r>
        <w:t xml:space="preserve"> (citing </w:t>
      </w:r>
      <w:r>
        <w:rPr>
          <w:i/>
          <w:iCs/>
        </w:rPr>
        <w:t xml:space="preserve">Sure-Tan, Inc. v. </w:t>
      </w:r>
      <w:proofErr w:type="gramStart"/>
      <w:r>
        <w:rPr>
          <w:i/>
          <w:iCs/>
        </w:rPr>
        <w:t>NLRB</w:t>
      </w:r>
      <w:r>
        <w:t xml:space="preserve">, </w:t>
      </w:r>
      <w:r w:rsidR="003C738B">
        <w:t xml:space="preserve">  </w:t>
      </w:r>
      <w:proofErr w:type="gramEnd"/>
      <w:r w:rsidR="003C738B">
        <w:t xml:space="preserve">              </w:t>
      </w:r>
      <w:r>
        <w:t>467 U.S. 883, 896-97 (1984)).</w:t>
      </w:r>
    </w:p>
  </w:footnote>
  <w:footnote w:id="341">
    <w:p w14:paraId="156B7C8D" w14:textId="29A3CF2E" w:rsidR="006257B1" w:rsidRPr="00FD16BD" w:rsidRDefault="006257B1" w:rsidP="006257B1">
      <w:pPr>
        <w:pStyle w:val="FootnoteText"/>
      </w:pPr>
      <w:r>
        <w:rPr>
          <w:rStyle w:val="FootnoteReference"/>
        </w:rPr>
        <w:footnoteRef/>
      </w:r>
      <w:r>
        <w:t xml:space="preserve"> </w:t>
      </w:r>
      <w:r>
        <w:rPr>
          <w:i/>
          <w:iCs/>
        </w:rPr>
        <w:t xml:space="preserve">S. Co. </w:t>
      </w:r>
      <w:proofErr w:type="spellStart"/>
      <w:r>
        <w:rPr>
          <w:i/>
          <w:iCs/>
        </w:rPr>
        <w:t>Svcs</w:t>
      </w:r>
      <w:proofErr w:type="spellEnd"/>
      <w:r>
        <w:rPr>
          <w:i/>
          <w:iCs/>
        </w:rPr>
        <w:t>.</w:t>
      </w:r>
      <w:r>
        <w:t xml:space="preserve">, </w:t>
      </w:r>
      <w:r w:rsidRPr="00A414D8">
        <w:t>61 FERC</w:t>
      </w:r>
      <w:r>
        <w:t xml:space="preserve"> at 62,</w:t>
      </w:r>
      <w:r w:rsidR="00502CCA">
        <w:t>3</w:t>
      </w:r>
      <w:r w:rsidR="006A2A6A">
        <w:t>28-29</w:t>
      </w:r>
      <w:r>
        <w:t xml:space="preserve"> (1992) </w:t>
      </w:r>
      <w:r w:rsidR="00DE2F5D" w:rsidRPr="00DE2F5D">
        <w:t xml:space="preserve">(“A compliance filing is not a change initiated by a utility, but rather is a change expressly directed by the </w:t>
      </w:r>
      <w:r w:rsidR="003C738B">
        <w:t xml:space="preserve">          </w:t>
      </w:r>
      <w:r w:rsidR="00DE2F5D" w:rsidRPr="00DE2F5D">
        <w:t xml:space="preserve">Commission . . . which the utility is merely implementing or carrying out.”); </w:t>
      </w:r>
      <w:r w:rsidR="00DE2F5D" w:rsidRPr="00DE2F5D">
        <w:rPr>
          <w:i/>
          <w:iCs/>
        </w:rPr>
        <w:t>id</w:t>
      </w:r>
      <w:r w:rsidR="00244F22">
        <w:rPr>
          <w:i/>
          <w:iCs/>
        </w:rPr>
        <w:t>.</w:t>
      </w:r>
      <w:r w:rsidR="00DE2F5D" w:rsidRPr="00DE2F5D">
        <w:rPr>
          <w:i/>
          <w:iCs/>
        </w:rPr>
        <w:t xml:space="preserve"> </w:t>
      </w:r>
      <w:r w:rsidR="00DE2F5D" w:rsidRPr="00DE2F5D">
        <w:t xml:space="preserve">at 62,330 </w:t>
      </w:r>
      <w:r>
        <w:t>(“A public utility submits compliance filings in response to Commission directives.  The Commission issues these directives under its authority to fix a rate by order.”).</w:t>
      </w:r>
    </w:p>
  </w:footnote>
  <w:footnote w:id="342">
    <w:p w14:paraId="5795DAA1" w14:textId="0C8A7891" w:rsidR="006257B1" w:rsidRDefault="006257B1" w:rsidP="003C738B">
      <w:pPr>
        <w:pStyle w:val="FootnoteText"/>
        <w:widowControl/>
      </w:pPr>
      <w:r>
        <w:rPr>
          <w:rStyle w:val="FootnoteReference"/>
        </w:rPr>
        <w:footnoteRef/>
      </w:r>
      <w:r>
        <w:t xml:space="preserve"> Indicated PJM TOs contend that “</w:t>
      </w:r>
      <w:r w:rsidRPr="00080F5A">
        <w:t>a public utility’s right to present its rates and charges and proposals that affect</w:t>
      </w:r>
      <w:r>
        <w:t xml:space="preserve"> </w:t>
      </w:r>
      <w:r w:rsidRPr="00080F5A">
        <w:t>such rates and charges with the Commission are protected speech under the First Amendment</w:t>
      </w:r>
      <w:r>
        <w:t>” based on the general observation that “[m]</w:t>
      </w:r>
      <w:proofErr w:type="spellStart"/>
      <w:r>
        <w:t>aking</w:t>
      </w:r>
      <w:proofErr w:type="spellEnd"/>
      <w:r>
        <w:t xml:space="preserve"> a submission or filing with a governmental body is First Amendment protected petitioning.”  Indicated PJM TOs Rehearing Request at 29 (citing </w:t>
      </w:r>
      <w:r w:rsidRPr="006D5EDF">
        <w:rPr>
          <w:i/>
          <w:iCs/>
        </w:rPr>
        <w:t>Noerr Motor Freight, Inc.</w:t>
      </w:r>
      <w:r>
        <w:t xml:space="preserve">, </w:t>
      </w:r>
      <w:r w:rsidRPr="005B0915">
        <w:t xml:space="preserve">365 U.S. </w:t>
      </w:r>
      <w:r w:rsidR="00CC43BA">
        <w:t>at</w:t>
      </w:r>
      <w:r>
        <w:t xml:space="preserve"> 1</w:t>
      </w:r>
      <w:r w:rsidR="000A747A">
        <w:t>38</w:t>
      </w:r>
      <w:r>
        <w:t xml:space="preserve">; </w:t>
      </w:r>
      <w:r w:rsidRPr="000F497C">
        <w:rPr>
          <w:i/>
          <w:iCs/>
        </w:rPr>
        <w:t>Trucking Unlimited</w:t>
      </w:r>
      <w:r>
        <w:t xml:space="preserve">, </w:t>
      </w:r>
      <w:r w:rsidRPr="00C726B7">
        <w:t xml:space="preserve">404 U.S. </w:t>
      </w:r>
      <w:r w:rsidR="005D2F81">
        <w:t>at</w:t>
      </w:r>
      <w:r>
        <w:t xml:space="preserve"> 5</w:t>
      </w:r>
      <w:r w:rsidR="000A747A">
        <w:t>10</w:t>
      </w:r>
      <w:r>
        <w:t xml:space="preserve">; </w:t>
      </w:r>
      <w:r w:rsidRPr="000F497C">
        <w:rPr>
          <w:i/>
          <w:iCs/>
        </w:rPr>
        <w:t>White v. Lee</w:t>
      </w:r>
      <w:r>
        <w:t xml:space="preserve">, </w:t>
      </w:r>
      <w:r w:rsidRPr="00C726B7">
        <w:t xml:space="preserve">227 F.3d </w:t>
      </w:r>
      <w:r w:rsidR="003C738B">
        <w:t xml:space="preserve">                  </w:t>
      </w:r>
      <w:r w:rsidR="005D2F81">
        <w:t>at</w:t>
      </w:r>
      <w:r>
        <w:t xml:space="preserve"> 12</w:t>
      </w:r>
      <w:r w:rsidR="000A747A">
        <w:t>31</w:t>
      </w:r>
      <w:r>
        <w:t xml:space="preserve">).  However, </w:t>
      </w:r>
      <w:r w:rsidRPr="000F497C">
        <w:t>we find no relevant parallels between, on the one hand, the compliance requirements adopted in Order No. 1920-A and, on the other, the “publicity campaign designed to influence the passage of state laws”</w:t>
      </w:r>
      <w:r>
        <w:t xml:space="preserve"> </w:t>
      </w:r>
      <w:r w:rsidRPr="000F497C">
        <w:t xml:space="preserve">in </w:t>
      </w:r>
      <w:r w:rsidR="008E65EC">
        <w:rPr>
          <w:i/>
          <w:iCs/>
        </w:rPr>
        <w:t>Noerr Motor Freight, Inc.</w:t>
      </w:r>
      <w:r w:rsidRPr="000F497C">
        <w:t>,</w:t>
      </w:r>
      <w:r>
        <w:t xml:space="preserve"> </w:t>
      </w:r>
      <w:r w:rsidR="00124D48">
        <w:t xml:space="preserve">365 U.S. at 131, </w:t>
      </w:r>
      <w:r w:rsidRPr="000F497C">
        <w:t xml:space="preserve">the alleged conspiracy “to institute state and federal proceedings to resist and defeat applications . . . to acquire [highway carrier] operating rights or to transfer or register those rights” in </w:t>
      </w:r>
      <w:r w:rsidRPr="000F497C">
        <w:rPr>
          <w:i/>
          <w:iCs/>
        </w:rPr>
        <w:t xml:space="preserve">Trucking </w:t>
      </w:r>
      <w:r w:rsidRPr="004924EC">
        <w:rPr>
          <w:i/>
          <w:iCs/>
        </w:rPr>
        <w:t>Unlimited</w:t>
      </w:r>
      <w:r>
        <w:t xml:space="preserve">, </w:t>
      </w:r>
      <w:r w:rsidR="0031285A">
        <w:t xml:space="preserve">404 U.S. at </w:t>
      </w:r>
      <w:r w:rsidR="00240CDA">
        <w:t xml:space="preserve">509, </w:t>
      </w:r>
      <w:r>
        <w:t xml:space="preserve">or </w:t>
      </w:r>
      <w:r w:rsidRPr="004924EC">
        <w:t xml:space="preserve">the opposition to a zoning permit in </w:t>
      </w:r>
      <w:r w:rsidRPr="004924EC">
        <w:rPr>
          <w:i/>
          <w:iCs/>
        </w:rPr>
        <w:t>White v. Lee</w:t>
      </w:r>
      <w:r>
        <w:t>.</w:t>
      </w:r>
      <w:r w:rsidRPr="004924EC" w:rsidDel="002F1D55">
        <w:t xml:space="preserve"> </w:t>
      </w:r>
    </w:p>
  </w:footnote>
  <w:footnote w:id="343">
    <w:p w14:paraId="2AF12F2D" w14:textId="4D8C020E" w:rsidR="006257B1" w:rsidRDefault="006257B1" w:rsidP="006257B1">
      <w:pPr>
        <w:pStyle w:val="FootnoteText"/>
      </w:pPr>
      <w:r>
        <w:rPr>
          <w:rStyle w:val="FootnoteReference"/>
        </w:rPr>
        <w:footnoteRef/>
      </w:r>
      <w:r>
        <w:t xml:space="preserve"> </w:t>
      </w:r>
      <w:r>
        <w:rPr>
          <w:i/>
          <w:iCs/>
        </w:rPr>
        <w:t>See Borough of Duryea</w:t>
      </w:r>
      <w:r>
        <w:t>, 564 U.S at 388</w:t>
      </w:r>
      <w:r w:rsidR="002D660F">
        <w:t>-89</w:t>
      </w:r>
      <w:r>
        <w:t>.</w:t>
      </w:r>
    </w:p>
  </w:footnote>
  <w:footnote w:id="344">
    <w:p w14:paraId="01AB9F47" w14:textId="77777777" w:rsidR="006257B1" w:rsidRDefault="006257B1" w:rsidP="006257B1">
      <w:pPr>
        <w:pStyle w:val="FootnoteText"/>
      </w:pPr>
      <w:r>
        <w:rPr>
          <w:rStyle w:val="FootnoteReference"/>
        </w:rPr>
        <w:footnoteRef/>
      </w:r>
      <w:r>
        <w:t xml:space="preserve"> Order No. 1920-A, </w:t>
      </w:r>
      <w:r w:rsidRPr="00EF4612">
        <w:t>189 FERC ¶ 61,126</w:t>
      </w:r>
      <w:r>
        <w:t xml:space="preserve"> at P 654 n.1651.</w:t>
      </w:r>
    </w:p>
  </w:footnote>
  <w:footnote w:id="345">
    <w:p w14:paraId="300A16AC" w14:textId="490DF26E" w:rsidR="006257B1" w:rsidRPr="00781057" w:rsidRDefault="006257B1" w:rsidP="003C738B">
      <w:pPr>
        <w:pStyle w:val="FootnoteText"/>
        <w:widowControl/>
      </w:pPr>
      <w:r>
        <w:rPr>
          <w:rStyle w:val="FootnoteReference"/>
        </w:rPr>
        <w:footnoteRef/>
      </w:r>
      <w:r>
        <w:t xml:space="preserve"> </w:t>
      </w:r>
      <w:r>
        <w:rPr>
          <w:i/>
          <w:iCs/>
        </w:rPr>
        <w:t xml:space="preserve">PG&amp;E </w:t>
      </w:r>
      <w:r>
        <w:t>concerned an order issued by the California Public Utilities Commission requiring PG&amp;E</w:t>
      </w:r>
      <w:r w:rsidRPr="00B3232F">
        <w:t xml:space="preserve"> </w:t>
      </w:r>
      <w:r>
        <w:t>to include third-party political editorials in its monthly billing statements</w:t>
      </w:r>
      <w:r w:rsidRPr="00B3232F">
        <w:t xml:space="preserve"> to </w:t>
      </w:r>
      <w:r>
        <w:t xml:space="preserve">its customers.  </w:t>
      </w:r>
      <w:r>
        <w:rPr>
          <w:i/>
          <w:iCs/>
        </w:rPr>
        <w:t>PG&amp;E</w:t>
      </w:r>
      <w:r>
        <w:t xml:space="preserve">, 475 U.S. at 5-6, 12 (describing the audience of these editorials as the “public at large”).  In </w:t>
      </w:r>
      <w:r>
        <w:rPr>
          <w:i/>
          <w:iCs/>
        </w:rPr>
        <w:t>Moody</w:t>
      </w:r>
      <w:r>
        <w:t xml:space="preserve">, </w:t>
      </w:r>
      <w:r w:rsidRPr="00781057">
        <w:t>the Supreme Court reviewed a Texas law banning censorship on social-media platforms with over 50 million monthly active users, which officials justified on the basis that those platforms “skewed against politically conservative voices.”</w:t>
      </w:r>
      <w:r>
        <w:t xml:space="preserve">  </w:t>
      </w:r>
      <w:r>
        <w:rPr>
          <w:i/>
          <w:iCs/>
        </w:rPr>
        <w:t>Moody</w:t>
      </w:r>
      <w:r>
        <w:t>, 603 U.S. at 718-19, 721.</w:t>
      </w:r>
    </w:p>
  </w:footnote>
  <w:footnote w:id="346">
    <w:p w14:paraId="673083F5" w14:textId="469D507D" w:rsidR="000D2334" w:rsidRDefault="000D2334">
      <w:pPr>
        <w:pStyle w:val="FootnoteText"/>
      </w:pPr>
      <w:r>
        <w:rPr>
          <w:rStyle w:val="FootnoteReference"/>
        </w:rPr>
        <w:footnoteRef/>
      </w:r>
      <w:r>
        <w:t xml:space="preserve"> </w:t>
      </w:r>
      <w:r w:rsidR="00674812">
        <w:t>447 U.S. 557 (</w:t>
      </w:r>
      <w:r w:rsidR="00274011">
        <w:t>1980) (</w:t>
      </w:r>
      <w:r w:rsidR="00274011">
        <w:rPr>
          <w:i/>
          <w:iCs/>
        </w:rPr>
        <w:t>Central Hudson</w:t>
      </w:r>
      <w:r w:rsidR="00274011">
        <w:t>).</w:t>
      </w:r>
    </w:p>
  </w:footnote>
  <w:footnote w:id="347">
    <w:p w14:paraId="0E14A0F4" w14:textId="24D8E819" w:rsidR="006257B1" w:rsidRPr="005F3CE7" w:rsidRDefault="006257B1" w:rsidP="006257B1">
      <w:pPr>
        <w:pStyle w:val="FootnoteText"/>
      </w:pPr>
      <w:r>
        <w:rPr>
          <w:rStyle w:val="FootnoteReference"/>
        </w:rPr>
        <w:footnoteRef/>
      </w:r>
      <w:r>
        <w:t xml:space="preserve"> </w:t>
      </w:r>
      <w:r w:rsidR="00274011">
        <w:rPr>
          <w:i/>
          <w:iCs/>
        </w:rPr>
        <w:t>Id.</w:t>
      </w:r>
      <w:r w:rsidR="00035994">
        <w:rPr>
          <w:i/>
          <w:iCs/>
        </w:rPr>
        <w:t xml:space="preserve"> </w:t>
      </w:r>
      <w:r w:rsidR="007E38C9">
        <w:rPr>
          <w:szCs w:val="26"/>
        </w:rPr>
        <w:t>at</w:t>
      </w:r>
      <w:r>
        <w:rPr>
          <w:szCs w:val="26"/>
        </w:rPr>
        <w:t xml:space="preserve"> 561; </w:t>
      </w:r>
      <w:r>
        <w:rPr>
          <w:i/>
          <w:iCs/>
          <w:szCs w:val="26"/>
        </w:rPr>
        <w:t xml:space="preserve">see also Md. Shall Issue, Inc. v. Anne Arundel </w:t>
      </w:r>
      <w:proofErr w:type="spellStart"/>
      <w:r>
        <w:rPr>
          <w:i/>
          <w:iCs/>
          <w:szCs w:val="26"/>
        </w:rPr>
        <w:t>Cnty</w:t>
      </w:r>
      <w:proofErr w:type="spellEnd"/>
      <w:r>
        <w:rPr>
          <w:i/>
          <w:iCs/>
          <w:szCs w:val="26"/>
        </w:rPr>
        <w:t>.</w:t>
      </w:r>
      <w:r>
        <w:rPr>
          <w:szCs w:val="26"/>
        </w:rPr>
        <w:t>, 91 F.4th 238, 248 (4th Cir. 2024) (rejecting the argument that “commercial speech” is limited to speech that “propose[s] a commercial transaction” and describing that argument as “understand[</w:t>
      </w:r>
      <w:proofErr w:type="spellStart"/>
      <w:r>
        <w:rPr>
          <w:szCs w:val="26"/>
        </w:rPr>
        <w:t>ing</w:t>
      </w:r>
      <w:proofErr w:type="spellEnd"/>
      <w:r>
        <w:rPr>
          <w:szCs w:val="26"/>
        </w:rPr>
        <w:t>] ‘commercial’ far too narrowly”).</w:t>
      </w:r>
    </w:p>
  </w:footnote>
  <w:footnote w:id="348">
    <w:p w14:paraId="486F5A4D" w14:textId="6289EEE2" w:rsidR="006257B1" w:rsidRPr="00723DED" w:rsidRDefault="006257B1" w:rsidP="006257B1">
      <w:pPr>
        <w:pStyle w:val="FootnoteText"/>
        <w:rPr>
          <w:i/>
          <w:iCs/>
        </w:rPr>
      </w:pPr>
      <w:r>
        <w:rPr>
          <w:rStyle w:val="FootnoteReference"/>
        </w:rPr>
        <w:footnoteRef/>
      </w:r>
      <w:r>
        <w:t xml:space="preserve"> </w:t>
      </w:r>
      <w:r w:rsidRPr="00816D21">
        <w:rPr>
          <w:i/>
          <w:iCs/>
          <w:szCs w:val="26"/>
        </w:rPr>
        <w:t>See B</w:t>
      </w:r>
      <w:r>
        <w:rPr>
          <w:i/>
          <w:iCs/>
          <w:szCs w:val="26"/>
        </w:rPr>
        <w:t>d.</w:t>
      </w:r>
      <w:r w:rsidRPr="00816D21">
        <w:rPr>
          <w:i/>
          <w:iCs/>
          <w:szCs w:val="26"/>
        </w:rPr>
        <w:t xml:space="preserve"> of </w:t>
      </w:r>
      <w:proofErr w:type="spellStart"/>
      <w:r w:rsidRPr="00816D21">
        <w:rPr>
          <w:i/>
          <w:iCs/>
          <w:szCs w:val="26"/>
        </w:rPr>
        <w:t>Tr</w:t>
      </w:r>
      <w:r>
        <w:rPr>
          <w:i/>
          <w:iCs/>
          <w:szCs w:val="26"/>
        </w:rPr>
        <w:t>s</w:t>
      </w:r>
      <w:proofErr w:type="spellEnd"/>
      <w:r>
        <w:rPr>
          <w:i/>
          <w:iCs/>
          <w:szCs w:val="26"/>
        </w:rPr>
        <w:t>.</w:t>
      </w:r>
      <w:r w:rsidRPr="00816D21">
        <w:rPr>
          <w:i/>
          <w:iCs/>
          <w:szCs w:val="26"/>
        </w:rPr>
        <w:t xml:space="preserve"> of State Univ</w:t>
      </w:r>
      <w:r>
        <w:rPr>
          <w:i/>
          <w:iCs/>
          <w:szCs w:val="26"/>
        </w:rPr>
        <w:t>.</w:t>
      </w:r>
      <w:r w:rsidRPr="00816D21">
        <w:rPr>
          <w:i/>
          <w:iCs/>
          <w:szCs w:val="26"/>
        </w:rPr>
        <w:t xml:space="preserve"> of N</w:t>
      </w:r>
      <w:r>
        <w:rPr>
          <w:i/>
          <w:iCs/>
          <w:szCs w:val="26"/>
        </w:rPr>
        <w:t>.</w:t>
      </w:r>
      <w:r w:rsidRPr="00816D21">
        <w:rPr>
          <w:i/>
          <w:iCs/>
          <w:szCs w:val="26"/>
        </w:rPr>
        <w:t>Y</w:t>
      </w:r>
      <w:r>
        <w:rPr>
          <w:i/>
          <w:iCs/>
          <w:szCs w:val="26"/>
        </w:rPr>
        <w:t>.</w:t>
      </w:r>
      <w:r w:rsidRPr="00816D21">
        <w:rPr>
          <w:i/>
          <w:iCs/>
          <w:szCs w:val="26"/>
        </w:rPr>
        <w:t xml:space="preserve"> v. Fox, </w:t>
      </w:r>
      <w:r w:rsidRPr="00816D21">
        <w:rPr>
          <w:szCs w:val="26"/>
        </w:rPr>
        <w:t>492 U.S. 469</w:t>
      </w:r>
      <w:r w:rsidR="00B30A74">
        <w:rPr>
          <w:szCs w:val="26"/>
        </w:rPr>
        <w:t>, 477</w:t>
      </w:r>
      <w:r w:rsidRPr="00816D21">
        <w:rPr>
          <w:szCs w:val="26"/>
        </w:rPr>
        <w:t xml:space="preserve"> (1989) (“Our jurisprudence has emphasized that ‘commercial speech</w:t>
      </w:r>
      <w:r>
        <w:rPr>
          <w:szCs w:val="26"/>
        </w:rPr>
        <w:t xml:space="preserve">’ . . . </w:t>
      </w:r>
      <w:r w:rsidRPr="00816D21">
        <w:rPr>
          <w:szCs w:val="26"/>
        </w:rPr>
        <w:t xml:space="preserve"> is subject to ‘modes of regulation that might be impermissible in the realm of noncommercial expression.’” (quoting </w:t>
      </w:r>
      <w:proofErr w:type="spellStart"/>
      <w:r w:rsidRPr="00816D21">
        <w:rPr>
          <w:i/>
          <w:iCs/>
          <w:szCs w:val="26"/>
        </w:rPr>
        <w:t>Ohralik</w:t>
      </w:r>
      <w:proofErr w:type="spellEnd"/>
      <w:r w:rsidRPr="00C8341A">
        <w:rPr>
          <w:szCs w:val="26"/>
        </w:rPr>
        <w:t>,</w:t>
      </w:r>
      <w:r w:rsidRPr="00816D21">
        <w:rPr>
          <w:szCs w:val="26"/>
        </w:rPr>
        <w:t xml:space="preserve"> 436 U.S. </w:t>
      </w:r>
      <w:r w:rsidR="00DF6F69">
        <w:rPr>
          <w:szCs w:val="26"/>
        </w:rPr>
        <w:t>at</w:t>
      </w:r>
      <w:r w:rsidRPr="00816D21">
        <w:rPr>
          <w:szCs w:val="26"/>
        </w:rPr>
        <w:t xml:space="preserve"> 456)</w:t>
      </w:r>
      <w:r w:rsidR="00047D3A">
        <w:rPr>
          <w:szCs w:val="26"/>
        </w:rPr>
        <w:t>)</w:t>
      </w:r>
      <w:r>
        <w:rPr>
          <w:szCs w:val="26"/>
        </w:rPr>
        <w:t xml:space="preserve">; </w:t>
      </w:r>
      <w:r w:rsidR="00594083">
        <w:rPr>
          <w:i/>
          <w:iCs/>
          <w:szCs w:val="26"/>
        </w:rPr>
        <w:t>Central Hudson</w:t>
      </w:r>
      <w:r w:rsidR="00512368">
        <w:rPr>
          <w:szCs w:val="26"/>
        </w:rPr>
        <w:t xml:space="preserve">, 447 U.S. </w:t>
      </w:r>
      <w:r w:rsidR="009C52EA">
        <w:rPr>
          <w:szCs w:val="26"/>
        </w:rPr>
        <w:t xml:space="preserve">at </w:t>
      </w:r>
      <w:r w:rsidR="00E03299">
        <w:rPr>
          <w:szCs w:val="26"/>
        </w:rPr>
        <w:t>56</w:t>
      </w:r>
      <w:r w:rsidR="00A92646">
        <w:rPr>
          <w:szCs w:val="26"/>
        </w:rPr>
        <w:t>3</w:t>
      </w:r>
      <w:r w:rsidR="00512368">
        <w:rPr>
          <w:szCs w:val="26"/>
        </w:rPr>
        <w:t xml:space="preserve"> </w:t>
      </w:r>
      <w:r w:rsidR="007274F7">
        <w:rPr>
          <w:szCs w:val="26"/>
        </w:rPr>
        <w:t>(“</w:t>
      </w:r>
      <w:r w:rsidR="001102D9">
        <w:rPr>
          <w:szCs w:val="26"/>
        </w:rPr>
        <w:t xml:space="preserve">The Constitution therefore accords a lesser protection to commercial speech than to other </w:t>
      </w:r>
      <w:r w:rsidR="008A1204">
        <w:rPr>
          <w:szCs w:val="26"/>
        </w:rPr>
        <w:t>constitutionally guaranteed expression.”)</w:t>
      </w:r>
      <w:r w:rsidR="00C211D5">
        <w:rPr>
          <w:szCs w:val="26"/>
        </w:rPr>
        <w:t>;</w:t>
      </w:r>
      <w:r w:rsidR="00512368">
        <w:rPr>
          <w:i/>
          <w:iCs/>
          <w:szCs w:val="26"/>
        </w:rPr>
        <w:t xml:space="preserve"> </w:t>
      </w:r>
      <w:r>
        <w:rPr>
          <w:i/>
          <w:iCs/>
          <w:szCs w:val="26"/>
        </w:rPr>
        <w:t>Bolger v. Youngs Drug Prods. Corp.</w:t>
      </w:r>
      <w:r>
        <w:rPr>
          <w:szCs w:val="26"/>
        </w:rPr>
        <w:t xml:space="preserve">, 463 U.S. 60, 64-65 (1983).  </w:t>
      </w:r>
      <w:r>
        <w:rPr>
          <w:i/>
          <w:iCs/>
          <w:szCs w:val="26"/>
        </w:rPr>
        <w:t xml:space="preserve">See also </w:t>
      </w:r>
      <w:r w:rsidRPr="001E71E3">
        <w:rPr>
          <w:i/>
          <w:iCs/>
          <w:szCs w:val="26"/>
        </w:rPr>
        <w:t>Rubin v. Coors</w:t>
      </w:r>
      <w:r>
        <w:rPr>
          <w:szCs w:val="26"/>
        </w:rPr>
        <w:t xml:space="preserve"> </w:t>
      </w:r>
      <w:r>
        <w:rPr>
          <w:i/>
          <w:iCs/>
          <w:szCs w:val="26"/>
        </w:rPr>
        <w:t>Brewing Co.</w:t>
      </w:r>
      <w:r>
        <w:rPr>
          <w:szCs w:val="26"/>
        </w:rPr>
        <w:t>, 514 U.S. 476, 492</w:t>
      </w:r>
      <w:r w:rsidRPr="00816D21">
        <w:rPr>
          <w:szCs w:val="26"/>
        </w:rPr>
        <w:t xml:space="preserve"> (</w:t>
      </w:r>
      <w:r w:rsidR="002022D4">
        <w:rPr>
          <w:szCs w:val="26"/>
        </w:rPr>
        <w:t xml:space="preserve">1995) </w:t>
      </w:r>
      <w:r w:rsidRPr="00816D21">
        <w:rPr>
          <w:szCs w:val="26"/>
        </w:rPr>
        <w:t>(Stevens, J., concurring) (“The First Amendment generally protects the right not to speak as well as the right to speak.  In the commercial context, however, government . . . often requires affirmative disclosures that the speaker might not make voluntarily.” (internal citations omitted)).</w:t>
      </w:r>
      <w:r>
        <w:rPr>
          <w:szCs w:val="26"/>
        </w:rPr>
        <w:t xml:space="preserve">  </w:t>
      </w:r>
    </w:p>
  </w:footnote>
  <w:footnote w:id="349">
    <w:p w14:paraId="72E81582" w14:textId="3054A7FF" w:rsidR="006257B1" w:rsidRPr="005876A6" w:rsidRDefault="006257B1" w:rsidP="003C738B">
      <w:pPr>
        <w:pStyle w:val="FootnoteText"/>
        <w:widowControl/>
      </w:pPr>
      <w:r>
        <w:rPr>
          <w:rStyle w:val="FootnoteReference"/>
        </w:rPr>
        <w:footnoteRef/>
      </w:r>
      <w:r>
        <w:t xml:space="preserve"> </w:t>
      </w:r>
      <w:r>
        <w:rPr>
          <w:i/>
          <w:iCs/>
        </w:rPr>
        <w:t>See Full Value Advisors, LLC</w:t>
      </w:r>
      <w:r>
        <w:t xml:space="preserve">, 633 F.3d at 1108-09 (“Here the </w:t>
      </w:r>
      <w:r w:rsidR="003C738B">
        <w:t xml:space="preserve">                 </w:t>
      </w:r>
      <w:r>
        <w:t xml:space="preserve">Commission—not the public—is [the regulated entity’s] only audience.  The </w:t>
      </w:r>
      <w:r w:rsidR="003C738B">
        <w:t xml:space="preserve">               </w:t>
      </w:r>
      <w:proofErr w:type="gramStart"/>
      <w:r w:rsidR="003C738B">
        <w:t xml:space="preserve">   </w:t>
      </w:r>
      <w:r>
        <w:t>[</w:t>
      </w:r>
      <w:proofErr w:type="gramEnd"/>
      <w:r w:rsidRPr="009E6A89">
        <w:t>Dodd–Frank Wall Street Reform and Consumer Protection</w:t>
      </w:r>
      <w:r>
        <w:t>] Act is an effort to regulate complex securities markets, inspire confidence in those markets, and protect proprietary information in the process.  It is not a veiled attempt to ‘</w:t>
      </w:r>
      <w:r w:rsidRPr="00F04673">
        <w:t>suppress unpopular ideas or information or manipulate the public debate through coercion rather than persuasion</w:t>
      </w:r>
      <w:r>
        <w:t xml:space="preserve">’” (citing </w:t>
      </w:r>
      <w:r>
        <w:rPr>
          <w:i/>
          <w:iCs/>
        </w:rPr>
        <w:t>Turner Broad. Sys., Inc.</w:t>
      </w:r>
      <w:r>
        <w:t>, 512 U.S. at 64</w:t>
      </w:r>
      <w:r w:rsidR="005A00E2">
        <w:t>1</w:t>
      </w:r>
      <w:r>
        <w:t xml:space="preserve">)); </w:t>
      </w:r>
      <w:r>
        <w:rPr>
          <w:i/>
          <w:iCs/>
        </w:rPr>
        <w:t>Sindel</w:t>
      </w:r>
      <w:r>
        <w:t xml:space="preserve">, 53 F.3d </w:t>
      </w:r>
      <w:r w:rsidR="0056402D">
        <w:t>at</w:t>
      </w:r>
      <w:r>
        <w:t xml:space="preserve"> 878 (“</w:t>
      </w:r>
      <w:r w:rsidRPr="00B5263B">
        <w:t xml:space="preserve">There is no right to refrain from speaking when </w:t>
      </w:r>
      <w:r>
        <w:t>‘</w:t>
      </w:r>
      <w:r w:rsidRPr="00B5263B">
        <w:t xml:space="preserve">essential operations of government may require it for the preservation of an orderly </w:t>
      </w:r>
      <w:proofErr w:type="gramStart"/>
      <w:r w:rsidRPr="00B5263B">
        <w:t>society,—</w:t>
      </w:r>
      <w:proofErr w:type="gramEnd"/>
      <w:r w:rsidRPr="00B5263B">
        <w:t>as in the case of compulsion to give evidence in court.</w:t>
      </w:r>
      <w:r>
        <w:t xml:space="preserve">’  </w:t>
      </w:r>
      <w:r w:rsidRPr="00830AFA">
        <w:t xml:space="preserve">The IRS summons requires </w:t>
      </w:r>
      <w:r>
        <w:t>[appellant]</w:t>
      </w:r>
      <w:r w:rsidRPr="00830AFA">
        <w:t xml:space="preserve"> only to provide the government with information which his clients have given him voluntarily, not to disseminate publicly a message with which he disagrees.</w:t>
      </w:r>
      <w:r>
        <w:t xml:space="preserve">” (quoting </w:t>
      </w:r>
      <w:r w:rsidRPr="00B5263B">
        <w:rPr>
          <w:i/>
          <w:iCs/>
        </w:rPr>
        <w:t xml:space="preserve">West </w:t>
      </w:r>
      <w:r>
        <w:rPr>
          <w:i/>
          <w:iCs/>
        </w:rPr>
        <w:t>Va.</w:t>
      </w:r>
      <w:r w:rsidRPr="00B5263B">
        <w:rPr>
          <w:i/>
          <w:iCs/>
        </w:rPr>
        <w:t xml:space="preserve"> State </w:t>
      </w:r>
      <w:r>
        <w:rPr>
          <w:i/>
          <w:iCs/>
        </w:rPr>
        <w:t>Bd.</w:t>
      </w:r>
      <w:r w:rsidRPr="00B5263B">
        <w:rPr>
          <w:i/>
          <w:iCs/>
        </w:rPr>
        <w:t xml:space="preserve"> of </w:t>
      </w:r>
      <w:r>
        <w:rPr>
          <w:i/>
          <w:iCs/>
        </w:rPr>
        <w:t>Educ.</w:t>
      </w:r>
      <w:r w:rsidR="0022026F">
        <w:rPr>
          <w:i/>
          <w:iCs/>
        </w:rPr>
        <w:t xml:space="preserve"> v. Barnette</w:t>
      </w:r>
      <w:r w:rsidRPr="00C8341A">
        <w:t>,</w:t>
      </w:r>
      <w:r w:rsidR="003C738B">
        <w:t xml:space="preserve"> </w:t>
      </w:r>
      <w:r w:rsidRPr="00B5263B">
        <w:t xml:space="preserve">319 U.S. </w:t>
      </w:r>
      <w:r w:rsidR="0056402D">
        <w:t>at</w:t>
      </w:r>
      <w:r>
        <w:t xml:space="preserve"> </w:t>
      </w:r>
      <w:r w:rsidRPr="00B5263B">
        <w:t>645 (Murphy, J., concurring)</w:t>
      </w:r>
      <w:r>
        <w:t>)).</w:t>
      </w:r>
    </w:p>
  </w:footnote>
  <w:footnote w:id="350">
    <w:p w14:paraId="4C8E1EC0" w14:textId="199B65B5" w:rsidR="006257B1" w:rsidRPr="00EB7D9D" w:rsidRDefault="006257B1" w:rsidP="006257B1">
      <w:pPr>
        <w:pStyle w:val="FootnoteText"/>
      </w:pPr>
      <w:r>
        <w:rPr>
          <w:rStyle w:val="FootnoteReference"/>
        </w:rPr>
        <w:footnoteRef/>
      </w:r>
      <w:r>
        <w:t xml:space="preserve"> </w:t>
      </w:r>
      <w:r>
        <w:rPr>
          <w:i/>
          <w:iCs/>
        </w:rPr>
        <w:t xml:space="preserve">See </w:t>
      </w:r>
      <w:r>
        <w:rPr>
          <w:i/>
          <w:iCs/>
          <w:szCs w:val="26"/>
        </w:rPr>
        <w:t>Central Hudson</w:t>
      </w:r>
      <w:r>
        <w:rPr>
          <w:szCs w:val="26"/>
        </w:rPr>
        <w:t xml:space="preserve">, 447 U.S. at 561; </w:t>
      </w:r>
      <w:r>
        <w:rPr>
          <w:i/>
          <w:iCs/>
          <w:szCs w:val="26"/>
        </w:rPr>
        <w:t>Md. Shall Issue, Inc.</w:t>
      </w:r>
      <w:r>
        <w:rPr>
          <w:szCs w:val="26"/>
        </w:rPr>
        <w:t>, 91 F.4th at 248.</w:t>
      </w:r>
    </w:p>
  </w:footnote>
  <w:footnote w:id="351">
    <w:p w14:paraId="033E95C7" w14:textId="04268B2C" w:rsidR="006257B1" w:rsidRPr="006B499D" w:rsidRDefault="006257B1" w:rsidP="006257B1">
      <w:pPr>
        <w:pStyle w:val="FootnoteText"/>
      </w:pPr>
      <w:r>
        <w:rPr>
          <w:rStyle w:val="FootnoteReference"/>
        </w:rPr>
        <w:footnoteRef/>
      </w:r>
      <w:r>
        <w:t xml:space="preserve"> </w:t>
      </w:r>
      <w:r>
        <w:rPr>
          <w:i/>
          <w:iCs/>
        </w:rPr>
        <w:t xml:space="preserve">S. Co. </w:t>
      </w:r>
      <w:proofErr w:type="spellStart"/>
      <w:r>
        <w:rPr>
          <w:i/>
          <w:iCs/>
        </w:rPr>
        <w:t>Svcs</w:t>
      </w:r>
      <w:proofErr w:type="spellEnd"/>
      <w:r>
        <w:rPr>
          <w:i/>
          <w:iCs/>
        </w:rPr>
        <w:t>.</w:t>
      </w:r>
      <w:r>
        <w:t xml:space="preserve">, </w:t>
      </w:r>
      <w:r w:rsidRPr="00A414D8">
        <w:t>61 FERC</w:t>
      </w:r>
      <w:r>
        <w:t xml:space="preserve"> at 62,</w:t>
      </w:r>
      <w:r w:rsidR="00B15C4E">
        <w:t>3</w:t>
      </w:r>
      <w:r>
        <w:t xml:space="preserve">30.  </w:t>
      </w:r>
      <w:r>
        <w:rPr>
          <w:i/>
          <w:iCs/>
        </w:rPr>
        <w:t xml:space="preserve">See also </w:t>
      </w:r>
      <w:r>
        <w:t xml:space="preserve">Order No. 1920, </w:t>
      </w:r>
      <w:r w:rsidRPr="00D57054">
        <w:t>187 FERC ¶ 61,068</w:t>
      </w:r>
      <w:r>
        <w:t xml:space="preserve"> at P 1768 (requiring each transmission provider to submit a compliance filing “as necessary to demonstrate that it meets all of the requirements adopted in [Order </w:t>
      </w:r>
      <w:r w:rsidR="003C738B">
        <w:t xml:space="preserve">                 </w:t>
      </w:r>
      <w:r>
        <w:t>No. 1920]”).</w:t>
      </w:r>
    </w:p>
  </w:footnote>
  <w:footnote w:id="352">
    <w:p w14:paraId="1304A799" w14:textId="0477D7C0" w:rsidR="006257B1" w:rsidRPr="00A50B70" w:rsidRDefault="006257B1" w:rsidP="003C738B">
      <w:pPr>
        <w:pStyle w:val="FootnoteText"/>
        <w:widowControl/>
      </w:pPr>
      <w:r>
        <w:rPr>
          <w:rStyle w:val="FootnoteReference"/>
        </w:rPr>
        <w:footnoteRef/>
      </w:r>
      <w:r>
        <w:t xml:space="preserve"> Indicated PJM TOs cite to, but do not discuss, several additional Supreme Court decisions in stating that “the Commission’s desire to receive the views of the [Relevant State Entities] on cost allocation does not justify mandating that the public utility present those views when filing its own proposal.”  Indicated PJM TOs Rehearing Request at 31 (citing </w:t>
      </w:r>
      <w:r w:rsidRPr="000E1131">
        <w:rPr>
          <w:i/>
          <w:iCs/>
        </w:rPr>
        <w:t>Turner Broad. Sys., Inc.</w:t>
      </w:r>
      <w:r w:rsidRPr="000E1131">
        <w:t xml:space="preserve">, 512 U.S. at 647; </w:t>
      </w:r>
      <w:r w:rsidRPr="000E1131">
        <w:rPr>
          <w:i/>
          <w:iCs/>
        </w:rPr>
        <w:t>Hurley</w:t>
      </w:r>
      <w:r w:rsidR="004F171D">
        <w:rPr>
          <w:i/>
          <w:iCs/>
        </w:rPr>
        <w:t xml:space="preserve"> v. </w:t>
      </w:r>
      <w:r w:rsidR="004F171D" w:rsidRPr="004F171D">
        <w:rPr>
          <w:i/>
          <w:iCs/>
        </w:rPr>
        <w:t>Irish-Am</w:t>
      </w:r>
      <w:r w:rsidR="00AF40A2">
        <w:rPr>
          <w:i/>
          <w:iCs/>
        </w:rPr>
        <w:t>.</w:t>
      </w:r>
      <w:r w:rsidR="004F171D" w:rsidRPr="004F171D">
        <w:rPr>
          <w:i/>
          <w:iCs/>
        </w:rPr>
        <w:t xml:space="preserve"> Gay, Lesbian, </w:t>
      </w:r>
      <w:r w:rsidR="00AF40A2">
        <w:rPr>
          <w:i/>
          <w:iCs/>
        </w:rPr>
        <w:t>&amp;</w:t>
      </w:r>
      <w:r w:rsidR="004F171D" w:rsidRPr="004F171D">
        <w:rPr>
          <w:i/>
          <w:iCs/>
        </w:rPr>
        <w:t xml:space="preserve"> Bisexual Grp</w:t>
      </w:r>
      <w:r w:rsidR="00056504">
        <w:rPr>
          <w:i/>
          <w:iCs/>
        </w:rPr>
        <w:t>.</w:t>
      </w:r>
      <w:r w:rsidR="004F171D" w:rsidRPr="004F171D">
        <w:rPr>
          <w:i/>
          <w:iCs/>
        </w:rPr>
        <w:t xml:space="preserve"> of Bos</w:t>
      </w:r>
      <w:r w:rsidR="00056504">
        <w:rPr>
          <w:i/>
          <w:iCs/>
        </w:rPr>
        <w:t>.</w:t>
      </w:r>
      <w:r w:rsidR="004F171D" w:rsidRPr="004F171D">
        <w:rPr>
          <w:i/>
          <w:iCs/>
        </w:rPr>
        <w:t>, Inc.</w:t>
      </w:r>
      <w:r w:rsidRPr="000E1131">
        <w:t xml:space="preserve">, 515 U.S. </w:t>
      </w:r>
      <w:r w:rsidR="004F171D">
        <w:t>557,</w:t>
      </w:r>
      <w:r w:rsidRPr="000E1131">
        <w:t xml:space="preserve"> 570</w:t>
      </w:r>
      <w:r w:rsidR="004F171D">
        <w:t xml:space="preserve"> (1995)</w:t>
      </w:r>
      <w:r w:rsidRPr="000E1131">
        <w:t xml:space="preserve">; </w:t>
      </w:r>
      <w:r w:rsidR="0072144D">
        <w:rPr>
          <w:i/>
          <w:iCs/>
        </w:rPr>
        <w:t>Mia</w:t>
      </w:r>
      <w:r w:rsidR="00670EFA">
        <w:rPr>
          <w:i/>
          <w:iCs/>
        </w:rPr>
        <w:t>.</w:t>
      </w:r>
      <w:r w:rsidR="0072144D">
        <w:rPr>
          <w:i/>
          <w:iCs/>
        </w:rPr>
        <w:t xml:space="preserve"> Herald Publ</w:t>
      </w:r>
      <w:r w:rsidR="00631453">
        <w:rPr>
          <w:i/>
          <w:iCs/>
        </w:rPr>
        <w:t>’</w:t>
      </w:r>
      <w:r w:rsidR="0072144D">
        <w:rPr>
          <w:i/>
          <w:iCs/>
        </w:rPr>
        <w:t xml:space="preserve">g Co. v. </w:t>
      </w:r>
      <w:r w:rsidRPr="000E1131">
        <w:rPr>
          <w:i/>
          <w:iCs/>
        </w:rPr>
        <w:t>Tornillo</w:t>
      </w:r>
      <w:r w:rsidRPr="000E1131">
        <w:t xml:space="preserve">, 418 U.S. </w:t>
      </w:r>
      <w:r w:rsidR="00DB01D5">
        <w:t xml:space="preserve">241, </w:t>
      </w:r>
      <w:r w:rsidRPr="000E1131">
        <w:t>256-58</w:t>
      </w:r>
      <w:r w:rsidR="00CE6BC3">
        <w:t xml:space="preserve"> (1974)</w:t>
      </w:r>
      <w:r>
        <w:t xml:space="preserve">).  These cases are distinguishable on the facts from Order No. 1920-A.  </w:t>
      </w:r>
      <w:r>
        <w:rPr>
          <w:i/>
          <w:iCs/>
        </w:rPr>
        <w:t xml:space="preserve">Hurley </w:t>
      </w:r>
      <w:r>
        <w:t xml:space="preserve">and </w:t>
      </w:r>
      <w:r>
        <w:rPr>
          <w:i/>
          <w:iCs/>
        </w:rPr>
        <w:t>Tornillo</w:t>
      </w:r>
      <w:r>
        <w:t xml:space="preserve">, like </w:t>
      </w:r>
      <w:r>
        <w:rPr>
          <w:i/>
          <w:iCs/>
        </w:rPr>
        <w:t xml:space="preserve">PG&amp;E </w:t>
      </w:r>
      <w:r>
        <w:t xml:space="preserve">and </w:t>
      </w:r>
      <w:r>
        <w:rPr>
          <w:i/>
          <w:iCs/>
        </w:rPr>
        <w:t>Moody</w:t>
      </w:r>
      <w:r>
        <w:t xml:space="preserve">, concerned expression in the public sphere on matters beyond those of a purely commercial nature.  </w:t>
      </w:r>
      <w:r>
        <w:rPr>
          <w:i/>
          <w:iCs/>
        </w:rPr>
        <w:t>See Hurley</w:t>
      </w:r>
      <w:r>
        <w:t xml:space="preserve">, 515 U.S. at 561-62, 570 (discussing whether a public accommodations law prohibiting discrimination on the basis of sexual orientation compelled organizers of Boston’s St. Patrick’s Day parade to allow a group of openly gay, lesbian, and bisexual descendants of Irish immigrants to march in the parade in violation of organizers’ </w:t>
      </w:r>
      <w:r w:rsidR="00AF40A2">
        <w:t xml:space="preserve">              </w:t>
      </w:r>
      <w:r>
        <w:t xml:space="preserve">First Amendment rights); </w:t>
      </w:r>
      <w:r>
        <w:rPr>
          <w:i/>
          <w:iCs/>
        </w:rPr>
        <w:t>Tornillo</w:t>
      </w:r>
      <w:r>
        <w:t xml:space="preserve">, 418 U.S. at 243 (reviewing a statute “granting a political candidate a right to equal space to reply to criticism and attacks on his record by a newspaper”).  Further, the portion of </w:t>
      </w:r>
      <w:r>
        <w:rPr>
          <w:i/>
          <w:iCs/>
        </w:rPr>
        <w:t>Turner</w:t>
      </w:r>
      <w:r>
        <w:t xml:space="preserve"> cited by Indicated PJM TOs merely discusses why the requirements at issue there were “unrelated to the content of speech” (i.e., content-neutral), and does not explore the appropriate standard of review for regulations concerning a particular category of speech, such as commercial speech.  </w:t>
      </w:r>
      <w:r w:rsidRPr="000E1131">
        <w:rPr>
          <w:i/>
          <w:iCs/>
        </w:rPr>
        <w:t>Turner Broad. Sys., Inc.</w:t>
      </w:r>
      <w:r w:rsidRPr="000E1131">
        <w:t>, 512 U.S. at 647</w:t>
      </w:r>
      <w:r>
        <w:t>.</w:t>
      </w:r>
    </w:p>
  </w:footnote>
  <w:footnote w:id="353">
    <w:p w14:paraId="349E43D2" w14:textId="77777777" w:rsidR="006257B1" w:rsidRDefault="006257B1" w:rsidP="006257B1">
      <w:pPr>
        <w:pStyle w:val="FootnoteText"/>
      </w:pPr>
      <w:r>
        <w:rPr>
          <w:rStyle w:val="FootnoteReference"/>
        </w:rPr>
        <w:footnoteRef/>
      </w:r>
      <w:r>
        <w:t xml:space="preserve"> Indicated PJM TOs Rehearing Request at 31.</w:t>
      </w:r>
    </w:p>
  </w:footnote>
  <w:footnote w:id="354">
    <w:p w14:paraId="369C925A" w14:textId="589558E7" w:rsidR="006257B1" w:rsidRDefault="006257B1" w:rsidP="006257B1">
      <w:pPr>
        <w:pStyle w:val="FootnoteText"/>
      </w:pPr>
      <w:r>
        <w:rPr>
          <w:rStyle w:val="FootnoteReference"/>
        </w:rPr>
        <w:footnoteRef/>
      </w:r>
      <w:r>
        <w:t xml:space="preserve"> </w:t>
      </w:r>
      <w:r w:rsidR="00C61378">
        <w:rPr>
          <w:i/>
          <w:iCs/>
        </w:rPr>
        <w:t>Id.</w:t>
      </w:r>
      <w:r>
        <w:t xml:space="preserve"> at 31 </w:t>
      </w:r>
      <w:r w:rsidR="00BF6113">
        <w:t>n.116</w:t>
      </w:r>
      <w:r>
        <w:t xml:space="preserve"> (“</w:t>
      </w:r>
      <w:r w:rsidRPr="001E78FD">
        <w:t>Here, the requirement to</w:t>
      </w:r>
      <w:r>
        <w:t xml:space="preserve"> </w:t>
      </w:r>
      <w:r w:rsidRPr="001E78FD">
        <w:t xml:space="preserve">file the </w:t>
      </w:r>
      <w:r>
        <w:t>[Relevant State Entities’]</w:t>
      </w:r>
      <w:r w:rsidRPr="001E78FD">
        <w:t xml:space="preserve"> proposal is applied only when the transmission provider disagrees with the content of the</w:t>
      </w:r>
      <w:r>
        <w:t xml:space="preserve"> [Relevant State Entities’]</w:t>
      </w:r>
      <w:r w:rsidRPr="001E78FD">
        <w:t xml:space="preserve"> proposal</w:t>
      </w:r>
      <w:r>
        <w:t xml:space="preserve">.” (citing </w:t>
      </w:r>
      <w:r w:rsidRPr="0051442A">
        <w:rPr>
          <w:i/>
          <w:iCs/>
        </w:rPr>
        <w:t>Reed v. Town of Gilbert</w:t>
      </w:r>
      <w:r w:rsidRPr="0051442A">
        <w:t>, 576 U.S. 155, 171 (2015)</w:t>
      </w:r>
      <w:r>
        <w:t xml:space="preserve">; </w:t>
      </w:r>
      <w:r w:rsidRPr="0051442A">
        <w:rPr>
          <w:i/>
          <w:iCs/>
        </w:rPr>
        <w:t>Turner Broad. Sys., Inc.</w:t>
      </w:r>
      <w:r w:rsidRPr="0051442A">
        <w:t>, 512 U.S. at 642</w:t>
      </w:r>
      <w:r>
        <w:t>)</w:t>
      </w:r>
      <w:r w:rsidR="00CB741C">
        <w:t>)</w:t>
      </w:r>
      <w:r>
        <w:t xml:space="preserve">. </w:t>
      </w:r>
    </w:p>
  </w:footnote>
  <w:footnote w:id="355">
    <w:p w14:paraId="2FA74FFA" w14:textId="326AB43A" w:rsidR="006257B1" w:rsidRPr="00FB28BB" w:rsidRDefault="006257B1" w:rsidP="00AF40A2">
      <w:pPr>
        <w:pStyle w:val="FootnoteText"/>
        <w:widowControl/>
      </w:pPr>
      <w:r>
        <w:rPr>
          <w:rStyle w:val="FootnoteReference"/>
        </w:rPr>
        <w:footnoteRef/>
      </w:r>
      <w:r>
        <w:t xml:space="preserve"> </w:t>
      </w:r>
      <w:r w:rsidRPr="00A95FF5">
        <w:rPr>
          <w:i/>
          <w:iCs/>
        </w:rPr>
        <w:t xml:space="preserve">Greater </w:t>
      </w:r>
      <w:r>
        <w:rPr>
          <w:i/>
          <w:iCs/>
        </w:rPr>
        <w:t>Phila.</w:t>
      </w:r>
      <w:r w:rsidRPr="00A95FF5">
        <w:rPr>
          <w:i/>
          <w:iCs/>
        </w:rPr>
        <w:t xml:space="preserve"> Chamber of </w:t>
      </w:r>
      <w:r>
        <w:rPr>
          <w:i/>
          <w:iCs/>
        </w:rPr>
        <w:t>Com.</w:t>
      </w:r>
      <w:r w:rsidRPr="00A95FF5">
        <w:rPr>
          <w:i/>
          <w:iCs/>
        </w:rPr>
        <w:t xml:space="preserve"> v. Philadelphia</w:t>
      </w:r>
      <w:r w:rsidRPr="00A95FF5">
        <w:t xml:space="preserve">, 949 F.3d 116, 138 (3rd Cir. 2020).  </w:t>
      </w:r>
      <w:r w:rsidRPr="00A95FF5">
        <w:rPr>
          <w:i/>
          <w:iCs/>
        </w:rPr>
        <w:t>See also Sorrell v. IMS Health Inc.</w:t>
      </w:r>
      <w:r w:rsidRPr="00A95FF5">
        <w:t xml:space="preserve">, 564 U.S. 552, 571-72 (2011) (applying </w:t>
      </w:r>
      <w:r w:rsidRPr="00A95FF5">
        <w:rPr>
          <w:i/>
          <w:iCs/>
        </w:rPr>
        <w:t>Central Hudson</w:t>
      </w:r>
      <w:r w:rsidRPr="00A95FF5">
        <w:t xml:space="preserve"> intermediate scrutiny to a law imposing a “targeted, content-based burden”)</w:t>
      </w:r>
      <w:r>
        <w:t xml:space="preserve">.  The Supreme Court has described a content-based regulation as being “targeted at specific subject matter . . . even if it does not discriminate among viewpoints within that subject matter.  </w:t>
      </w:r>
      <w:r w:rsidRPr="00367FF1">
        <w:rPr>
          <w:i/>
          <w:iCs/>
        </w:rPr>
        <w:t>Reed</w:t>
      </w:r>
      <w:r>
        <w:t xml:space="preserve">, 576 U.S. at 169.  While content-based regulations of noncommercial speech are typically subject to strict scrutiny, content-based regulations of commercial speech are not.  </w:t>
      </w:r>
      <w:r>
        <w:rPr>
          <w:i/>
          <w:iCs/>
        </w:rPr>
        <w:t>See, e.g.</w:t>
      </w:r>
      <w:r>
        <w:t xml:space="preserve">, </w:t>
      </w:r>
      <w:r w:rsidRPr="000D334D">
        <w:rPr>
          <w:i/>
          <w:iCs/>
        </w:rPr>
        <w:t>SEC</w:t>
      </w:r>
      <w:r>
        <w:rPr>
          <w:i/>
          <w:iCs/>
        </w:rPr>
        <w:t xml:space="preserve"> v. AT&amp;T, Inc.</w:t>
      </w:r>
      <w:r>
        <w:t>, 626 F. Supp. 3d 703, 743 (S.D.N.Y 2022) (“[D]</w:t>
      </w:r>
      <w:proofErr w:type="spellStart"/>
      <w:r w:rsidRPr="006474C2">
        <w:t>efendants</w:t>
      </w:r>
      <w:proofErr w:type="spellEnd"/>
      <w:r w:rsidRPr="006474C2">
        <w:t>’ suggestion that all content-based regulations must satisfy strict scrutiny overlooks the significant body of decisions involving laws and regulations mandating affirmative disclosures of information</w:t>
      </w:r>
      <w:r>
        <w:t xml:space="preserve"> </w:t>
      </w:r>
      <w:proofErr w:type="gramStart"/>
      <w:r>
        <w:t>. . . .</w:t>
      </w:r>
      <w:proofErr w:type="gramEnd"/>
      <w:r w:rsidRPr="006474C2">
        <w:t xml:space="preserve"> These disclosure provisions are explicitly content based.</w:t>
      </w:r>
      <w:r>
        <w:t>”).</w:t>
      </w:r>
      <w:r w:rsidRPr="006474C2">
        <w:t xml:space="preserve">  </w:t>
      </w:r>
    </w:p>
  </w:footnote>
  <w:footnote w:id="356">
    <w:p w14:paraId="52F2139A" w14:textId="3C2291AC" w:rsidR="006257B1" w:rsidRDefault="006257B1" w:rsidP="006257B1">
      <w:pPr>
        <w:pStyle w:val="FootnoteText"/>
      </w:pPr>
      <w:r>
        <w:rPr>
          <w:rStyle w:val="FootnoteReference"/>
        </w:rPr>
        <w:footnoteRef/>
      </w:r>
      <w:r>
        <w:t xml:space="preserve"> </w:t>
      </w:r>
      <w:r>
        <w:rPr>
          <w:i/>
          <w:iCs/>
          <w:szCs w:val="26"/>
        </w:rPr>
        <w:t>Central Hudson</w:t>
      </w:r>
      <w:r>
        <w:rPr>
          <w:szCs w:val="26"/>
        </w:rPr>
        <w:t xml:space="preserve">, 447 U.S. at 561; </w:t>
      </w:r>
      <w:r w:rsidRPr="00B92790">
        <w:rPr>
          <w:i/>
          <w:iCs/>
          <w:szCs w:val="26"/>
        </w:rPr>
        <w:t>Recht v. Morrisey</w:t>
      </w:r>
      <w:r w:rsidRPr="00816D21">
        <w:rPr>
          <w:szCs w:val="26"/>
        </w:rPr>
        <w:t>, 32 F.4th 398</w:t>
      </w:r>
      <w:r>
        <w:rPr>
          <w:szCs w:val="26"/>
        </w:rPr>
        <w:t>, 409</w:t>
      </w:r>
      <w:r w:rsidRPr="00816D21">
        <w:rPr>
          <w:szCs w:val="26"/>
        </w:rPr>
        <w:t xml:space="preserve"> </w:t>
      </w:r>
      <w:r w:rsidR="00AF40A2">
        <w:rPr>
          <w:szCs w:val="26"/>
        </w:rPr>
        <w:t xml:space="preserve">               </w:t>
      </w:r>
      <w:proofErr w:type="gramStart"/>
      <w:r w:rsidR="00AF40A2">
        <w:rPr>
          <w:szCs w:val="26"/>
        </w:rPr>
        <w:t xml:space="preserve">   </w:t>
      </w:r>
      <w:r w:rsidRPr="00816D21">
        <w:rPr>
          <w:szCs w:val="26"/>
        </w:rPr>
        <w:t>(</w:t>
      </w:r>
      <w:proofErr w:type="gramEnd"/>
      <w:r>
        <w:rPr>
          <w:szCs w:val="26"/>
        </w:rPr>
        <w:t xml:space="preserve">4th Cir. </w:t>
      </w:r>
      <w:r w:rsidRPr="00816D21">
        <w:rPr>
          <w:szCs w:val="26"/>
        </w:rPr>
        <w:t>2022) (“To be clear: Commercial speech regulations are analyzed under</w:t>
      </w:r>
      <w:r w:rsidR="00D82A74">
        <w:rPr>
          <w:szCs w:val="26"/>
        </w:rPr>
        <w:t xml:space="preserve"> </w:t>
      </w:r>
      <w:r w:rsidRPr="00816D21">
        <w:rPr>
          <w:i/>
          <w:iCs/>
          <w:szCs w:val="26"/>
        </w:rPr>
        <w:t>Central</w:t>
      </w:r>
      <w:r w:rsidR="00D82A74">
        <w:rPr>
          <w:i/>
          <w:iCs/>
          <w:szCs w:val="26"/>
        </w:rPr>
        <w:t xml:space="preserve"> </w:t>
      </w:r>
      <w:r w:rsidRPr="00816D21">
        <w:rPr>
          <w:i/>
          <w:iCs/>
          <w:szCs w:val="26"/>
        </w:rPr>
        <w:t>Hudson.</w:t>
      </w:r>
      <w:r w:rsidRPr="00816D21">
        <w:rPr>
          <w:szCs w:val="26"/>
        </w:rPr>
        <w:t xml:space="preserve">”); </w:t>
      </w:r>
      <w:r w:rsidRPr="00810501">
        <w:rPr>
          <w:i/>
          <w:iCs/>
          <w:szCs w:val="26"/>
        </w:rPr>
        <w:t xml:space="preserve">Stuart v. </w:t>
      </w:r>
      <w:proofErr w:type="spellStart"/>
      <w:r w:rsidRPr="00810501">
        <w:rPr>
          <w:i/>
          <w:iCs/>
          <w:szCs w:val="26"/>
        </w:rPr>
        <w:t>Camnitz</w:t>
      </w:r>
      <w:proofErr w:type="spellEnd"/>
      <w:r w:rsidRPr="00816D21">
        <w:rPr>
          <w:szCs w:val="26"/>
        </w:rPr>
        <w:t>, 774 F.3d 238</w:t>
      </w:r>
      <w:r>
        <w:rPr>
          <w:szCs w:val="26"/>
        </w:rPr>
        <w:t>, 244</w:t>
      </w:r>
      <w:r w:rsidRPr="00816D21">
        <w:rPr>
          <w:szCs w:val="26"/>
        </w:rPr>
        <w:t xml:space="preserve"> (4th Cir. 2014)</w:t>
      </w:r>
      <w:r>
        <w:rPr>
          <w:szCs w:val="26"/>
        </w:rPr>
        <w:t>.</w:t>
      </w:r>
      <w:r w:rsidRPr="00816D21">
        <w:rPr>
          <w:szCs w:val="26"/>
        </w:rPr>
        <w:t xml:space="preserve">  </w:t>
      </w:r>
      <w:r w:rsidRPr="00816D21">
        <w:rPr>
          <w:i/>
          <w:iCs/>
          <w:szCs w:val="26"/>
        </w:rPr>
        <w:t>See also</w:t>
      </w:r>
      <w:r w:rsidRPr="00816D21">
        <w:rPr>
          <w:szCs w:val="26"/>
        </w:rPr>
        <w:t xml:space="preserve"> </w:t>
      </w:r>
      <w:proofErr w:type="spellStart"/>
      <w:proofErr w:type="gramStart"/>
      <w:r w:rsidRPr="00816D21">
        <w:rPr>
          <w:i/>
          <w:iCs/>
          <w:szCs w:val="26"/>
        </w:rPr>
        <w:t>Ohralik</w:t>
      </w:r>
      <w:proofErr w:type="spellEnd"/>
      <w:r w:rsidRPr="0016592C">
        <w:rPr>
          <w:szCs w:val="26"/>
        </w:rPr>
        <w:t>,</w:t>
      </w:r>
      <w:r w:rsidR="0016592C">
        <w:rPr>
          <w:szCs w:val="26"/>
        </w:rPr>
        <w:t xml:space="preserve"> </w:t>
      </w:r>
      <w:r w:rsidR="00AF40A2">
        <w:rPr>
          <w:szCs w:val="26"/>
        </w:rPr>
        <w:t xml:space="preserve">  </w:t>
      </w:r>
      <w:proofErr w:type="gramEnd"/>
      <w:r w:rsidR="00AF40A2">
        <w:rPr>
          <w:szCs w:val="26"/>
        </w:rPr>
        <w:t xml:space="preserve">         </w:t>
      </w:r>
      <w:r w:rsidRPr="00816D21">
        <w:rPr>
          <w:szCs w:val="26"/>
        </w:rPr>
        <w:t xml:space="preserve">436 U.S. </w:t>
      </w:r>
      <w:r w:rsidR="005C1A1B">
        <w:rPr>
          <w:szCs w:val="26"/>
        </w:rPr>
        <w:t>at</w:t>
      </w:r>
      <w:r w:rsidRPr="00816D21">
        <w:rPr>
          <w:szCs w:val="26"/>
        </w:rPr>
        <w:t xml:space="preserve"> 456</w:t>
      </w:r>
      <w:r>
        <w:rPr>
          <w:szCs w:val="26"/>
        </w:rPr>
        <w:t xml:space="preserve"> (“</w:t>
      </w:r>
      <w:r w:rsidRPr="00A15277">
        <w:rPr>
          <w:szCs w:val="26"/>
        </w:rPr>
        <w:t xml:space="preserve">To require a parity of constitutional protection for commercial and noncommercial speech alike could invite dilution, simply by a leveling process, of the force of the </w:t>
      </w:r>
      <w:r w:rsidR="007239E1" w:rsidRPr="00A15277">
        <w:rPr>
          <w:szCs w:val="26"/>
        </w:rPr>
        <w:t>Amendment</w:t>
      </w:r>
      <w:r w:rsidR="007239E1">
        <w:rPr>
          <w:szCs w:val="26"/>
        </w:rPr>
        <w:t>’</w:t>
      </w:r>
      <w:r w:rsidR="007239E1" w:rsidRPr="00A15277">
        <w:rPr>
          <w:szCs w:val="26"/>
        </w:rPr>
        <w:t xml:space="preserve">s </w:t>
      </w:r>
      <w:r w:rsidRPr="00A15277">
        <w:rPr>
          <w:szCs w:val="26"/>
        </w:rPr>
        <w:t>guarantee with respect to the latter kind of speech.</w:t>
      </w:r>
      <w:r>
        <w:rPr>
          <w:szCs w:val="26"/>
        </w:rPr>
        <w:t>”</w:t>
      </w:r>
      <w:r w:rsidRPr="00816D21">
        <w:rPr>
          <w:szCs w:val="26"/>
        </w:rPr>
        <w:t>)</w:t>
      </w:r>
      <w:r>
        <w:rPr>
          <w:szCs w:val="26"/>
        </w:rPr>
        <w:t xml:space="preserve">.  </w:t>
      </w:r>
    </w:p>
  </w:footnote>
  <w:footnote w:id="357">
    <w:p w14:paraId="344E042E" w14:textId="19219C97" w:rsidR="007F5412" w:rsidRDefault="007F5412" w:rsidP="00AF40A2">
      <w:pPr>
        <w:pStyle w:val="FootnoteText"/>
        <w:widowControl/>
      </w:pPr>
      <w:r>
        <w:rPr>
          <w:rStyle w:val="FootnoteReference"/>
        </w:rPr>
        <w:footnoteRef/>
      </w:r>
      <w:r>
        <w:t xml:space="preserve"> </w:t>
      </w:r>
      <w:r w:rsidRPr="0072173B">
        <w:rPr>
          <w:i/>
          <w:iCs/>
          <w:szCs w:val="26"/>
        </w:rPr>
        <w:t>Central Hudson</w:t>
      </w:r>
      <w:r>
        <w:rPr>
          <w:szCs w:val="26"/>
        </w:rPr>
        <w:t xml:space="preserve">, 447 U.S. at 566.  Courts have described the </w:t>
      </w:r>
      <w:r>
        <w:rPr>
          <w:i/>
          <w:iCs/>
          <w:szCs w:val="26"/>
        </w:rPr>
        <w:t xml:space="preserve">Central Hudson </w:t>
      </w:r>
      <w:r>
        <w:rPr>
          <w:szCs w:val="26"/>
        </w:rPr>
        <w:t xml:space="preserve">analysis as a type of intermediate scrutiny.  </w:t>
      </w:r>
      <w:r>
        <w:rPr>
          <w:i/>
          <w:iCs/>
          <w:szCs w:val="26"/>
        </w:rPr>
        <w:t>See Recht v. Morrisey</w:t>
      </w:r>
      <w:r>
        <w:rPr>
          <w:szCs w:val="26"/>
        </w:rPr>
        <w:t>, 32 F.4th at 408.</w:t>
      </w:r>
    </w:p>
  </w:footnote>
  <w:footnote w:id="358">
    <w:p w14:paraId="63DDE37D" w14:textId="77777777" w:rsidR="006257B1" w:rsidRDefault="006257B1" w:rsidP="006257B1">
      <w:pPr>
        <w:pStyle w:val="FootnoteText"/>
      </w:pPr>
      <w:r>
        <w:rPr>
          <w:rStyle w:val="FootnoteReference"/>
        </w:rPr>
        <w:footnoteRef/>
      </w:r>
      <w:r>
        <w:t xml:space="preserve"> </w:t>
      </w:r>
      <w:r w:rsidRPr="0072173B">
        <w:rPr>
          <w:i/>
          <w:iCs/>
          <w:szCs w:val="26"/>
        </w:rPr>
        <w:t>Central Hudson</w:t>
      </w:r>
      <w:r>
        <w:rPr>
          <w:szCs w:val="26"/>
        </w:rPr>
        <w:t>, 447 U.S. at 569</w:t>
      </w:r>
      <w:r w:rsidRPr="00816D21">
        <w:rPr>
          <w:szCs w:val="26"/>
        </w:rPr>
        <w:t xml:space="preserve"> (“The State</w:t>
      </w:r>
      <w:r>
        <w:rPr>
          <w:szCs w:val="26"/>
        </w:rPr>
        <w:t>’</w:t>
      </w:r>
      <w:r w:rsidRPr="00816D21">
        <w:rPr>
          <w:szCs w:val="26"/>
        </w:rPr>
        <w:t>s concern that rates be fair and efficient represents a clear and substantial governmental interest.”)</w:t>
      </w:r>
      <w:r>
        <w:rPr>
          <w:szCs w:val="26"/>
        </w:rPr>
        <w:t xml:space="preserve">; Order No. 1920-A, </w:t>
      </w:r>
      <w:r w:rsidRPr="002906DB">
        <w:rPr>
          <w:szCs w:val="26"/>
        </w:rPr>
        <w:t>189 FERC ¶ 61,126</w:t>
      </w:r>
      <w:r>
        <w:rPr>
          <w:szCs w:val="26"/>
        </w:rPr>
        <w:t xml:space="preserve"> at PP 649, 659.  </w:t>
      </w:r>
    </w:p>
  </w:footnote>
  <w:footnote w:id="359">
    <w:p w14:paraId="526D17A3" w14:textId="77777777" w:rsidR="006257B1" w:rsidRPr="00025C70" w:rsidRDefault="006257B1" w:rsidP="006257B1">
      <w:pPr>
        <w:pStyle w:val="FootnoteText"/>
      </w:pPr>
      <w:r>
        <w:rPr>
          <w:rStyle w:val="FootnoteReference"/>
        </w:rPr>
        <w:footnoteRef/>
      </w:r>
      <w:r>
        <w:t xml:space="preserve"> </w:t>
      </w:r>
      <w:r>
        <w:rPr>
          <w:i/>
          <w:iCs/>
        </w:rPr>
        <w:t>Edenfield v. Fane</w:t>
      </w:r>
      <w:r>
        <w:t>, 507 U.S. 761, 767 (1993).</w:t>
      </w:r>
    </w:p>
  </w:footnote>
  <w:footnote w:id="360">
    <w:p w14:paraId="6CE9E13B" w14:textId="5ED5A483" w:rsidR="004C4F7C" w:rsidRPr="00A432C8" w:rsidRDefault="004C4F7C" w:rsidP="00AF40A2">
      <w:pPr>
        <w:pStyle w:val="FootnoteText"/>
        <w:widowControl/>
      </w:pPr>
      <w:r>
        <w:rPr>
          <w:rStyle w:val="FootnoteReference"/>
        </w:rPr>
        <w:footnoteRef/>
      </w:r>
      <w:r>
        <w:t xml:space="preserve"> Contrary to Indicated PJM TOs’ contention</w:t>
      </w:r>
      <w:r>
        <w:rPr>
          <w:szCs w:val="26"/>
        </w:rPr>
        <w:t>, t</w:t>
      </w:r>
      <w:r w:rsidRPr="00816D21">
        <w:rPr>
          <w:szCs w:val="26"/>
        </w:rPr>
        <w:t xml:space="preserve">he fact </w:t>
      </w:r>
      <w:r w:rsidRPr="003757EA">
        <w:rPr>
          <w:szCs w:val="26"/>
        </w:rPr>
        <w:t>that Relevant State Entities</w:t>
      </w:r>
      <w:r w:rsidRPr="00816D21">
        <w:rPr>
          <w:szCs w:val="26"/>
        </w:rPr>
        <w:t xml:space="preserve"> could alternatively submit their </w:t>
      </w:r>
      <w:r>
        <w:rPr>
          <w:szCs w:val="26"/>
        </w:rPr>
        <w:t>agreed-upon</w:t>
      </w:r>
      <w:r w:rsidRPr="00816D21">
        <w:rPr>
          <w:szCs w:val="26"/>
        </w:rPr>
        <w:t xml:space="preserve"> Long-Term Regional Transmission Cost Allocation Method(s) and/or State Agreement Process in comments in response to transmission providers’ compliance filings is immaterial </w:t>
      </w:r>
      <w:r>
        <w:rPr>
          <w:szCs w:val="26"/>
        </w:rPr>
        <w:t>under intermediate scrutiny.  Indicated PJM TOs Rehearing Request at 32-33.  Under intermediate scrutiny, both for content-neutral regulations of noncommercial speech and for commercial speech,</w:t>
      </w:r>
      <w:r w:rsidRPr="00816D21">
        <w:rPr>
          <w:szCs w:val="26"/>
        </w:rPr>
        <w:t xml:space="preserve"> regulations need not be the least restrictive means of achieving the government’s </w:t>
      </w:r>
      <w:r>
        <w:rPr>
          <w:szCs w:val="26"/>
        </w:rPr>
        <w:t xml:space="preserve">substantial </w:t>
      </w:r>
      <w:r w:rsidRPr="00816D21">
        <w:rPr>
          <w:szCs w:val="26"/>
        </w:rPr>
        <w:t xml:space="preserve">interest.  </w:t>
      </w:r>
      <w:r>
        <w:rPr>
          <w:i/>
          <w:iCs/>
          <w:szCs w:val="26"/>
        </w:rPr>
        <w:t>Recht v. Morrisey</w:t>
      </w:r>
      <w:r>
        <w:rPr>
          <w:szCs w:val="26"/>
        </w:rPr>
        <w:t xml:space="preserve">, 32 F.4th at 409; </w:t>
      </w:r>
      <w:r w:rsidRPr="00816D21">
        <w:rPr>
          <w:i/>
          <w:iCs/>
          <w:szCs w:val="26"/>
        </w:rPr>
        <w:t>B</w:t>
      </w:r>
      <w:r>
        <w:rPr>
          <w:i/>
          <w:iCs/>
          <w:szCs w:val="26"/>
        </w:rPr>
        <w:t>d.</w:t>
      </w:r>
      <w:r w:rsidRPr="00816D21">
        <w:rPr>
          <w:i/>
          <w:iCs/>
          <w:szCs w:val="26"/>
        </w:rPr>
        <w:t xml:space="preserve"> of </w:t>
      </w:r>
      <w:proofErr w:type="spellStart"/>
      <w:r w:rsidRPr="00816D21">
        <w:rPr>
          <w:i/>
          <w:iCs/>
          <w:szCs w:val="26"/>
        </w:rPr>
        <w:t>Tr</w:t>
      </w:r>
      <w:r>
        <w:rPr>
          <w:i/>
          <w:iCs/>
          <w:szCs w:val="26"/>
        </w:rPr>
        <w:t>s</w:t>
      </w:r>
      <w:proofErr w:type="spellEnd"/>
      <w:r>
        <w:rPr>
          <w:i/>
          <w:iCs/>
          <w:szCs w:val="26"/>
        </w:rPr>
        <w:t>.</w:t>
      </w:r>
      <w:r w:rsidRPr="00816D21">
        <w:rPr>
          <w:i/>
          <w:iCs/>
          <w:szCs w:val="26"/>
        </w:rPr>
        <w:t xml:space="preserve"> of State Univ</w:t>
      </w:r>
      <w:r>
        <w:rPr>
          <w:i/>
          <w:iCs/>
          <w:szCs w:val="26"/>
        </w:rPr>
        <w:t>.</w:t>
      </w:r>
      <w:r w:rsidRPr="00816D21">
        <w:rPr>
          <w:i/>
          <w:iCs/>
          <w:szCs w:val="26"/>
        </w:rPr>
        <w:t xml:space="preserve"> of N</w:t>
      </w:r>
      <w:r>
        <w:rPr>
          <w:i/>
          <w:iCs/>
          <w:szCs w:val="26"/>
        </w:rPr>
        <w:t>.</w:t>
      </w:r>
      <w:r w:rsidRPr="00816D21">
        <w:rPr>
          <w:i/>
          <w:iCs/>
          <w:szCs w:val="26"/>
        </w:rPr>
        <w:t>Y</w:t>
      </w:r>
      <w:r>
        <w:rPr>
          <w:i/>
          <w:iCs/>
          <w:szCs w:val="26"/>
        </w:rPr>
        <w:t>.</w:t>
      </w:r>
      <w:r w:rsidRPr="0016592C">
        <w:rPr>
          <w:szCs w:val="26"/>
        </w:rPr>
        <w:t>,</w:t>
      </w:r>
      <w:r w:rsidRPr="00816D21">
        <w:rPr>
          <w:i/>
          <w:iCs/>
          <w:szCs w:val="26"/>
        </w:rPr>
        <w:t xml:space="preserve"> </w:t>
      </w:r>
      <w:r w:rsidRPr="00816D21">
        <w:rPr>
          <w:szCs w:val="26"/>
        </w:rPr>
        <w:t xml:space="preserve">492 U.S. </w:t>
      </w:r>
      <w:r>
        <w:rPr>
          <w:szCs w:val="26"/>
        </w:rPr>
        <w:t xml:space="preserve">at 477 (“The ample scope of regulatory authority [with respect to commercial speech] would be illusory if it were subject to a least-restrictive means requirement, which imposes a heavy burden on the State.”); </w:t>
      </w:r>
      <w:r>
        <w:rPr>
          <w:i/>
          <w:iCs/>
          <w:szCs w:val="26"/>
        </w:rPr>
        <w:t>Turner Broad. Sys., Inc.</w:t>
      </w:r>
      <w:r>
        <w:rPr>
          <w:szCs w:val="26"/>
        </w:rPr>
        <w:t xml:space="preserve">, 520 U.S. </w:t>
      </w:r>
      <w:r w:rsidR="00AF40A2">
        <w:rPr>
          <w:szCs w:val="26"/>
        </w:rPr>
        <w:t xml:space="preserve">                   </w:t>
      </w:r>
      <w:r>
        <w:rPr>
          <w:szCs w:val="26"/>
        </w:rPr>
        <w:t xml:space="preserve">at 217-18 (“Our precedents establish that when evaluating a content-neutral regulation which incidentally burdens speech, we will not invalidate the preferred remedial scheme because some alternative solution is marginally less intrusive on a speaker’s </w:t>
      </w:r>
      <w:r w:rsidR="00AF40A2">
        <w:rPr>
          <w:szCs w:val="26"/>
        </w:rPr>
        <w:t xml:space="preserve">                       </w:t>
      </w:r>
      <w:r>
        <w:rPr>
          <w:szCs w:val="26"/>
        </w:rPr>
        <w:t>First Amendment interests.”).</w:t>
      </w:r>
    </w:p>
  </w:footnote>
  <w:footnote w:id="361">
    <w:p w14:paraId="3AC02926" w14:textId="77777777" w:rsidR="00020136" w:rsidRPr="00DB37CD" w:rsidRDefault="00020136" w:rsidP="00020136">
      <w:pPr>
        <w:pStyle w:val="FootnoteText"/>
      </w:pPr>
      <w:r w:rsidRPr="00DB37CD">
        <w:rPr>
          <w:rStyle w:val="FootnoteReference"/>
        </w:rPr>
        <w:footnoteRef/>
      </w:r>
      <w:r w:rsidRPr="00DB37CD">
        <w:t xml:space="preserve"> </w:t>
      </w:r>
      <w:r w:rsidRPr="00DB37CD">
        <w:rPr>
          <w:szCs w:val="26"/>
        </w:rPr>
        <w:t>Order No. 1920, 187 FERC ¶ 61,068 at P 1368.</w:t>
      </w:r>
    </w:p>
  </w:footnote>
  <w:footnote w:id="362">
    <w:p w14:paraId="22B8F37B" w14:textId="1F11CD05" w:rsidR="00BA73AB" w:rsidRDefault="00BA73AB">
      <w:pPr>
        <w:pStyle w:val="FootnoteText"/>
      </w:pPr>
      <w:r>
        <w:rPr>
          <w:rStyle w:val="FootnoteReference"/>
        </w:rPr>
        <w:footnoteRef/>
      </w:r>
      <w:r>
        <w:t xml:space="preserve"> Order No. 1920-A, </w:t>
      </w:r>
      <w:r w:rsidRPr="001D2505">
        <w:t>189 FERC ¶ 61,126</w:t>
      </w:r>
      <w:r>
        <w:t xml:space="preserve"> at P 691.</w:t>
      </w:r>
    </w:p>
  </w:footnote>
  <w:footnote w:id="363">
    <w:p w14:paraId="656FA28D" w14:textId="78AE2878" w:rsidR="00ED4C61" w:rsidRPr="0016592C" w:rsidRDefault="00ED4C61" w:rsidP="00ED4C61">
      <w:pPr>
        <w:pStyle w:val="FootnoteText"/>
      </w:pPr>
      <w:r w:rsidRPr="00DB37CD">
        <w:rPr>
          <w:rStyle w:val="FootnoteReference"/>
        </w:rPr>
        <w:footnoteRef/>
      </w:r>
      <w:r w:rsidRPr="00DB37CD">
        <w:t xml:space="preserve"> </w:t>
      </w:r>
      <w:r w:rsidR="002D4676" w:rsidRPr="00BF3DBE">
        <w:rPr>
          <w:i/>
          <w:iCs/>
        </w:rPr>
        <w:t>Id</w:t>
      </w:r>
      <w:r w:rsidR="00BA73AB" w:rsidRPr="002076DE">
        <w:rPr>
          <w:i/>
        </w:rPr>
        <w:t>.</w:t>
      </w:r>
      <w:r w:rsidR="00BA73AB">
        <w:t xml:space="preserve">  The Commission</w:t>
      </w:r>
      <w:r w:rsidRPr="00DB37CD">
        <w:t xml:space="preserve"> clarif</w:t>
      </w:r>
      <w:r w:rsidR="00BA73AB">
        <w:t>ied</w:t>
      </w:r>
      <w:r w:rsidRPr="00DB37CD">
        <w:t xml:space="preserve"> that this consultation requirement neither requires transmission providers to submit, nor prohibits transmission providers from submitting, FPA section 205 filings to modify cost allocation methods accepted in compliance with Order No. 1920, and transmission providers therefore retain their currently effective FPA section</w:t>
      </w:r>
      <w:r>
        <w:t> </w:t>
      </w:r>
      <w:r w:rsidRPr="00DB37CD">
        <w:t>205 rights.</w:t>
      </w:r>
      <w:r w:rsidR="0064079F">
        <w:t xml:space="preserve">  </w:t>
      </w:r>
      <w:r w:rsidR="0064079F">
        <w:rPr>
          <w:i/>
          <w:iCs/>
        </w:rPr>
        <w:t>Id.</w:t>
      </w:r>
      <w:r w:rsidR="00484B42">
        <w:rPr>
          <w:i/>
          <w:iCs/>
        </w:rPr>
        <w:t xml:space="preserve"> </w:t>
      </w:r>
      <w:r w:rsidR="00484B42">
        <w:t>P 691 n.1747.</w:t>
      </w:r>
    </w:p>
  </w:footnote>
  <w:footnote w:id="364">
    <w:p w14:paraId="4252FC00" w14:textId="765AA0F8" w:rsidR="00F95D47" w:rsidRPr="00F95D47" w:rsidRDefault="00F95D47">
      <w:pPr>
        <w:pStyle w:val="FootnoteText"/>
        <w:rPr>
          <w:i/>
          <w:iCs/>
        </w:rPr>
      </w:pPr>
      <w:r>
        <w:rPr>
          <w:rStyle w:val="FootnoteReference"/>
        </w:rPr>
        <w:footnoteRef/>
      </w:r>
      <w:r>
        <w:t xml:space="preserve"> </w:t>
      </w:r>
      <w:r>
        <w:rPr>
          <w:i/>
          <w:iCs/>
        </w:rPr>
        <w:t>Id.</w:t>
      </w:r>
    </w:p>
  </w:footnote>
  <w:footnote w:id="365">
    <w:p w14:paraId="139C558C" w14:textId="4F09F8EB" w:rsidR="00B74840" w:rsidRPr="00DB37CD" w:rsidRDefault="00B74840" w:rsidP="00B74840">
      <w:pPr>
        <w:pStyle w:val="FootnoteText"/>
      </w:pPr>
      <w:r w:rsidRPr="00DB37CD">
        <w:rPr>
          <w:rStyle w:val="FootnoteReference"/>
        </w:rPr>
        <w:footnoteRef/>
      </w:r>
      <w:r w:rsidRPr="00DB37CD">
        <w:t xml:space="preserve"> </w:t>
      </w:r>
      <w:r w:rsidR="00045EC4" w:rsidRPr="00AA56A9">
        <w:rPr>
          <w:i/>
          <w:iCs/>
        </w:rPr>
        <w:t>Id</w:t>
      </w:r>
      <w:r w:rsidR="00045EC4" w:rsidRPr="0016592C">
        <w:rPr>
          <w:i/>
        </w:rPr>
        <w:t>.</w:t>
      </w:r>
      <w:r w:rsidR="00E06769">
        <w:t xml:space="preserve"> P 692 (citing</w:t>
      </w:r>
      <w:r w:rsidRPr="00DB37CD">
        <w:rPr>
          <w:i/>
          <w:iCs/>
        </w:rPr>
        <w:t xml:space="preserve"> </w:t>
      </w:r>
      <w:r w:rsidRPr="00DB37CD">
        <w:t xml:space="preserve">Order No. 1920, </w:t>
      </w:r>
      <w:r w:rsidRPr="00DB37CD">
        <w:rPr>
          <w:szCs w:val="26"/>
        </w:rPr>
        <w:t>187 FERC ¶ 61,068 at PP 124, 126</w:t>
      </w:r>
      <w:r w:rsidR="00E06769">
        <w:rPr>
          <w:szCs w:val="26"/>
        </w:rPr>
        <w:t>).</w:t>
      </w:r>
    </w:p>
  </w:footnote>
  <w:footnote w:id="366">
    <w:p w14:paraId="6F8A8DC2" w14:textId="21E23BC2" w:rsidR="00B74840" w:rsidRPr="00DB37CD" w:rsidRDefault="00B74840" w:rsidP="00B74840">
      <w:pPr>
        <w:pStyle w:val="FootnoteText"/>
      </w:pPr>
      <w:r w:rsidRPr="00DB37CD">
        <w:rPr>
          <w:rStyle w:val="FootnoteReference"/>
        </w:rPr>
        <w:footnoteRef/>
      </w:r>
      <w:r w:rsidRPr="00DB37CD">
        <w:t xml:space="preserve"> </w:t>
      </w:r>
      <w:r w:rsidR="00051C93" w:rsidRPr="001D0B0A">
        <w:rPr>
          <w:i/>
          <w:iCs/>
        </w:rPr>
        <w:t>Id</w:t>
      </w:r>
      <w:r w:rsidR="00051C93" w:rsidRPr="0016592C">
        <w:rPr>
          <w:i/>
        </w:rPr>
        <w:t>.</w:t>
      </w:r>
      <w:r w:rsidR="00E06769">
        <w:t xml:space="preserve"> (citing</w:t>
      </w:r>
      <w:r w:rsidRPr="00DB37CD">
        <w:rPr>
          <w:i/>
          <w:iCs/>
        </w:rPr>
        <w:t xml:space="preserve"> </w:t>
      </w:r>
      <w:r w:rsidRPr="00DB37CD">
        <w:t xml:space="preserve">ISO New England Inc., FERC FPA Electric Tariff, ISO New England Inc. Agreements and Contracts, TOA, Transmission Operating Agreement (5.0.0), 3.04(h)(vi)(C); </w:t>
      </w:r>
      <w:r w:rsidRPr="00DB37CD">
        <w:rPr>
          <w:i/>
          <w:iCs/>
        </w:rPr>
        <w:t>The Governors of Conn., Me., Mass., N.H., R.I., Vt.</w:t>
      </w:r>
      <w:r w:rsidRPr="00DB37CD">
        <w:t xml:space="preserve">, 112 FERC </w:t>
      </w:r>
      <w:r w:rsidR="00AF40A2">
        <w:t xml:space="preserve">           </w:t>
      </w:r>
      <w:r w:rsidRPr="00DB37CD">
        <w:t>¶ 61,049, at P 25 (2005)</w:t>
      </w:r>
      <w:r w:rsidR="00E06769">
        <w:t>)</w:t>
      </w:r>
      <w:r w:rsidRPr="00DB37CD">
        <w:t>.</w:t>
      </w:r>
    </w:p>
  </w:footnote>
  <w:footnote w:id="367">
    <w:p w14:paraId="79C195BB" w14:textId="28F9DB45" w:rsidR="0011507D" w:rsidRPr="00880E36" w:rsidRDefault="0011507D">
      <w:pPr>
        <w:pStyle w:val="FootnoteText"/>
      </w:pPr>
      <w:r>
        <w:rPr>
          <w:rStyle w:val="FootnoteReference"/>
        </w:rPr>
        <w:footnoteRef/>
      </w:r>
      <w:r>
        <w:t xml:space="preserve"> </w:t>
      </w:r>
      <w:r w:rsidR="00880E36">
        <w:rPr>
          <w:i/>
          <w:iCs/>
        </w:rPr>
        <w:t xml:space="preserve">Id. </w:t>
      </w:r>
      <w:r w:rsidR="00880E36">
        <w:t xml:space="preserve">(citing </w:t>
      </w:r>
      <w:r w:rsidR="00880E36" w:rsidRPr="00DB37CD">
        <w:t>SPP, Governing Documents Tariff, Bylaws, First Revised Volume No. 4 (0.0.0), 7.2 (Regional State Committee)</w:t>
      </w:r>
      <w:r w:rsidR="00880E36">
        <w:t xml:space="preserve">; </w:t>
      </w:r>
      <w:r w:rsidR="00880E36" w:rsidRPr="00DB37CD">
        <w:rPr>
          <w:i/>
          <w:iCs/>
        </w:rPr>
        <w:t>Sw. Power Pool, Inc.</w:t>
      </w:r>
      <w:r w:rsidR="00880E36" w:rsidRPr="00DB37CD">
        <w:t>, 106 FERC ¶</w:t>
      </w:r>
      <w:r w:rsidR="00985D2B">
        <w:t> </w:t>
      </w:r>
      <w:r w:rsidR="00880E36" w:rsidRPr="00DB37CD">
        <w:t xml:space="preserve">61,110, at PP 218-220, </w:t>
      </w:r>
      <w:r w:rsidR="00880E36" w:rsidRPr="00DB37CD">
        <w:rPr>
          <w:i/>
          <w:iCs/>
        </w:rPr>
        <w:t>order on reh’g</w:t>
      </w:r>
      <w:r w:rsidR="00880E36" w:rsidRPr="00DB37CD">
        <w:t xml:space="preserve">, 109 FERC ¶ 61,010, at PP 92-94 (2004); </w:t>
      </w:r>
      <w:r w:rsidR="00880E36" w:rsidRPr="00DB37CD">
        <w:rPr>
          <w:i/>
          <w:iCs/>
        </w:rPr>
        <w:t>Sw. Power Pool, Inc.</w:t>
      </w:r>
      <w:r w:rsidR="00880E36" w:rsidRPr="00DB37CD">
        <w:t>, 108 FERC ¶ 61,003, at P 127 &amp; n.90 (2004),</w:t>
      </w:r>
      <w:r w:rsidR="00880E36" w:rsidRPr="00DB37CD">
        <w:rPr>
          <w:i/>
          <w:iCs/>
        </w:rPr>
        <w:t xml:space="preserve"> order on reh’g</w:t>
      </w:r>
      <w:r w:rsidR="00880E36" w:rsidRPr="00DB37CD">
        <w:t xml:space="preserve">, </w:t>
      </w:r>
      <w:r w:rsidR="00AF40A2">
        <w:t xml:space="preserve">                  </w:t>
      </w:r>
      <w:r w:rsidR="00880E36" w:rsidRPr="00DB37CD">
        <w:t>110 FERC ¶ 61,138, at P 33 (2005)</w:t>
      </w:r>
      <w:r w:rsidR="00880E36">
        <w:t>).</w:t>
      </w:r>
    </w:p>
  </w:footnote>
  <w:footnote w:id="368">
    <w:p w14:paraId="48D4E5C5" w14:textId="145DA8AE" w:rsidR="00B74840" w:rsidRPr="00DB37CD" w:rsidRDefault="00B74840" w:rsidP="00B74840">
      <w:pPr>
        <w:pStyle w:val="FootnoteText"/>
      </w:pPr>
      <w:r w:rsidRPr="00DB37CD">
        <w:rPr>
          <w:rStyle w:val="FootnoteReference"/>
        </w:rPr>
        <w:footnoteRef/>
      </w:r>
      <w:r w:rsidRPr="00DB37CD">
        <w:t xml:space="preserve"> </w:t>
      </w:r>
      <w:r w:rsidR="00880E36">
        <w:rPr>
          <w:i/>
          <w:iCs/>
        </w:rPr>
        <w:t>Id.</w:t>
      </w:r>
      <w:r w:rsidR="00A033A5">
        <w:t xml:space="preserve"> (citing </w:t>
      </w:r>
      <w:r w:rsidRPr="00DB37CD">
        <w:t>MISO</w:t>
      </w:r>
      <w:r w:rsidR="00AF40A2">
        <w:t>,</w:t>
      </w:r>
      <w:r w:rsidRPr="00DB37CD">
        <w:t xml:space="preserve"> FERC Electric Tariff, MISO Rate Schedules, MISO Transmission Owner Agreement, </w:t>
      </w:r>
      <w:r>
        <w:t>a</w:t>
      </w:r>
      <w:r w:rsidRPr="00DB37CD">
        <w:t>pp</w:t>
      </w:r>
      <w:r>
        <w:t>.</w:t>
      </w:r>
      <w:r w:rsidRPr="00DB37CD">
        <w:t xml:space="preserve"> K </w:t>
      </w:r>
      <w:r>
        <w:t>(</w:t>
      </w:r>
      <w:r w:rsidRPr="00DB37CD">
        <w:t>Filing Rights Pursuant To Section 205 Of The FPA</w:t>
      </w:r>
      <w:r>
        <w:t>)</w:t>
      </w:r>
      <w:r w:rsidRPr="00DB37CD">
        <w:t xml:space="preserve"> (3.0.0), II.E.3.a.i-ii</w:t>
      </w:r>
      <w:r w:rsidR="007E23BB">
        <w:t>;</w:t>
      </w:r>
      <w:r w:rsidRPr="00DB37CD">
        <w:t xml:space="preserve"> </w:t>
      </w:r>
      <w:r w:rsidRPr="00DB37CD">
        <w:rPr>
          <w:i/>
          <w:iCs/>
        </w:rPr>
        <w:t xml:space="preserve">Midwest </w:t>
      </w:r>
      <w:proofErr w:type="spellStart"/>
      <w:r w:rsidRPr="00DB37CD">
        <w:rPr>
          <w:i/>
          <w:iCs/>
        </w:rPr>
        <w:t>Indep</w:t>
      </w:r>
      <w:proofErr w:type="spellEnd"/>
      <w:r w:rsidRPr="00DB37CD">
        <w:rPr>
          <w:i/>
          <w:iCs/>
        </w:rPr>
        <w:t>. Transmission Sys. Operator, Inc.</w:t>
      </w:r>
      <w:r w:rsidRPr="00DB37CD">
        <w:t>, 143 FERC ¶</w:t>
      </w:r>
      <w:r w:rsidR="00163206">
        <w:t> </w:t>
      </w:r>
      <w:r w:rsidRPr="00DB37CD">
        <w:t>61,165, at PP 30, 32 (2013)</w:t>
      </w:r>
      <w:r w:rsidR="007E23BB">
        <w:t>)</w:t>
      </w:r>
      <w:r w:rsidRPr="00DB37CD">
        <w:t>.</w:t>
      </w:r>
    </w:p>
  </w:footnote>
  <w:footnote w:id="369">
    <w:p w14:paraId="30408C30" w14:textId="77777777" w:rsidR="00F369AF" w:rsidRPr="00333948" w:rsidRDefault="00F369AF" w:rsidP="00F369AF">
      <w:pPr>
        <w:pStyle w:val="FootnoteText"/>
      </w:pPr>
      <w:r>
        <w:rPr>
          <w:rStyle w:val="FootnoteReference"/>
        </w:rPr>
        <w:footnoteRef/>
      </w:r>
      <w:r>
        <w:t xml:space="preserve"> </w:t>
      </w:r>
      <w:r>
        <w:rPr>
          <w:i/>
          <w:iCs/>
        </w:rPr>
        <w:t>See</w:t>
      </w:r>
      <w:r>
        <w:t xml:space="preserve"> </w:t>
      </w:r>
      <w:r w:rsidRPr="000B2CD7">
        <w:t xml:space="preserve">MISO TOs </w:t>
      </w:r>
      <w:r>
        <w:t>Rehearing Request</w:t>
      </w:r>
      <w:r w:rsidRPr="000B2CD7">
        <w:t xml:space="preserve"> at 5-9</w:t>
      </w:r>
      <w:r>
        <w:t>,</w:t>
      </w:r>
      <w:r w:rsidRPr="000B2CD7">
        <w:t xml:space="preserve"> 27</w:t>
      </w:r>
      <w:r>
        <w:t>-31; Indicated PJM TOs</w:t>
      </w:r>
      <w:r w:rsidRPr="000B2CD7">
        <w:t xml:space="preserve"> </w:t>
      </w:r>
      <w:r>
        <w:t>Rehearing Request</w:t>
      </w:r>
      <w:r w:rsidRPr="000B2CD7">
        <w:t xml:space="preserve"> at 3</w:t>
      </w:r>
      <w:r>
        <w:t xml:space="preserve">, 7; </w:t>
      </w:r>
      <w:r w:rsidRPr="000B2CD7">
        <w:t xml:space="preserve">SPP TOs </w:t>
      </w:r>
      <w:r>
        <w:t>Rehearing Request</w:t>
      </w:r>
      <w:r w:rsidRPr="000B2CD7">
        <w:t xml:space="preserve"> at 2, 7, 10-1</w:t>
      </w:r>
      <w:r>
        <w:t xml:space="preserve">2; </w:t>
      </w:r>
      <w:r w:rsidRPr="000B2CD7">
        <w:t xml:space="preserve">EEI </w:t>
      </w:r>
      <w:r>
        <w:t>Rehearing Request</w:t>
      </w:r>
      <w:r w:rsidRPr="000B2CD7">
        <w:t xml:space="preserve"> at 7, 11-12</w:t>
      </w:r>
      <w:r>
        <w:t xml:space="preserve">; </w:t>
      </w:r>
      <w:r w:rsidRPr="000B2CD7">
        <w:t xml:space="preserve">WIRES </w:t>
      </w:r>
      <w:r>
        <w:t>Rehearing Request</w:t>
      </w:r>
      <w:r w:rsidRPr="000B2CD7">
        <w:t xml:space="preserve"> at 5-</w:t>
      </w:r>
      <w:r>
        <w:t>9.</w:t>
      </w:r>
    </w:p>
  </w:footnote>
  <w:footnote w:id="370">
    <w:p w14:paraId="374ED67E" w14:textId="35C1F763" w:rsidR="00F369AF" w:rsidRPr="00184CDD" w:rsidRDefault="00F369AF" w:rsidP="00F369AF">
      <w:pPr>
        <w:pStyle w:val="FootnoteText"/>
      </w:pPr>
      <w:r>
        <w:rPr>
          <w:rStyle w:val="FootnoteReference"/>
        </w:rPr>
        <w:footnoteRef/>
      </w:r>
      <w:r>
        <w:t xml:space="preserve"> </w:t>
      </w:r>
      <w:r>
        <w:rPr>
          <w:i/>
          <w:iCs/>
        </w:rPr>
        <w:t>See, e.g.</w:t>
      </w:r>
      <w:r>
        <w:t xml:space="preserve">, </w:t>
      </w:r>
      <w:r w:rsidRPr="00AF1FBF">
        <w:t xml:space="preserve">MISO TOs </w:t>
      </w:r>
      <w:r>
        <w:t>Rehearing Request</w:t>
      </w:r>
      <w:r w:rsidRPr="00AF1FBF">
        <w:t xml:space="preserve"> at 29-3</w:t>
      </w:r>
      <w:r>
        <w:t xml:space="preserve">1 (citing </w:t>
      </w:r>
      <w:r w:rsidRPr="00AF1FBF">
        <w:rPr>
          <w:i/>
          <w:iCs/>
        </w:rPr>
        <w:t>Atlantic City I</w:t>
      </w:r>
      <w:r>
        <w:t xml:space="preserve">, </w:t>
      </w:r>
      <w:r w:rsidR="00AF40A2">
        <w:t xml:space="preserve">               </w:t>
      </w:r>
      <w:r w:rsidRPr="007A1BAC">
        <w:t>295 F.3d</w:t>
      </w:r>
      <w:r w:rsidRPr="00AF1FBF">
        <w:rPr>
          <w:i/>
          <w:iCs/>
        </w:rPr>
        <w:t xml:space="preserve"> </w:t>
      </w:r>
      <w:r w:rsidRPr="00AF1FBF">
        <w:t>at 9</w:t>
      </w:r>
      <w:r>
        <w:t xml:space="preserve">-10; </w:t>
      </w:r>
      <w:r w:rsidRPr="00F40364">
        <w:rPr>
          <w:i/>
          <w:iCs/>
        </w:rPr>
        <w:t>Emera M</w:t>
      </w:r>
      <w:r w:rsidR="00AA39C7">
        <w:rPr>
          <w:i/>
          <w:iCs/>
        </w:rPr>
        <w:t>ain</w:t>
      </w:r>
      <w:r w:rsidRPr="00F40364">
        <w:rPr>
          <w:i/>
          <w:iCs/>
        </w:rPr>
        <w:t>e</w:t>
      </w:r>
      <w:r w:rsidRPr="00F40364">
        <w:t xml:space="preserve">, 854 F.3d at 24; </w:t>
      </w:r>
      <w:proofErr w:type="spellStart"/>
      <w:r w:rsidRPr="00F40364">
        <w:rPr>
          <w:i/>
          <w:iCs/>
        </w:rPr>
        <w:t>Vistra</w:t>
      </w:r>
      <w:proofErr w:type="spellEnd"/>
      <w:r w:rsidRPr="00F40364">
        <w:rPr>
          <w:i/>
          <w:iCs/>
        </w:rPr>
        <w:t xml:space="preserve"> Corp. v. FERC</w:t>
      </w:r>
      <w:r w:rsidRPr="00F40364">
        <w:t xml:space="preserve">, 80 F.4th 302, 318 (D.C. Cir. 2023); </w:t>
      </w:r>
      <w:r w:rsidR="00C90C0A" w:rsidRPr="00A36E03">
        <w:rPr>
          <w:i/>
          <w:iCs/>
        </w:rPr>
        <w:t>MISO Transmission Owners v. FERC</w:t>
      </w:r>
      <w:r w:rsidR="00C90C0A" w:rsidRPr="00A36E03">
        <w:t>, 45 F.4th 248, 253 (D.C. Cir. 2022)</w:t>
      </w:r>
      <w:r>
        <w:t xml:space="preserve">; </w:t>
      </w:r>
      <w:r w:rsidRPr="00500FE8">
        <w:t xml:space="preserve">EEI </w:t>
      </w:r>
      <w:r>
        <w:t>Rehearing Request</w:t>
      </w:r>
      <w:r w:rsidRPr="00500FE8">
        <w:t xml:space="preserve"> at 13-14</w:t>
      </w:r>
      <w:r>
        <w:t xml:space="preserve"> (“</w:t>
      </w:r>
      <w:r w:rsidRPr="00677299">
        <w:t>In seeking to create such a condition, the Commission seeks to fundamentally and unlawfully alter its role, as well as transmission providers’ and public utilities’ rights, under section 20</w:t>
      </w:r>
      <w:r>
        <w:t xml:space="preserve">5.”); WIRES Rehearing Request </w:t>
      </w:r>
      <w:r w:rsidR="00AF40A2">
        <w:t xml:space="preserve">         </w:t>
      </w:r>
      <w:r>
        <w:t>at 7-8.</w:t>
      </w:r>
    </w:p>
  </w:footnote>
  <w:footnote w:id="371">
    <w:p w14:paraId="66877D6F" w14:textId="76F0575A" w:rsidR="00F369AF" w:rsidRPr="005F60D9" w:rsidRDefault="00F369AF" w:rsidP="00AF40A2">
      <w:pPr>
        <w:pStyle w:val="FootnoteText"/>
        <w:widowControl/>
      </w:pPr>
      <w:r>
        <w:rPr>
          <w:rStyle w:val="FootnoteReference"/>
        </w:rPr>
        <w:footnoteRef/>
      </w:r>
      <w:r>
        <w:t xml:space="preserve"> </w:t>
      </w:r>
      <w:r>
        <w:rPr>
          <w:i/>
          <w:iCs/>
        </w:rPr>
        <w:t>See, e.g.</w:t>
      </w:r>
      <w:r>
        <w:t xml:space="preserve">, MISO TOs Rehearing Request at 27-28; EEI Rehearing Request </w:t>
      </w:r>
      <w:r w:rsidR="00AF40A2">
        <w:t xml:space="preserve">              </w:t>
      </w:r>
      <w:r>
        <w:t xml:space="preserve">at 13-14; WIRES Rehearing Request at 7-8; SPP TOs Rehearing Request at 11 (also asserting that this approach contravenes </w:t>
      </w:r>
      <w:r w:rsidR="003E5EB5" w:rsidRPr="003E5EB5">
        <w:rPr>
          <w:i/>
          <w:iCs/>
        </w:rPr>
        <w:t>Massachusetts Department of Public Utilities</w:t>
      </w:r>
      <w:r>
        <w:t xml:space="preserve">, </w:t>
      </w:r>
      <w:r w:rsidRPr="00CB592C">
        <w:t xml:space="preserve">729 F.2d </w:t>
      </w:r>
      <w:r>
        <w:t>at</w:t>
      </w:r>
      <w:r w:rsidRPr="00CB592C">
        <w:t xml:space="preserve"> 888</w:t>
      </w:r>
      <w:r>
        <w:t>).</w:t>
      </w:r>
    </w:p>
  </w:footnote>
  <w:footnote w:id="372">
    <w:p w14:paraId="76E3E71C" w14:textId="4BBF5EC5" w:rsidR="00F369AF" w:rsidRPr="00BA784B" w:rsidRDefault="00F369AF" w:rsidP="00F369AF">
      <w:pPr>
        <w:pStyle w:val="FootnoteText"/>
      </w:pPr>
      <w:r>
        <w:rPr>
          <w:rStyle w:val="FootnoteReference"/>
        </w:rPr>
        <w:footnoteRef/>
      </w:r>
      <w:r>
        <w:t xml:space="preserve"> </w:t>
      </w:r>
      <w:r w:rsidRPr="00660F75">
        <w:t>525 F.2d 845, 855 (D.C. Cir. 1976)</w:t>
      </w:r>
      <w:r w:rsidR="00604C8D">
        <w:t xml:space="preserve"> (</w:t>
      </w:r>
      <w:r w:rsidR="00604C8D">
        <w:rPr>
          <w:i/>
          <w:iCs/>
        </w:rPr>
        <w:t>City of Cleveland</w:t>
      </w:r>
      <w:r w:rsidR="00604C8D">
        <w:t>)</w:t>
      </w:r>
      <w:r>
        <w:t xml:space="preserve"> </w:t>
      </w:r>
      <w:r w:rsidRPr="007129A6">
        <w:t xml:space="preserve">(citing </w:t>
      </w:r>
      <w:r w:rsidRPr="007129A6">
        <w:rPr>
          <w:i/>
          <w:iCs/>
        </w:rPr>
        <w:t xml:space="preserve">United Gas </w:t>
      </w:r>
      <w:proofErr w:type="gramStart"/>
      <w:r w:rsidRPr="007129A6">
        <w:rPr>
          <w:i/>
          <w:iCs/>
        </w:rPr>
        <w:t>Pipe Line</w:t>
      </w:r>
      <w:proofErr w:type="gramEnd"/>
      <w:r w:rsidRPr="007129A6">
        <w:rPr>
          <w:i/>
          <w:iCs/>
        </w:rPr>
        <w:t xml:space="preserve"> Co.</w:t>
      </w:r>
      <w:r w:rsidRPr="005360B9">
        <w:t xml:space="preserve">, 350 U.S. at 338-344; </w:t>
      </w:r>
      <w:r w:rsidRPr="005360B9">
        <w:rPr>
          <w:i/>
          <w:iCs/>
        </w:rPr>
        <w:t>Permian Basin Area Rate Cases</w:t>
      </w:r>
      <w:r w:rsidRPr="005360B9">
        <w:t xml:space="preserve">, 390 U.S. 747, 822 (1968)); </w:t>
      </w:r>
      <w:r w:rsidRPr="005360B9">
        <w:rPr>
          <w:i/>
          <w:iCs/>
        </w:rPr>
        <w:t xml:space="preserve">see </w:t>
      </w:r>
      <w:r w:rsidRPr="00BA784B">
        <w:t xml:space="preserve">MISO TOs </w:t>
      </w:r>
      <w:r>
        <w:t>Rehearing Request</w:t>
      </w:r>
      <w:r w:rsidRPr="00BA784B">
        <w:t xml:space="preserve"> at 30-31 (</w:t>
      </w:r>
      <w:r w:rsidRPr="005360B9">
        <w:t xml:space="preserve">also </w:t>
      </w:r>
      <w:r w:rsidRPr="00BA784B">
        <w:t xml:space="preserve">noting the Commission’s passive role under </w:t>
      </w:r>
      <w:r w:rsidRPr="005360B9">
        <w:t>FPA</w:t>
      </w:r>
      <w:r>
        <w:t xml:space="preserve"> section </w:t>
      </w:r>
      <w:r w:rsidRPr="00BA784B">
        <w:t>205)</w:t>
      </w:r>
      <w:r>
        <w:t xml:space="preserve">; </w:t>
      </w:r>
      <w:r w:rsidRPr="00BA784B">
        <w:t xml:space="preserve">SPP TOs </w:t>
      </w:r>
      <w:r>
        <w:t>Rehearing Request</w:t>
      </w:r>
      <w:r w:rsidRPr="00BA784B">
        <w:t xml:space="preserve"> at </w:t>
      </w:r>
      <w:r>
        <w:t xml:space="preserve">7; </w:t>
      </w:r>
      <w:r w:rsidRPr="00BA784B">
        <w:t xml:space="preserve">WIRES </w:t>
      </w:r>
      <w:r>
        <w:t>Rehearing Request</w:t>
      </w:r>
      <w:r w:rsidRPr="00BA784B">
        <w:t xml:space="preserve"> at 6, </w:t>
      </w:r>
      <w:r>
        <w:t>8.</w:t>
      </w:r>
    </w:p>
  </w:footnote>
  <w:footnote w:id="373">
    <w:p w14:paraId="763EF0D6" w14:textId="06DCD173" w:rsidR="000465AC" w:rsidRDefault="000465AC" w:rsidP="000465AC">
      <w:pPr>
        <w:pStyle w:val="FootnoteText"/>
      </w:pPr>
      <w:r>
        <w:rPr>
          <w:rStyle w:val="FootnoteReference"/>
        </w:rPr>
        <w:footnoteRef/>
      </w:r>
      <w:r>
        <w:t xml:space="preserve"> MISO TOs Rehearing Request at 27-</w:t>
      </w:r>
      <w:r w:rsidR="00576BBD">
        <w:t xml:space="preserve">29 </w:t>
      </w:r>
      <w:r>
        <w:t xml:space="preserve">(quoting </w:t>
      </w:r>
      <w:r w:rsidRPr="00AF1FBF">
        <w:rPr>
          <w:i/>
          <w:iCs/>
        </w:rPr>
        <w:t>Atlantic City I</w:t>
      </w:r>
      <w:r>
        <w:t xml:space="preserve">, </w:t>
      </w:r>
      <w:r w:rsidRPr="007A1BAC">
        <w:t xml:space="preserve">295 F.3d </w:t>
      </w:r>
      <w:r w:rsidRPr="00AF1FBF">
        <w:t>at 9</w:t>
      </w:r>
      <w:r>
        <w:t>) (asserting that this aspect of Order No. 1920-A “</w:t>
      </w:r>
      <w:r w:rsidRPr="00112EDC">
        <w:t>provides Relevant State Entities with the ability to delay and exert statutorily inappropriate influence or control over the</w:t>
      </w:r>
      <w:r>
        <w:t xml:space="preserve"> </w:t>
      </w:r>
      <w:r w:rsidRPr="00C950DB">
        <w:t>transmission providers’ statutory right to file rate changes</w:t>
      </w:r>
      <w:r>
        <w:t>”).</w:t>
      </w:r>
    </w:p>
  </w:footnote>
  <w:footnote w:id="374">
    <w:p w14:paraId="67AA4038" w14:textId="74807F30" w:rsidR="000465AC" w:rsidRDefault="000465AC" w:rsidP="00AF40A2">
      <w:pPr>
        <w:pStyle w:val="FootnoteText"/>
        <w:widowControl/>
      </w:pPr>
      <w:r>
        <w:rPr>
          <w:rStyle w:val="FootnoteReference"/>
        </w:rPr>
        <w:footnoteRef/>
      </w:r>
      <w:r>
        <w:t xml:space="preserve"> SPP TOs Rehearing Request at 11 (citing </w:t>
      </w:r>
      <w:r w:rsidRPr="003D74AF">
        <w:rPr>
          <w:i/>
          <w:iCs/>
        </w:rPr>
        <w:t>NRG Power Mktg</w:t>
      </w:r>
      <w:r w:rsidRPr="009F0E22">
        <w:rPr>
          <w:i/>
          <w:iCs/>
        </w:rPr>
        <w:t>.</w:t>
      </w:r>
      <w:r w:rsidRPr="003D74AF">
        <w:t xml:space="preserve">, 862 F.3d at 115; </w:t>
      </w:r>
      <w:r w:rsidR="006D418D">
        <w:rPr>
          <w:i/>
          <w:iCs/>
        </w:rPr>
        <w:t>Western Resources</w:t>
      </w:r>
      <w:r w:rsidRPr="003D74AF">
        <w:t xml:space="preserve">, 9 F.3d at 1578; </w:t>
      </w:r>
      <w:r w:rsidRPr="003D74AF">
        <w:rPr>
          <w:i/>
          <w:iCs/>
        </w:rPr>
        <w:t xml:space="preserve">Midwest </w:t>
      </w:r>
      <w:proofErr w:type="spellStart"/>
      <w:r w:rsidRPr="003D74AF">
        <w:rPr>
          <w:i/>
          <w:iCs/>
        </w:rPr>
        <w:t>Indep</w:t>
      </w:r>
      <w:proofErr w:type="spellEnd"/>
      <w:r w:rsidRPr="003D74AF">
        <w:rPr>
          <w:i/>
          <w:iCs/>
        </w:rPr>
        <w:t>. Transmission Sys. Operator, Inc</w:t>
      </w:r>
      <w:r w:rsidRPr="009F0E22">
        <w:rPr>
          <w:i/>
          <w:iCs/>
        </w:rPr>
        <w:t>.</w:t>
      </w:r>
      <w:r w:rsidRPr="003D74AF">
        <w:t xml:space="preserve">, </w:t>
      </w:r>
      <w:r w:rsidRPr="009F0E22">
        <w:t>13</w:t>
      </w:r>
      <w:r w:rsidR="00945B27" w:rsidRPr="009F0E22">
        <w:t>3</w:t>
      </w:r>
      <w:r w:rsidRPr="009F0E22">
        <w:t xml:space="preserve"> FERC ¶ 61,</w:t>
      </w:r>
      <w:r w:rsidR="00A249E8" w:rsidRPr="009F0E22">
        <w:t>221</w:t>
      </w:r>
      <w:r w:rsidR="00945B27" w:rsidRPr="009F0E22">
        <w:t xml:space="preserve"> (2010)</w:t>
      </w:r>
      <w:r w:rsidRPr="009F0E22">
        <w:t xml:space="preserve">, </w:t>
      </w:r>
      <w:r w:rsidRPr="009F0E22">
        <w:rPr>
          <w:i/>
          <w:iCs/>
        </w:rPr>
        <w:t>order on reh’g</w:t>
      </w:r>
      <w:r w:rsidRPr="009F0E22">
        <w:t>, 137 FERC ¶ 61,074</w:t>
      </w:r>
      <w:r w:rsidR="00624FC4" w:rsidRPr="00E86A52">
        <w:t>,</w:t>
      </w:r>
      <w:r w:rsidR="00624FC4" w:rsidRPr="009F0E22">
        <w:t xml:space="preserve"> at P 187 </w:t>
      </w:r>
      <w:r w:rsidRPr="003D74AF">
        <w:t xml:space="preserve">(2011), </w:t>
      </w:r>
      <w:r>
        <w:rPr>
          <w:i/>
          <w:iCs/>
        </w:rPr>
        <w:t>vacated in</w:t>
      </w:r>
      <w:r w:rsidRPr="003D74AF">
        <w:rPr>
          <w:i/>
          <w:iCs/>
        </w:rPr>
        <w:t xml:space="preserve"> part sub nom. Ill. </w:t>
      </w:r>
      <w:r w:rsidR="0062437B">
        <w:rPr>
          <w:i/>
          <w:iCs/>
        </w:rPr>
        <w:t>Com.</w:t>
      </w:r>
      <w:r w:rsidRPr="003D74AF">
        <w:rPr>
          <w:i/>
          <w:iCs/>
        </w:rPr>
        <w:t xml:space="preserve"> Comm’n v. FERC</w:t>
      </w:r>
      <w:r w:rsidRPr="003D74AF">
        <w:t>, 721 F.3d 764 (7th Cir. 2013)</w:t>
      </w:r>
      <w:r>
        <w:t>)</w:t>
      </w:r>
      <w:r w:rsidRPr="003D74AF">
        <w:t>.</w:t>
      </w:r>
    </w:p>
  </w:footnote>
  <w:footnote w:id="375">
    <w:p w14:paraId="096E9590" w14:textId="77777777" w:rsidR="000465AC" w:rsidRDefault="000465AC" w:rsidP="000465AC">
      <w:pPr>
        <w:pStyle w:val="FootnoteText"/>
      </w:pPr>
      <w:r>
        <w:rPr>
          <w:rStyle w:val="FootnoteReference"/>
        </w:rPr>
        <w:footnoteRef/>
      </w:r>
      <w:r>
        <w:t xml:space="preserve"> WIRES Rehearing Request at 8-9.</w:t>
      </w:r>
    </w:p>
  </w:footnote>
  <w:footnote w:id="376">
    <w:p w14:paraId="79BFAD57" w14:textId="610509DF" w:rsidR="00637BC6" w:rsidRDefault="00637BC6" w:rsidP="00637BC6">
      <w:pPr>
        <w:pStyle w:val="FootnoteText"/>
      </w:pPr>
      <w:r>
        <w:rPr>
          <w:rStyle w:val="FootnoteReference"/>
        </w:rPr>
        <w:footnoteRef/>
      </w:r>
      <w:r>
        <w:t xml:space="preserve"> EEI Rehearing Request at 13.</w:t>
      </w:r>
    </w:p>
  </w:footnote>
  <w:footnote w:id="377">
    <w:p w14:paraId="4969ED13" w14:textId="638A359C" w:rsidR="00637BC6" w:rsidRDefault="00637BC6" w:rsidP="00637BC6">
      <w:pPr>
        <w:pStyle w:val="FootnoteText"/>
      </w:pPr>
      <w:r>
        <w:rPr>
          <w:rStyle w:val="FootnoteReference"/>
        </w:rPr>
        <w:footnoteRef/>
      </w:r>
      <w:r>
        <w:t xml:space="preserve"> </w:t>
      </w:r>
      <w:r w:rsidR="00D433A3" w:rsidRPr="00DC0B66">
        <w:rPr>
          <w:i/>
          <w:iCs/>
        </w:rPr>
        <w:t>Id</w:t>
      </w:r>
      <w:r w:rsidR="00D433A3">
        <w:t>.</w:t>
      </w:r>
      <w:r>
        <w:t xml:space="preserve"> at 14.</w:t>
      </w:r>
    </w:p>
  </w:footnote>
  <w:footnote w:id="378">
    <w:p w14:paraId="0B5760F5" w14:textId="35567199" w:rsidR="003B6766" w:rsidRDefault="003B6766" w:rsidP="003B6766">
      <w:pPr>
        <w:pStyle w:val="FootnoteText"/>
      </w:pPr>
      <w:r>
        <w:rPr>
          <w:rStyle w:val="FootnoteReference"/>
        </w:rPr>
        <w:footnoteRef/>
      </w:r>
      <w:r>
        <w:t xml:space="preserve"> </w:t>
      </w:r>
      <w:r>
        <w:rPr>
          <w:i/>
          <w:iCs/>
        </w:rPr>
        <w:t xml:space="preserve">See </w:t>
      </w:r>
      <w:r>
        <w:t xml:space="preserve">MISO TOs Rehearing Request at 29; </w:t>
      </w:r>
      <w:r w:rsidRPr="00A26C42">
        <w:t xml:space="preserve">SPP TOs </w:t>
      </w:r>
      <w:r>
        <w:t>Rehearing Request</w:t>
      </w:r>
      <w:r w:rsidRPr="00A26C42">
        <w:t xml:space="preserve"> at 5-6</w:t>
      </w:r>
      <w:r>
        <w:t xml:space="preserve">; </w:t>
      </w:r>
      <w:r w:rsidRPr="00A26C42">
        <w:t>EEI</w:t>
      </w:r>
      <w:r>
        <w:t xml:space="preserve"> Rehearing Request</w:t>
      </w:r>
      <w:r w:rsidRPr="00A26C42">
        <w:t xml:space="preserve"> at 14-15.</w:t>
      </w:r>
    </w:p>
  </w:footnote>
  <w:footnote w:id="379">
    <w:p w14:paraId="322F453C" w14:textId="198973C4" w:rsidR="003B6766" w:rsidRDefault="003B6766" w:rsidP="003B6766">
      <w:pPr>
        <w:pStyle w:val="FootnoteText"/>
      </w:pPr>
      <w:r>
        <w:rPr>
          <w:rStyle w:val="FootnoteReference"/>
        </w:rPr>
        <w:footnoteRef/>
      </w:r>
      <w:r>
        <w:t xml:space="preserve"> EEI Rehearing Request at 14-15 (citing </w:t>
      </w:r>
      <w:r w:rsidRPr="00730AC2">
        <w:rPr>
          <w:i/>
          <w:iCs/>
        </w:rPr>
        <w:t xml:space="preserve">Midwest </w:t>
      </w:r>
      <w:proofErr w:type="spellStart"/>
      <w:r w:rsidRPr="00730AC2">
        <w:rPr>
          <w:i/>
          <w:iCs/>
        </w:rPr>
        <w:t>Indep</w:t>
      </w:r>
      <w:proofErr w:type="spellEnd"/>
      <w:r w:rsidRPr="00730AC2">
        <w:rPr>
          <w:i/>
          <w:iCs/>
        </w:rPr>
        <w:t>. Transmission Sys. Operator, Inc</w:t>
      </w:r>
      <w:r w:rsidRPr="009F0E22">
        <w:rPr>
          <w:i/>
          <w:iCs/>
        </w:rPr>
        <w:t>.</w:t>
      </w:r>
      <w:r w:rsidRPr="00730AC2">
        <w:t xml:space="preserve">, 143 FERC ¶ 61,165 </w:t>
      </w:r>
      <w:r w:rsidR="00DE3EE8">
        <w:t>at P 30</w:t>
      </w:r>
      <w:r>
        <w:t>).</w:t>
      </w:r>
    </w:p>
  </w:footnote>
  <w:footnote w:id="380">
    <w:p w14:paraId="3746E83C" w14:textId="77777777" w:rsidR="005C74F4" w:rsidRPr="00CE1003" w:rsidRDefault="005C74F4" w:rsidP="005C74F4">
      <w:pPr>
        <w:pStyle w:val="FootnoteText"/>
      </w:pPr>
      <w:r>
        <w:rPr>
          <w:rStyle w:val="FootnoteReference"/>
        </w:rPr>
        <w:footnoteRef/>
      </w:r>
      <w:r>
        <w:t xml:space="preserve"> </w:t>
      </w:r>
      <w:r w:rsidRPr="00BD771E">
        <w:rPr>
          <w:i/>
          <w:iCs/>
        </w:rPr>
        <w:t>See</w:t>
      </w:r>
      <w:r>
        <w:t xml:space="preserve"> </w:t>
      </w:r>
      <w:r w:rsidRPr="00CE1003">
        <w:t xml:space="preserve">MISO TOs </w:t>
      </w:r>
      <w:r>
        <w:t>Rehearing Request</w:t>
      </w:r>
      <w:r w:rsidRPr="00CE1003">
        <w:t xml:space="preserve"> at 5</w:t>
      </w:r>
      <w:r>
        <w:t xml:space="preserve"> (“</w:t>
      </w:r>
      <w:r w:rsidRPr="008367F8">
        <w:t>These changes reframe the roles of the entities involved, blurring the FPA’s division of authority.</w:t>
      </w:r>
      <w:r>
        <w:t>”); Indicated PJM TOs</w:t>
      </w:r>
      <w:r w:rsidRPr="00CE1003">
        <w:t xml:space="preserve"> </w:t>
      </w:r>
      <w:r>
        <w:t>Rehearing Request</w:t>
      </w:r>
      <w:r w:rsidRPr="00CE1003">
        <w:t xml:space="preserve"> at 7</w:t>
      </w:r>
      <w:r>
        <w:t xml:space="preserve">, 15-17; </w:t>
      </w:r>
      <w:r w:rsidRPr="00CE1003">
        <w:t xml:space="preserve">SPP TOs </w:t>
      </w:r>
      <w:r>
        <w:t>Rehearing Request</w:t>
      </w:r>
      <w:r w:rsidRPr="00CE1003">
        <w:t xml:space="preserve"> at 2</w:t>
      </w:r>
      <w:r>
        <w:t>, 7, 10-11.</w:t>
      </w:r>
    </w:p>
  </w:footnote>
  <w:footnote w:id="381">
    <w:p w14:paraId="364827BB" w14:textId="77777777" w:rsidR="005C74F4" w:rsidRDefault="005C74F4" w:rsidP="005C74F4">
      <w:pPr>
        <w:pStyle w:val="FootnoteText"/>
      </w:pPr>
      <w:r>
        <w:rPr>
          <w:rStyle w:val="FootnoteReference"/>
        </w:rPr>
        <w:footnoteRef/>
      </w:r>
      <w:r>
        <w:t xml:space="preserve"> SPP TOs Rehearing Request at 11.</w:t>
      </w:r>
    </w:p>
  </w:footnote>
  <w:footnote w:id="382">
    <w:p w14:paraId="0928F3EC" w14:textId="13F14AAF" w:rsidR="005C74F4" w:rsidRPr="003D2791" w:rsidRDefault="005C74F4" w:rsidP="005C74F4">
      <w:pPr>
        <w:pStyle w:val="FootnoteText"/>
      </w:pPr>
      <w:r>
        <w:rPr>
          <w:rStyle w:val="FootnoteReference"/>
        </w:rPr>
        <w:footnoteRef/>
      </w:r>
      <w:r>
        <w:t xml:space="preserve"> Indicated PJM TOs Rehearing Request at </w:t>
      </w:r>
      <w:proofErr w:type="gramStart"/>
      <w:r>
        <w:t>16;</w:t>
      </w:r>
      <w:proofErr w:type="gramEnd"/>
      <w:r>
        <w:t xml:space="preserve"> </w:t>
      </w:r>
      <w:r>
        <w:rPr>
          <w:i/>
          <w:iCs/>
        </w:rPr>
        <w:t>id.</w:t>
      </w:r>
      <w:r>
        <w:t xml:space="preserve"> at 16-17 (arguing that the statutory vehicle for Relevant State Entities to attempt to change a Commission-approved cost allocation method is a complaint pursuant to FPA section 206).</w:t>
      </w:r>
    </w:p>
  </w:footnote>
  <w:footnote w:id="383">
    <w:p w14:paraId="774C578D" w14:textId="7B59B349" w:rsidR="00C566F1" w:rsidRPr="00F4708D" w:rsidRDefault="00C566F1" w:rsidP="00C566F1">
      <w:pPr>
        <w:pStyle w:val="FootnoteText"/>
      </w:pPr>
      <w:r>
        <w:rPr>
          <w:rStyle w:val="FootnoteReference"/>
        </w:rPr>
        <w:footnoteRef/>
      </w:r>
      <w:r>
        <w:t xml:space="preserve"> </w:t>
      </w:r>
      <w:r w:rsidRPr="004A28D6">
        <w:rPr>
          <w:i/>
          <w:iCs/>
        </w:rPr>
        <w:t>South Carolina</w:t>
      </w:r>
      <w:r w:rsidRPr="003C1D35">
        <w:t xml:space="preserve">, 762 F.3d </w:t>
      </w:r>
      <w:r>
        <w:t>at</w:t>
      </w:r>
      <w:r w:rsidRPr="003C1D35">
        <w:t xml:space="preserve"> </w:t>
      </w:r>
      <w:r>
        <w:t xml:space="preserve">48; </w:t>
      </w:r>
      <w:r>
        <w:rPr>
          <w:i/>
          <w:iCs/>
        </w:rPr>
        <w:t>see id.</w:t>
      </w:r>
      <w:r>
        <w:t xml:space="preserve"> at 82-83 (discussing how “</w:t>
      </w:r>
      <w:r w:rsidRPr="00626C37">
        <w:t>the lack of methods that ascertain the beneficiaries of new and improved transmission facilities and allocate costs to entities that benefit</w:t>
      </w:r>
      <w:r>
        <w:t>” creates risks to transmission providers and results in misaligned incentives).</w:t>
      </w:r>
    </w:p>
  </w:footnote>
  <w:footnote w:id="384">
    <w:p w14:paraId="46C7B289" w14:textId="77777777" w:rsidR="00C566F1" w:rsidRPr="008F281F" w:rsidRDefault="00C566F1" w:rsidP="00C566F1">
      <w:pPr>
        <w:pStyle w:val="FootnoteText"/>
      </w:pPr>
      <w:r>
        <w:rPr>
          <w:rStyle w:val="FootnoteReference"/>
        </w:rPr>
        <w:footnoteRef/>
      </w:r>
      <w:r>
        <w:t xml:space="preserve"> </w:t>
      </w:r>
      <w:r>
        <w:rPr>
          <w:i/>
          <w:iCs/>
        </w:rPr>
        <w:t>Id</w:t>
      </w:r>
      <w:r w:rsidRPr="002076DE">
        <w:rPr>
          <w:i/>
        </w:rPr>
        <w:t>.</w:t>
      </w:r>
      <w:r>
        <w:t xml:space="preserve"> at 48.</w:t>
      </w:r>
    </w:p>
  </w:footnote>
  <w:footnote w:id="385">
    <w:p w14:paraId="7619046A" w14:textId="77777777" w:rsidR="00C566F1" w:rsidRDefault="00C566F1" w:rsidP="00C566F1">
      <w:pPr>
        <w:pStyle w:val="FootnoteText"/>
      </w:pPr>
      <w:r>
        <w:rPr>
          <w:rStyle w:val="FootnoteReference"/>
        </w:rPr>
        <w:footnoteRef/>
      </w:r>
      <w:r>
        <w:t xml:space="preserve"> </w:t>
      </w:r>
      <w:r>
        <w:rPr>
          <w:i/>
          <w:iCs/>
        </w:rPr>
        <w:t>Id.</w:t>
      </w:r>
      <w:r>
        <w:t xml:space="preserve"> at 57 (holding that this reform was within the Commission’s jurisdiction to regulate); </w:t>
      </w:r>
      <w:r>
        <w:rPr>
          <w:i/>
          <w:iCs/>
        </w:rPr>
        <w:t>see also id.</w:t>
      </w:r>
      <w:r>
        <w:t xml:space="preserve"> at 84-87.</w:t>
      </w:r>
    </w:p>
  </w:footnote>
  <w:footnote w:id="386">
    <w:p w14:paraId="38CB3DC3" w14:textId="42B96910" w:rsidR="00C566F1" w:rsidRPr="007C5BF6" w:rsidRDefault="00C566F1" w:rsidP="00C566F1">
      <w:pPr>
        <w:pStyle w:val="FootnoteText"/>
      </w:pPr>
      <w:r>
        <w:rPr>
          <w:rStyle w:val="FootnoteReference"/>
        </w:rPr>
        <w:footnoteRef/>
      </w:r>
      <w:r>
        <w:t xml:space="preserve"> </w:t>
      </w:r>
      <w:r w:rsidRPr="004A28D6">
        <w:t>Order No. 1920-A,</w:t>
      </w:r>
      <w:r w:rsidRPr="003078C3">
        <w:t xml:space="preserve"> 189 FERC ¶ 61,126</w:t>
      </w:r>
      <w:r>
        <w:t xml:space="preserve"> at P 692 (“</w:t>
      </w:r>
      <w:r w:rsidRPr="003078C3">
        <w:t xml:space="preserve">We find that these requirements will ensure that states have the opportunity to be involved in establishing cost allocation methods for Long-Term Regional Transmission Facilities subsequent to the Commission's acceptance of transmission </w:t>
      </w:r>
      <w:r w:rsidR="009E74E5" w:rsidRPr="003078C3">
        <w:t>providers</w:t>
      </w:r>
      <w:r w:rsidR="009E74E5">
        <w:t>’</w:t>
      </w:r>
      <w:r w:rsidR="009E74E5" w:rsidRPr="003078C3">
        <w:t xml:space="preserve"> </w:t>
      </w:r>
      <w:r w:rsidRPr="003078C3">
        <w:t>filings made in compliance with Order No. 1920</w:t>
      </w:r>
      <w:r>
        <w:t>.”).</w:t>
      </w:r>
    </w:p>
  </w:footnote>
  <w:footnote w:id="387">
    <w:p w14:paraId="680D2101" w14:textId="2AC3BDA5" w:rsidR="00C566F1" w:rsidRPr="00071C33" w:rsidRDefault="00C566F1" w:rsidP="00AF40A2">
      <w:pPr>
        <w:pStyle w:val="FootnoteText"/>
        <w:widowControl/>
        <w:rPr>
          <w:b/>
          <w:bCs/>
        </w:rPr>
      </w:pPr>
      <w:r>
        <w:rPr>
          <w:rStyle w:val="FootnoteReference"/>
        </w:rPr>
        <w:footnoteRef/>
      </w:r>
      <w:r>
        <w:t xml:space="preserve"> NOPR</w:t>
      </w:r>
      <w:r w:rsidRPr="004A5574">
        <w:t xml:space="preserve">, 179 FERC ¶ 61,028 </w:t>
      </w:r>
      <w:r>
        <w:t>at P 54 (proposing to “</w:t>
      </w:r>
      <w:r w:rsidRPr="008B1265">
        <w:t>address these concerns in part through greater state involvement, particularly in the development of cost allocation methods</w:t>
      </w:r>
      <w:r>
        <w:t xml:space="preserve">”); </w:t>
      </w:r>
      <w:r>
        <w:rPr>
          <w:i/>
          <w:iCs/>
        </w:rPr>
        <w:t>see id.</w:t>
      </w:r>
      <w:r>
        <w:t xml:space="preserve"> P 244; </w:t>
      </w:r>
      <w:r>
        <w:rPr>
          <w:i/>
          <w:iCs/>
        </w:rPr>
        <w:t xml:space="preserve">id. </w:t>
      </w:r>
      <w:r>
        <w:t xml:space="preserve">PP 297-300 (discussing the challenges associated with developing cost allocation methods perceived as fair, especially in multi-state </w:t>
      </w:r>
      <w:r w:rsidR="001D1FE6">
        <w:t xml:space="preserve">transmission </w:t>
      </w:r>
      <w:r>
        <w:t xml:space="preserve">planning regions, and how this may undermine the development of more efficient </w:t>
      </w:r>
      <w:r w:rsidR="001D1FE6">
        <w:t>or cost-</w:t>
      </w:r>
      <w:r>
        <w:t xml:space="preserve">effective regional transmission facilities; discussing the critical role of states in such processes); </w:t>
      </w:r>
      <w:r>
        <w:rPr>
          <w:i/>
          <w:iCs/>
        </w:rPr>
        <w:t>id.</w:t>
      </w:r>
      <w:r>
        <w:t xml:space="preserve"> P 301 (“</w:t>
      </w:r>
      <w:r w:rsidRPr="004A5574">
        <w:t>We believe that providing an opportunity for state involvement in regional transmission planning cost allocation processes is becoming more important as states take a more active role in shaping the resource mix and demand, which, in turn, means that those state actions are increasingly affecting the long-term transmission needs for which we are proposing to require public utility transmission providers to plan in this NOPR</w:t>
      </w:r>
      <w:r w:rsidR="0091271E">
        <w:t>.</w:t>
      </w:r>
      <w:r>
        <w:t>”).</w:t>
      </w:r>
    </w:p>
  </w:footnote>
  <w:footnote w:id="388">
    <w:p w14:paraId="5AB801EC" w14:textId="56666F2E" w:rsidR="00C566F1" w:rsidRDefault="00C566F1" w:rsidP="00C566F1">
      <w:pPr>
        <w:pStyle w:val="FootnoteText"/>
      </w:pPr>
      <w:r>
        <w:rPr>
          <w:rStyle w:val="FootnoteReference"/>
        </w:rPr>
        <w:footnoteRef/>
      </w:r>
      <w:r>
        <w:t xml:space="preserve"> </w:t>
      </w:r>
      <w:r>
        <w:rPr>
          <w:i/>
          <w:iCs/>
        </w:rPr>
        <w:t xml:space="preserve">Id. </w:t>
      </w:r>
      <w:r w:rsidRPr="00550488">
        <w:t>P 317</w:t>
      </w:r>
      <w:r>
        <w:t xml:space="preserve">; </w:t>
      </w:r>
      <w:r>
        <w:rPr>
          <w:i/>
          <w:iCs/>
        </w:rPr>
        <w:t>see also id.</w:t>
      </w:r>
      <w:r>
        <w:t xml:space="preserve"> P 314 (discussing how additional state involvement in cost allocation may “</w:t>
      </w:r>
      <w:r w:rsidRPr="004A5574">
        <w:t>decrease the controversy over development of such facilities</w:t>
      </w:r>
      <w:r>
        <w:t>,” and thereby “</w:t>
      </w:r>
      <w:r w:rsidRPr="004A5574">
        <w:t xml:space="preserve">reduce instances in which a Long-Term Regional Transmission Facility is selected, has an established </w:t>
      </w:r>
      <w:r w:rsidRPr="004A5574">
        <w:rPr>
          <w:i/>
          <w:iCs/>
        </w:rPr>
        <w:t>ex ante</w:t>
      </w:r>
      <w:r w:rsidRPr="004A5574">
        <w:t xml:space="preserve"> cost allocation method that applies to it, but nevertheless fails to be developed because it cannot receive a necessary state regulatory approval. </w:t>
      </w:r>
      <w:r w:rsidR="00701BBD">
        <w:t xml:space="preserve"> </w:t>
      </w:r>
      <w:r w:rsidRPr="004A5574">
        <w:t>After all, states retain siting authority over transmission facilities and will review whether Long-Term Regional Transmission Facilities are consistent with the public interest and state siting regulations</w:t>
      </w:r>
      <w:r>
        <w:t>.”);</w:t>
      </w:r>
      <w:r w:rsidRPr="00550488">
        <w:t xml:space="preserve"> </w:t>
      </w:r>
      <w:r w:rsidRPr="00550488">
        <w:rPr>
          <w:i/>
          <w:iCs/>
        </w:rPr>
        <w:t xml:space="preserve">cf. id. </w:t>
      </w:r>
      <w:r w:rsidRPr="00550488">
        <w:t>P 321 (“</w:t>
      </w:r>
      <w:r w:rsidRPr="00F51F4F">
        <w:t>Moreover, state siting proceedings may proceed more efficiently if states have better information about the costs and benefits of such regional transmission facilities.</w:t>
      </w:r>
      <w:r w:rsidRPr="00550488">
        <w:t>”).</w:t>
      </w:r>
    </w:p>
  </w:footnote>
  <w:footnote w:id="389">
    <w:p w14:paraId="602E9D6A" w14:textId="77777777" w:rsidR="00C566F1" w:rsidRPr="00A34CD1" w:rsidRDefault="00C566F1" w:rsidP="00C566F1">
      <w:pPr>
        <w:pStyle w:val="FootnoteText"/>
      </w:pPr>
      <w:r>
        <w:rPr>
          <w:rStyle w:val="FootnoteReference"/>
        </w:rPr>
        <w:footnoteRef/>
      </w:r>
      <w:r>
        <w:t xml:space="preserve"> </w:t>
      </w:r>
      <w:r>
        <w:rPr>
          <w:i/>
          <w:iCs/>
        </w:rPr>
        <w:t>Id.</w:t>
      </w:r>
      <w:r>
        <w:t xml:space="preserve"> P 317.</w:t>
      </w:r>
    </w:p>
  </w:footnote>
  <w:footnote w:id="390">
    <w:p w14:paraId="7759CDD0" w14:textId="0ED825B8" w:rsidR="00C566F1" w:rsidRPr="00956A6D" w:rsidRDefault="00C566F1" w:rsidP="00AF40A2">
      <w:pPr>
        <w:pStyle w:val="FootnoteText"/>
        <w:widowControl/>
      </w:pPr>
      <w:r>
        <w:rPr>
          <w:rStyle w:val="FootnoteReference"/>
        </w:rPr>
        <w:footnoteRef/>
      </w:r>
      <w:r>
        <w:t xml:space="preserve"> </w:t>
      </w:r>
      <w:r>
        <w:rPr>
          <w:i/>
          <w:iCs/>
        </w:rPr>
        <w:t xml:space="preserve">See </w:t>
      </w:r>
      <w:r>
        <w:t xml:space="preserve">Order No. 1920, </w:t>
      </w:r>
      <w:r w:rsidRPr="00F87F64">
        <w:t>187 FERC ¶ 61,068</w:t>
      </w:r>
      <w:r>
        <w:t xml:space="preserve"> at P 124 (“</w:t>
      </w:r>
      <w:r w:rsidRPr="00F87F64">
        <w:t>As the Commission discussed in the NOPR and we continue to find in this final rule, facilitating state regulatory involvement in the cost allocation process could minimize delays and additional costs associated with state and local siting proceedings</w:t>
      </w:r>
      <w:r w:rsidR="002811DE">
        <w:t>.</w:t>
      </w:r>
      <w:r>
        <w:t xml:space="preserve">”); </w:t>
      </w:r>
      <w:r>
        <w:rPr>
          <w:i/>
          <w:iCs/>
        </w:rPr>
        <w:t xml:space="preserve">id. </w:t>
      </w:r>
      <w:r>
        <w:t>P 126 (concluding that ensuring a dedicated process through which states have an opportunity to participate in the development of regional cost allocation “</w:t>
      </w:r>
      <w:r w:rsidRPr="0035276A">
        <w:t>is particularly relevant to Long-Term Regional Transmission Planning, given:</w:t>
      </w:r>
      <w:r w:rsidR="00AF40A2">
        <w:t xml:space="preserve">  </w:t>
      </w:r>
      <w:r w:rsidRPr="0035276A">
        <w:t xml:space="preserve">(1) the lengthy planning </w:t>
      </w:r>
      <w:r w:rsidR="00AF40A2">
        <w:t xml:space="preserve">              </w:t>
      </w:r>
      <w:r w:rsidRPr="0035276A">
        <w:t xml:space="preserve">horizon </w:t>
      </w:r>
      <w:r>
        <w:t xml:space="preserve">. . . </w:t>
      </w:r>
      <w:r w:rsidRPr="0035276A">
        <w:t>; (2) the resultant increased uncertainty for Long-Term Regional Transmission Facilities; and (3) accordingly, the increased importance for state engagement regarding cost allocation to increase the likelihood such facilities obtain needed siting approvals from the states and are thus timely and cost-effectively developed</w:t>
      </w:r>
      <w:r>
        <w:t xml:space="preserve">”); </w:t>
      </w:r>
      <w:r>
        <w:rPr>
          <w:i/>
          <w:iCs/>
        </w:rPr>
        <w:t>id.</w:t>
      </w:r>
      <w:r>
        <w:t xml:space="preserve"> PP 1293, 1295, 1362, 1404, 1411; Order No. 1920-A, </w:t>
      </w:r>
      <w:r w:rsidRPr="00AD0002">
        <w:t xml:space="preserve">189 FERC </w:t>
      </w:r>
      <w:r w:rsidR="00AF40A2">
        <w:t xml:space="preserve">                  </w:t>
      </w:r>
      <w:r w:rsidRPr="00AD0002">
        <w:t>¶ 61,126</w:t>
      </w:r>
      <w:r>
        <w:t xml:space="preserve"> at P 659 (“[G]</w:t>
      </w:r>
      <w:proofErr w:type="spellStart"/>
      <w:r w:rsidRPr="003F52E7">
        <w:t>iven</w:t>
      </w:r>
      <w:proofErr w:type="spellEnd"/>
      <w:r w:rsidRPr="003F52E7">
        <w:t xml:space="preserve"> the inherent uncertainty involved in planning to meet </w:t>
      </w:r>
      <w:r w:rsidR="00AF40A2">
        <w:t xml:space="preserve">              </w:t>
      </w:r>
      <w:r w:rsidRPr="003F52E7">
        <w:t>Long-Term Transmission Needs</w:t>
      </w:r>
      <w:r>
        <w:t>,</w:t>
      </w:r>
      <w:r w:rsidRPr="003F52E7">
        <w:t xml:space="preserve"> state-developed cost allocation methods and State Agreement Process take on heightened importance</w:t>
      </w:r>
      <w:r>
        <w:t xml:space="preserve">.”); </w:t>
      </w:r>
      <w:r>
        <w:rPr>
          <w:i/>
          <w:iCs/>
        </w:rPr>
        <w:t>id.</w:t>
      </w:r>
      <w:r>
        <w:t xml:space="preserve"> PP 10, 59; 632, 671-</w:t>
      </w:r>
      <w:proofErr w:type="gramStart"/>
      <w:r w:rsidR="003D41C2">
        <w:t>6</w:t>
      </w:r>
      <w:r>
        <w:t xml:space="preserve">73, </w:t>
      </w:r>
      <w:r w:rsidR="00AF40A2">
        <w:t xml:space="preserve">  </w:t>
      </w:r>
      <w:proofErr w:type="gramEnd"/>
      <w:r w:rsidR="00AF40A2">
        <w:t xml:space="preserve">          </w:t>
      </w:r>
      <w:r>
        <w:t>677-</w:t>
      </w:r>
      <w:r w:rsidR="005C40D8">
        <w:t>6</w:t>
      </w:r>
      <w:r>
        <w:t>78.</w:t>
      </w:r>
    </w:p>
  </w:footnote>
  <w:footnote w:id="391">
    <w:p w14:paraId="4B398A64" w14:textId="7B872079" w:rsidR="00C566F1" w:rsidRPr="00305213" w:rsidRDefault="00C566F1" w:rsidP="00C566F1">
      <w:pPr>
        <w:pStyle w:val="FootnoteText"/>
        <w:rPr>
          <w:i/>
          <w:iCs/>
        </w:rPr>
      </w:pPr>
      <w:r>
        <w:rPr>
          <w:rStyle w:val="FootnoteReference"/>
        </w:rPr>
        <w:footnoteRef/>
      </w:r>
      <w:r>
        <w:t xml:space="preserve"> </w:t>
      </w:r>
      <w:r>
        <w:rPr>
          <w:i/>
          <w:iCs/>
        </w:rPr>
        <w:t xml:space="preserve">See </w:t>
      </w:r>
      <w:r>
        <w:t xml:space="preserve">Order No. 1920-A, </w:t>
      </w:r>
      <w:r w:rsidRPr="00AD0002">
        <w:t>189 FERC ¶ 61,126</w:t>
      </w:r>
      <w:r>
        <w:t xml:space="preserve"> at P 692 (“</w:t>
      </w:r>
      <w:r w:rsidRPr="00E7011A">
        <w:t>We find that these requirements will ensure that states have the opportunity to be involved in establishing cost allocation methods for Long-Term Regional Transmission Facilities subsequent to the Commission</w:t>
      </w:r>
      <w:r w:rsidR="00530550">
        <w:t>’</w:t>
      </w:r>
      <w:r w:rsidRPr="00E7011A">
        <w:t>s acceptance of transmission providers</w:t>
      </w:r>
      <w:r>
        <w:t>’</w:t>
      </w:r>
      <w:r w:rsidRPr="00E7011A">
        <w:t xml:space="preserve"> filings made in compliance with Order No. 1920, which has the potential to minimize additional costs and delays in the siting process and to facilitate the development of Long-Term Regional Transmission Facilities.</w:t>
      </w:r>
      <w:r>
        <w:t xml:space="preserve">”); </w:t>
      </w:r>
      <w:r>
        <w:rPr>
          <w:i/>
          <w:iCs/>
        </w:rPr>
        <w:t>see also id.</w:t>
      </w:r>
      <w:r>
        <w:t xml:space="preserve"> P 688 (summarizing NESCOE</w:t>
      </w:r>
      <w:r w:rsidR="00EB6DCF">
        <w:t>’s</w:t>
      </w:r>
      <w:r>
        <w:t xml:space="preserve"> argument that “</w:t>
      </w:r>
      <w:r w:rsidRPr="007C78B9">
        <w:t>a transmission provider could undo the efforts of Relevant State Entities in agreeing to a Long-Term Regional Transmission Cost Allocation Method during the initial Engagement Period by filing a new Long-Term Regional Transmission Cost Allocation Method without consulting with Relevant State Entities</w:t>
      </w:r>
      <w:r>
        <w:t>”</w:t>
      </w:r>
      <w:proofErr w:type="gramStart"/>
      <w:r>
        <w:t>);</w:t>
      </w:r>
      <w:proofErr w:type="gramEnd"/>
      <w:r>
        <w:t xml:space="preserve"> </w:t>
      </w:r>
      <w:r>
        <w:rPr>
          <w:i/>
          <w:iCs/>
        </w:rPr>
        <w:t>id.</w:t>
      </w:r>
      <w:r>
        <w:t xml:space="preserve"> P 691 (“</w:t>
      </w:r>
      <w:r w:rsidRPr="007B0341">
        <w:t>We are persuaded by NARUC</w:t>
      </w:r>
      <w:r w:rsidR="0064788B">
        <w:t>’</w:t>
      </w:r>
      <w:r w:rsidRPr="007B0341">
        <w:t>s and NESCOE</w:t>
      </w:r>
      <w:r>
        <w:t>’</w:t>
      </w:r>
      <w:r w:rsidRPr="007B0341">
        <w:t>s arguments raised on rehearing.”</w:t>
      </w:r>
      <w:r>
        <w:t>).</w:t>
      </w:r>
    </w:p>
  </w:footnote>
  <w:footnote w:id="392">
    <w:p w14:paraId="797EF278" w14:textId="0B270CEF" w:rsidR="00C566F1" w:rsidRPr="00CA33D0" w:rsidRDefault="00C566F1" w:rsidP="00C566F1">
      <w:pPr>
        <w:pStyle w:val="FootnoteText"/>
      </w:pPr>
      <w:r>
        <w:rPr>
          <w:rStyle w:val="FootnoteReference"/>
        </w:rPr>
        <w:footnoteRef/>
      </w:r>
      <w:r>
        <w:t xml:space="preserve"> Order No. 1920-A also provided examples of how transmission providers could satisfy these consultation requirements, including </w:t>
      </w:r>
      <w:r w:rsidRPr="00307D6F">
        <w:t xml:space="preserve">revising their OATTs to </w:t>
      </w:r>
      <w:r>
        <w:t>adopt</w:t>
      </w:r>
      <w:r w:rsidRPr="00307D6F">
        <w:t xml:space="preserve"> mechanisms similar to those used in SPP and MISO</w:t>
      </w:r>
      <w:r>
        <w:t xml:space="preserve">, </w:t>
      </w:r>
      <w:r>
        <w:rPr>
          <w:i/>
          <w:iCs/>
        </w:rPr>
        <w:t>id.</w:t>
      </w:r>
      <w:r>
        <w:t xml:space="preserve"> P 692, but it did not rely on the voluntary decision of RTOs/ISOs to adopt such mechanisms as support for establishing these requirements.  Thus, arguments on rehearing that such voluntary decisions are distinguishable from a Commission-imposed consultation requirement, </w:t>
      </w:r>
      <w:r w:rsidRPr="00CA33D0">
        <w:rPr>
          <w:i/>
          <w:iCs/>
        </w:rPr>
        <w:t>s</w:t>
      </w:r>
      <w:r>
        <w:rPr>
          <w:i/>
          <w:iCs/>
        </w:rPr>
        <w:t xml:space="preserve">ee </w:t>
      </w:r>
      <w:r w:rsidRPr="00CA33D0">
        <w:t>MISO TOs Rehearing Request at 29; SPP TOs Rehearing Request at 5-6; EEI Rehearing R</w:t>
      </w:r>
      <w:r>
        <w:t>e</w:t>
      </w:r>
      <w:r w:rsidRPr="00CA33D0">
        <w:t xml:space="preserve">quest </w:t>
      </w:r>
      <w:r w:rsidR="00AF40A2">
        <w:t xml:space="preserve">           </w:t>
      </w:r>
      <w:r w:rsidRPr="00CA33D0">
        <w:t>at 14-15</w:t>
      </w:r>
      <w:r>
        <w:t>, are beside the point.</w:t>
      </w:r>
    </w:p>
  </w:footnote>
  <w:footnote w:id="393">
    <w:p w14:paraId="1628E520" w14:textId="0995BBAD" w:rsidR="00C566F1" w:rsidRDefault="00C566F1" w:rsidP="00C566F1">
      <w:pPr>
        <w:pStyle w:val="FootnoteText"/>
      </w:pPr>
      <w:r>
        <w:rPr>
          <w:rStyle w:val="FootnoteReference"/>
        </w:rPr>
        <w:footnoteRef/>
      </w:r>
      <w:r>
        <w:t xml:space="preserve"> Order No. 1920-A, </w:t>
      </w:r>
      <w:r w:rsidR="00DB7A4F" w:rsidRPr="00AD0002">
        <w:t>189</w:t>
      </w:r>
      <w:r w:rsidRPr="00F87F64">
        <w:t xml:space="preserve"> FERC ¶ 61,</w:t>
      </w:r>
      <w:r w:rsidR="00DB7A4F" w:rsidRPr="00AD0002">
        <w:t>126</w:t>
      </w:r>
      <w:r>
        <w:t xml:space="preserve"> at P </w:t>
      </w:r>
      <w:r w:rsidR="00CA2409">
        <w:t>691</w:t>
      </w:r>
      <w:r>
        <w:t>.</w:t>
      </w:r>
    </w:p>
  </w:footnote>
  <w:footnote w:id="394">
    <w:p w14:paraId="39EAB618" w14:textId="0B5746D1" w:rsidR="00C566F1" w:rsidRDefault="00C566F1" w:rsidP="00C566F1">
      <w:pPr>
        <w:pStyle w:val="FootnoteText"/>
      </w:pPr>
      <w:r>
        <w:rPr>
          <w:rStyle w:val="FootnoteReference"/>
        </w:rPr>
        <w:footnoteRef/>
      </w:r>
      <w:r>
        <w:t xml:space="preserve"> Indeed, there may not be any FPA section 205 filing associated with any such consultation, as the transmission provider has full discretion </w:t>
      </w:r>
      <w:r w:rsidR="00671A18">
        <w:t>on</w:t>
      </w:r>
      <w:r>
        <w:t xml:space="preserve"> whether or not to proceed with any FPA section 205 filing.</w:t>
      </w:r>
    </w:p>
  </w:footnote>
  <w:footnote w:id="395">
    <w:p w14:paraId="7C589CC5" w14:textId="48D3F398" w:rsidR="00C566F1" w:rsidRPr="00A641BB" w:rsidRDefault="00C566F1" w:rsidP="00C566F1">
      <w:pPr>
        <w:pStyle w:val="FootnoteText"/>
      </w:pPr>
      <w:r>
        <w:rPr>
          <w:rStyle w:val="FootnoteReference"/>
        </w:rPr>
        <w:footnoteRef/>
      </w:r>
      <w:r>
        <w:t xml:space="preserve"> </w:t>
      </w:r>
      <w:r>
        <w:rPr>
          <w:i/>
          <w:iCs/>
        </w:rPr>
        <w:t xml:space="preserve">See </w:t>
      </w:r>
      <w:proofErr w:type="gramStart"/>
      <w:r>
        <w:rPr>
          <w:i/>
          <w:iCs/>
        </w:rPr>
        <w:t>supra</w:t>
      </w:r>
      <w:r>
        <w:t xml:space="preserve"> P</w:t>
      </w:r>
      <w:proofErr w:type="gramEnd"/>
      <w:r>
        <w:t xml:space="preserve"> </w:t>
      </w:r>
      <w:r w:rsidR="0083419E">
        <w:t>108</w:t>
      </w:r>
      <w:r>
        <w:t>.</w:t>
      </w:r>
    </w:p>
  </w:footnote>
  <w:footnote w:id="396">
    <w:p w14:paraId="6E831A8A" w14:textId="38E22029" w:rsidR="00C566F1" w:rsidRPr="00305213" w:rsidRDefault="00C566F1" w:rsidP="00C566F1">
      <w:pPr>
        <w:pStyle w:val="FootnoteText"/>
      </w:pPr>
      <w:r>
        <w:rPr>
          <w:rStyle w:val="FootnoteReference"/>
        </w:rPr>
        <w:footnoteRef/>
      </w:r>
      <w:r>
        <w:t xml:space="preserve"> Order No. 1920-A, </w:t>
      </w:r>
      <w:r w:rsidR="00AE4634" w:rsidRPr="00AD0002">
        <w:t>189</w:t>
      </w:r>
      <w:r w:rsidRPr="00F87F64">
        <w:t xml:space="preserve"> FERC ¶ 61,</w:t>
      </w:r>
      <w:r w:rsidR="00AE4634" w:rsidRPr="00AD0002">
        <w:t>126</w:t>
      </w:r>
      <w:r>
        <w:t xml:space="preserve"> at P 691 n.1747 (“</w:t>
      </w:r>
      <w:r w:rsidRPr="00865193">
        <w:t>We clarify that this consultation requirement neither requires transmission providers to submit, nor prohibits transmission providers from submitting, FPA section 205 filings to modify cost allocation methods accepted in compliance with Order No. 1920, and transmission providers therefore retain their currently effective FPA section 205 rights.</w:t>
      </w:r>
      <w:r>
        <w:t>”).</w:t>
      </w:r>
    </w:p>
  </w:footnote>
  <w:footnote w:id="397">
    <w:p w14:paraId="369E0C68" w14:textId="77777777" w:rsidR="00C566F1" w:rsidRDefault="00C566F1" w:rsidP="00C566F1">
      <w:pPr>
        <w:pStyle w:val="FootnoteText"/>
      </w:pPr>
      <w:r>
        <w:rPr>
          <w:rStyle w:val="FootnoteReference"/>
        </w:rPr>
        <w:footnoteRef/>
      </w:r>
      <w:r>
        <w:t xml:space="preserve"> The Commission also afforded “</w:t>
      </w:r>
      <w:r w:rsidRPr="00F26B83">
        <w:t>transmission providers flexibility as to the form and duration of their required consultation with Relevant State Entitie</w:t>
      </w:r>
      <w:r>
        <w:t xml:space="preserve">s.” </w:t>
      </w:r>
      <w:r>
        <w:rPr>
          <w:i/>
          <w:iCs/>
        </w:rPr>
        <w:t xml:space="preserve"> Id.</w:t>
      </w:r>
      <w:r>
        <w:t xml:space="preserve"> P 692. </w:t>
      </w:r>
    </w:p>
  </w:footnote>
  <w:footnote w:id="398">
    <w:p w14:paraId="684EB763" w14:textId="6595F24E" w:rsidR="00C566F1" w:rsidRDefault="00C566F1" w:rsidP="00C566F1">
      <w:pPr>
        <w:pStyle w:val="FootnoteText"/>
      </w:pPr>
      <w:r>
        <w:rPr>
          <w:rStyle w:val="FootnoteReference"/>
        </w:rPr>
        <w:footnoteRef/>
      </w:r>
      <w:r>
        <w:t xml:space="preserve"> </w:t>
      </w:r>
      <w:r w:rsidRPr="001A5FA9">
        <w:rPr>
          <w:i/>
          <w:iCs/>
        </w:rPr>
        <w:t>Emera M</w:t>
      </w:r>
      <w:r w:rsidR="00AA39C7">
        <w:rPr>
          <w:i/>
          <w:iCs/>
        </w:rPr>
        <w:t>aine</w:t>
      </w:r>
      <w:r w:rsidRPr="00A72680">
        <w:t xml:space="preserve">, 854 F.3d </w:t>
      </w:r>
      <w:r>
        <w:t>at</w:t>
      </w:r>
      <w:r w:rsidRPr="00A72680">
        <w:t xml:space="preserve"> 24</w:t>
      </w:r>
      <w:r>
        <w:t>.</w:t>
      </w:r>
    </w:p>
  </w:footnote>
  <w:footnote w:id="399">
    <w:p w14:paraId="2EDE475A" w14:textId="08922862" w:rsidR="00C566F1" w:rsidRPr="00A72680" w:rsidRDefault="00C566F1" w:rsidP="00C566F1">
      <w:pPr>
        <w:pStyle w:val="FootnoteText"/>
      </w:pPr>
      <w:r>
        <w:rPr>
          <w:rStyle w:val="FootnoteReference"/>
        </w:rPr>
        <w:footnoteRef/>
      </w:r>
      <w:r>
        <w:t xml:space="preserve"> </w:t>
      </w:r>
      <w:r>
        <w:rPr>
          <w:i/>
          <w:iCs/>
        </w:rPr>
        <w:t>See, e.g.</w:t>
      </w:r>
      <w:r>
        <w:t>,</w:t>
      </w:r>
      <w:r>
        <w:rPr>
          <w:i/>
          <w:iCs/>
        </w:rPr>
        <w:t xml:space="preserve"> id.</w:t>
      </w:r>
      <w:r>
        <w:t xml:space="preserve"> (contrasting FPA sections 205 and 206, noting that FPA </w:t>
      </w:r>
      <w:r w:rsidR="00AF40A2">
        <w:t xml:space="preserve">              </w:t>
      </w:r>
      <w:r>
        <w:t>section 205 is intended for the benefit of the utility, allowing it to propose to change its own rates, subject to the Commission</w:t>
      </w:r>
      <w:r w:rsidR="00E569E2">
        <w:t>’</w:t>
      </w:r>
      <w:r>
        <w:t xml:space="preserve">s passive and reactive oversight); </w:t>
      </w:r>
      <w:proofErr w:type="spellStart"/>
      <w:r w:rsidRPr="008C1D0D">
        <w:rPr>
          <w:i/>
          <w:iCs/>
        </w:rPr>
        <w:t>Vistra</w:t>
      </w:r>
      <w:proofErr w:type="spellEnd"/>
      <w:r w:rsidRPr="008C1D0D">
        <w:rPr>
          <w:i/>
          <w:iCs/>
        </w:rPr>
        <w:t xml:space="preserve"> Corp.</w:t>
      </w:r>
      <w:r w:rsidRPr="008C1D0D">
        <w:t xml:space="preserve">, </w:t>
      </w:r>
      <w:r w:rsidR="00AF40A2">
        <w:t xml:space="preserve">             </w:t>
      </w:r>
      <w:r w:rsidRPr="008C1D0D">
        <w:t xml:space="preserve">80 F.4th </w:t>
      </w:r>
      <w:r w:rsidR="00940F4D">
        <w:t>at</w:t>
      </w:r>
      <w:r w:rsidRPr="008C1D0D">
        <w:t xml:space="preserve"> 318</w:t>
      </w:r>
      <w:r>
        <w:t xml:space="preserve">; </w:t>
      </w:r>
      <w:r w:rsidRPr="00A36E03">
        <w:rPr>
          <w:i/>
          <w:iCs/>
        </w:rPr>
        <w:t>MISO Transmission Owners</w:t>
      </w:r>
      <w:r w:rsidRPr="00A36E03">
        <w:t xml:space="preserve">, 45 F.4th </w:t>
      </w:r>
      <w:r w:rsidR="00817251">
        <w:t>at</w:t>
      </w:r>
      <w:r w:rsidRPr="00A36E03">
        <w:t xml:space="preserve"> 253</w:t>
      </w:r>
      <w:r w:rsidR="00973F97">
        <w:t>.</w:t>
      </w:r>
    </w:p>
  </w:footnote>
  <w:footnote w:id="400">
    <w:p w14:paraId="2064213D" w14:textId="77777777" w:rsidR="00C566F1" w:rsidRDefault="00C566F1" w:rsidP="00C566F1">
      <w:pPr>
        <w:pStyle w:val="FootnoteText"/>
      </w:pPr>
      <w:r>
        <w:rPr>
          <w:rStyle w:val="FootnoteReference"/>
        </w:rPr>
        <w:footnoteRef/>
      </w:r>
      <w:r>
        <w:t xml:space="preserve"> 295 F.3d at 9-11.</w:t>
      </w:r>
    </w:p>
  </w:footnote>
  <w:footnote w:id="401">
    <w:p w14:paraId="3C5BD6F6" w14:textId="55F8A88C" w:rsidR="00C566F1" w:rsidRPr="005627EF" w:rsidRDefault="00C566F1" w:rsidP="00C566F1">
      <w:pPr>
        <w:pStyle w:val="FootnoteText"/>
      </w:pPr>
      <w:r>
        <w:rPr>
          <w:rStyle w:val="FootnoteReference"/>
        </w:rPr>
        <w:footnoteRef/>
      </w:r>
      <w:r>
        <w:t xml:space="preserve"> </w:t>
      </w:r>
      <w:r>
        <w:rPr>
          <w:i/>
          <w:iCs/>
        </w:rPr>
        <w:t xml:space="preserve">See </w:t>
      </w:r>
      <w:proofErr w:type="gramStart"/>
      <w:r w:rsidRPr="005A32AB">
        <w:rPr>
          <w:i/>
        </w:rPr>
        <w:t xml:space="preserve">supra </w:t>
      </w:r>
      <w:r w:rsidRPr="005A32AB">
        <w:t>P</w:t>
      </w:r>
      <w:proofErr w:type="gramEnd"/>
      <w:r w:rsidRPr="005A32AB">
        <w:t xml:space="preserve"> </w:t>
      </w:r>
      <w:r w:rsidR="005A32AB" w:rsidRPr="005A32AB">
        <w:t>55</w:t>
      </w:r>
      <w:r>
        <w:t xml:space="preserve"> (discussing the facts and holding of </w:t>
      </w:r>
      <w:r>
        <w:rPr>
          <w:i/>
          <w:iCs/>
        </w:rPr>
        <w:t>Atlantic City I</w:t>
      </w:r>
      <w:r>
        <w:t>).</w:t>
      </w:r>
    </w:p>
  </w:footnote>
  <w:footnote w:id="402">
    <w:p w14:paraId="2A525EE1" w14:textId="77777777" w:rsidR="00C566F1" w:rsidRDefault="00C566F1" w:rsidP="00C566F1">
      <w:pPr>
        <w:pStyle w:val="FootnoteText"/>
      </w:pPr>
      <w:r>
        <w:rPr>
          <w:rStyle w:val="FootnoteReference"/>
        </w:rPr>
        <w:footnoteRef/>
      </w:r>
      <w:r>
        <w:t xml:space="preserve"> 729 F.2d at 886-87.</w:t>
      </w:r>
    </w:p>
  </w:footnote>
  <w:footnote w:id="403">
    <w:p w14:paraId="350EAA77" w14:textId="3F66F307" w:rsidR="00C566F1" w:rsidRPr="009F0E22" w:rsidRDefault="00C566F1" w:rsidP="00AF40A2">
      <w:pPr>
        <w:pStyle w:val="FootnoteText"/>
        <w:widowControl/>
        <w:rPr>
          <w:b/>
        </w:rPr>
      </w:pPr>
      <w:r>
        <w:rPr>
          <w:rStyle w:val="FootnoteReference"/>
        </w:rPr>
        <w:footnoteRef/>
      </w:r>
      <w:r>
        <w:t xml:space="preserve"> </w:t>
      </w:r>
      <w:r>
        <w:rPr>
          <w:i/>
          <w:iCs/>
        </w:rPr>
        <w:t xml:space="preserve">See </w:t>
      </w:r>
      <w:proofErr w:type="gramStart"/>
      <w:r w:rsidRPr="002E02FF">
        <w:rPr>
          <w:i/>
        </w:rPr>
        <w:t xml:space="preserve">supra </w:t>
      </w:r>
      <w:r w:rsidRPr="002E02FF">
        <w:t>P</w:t>
      </w:r>
      <w:proofErr w:type="gramEnd"/>
      <w:r w:rsidRPr="002E02FF">
        <w:t xml:space="preserve"> </w:t>
      </w:r>
      <w:r w:rsidR="002E02FF" w:rsidRPr="002E02FF">
        <w:t>57</w:t>
      </w:r>
      <w:r>
        <w:t xml:space="preserve"> (discussing the facts and holding of </w:t>
      </w:r>
      <w:r w:rsidRPr="003E5EB5">
        <w:rPr>
          <w:i/>
          <w:iCs/>
        </w:rPr>
        <w:t>Massachusetts Department of Public Utilities</w:t>
      </w:r>
      <w:r>
        <w:t xml:space="preserve">).  For similar reasons, we are not persuaded by Indicated PJM TOs’ suggestion of a tension between this consultation requirement and the availability of a complaint under FPA section 206 as a mechanism </w:t>
      </w:r>
      <w:r w:rsidR="00E10141">
        <w:t xml:space="preserve">to </w:t>
      </w:r>
      <w:r>
        <w:t xml:space="preserve">compel a change to a transmission provider’s cost allocation method.  </w:t>
      </w:r>
      <w:r>
        <w:rPr>
          <w:i/>
          <w:iCs/>
        </w:rPr>
        <w:t xml:space="preserve">See </w:t>
      </w:r>
      <w:r>
        <w:t>Indicated PJM TOs Rehearing Request at 16-17.  The consultation requirement does not allow Relevant State Entities to compel a transmission provider to change or not change its cost allocation method.</w:t>
      </w:r>
    </w:p>
  </w:footnote>
  <w:footnote w:id="404">
    <w:p w14:paraId="0EAE7113" w14:textId="77777777" w:rsidR="00C566F1" w:rsidRDefault="00C566F1" w:rsidP="00C566F1">
      <w:pPr>
        <w:pStyle w:val="FootnoteText"/>
      </w:pPr>
      <w:r>
        <w:rPr>
          <w:rStyle w:val="FootnoteReference"/>
        </w:rPr>
        <w:footnoteRef/>
      </w:r>
      <w:r>
        <w:t xml:space="preserve"> </w:t>
      </w:r>
      <w:r>
        <w:rPr>
          <w:i/>
          <w:iCs/>
        </w:rPr>
        <w:t>S</w:t>
      </w:r>
      <w:r w:rsidRPr="006D0D4B">
        <w:rPr>
          <w:i/>
          <w:iCs/>
        </w:rPr>
        <w:t xml:space="preserve">ee </w:t>
      </w:r>
      <w:r w:rsidRPr="006D0D4B">
        <w:t>MISO TOs Rehearing Request at 30-31; SPP TOs Rehearing Request at 7; WIRES Rehearing Request at 6, 8.</w:t>
      </w:r>
    </w:p>
  </w:footnote>
  <w:footnote w:id="405">
    <w:p w14:paraId="2E873466" w14:textId="616AC003" w:rsidR="00F47D62" w:rsidRPr="000B4FE6" w:rsidRDefault="00F47D62">
      <w:pPr>
        <w:pStyle w:val="FootnoteText"/>
      </w:pPr>
      <w:r w:rsidRPr="000B4FE6">
        <w:rPr>
          <w:rStyle w:val="FootnoteReference"/>
        </w:rPr>
        <w:footnoteRef/>
      </w:r>
      <w:r w:rsidRPr="000B4FE6">
        <w:t xml:space="preserve"> </w:t>
      </w:r>
      <w:r w:rsidRPr="000B4FE6">
        <w:rPr>
          <w:i/>
          <w:iCs/>
        </w:rPr>
        <w:t>See City of Cleveland</w:t>
      </w:r>
      <w:r w:rsidRPr="000B4FE6">
        <w:t>, 525 F.2d at 846, 853-54.</w:t>
      </w:r>
    </w:p>
  </w:footnote>
  <w:footnote w:id="406">
    <w:p w14:paraId="7AF162BB" w14:textId="57787F39" w:rsidR="009D6A3F" w:rsidRPr="000B4FE6" w:rsidRDefault="009D6A3F">
      <w:pPr>
        <w:pStyle w:val="FootnoteText"/>
      </w:pPr>
      <w:r w:rsidRPr="000B4FE6">
        <w:rPr>
          <w:rStyle w:val="FootnoteReference"/>
        </w:rPr>
        <w:footnoteRef/>
      </w:r>
      <w:r w:rsidRPr="000B4FE6">
        <w:t xml:space="preserve"> </w:t>
      </w:r>
      <w:r w:rsidRPr="000B4FE6">
        <w:rPr>
          <w:i/>
        </w:rPr>
        <w:t xml:space="preserve">See id. </w:t>
      </w:r>
      <w:r w:rsidRPr="000B4FE6">
        <w:t xml:space="preserve">at </w:t>
      </w:r>
      <w:r w:rsidR="00654BB4" w:rsidRPr="000B4FE6">
        <w:t>855 (explaining that the petitioner</w:t>
      </w:r>
      <w:r w:rsidR="007C0088" w:rsidRPr="000B4FE6">
        <w:t>’</w:t>
      </w:r>
      <w:r w:rsidR="00654BB4" w:rsidRPr="000B4FE6">
        <w:t xml:space="preserve">s “thesis is that . . . it had reached agreement with CEI as to the rates to be charged for the proposed load transfer service, and that a </w:t>
      </w:r>
      <w:proofErr w:type="spellStart"/>
      <w:r w:rsidR="00654BB4" w:rsidRPr="000B4FE6">
        <w:t>racheting</w:t>
      </w:r>
      <w:proofErr w:type="spellEnd"/>
      <w:r w:rsidR="00654BB4" w:rsidRPr="000B4FE6">
        <w:t xml:space="preserve"> of contract demand was not a part of the bargain” such that a “rachet clause” included in the </w:t>
      </w:r>
      <w:r w:rsidR="00DB65BF" w:rsidRPr="000B4FE6">
        <w:t>public utility’s proposed rate schedule had been impermissibly included</w:t>
      </w:r>
      <w:proofErr w:type="gramStart"/>
      <w:r w:rsidR="00DB65BF" w:rsidRPr="000B4FE6">
        <w:t>)</w:t>
      </w:r>
      <w:r w:rsidR="00B86246" w:rsidRPr="000B4FE6">
        <w:t>;</w:t>
      </w:r>
      <w:proofErr w:type="gramEnd"/>
      <w:r w:rsidR="00B86246" w:rsidRPr="000B4FE6">
        <w:t xml:space="preserve"> </w:t>
      </w:r>
      <w:r w:rsidR="00B86246" w:rsidRPr="000B4FE6">
        <w:rPr>
          <w:i/>
          <w:iCs/>
        </w:rPr>
        <w:t>id.</w:t>
      </w:r>
      <w:r w:rsidR="00B86246" w:rsidRPr="000B4FE6">
        <w:t xml:space="preserve"> at 855-56 (“</w:t>
      </w:r>
      <w:r w:rsidR="00361B9E" w:rsidRPr="000B4FE6">
        <w:t>[A]</w:t>
      </w:r>
      <w:r w:rsidR="00B86246" w:rsidRPr="000B4FE6">
        <w:t xml:space="preserve"> utility is no more at liberty to alter an agreed rate as yet unfiled than it is to depart from one that has been filed</w:t>
      </w:r>
      <w:r w:rsidR="00361B9E" w:rsidRPr="000B4FE6">
        <w:t>.”).</w:t>
      </w:r>
    </w:p>
  </w:footnote>
  <w:footnote w:id="407">
    <w:p w14:paraId="55349136" w14:textId="06A303F6" w:rsidR="00C566F1" w:rsidRPr="003306EA" w:rsidRDefault="00C566F1" w:rsidP="00AF40A2">
      <w:pPr>
        <w:pStyle w:val="FootnoteText"/>
        <w:widowControl/>
      </w:pPr>
      <w:r w:rsidRPr="000B4FE6">
        <w:rPr>
          <w:rStyle w:val="FootnoteReference"/>
        </w:rPr>
        <w:footnoteRef/>
      </w:r>
      <w:r w:rsidRPr="000B4FE6">
        <w:t xml:space="preserve"> </w:t>
      </w:r>
      <w:r w:rsidR="00F47D62" w:rsidRPr="000B4FE6">
        <w:rPr>
          <w:i/>
          <w:iCs/>
        </w:rPr>
        <w:t>Id.</w:t>
      </w:r>
      <w:r w:rsidRPr="002076DE">
        <w:rPr>
          <w:i/>
        </w:rPr>
        <w:t xml:space="preserve"> </w:t>
      </w:r>
      <w:r w:rsidRPr="000B4FE6">
        <w:t>at</w:t>
      </w:r>
      <w:r w:rsidRPr="006D0D4B">
        <w:t xml:space="preserve"> 855</w:t>
      </w:r>
      <w:r>
        <w:t xml:space="preserve">; </w:t>
      </w:r>
      <w:r>
        <w:rPr>
          <w:i/>
          <w:iCs/>
        </w:rPr>
        <w:t xml:space="preserve">see also </w:t>
      </w:r>
      <w:r w:rsidRPr="002A64E2">
        <w:rPr>
          <w:i/>
          <w:iCs/>
        </w:rPr>
        <w:t>United Gas Pipe Line Co.</w:t>
      </w:r>
      <w:r w:rsidRPr="003306EA">
        <w:t xml:space="preserve">, 350 U.S. </w:t>
      </w:r>
      <w:r w:rsidR="00CB5ED1">
        <w:t>at</w:t>
      </w:r>
      <w:r w:rsidRPr="003306EA">
        <w:t xml:space="preserve"> 343</w:t>
      </w:r>
      <w:r>
        <w:t xml:space="preserve"> (“</w:t>
      </w:r>
      <w:r w:rsidRPr="00FD51D3">
        <w:t xml:space="preserve">The obvious implication is that, except as specifically limited by the Act, the rate-making powers of natural gas companies were to be no different from those they would possess in the absence of the Act: to establish ex </w:t>
      </w:r>
      <w:proofErr w:type="spellStart"/>
      <w:r w:rsidRPr="00FD51D3">
        <w:t>parte</w:t>
      </w:r>
      <w:proofErr w:type="spellEnd"/>
      <w:r w:rsidRPr="00FD51D3">
        <w:t>, and change at will, the rates offered to prospective customers</w:t>
      </w:r>
      <w:r>
        <w:t> . . . .”).</w:t>
      </w:r>
    </w:p>
  </w:footnote>
  <w:footnote w:id="408">
    <w:p w14:paraId="71C180F3" w14:textId="69956829" w:rsidR="00C566F1" w:rsidRPr="00332C96" w:rsidRDefault="00C566F1" w:rsidP="00C566F1">
      <w:pPr>
        <w:pStyle w:val="FootnoteText"/>
      </w:pPr>
      <w:r>
        <w:rPr>
          <w:rStyle w:val="FootnoteReference"/>
        </w:rPr>
        <w:footnoteRef/>
      </w:r>
      <w:r>
        <w:t xml:space="preserve"> </w:t>
      </w:r>
      <w:r w:rsidRPr="00E4186F">
        <w:rPr>
          <w:i/>
        </w:rPr>
        <w:t xml:space="preserve">See </w:t>
      </w:r>
      <w:r w:rsidR="00120566" w:rsidRPr="00E4186F">
        <w:rPr>
          <w:i/>
        </w:rPr>
        <w:t>City of Cleveland</w:t>
      </w:r>
      <w:r w:rsidR="00120566" w:rsidRPr="00E4186F">
        <w:rPr>
          <w:iCs/>
        </w:rPr>
        <w:t>,</w:t>
      </w:r>
      <w:r w:rsidRPr="00E4186F">
        <w:t xml:space="preserve"> 525 F.2d at </w:t>
      </w:r>
      <w:r w:rsidR="000A2098" w:rsidRPr="00E4186F">
        <w:t>851-57</w:t>
      </w:r>
      <w:r w:rsidRPr="00E4186F">
        <w:t>.</w:t>
      </w:r>
    </w:p>
  </w:footnote>
  <w:footnote w:id="409">
    <w:p w14:paraId="277CDC65" w14:textId="135FF5B8" w:rsidR="00C566F1" w:rsidRPr="00A9701B" w:rsidRDefault="00C566F1" w:rsidP="00C566F1">
      <w:pPr>
        <w:pStyle w:val="FootnoteText"/>
        <w:rPr>
          <w:i/>
          <w:iCs/>
        </w:rPr>
      </w:pPr>
      <w:r>
        <w:rPr>
          <w:rStyle w:val="FootnoteReference"/>
        </w:rPr>
        <w:footnoteRef/>
      </w:r>
      <w:r>
        <w:t xml:space="preserve"> </w:t>
      </w:r>
      <w:r>
        <w:rPr>
          <w:i/>
          <w:iCs/>
        </w:rPr>
        <w:t>See EPSA</w:t>
      </w:r>
      <w:r>
        <w:t>,</w:t>
      </w:r>
      <w:r w:rsidRPr="00261A58">
        <w:rPr>
          <w:rFonts w:ascii="TimesNewRomanPSMT" w:hAnsi="TimesNewRomanPSMT" w:cs="TimesNewRomanPSMT"/>
          <w:sz w:val="24"/>
          <w:szCs w:val="24"/>
        </w:rPr>
        <w:t xml:space="preserve"> </w:t>
      </w:r>
      <w:r w:rsidRPr="00261A58">
        <w:t xml:space="preserve">577 U.S. </w:t>
      </w:r>
      <w:r>
        <w:t xml:space="preserve">at 288; </w:t>
      </w:r>
      <w:r w:rsidRPr="00766D6D">
        <w:rPr>
          <w:i/>
          <w:iCs/>
        </w:rPr>
        <w:t>South Carolina</w:t>
      </w:r>
      <w:r w:rsidRPr="003C1D35">
        <w:t>, 762 F.3d</w:t>
      </w:r>
      <w:r>
        <w:t xml:space="preserve"> at</w:t>
      </w:r>
      <w:r w:rsidRPr="003C1D35">
        <w:t xml:space="preserve"> </w:t>
      </w:r>
      <w:r>
        <w:t xml:space="preserve">48; </w:t>
      </w:r>
      <w:r>
        <w:rPr>
          <w:i/>
          <w:iCs/>
        </w:rPr>
        <w:t xml:space="preserve">cf. </w:t>
      </w:r>
      <w:proofErr w:type="gramStart"/>
      <w:r>
        <w:rPr>
          <w:i/>
          <w:iCs/>
        </w:rPr>
        <w:t>CAISO</w:t>
      </w:r>
      <w:r w:rsidRPr="002D37E5">
        <w:t xml:space="preserve">, </w:t>
      </w:r>
      <w:r w:rsidR="00AF40A2">
        <w:t xml:space="preserve">  </w:t>
      </w:r>
      <w:proofErr w:type="gramEnd"/>
      <w:r w:rsidR="00AF40A2">
        <w:t xml:space="preserve">      </w:t>
      </w:r>
      <w:r w:rsidRPr="002D37E5">
        <w:t xml:space="preserve">372 F.3d </w:t>
      </w:r>
      <w:r>
        <w:t>at</w:t>
      </w:r>
      <w:r w:rsidRPr="002D37E5">
        <w:t xml:space="preserve"> 403</w:t>
      </w:r>
      <w:r>
        <w:t xml:space="preserve"> (overturning Commission order, finding that it did not meet the “directly affects” test).</w:t>
      </w:r>
    </w:p>
  </w:footnote>
  <w:footnote w:id="410">
    <w:p w14:paraId="7C1FDABE" w14:textId="77777777" w:rsidR="00C566F1" w:rsidRPr="00454923" w:rsidRDefault="00C566F1" w:rsidP="00C566F1">
      <w:pPr>
        <w:pStyle w:val="FootnoteText"/>
      </w:pPr>
      <w:r>
        <w:rPr>
          <w:rStyle w:val="FootnoteReference"/>
        </w:rPr>
        <w:footnoteRef/>
      </w:r>
      <w:r>
        <w:t xml:space="preserve"> </w:t>
      </w:r>
      <w:r>
        <w:rPr>
          <w:i/>
          <w:iCs/>
        </w:rPr>
        <w:t xml:space="preserve">City of </w:t>
      </w:r>
      <w:r w:rsidRPr="00904579">
        <w:rPr>
          <w:i/>
          <w:iCs/>
        </w:rPr>
        <w:t>Cleveland</w:t>
      </w:r>
      <w:r>
        <w:t xml:space="preserve">, </w:t>
      </w:r>
      <w:r w:rsidRPr="00904579">
        <w:t>525</w:t>
      </w:r>
      <w:r w:rsidRPr="006D0D4B">
        <w:t xml:space="preserve"> F.2d </w:t>
      </w:r>
      <w:r>
        <w:t>at</w:t>
      </w:r>
      <w:r w:rsidRPr="006D0D4B">
        <w:t xml:space="preserve"> 855</w:t>
      </w:r>
      <w:r>
        <w:t xml:space="preserve"> (emphasis added).</w:t>
      </w:r>
    </w:p>
  </w:footnote>
  <w:footnote w:id="411">
    <w:p w14:paraId="6D1792DF" w14:textId="77777777" w:rsidR="00C566F1" w:rsidRDefault="00C566F1" w:rsidP="00C566F1">
      <w:pPr>
        <w:pStyle w:val="FootnoteText"/>
      </w:pPr>
      <w:r>
        <w:rPr>
          <w:rStyle w:val="FootnoteReference"/>
        </w:rPr>
        <w:footnoteRef/>
      </w:r>
      <w:r>
        <w:t xml:space="preserve"> </w:t>
      </w:r>
      <w:r>
        <w:rPr>
          <w:i/>
          <w:iCs/>
        </w:rPr>
        <w:t xml:space="preserve">See </w:t>
      </w:r>
      <w:r>
        <w:t>16 U.S.C. 824d(c) (providing that “e</w:t>
      </w:r>
      <w:r w:rsidRPr="00B06259">
        <w:t>very </w:t>
      </w:r>
      <w:r w:rsidRPr="0082055C">
        <w:t>public utility</w:t>
      </w:r>
      <w:r w:rsidRPr="00B06259">
        <w:t xml:space="preserve"> shall </w:t>
      </w:r>
      <w:r w:rsidRPr="00475CE0">
        <w:t>file</w:t>
      </w:r>
      <w:r w:rsidRPr="00B06259">
        <w:t xml:space="preserve"> with the Commission </w:t>
      </w:r>
      <w:r>
        <w:t>. . . schedules showing</w:t>
      </w:r>
      <w:r w:rsidRPr="00B06259">
        <w:t xml:space="preserve"> all rates and charges for any transmission or sale subject to the jurisdiction of the Commission, and the classifications, practices, and regulations affecting such rates and charges</w:t>
      </w:r>
      <w:r>
        <w:t>”).</w:t>
      </w:r>
    </w:p>
  </w:footnote>
  <w:footnote w:id="412">
    <w:p w14:paraId="3C6A6BEC" w14:textId="23C9EAB4" w:rsidR="00C566F1" w:rsidRPr="002C6581" w:rsidRDefault="00C566F1" w:rsidP="00C566F1">
      <w:pPr>
        <w:pStyle w:val="FootnoteText"/>
      </w:pPr>
      <w:r>
        <w:rPr>
          <w:rStyle w:val="FootnoteReference"/>
        </w:rPr>
        <w:footnoteRef/>
      </w:r>
      <w:r>
        <w:t xml:space="preserve"> </w:t>
      </w:r>
      <w:r>
        <w:rPr>
          <w:i/>
          <w:iCs/>
        </w:rPr>
        <w:t xml:space="preserve">See </w:t>
      </w:r>
      <w:proofErr w:type="gramStart"/>
      <w:r>
        <w:rPr>
          <w:i/>
          <w:iCs/>
        </w:rPr>
        <w:t xml:space="preserve">supra </w:t>
      </w:r>
      <w:r w:rsidRPr="002076DE">
        <w:t>P</w:t>
      </w:r>
      <w:proofErr w:type="gramEnd"/>
      <w:r w:rsidRPr="002076DE">
        <w:t xml:space="preserve"> </w:t>
      </w:r>
      <w:r w:rsidR="00CF6C1F">
        <w:t>109</w:t>
      </w:r>
      <w:r w:rsidRPr="00AC25CC">
        <w:t>.</w:t>
      </w:r>
    </w:p>
  </w:footnote>
  <w:footnote w:id="413">
    <w:p w14:paraId="7AE4C57C" w14:textId="66D0EDD9" w:rsidR="00C566F1" w:rsidRPr="000C55D9" w:rsidRDefault="00C566F1" w:rsidP="00C566F1">
      <w:pPr>
        <w:pStyle w:val="FootnoteText"/>
      </w:pPr>
      <w:r>
        <w:rPr>
          <w:rStyle w:val="FootnoteReference"/>
        </w:rPr>
        <w:footnoteRef/>
      </w:r>
      <w:r>
        <w:t xml:space="preserve"> For instance, where the Commission imposes a requirement on a public utility to consider a certain issue (e.g., a category of factors affecting Long-Term Transmission Needs) in support of ensuring just and reasonable rates, doing so could delay the utility’s ability to make an FPA section 205 filing as compared to a </w:t>
      </w:r>
      <w:r w:rsidR="004F3556">
        <w:t xml:space="preserve">situation </w:t>
      </w:r>
      <w:r>
        <w:t xml:space="preserve">without that </w:t>
      </w:r>
      <w:r w:rsidRPr="000C55D9">
        <w:t xml:space="preserve">requirement.  </w:t>
      </w:r>
    </w:p>
  </w:footnote>
  <w:footnote w:id="414">
    <w:p w14:paraId="34BB76C7" w14:textId="505D2C6C" w:rsidR="00840BBB" w:rsidRDefault="00840BBB">
      <w:pPr>
        <w:pStyle w:val="FootnoteText"/>
      </w:pPr>
      <w:r w:rsidRPr="000C55D9">
        <w:rPr>
          <w:rStyle w:val="FootnoteReference"/>
        </w:rPr>
        <w:footnoteRef/>
      </w:r>
      <w:r w:rsidRPr="000C55D9">
        <w:t xml:space="preserve"> </w:t>
      </w:r>
      <w:r w:rsidR="00553C38" w:rsidRPr="000C55D9">
        <w:rPr>
          <w:i/>
        </w:rPr>
        <w:t>See, e.g.</w:t>
      </w:r>
      <w:r w:rsidR="00553C38" w:rsidRPr="000C55D9">
        <w:t xml:space="preserve">, </w:t>
      </w:r>
      <w:r w:rsidR="006F4041" w:rsidRPr="000C55D9">
        <w:t xml:space="preserve">PJM </w:t>
      </w:r>
      <w:r w:rsidR="00581EF2" w:rsidRPr="000C55D9">
        <w:t>Interconnection, L.L.C., Intra-PJM Tariffs, OA</w:t>
      </w:r>
      <w:r w:rsidR="006F4041" w:rsidRPr="000C55D9">
        <w:t>, § 18.6</w:t>
      </w:r>
      <w:r w:rsidR="003E67D4" w:rsidRPr="000C55D9">
        <w:t xml:space="preserve">(a) (requiring the support of PJM stakeholders for </w:t>
      </w:r>
      <w:r w:rsidR="000C2A25" w:rsidRPr="000C55D9">
        <w:t xml:space="preserve">certain </w:t>
      </w:r>
      <w:r w:rsidR="00B915BF" w:rsidRPr="000C55D9">
        <w:t xml:space="preserve">FPA </w:t>
      </w:r>
      <w:r w:rsidR="000C2A25" w:rsidRPr="000C55D9">
        <w:t xml:space="preserve">section 205 filings </w:t>
      </w:r>
      <w:r w:rsidR="003E67D4" w:rsidRPr="000C55D9">
        <w:t>to amend PJM’s Operating Agreement).</w:t>
      </w:r>
    </w:p>
  </w:footnote>
  <w:footnote w:id="415">
    <w:p w14:paraId="35790E6C" w14:textId="77777777" w:rsidR="00C566F1" w:rsidRPr="00171049" w:rsidRDefault="00C566F1" w:rsidP="00C566F1">
      <w:pPr>
        <w:pStyle w:val="FootnoteText"/>
      </w:pPr>
      <w:r>
        <w:rPr>
          <w:rStyle w:val="FootnoteReference"/>
        </w:rPr>
        <w:footnoteRef/>
      </w:r>
      <w:r>
        <w:t xml:space="preserve"> 295 F.3d at 9; </w:t>
      </w:r>
      <w:r>
        <w:rPr>
          <w:i/>
          <w:iCs/>
        </w:rPr>
        <w:t xml:space="preserve">see </w:t>
      </w:r>
      <w:r>
        <w:t>MISO TOs Rehearing Request at 28.</w:t>
      </w:r>
    </w:p>
  </w:footnote>
  <w:footnote w:id="416">
    <w:p w14:paraId="002B2020" w14:textId="143DADE5" w:rsidR="00C566F1" w:rsidRDefault="00C566F1" w:rsidP="00C566F1">
      <w:pPr>
        <w:pStyle w:val="FootnoteText"/>
      </w:pPr>
      <w:r>
        <w:rPr>
          <w:rStyle w:val="FootnoteReference"/>
        </w:rPr>
        <w:footnoteRef/>
      </w:r>
      <w:r>
        <w:t xml:space="preserve"> </w:t>
      </w:r>
      <w:r>
        <w:rPr>
          <w:i/>
          <w:iCs/>
        </w:rPr>
        <w:t xml:space="preserve">See </w:t>
      </w:r>
      <w:r>
        <w:t xml:space="preserve">295 F.3d at 9-11; </w:t>
      </w:r>
      <w:r>
        <w:rPr>
          <w:i/>
          <w:iCs/>
        </w:rPr>
        <w:t xml:space="preserve">see </w:t>
      </w:r>
      <w:proofErr w:type="gramStart"/>
      <w:r>
        <w:rPr>
          <w:i/>
          <w:iCs/>
        </w:rPr>
        <w:t>supra</w:t>
      </w:r>
      <w:r>
        <w:t xml:space="preserve"> </w:t>
      </w:r>
      <w:r w:rsidR="000B57EF" w:rsidRPr="000B57EF">
        <w:t>P</w:t>
      </w:r>
      <w:proofErr w:type="gramEnd"/>
      <w:r w:rsidR="000B57EF" w:rsidRPr="000B57EF">
        <w:t xml:space="preserve"> 55</w:t>
      </w:r>
      <w:r>
        <w:t xml:space="preserve"> (discussing the holding of </w:t>
      </w:r>
      <w:r>
        <w:rPr>
          <w:i/>
          <w:iCs/>
        </w:rPr>
        <w:t>Atlantic City I</w:t>
      </w:r>
      <w:r>
        <w:t>).</w:t>
      </w:r>
    </w:p>
  </w:footnote>
  <w:footnote w:id="417">
    <w:p w14:paraId="117C2BC4" w14:textId="7988EAF0" w:rsidR="00C566F1" w:rsidRPr="00BD20DC" w:rsidRDefault="00C566F1" w:rsidP="00C566F1">
      <w:pPr>
        <w:pStyle w:val="FootnoteText"/>
      </w:pPr>
      <w:r>
        <w:rPr>
          <w:rStyle w:val="FootnoteReference"/>
        </w:rPr>
        <w:footnoteRef/>
      </w:r>
      <w:r>
        <w:t xml:space="preserve"> </w:t>
      </w:r>
      <w:r>
        <w:rPr>
          <w:i/>
          <w:iCs/>
        </w:rPr>
        <w:t xml:space="preserve">See </w:t>
      </w:r>
      <w:r>
        <w:t xml:space="preserve">SPP TOs Rehearing Request at 11 (citing </w:t>
      </w:r>
      <w:r w:rsidRPr="007B11F6">
        <w:rPr>
          <w:i/>
          <w:iCs/>
        </w:rPr>
        <w:t>NRG Power Mktg</w:t>
      </w:r>
      <w:r w:rsidRPr="007B11F6">
        <w:t xml:space="preserve">., 862 F.3d </w:t>
      </w:r>
      <w:r w:rsidR="00AF40A2">
        <w:t xml:space="preserve">              </w:t>
      </w:r>
      <w:r w:rsidRPr="007B11F6">
        <w:t>at 115</w:t>
      </w:r>
      <w:r>
        <w:t xml:space="preserve">; </w:t>
      </w:r>
      <w:r w:rsidRPr="007B11F6">
        <w:rPr>
          <w:i/>
          <w:iCs/>
        </w:rPr>
        <w:t>City of Winnfield</w:t>
      </w:r>
      <w:r w:rsidRPr="007B11F6">
        <w:t>, 774 F.2d at</w:t>
      </w:r>
      <w:r>
        <w:t xml:space="preserve"> </w:t>
      </w:r>
      <w:r w:rsidRPr="007B11F6">
        <w:t xml:space="preserve">876; </w:t>
      </w:r>
      <w:r w:rsidRPr="007B11F6">
        <w:rPr>
          <w:i/>
          <w:iCs/>
        </w:rPr>
        <w:t xml:space="preserve">Western </w:t>
      </w:r>
      <w:r>
        <w:rPr>
          <w:i/>
          <w:iCs/>
        </w:rPr>
        <w:t>Resources</w:t>
      </w:r>
      <w:r w:rsidRPr="007B11F6">
        <w:t xml:space="preserve">, 9 F.3d at 1578; </w:t>
      </w:r>
      <w:r w:rsidRPr="007B11F6">
        <w:rPr>
          <w:i/>
          <w:iCs/>
        </w:rPr>
        <w:t xml:space="preserve">Midwest </w:t>
      </w:r>
      <w:proofErr w:type="spellStart"/>
      <w:r w:rsidRPr="007B11F6">
        <w:rPr>
          <w:i/>
          <w:iCs/>
        </w:rPr>
        <w:t>Indep</w:t>
      </w:r>
      <w:proofErr w:type="spellEnd"/>
      <w:r w:rsidRPr="007B11F6">
        <w:rPr>
          <w:i/>
          <w:iCs/>
        </w:rPr>
        <w:t>. Transmission Sys. Operator, Inc</w:t>
      </w:r>
      <w:r w:rsidRPr="007B11F6">
        <w:t>., 137 FERC</w:t>
      </w:r>
      <w:r>
        <w:t xml:space="preserve"> </w:t>
      </w:r>
      <w:r w:rsidRPr="007B11F6">
        <w:t>¶ 61,074 at P 187</w:t>
      </w:r>
      <w:r w:rsidR="00370A95">
        <w:t>)</w:t>
      </w:r>
      <w:r w:rsidRPr="00DB0275">
        <w:t>.</w:t>
      </w:r>
      <w:r>
        <w:t xml:space="preserve">  </w:t>
      </w:r>
    </w:p>
  </w:footnote>
  <w:footnote w:id="418">
    <w:p w14:paraId="63A7C443" w14:textId="71BDA1C7" w:rsidR="00C566F1" w:rsidRPr="00B435A9" w:rsidRDefault="00C566F1" w:rsidP="00C566F1">
      <w:pPr>
        <w:pStyle w:val="FootnoteText"/>
      </w:pPr>
      <w:r>
        <w:rPr>
          <w:rStyle w:val="FootnoteReference"/>
        </w:rPr>
        <w:footnoteRef/>
      </w:r>
      <w:r>
        <w:t xml:space="preserve"> </w:t>
      </w:r>
      <w:r>
        <w:rPr>
          <w:i/>
          <w:iCs/>
        </w:rPr>
        <w:t xml:space="preserve">See </w:t>
      </w:r>
      <w:r w:rsidRPr="007B11F6">
        <w:rPr>
          <w:i/>
          <w:iCs/>
        </w:rPr>
        <w:t>NRG Power Mktg</w:t>
      </w:r>
      <w:r w:rsidRPr="009F0E22">
        <w:rPr>
          <w:i/>
          <w:iCs/>
        </w:rPr>
        <w:t>.</w:t>
      </w:r>
      <w:r w:rsidRPr="007B11F6">
        <w:t>, 862 F.3d at 115</w:t>
      </w:r>
      <w:r>
        <w:t xml:space="preserve">; </w:t>
      </w:r>
      <w:r w:rsidRPr="007B11F6">
        <w:rPr>
          <w:i/>
          <w:iCs/>
        </w:rPr>
        <w:t>City of Winnfield</w:t>
      </w:r>
      <w:r w:rsidRPr="007B11F6">
        <w:t>, 774 F.2d at</w:t>
      </w:r>
      <w:r>
        <w:t xml:space="preserve"> </w:t>
      </w:r>
      <w:r w:rsidRPr="007B11F6">
        <w:t xml:space="preserve">876; </w:t>
      </w:r>
      <w:r w:rsidRPr="007B11F6">
        <w:rPr>
          <w:i/>
          <w:iCs/>
        </w:rPr>
        <w:t xml:space="preserve">Western </w:t>
      </w:r>
      <w:r>
        <w:rPr>
          <w:i/>
          <w:iCs/>
        </w:rPr>
        <w:t>Resources</w:t>
      </w:r>
      <w:r w:rsidRPr="007B11F6">
        <w:t>, 9 F.3d at 1578</w:t>
      </w:r>
      <w:r>
        <w:t>.  That these cases discuss notice requirements under FPA section 205 does not support SPP TOs’ suggestion that a Commission regulation is invalid as abridging FPA section 205 filing rights if it may, as a practical matter, require greater planning on a public utilities’ part to make their filing at a desired time.</w:t>
      </w:r>
    </w:p>
  </w:footnote>
  <w:footnote w:id="419">
    <w:p w14:paraId="3621202E" w14:textId="2716EBF0" w:rsidR="00C566F1" w:rsidRDefault="00C566F1" w:rsidP="00C566F1">
      <w:pPr>
        <w:pStyle w:val="FootnoteText"/>
      </w:pPr>
      <w:r>
        <w:rPr>
          <w:rStyle w:val="FootnoteReference"/>
        </w:rPr>
        <w:footnoteRef/>
      </w:r>
      <w:r>
        <w:t xml:space="preserve"> </w:t>
      </w:r>
      <w:r w:rsidRPr="007B11F6">
        <w:rPr>
          <w:i/>
          <w:iCs/>
        </w:rPr>
        <w:t xml:space="preserve">Midwest </w:t>
      </w:r>
      <w:proofErr w:type="spellStart"/>
      <w:r w:rsidRPr="007B11F6">
        <w:rPr>
          <w:i/>
          <w:iCs/>
        </w:rPr>
        <w:t>Indep</w:t>
      </w:r>
      <w:proofErr w:type="spellEnd"/>
      <w:r w:rsidRPr="007B11F6">
        <w:rPr>
          <w:i/>
          <w:iCs/>
        </w:rPr>
        <w:t>. Transmission Sys. Operator, Inc</w:t>
      </w:r>
      <w:r w:rsidRPr="007B11F6">
        <w:t>., 137 FERC</w:t>
      </w:r>
      <w:r>
        <w:t xml:space="preserve"> </w:t>
      </w:r>
      <w:r w:rsidRPr="007B11F6">
        <w:t>¶ 61,074 at P</w:t>
      </w:r>
      <w:r>
        <w:t> </w:t>
      </w:r>
      <w:r w:rsidRPr="007B11F6">
        <w:t>187</w:t>
      </w:r>
      <w:r>
        <w:t>.</w:t>
      </w:r>
    </w:p>
  </w:footnote>
  <w:footnote w:id="420">
    <w:p w14:paraId="2FDC4899" w14:textId="77777777" w:rsidR="00C566F1" w:rsidRPr="001B51CD" w:rsidRDefault="00C566F1" w:rsidP="00C566F1">
      <w:pPr>
        <w:pStyle w:val="FootnoteText"/>
      </w:pPr>
      <w:r>
        <w:rPr>
          <w:rStyle w:val="FootnoteReference"/>
        </w:rPr>
        <w:footnoteRef/>
      </w:r>
      <w:r>
        <w:t xml:space="preserve"> </w:t>
      </w:r>
      <w:r>
        <w:rPr>
          <w:i/>
          <w:iCs/>
        </w:rPr>
        <w:t xml:space="preserve">See </w:t>
      </w:r>
      <w:r w:rsidRPr="003E1373">
        <w:t>MISO TOs Rehearing Request at 5; Indicated PJM TOs Rehearing Request at 7, 15-17; SPP TOs Rehearing Request at 2, 7, 10-11.</w:t>
      </w:r>
    </w:p>
  </w:footnote>
  <w:footnote w:id="421">
    <w:p w14:paraId="30D9DECA" w14:textId="77777777" w:rsidR="00C566F1" w:rsidRPr="00996DE3" w:rsidRDefault="00C566F1" w:rsidP="00C566F1">
      <w:pPr>
        <w:pStyle w:val="FootnoteText"/>
      </w:pPr>
      <w:r>
        <w:rPr>
          <w:rStyle w:val="FootnoteReference"/>
        </w:rPr>
        <w:footnoteRef/>
      </w:r>
      <w:r>
        <w:t xml:space="preserve"> </w:t>
      </w:r>
      <w:r>
        <w:rPr>
          <w:i/>
          <w:iCs/>
        </w:rPr>
        <w:t xml:space="preserve">See </w:t>
      </w:r>
      <w:r w:rsidRPr="002A721A">
        <w:t>Indicated PJM TOs Rehearing Request at 16</w:t>
      </w:r>
      <w:r>
        <w:t xml:space="preserve"> (arguing that inherent in a public utility’s right to change its own rates under FPA section 205 is the right not to seek to change its rates under that provision); </w:t>
      </w:r>
      <w:r w:rsidRPr="00414A14">
        <w:t>SPP TOs Rehearing Request at 1</w:t>
      </w:r>
      <w:r>
        <w:t xml:space="preserve">1 (arguing that </w:t>
      </w:r>
      <w:r w:rsidRPr="00996DE3">
        <w:t>the filing decision is wholly voluntary under FPA section 205).</w:t>
      </w:r>
    </w:p>
  </w:footnote>
  <w:footnote w:id="422">
    <w:p w14:paraId="6FED4816" w14:textId="6D4D40D4" w:rsidR="00CD2666" w:rsidRPr="00CF09BA" w:rsidRDefault="00CD2666" w:rsidP="00D87298">
      <w:pPr>
        <w:pStyle w:val="FootnoteText"/>
      </w:pPr>
      <w:r w:rsidRPr="00996DE3">
        <w:rPr>
          <w:rStyle w:val="FootnoteReference"/>
        </w:rPr>
        <w:footnoteRef/>
      </w:r>
      <w:r w:rsidRPr="00996DE3">
        <w:t xml:space="preserve"> </w:t>
      </w:r>
      <w:r w:rsidR="00442373" w:rsidRPr="00996DE3">
        <w:rPr>
          <w:i/>
        </w:rPr>
        <w:t>See, e.g.</w:t>
      </w:r>
      <w:r w:rsidR="00442373" w:rsidRPr="00996DE3">
        <w:t>, Order No. 1920,</w:t>
      </w:r>
      <w:r w:rsidR="00707B25" w:rsidRPr="00996DE3">
        <w:t xml:space="preserve"> 187 FERC ¶ 61,068</w:t>
      </w:r>
      <w:r w:rsidR="00021ECE" w:rsidRPr="00996DE3">
        <w:t xml:space="preserve"> at P</w:t>
      </w:r>
      <w:r w:rsidR="00812118" w:rsidRPr="00996DE3">
        <w:t xml:space="preserve"> 1753 (</w:t>
      </w:r>
      <w:r w:rsidR="00D87298" w:rsidRPr="00996DE3">
        <w:t xml:space="preserve">requiring transmission providers to </w:t>
      </w:r>
      <w:r w:rsidR="002C0220" w:rsidRPr="00996DE3">
        <w:t xml:space="preserve">publicly </w:t>
      </w:r>
      <w:r w:rsidR="00D87298" w:rsidRPr="00996DE3">
        <w:t>document certain information, including Long-Term Transmission Needs discussed in interregional transmission coordination meetings</w:t>
      </w:r>
      <w:r w:rsidR="00013DF5" w:rsidRPr="00996DE3">
        <w:t xml:space="preserve">); </w:t>
      </w:r>
      <w:r w:rsidR="009D4877" w:rsidRPr="00996DE3">
        <w:rPr>
          <w:i/>
        </w:rPr>
        <w:t xml:space="preserve">id. </w:t>
      </w:r>
      <w:r w:rsidR="009D4877" w:rsidRPr="00996DE3">
        <w:t>P</w:t>
      </w:r>
      <w:r w:rsidR="00364BAA" w:rsidRPr="00996DE3">
        <w:t>P 162</w:t>
      </w:r>
      <w:r w:rsidR="003C04DD" w:rsidRPr="00996DE3">
        <w:t>5</w:t>
      </w:r>
      <w:r w:rsidR="00364BAA" w:rsidRPr="00996DE3">
        <w:t>-1630</w:t>
      </w:r>
      <w:r w:rsidR="005B1B9E" w:rsidRPr="00996DE3">
        <w:t xml:space="preserve"> (establishing documentation and transparency requirements for local transmission planning</w:t>
      </w:r>
      <w:r w:rsidR="00300914" w:rsidRPr="00996DE3">
        <w:t xml:space="preserve"> processes</w:t>
      </w:r>
      <w:r w:rsidR="005B1B9E" w:rsidRPr="00996DE3">
        <w:t xml:space="preserve">); </w:t>
      </w:r>
      <w:r w:rsidR="00A65404" w:rsidRPr="00996DE3">
        <w:t xml:space="preserve">Order No. 2023, 184 FERC ¶ 61,054 at PP 135-137 (requiring transmission providers to publicly post available generator interconnection information); </w:t>
      </w:r>
      <w:r w:rsidR="00986287" w:rsidRPr="00996DE3">
        <w:t>Order No. 1000, 136 FERC ¶ 61,051 at P 458 (</w:t>
      </w:r>
      <w:r w:rsidR="00174BEB" w:rsidRPr="00996DE3">
        <w:t>directing</w:t>
      </w:r>
      <w:r w:rsidR="00986287" w:rsidRPr="00996DE3">
        <w:t xml:space="preserve"> transmission providers “to maintain a website or e-mail list for the communication of information related to interregional transmission coordination procedures” </w:t>
      </w:r>
      <w:r w:rsidR="00B94F62" w:rsidRPr="00996DE3">
        <w:t xml:space="preserve">to stakeholders); </w:t>
      </w:r>
      <w:r w:rsidR="0021004D" w:rsidRPr="00996DE3">
        <w:rPr>
          <w:i/>
        </w:rPr>
        <w:t xml:space="preserve">id. </w:t>
      </w:r>
      <w:r w:rsidR="00822DE6">
        <w:rPr>
          <w:i/>
        </w:rPr>
        <w:t xml:space="preserve">         </w:t>
      </w:r>
      <w:r w:rsidR="00554BDC" w:rsidRPr="00996DE3">
        <w:t>P</w:t>
      </w:r>
      <w:r w:rsidR="008E433B" w:rsidRPr="00996DE3">
        <w:t>P</w:t>
      </w:r>
      <w:r w:rsidR="00554BDC" w:rsidRPr="00996DE3">
        <w:t xml:space="preserve"> </w:t>
      </w:r>
      <w:r w:rsidR="000D1DAE" w:rsidRPr="00996DE3">
        <w:t>668</w:t>
      </w:r>
      <w:r w:rsidR="008E433B" w:rsidRPr="00996DE3">
        <w:t>-669</w:t>
      </w:r>
      <w:r w:rsidR="00554BDC" w:rsidRPr="00996DE3">
        <w:t xml:space="preserve"> </w:t>
      </w:r>
      <w:r w:rsidR="00CD155A" w:rsidRPr="00996DE3">
        <w:t>(</w:t>
      </w:r>
      <w:r w:rsidR="002F788F" w:rsidRPr="00996DE3">
        <w:t>requiring</w:t>
      </w:r>
      <w:r w:rsidR="00554BDC" w:rsidRPr="00996DE3">
        <w:t xml:space="preserve"> that </w:t>
      </w:r>
      <w:r w:rsidR="002B1C4E" w:rsidRPr="00996DE3">
        <w:t>“</w:t>
      </w:r>
      <w:r w:rsidR="00554BDC" w:rsidRPr="00996DE3">
        <w:t xml:space="preserve">cost allocation </w:t>
      </w:r>
      <w:r w:rsidR="001326D3" w:rsidRPr="00996DE3">
        <w:t>methods</w:t>
      </w:r>
      <w:r w:rsidR="00554BDC" w:rsidRPr="00996DE3">
        <w:t xml:space="preserve"> and </w:t>
      </w:r>
      <w:r w:rsidR="001326D3" w:rsidRPr="00996DE3">
        <w:t xml:space="preserve">their corresponding </w:t>
      </w:r>
      <w:r w:rsidR="00554BDC" w:rsidRPr="00996DE3">
        <w:t xml:space="preserve">data requirements for determining benefits and beneficiaries </w:t>
      </w:r>
      <w:r w:rsidR="002B1C4E" w:rsidRPr="00996DE3">
        <w:t>[of regional and interregional transmission facilities]</w:t>
      </w:r>
      <w:r w:rsidR="001326D3" w:rsidRPr="00996DE3">
        <w:t xml:space="preserve"> </w:t>
      </w:r>
      <w:r w:rsidR="00A14255" w:rsidRPr="00996DE3">
        <w:t xml:space="preserve">must </w:t>
      </w:r>
      <w:r w:rsidR="00554BDC" w:rsidRPr="00996DE3">
        <w:t xml:space="preserve">be </w:t>
      </w:r>
      <w:r w:rsidR="001326D3" w:rsidRPr="00996DE3">
        <w:t xml:space="preserve">open and </w:t>
      </w:r>
      <w:r w:rsidR="00554BDC" w:rsidRPr="00996DE3">
        <w:t>transparent</w:t>
      </w:r>
      <w:r w:rsidR="00A14255" w:rsidRPr="00996DE3">
        <w:t xml:space="preserve">” </w:t>
      </w:r>
      <w:r w:rsidR="000C4BA6" w:rsidRPr="00996DE3">
        <w:t>in order</w:t>
      </w:r>
      <w:r w:rsidR="00A14255" w:rsidRPr="00996DE3">
        <w:t xml:space="preserve"> to</w:t>
      </w:r>
      <w:r w:rsidR="001326D3" w:rsidRPr="00996DE3">
        <w:t xml:space="preserve"> </w:t>
      </w:r>
      <w:r w:rsidR="00A14255" w:rsidRPr="00996DE3">
        <w:t>“</w:t>
      </w:r>
      <w:proofErr w:type="gramStart"/>
      <w:r w:rsidR="001326D3" w:rsidRPr="00996DE3">
        <w:t>ensure</w:t>
      </w:r>
      <w:r w:rsidR="00A14255" w:rsidRPr="00996DE3">
        <w:t>[</w:t>
      </w:r>
      <w:proofErr w:type="gramEnd"/>
      <w:r w:rsidR="00A14255" w:rsidRPr="00996DE3">
        <w:t>]</w:t>
      </w:r>
      <w:r w:rsidR="001326D3" w:rsidRPr="00996DE3">
        <w:t xml:space="preserve"> that </w:t>
      </w:r>
      <w:r w:rsidR="005F28CD" w:rsidRPr="00996DE3">
        <w:t xml:space="preserve">such </w:t>
      </w:r>
      <w:r w:rsidR="001326D3" w:rsidRPr="00996DE3">
        <w:t>methods are just and reasonable and not unduly discriminatory or preferential</w:t>
      </w:r>
      <w:r w:rsidR="00A14255" w:rsidRPr="00996DE3">
        <w:t>”</w:t>
      </w:r>
      <w:r w:rsidR="001402A0" w:rsidRPr="00996DE3">
        <w:t>)</w:t>
      </w:r>
      <w:r w:rsidR="0030106A" w:rsidRPr="00996DE3">
        <w:t>;</w:t>
      </w:r>
      <w:r w:rsidR="00707B25" w:rsidRPr="00996DE3">
        <w:t xml:space="preserve"> </w:t>
      </w:r>
      <w:r w:rsidR="00B47578" w:rsidRPr="00996DE3">
        <w:rPr>
          <w:i/>
          <w:iCs/>
        </w:rPr>
        <w:t>Reform of Generator Interconnection Pro</w:t>
      </w:r>
      <w:r w:rsidR="000B4F29" w:rsidRPr="00996DE3">
        <w:rPr>
          <w:i/>
          <w:iCs/>
        </w:rPr>
        <w:t>c</w:t>
      </w:r>
      <w:r w:rsidR="00B47578" w:rsidRPr="00996DE3">
        <w:rPr>
          <w:i/>
          <w:iCs/>
        </w:rPr>
        <w:t>s</w:t>
      </w:r>
      <w:r w:rsidR="000B4F29" w:rsidRPr="00996DE3">
        <w:rPr>
          <w:i/>
          <w:iCs/>
        </w:rPr>
        <w:t>.</w:t>
      </w:r>
      <w:r w:rsidR="00B47578" w:rsidRPr="00996DE3">
        <w:rPr>
          <w:i/>
          <w:iCs/>
        </w:rPr>
        <w:t xml:space="preserve"> &amp; Agreements</w:t>
      </w:r>
      <w:r w:rsidR="00B47578" w:rsidRPr="00996DE3">
        <w:t xml:space="preserve">, </w:t>
      </w:r>
      <w:r w:rsidR="00CF09BA" w:rsidRPr="00996DE3">
        <w:t>Order No. 845,</w:t>
      </w:r>
      <w:r w:rsidR="001A3C0A" w:rsidRPr="00996DE3">
        <w:t xml:space="preserve"> </w:t>
      </w:r>
      <w:r w:rsidR="00CF09BA" w:rsidRPr="00996DE3">
        <w:t>163 FERC ¶ 61,043</w:t>
      </w:r>
      <w:r w:rsidR="00840343" w:rsidRPr="00996DE3">
        <w:t>,</w:t>
      </w:r>
      <w:r w:rsidR="00CF09BA" w:rsidRPr="00996DE3">
        <w:t xml:space="preserve"> at P</w:t>
      </w:r>
      <w:r w:rsidR="00447F17" w:rsidRPr="00996DE3">
        <w:t>P 305,</w:t>
      </w:r>
      <w:r w:rsidR="00CF09BA" w:rsidRPr="00996DE3">
        <w:t xml:space="preserve"> 307</w:t>
      </w:r>
      <w:r w:rsidR="00B47578" w:rsidRPr="00996DE3">
        <w:t xml:space="preserve"> </w:t>
      </w:r>
      <w:r w:rsidR="00CF09BA" w:rsidRPr="00996DE3">
        <w:t>(</w:t>
      </w:r>
      <w:r w:rsidR="00AD43EF" w:rsidRPr="00996DE3">
        <w:t>requiring transmission providers to post interconnection study metrics</w:t>
      </w:r>
      <w:r w:rsidR="00745D3C" w:rsidRPr="00996DE3">
        <w:t xml:space="preserve">, in order </w:t>
      </w:r>
      <w:r w:rsidR="00447F17" w:rsidRPr="00996DE3">
        <w:t xml:space="preserve">to </w:t>
      </w:r>
      <w:r w:rsidR="00C73CCA" w:rsidRPr="00996DE3">
        <w:t>“</w:t>
      </w:r>
      <w:r w:rsidR="00447F17" w:rsidRPr="00996DE3">
        <w:t>increase the transparency of interconnection study completion timeframes</w:t>
      </w:r>
      <w:r w:rsidR="00C73CCA" w:rsidRPr="00996DE3">
        <w:t>”</w:t>
      </w:r>
      <w:r w:rsidR="00447F17" w:rsidRPr="00996DE3">
        <w:t>)</w:t>
      </w:r>
      <w:r w:rsidR="00582F94" w:rsidRPr="00996DE3">
        <w:t xml:space="preserve">, </w:t>
      </w:r>
      <w:r w:rsidR="00582F94" w:rsidRPr="00996DE3">
        <w:rPr>
          <w:i/>
          <w:iCs/>
        </w:rPr>
        <w:t>order on reh’g</w:t>
      </w:r>
      <w:r w:rsidR="00582F94" w:rsidRPr="00996DE3">
        <w:t xml:space="preserve">, </w:t>
      </w:r>
      <w:r w:rsidR="00441C9B" w:rsidRPr="00996DE3">
        <w:t>Order No. 845-A</w:t>
      </w:r>
      <w:r w:rsidR="00D75EB0" w:rsidRPr="00996DE3">
        <w:t>,</w:t>
      </w:r>
      <w:r w:rsidR="00441C9B" w:rsidRPr="00996DE3">
        <w:t xml:space="preserve"> 166 FERC ¶ 61,137</w:t>
      </w:r>
      <w:r w:rsidR="00630DA7" w:rsidRPr="00996DE3">
        <w:t xml:space="preserve"> (2018)</w:t>
      </w:r>
      <w:r w:rsidR="00441C9B" w:rsidRPr="00996DE3">
        <w:t xml:space="preserve">, </w:t>
      </w:r>
      <w:r w:rsidR="00441C9B" w:rsidRPr="00996DE3">
        <w:rPr>
          <w:i/>
          <w:iCs/>
        </w:rPr>
        <w:t>order on reh’g</w:t>
      </w:r>
      <w:r w:rsidR="00441C9B" w:rsidRPr="00996DE3">
        <w:t xml:space="preserve">, Order </w:t>
      </w:r>
      <w:r w:rsidR="00822DE6">
        <w:t xml:space="preserve">          </w:t>
      </w:r>
      <w:r w:rsidR="00441C9B" w:rsidRPr="00996DE3">
        <w:t>No. 845-B, 168 FERC ¶ 61,092 (2019)</w:t>
      </w:r>
      <w:r w:rsidR="00681F1C" w:rsidRPr="00996DE3">
        <w:t xml:space="preserve">; </w:t>
      </w:r>
      <w:r w:rsidR="005F116D" w:rsidRPr="00996DE3">
        <w:rPr>
          <w:i/>
        </w:rPr>
        <w:t>Uplift Cost Allocation &amp; Transparency in Mkts</w:t>
      </w:r>
      <w:r w:rsidR="0020703C" w:rsidRPr="00996DE3">
        <w:rPr>
          <w:i/>
        </w:rPr>
        <w:t>.</w:t>
      </w:r>
      <w:r w:rsidR="005F116D" w:rsidRPr="00996DE3">
        <w:rPr>
          <w:i/>
        </w:rPr>
        <w:t xml:space="preserve"> Operated by Reg</w:t>
      </w:r>
      <w:r w:rsidR="005D4B92" w:rsidRPr="00996DE3">
        <w:rPr>
          <w:i/>
        </w:rPr>
        <w:t>’</w:t>
      </w:r>
      <w:r w:rsidR="005F116D" w:rsidRPr="00996DE3">
        <w:rPr>
          <w:i/>
        </w:rPr>
        <w:t>l Transmission Org</w:t>
      </w:r>
      <w:r w:rsidR="00D1460C" w:rsidRPr="00996DE3">
        <w:rPr>
          <w:i/>
        </w:rPr>
        <w:t>s</w:t>
      </w:r>
      <w:r w:rsidR="0020703C" w:rsidRPr="00996DE3">
        <w:rPr>
          <w:i/>
        </w:rPr>
        <w:t>.</w:t>
      </w:r>
      <w:r w:rsidR="005F116D" w:rsidRPr="00996DE3">
        <w:rPr>
          <w:i/>
        </w:rPr>
        <w:t xml:space="preserve"> &amp; </w:t>
      </w:r>
      <w:proofErr w:type="spellStart"/>
      <w:r w:rsidR="005F116D" w:rsidRPr="00996DE3">
        <w:rPr>
          <w:i/>
        </w:rPr>
        <w:t>Indep</w:t>
      </w:r>
      <w:proofErr w:type="spellEnd"/>
      <w:r w:rsidR="005F116D" w:rsidRPr="00996DE3">
        <w:rPr>
          <w:i/>
        </w:rPr>
        <w:t>. Sys. Operators</w:t>
      </w:r>
      <w:r w:rsidR="005F116D" w:rsidRPr="00996DE3">
        <w:t xml:space="preserve">, </w:t>
      </w:r>
      <w:r w:rsidR="0086270B" w:rsidRPr="00996DE3">
        <w:t xml:space="preserve">Order No. </w:t>
      </w:r>
      <w:proofErr w:type="gramStart"/>
      <w:r w:rsidR="0086270B" w:rsidRPr="00996DE3">
        <w:t>844</w:t>
      </w:r>
      <w:r w:rsidR="005F116D" w:rsidRPr="00996DE3">
        <w:t xml:space="preserve">, </w:t>
      </w:r>
      <w:r w:rsidR="00822DE6">
        <w:t xml:space="preserve">  </w:t>
      </w:r>
      <w:proofErr w:type="gramEnd"/>
      <w:r w:rsidR="00822DE6">
        <w:t xml:space="preserve">                  </w:t>
      </w:r>
      <w:r w:rsidR="005F116D" w:rsidRPr="00996DE3">
        <w:t xml:space="preserve">163 FERC ¶ 61,041, at PP </w:t>
      </w:r>
      <w:r w:rsidR="00197DEE" w:rsidRPr="00996DE3">
        <w:t>27</w:t>
      </w:r>
      <w:r w:rsidR="00F74FDB" w:rsidRPr="00996DE3">
        <w:t>, 30-34</w:t>
      </w:r>
      <w:r w:rsidR="005F116D" w:rsidRPr="00996DE3">
        <w:t xml:space="preserve"> (2018)</w:t>
      </w:r>
      <w:r w:rsidR="008B06FC" w:rsidRPr="00996DE3">
        <w:t xml:space="preserve"> (finding that certain RTO/ISO reporting practices were insufficiently transparent, resulting in unjust and unreasonable rates, and </w:t>
      </w:r>
      <w:r w:rsidR="00BA68D3" w:rsidRPr="00996DE3">
        <w:t>establishing</w:t>
      </w:r>
      <w:r w:rsidR="002D0953" w:rsidRPr="00996DE3">
        <w:t xml:space="preserve"> </w:t>
      </w:r>
      <w:r w:rsidR="00526FB5" w:rsidRPr="00996DE3">
        <w:t>four public</w:t>
      </w:r>
      <w:r w:rsidR="00D63054" w:rsidRPr="00996DE3">
        <w:t xml:space="preserve"> reporting requirements</w:t>
      </w:r>
      <w:r w:rsidR="00BA68D3" w:rsidRPr="00996DE3">
        <w:t>)</w:t>
      </w:r>
      <w:r w:rsidR="00EC6386" w:rsidRPr="00996DE3">
        <w:t>.</w:t>
      </w:r>
      <w:r w:rsidR="00D63054">
        <w:t xml:space="preserve"> </w:t>
      </w:r>
    </w:p>
  </w:footnote>
  <w:footnote w:id="423">
    <w:p w14:paraId="3144B09E" w14:textId="445AEEE8" w:rsidR="00C566F1" w:rsidRPr="000F004A" w:rsidRDefault="00C566F1" w:rsidP="00C566F1">
      <w:pPr>
        <w:pStyle w:val="FootnoteText"/>
      </w:pPr>
      <w:r>
        <w:rPr>
          <w:rStyle w:val="FootnoteReference"/>
        </w:rPr>
        <w:footnoteRef/>
      </w:r>
      <w:r>
        <w:t xml:space="preserve"> 16 U.S.C. 825c(a) (“[E]</w:t>
      </w:r>
      <w:r w:rsidRPr="008E7056">
        <w:t>very public utility shall file with the Commission such annual and other periodic or special reports as the Commission may by rules and regulations or order prescribe as necessary or appropriate to assist the Commission in the proper administration of this chapter</w:t>
      </w:r>
      <w:r>
        <w:t xml:space="preserve">”); </w:t>
      </w:r>
      <w:r>
        <w:rPr>
          <w:i/>
          <w:iCs/>
        </w:rPr>
        <w:t>see also</w:t>
      </w:r>
      <w:r>
        <w:t xml:space="preserve"> </w:t>
      </w:r>
      <w:r>
        <w:rPr>
          <w:i/>
          <w:iCs/>
        </w:rPr>
        <w:t>id.</w:t>
      </w:r>
      <w:r>
        <w:t xml:space="preserve"> 825f(a), 825h</w:t>
      </w:r>
      <w:r w:rsidRPr="00F12334">
        <w:t xml:space="preserve">; </w:t>
      </w:r>
      <w:r w:rsidR="00EB4A59">
        <w:rPr>
          <w:i/>
          <w:iCs/>
        </w:rPr>
        <w:t>INGAA</w:t>
      </w:r>
      <w:r w:rsidRPr="00893A5E">
        <w:rPr>
          <w:i/>
          <w:iCs/>
        </w:rPr>
        <w:t xml:space="preserve">, </w:t>
      </w:r>
      <w:r w:rsidRPr="00893A5E">
        <w:t xml:space="preserve">285 F.3d </w:t>
      </w:r>
      <w:r w:rsidR="00EC1A0A">
        <w:t>at</w:t>
      </w:r>
      <w:r w:rsidRPr="00893A5E">
        <w:t xml:space="preserve"> 39</w:t>
      </w:r>
      <w:r>
        <w:t xml:space="preserve">; </w:t>
      </w:r>
      <w:r w:rsidRPr="00F12334">
        <w:rPr>
          <w:i/>
          <w:iCs/>
        </w:rPr>
        <w:t xml:space="preserve">PJM </w:t>
      </w:r>
      <w:proofErr w:type="gramStart"/>
      <w:r w:rsidRPr="00F12334">
        <w:rPr>
          <w:i/>
          <w:iCs/>
        </w:rPr>
        <w:t>Interconnection</w:t>
      </w:r>
      <w:r w:rsidR="00822DE6">
        <w:rPr>
          <w:i/>
          <w:iCs/>
        </w:rPr>
        <w:t xml:space="preserve"> </w:t>
      </w:r>
      <w:r w:rsidRPr="00CC6CA8">
        <w:t xml:space="preserve"> ¶</w:t>
      </w:r>
      <w:proofErr w:type="gramEnd"/>
      <w:r w:rsidRPr="00CC6CA8">
        <w:t xml:space="preserve"> 61,224, </w:t>
      </w:r>
      <w:r w:rsidR="00E967D5">
        <w:t xml:space="preserve">at </w:t>
      </w:r>
      <w:r>
        <w:t>P 26</w:t>
      </w:r>
      <w:r w:rsidRPr="00CC6CA8">
        <w:t xml:space="preserve"> (2015)</w:t>
      </w:r>
      <w:r>
        <w:t xml:space="preserve"> (“</w:t>
      </w:r>
      <w:r w:rsidRPr="006C7363">
        <w:t>Court and Commission precedent recognize that the Commission retains the ability to require informational filings without exceeding its authority under section 205</w:t>
      </w:r>
      <w:r>
        <w:t xml:space="preserve">.  </w:t>
      </w:r>
      <w:r w:rsidRPr="00E5603D">
        <w:t>The Commission</w:t>
      </w:r>
      <w:r>
        <w:t>’</w:t>
      </w:r>
      <w:r w:rsidRPr="00E5603D">
        <w:t>s authority to prescribe informational filings and require informational reports, moreover, is statutory</w:t>
      </w:r>
      <w:r>
        <w:t xml:space="preserve">.”); </w:t>
      </w:r>
      <w:r w:rsidRPr="00F12334">
        <w:rPr>
          <w:i/>
          <w:iCs/>
        </w:rPr>
        <w:t>PJM Interconnection, L.L.C.</w:t>
      </w:r>
      <w:r w:rsidRPr="002126C0">
        <w:t xml:space="preserve">, 123 FERC ¶ 61,037, </w:t>
      </w:r>
      <w:r>
        <w:t>at P 12</w:t>
      </w:r>
      <w:r w:rsidRPr="002126C0">
        <w:t xml:space="preserve"> (2008)</w:t>
      </w:r>
      <w:r w:rsidR="00404C19">
        <w:t xml:space="preserve">; </w:t>
      </w:r>
      <w:r w:rsidR="00404C19" w:rsidRPr="00CC5A83">
        <w:rPr>
          <w:i/>
        </w:rPr>
        <w:t xml:space="preserve">supra </w:t>
      </w:r>
      <w:r w:rsidR="00404C19" w:rsidRPr="00CC5A83">
        <w:t xml:space="preserve">note </w:t>
      </w:r>
      <w:r w:rsidR="009F4D13" w:rsidRPr="00CC5A83">
        <w:t>4</w:t>
      </w:r>
      <w:r w:rsidR="00B6243E" w:rsidRPr="00CC5A83">
        <w:t>21</w:t>
      </w:r>
      <w:r w:rsidR="00404C19" w:rsidRPr="00CC5A83">
        <w:t xml:space="preserve"> (</w:t>
      </w:r>
      <w:r w:rsidR="00C66AE1" w:rsidRPr="00CC5A83">
        <w:t xml:space="preserve">public documentation requirements issued pursuant to </w:t>
      </w:r>
      <w:r w:rsidR="003A26DF" w:rsidRPr="00CC5A83">
        <w:t>FPA section 206)</w:t>
      </w:r>
      <w:r w:rsidRPr="00CC5A83">
        <w:t>.</w:t>
      </w:r>
    </w:p>
  </w:footnote>
  <w:footnote w:id="424">
    <w:p w14:paraId="01A4BDA8" w14:textId="2ED7BBF9" w:rsidR="00771459" w:rsidRPr="00771459" w:rsidRDefault="00C566F1" w:rsidP="00822DE6">
      <w:pPr>
        <w:pStyle w:val="FootnoteText"/>
        <w:widowControl/>
      </w:pPr>
      <w:r>
        <w:rPr>
          <w:rStyle w:val="FootnoteReference"/>
        </w:rPr>
        <w:footnoteRef/>
      </w:r>
      <w:r>
        <w:t xml:space="preserve"> For instance, these requirements will help ensure that consultations with Relevant State Entities are occurring consistent with transmission providers’ tariffs.</w:t>
      </w:r>
    </w:p>
  </w:footnote>
  <w:footnote w:id="425">
    <w:p w14:paraId="59AA3DD0" w14:textId="19E202FE" w:rsidR="00F91168" w:rsidRDefault="00F91168">
      <w:pPr>
        <w:pStyle w:val="FootnoteText"/>
      </w:pPr>
      <w:r>
        <w:rPr>
          <w:rStyle w:val="FootnoteReference"/>
        </w:rPr>
        <w:footnoteRef/>
      </w:r>
      <w:r>
        <w:t xml:space="preserve"> MISO TOs Rehearing Request </w:t>
      </w:r>
      <w:r w:rsidR="00B25AC6">
        <w:t>at 32</w:t>
      </w:r>
      <w:r w:rsidR="00E769B8">
        <w:t>-33</w:t>
      </w:r>
      <w:r w:rsidR="00B25AC6">
        <w:t xml:space="preserve"> (citing </w:t>
      </w:r>
      <w:r w:rsidR="006B3975" w:rsidRPr="006B3975">
        <w:t xml:space="preserve">5 U.S.C. 706; </w:t>
      </w:r>
      <w:r w:rsidR="007422DB" w:rsidRPr="007422DB">
        <w:rPr>
          <w:i/>
          <w:iCs/>
        </w:rPr>
        <w:t>Hoopa Valley Tribe v. FERC</w:t>
      </w:r>
      <w:r w:rsidR="007422DB" w:rsidRPr="007422DB">
        <w:t>, 913 F.3d 1099, 1102 (D.C. Cir. 2019)</w:t>
      </w:r>
      <w:r w:rsidR="007422DB">
        <w:t>)</w:t>
      </w:r>
      <w:r w:rsidR="009F37A0">
        <w:t xml:space="preserve">; </w:t>
      </w:r>
      <w:r w:rsidR="00DC71C9">
        <w:t xml:space="preserve">SPP TOs Rehearing Request </w:t>
      </w:r>
      <w:r w:rsidR="00822DE6">
        <w:t xml:space="preserve">            </w:t>
      </w:r>
      <w:r w:rsidR="00DC71C9">
        <w:t xml:space="preserve">at </w:t>
      </w:r>
      <w:r w:rsidR="00F847DD">
        <w:t xml:space="preserve">28 (citing </w:t>
      </w:r>
      <w:r w:rsidR="0033257E">
        <w:rPr>
          <w:i/>
          <w:iCs/>
        </w:rPr>
        <w:t xml:space="preserve">State </w:t>
      </w:r>
      <w:r w:rsidR="0033257E" w:rsidRPr="0033257E">
        <w:rPr>
          <w:i/>
          <w:iCs/>
        </w:rPr>
        <w:t>Farm</w:t>
      </w:r>
      <w:r w:rsidR="0033257E">
        <w:t xml:space="preserve">, </w:t>
      </w:r>
      <w:r w:rsidR="009D4111">
        <w:t>463 U.S. at 43);</w:t>
      </w:r>
      <w:r w:rsidR="0033257E">
        <w:t xml:space="preserve"> </w:t>
      </w:r>
      <w:r w:rsidR="009F37A0" w:rsidRPr="0033257E">
        <w:t>WIRES</w:t>
      </w:r>
      <w:r w:rsidR="009F37A0">
        <w:t xml:space="preserve"> Rehearing Request at </w:t>
      </w:r>
      <w:r w:rsidR="00AF02F8">
        <w:t xml:space="preserve">15 </w:t>
      </w:r>
      <w:r w:rsidR="00857A1D">
        <w:t xml:space="preserve">(citing </w:t>
      </w:r>
      <w:r w:rsidR="00822DE6">
        <w:t xml:space="preserve">                  </w:t>
      </w:r>
      <w:r w:rsidR="000B4C90" w:rsidRPr="000B4C90">
        <w:t>5 U.S.C. 706(2)(A)</w:t>
      </w:r>
      <w:r w:rsidR="00B72577">
        <w:t xml:space="preserve">; </w:t>
      </w:r>
      <w:r w:rsidR="00B72577" w:rsidRPr="00B72577">
        <w:rPr>
          <w:i/>
          <w:iCs/>
        </w:rPr>
        <w:t xml:space="preserve">Am. Gas </w:t>
      </w:r>
      <w:proofErr w:type="spellStart"/>
      <w:r w:rsidR="00B72577" w:rsidRPr="00B72577">
        <w:rPr>
          <w:i/>
          <w:iCs/>
        </w:rPr>
        <w:t>Ass’n</w:t>
      </w:r>
      <w:proofErr w:type="spellEnd"/>
      <w:r w:rsidR="00B72577" w:rsidRPr="00B72577">
        <w:rPr>
          <w:i/>
          <w:iCs/>
        </w:rPr>
        <w:t xml:space="preserve"> v. FERC</w:t>
      </w:r>
      <w:r w:rsidR="00B72577" w:rsidRPr="00B72577">
        <w:t>, 593 F.3d 14, 19 (D.C. Cir. 2010)</w:t>
      </w:r>
      <w:r w:rsidR="00B72577">
        <w:t>;</w:t>
      </w:r>
      <w:r w:rsidR="00065D9A">
        <w:t xml:space="preserve"> </w:t>
      </w:r>
      <w:r w:rsidR="00822DE6">
        <w:t xml:space="preserve">                  </w:t>
      </w:r>
      <w:r w:rsidR="00065D9A" w:rsidRPr="00065D9A">
        <w:rPr>
          <w:i/>
          <w:iCs/>
        </w:rPr>
        <w:t>Rio Grande Pipeline Co.</w:t>
      </w:r>
      <w:r w:rsidR="00065D9A">
        <w:rPr>
          <w:i/>
          <w:iCs/>
        </w:rPr>
        <w:t xml:space="preserve"> v. FERC</w:t>
      </w:r>
      <w:r w:rsidR="00065D9A" w:rsidRPr="00065D9A">
        <w:t>, 178 F.3d 533, 541 (D.C. Cir. 1999)</w:t>
      </w:r>
      <w:r w:rsidR="00065D9A">
        <w:t>).</w:t>
      </w:r>
      <w:r w:rsidR="00065D9A" w:rsidRPr="00065D9A">
        <w:t xml:space="preserve">  </w:t>
      </w:r>
      <w:r w:rsidR="00B72577">
        <w:t xml:space="preserve"> </w:t>
      </w:r>
      <w:r w:rsidR="000B4C90" w:rsidRPr="000B4C90">
        <w:t xml:space="preserve">  </w:t>
      </w:r>
      <w:r w:rsidR="007422DB" w:rsidRPr="007422DB">
        <w:t xml:space="preserve">  </w:t>
      </w:r>
      <w:r w:rsidR="006B3975" w:rsidRPr="006B3975">
        <w:t xml:space="preserve"> </w:t>
      </w:r>
    </w:p>
  </w:footnote>
  <w:footnote w:id="426">
    <w:p w14:paraId="65E40303" w14:textId="17600488" w:rsidR="003A24A9" w:rsidRPr="004419D0" w:rsidRDefault="003A24A9" w:rsidP="003A24A9">
      <w:pPr>
        <w:pStyle w:val="FootnoteText"/>
      </w:pPr>
      <w:r>
        <w:rPr>
          <w:rStyle w:val="FootnoteReference"/>
        </w:rPr>
        <w:footnoteRef/>
      </w:r>
      <w:r>
        <w:t xml:space="preserve"> </w:t>
      </w:r>
      <w:r w:rsidR="00AB0378">
        <w:t>MISO TOs Rehearing Request</w:t>
      </w:r>
      <w:r>
        <w:t xml:space="preserve"> at 32-33; </w:t>
      </w:r>
      <w:r>
        <w:rPr>
          <w:i/>
          <w:iCs/>
        </w:rPr>
        <w:t>see also id.</w:t>
      </w:r>
      <w:r>
        <w:t xml:space="preserve"> at 27.</w:t>
      </w:r>
    </w:p>
  </w:footnote>
  <w:footnote w:id="427">
    <w:p w14:paraId="775486D8" w14:textId="022DE01C" w:rsidR="003A24A9" w:rsidRDefault="003A24A9" w:rsidP="003A24A9">
      <w:pPr>
        <w:pStyle w:val="FootnoteText"/>
      </w:pPr>
      <w:r>
        <w:rPr>
          <w:rStyle w:val="FootnoteReference"/>
        </w:rPr>
        <w:footnoteRef/>
      </w:r>
      <w:r>
        <w:t xml:space="preserve"> SPP TOs Rehearing Request at 28-29 (arguing that there is no need to “create preferential filing privileges” not contemplated by the FPA and “</w:t>
      </w:r>
      <w:r w:rsidRPr="00003389">
        <w:t>that statutory limits exist and may frustrate some parties cannot be a reasoned basis for evading</w:t>
      </w:r>
      <w:r>
        <w:t xml:space="preserve"> </w:t>
      </w:r>
      <w:r w:rsidRPr="00003389">
        <w:t>those limits</w:t>
      </w:r>
      <w:r>
        <w:t>”)</w:t>
      </w:r>
      <w:r w:rsidR="00B6316E">
        <w:t xml:space="preserve">; </w:t>
      </w:r>
      <w:r w:rsidR="00B6316E">
        <w:rPr>
          <w:i/>
          <w:iCs/>
        </w:rPr>
        <w:t>see also id.</w:t>
      </w:r>
      <w:r w:rsidR="00B6316E">
        <w:t xml:space="preserve"> at 11-12 (arguing that the Commission’s </w:t>
      </w:r>
      <w:r w:rsidR="00A131C5">
        <w:t>explanation</w:t>
      </w:r>
      <w:r w:rsidR="00B6316E">
        <w:t xml:space="preserve"> for the </w:t>
      </w:r>
      <w:r w:rsidR="00A131C5">
        <w:t>consultation requirements cannot support infringing on transmission providers’ FPA section 205 filing rights, and that “p</w:t>
      </w:r>
      <w:r w:rsidR="00A131C5" w:rsidRPr="00A87DF2">
        <w:t>ublic utilities will continue to have every incentive to</w:t>
      </w:r>
      <w:r w:rsidR="00A131C5">
        <w:t xml:space="preserve"> </w:t>
      </w:r>
      <w:r w:rsidR="00A131C5" w:rsidRPr="00A87DF2">
        <w:rPr>
          <w:i/>
          <w:iCs/>
        </w:rPr>
        <w:t xml:space="preserve">voluntarily </w:t>
      </w:r>
      <w:r w:rsidR="00A131C5" w:rsidRPr="00A87DF2">
        <w:t>consult with Relevant State Entities and to consider their input before making section</w:t>
      </w:r>
      <w:r w:rsidR="00A131C5">
        <w:t xml:space="preserve"> </w:t>
      </w:r>
      <w:r w:rsidR="00A131C5" w:rsidRPr="00A87DF2">
        <w:t>205 filings</w:t>
      </w:r>
      <w:r w:rsidR="00A131C5">
        <w:t>”)</w:t>
      </w:r>
      <w:r>
        <w:t>.</w:t>
      </w:r>
    </w:p>
  </w:footnote>
  <w:footnote w:id="428">
    <w:p w14:paraId="00C5F6DF" w14:textId="72975A9D" w:rsidR="003A24A9" w:rsidRPr="005D1626" w:rsidRDefault="003A24A9" w:rsidP="003A24A9">
      <w:pPr>
        <w:pStyle w:val="FootnoteText"/>
      </w:pPr>
      <w:r>
        <w:rPr>
          <w:rStyle w:val="FootnoteReference"/>
        </w:rPr>
        <w:footnoteRef/>
      </w:r>
      <w:r>
        <w:t xml:space="preserve"> WIRES Rehearing Request at 16-17 (asserting that the same set of facts relied on in Order No. 1920 were used to justify the requirements of Order No. 1920-A, such that “</w:t>
      </w:r>
      <w:r w:rsidRPr="00F445BE">
        <w:t>there seems little connection between what are essentially the same facts and the choices ma</w:t>
      </w:r>
      <w:r>
        <w:t>de.”).  WIRES here challenges both the consultation requirements and the compliance filing requirements adopted in Order No. 1920-A, discussed above</w:t>
      </w:r>
      <w:r w:rsidR="00C21F05">
        <w:t xml:space="preserve">, </w:t>
      </w:r>
      <w:r w:rsidR="00C21F05">
        <w:rPr>
          <w:i/>
          <w:iCs/>
        </w:rPr>
        <w:t xml:space="preserve">see </w:t>
      </w:r>
      <w:proofErr w:type="gramStart"/>
      <w:r w:rsidR="00C21F05">
        <w:rPr>
          <w:i/>
          <w:iCs/>
        </w:rPr>
        <w:t>supra</w:t>
      </w:r>
      <w:r w:rsidR="00C21F05">
        <w:t xml:space="preserve"> Requirements</w:t>
      </w:r>
      <w:proofErr w:type="gramEnd"/>
      <w:r w:rsidR="00C21F05">
        <w:t xml:space="preserve"> </w:t>
      </w:r>
      <w:r w:rsidR="001718BD">
        <w:t>C</w:t>
      </w:r>
      <w:r w:rsidR="00C21F05">
        <w:t>oncerning Relevant State Entities</w:t>
      </w:r>
      <w:r w:rsidR="007867A9">
        <w:t>’</w:t>
      </w:r>
      <w:r w:rsidR="00C21F05">
        <w:t xml:space="preserve"> Agreed-upon Cost Allocation Methods</w:t>
      </w:r>
      <w:r w:rsidR="000131F0">
        <w:t xml:space="preserve"> section</w:t>
      </w:r>
      <w:r>
        <w:t>, as arbitrary and capricious for the same reasons.</w:t>
      </w:r>
    </w:p>
  </w:footnote>
  <w:footnote w:id="429">
    <w:p w14:paraId="1D53A6AB" w14:textId="77777777" w:rsidR="00A82D05" w:rsidRDefault="00A82D05" w:rsidP="00A82D05">
      <w:pPr>
        <w:pStyle w:val="FootnoteText"/>
      </w:pPr>
      <w:r>
        <w:rPr>
          <w:rStyle w:val="FootnoteReference"/>
        </w:rPr>
        <w:footnoteRef/>
      </w:r>
      <w:r>
        <w:t xml:space="preserve"> </w:t>
      </w:r>
      <w:r>
        <w:rPr>
          <w:i/>
          <w:iCs/>
        </w:rPr>
        <w:t xml:space="preserve">See </w:t>
      </w:r>
      <w:r w:rsidRPr="00BE011B">
        <w:t>MISO TOs Rehearing Request at 32</w:t>
      </w:r>
      <w:r>
        <w:t>-33</w:t>
      </w:r>
      <w:r w:rsidRPr="00BE011B">
        <w:t xml:space="preserve">; SPP TOs Rehearing Request at 28; WIRES Rehearing Request at 15. </w:t>
      </w:r>
    </w:p>
  </w:footnote>
  <w:footnote w:id="430">
    <w:p w14:paraId="2D2DB12F" w14:textId="77777777" w:rsidR="00A82D05" w:rsidRDefault="00A82D05" w:rsidP="00A82D05">
      <w:pPr>
        <w:pStyle w:val="FootnoteText"/>
      </w:pPr>
      <w:r>
        <w:rPr>
          <w:rStyle w:val="FootnoteReference"/>
        </w:rPr>
        <w:footnoteRef/>
      </w:r>
      <w:r>
        <w:t xml:space="preserve"> MISO TOs Rehearing Request at 33.</w:t>
      </w:r>
    </w:p>
  </w:footnote>
  <w:footnote w:id="431">
    <w:p w14:paraId="4CF3215B" w14:textId="77777777" w:rsidR="00A82D05" w:rsidRDefault="00A82D05" w:rsidP="00A82D05">
      <w:pPr>
        <w:pStyle w:val="FootnoteText"/>
      </w:pPr>
      <w:r>
        <w:rPr>
          <w:rStyle w:val="FootnoteReference"/>
        </w:rPr>
        <w:footnoteRef/>
      </w:r>
      <w:r>
        <w:t xml:space="preserve"> Order No. 1920-A, </w:t>
      </w:r>
      <w:r w:rsidRPr="003C276F">
        <w:t>189 FERC ¶ 61,126</w:t>
      </w:r>
      <w:r>
        <w:t xml:space="preserve"> at P 692.</w:t>
      </w:r>
    </w:p>
  </w:footnote>
  <w:footnote w:id="432">
    <w:p w14:paraId="26536C43" w14:textId="77777777" w:rsidR="00A82D05" w:rsidRDefault="00A82D05" w:rsidP="00822DE6">
      <w:pPr>
        <w:pStyle w:val="FootnoteText"/>
        <w:widowControl/>
      </w:pPr>
      <w:r>
        <w:rPr>
          <w:rStyle w:val="FootnoteReference"/>
        </w:rPr>
        <w:footnoteRef/>
      </w:r>
      <w:r>
        <w:t xml:space="preserve"> </w:t>
      </w:r>
      <w:r>
        <w:rPr>
          <w:i/>
          <w:iCs/>
        </w:rPr>
        <w:t xml:space="preserve">See </w:t>
      </w:r>
      <w:r>
        <w:t xml:space="preserve">MISO TOs Rehearing Request at 33 (asserting that </w:t>
      </w:r>
      <w:r w:rsidRPr="002B01E7">
        <w:t>that this requirement obligates transmission providers to provide “detailed explanations of decisions</w:t>
      </w:r>
      <w:r>
        <w:t>”).</w:t>
      </w:r>
    </w:p>
  </w:footnote>
  <w:footnote w:id="433">
    <w:p w14:paraId="696D15C3" w14:textId="77777777" w:rsidR="00A82D05" w:rsidRDefault="00A82D05" w:rsidP="00A82D05">
      <w:pPr>
        <w:pStyle w:val="FootnoteText"/>
      </w:pPr>
      <w:r>
        <w:rPr>
          <w:rStyle w:val="FootnoteReference"/>
        </w:rPr>
        <w:footnoteRef/>
      </w:r>
      <w:r>
        <w:t xml:space="preserve"> Order No. 1920-A, </w:t>
      </w:r>
      <w:r w:rsidRPr="003C276F">
        <w:t>189 FERC ¶ 61,126</w:t>
      </w:r>
      <w:r>
        <w:t xml:space="preserve"> at P 691.</w:t>
      </w:r>
    </w:p>
  </w:footnote>
  <w:footnote w:id="434">
    <w:p w14:paraId="18E8C85D" w14:textId="77777777" w:rsidR="00A82D05" w:rsidRDefault="00A82D05" w:rsidP="00A82D05">
      <w:pPr>
        <w:pStyle w:val="FootnoteText"/>
      </w:pPr>
      <w:r>
        <w:rPr>
          <w:rStyle w:val="FootnoteReference"/>
        </w:rPr>
        <w:footnoteRef/>
      </w:r>
      <w:r>
        <w:t xml:space="preserve"> Order No. 1920, </w:t>
      </w:r>
      <w:r w:rsidRPr="00343456">
        <w:t>187 FERC ¶ 61,068</w:t>
      </w:r>
      <w:r>
        <w:t xml:space="preserve"> at P 125.</w:t>
      </w:r>
    </w:p>
  </w:footnote>
  <w:footnote w:id="435">
    <w:p w14:paraId="355B4831" w14:textId="77777777" w:rsidR="00A82D05" w:rsidRDefault="00A82D05" w:rsidP="00A82D05">
      <w:pPr>
        <w:pStyle w:val="FootnoteText"/>
      </w:pPr>
      <w:r>
        <w:rPr>
          <w:rStyle w:val="FootnoteReference"/>
        </w:rPr>
        <w:footnoteRef/>
      </w:r>
      <w:r>
        <w:t xml:space="preserve"> Order No. 1920-A, </w:t>
      </w:r>
      <w:r w:rsidRPr="003C276F">
        <w:t>189 FERC ¶ 61,126</w:t>
      </w:r>
      <w:r>
        <w:t xml:space="preserve"> at P 692.</w:t>
      </w:r>
    </w:p>
  </w:footnote>
  <w:footnote w:id="436">
    <w:p w14:paraId="09ED4051" w14:textId="446EE41D" w:rsidR="00A82D05" w:rsidRPr="00BD2935" w:rsidRDefault="00A82D05" w:rsidP="00A82D05">
      <w:pPr>
        <w:pStyle w:val="FootnoteText"/>
      </w:pPr>
      <w:r>
        <w:rPr>
          <w:rStyle w:val="FootnoteReference"/>
        </w:rPr>
        <w:footnoteRef/>
      </w:r>
      <w:r>
        <w:t xml:space="preserve"> </w:t>
      </w:r>
      <w:r>
        <w:rPr>
          <w:i/>
          <w:iCs/>
        </w:rPr>
        <w:t xml:space="preserve">See </w:t>
      </w:r>
      <w:r>
        <w:t>SPP TOs Rehearing Request at 28-29; WIRES Rehearing Request at 16-17</w:t>
      </w:r>
      <w:r w:rsidRPr="0036110B">
        <w:t>.</w:t>
      </w:r>
    </w:p>
  </w:footnote>
  <w:footnote w:id="437">
    <w:p w14:paraId="6DC925F6" w14:textId="77777777" w:rsidR="00A82D05" w:rsidRDefault="00A82D05" w:rsidP="00A82D05">
      <w:pPr>
        <w:pStyle w:val="FootnoteText"/>
      </w:pPr>
      <w:r>
        <w:rPr>
          <w:rStyle w:val="FootnoteReference"/>
        </w:rPr>
        <w:footnoteRef/>
      </w:r>
      <w:r>
        <w:t xml:space="preserve"> Order No. 1920-A, </w:t>
      </w:r>
      <w:r w:rsidRPr="003C276F">
        <w:t>189 FERC ¶ 61,126</w:t>
      </w:r>
      <w:r>
        <w:t xml:space="preserve"> at P 692.</w:t>
      </w:r>
    </w:p>
  </w:footnote>
  <w:footnote w:id="438">
    <w:p w14:paraId="58C23398" w14:textId="2B7B19E9" w:rsidR="00A82D05" w:rsidRDefault="00A82D05" w:rsidP="00A82D05">
      <w:pPr>
        <w:pStyle w:val="FootnoteText"/>
      </w:pPr>
      <w:r>
        <w:rPr>
          <w:rStyle w:val="FootnoteReference"/>
        </w:rPr>
        <w:footnoteRef/>
      </w:r>
      <w:r>
        <w:t xml:space="preserve"> </w:t>
      </w:r>
      <w:r w:rsidR="00527A5E">
        <w:rPr>
          <w:i/>
          <w:iCs/>
        </w:rPr>
        <w:t>Id.</w:t>
      </w:r>
      <w:r w:rsidRPr="002076DE">
        <w:rPr>
          <w:i/>
        </w:rPr>
        <w:t xml:space="preserve"> </w:t>
      </w:r>
      <w:r>
        <w:t xml:space="preserve">P 692 (citing </w:t>
      </w:r>
      <w:r w:rsidRPr="0071260C">
        <w:t>Order No. 1920, 187 FERC ¶ 61,068 at PP 124, 126</w:t>
      </w:r>
      <w:r>
        <w:t>).</w:t>
      </w:r>
    </w:p>
  </w:footnote>
  <w:footnote w:id="439">
    <w:p w14:paraId="64BAAC73" w14:textId="77777777" w:rsidR="0037204D" w:rsidRDefault="0037204D" w:rsidP="0037204D">
      <w:pPr>
        <w:pStyle w:val="FootnoteText"/>
      </w:pPr>
      <w:r>
        <w:rPr>
          <w:rStyle w:val="FootnoteReference"/>
        </w:rPr>
        <w:footnoteRef/>
      </w:r>
      <w:r>
        <w:t xml:space="preserve"> </w:t>
      </w:r>
      <w:r w:rsidRPr="00BC4E83">
        <w:t>Indicated PJM TOs Rehearing Request at 29.</w:t>
      </w:r>
    </w:p>
  </w:footnote>
  <w:footnote w:id="440">
    <w:p w14:paraId="6876B189" w14:textId="50663BCD" w:rsidR="0037204D" w:rsidRDefault="0037204D" w:rsidP="0037204D">
      <w:pPr>
        <w:pStyle w:val="FootnoteText"/>
      </w:pPr>
      <w:r>
        <w:rPr>
          <w:rStyle w:val="FootnoteReference"/>
        </w:rPr>
        <w:footnoteRef/>
      </w:r>
      <w:r>
        <w:t xml:space="preserve"> </w:t>
      </w:r>
      <w:r w:rsidR="005C03F3">
        <w:rPr>
          <w:i/>
          <w:iCs/>
        </w:rPr>
        <w:t>Id.</w:t>
      </w:r>
      <w:r w:rsidRPr="002076DE">
        <w:rPr>
          <w:i/>
        </w:rPr>
        <w:t xml:space="preserve"> </w:t>
      </w:r>
      <w:r w:rsidRPr="00975E34">
        <w:t xml:space="preserve">at 29-30, 33-34 (citing </w:t>
      </w:r>
      <w:r w:rsidR="005C00D9" w:rsidRPr="005C00D9">
        <w:rPr>
          <w:i/>
          <w:iCs/>
        </w:rPr>
        <w:t>Wooley</w:t>
      </w:r>
      <w:r w:rsidR="005C00D9">
        <w:t xml:space="preserve">, </w:t>
      </w:r>
      <w:r w:rsidRPr="00975E34">
        <w:t xml:space="preserve">430 U.S. </w:t>
      </w:r>
      <w:r w:rsidR="00145DAC">
        <w:t>at</w:t>
      </w:r>
      <w:r w:rsidRPr="00975E34">
        <w:t xml:space="preserve"> 714; </w:t>
      </w:r>
      <w:r w:rsidRPr="00975E34">
        <w:rPr>
          <w:i/>
          <w:iCs/>
        </w:rPr>
        <w:t>United Foods, Inc.</w:t>
      </w:r>
      <w:r w:rsidRPr="00975E34">
        <w:t xml:space="preserve">, </w:t>
      </w:r>
      <w:r w:rsidR="00822DE6">
        <w:t xml:space="preserve">                </w:t>
      </w:r>
      <w:r w:rsidRPr="00975E34">
        <w:t xml:space="preserve">533 U.S. </w:t>
      </w:r>
      <w:r w:rsidR="000D2FF8">
        <w:t xml:space="preserve">at </w:t>
      </w:r>
      <w:r w:rsidRPr="00975E34">
        <w:t xml:space="preserve">409-10; </w:t>
      </w:r>
      <w:r w:rsidR="00C2388A">
        <w:rPr>
          <w:i/>
          <w:iCs/>
        </w:rPr>
        <w:t>PG&amp;E</w:t>
      </w:r>
      <w:r w:rsidRPr="00975E34">
        <w:t xml:space="preserve">, 475 U.S. </w:t>
      </w:r>
      <w:r w:rsidR="00C2388A">
        <w:t>at</w:t>
      </w:r>
      <w:r w:rsidRPr="00975E34">
        <w:t xml:space="preserve"> 10-19; </w:t>
      </w:r>
      <w:r w:rsidRPr="00975E34">
        <w:rPr>
          <w:i/>
          <w:iCs/>
        </w:rPr>
        <w:t>Cent</w:t>
      </w:r>
      <w:r w:rsidR="008E75AE">
        <w:rPr>
          <w:i/>
          <w:iCs/>
        </w:rPr>
        <w:t>ral</w:t>
      </w:r>
      <w:r w:rsidRPr="00975E34">
        <w:rPr>
          <w:i/>
          <w:iCs/>
        </w:rPr>
        <w:t xml:space="preserve"> Hudson</w:t>
      </w:r>
      <w:r w:rsidRPr="00975E34">
        <w:t>, 447 U.S. 557).</w:t>
      </w:r>
    </w:p>
  </w:footnote>
  <w:footnote w:id="441">
    <w:p w14:paraId="5E0A15E8" w14:textId="05661EF3" w:rsidR="00A82D05" w:rsidRPr="005C2582" w:rsidRDefault="00A82D05" w:rsidP="00A82D05">
      <w:pPr>
        <w:pStyle w:val="FootnoteText"/>
      </w:pPr>
      <w:r>
        <w:rPr>
          <w:rStyle w:val="FootnoteReference"/>
        </w:rPr>
        <w:footnoteRef/>
      </w:r>
      <w:r>
        <w:t xml:space="preserve"> </w:t>
      </w:r>
      <w:r>
        <w:rPr>
          <w:i/>
          <w:iCs/>
        </w:rPr>
        <w:t xml:space="preserve">See </w:t>
      </w:r>
      <w:proofErr w:type="gramStart"/>
      <w:r>
        <w:rPr>
          <w:i/>
          <w:iCs/>
        </w:rPr>
        <w:t>supra</w:t>
      </w:r>
      <w:r>
        <w:t xml:space="preserve"> </w:t>
      </w:r>
      <w:r w:rsidRPr="002076DE">
        <w:t>Requirements</w:t>
      </w:r>
      <w:proofErr w:type="gramEnd"/>
      <w:r w:rsidRPr="002076DE">
        <w:t xml:space="preserve"> Concerning Relevant State Entities’ Agreed-upon Cost Allocation Methods section</w:t>
      </w:r>
      <w:r>
        <w:t>.</w:t>
      </w:r>
    </w:p>
  </w:footnote>
  <w:footnote w:id="442">
    <w:p w14:paraId="43F74590" w14:textId="7BF22E87" w:rsidR="00A82D05" w:rsidRDefault="00A82D05" w:rsidP="00A82D05">
      <w:pPr>
        <w:pStyle w:val="FootnoteText"/>
      </w:pPr>
      <w:r>
        <w:rPr>
          <w:rStyle w:val="FootnoteReference"/>
        </w:rPr>
        <w:footnoteRef/>
      </w:r>
      <w:r w:rsidR="001E0A7D">
        <w:t xml:space="preserve"> </w:t>
      </w:r>
      <w:r w:rsidR="001E0A7D" w:rsidRPr="001E0A7D">
        <w:rPr>
          <w:bCs/>
        </w:rPr>
        <w:t>Consultation with Relevant State Entities After the Engagement Period</w:t>
      </w:r>
      <w:r w:rsidR="001E0A7D">
        <w:rPr>
          <w:bCs/>
        </w:rPr>
        <w:t>,</w:t>
      </w:r>
      <w:r w:rsidR="001E0A7D" w:rsidRPr="002076DE">
        <w:t xml:space="preserve"> Statutory </w:t>
      </w:r>
      <w:r w:rsidR="001E0A7D">
        <w:rPr>
          <w:bCs/>
        </w:rPr>
        <w:t>Filing Rights Under the FPA</w:t>
      </w:r>
      <w:r w:rsidR="001E0A7D" w:rsidRPr="002076DE">
        <w:t xml:space="preserve"> section</w:t>
      </w:r>
      <w:r w:rsidR="001E0A7D">
        <w:rPr>
          <w:bCs/>
        </w:rPr>
        <w:t>.</w:t>
      </w:r>
    </w:p>
  </w:footnote>
  <w:footnote w:id="443">
    <w:p w14:paraId="00348ED1" w14:textId="7321E216" w:rsidR="00A82D05" w:rsidRPr="000D5AE3" w:rsidRDefault="00A82D05" w:rsidP="00822DE6">
      <w:pPr>
        <w:pStyle w:val="FootnoteText"/>
        <w:widowControl/>
        <w:rPr>
          <w:i/>
          <w:iCs/>
        </w:rPr>
      </w:pPr>
      <w:r>
        <w:rPr>
          <w:rStyle w:val="FootnoteReference"/>
        </w:rPr>
        <w:footnoteRef/>
      </w:r>
      <w:r>
        <w:t xml:space="preserve"> </w:t>
      </w:r>
      <w:r>
        <w:rPr>
          <w:i/>
          <w:iCs/>
        </w:rPr>
        <w:t>Full Value Advisors, LLC</w:t>
      </w:r>
      <w:r>
        <w:t xml:space="preserve">, 633 F.3d at 1108-09 (rejecting a First Amendment challenge to a statute “indistinguishable from other underlying and oft unnoticed forms of disclosure the Government requires for its ‘essential operations’” (first quoting </w:t>
      </w:r>
      <w:r>
        <w:rPr>
          <w:i/>
          <w:iCs/>
        </w:rPr>
        <w:t>Turner Broad. Sys., Inc.</w:t>
      </w:r>
      <w:r>
        <w:t xml:space="preserve">, 512 U.S. at 641; then quoting </w:t>
      </w:r>
      <w:r w:rsidRPr="00B5263B">
        <w:rPr>
          <w:i/>
          <w:iCs/>
        </w:rPr>
        <w:t>W</w:t>
      </w:r>
      <w:r>
        <w:rPr>
          <w:i/>
          <w:iCs/>
        </w:rPr>
        <w:t>.</w:t>
      </w:r>
      <w:r w:rsidRPr="00B5263B">
        <w:rPr>
          <w:i/>
          <w:iCs/>
        </w:rPr>
        <w:t xml:space="preserve"> V</w:t>
      </w:r>
      <w:r>
        <w:rPr>
          <w:i/>
          <w:iCs/>
        </w:rPr>
        <w:t>a.</w:t>
      </w:r>
      <w:r w:rsidRPr="00B5263B">
        <w:rPr>
          <w:i/>
          <w:iCs/>
        </w:rPr>
        <w:t xml:space="preserve"> State B</w:t>
      </w:r>
      <w:r>
        <w:rPr>
          <w:i/>
          <w:iCs/>
        </w:rPr>
        <w:t>d.</w:t>
      </w:r>
      <w:r w:rsidRPr="00B5263B">
        <w:rPr>
          <w:i/>
          <w:iCs/>
        </w:rPr>
        <w:t xml:space="preserve"> of Ed</w:t>
      </w:r>
      <w:r>
        <w:rPr>
          <w:i/>
          <w:iCs/>
        </w:rPr>
        <w:t>uc. v. Barnette</w:t>
      </w:r>
      <w:r w:rsidRPr="00B5263B">
        <w:rPr>
          <w:i/>
          <w:iCs/>
        </w:rPr>
        <w:t>,</w:t>
      </w:r>
      <w:r w:rsidRPr="00B5263B">
        <w:t xml:space="preserve"> 319 U.S. </w:t>
      </w:r>
      <w:r w:rsidR="007206A9">
        <w:t>at</w:t>
      </w:r>
      <w:r>
        <w:t xml:space="preserve"> </w:t>
      </w:r>
      <w:r w:rsidRPr="00B5263B">
        <w:t>645</w:t>
      </w:r>
      <w:r>
        <w:t>)</w:t>
      </w:r>
      <w:r w:rsidR="005B5A82">
        <w:t>)</w:t>
      </w:r>
      <w:r>
        <w:t xml:space="preserve">.  </w:t>
      </w:r>
      <w:r>
        <w:rPr>
          <w:i/>
          <w:iCs/>
        </w:rPr>
        <w:t>See also Sindel</w:t>
      </w:r>
      <w:r>
        <w:t xml:space="preserve">, 53 F.3d </w:t>
      </w:r>
      <w:r w:rsidR="0094298D">
        <w:t>at</w:t>
      </w:r>
      <w:r>
        <w:t xml:space="preserve"> 878; </w:t>
      </w:r>
      <w:r>
        <w:rPr>
          <w:i/>
          <w:iCs/>
        </w:rPr>
        <w:t>Scahill v. District of Columbia</w:t>
      </w:r>
      <w:r>
        <w:t xml:space="preserve">, 909 F.3d </w:t>
      </w:r>
      <w:r w:rsidR="00990964">
        <w:t>at</w:t>
      </w:r>
      <w:r>
        <w:t xml:space="preserve"> 1185.</w:t>
      </w:r>
    </w:p>
  </w:footnote>
  <w:footnote w:id="444">
    <w:p w14:paraId="7B5791CF" w14:textId="77777777" w:rsidR="00A82D05" w:rsidRPr="001726AF" w:rsidRDefault="00A82D05" w:rsidP="00A82D05">
      <w:pPr>
        <w:pStyle w:val="FootnoteText"/>
      </w:pPr>
      <w:r>
        <w:rPr>
          <w:rStyle w:val="FootnoteReference"/>
        </w:rPr>
        <w:footnoteRef/>
      </w:r>
      <w:r>
        <w:t xml:space="preserve"> </w:t>
      </w:r>
      <w:r>
        <w:rPr>
          <w:i/>
          <w:iCs/>
        </w:rPr>
        <w:t>South Carolina</w:t>
      </w:r>
      <w:r>
        <w:t>, 762 F.3d at 57 (describing this Order No. 1000 reform as “</w:t>
      </w:r>
      <w:proofErr w:type="spellStart"/>
      <w:r>
        <w:t>involv</w:t>
      </w:r>
      <w:proofErr w:type="spellEnd"/>
      <w:r>
        <w:t>[</w:t>
      </w:r>
      <w:proofErr w:type="spellStart"/>
      <w:r>
        <w:t>ing</w:t>
      </w:r>
      <w:proofErr w:type="spellEnd"/>
      <w:r>
        <w:t>] a core reason underlying Congress’ instruction in [FPA] Section 206”).</w:t>
      </w:r>
    </w:p>
  </w:footnote>
  <w:footnote w:id="445">
    <w:p w14:paraId="2CFCB821" w14:textId="2BD522A6" w:rsidR="00A82D05" w:rsidRPr="005426BB" w:rsidRDefault="00A82D05" w:rsidP="00A82D05">
      <w:pPr>
        <w:pStyle w:val="FootnoteText"/>
      </w:pPr>
      <w:r>
        <w:rPr>
          <w:rStyle w:val="FootnoteReference"/>
        </w:rPr>
        <w:footnoteRef/>
      </w:r>
      <w:r>
        <w:t xml:space="preserve"> </w:t>
      </w:r>
      <w:r>
        <w:rPr>
          <w:i/>
          <w:iCs/>
          <w:szCs w:val="26"/>
        </w:rPr>
        <w:t>Central Hudson</w:t>
      </w:r>
      <w:r>
        <w:rPr>
          <w:szCs w:val="26"/>
        </w:rPr>
        <w:t xml:space="preserve">, 447 U.S. at 561; </w:t>
      </w:r>
      <w:r>
        <w:rPr>
          <w:i/>
          <w:iCs/>
          <w:szCs w:val="26"/>
        </w:rPr>
        <w:t>see also Md. Shall Issue, Inc.</w:t>
      </w:r>
      <w:r>
        <w:rPr>
          <w:szCs w:val="26"/>
        </w:rPr>
        <w:t xml:space="preserve">, 91 F.4th </w:t>
      </w:r>
      <w:r w:rsidR="00822DE6">
        <w:rPr>
          <w:szCs w:val="26"/>
        </w:rPr>
        <w:t xml:space="preserve">               </w:t>
      </w:r>
      <w:r>
        <w:rPr>
          <w:szCs w:val="26"/>
        </w:rPr>
        <w:t>at 248.</w:t>
      </w:r>
    </w:p>
  </w:footnote>
  <w:footnote w:id="446">
    <w:p w14:paraId="763089D3" w14:textId="7E8C9CB1" w:rsidR="00A82D05" w:rsidRDefault="00A82D05" w:rsidP="00A82D05">
      <w:pPr>
        <w:pStyle w:val="FootnoteText"/>
      </w:pPr>
      <w:r>
        <w:rPr>
          <w:rStyle w:val="FootnoteReference"/>
        </w:rPr>
        <w:footnoteRef/>
      </w:r>
      <w:r>
        <w:t xml:space="preserve"> </w:t>
      </w:r>
      <w:r w:rsidRPr="00816D21">
        <w:rPr>
          <w:i/>
          <w:iCs/>
          <w:szCs w:val="26"/>
        </w:rPr>
        <w:t>See B</w:t>
      </w:r>
      <w:r>
        <w:rPr>
          <w:i/>
          <w:iCs/>
          <w:szCs w:val="26"/>
        </w:rPr>
        <w:t>d.</w:t>
      </w:r>
      <w:r w:rsidRPr="00816D21">
        <w:rPr>
          <w:i/>
          <w:iCs/>
          <w:szCs w:val="26"/>
        </w:rPr>
        <w:t xml:space="preserve"> of </w:t>
      </w:r>
      <w:proofErr w:type="spellStart"/>
      <w:r w:rsidRPr="00816D21">
        <w:rPr>
          <w:i/>
          <w:iCs/>
          <w:szCs w:val="26"/>
        </w:rPr>
        <w:t>Tr</w:t>
      </w:r>
      <w:r>
        <w:rPr>
          <w:i/>
          <w:iCs/>
          <w:szCs w:val="26"/>
        </w:rPr>
        <w:t>s</w:t>
      </w:r>
      <w:proofErr w:type="spellEnd"/>
      <w:r>
        <w:rPr>
          <w:i/>
          <w:iCs/>
          <w:szCs w:val="26"/>
        </w:rPr>
        <w:t>.</w:t>
      </w:r>
      <w:r w:rsidRPr="00816D21">
        <w:rPr>
          <w:i/>
          <w:iCs/>
          <w:szCs w:val="26"/>
        </w:rPr>
        <w:t xml:space="preserve"> of State Univ</w:t>
      </w:r>
      <w:r>
        <w:rPr>
          <w:i/>
          <w:iCs/>
          <w:szCs w:val="26"/>
        </w:rPr>
        <w:t>.</w:t>
      </w:r>
      <w:r w:rsidRPr="00816D21">
        <w:rPr>
          <w:i/>
          <w:iCs/>
          <w:szCs w:val="26"/>
        </w:rPr>
        <w:t xml:space="preserve"> of N</w:t>
      </w:r>
      <w:r>
        <w:rPr>
          <w:i/>
          <w:iCs/>
          <w:szCs w:val="26"/>
        </w:rPr>
        <w:t>.</w:t>
      </w:r>
      <w:r w:rsidRPr="00816D21">
        <w:rPr>
          <w:i/>
          <w:iCs/>
          <w:szCs w:val="26"/>
        </w:rPr>
        <w:t>Y</w:t>
      </w:r>
      <w:r>
        <w:rPr>
          <w:i/>
          <w:iCs/>
          <w:szCs w:val="26"/>
        </w:rPr>
        <w:t>.</w:t>
      </w:r>
      <w:r w:rsidRPr="00367BE1">
        <w:rPr>
          <w:szCs w:val="26"/>
        </w:rPr>
        <w:t>,</w:t>
      </w:r>
      <w:r w:rsidRPr="00816D21">
        <w:rPr>
          <w:i/>
          <w:iCs/>
          <w:szCs w:val="26"/>
        </w:rPr>
        <w:t xml:space="preserve"> </w:t>
      </w:r>
      <w:r w:rsidRPr="00816D21">
        <w:rPr>
          <w:szCs w:val="26"/>
        </w:rPr>
        <w:t>492 U.S. 469</w:t>
      </w:r>
      <w:r>
        <w:rPr>
          <w:szCs w:val="26"/>
        </w:rPr>
        <w:t xml:space="preserve">; </w:t>
      </w:r>
      <w:r>
        <w:rPr>
          <w:i/>
          <w:iCs/>
        </w:rPr>
        <w:t xml:space="preserve">see </w:t>
      </w:r>
      <w:proofErr w:type="gramStart"/>
      <w:r>
        <w:rPr>
          <w:i/>
          <w:iCs/>
        </w:rPr>
        <w:t xml:space="preserve">supra </w:t>
      </w:r>
      <w:r w:rsidRPr="002076DE">
        <w:t>Requirements</w:t>
      </w:r>
      <w:proofErr w:type="gramEnd"/>
      <w:r w:rsidRPr="002076DE">
        <w:t xml:space="preserve"> Concerning Relevant State Entities’ Agreed-upon Cost Allocation Methods section</w:t>
      </w:r>
      <w:r>
        <w:rPr>
          <w:szCs w:val="26"/>
        </w:rPr>
        <w:t>.</w:t>
      </w:r>
    </w:p>
  </w:footnote>
  <w:footnote w:id="447">
    <w:p w14:paraId="3F245A90" w14:textId="4BFD4699" w:rsidR="00A82D05" w:rsidRPr="00146838" w:rsidRDefault="00A82D05" w:rsidP="00A82D05">
      <w:pPr>
        <w:pStyle w:val="FootnoteText"/>
      </w:pPr>
      <w:r>
        <w:rPr>
          <w:rStyle w:val="FootnoteReference"/>
        </w:rPr>
        <w:footnoteRef/>
      </w:r>
      <w:r>
        <w:t xml:space="preserve"> </w:t>
      </w:r>
      <w:r>
        <w:rPr>
          <w:i/>
          <w:iCs/>
        </w:rPr>
        <w:t>Wooley</w:t>
      </w:r>
      <w:r>
        <w:t xml:space="preserve">, 430 U.S. </w:t>
      </w:r>
      <w:r w:rsidR="00145DAC">
        <w:t>at</w:t>
      </w:r>
      <w:r>
        <w:t xml:space="preserve"> 707.</w:t>
      </w:r>
    </w:p>
  </w:footnote>
  <w:footnote w:id="448">
    <w:p w14:paraId="70B32A57" w14:textId="7940EBF1" w:rsidR="00A82D05" w:rsidRDefault="00A82D05" w:rsidP="00A82D05">
      <w:pPr>
        <w:pStyle w:val="FootnoteText"/>
      </w:pPr>
      <w:r>
        <w:rPr>
          <w:rStyle w:val="FootnoteReference"/>
        </w:rPr>
        <w:footnoteRef/>
      </w:r>
      <w:r>
        <w:t xml:space="preserve"> </w:t>
      </w:r>
      <w:r>
        <w:rPr>
          <w:i/>
          <w:iCs/>
          <w:szCs w:val="26"/>
        </w:rPr>
        <w:t>Md. Shall Issue</w:t>
      </w:r>
      <w:r w:rsidRPr="00A20492">
        <w:rPr>
          <w:szCs w:val="26"/>
        </w:rPr>
        <w:t>,</w:t>
      </w:r>
      <w:r>
        <w:rPr>
          <w:i/>
          <w:iCs/>
          <w:szCs w:val="26"/>
        </w:rPr>
        <w:t xml:space="preserve"> Inc.</w:t>
      </w:r>
      <w:r>
        <w:rPr>
          <w:szCs w:val="26"/>
        </w:rPr>
        <w:t>, 91 F.4th at 248.</w:t>
      </w:r>
    </w:p>
  </w:footnote>
  <w:footnote w:id="449">
    <w:p w14:paraId="246C3841" w14:textId="682408FF" w:rsidR="00A82D05" w:rsidRDefault="00A82D05" w:rsidP="00822DE6">
      <w:pPr>
        <w:pStyle w:val="FootnoteText"/>
        <w:widowControl/>
      </w:pPr>
      <w:r>
        <w:rPr>
          <w:rStyle w:val="FootnoteReference"/>
        </w:rPr>
        <w:footnoteRef/>
      </w:r>
      <w:r>
        <w:t xml:space="preserve"> </w:t>
      </w:r>
      <w:r w:rsidRPr="00B92790">
        <w:rPr>
          <w:i/>
          <w:iCs/>
          <w:szCs w:val="26"/>
        </w:rPr>
        <w:t>Recht</w:t>
      </w:r>
      <w:r w:rsidRPr="00816D21">
        <w:rPr>
          <w:szCs w:val="26"/>
        </w:rPr>
        <w:t xml:space="preserve">, 32 F.4th </w:t>
      </w:r>
      <w:r w:rsidR="001F269B">
        <w:rPr>
          <w:szCs w:val="26"/>
        </w:rPr>
        <w:t>at</w:t>
      </w:r>
      <w:r>
        <w:rPr>
          <w:szCs w:val="26"/>
        </w:rPr>
        <w:t xml:space="preserve"> 409.  While Indicated PJM TOs argue that either strict or intermediate scrutiny should apply to the requirement that transmission providers include in their compliance filings the Long-Term Regional Transmission Cost Allocation Method(s) and/or State Agreement Process agreed upon by Relevant State Entities, Indicated PJM TOs do not specify the level of constitutional scrutiny they believe should apply to the requirement that </w:t>
      </w:r>
      <w:r w:rsidRPr="007F229F">
        <w:rPr>
          <w:szCs w:val="26"/>
        </w:rPr>
        <w:t>transmission providers explain why they have chosen not to propose any amendments to the Long-Term Regional Transmission Cost Allocation Method(s) and/or State Agreement Process preferred by Relevant State Entities during the required consultation</w:t>
      </w:r>
      <w:r>
        <w:rPr>
          <w:szCs w:val="26"/>
        </w:rPr>
        <w:t xml:space="preserve">.  Indicated PJM TOs Rehearing Request at 31-33.  For the avoidance of doubt, we find that strict scrutiny is inapplicable to the requirement that </w:t>
      </w:r>
      <w:r w:rsidRPr="007F229F">
        <w:rPr>
          <w:szCs w:val="26"/>
        </w:rPr>
        <w:t>transmission providers explain why they have chosen not to propose any amendments to the Long-Term Regional Transmission Cost Allocation Method(s) and/or State Agreement Process preferred by Relevant State Entities during the required consultation</w:t>
      </w:r>
      <w:r w:rsidR="00232B59">
        <w:rPr>
          <w:szCs w:val="26"/>
        </w:rPr>
        <w:t xml:space="preserve"> after the Engagement Period</w:t>
      </w:r>
      <w:r>
        <w:rPr>
          <w:szCs w:val="26"/>
        </w:rPr>
        <w:t>.</w:t>
      </w:r>
    </w:p>
  </w:footnote>
  <w:footnote w:id="450">
    <w:p w14:paraId="66B6D7C6" w14:textId="20EAF5EA" w:rsidR="00A82D05" w:rsidRDefault="00A82D05" w:rsidP="00A82D05">
      <w:pPr>
        <w:pStyle w:val="FootnoteText"/>
      </w:pPr>
      <w:r>
        <w:rPr>
          <w:rStyle w:val="FootnoteReference"/>
        </w:rPr>
        <w:footnoteRef/>
      </w:r>
      <w:r>
        <w:t xml:space="preserve"> Order No. 1920-A, </w:t>
      </w:r>
      <w:r w:rsidRPr="00325478">
        <w:t>189 FERC ¶ 61,126</w:t>
      </w:r>
      <w:r>
        <w:t xml:space="preserve"> at P 692 (citing Order No. </w:t>
      </w:r>
      <w:proofErr w:type="gramStart"/>
      <w:r>
        <w:t xml:space="preserve">1920, </w:t>
      </w:r>
      <w:r w:rsidR="00822DE6">
        <w:t xml:space="preserve">  </w:t>
      </w:r>
      <w:proofErr w:type="gramEnd"/>
      <w:r w:rsidR="00822DE6">
        <w:t xml:space="preserve">            </w:t>
      </w:r>
      <w:r w:rsidRPr="00D72461">
        <w:t>187 FERC ¶ 61,068 at PP 124, 126</w:t>
      </w:r>
      <w:r>
        <w:t>).</w:t>
      </w:r>
    </w:p>
  </w:footnote>
  <w:footnote w:id="451">
    <w:p w14:paraId="0F80AFAF" w14:textId="2BC796A6" w:rsidR="00A82D05" w:rsidRPr="004D75FE" w:rsidRDefault="00A82D05" w:rsidP="00A82D05">
      <w:pPr>
        <w:pStyle w:val="FootnoteText"/>
        <w:rPr>
          <w:b/>
          <w:bCs/>
        </w:rPr>
      </w:pPr>
      <w:r>
        <w:rPr>
          <w:rStyle w:val="FootnoteReference"/>
        </w:rPr>
        <w:footnoteRef/>
      </w:r>
      <w:r>
        <w:t xml:space="preserve"> </w:t>
      </w:r>
      <w:r w:rsidRPr="00816D21">
        <w:rPr>
          <w:i/>
          <w:iCs/>
          <w:szCs w:val="26"/>
        </w:rPr>
        <w:t>See B</w:t>
      </w:r>
      <w:r>
        <w:rPr>
          <w:i/>
          <w:iCs/>
          <w:szCs w:val="26"/>
        </w:rPr>
        <w:t>d.</w:t>
      </w:r>
      <w:r w:rsidRPr="00816D21">
        <w:rPr>
          <w:i/>
          <w:iCs/>
          <w:szCs w:val="26"/>
        </w:rPr>
        <w:t xml:space="preserve"> of </w:t>
      </w:r>
      <w:proofErr w:type="spellStart"/>
      <w:r w:rsidRPr="00816D21">
        <w:rPr>
          <w:i/>
          <w:iCs/>
          <w:szCs w:val="26"/>
        </w:rPr>
        <w:t>Tr</w:t>
      </w:r>
      <w:r>
        <w:rPr>
          <w:i/>
          <w:iCs/>
          <w:szCs w:val="26"/>
        </w:rPr>
        <w:t>s</w:t>
      </w:r>
      <w:proofErr w:type="spellEnd"/>
      <w:r>
        <w:rPr>
          <w:i/>
          <w:iCs/>
          <w:szCs w:val="26"/>
        </w:rPr>
        <w:t>.</w:t>
      </w:r>
      <w:r w:rsidRPr="00816D21">
        <w:rPr>
          <w:i/>
          <w:iCs/>
          <w:szCs w:val="26"/>
        </w:rPr>
        <w:t xml:space="preserve"> of State Univ</w:t>
      </w:r>
      <w:r>
        <w:rPr>
          <w:i/>
          <w:iCs/>
          <w:szCs w:val="26"/>
        </w:rPr>
        <w:t>.</w:t>
      </w:r>
      <w:r w:rsidRPr="00816D21">
        <w:rPr>
          <w:i/>
          <w:iCs/>
          <w:szCs w:val="26"/>
        </w:rPr>
        <w:t xml:space="preserve"> of N</w:t>
      </w:r>
      <w:r>
        <w:rPr>
          <w:i/>
          <w:iCs/>
          <w:szCs w:val="26"/>
        </w:rPr>
        <w:t>.</w:t>
      </w:r>
      <w:r w:rsidRPr="00816D21">
        <w:rPr>
          <w:i/>
          <w:iCs/>
          <w:szCs w:val="26"/>
        </w:rPr>
        <w:t>Y</w:t>
      </w:r>
      <w:r>
        <w:rPr>
          <w:i/>
          <w:iCs/>
          <w:szCs w:val="26"/>
        </w:rPr>
        <w:t>.</w:t>
      </w:r>
      <w:r w:rsidRPr="00147E4D">
        <w:rPr>
          <w:szCs w:val="26"/>
        </w:rPr>
        <w:t>,</w:t>
      </w:r>
      <w:r w:rsidRPr="00816D21">
        <w:rPr>
          <w:i/>
          <w:iCs/>
          <w:szCs w:val="26"/>
        </w:rPr>
        <w:t xml:space="preserve"> </w:t>
      </w:r>
      <w:r w:rsidRPr="00816D21">
        <w:rPr>
          <w:szCs w:val="26"/>
        </w:rPr>
        <w:t xml:space="preserve">492 U.S. </w:t>
      </w:r>
      <w:r w:rsidR="00BF2232">
        <w:rPr>
          <w:szCs w:val="26"/>
        </w:rPr>
        <w:t>at</w:t>
      </w:r>
      <w:r>
        <w:rPr>
          <w:szCs w:val="26"/>
        </w:rPr>
        <w:t xml:space="preserve"> 480</w:t>
      </w:r>
      <w:r w:rsidRPr="00816D21">
        <w:rPr>
          <w:szCs w:val="26"/>
        </w:rPr>
        <w:t xml:space="preserve"> </w:t>
      </w:r>
      <w:r>
        <w:rPr>
          <w:szCs w:val="26"/>
        </w:rPr>
        <w:t xml:space="preserve">(quoting </w:t>
      </w:r>
      <w:r>
        <w:rPr>
          <w:i/>
          <w:iCs/>
          <w:szCs w:val="26"/>
        </w:rPr>
        <w:t>In re R.M.J.</w:t>
      </w:r>
      <w:r>
        <w:rPr>
          <w:szCs w:val="26"/>
        </w:rPr>
        <w:t xml:space="preserve">, 455 U.S. 191, 203 (1982)).  </w:t>
      </w:r>
      <w:r>
        <w:t xml:space="preserve">As discussed above at note </w:t>
      </w:r>
      <w:r w:rsidR="00954742">
        <w:t>359</w:t>
      </w:r>
      <w:r>
        <w:t xml:space="preserve">, regulations on commercial speech such as the requirement that transmission providers explain why they have chosen not to propose any amendments to the Long-Term Regional Transmission Cost Allocation Method(s) and/or State Agreement Process preferred by Relevant State Entities during the required consultation </w:t>
      </w:r>
      <w:r w:rsidRPr="00816D21">
        <w:rPr>
          <w:szCs w:val="26"/>
        </w:rPr>
        <w:t xml:space="preserve">need not be the least restrictive means of achieving the government’s </w:t>
      </w:r>
      <w:r>
        <w:rPr>
          <w:szCs w:val="26"/>
        </w:rPr>
        <w:t xml:space="preserve">substantial </w:t>
      </w:r>
      <w:r w:rsidRPr="00816D21">
        <w:rPr>
          <w:szCs w:val="26"/>
        </w:rPr>
        <w:t>interest</w:t>
      </w:r>
      <w:r>
        <w:rPr>
          <w:szCs w:val="26"/>
        </w:rPr>
        <w:t xml:space="preserve">.  </w:t>
      </w:r>
      <w:r w:rsidR="00936679">
        <w:rPr>
          <w:i/>
          <w:iCs/>
          <w:szCs w:val="26"/>
        </w:rPr>
        <w:t>Id</w:t>
      </w:r>
      <w:r w:rsidRPr="00B46DC0">
        <w:rPr>
          <w:i/>
          <w:iCs/>
          <w:szCs w:val="26"/>
        </w:rPr>
        <w:t>.</w:t>
      </w:r>
      <w:r>
        <w:rPr>
          <w:szCs w:val="26"/>
        </w:rPr>
        <w:t xml:space="preserve">  Thus, the fact that Relevant State Entities could alternatively “file their own proposal under FPA section 206” has no bearing on the constitutionality of this requirement.  Indicated PJM TOs Rehearing Request at 33.</w:t>
      </w:r>
    </w:p>
  </w:footnote>
  <w:footnote w:id="452">
    <w:p w14:paraId="7FE57AFD" w14:textId="00626A01" w:rsidR="00C16C63" w:rsidRDefault="00C16C63" w:rsidP="00C16C63">
      <w:pPr>
        <w:pStyle w:val="FootnoteText"/>
      </w:pPr>
      <w:r>
        <w:rPr>
          <w:rStyle w:val="FootnoteReference"/>
        </w:rPr>
        <w:footnoteRef/>
      </w:r>
      <w:r>
        <w:t xml:space="preserve"> Order No. 1920, </w:t>
      </w:r>
      <w:r w:rsidRPr="00AA7926">
        <w:t>187 FERC ¶ 61,068</w:t>
      </w:r>
      <w:r>
        <w:t xml:space="preserve"> at P</w:t>
      </w:r>
      <w:r w:rsidR="00A55E3A">
        <w:t>P </w:t>
      </w:r>
      <w:r>
        <w:t>44</w:t>
      </w:r>
      <w:r w:rsidR="00A55E3A">
        <w:t>, 1355</w:t>
      </w:r>
      <w:r>
        <w:t>;</w:t>
      </w:r>
      <w:r w:rsidRPr="006C66E7">
        <w:rPr>
          <w:i/>
          <w:iCs/>
        </w:rPr>
        <w:t xml:space="preserve"> </w:t>
      </w:r>
      <w:r w:rsidRPr="00CE27C3">
        <w:rPr>
          <w:i/>
          <w:iCs/>
        </w:rPr>
        <w:t xml:space="preserve">see also </w:t>
      </w:r>
      <w:r w:rsidRPr="00CE27C3">
        <w:t xml:space="preserve">Order </w:t>
      </w:r>
      <w:r w:rsidR="00822DE6">
        <w:t xml:space="preserve">                      </w:t>
      </w:r>
      <w:r w:rsidRPr="00CE27C3">
        <w:t xml:space="preserve">No. 1920-A, 189 FERC ¶ 61,126 at P </w:t>
      </w:r>
      <w:r>
        <w:t>701</w:t>
      </w:r>
      <w:r w:rsidRPr="00CE27C3">
        <w:t>.</w:t>
      </w:r>
    </w:p>
  </w:footnote>
  <w:footnote w:id="453">
    <w:p w14:paraId="00EFE806" w14:textId="1554F9CE" w:rsidR="00634135" w:rsidRDefault="00634135" w:rsidP="00634135">
      <w:pPr>
        <w:pStyle w:val="FootnoteText"/>
      </w:pPr>
      <w:r>
        <w:rPr>
          <w:rStyle w:val="FootnoteReference"/>
        </w:rPr>
        <w:footnoteRef/>
      </w:r>
      <w:r>
        <w:t xml:space="preserve"> Order No. 1920, </w:t>
      </w:r>
      <w:r w:rsidRPr="00AA7926">
        <w:t>187 FERC ¶ 61,068</w:t>
      </w:r>
      <w:r>
        <w:t xml:space="preserve"> at P </w:t>
      </w:r>
      <w:r w:rsidR="00D01650">
        <w:t>1364.</w:t>
      </w:r>
    </w:p>
  </w:footnote>
  <w:footnote w:id="454">
    <w:p w14:paraId="1EDABBAD" w14:textId="22519C93" w:rsidR="00D01650" w:rsidRDefault="00D01650" w:rsidP="00D01650">
      <w:pPr>
        <w:pStyle w:val="FootnoteText"/>
      </w:pPr>
      <w:r>
        <w:rPr>
          <w:rStyle w:val="FootnoteReference"/>
        </w:rPr>
        <w:footnoteRef/>
      </w:r>
      <w:r>
        <w:t xml:space="preserve"> </w:t>
      </w:r>
      <w:r w:rsidR="00013B10" w:rsidRPr="009101BF">
        <w:rPr>
          <w:i/>
          <w:iCs/>
        </w:rPr>
        <w:t>Id.</w:t>
      </w:r>
      <w:r w:rsidRPr="009101BF">
        <w:rPr>
          <w:i/>
          <w:iCs/>
        </w:rPr>
        <w:t xml:space="preserve"> </w:t>
      </w:r>
      <w:r>
        <w:t>P</w:t>
      </w:r>
      <w:r w:rsidR="00F93B09">
        <w:t> </w:t>
      </w:r>
      <w:r>
        <w:t>1000.</w:t>
      </w:r>
    </w:p>
  </w:footnote>
  <w:footnote w:id="455">
    <w:p w14:paraId="47F427EF" w14:textId="585633B1" w:rsidR="00E07E91" w:rsidRDefault="00E07E91">
      <w:pPr>
        <w:pStyle w:val="FootnoteText"/>
      </w:pPr>
      <w:r>
        <w:rPr>
          <w:rStyle w:val="FootnoteReference"/>
        </w:rPr>
        <w:footnoteRef/>
      </w:r>
      <w:r>
        <w:t xml:space="preserve"> </w:t>
      </w:r>
      <w:r w:rsidR="00013B10" w:rsidRPr="00C563A7">
        <w:rPr>
          <w:i/>
          <w:iCs/>
        </w:rPr>
        <w:t xml:space="preserve">Id. </w:t>
      </w:r>
      <w:r>
        <w:t>P 994</w:t>
      </w:r>
      <w:r w:rsidR="00B32A41">
        <w:t>.</w:t>
      </w:r>
    </w:p>
  </w:footnote>
  <w:footnote w:id="456">
    <w:p w14:paraId="2757BE2B" w14:textId="2FD19564" w:rsidR="003F1B46" w:rsidRDefault="003F1B46">
      <w:pPr>
        <w:pStyle w:val="FootnoteText"/>
      </w:pPr>
      <w:r>
        <w:rPr>
          <w:rStyle w:val="FootnoteReference"/>
        </w:rPr>
        <w:footnoteRef/>
      </w:r>
      <w:r>
        <w:t xml:space="preserve"> </w:t>
      </w:r>
      <w:r w:rsidR="00013B10" w:rsidRPr="00C563A7">
        <w:rPr>
          <w:i/>
          <w:iCs/>
        </w:rPr>
        <w:t xml:space="preserve">Id. </w:t>
      </w:r>
      <w:r>
        <w:t>P 1012.</w:t>
      </w:r>
    </w:p>
  </w:footnote>
  <w:footnote w:id="457">
    <w:p w14:paraId="17AC3432" w14:textId="5516FE00" w:rsidR="00081253" w:rsidRDefault="00081253">
      <w:pPr>
        <w:pStyle w:val="FootnoteText"/>
      </w:pPr>
      <w:r>
        <w:rPr>
          <w:rStyle w:val="FootnoteReference"/>
        </w:rPr>
        <w:footnoteRef/>
      </w:r>
      <w:r>
        <w:t xml:space="preserve"> </w:t>
      </w:r>
      <w:r w:rsidR="00013B10" w:rsidRPr="00C563A7">
        <w:rPr>
          <w:i/>
          <w:iCs/>
        </w:rPr>
        <w:t xml:space="preserve">Id. </w:t>
      </w:r>
      <w:r>
        <w:t>P 1354.</w:t>
      </w:r>
    </w:p>
  </w:footnote>
  <w:footnote w:id="458">
    <w:p w14:paraId="613882E4" w14:textId="39046AAC" w:rsidR="00F636A6" w:rsidRDefault="00F636A6">
      <w:pPr>
        <w:pStyle w:val="FootnoteText"/>
      </w:pPr>
      <w:r>
        <w:rPr>
          <w:rStyle w:val="FootnoteReference"/>
        </w:rPr>
        <w:footnoteRef/>
      </w:r>
      <w:r>
        <w:t xml:space="preserve"> </w:t>
      </w:r>
      <w:r w:rsidR="00C96CB8" w:rsidRPr="00C563A7">
        <w:rPr>
          <w:i/>
          <w:iCs/>
        </w:rPr>
        <w:t xml:space="preserve">Id. </w:t>
      </w:r>
      <w:r>
        <w:t>PP </w:t>
      </w:r>
      <w:r w:rsidR="005D34EB">
        <w:t xml:space="preserve">1364 </w:t>
      </w:r>
      <w:r w:rsidR="009A62CB">
        <w:t>&amp;</w:t>
      </w:r>
      <w:r w:rsidR="005D34EB">
        <w:t xml:space="preserve"> n.2914, </w:t>
      </w:r>
      <w:r w:rsidR="00E1640C">
        <w:t xml:space="preserve">1402, </w:t>
      </w:r>
      <w:r w:rsidR="00903D4F">
        <w:t xml:space="preserve">1416, </w:t>
      </w:r>
      <w:r>
        <w:t>1421.</w:t>
      </w:r>
    </w:p>
  </w:footnote>
  <w:footnote w:id="459">
    <w:p w14:paraId="7FD74D22" w14:textId="24A62261" w:rsidR="00406F49" w:rsidRDefault="00406F49" w:rsidP="00406F49">
      <w:pPr>
        <w:pStyle w:val="FootnoteText"/>
      </w:pPr>
      <w:r>
        <w:rPr>
          <w:rStyle w:val="FootnoteReference"/>
        </w:rPr>
        <w:footnoteRef/>
      </w:r>
      <w:r>
        <w:t xml:space="preserve"> Order No. 1920-A, 189 FERC ¶ 61,126 at P</w:t>
      </w:r>
      <w:r w:rsidR="0028722C">
        <w:t>P </w:t>
      </w:r>
      <w:r>
        <w:t>700</w:t>
      </w:r>
      <w:r w:rsidR="0028722C">
        <w:t>-701</w:t>
      </w:r>
      <w:r>
        <w:t>.</w:t>
      </w:r>
    </w:p>
  </w:footnote>
  <w:footnote w:id="460">
    <w:p w14:paraId="01B6FDB4" w14:textId="0DE8CC4A" w:rsidR="00406F49" w:rsidRDefault="00406F49" w:rsidP="00406F49">
      <w:pPr>
        <w:pStyle w:val="FootnoteText"/>
      </w:pPr>
      <w:r>
        <w:rPr>
          <w:rStyle w:val="FootnoteReference"/>
        </w:rPr>
        <w:footnoteRef/>
      </w:r>
      <w:r>
        <w:t xml:space="preserve"> </w:t>
      </w:r>
      <w:r w:rsidR="00C96CB8" w:rsidRPr="00C563A7">
        <w:rPr>
          <w:i/>
          <w:iCs/>
        </w:rPr>
        <w:t xml:space="preserve">Id. </w:t>
      </w:r>
      <w:r>
        <w:t>P 701</w:t>
      </w:r>
      <w:r w:rsidR="00CB378E">
        <w:t xml:space="preserve"> (</w:t>
      </w:r>
      <w:r w:rsidR="00CB378E" w:rsidRPr="00A6498B">
        <w:t>citing</w:t>
      </w:r>
      <w:r w:rsidR="00CB378E">
        <w:rPr>
          <w:i/>
          <w:iCs/>
        </w:rPr>
        <w:t xml:space="preserve"> </w:t>
      </w:r>
      <w:r w:rsidRPr="00CE27C3">
        <w:t xml:space="preserve">Order No. 1920, 187 FERC ¶ 61,068 at P </w:t>
      </w:r>
      <w:r w:rsidRPr="004C2789">
        <w:t>1364</w:t>
      </w:r>
      <w:r w:rsidR="00BD1B4C">
        <w:t>)</w:t>
      </w:r>
      <w:r>
        <w:t>.</w:t>
      </w:r>
    </w:p>
  </w:footnote>
  <w:footnote w:id="461">
    <w:p w14:paraId="642F88AD" w14:textId="1F75A782" w:rsidR="00406F49" w:rsidRPr="00DB37CD" w:rsidRDefault="00406F49" w:rsidP="00406F49">
      <w:pPr>
        <w:pStyle w:val="FootnoteText"/>
      </w:pPr>
      <w:r w:rsidRPr="00DB37CD">
        <w:rPr>
          <w:rStyle w:val="FootnoteReference"/>
        </w:rPr>
        <w:footnoteRef/>
      </w:r>
      <w:r w:rsidRPr="00DB37CD">
        <w:t xml:space="preserve"> </w:t>
      </w:r>
      <w:r w:rsidR="00C96CB8" w:rsidRPr="00C563A7">
        <w:rPr>
          <w:i/>
          <w:iCs/>
        </w:rPr>
        <w:t xml:space="preserve">Id. </w:t>
      </w:r>
      <w:r>
        <w:t xml:space="preserve">P </w:t>
      </w:r>
      <w:r w:rsidR="003B0647">
        <w:t xml:space="preserve">700 </w:t>
      </w:r>
      <w:r w:rsidR="00BD1B4C">
        <w:t>(</w:t>
      </w:r>
      <w:r w:rsidR="00BD1B4C" w:rsidRPr="00A6498B">
        <w:t>citing</w:t>
      </w:r>
      <w:r w:rsidR="00BD1B4C">
        <w:rPr>
          <w:i/>
          <w:iCs/>
        </w:rPr>
        <w:t xml:space="preserve"> </w:t>
      </w:r>
      <w:r w:rsidRPr="00CE27C3">
        <w:t xml:space="preserve">Order No. 1920, 187 FERC ¶ 61,068 at P </w:t>
      </w:r>
      <w:r w:rsidRPr="004C2789">
        <w:t>1364</w:t>
      </w:r>
      <w:r w:rsidR="00BD1B4C">
        <w:t>)</w:t>
      </w:r>
      <w:r>
        <w:t>.</w:t>
      </w:r>
    </w:p>
  </w:footnote>
  <w:footnote w:id="462">
    <w:p w14:paraId="0E9B4E16" w14:textId="22EB28DC" w:rsidR="00406F49" w:rsidRDefault="00406F49" w:rsidP="00406F49">
      <w:pPr>
        <w:pStyle w:val="FootnoteText"/>
      </w:pPr>
      <w:r>
        <w:rPr>
          <w:rStyle w:val="FootnoteReference"/>
        </w:rPr>
        <w:footnoteRef/>
      </w:r>
      <w:r>
        <w:t xml:space="preserve"> </w:t>
      </w:r>
      <w:r w:rsidR="005454AB" w:rsidRPr="00C563A7">
        <w:rPr>
          <w:i/>
          <w:iCs/>
        </w:rPr>
        <w:t xml:space="preserve">Id. </w:t>
      </w:r>
      <w:r>
        <w:t>P 703.</w:t>
      </w:r>
    </w:p>
  </w:footnote>
  <w:footnote w:id="463">
    <w:p w14:paraId="4490545E" w14:textId="77777777" w:rsidR="004D0659" w:rsidRDefault="004D0659" w:rsidP="004D0659">
      <w:pPr>
        <w:pStyle w:val="FootnoteText"/>
      </w:pPr>
      <w:r>
        <w:rPr>
          <w:rStyle w:val="FootnoteReference"/>
        </w:rPr>
        <w:footnoteRef/>
      </w:r>
      <w:r>
        <w:t xml:space="preserve"> </w:t>
      </w:r>
      <w:r w:rsidRPr="002C6B39">
        <w:t>NRECA</w:t>
      </w:r>
      <w:r>
        <w:t xml:space="preserve"> Rehearing Request at 12.</w:t>
      </w:r>
    </w:p>
  </w:footnote>
  <w:footnote w:id="464">
    <w:p w14:paraId="70016D17" w14:textId="2BE12686" w:rsidR="004D0659" w:rsidRDefault="004D0659" w:rsidP="004D0659">
      <w:pPr>
        <w:pStyle w:val="FootnoteText"/>
      </w:pPr>
      <w:r>
        <w:rPr>
          <w:rStyle w:val="FootnoteReference"/>
        </w:rPr>
        <w:footnoteRef/>
      </w:r>
      <w:r>
        <w:t xml:space="preserve"> </w:t>
      </w:r>
      <w:r w:rsidR="005454AB" w:rsidRPr="00C563A7">
        <w:rPr>
          <w:i/>
          <w:iCs/>
        </w:rPr>
        <w:t xml:space="preserve">Id. </w:t>
      </w:r>
      <w:r>
        <w:t>at 5-8.</w:t>
      </w:r>
    </w:p>
  </w:footnote>
  <w:footnote w:id="465">
    <w:p w14:paraId="01C30E7C" w14:textId="6D01C2AB" w:rsidR="004D0659" w:rsidRDefault="004D0659" w:rsidP="004D0659">
      <w:pPr>
        <w:pStyle w:val="FootnoteText"/>
      </w:pPr>
      <w:r>
        <w:rPr>
          <w:rStyle w:val="FootnoteReference"/>
        </w:rPr>
        <w:footnoteRef/>
      </w:r>
      <w:r>
        <w:t xml:space="preserve"> </w:t>
      </w:r>
      <w:r w:rsidR="005454AB" w:rsidRPr="00C563A7">
        <w:rPr>
          <w:i/>
          <w:iCs/>
        </w:rPr>
        <w:t xml:space="preserve">Id. </w:t>
      </w:r>
      <w:r>
        <w:t>at 9.</w:t>
      </w:r>
    </w:p>
  </w:footnote>
  <w:footnote w:id="466">
    <w:p w14:paraId="330F59BA" w14:textId="3DC1DBB3" w:rsidR="004D0659" w:rsidRDefault="004D0659" w:rsidP="004D0659">
      <w:pPr>
        <w:pStyle w:val="FootnoteText"/>
      </w:pPr>
      <w:r>
        <w:rPr>
          <w:rStyle w:val="FootnoteReference"/>
        </w:rPr>
        <w:footnoteRef/>
      </w:r>
      <w:r>
        <w:t xml:space="preserve"> </w:t>
      </w:r>
      <w:r w:rsidR="005454AB" w:rsidRPr="00C563A7">
        <w:rPr>
          <w:i/>
          <w:iCs/>
        </w:rPr>
        <w:t xml:space="preserve">Id. </w:t>
      </w:r>
      <w:r>
        <w:t>at 10.</w:t>
      </w:r>
    </w:p>
  </w:footnote>
  <w:footnote w:id="467">
    <w:p w14:paraId="6EF214A1" w14:textId="312E3A14" w:rsidR="004D0659" w:rsidRDefault="004D0659" w:rsidP="004D0659">
      <w:pPr>
        <w:pStyle w:val="FootnoteText"/>
      </w:pPr>
      <w:r>
        <w:rPr>
          <w:rStyle w:val="FootnoteReference"/>
        </w:rPr>
        <w:footnoteRef/>
      </w:r>
      <w:r>
        <w:t xml:space="preserve"> </w:t>
      </w:r>
      <w:r w:rsidR="005454AB" w:rsidRPr="00C563A7">
        <w:rPr>
          <w:i/>
          <w:iCs/>
        </w:rPr>
        <w:t xml:space="preserve">Id. </w:t>
      </w:r>
      <w:r>
        <w:t>at 11-12 (citing Order No. 1920-A, 189 FERC ¶</w:t>
      </w:r>
      <w:r w:rsidR="00D86CB9">
        <w:t> </w:t>
      </w:r>
      <w:r>
        <w:t xml:space="preserve">61,126 at </w:t>
      </w:r>
      <w:r w:rsidRPr="00464CBC">
        <w:t>P 704</w:t>
      </w:r>
      <w:r>
        <w:t>).</w:t>
      </w:r>
    </w:p>
  </w:footnote>
  <w:footnote w:id="468">
    <w:p w14:paraId="580E5016" w14:textId="44C46A4B" w:rsidR="004D0659" w:rsidRDefault="004D0659" w:rsidP="004D0659">
      <w:pPr>
        <w:pStyle w:val="FootnoteText"/>
      </w:pPr>
      <w:r>
        <w:rPr>
          <w:rStyle w:val="FootnoteReference"/>
        </w:rPr>
        <w:footnoteRef/>
      </w:r>
      <w:r>
        <w:t xml:space="preserve"> </w:t>
      </w:r>
      <w:r w:rsidR="005454AB" w:rsidRPr="00C563A7">
        <w:rPr>
          <w:i/>
          <w:iCs/>
        </w:rPr>
        <w:t xml:space="preserve">Id. </w:t>
      </w:r>
      <w:r>
        <w:t>at 13.</w:t>
      </w:r>
    </w:p>
  </w:footnote>
  <w:footnote w:id="469">
    <w:p w14:paraId="38232F8A" w14:textId="633095CB" w:rsidR="004D0659" w:rsidRDefault="004D0659" w:rsidP="004D0659">
      <w:pPr>
        <w:pStyle w:val="FootnoteText"/>
      </w:pPr>
      <w:r>
        <w:rPr>
          <w:rStyle w:val="FootnoteReference"/>
        </w:rPr>
        <w:footnoteRef/>
      </w:r>
      <w:r>
        <w:t xml:space="preserve"> </w:t>
      </w:r>
      <w:r w:rsidR="005454AB" w:rsidRPr="00C563A7">
        <w:rPr>
          <w:i/>
          <w:iCs/>
        </w:rPr>
        <w:t xml:space="preserve">Id. </w:t>
      </w:r>
      <w:r>
        <w:t>at 4, 13-14.</w:t>
      </w:r>
    </w:p>
  </w:footnote>
  <w:footnote w:id="470">
    <w:p w14:paraId="38E388EA" w14:textId="2A90C97B" w:rsidR="004D0659" w:rsidRDefault="004D0659" w:rsidP="004D0659">
      <w:pPr>
        <w:pStyle w:val="FootnoteText"/>
      </w:pPr>
      <w:r>
        <w:rPr>
          <w:rStyle w:val="FootnoteReference"/>
        </w:rPr>
        <w:footnoteRef/>
      </w:r>
      <w:r>
        <w:t xml:space="preserve"> </w:t>
      </w:r>
      <w:r w:rsidR="005454AB" w:rsidRPr="00C563A7">
        <w:rPr>
          <w:i/>
          <w:iCs/>
        </w:rPr>
        <w:t xml:space="preserve">Id. </w:t>
      </w:r>
      <w:r>
        <w:t>at 15.</w:t>
      </w:r>
    </w:p>
  </w:footnote>
  <w:footnote w:id="471">
    <w:p w14:paraId="45860B15" w14:textId="7E59026F" w:rsidR="00F317DA" w:rsidRPr="00DB37CD" w:rsidRDefault="00F317DA" w:rsidP="00F317DA">
      <w:pPr>
        <w:pStyle w:val="FootnoteText"/>
      </w:pPr>
      <w:r w:rsidRPr="00DB37CD">
        <w:rPr>
          <w:rStyle w:val="FootnoteReference"/>
        </w:rPr>
        <w:footnoteRef/>
      </w:r>
      <w:r w:rsidRPr="00DB37CD">
        <w:t xml:space="preserve"> </w:t>
      </w:r>
      <w:r w:rsidR="005454AB" w:rsidRPr="00C563A7">
        <w:rPr>
          <w:i/>
          <w:iCs/>
        </w:rPr>
        <w:t xml:space="preserve">Id. </w:t>
      </w:r>
      <w:r>
        <w:t>at 12.</w:t>
      </w:r>
    </w:p>
  </w:footnote>
  <w:footnote w:id="472">
    <w:p w14:paraId="42640D4E" w14:textId="77777777" w:rsidR="00F317DA" w:rsidRPr="00DB37CD" w:rsidRDefault="00F317DA" w:rsidP="00F317DA">
      <w:pPr>
        <w:pStyle w:val="FootnoteText"/>
      </w:pPr>
      <w:r w:rsidRPr="00DB37CD">
        <w:rPr>
          <w:rStyle w:val="FootnoteReference"/>
        </w:rPr>
        <w:footnoteRef/>
      </w:r>
      <w:r w:rsidRPr="00DB37CD">
        <w:t xml:space="preserve"> </w:t>
      </w:r>
      <w:r>
        <w:t>Order No. 1920-A, 189 FERC ¶ 61,126 at P 701.</w:t>
      </w:r>
    </w:p>
  </w:footnote>
  <w:footnote w:id="473">
    <w:p w14:paraId="135F39AA" w14:textId="6540D40F" w:rsidR="00F317DA" w:rsidRDefault="00F317DA" w:rsidP="00F317DA">
      <w:pPr>
        <w:pStyle w:val="FootnoteText"/>
      </w:pPr>
      <w:r>
        <w:rPr>
          <w:rStyle w:val="FootnoteReference"/>
        </w:rPr>
        <w:footnoteRef/>
      </w:r>
      <w:r>
        <w:t xml:space="preserve"> </w:t>
      </w:r>
      <w:r w:rsidRPr="00FD043B">
        <w:rPr>
          <w:i/>
          <w:iCs/>
        </w:rPr>
        <w:t>Id.</w:t>
      </w:r>
      <w:r>
        <w:t xml:space="preserve"> P 3.</w:t>
      </w:r>
    </w:p>
  </w:footnote>
  <w:footnote w:id="474">
    <w:p w14:paraId="2ADCFC18" w14:textId="328B4F7F" w:rsidR="00F317DA" w:rsidRPr="00DB37CD" w:rsidRDefault="00F317DA" w:rsidP="00F317DA">
      <w:pPr>
        <w:pStyle w:val="FootnoteText"/>
      </w:pPr>
      <w:r w:rsidRPr="00DB37CD">
        <w:rPr>
          <w:rStyle w:val="FootnoteReference"/>
        </w:rPr>
        <w:footnoteRef/>
      </w:r>
      <w:r w:rsidRPr="00DB37CD">
        <w:t xml:space="preserve"> </w:t>
      </w:r>
      <w:r w:rsidRPr="00C24E92">
        <w:t>Order No. 1920, 187 FERC ¶ 61,068 at</w:t>
      </w:r>
      <w:r w:rsidRPr="00C24E92">
        <w:rPr>
          <w:i/>
          <w:iCs/>
        </w:rPr>
        <w:t xml:space="preserve"> </w:t>
      </w:r>
      <w:r w:rsidRPr="00C24E92">
        <w:t>PP 1364 n.2914, 1402; Order No.</w:t>
      </w:r>
      <w:r w:rsidR="00B472C4">
        <w:t> </w:t>
      </w:r>
      <w:r w:rsidRPr="00C24E92">
        <w:t>1920-A, 189 FERC ¶ 61,126 at P 701.</w:t>
      </w:r>
      <w:r w:rsidRPr="00DB37CD">
        <w:t xml:space="preserve"> </w:t>
      </w:r>
    </w:p>
  </w:footnote>
  <w:footnote w:id="475">
    <w:p w14:paraId="7ABFE9B9" w14:textId="77777777" w:rsidR="00F317DA" w:rsidRDefault="00F317DA" w:rsidP="00F317DA">
      <w:pPr>
        <w:pStyle w:val="FootnoteText"/>
      </w:pPr>
      <w:r>
        <w:rPr>
          <w:rStyle w:val="FootnoteReference"/>
        </w:rPr>
        <w:footnoteRef/>
      </w:r>
      <w:r>
        <w:t xml:space="preserve"> </w:t>
      </w:r>
      <w:r w:rsidRPr="0046241C">
        <w:t>NRECA Rehearing Request</w:t>
      </w:r>
      <w:r>
        <w:t xml:space="preserve"> at 13.</w:t>
      </w:r>
    </w:p>
  </w:footnote>
  <w:footnote w:id="476">
    <w:p w14:paraId="26316D73" w14:textId="33AEE7B0" w:rsidR="00ED4C77" w:rsidRDefault="00ED4C77">
      <w:pPr>
        <w:pStyle w:val="FootnoteText"/>
      </w:pPr>
      <w:r w:rsidRPr="00036F26">
        <w:rPr>
          <w:rStyle w:val="FootnoteReference"/>
        </w:rPr>
        <w:footnoteRef/>
      </w:r>
      <w:r w:rsidRPr="00036F26">
        <w:t xml:space="preserve"> Order No. 1920, 187 FERC ¶ 61,068 at P 1000.</w:t>
      </w:r>
    </w:p>
  </w:footnote>
  <w:footnote w:id="477">
    <w:p w14:paraId="6CBD008B" w14:textId="2575913B" w:rsidR="00F317DA" w:rsidRDefault="00F317DA" w:rsidP="00F317DA">
      <w:pPr>
        <w:pStyle w:val="FootnoteText"/>
      </w:pPr>
      <w:r>
        <w:rPr>
          <w:rStyle w:val="FootnoteReference"/>
        </w:rPr>
        <w:footnoteRef/>
      </w:r>
      <w:r>
        <w:t xml:space="preserve"> </w:t>
      </w:r>
      <w:r w:rsidR="006600AC">
        <w:rPr>
          <w:i/>
          <w:iCs/>
        </w:rPr>
        <w:t>Id.</w:t>
      </w:r>
      <w:r w:rsidRPr="002076DE">
        <w:rPr>
          <w:i/>
        </w:rPr>
        <w:t xml:space="preserve"> </w:t>
      </w:r>
      <w:r w:rsidR="0072699B">
        <w:t xml:space="preserve">P </w:t>
      </w:r>
      <w:r>
        <w:t>1364.</w:t>
      </w:r>
    </w:p>
  </w:footnote>
  <w:footnote w:id="478">
    <w:p w14:paraId="29CAD407" w14:textId="77777777" w:rsidR="00F317DA" w:rsidRDefault="00F317DA" w:rsidP="00F317DA">
      <w:pPr>
        <w:pStyle w:val="FootnoteText"/>
      </w:pPr>
      <w:r>
        <w:rPr>
          <w:rStyle w:val="FootnoteReference"/>
        </w:rPr>
        <w:footnoteRef/>
      </w:r>
      <w:r>
        <w:t xml:space="preserve"> Order No. 1920-A, 189 FERC ¶ 61,126 at P 703.</w:t>
      </w:r>
    </w:p>
  </w:footnote>
  <w:footnote w:id="479">
    <w:p w14:paraId="6534CA03" w14:textId="77777777" w:rsidR="00F317DA" w:rsidRDefault="00F317DA" w:rsidP="00F317DA">
      <w:pPr>
        <w:pStyle w:val="FootnoteText"/>
      </w:pPr>
      <w:r>
        <w:rPr>
          <w:rStyle w:val="FootnoteReference"/>
        </w:rPr>
        <w:footnoteRef/>
      </w:r>
      <w:r>
        <w:t xml:space="preserve"> </w:t>
      </w:r>
      <w:r w:rsidRPr="0046241C">
        <w:t>NRECA Rehearing Request</w:t>
      </w:r>
      <w:r>
        <w:t xml:space="preserve"> at 15.</w:t>
      </w:r>
    </w:p>
  </w:footnote>
  <w:footnote w:id="480">
    <w:p w14:paraId="3536BB25" w14:textId="0FC2C7F1" w:rsidR="00F317DA" w:rsidRDefault="00F317DA" w:rsidP="00F317DA">
      <w:pPr>
        <w:pStyle w:val="FootnoteText"/>
      </w:pPr>
      <w:r>
        <w:rPr>
          <w:rStyle w:val="FootnoteReference"/>
        </w:rPr>
        <w:footnoteRef/>
      </w:r>
      <w:r>
        <w:t xml:space="preserve"> </w:t>
      </w:r>
      <w:r w:rsidR="00567F6B">
        <w:rPr>
          <w:i/>
          <w:iCs/>
        </w:rPr>
        <w:t xml:space="preserve">See </w:t>
      </w:r>
      <w:r w:rsidRPr="00C24E92">
        <w:t>Order No. 1920, 187 FERC ¶ 61,068 at</w:t>
      </w:r>
      <w:r>
        <w:t xml:space="preserve"> </w:t>
      </w:r>
      <w:r w:rsidR="004D1519">
        <w:t xml:space="preserve">P </w:t>
      </w:r>
      <w:r>
        <w:t>1000.</w:t>
      </w:r>
    </w:p>
  </w:footnote>
  <w:footnote w:id="481">
    <w:p w14:paraId="79CB9BC3" w14:textId="7390E06C" w:rsidR="002A628D" w:rsidRDefault="002A628D">
      <w:pPr>
        <w:pStyle w:val="FootnoteText"/>
      </w:pPr>
      <w:r>
        <w:rPr>
          <w:rStyle w:val="FootnoteReference"/>
        </w:rPr>
        <w:footnoteRef/>
      </w:r>
      <w:r>
        <w:t xml:space="preserve"> </w:t>
      </w:r>
      <w:r w:rsidR="008C316C" w:rsidRPr="00C563A7">
        <w:rPr>
          <w:i/>
          <w:iCs/>
        </w:rPr>
        <w:t xml:space="preserve">Id. </w:t>
      </w:r>
      <w:r>
        <w:t>P </w:t>
      </w:r>
      <w:r w:rsidR="00F2743D">
        <w:t>112.</w:t>
      </w:r>
    </w:p>
  </w:footnote>
  <w:footnote w:id="482">
    <w:p w14:paraId="2DBF8282" w14:textId="1F68ED81" w:rsidR="00326668" w:rsidRDefault="00326668">
      <w:pPr>
        <w:pStyle w:val="FootnoteText"/>
      </w:pPr>
      <w:r>
        <w:rPr>
          <w:rStyle w:val="FootnoteReference"/>
        </w:rPr>
        <w:footnoteRef/>
      </w:r>
      <w:r>
        <w:t xml:space="preserve"> </w:t>
      </w:r>
      <w:r w:rsidR="005A6AC6" w:rsidRPr="009F0E22">
        <w:rPr>
          <w:i/>
          <w:iCs/>
        </w:rPr>
        <w:t>Id.</w:t>
      </w:r>
      <w:r w:rsidRPr="009F0E22">
        <w:rPr>
          <w:i/>
        </w:rPr>
        <w:t xml:space="preserve"> </w:t>
      </w:r>
      <w:r>
        <w:t>P 113.</w:t>
      </w:r>
    </w:p>
  </w:footnote>
  <w:footnote w:id="483">
    <w:p w14:paraId="1231B173" w14:textId="2A5152F6" w:rsidR="00D052BA" w:rsidRDefault="00D052BA">
      <w:pPr>
        <w:pStyle w:val="FootnoteText"/>
      </w:pPr>
      <w:r>
        <w:rPr>
          <w:rStyle w:val="FootnoteReference"/>
        </w:rPr>
        <w:footnoteRef/>
      </w:r>
      <w:r>
        <w:t xml:space="preserve"> </w:t>
      </w:r>
      <w:r w:rsidR="00AD7C59">
        <w:rPr>
          <w:i/>
          <w:iCs/>
        </w:rPr>
        <w:t>Id.</w:t>
      </w:r>
      <w:r w:rsidRPr="002076DE">
        <w:rPr>
          <w:i/>
        </w:rPr>
        <w:t xml:space="preserve"> </w:t>
      </w:r>
      <w:r>
        <w:t>P 126.</w:t>
      </w:r>
    </w:p>
  </w:footnote>
  <w:footnote w:id="484">
    <w:p w14:paraId="7448959B" w14:textId="273F813E" w:rsidR="00767A0B" w:rsidRPr="008A55D0" w:rsidRDefault="00767A0B" w:rsidP="00767A0B">
      <w:pPr>
        <w:pStyle w:val="FootnoteText"/>
      </w:pPr>
      <w:r>
        <w:rPr>
          <w:rStyle w:val="FootnoteReference"/>
        </w:rPr>
        <w:footnoteRef/>
      </w:r>
      <w:r>
        <w:t xml:space="preserve"> </w:t>
      </w:r>
      <w:r>
        <w:rPr>
          <w:i/>
          <w:iCs/>
        </w:rPr>
        <w:t>See</w:t>
      </w:r>
      <w:r>
        <w:t xml:space="preserve"> Order No. 1920-A, </w:t>
      </w:r>
      <w:r w:rsidRPr="001D2505">
        <w:t>189 FERC ¶ 61,126</w:t>
      </w:r>
      <w:r>
        <w:t xml:space="preserve"> at P</w:t>
      </w:r>
      <w:r w:rsidR="00D2720A">
        <w:t>P</w:t>
      </w:r>
      <w:r>
        <w:t xml:space="preserve"> 70-71 (describing rehearing requests received from Designated Retail Regulators, Undersigned States, Arizona Commission, and Industrial Customers challenging the sufficiency under </w:t>
      </w:r>
      <w:r w:rsidR="00BB00B8">
        <w:t>the first prong</w:t>
      </w:r>
      <w:r w:rsidR="00012DD9">
        <w:t xml:space="preserve"> of </w:t>
      </w:r>
      <w:r>
        <w:t>FPA section 206 of the evidence relied upon by the Commission in Order No. 1920).</w:t>
      </w:r>
    </w:p>
  </w:footnote>
  <w:footnote w:id="485">
    <w:p w14:paraId="529FAA4A" w14:textId="38C16A1A" w:rsidR="00D47F41" w:rsidRDefault="00D47F41">
      <w:pPr>
        <w:pStyle w:val="FootnoteText"/>
      </w:pPr>
      <w:r>
        <w:rPr>
          <w:rStyle w:val="FootnoteReference"/>
        </w:rPr>
        <w:footnoteRef/>
      </w:r>
      <w:r>
        <w:t xml:space="preserve"> </w:t>
      </w:r>
      <w:r w:rsidR="006C1D3D" w:rsidRPr="009F0E22">
        <w:rPr>
          <w:i/>
          <w:iCs/>
        </w:rPr>
        <w:t>Id.</w:t>
      </w:r>
      <w:r w:rsidR="005B07DA" w:rsidRPr="009F0E22">
        <w:rPr>
          <w:i/>
          <w:iCs/>
        </w:rPr>
        <w:t xml:space="preserve"> </w:t>
      </w:r>
      <w:r w:rsidR="005B07DA">
        <w:t>P 72.</w:t>
      </w:r>
    </w:p>
  </w:footnote>
  <w:footnote w:id="486">
    <w:p w14:paraId="01338BA0" w14:textId="28C35259" w:rsidR="00E25744" w:rsidRDefault="00E25744">
      <w:pPr>
        <w:pStyle w:val="FootnoteText"/>
      </w:pPr>
      <w:r>
        <w:rPr>
          <w:rStyle w:val="FootnoteReference"/>
        </w:rPr>
        <w:footnoteRef/>
      </w:r>
      <w:r>
        <w:t xml:space="preserve"> </w:t>
      </w:r>
      <w:r w:rsidR="00713179" w:rsidRPr="00C563A7">
        <w:rPr>
          <w:i/>
          <w:iCs/>
        </w:rPr>
        <w:t xml:space="preserve">Id. </w:t>
      </w:r>
      <w:r>
        <w:t>P</w:t>
      </w:r>
      <w:r w:rsidR="000D2EC7">
        <w:t>P</w:t>
      </w:r>
      <w:r>
        <w:t> </w:t>
      </w:r>
      <w:r w:rsidR="0083015B">
        <w:t>72-</w:t>
      </w:r>
      <w:r w:rsidR="00C60609">
        <w:t>83</w:t>
      </w:r>
      <w:r w:rsidR="0083015B">
        <w:t>.</w:t>
      </w:r>
    </w:p>
  </w:footnote>
  <w:footnote w:id="487">
    <w:p w14:paraId="7D6A9CFD" w14:textId="6B9B49EB" w:rsidR="00A6770A" w:rsidRDefault="00A6770A">
      <w:pPr>
        <w:pStyle w:val="FootnoteText"/>
      </w:pPr>
      <w:r>
        <w:rPr>
          <w:rStyle w:val="FootnoteReference"/>
        </w:rPr>
        <w:footnoteRef/>
      </w:r>
      <w:r>
        <w:t xml:space="preserve"> </w:t>
      </w:r>
      <w:r w:rsidR="007901C2">
        <w:t xml:space="preserve">Indicated PJM TOs Rehearing Request at </w:t>
      </w:r>
      <w:r w:rsidR="001C59EB">
        <w:t>7</w:t>
      </w:r>
      <w:r w:rsidR="00276420">
        <w:t>, 23-27</w:t>
      </w:r>
      <w:r w:rsidR="007901C2">
        <w:t xml:space="preserve">; SPP TOs Rehearing Request at </w:t>
      </w:r>
      <w:r w:rsidR="00DD37CD">
        <w:t>7-8, 21-2</w:t>
      </w:r>
      <w:r w:rsidR="003E6A68">
        <w:t>8</w:t>
      </w:r>
      <w:r w:rsidR="007901C2">
        <w:t>.</w:t>
      </w:r>
    </w:p>
  </w:footnote>
  <w:footnote w:id="488">
    <w:p w14:paraId="29D642EA" w14:textId="3D4AC23F" w:rsidR="00210CBD" w:rsidRPr="007658A4" w:rsidRDefault="00210CBD" w:rsidP="00210CBD">
      <w:pPr>
        <w:pStyle w:val="FootnoteText"/>
      </w:pPr>
      <w:r>
        <w:rPr>
          <w:rStyle w:val="FootnoteReference"/>
        </w:rPr>
        <w:footnoteRef/>
      </w:r>
      <w:r>
        <w:t xml:space="preserve"> Indicated PJM TOs Rehearing Request at 24-25 (citing </w:t>
      </w:r>
      <w:r w:rsidRPr="00752749">
        <w:t>16 U.S.C. 825</w:t>
      </w:r>
      <w:r w:rsidRPr="00222D84">
        <w:rPr>
          <w:i/>
          <w:iCs/>
        </w:rPr>
        <w:t>l</w:t>
      </w:r>
      <w:r w:rsidRPr="00752749">
        <w:t>(b)</w:t>
      </w:r>
      <w:r>
        <w:t xml:space="preserve">; </w:t>
      </w:r>
      <w:r>
        <w:rPr>
          <w:i/>
          <w:iCs/>
        </w:rPr>
        <w:t>Emera M</w:t>
      </w:r>
      <w:r w:rsidR="00AA39C7">
        <w:rPr>
          <w:i/>
          <w:iCs/>
        </w:rPr>
        <w:t>ain</w:t>
      </w:r>
      <w:r>
        <w:rPr>
          <w:i/>
          <w:iCs/>
        </w:rPr>
        <w:t>e</w:t>
      </w:r>
      <w:r>
        <w:t xml:space="preserve">, </w:t>
      </w:r>
      <w:r w:rsidRPr="00C90578">
        <w:t xml:space="preserve">854 F.3d </w:t>
      </w:r>
      <w:r w:rsidR="00E53163">
        <w:t>at</w:t>
      </w:r>
      <w:r w:rsidRPr="00C90578">
        <w:t xml:space="preserve"> </w:t>
      </w:r>
      <w:r>
        <w:t xml:space="preserve">24; </w:t>
      </w:r>
      <w:r w:rsidR="00EB5D6C">
        <w:rPr>
          <w:i/>
          <w:iCs/>
        </w:rPr>
        <w:t>South Carolina</w:t>
      </w:r>
      <w:r>
        <w:t xml:space="preserve">, </w:t>
      </w:r>
      <w:r w:rsidRPr="002B06D0">
        <w:t xml:space="preserve">762 F.3d </w:t>
      </w:r>
      <w:r w:rsidR="00EB5D6C">
        <w:t>at</w:t>
      </w:r>
      <w:r w:rsidRPr="002B06D0">
        <w:t xml:space="preserve"> 56-69</w:t>
      </w:r>
      <w:r>
        <w:t>).</w:t>
      </w:r>
    </w:p>
  </w:footnote>
  <w:footnote w:id="489">
    <w:p w14:paraId="1BD1E227" w14:textId="40076876" w:rsidR="00210CBD" w:rsidRPr="007A4002" w:rsidRDefault="00210CBD" w:rsidP="00210CBD">
      <w:pPr>
        <w:pStyle w:val="FootnoteText"/>
      </w:pPr>
      <w:r>
        <w:rPr>
          <w:rStyle w:val="FootnoteReference"/>
        </w:rPr>
        <w:footnoteRef/>
      </w:r>
      <w:r>
        <w:t xml:space="preserve"> </w:t>
      </w:r>
      <w:r w:rsidR="006D5F6E" w:rsidRPr="00C563A7">
        <w:rPr>
          <w:i/>
          <w:iCs/>
        </w:rPr>
        <w:t xml:space="preserve">Id. </w:t>
      </w:r>
      <w:r>
        <w:t xml:space="preserve">at 5; </w:t>
      </w:r>
      <w:r>
        <w:rPr>
          <w:i/>
          <w:iCs/>
        </w:rPr>
        <w:t>see id.</w:t>
      </w:r>
      <w:r>
        <w:t xml:space="preserve"> at 7</w:t>
      </w:r>
      <w:r w:rsidR="0080579E">
        <w:t xml:space="preserve"> (emphasis in original)</w:t>
      </w:r>
      <w:r>
        <w:t>.</w:t>
      </w:r>
    </w:p>
  </w:footnote>
  <w:footnote w:id="490">
    <w:p w14:paraId="5DDDAF28" w14:textId="44151136" w:rsidR="00210CBD" w:rsidRDefault="00210CBD" w:rsidP="00210CBD">
      <w:pPr>
        <w:pStyle w:val="FootnoteText"/>
      </w:pPr>
      <w:r>
        <w:rPr>
          <w:rStyle w:val="FootnoteReference"/>
        </w:rPr>
        <w:footnoteRef/>
      </w:r>
      <w:r>
        <w:t xml:space="preserve"> </w:t>
      </w:r>
      <w:r w:rsidR="006D5F6E" w:rsidRPr="00C563A7">
        <w:rPr>
          <w:i/>
          <w:iCs/>
        </w:rPr>
        <w:t xml:space="preserve">Id. </w:t>
      </w:r>
      <w:r>
        <w:t xml:space="preserve">at 24 (citing Order No. 1920-A, </w:t>
      </w:r>
      <w:r w:rsidRPr="00B63017">
        <w:t>189 FERC ¶ 61,126</w:t>
      </w:r>
      <w:r>
        <w:t xml:space="preserve"> at </w:t>
      </w:r>
      <w:r w:rsidRPr="00EF317E">
        <w:t>P</w:t>
      </w:r>
      <w:r>
        <w:t>P</w:t>
      </w:r>
      <w:r w:rsidRPr="00EF317E">
        <w:t xml:space="preserve"> 47 &amp; n.80</w:t>
      </w:r>
      <w:r>
        <w:t>, 52 &amp; n.92).</w:t>
      </w:r>
    </w:p>
  </w:footnote>
  <w:footnote w:id="491">
    <w:p w14:paraId="1C958C31" w14:textId="3931EE4F" w:rsidR="00210CBD" w:rsidRDefault="00210CBD" w:rsidP="00210CBD">
      <w:pPr>
        <w:pStyle w:val="FootnoteText"/>
      </w:pPr>
      <w:r>
        <w:rPr>
          <w:rStyle w:val="FootnoteReference"/>
        </w:rPr>
        <w:footnoteRef/>
      </w:r>
      <w:r>
        <w:t xml:space="preserve"> </w:t>
      </w:r>
      <w:r>
        <w:rPr>
          <w:i/>
          <w:iCs/>
        </w:rPr>
        <w:t>Id.</w:t>
      </w:r>
      <w:r>
        <w:t xml:space="preserve"> at 25 (arguing that the Commission failed to consider the example of whether PJM’s cost allocation method for multi-driver projects would be appropriate under Order No. 1920 or whether PJM’s existing State Agreement Approach provided sufficient state involvement in cost allocation processes).</w:t>
      </w:r>
    </w:p>
  </w:footnote>
  <w:footnote w:id="492">
    <w:p w14:paraId="302FF48A" w14:textId="0F18836B" w:rsidR="00210CBD" w:rsidRPr="00502144" w:rsidRDefault="00210CBD" w:rsidP="00210CBD">
      <w:pPr>
        <w:pStyle w:val="FootnoteText"/>
      </w:pPr>
      <w:r>
        <w:rPr>
          <w:rStyle w:val="FootnoteReference"/>
        </w:rPr>
        <w:footnoteRef/>
      </w:r>
      <w:r>
        <w:t xml:space="preserve"> </w:t>
      </w:r>
      <w:r>
        <w:rPr>
          <w:i/>
          <w:iCs/>
        </w:rPr>
        <w:t>See id.</w:t>
      </w:r>
      <w:r>
        <w:t xml:space="preserve"> </w:t>
      </w:r>
      <w:r w:rsidR="00191663">
        <w:t>at 26</w:t>
      </w:r>
      <w:r>
        <w:t xml:space="preserve"> (citing </w:t>
      </w:r>
      <w:r w:rsidRPr="0073111F">
        <w:rPr>
          <w:i/>
          <w:iCs/>
        </w:rPr>
        <w:t>Emera M</w:t>
      </w:r>
      <w:r w:rsidR="00F86642">
        <w:rPr>
          <w:i/>
          <w:iCs/>
        </w:rPr>
        <w:t>ain</w:t>
      </w:r>
      <w:r w:rsidRPr="0073111F">
        <w:rPr>
          <w:i/>
          <w:iCs/>
        </w:rPr>
        <w:t>e</w:t>
      </w:r>
      <w:r w:rsidRPr="0073111F">
        <w:t>, 854 F.3d at 22-26</w:t>
      </w:r>
      <w:r w:rsidR="00A0231C">
        <w:t xml:space="preserve">; </w:t>
      </w:r>
      <w:r w:rsidR="0006426C" w:rsidRPr="0006426C">
        <w:t>Order No. 1920-</w:t>
      </w:r>
      <w:proofErr w:type="gramStart"/>
      <w:r w:rsidR="0006426C" w:rsidRPr="0006426C">
        <w:t>A</w:t>
      </w:r>
      <w:r w:rsidR="0006426C">
        <w:t xml:space="preserve">, </w:t>
      </w:r>
      <w:r w:rsidR="00D2720A">
        <w:t xml:space="preserve">  </w:t>
      </w:r>
      <w:proofErr w:type="gramEnd"/>
      <w:r w:rsidR="00D2720A">
        <w:t xml:space="preserve">           </w:t>
      </w:r>
      <w:r w:rsidR="0006426C" w:rsidRPr="00B63017">
        <w:t>189 FERC ¶</w:t>
      </w:r>
      <w:r w:rsidR="0046473F">
        <w:t> </w:t>
      </w:r>
      <w:r w:rsidR="0006426C" w:rsidRPr="00B63017">
        <w:t>61,126</w:t>
      </w:r>
      <w:r w:rsidR="0006426C" w:rsidRPr="0006426C">
        <w:t xml:space="preserve"> at P</w:t>
      </w:r>
      <w:r w:rsidR="0046473F">
        <w:t> </w:t>
      </w:r>
      <w:r w:rsidR="0006426C" w:rsidRPr="0006426C">
        <w:t>714</w:t>
      </w:r>
      <w:r w:rsidRPr="0073111F">
        <w:t>).</w:t>
      </w:r>
    </w:p>
  </w:footnote>
  <w:footnote w:id="493">
    <w:p w14:paraId="3AC52993" w14:textId="4B02CA58" w:rsidR="00210CBD" w:rsidRDefault="00210CBD" w:rsidP="00210CBD">
      <w:pPr>
        <w:pStyle w:val="FootnoteText"/>
      </w:pPr>
      <w:r>
        <w:rPr>
          <w:rStyle w:val="FootnoteReference"/>
        </w:rPr>
        <w:footnoteRef/>
      </w:r>
      <w:r>
        <w:t xml:space="preserve"> </w:t>
      </w:r>
      <w:r w:rsidR="003C1406">
        <w:rPr>
          <w:i/>
          <w:iCs/>
        </w:rPr>
        <w:t>Id.</w:t>
      </w:r>
      <w:r w:rsidR="003C1406">
        <w:t xml:space="preserve"> </w:t>
      </w:r>
      <w:r>
        <w:t xml:space="preserve">at 26-27 (citing </w:t>
      </w:r>
      <w:r w:rsidRPr="001D188D">
        <w:t xml:space="preserve">16 U.S.C. 824d(e); </w:t>
      </w:r>
      <w:r w:rsidRPr="001D188D">
        <w:rPr>
          <w:i/>
          <w:iCs/>
        </w:rPr>
        <w:t>Sw. Power Pool, Inc.</w:t>
      </w:r>
      <w:r w:rsidRPr="001D188D">
        <w:t>, 189 FERC ¶</w:t>
      </w:r>
      <w:r w:rsidR="008D6653">
        <w:t> </w:t>
      </w:r>
      <w:r w:rsidRPr="001D188D">
        <w:t>61,128, at P 60 n.230 (2024)</w:t>
      </w:r>
      <w:r>
        <w:t>).</w:t>
      </w:r>
    </w:p>
  </w:footnote>
  <w:footnote w:id="494">
    <w:p w14:paraId="38D8C545" w14:textId="77777777" w:rsidR="00210CBD" w:rsidRDefault="00210CBD" w:rsidP="00210CBD">
      <w:pPr>
        <w:pStyle w:val="FootnoteText"/>
      </w:pPr>
      <w:r>
        <w:rPr>
          <w:rStyle w:val="FootnoteReference"/>
        </w:rPr>
        <w:footnoteRef/>
      </w:r>
      <w:r>
        <w:t xml:space="preserve"> SPP TOs Rehearing Request 22-23; </w:t>
      </w:r>
      <w:r>
        <w:rPr>
          <w:i/>
          <w:iCs/>
        </w:rPr>
        <w:t>see also id.</w:t>
      </w:r>
      <w:r>
        <w:t xml:space="preserve"> at 7-8.</w:t>
      </w:r>
    </w:p>
  </w:footnote>
  <w:footnote w:id="495">
    <w:p w14:paraId="6F14ABE0" w14:textId="4519745A" w:rsidR="00210CBD" w:rsidRDefault="00210CBD" w:rsidP="00210CBD">
      <w:pPr>
        <w:pStyle w:val="FootnoteText"/>
      </w:pPr>
      <w:r>
        <w:rPr>
          <w:rStyle w:val="FootnoteReference"/>
        </w:rPr>
        <w:footnoteRef/>
      </w:r>
      <w:r w:rsidR="00EE4EFA" w:rsidRPr="002076DE">
        <w:t xml:space="preserve"> </w:t>
      </w:r>
      <w:r w:rsidR="00EE4EFA">
        <w:rPr>
          <w:i/>
          <w:iCs/>
        </w:rPr>
        <w:t>Id.</w:t>
      </w:r>
      <w:r w:rsidR="00EE4EFA">
        <w:t xml:space="preserve"> </w:t>
      </w:r>
      <w:r>
        <w:t>at 21-22 (citing Order No. 1920</w:t>
      </w:r>
      <w:r w:rsidR="0088475B">
        <w:t>, 187 FERC ¶ 61,068</w:t>
      </w:r>
      <w:r>
        <w:t xml:space="preserve"> at PP 113-114; Order No. 1920-A</w:t>
      </w:r>
      <w:r w:rsidR="004C792C">
        <w:t xml:space="preserve">, </w:t>
      </w:r>
      <w:r w:rsidR="004C792C" w:rsidRPr="00B63017">
        <w:t>189 FERC ¶</w:t>
      </w:r>
      <w:r w:rsidR="004C792C">
        <w:t> </w:t>
      </w:r>
      <w:r w:rsidR="004C792C" w:rsidRPr="00B63017">
        <w:t>61,126</w:t>
      </w:r>
      <w:r>
        <w:t xml:space="preserve"> at PP 34-124, 652).</w:t>
      </w:r>
    </w:p>
  </w:footnote>
  <w:footnote w:id="496">
    <w:p w14:paraId="071298FB" w14:textId="44A7FCFC" w:rsidR="00210CBD" w:rsidRPr="002D1119" w:rsidRDefault="00210CBD" w:rsidP="00210CBD">
      <w:pPr>
        <w:pStyle w:val="FootnoteText"/>
      </w:pPr>
      <w:r>
        <w:rPr>
          <w:rStyle w:val="FootnoteReference"/>
        </w:rPr>
        <w:footnoteRef/>
      </w:r>
      <w:r>
        <w:t xml:space="preserve"> </w:t>
      </w:r>
      <w:r>
        <w:rPr>
          <w:i/>
          <w:iCs/>
        </w:rPr>
        <w:t>Id.</w:t>
      </w:r>
      <w:r>
        <w:t xml:space="preserve"> at 23-24.</w:t>
      </w:r>
    </w:p>
  </w:footnote>
  <w:footnote w:id="497">
    <w:p w14:paraId="6F83782C" w14:textId="712E2CEF" w:rsidR="00210CBD" w:rsidRDefault="00210CBD" w:rsidP="00210CBD">
      <w:pPr>
        <w:pStyle w:val="FootnoteText"/>
      </w:pPr>
      <w:r>
        <w:rPr>
          <w:rStyle w:val="FootnoteReference"/>
        </w:rPr>
        <w:footnoteRef/>
      </w:r>
      <w:r>
        <w:t xml:space="preserve"> </w:t>
      </w:r>
      <w:r w:rsidR="00EE4EFA">
        <w:rPr>
          <w:i/>
          <w:iCs/>
        </w:rPr>
        <w:t>Id.</w:t>
      </w:r>
    </w:p>
  </w:footnote>
  <w:footnote w:id="498">
    <w:p w14:paraId="7E939EC4" w14:textId="4CDB280E" w:rsidR="00210CBD" w:rsidRPr="00FA500A" w:rsidRDefault="00210CBD" w:rsidP="00210CBD">
      <w:pPr>
        <w:pStyle w:val="FootnoteText"/>
      </w:pPr>
      <w:r>
        <w:rPr>
          <w:rStyle w:val="FootnoteReference"/>
        </w:rPr>
        <w:footnoteRef/>
      </w:r>
      <w:r>
        <w:t xml:space="preserve"> </w:t>
      </w:r>
      <w:r w:rsidR="00517DD0">
        <w:rPr>
          <w:i/>
          <w:iCs/>
        </w:rPr>
        <w:t>South Carolina</w:t>
      </w:r>
      <w:r w:rsidRPr="00767446">
        <w:t xml:space="preserve">, 762 F.3d </w:t>
      </w:r>
      <w:r w:rsidR="00517DD0">
        <w:t>at</w:t>
      </w:r>
      <w:r w:rsidRPr="00767446">
        <w:t xml:space="preserve"> 65</w:t>
      </w:r>
      <w:r>
        <w:t>.</w:t>
      </w:r>
    </w:p>
  </w:footnote>
  <w:footnote w:id="499">
    <w:p w14:paraId="003EC20A" w14:textId="368DE506" w:rsidR="00210CBD" w:rsidRPr="00BB435F" w:rsidRDefault="00210CBD" w:rsidP="00210CBD">
      <w:pPr>
        <w:pStyle w:val="FootnoteText"/>
      </w:pPr>
      <w:r>
        <w:rPr>
          <w:rStyle w:val="FootnoteReference"/>
        </w:rPr>
        <w:footnoteRef/>
      </w:r>
      <w:r>
        <w:t xml:space="preserve"> SPP TOs Rehearing Request at 25 (discussing Order No. 1920, </w:t>
      </w:r>
      <w:r w:rsidRPr="005321AF">
        <w:t>187 FERC ¶</w:t>
      </w:r>
      <w:r w:rsidR="00FC64AC">
        <w:t> </w:t>
      </w:r>
      <w:r w:rsidRPr="005321AF">
        <w:t xml:space="preserve">61,068 </w:t>
      </w:r>
      <w:r>
        <w:t>at</w:t>
      </w:r>
      <w:r w:rsidRPr="00DB37CD">
        <w:rPr>
          <w:szCs w:val="26"/>
        </w:rPr>
        <w:t xml:space="preserve"> PP</w:t>
      </w:r>
      <w:r>
        <w:rPr>
          <w:szCs w:val="26"/>
        </w:rPr>
        <w:t xml:space="preserve"> 113-</w:t>
      </w:r>
      <w:r w:rsidR="00E04D55">
        <w:rPr>
          <w:szCs w:val="26"/>
        </w:rPr>
        <w:t>1</w:t>
      </w:r>
      <w:r>
        <w:rPr>
          <w:szCs w:val="26"/>
        </w:rPr>
        <w:t>14, and asserting that “[b]</w:t>
      </w:r>
      <w:proofErr w:type="spellStart"/>
      <w:r w:rsidRPr="00F6267C">
        <w:t>oth</w:t>
      </w:r>
      <w:proofErr w:type="spellEnd"/>
      <w:r w:rsidRPr="00F6267C">
        <w:t xml:space="preserve"> paragraphs merely state conclusions regarding the need</w:t>
      </w:r>
      <w:r>
        <w:t xml:space="preserve"> </w:t>
      </w:r>
      <w:r w:rsidRPr="00F6267C">
        <w:t>for cost allocation reforms</w:t>
      </w:r>
      <w:r>
        <w:t>”).</w:t>
      </w:r>
    </w:p>
  </w:footnote>
  <w:footnote w:id="500">
    <w:p w14:paraId="02A69E6D" w14:textId="1E689A35" w:rsidR="00210CBD" w:rsidRDefault="00210CBD" w:rsidP="00210CBD">
      <w:pPr>
        <w:pStyle w:val="FootnoteText"/>
      </w:pPr>
      <w:r>
        <w:rPr>
          <w:rStyle w:val="FootnoteReference"/>
        </w:rPr>
        <w:footnoteRef/>
      </w:r>
      <w:r>
        <w:t xml:space="preserve"> </w:t>
      </w:r>
      <w:r>
        <w:rPr>
          <w:i/>
          <w:iCs/>
        </w:rPr>
        <w:t>Id.</w:t>
      </w:r>
      <w:r>
        <w:t xml:space="preserve"> at 25-26 (discussing </w:t>
      </w:r>
      <w:r w:rsidRPr="005321AF">
        <w:t>Order No. 1920</w:t>
      </w:r>
      <w:r>
        <w:t>-A</w:t>
      </w:r>
      <w:r w:rsidRPr="005321AF">
        <w:t>,</w:t>
      </w:r>
      <w:r>
        <w:t xml:space="preserve"> </w:t>
      </w:r>
      <w:r w:rsidRPr="00AD0002">
        <w:t>189 FERC ¶ 61,126</w:t>
      </w:r>
      <w:r>
        <w:t xml:space="preserve"> at P 77, and associated record material, as well as Order No. 1920, </w:t>
      </w:r>
      <w:r w:rsidRPr="005321AF">
        <w:t xml:space="preserve">187 FERC ¶ 61,068 </w:t>
      </w:r>
      <w:r>
        <w:t>at</w:t>
      </w:r>
      <w:r w:rsidRPr="00DB37CD">
        <w:rPr>
          <w:szCs w:val="26"/>
        </w:rPr>
        <w:t xml:space="preserve"> PP </w:t>
      </w:r>
      <w:r>
        <w:t>117, 121, 123).</w:t>
      </w:r>
    </w:p>
  </w:footnote>
  <w:footnote w:id="501">
    <w:p w14:paraId="4D187631" w14:textId="4A420B2A" w:rsidR="00210CBD" w:rsidRPr="009D6E4F" w:rsidRDefault="00210CBD" w:rsidP="00210CBD">
      <w:pPr>
        <w:pStyle w:val="FootnoteText"/>
      </w:pPr>
      <w:r>
        <w:rPr>
          <w:rStyle w:val="FootnoteReference"/>
        </w:rPr>
        <w:footnoteRef/>
      </w:r>
      <w:r>
        <w:t xml:space="preserve"> </w:t>
      </w:r>
      <w:r w:rsidR="00C90EB9">
        <w:rPr>
          <w:i/>
          <w:iCs/>
        </w:rPr>
        <w:t>Id.</w:t>
      </w:r>
      <w:r w:rsidRPr="002076DE">
        <w:rPr>
          <w:i/>
        </w:rPr>
        <w:t xml:space="preserve"> </w:t>
      </w:r>
      <w:r>
        <w:t xml:space="preserve">at 27-28 (citing </w:t>
      </w:r>
      <w:r w:rsidRPr="005321AF">
        <w:t>Order No. 1920</w:t>
      </w:r>
      <w:r>
        <w:t>-A</w:t>
      </w:r>
      <w:r w:rsidRPr="005321AF">
        <w:t>,</w:t>
      </w:r>
      <w:r>
        <w:t xml:space="preserve"> </w:t>
      </w:r>
      <w:r w:rsidRPr="00AD0002">
        <w:t>189 FERC ¶</w:t>
      </w:r>
      <w:r w:rsidR="00BF4C53">
        <w:t> </w:t>
      </w:r>
      <w:r w:rsidRPr="00AD0002">
        <w:t>61,126</w:t>
      </w:r>
      <w:r>
        <w:t xml:space="preserve"> at P 83; Order No.</w:t>
      </w:r>
      <w:r w:rsidR="0090164B">
        <w:t> </w:t>
      </w:r>
      <w:r>
        <w:t xml:space="preserve">1920, </w:t>
      </w:r>
      <w:r w:rsidRPr="005321AF">
        <w:t xml:space="preserve">187 FERC ¶ 61,068 </w:t>
      </w:r>
      <w:r>
        <w:t>at</w:t>
      </w:r>
      <w:r w:rsidRPr="00DB37CD">
        <w:rPr>
          <w:szCs w:val="26"/>
        </w:rPr>
        <w:t xml:space="preserve"> P </w:t>
      </w:r>
      <w:r>
        <w:t>126).</w:t>
      </w:r>
    </w:p>
  </w:footnote>
  <w:footnote w:id="502">
    <w:p w14:paraId="5CB56FC4" w14:textId="08BA5382" w:rsidR="00232A88" w:rsidRPr="00074B79" w:rsidRDefault="00232A88" w:rsidP="00232A88">
      <w:pPr>
        <w:pStyle w:val="FootnoteText"/>
      </w:pPr>
      <w:r>
        <w:rPr>
          <w:rStyle w:val="FootnoteReference"/>
        </w:rPr>
        <w:footnoteRef/>
      </w:r>
      <w:r>
        <w:t xml:space="preserve"> 16 U.S.C. 825</w:t>
      </w:r>
      <w:r>
        <w:rPr>
          <w:i/>
          <w:iCs/>
        </w:rPr>
        <w:t>l</w:t>
      </w:r>
      <w:r>
        <w:t>(a)</w:t>
      </w:r>
      <w:r w:rsidR="0028006C">
        <w:t xml:space="preserve">; </w:t>
      </w:r>
      <w:r w:rsidR="0028006C">
        <w:rPr>
          <w:i/>
          <w:iCs/>
        </w:rPr>
        <w:t xml:space="preserve">see also </w:t>
      </w:r>
      <w:r w:rsidR="0028006C" w:rsidRPr="00FE602B">
        <w:t>18 CFR 385.713(b) (rehearing request must be filed not later than 30 days after issuance of a final decision or order)</w:t>
      </w:r>
      <w:r>
        <w:t>.</w:t>
      </w:r>
    </w:p>
  </w:footnote>
  <w:footnote w:id="503">
    <w:p w14:paraId="378DA106" w14:textId="32A1B803" w:rsidR="00232A88" w:rsidRPr="00837A79" w:rsidRDefault="00232A88" w:rsidP="00232A88">
      <w:pPr>
        <w:pStyle w:val="FootnoteText"/>
        <w:rPr>
          <w:i/>
          <w:iCs/>
        </w:rPr>
      </w:pPr>
      <w:r>
        <w:rPr>
          <w:rStyle w:val="FootnoteReference"/>
        </w:rPr>
        <w:footnoteRef/>
      </w:r>
      <w:r>
        <w:t xml:space="preserve"> </w:t>
      </w:r>
      <w:r w:rsidR="003B1C9A">
        <w:t>16 U.S.C. 825</w:t>
      </w:r>
      <w:r w:rsidR="003B1C9A">
        <w:rPr>
          <w:i/>
          <w:iCs/>
        </w:rPr>
        <w:t>l</w:t>
      </w:r>
      <w:r w:rsidR="003B1C9A">
        <w:t>(a).</w:t>
      </w:r>
    </w:p>
  </w:footnote>
  <w:footnote w:id="504">
    <w:p w14:paraId="4F672F75" w14:textId="6ED367DC" w:rsidR="00232A88" w:rsidRPr="00A806AF" w:rsidRDefault="00232A88" w:rsidP="00232A88">
      <w:pPr>
        <w:pStyle w:val="FootnoteText"/>
      </w:pPr>
      <w:r>
        <w:rPr>
          <w:rStyle w:val="FootnoteReference"/>
        </w:rPr>
        <w:footnoteRef/>
      </w:r>
      <w:r>
        <w:t xml:space="preserve"> </w:t>
      </w:r>
      <w:r>
        <w:rPr>
          <w:i/>
          <w:iCs/>
        </w:rPr>
        <w:t>See Tenn. Gas Pipeline Co. v. FERC</w:t>
      </w:r>
      <w:r>
        <w:t>, 871 F.2d 1099, 1110 n.18 (D.C. Cir. 1989) (“[I]</w:t>
      </w:r>
      <w:r w:rsidRPr="00F565C6">
        <w:t>f a party does not raise an argument</w:t>
      </w:r>
      <w:r>
        <w:t xml:space="preserve"> </w:t>
      </w:r>
      <w:r w:rsidRPr="00F565C6">
        <w:rPr>
          <w:i/>
          <w:iCs/>
        </w:rPr>
        <w:t>that it could have raised</w:t>
      </w:r>
      <w:r>
        <w:t xml:space="preserve"> </w:t>
      </w:r>
      <w:r w:rsidRPr="00F565C6">
        <w:t>in its first petition for review of a Commission action, it cannot preserve that argument for judicial review simply by filing a second petition for rehearing from a subsequent Commission order which implicates the same action.</w:t>
      </w:r>
      <w:r>
        <w:t>” (emphasis in original</w:t>
      </w:r>
      <w:r w:rsidR="00F03034">
        <w:t>)</w:t>
      </w:r>
      <w:r>
        <w:t xml:space="preserve">); </w:t>
      </w:r>
      <w:r>
        <w:rPr>
          <w:i/>
          <w:iCs/>
        </w:rPr>
        <w:t xml:space="preserve">Smith Lake Improvement </w:t>
      </w:r>
      <w:r w:rsidR="00421009">
        <w:rPr>
          <w:i/>
          <w:iCs/>
        </w:rPr>
        <w:t xml:space="preserve">&amp; Stakeholders </w:t>
      </w:r>
      <w:proofErr w:type="spellStart"/>
      <w:r>
        <w:rPr>
          <w:i/>
          <w:iCs/>
        </w:rPr>
        <w:t>Ass’n</w:t>
      </w:r>
      <w:proofErr w:type="spellEnd"/>
      <w:r>
        <w:t>, 809 F.3d at 58</w:t>
      </w:r>
      <w:r w:rsidR="00432EC8">
        <w:t xml:space="preserve"> </w:t>
      </w:r>
      <w:r>
        <w:t>(holding that, when a Commission rehearing order does not alter an aspect of the underlying order, seeking further rehearing as to that unchanged aspect does not toll the 60-day period for requesting judicial review).</w:t>
      </w:r>
    </w:p>
  </w:footnote>
  <w:footnote w:id="505">
    <w:p w14:paraId="0DE24898" w14:textId="77777777" w:rsidR="00232A88" w:rsidRPr="001D535E" w:rsidRDefault="00232A88" w:rsidP="00232A88">
      <w:pPr>
        <w:pStyle w:val="FootnoteText"/>
      </w:pPr>
      <w:r>
        <w:rPr>
          <w:rStyle w:val="FootnoteReference"/>
        </w:rPr>
        <w:footnoteRef/>
      </w:r>
      <w:r>
        <w:t xml:space="preserve"> </w:t>
      </w:r>
      <w:r>
        <w:rPr>
          <w:i/>
          <w:iCs/>
        </w:rPr>
        <w:t>Columbia Gas Transmission Corp. v. FERC</w:t>
      </w:r>
      <w:r>
        <w:t>, 477 F.3d 739, 741-42 (D.C. Cir. 2007);</w:t>
      </w:r>
      <w:r>
        <w:rPr>
          <w:i/>
          <w:iCs/>
        </w:rPr>
        <w:t xml:space="preserve"> Appalachian Power Co.</w:t>
      </w:r>
      <w:r>
        <w:t xml:space="preserve">, 149 FERC ¶ 61,137, at P 8 (2014); </w:t>
      </w:r>
      <w:r>
        <w:rPr>
          <w:i/>
          <w:iCs/>
        </w:rPr>
        <w:t>accord N.C. Utils. Comm’n v. FERC</w:t>
      </w:r>
      <w:r>
        <w:t>, 741 F.3d 439, 449 (4th Cir. 2014).</w:t>
      </w:r>
    </w:p>
  </w:footnote>
  <w:footnote w:id="506">
    <w:p w14:paraId="4B283284" w14:textId="61146442" w:rsidR="007E7B73" w:rsidRPr="0056712E" w:rsidRDefault="007E7B73" w:rsidP="007E7B73">
      <w:pPr>
        <w:pStyle w:val="FootnoteText"/>
      </w:pPr>
      <w:r>
        <w:rPr>
          <w:rStyle w:val="FootnoteReference"/>
        </w:rPr>
        <w:footnoteRef/>
      </w:r>
      <w:r>
        <w:t xml:space="preserve"> </w:t>
      </w:r>
      <w:r>
        <w:rPr>
          <w:i/>
          <w:iCs/>
        </w:rPr>
        <w:t>Appalachian Power Co.</w:t>
      </w:r>
      <w:r>
        <w:t xml:space="preserve">, 149 FERC ¶ 61,137 at P 8 (citing, </w:t>
      </w:r>
      <w:r>
        <w:rPr>
          <w:i/>
          <w:iCs/>
        </w:rPr>
        <w:t>inter alia</w:t>
      </w:r>
      <w:r>
        <w:t xml:space="preserve">, </w:t>
      </w:r>
      <w:r>
        <w:rPr>
          <w:i/>
          <w:iCs/>
        </w:rPr>
        <w:t>S. Nat. Gas Co.</w:t>
      </w:r>
      <w:r w:rsidR="00032CAB">
        <w:rPr>
          <w:i/>
          <w:iCs/>
        </w:rPr>
        <w:t xml:space="preserve"> v. FERC</w:t>
      </w:r>
      <w:r>
        <w:t>, 877 F.2d 1066, 1073 (D.C. Cir. 1989)</w:t>
      </w:r>
      <w:r w:rsidR="00F03034">
        <w:t>)</w:t>
      </w:r>
      <w:r w:rsidR="00B411E6">
        <w:t xml:space="preserve">; </w:t>
      </w:r>
      <w:r w:rsidR="005023DF">
        <w:rPr>
          <w:i/>
          <w:iCs/>
        </w:rPr>
        <w:t xml:space="preserve">see also </w:t>
      </w:r>
      <w:r w:rsidR="00B411E6" w:rsidRPr="00D27A92">
        <w:rPr>
          <w:i/>
          <w:iCs/>
        </w:rPr>
        <w:t>Smith Lake</w:t>
      </w:r>
      <w:r w:rsidR="00B411E6">
        <w:rPr>
          <w:i/>
          <w:iCs/>
        </w:rPr>
        <w:t xml:space="preserve"> Improvement </w:t>
      </w:r>
      <w:r w:rsidR="00B26CF1" w:rsidRPr="00A22ABE">
        <w:rPr>
          <w:i/>
          <w:szCs w:val="26"/>
        </w:rPr>
        <w:t xml:space="preserve">&amp; </w:t>
      </w:r>
      <w:r w:rsidR="00B411E6">
        <w:rPr>
          <w:i/>
          <w:iCs/>
        </w:rPr>
        <w:t xml:space="preserve"> Stakeholders </w:t>
      </w:r>
      <w:proofErr w:type="spellStart"/>
      <w:r w:rsidR="00B411E6">
        <w:rPr>
          <w:i/>
          <w:iCs/>
        </w:rPr>
        <w:t>Ass’n</w:t>
      </w:r>
      <w:proofErr w:type="spellEnd"/>
      <w:r w:rsidR="00B411E6">
        <w:rPr>
          <w:i/>
          <w:iCs/>
        </w:rPr>
        <w:t xml:space="preserve"> </w:t>
      </w:r>
      <w:r w:rsidR="00B411E6" w:rsidRPr="003C1DB6">
        <w:t xml:space="preserve">, 809 F.3d </w:t>
      </w:r>
      <w:r w:rsidR="00432EC8">
        <w:t>at</w:t>
      </w:r>
      <w:r w:rsidR="00B411E6" w:rsidRPr="003C1DB6">
        <w:t xml:space="preserve"> </w:t>
      </w:r>
      <w:r w:rsidR="005023DF">
        <w:t>58</w:t>
      </w:r>
      <w:r w:rsidR="00B411E6" w:rsidRPr="003C1DB6">
        <w:t xml:space="preserve"> </w:t>
      </w:r>
      <w:r w:rsidR="0027706C">
        <w:t>(finding, in a case “</w:t>
      </w:r>
      <w:r w:rsidR="0027706C" w:rsidRPr="0027706C">
        <w:t>where the result did not change on first rehearing and petitioner sought a second rehearing nonetheless,</w:t>
      </w:r>
      <w:r w:rsidR="0027706C">
        <w:t>” that</w:t>
      </w:r>
      <w:r w:rsidR="0027706C" w:rsidRPr="0027706C">
        <w:t xml:space="preserve"> </w:t>
      </w:r>
      <w:r w:rsidR="0027706C">
        <w:t>“</w:t>
      </w:r>
      <w:r w:rsidR="0027706C" w:rsidRPr="0027706C">
        <w:t xml:space="preserve">there can be no dispute that </w:t>
      </w:r>
      <w:r w:rsidR="0027706C">
        <w:t>[precedent]</w:t>
      </w:r>
      <w:r w:rsidR="0027706C" w:rsidRPr="0027706C">
        <w:t xml:space="preserve"> precludes judicial review of an untimely petition</w:t>
      </w:r>
      <w:r w:rsidR="00C22ED9">
        <w:t>”)</w:t>
      </w:r>
      <w:r>
        <w:t>.</w:t>
      </w:r>
    </w:p>
  </w:footnote>
  <w:footnote w:id="507">
    <w:p w14:paraId="3D079FFF" w14:textId="77777777" w:rsidR="00232A88" w:rsidRPr="00B9756A" w:rsidRDefault="00232A88" w:rsidP="00232A88">
      <w:pPr>
        <w:pStyle w:val="FootnoteText"/>
      </w:pPr>
      <w:r>
        <w:rPr>
          <w:rStyle w:val="FootnoteReference"/>
        </w:rPr>
        <w:footnoteRef/>
      </w:r>
      <w:r>
        <w:t xml:space="preserve"> </w:t>
      </w:r>
      <w:r>
        <w:rPr>
          <w:i/>
          <w:iCs/>
        </w:rPr>
        <w:t xml:space="preserve">See generally </w:t>
      </w:r>
      <w:r>
        <w:t xml:space="preserve">Indicated PJM TOs June 12, 2024 Rehearing Request.  </w:t>
      </w:r>
    </w:p>
  </w:footnote>
  <w:footnote w:id="508">
    <w:p w14:paraId="3D9E9E42" w14:textId="77777777" w:rsidR="005406BD" w:rsidRDefault="005406BD" w:rsidP="005406BD">
      <w:pPr>
        <w:pStyle w:val="FootnoteText"/>
      </w:pPr>
      <w:r>
        <w:rPr>
          <w:rStyle w:val="FootnoteReference"/>
        </w:rPr>
        <w:footnoteRef/>
      </w:r>
      <w:r>
        <w:t xml:space="preserve"> I</w:t>
      </w:r>
      <w:r w:rsidRPr="00271311">
        <w:t>ndicated PJM TOs Rehearing Request at 23-27; SPP TOs Rehearing Request at 21-28.</w:t>
      </w:r>
    </w:p>
  </w:footnote>
  <w:footnote w:id="509">
    <w:p w14:paraId="092A2D1C" w14:textId="77777777" w:rsidR="005406BD" w:rsidRDefault="005406BD" w:rsidP="005406BD">
      <w:pPr>
        <w:pStyle w:val="FootnoteText"/>
      </w:pPr>
      <w:r>
        <w:rPr>
          <w:rStyle w:val="FootnoteReference"/>
        </w:rPr>
        <w:footnoteRef/>
      </w:r>
      <w:r>
        <w:t xml:space="preserve"> </w:t>
      </w:r>
      <w:r w:rsidRPr="00716D07">
        <w:rPr>
          <w:i/>
          <w:iCs/>
        </w:rPr>
        <w:t>See</w:t>
      </w:r>
      <w:r w:rsidRPr="00716D07">
        <w:t xml:space="preserve"> Order No. 1920-A, 189 FERC ¶ 61,126 at P</w:t>
      </w:r>
      <w:r>
        <w:t>P</w:t>
      </w:r>
      <w:r w:rsidRPr="00716D07">
        <w:t xml:space="preserve"> 70-71 (describing rehearing requests received from Designated Retail Regulators, Undersigned States, Arizona Commission, and Industrial Customers challenging the sufficiency under </w:t>
      </w:r>
      <w:r>
        <w:t xml:space="preserve">the first prong of </w:t>
      </w:r>
      <w:r w:rsidRPr="00716D07">
        <w:t>FPA section 206 of the evidence relied upon by the Commission in Order No. 1920).</w:t>
      </w:r>
    </w:p>
  </w:footnote>
  <w:footnote w:id="510">
    <w:p w14:paraId="32114A90" w14:textId="3A3E1024" w:rsidR="005406BD" w:rsidRDefault="005406BD" w:rsidP="00D2720A">
      <w:pPr>
        <w:pStyle w:val="FootnoteText"/>
        <w:widowControl/>
      </w:pPr>
      <w:r>
        <w:rPr>
          <w:rStyle w:val="FootnoteReference"/>
        </w:rPr>
        <w:footnoteRef/>
      </w:r>
      <w:r>
        <w:t xml:space="preserve"> </w:t>
      </w:r>
      <w:r w:rsidR="00977366">
        <w:rPr>
          <w:i/>
          <w:iCs/>
        </w:rPr>
        <w:t>Id.</w:t>
      </w:r>
      <w:r w:rsidRPr="00B61E60">
        <w:t xml:space="preserve"> P 72</w:t>
      </w:r>
      <w:r>
        <w:t xml:space="preserve"> </w:t>
      </w:r>
      <w:r w:rsidRPr="00B41F06">
        <w:t>(“We continue to find that the Commission made adequate findings under the first prong of FPA section 206 and marshalled substantial evidence to support those findings.  We are therefore not persuaded by rehearing parties’ arguments to the contrary.”)</w:t>
      </w:r>
      <w:r w:rsidRPr="00B61E60">
        <w:t>.</w:t>
      </w:r>
      <w:r>
        <w:t xml:space="preserve">  </w:t>
      </w:r>
      <w:r>
        <w:rPr>
          <w:i/>
          <w:iCs/>
        </w:rPr>
        <w:t>See</w:t>
      </w:r>
      <w:r>
        <w:rPr>
          <w:i/>
        </w:rPr>
        <w:t xml:space="preserve"> </w:t>
      </w:r>
      <w:r w:rsidRPr="00213B0C">
        <w:rPr>
          <w:i/>
        </w:rPr>
        <w:t>Appalachian Power Co</w:t>
      </w:r>
      <w:r w:rsidRPr="008A4B2B">
        <w:t xml:space="preserve">., 149 FERC ¶ 61,137 at P 10 n.18 </w:t>
      </w:r>
      <w:r w:rsidRPr="000A73C7">
        <w:t>(</w:t>
      </w:r>
      <w:r w:rsidRPr="008A4B2B">
        <w:t xml:space="preserve">“An ‘improved rationale’ for the Commission's underlying decision ... does not support a second request for rehearing.” </w:t>
      </w:r>
      <w:r w:rsidRPr="004C569A">
        <w:t>(</w:t>
      </w:r>
      <w:r w:rsidRPr="008A4B2B">
        <w:t xml:space="preserve">citing </w:t>
      </w:r>
      <w:r w:rsidRPr="006B3F94">
        <w:rPr>
          <w:i/>
        </w:rPr>
        <w:t>Erie Boulevard Hydropower, L.P</w:t>
      </w:r>
      <w:r w:rsidRPr="00F37EBD">
        <w:rPr>
          <w:i/>
        </w:rPr>
        <w:t>.</w:t>
      </w:r>
      <w:r w:rsidRPr="008A4B2B">
        <w:t xml:space="preserve">, 118 FERC </w:t>
      </w:r>
      <w:r w:rsidR="00D2720A">
        <w:t xml:space="preserve">                </w:t>
      </w:r>
      <w:r w:rsidRPr="008A4B2B">
        <w:t>¶ 61,196, at P 8 (2007)</w:t>
      </w:r>
      <w:r w:rsidRPr="004C569A">
        <w:t>))</w:t>
      </w:r>
      <w:r>
        <w:t>;</w:t>
      </w:r>
      <w:r w:rsidRPr="003C1DB6">
        <w:t xml:space="preserve"> </w:t>
      </w:r>
      <w:r w:rsidRPr="00D27A92">
        <w:rPr>
          <w:i/>
          <w:iCs/>
        </w:rPr>
        <w:t>Smith Lake</w:t>
      </w:r>
      <w:r>
        <w:rPr>
          <w:i/>
          <w:iCs/>
        </w:rPr>
        <w:t xml:space="preserve"> Improvement &amp; Stakeholders </w:t>
      </w:r>
      <w:proofErr w:type="spellStart"/>
      <w:r>
        <w:rPr>
          <w:i/>
          <w:iCs/>
        </w:rPr>
        <w:t>Ass’n</w:t>
      </w:r>
      <w:proofErr w:type="spellEnd"/>
      <w:r w:rsidRPr="003C1DB6">
        <w:t xml:space="preserve">, 809 F.3d </w:t>
      </w:r>
      <w:r w:rsidR="00D2720A">
        <w:t xml:space="preserve">          </w:t>
      </w:r>
      <w:r>
        <w:t>at</w:t>
      </w:r>
      <w:r w:rsidRPr="003C1DB6">
        <w:t xml:space="preserve"> 56-57 (“We have made clear that a second rehearing petition must be filed if—and only if—the first rehearing order ‘</w:t>
      </w:r>
      <w:proofErr w:type="spellStart"/>
      <w:r w:rsidRPr="003C1DB6">
        <w:t>modifie</w:t>
      </w:r>
      <w:proofErr w:type="spellEnd"/>
      <w:r w:rsidRPr="003C1DB6">
        <w:t>[d] the results of the earlier one in a significant way.’ We subsequently explained that means a change in the ‘outcome,’ not merely a change in reasoning.” (internal citations omitted)</w:t>
      </w:r>
      <w:r w:rsidR="00E70298">
        <w:t>)</w:t>
      </w:r>
      <w:r>
        <w:t>.</w:t>
      </w:r>
    </w:p>
  </w:footnote>
  <w:footnote w:id="511">
    <w:p w14:paraId="3ED7D091" w14:textId="787881DD" w:rsidR="00232A88" w:rsidRPr="00D44E20" w:rsidRDefault="00232A88" w:rsidP="00232A88">
      <w:pPr>
        <w:pStyle w:val="FootnoteText"/>
      </w:pPr>
      <w:r>
        <w:rPr>
          <w:rStyle w:val="FootnoteReference"/>
        </w:rPr>
        <w:footnoteRef/>
      </w:r>
      <w:r>
        <w:t xml:space="preserve"> </w:t>
      </w:r>
      <w:r>
        <w:rPr>
          <w:i/>
          <w:iCs/>
        </w:rPr>
        <w:t xml:space="preserve">See </w:t>
      </w:r>
      <w:r>
        <w:t xml:space="preserve">SPP TOs Rehearing Request at 23-24 nn.64-65, 25 nn.68-70, 26-27 </w:t>
      </w:r>
      <w:r w:rsidR="00D2720A">
        <w:t xml:space="preserve">                </w:t>
      </w:r>
      <w:r>
        <w:t>nn.77-79.</w:t>
      </w:r>
    </w:p>
  </w:footnote>
  <w:footnote w:id="512">
    <w:p w14:paraId="786931C6" w14:textId="4094BF4C" w:rsidR="00232A88" w:rsidRPr="009A1296" w:rsidRDefault="00232A88" w:rsidP="00232A88">
      <w:pPr>
        <w:pStyle w:val="FootnoteText"/>
      </w:pPr>
      <w:r>
        <w:rPr>
          <w:rStyle w:val="FootnoteReference"/>
        </w:rPr>
        <w:footnoteRef/>
      </w:r>
      <w:r>
        <w:t xml:space="preserve"> </w:t>
      </w:r>
      <w:r>
        <w:rPr>
          <w:i/>
          <w:iCs/>
        </w:rPr>
        <w:t xml:space="preserve">See </w:t>
      </w:r>
      <w:r>
        <w:t xml:space="preserve">Indicated PJM TOs Rehearing Request at 24 nn.89-91, 25 n.94; SPP TOs Rehearing Request at 22-23 nn.58-60, 24-25 n.67, 25-26 nn.71-73, 26 nn.75-76, 27 nn.80-82.  </w:t>
      </w:r>
      <w:r>
        <w:rPr>
          <w:i/>
          <w:iCs/>
        </w:rPr>
        <w:t>See also</w:t>
      </w:r>
      <w:r>
        <w:t xml:space="preserve"> Indicated PJM TOs Rehearing Request at 5 (“</w:t>
      </w:r>
      <w:r w:rsidRPr="00B21B77">
        <w:rPr>
          <w:i/>
          <w:iCs/>
        </w:rPr>
        <w:t>Order No. 1920-A</w:t>
      </w:r>
      <w:r w:rsidRPr="00B21B77">
        <w:t xml:space="preserve"> fails to make the finding required by the first prong and to establish a replacement rate under the second prong.</w:t>
      </w:r>
      <w:r>
        <w:t>” (emphasis added)</w:t>
      </w:r>
      <w:r w:rsidR="000A576A">
        <w:t>)</w:t>
      </w:r>
      <w:r>
        <w:t>.</w:t>
      </w:r>
    </w:p>
  </w:footnote>
  <w:footnote w:id="513">
    <w:p w14:paraId="2A40EE29" w14:textId="4AF4C78E" w:rsidR="00F3586F" w:rsidRDefault="00F3586F">
      <w:pPr>
        <w:pStyle w:val="FootnoteText"/>
      </w:pPr>
      <w:r>
        <w:rPr>
          <w:rStyle w:val="FootnoteReference"/>
        </w:rPr>
        <w:footnoteRef/>
      </w:r>
      <w:r>
        <w:t xml:space="preserve"> </w:t>
      </w:r>
      <w:r w:rsidR="001A3A25" w:rsidRPr="00646731">
        <w:rPr>
          <w:i/>
          <w:iCs/>
        </w:rPr>
        <w:t>See NEXUS Gas Transmission, LLC</w:t>
      </w:r>
      <w:r w:rsidR="001A3A25" w:rsidRPr="001A3A25">
        <w:t xml:space="preserve">, 187 FERC ¶ 61,098, at P 13 (2024) (citing </w:t>
      </w:r>
      <w:r w:rsidR="001A3A25" w:rsidRPr="00646731">
        <w:rPr>
          <w:i/>
          <w:iCs/>
        </w:rPr>
        <w:t>Calpine Corp.</w:t>
      </w:r>
      <w:r w:rsidR="001A3A25" w:rsidRPr="001A3A25">
        <w:t>, 173 FERC ¶ 61,061, at P 144 (2020) (rejecting an argument as an impermissible request for rehearing of an order on rehearing)</w:t>
      </w:r>
      <w:r w:rsidR="00FD2A0D">
        <w:t>)</w:t>
      </w:r>
      <w:r w:rsidR="00E346B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6829" w14:textId="03412BE0" w:rsidR="0075702A" w:rsidRDefault="007570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36D6">
      <w:rPr>
        <w:rStyle w:val="PageNumber"/>
        <w:noProof/>
      </w:rPr>
      <w:t>i</w:t>
    </w:r>
    <w:r>
      <w:rPr>
        <w:rStyle w:val="PageNumber"/>
      </w:rPr>
      <w:fldChar w:fldCharType="end"/>
    </w:r>
  </w:p>
  <w:p w14:paraId="05929C1A" w14:textId="77777777" w:rsidR="0075702A" w:rsidRDefault="007570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06B2" w14:textId="795B5972" w:rsidR="0075702A" w:rsidRDefault="0075702A" w:rsidP="0075702A">
    <w:pPr>
      <w:pStyle w:val="Header"/>
      <w:tabs>
        <w:tab w:val="clear" w:pos="4680"/>
      </w:tabs>
      <w:spacing w:after="240"/>
    </w:pPr>
    <w:r>
      <w:t xml:space="preserve">Docket No. RM21-17-003 </w:t>
    </w:r>
    <w:r>
      <w:tab/>
    </w:r>
    <w:r>
      <w:fldChar w:fldCharType="begin"/>
    </w:r>
    <w:r>
      <w:instrText xml:space="preserve"> PAGE  \* MERGEFORMAT </w:instrText>
    </w:r>
    <w:r>
      <w:fldChar w:fldCharType="separate"/>
    </w:r>
    <w:r>
      <w:rPr>
        <w:noProof/>
      </w:rPr>
      <w:t>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6AFD" w14:textId="3073A465" w:rsidR="00C33F7C" w:rsidRDefault="00C33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3D0B" w14:textId="1ED8694E"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A26B281" w14:textId="77777777" w:rsidR="00653D8D" w:rsidRDefault="00653D8D"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76CB" w14:textId="5AD19B41" w:rsidR="00653D8D" w:rsidRDefault="0075702A" w:rsidP="0075702A">
    <w:pPr>
      <w:pStyle w:val="Header"/>
      <w:tabs>
        <w:tab w:val="clear" w:pos="4680"/>
      </w:tabs>
      <w:spacing w:after="240"/>
    </w:pPr>
    <w:r>
      <w:t xml:space="preserve">Docket No. RM21-17-003 </w:t>
    </w:r>
    <w:r>
      <w:tab/>
    </w:r>
    <w:r>
      <w:fldChar w:fldCharType="begin"/>
    </w:r>
    <w:r>
      <w:instrText xml:space="preserve"> PAGE  \* MERGEFORMAT </w:instrText>
    </w:r>
    <w:r>
      <w:fldChar w:fldCharType="separate"/>
    </w:r>
    <w:r>
      <w:rPr>
        <w:noProof/>
      </w:rPr>
      <w:t>- 1 -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C603" w14:textId="35ECB8A8"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D71FB9"/>
    <w:multiLevelType w:val="hybridMultilevel"/>
    <w:tmpl w:val="77CE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61706"/>
    <w:multiLevelType w:val="hybridMultilevel"/>
    <w:tmpl w:val="E88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502FF"/>
    <w:multiLevelType w:val="multilevel"/>
    <w:tmpl w:val="00FAD372"/>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3" w15:restartNumberingAfterBreak="0">
    <w:nsid w:val="7A0C7317"/>
    <w:multiLevelType w:val="hybridMultilevel"/>
    <w:tmpl w:val="09CC5546"/>
    <w:lvl w:ilvl="0" w:tplc="E40432EE">
      <w:start w:val="1"/>
      <w:numFmt w:val="decimal"/>
      <w:lvlText w:val="%1."/>
      <w:lvlJc w:val="left"/>
      <w:pPr>
        <w:tabs>
          <w:tab w:val="num" w:pos="720"/>
        </w:tabs>
        <w:ind w:left="0" w:firstLine="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3B09D3"/>
    <w:multiLevelType w:val="hybridMultilevel"/>
    <w:tmpl w:val="6664A450"/>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14"/>
  </w:num>
  <w:num w:numId="12" w16cid:durableId="1146164863">
    <w:abstractNumId w:val="12"/>
  </w:num>
  <w:num w:numId="13" w16cid:durableId="984897000">
    <w:abstractNumId w:val="15"/>
  </w:num>
  <w:num w:numId="14" w16cid:durableId="1936088529">
    <w:abstractNumId w:val="13"/>
  </w:num>
  <w:num w:numId="15" w16cid:durableId="527984878">
    <w:abstractNumId w:val="14"/>
  </w:num>
  <w:num w:numId="16" w16cid:durableId="29115446">
    <w:abstractNumId w:val="11"/>
  </w:num>
  <w:num w:numId="17" w16cid:durableId="366489468">
    <w:abstractNumId w:val="10"/>
  </w:num>
  <w:num w:numId="18" w16cid:durableId="1827939814">
    <w:abstractNumId w:val="14"/>
  </w:num>
  <w:num w:numId="19" w16cid:durableId="1821313544">
    <w:abstractNumId w:val="14"/>
  </w:num>
  <w:num w:numId="20" w16cid:durableId="908733257">
    <w:abstractNumId w:val="14"/>
  </w:num>
  <w:num w:numId="21" w16cid:durableId="344331507">
    <w:abstractNumId w:val="14"/>
  </w:num>
  <w:num w:numId="22" w16cid:durableId="744912751">
    <w:abstractNumId w:val="14"/>
  </w:num>
  <w:num w:numId="23" w16cid:durableId="164535661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2A"/>
    <w:rsid w:val="0000009A"/>
    <w:rsid w:val="00000179"/>
    <w:rsid w:val="000001F1"/>
    <w:rsid w:val="0000024D"/>
    <w:rsid w:val="00000353"/>
    <w:rsid w:val="0000046D"/>
    <w:rsid w:val="00000613"/>
    <w:rsid w:val="00000776"/>
    <w:rsid w:val="0000097A"/>
    <w:rsid w:val="00000A40"/>
    <w:rsid w:val="00000B06"/>
    <w:rsid w:val="00000C6C"/>
    <w:rsid w:val="00000C81"/>
    <w:rsid w:val="00000DA7"/>
    <w:rsid w:val="00000F60"/>
    <w:rsid w:val="00000F71"/>
    <w:rsid w:val="00001596"/>
    <w:rsid w:val="000016DA"/>
    <w:rsid w:val="0000189B"/>
    <w:rsid w:val="0000193D"/>
    <w:rsid w:val="000019C2"/>
    <w:rsid w:val="00001C38"/>
    <w:rsid w:val="00001C9D"/>
    <w:rsid w:val="00001E96"/>
    <w:rsid w:val="00001F50"/>
    <w:rsid w:val="00002042"/>
    <w:rsid w:val="000022C2"/>
    <w:rsid w:val="000024F4"/>
    <w:rsid w:val="000025C3"/>
    <w:rsid w:val="000025E8"/>
    <w:rsid w:val="0000262F"/>
    <w:rsid w:val="00002701"/>
    <w:rsid w:val="00002756"/>
    <w:rsid w:val="000027AB"/>
    <w:rsid w:val="00002A5C"/>
    <w:rsid w:val="00002D27"/>
    <w:rsid w:val="00002FAC"/>
    <w:rsid w:val="00003196"/>
    <w:rsid w:val="000031BB"/>
    <w:rsid w:val="00003340"/>
    <w:rsid w:val="00003442"/>
    <w:rsid w:val="000034C6"/>
    <w:rsid w:val="0000358F"/>
    <w:rsid w:val="0000362C"/>
    <w:rsid w:val="0000364F"/>
    <w:rsid w:val="0000373D"/>
    <w:rsid w:val="000037AB"/>
    <w:rsid w:val="00003946"/>
    <w:rsid w:val="00003B61"/>
    <w:rsid w:val="0000428A"/>
    <w:rsid w:val="000043C2"/>
    <w:rsid w:val="0000445A"/>
    <w:rsid w:val="0000457F"/>
    <w:rsid w:val="00004938"/>
    <w:rsid w:val="00004AD6"/>
    <w:rsid w:val="00004B71"/>
    <w:rsid w:val="00004C09"/>
    <w:rsid w:val="00004C25"/>
    <w:rsid w:val="00004CE2"/>
    <w:rsid w:val="00004DB6"/>
    <w:rsid w:val="00004F49"/>
    <w:rsid w:val="000050E1"/>
    <w:rsid w:val="00005148"/>
    <w:rsid w:val="0000526C"/>
    <w:rsid w:val="000053C4"/>
    <w:rsid w:val="000057FE"/>
    <w:rsid w:val="000059AF"/>
    <w:rsid w:val="00005C56"/>
    <w:rsid w:val="00005CEC"/>
    <w:rsid w:val="00005FD8"/>
    <w:rsid w:val="000060E7"/>
    <w:rsid w:val="00006593"/>
    <w:rsid w:val="00006714"/>
    <w:rsid w:val="00006716"/>
    <w:rsid w:val="00006795"/>
    <w:rsid w:val="000067A9"/>
    <w:rsid w:val="00006855"/>
    <w:rsid w:val="00006883"/>
    <w:rsid w:val="00006ADF"/>
    <w:rsid w:val="00006AED"/>
    <w:rsid w:val="00006B89"/>
    <w:rsid w:val="00006D26"/>
    <w:rsid w:val="00006F81"/>
    <w:rsid w:val="0000704B"/>
    <w:rsid w:val="0000708C"/>
    <w:rsid w:val="000070C8"/>
    <w:rsid w:val="000071BC"/>
    <w:rsid w:val="0000731D"/>
    <w:rsid w:val="00007405"/>
    <w:rsid w:val="00007431"/>
    <w:rsid w:val="000074B2"/>
    <w:rsid w:val="000075B7"/>
    <w:rsid w:val="00007699"/>
    <w:rsid w:val="0000786D"/>
    <w:rsid w:val="00007A97"/>
    <w:rsid w:val="00007C53"/>
    <w:rsid w:val="00007E09"/>
    <w:rsid w:val="00007F14"/>
    <w:rsid w:val="0001009D"/>
    <w:rsid w:val="000101F8"/>
    <w:rsid w:val="00010223"/>
    <w:rsid w:val="00010397"/>
    <w:rsid w:val="0001056F"/>
    <w:rsid w:val="0001082B"/>
    <w:rsid w:val="00010979"/>
    <w:rsid w:val="00010D01"/>
    <w:rsid w:val="00010FA6"/>
    <w:rsid w:val="00011053"/>
    <w:rsid w:val="00011188"/>
    <w:rsid w:val="000111D8"/>
    <w:rsid w:val="000111DE"/>
    <w:rsid w:val="00011298"/>
    <w:rsid w:val="000118C8"/>
    <w:rsid w:val="00011985"/>
    <w:rsid w:val="00011BBE"/>
    <w:rsid w:val="00011BC1"/>
    <w:rsid w:val="00011CC6"/>
    <w:rsid w:val="00011D84"/>
    <w:rsid w:val="00011F12"/>
    <w:rsid w:val="00011FAC"/>
    <w:rsid w:val="000123E9"/>
    <w:rsid w:val="00012409"/>
    <w:rsid w:val="000124DE"/>
    <w:rsid w:val="0001254C"/>
    <w:rsid w:val="0001299C"/>
    <w:rsid w:val="00012DD9"/>
    <w:rsid w:val="00012F37"/>
    <w:rsid w:val="00012FC5"/>
    <w:rsid w:val="0001307D"/>
    <w:rsid w:val="000131F0"/>
    <w:rsid w:val="00013394"/>
    <w:rsid w:val="00013516"/>
    <w:rsid w:val="00013597"/>
    <w:rsid w:val="00013661"/>
    <w:rsid w:val="0001379B"/>
    <w:rsid w:val="0001391E"/>
    <w:rsid w:val="00013B10"/>
    <w:rsid w:val="00013C0D"/>
    <w:rsid w:val="00013DA0"/>
    <w:rsid w:val="00013DF5"/>
    <w:rsid w:val="00013EAB"/>
    <w:rsid w:val="000142A1"/>
    <w:rsid w:val="00014355"/>
    <w:rsid w:val="0001435D"/>
    <w:rsid w:val="000143AA"/>
    <w:rsid w:val="0001464F"/>
    <w:rsid w:val="0001468C"/>
    <w:rsid w:val="000146D1"/>
    <w:rsid w:val="0001477B"/>
    <w:rsid w:val="00014990"/>
    <w:rsid w:val="000149DD"/>
    <w:rsid w:val="00014B3F"/>
    <w:rsid w:val="00014C80"/>
    <w:rsid w:val="00014D51"/>
    <w:rsid w:val="00014D9B"/>
    <w:rsid w:val="00014F39"/>
    <w:rsid w:val="00014FCF"/>
    <w:rsid w:val="000150C0"/>
    <w:rsid w:val="0001517C"/>
    <w:rsid w:val="000152E5"/>
    <w:rsid w:val="00015324"/>
    <w:rsid w:val="000155CA"/>
    <w:rsid w:val="00015CB4"/>
    <w:rsid w:val="00015E21"/>
    <w:rsid w:val="000160AD"/>
    <w:rsid w:val="00016137"/>
    <w:rsid w:val="0001624D"/>
    <w:rsid w:val="0001632A"/>
    <w:rsid w:val="00016625"/>
    <w:rsid w:val="0001696F"/>
    <w:rsid w:val="00016983"/>
    <w:rsid w:val="00016B7F"/>
    <w:rsid w:val="00016C00"/>
    <w:rsid w:val="00016CA5"/>
    <w:rsid w:val="00016CCB"/>
    <w:rsid w:val="00016ECD"/>
    <w:rsid w:val="00016FB9"/>
    <w:rsid w:val="00017093"/>
    <w:rsid w:val="00017250"/>
    <w:rsid w:val="000173FD"/>
    <w:rsid w:val="0001749E"/>
    <w:rsid w:val="000175EB"/>
    <w:rsid w:val="00017A9E"/>
    <w:rsid w:val="00017DA4"/>
    <w:rsid w:val="00020035"/>
    <w:rsid w:val="00020074"/>
    <w:rsid w:val="00020136"/>
    <w:rsid w:val="000203CE"/>
    <w:rsid w:val="0002042F"/>
    <w:rsid w:val="000206C3"/>
    <w:rsid w:val="0002074B"/>
    <w:rsid w:val="00020A6C"/>
    <w:rsid w:val="00020AAA"/>
    <w:rsid w:val="00020ABD"/>
    <w:rsid w:val="00020C1F"/>
    <w:rsid w:val="00020C5E"/>
    <w:rsid w:val="00020CE8"/>
    <w:rsid w:val="00020D08"/>
    <w:rsid w:val="000210B7"/>
    <w:rsid w:val="00021486"/>
    <w:rsid w:val="000215AC"/>
    <w:rsid w:val="00021654"/>
    <w:rsid w:val="000216D4"/>
    <w:rsid w:val="0002170E"/>
    <w:rsid w:val="00021756"/>
    <w:rsid w:val="00021764"/>
    <w:rsid w:val="000217AA"/>
    <w:rsid w:val="00021996"/>
    <w:rsid w:val="00021A08"/>
    <w:rsid w:val="00021ABA"/>
    <w:rsid w:val="00021CEA"/>
    <w:rsid w:val="00021ECE"/>
    <w:rsid w:val="000221FD"/>
    <w:rsid w:val="000222DA"/>
    <w:rsid w:val="0002238B"/>
    <w:rsid w:val="00022865"/>
    <w:rsid w:val="0002292F"/>
    <w:rsid w:val="00022A33"/>
    <w:rsid w:val="00022B0F"/>
    <w:rsid w:val="00022B20"/>
    <w:rsid w:val="00022B54"/>
    <w:rsid w:val="00022BBE"/>
    <w:rsid w:val="00022C5B"/>
    <w:rsid w:val="00022E74"/>
    <w:rsid w:val="00022FC7"/>
    <w:rsid w:val="00022FFE"/>
    <w:rsid w:val="00023284"/>
    <w:rsid w:val="0002336F"/>
    <w:rsid w:val="00023435"/>
    <w:rsid w:val="0002343A"/>
    <w:rsid w:val="00023454"/>
    <w:rsid w:val="000234AC"/>
    <w:rsid w:val="000234F6"/>
    <w:rsid w:val="00023543"/>
    <w:rsid w:val="0002355F"/>
    <w:rsid w:val="0002365E"/>
    <w:rsid w:val="0002366B"/>
    <w:rsid w:val="000237C0"/>
    <w:rsid w:val="000237C9"/>
    <w:rsid w:val="0002398D"/>
    <w:rsid w:val="00023A9C"/>
    <w:rsid w:val="00023C75"/>
    <w:rsid w:val="00023CB1"/>
    <w:rsid w:val="00023DF0"/>
    <w:rsid w:val="00023E3B"/>
    <w:rsid w:val="00024172"/>
    <w:rsid w:val="00024213"/>
    <w:rsid w:val="00024252"/>
    <w:rsid w:val="0002426E"/>
    <w:rsid w:val="00024356"/>
    <w:rsid w:val="00024687"/>
    <w:rsid w:val="0002474E"/>
    <w:rsid w:val="0002481A"/>
    <w:rsid w:val="0002486C"/>
    <w:rsid w:val="000248A8"/>
    <w:rsid w:val="000249BC"/>
    <w:rsid w:val="00024E2F"/>
    <w:rsid w:val="000250A2"/>
    <w:rsid w:val="000250E7"/>
    <w:rsid w:val="00025339"/>
    <w:rsid w:val="000256C6"/>
    <w:rsid w:val="0002586E"/>
    <w:rsid w:val="0002593E"/>
    <w:rsid w:val="00025950"/>
    <w:rsid w:val="00025974"/>
    <w:rsid w:val="000259DE"/>
    <w:rsid w:val="00025ABC"/>
    <w:rsid w:val="00025B61"/>
    <w:rsid w:val="00025B86"/>
    <w:rsid w:val="00025C87"/>
    <w:rsid w:val="00025DF9"/>
    <w:rsid w:val="00026057"/>
    <w:rsid w:val="00026146"/>
    <w:rsid w:val="000264CA"/>
    <w:rsid w:val="0002676A"/>
    <w:rsid w:val="0002677C"/>
    <w:rsid w:val="00026815"/>
    <w:rsid w:val="0002690E"/>
    <w:rsid w:val="00026946"/>
    <w:rsid w:val="00026B06"/>
    <w:rsid w:val="00026B83"/>
    <w:rsid w:val="00026BFB"/>
    <w:rsid w:val="00026C4B"/>
    <w:rsid w:val="00026D99"/>
    <w:rsid w:val="00026DBF"/>
    <w:rsid w:val="00026F44"/>
    <w:rsid w:val="00027067"/>
    <w:rsid w:val="00027217"/>
    <w:rsid w:val="00027340"/>
    <w:rsid w:val="00027395"/>
    <w:rsid w:val="0002741E"/>
    <w:rsid w:val="0002747F"/>
    <w:rsid w:val="000275A6"/>
    <w:rsid w:val="0002766F"/>
    <w:rsid w:val="00027974"/>
    <w:rsid w:val="000279AF"/>
    <w:rsid w:val="000279D6"/>
    <w:rsid w:val="000279F0"/>
    <w:rsid w:val="00027A12"/>
    <w:rsid w:val="00027AFA"/>
    <w:rsid w:val="00027D0A"/>
    <w:rsid w:val="00027D52"/>
    <w:rsid w:val="00027E75"/>
    <w:rsid w:val="00027E7E"/>
    <w:rsid w:val="00030052"/>
    <w:rsid w:val="000302ED"/>
    <w:rsid w:val="000303B8"/>
    <w:rsid w:val="00030807"/>
    <w:rsid w:val="00030833"/>
    <w:rsid w:val="000308E4"/>
    <w:rsid w:val="00030907"/>
    <w:rsid w:val="00030AEB"/>
    <w:rsid w:val="00030B40"/>
    <w:rsid w:val="00030D65"/>
    <w:rsid w:val="00030EDB"/>
    <w:rsid w:val="00031123"/>
    <w:rsid w:val="00031151"/>
    <w:rsid w:val="0003154C"/>
    <w:rsid w:val="000315FD"/>
    <w:rsid w:val="0003176A"/>
    <w:rsid w:val="00031803"/>
    <w:rsid w:val="00031845"/>
    <w:rsid w:val="00031993"/>
    <w:rsid w:val="00031B08"/>
    <w:rsid w:val="00031B4F"/>
    <w:rsid w:val="000321DE"/>
    <w:rsid w:val="00032240"/>
    <w:rsid w:val="0003256C"/>
    <w:rsid w:val="0003269E"/>
    <w:rsid w:val="00032B45"/>
    <w:rsid w:val="00032CAB"/>
    <w:rsid w:val="00032F12"/>
    <w:rsid w:val="00032F5E"/>
    <w:rsid w:val="00032FBC"/>
    <w:rsid w:val="00033034"/>
    <w:rsid w:val="00033116"/>
    <w:rsid w:val="00033155"/>
    <w:rsid w:val="0003327B"/>
    <w:rsid w:val="0003346F"/>
    <w:rsid w:val="0003355F"/>
    <w:rsid w:val="00033802"/>
    <w:rsid w:val="0003382F"/>
    <w:rsid w:val="000339A3"/>
    <w:rsid w:val="00033A03"/>
    <w:rsid w:val="00033C26"/>
    <w:rsid w:val="00033C46"/>
    <w:rsid w:val="00033E0D"/>
    <w:rsid w:val="00033EDD"/>
    <w:rsid w:val="00033F27"/>
    <w:rsid w:val="0003417A"/>
    <w:rsid w:val="000341DC"/>
    <w:rsid w:val="00034413"/>
    <w:rsid w:val="00034468"/>
    <w:rsid w:val="000345D0"/>
    <w:rsid w:val="00034688"/>
    <w:rsid w:val="000348CC"/>
    <w:rsid w:val="000348E2"/>
    <w:rsid w:val="00034AA2"/>
    <w:rsid w:val="00034C7C"/>
    <w:rsid w:val="000355A6"/>
    <w:rsid w:val="00035635"/>
    <w:rsid w:val="00035960"/>
    <w:rsid w:val="00035994"/>
    <w:rsid w:val="00035DE7"/>
    <w:rsid w:val="00035E74"/>
    <w:rsid w:val="000361C4"/>
    <w:rsid w:val="0003634A"/>
    <w:rsid w:val="0003638A"/>
    <w:rsid w:val="00036416"/>
    <w:rsid w:val="0003661B"/>
    <w:rsid w:val="00036681"/>
    <w:rsid w:val="000366D5"/>
    <w:rsid w:val="000368FB"/>
    <w:rsid w:val="00036A4D"/>
    <w:rsid w:val="00036CAF"/>
    <w:rsid w:val="00036F26"/>
    <w:rsid w:val="0003718D"/>
    <w:rsid w:val="00037225"/>
    <w:rsid w:val="00037254"/>
    <w:rsid w:val="00037326"/>
    <w:rsid w:val="00037334"/>
    <w:rsid w:val="00037344"/>
    <w:rsid w:val="000374D0"/>
    <w:rsid w:val="00037539"/>
    <w:rsid w:val="00037587"/>
    <w:rsid w:val="00037850"/>
    <w:rsid w:val="00037896"/>
    <w:rsid w:val="000379AD"/>
    <w:rsid w:val="00037B00"/>
    <w:rsid w:val="00037C61"/>
    <w:rsid w:val="00037D54"/>
    <w:rsid w:val="00037D82"/>
    <w:rsid w:val="00037DF7"/>
    <w:rsid w:val="00037E04"/>
    <w:rsid w:val="00037E5E"/>
    <w:rsid w:val="00037ECE"/>
    <w:rsid w:val="00037FB8"/>
    <w:rsid w:val="000402AF"/>
    <w:rsid w:val="00040462"/>
    <w:rsid w:val="000404CE"/>
    <w:rsid w:val="00040ABC"/>
    <w:rsid w:val="00040B07"/>
    <w:rsid w:val="00040B7D"/>
    <w:rsid w:val="00040C30"/>
    <w:rsid w:val="00040C6F"/>
    <w:rsid w:val="00040D07"/>
    <w:rsid w:val="00040EA4"/>
    <w:rsid w:val="00040F8B"/>
    <w:rsid w:val="0004106E"/>
    <w:rsid w:val="00041174"/>
    <w:rsid w:val="0004135C"/>
    <w:rsid w:val="0004139B"/>
    <w:rsid w:val="000416BF"/>
    <w:rsid w:val="00041823"/>
    <w:rsid w:val="00041C7B"/>
    <w:rsid w:val="00041CEF"/>
    <w:rsid w:val="00041DCB"/>
    <w:rsid w:val="00041F91"/>
    <w:rsid w:val="00041F9D"/>
    <w:rsid w:val="00042013"/>
    <w:rsid w:val="00042104"/>
    <w:rsid w:val="00042253"/>
    <w:rsid w:val="000422EC"/>
    <w:rsid w:val="0004241C"/>
    <w:rsid w:val="00042436"/>
    <w:rsid w:val="000424B5"/>
    <w:rsid w:val="000428C4"/>
    <w:rsid w:val="00042A0E"/>
    <w:rsid w:val="00042C2B"/>
    <w:rsid w:val="00042D50"/>
    <w:rsid w:val="00042D99"/>
    <w:rsid w:val="00042EE6"/>
    <w:rsid w:val="000434B4"/>
    <w:rsid w:val="000434C6"/>
    <w:rsid w:val="00043517"/>
    <w:rsid w:val="00043599"/>
    <w:rsid w:val="000436E4"/>
    <w:rsid w:val="000436EE"/>
    <w:rsid w:val="00043963"/>
    <w:rsid w:val="00043ABF"/>
    <w:rsid w:val="00043AD9"/>
    <w:rsid w:val="00043BDE"/>
    <w:rsid w:val="000440FE"/>
    <w:rsid w:val="000441FD"/>
    <w:rsid w:val="00044211"/>
    <w:rsid w:val="00044225"/>
    <w:rsid w:val="000442D4"/>
    <w:rsid w:val="00044432"/>
    <w:rsid w:val="00044500"/>
    <w:rsid w:val="00044524"/>
    <w:rsid w:val="0004471F"/>
    <w:rsid w:val="000449C1"/>
    <w:rsid w:val="00044A31"/>
    <w:rsid w:val="00044A8F"/>
    <w:rsid w:val="00044ABA"/>
    <w:rsid w:val="00044B39"/>
    <w:rsid w:val="00044B9B"/>
    <w:rsid w:val="00044CFA"/>
    <w:rsid w:val="00044D64"/>
    <w:rsid w:val="00044DF6"/>
    <w:rsid w:val="00044FA0"/>
    <w:rsid w:val="00044FD1"/>
    <w:rsid w:val="00045002"/>
    <w:rsid w:val="0004512A"/>
    <w:rsid w:val="0004516E"/>
    <w:rsid w:val="000451DE"/>
    <w:rsid w:val="00045204"/>
    <w:rsid w:val="0004547A"/>
    <w:rsid w:val="0004567C"/>
    <w:rsid w:val="00045793"/>
    <w:rsid w:val="000457F7"/>
    <w:rsid w:val="00045890"/>
    <w:rsid w:val="000458D4"/>
    <w:rsid w:val="000459FE"/>
    <w:rsid w:val="00045B4E"/>
    <w:rsid w:val="00045D1C"/>
    <w:rsid w:val="00045DAF"/>
    <w:rsid w:val="00045EC4"/>
    <w:rsid w:val="00045F49"/>
    <w:rsid w:val="00045F71"/>
    <w:rsid w:val="00046025"/>
    <w:rsid w:val="0004624A"/>
    <w:rsid w:val="0004633F"/>
    <w:rsid w:val="00046463"/>
    <w:rsid w:val="000465AC"/>
    <w:rsid w:val="000468EE"/>
    <w:rsid w:val="00046946"/>
    <w:rsid w:val="00046C45"/>
    <w:rsid w:val="00046CB7"/>
    <w:rsid w:val="00046CC0"/>
    <w:rsid w:val="0004722C"/>
    <w:rsid w:val="00047306"/>
    <w:rsid w:val="00047440"/>
    <w:rsid w:val="0004744D"/>
    <w:rsid w:val="0004744E"/>
    <w:rsid w:val="00047644"/>
    <w:rsid w:val="0004773F"/>
    <w:rsid w:val="00047830"/>
    <w:rsid w:val="00047837"/>
    <w:rsid w:val="00047C6B"/>
    <w:rsid w:val="00047D3A"/>
    <w:rsid w:val="00047ECB"/>
    <w:rsid w:val="00047F19"/>
    <w:rsid w:val="00047F28"/>
    <w:rsid w:val="00047F7B"/>
    <w:rsid w:val="00047FE0"/>
    <w:rsid w:val="00050044"/>
    <w:rsid w:val="000500E7"/>
    <w:rsid w:val="00050315"/>
    <w:rsid w:val="0005043D"/>
    <w:rsid w:val="00050474"/>
    <w:rsid w:val="000505D4"/>
    <w:rsid w:val="00050722"/>
    <w:rsid w:val="0005079E"/>
    <w:rsid w:val="00050B47"/>
    <w:rsid w:val="00050E3C"/>
    <w:rsid w:val="00050E6E"/>
    <w:rsid w:val="00051188"/>
    <w:rsid w:val="0005134C"/>
    <w:rsid w:val="0005135D"/>
    <w:rsid w:val="00051376"/>
    <w:rsid w:val="000514DE"/>
    <w:rsid w:val="00051608"/>
    <w:rsid w:val="00051678"/>
    <w:rsid w:val="00051B4F"/>
    <w:rsid w:val="00051C3F"/>
    <w:rsid w:val="00051C93"/>
    <w:rsid w:val="00051DE9"/>
    <w:rsid w:val="00051E72"/>
    <w:rsid w:val="00051F90"/>
    <w:rsid w:val="00052052"/>
    <w:rsid w:val="000521F1"/>
    <w:rsid w:val="00052200"/>
    <w:rsid w:val="000524C3"/>
    <w:rsid w:val="000526B3"/>
    <w:rsid w:val="0005277A"/>
    <w:rsid w:val="00052B4C"/>
    <w:rsid w:val="00052BE8"/>
    <w:rsid w:val="00052CEA"/>
    <w:rsid w:val="00052CEF"/>
    <w:rsid w:val="00052D2C"/>
    <w:rsid w:val="00052DA9"/>
    <w:rsid w:val="0005319D"/>
    <w:rsid w:val="000531BB"/>
    <w:rsid w:val="00053240"/>
    <w:rsid w:val="000536CB"/>
    <w:rsid w:val="0005384D"/>
    <w:rsid w:val="00053899"/>
    <w:rsid w:val="000538E3"/>
    <w:rsid w:val="00053917"/>
    <w:rsid w:val="000539F7"/>
    <w:rsid w:val="00053AF5"/>
    <w:rsid w:val="00053BCE"/>
    <w:rsid w:val="00053C24"/>
    <w:rsid w:val="00053EE1"/>
    <w:rsid w:val="00053EF9"/>
    <w:rsid w:val="000540AC"/>
    <w:rsid w:val="000540B0"/>
    <w:rsid w:val="000542EA"/>
    <w:rsid w:val="000542FC"/>
    <w:rsid w:val="0005433C"/>
    <w:rsid w:val="00054501"/>
    <w:rsid w:val="000548B9"/>
    <w:rsid w:val="00054BF0"/>
    <w:rsid w:val="00054EE6"/>
    <w:rsid w:val="00054F1F"/>
    <w:rsid w:val="000550DC"/>
    <w:rsid w:val="00055231"/>
    <w:rsid w:val="000552CF"/>
    <w:rsid w:val="000554B5"/>
    <w:rsid w:val="000554C2"/>
    <w:rsid w:val="000555FE"/>
    <w:rsid w:val="00055612"/>
    <w:rsid w:val="000556EA"/>
    <w:rsid w:val="0005584E"/>
    <w:rsid w:val="0005588D"/>
    <w:rsid w:val="000559E0"/>
    <w:rsid w:val="00055AF8"/>
    <w:rsid w:val="00055BC6"/>
    <w:rsid w:val="00055CC8"/>
    <w:rsid w:val="00055DB3"/>
    <w:rsid w:val="00055DF9"/>
    <w:rsid w:val="00055DFB"/>
    <w:rsid w:val="00055F5F"/>
    <w:rsid w:val="000560A4"/>
    <w:rsid w:val="000560F4"/>
    <w:rsid w:val="000561B3"/>
    <w:rsid w:val="00056447"/>
    <w:rsid w:val="00056504"/>
    <w:rsid w:val="00056976"/>
    <w:rsid w:val="000569B5"/>
    <w:rsid w:val="000569BB"/>
    <w:rsid w:val="00056ADB"/>
    <w:rsid w:val="00056C93"/>
    <w:rsid w:val="00056D58"/>
    <w:rsid w:val="00056EAF"/>
    <w:rsid w:val="00056F0A"/>
    <w:rsid w:val="000571F1"/>
    <w:rsid w:val="000574BA"/>
    <w:rsid w:val="00057593"/>
    <w:rsid w:val="000575DD"/>
    <w:rsid w:val="00057627"/>
    <w:rsid w:val="0005762D"/>
    <w:rsid w:val="000579FA"/>
    <w:rsid w:val="000579FF"/>
    <w:rsid w:val="00057BB4"/>
    <w:rsid w:val="00057C5F"/>
    <w:rsid w:val="00057D3B"/>
    <w:rsid w:val="00057E1C"/>
    <w:rsid w:val="00057FCC"/>
    <w:rsid w:val="0006005D"/>
    <w:rsid w:val="0006018D"/>
    <w:rsid w:val="000602F5"/>
    <w:rsid w:val="00060368"/>
    <w:rsid w:val="0006055F"/>
    <w:rsid w:val="00060634"/>
    <w:rsid w:val="00060649"/>
    <w:rsid w:val="00060750"/>
    <w:rsid w:val="00060770"/>
    <w:rsid w:val="000607B1"/>
    <w:rsid w:val="0006081D"/>
    <w:rsid w:val="00060ABA"/>
    <w:rsid w:val="00060D36"/>
    <w:rsid w:val="00060DBA"/>
    <w:rsid w:val="00060ED9"/>
    <w:rsid w:val="00061150"/>
    <w:rsid w:val="0006117F"/>
    <w:rsid w:val="000611DD"/>
    <w:rsid w:val="00061580"/>
    <w:rsid w:val="00061682"/>
    <w:rsid w:val="000616E1"/>
    <w:rsid w:val="00061987"/>
    <w:rsid w:val="00061A15"/>
    <w:rsid w:val="00061A6A"/>
    <w:rsid w:val="00061A9F"/>
    <w:rsid w:val="00061B3A"/>
    <w:rsid w:val="00061D4C"/>
    <w:rsid w:val="00061E43"/>
    <w:rsid w:val="00061E6A"/>
    <w:rsid w:val="00061F6F"/>
    <w:rsid w:val="000620FB"/>
    <w:rsid w:val="00062489"/>
    <w:rsid w:val="0006254B"/>
    <w:rsid w:val="00062604"/>
    <w:rsid w:val="00062732"/>
    <w:rsid w:val="0006273F"/>
    <w:rsid w:val="00062783"/>
    <w:rsid w:val="000627E6"/>
    <w:rsid w:val="00062871"/>
    <w:rsid w:val="000629E1"/>
    <w:rsid w:val="00062B44"/>
    <w:rsid w:val="00062F38"/>
    <w:rsid w:val="000630BF"/>
    <w:rsid w:val="000631E7"/>
    <w:rsid w:val="000631F8"/>
    <w:rsid w:val="00063541"/>
    <w:rsid w:val="00063624"/>
    <w:rsid w:val="000636B6"/>
    <w:rsid w:val="0006376F"/>
    <w:rsid w:val="00063925"/>
    <w:rsid w:val="00063932"/>
    <w:rsid w:val="00063978"/>
    <w:rsid w:val="00063A69"/>
    <w:rsid w:val="00063A9F"/>
    <w:rsid w:val="00063B24"/>
    <w:rsid w:val="00063B4B"/>
    <w:rsid w:val="00063BAC"/>
    <w:rsid w:val="00063E44"/>
    <w:rsid w:val="00063F5D"/>
    <w:rsid w:val="00064068"/>
    <w:rsid w:val="0006426C"/>
    <w:rsid w:val="0006454A"/>
    <w:rsid w:val="000646F4"/>
    <w:rsid w:val="00064709"/>
    <w:rsid w:val="000647A0"/>
    <w:rsid w:val="00064AF4"/>
    <w:rsid w:val="00064C9E"/>
    <w:rsid w:val="00064D1B"/>
    <w:rsid w:val="000651E3"/>
    <w:rsid w:val="00065232"/>
    <w:rsid w:val="00065246"/>
    <w:rsid w:val="000653DA"/>
    <w:rsid w:val="000655AE"/>
    <w:rsid w:val="0006570E"/>
    <w:rsid w:val="00065808"/>
    <w:rsid w:val="000658E5"/>
    <w:rsid w:val="00065A2E"/>
    <w:rsid w:val="00065B70"/>
    <w:rsid w:val="00065BCF"/>
    <w:rsid w:val="00065C2A"/>
    <w:rsid w:val="00065C36"/>
    <w:rsid w:val="00065D3E"/>
    <w:rsid w:val="00065D9A"/>
    <w:rsid w:val="00065DAC"/>
    <w:rsid w:val="00065E08"/>
    <w:rsid w:val="00065E44"/>
    <w:rsid w:val="000661CA"/>
    <w:rsid w:val="0006620B"/>
    <w:rsid w:val="000664B8"/>
    <w:rsid w:val="000665CC"/>
    <w:rsid w:val="0006676F"/>
    <w:rsid w:val="00066894"/>
    <w:rsid w:val="00066A91"/>
    <w:rsid w:val="00066B7F"/>
    <w:rsid w:val="00066CFF"/>
    <w:rsid w:val="00066E4B"/>
    <w:rsid w:val="00066F1C"/>
    <w:rsid w:val="000670B9"/>
    <w:rsid w:val="000670EB"/>
    <w:rsid w:val="00067367"/>
    <w:rsid w:val="00067413"/>
    <w:rsid w:val="000674A8"/>
    <w:rsid w:val="000674F4"/>
    <w:rsid w:val="000677C1"/>
    <w:rsid w:val="0006781B"/>
    <w:rsid w:val="000678A0"/>
    <w:rsid w:val="00067927"/>
    <w:rsid w:val="00067A24"/>
    <w:rsid w:val="00067AA3"/>
    <w:rsid w:val="00067E45"/>
    <w:rsid w:val="00067EDF"/>
    <w:rsid w:val="00067FC0"/>
    <w:rsid w:val="000700D4"/>
    <w:rsid w:val="0007016F"/>
    <w:rsid w:val="00070191"/>
    <w:rsid w:val="0007038F"/>
    <w:rsid w:val="000703B2"/>
    <w:rsid w:val="00070567"/>
    <w:rsid w:val="00070656"/>
    <w:rsid w:val="0007069D"/>
    <w:rsid w:val="00070857"/>
    <w:rsid w:val="000708FC"/>
    <w:rsid w:val="00070999"/>
    <w:rsid w:val="00070A26"/>
    <w:rsid w:val="00070AFA"/>
    <w:rsid w:val="00070CE4"/>
    <w:rsid w:val="00070E8B"/>
    <w:rsid w:val="00070E9A"/>
    <w:rsid w:val="00070ED9"/>
    <w:rsid w:val="00070F30"/>
    <w:rsid w:val="00071052"/>
    <w:rsid w:val="000711BF"/>
    <w:rsid w:val="0007135B"/>
    <w:rsid w:val="00071378"/>
    <w:rsid w:val="00071696"/>
    <w:rsid w:val="00071C87"/>
    <w:rsid w:val="00071CFD"/>
    <w:rsid w:val="00071EA7"/>
    <w:rsid w:val="00071F03"/>
    <w:rsid w:val="00072035"/>
    <w:rsid w:val="00072050"/>
    <w:rsid w:val="0007210D"/>
    <w:rsid w:val="000723A1"/>
    <w:rsid w:val="00072458"/>
    <w:rsid w:val="0007255F"/>
    <w:rsid w:val="00072608"/>
    <w:rsid w:val="00072614"/>
    <w:rsid w:val="00072692"/>
    <w:rsid w:val="00072802"/>
    <w:rsid w:val="0007282A"/>
    <w:rsid w:val="000729AF"/>
    <w:rsid w:val="00072B95"/>
    <w:rsid w:val="00072E9C"/>
    <w:rsid w:val="00072F27"/>
    <w:rsid w:val="00072F3B"/>
    <w:rsid w:val="00072FEC"/>
    <w:rsid w:val="00073544"/>
    <w:rsid w:val="00073617"/>
    <w:rsid w:val="00073712"/>
    <w:rsid w:val="0007376B"/>
    <w:rsid w:val="0007377C"/>
    <w:rsid w:val="000737A3"/>
    <w:rsid w:val="00073ABB"/>
    <w:rsid w:val="00073ADB"/>
    <w:rsid w:val="00073BB5"/>
    <w:rsid w:val="00073BF5"/>
    <w:rsid w:val="00073FD2"/>
    <w:rsid w:val="00074024"/>
    <w:rsid w:val="0007403C"/>
    <w:rsid w:val="0007406E"/>
    <w:rsid w:val="00074135"/>
    <w:rsid w:val="000741BD"/>
    <w:rsid w:val="0007435F"/>
    <w:rsid w:val="00074368"/>
    <w:rsid w:val="00074457"/>
    <w:rsid w:val="0007456D"/>
    <w:rsid w:val="00074574"/>
    <w:rsid w:val="000746DD"/>
    <w:rsid w:val="000746E9"/>
    <w:rsid w:val="00074743"/>
    <w:rsid w:val="000748F6"/>
    <w:rsid w:val="00074A3A"/>
    <w:rsid w:val="00074CCC"/>
    <w:rsid w:val="00074F33"/>
    <w:rsid w:val="00075069"/>
    <w:rsid w:val="00075189"/>
    <w:rsid w:val="00075320"/>
    <w:rsid w:val="000755AF"/>
    <w:rsid w:val="00075757"/>
    <w:rsid w:val="00075828"/>
    <w:rsid w:val="000759B9"/>
    <w:rsid w:val="000759D2"/>
    <w:rsid w:val="000759FF"/>
    <w:rsid w:val="00075C9A"/>
    <w:rsid w:val="00075CDE"/>
    <w:rsid w:val="0007604D"/>
    <w:rsid w:val="00076284"/>
    <w:rsid w:val="000762DC"/>
    <w:rsid w:val="00076359"/>
    <w:rsid w:val="0007636C"/>
    <w:rsid w:val="00076376"/>
    <w:rsid w:val="000763B3"/>
    <w:rsid w:val="000763C4"/>
    <w:rsid w:val="000764D8"/>
    <w:rsid w:val="0007663E"/>
    <w:rsid w:val="00076663"/>
    <w:rsid w:val="00076821"/>
    <w:rsid w:val="0007690E"/>
    <w:rsid w:val="00076ABC"/>
    <w:rsid w:val="00076BFA"/>
    <w:rsid w:val="00076FA1"/>
    <w:rsid w:val="00077010"/>
    <w:rsid w:val="00077040"/>
    <w:rsid w:val="00077168"/>
    <w:rsid w:val="000771CD"/>
    <w:rsid w:val="000773D2"/>
    <w:rsid w:val="000775A6"/>
    <w:rsid w:val="0007765B"/>
    <w:rsid w:val="000777C2"/>
    <w:rsid w:val="00077AFB"/>
    <w:rsid w:val="00077C4E"/>
    <w:rsid w:val="00077FBB"/>
    <w:rsid w:val="00077FD3"/>
    <w:rsid w:val="0008035D"/>
    <w:rsid w:val="000803D1"/>
    <w:rsid w:val="0008051B"/>
    <w:rsid w:val="00080530"/>
    <w:rsid w:val="000805A2"/>
    <w:rsid w:val="000805A9"/>
    <w:rsid w:val="000807F0"/>
    <w:rsid w:val="00080862"/>
    <w:rsid w:val="000809D2"/>
    <w:rsid w:val="00080A1A"/>
    <w:rsid w:val="00080AB2"/>
    <w:rsid w:val="00080B34"/>
    <w:rsid w:val="00080C29"/>
    <w:rsid w:val="00080C79"/>
    <w:rsid w:val="00081025"/>
    <w:rsid w:val="00081253"/>
    <w:rsid w:val="00081424"/>
    <w:rsid w:val="00081536"/>
    <w:rsid w:val="0008153F"/>
    <w:rsid w:val="000818B7"/>
    <w:rsid w:val="000818FA"/>
    <w:rsid w:val="00081A0B"/>
    <w:rsid w:val="00081BF3"/>
    <w:rsid w:val="00081D60"/>
    <w:rsid w:val="0008209F"/>
    <w:rsid w:val="000820A6"/>
    <w:rsid w:val="0008224F"/>
    <w:rsid w:val="00082629"/>
    <w:rsid w:val="000826A4"/>
    <w:rsid w:val="0008270E"/>
    <w:rsid w:val="000827D0"/>
    <w:rsid w:val="00082B2B"/>
    <w:rsid w:val="00082B88"/>
    <w:rsid w:val="00082C43"/>
    <w:rsid w:val="00082C4D"/>
    <w:rsid w:val="00082D46"/>
    <w:rsid w:val="00082F5C"/>
    <w:rsid w:val="00083047"/>
    <w:rsid w:val="00083100"/>
    <w:rsid w:val="0008318B"/>
    <w:rsid w:val="0008320D"/>
    <w:rsid w:val="00083472"/>
    <w:rsid w:val="00083740"/>
    <w:rsid w:val="00083782"/>
    <w:rsid w:val="00083856"/>
    <w:rsid w:val="000838D4"/>
    <w:rsid w:val="000838DF"/>
    <w:rsid w:val="000839CF"/>
    <w:rsid w:val="00084163"/>
    <w:rsid w:val="0008418C"/>
    <w:rsid w:val="000841AF"/>
    <w:rsid w:val="00084290"/>
    <w:rsid w:val="000843DC"/>
    <w:rsid w:val="000845A7"/>
    <w:rsid w:val="00084646"/>
    <w:rsid w:val="000846C0"/>
    <w:rsid w:val="0008478C"/>
    <w:rsid w:val="00084975"/>
    <w:rsid w:val="000849FC"/>
    <w:rsid w:val="00084A31"/>
    <w:rsid w:val="00084AC2"/>
    <w:rsid w:val="00084BB0"/>
    <w:rsid w:val="00084D88"/>
    <w:rsid w:val="00084DA5"/>
    <w:rsid w:val="0008552B"/>
    <w:rsid w:val="0008553E"/>
    <w:rsid w:val="00085610"/>
    <w:rsid w:val="0008569E"/>
    <w:rsid w:val="000856CA"/>
    <w:rsid w:val="00085824"/>
    <w:rsid w:val="00085828"/>
    <w:rsid w:val="00085876"/>
    <w:rsid w:val="00085A22"/>
    <w:rsid w:val="00085A76"/>
    <w:rsid w:val="00085BA2"/>
    <w:rsid w:val="00085CCE"/>
    <w:rsid w:val="00085D21"/>
    <w:rsid w:val="0008626B"/>
    <w:rsid w:val="000862E8"/>
    <w:rsid w:val="00086463"/>
    <w:rsid w:val="00086496"/>
    <w:rsid w:val="00086497"/>
    <w:rsid w:val="00086819"/>
    <w:rsid w:val="00086957"/>
    <w:rsid w:val="000869AA"/>
    <w:rsid w:val="00086C1D"/>
    <w:rsid w:val="00086D98"/>
    <w:rsid w:val="00086DCC"/>
    <w:rsid w:val="00086DDE"/>
    <w:rsid w:val="00086EF8"/>
    <w:rsid w:val="000875D2"/>
    <w:rsid w:val="00087725"/>
    <w:rsid w:val="0008778D"/>
    <w:rsid w:val="000877BC"/>
    <w:rsid w:val="00087999"/>
    <w:rsid w:val="00087E8C"/>
    <w:rsid w:val="00087F8D"/>
    <w:rsid w:val="00090205"/>
    <w:rsid w:val="0009031D"/>
    <w:rsid w:val="000904A6"/>
    <w:rsid w:val="000908D9"/>
    <w:rsid w:val="00090981"/>
    <w:rsid w:val="00090F3E"/>
    <w:rsid w:val="0009108A"/>
    <w:rsid w:val="00091131"/>
    <w:rsid w:val="0009135E"/>
    <w:rsid w:val="000916D5"/>
    <w:rsid w:val="0009171E"/>
    <w:rsid w:val="0009181F"/>
    <w:rsid w:val="0009183F"/>
    <w:rsid w:val="0009188C"/>
    <w:rsid w:val="00091979"/>
    <w:rsid w:val="0009199F"/>
    <w:rsid w:val="00091AAA"/>
    <w:rsid w:val="00091CF9"/>
    <w:rsid w:val="00091D0E"/>
    <w:rsid w:val="00091E28"/>
    <w:rsid w:val="0009214D"/>
    <w:rsid w:val="000921DD"/>
    <w:rsid w:val="00092385"/>
    <w:rsid w:val="000924A4"/>
    <w:rsid w:val="000925E4"/>
    <w:rsid w:val="00092634"/>
    <w:rsid w:val="0009269A"/>
    <w:rsid w:val="000929D4"/>
    <w:rsid w:val="00092A25"/>
    <w:rsid w:val="00092A2E"/>
    <w:rsid w:val="00092C05"/>
    <w:rsid w:val="00092C51"/>
    <w:rsid w:val="00092E21"/>
    <w:rsid w:val="00092F55"/>
    <w:rsid w:val="00092F63"/>
    <w:rsid w:val="00093522"/>
    <w:rsid w:val="00093630"/>
    <w:rsid w:val="0009371C"/>
    <w:rsid w:val="0009399E"/>
    <w:rsid w:val="00093A0B"/>
    <w:rsid w:val="00093A4A"/>
    <w:rsid w:val="00093CDB"/>
    <w:rsid w:val="00093D3A"/>
    <w:rsid w:val="00093DD4"/>
    <w:rsid w:val="00093F4E"/>
    <w:rsid w:val="0009404A"/>
    <w:rsid w:val="00094080"/>
    <w:rsid w:val="00094282"/>
    <w:rsid w:val="00094422"/>
    <w:rsid w:val="000944C3"/>
    <w:rsid w:val="00094676"/>
    <w:rsid w:val="0009483B"/>
    <w:rsid w:val="00094856"/>
    <w:rsid w:val="00094957"/>
    <w:rsid w:val="000949F7"/>
    <w:rsid w:val="00094F10"/>
    <w:rsid w:val="00094F17"/>
    <w:rsid w:val="000951C9"/>
    <w:rsid w:val="0009522F"/>
    <w:rsid w:val="0009534B"/>
    <w:rsid w:val="0009539C"/>
    <w:rsid w:val="00095466"/>
    <w:rsid w:val="000954E9"/>
    <w:rsid w:val="00095855"/>
    <w:rsid w:val="000959E1"/>
    <w:rsid w:val="00095A0B"/>
    <w:rsid w:val="00095AD2"/>
    <w:rsid w:val="00095B15"/>
    <w:rsid w:val="00095BA4"/>
    <w:rsid w:val="00095BAF"/>
    <w:rsid w:val="00095C14"/>
    <w:rsid w:val="00095E04"/>
    <w:rsid w:val="00095F73"/>
    <w:rsid w:val="00096017"/>
    <w:rsid w:val="00096099"/>
    <w:rsid w:val="00096311"/>
    <w:rsid w:val="0009636F"/>
    <w:rsid w:val="000964A7"/>
    <w:rsid w:val="000964F5"/>
    <w:rsid w:val="000966AB"/>
    <w:rsid w:val="0009673E"/>
    <w:rsid w:val="000968A5"/>
    <w:rsid w:val="00096A5F"/>
    <w:rsid w:val="00096A67"/>
    <w:rsid w:val="00096B03"/>
    <w:rsid w:val="00096B29"/>
    <w:rsid w:val="00096BC1"/>
    <w:rsid w:val="000970DA"/>
    <w:rsid w:val="0009719D"/>
    <w:rsid w:val="000971D6"/>
    <w:rsid w:val="0009794C"/>
    <w:rsid w:val="00097C05"/>
    <w:rsid w:val="00097C43"/>
    <w:rsid w:val="00097D28"/>
    <w:rsid w:val="00097E03"/>
    <w:rsid w:val="00097EDE"/>
    <w:rsid w:val="00097F0A"/>
    <w:rsid w:val="000A0031"/>
    <w:rsid w:val="000A05D7"/>
    <w:rsid w:val="000A0632"/>
    <w:rsid w:val="000A0645"/>
    <w:rsid w:val="000A064E"/>
    <w:rsid w:val="000A0715"/>
    <w:rsid w:val="000A073C"/>
    <w:rsid w:val="000A0949"/>
    <w:rsid w:val="000A0BAA"/>
    <w:rsid w:val="000A0BAF"/>
    <w:rsid w:val="000A0C73"/>
    <w:rsid w:val="000A0DCA"/>
    <w:rsid w:val="000A0E71"/>
    <w:rsid w:val="000A0E81"/>
    <w:rsid w:val="000A103D"/>
    <w:rsid w:val="000A107C"/>
    <w:rsid w:val="000A10B6"/>
    <w:rsid w:val="000A10C4"/>
    <w:rsid w:val="000A1301"/>
    <w:rsid w:val="000A14D5"/>
    <w:rsid w:val="000A1679"/>
    <w:rsid w:val="000A1893"/>
    <w:rsid w:val="000A1BF2"/>
    <w:rsid w:val="000A1C1D"/>
    <w:rsid w:val="000A1C9C"/>
    <w:rsid w:val="000A1E07"/>
    <w:rsid w:val="000A2083"/>
    <w:rsid w:val="000A2098"/>
    <w:rsid w:val="000A21AF"/>
    <w:rsid w:val="000A253E"/>
    <w:rsid w:val="000A258D"/>
    <w:rsid w:val="000A25F1"/>
    <w:rsid w:val="000A266F"/>
    <w:rsid w:val="000A2752"/>
    <w:rsid w:val="000A2894"/>
    <w:rsid w:val="000A29AD"/>
    <w:rsid w:val="000A29E8"/>
    <w:rsid w:val="000A2A31"/>
    <w:rsid w:val="000A2C05"/>
    <w:rsid w:val="000A2CE5"/>
    <w:rsid w:val="000A2D85"/>
    <w:rsid w:val="000A2E65"/>
    <w:rsid w:val="000A312E"/>
    <w:rsid w:val="000A3603"/>
    <w:rsid w:val="000A373B"/>
    <w:rsid w:val="000A3980"/>
    <w:rsid w:val="000A3A0B"/>
    <w:rsid w:val="000A3A77"/>
    <w:rsid w:val="000A3D2F"/>
    <w:rsid w:val="000A3D94"/>
    <w:rsid w:val="000A4065"/>
    <w:rsid w:val="000A4098"/>
    <w:rsid w:val="000A4349"/>
    <w:rsid w:val="000A43E9"/>
    <w:rsid w:val="000A4456"/>
    <w:rsid w:val="000A456E"/>
    <w:rsid w:val="000A45CC"/>
    <w:rsid w:val="000A464B"/>
    <w:rsid w:val="000A4737"/>
    <w:rsid w:val="000A4751"/>
    <w:rsid w:val="000A4780"/>
    <w:rsid w:val="000A4AE1"/>
    <w:rsid w:val="000A4C36"/>
    <w:rsid w:val="000A4DCB"/>
    <w:rsid w:val="000A4DCE"/>
    <w:rsid w:val="000A4F27"/>
    <w:rsid w:val="000A4FC8"/>
    <w:rsid w:val="000A5005"/>
    <w:rsid w:val="000A556F"/>
    <w:rsid w:val="000A557A"/>
    <w:rsid w:val="000A55F7"/>
    <w:rsid w:val="000A576A"/>
    <w:rsid w:val="000A58B6"/>
    <w:rsid w:val="000A5A16"/>
    <w:rsid w:val="000A5CD1"/>
    <w:rsid w:val="000A5ECB"/>
    <w:rsid w:val="000A6182"/>
    <w:rsid w:val="000A6209"/>
    <w:rsid w:val="000A62E9"/>
    <w:rsid w:val="000A65C0"/>
    <w:rsid w:val="000A67A0"/>
    <w:rsid w:val="000A67D0"/>
    <w:rsid w:val="000A6835"/>
    <w:rsid w:val="000A68E4"/>
    <w:rsid w:val="000A690E"/>
    <w:rsid w:val="000A69EF"/>
    <w:rsid w:val="000A6A9E"/>
    <w:rsid w:val="000A6C08"/>
    <w:rsid w:val="000A6C58"/>
    <w:rsid w:val="000A6CA8"/>
    <w:rsid w:val="000A6F17"/>
    <w:rsid w:val="000A6F74"/>
    <w:rsid w:val="000A6FC7"/>
    <w:rsid w:val="000A708A"/>
    <w:rsid w:val="000A70BA"/>
    <w:rsid w:val="000A71F5"/>
    <w:rsid w:val="000A73C7"/>
    <w:rsid w:val="000A747A"/>
    <w:rsid w:val="000A75FD"/>
    <w:rsid w:val="000A76B2"/>
    <w:rsid w:val="000A774B"/>
    <w:rsid w:val="000A7A77"/>
    <w:rsid w:val="000A7B88"/>
    <w:rsid w:val="000A7BE0"/>
    <w:rsid w:val="000A7D20"/>
    <w:rsid w:val="000A7E1B"/>
    <w:rsid w:val="000B03EF"/>
    <w:rsid w:val="000B04F5"/>
    <w:rsid w:val="000B04FF"/>
    <w:rsid w:val="000B05BC"/>
    <w:rsid w:val="000B0631"/>
    <w:rsid w:val="000B07B7"/>
    <w:rsid w:val="000B08F0"/>
    <w:rsid w:val="000B0C36"/>
    <w:rsid w:val="000B0D1B"/>
    <w:rsid w:val="000B0D5B"/>
    <w:rsid w:val="000B0F52"/>
    <w:rsid w:val="000B106C"/>
    <w:rsid w:val="000B1252"/>
    <w:rsid w:val="000B12BA"/>
    <w:rsid w:val="000B139D"/>
    <w:rsid w:val="000B1425"/>
    <w:rsid w:val="000B1565"/>
    <w:rsid w:val="000B15DA"/>
    <w:rsid w:val="000B17B8"/>
    <w:rsid w:val="000B1800"/>
    <w:rsid w:val="000B182B"/>
    <w:rsid w:val="000B18A4"/>
    <w:rsid w:val="000B1982"/>
    <w:rsid w:val="000B1A38"/>
    <w:rsid w:val="000B1BA2"/>
    <w:rsid w:val="000B1C2B"/>
    <w:rsid w:val="000B1F9B"/>
    <w:rsid w:val="000B21A6"/>
    <w:rsid w:val="000B23F3"/>
    <w:rsid w:val="000B2817"/>
    <w:rsid w:val="000B285A"/>
    <w:rsid w:val="000B2B80"/>
    <w:rsid w:val="000B2D47"/>
    <w:rsid w:val="000B2DD2"/>
    <w:rsid w:val="000B33FA"/>
    <w:rsid w:val="000B3700"/>
    <w:rsid w:val="000B3771"/>
    <w:rsid w:val="000B37E9"/>
    <w:rsid w:val="000B3CAE"/>
    <w:rsid w:val="000B3D8C"/>
    <w:rsid w:val="000B3EEA"/>
    <w:rsid w:val="000B3F8A"/>
    <w:rsid w:val="000B3FE1"/>
    <w:rsid w:val="000B4124"/>
    <w:rsid w:val="000B4220"/>
    <w:rsid w:val="000B4324"/>
    <w:rsid w:val="000B43F0"/>
    <w:rsid w:val="000B4695"/>
    <w:rsid w:val="000B48D2"/>
    <w:rsid w:val="000B4918"/>
    <w:rsid w:val="000B4988"/>
    <w:rsid w:val="000B4B70"/>
    <w:rsid w:val="000B4C90"/>
    <w:rsid w:val="000B4CD3"/>
    <w:rsid w:val="000B4F29"/>
    <w:rsid w:val="000B4FE6"/>
    <w:rsid w:val="000B5167"/>
    <w:rsid w:val="000B539D"/>
    <w:rsid w:val="000B544B"/>
    <w:rsid w:val="000B5633"/>
    <w:rsid w:val="000B57EF"/>
    <w:rsid w:val="000B5B6F"/>
    <w:rsid w:val="000B5C4B"/>
    <w:rsid w:val="000B5CF7"/>
    <w:rsid w:val="000B5DD9"/>
    <w:rsid w:val="000B5EFA"/>
    <w:rsid w:val="000B5F21"/>
    <w:rsid w:val="000B6016"/>
    <w:rsid w:val="000B6278"/>
    <w:rsid w:val="000B6363"/>
    <w:rsid w:val="000B63C5"/>
    <w:rsid w:val="000B66DD"/>
    <w:rsid w:val="000B6711"/>
    <w:rsid w:val="000B671A"/>
    <w:rsid w:val="000B6754"/>
    <w:rsid w:val="000B68D0"/>
    <w:rsid w:val="000B68E4"/>
    <w:rsid w:val="000B6992"/>
    <w:rsid w:val="000B6B7F"/>
    <w:rsid w:val="000B6C2B"/>
    <w:rsid w:val="000B6EB0"/>
    <w:rsid w:val="000B7171"/>
    <w:rsid w:val="000B7255"/>
    <w:rsid w:val="000B73D1"/>
    <w:rsid w:val="000B74A0"/>
    <w:rsid w:val="000B7599"/>
    <w:rsid w:val="000B7780"/>
    <w:rsid w:val="000B77B9"/>
    <w:rsid w:val="000B7875"/>
    <w:rsid w:val="000B787C"/>
    <w:rsid w:val="000B7C60"/>
    <w:rsid w:val="000B7D99"/>
    <w:rsid w:val="000B7DD0"/>
    <w:rsid w:val="000B7E62"/>
    <w:rsid w:val="000C00F9"/>
    <w:rsid w:val="000C0242"/>
    <w:rsid w:val="000C0253"/>
    <w:rsid w:val="000C077F"/>
    <w:rsid w:val="000C0799"/>
    <w:rsid w:val="000C07F8"/>
    <w:rsid w:val="000C0AD7"/>
    <w:rsid w:val="000C0BE3"/>
    <w:rsid w:val="000C0C11"/>
    <w:rsid w:val="000C0C48"/>
    <w:rsid w:val="000C0D54"/>
    <w:rsid w:val="000C0E28"/>
    <w:rsid w:val="000C0E4E"/>
    <w:rsid w:val="000C0FC1"/>
    <w:rsid w:val="000C116B"/>
    <w:rsid w:val="000C129A"/>
    <w:rsid w:val="000C12E2"/>
    <w:rsid w:val="000C13B0"/>
    <w:rsid w:val="000C141A"/>
    <w:rsid w:val="000C14A6"/>
    <w:rsid w:val="000C15B2"/>
    <w:rsid w:val="000C16DA"/>
    <w:rsid w:val="000C1A54"/>
    <w:rsid w:val="000C1A9E"/>
    <w:rsid w:val="000C1CD5"/>
    <w:rsid w:val="000C1FCA"/>
    <w:rsid w:val="000C2326"/>
    <w:rsid w:val="000C237C"/>
    <w:rsid w:val="000C2478"/>
    <w:rsid w:val="000C260F"/>
    <w:rsid w:val="000C26C7"/>
    <w:rsid w:val="000C26D0"/>
    <w:rsid w:val="000C27ED"/>
    <w:rsid w:val="000C2869"/>
    <w:rsid w:val="000C2A25"/>
    <w:rsid w:val="000C2D2B"/>
    <w:rsid w:val="000C2D38"/>
    <w:rsid w:val="000C2DB7"/>
    <w:rsid w:val="000C2FE7"/>
    <w:rsid w:val="000C302F"/>
    <w:rsid w:val="000C3135"/>
    <w:rsid w:val="000C314D"/>
    <w:rsid w:val="000C315C"/>
    <w:rsid w:val="000C3288"/>
    <w:rsid w:val="000C33FD"/>
    <w:rsid w:val="000C3530"/>
    <w:rsid w:val="000C3756"/>
    <w:rsid w:val="000C3AED"/>
    <w:rsid w:val="000C3CD2"/>
    <w:rsid w:val="000C3D1A"/>
    <w:rsid w:val="000C3D74"/>
    <w:rsid w:val="000C41C5"/>
    <w:rsid w:val="000C42A1"/>
    <w:rsid w:val="000C4423"/>
    <w:rsid w:val="000C4678"/>
    <w:rsid w:val="000C47FA"/>
    <w:rsid w:val="000C48D6"/>
    <w:rsid w:val="000C4A0B"/>
    <w:rsid w:val="000C4A49"/>
    <w:rsid w:val="000C4BA6"/>
    <w:rsid w:val="000C4D60"/>
    <w:rsid w:val="000C4FBA"/>
    <w:rsid w:val="000C5081"/>
    <w:rsid w:val="000C5509"/>
    <w:rsid w:val="000C55D9"/>
    <w:rsid w:val="000C55F1"/>
    <w:rsid w:val="000C5650"/>
    <w:rsid w:val="000C57A6"/>
    <w:rsid w:val="000C5809"/>
    <w:rsid w:val="000C5903"/>
    <w:rsid w:val="000C5AEA"/>
    <w:rsid w:val="000C5DA3"/>
    <w:rsid w:val="000C5E02"/>
    <w:rsid w:val="000C5F75"/>
    <w:rsid w:val="000C6052"/>
    <w:rsid w:val="000C6105"/>
    <w:rsid w:val="000C61C8"/>
    <w:rsid w:val="000C62CE"/>
    <w:rsid w:val="000C6348"/>
    <w:rsid w:val="000C6518"/>
    <w:rsid w:val="000C65BC"/>
    <w:rsid w:val="000C667F"/>
    <w:rsid w:val="000C684A"/>
    <w:rsid w:val="000C6869"/>
    <w:rsid w:val="000C6C5C"/>
    <w:rsid w:val="000C6CB1"/>
    <w:rsid w:val="000C6E92"/>
    <w:rsid w:val="000C6FCB"/>
    <w:rsid w:val="000C7328"/>
    <w:rsid w:val="000C738D"/>
    <w:rsid w:val="000C74C0"/>
    <w:rsid w:val="000C7524"/>
    <w:rsid w:val="000C762F"/>
    <w:rsid w:val="000C7762"/>
    <w:rsid w:val="000C794B"/>
    <w:rsid w:val="000C797B"/>
    <w:rsid w:val="000C7AC2"/>
    <w:rsid w:val="000C7B12"/>
    <w:rsid w:val="000C7D32"/>
    <w:rsid w:val="000C7DD0"/>
    <w:rsid w:val="000C7EDC"/>
    <w:rsid w:val="000D01F9"/>
    <w:rsid w:val="000D0224"/>
    <w:rsid w:val="000D031D"/>
    <w:rsid w:val="000D038A"/>
    <w:rsid w:val="000D04AE"/>
    <w:rsid w:val="000D055E"/>
    <w:rsid w:val="000D06A8"/>
    <w:rsid w:val="000D08ED"/>
    <w:rsid w:val="000D0AD8"/>
    <w:rsid w:val="000D0C3A"/>
    <w:rsid w:val="000D0D8F"/>
    <w:rsid w:val="000D0DC7"/>
    <w:rsid w:val="000D0EE6"/>
    <w:rsid w:val="000D1199"/>
    <w:rsid w:val="000D1265"/>
    <w:rsid w:val="000D147F"/>
    <w:rsid w:val="000D14A3"/>
    <w:rsid w:val="000D180A"/>
    <w:rsid w:val="000D198D"/>
    <w:rsid w:val="000D1A32"/>
    <w:rsid w:val="000D1BC9"/>
    <w:rsid w:val="000D1D4B"/>
    <w:rsid w:val="000D1DAE"/>
    <w:rsid w:val="000D1F85"/>
    <w:rsid w:val="000D1FB6"/>
    <w:rsid w:val="000D1FC5"/>
    <w:rsid w:val="000D1FE4"/>
    <w:rsid w:val="000D206E"/>
    <w:rsid w:val="000D21C3"/>
    <w:rsid w:val="000D2217"/>
    <w:rsid w:val="000D22BE"/>
    <w:rsid w:val="000D2334"/>
    <w:rsid w:val="000D2B72"/>
    <w:rsid w:val="000D2DCB"/>
    <w:rsid w:val="000D2EC7"/>
    <w:rsid w:val="000D2FF8"/>
    <w:rsid w:val="000D321E"/>
    <w:rsid w:val="000D34A7"/>
    <w:rsid w:val="000D365B"/>
    <w:rsid w:val="000D36AB"/>
    <w:rsid w:val="000D37CB"/>
    <w:rsid w:val="000D37D4"/>
    <w:rsid w:val="000D3925"/>
    <w:rsid w:val="000D395E"/>
    <w:rsid w:val="000D3B96"/>
    <w:rsid w:val="000D3DEE"/>
    <w:rsid w:val="000D3F0E"/>
    <w:rsid w:val="000D404C"/>
    <w:rsid w:val="000D424C"/>
    <w:rsid w:val="000D44F2"/>
    <w:rsid w:val="000D453B"/>
    <w:rsid w:val="000D45A5"/>
    <w:rsid w:val="000D4963"/>
    <w:rsid w:val="000D4A4A"/>
    <w:rsid w:val="000D4AC1"/>
    <w:rsid w:val="000D4B97"/>
    <w:rsid w:val="000D5003"/>
    <w:rsid w:val="000D5112"/>
    <w:rsid w:val="000D5177"/>
    <w:rsid w:val="000D5767"/>
    <w:rsid w:val="000D57EB"/>
    <w:rsid w:val="000D5817"/>
    <w:rsid w:val="000D59F6"/>
    <w:rsid w:val="000D5D59"/>
    <w:rsid w:val="000D5D91"/>
    <w:rsid w:val="000D6247"/>
    <w:rsid w:val="000D6411"/>
    <w:rsid w:val="000D64C7"/>
    <w:rsid w:val="000D655E"/>
    <w:rsid w:val="000D6705"/>
    <w:rsid w:val="000D69EE"/>
    <w:rsid w:val="000D6A62"/>
    <w:rsid w:val="000D6E6A"/>
    <w:rsid w:val="000D6EE9"/>
    <w:rsid w:val="000D733C"/>
    <w:rsid w:val="000D7364"/>
    <w:rsid w:val="000D739B"/>
    <w:rsid w:val="000D74C0"/>
    <w:rsid w:val="000D7677"/>
    <w:rsid w:val="000D7770"/>
    <w:rsid w:val="000D7945"/>
    <w:rsid w:val="000D79BD"/>
    <w:rsid w:val="000D7B04"/>
    <w:rsid w:val="000D7B25"/>
    <w:rsid w:val="000D7DB5"/>
    <w:rsid w:val="000D7DD4"/>
    <w:rsid w:val="000D7E4E"/>
    <w:rsid w:val="000D7E8C"/>
    <w:rsid w:val="000D7E96"/>
    <w:rsid w:val="000D7EBB"/>
    <w:rsid w:val="000D7FE3"/>
    <w:rsid w:val="000E000F"/>
    <w:rsid w:val="000E003C"/>
    <w:rsid w:val="000E051C"/>
    <w:rsid w:val="000E065C"/>
    <w:rsid w:val="000E06FD"/>
    <w:rsid w:val="000E070E"/>
    <w:rsid w:val="000E0857"/>
    <w:rsid w:val="000E08AD"/>
    <w:rsid w:val="000E08CA"/>
    <w:rsid w:val="000E0900"/>
    <w:rsid w:val="000E0985"/>
    <w:rsid w:val="000E0BA5"/>
    <w:rsid w:val="000E0C7C"/>
    <w:rsid w:val="000E0D7A"/>
    <w:rsid w:val="000E0EA5"/>
    <w:rsid w:val="000E0F5B"/>
    <w:rsid w:val="000E0FB3"/>
    <w:rsid w:val="000E1021"/>
    <w:rsid w:val="000E1279"/>
    <w:rsid w:val="000E1335"/>
    <w:rsid w:val="000E1834"/>
    <w:rsid w:val="000E1AA6"/>
    <w:rsid w:val="000E1B5D"/>
    <w:rsid w:val="000E1BE6"/>
    <w:rsid w:val="000E1CA0"/>
    <w:rsid w:val="000E1D0E"/>
    <w:rsid w:val="000E1D5D"/>
    <w:rsid w:val="000E1D92"/>
    <w:rsid w:val="000E1FBE"/>
    <w:rsid w:val="000E208E"/>
    <w:rsid w:val="000E214B"/>
    <w:rsid w:val="000E21A3"/>
    <w:rsid w:val="000E2274"/>
    <w:rsid w:val="000E24AA"/>
    <w:rsid w:val="000E24ED"/>
    <w:rsid w:val="000E258F"/>
    <w:rsid w:val="000E26BD"/>
    <w:rsid w:val="000E271C"/>
    <w:rsid w:val="000E280B"/>
    <w:rsid w:val="000E28AF"/>
    <w:rsid w:val="000E2961"/>
    <w:rsid w:val="000E29C3"/>
    <w:rsid w:val="000E2BFA"/>
    <w:rsid w:val="000E2D41"/>
    <w:rsid w:val="000E3005"/>
    <w:rsid w:val="000E3044"/>
    <w:rsid w:val="000E3076"/>
    <w:rsid w:val="000E3167"/>
    <w:rsid w:val="000E326C"/>
    <w:rsid w:val="000E3301"/>
    <w:rsid w:val="000E344D"/>
    <w:rsid w:val="000E367A"/>
    <w:rsid w:val="000E369D"/>
    <w:rsid w:val="000E37A5"/>
    <w:rsid w:val="000E37D8"/>
    <w:rsid w:val="000E383B"/>
    <w:rsid w:val="000E388E"/>
    <w:rsid w:val="000E38AA"/>
    <w:rsid w:val="000E396C"/>
    <w:rsid w:val="000E39F9"/>
    <w:rsid w:val="000E3A3E"/>
    <w:rsid w:val="000E3B32"/>
    <w:rsid w:val="000E3D09"/>
    <w:rsid w:val="000E3D25"/>
    <w:rsid w:val="000E3DBB"/>
    <w:rsid w:val="000E3DC6"/>
    <w:rsid w:val="000E3E57"/>
    <w:rsid w:val="000E3EAA"/>
    <w:rsid w:val="000E42CE"/>
    <w:rsid w:val="000E435A"/>
    <w:rsid w:val="000E456B"/>
    <w:rsid w:val="000E4613"/>
    <w:rsid w:val="000E46F6"/>
    <w:rsid w:val="000E4847"/>
    <w:rsid w:val="000E4964"/>
    <w:rsid w:val="000E4A6B"/>
    <w:rsid w:val="000E4ABB"/>
    <w:rsid w:val="000E4AEA"/>
    <w:rsid w:val="000E4AFE"/>
    <w:rsid w:val="000E4D64"/>
    <w:rsid w:val="000E4D98"/>
    <w:rsid w:val="000E4ED2"/>
    <w:rsid w:val="000E4F1B"/>
    <w:rsid w:val="000E4F95"/>
    <w:rsid w:val="000E502A"/>
    <w:rsid w:val="000E51FA"/>
    <w:rsid w:val="000E530D"/>
    <w:rsid w:val="000E5314"/>
    <w:rsid w:val="000E53EC"/>
    <w:rsid w:val="000E5503"/>
    <w:rsid w:val="000E55F1"/>
    <w:rsid w:val="000E5664"/>
    <w:rsid w:val="000E58AD"/>
    <w:rsid w:val="000E5D93"/>
    <w:rsid w:val="000E5EBC"/>
    <w:rsid w:val="000E6001"/>
    <w:rsid w:val="000E60D0"/>
    <w:rsid w:val="000E6147"/>
    <w:rsid w:val="000E614D"/>
    <w:rsid w:val="000E6444"/>
    <w:rsid w:val="000E6562"/>
    <w:rsid w:val="000E66D1"/>
    <w:rsid w:val="000E6A55"/>
    <w:rsid w:val="000E6BCF"/>
    <w:rsid w:val="000E6C8D"/>
    <w:rsid w:val="000E6D87"/>
    <w:rsid w:val="000E6FAC"/>
    <w:rsid w:val="000E7538"/>
    <w:rsid w:val="000E7657"/>
    <w:rsid w:val="000E7677"/>
    <w:rsid w:val="000E76DE"/>
    <w:rsid w:val="000E775C"/>
    <w:rsid w:val="000E776D"/>
    <w:rsid w:val="000E78E6"/>
    <w:rsid w:val="000E79D9"/>
    <w:rsid w:val="000E7BA3"/>
    <w:rsid w:val="000E7C8B"/>
    <w:rsid w:val="000E7EE8"/>
    <w:rsid w:val="000E7EED"/>
    <w:rsid w:val="000F048D"/>
    <w:rsid w:val="000F04C6"/>
    <w:rsid w:val="000F051C"/>
    <w:rsid w:val="000F053B"/>
    <w:rsid w:val="000F053E"/>
    <w:rsid w:val="000F055E"/>
    <w:rsid w:val="000F05CB"/>
    <w:rsid w:val="000F0623"/>
    <w:rsid w:val="000F0896"/>
    <w:rsid w:val="000F107E"/>
    <w:rsid w:val="000F1479"/>
    <w:rsid w:val="000F15F2"/>
    <w:rsid w:val="000F1805"/>
    <w:rsid w:val="000F1952"/>
    <w:rsid w:val="000F195F"/>
    <w:rsid w:val="000F1982"/>
    <w:rsid w:val="000F19B1"/>
    <w:rsid w:val="000F1A06"/>
    <w:rsid w:val="000F1A08"/>
    <w:rsid w:val="000F1A39"/>
    <w:rsid w:val="000F1A56"/>
    <w:rsid w:val="000F1BF5"/>
    <w:rsid w:val="000F1D71"/>
    <w:rsid w:val="000F1FF3"/>
    <w:rsid w:val="000F235E"/>
    <w:rsid w:val="000F2589"/>
    <w:rsid w:val="000F26DC"/>
    <w:rsid w:val="000F27A2"/>
    <w:rsid w:val="000F2A25"/>
    <w:rsid w:val="000F2A7B"/>
    <w:rsid w:val="000F2BAB"/>
    <w:rsid w:val="000F2C6D"/>
    <w:rsid w:val="000F2CDC"/>
    <w:rsid w:val="000F2D9B"/>
    <w:rsid w:val="000F2DC1"/>
    <w:rsid w:val="000F2F3B"/>
    <w:rsid w:val="000F2FFC"/>
    <w:rsid w:val="000F3194"/>
    <w:rsid w:val="000F34CB"/>
    <w:rsid w:val="000F34EA"/>
    <w:rsid w:val="000F3560"/>
    <w:rsid w:val="000F372C"/>
    <w:rsid w:val="000F396C"/>
    <w:rsid w:val="000F3B8B"/>
    <w:rsid w:val="000F3BB9"/>
    <w:rsid w:val="000F3C06"/>
    <w:rsid w:val="000F3CD9"/>
    <w:rsid w:val="000F3F60"/>
    <w:rsid w:val="000F3F76"/>
    <w:rsid w:val="000F4518"/>
    <w:rsid w:val="000F45E0"/>
    <w:rsid w:val="000F4748"/>
    <w:rsid w:val="000F48A2"/>
    <w:rsid w:val="000F4B6E"/>
    <w:rsid w:val="000F4B84"/>
    <w:rsid w:val="000F4E4E"/>
    <w:rsid w:val="000F4F00"/>
    <w:rsid w:val="000F4FD0"/>
    <w:rsid w:val="000F4FE3"/>
    <w:rsid w:val="000F50A2"/>
    <w:rsid w:val="000F5277"/>
    <w:rsid w:val="000F55CF"/>
    <w:rsid w:val="000F5784"/>
    <w:rsid w:val="000F5803"/>
    <w:rsid w:val="000F5C4A"/>
    <w:rsid w:val="000F5EF1"/>
    <w:rsid w:val="000F5F55"/>
    <w:rsid w:val="000F603B"/>
    <w:rsid w:val="000F603D"/>
    <w:rsid w:val="000F6195"/>
    <w:rsid w:val="000F61F4"/>
    <w:rsid w:val="000F6237"/>
    <w:rsid w:val="000F6364"/>
    <w:rsid w:val="000F639C"/>
    <w:rsid w:val="000F6403"/>
    <w:rsid w:val="000F6441"/>
    <w:rsid w:val="000F66AE"/>
    <w:rsid w:val="000F6904"/>
    <w:rsid w:val="000F690C"/>
    <w:rsid w:val="000F6C7F"/>
    <w:rsid w:val="000F6D51"/>
    <w:rsid w:val="000F6E6A"/>
    <w:rsid w:val="000F7004"/>
    <w:rsid w:val="000F7154"/>
    <w:rsid w:val="000F72DF"/>
    <w:rsid w:val="000F7628"/>
    <w:rsid w:val="000F77D5"/>
    <w:rsid w:val="000F7B20"/>
    <w:rsid w:val="000F7BD3"/>
    <w:rsid w:val="001000A7"/>
    <w:rsid w:val="00100141"/>
    <w:rsid w:val="00100162"/>
    <w:rsid w:val="00100250"/>
    <w:rsid w:val="001003D8"/>
    <w:rsid w:val="001004C1"/>
    <w:rsid w:val="00100547"/>
    <w:rsid w:val="00100595"/>
    <w:rsid w:val="00100902"/>
    <w:rsid w:val="0010090F"/>
    <w:rsid w:val="00100AB4"/>
    <w:rsid w:val="00100AC1"/>
    <w:rsid w:val="00100B8C"/>
    <w:rsid w:val="00100E1B"/>
    <w:rsid w:val="00101005"/>
    <w:rsid w:val="001010F6"/>
    <w:rsid w:val="00101107"/>
    <w:rsid w:val="001011F6"/>
    <w:rsid w:val="0010128E"/>
    <w:rsid w:val="0010129F"/>
    <w:rsid w:val="00101429"/>
    <w:rsid w:val="001015DB"/>
    <w:rsid w:val="00101696"/>
    <w:rsid w:val="00101818"/>
    <w:rsid w:val="00101A19"/>
    <w:rsid w:val="00101F88"/>
    <w:rsid w:val="001020B4"/>
    <w:rsid w:val="001023D0"/>
    <w:rsid w:val="0010241F"/>
    <w:rsid w:val="0010247C"/>
    <w:rsid w:val="00102553"/>
    <w:rsid w:val="001025AC"/>
    <w:rsid w:val="00102736"/>
    <w:rsid w:val="00102800"/>
    <w:rsid w:val="0010290F"/>
    <w:rsid w:val="00102E60"/>
    <w:rsid w:val="00102E66"/>
    <w:rsid w:val="00103015"/>
    <w:rsid w:val="001030D8"/>
    <w:rsid w:val="0010312A"/>
    <w:rsid w:val="00103294"/>
    <w:rsid w:val="001032A8"/>
    <w:rsid w:val="001033A1"/>
    <w:rsid w:val="00103430"/>
    <w:rsid w:val="0010370A"/>
    <w:rsid w:val="0010371B"/>
    <w:rsid w:val="00103843"/>
    <w:rsid w:val="00103986"/>
    <w:rsid w:val="00103C6D"/>
    <w:rsid w:val="00103D92"/>
    <w:rsid w:val="0010434D"/>
    <w:rsid w:val="00104488"/>
    <w:rsid w:val="001045A9"/>
    <w:rsid w:val="001045CC"/>
    <w:rsid w:val="00104765"/>
    <w:rsid w:val="0010488B"/>
    <w:rsid w:val="00104DB9"/>
    <w:rsid w:val="00104E0B"/>
    <w:rsid w:val="00104F76"/>
    <w:rsid w:val="00104F97"/>
    <w:rsid w:val="00104FE3"/>
    <w:rsid w:val="001050DD"/>
    <w:rsid w:val="00105919"/>
    <w:rsid w:val="00105974"/>
    <w:rsid w:val="00105B19"/>
    <w:rsid w:val="00105F35"/>
    <w:rsid w:val="0010625D"/>
    <w:rsid w:val="0010654B"/>
    <w:rsid w:val="0010663E"/>
    <w:rsid w:val="0010689C"/>
    <w:rsid w:val="001068C8"/>
    <w:rsid w:val="001069FF"/>
    <w:rsid w:val="00106A88"/>
    <w:rsid w:val="00106C02"/>
    <w:rsid w:val="00106D9F"/>
    <w:rsid w:val="00107131"/>
    <w:rsid w:val="001072F1"/>
    <w:rsid w:val="001075BB"/>
    <w:rsid w:val="001076B2"/>
    <w:rsid w:val="001077E2"/>
    <w:rsid w:val="001078CF"/>
    <w:rsid w:val="00107946"/>
    <w:rsid w:val="0010797B"/>
    <w:rsid w:val="001079E7"/>
    <w:rsid w:val="00107A39"/>
    <w:rsid w:val="00107B01"/>
    <w:rsid w:val="00107B38"/>
    <w:rsid w:val="00107C44"/>
    <w:rsid w:val="00107CB8"/>
    <w:rsid w:val="00107EF5"/>
    <w:rsid w:val="00107FD0"/>
    <w:rsid w:val="001100D2"/>
    <w:rsid w:val="001101FE"/>
    <w:rsid w:val="001102D9"/>
    <w:rsid w:val="0011031A"/>
    <w:rsid w:val="001105A3"/>
    <w:rsid w:val="00110646"/>
    <w:rsid w:val="00110ADF"/>
    <w:rsid w:val="00110CF5"/>
    <w:rsid w:val="00110DD8"/>
    <w:rsid w:val="00110E11"/>
    <w:rsid w:val="00111049"/>
    <w:rsid w:val="00111075"/>
    <w:rsid w:val="00111418"/>
    <w:rsid w:val="001114A3"/>
    <w:rsid w:val="0011151F"/>
    <w:rsid w:val="00111747"/>
    <w:rsid w:val="001117D7"/>
    <w:rsid w:val="00111848"/>
    <w:rsid w:val="0011196E"/>
    <w:rsid w:val="001119A0"/>
    <w:rsid w:val="001119F0"/>
    <w:rsid w:val="00111D8F"/>
    <w:rsid w:val="00112157"/>
    <w:rsid w:val="001125E4"/>
    <w:rsid w:val="00112655"/>
    <w:rsid w:val="00112675"/>
    <w:rsid w:val="00112918"/>
    <w:rsid w:val="001129D5"/>
    <w:rsid w:val="00112B3F"/>
    <w:rsid w:val="00112C62"/>
    <w:rsid w:val="00112ECA"/>
    <w:rsid w:val="00113023"/>
    <w:rsid w:val="001131AF"/>
    <w:rsid w:val="00113273"/>
    <w:rsid w:val="001134D6"/>
    <w:rsid w:val="00113571"/>
    <w:rsid w:val="00113B63"/>
    <w:rsid w:val="00113BA4"/>
    <w:rsid w:val="00113C17"/>
    <w:rsid w:val="00113C1A"/>
    <w:rsid w:val="00114013"/>
    <w:rsid w:val="0011408C"/>
    <w:rsid w:val="00114090"/>
    <w:rsid w:val="0011422C"/>
    <w:rsid w:val="00114243"/>
    <w:rsid w:val="001143C8"/>
    <w:rsid w:val="001144BF"/>
    <w:rsid w:val="001144FF"/>
    <w:rsid w:val="0011464F"/>
    <w:rsid w:val="00114980"/>
    <w:rsid w:val="00114AFC"/>
    <w:rsid w:val="00114BCC"/>
    <w:rsid w:val="00114D45"/>
    <w:rsid w:val="00114DD5"/>
    <w:rsid w:val="00114EBC"/>
    <w:rsid w:val="0011507D"/>
    <w:rsid w:val="0011513E"/>
    <w:rsid w:val="0011521D"/>
    <w:rsid w:val="001152CA"/>
    <w:rsid w:val="001153DC"/>
    <w:rsid w:val="00115468"/>
    <w:rsid w:val="00115638"/>
    <w:rsid w:val="00115883"/>
    <w:rsid w:val="00115917"/>
    <w:rsid w:val="001159DE"/>
    <w:rsid w:val="00115A31"/>
    <w:rsid w:val="00115AFC"/>
    <w:rsid w:val="00115BA4"/>
    <w:rsid w:val="00115DB6"/>
    <w:rsid w:val="00115DFC"/>
    <w:rsid w:val="00115EAE"/>
    <w:rsid w:val="00115FB5"/>
    <w:rsid w:val="00116469"/>
    <w:rsid w:val="00116699"/>
    <w:rsid w:val="00116732"/>
    <w:rsid w:val="0011687C"/>
    <w:rsid w:val="00116CBE"/>
    <w:rsid w:val="00116DA2"/>
    <w:rsid w:val="00116DB7"/>
    <w:rsid w:val="00116DE2"/>
    <w:rsid w:val="00116F0F"/>
    <w:rsid w:val="00116F11"/>
    <w:rsid w:val="001171D4"/>
    <w:rsid w:val="00117326"/>
    <w:rsid w:val="00117448"/>
    <w:rsid w:val="00117774"/>
    <w:rsid w:val="00117B51"/>
    <w:rsid w:val="00117BA9"/>
    <w:rsid w:val="00117DBB"/>
    <w:rsid w:val="00117F08"/>
    <w:rsid w:val="00117F7C"/>
    <w:rsid w:val="001200ED"/>
    <w:rsid w:val="00120188"/>
    <w:rsid w:val="0012030B"/>
    <w:rsid w:val="00120356"/>
    <w:rsid w:val="0012047D"/>
    <w:rsid w:val="001204BF"/>
    <w:rsid w:val="0012051B"/>
    <w:rsid w:val="00120566"/>
    <w:rsid w:val="00120603"/>
    <w:rsid w:val="001208A2"/>
    <w:rsid w:val="0012095D"/>
    <w:rsid w:val="001209EF"/>
    <w:rsid w:val="00120DB7"/>
    <w:rsid w:val="00120E84"/>
    <w:rsid w:val="00121031"/>
    <w:rsid w:val="001210AE"/>
    <w:rsid w:val="001211F4"/>
    <w:rsid w:val="001216BA"/>
    <w:rsid w:val="0012174C"/>
    <w:rsid w:val="00121834"/>
    <w:rsid w:val="001218FF"/>
    <w:rsid w:val="00121941"/>
    <w:rsid w:val="00121B14"/>
    <w:rsid w:val="00121B5D"/>
    <w:rsid w:val="00121C07"/>
    <w:rsid w:val="00121CDE"/>
    <w:rsid w:val="00121E6A"/>
    <w:rsid w:val="00122089"/>
    <w:rsid w:val="001220C0"/>
    <w:rsid w:val="001220FE"/>
    <w:rsid w:val="0012210D"/>
    <w:rsid w:val="001221ED"/>
    <w:rsid w:val="001224F4"/>
    <w:rsid w:val="00122A16"/>
    <w:rsid w:val="00122A8F"/>
    <w:rsid w:val="00122B3E"/>
    <w:rsid w:val="00122C66"/>
    <w:rsid w:val="00123655"/>
    <w:rsid w:val="001236D5"/>
    <w:rsid w:val="001236E4"/>
    <w:rsid w:val="001238FD"/>
    <w:rsid w:val="00123F79"/>
    <w:rsid w:val="00123FC4"/>
    <w:rsid w:val="00124248"/>
    <w:rsid w:val="00124665"/>
    <w:rsid w:val="00124769"/>
    <w:rsid w:val="00124A44"/>
    <w:rsid w:val="00124AE0"/>
    <w:rsid w:val="00124C66"/>
    <w:rsid w:val="00124D48"/>
    <w:rsid w:val="00124D8C"/>
    <w:rsid w:val="00124F04"/>
    <w:rsid w:val="0012524D"/>
    <w:rsid w:val="001252E1"/>
    <w:rsid w:val="001253DB"/>
    <w:rsid w:val="00125403"/>
    <w:rsid w:val="0012542E"/>
    <w:rsid w:val="00125487"/>
    <w:rsid w:val="001255E6"/>
    <w:rsid w:val="0012576B"/>
    <w:rsid w:val="001258E5"/>
    <w:rsid w:val="001258F7"/>
    <w:rsid w:val="00125947"/>
    <w:rsid w:val="00125CBB"/>
    <w:rsid w:val="00125D7D"/>
    <w:rsid w:val="00125F0A"/>
    <w:rsid w:val="00125F20"/>
    <w:rsid w:val="00125F82"/>
    <w:rsid w:val="0012669D"/>
    <w:rsid w:val="00126724"/>
    <w:rsid w:val="0012688A"/>
    <w:rsid w:val="001268EB"/>
    <w:rsid w:val="00126B91"/>
    <w:rsid w:val="00126B9B"/>
    <w:rsid w:val="00126C0F"/>
    <w:rsid w:val="00126FB6"/>
    <w:rsid w:val="00126FEF"/>
    <w:rsid w:val="0012713F"/>
    <w:rsid w:val="00127435"/>
    <w:rsid w:val="00127478"/>
    <w:rsid w:val="001275A9"/>
    <w:rsid w:val="001277DD"/>
    <w:rsid w:val="0012783A"/>
    <w:rsid w:val="001279B9"/>
    <w:rsid w:val="00127C5E"/>
    <w:rsid w:val="00127C87"/>
    <w:rsid w:val="00127CC1"/>
    <w:rsid w:val="00127CF5"/>
    <w:rsid w:val="00127E72"/>
    <w:rsid w:val="001300F6"/>
    <w:rsid w:val="001301FF"/>
    <w:rsid w:val="0013025D"/>
    <w:rsid w:val="00130433"/>
    <w:rsid w:val="00130440"/>
    <w:rsid w:val="00130488"/>
    <w:rsid w:val="001308AE"/>
    <w:rsid w:val="001308B9"/>
    <w:rsid w:val="00130900"/>
    <w:rsid w:val="00130A45"/>
    <w:rsid w:val="00130BE3"/>
    <w:rsid w:val="00130CA4"/>
    <w:rsid w:val="00130CCE"/>
    <w:rsid w:val="00130ED5"/>
    <w:rsid w:val="00130F28"/>
    <w:rsid w:val="0013127E"/>
    <w:rsid w:val="00131346"/>
    <w:rsid w:val="00131443"/>
    <w:rsid w:val="001319FD"/>
    <w:rsid w:val="00131B78"/>
    <w:rsid w:val="00131B7C"/>
    <w:rsid w:val="00131C5A"/>
    <w:rsid w:val="00131CD3"/>
    <w:rsid w:val="00131CE8"/>
    <w:rsid w:val="00132166"/>
    <w:rsid w:val="0013218F"/>
    <w:rsid w:val="001321D4"/>
    <w:rsid w:val="001321F2"/>
    <w:rsid w:val="00132271"/>
    <w:rsid w:val="001322FA"/>
    <w:rsid w:val="001323B3"/>
    <w:rsid w:val="001323C1"/>
    <w:rsid w:val="0013246F"/>
    <w:rsid w:val="0013252C"/>
    <w:rsid w:val="001325F0"/>
    <w:rsid w:val="001326D3"/>
    <w:rsid w:val="00132ACB"/>
    <w:rsid w:val="00132B45"/>
    <w:rsid w:val="00132C29"/>
    <w:rsid w:val="00132D50"/>
    <w:rsid w:val="00132D57"/>
    <w:rsid w:val="00132D5A"/>
    <w:rsid w:val="00132D6D"/>
    <w:rsid w:val="001330DA"/>
    <w:rsid w:val="00133114"/>
    <w:rsid w:val="001336FC"/>
    <w:rsid w:val="00133708"/>
    <w:rsid w:val="00133734"/>
    <w:rsid w:val="001337B4"/>
    <w:rsid w:val="001337EB"/>
    <w:rsid w:val="001338DB"/>
    <w:rsid w:val="001339AE"/>
    <w:rsid w:val="00133ABB"/>
    <w:rsid w:val="00133AE4"/>
    <w:rsid w:val="00133D27"/>
    <w:rsid w:val="00133E3C"/>
    <w:rsid w:val="00133F2E"/>
    <w:rsid w:val="00134067"/>
    <w:rsid w:val="0013411B"/>
    <w:rsid w:val="00134292"/>
    <w:rsid w:val="00134351"/>
    <w:rsid w:val="00134466"/>
    <w:rsid w:val="00134577"/>
    <w:rsid w:val="00134B40"/>
    <w:rsid w:val="00134B41"/>
    <w:rsid w:val="00134EC4"/>
    <w:rsid w:val="00134ECD"/>
    <w:rsid w:val="001351D5"/>
    <w:rsid w:val="0013537D"/>
    <w:rsid w:val="00135408"/>
    <w:rsid w:val="001354B3"/>
    <w:rsid w:val="001355CB"/>
    <w:rsid w:val="001356F7"/>
    <w:rsid w:val="0013589E"/>
    <w:rsid w:val="00135AF3"/>
    <w:rsid w:val="001360AD"/>
    <w:rsid w:val="0013615A"/>
    <w:rsid w:val="001361F9"/>
    <w:rsid w:val="0013631E"/>
    <w:rsid w:val="0013650B"/>
    <w:rsid w:val="001365FC"/>
    <w:rsid w:val="00136997"/>
    <w:rsid w:val="00136A90"/>
    <w:rsid w:val="00136D1F"/>
    <w:rsid w:val="00136ED0"/>
    <w:rsid w:val="00136EF1"/>
    <w:rsid w:val="00136F46"/>
    <w:rsid w:val="0013703B"/>
    <w:rsid w:val="0013716F"/>
    <w:rsid w:val="0013722A"/>
    <w:rsid w:val="0013772D"/>
    <w:rsid w:val="001379DB"/>
    <w:rsid w:val="00137ADE"/>
    <w:rsid w:val="00137AEB"/>
    <w:rsid w:val="00137B0A"/>
    <w:rsid w:val="00137C86"/>
    <w:rsid w:val="00137CB9"/>
    <w:rsid w:val="00137CD6"/>
    <w:rsid w:val="00137D13"/>
    <w:rsid w:val="00137D98"/>
    <w:rsid w:val="001400BC"/>
    <w:rsid w:val="001402A0"/>
    <w:rsid w:val="00140510"/>
    <w:rsid w:val="00140634"/>
    <w:rsid w:val="001407F1"/>
    <w:rsid w:val="00140929"/>
    <w:rsid w:val="00140C64"/>
    <w:rsid w:val="00140EA1"/>
    <w:rsid w:val="00140EDD"/>
    <w:rsid w:val="00140F66"/>
    <w:rsid w:val="00141112"/>
    <w:rsid w:val="001412F1"/>
    <w:rsid w:val="00141752"/>
    <w:rsid w:val="00141AA5"/>
    <w:rsid w:val="00141B02"/>
    <w:rsid w:val="00141BBC"/>
    <w:rsid w:val="00141C7A"/>
    <w:rsid w:val="00141E16"/>
    <w:rsid w:val="00141E82"/>
    <w:rsid w:val="00141F57"/>
    <w:rsid w:val="00142002"/>
    <w:rsid w:val="0014219F"/>
    <w:rsid w:val="001421AA"/>
    <w:rsid w:val="001421F6"/>
    <w:rsid w:val="001423B3"/>
    <w:rsid w:val="001423DC"/>
    <w:rsid w:val="00142462"/>
    <w:rsid w:val="0014248F"/>
    <w:rsid w:val="0014258C"/>
    <w:rsid w:val="00142626"/>
    <w:rsid w:val="0014279C"/>
    <w:rsid w:val="001427C8"/>
    <w:rsid w:val="001429A4"/>
    <w:rsid w:val="00142AE9"/>
    <w:rsid w:val="00142B91"/>
    <w:rsid w:val="00142BFF"/>
    <w:rsid w:val="00142CFC"/>
    <w:rsid w:val="00142D2A"/>
    <w:rsid w:val="00142E9D"/>
    <w:rsid w:val="0014318A"/>
    <w:rsid w:val="0014321C"/>
    <w:rsid w:val="00143474"/>
    <w:rsid w:val="0014361F"/>
    <w:rsid w:val="0014371C"/>
    <w:rsid w:val="00143730"/>
    <w:rsid w:val="001437D1"/>
    <w:rsid w:val="00143A00"/>
    <w:rsid w:val="00143D06"/>
    <w:rsid w:val="00143DB6"/>
    <w:rsid w:val="001443E1"/>
    <w:rsid w:val="001443FB"/>
    <w:rsid w:val="00144423"/>
    <w:rsid w:val="0014444F"/>
    <w:rsid w:val="00144483"/>
    <w:rsid w:val="00144570"/>
    <w:rsid w:val="001446F6"/>
    <w:rsid w:val="00144702"/>
    <w:rsid w:val="001448CE"/>
    <w:rsid w:val="001448FC"/>
    <w:rsid w:val="001449D0"/>
    <w:rsid w:val="00144A97"/>
    <w:rsid w:val="00144AC8"/>
    <w:rsid w:val="00144BCC"/>
    <w:rsid w:val="00144C61"/>
    <w:rsid w:val="00144DB0"/>
    <w:rsid w:val="00144DFD"/>
    <w:rsid w:val="00144FC8"/>
    <w:rsid w:val="00144FF2"/>
    <w:rsid w:val="001452AB"/>
    <w:rsid w:val="001453EB"/>
    <w:rsid w:val="0014545F"/>
    <w:rsid w:val="00145634"/>
    <w:rsid w:val="0014568D"/>
    <w:rsid w:val="001456DC"/>
    <w:rsid w:val="001459CA"/>
    <w:rsid w:val="00145A89"/>
    <w:rsid w:val="00145C9B"/>
    <w:rsid w:val="00145DAC"/>
    <w:rsid w:val="00145FCE"/>
    <w:rsid w:val="00146074"/>
    <w:rsid w:val="00146298"/>
    <w:rsid w:val="00146352"/>
    <w:rsid w:val="001463E3"/>
    <w:rsid w:val="00146429"/>
    <w:rsid w:val="00146551"/>
    <w:rsid w:val="00146A50"/>
    <w:rsid w:val="00146AEA"/>
    <w:rsid w:val="00146B3D"/>
    <w:rsid w:val="00146F9C"/>
    <w:rsid w:val="00146FF4"/>
    <w:rsid w:val="00147147"/>
    <w:rsid w:val="0014714A"/>
    <w:rsid w:val="001471D9"/>
    <w:rsid w:val="0014732F"/>
    <w:rsid w:val="001474BE"/>
    <w:rsid w:val="0014759A"/>
    <w:rsid w:val="0014762A"/>
    <w:rsid w:val="0014772C"/>
    <w:rsid w:val="0014778B"/>
    <w:rsid w:val="001477F4"/>
    <w:rsid w:val="00147DDF"/>
    <w:rsid w:val="00147E4D"/>
    <w:rsid w:val="00147EA9"/>
    <w:rsid w:val="00147F21"/>
    <w:rsid w:val="00147F43"/>
    <w:rsid w:val="00147FE0"/>
    <w:rsid w:val="0015045E"/>
    <w:rsid w:val="0015049C"/>
    <w:rsid w:val="00150533"/>
    <w:rsid w:val="00150929"/>
    <w:rsid w:val="001509A4"/>
    <w:rsid w:val="00150AF9"/>
    <w:rsid w:val="00150AFE"/>
    <w:rsid w:val="00150B18"/>
    <w:rsid w:val="00150B2A"/>
    <w:rsid w:val="00150DC9"/>
    <w:rsid w:val="00150DCE"/>
    <w:rsid w:val="00150FA4"/>
    <w:rsid w:val="00150FAA"/>
    <w:rsid w:val="00150FDD"/>
    <w:rsid w:val="00151056"/>
    <w:rsid w:val="00151138"/>
    <w:rsid w:val="001512A7"/>
    <w:rsid w:val="00151326"/>
    <w:rsid w:val="00151346"/>
    <w:rsid w:val="001513B4"/>
    <w:rsid w:val="001515D9"/>
    <w:rsid w:val="00151614"/>
    <w:rsid w:val="00151D27"/>
    <w:rsid w:val="00151EA2"/>
    <w:rsid w:val="00151FB0"/>
    <w:rsid w:val="001520D4"/>
    <w:rsid w:val="001521A5"/>
    <w:rsid w:val="001521B8"/>
    <w:rsid w:val="00152248"/>
    <w:rsid w:val="001523CD"/>
    <w:rsid w:val="001524BC"/>
    <w:rsid w:val="00152825"/>
    <w:rsid w:val="0015293A"/>
    <w:rsid w:val="00152958"/>
    <w:rsid w:val="00152A89"/>
    <w:rsid w:val="00152AFE"/>
    <w:rsid w:val="00152BEB"/>
    <w:rsid w:val="001531DE"/>
    <w:rsid w:val="00153579"/>
    <w:rsid w:val="001536F4"/>
    <w:rsid w:val="00153860"/>
    <w:rsid w:val="0015389F"/>
    <w:rsid w:val="00153B07"/>
    <w:rsid w:val="00153B35"/>
    <w:rsid w:val="00153C05"/>
    <w:rsid w:val="00153CF0"/>
    <w:rsid w:val="00153D6D"/>
    <w:rsid w:val="00153F39"/>
    <w:rsid w:val="00154179"/>
    <w:rsid w:val="001543E6"/>
    <w:rsid w:val="00154428"/>
    <w:rsid w:val="0015450E"/>
    <w:rsid w:val="00154545"/>
    <w:rsid w:val="001545F7"/>
    <w:rsid w:val="001546A8"/>
    <w:rsid w:val="001546E8"/>
    <w:rsid w:val="00154718"/>
    <w:rsid w:val="0015477B"/>
    <w:rsid w:val="00154943"/>
    <w:rsid w:val="001549CD"/>
    <w:rsid w:val="001549DE"/>
    <w:rsid w:val="00154B57"/>
    <w:rsid w:val="00154C7A"/>
    <w:rsid w:val="00154DAB"/>
    <w:rsid w:val="00154DFC"/>
    <w:rsid w:val="001550BE"/>
    <w:rsid w:val="0015550C"/>
    <w:rsid w:val="001555B1"/>
    <w:rsid w:val="001556FF"/>
    <w:rsid w:val="00155AF0"/>
    <w:rsid w:val="00155F29"/>
    <w:rsid w:val="00155F89"/>
    <w:rsid w:val="00155FD6"/>
    <w:rsid w:val="001560C9"/>
    <w:rsid w:val="0015625B"/>
    <w:rsid w:val="00156279"/>
    <w:rsid w:val="00156370"/>
    <w:rsid w:val="00156646"/>
    <w:rsid w:val="0015666A"/>
    <w:rsid w:val="00156A72"/>
    <w:rsid w:val="00156BB5"/>
    <w:rsid w:val="00156F99"/>
    <w:rsid w:val="00156FBB"/>
    <w:rsid w:val="001570DD"/>
    <w:rsid w:val="00157361"/>
    <w:rsid w:val="00157390"/>
    <w:rsid w:val="0015745D"/>
    <w:rsid w:val="001575D3"/>
    <w:rsid w:val="0015762A"/>
    <w:rsid w:val="00157816"/>
    <w:rsid w:val="00157883"/>
    <w:rsid w:val="0015795C"/>
    <w:rsid w:val="001579CA"/>
    <w:rsid w:val="00157A9A"/>
    <w:rsid w:val="00157C07"/>
    <w:rsid w:val="00157CDC"/>
    <w:rsid w:val="0016005A"/>
    <w:rsid w:val="00160093"/>
    <w:rsid w:val="00160113"/>
    <w:rsid w:val="00160121"/>
    <w:rsid w:val="0016057D"/>
    <w:rsid w:val="00160619"/>
    <w:rsid w:val="0016063A"/>
    <w:rsid w:val="0016081A"/>
    <w:rsid w:val="001608B4"/>
    <w:rsid w:val="00160C3D"/>
    <w:rsid w:val="00160C84"/>
    <w:rsid w:val="00160D10"/>
    <w:rsid w:val="00160D2F"/>
    <w:rsid w:val="00160D6C"/>
    <w:rsid w:val="00160D9E"/>
    <w:rsid w:val="00160DCA"/>
    <w:rsid w:val="00160E02"/>
    <w:rsid w:val="00160EBB"/>
    <w:rsid w:val="00160F3D"/>
    <w:rsid w:val="00161040"/>
    <w:rsid w:val="00161169"/>
    <w:rsid w:val="00161591"/>
    <w:rsid w:val="001615EF"/>
    <w:rsid w:val="00161625"/>
    <w:rsid w:val="001618B6"/>
    <w:rsid w:val="00161CE3"/>
    <w:rsid w:val="00161DDB"/>
    <w:rsid w:val="00161FD2"/>
    <w:rsid w:val="00162140"/>
    <w:rsid w:val="001621E4"/>
    <w:rsid w:val="00162392"/>
    <w:rsid w:val="0016249C"/>
    <w:rsid w:val="001624A4"/>
    <w:rsid w:val="00162708"/>
    <w:rsid w:val="0016271C"/>
    <w:rsid w:val="00162760"/>
    <w:rsid w:val="00162860"/>
    <w:rsid w:val="00162939"/>
    <w:rsid w:val="00162960"/>
    <w:rsid w:val="00162AA2"/>
    <w:rsid w:val="00162AC6"/>
    <w:rsid w:val="00162AD4"/>
    <w:rsid w:val="00162C79"/>
    <w:rsid w:val="00162D03"/>
    <w:rsid w:val="00162D78"/>
    <w:rsid w:val="00162E68"/>
    <w:rsid w:val="00162F43"/>
    <w:rsid w:val="00162FA7"/>
    <w:rsid w:val="001630D1"/>
    <w:rsid w:val="00163188"/>
    <w:rsid w:val="00163206"/>
    <w:rsid w:val="001632F1"/>
    <w:rsid w:val="00163468"/>
    <w:rsid w:val="0016370C"/>
    <w:rsid w:val="00163A35"/>
    <w:rsid w:val="00163A7F"/>
    <w:rsid w:val="00163C4C"/>
    <w:rsid w:val="00163CA1"/>
    <w:rsid w:val="00163D6F"/>
    <w:rsid w:val="00163D9A"/>
    <w:rsid w:val="0016405B"/>
    <w:rsid w:val="001641C1"/>
    <w:rsid w:val="0016430B"/>
    <w:rsid w:val="001643FB"/>
    <w:rsid w:val="001644C6"/>
    <w:rsid w:val="00164553"/>
    <w:rsid w:val="001645AB"/>
    <w:rsid w:val="001645B0"/>
    <w:rsid w:val="00164750"/>
    <w:rsid w:val="00164793"/>
    <w:rsid w:val="00164C75"/>
    <w:rsid w:val="00164DAC"/>
    <w:rsid w:val="00164FA2"/>
    <w:rsid w:val="00165115"/>
    <w:rsid w:val="00165247"/>
    <w:rsid w:val="0016531B"/>
    <w:rsid w:val="0016537C"/>
    <w:rsid w:val="001656C6"/>
    <w:rsid w:val="00165724"/>
    <w:rsid w:val="0016592C"/>
    <w:rsid w:val="001659A8"/>
    <w:rsid w:val="00165BB1"/>
    <w:rsid w:val="00165D34"/>
    <w:rsid w:val="001662C2"/>
    <w:rsid w:val="001662FA"/>
    <w:rsid w:val="00166B61"/>
    <w:rsid w:val="00166D15"/>
    <w:rsid w:val="0016700F"/>
    <w:rsid w:val="0016701D"/>
    <w:rsid w:val="0016759B"/>
    <w:rsid w:val="001676E8"/>
    <w:rsid w:val="0016783D"/>
    <w:rsid w:val="00167898"/>
    <w:rsid w:val="00167C5A"/>
    <w:rsid w:val="00167CA8"/>
    <w:rsid w:val="00167CF7"/>
    <w:rsid w:val="00170040"/>
    <w:rsid w:val="00170791"/>
    <w:rsid w:val="001707CF"/>
    <w:rsid w:val="00170B7A"/>
    <w:rsid w:val="00170EC7"/>
    <w:rsid w:val="00170F1B"/>
    <w:rsid w:val="00170FE1"/>
    <w:rsid w:val="001711D4"/>
    <w:rsid w:val="00171325"/>
    <w:rsid w:val="0017134E"/>
    <w:rsid w:val="00171477"/>
    <w:rsid w:val="0017168B"/>
    <w:rsid w:val="0017189D"/>
    <w:rsid w:val="001718BD"/>
    <w:rsid w:val="00171920"/>
    <w:rsid w:val="00171A85"/>
    <w:rsid w:val="00171AD5"/>
    <w:rsid w:val="00171CB1"/>
    <w:rsid w:val="00171E41"/>
    <w:rsid w:val="00171E44"/>
    <w:rsid w:val="00171F86"/>
    <w:rsid w:val="00171FAD"/>
    <w:rsid w:val="001721E0"/>
    <w:rsid w:val="0017234A"/>
    <w:rsid w:val="00172393"/>
    <w:rsid w:val="001723EA"/>
    <w:rsid w:val="00172421"/>
    <w:rsid w:val="0017244C"/>
    <w:rsid w:val="001724AE"/>
    <w:rsid w:val="001727CB"/>
    <w:rsid w:val="00172A78"/>
    <w:rsid w:val="00172ABC"/>
    <w:rsid w:val="00172C63"/>
    <w:rsid w:val="00172E0D"/>
    <w:rsid w:val="00172E1F"/>
    <w:rsid w:val="00173159"/>
    <w:rsid w:val="00173330"/>
    <w:rsid w:val="00173506"/>
    <w:rsid w:val="001736A9"/>
    <w:rsid w:val="001736C6"/>
    <w:rsid w:val="0017378F"/>
    <w:rsid w:val="00173849"/>
    <w:rsid w:val="00173AB3"/>
    <w:rsid w:val="00173B11"/>
    <w:rsid w:val="00173D35"/>
    <w:rsid w:val="00173D61"/>
    <w:rsid w:val="00173E1F"/>
    <w:rsid w:val="00173EE8"/>
    <w:rsid w:val="00173F2C"/>
    <w:rsid w:val="00174101"/>
    <w:rsid w:val="00174528"/>
    <w:rsid w:val="00174593"/>
    <w:rsid w:val="001745D6"/>
    <w:rsid w:val="0017462F"/>
    <w:rsid w:val="00174838"/>
    <w:rsid w:val="00174920"/>
    <w:rsid w:val="00174994"/>
    <w:rsid w:val="00174BEB"/>
    <w:rsid w:val="00174C95"/>
    <w:rsid w:val="00174E0E"/>
    <w:rsid w:val="00174EF9"/>
    <w:rsid w:val="001753DA"/>
    <w:rsid w:val="00175492"/>
    <w:rsid w:val="00175551"/>
    <w:rsid w:val="00175561"/>
    <w:rsid w:val="0017565A"/>
    <w:rsid w:val="001757C6"/>
    <w:rsid w:val="00175BB3"/>
    <w:rsid w:val="00175C72"/>
    <w:rsid w:val="0017606B"/>
    <w:rsid w:val="00176605"/>
    <w:rsid w:val="0017671B"/>
    <w:rsid w:val="00176824"/>
    <w:rsid w:val="0017688C"/>
    <w:rsid w:val="0017696A"/>
    <w:rsid w:val="00176A3D"/>
    <w:rsid w:val="00176C27"/>
    <w:rsid w:val="00176DF6"/>
    <w:rsid w:val="0017701D"/>
    <w:rsid w:val="00177131"/>
    <w:rsid w:val="0017723F"/>
    <w:rsid w:val="0017724E"/>
    <w:rsid w:val="001772C3"/>
    <w:rsid w:val="00177348"/>
    <w:rsid w:val="001776F1"/>
    <w:rsid w:val="00177791"/>
    <w:rsid w:val="001777DD"/>
    <w:rsid w:val="001779C0"/>
    <w:rsid w:val="00177B15"/>
    <w:rsid w:val="00177B4C"/>
    <w:rsid w:val="00177B7E"/>
    <w:rsid w:val="00177BAE"/>
    <w:rsid w:val="00177CD9"/>
    <w:rsid w:val="001800C5"/>
    <w:rsid w:val="001800CE"/>
    <w:rsid w:val="001802CE"/>
    <w:rsid w:val="0018076E"/>
    <w:rsid w:val="0018096B"/>
    <w:rsid w:val="001809AC"/>
    <w:rsid w:val="001809C4"/>
    <w:rsid w:val="00180BBE"/>
    <w:rsid w:val="00180D38"/>
    <w:rsid w:val="00180F17"/>
    <w:rsid w:val="0018105B"/>
    <w:rsid w:val="0018111E"/>
    <w:rsid w:val="001811D6"/>
    <w:rsid w:val="001812AA"/>
    <w:rsid w:val="001812F7"/>
    <w:rsid w:val="00181398"/>
    <w:rsid w:val="001813C2"/>
    <w:rsid w:val="001814F3"/>
    <w:rsid w:val="001815AC"/>
    <w:rsid w:val="001816B7"/>
    <w:rsid w:val="001816C3"/>
    <w:rsid w:val="00181866"/>
    <w:rsid w:val="00181B0E"/>
    <w:rsid w:val="00181B38"/>
    <w:rsid w:val="00181E1D"/>
    <w:rsid w:val="001820CF"/>
    <w:rsid w:val="0018220C"/>
    <w:rsid w:val="00182379"/>
    <w:rsid w:val="001828AA"/>
    <w:rsid w:val="001828CB"/>
    <w:rsid w:val="001829C4"/>
    <w:rsid w:val="00182AF1"/>
    <w:rsid w:val="00182B38"/>
    <w:rsid w:val="00182E74"/>
    <w:rsid w:val="00182F13"/>
    <w:rsid w:val="00182FD2"/>
    <w:rsid w:val="001831D4"/>
    <w:rsid w:val="0018329E"/>
    <w:rsid w:val="001832FA"/>
    <w:rsid w:val="001835B3"/>
    <w:rsid w:val="00183803"/>
    <w:rsid w:val="0018397C"/>
    <w:rsid w:val="001839B4"/>
    <w:rsid w:val="00183A82"/>
    <w:rsid w:val="00183C85"/>
    <w:rsid w:val="00183C8C"/>
    <w:rsid w:val="00183CF1"/>
    <w:rsid w:val="001840D3"/>
    <w:rsid w:val="00184192"/>
    <w:rsid w:val="001841F5"/>
    <w:rsid w:val="001842A0"/>
    <w:rsid w:val="001843D9"/>
    <w:rsid w:val="00184748"/>
    <w:rsid w:val="00184804"/>
    <w:rsid w:val="0018481D"/>
    <w:rsid w:val="00184E11"/>
    <w:rsid w:val="00184FAF"/>
    <w:rsid w:val="00184FC0"/>
    <w:rsid w:val="0018503A"/>
    <w:rsid w:val="00185254"/>
    <w:rsid w:val="00185275"/>
    <w:rsid w:val="001853D2"/>
    <w:rsid w:val="00185577"/>
    <w:rsid w:val="00185744"/>
    <w:rsid w:val="0018576F"/>
    <w:rsid w:val="00185822"/>
    <w:rsid w:val="0018589F"/>
    <w:rsid w:val="001858BB"/>
    <w:rsid w:val="00185A3F"/>
    <w:rsid w:val="00185D39"/>
    <w:rsid w:val="0018608B"/>
    <w:rsid w:val="001860D0"/>
    <w:rsid w:val="0018634F"/>
    <w:rsid w:val="001863A3"/>
    <w:rsid w:val="00186483"/>
    <w:rsid w:val="001864C3"/>
    <w:rsid w:val="001868C5"/>
    <w:rsid w:val="001869EA"/>
    <w:rsid w:val="00186A74"/>
    <w:rsid w:val="00186B57"/>
    <w:rsid w:val="00186C39"/>
    <w:rsid w:val="00186DB5"/>
    <w:rsid w:val="00186DED"/>
    <w:rsid w:val="00186F02"/>
    <w:rsid w:val="0018758C"/>
    <w:rsid w:val="001876CD"/>
    <w:rsid w:val="00187716"/>
    <w:rsid w:val="001877CF"/>
    <w:rsid w:val="00187904"/>
    <w:rsid w:val="00187ABB"/>
    <w:rsid w:val="00187B2D"/>
    <w:rsid w:val="00187D80"/>
    <w:rsid w:val="00190238"/>
    <w:rsid w:val="0019028A"/>
    <w:rsid w:val="00190461"/>
    <w:rsid w:val="00190676"/>
    <w:rsid w:val="00190867"/>
    <w:rsid w:val="001908CF"/>
    <w:rsid w:val="001908EB"/>
    <w:rsid w:val="00190C08"/>
    <w:rsid w:val="00190C7E"/>
    <w:rsid w:val="00190CDB"/>
    <w:rsid w:val="00190D48"/>
    <w:rsid w:val="00190ED9"/>
    <w:rsid w:val="00191013"/>
    <w:rsid w:val="00191163"/>
    <w:rsid w:val="00191325"/>
    <w:rsid w:val="00191496"/>
    <w:rsid w:val="0019153D"/>
    <w:rsid w:val="00191581"/>
    <w:rsid w:val="001915C1"/>
    <w:rsid w:val="00191617"/>
    <w:rsid w:val="00191663"/>
    <w:rsid w:val="00191A20"/>
    <w:rsid w:val="00191D6B"/>
    <w:rsid w:val="00191F06"/>
    <w:rsid w:val="00191F42"/>
    <w:rsid w:val="0019240C"/>
    <w:rsid w:val="00192419"/>
    <w:rsid w:val="001924CE"/>
    <w:rsid w:val="001927AF"/>
    <w:rsid w:val="001927D3"/>
    <w:rsid w:val="00192900"/>
    <w:rsid w:val="0019292E"/>
    <w:rsid w:val="00192A0E"/>
    <w:rsid w:val="00192B14"/>
    <w:rsid w:val="00192B1E"/>
    <w:rsid w:val="00192B8E"/>
    <w:rsid w:val="00192C39"/>
    <w:rsid w:val="00192CC1"/>
    <w:rsid w:val="001930BD"/>
    <w:rsid w:val="001933CE"/>
    <w:rsid w:val="001935A1"/>
    <w:rsid w:val="001935FA"/>
    <w:rsid w:val="0019368D"/>
    <w:rsid w:val="001937E0"/>
    <w:rsid w:val="00193857"/>
    <w:rsid w:val="001938B6"/>
    <w:rsid w:val="0019392E"/>
    <w:rsid w:val="00193C8A"/>
    <w:rsid w:val="00193CA1"/>
    <w:rsid w:val="00193EA5"/>
    <w:rsid w:val="001941A3"/>
    <w:rsid w:val="001943B9"/>
    <w:rsid w:val="001943D0"/>
    <w:rsid w:val="00194A5C"/>
    <w:rsid w:val="00194AF9"/>
    <w:rsid w:val="00194AFE"/>
    <w:rsid w:val="00194B85"/>
    <w:rsid w:val="00194BA4"/>
    <w:rsid w:val="00194BA5"/>
    <w:rsid w:val="00194BAB"/>
    <w:rsid w:val="00194C4F"/>
    <w:rsid w:val="00194CBA"/>
    <w:rsid w:val="00194D65"/>
    <w:rsid w:val="00194DF3"/>
    <w:rsid w:val="00194FC0"/>
    <w:rsid w:val="00195096"/>
    <w:rsid w:val="001951E2"/>
    <w:rsid w:val="0019533F"/>
    <w:rsid w:val="00195716"/>
    <w:rsid w:val="00195C83"/>
    <w:rsid w:val="00195F11"/>
    <w:rsid w:val="00196016"/>
    <w:rsid w:val="001960DD"/>
    <w:rsid w:val="001961BD"/>
    <w:rsid w:val="00196292"/>
    <w:rsid w:val="001962ED"/>
    <w:rsid w:val="001968EE"/>
    <w:rsid w:val="0019690B"/>
    <w:rsid w:val="001969FE"/>
    <w:rsid w:val="00196CEC"/>
    <w:rsid w:val="00196D0E"/>
    <w:rsid w:val="00196D57"/>
    <w:rsid w:val="00196EE9"/>
    <w:rsid w:val="0019702F"/>
    <w:rsid w:val="00197096"/>
    <w:rsid w:val="001971B5"/>
    <w:rsid w:val="00197367"/>
    <w:rsid w:val="001973F9"/>
    <w:rsid w:val="00197410"/>
    <w:rsid w:val="00197411"/>
    <w:rsid w:val="00197646"/>
    <w:rsid w:val="00197777"/>
    <w:rsid w:val="0019788D"/>
    <w:rsid w:val="0019789B"/>
    <w:rsid w:val="00197905"/>
    <w:rsid w:val="00197A35"/>
    <w:rsid w:val="00197C18"/>
    <w:rsid w:val="00197CEF"/>
    <w:rsid w:val="00197DEE"/>
    <w:rsid w:val="00197E03"/>
    <w:rsid w:val="00197F11"/>
    <w:rsid w:val="00197F2B"/>
    <w:rsid w:val="00197F34"/>
    <w:rsid w:val="00197F81"/>
    <w:rsid w:val="001A0033"/>
    <w:rsid w:val="001A035C"/>
    <w:rsid w:val="001A03AC"/>
    <w:rsid w:val="001A04A1"/>
    <w:rsid w:val="001A0554"/>
    <w:rsid w:val="001A06A1"/>
    <w:rsid w:val="001A0803"/>
    <w:rsid w:val="001A093C"/>
    <w:rsid w:val="001A0A57"/>
    <w:rsid w:val="001A0BE4"/>
    <w:rsid w:val="001A0CBB"/>
    <w:rsid w:val="001A0D0E"/>
    <w:rsid w:val="001A0DAF"/>
    <w:rsid w:val="001A1032"/>
    <w:rsid w:val="001A104B"/>
    <w:rsid w:val="001A1064"/>
    <w:rsid w:val="001A1173"/>
    <w:rsid w:val="001A1406"/>
    <w:rsid w:val="001A15AE"/>
    <w:rsid w:val="001A1641"/>
    <w:rsid w:val="001A1693"/>
    <w:rsid w:val="001A17BF"/>
    <w:rsid w:val="001A1A0F"/>
    <w:rsid w:val="001A1A7B"/>
    <w:rsid w:val="001A1B25"/>
    <w:rsid w:val="001A1CDF"/>
    <w:rsid w:val="001A1CFB"/>
    <w:rsid w:val="001A1D8A"/>
    <w:rsid w:val="001A1D93"/>
    <w:rsid w:val="001A1E03"/>
    <w:rsid w:val="001A1F2B"/>
    <w:rsid w:val="001A1F87"/>
    <w:rsid w:val="001A203F"/>
    <w:rsid w:val="001A21FA"/>
    <w:rsid w:val="001A2406"/>
    <w:rsid w:val="001A2551"/>
    <w:rsid w:val="001A268F"/>
    <w:rsid w:val="001A2707"/>
    <w:rsid w:val="001A2AF1"/>
    <w:rsid w:val="001A2CEE"/>
    <w:rsid w:val="001A2E4D"/>
    <w:rsid w:val="001A2E55"/>
    <w:rsid w:val="001A2F48"/>
    <w:rsid w:val="001A306C"/>
    <w:rsid w:val="001A3097"/>
    <w:rsid w:val="001A30F7"/>
    <w:rsid w:val="001A3170"/>
    <w:rsid w:val="001A3322"/>
    <w:rsid w:val="001A33D6"/>
    <w:rsid w:val="001A35A7"/>
    <w:rsid w:val="001A35C4"/>
    <w:rsid w:val="001A36F8"/>
    <w:rsid w:val="001A37E7"/>
    <w:rsid w:val="001A3A00"/>
    <w:rsid w:val="001A3A25"/>
    <w:rsid w:val="001A3C0A"/>
    <w:rsid w:val="001A3FF0"/>
    <w:rsid w:val="001A405A"/>
    <w:rsid w:val="001A4196"/>
    <w:rsid w:val="001A41CC"/>
    <w:rsid w:val="001A44D1"/>
    <w:rsid w:val="001A4554"/>
    <w:rsid w:val="001A47FD"/>
    <w:rsid w:val="001A486F"/>
    <w:rsid w:val="001A48A8"/>
    <w:rsid w:val="001A4C48"/>
    <w:rsid w:val="001A4DFA"/>
    <w:rsid w:val="001A4E29"/>
    <w:rsid w:val="001A4FFC"/>
    <w:rsid w:val="001A5255"/>
    <w:rsid w:val="001A5277"/>
    <w:rsid w:val="001A5290"/>
    <w:rsid w:val="001A5348"/>
    <w:rsid w:val="001A55B9"/>
    <w:rsid w:val="001A563A"/>
    <w:rsid w:val="001A56CA"/>
    <w:rsid w:val="001A576E"/>
    <w:rsid w:val="001A5784"/>
    <w:rsid w:val="001A57A0"/>
    <w:rsid w:val="001A5847"/>
    <w:rsid w:val="001A5BC0"/>
    <w:rsid w:val="001A5C7B"/>
    <w:rsid w:val="001A6118"/>
    <w:rsid w:val="001A6143"/>
    <w:rsid w:val="001A62A9"/>
    <w:rsid w:val="001A642E"/>
    <w:rsid w:val="001A668D"/>
    <w:rsid w:val="001A66EC"/>
    <w:rsid w:val="001A6712"/>
    <w:rsid w:val="001A69DB"/>
    <w:rsid w:val="001A6B9E"/>
    <w:rsid w:val="001A6D55"/>
    <w:rsid w:val="001A71FD"/>
    <w:rsid w:val="001A725C"/>
    <w:rsid w:val="001A738B"/>
    <w:rsid w:val="001A73F3"/>
    <w:rsid w:val="001A7464"/>
    <w:rsid w:val="001A773C"/>
    <w:rsid w:val="001A7A47"/>
    <w:rsid w:val="001A7AA3"/>
    <w:rsid w:val="001A7B54"/>
    <w:rsid w:val="001A7CA4"/>
    <w:rsid w:val="001A7E1F"/>
    <w:rsid w:val="001A7E2B"/>
    <w:rsid w:val="001A7E88"/>
    <w:rsid w:val="001A7FD9"/>
    <w:rsid w:val="001B010E"/>
    <w:rsid w:val="001B017A"/>
    <w:rsid w:val="001B03B5"/>
    <w:rsid w:val="001B042B"/>
    <w:rsid w:val="001B047E"/>
    <w:rsid w:val="001B0483"/>
    <w:rsid w:val="001B07CF"/>
    <w:rsid w:val="001B08D6"/>
    <w:rsid w:val="001B0AB3"/>
    <w:rsid w:val="001B0AEE"/>
    <w:rsid w:val="001B0B7F"/>
    <w:rsid w:val="001B0D74"/>
    <w:rsid w:val="001B1293"/>
    <w:rsid w:val="001B151A"/>
    <w:rsid w:val="001B1574"/>
    <w:rsid w:val="001B15A2"/>
    <w:rsid w:val="001B167D"/>
    <w:rsid w:val="001B16AF"/>
    <w:rsid w:val="001B171B"/>
    <w:rsid w:val="001B186A"/>
    <w:rsid w:val="001B18AB"/>
    <w:rsid w:val="001B190E"/>
    <w:rsid w:val="001B1999"/>
    <w:rsid w:val="001B1A8C"/>
    <w:rsid w:val="001B1D1D"/>
    <w:rsid w:val="001B1DE2"/>
    <w:rsid w:val="001B1E31"/>
    <w:rsid w:val="001B1F4A"/>
    <w:rsid w:val="001B1FE9"/>
    <w:rsid w:val="001B2035"/>
    <w:rsid w:val="001B208B"/>
    <w:rsid w:val="001B20A8"/>
    <w:rsid w:val="001B20CA"/>
    <w:rsid w:val="001B21D9"/>
    <w:rsid w:val="001B2641"/>
    <w:rsid w:val="001B2645"/>
    <w:rsid w:val="001B265F"/>
    <w:rsid w:val="001B274A"/>
    <w:rsid w:val="001B2822"/>
    <w:rsid w:val="001B2827"/>
    <w:rsid w:val="001B28C7"/>
    <w:rsid w:val="001B2AAF"/>
    <w:rsid w:val="001B2BB2"/>
    <w:rsid w:val="001B2C6D"/>
    <w:rsid w:val="001B2D49"/>
    <w:rsid w:val="001B2DE0"/>
    <w:rsid w:val="001B2DF9"/>
    <w:rsid w:val="001B2E3E"/>
    <w:rsid w:val="001B2E73"/>
    <w:rsid w:val="001B2F65"/>
    <w:rsid w:val="001B3033"/>
    <w:rsid w:val="001B3034"/>
    <w:rsid w:val="001B309D"/>
    <w:rsid w:val="001B3180"/>
    <w:rsid w:val="001B32A1"/>
    <w:rsid w:val="001B350B"/>
    <w:rsid w:val="001B362D"/>
    <w:rsid w:val="001B388D"/>
    <w:rsid w:val="001B3A25"/>
    <w:rsid w:val="001B421A"/>
    <w:rsid w:val="001B4346"/>
    <w:rsid w:val="001B4422"/>
    <w:rsid w:val="001B4494"/>
    <w:rsid w:val="001B4589"/>
    <w:rsid w:val="001B4635"/>
    <w:rsid w:val="001B4646"/>
    <w:rsid w:val="001B483B"/>
    <w:rsid w:val="001B4885"/>
    <w:rsid w:val="001B4927"/>
    <w:rsid w:val="001B49F3"/>
    <w:rsid w:val="001B49FB"/>
    <w:rsid w:val="001B4C5F"/>
    <w:rsid w:val="001B4CB5"/>
    <w:rsid w:val="001B4D12"/>
    <w:rsid w:val="001B4D8F"/>
    <w:rsid w:val="001B4E1B"/>
    <w:rsid w:val="001B4E22"/>
    <w:rsid w:val="001B4E64"/>
    <w:rsid w:val="001B4FB2"/>
    <w:rsid w:val="001B50B2"/>
    <w:rsid w:val="001B51B6"/>
    <w:rsid w:val="001B52FD"/>
    <w:rsid w:val="001B548B"/>
    <w:rsid w:val="001B5510"/>
    <w:rsid w:val="001B5572"/>
    <w:rsid w:val="001B5C49"/>
    <w:rsid w:val="001B5D7D"/>
    <w:rsid w:val="001B5FC0"/>
    <w:rsid w:val="001B6031"/>
    <w:rsid w:val="001B6151"/>
    <w:rsid w:val="001B696C"/>
    <w:rsid w:val="001B696F"/>
    <w:rsid w:val="001B69B1"/>
    <w:rsid w:val="001B6AC1"/>
    <w:rsid w:val="001B6C1F"/>
    <w:rsid w:val="001B6D26"/>
    <w:rsid w:val="001B6F22"/>
    <w:rsid w:val="001B705C"/>
    <w:rsid w:val="001B7197"/>
    <w:rsid w:val="001B72A1"/>
    <w:rsid w:val="001B730F"/>
    <w:rsid w:val="001B7488"/>
    <w:rsid w:val="001B75AD"/>
    <w:rsid w:val="001B77AD"/>
    <w:rsid w:val="001B7981"/>
    <w:rsid w:val="001B7996"/>
    <w:rsid w:val="001B7A85"/>
    <w:rsid w:val="001B7AF6"/>
    <w:rsid w:val="001B7C89"/>
    <w:rsid w:val="001B7D83"/>
    <w:rsid w:val="001B7DC1"/>
    <w:rsid w:val="001B7EB7"/>
    <w:rsid w:val="001C0417"/>
    <w:rsid w:val="001C04E8"/>
    <w:rsid w:val="001C0579"/>
    <w:rsid w:val="001C0817"/>
    <w:rsid w:val="001C08B2"/>
    <w:rsid w:val="001C0A6E"/>
    <w:rsid w:val="001C0AA5"/>
    <w:rsid w:val="001C0CB2"/>
    <w:rsid w:val="001C0D18"/>
    <w:rsid w:val="001C0EA9"/>
    <w:rsid w:val="001C132B"/>
    <w:rsid w:val="001C1563"/>
    <w:rsid w:val="001C15AA"/>
    <w:rsid w:val="001C1968"/>
    <w:rsid w:val="001C1C82"/>
    <w:rsid w:val="001C1E19"/>
    <w:rsid w:val="001C1FDE"/>
    <w:rsid w:val="001C209D"/>
    <w:rsid w:val="001C20FC"/>
    <w:rsid w:val="001C225C"/>
    <w:rsid w:val="001C233B"/>
    <w:rsid w:val="001C2702"/>
    <w:rsid w:val="001C2823"/>
    <w:rsid w:val="001C293B"/>
    <w:rsid w:val="001C2CA0"/>
    <w:rsid w:val="001C2E92"/>
    <w:rsid w:val="001C2F8D"/>
    <w:rsid w:val="001C2FBB"/>
    <w:rsid w:val="001C2FC9"/>
    <w:rsid w:val="001C30A0"/>
    <w:rsid w:val="001C31E9"/>
    <w:rsid w:val="001C322A"/>
    <w:rsid w:val="001C328F"/>
    <w:rsid w:val="001C3373"/>
    <w:rsid w:val="001C354F"/>
    <w:rsid w:val="001C35D9"/>
    <w:rsid w:val="001C390B"/>
    <w:rsid w:val="001C3AB5"/>
    <w:rsid w:val="001C3AD5"/>
    <w:rsid w:val="001C3B2F"/>
    <w:rsid w:val="001C3EFB"/>
    <w:rsid w:val="001C4175"/>
    <w:rsid w:val="001C4181"/>
    <w:rsid w:val="001C42FF"/>
    <w:rsid w:val="001C450F"/>
    <w:rsid w:val="001C46FA"/>
    <w:rsid w:val="001C49A5"/>
    <w:rsid w:val="001C4AA3"/>
    <w:rsid w:val="001C4C67"/>
    <w:rsid w:val="001C4CB1"/>
    <w:rsid w:val="001C4CC5"/>
    <w:rsid w:val="001C4D30"/>
    <w:rsid w:val="001C4EBA"/>
    <w:rsid w:val="001C5083"/>
    <w:rsid w:val="001C515A"/>
    <w:rsid w:val="001C5230"/>
    <w:rsid w:val="001C5319"/>
    <w:rsid w:val="001C53F7"/>
    <w:rsid w:val="001C5446"/>
    <w:rsid w:val="001C59EB"/>
    <w:rsid w:val="001C5A8B"/>
    <w:rsid w:val="001C5AC8"/>
    <w:rsid w:val="001C5B74"/>
    <w:rsid w:val="001C5BB3"/>
    <w:rsid w:val="001C5D6A"/>
    <w:rsid w:val="001C5DBC"/>
    <w:rsid w:val="001C5DD0"/>
    <w:rsid w:val="001C612A"/>
    <w:rsid w:val="001C615C"/>
    <w:rsid w:val="001C6196"/>
    <w:rsid w:val="001C6225"/>
    <w:rsid w:val="001C62F8"/>
    <w:rsid w:val="001C642B"/>
    <w:rsid w:val="001C6552"/>
    <w:rsid w:val="001C6670"/>
    <w:rsid w:val="001C6936"/>
    <w:rsid w:val="001C6978"/>
    <w:rsid w:val="001C69F7"/>
    <w:rsid w:val="001C6AAD"/>
    <w:rsid w:val="001C6CB2"/>
    <w:rsid w:val="001C6E65"/>
    <w:rsid w:val="001C6F31"/>
    <w:rsid w:val="001C70C1"/>
    <w:rsid w:val="001C7470"/>
    <w:rsid w:val="001C74EB"/>
    <w:rsid w:val="001C7692"/>
    <w:rsid w:val="001C78BB"/>
    <w:rsid w:val="001C7C71"/>
    <w:rsid w:val="001C7E22"/>
    <w:rsid w:val="001C7F92"/>
    <w:rsid w:val="001D0052"/>
    <w:rsid w:val="001D00FA"/>
    <w:rsid w:val="001D01EF"/>
    <w:rsid w:val="001D0409"/>
    <w:rsid w:val="001D047F"/>
    <w:rsid w:val="001D048E"/>
    <w:rsid w:val="001D04E9"/>
    <w:rsid w:val="001D0508"/>
    <w:rsid w:val="001D05EE"/>
    <w:rsid w:val="001D0626"/>
    <w:rsid w:val="001D071E"/>
    <w:rsid w:val="001D0750"/>
    <w:rsid w:val="001D07EF"/>
    <w:rsid w:val="001D099C"/>
    <w:rsid w:val="001D0B0A"/>
    <w:rsid w:val="001D0D49"/>
    <w:rsid w:val="001D0E67"/>
    <w:rsid w:val="001D0E98"/>
    <w:rsid w:val="001D0F65"/>
    <w:rsid w:val="001D1005"/>
    <w:rsid w:val="001D108C"/>
    <w:rsid w:val="001D12DA"/>
    <w:rsid w:val="001D1621"/>
    <w:rsid w:val="001D17C5"/>
    <w:rsid w:val="001D18AF"/>
    <w:rsid w:val="001D19E9"/>
    <w:rsid w:val="001D1DF0"/>
    <w:rsid w:val="001D1EEC"/>
    <w:rsid w:val="001D1FE6"/>
    <w:rsid w:val="001D23C6"/>
    <w:rsid w:val="001D2495"/>
    <w:rsid w:val="001D24EF"/>
    <w:rsid w:val="001D2505"/>
    <w:rsid w:val="001D2615"/>
    <w:rsid w:val="001D264B"/>
    <w:rsid w:val="001D27A6"/>
    <w:rsid w:val="001D298F"/>
    <w:rsid w:val="001D2B39"/>
    <w:rsid w:val="001D2BC8"/>
    <w:rsid w:val="001D2C86"/>
    <w:rsid w:val="001D2D50"/>
    <w:rsid w:val="001D2E96"/>
    <w:rsid w:val="001D31A5"/>
    <w:rsid w:val="001D327D"/>
    <w:rsid w:val="001D32C1"/>
    <w:rsid w:val="001D32FE"/>
    <w:rsid w:val="001D3469"/>
    <w:rsid w:val="001D34CE"/>
    <w:rsid w:val="001D35BC"/>
    <w:rsid w:val="001D3602"/>
    <w:rsid w:val="001D36AB"/>
    <w:rsid w:val="001D36D3"/>
    <w:rsid w:val="001D382B"/>
    <w:rsid w:val="001D395C"/>
    <w:rsid w:val="001D3B0D"/>
    <w:rsid w:val="001D3CDE"/>
    <w:rsid w:val="001D3E1F"/>
    <w:rsid w:val="001D3E23"/>
    <w:rsid w:val="001D410C"/>
    <w:rsid w:val="001D42AF"/>
    <w:rsid w:val="001D4380"/>
    <w:rsid w:val="001D43F6"/>
    <w:rsid w:val="001D4447"/>
    <w:rsid w:val="001D45F3"/>
    <w:rsid w:val="001D4614"/>
    <w:rsid w:val="001D48CC"/>
    <w:rsid w:val="001D4A4A"/>
    <w:rsid w:val="001D4A69"/>
    <w:rsid w:val="001D4B02"/>
    <w:rsid w:val="001D4BE4"/>
    <w:rsid w:val="001D4F33"/>
    <w:rsid w:val="001D500A"/>
    <w:rsid w:val="001D5139"/>
    <w:rsid w:val="001D51EB"/>
    <w:rsid w:val="001D51FB"/>
    <w:rsid w:val="001D52C7"/>
    <w:rsid w:val="001D55A2"/>
    <w:rsid w:val="001D5783"/>
    <w:rsid w:val="001D5E20"/>
    <w:rsid w:val="001D6074"/>
    <w:rsid w:val="001D6084"/>
    <w:rsid w:val="001D61D6"/>
    <w:rsid w:val="001D63FE"/>
    <w:rsid w:val="001D64B2"/>
    <w:rsid w:val="001D64DE"/>
    <w:rsid w:val="001D65A7"/>
    <w:rsid w:val="001D663B"/>
    <w:rsid w:val="001D68C6"/>
    <w:rsid w:val="001D68D9"/>
    <w:rsid w:val="001D69DE"/>
    <w:rsid w:val="001D6B5A"/>
    <w:rsid w:val="001D7040"/>
    <w:rsid w:val="001D7224"/>
    <w:rsid w:val="001D7304"/>
    <w:rsid w:val="001D7590"/>
    <w:rsid w:val="001D77F5"/>
    <w:rsid w:val="001D7927"/>
    <w:rsid w:val="001D798D"/>
    <w:rsid w:val="001D7A8F"/>
    <w:rsid w:val="001D7C7D"/>
    <w:rsid w:val="001D7E6A"/>
    <w:rsid w:val="001D7F65"/>
    <w:rsid w:val="001D7F8B"/>
    <w:rsid w:val="001E0162"/>
    <w:rsid w:val="001E022C"/>
    <w:rsid w:val="001E0560"/>
    <w:rsid w:val="001E068A"/>
    <w:rsid w:val="001E0768"/>
    <w:rsid w:val="001E07D0"/>
    <w:rsid w:val="001E087A"/>
    <w:rsid w:val="001E099D"/>
    <w:rsid w:val="001E0A7D"/>
    <w:rsid w:val="001E0B60"/>
    <w:rsid w:val="001E0C90"/>
    <w:rsid w:val="001E0CA5"/>
    <w:rsid w:val="001E0CA8"/>
    <w:rsid w:val="001E0CEE"/>
    <w:rsid w:val="001E0D27"/>
    <w:rsid w:val="001E0D5D"/>
    <w:rsid w:val="001E0D70"/>
    <w:rsid w:val="001E0E6B"/>
    <w:rsid w:val="001E11D1"/>
    <w:rsid w:val="001E120F"/>
    <w:rsid w:val="001E1371"/>
    <w:rsid w:val="001E14BF"/>
    <w:rsid w:val="001E150A"/>
    <w:rsid w:val="001E15C8"/>
    <w:rsid w:val="001E15CF"/>
    <w:rsid w:val="001E17AB"/>
    <w:rsid w:val="001E1AEA"/>
    <w:rsid w:val="001E1C1C"/>
    <w:rsid w:val="001E1E9A"/>
    <w:rsid w:val="001E1FB7"/>
    <w:rsid w:val="001E1FF2"/>
    <w:rsid w:val="001E208C"/>
    <w:rsid w:val="001E2099"/>
    <w:rsid w:val="001E2206"/>
    <w:rsid w:val="001E2217"/>
    <w:rsid w:val="001E2612"/>
    <w:rsid w:val="001E270C"/>
    <w:rsid w:val="001E2719"/>
    <w:rsid w:val="001E2873"/>
    <w:rsid w:val="001E297B"/>
    <w:rsid w:val="001E2B65"/>
    <w:rsid w:val="001E2C8B"/>
    <w:rsid w:val="001E2D67"/>
    <w:rsid w:val="001E2DF2"/>
    <w:rsid w:val="001E2EC6"/>
    <w:rsid w:val="001E2FE7"/>
    <w:rsid w:val="001E3455"/>
    <w:rsid w:val="001E3676"/>
    <w:rsid w:val="001E3958"/>
    <w:rsid w:val="001E3A0D"/>
    <w:rsid w:val="001E3B15"/>
    <w:rsid w:val="001E3CAF"/>
    <w:rsid w:val="001E3FEE"/>
    <w:rsid w:val="001E408F"/>
    <w:rsid w:val="001E40DB"/>
    <w:rsid w:val="001E4527"/>
    <w:rsid w:val="001E45F0"/>
    <w:rsid w:val="001E4749"/>
    <w:rsid w:val="001E47CF"/>
    <w:rsid w:val="001E4859"/>
    <w:rsid w:val="001E4867"/>
    <w:rsid w:val="001E48DF"/>
    <w:rsid w:val="001E48FF"/>
    <w:rsid w:val="001E492D"/>
    <w:rsid w:val="001E49BC"/>
    <w:rsid w:val="001E49DB"/>
    <w:rsid w:val="001E4F97"/>
    <w:rsid w:val="001E51BE"/>
    <w:rsid w:val="001E5237"/>
    <w:rsid w:val="001E524C"/>
    <w:rsid w:val="001E52CC"/>
    <w:rsid w:val="001E5744"/>
    <w:rsid w:val="001E5941"/>
    <w:rsid w:val="001E59F9"/>
    <w:rsid w:val="001E5CEE"/>
    <w:rsid w:val="001E5D6C"/>
    <w:rsid w:val="001E5FC4"/>
    <w:rsid w:val="001E5FD2"/>
    <w:rsid w:val="001E62C8"/>
    <w:rsid w:val="001E6357"/>
    <w:rsid w:val="001E64CA"/>
    <w:rsid w:val="001E6682"/>
    <w:rsid w:val="001E6945"/>
    <w:rsid w:val="001E69DB"/>
    <w:rsid w:val="001E6B04"/>
    <w:rsid w:val="001E6BE4"/>
    <w:rsid w:val="001E6D7F"/>
    <w:rsid w:val="001E6DEA"/>
    <w:rsid w:val="001E6F46"/>
    <w:rsid w:val="001E721B"/>
    <w:rsid w:val="001E7262"/>
    <w:rsid w:val="001E7407"/>
    <w:rsid w:val="001E765F"/>
    <w:rsid w:val="001E7905"/>
    <w:rsid w:val="001E7A69"/>
    <w:rsid w:val="001E7A8F"/>
    <w:rsid w:val="001E7B85"/>
    <w:rsid w:val="001E7BB8"/>
    <w:rsid w:val="001E7DF3"/>
    <w:rsid w:val="001E7E89"/>
    <w:rsid w:val="001E7FBF"/>
    <w:rsid w:val="001E7FC0"/>
    <w:rsid w:val="001F0599"/>
    <w:rsid w:val="001F06FD"/>
    <w:rsid w:val="001F073D"/>
    <w:rsid w:val="001F0855"/>
    <w:rsid w:val="001F0D03"/>
    <w:rsid w:val="001F0DC5"/>
    <w:rsid w:val="001F0EED"/>
    <w:rsid w:val="001F0FE0"/>
    <w:rsid w:val="001F10D2"/>
    <w:rsid w:val="001F13A4"/>
    <w:rsid w:val="001F17DC"/>
    <w:rsid w:val="001F1927"/>
    <w:rsid w:val="001F195F"/>
    <w:rsid w:val="001F1979"/>
    <w:rsid w:val="001F1990"/>
    <w:rsid w:val="001F1AC1"/>
    <w:rsid w:val="001F1CE7"/>
    <w:rsid w:val="001F20EC"/>
    <w:rsid w:val="001F2485"/>
    <w:rsid w:val="001F269B"/>
    <w:rsid w:val="001F2729"/>
    <w:rsid w:val="001F299D"/>
    <w:rsid w:val="001F2C26"/>
    <w:rsid w:val="001F31F0"/>
    <w:rsid w:val="001F35F7"/>
    <w:rsid w:val="001F37C6"/>
    <w:rsid w:val="001F3A2D"/>
    <w:rsid w:val="001F3AE6"/>
    <w:rsid w:val="001F3D98"/>
    <w:rsid w:val="001F4019"/>
    <w:rsid w:val="001F4101"/>
    <w:rsid w:val="001F4204"/>
    <w:rsid w:val="001F421F"/>
    <w:rsid w:val="001F426B"/>
    <w:rsid w:val="001F4773"/>
    <w:rsid w:val="001F47A7"/>
    <w:rsid w:val="001F4B62"/>
    <w:rsid w:val="001F4FC3"/>
    <w:rsid w:val="001F51A0"/>
    <w:rsid w:val="001F52FE"/>
    <w:rsid w:val="001F52FF"/>
    <w:rsid w:val="001F5400"/>
    <w:rsid w:val="001F58E6"/>
    <w:rsid w:val="001F5AC2"/>
    <w:rsid w:val="001F5B4C"/>
    <w:rsid w:val="001F5C93"/>
    <w:rsid w:val="001F5CC6"/>
    <w:rsid w:val="001F5F34"/>
    <w:rsid w:val="001F62A8"/>
    <w:rsid w:val="001F6330"/>
    <w:rsid w:val="001F671A"/>
    <w:rsid w:val="001F6741"/>
    <w:rsid w:val="001F6901"/>
    <w:rsid w:val="001F693E"/>
    <w:rsid w:val="001F6D1F"/>
    <w:rsid w:val="001F6DEA"/>
    <w:rsid w:val="001F6EA0"/>
    <w:rsid w:val="001F74DA"/>
    <w:rsid w:val="001F76C7"/>
    <w:rsid w:val="001F7B99"/>
    <w:rsid w:val="001F7C8B"/>
    <w:rsid w:val="001F7E11"/>
    <w:rsid w:val="001F7E1F"/>
    <w:rsid w:val="001F7F2A"/>
    <w:rsid w:val="00200287"/>
    <w:rsid w:val="0020029D"/>
    <w:rsid w:val="002004A2"/>
    <w:rsid w:val="0020072C"/>
    <w:rsid w:val="002008CD"/>
    <w:rsid w:val="00200974"/>
    <w:rsid w:val="00200AAB"/>
    <w:rsid w:val="00200C63"/>
    <w:rsid w:val="00200CA5"/>
    <w:rsid w:val="00200F34"/>
    <w:rsid w:val="00200F5C"/>
    <w:rsid w:val="00201218"/>
    <w:rsid w:val="0020165A"/>
    <w:rsid w:val="00201C21"/>
    <w:rsid w:val="00201C76"/>
    <w:rsid w:val="00201CAF"/>
    <w:rsid w:val="00201F5A"/>
    <w:rsid w:val="0020214C"/>
    <w:rsid w:val="002021E1"/>
    <w:rsid w:val="002022D4"/>
    <w:rsid w:val="00202331"/>
    <w:rsid w:val="0020253F"/>
    <w:rsid w:val="00202541"/>
    <w:rsid w:val="00202609"/>
    <w:rsid w:val="0020268D"/>
    <w:rsid w:val="00202844"/>
    <w:rsid w:val="0020290A"/>
    <w:rsid w:val="00202962"/>
    <w:rsid w:val="00202A49"/>
    <w:rsid w:val="00202ADE"/>
    <w:rsid w:val="00202B8B"/>
    <w:rsid w:val="00202BB9"/>
    <w:rsid w:val="00202BC3"/>
    <w:rsid w:val="00202C2D"/>
    <w:rsid w:val="00202C9B"/>
    <w:rsid w:val="00202CCA"/>
    <w:rsid w:val="00202CCC"/>
    <w:rsid w:val="00202DD3"/>
    <w:rsid w:val="00202DD8"/>
    <w:rsid w:val="002030D0"/>
    <w:rsid w:val="0020329E"/>
    <w:rsid w:val="0020333C"/>
    <w:rsid w:val="0020334E"/>
    <w:rsid w:val="002034AF"/>
    <w:rsid w:val="0020361C"/>
    <w:rsid w:val="00203911"/>
    <w:rsid w:val="00203969"/>
    <w:rsid w:val="00203A58"/>
    <w:rsid w:val="00203A81"/>
    <w:rsid w:val="00203B01"/>
    <w:rsid w:val="00203C5F"/>
    <w:rsid w:val="00203D0C"/>
    <w:rsid w:val="00204036"/>
    <w:rsid w:val="00204141"/>
    <w:rsid w:val="002041D0"/>
    <w:rsid w:val="00204206"/>
    <w:rsid w:val="00204216"/>
    <w:rsid w:val="0020428B"/>
    <w:rsid w:val="0020462A"/>
    <w:rsid w:val="00204833"/>
    <w:rsid w:val="00204939"/>
    <w:rsid w:val="00204A36"/>
    <w:rsid w:val="00204A6E"/>
    <w:rsid w:val="002050F5"/>
    <w:rsid w:val="002050FE"/>
    <w:rsid w:val="0020528B"/>
    <w:rsid w:val="0020535C"/>
    <w:rsid w:val="002057E7"/>
    <w:rsid w:val="002058DC"/>
    <w:rsid w:val="0020593E"/>
    <w:rsid w:val="00205E60"/>
    <w:rsid w:val="00205E78"/>
    <w:rsid w:val="00205ED3"/>
    <w:rsid w:val="00205F78"/>
    <w:rsid w:val="0020602B"/>
    <w:rsid w:val="0020631B"/>
    <w:rsid w:val="00206777"/>
    <w:rsid w:val="002067BB"/>
    <w:rsid w:val="00206E9A"/>
    <w:rsid w:val="0020703C"/>
    <w:rsid w:val="0020711E"/>
    <w:rsid w:val="002071C3"/>
    <w:rsid w:val="0020722D"/>
    <w:rsid w:val="002072CF"/>
    <w:rsid w:val="002073D4"/>
    <w:rsid w:val="0020743E"/>
    <w:rsid w:val="00207577"/>
    <w:rsid w:val="002075D4"/>
    <w:rsid w:val="002075FC"/>
    <w:rsid w:val="002076DE"/>
    <w:rsid w:val="00207782"/>
    <w:rsid w:val="002078AF"/>
    <w:rsid w:val="00207948"/>
    <w:rsid w:val="00207995"/>
    <w:rsid w:val="00207B0C"/>
    <w:rsid w:val="00207C0A"/>
    <w:rsid w:val="00207D78"/>
    <w:rsid w:val="00207E13"/>
    <w:rsid w:val="00207FA7"/>
    <w:rsid w:val="00207FEE"/>
    <w:rsid w:val="0021004D"/>
    <w:rsid w:val="0021016C"/>
    <w:rsid w:val="002102C9"/>
    <w:rsid w:val="00210341"/>
    <w:rsid w:val="00210367"/>
    <w:rsid w:val="00210505"/>
    <w:rsid w:val="00210518"/>
    <w:rsid w:val="0021051E"/>
    <w:rsid w:val="002105A8"/>
    <w:rsid w:val="00210744"/>
    <w:rsid w:val="0021075B"/>
    <w:rsid w:val="002107BD"/>
    <w:rsid w:val="0021080D"/>
    <w:rsid w:val="00210931"/>
    <w:rsid w:val="00210CBD"/>
    <w:rsid w:val="00210E91"/>
    <w:rsid w:val="0021112F"/>
    <w:rsid w:val="002112C3"/>
    <w:rsid w:val="0021139F"/>
    <w:rsid w:val="002114F9"/>
    <w:rsid w:val="0021153D"/>
    <w:rsid w:val="0021173F"/>
    <w:rsid w:val="00211765"/>
    <w:rsid w:val="002118AD"/>
    <w:rsid w:val="00211B1C"/>
    <w:rsid w:val="00211D14"/>
    <w:rsid w:val="00211D2A"/>
    <w:rsid w:val="00211D69"/>
    <w:rsid w:val="00211DFF"/>
    <w:rsid w:val="00211EB7"/>
    <w:rsid w:val="00211FE3"/>
    <w:rsid w:val="0021205C"/>
    <w:rsid w:val="0021207F"/>
    <w:rsid w:val="00212230"/>
    <w:rsid w:val="00212409"/>
    <w:rsid w:val="00212426"/>
    <w:rsid w:val="0021244B"/>
    <w:rsid w:val="00212767"/>
    <w:rsid w:val="00212953"/>
    <w:rsid w:val="00212CD1"/>
    <w:rsid w:val="00212DAF"/>
    <w:rsid w:val="002130E2"/>
    <w:rsid w:val="0021359E"/>
    <w:rsid w:val="002136E7"/>
    <w:rsid w:val="00213848"/>
    <w:rsid w:val="00213943"/>
    <w:rsid w:val="00213A89"/>
    <w:rsid w:val="00213B0C"/>
    <w:rsid w:val="00213B6B"/>
    <w:rsid w:val="00213DEA"/>
    <w:rsid w:val="00213E03"/>
    <w:rsid w:val="00213FE0"/>
    <w:rsid w:val="00214172"/>
    <w:rsid w:val="00214312"/>
    <w:rsid w:val="00214399"/>
    <w:rsid w:val="00214459"/>
    <w:rsid w:val="002144F6"/>
    <w:rsid w:val="002145A2"/>
    <w:rsid w:val="00214774"/>
    <w:rsid w:val="002148D1"/>
    <w:rsid w:val="00214A41"/>
    <w:rsid w:val="00214A98"/>
    <w:rsid w:val="00214CC5"/>
    <w:rsid w:val="00214D06"/>
    <w:rsid w:val="00214D10"/>
    <w:rsid w:val="00214E53"/>
    <w:rsid w:val="00214FB4"/>
    <w:rsid w:val="0021513E"/>
    <w:rsid w:val="002154CD"/>
    <w:rsid w:val="00215680"/>
    <w:rsid w:val="00215715"/>
    <w:rsid w:val="002157BE"/>
    <w:rsid w:val="0021584D"/>
    <w:rsid w:val="0021585E"/>
    <w:rsid w:val="00215B20"/>
    <w:rsid w:val="00215B32"/>
    <w:rsid w:val="00215E8A"/>
    <w:rsid w:val="00216064"/>
    <w:rsid w:val="002161BA"/>
    <w:rsid w:val="002162FE"/>
    <w:rsid w:val="002165A2"/>
    <w:rsid w:val="002165BD"/>
    <w:rsid w:val="002166FE"/>
    <w:rsid w:val="002168A0"/>
    <w:rsid w:val="002168A9"/>
    <w:rsid w:val="00216A8D"/>
    <w:rsid w:val="00216B93"/>
    <w:rsid w:val="00216B9B"/>
    <w:rsid w:val="00216BBF"/>
    <w:rsid w:val="00216C1E"/>
    <w:rsid w:val="00216D66"/>
    <w:rsid w:val="00216F49"/>
    <w:rsid w:val="0021700A"/>
    <w:rsid w:val="002170D0"/>
    <w:rsid w:val="0021725A"/>
    <w:rsid w:val="002176AF"/>
    <w:rsid w:val="002176ED"/>
    <w:rsid w:val="00217854"/>
    <w:rsid w:val="0021798F"/>
    <w:rsid w:val="00217A1B"/>
    <w:rsid w:val="00217AAA"/>
    <w:rsid w:val="00217CE1"/>
    <w:rsid w:val="00217D7A"/>
    <w:rsid w:val="00220194"/>
    <w:rsid w:val="0022026F"/>
    <w:rsid w:val="002203F3"/>
    <w:rsid w:val="002206DB"/>
    <w:rsid w:val="002206F0"/>
    <w:rsid w:val="002207B2"/>
    <w:rsid w:val="00220A2D"/>
    <w:rsid w:val="00220A86"/>
    <w:rsid w:val="00220AA1"/>
    <w:rsid w:val="00220DCF"/>
    <w:rsid w:val="002211AE"/>
    <w:rsid w:val="0022125A"/>
    <w:rsid w:val="0022143F"/>
    <w:rsid w:val="002215FB"/>
    <w:rsid w:val="0022180B"/>
    <w:rsid w:val="00221811"/>
    <w:rsid w:val="0022182D"/>
    <w:rsid w:val="00221983"/>
    <w:rsid w:val="00221B11"/>
    <w:rsid w:val="00221CD8"/>
    <w:rsid w:val="00221CDB"/>
    <w:rsid w:val="00221D72"/>
    <w:rsid w:val="00221D75"/>
    <w:rsid w:val="00221DA5"/>
    <w:rsid w:val="00221E72"/>
    <w:rsid w:val="00221E79"/>
    <w:rsid w:val="00221FC6"/>
    <w:rsid w:val="00222010"/>
    <w:rsid w:val="002222F6"/>
    <w:rsid w:val="002226AA"/>
    <w:rsid w:val="00222D84"/>
    <w:rsid w:val="00222DD5"/>
    <w:rsid w:val="00222E8E"/>
    <w:rsid w:val="00222ECD"/>
    <w:rsid w:val="0022301B"/>
    <w:rsid w:val="002230C1"/>
    <w:rsid w:val="00223280"/>
    <w:rsid w:val="00223591"/>
    <w:rsid w:val="00223615"/>
    <w:rsid w:val="0022361C"/>
    <w:rsid w:val="002236C5"/>
    <w:rsid w:val="00223B6E"/>
    <w:rsid w:val="00223D18"/>
    <w:rsid w:val="00223E15"/>
    <w:rsid w:val="0022418B"/>
    <w:rsid w:val="00224305"/>
    <w:rsid w:val="0022430A"/>
    <w:rsid w:val="00224312"/>
    <w:rsid w:val="00224805"/>
    <w:rsid w:val="00224859"/>
    <w:rsid w:val="00224A0F"/>
    <w:rsid w:val="00224A20"/>
    <w:rsid w:val="00224A98"/>
    <w:rsid w:val="00224B8C"/>
    <w:rsid w:val="00225032"/>
    <w:rsid w:val="00225393"/>
    <w:rsid w:val="0022544A"/>
    <w:rsid w:val="002255E2"/>
    <w:rsid w:val="00225671"/>
    <w:rsid w:val="00225819"/>
    <w:rsid w:val="00225848"/>
    <w:rsid w:val="00225969"/>
    <w:rsid w:val="00225981"/>
    <w:rsid w:val="00225A12"/>
    <w:rsid w:val="00225E3A"/>
    <w:rsid w:val="00225EE6"/>
    <w:rsid w:val="00226003"/>
    <w:rsid w:val="002260C0"/>
    <w:rsid w:val="002261B3"/>
    <w:rsid w:val="002262D7"/>
    <w:rsid w:val="00226300"/>
    <w:rsid w:val="00226314"/>
    <w:rsid w:val="00226435"/>
    <w:rsid w:val="002264DC"/>
    <w:rsid w:val="0022663F"/>
    <w:rsid w:val="00226678"/>
    <w:rsid w:val="00226686"/>
    <w:rsid w:val="002266BA"/>
    <w:rsid w:val="002267AF"/>
    <w:rsid w:val="00226807"/>
    <w:rsid w:val="002268B9"/>
    <w:rsid w:val="00226AA0"/>
    <w:rsid w:val="00226AE9"/>
    <w:rsid w:val="00226AEB"/>
    <w:rsid w:val="00226BD2"/>
    <w:rsid w:val="0022702E"/>
    <w:rsid w:val="002270AF"/>
    <w:rsid w:val="00227139"/>
    <w:rsid w:val="00227265"/>
    <w:rsid w:val="00227384"/>
    <w:rsid w:val="0022767B"/>
    <w:rsid w:val="00227D03"/>
    <w:rsid w:val="00227D8F"/>
    <w:rsid w:val="00227E0C"/>
    <w:rsid w:val="00227E55"/>
    <w:rsid w:val="00230128"/>
    <w:rsid w:val="0023030A"/>
    <w:rsid w:val="002304EE"/>
    <w:rsid w:val="002305FD"/>
    <w:rsid w:val="00230677"/>
    <w:rsid w:val="00230679"/>
    <w:rsid w:val="0023074B"/>
    <w:rsid w:val="002308F5"/>
    <w:rsid w:val="002309B4"/>
    <w:rsid w:val="00230AAF"/>
    <w:rsid w:val="00230BC5"/>
    <w:rsid w:val="00230BE5"/>
    <w:rsid w:val="00231020"/>
    <w:rsid w:val="0023106C"/>
    <w:rsid w:val="0023189C"/>
    <w:rsid w:val="002318B6"/>
    <w:rsid w:val="00231DE2"/>
    <w:rsid w:val="00231EE7"/>
    <w:rsid w:val="00231F5C"/>
    <w:rsid w:val="002321C0"/>
    <w:rsid w:val="002322EA"/>
    <w:rsid w:val="002323FA"/>
    <w:rsid w:val="002324C7"/>
    <w:rsid w:val="00232526"/>
    <w:rsid w:val="00232537"/>
    <w:rsid w:val="00232765"/>
    <w:rsid w:val="002327F9"/>
    <w:rsid w:val="0023294C"/>
    <w:rsid w:val="00232A00"/>
    <w:rsid w:val="00232A39"/>
    <w:rsid w:val="00232A48"/>
    <w:rsid w:val="00232A88"/>
    <w:rsid w:val="00232B59"/>
    <w:rsid w:val="00232EB5"/>
    <w:rsid w:val="00232F13"/>
    <w:rsid w:val="0023313C"/>
    <w:rsid w:val="00233196"/>
    <w:rsid w:val="002331AA"/>
    <w:rsid w:val="0023354E"/>
    <w:rsid w:val="00233744"/>
    <w:rsid w:val="00233819"/>
    <w:rsid w:val="0023387E"/>
    <w:rsid w:val="00233CEF"/>
    <w:rsid w:val="00233EC6"/>
    <w:rsid w:val="00233FD0"/>
    <w:rsid w:val="00234195"/>
    <w:rsid w:val="0023455D"/>
    <w:rsid w:val="00234637"/>
    <w:rsid w:val="0023480A"/>
    <w:rsid w:val="00234A5F"/>
    <w:rsid w:val="00234ACC"/>
    <w:rsid w:val="00234C6E"/>
    <w:rsid w:val="00234F05"/>
    <w:rsid w:val="00234F76"/>
    <w:rsid w:val="002350B0"/>
    <w:rsid w:val="002350C0"/>
    <w:rsid w:val="002351CA"/>
    <w:rsid w:val="00235223"/>
    <w:rsid w:val="0023526E"/>
    <w:rsid w:val="002352B0"/>
    <w:rsid w:val="00235378"/>
    <w:rsid w:val="002354C9"/>
    <w:rsid w:val="002354E4"/>
    <w:rsid w:val="00235650"/>
    <w:rsid w:val="00235685"/>
    <w:rsid w:val="00235821"/>
    <w:rsid w:val="00235833"/>
    <w:rsid w:val="002358B3"/>
    <w:rsid w:val="00235AC2"/>
    <w:rsid w:val="00235B2D"/>
    <w:rsid w:val="002360E1"/>
    <w:rsid w:val="00236292"/>
    <w:rsid w:val="00236341"/>
    <w:rsid w:val="00236382"/>
    <w:rsid w:val="002364D2"/>
    <w:rsid w:val="00236620"/>
    <w:rsid w:val="002366E9"/>
    <w:rsid w:val="00236831"/>
    <w:rsid w:val="002369B0"/>
    <w:rsid w:val="00236A48"/>
    <w:rsid w:val="00236B24"/>
    <w:rsid w:val="00236D2B"/>
    <w:rsid w:val="00236EDA"/>
    <w:rsid w:val="0023715E"/>
    <w:rsid w:val="002372C9"/>
    <w:rsid w:val="002374B4"/>
    <w:rsid w:val="00237716"/>
    <w:rsid w:val="0023775A"/>
    <w:rsid w:val="002378C7"/>
    <w:rsid w:val="00237934"/>
    <w:rsid w:val="002379AB"/>
    <w:rsid w:val="00237B6F"/>
    <w:rsid w:val="00240032"/>
    <w:rsid w:val="00240045"/>
    <w:rsid w:val="002400C1"/>
    <w:rsid w:val="00240203"/>
    <w:rsid w:val="00240493"/>
    <w:rsid w:val="00240744"/>
    <w:rsid w:val="0024096D"/>
    <w:rsid w:val="00240A94"/>
    <w:rsid w:val="00240B66"/>
    <w:rsid w:val="00240CDA"/>
    <w:rsid w:val="00240DF2"/>
    <w:rsid w:val="00240FDA"/>
    <w:rsid w:val="00241226"/>
    <w:rsid w:val="00241234"/>
    <w:rsid w:val="00241236"/>
    <w:rsid w:val="002414FE"/>
    <w:rsid w:val="00241583"/>
    <w:rsid w:val="002415BC"/>
    <w:rsid w:val="002417CD"/>
    <w:rsid w:val="00241D3A"/>
    <w:rsid w:val="00241E62"/>
    <w:rsid w:val="00241FC2"/>
    <w:rsid w:val="00242021"/>
    <w:rsid w:val="0024221B"/>
    <w:rsid w:val="0024233D"/>
    <w:rsid w:val="00242370"/>
    <w:rsid w:val="002423F2"/>
    <w:rsid w:val="00242450"/>
    <w:rsid w:val="002425DC"/>
    <w:rsid w:val="00242640"/>
    <w:rsid w:val="002426D6"/>
    <w:rsid w:val="002426ED"/>
    <w:rsid w:val="00242709"/>
    <w:rsid w:val="00242733"/>
    <w:rsid w:val="002427F3"/>
    <w:rsid w:val="0024289C"/>
    <w:rsid w:val="0024293C"/>
    <w:rsid w:val="00242AF3"/>
    <w:rsid w:val="00242B8F"/>
    <w:rsid w:val="00242EDC"/>
    <w:rsid w:val="00242F8F"/>
    <w:rsid w:val="00243068"/>
    <w:rsid w:val="002431BD"/>
    <w:rsid w:val="002431C0"/>
    <w:rsid w:val="0024340D"/>
    <w:rsid w:val="002434C0"/>
    <w:rsid w:val="00243503"/>
    <w:rsid w:val="00243584"/>
    <w:rsid w:val="0024363C"/>
    <w:rsid w:val="00243649"/>
    <w:rsid w:val="00243717"/>
    <w:rsid w:val="00243942"/>
    <w:rsid w:val="00243975"/>
    <w:rsid w:val="002439CC"/>
    <w:rsid w:val="00243E17"/>
    <w:rsid w:val="00243E23"/>
    <w:rsid w:val="00243E6C"/>
    <w:rsid w:val="00243E6F"/>
    <w:rsid w:val="00243F3F"/>
    <w:rsid w:val="0024409A"/>
    <w:rsid w:val="0024435A"/>
    <w:rsid w:val="00244392"/>
    <w:rsid w:val="002445E1"/>
    <w:rsid w:val="00244679"/>
    <w:rsid w:val="00244754"/>
    <w:rsid w:val="00244B9E"/>
    <w:rsid w:val="00244E06"/>
    <w:rsid w:val="00244E82"/>
    <w:rsid w:val="00244F1C"/>
    <w:rsid w:val="00244F22"/>
    <w:rsid w:val="00245188"/>
    <w:rsid w:val="002451A3"/>
    <w:rsid w:val="002451BB"/>
    <w:rsid w:val="00245518"/>
    <w:rsid w:val="002455AC"/>
    <w:rsid w:val="002456C5"/>
    <w:rsid w:val="002457FB"/>
    <w:rsid w:val="00245893"/>
    <w:rsid w:val="00245AF4"/>
    <w:rsid w:val="00245CA3"/>
    <w:rsid w:val="00245F3A"/>
    <w:rsid w:val="0024611D"/>
    <w:rsid w:val="0024634C"/>
    <w:rsid w:val="002464E8"/>
    <w:rsid w:val="0024652C"/>
    <w:rsid w:val="00246565"/>
    <w:rsid w:val="0024656C"/>
    <w:rsid w:val="0024677F"/>
    <w:rsid w:val="0024691E"/>
    <w:rsid w:val="00246D5F"/>
    <w:rsid w:val="00246F6F"/>
    <w:rsid w:val="00247080"/>
    <w:rsid w:val="002470B6"/>
    <w:rsid w:val="0024710C"/>
    <w:rsid w:val="00247170"/>
    <w:rsid w:val="00247577"/>
    <w:rsid w:val="00247665"/>
    <w:rsid w:val="002477E5"/>
    <w:rsid w:val="002477FF"/>
    <w:rsid w:val="00247850"/>
    <w:rsid w:val="0024789A"/>
    <w:rsid w:val="00247983"/>
    <w:rsid w:val="00247C39"/>
    <w:rsid w:val="00247E00"/>
    <w:rsid w:val="0025000A"/>
    <w:rsid w:val="002500B0"/>
    <w:rsid w:val="00250181"/>
    <w:rsid w:val="00250473"/>
    <w:rsid w:val="002504CB"/>
    <w:rsid w:val="002506E8"/>
    <w:rsid w:val="00250759"/>
    <w:rsid w:val="00250AC3"/>
    <w:rsid w:val="00250AC7"/>
    <w:rsid w:val="00250B24"/>
    <w:rsid w:val="00250B25"/>
    <w:rsid w:val="00250B55"/>
    <w:rsid w:val="00250E7C"/>
    <w:rsid w:val="00251018"/>
    <w:rsid w:val="002511C2"/>
    <w:rsid w:val="00251364"/>
    <w:rsid w:val="0025157A"/>
    <w:rsid w:val="00251622"/>
    <w:rsid w:val="002516B3"/>
    <w:rsid w:val="0025170F"/>
    <w:rsid w:val="002517EB"/>
    <w:rsid w:val="00251A46"/>
    <w:rsid w:val="00251B6C"/>
    <w:rsid w:val="00251BD2"/>
    <w:rsid w:val="00251C64"/>
    <w:rsid w:val="00251D68"/>
    <w:rsid w:val="00251D99"/>
    <w:rsid w:val="00251DB6"/>
    <w:rsid w:val="00251EF6"/>
    <w:rsid w:val="00251F16"/>
    <w:rsid w:val="00251F36"/>
    <w:rsid w:val="002521A1"/>
    <w:rsid w:val="002522B2"/>
    <w:rsid w:val="00252365"/>
    <w:rsid w:val="00252631"/>
    <w:rsid w:val="002526C0"/>
    <w:rsid w:val="00252751"/>
    <w:rsid w:val="0025285B"/>
    <w:rsid w:val="002528E2"/>
    <w:rsid w:val="0025297C"/>
    <w:rsid w:val="002529B6"/>
    <w:rsid w:val="00252A2B"/>
    <w:rsid w:val="00252CB9"/>
    <w:rsid w:val="00252DA5"/>
    <w:rsid w:val="00252DEE"/>
    <w:rsid w:val="00252FA9"/>
    <w:rsid w:val="00253059"/>
    <w:rsid w:val="002530FA"/>
    <w:rsid w:val="00253320"/>
    <w:rsid w:val="00253332"/>
    <w:rsid w:val="00253455"/>
    <w:rsid w:val="0025348A"/>
    <w:rsid w:val="00253573"/>
    <w:rsid w:val="002535D6"/>
    <w:rsid w:val="002536A9"/>
    <w:rsid w:val="002536D3"/>
    <w:rsid w:val="00253776"/>
    <w:rsid w:val="0025386F"/>
    <w:rsid w:val="002539EE"/>
    <w:rsid w:val="00253CF0"/>
    <w:rsid w:val="00254033"/>
    <w:rsid w:val="00254070"/>
    <w:rsid w:val="0025407C"/>
    <w:rsid w:val="00254285"/>
    <w:rsid w:val="002543E7"/>
    <w:rsid w:val="00254458"/>
    <w:rsid w:val="0025450E"/>
    <w:rsid w:val="002545E4"/>
    <w:rsid w:val="002546A8"/>
    <w:rsid w:val="0025472A"/>
    <w:rsid w:val="00254882"/>
    <w:rsid w:val="00254DC3"/>
    <w:rsid w:val="0025520C"/>
    <w:rsid w:val="00255214"/>
    <w:rsid w:val="002552ED"/>
    <w:rsid w:val="00255417"/>
    <w:rsid w:val="00255598"/>
    <w:rsid w:val="00255621"/>
    <w:rsid w:val="00255708"/>
    <w:rsid w:val="00255782"/>
    <w:rsid w:val="002558B3"/>
    <w:rsid w:val="002559B7"/>
    <w:rsid w:val="00255A2C"/>
    <w:rsid w:val="00255D76"/>
    <w:rsid w:val="00255F31"/>
    <w:rsid w:val="00256066"/>
    <w:rsid w:val="002562B4"/>
    <w:rsid w:val="002562C9"/>
    <w:rsid w:val="002564BC"/>
    <w:rsid w:val="002565E4"/>
    <w:rsid w:val="00256870"/>
    <w:rsid w:val="00256D41"/>
    <w:rsid w:val="00256DDF"/>
    <w:rsid w:val="00256EA6"/>
    <w:rsid w:val="00256FF6"/>
    <w:rsid w:val="0025713F"/>
    <w:rsid w:val="002575F0"/>
    <w:rsid w:val="0025781D"/>
    <w:rsid w:val="00257989"/>
    <w:rsid w:val="00257AA0"/>
    <w:rsid w:val="00257B4A"/>
    <w:rsid w:val="00257D36"/>
    <w:rsid w:val="00257D45"/>
    <w:rsid w:val="00257E94"/>
    <w:rsid w:val="00257FA0"/>
    <w:rsid w:val="00260086"/>
    <w:rsid w:val="00260266"/>
    <w:rsid w:val="00260403"/>
    <w:rsid w:val="00260517"/>
    <w:rsid w:val="00260565"/>
    <w:rsid w:val="0026061F"/>
    <w:rsid w:val="0026096E"/>
    <w:rsid w:val="00260983"/>
    <w:rsid w:val="00260AF3"/>
    <w:rsid w:val="00260BA5"/>
    <w:rsid w:val="00260BD0"/>
    <w:rsid w:val="00260C44"/>
    <w:rsid w:val="00260D5F"/>
    <w:rsid w:val="0026125B"/>
    <w:rsid w:val="00261352"/>
    <w:rsid w:val="00261A13"/>
    <w:rsid w:val="00261A7F"/>
    <w:rsid w:val="00261BC1"/>
    <w:rsid w:val="00261C27"/>
    <w:rsid w:val="00261C60"/>
    <w:rsid w:val="00261C6C"/>
    <w:rsid w:val="00261EE9"/>
    <w:rsid w:val="00261F9E"/>
    <w:rsid w:val="00261FBB"/>
    <w:rsid w:val="00262058"/>
    <w:rsid w:val="002623E6"/>
    <w:rsid w:val="00262C3B"/>
    <w:rsid w:val="00262E57"/>
    <w:rsid w:val="00262F92"/>
    <w:rsid w:val="00262FED"/>
    <w:rsid w:val="00262FF8"/>
    <w:rsid w:val="00263254"/>
    <w:rsid w:val="00263525"/>
    <w:rsid w:val="00263709"/>
    <w:rsid w:val="0026391D"/>
    <w:rsid w:val="00263AC0"/>
    <w:rsid w:val="00263B6D"/>
    <w:rsid w:val="00263BAB"/>
    <w:rsid w:val="00263C53"/>
    <w:rsid w:val="00263CBB"/>
    <w:rsid w:val="00263CD1"/>
    <w:rsid w:val="00263E40"/>
    <w:rsid w:val="00263FEE"/>
    <w:rsid w:val="00264059"/>
    <w:rsid w:val="00264378"/>
    <w:rsid w:val="00264496"/>
    <w:rsid w:val="002644B3"/>
    <w:rsid w:val="00264738"/>
    <w:rsid w:val="00264792"/>
    <w:rsid w:val="00264B80"/>
    <w:rsid w:val="00265161"/>
    <w:rsid w:val="0026533F"/>
    <w:rsid w:val="002653F7"/>
    <w:rsid w:val="002655B5"/>
    <w:rsid w:val="0026565A"/>
    <w:rsid w:val="002656D1"/>
    <w:rsid w:val="00265809"/>
    <w:rsid w:val="00265935"/>
    <w:rsid w:val="00265938"/>
    <w:rsid w:val="00265B2C"/>
    <w:rsid w:val="00265B72"/>
    <w:rsid w:val="00265C7F"/>
    <w:rsid w:val="00265F44"/>
    <w:rsid w:val="002660F9"/>
    <w:rsid w:val="0026625B"/>
    <w:rsid w:val="00266365"/>
    <w:rsid w:val="0026636A"/>
    <w:rsid w:val="00266541"/>
    <w:rsid w:val="0026654C"/>
    <w:rsid w:val="0026659A"/>
    <w:rsid w:val="002665A7"/>
    <w:rsid w:val="002665F0"/>
    <w:rsid w:val="002667BB"/>
    <w:rsid w:val="002667D6"/>
    <w:rsid w:val="00266BA1"/>
    <w:rsid w:val="00266BD2"/>
    <w:rsid w:val="00266C11"/>
    <w:rsid w:val="00266D27"/>
    <w:rsid w:val="00267113"/>
    <w:rsid w:val="0026727A"/>
    <w:rsid w:val="00267328"/>
    <w:rsid w:val="002673A8"/>
    <w:rsid w:val="002675A6"/>
    <w:rsid w:val="00267B2A"/>
    <w:rsid w:val="00267B3C"/>
    <w:rsid w:val="00267C10"/>
    <w:rsid w:val="00267DB9"/>
    <w:rsid w:val="0027008E"/>
    <w:rsid w:val="00270334"/>
    <w:rsid w:val="00270371"/>
    <w:rsid w:val="002705D5"/>
    <w:rsid w:val="002705F5"/>
    <w:rsid w:val="002706B1"/>
    <w:rsid w:val="002708ED"/>
    <w:rsid w:val="00270957"/>
    <w:rsid w:val="00270973"/>
    <w:rsid w:val="002709EB"/>
    <w:rsid w:val="00270B58"/>
    <w:rsid w:val="00270DAA"/>
    <w:rsid w:val="00270DDE"/>
    <w:rsid w:val="00270E27"/>
    <w:rsid w:val="00270FB9"/>
    <w:rsid w:val="00271023"/>
    <w:rsid w:val="002711A5"/>
    <w:rsid w:val="0027122D"/>
    <w:rsid w:val="00271311"/>
    <w:rsid w:val="002713AE"/>
    <w:rsid w:val="00271581"/>
    <w:rsid w:val="002715F0"/>
    <w:rsid w:val="0027162D"/>
    <w:rsid w:val="0027165B"/>
    <w:rsid w:val="002716E6"/>
    <w:rsid w:val="00271704"/>
    <w:rsid w:val="002719F4"/>
    <w:rsid w:val="00271B91"/>
    <w:rsid w:val="00271CDF"/>
    <w:rsid w:val="00271EC7"/>
    <w:rsid w:val="00271F35"/>
    <w:rsid w:val="00272049"/>
    <w:rsid w:val="00272369"/>
    <w:rsid w:val="002725EE"/>
    <w:rsid w:val="00272708"/>
    <w:rsid w:val="00272843"/>
    <w:rsid w:val="002729EC"/>
    <w:rsid w:val="00272B5C"/>
    <w:rsid w:val="00272F89"/>
    <w:rsid w:val="002733BF"/>
    <w:rsid w:val="00273AA0"/>
    <w:rsid w:val="00273B4F"/>
    <w:rsid w:val="00273C7F"/>
    <w:rsid w:val="00274011"/>
    <w:rsid w:val="00274367"/>
    <w:rsid w:val="00274442"/>
    <w:rsid w:val="00274743"/>
    <w:rsid w:val="00274886"/>
    <w:rsid w:val="00274887"/>
    <w:rsid w:val="00274963"/>
    <w:rsid w:val="00274A91"/>
    <w:rsid w:val="00274C29"/>
    <w:rsid w:val="0027507C"/>
    <w:rsid w:val="002751DF"/>
    <w:rsid w:val="002753D1"/>
    <w:rsid w:val="0027543F"/>
    <w:rsid w:val="00275510"/>
    <w:rsid w:val="0027578D"/>
    <w:rsid w:val="00275A94"/>
    <w:rsid w:val="00275AD3"/>
    <w:rsid w:val="00275AF6"/>
    <w:rsid w:val="00275E61"/>
    <w:rsid w:val="0027629A"/>
    <w:rsid w:val="00276420"/>
    <w:rsid w:val="00276430"/>
    <w:rsid w:val="00276444"/>
    <w:rsid w:val="0027674B"/>
    <w:rsid w:val="002768EF"/>
    <w:rsid w:val="00276940"/>
    <w:rsid w:val="00276988"/>
    <w:rsid w:val="00276A74"/>
    <w:rsid w:val="00276C9A"/>
    <w:rsid w:val="00276D76"/>
    <w:rsid w:val="00276F98"/>
    <w:rsid w:val="0027706C"/>
    <w:rsid w:val="00277453"/>
    <w:rsid w:val="002774DA"/>
    <w:rsid w:val="00277539"/>
    <w:rsid w:val="0027754B"/>
    <w:rsid w:val="002775AA"/>
    <w:rsid w:val="002775C4"/>
    <w:rsid w:val="00277900"/>
    <w:rsid w:val="00277A13"/>
    <w:rsid w:val="00277AB0"/>
    <w:rsid w:val="00277B84"/>
    <w:rsid w:val="00277E34"/>
    <w:rsid w:val="00277FBB"/>
    <w:rsid w:val="0028006C"/>
    <w:rsid w:val="00280214"/>
    <w:rsid w:val="00280790"/>
    <w:rsid w:val="00280822"/>
    <w:rsid w:val="00280A14"/>
    <w:rsid w:val="00280A64"/>
    <w:rsid w:val="00280B7E"/>
    <w:rsid w:val="00280C10"/>
    <w:rsid w:val="00280C93"/>
    <w:rsid w:val="00280CAC"/>
    <w:rsid w:val="00280D33"/>
    <w:rsid w:val="00280D3C"/>
    <w:rsid w:val="002811DE"/>
    <w:rsid w:val="00281323"/>
    <w:rsid w:val="00281442"/>
    <w:rsid w:val="002814AF"/>
    <w:rsid w:val="00281769"/>
    <w:rsid w:val="0028176A"/>
    <w:rsid w:val="002817CE"/>
    <w:rsid w:val="002817FC"/>
    <w:rsid w:val="002818D2"/>
    <w:rsid w:val="002818DF"/>
    <w:rsid w:val="0028199D"/>
    <w:rsid w:val="00281CA3"/>
    <w:rsid w:val="00281DF8"/>
    <w:rsid w:val="00282095"/>
    <w:rsid w:val="00282287"/>
    <w:rsid w:val="00282401"/>
    <w:rsid w:val="0028280A"/>
    <w:rsid w:val="002828D1"/>
    <w:rsid w:val="002829D1"/>
    <w:rsid w:val="00282AA5"/>
    <w:rsid w:val="00282BC7"/>
    <w:rsid w:val="00282C47"/>
    <w:rsid w:val="00283623"/>
    <w:rsid w:val="00283701"/>
    <w:rsid w:val="002837A2"/>
    <w:rsid w:val="00283AA6"/>
    <w:rsid w:val="00283B15"/>
    <w:rsid w:val="00283D06"/>
    <w:rsid w:val="00283D37"/>
    <w:rsid w:val="00283D61"/>
    <w:rsid w:val="00283E6F"/>
    <w:rsid w:val="00283E7B"/>
    <w:rsid w:val="00284032"/>
    <w:rsid w:val="002841E5"/>
    <w:rsid w:val="00284219"/>
    <w:rsid w:val="0028432C"/>
    <w:rsid w:val="00284534"/>
    <w:rsid w:val="00284675"/>
    <w:rsid w:val="00284905"/>
    <w:rsid w:val="002849A3"/>
    <w:rsid w:val="00284A7F"/>
    <w:rsid w:val="00284AC1"/>
    <w:rsid w:val="00284BFB"/>
    <w:rsid w:val="00284D6A"/>
    <w:rsid w:val="00284DE0"/>
    <w:rsid w:val="00284E46"/>
    <w:rsid w:val="00285106"/>
    <w:rsid w:val="00285183"/>
    <w:rsid w:val="0028543D"/>
    <w:rsid w:val="002856A0"/>
    <w:rsid w:val="002857E2"/>
    <w:rsid w:val="002858F3"/>
    <w:rsid w:val="00285B31"/>
    <w:rsid w:val="00285D9B"/>
    <w:rsid w:val="00285E6A"/>
    <w:rsid w:val="00285F8B"/>
    <w:rsid w:val="00285F99"/>
    <w:rsid w:val="00286304"/>
    <w:rsid w:val="00286963"/>
    <w:rsid w:val="00286A12"/>
    <w:rsid w:val="00286A3B"/>
    <w:rsid w:val="00286A98"/>
    <w:rsid w:val="00286B44"/>
    <w:rsid w:val="00286C74"/>
    <w:rsid w:val="00286F0F"/>
    <w:rsid w:val="00287056"/>
    <w:rsid w:val="002870A9"/>
    <w:rsid w:val="002871EB"/>
    <w:rsid w:val="0028722C"/>
    <w:rsid w:val="0028725F"/>
    <w:rsid w:val="002872FD"/>
    <w:rsid w:val="002873F4"/>
    <w:rsid w:val="00287463"/>
    <w:rsid w:val="002874DA"/>
    <w:rsid w:val="002875F0"/>
    <w:rsid w:val="00287792"/>
    <w:rsid w:val="002877EA"/>
    <w:rsid w:val="00287976"/>
    <w:rsid w:val="00287A2D"/>
    <w:rsid w:val="00287A2E"/>
    <w:rsid w:val="00287BF1"/>
    <w:rsid w:val="00287C6D"/>
    <w:rsid w:val="00287D42"/>
    <w:rsid w:val="00287EC6"/>
    <w:rsid w:val="00287F45"/>
    <w:rsid w:val="00287F89"/>
    <w:rsid w:val="00290317"/>
    <w:rsid w:val="00290419"/>
    <w:rsid w:val="002904A9"/>
    <w:rsid w:val="0029064A"/>
    <w:rsid w:val="002906FD"/>
    <w:rsid w:val="00290A31"/>
    <w:rsid w:val="00290A91"/>
    <w:rsid w:val="00290ABD"/>
    <w:rsid w:val="00290B90"/>
    <w:rsid w:val="00290C63"/>
    <w:rsid w:val="00290C80"/>
    <w:rsid w:val="00290D12"/>
    <w:rsid w:val="00291033"/>
    <w:rsid w:val="002912BB"/>
    <w:rsid w:val="002912FF"/>
    <w:rsid w:val="00291356"/>
    <w:rsid w:val="00291361"/>
    <w:rsid w:val="0029147D"/>
    <w:rsid w:val="002914E1"/>
    <w:rsid w:val="0029167D"/>
    <w:rsid w:val="0029170D"/>
    <w:rsid w:val="00291788"/>
    <w:rsid w:val="00291C88"/>
    <w:rsid w:val="00291DFC"/>
    <w:rsid w:val="00292097"/>
    <w:rsid w:val="00292107"/>
    <w:rsid w:val="0029210A"/>
    <w:rsid w:val="00292171"/>
    <w:rsid w:val="00292211"/>
    <w:rsid w:val="002923E9"/>
    <w:rsid w:val="00292725"/>
    <w:rsid w:val="002927DB"/>
    <w:rsid w:val="0029288F"/>
    <w:rsid w:val="002928D3"/>
    <w:rsid w:val="00292A75"/>
    <w:rsid w:val="00292AC2"/>
    <w:rsid w:val="00292CEF"/>
    <w:rsid w:val="00292DAB"/>
    <w:rsid w:val="00293262"/>
    <w:rsid w:val="002933AE"/>
    <w:rsid w:val="002933E4"/>
    <w:rsid w:val="002934E6"/>
    <w:rsid w:val="00293608"/>
    <w:rsid w:val="00293614"/>
    <w:rsid w:val="002938A8"/>
    <w:rsid w:val="00293A63"/>
    <w:rsid w:val="00293ABC"/>
    <w:rsid w:val="00293CCB"/>
    <w:rsid w:val="00293E05"/>
    <w:rsid w:val="00293E2D"/>
    <w:rsid w:val="00293E79"/>
    <w:rsid w:val="0029428B"/>
    <w:rsid w:val="002942FA"/>
    <w:rsid w:val="00294AE4"/>
    <w:rsid w:val="00294E1B"/>
    <w:rsid w:val="00294E54"/>
    <w:rsid w:val="00294F3D"/>
    <w:rsid w:val="00294FC5"/>
    <w:rsid w:val="00295116"/>
    <w:rsid w:val="00295147"/>
    <w:rsid w:val="00295333"/>
    <w:rsid w:val="002955BA"/>
    <w:rsid w:val="002956CA"/>
    <w:rsid w:val="0029573E"/>
    <w:rsid w:val="002957B4"/>
    <w:rsid w:val="002958FE"/>
    <w:rsid w:val="00295A42"/>
    <w:rsid w:val="00295AAE"/>
    <w:rsid w:val="00295AEF"/>
    <w:rsid w:val="00295DEC"/>
    <w:rsid w:val="00295DFD"/>
    <w:rsid w:val="00295F04"/>
    <w:rsid w:val="0029616A"/>
    <w:rsid w:val="0029620D"/>
    <w:rsid w:val="002962C3"/>
    <w:rsid w:val="00296321"/>
    <w:rsid w:val="00296332"/>
    <w:rsid w:val="00296425"/>
    <w:rsid w:val="002964F4"/>
    <w:rsid w:val="002966B3"/>
    <w:rsid w:val="00296998"/>
    <w:rsid w:val="00296C85"/>
    <w:rsid w:val="00296CA1"/>
    <w:rsid w:val="00296D43"/>
    <w:rsid w:val="00297456"/>
    <w:rsid w:val="002974E6"/>
    <w:rsid w:val="0029765A"/>
    <w:rsid w:val="00297700"/>
    <w:rsid w:val="00297740"/>
    <w:rsid w:val="00297835"/>
    <w:rsid w:val="00297898"/>
    <w:rsid w:val="002978E5"/>
    <w:rsid w:val="00297983"/>
    <w:rsid w:val="00297B80"/>
    <w:rsid w:val="00297C9D"/>
    <w:rsid w:val="00297CFF"/>
    <w:rsid w:val="00297D08"/>
    <w:rsid w:val="00297F35"/>
    <w:rsid w:val="002A0089"/>
    <w:rsid w:val="002A0142"/>
    <w:rsid w:val="002A02FF"/>
    <w:rsid w:val="002A0391"/>
    <w:rsid w:val="002A0436"/>
    <w:rsid w:val="002A045B"/>
    <w:rsid w:val="002A05A0"/>
    <w:rsid w:val="002A066C"/>
    <w:rsid w:val="002A0873"/>
    <w:rsid w:val="002A08EB"/>
    <w:rsid w:val="002A0B4A"/>
    <w:rsid w:val="002A0CF4"/>
    <w:rsid w:val="002A0D84"/>
    <w:rsid w:val="002A0F46"/>
    <w:rsid w:val="002A10BE"/>
    <w:rsid w:val="002A12C3"/>
    <w:rsid w:val="002A13A0"/>
    <w:rsid w:val="002A144F"/>
    <w:rsid w:val="002A174F"/>
    <w:rsid w:val="002A1898"/>
    <w:rsid w:val="002A194C"/>
    <w:rsid w:val="002A1A71"/>
    <w:rsid w:val="002A1AEC"/>
    <w:rsid w:val="002A1B02"/>
    <w:rsid w:val="002A1B20"/>
    <w:rsid w:val="002A1C45"/>
    <w:rsid w:val="002A1C61"/>
    <w:rsid w:val="002A1C84"/>
    <w:rsid w:val="002A1CEB"/>
    <w:rsid w:val="002A1DA4"/>
    <w:rsid w:val="002A1F18"/>
    <w:rsid w:val="002A22A0"/>
    <w:rsid w:val="002A2327"/>
    <w:rsid w:val="002A2579"/>
    <w:rsid w:val="002A2665"/>
    <w:rsid w:val="002A2B1C"/>
    <w:rsid w:val="002A2C51"/>
    <w:rsid w:val="002A2C5A"/>
    <w:rsid w:val="002A2C7E"/>
    <w:rsid w:val="002A3140"/>
    <w:rsid w:val="002A31B3"/>
    <w:rsid w:val="002A33BB"/>
    <w:rsid w:val="002A34C1"/>
    <w:rsid w:val="002A3659"/>
    <w:rsid w:val="002A3673"/>
    <w:rsid w:val="002A37FD"/>
    <w:rsid w:val="002A396B"/>
    <w:rsid w:val="002A3A33"/>
    <w:rsid w:val="002A3AA3"/>
    <w:rsid w:val="002A3FC8"/>
    <w:rsid w:val="002A427E"/>
    <w:rsid w:val="002A432B"/>
    <w:rsid w:val="002A4355"/>
    <w:rsid w:val="002A4452"/>
    <w:rsid w:val="002A4797"/>
    <w:rsid w:val="002A4799"/>
    <w:rsid w:val="002A487A"/>
    <w:rsid w:val="002A494B"/>
    <w:rsid w:val="002A4A82"/>
    <w:rsid w:val="002A4E5F"/>
    <w:rsid w:val="002A4E68"/>
    <w:rsid w:val="002A4FE0"/>
    <w:rsid w:val="002A51E3"/>
    <w:rsid w:val="002A547F"/>
    <w:rsid w:val="002A58FB"/>
    <w:rsid w:val="002A5A74"/>
    <w:rsid w:val="002A5AB8"/>
    <w:rsid w:val="002A5B9B"/>
    <w:rsid w:val="002A5BA6"/>
    <w:rsid w:val="002A5C43"/>
    <w:rsid w:val="002A5D5D"/>
    <w:rsid w:val="002A5E6F"/>
    <w:rsid w:val="002A5F7B"/>
    <w:rsid w:val="002A6091"/>
    <w:rsid w:val="002A6214"/>
    <w:rsid w:val="002A628D"/>
    <w:rsid w:val="002A635D"/>
    <w:rsid w:val="002A638F"/>
    <w:rsid w:val="002A63FB"/>
    <w:rsid w:val="002A643B"/>
    <w:rsid w:val="002A6521"/>
    <w:rsid w:val="002A6658"/>
    <w:rsid w:val="002A68C3"/>
    <w:rsid w:val="002A6A33"/>
    <w:rsid w:val="002A6A44"/>
    <w:rsid w:val="002A6C7B"/>
    <w:rsid w:val="002A6FAF"/>
    <w:rsid w:val="002A705F"/>
    <w:rsid w:val="002A729B"/>
    <w:rsid w:val="002A729E"/>
    <w:rsid w:val="002A7574"/>
    <w:rsid w:val="002A77A1"/>
    <w:rsid w:val="002A78DF"/>
    <w:rsid w:val="002A7960"/>
    <w:rsid w:val="002A79C2"/>
    <w:rsid w:val="002A7B06"/>
    <w:rsid w:val="002A7D29"/>
    <w:rsid w:val="002A7E10"/>
    <w:rsid w:val="002A7FB5"/>
    <w:rsid w:val="002B01E7"/>
    <w:rsid w:val="002B0236"/>
    <w:rsid w:val="002B0445"/>
    <w:rsid w:val="002B05B3"/>
    <w:rsid w:val="002B062D"/>
    <w:rsid w:val="002B089D"/>
    <w:rsid w:val="002B099A"/>
    <w:rsid w:val="002B0A15"/>
    <w:rsid w:val="002B0AA5"/>
    <w:rsid w:val="002B0C00"/>
    <w:rsid w:val="002B0C4C"/>
    <w:rsid w:val="002B0CD6"/>
    <w:rsid w:val="002B0F47"/>
    <w:rsid w:val="002B10C7"/>
    <w:rsid w:val="002B10E0"/>
    <w:rsid w:val="002B117F"/>
    <w:rsid w:val="002B1301"/>
    <w:rsid w:val="002B1303"/>
    <w:rsid w:val="002B133C"/>
    <w:rsid w:val="002B13CD"/>
    <w:rsid w:val="002B13D0"/>
    <w:rsid w:val="002B1666"/>
    <w:rsid w:val="002B1715"/>
    <w:rsid w:val="002B18E2"/>
    <w:rsid w:val="002B196C"/>
    <w:rsid w:val="002B1973"/>
    <w:rsid w:val="002B19B7"/>
    <w:rsid w:val="002B19FF"/>
    <w:rsid w:val="002B1BEA"/>
    <w:rsid w:val="002B1C4E"/>
    <w:rsid w:val="002B1C57"/>
    <w:rsid w:val="002B1DD8"/>
    <w:rsid w:val="002B1EBE"/>
    <w:rsid w:val="002B1F63"/>
    <w:rsid w:val="002B1FE7"/>
    <w:rsid w:val="002B23AD"/>
    <w:rsid w:val="002B23EF"/>
    <w:rsid w:val="002B262D"/>
    <w:rsid w:val="002B296D"/>
    <w:rsid w:val="002B2EE8"/>
    <w:rsid w:val="002B2FF4"/>
    <w:rsid w:val="002B2FFC"/>
    <w:rsid w:val="002B3005"/>
    <w:rsid w:val="002B300E"/>
    <w:rsid w:val="002B31AA"/>
    <w:rsid w:val="002B350B"/>
    <w:rsid w:val="002B35F2"/>
    <w:rsid w:val="002B3633"/>
    <w:rsid w:val="002B39DB"/>
    <w:rsid w:val="002B3B6D"/>
    <w:rsid w:val="002B3D6A"/>
    <w:rsid w:val="002B3E60"/>
    <w:rsid w:val="002B3FCD"/>
    <w:rsid w:val="002B4143"/>
    <w:rsid w:val="002B43B4"/>
    <w:rsid w:val="002B4472"/>
    <w:rsid w:val="002B4699"/>
    <w:rsid w:val="002B46AE"/>
    <w:rsid w:val="002B47D1"/>
    <w:rsid w:val="002B485C"/>
    <w:rsid w:val="002B4916"/>
    <w:rsid w:val="002B4AE5"/>
    <w:rsid w:val="002B4BE7"/>
    <w:rsid w:val="002B4CA2"/>
    <w:rsid w:val="002B4CD9"/>
    <w:rsid w:val="002B4D97"/>
    <w:rsid w:val="002B4E59"/>
    <w:rsid w:val="002B4F87"/>
    <w:rsid w:val="002B51BE"/>
    <w:rsid w:val="002B521B"/>
    <w:rsid w:val="002B52EA"/>
    <w:rsid w:val="002B5509"/>
    <w:rsid w:val="002B553F"/>
    <w:rsid w:val="002B569F"/>
    <w:rsid w:val="002B56CA"/>
    <w:rsid w:val="002B5898"/>
    <w:rsid w:val="002B5BCB"/>
    <w:rsid w:val="002B5BEA"/>
    <w:rsid w:val="002B5CAC"/>
    <w:rsid w:val="002B60CA"/>
    <w:rsid w:val="002B6125"/>
    <w:rsid w:val="002B612D"/>
    <w:rsid w:val="002B613D"/>
    <w:rsid w:val="002B63D9"/>
    <w:rsid w:val="002B65A4"/>
    <w:rsid w:val="002B6672"/>
    <w:rsid w:val="002B69A7"/>
    <w:rsid w:val="002B6A73"/>
    <w:rsid w:val="002B6C5A"/>
    <w:rsid w:val="002B6D78"/>
    <w:rsid w:val="002B705A"/>
    <w:rsid w:val="002B7349"/>
    <w:rsid w:val="002B7581"/>
    <w:rsid w:val="002B76D3"/>
    <w:rsid w:val="002B7AA5"/>
    <w:rsid w:val="002B7C18"/>
    <w:rsid w:val="002B7EEE"/>
    <w:rsid w:val="002C0152"/>
    <w:rsid w:val="002C0220"/>
    <w:rsid w:val="002C0263"/>
    <w:rsid w:val="002C02F4"/>
    <w:rsid w:val="002C0683"/>
    <w:rsid w:val="002C0698"/>
    <w:rsid w:val="002C06C0"/>
    <w:rsid w:val="002C071A"/>
    <w:rsid w:val="002C0790"/>
    <w:rsid w:val="002C07E3"/>
    <w:rsid w:val="002C07F1"/>
    <w:rsid w:val="002C0BAA"/>
    <w:rsid w:val="002C0C46"/>
    <w:rsid w:val="002C0D41"/>
    <w:rsid w:val="002C1019"/>
    <w:rsid w:val="002C111A"/>
    <w:rsid w:val="002C11E1"/>
    <w:rsid w:val="002C1203"/>
    <w:rsid w:val="002C144F"/>
    <w:rsid w:val="002C1858"/>
    <w:rsid w:val="002C1890"/>
    <w:rsid w:val="002C1AAB"/>
    <w:rsid w:val="002C1C19"/>
    <w:rsid w:val="002C1DAD"/>
    <w:rsid w:val="002C1E32"/>
    <w:rsid w:val="002C1F91"/>
    <w:rsid w:val="002C1FA8"/>
    <w:rsid w:val="002C20C9"/>
    <w:rsid w:val="002C21A6"/>
    <w:rsid w:val="002C23DB"/>
    <w:rsid w:val="002C23DE"/>
    <w:rsid w:val="002C24DC"/>
    <w:rsid w:val="002C270B"/>
    <w:rsid w:val="002C27B4"/>
    <w:rsid w:val="002C28F4"/>
    <w:rsid w:val="002C29A4"/>
    <w:rsid w:val="002C2A37"/>
    <w:rsid w:val="002C2B75"/>
    <w:rsid w:val="002C2C98"/>
    <w:rsid w:val="002C2DC8"/>
    <w:rsid w:val="002C2F6D"/>
    <w:rsid w:val="002C2F9B"/>
    <w:rsid w:val="002C304B"/>
    <w:rsid w:val="002C318A"/>
    <w:rsid w:val="002C33C0"/>
    <w:rsid w:val="002C35A7"/>
    <w:rsid w:val="002C363C"/>
    <w:rsid w:val="002C36BE"/>
    <w:rsid w:val="002C37D9"/>
    <w:rsid w:val="002C3BD6"/>
    <w:rsid w:val="002C4350"/>
    <w:rsid w:val="002C45A9"/>
    <w:rsid w:val="002C45C9"/>
    <w:rsid w:val="002C45EE"/>
    <w:rsid w:val="002C46AA"/>
    <w:rsid w:val="002C48A9"/>
    <w:rsid w:val="002C48E5"/>
    <w:rsid w:val="002C4A62"/>
    <w:rsid w:val="002C4E2D"/>
    <w:rsid w:val="002C4E9F"/>
    <w:rsid w:val="002C51ED"/>
    <w:rsid w:val="002C5758"/>
    <w:rsid w:val="002C57E5"/>
    <w:rsid w:val="002C58B7"/>
    <w:rsid w:val="002C5964"/>
    <w:rsid w:val="002C5A47"/>
    <w:rsid w:val="002C5BFA"/>
    <w:rsid w:val="002C5D68"/>
    <w:rsid w:val="002C5DEB"/>
    <w:rsid w:val="002C5F51"/>
    <w:rsid w:val="002C60FA"/>
    <w:rsid w:val="002C64A3"/>
    <w:rsid w:val="002C6535"/>
    <w:rsid w:val="002C65E2"/>
    <w:rsid w:val="002C6634"/>
    <w:rsid w:val="002C665E"/>
    <w:rsid w:val="002C66D4"/>
    <w:rsid w:val="002C6767"/>
    <w:rsid w:val="002C68FC"/>
    <w:rsid w:val="002C6B3B"/>
    <w:rsid w:val="002C6D33"/>
    <w:rsid w:val="002C6DB0"/>
    <w:rsid w:val="002C6DC0"/>
    <w:rsid w:val="002C723D"/>
    <w:rsid w:val="002C7441"/>
    <w:rsid w:val="002C74C6"/>
    <w:rsid w:val="002C7704"/>
    <w:rsid w:val="002C77FE"/>
    <w:rsid w:val="002C7853"/>
    <w:rsid w:val="002C7918"/>
    <w:rsid w:val="002C796F"/>
    <w:rsid w:val="002C7F13"/>
    <w:rsid w:val="002D00A0"/>
    <w:rsid w:val="002D0248"/>
    <w:rsid w:val="002D026A"/>
    <w:rsid w:val="002D0663"/>
    <w:rsid w:val="002D0796"/>
    <w:rsid w:val="002D0953"/>
    <w:rsid w:val="002D0C7F"/>
    <w:rsid w:val="002D0C9F"/>
    <w:rsid w:val="002D0D99"/>
    <w:rsid w:val="002D0F8C"/>
    <w:rsid w:val="002D1054"/>
    <w:rsid w:val="002D109B"/>
    <w:rsid w:val="002D111C"/>
    <w:rsid w:val="002D1528"/>
    <w:rsid w:val="002D1546"/>
    <w:rsid w:val="002D1685"/>
    <w:rsid w:val="002D1690"/>
    <w:rsid w:val="002D172E"/>
    <w:rsid w:val="002D18F4"/>
    <w:rsid w:val="002D1AF8"/>
    <w:rsid w:val="002D1C6A"/>
    <w:rsid w:val="002D1C9E"/>
    <w:rsid w:val="002D1CBC"/>
    <w:rsid w:val="002D1E7F"/>
    <w:rsid w:val="002D1F15"/>
    <w:rsid w:val="002D201E"/>
    <w:rsid w:val="002D206A"/>
    <w:rsid w:val="002D2095"/>
    <w:rsid w:val="002D229D"/>
    <w:rsid w:val="002D24F6"/>
    <w:rsid w:val="002D26DD"/>
    <w:rsid w:val="002D273C"/>
    <w:rsid w:val="002D2A01"/>
    <w:rsid w:val="002D2E19"/>
    <w:rsid w:val="002D2FCB"/>
    <w:rsid w:val="002D32F0"/>
    <w:rsid w:val="002D358E"/>
    <w:rsid w:val="002D36AB"/>
    <w:rsid w:val="002D374F"/>
    <w:rsid w:val="002D394E"/>
    <w:rsid w:val="002D3ADE"/>
    <w:rsid w:val="002D3D0D"/>
    <w:rsid w:val="002D3D50"/>
    <w:rsid w:val="002D3DD2"/>
    <w:rsid w:val="002D3E3F"/>
    <w:rsid w:val="002D3EC8"/>
    <w:rsid w:val="002D4195"/>
    <w:rsid w:val="002D4490"/>
    <w:rsid w:val="002D4676"/>
    <w:rsid w:val="002D49C6"/>
    <w:rsid w:val="002D4B7F"/>
    <w:rsid w:val="002D4BA1"/>
    <w:rsid w:val="002D4C2C"/>
    <w:rsid w:val="002D4D43"/>
    <w:rsid w:val="002D4DEA"/>
    <w:rsid w:val="002D4E41"/>
    <w:rsid w:val="002D50C9"/>
    <w:rsid w:val="002D5156"/>
    <w:rsid w:val="002D53A4"/>
    <w:rsid w:val="002D56BF"/>
    <w:rsid w:val="002D57A0"/>
    <w:rsid w:val="002D57DC"/>
    <w:rsid w:val="002D58E8"/>
    <w:rsid w:val="002D5D35"/>
    <w:rsid w:val="002D5D7C"/>
    <w:rsid w:val="002D5D86"/>
    <w:rsid w:val="002D5D94"/>
    <w:rsid w:val="002D612B"/>
    <w:rsid w:val="002D6141"/>
    <w:rsid w:val="002D61AB"/>
    <w:rsid w:val="002D6324"/>
    <w:rsid w:val="002D6423"/>
    <w:rsid w:val="002D6445"/>
    <w:rsid w:val="002D651A"/>
    <w:rsid w:val="002D65B3"/>
    <w:rsid w:val="002D660F"/>
    <w:rsid w:val="002D698C"/>
    <w:rsid w:val="002D6A06"/>
    <w:rsid w:val="002D6C3C"/>
    <w:rsid w:val="002D6C42"/>
    <w:rsid w:val="002D6E1B"/>
    <w:rsid w:val="002D7157"/>
    <w:rsid w:val="002D7392"/>
    <w:rsid w:val="002D75AE"/>
    <w:rsid w:val="002D76AE"/>
    <w:rsid w:val="002D773A"/>
    <w:rsid w:val="002D787E"/>
    <w:rsid w:val="002D790B"/>
    <w:rsid w:val="002D7AA7"/>
    <w:rsid w:val="002D7AA9"/>
    <w:rsid w:val="002D7AEA"/>
    <w:rsid w:val="002D7B97"/>
    <w:rsid w:val="002D7D6B"/>
    <w:rsid w:val="002D7E1A"/>
    <w:rsid w:val="002D7FBB"/>
    <w:rsid w:val="002D7FD0"/>
    <w:rsid w:val="002E00D9"/>
    <w:rsid w:val="002E015D"/>
    <w:rsid w:val="002E0273"/>
    <w:rsid w:val="002E02FF"/>
    <w:rsid w:val="002E0803"/>
    <w:rsid w:val="002E090C"/>
    <w:rsid w:val="002E0AD6"/>
    <w:rsid w:val="002E0C36"/>
    <w:rsid w:val="002E0C86"/>
    <w:rsid w:val="002E0E08"/>
    <w:rsid w:val="002E0FA7"/>
    <w:rsid w:val="002E1028"/>
    <w:rsid w:val="002E114B"/>
    <w:rsid w:val="002E11C8"/>
    <w:rsid w:val="002E12ED"/>
    <w:rsid w:val="002E1328"/>
    <w:rsid w:val="002E132C"/>
    <w:rsid w:val="002E164F"/>
    <w:rsid w:val="002E1746"/>
    <w:rsid w:val="002E180D"/>
    <w:rsid w:val="002E1892"/>
    <w:rsid w:val="002E1988"/>
    <w:rsid w:val="002E19EC"/>
    <w:rsid w:val="002E1A29"/>
    <w:rsid w:val="002E1C97"/>
    <w:rsid w:val="002E1D2D"/>
    <w:rsid w:val="002E1DB0"/>
    <w:rsid w:val="002E2110"/>
    <w:rsid w:val="002E2178"/>
    <w:rsid w:val="002E2190"/>
    <w:rsid w:val="002E21FA"/>
    <w:rsid w:val="002E2247"/>
    <w:rsid w:val="002E22D1"/>
    <w:rsid w:val="002E23AA"/>
    <w:rsid w:val="002E2606"/>
    <w:rsid w:val="002E266A"/>
    <w:rsid w:val="002E26CE"/>
    <w:rsid w:val="002E29F8"/>
    <w:rsid w:val="002E2AB4"/>
    <w:rsid w:val="002E2C66"/>
    <w:rsid w:val="002E2C7F"/>
    <w:rsid w:val="002E2E43"/>
    <w:rsid w:val="002E2F15"/>
    <w:rsid w:val="002E3138"/>
    <w:rsid w:val="002E31C3"/>
    <w:rsid w:val="002E32E5"/>
    <w:rsid w:val="002E346A"/>
    <w:rsid w:val="002E34D9"/>
    <w:rsid w:val="002E3A5E"/>
    <w:rsid w:val="002E3CFF"/>
    <w:rsid w:val="002E4110"/>
    <w:rsid w:val="002E41C8"/>
    <w:rsid w:val="002E42BE"/>
    <w:rsid w:val="002E43A1"/>
    <w:rsid w:val="002E43A2"/>
    <w:rsid w:val="002E4594"/>
    <w:rsid w:val="002E46A3"/>
    <w:rsid w:val="002E4753"/>
    <w:rsid w:val="002E4826"/>
    <w:rsid w:val="002E4940"/>
    <w:rsid w:val="002E499F"/>
    <w:rsid w:val="002E49F7"/>
    <w:rsid w:val="002E4A75"/>
    <w:rsid w:val="002E4B06"/>
    <w:rsid w:val="002E4CAF"/>
    <w:rsid w:val="002E4CD9"/>
    <w:rsid w:val="002E4DBC"/>
    <w:rsid w:val="002E4E36"/>
    <w:rsid w:val="002E4E8A"/>
    <w:rsid w:val="002E4EEB"/>
    <w:rsid w:val="002E5004"/>
    <w:rsid w:val="002E5260"/>
    <w:rsid w:val="002E53F9"/>
    <w:rsid w:val="002E5835"/>
    <w:rsid w:val="002E583E"/>
    <w:rsid w:val="002E5972"/>
    <w:rsid w:val="002E5ADA"/>
    <w:rsid w:val="002E5B24"/>
    <w:rsid w:val="002E5CB2"/>
    <w:rsid w:val="002E5CCE"/>
    <w:rsid w:val="002E5D0C"/>
    <w:rsid w:val="002E5E39"/>
    <w:rsid w:val="002E5FE6"/>
    <w:rsid w:val="002E600A"/>
    <w:rsid w:val="002E6228"/>
    <w:rsid w:val="002E6538"/>
    <w:rsid w:val="002E65EC"/>
    <w:rsid w:val="002E68DC"/>
    <w:rsid w:val="002E6ABE"/>
    <w:rsid w:val="002E6CD3"/>
    <w:rsid w:val="002E6D7B"/>
    <w:rsid w:val="002E6E2F"/>
    <w:rsid w:val="002E6E7A"/>
    <w:rsid w:val="002E7061"/>
    <w:rsid w:val="002E7455"/>
    <w:rsid w:val="002E748F"/>
    <w:rsid w:val="002E7623"/>
    <w:rsid w:val="002E79D4"/>
    <w:rsid w:val="002E7B39"/>
    <w:rsid w:val="002E7C04"/>
    <w:rsid w:val="002E7C70"/>
    <w:rsid w:val="002E7CCD"/>
    <w:rsid w:val="002E7DB3"/>
    <w:rsid w:val="002F00C9"/>
    <w:rsid w:val="002F0117"/>
    <w:rsid w:val="002F0168"/>
    <w:rsid w:val="002F01ED"/>
    <w:rsid w:val="002F020B"/>
    <w:rsid w:val="002F02C2"/>
    <w:rsid w:val="002F03D2"/>
    <w:rsid w:val="002F0577"/>
    <w:rsid w:val="002F0816"/>
    <w:rsid w:val="002F081A"/>
    <w:rsid w:val="002F0825"/>
    <w:rsid w:val="002F08B5"/>
    <w:rsid w:val="002F08DF"/>
    <w:rsid w:val="002F0909"/>
    <w:rsid w:val="002F0954"/>
    <w:rsid w:val="002F0A0B"/>
    <w:rsid w:val="002F0A2F"/>
    <w:rsid w:val="002F0AD1"/>
    <w:rsid w:val="002F0BF9"/>
    <w:rsid w:val="002F0CB2"/>
    <w:rsid w:val="002F0CDF"/>
    <w:rsid w:val="002F0FD7"/>
    <w:rsid w:val="002F0FFD"/>
    <w:rsid w:val="002F1121"/>
    <w:rsid w:val="002F1561"/>
    <w:rsid w:val="002F1645"/>
    <w:rsid w:val="002F1663"/>
    <w:rsid w:val="002F1791"/>
    <w:rsid w:val="002F1815"/>
    <w:rsid w:val="002F1859"/>
    <w:rsid w:val="002F1950"/>
    <w:rsid w:val="002F197D"/>
    <w:rsid w:val="002F1AA6"/>
    <w:rsid w:val="002F1AC9"/>
    <w:rsid w:val="002F1B8F"/>
    <w:rsid w:val="002F1C93"/>
    <w:rsid w:val="002F1CAD"/>
    <w:rsid w:val="002F1DB3"/>
    <w:rsid w:val="002F2012"/>
    <w:rsid w:val="002F245B"/>
    <w:rsid w:val="002F2555"/>
    <w:rsid w:val="002F2592"/>
    <w:rsid w:val="002F264F"/>
    <w:rsid w:val="002F2AD1"/>
    <w:rsid w:val="002F2BFB"/>
    <w:rsid w:val="002F2DB3"/>
    <w:rsid w:val="002F2E11"/>
    <w:rsid w:val="002F2E2B"/>
    <w:rsid w:val="002F2F3D"/>
    <w:rsid w:val="002F2FA9"/>
    <w:rsid w:val="002F300D"/>
    <w:rsid w:val="002F30D1"/>
    <w:rsid w:val="002F329D"/>
    <w:rsid w:val="002F3345"/>
    <w:rsid w:val="002F3348"/>
    <w:rsid w:val="002F34DA"/>
    <w:rsid w:val="002F3691"/>
    <w:rsid w:val="002F37E9"/>
    <w:rsid w:val="002F39EA"/>
    <w:rsid w:val="002F3D3E"/>
    <w:rsid w:val="002F3E6D"/>
    <w:rsid w:val="002F3F4F"/>
    <w:rsid w:val="002F435E"/>
    <w:rsid w:val="002F4459"/>
    <w:rsid w:val="002F45D3"/>
    <w:rsid w:val="002F45F5"/>
    <w:rsid w:val="002F4620"/>
    <w:rsid w:val="002F4647"/>
    <w:rsid w:val="002F47D2"/>
    <w:rsid w:val="002F4885"/>
    <w:rsid w:val="002F4A29"/>
    <w:rsid w:val="002F4A93"/>
    <w:rsid w:val="002F4B3D"/>
    <w:rsid w:val="002F4B78"/>
    <w:rsid w:val="002F4BF3"/>
    <w:rsid w:val="002F4CC8"/>
    <w:rsid w:val="002F4EC2"/>
    <w:rsid w:val="002F4F3A"/>
    <w:rsid w:val="002F5061"/>
    <w:rsid w:val="002F506D"/>
    <w:rsid w:val="002F5195"/>
    <w:rsid w:val="002F52A9"/>
    <w:rsid w:val="002F537F"/>
    <w:rsid w:val="002F53C4"/>
    <w:rsid w:val="002F53F8"/>
    <w:rsid w:val="002F5568"/>
    <w:rsid w:val="002F56C1"/>
    <w:rsid w:val="002F57CC"/>
    <w:rsid w:val="002F57ED"/>
    <w:rsid w:val="002F5837"/>
    <w:rsid w:val="002F590D"/>
    <w:rsid w:val="002F5A20"/>
    <w:rsid w:val="002F5C09"/>
    <w:rsid w:val="002F5D73"/>
    <w:rsid w:val="002F6506"/>
    <w:rsid w:val="002F6A4E"/>
    <w:rsid w:val="002F6A58"/>
    <w:rsid w:val="002F6A7D"/>
    <w:rsid w:val="002F6AB7"/>
    <w:rsid w:val="002F6C01"/>
    <w:rsid w:val="002F6D1B"/>
    <w:rsid w:val="002F6E2E"/>
    <w:rsid w:val="002F6E54"/>
    <w:rsid w:val="002F6FA6"/>
    <w:rsid w:val="002F71EA"/>
    <w:rsid w:val="002F7538"/>
    <w:rsid w:val="002F765F"/>
    <w:rsid w:val="002F77CE"/>
    <w:rsid w:val="002F77E6"/>
    <w:rsid w:val="002F780E"/>
    <w:rsid w:val="002F785B"/>
    <w:rsid w:val="002F788F"/>
    <w:rsid w:val="002F78A4"/>
    <w:rsid w:val="002F7CFF"/>
    <w:rsid w:val="002F7D1F"/>
    <w:rsid w:val="002F7D7C"/>
    <w:rsid w:val="002F7D86"/>
    <w:rsid w:val="002F7D8F"/>
    <w:rsid w:val="002F7E6E"/>
    <w:rsid w:val="002F7F3F"/>
    <w:rsid w:val="00300238"/>
    <w:rsid w:val="003002B7"/>
    <w:rsid w:val="003003D2"/>
    <w:rsid w:val="0030041C"/>
    <w:rsid w:val="00300445"/>
    <w:rsid w:val="003008A8"/>
    <w:rsid w:val="00300914"/>
    <w:rsid w:val="00300A41"/>
    <w:rsid w:val="00300B2A"/>
    <w:rsid w:val="00300BDB"/>
    <w:rsid w:val="00300BEA"/>
    <w:rsid w:val="00300D10"/>
    <w:rsid w:val="00300DA1"/>
    <w:rsid w:val="00300ECD"/>
    <w:rsid w:val="0030106A"/>
    <w:rsid w:val="003010B8"/>
    <w:rsid w:val="00301207"/>
    <w:rsid w:val="0030120C"/>
    <w:rsid w:val="0030129C"/>
    <w:rsid w:val="00301309"/>
    <w:rsid w:val="003013C3"/>
    <w:rsid w:val="00301481"/>
    <w:rsid w:val="0030150B"/>
    <w:rsid w:val="00301567"/>
    <w:rsid w:val="00301696"/>
    <w:rsid w:val="003016DA"/>
    <w:rsid w:val="00301871"/>
    <w:rsid w:val="00301ADC"/>
    <w:rsid w:val="00301D4F"/>
    <w:rsid w:val="00301D5E"/>
    <w:rsid w:val="00301D68"/>
    <w:rsid w:val="00301EE0"/>
    <w:rsid w:val="00301EE1"/>
    <w:rsid w:val="00301FEA"/>
    <w:rsid w:val="00302064"/>
    <w:rsid w:val="00302086"/>
    <w:rsid w:val="003022E9"/>
    <w:rsid w:val="00302301"/>
    <w:rsid w:val="00302346"/>
    <w:rsid w:val="0030240E"/>
    <w:rsid w:val="00302478"/>
    <w:rsid w:val="003025EB"/>
    <w:rsid w:val="00302816"/>
    <w:rsid w:val="0030282F"/>
    <w:rsid w:val="00302927"/>
    <w:rsid w:val="0030294C"/>
    <w:rsid w:val="00302B34"/>
    <w:rsid w:val="00302B7E"/>
    <w:rsid w:val="00302BBF"/>
    <w:rsid w:val="00302C9D"/>
    <w:rsid w:val="00302E95"/>
    <w:rsid w:val="00302F64"/>
    <w:rsid w:val="0030302D"/>
    <w:rsid w:val="0030307C"/>
    <w:rsid w:val="0030311C"/>
    <w:rsid w:val="003031DA"/>
    <w:rsid w:val="003035B6"/>
    <w:rsid w:val="003035DA"/>
    <w:rsid w:val="00303685"/>
    <w:rsid w:val="003037D8"/>
    <w:rsid w:val="00303AB7"/>
    <w:rsid w:val="00303B1E"/>
    <w:rsid w:val="00303B32"/>
    <w:rsid w:val="00303B69"/>
    <w:rsid w:val="00303C28"/>
    <w:rsid w:val="00303CDD"/>
    <w:rsid w:val="00303DA2"/>
    <w:rsid w:val="00304246"/>
    <w:rsid w:val="00304373"/>
    <w:rsid w:val="003043D1"/>
    <w:rsid w:val="00304453"/>
    <w:rsid w:val="00304A30"/>
    <w:rsid w:val="00304B57"/>
    <w:rsid w:val="00304C1E"/>
    <w:rsid w:val="00304C92"/>
    <w:rsid w:val="00304DE4"/>
    <w:rsid w:val="00305140"/>
    <w:rsid w:val="00305339"/>
    <w:rsid w:val="0030533A"/>
    <w:rsid w:val="00305498"/>
    <w:rsid w:val="0030574C"/>
    <w:rsid w:val="003058F5"/>
    <w:rsid w:val="00305CA9"/>
    <w:rsid w:val="00305DC4"/>
    <w:rsid w:val="00305E85"/>
    <w:rsid w:val="00305EB1"/>
    <w:rsid w:val="00306147"/>
    <w:rsid w:val="003061EC"/>
    <w:rsid w:val="0030679D"/>
    <w:rsid w:val="00306AD1"/>
    <w:rsid w:val="00306C88"/>
    <w:rsid w:val="00306D3A"/>
    <w:rsid w:val="00306DD3"/>
    <w:rsid w:val="00306E33"/>
    <w:rsid w:val="00306FBD"/>
    <w:rsid w:val="00306FD1"/>
    <w:rsid w:val="003070B1"/>
    <w:rsid w:val="00307152"/>
    <w:rsid w:val="0030723F"/>
    <w:rsid w:val="0030740B"/>
    <w:rsid w:val="00307554"/>
    <w:rsid w:val="003077B6"/>
    <w:rsid w:val="003079AB"/>
    <w:rsid w:val="00307AD5"/>
    <w:rsid w:val="00307B02"/>
    <w:rsid w:val="00307B32"/>
    <w:rsid w:val="00307CC4"/>
    <w:rsid w:val="00307E96"/>
    <w:rsid w:val="00307FF6"/>
    <w:rsid w:val="0031015B"/>
    <w:rsid w:val="00310411"/>
    <w:rsid w:val="00310530"/>
    <w:rsid w:val="0031062E"/>
    <w:rsid w:val="00310650"/>
    <w:rsid w:val="003106E3"/>
    <w:rsid w:val="003106FE"/>
    <w:rsid w:val="00310CBC"/>
    <w:rsid w:val="00310D1A"/>
    <w:rsid w:val="00310E58"/>
    <w:rsid w:val="00311273"/>
    <w:rsid w:val="0031127D"/>
    <w:rsid w:val="0031137E"/>
    <w:rsid w:val="003113E9"/>
    <w:rsid w:val="003113F4"/>
    <w:rsid w:val="00311479"/>
    <w:rsid w:val="00311623"/>
    <w:rsid w:val="0031166E"/>
    <w:rsid w:val="00311693"/>
    <w:rsid w:val="00311A4F"/>
    <w:rsid w:val="00311B03"/>
    <w:rsid w:val="00311CCE"/>
    <w:rsid w:val="0031224D"/>
    <w:rsid w:val="00312549"/>
    <w:rsid w:val="00312651"/>
    <w:rsid w:val="0031285A"/>
    <w:rsid w:val="00312CBF"/>
    <w:rsid w:val="00313129"/>
    <w:rsid w:val="003131D2"/>
    <w:rsid w:val="0031330A"/>
    <w:rsid w:val="00313394"/>
    <w:rsid w:val="003133E1"/>
    <w:rsid w:val="00313406"/>
    <w:rsid w:val="003134C7"/>
    <w:rsid w:val="00313538"/>
    <w:rsid w:val="00313634"/>
    <w:rsid w:val="00313B8E"/>
    <w:rsid w:val="00313D75"/>
    <w:rsid w:val="00314254"/>
    <w:rsid w:val="0031437A"/>
    <w:rsid w:val="003143F5"/>
    <w:rsid w:val="0031444E"/>
    <w:rsid w:val="0031447E"/>
    <w:rsid w:val="00314595"/>
    <w:rsid w:val="003145FC"/>
    <w:rsid w:val="003148F5"/>
    <w:rsid w:val="0031493C"/>
    <w:rsid w:val="00314CF8"/>
    <w:rsid w:val="00314D50"/>
    <w:rsid w:val="00314E8C"/>
    <w:rsid w:val="00314FFE"/>
    <w:rsid w:val="003150C5"/>
    <w:rsid w:val="003150FC"/>
    <w:rsid w:val="00315152"/>
    <w:rsid w:val="0031528B"/>
    <w:rsid w:val="003152D4"/>
    <w:rsid w:val="003153B3"/>
    <w:rsid w:val="003154A8"/>
    <w:rsid w:val="0031551D"/>
    <w:rsid w:val="003157CC"/>
    <w:rsid w:val="00315814"/>
    <w:rsid w:val="00315B2C"/>
    <w:rsid w:val="00315BA2"/>
    <w:rsid w:val="00315D96"/>
    <w:rsid w:val="00315E3D"/>
    <w:rsid w:val="00315EAB"/>
    <w:rsid w:val="00315F53"/>
    <w:rsid w:val="00315F61"/>
    <w:rsid w:val="00316338"/>
    <w:rsid w:val="003164DC"/>
    <w:rsid w:val="0031667E"/>
    <w:rsid w:val="00316701"/>
    <w:rsid w:val="0031674A"/>
    <w:rsid w:val="00316817"/>
    <w:rsid w:val="00316A4F"/>
    <w:rsid w:val="00316B58"/>
    <w:rsid w:val="00316B6F"/>
    <w:rsid w:val="00316B85"/>
    <w:rsid w:val="00316D8E"/>
    <w:rsid w:val="00317090"/>
    <w:rsid w:val="00317850"/>
    <w:rsid w:val="00317C32"/>
    <w:rsid w:val="00317CB0"/>
    <w:rsid w:val="00317CE0"/>
    <w:rsid w:val="00320038"/>
    <w:rsid w:val="00320061"/>
    <w:rsid w:val="003200D6"/>
    <w:rsid w:val="003200F8"/>
    <w:rsid w:val="00320110"/>
    <w:rsid w:val="00320135"/>
    <w:rsid w:val="003201CD"/>
    <w:rsid w:val="0032022B"/>
    <w:rsid w:val="00320264"/>
    <w:rsid w:val="0032028E"/>
    <w:rsid w:val="003205B1"/>
    <w:rsid w:val="003205B8"/>
    <w:rsid w:val="003206E5"/>
    <w:rsid w:val="00320890"/>
    <w:rsid w:val="0032099A"/>
    <w:rsid w:val="00320C86"/>
    <w:rsid w:val="00320EB4"/>
    <w:rsid w:val="00321097"/>
    <w:rsid w:val="00321341"/>
    <w:rsid w:val="003215CB"/>
    <w:rsid w:val="0032197A"/>
    <w:rsid w:val="00321A04"/>
    <w:rsid w:val="00321C1D"/>
    <w:rsid w:val="00321D34"/>
    <w:rsid w:val="00321E75"/>
    <w:rsid w:val="00321F85"/>
    <w:rsid w:val="00322123"/>
    <w:rsid w:val="00322276"/>
    <w:rsid w:val="003223B1"/>
    <w:rsid w:val="0032244F"/>
    <w:rsid w:val="003225E9"/>
    <w:rsid w:val="00322779"/>
    <w:rsid w:val="00322B5B"/>
    <w:rsid w:val="00322BA1"/>
    <w:rsid w:val="00322C85"/>
    <w:rsid w:val="00322F05"/>
    <w:rsid w:val="0032304C"/>
    <w:rsid w:val="003232E5"/>
    <w:rsid w:val="00323351"/>
    <w:rsid w:val="00323634"/>
    <w:rsid w:val="00323879"/>
    <w:rsid w:val="00323998"/>
    <w:rsid w:val="003239A7"/>
    <w:rsid w:val="00323A2E"/>
    <w:rsid w:val="00323B32"/>
    <w:rsid w:val="00323C24"/>
    <w:rsid w:val="00323C7D"/>
    <w:rsid w:val="00323D76"/>
    <w:rsid w:val="00323EDE"/>
    <w:rsid w:val="00323F5C"/>
    <w:rsid w:val="00324093"/>
    <w:rsid w:val="003240B1"/>
    <w:rsid w:val="00324138"/>
    <w:rsid w:val="003242DE"/>
    <w:rsid w:val="00324388"/>
    <w:rsid w:val="003243A6"/>
    <w:rsid w:val="00324503"/>
    <w:rsid w:val="0032453A"/>
    <w:rsid w:val="00324619"/>
    <w:rsid w:val="00324644"/>
    <w:rsid w:val="0032469B"/>
    <w:rsid w:val="0032471E"/>
    <w:rsid w:val="003248BB"/>
    <w:rsid w:val="00324982"/>
    <w:rsid w:val="00324A41"/>
    <w:rsid w:val="00324BE8"/>
    <w:rsid w:val="00324CA9"/>
    <w:rsid w:val="00324D11"/>
    <w:rsid w:val="00324D2E"/>
    <w:rsid w:val="00324E15"/>
    <w:rsid w:val="00324E68"/>
    <w:rsid w:val="00324EF2"/>
    <w:rsid w:val="00324F24"/>
    <w:rsid w:val="00324F79"/>
    <w:rsid w:val="00324FEA"/>
    <w:rsid w:val="00325058"/>
    <w:rsid w:val="003250FF"/>
    <w:rsid w:val="003253E9"/>
    <w:rsid w:val="0032559C"/>
    <w:rsid w:val="00325712"/>
    <w:rsid w:val="00325857"/>
    <w:rsid w:val="0032586E"/>
    <w:rsid w:val="003258D3"/>
    <w:rsid w:val="00325B75"/>
    <w:rsid w:val="00325D57"/>
    <w:rsid w:val="00325E55"/>
    <w:rsid w:val="00326024"/>
    <w:rsid w:val="0032616E"/>
    <w:rsid w:val="00326300"/>
    <w:rsid w:val="00326554"/>
    <w:rsid w:val="00326598"/>
    <w:rsid w:val="00326668"/>
    <w:rsid w:val="003269D9"/>
    <w:rsid w:val="00326AA1"/>
    <w:rsid w:val="00326AC3"/>
    <w:rsid w:val="00326BDE"/>
    <w:rsid w:val="00326F05"/>
    <w:rsid w:val="00326F1B"/>
    <w:rsid w:val="003272D3"/>
    <w:rsid w:val="00327401"/>
    <w:rsid w:val="0032748A"/>
    <w:rsid w:val="0032765A"/>
    <w:rsid w:val="00327888"/>
    <w:rsid w:val="003278C8"/>
    <w:rsid w:val="0032797F"/>
    <w:rsid w:val="003279EF"/>
    <w:rsid w:val="00327DE9"/>
    <w:rsid w:val="0033007D"/>
    <w:rsid w:val="0033013C"/>
    <w:rsid w:val="00330176"/>
    <w:rsid w:val="0033034B"/>
    <w:rsid w:val="00330474"/>
    <w:rsid w:val="0033049D"/>
    <w:rsid w:val="003304C9"/>
    <w:rsid w:val="003304CD"/>
    <w:rsid w:val="00330784"/>
    <w:rsid w:val="0033089A"/>
    <w:rsid w:val="00330991"/>
    <w:rsid w:val="00330A0C"/>
    <w:rsid w:val="00330BFF"/>
    <w:rsid w:val="00330C05"/>
    <w:rsid w:val="00330C56"/>
    <w:rsid w:val="00330DAB"/>
    <w:rsid w:val="003310AC"/>
    <w:rsid w:val="0033126C"/>
    <w:rsid w:val="00331273"/>
    <w:rsid w:val="003313BD"/>
    <w:rsid w:val="0033142F"/>
    <w:rsid w:val="0033146A"/>
    <w:rsid w:val="00331588"/>
    <w:rsid w:val="003315D5"/>
    <w:rsid w:val="00331649"/>
    <w:rsid w:val="0033183A"/>
    <w:rsid w:val="003318ED"/>
    <w:rsid w:val="00331997"/>
    <w:rsid w:val="00331D19"/>
    <w:rsid w:val="00331E0B"/>
    <w:rsid w:val="00331E47"/>
    <w:rsid w:val="00331EE5"/>
    <w:rsid w:val="00331EE9"/>
    <w:rsid w:val="00332331"/>
    <w:rsid w:val="0033246D"/>
    <w:rsid w:val="00332530"/>
    <w:rsid w:val="0033257E"/>
    <w:rsid w:val="0033261A"/>
    <w:rsid w:val="003326B8"/>
    <w:rsid w:val="00332895"/>
    <w:rsid w:val="0033299C"/>
    <w:rsid w:val="00332AD6"/>
    <w:rsid w:val="00332B57"/>
    <w:rsid w:val="00332DE1"/>
    <w:rsid w:val="00332DF3"/>
    <w:rsid w:val="00332FB0"/>
    <w:rsid w:val="003330DE"/>
    <w:rsid w:val="003331D1"/>
    <w:rsid w:val="003332DC"/>
    <w:rsid w:val="003332DF"/>
    <w:rsid w:val="00333423"/>
    <w:rsid w:val="003334DC"/>
    <w:rsid w:val="00333708"/>
    <w:rsid w:val="003339FF"/>
    <w:rsid w:val="00333AB6"/>
    <w:rsid w:val="00333BB9"/>
    <w:rsid w:val="00333E8E"/>
    <w:rsid w:val="0033407B"/>
    <w:rsid w:val="0033425E"/>
    <w:rsid w:val="0033463D"/>
    <w:rsid w:val="00334665"/>
    <w:rsid w:val="003346EB"/>
    <w:rsid w:val="003348DD"/>
    <w:rsid w:val="00334A32"/>
    <w:rsid w:val="00334AB3"/>
    <w:rsid w:val="00334B29"/>
    <w:rsid w:val="00334CF0"/>
    <w:rsid w:val="003350D3"/>
    <w:rsid w:val="003351BC"/>
    <w:rsid w:val="00335763"/>
    <w:rsid w:val="00335933"/>
    <w:rsid w:val="00335A72"/>
    <w:rsid w:val="00335BB4"/>
    <w:rsid w:val="00335CBC"/>
    <w:rsid w:val="00336057"/>
    <w:rsid w:val="00336149"/>
    <w:rsid w:val="003362CF"/>
    <w:rsid w:val="0033634F"/>
    <w:rsid w:val="003363A7"/>
    <w:rsid w:val="0033651F"/>
    <w:rsid w:val="00336725"/>
    <w:rsid w:val="003367A3"/>
    <w:rsid w:val="00336D44"/>
    <w:rsid w:val="00336DB5"/>
    <w:rsid w:val="00336EB9"/>
    <w:rsid w:val="00336EC5"/>
    <w:rsid w:val="00336F01"/>
    <w:rsid w:val="00336F4E"/>
    <w:rsid w:val="00336F5C"/>
    <w:rsid w:val="003370E4"/>
    <w:rsid w:val="003372E2"/>
    <w:rsid w:val="00337594"/>
    <w:rsid w:val="003376EA"/>
    <w:rsid w:val="0033783C"/>
    <w:rsid w:val="00337852"/>
    <w:rsid w:val="0033789E"/>
    <w:rsid w:val="003378F8"/>
    <w:rsid w:val="0033798B"/>
    <w:rsid w:val="00337CF5"/>
    <w:rsid w:val="00337EE6"/>
    <w:rsid w:val="0034023A"/>
    <w:rsid w:val="00340285"/>
    <w:rsid w:val="0034041C"/>
    <w:rsid w:val="00340842"/>
    <w:rsid w:val="00340B33"/>
    <w:rsid w:val="00340B81"/>
    <w:rsid w:val="00340DB6"/>
    <w:rsid w:val="00340ED1"/>
    <w:rsid w:val="00341527"/>
    <w:rsid w:val="00341586"/>
    <w:rsid w:val="00341736"/>
    <w:rsid w:val="00341756"/>
    <w:rsid w:val="00341968"/>
    <w:rsid w:val="00341B78"/>
    <w:rsid w:val="00341C40"/>
    <w:rsid w:val="00341C74"/>
    <w:rsid w:val="00341F27"/>
    <w:rsid w:val="00341F2A"/>
    <w:rsid w:val="00341F5D"/>
    <w:rsid w:val="00342197"/>
    <w:rsid w:val="00342549"/>
    <w:rsid w:val="00342550"/>
    <w:rsid w:val="0034271D"/>
    <w:rsid w:val="0034287A"/>
    <w:rsid w:val="00342978"/>
    <w:rsid w:val="003429F2"/>
    <w:rsid w:val="00342CCA"/>
    <w:rsid w:val="003430DD"/>
    <w:rsid w:val="003430EC"/>
    <w:rsid w:val="00343216"/>
    <w:rsid w:val="00343434"/>
    <w:rsid w:val="00343488"/>
    <w:rsid w:val="00343740"/>
    <w:rsid w:val="003437BD"/>
    <w:rsid w:val="003438D1"/>
    <w:rsid w:val="00343AD3"/>
    <w:rsid w:val="00343D67"/>
    <w:rsid w:val="00344199"/>
    <w:rsid w:val="00344294"/>
    <w:rsid w:val="00344532"/>
    <w:rsid w:val="003445DD"/>
    <w:rsid w:val="003446C5"/>
    <w:rsid w:val="0034472D"/>
    <w:rsid w:val="00344863"/>
    <w:rsid w:val="0034488F"/>
    <w:rsid w:val="00344A54"/>
    <w:rsid w:val="00344E6C"/>
    <w:rsid w:val="0034503A"/>
    <w:rsid w:val="003453BA"/>
    <w:rsid w:val="0034552E"/>
    <w:rsid w:val="00345585"/>
    <w:rsid w:val="003455B7"/>
    <w:rsid w:val="003456ED"/>
    <w:rsid w:val="00345D02"/>
    <w:rsid w:val="00345E1A"/>
    <w:rsid w:val="00346026"/>
    <w:rsid w:val="00346118"/>
    <w:rsid w:val="00346622"/>
    <w:rsid w:val="00346665"/>
    <w:rsid w:val="003466EC"/>
    <w:rsid w:val="00346815"/>
    <w:rsid w:val="003468FE"/>
    <w:rsid w:val="00346CA8"/>
    <w:rsid w:val="00346CF8"/>
    <w:rsid w:val="00346D3C"/>
    <w:rsid w:val="00346DBA"/>
    <w:rsid w:val="00346E1B"/>
    <w:rsid w:val="00346E75"/>
    <w:rsid w:val="00346EA0"/>
    <w:rsid w:val="00347009"/>
    <w:rsid w:val="003471E6"/>
    <w:rsid w:val="00347209"/>
    <w:rsid w:val="00347229"/>
    <w:rsid w:val="0034734F"/>
    <w:rsid w:val="00347359"/>
    <w:rsid w:val="00347449"/>
    <w:rsid w:val="003476B5"/>
    <w:rsid w:val="003477EC"/>
    <w:rsid w:val="00347813"/>
    <w:rsid w:val="003478CF"/>
    <w:rsid w:val="003479C0"/>
    <w:rsid w:val="00347AEF"/>
    <w:rsid w:val="00347D89"/>
    <w:rsid w:val="00347E53"/>
    <w:rsid w:val="00350823"/>
    <w:rsid w:val="0035084B"/>
    <w:rsid w:val="003508AF"/>
    <w:rsid w:val="00350BF4"/>
    <w:rsid w:val="00350C98"/>
    <w:rsid w:val="00350DF7"/>
    <w:rsid w:val="00350E98"/>
    <w:rsid w:val="00350FC8"/>
    <w:rsid w:val="003511D5"/>
    <w:rsid w:val="003512D6"/>
    <w:rsid w:val="003512F1"/>
    <w:rsid w:val="003514EA"/>
    <w:rsid w:val="003517E1"/>
    <w:rsid w:val="003517F1"/>
    <w:rsid w:val="00351894"/>
    <w:rsid w:val="00351A41"/>
    <w:rsid w:val="00351D19"/>
    <w:rsid w:val="00351E4B"/>
    <w:rsid w:val="003520AD"/>
    <w:rsid w:val="00352537"/>
    <w:rsid w:val="00352848"/>
    <w:rsid w:val="00352850"/>
    <w:rsid w:val="0035286C"/>
    <w:rsid w:val="00352916"/>
    <w:rsid w:val="003529EE"/>
    <w:rsid w:val="00352C5F"/>
    <w:rsid w:val="00352CB1"/>
    <w:rsid w:val="00352CC5"/>
    <w:rsid w:val="00352D57"/>
    <w:rsid w:val="00352D8B"/>
    <w:rsid w:val="00352FE2"/>
    <w:rsid w:val="00353261"/>
    <w:rsid w:val="0035369C"/>
    <w:rsid w:val="00353794"/>
    <w:rsid w:val="003538AF"/>
    <w:rsid w:val="003539C2"/>
    <w:rsid w:val="00353AE7"/>
    <w:rsid w:val="00353C44"/>
    <w:rsid w:val="00353E3C"/>
    <w:rsid w:val="00353FA2"/>
    <w:rsid w:val="003540C2"/>
    <w:rsid w:val="00354686"/>
    <w:rsid w:val="003547D0"/>
    <w:rsid w:val="00354A72"/>
    <w:rsid w:val="00354BB3"/>
    <w:rsid w:val="00354BD4"/>
    <w:rsid w:val="00354CA2"/>
    <w:rsid w:val="00354D1C"/>
    <w:rsid w:val="00354E5E"/>
    <w:rsid w:val="00354EA0"/>
    <w:rsid w:val="00355131"/>
    <w:rsid w:val="003552D5"/>
    <w:rsid w:val="003555E7"/>
    <w:rsid w:val="003557E6"/>
    <w:rsid w:val="00355A47"/>
    <w:rsid w:val="00355A8A"/>
    <w:rsid w:val="00355B9F"/>
    <w:rsid w:val="00355C4A"/>
    <w:rsid w:val="00355C83"/>
    <w:rsid w:val="00355D38"/>
    <w:rsid w:val="00355D65"/>
    <w:rsid w:val="0035603C"/>
    <w:rsid w:val="00356082"/>
    <w:rsid w:val="003561A6"/>
    <w:rsid w:val="00356501"/>
    <w:rsid w:val="0035658F"/>
    <w:rsid w:val="00356703"/>
    <w:rsid w:val="00356733"/>
    <w:rsid w:val="00356786"/>
    <w:rsid w:val="003567BE"/>
    <w:rsid w:val="0035680F"/>
    <w:rsid w:val="00356B5F"/>
    <w:rsid w:val="00356CEC"/>
    <w:rsid w:val="00356D75"/>
    <w:rsid w:val="00356ED9"/>
    <w:rsid w:val="00356F39"/>
    <w:rsid w:val="00356F8C"/>
    <w:rsid w:val="00356FEA"/>
    <w:rsid w:val="00357131"/>
    <w:rsid w:val="00357137"/>
    <w:rsid w:val="003571E6"/>
    <w:rsid w:val="0035720A"/>
    <w:rsid w:val="00357455"/>
    <w:rsid w:val="0035753F"/>
    <w:rsid w:val="00357AB2"/>
    <w:rsid w:val="003600FD"/>
    <w:rsid w:val="003601F3"/>
    <w:rsid w:val="00360287"/>
    <w:rsid w:val="003602D1"/>
    <w:rsid w:val="0036034C"/>
    <w:rsid w:val="00360548"/>
    <w:rsid w:val="003605AD"/>
    <w:rsid w:val="0036082E"/>
    <w:rsid w:val="0036088F"/>
    <w:rsid w:val="003608E7"/>
    <w:rsid w:val="0036095F"/>
    <w:rsid w:val="00360A33"/>
    <w:rsid w:val="00360AA1"/>
    <w:rsid w:val="00360B74"/>
    <w:rsid w:val="00360BB5"/>
    <w:rsid w:val="00360C2F"/>
    <w:rsid w:val="00360DCA"/>
    <w:rsid w:val="0036110B"/>
    <w:rsid w:val="00361192"/>
    <w:rsid w:val="003612D2"/>
    <w:rsid w:val="003614FF"/>
    <w:rsid w:val="003615F4"/>
    <w:rsid w:val="00361685"/>
    <w:rsid w:val="003616E9"/>
    <w:rsid w:val="00361861"/>
    <w:rsid w:val="00361941"/>
    <w:rsid w:val="00361B9E"/>
    <w:rsid w:val="00361D12"/>
    <w:rsid w:val="00361DF7"/>
    <w:rsid w:val="00361F4E"/>
    <w:rsid w:val="00362297"/>
    <w:rsid w:val="003622BC"/>
    <w:rsid w:val="00362361"/>
    <w:rsid w:val="0036262F"/>
    <w:rsid w:val="00362A3E"/>
    <w:rsid w:val="00362B51"/>
    <w:rsid w:val="00362E52"/>
    <w:rsid w:val="00362EC8"/>
    <w:rsid w:val="00362FF1"/>
    <w:rsid w:val="00363108"/>
    <w:rsid w:val="00363197"/>
    <w:rsid w:val="003632E4"/>
    <w:rsid w:val="0036330D"/>
    <w:rsid w:val="0036347A"/>
    <w:rsid w:val="003635D0"/>
    <w:rsid w:val="00363727"/>
    <w:rsid w:val="0036373A"/>
    <w:rsid w:val="00363778"/>
    <w:rsid w:val="003639B1"/>
    <w:rsid w:val="00363B42"/>
    <w:rsid w:val="00363B6D"/>
    <w:rsid w:val="00363EA1"/>
    <w:rsid w:val="00363FE9"/>
    <w:rsid w:val="0036415C"/>
    <w:rsid w:val="003644A4"/>
    <w:rsid w:val="00364518"/>
    <w:rsid w:val="0036453D"/>
    <w:rsid w:val="00364639"/>
    <w:rsid w:val="00364687"/>
    <w:rsid w:val="00364749"/>
    <w:rsid w:val="00364774"/>
    <w:rsid w:val="0036478F"/>
    <w:rsid w:val="00364A2D"/>
    <w:rsid w:val="00364B59"/>
    <w:rsid w:val="00364BAA"/>
    <w:rsid w:val="00364BDF"/>
    <w:rsid w:val="00364BE0"/>
    <w:rsid w:val="00364BE8"/>
    <w:rsid w:val="00364C31"/>
    <w:rsid w:val="00364E2D"/>
    <w:rsid w:val="00364E6F"/>
    <w:rsid w:val="0036500A"/>
    <w:rsid w:val="00365179"/>
    <w:rsid w:val="00365244"/>
    <w:rsid w:val="003655F8"/>
    <w:rsid w:val="003656C4"/>
    <w:rsid w:val="0036579D"/>
    <w:rsid w:val="00365ABC"/>
    <w:rsid w:val="00365AF7"/>
    <w:rsid w:val="00365E32"/>
    <w:rsid w:val="00365FB3"/>
    <w:rsid w:val="0036629C"/>
    <w:rsid w:val="00366308"/>
    <w:rsid w:val="00366471"/>
    <w:rsid w:val="0036661E"/>
    <w:rsid w:val="003667EE"/>
    <w:rsid w:val="00366809"/>
    <w:rsid w:val="00366865"/>
    <w:rsid w:val="00366AEA"/>
    <w:rsid w:val="00366C38"/>
    <w:rsid w:val="00366E70"/>
    <w:rsid w:val="00367040"/>
    <w:rsid w:val="00367052"/>
    <w:rsid w:val="003670F6"/>
    <w:rsid w:val="00367208"/>
    <w:rsid w:val="0036743F"/>
    <w:rsid w:val="003675D1"/>
    <w:rsid w:val="003675DF"/>
    <w:rsid w:val="0036761C"/>
    <w:rsid w:val="0036790B"/>
    <w:rsid w:val="0036791B"/>
    <w:rsid w:val="00367BE1"/>
    <w:rsid w:val="00367D71"/>
    <w:rsid w:val="00367DE7"/>
    <w:rsid w:val="00367E3D"/>
    <w:rsid w:val="00367FEC"/>
    <w:rsid w:val="00370123"/>
    <w:rsid w:val="0037049C"/>
    <w:rsid w:val="00370622"/>
    <w:rsid w:val="003706AA"/>
    <w:rsid w:val="003706D3"/>
    <w:rsid w:val="0037095D"/>
    <w:rsid w:val="00370A95"/>
    <w:rsid w:val="00370BD0"/>
    <w:rsid w:val="00370D69"/>
    <w:rsid w:val="00370FB6"/>
    <w:rsid w:val="00371186"/>
    <w:rsid w:val="00371433"/>
    <w:rsid w:val="003716D5"/>
    <w:rsid w:val="0037170C"/>
    <w:rsid w:val="003719C6"/>
    <w:rsid w:val="00371A40"/>
    <w:rsid w:val="00371AA7"/>
    <w:rsid w:val="00371B5F"/>
    <w:rsid w:val="00371BC3"/>
    <w:rsid w:val="00371D71"/>
    <w:rsid w:val="00371E1B"/>
    <w:rsid w:val="0037204D"/>
    <w:rsid w:val="003720DF"/>
    <w:rsid w:val="003722AC"/>
    <w:rsid w:val="003722DC"/>
    <w:rsid w:val="00372384"/>
    <w:rsid w:val="003724CB"/>
    <w:rsid w:val="003726F8"/>
    <w:rsid w:val="0037296A"/>
    <w:rsid w:val="00372A05"/>
    <w:rsid w:val="00372AEE"/>
    <w:rsid w:val="00372DC9"/>
    <w:rsid w:val="00372E05"/>
    <w:rsid w:val="003730B2"/>
    <w:rsid w:val="0037315A"/>
    <w:rsid w:val="00373346"/>
    <w:rsid w:val="003734B2"/>
    <w:rsid w:val="00373509"/>
    <w:rsid w:val="00373564"/>
    <w:rsid w:val="003736C8"/>
    <w:rsid w:val="00373708"/>
    <w:rsid w:val="003737C8"/>
    <w:rsid w:val="00373927"/>
    <w:rsid w:val="00373A00"/>
    <w:rsid w:val="00373A4E"/>
    <w:rsid w:val="00373C34"/>
    <w:rsid w:val="00373CB0"/>
    <w:rsid w:val="00373CBC"/>
    <w:rsid w:val="00373EE3"/>
    <w:rsid w:val="0037402A"/>
    <w:rsid w:val="003740A8"/>
    <w:rsid w:val="0037442D"/>
    <w:rsid w:val="003744C6"/>
    <w:rsid w:val="00374532"/>
    <w:rsid w:val="003745A3"/>
    <w:rsid w:val="0037466F"/>
    <w:rsid w:val="0037469A"/>
    <w:rsid w:val="00374813"/>
    <w:rsid w:val="00374868"/>
    <w:rsid w:val="003748A2"/>
    <w:rsid w:val="00374A00"/>
    <w:rsid w:val="00374AE3"/>
    <w:rsid w:val="00374C88"/>
    <w:rsid w:val="00374CDD"/>
    <w:rsid w:val="00374DC0"/>
    <w:rsid w:val="003750E5"/>
    <w:rsid w:val="003751F2"/>
    <w:rsid w:val="00375303"/>
    <w:rsid w:val="003753FB"/>
    <w:rsid w:val="003754D8"/>
    <w:rsid w:val="0037562D"/>
    <w:rsid w:val="00375651"/>
    <w:rsid w:val="00375772"/>
    <w:rsid w:val="003757EA"/>
    <w:rsid w:val="00375A03"/>
    <w:rsid w:val="00375D2C"/>
    <w:rsid w:val="00375DF4"/>
    <w:rsid w:val="00375E2B"/>
    <w:rsid w:val="00375ED8"/>
    <w:rsid w:val="00375FAA"/>
    <w:rsid w:val="003760B6"/>
    <w:rsid w:val="003761E0"/>
    <w:rsid w:val="00376313"/>
    <w:rsid w:val="00376411"/>
    <w:rsid w:val="0037645F"/>
    <w:rsid w:val="003764A1"/>
    <w:rsid w:val="003765E0"/>
    <w:rsid w:val="003766AA"/>
    <w:rsid w:val="00376743"/>
    <w:rsid w:val="003767FC"/>
    <w:rsid w:val="003768DC"/>
    <w:rsid w:val="00376A81"/>
    <w:rsid w:val="00376AFE"/>
    <w:rsid w:val="00376DF8"/>
    <w:rsid w:val="00376FE3"/>
    <w:rsid w:val="0037717E"/>
    <w:rsid w:val="00377211"/>
    <w:rsid w:val="0037724D"/>
    <w:rsid w:val="00377273"/>
    <w:rsid w:val="00377332"/>
    <w:rsid w:val="003773F5"/>
    <w:rsid w:val="00377546"/>
    <w:rsid w:val="0037754D"/>
    <w:rsid w:val="00377586"/>
    <w:rsid w:val="00377728"/>
    <w:rsid w:val="00377839"/>
    <w:rsid w:val="00377964"/>
    <w:rsid w:val="00377C39"/>
    <w:rsid w:val="00377D3B"/>
    <w:rsid w:val="00377EC9"/>
    <w:rsid w:val="00377ED7"/>
    <w:rsid w:val="00377FC8"/>
    <w:rsid w:val="00380189"/>
    <w:rsid w:val="0038033E"/>
    <w:rsid w:val="0038038D"/>
    <w:rsid w:val="003803BC"/>
    <w:rsid w:val="003803FB"/>
    <w:rsid w:val="00380481"/>
    <w:rsid w:val="0038048F"/>
    <w:rsid w:val="0038085E"/>
    <w:rsid w:val="00380889"/>
    <w:rsid w:val="00380A3D"/>
    <w:rsid w:val="00380B82"/>
    <w:rsid w:val="00380FD0"/>
    <w:rsid w:val="003811C6"/>
    <w:rsid w:val="0038131E"/>
    <w:rsid w:val="00381596"/>
    <w:rsid w:val="003817CE"/>
    <w:rsid w:val="00381A72"/>
    <w:rsid w:val="00381A78"/>
    <w:rsid w:val="00381A98"/>
    <w:rsid w:val="00381DF2"/>
    <w:rsid w:val="00381E03"/>
    <w:rsid w:val="00381EE1"/>
    <w:rsid w:val="00382006"/>
    <w:rsid w:val="003823F7"/>
    <w:rsid w:val="0038249F"/>
    <w:rsid w:val="003824D0"/>
    <w:rsid w:val="00382622"/>
    <w:rsid w:val="0038280F"/>
    <w:rsid w:val="003829A3"/>
    <w:rsid w:val="00382C3D"/>
    <w:rsid w:val="00382C6E"/>
    <w:rsid w:val="00382CC6"/>
    <w:rsid w:val="00382EE5"/>
    <w:rsid w:val="00382EFD"/>
    <w:rsid w:val="00382FB1"/>
    <w:rsid w:val="00382FD0"/>
    <w:rsid w:val="00382FFB"/>
    <w:rsid w:val="00383004"/>
    <w:rsid w:val="0038304F"/>
    <w:rsid w:val="0038306A"/>
    <w:rsid w:val="003830CE"/>
    <w:rsid w:val="00383363"/>
    <w:rsid w:val="00383CAE"/>
    <w:rsid w:val="00383F05"/>
    <w:rsid w:val="00383F4A"/>
    <w:rsid w:val="00384167"/>
    <w:rsid w:val="0038420E"/>
    <w:rsid w:val="00384277"/>
    <w:rsid w:val="00384936"/>
    <w:rsid w:val="00384994"/>
    <w:rsid w:val="00384A9E"/>
    <w:rsid w:val="00384C61"/>
    <w:rsid w:val="00384D56"/>
    <w:rsid w:val="00385066"/>
    <w:rsid w:val="003852EB"/>
    <w:rsid w:val="00385346"/>
    <w:rsid w:val="00385367"/>
    <w:rsid w:val="003855C3"/>
    <w:rsid w:val="00385A8F"/>
    <w:rsid w:val="00385B15"/>
    <w:rsid w:val="00385CCE"/>
    <w:rsid w:val="00385E2D"/>
    <w:rsid w:val="00385FA7"/>
    <w:rsid w:val="00386111"/>
    <w:rsid w:val="0038629E"/>
    <w:rsid w:val="003862DD"/>
    <w:rsid w:val="0038635D"/>
    <w:rsid w:val="003864D0"/>
    <w:rsid w:val="003864F4"/>
    <w:rsid w:val="00386845"/>
    <w:rsid w:val="00386978"/>
    <w:rsid w:val="00386A49"/>
    <w:rsid w:val="00386A93"/>
    <w:rsid w:val="00386E96"/>
    <w:rsid w:val="00386F1F"/>
    <w:rsid w:val="0038708B"/>
    <w:rsid w:val="003871DD"/>
    <w:rsid w:val="00387341"/>
    <w:rsid w:val="00387629"/>
    <w:rsid w:val="00387813"/>
    <w:rsid w:val="00387846"/>
    <w:rsid w:val="00387BB4"/>
    <w:rsid w:val="00387CCF"/>
    <w:rsid w:val="003901DD"/>
    <w:rsid w:val="003903A5"/>
    <w:rsid w:val="0039041B"/>
    <w:rsid w:val="00390430"/>
    <w:rsid w:val="003904E2"/>
    <w:rsid w:val="00390580"/>
    <w:rsid w:val="00390841"/>
    <w:rsid w:val="00390A57"/>
    <w:rsid w:val="00390A8D"/>
    <w:rsid w:val="00390AF8"/>
    <w:rsid w:val="00390C67"/>
    <w:rsid w:val="00390D82"/>
    <w:rsid w:val="00390DF7"/>
    <w:rsid w:val="003910E3"/>
    <w:rsid w:val="003910E9"/>
    <w:rsid w:val="00391103"/>
    <w:rsid w:val="00391115"/>
    <w:rsid w:val="003911C3"/>
    <w:rsid w:val="0039163E"/>
    <w:rsid w:val="00391858"/>
    <w:rsid w:val="00391A38"/>
    <w:rsid w:val="00391A4F"/>
    <w:rsid w:val="00391B0B"/>
    <w:rsid w:val="00391F0B"/>
    <w:rsid w:val="0039208D"/>
    <w:rsid w:val="003920BC"/>
    <w:rsid w:val="003921C3"/>
    <w:rsid w:val="0039227D"/>
    <w:rsid w:val="003924D9"/>
    <w:rsid w:val="0039262E"/>
    <w:rsid w:val="00392673"/>
    <w:rsid w:val="00392A83"/>
    <w:rsid w:val="00392CB5"/>
    <w:rsid w:val="00392DAD"/>
    <w:rsid w:val="00392FBF"/>
    <w:rsid w:val="00393017"/>
    <w:rsid w:val="00393027"/>
    <w:rsid w:val="003932E2"/>
    <w:rsid w:val="00393314"/>
    <w:rsid w:val="00393408"/>
    <w:rsid w:val="0039379E"/>
    <w:rsid w:val="003937F3"/>
    <w:rsid w:val="00393A2B"/>
    <w:rsid w:val="00393B52"/>
    <w:rsid w:val="00393C14"/>
    <w:rsid w:val="00393C57"/>
    <w:rsid w:val="00393DF6"/>
    <w:rsid w:val="00393F1C"/>
    <w:rsid w:val="00393FD0"/>
    <w:rsid w:val="00394469"/>
    <w:rsid w:val="00394723"/>
    <w:rsid w:val="003947A8"/>
    <w:rsid w:val="003948A8"/>
    <w:rsid w:val="003948F2"/>
    <w:rsid w:val="00394A5C"/>
    <w:rsid w:val="00394A82"/>
    <w:rsid w:val="00394CA6"/>
    <w:rsid w:val="00394CA8"/>
    <w:rsid w:val="00394F86"/>
    <w:rsid w:val="003950A6"/>
    <w:rsid w:val="00395400"/>
    <w:rsid w:val="003954FC"/>
    <w:rsid w:val="0039550E"/>
    <w:rsid w:val="00395545"/>
    <w:rsid w:val="003955D6"/>
    <w:rsid w:val="0039564B"/>
    <w:rsid w:val="003958A2"/>
    <w:rsid w:val="003959A2"/>
    <w:rsid w:val="00395B4A"/>
    <w:rsid w:val="00395CE1"/>
    <w:rsid w:val="00395E75"/>
    <w:rsid w:val="00395F80"/>
    <w:rsid w:val="00395FE9"/>
    <w:rsid w:val="0039619E"/>
    <w:rsid w:val="00396334"/>
    <w:rsid w:val="003963A5"/>
    <w:rsid w:val="003963D9"/>
    <w:rsid w:val="003963F4"/>
    <w:rsid w:val="003968C2"/>
    <w:rsid w:val="00396B85"/>
    <w:rsid w:val="00396E41"/>
    <w:rsid w:val="00396E5C"/>
    <w:rsid w:val="00397189"/>
    <w:rsid w:val="00397487"/>
    <w:rsid w:val="003974E9"/>
    <w:rsid w:val="0039751D"/>
    <w:rsid w:val="0039768C"/>
    <w:rsid w:val="003976C6"/>
    <w:rsid w:val="00397B37"/>
    <w:rsid w:val="00397C66"/>
    <w:rsid w:val="003A0148"/>
    <w:rsid w:val="003A02E6"/>
    <w:rsid w:val="003A03CE"/>
    <w:rsid w:val="003A07AF"/>
    <w:rsid w:val="003A0868"/>
    <w:rsid w:val="003A0C7A"/>
    <w:rsid w:val="003A0CDE"/>
    <w:rsid w:val="003A0E01"/>
    <w:rsid w:val="003A0E9B"/>
    <w:rsid w:val="003A0FE7"/>
    <w:rsid w:val="003A112D"/>
    <w:rsid w:val="003A1166"/>
    <w:rsid w:val="003A13DE"/>
    <w:rsid w:val="003A15D6"/>
    <w:rsid w:val="003A17BA"/>
    <w:rsid w:val="003A185D"/>
    <w:rsid w:val="003A1B4B"/>
    <w:rsid w:val="003A1BAE"/>
    <w:rsid w:val="003A1D18"/>
    <w:rsid w:val="003A1ECE"/>
    <w:rsid w:val="003A2044"/>
    <w:rsid w:val="003A216F"/>
    <w:rsid w:val="003A2259"/>
    <w:rsid w:val="003A2415"/>
    <w:rsid w:val="003A242B"/>
    <w:rsid w:val="003A24A9"/>
    <w:rsid w:val="003A2510"/>
    <w:rsid w:val="003A2691"/>
    <w:rsid w:val="003A26DF"/>
    <w:rsid w:val="003A2723"/>
    <w:rsid w:val="003A290A"/>
    <w:rsid w:val="003A2939"/>
    <w:rsid w:val="003A2956"/>
    <w:rsid w:val="003A29EC"/>
    <w:rsid w:val="003A2C50"/>
    <w:rsid w:val="003A2E20"/>
    <w:rsid w:val="003A2F95"/>
    <w:rsid w:val="003A3082"/>
    <w:rsid w:val="003A3227"/>
    <w:rsid w:val="003A3349"/>
    <w:rsid w:val="003A3649"/>
    <w:rsid w:val="003A3691"/>
    <w:rsid w:val="003A3985"/>
    <w:rsid w:val="003A39E0"/>
    <w:rsid w:val="003A3AF6"/>
    <w:rsid w:val="003A3B96"/>
    <w:rsid w:val="003A3F01"/>
    <w:rsid w:val="003A4047"/>
    <w:rsid w:val="003A40DF"/>
    <w:rsid w:val="003A4110"/>
    <w:rsid w:val="003A4142"/>
    <w:rsid w:val="003A4196"/>
    <w:rsid w:val="003A41C7"/>
    <w:rsid w:val="003A4281"/>
    <w:rsid w:val="003A455F"/>
    <w:rsid w:val="003A4578"/>
    <w:rsid w:val="003A45DE"/>
    <w:rsid w:val="003A499A"/>
    <w:rsid w:val="003A49C3"/>
    <w:rsid w:val="003A4AB0"/>
    <w:rsid w:val="003A4E03"/>
    <w:rsid w:val="003A4E32"/>
    <w:rsid w:val="003A4E67"/>
    <w:rsid w:val="003A5145"/>
    <w:rsid w:val="003A51D6"/>
    <w:rsid w:val="003A527B"/>
    <w:rsid w:val="003A55E1"/>
    <w:rsid w:val="003A597B"/>
    <w:rsid w:val="003A5AFE"/>
    <w:rsid w:val="003A5DE8"/>
    <w:rsid w:val="003A5E0E"/>
    <w:rsid w:val="003A5F9B"/>
    <w:rsid w:val="003A5F9E"/>
    <w:rsid w:val="003A6013"/>
    <w:rsid w:val="003A61FB"/>
    <w:rsid w:val="003A623B"/>
    <w:rsid w:val="003A6545"/>
    <w:rsid w:val="003A65AB"/>
    <w:rsid w:val="003A66BB"/>
    <w:rsid w:val="003A67AD"/>
    <w:rsid w:val="003A67B5"/>
    <w:rsid w:val="003A68F5"/>
    <w:rsid w:val="003A691D"/>
    <w:rsid w:val="003A69A2"/>
    <w:rsid w:val="003A6BEF"/>
    <w:rsid w:val="003A6C7F"/>
    <w:rsid w:val="003A6CE0"/>
    <w:rsid w:val="003A6D03"/>
    <w:rsid w:val="003A6E63"/>
    <w:rsid w:val="003A6F28"/>
    <w:rsid w:val="003A6F6F"/>
    <w:rsid w:val="003A6FAC"/>
    <w:rsid w:val="003A6FBE"/>
    <w:rsid w:val="003A7039"/>
    <w:rsid w:val="003A74A1"/>
    <w:rsid w:val="003A758C"/>
    <w:rsid w:val="003A7664"/>
    <w:rsid w:val="003A78C3"/>
    <w:rsid w:val="003A7BC5"/>
    <w:rsid w:val="003A7D91"/>
    <w:rsid w:val="003B0244"/>
    <w:rsid w:val="003B0494"/>
    <w:rsid w:val="003B05B2"/>
    <w:rsid w:val="003B0647"/>
    <w:rsid w:val="003B07AF"/>
    <w:rsid w:val="003B082F"/>
    <w:rsid w:val="003B085D"/>
    <w:rsid w:val="003B0CF5"/>
    <w:rsid w:val="003B0D3A"/>
    <w:rsid w:val="003B0E2A"/>
    <w:rsid w:val="003B0E3B"/>
    <w:rsid w:val="003B1085"/>
    <w:rsid w:val="003B139E"/>
    <w:rsid w:val="003B1743"/>
    <w:rsid w:val="003B17FD"/>
    <w:rsid w:val="003B1993"/>
    <w:rsid w:val="003B1ABD"/>
    <w:rsid w:val="003B1ADE"/>
    <w:rsid w:val="003B1B45"/>
    <w:rsid w:val="003B1C9A"/>
    <w:rsid w:val="003B1E7A"/>
    <w:rsid w:val="003B232A"/>
    <w:rsid w:val="003B240C"/>
    <w:rsid w:val="003B243B"/>
    <w:rsid w:val="003B2445"/>
    <w:rsid w:val="003B247C"/>
    <w:rsid w:val="003B2829"/>
    <w:rsid w:val="003B2B51"/>
    <w:rsid w:val="003B2BAA"/>
    <w:rsid w:val="003B2D21"/>
    <w:rsid w:val="003B2DAF"/>
    <w:rsid w:val="003B2DF3"/>
    <w:rsid w:val="003B2F2D"/>
    <w:rsid w:val="003B3003"/>
    <w:rsid w:val="003B3034"/>
    <w:rsid w:val="003B32A2"/>
    <w:rsid w:val="003B32C5"/>
    <w:rsid w:val="003B34AB"/>
    <w:rsid w:val="003B3617"/>
    <w:rsid w:val="003B3639"/>
    <w:rsid w:val="003B3697"/>
    <w:rsid w:val="003B39A0"/>
    <w:rsid w:val="003B3A9E"/>
    <w:rsid w:val="003B3BDA"/>
    <w:rsid w:val="003B3C00"/>
    <w:rsid w:val="003B3D3B"/>
    <w:rsid w:val="003B3FAD"/>
    <w:rsid w:val="003B4237"/>
    <w:rsid w:val="003B4264"/>
    <w:rsid w:val="003B43CC"/>
    <w:rsid w:val="003B460F"/>
    <w:rsid w:val="003B4693"/>
    <w:rsid w:val="003B48AB"/>
    <w:rsid w:val="003B4A63"/>
    <w:rsid w:val="003B4AC3"/>
    <w:rsid w:val="003B4F5C"/>
    <w:rsid w:val="003B50FD"/>
    <w:rsid w:val="003B5357"/>
    <w:rsid w:val="003B53A3"/>
    <w:rsid w:val="003B5711"/>
    <w:rsid w:val="003B5735"/>
    <w:rsid w:val="003B5755"/>
    <w:rsid w:val="003B5778"/>
    <w:rsid w:val="003B5A5A"/>
    <w:rsid w:val="003B5F39"/>
    <w:rsid w:val="003B60CB"/>
    <w:rsid w:val="003B61D5"/>
    <w:rsid w:val="003B6287"/>
    <w:rsid w:val="003B642E"/>
    <w:rsid w:val="003B6624"/>
    <w:rsid w:val="003B6766"/>
    <w:rsid w:val="003B6874"/>
    <w:rsid w:val="003B6A42"/>
    <w:rsid w:val="003B6A5F"/>
    <w:rsid w:val="003B6BAC"/>
    <w:rsid w:val="003B6C0D"/>
    <w:rsid w:val="003B6CDE"/>
    <w:rsid w:val="003B6D60"/>
    <w:rsid w:val="003B6E8B"/>
    <w:rsid w:val="003B6EC4"/>
    <w:rsid w:val="003B6F54"/>
    <w:rsid w:val="003B6FD6"/>
    <w:rsid w:val="003B7272"/>
    <w:rsid w:val="003B7384"/>
    <w:rsid w:val="003B75F2"/>
    <w:rsid w:val="003B7655"/>
    <w:rsid w:val="003B7796"/>
    <w:rsid w:val="003B79D8"/>
    <w:rsid w:val="003B79D9"/>
    <w:rsid w:val="003B7B2D"/>
    <w:rsid w:val="003B7B82"/>
    <w:rsid w:val="003B7DE5"/>
    <w:rsid w:val="003B7E9A"/>
    <w:rsid w:val="003B7EB4"/>
    <w:rsid w:val="003B7F05"/>
    <w:rsid w:val="003B7FAD"/>
    <w:rsid w:val="003C0023"/>
    <w:rsid w:val="003C0127"/>
    <w:rsid w:val="003C01C6"/>
    <w:rsid w:val="003C01D9"/>
    <w:rsid w:val="003C02C1"/>
    <w:rsid w:val="003C04DD"/>
    <w:rsid w:val="003C099A"/>
    <w:rsid w:val="003C1148"/>
    <w:rsid w:val="003C11AF"/>
    <w:rsid w:val="003C11E4"/>
    <w:rsid w:val="003C1406"/>
    <w:rsid w:val="003C1439"/>
    <w:rsid w:val="003C14B7"/>
    <w:rsid w:val="003C14D7"/>
    <w:rsid w:val="003C16FB"/>
    <w:rsid w:val="003C1861"/>
    <w:rsid w:val="003C18A9"/>
    <w:rsid w:val="003C19A6"/>
    <w:rsid w:val="003C1ABF"/>
    <w:rsid w:val="003C1DB6"/>
    <w:rsid w:val="003C1E7F"/>
    <w:rsid w:val="003C1EF9"/>
    <w:rsid w:val="003C1F0F"/>
    <w:rsid w:val="003C22E7"/>
    <w:rsid w:val="003C2313"/>
    <w:rsid w:val="003C292F"/>
    <w:rsid w:val="003C2A08"/>
    <w:rsid w:val="003C2AE8"/>
    <w:rsid w:val="003C2C7E"/>
    <w:rsid w:val="003C2D83"/>
    <w:rsid w:val="003C3146"/>
    <w:rsid w:val="003C327B"/>
    <w:rsid w:val="003C340B"/>
    <w:rsid w:val="003C34E9"/>
    <w:rsid w:val="003C36DA"/>
    <w:rsid w:val="003C39F2"/>
    <w:rsid w:val="003C3A1E"/>
    <w:rsid w:val="003C3C04"/>
    <w:rsid w:val="003C3C85"/>
    <w:rsid w:val="003C3E60"/>
    <w:rsid w:val="003C407E"/>
    <w:rsid w:val="003C42AF"/>
    <w:rsid w:val="003C434A"/>
    <w:rsid w:val="003C4388"/>
    <w:rsid w:val="003C4543"/>
    <w:rsid w:val="003C45C9"/>
    <w:rsid w:val="003C463F"/>
    <w:rsid w:val="003C48C4"/>
    <w:rsid w:val="003C4BD0"/>
    <w:rsid w:val="003C4BF6"/>
    <w:rsid w:val="003C4DE5"/>
    <w:rsid w:val="003C5056"/>
    <w:rsid w:val="003C505B"/>
    <w:rsid w:val="003C51D5"/>
    <w:rsid w:val="003C54D0"/>
    <w:rsid w:val="003C5548"/>
    <w:rsid w:val="003C5620"/>
    <w:rsid w:val="003C59EF"/>
    <w:rsid w:val="003C5A30"/>
    <w:rsid w:val="003C5AAB"/>
    <w:rsid w:val="003C5BC0"/>
    <w:rsid w:val="003C5E8F"/>
    <w:rsid w:val="003C6024"/>
    <w:rsid w:val="003C6087"/>
    <w:rsid w:val="003C6293"/>
    <w:rsid w:val="003C6412"/>
    <w:rsid w:val="003C6539"/>
    <w:rsid w:val="003C669F"/>
    <w:rsid w:val="003C67C6"/>
    <w:rsid w:val="003C688C"/>
    <w:rsid w:val="003C6967"/>
    <w:rsid w:val="003C699B"/>
    <w:rsid w:val="003C69B0"/>
    <w:rsid w:val="003C6A2A"/>
    <w:rsid w:val="003C6A32"/>
    <w:rsid w:val="003C6BCB"/>
    <w:rsid w:val="003C6C1E"/>
    <w:rsid w:val="003C6C28"/>
    <w:rsid w:val="003C6F0F"/>
    <w:rsid w:val="003C7066"/>
    <w:rsid w:val="003C715E"/>
    <w:rsid w:val="003C71CF"/>
    <w:rsid w:val="003C730D"/>
    <w:rsid w:val="003C738B"/>
    <w:rsid w:val="003C75E5"/>
    <w:rsid w:val="003C770E"/>
    <w:rsid w:val="003C77B3"/>
    <w:rsid w:val="003C785F"/>
    <w:rsid w:val="003C789D"/>
    <w:rsid w:val="003C79A4"/>
    <w:rsid w:val="003C7E3D"/>
    <w:rsid w:val="003C7FEC"/>
    <w:rsid w:val="003D00AF"/>
    <w:rsid w:val="003D00D2"/>
    <w:rsid w:val="003D02A1"/>
    <w:rsid w:val="003D04D3"/>
    <w:rsid w:val="003D04FF"/>
    <w:rsid w:val="003D063B"/>
    <w:rsid w:val="003D0887"/>
    <w:rsid w:val="003D0AF9"/>
    <w:rsid w:val="003D0BE5"/>
    <w:rsid w:val="003D0D5C"/>
    <w:rsid w:val="003D0F32"/>
    <w:rsid w:val="003D12A2"/>
    <w:rsid w:val="003D12A9"/>
    <w:rsid w:val="003D1340"/>
    <w:rsid w:val="003D1498"/>
    <w:rsid w:val="003D1696"/>
    <w:rsid w:val="003D174E"/>
    <w:rsid w:val="003D176E"/>
    <w:rsid w:val="003D1922"/>
    <w:rsid w:val="003D1A37"/>
    <w:rsid w:val="003D1E3E"/>
    <w:rsid w:val="003D2014"/>
    <w:rsid w:val="003D21BB"/>
    <w:rsid w:val="003D232C"/>
    <w:rsid w:val="003D24B9"/>
    <w:rsid w:val="003D260B"/>
    <w:rsid w:val="003D27AF"/>
    <w:rsid w:val="003D2876"/>
    <w:rsid w:val="003D28CE"/>
    <w:rsid w:val="003D28E0"/>
    <w:rsid w:val="003D2A75"/>
    <w:rsid w:val="003D2C40"/>
    <w:rsid w:val="003D2C64"/>
    <w:rsid w:val="003D2E70"/>
    <w:rsid w:val="003D30F2"/>
    <w:rsid w:val="003D3151"/>
    <w:rsid w:val="003D31DD"/>
    <w:rsid w:val="003D348F"/>
    <w:rsid w:val="003D35DB"/>
    <w:rsid w:val="003D3706"/>
    <w:rsid w:val="003D3B29"/>
    <w:rsid w:val="003D3B87"/>
    <w:rsid w:val="003D3C02"/>
    <w:rsid w:val="003D3C06"/>
    <w:rsid w:val="003D3D38"/>
    <w:rsid w:val="003D3EFB"/>
    <w:rsid w:val="003D3F42"/>
    <w:rsid w:val="003D40D2"/>
    <w:rsid w:val="003D40EC"/>
    <w:rsid w:val="003D4105"/>
    <w:rsid w:val="003D4150"/>
    <w:rsid w:val="003D415A"/>
    <w:rsid w:val="003D41C2"/>
    <w:rsid w:val="003D4432"/>
    <w:rsid w:val="003D449A"/>
    <w:rsid w:val="003D4531"/>
    <w:rsid w:val="003D48DB"/>
    <w:rsid w:val="003D4A56"/>
    <w:rsid w:val="003D4B36"/>
    <w:rsid w:val="003D4E41"/>
    <w:rsid w:val="003D4ED2"/>
    <w:rsid w:val="003D4FC0"/>
    <w:rsid w:val="003D50FA"/>
    <w:rsid w:val="003D516D"/>
    <w:rsid w:val="003D5472"/>
    <w:rsid w:val="003D558A"/>
    <w:rsid w:val="003D55A5"/>
    <w:rsid w:val="003D56B1"/>
    <w:rsid w:val="003D5827"/>
    <w:rsid w:val="003D5A0F"/>
    <w:rsid w:val="003D5E46"/>
    <w:rsid w:val="003D61B8"/>
    <w:rsid w:val="003D6407"/>
    <w:rsid w:val="003D6502"/>
    <w:rsid w:val="003D6552"/>
    <w:rsid w:val="003D65A6"/>
    <w:rsid w:val="003D682A"/>
    <w:rsid w:val="003D6AC8"/>
    <w:rsid w:val="003D6F28"/>
    <w:rsid w:val="003D6F6B"/>
    <w:rsid w:val="003D707B"/>
    <w:rsid w:val="003D709C"/>
    <w:rsid w:val="003D7124"/>
    <w:rsid w:val="003D7138"/>
    <w:rsid w:val="003D7167"/>
    <w:rsid w:val="003D7180"/>
    <w:rsid w:val="003D7208"/>
    <w:rsid w:val="003D7313"/>
    <w:rsid w:val="003D73CA"/>
    <w:rsid w:val="003D7412"/>
    <w:rsid w:val="003D74BB"/>
    <w:rsid w:val="003D74D5"/>
    <w:rsid w:val="003D753C"/>
    <w:rsid w:val="003D7561"/>
    <w:rsid w:val="003D76A4"/>
    <w:rsid w:val="003D7B2C"/>
    <w:rsid w:val="003D7C26"/>
    <w:rsid w:val="003D7C6E"/>
    <w:rsid w:val="003D7F4E"/>
    <w:rsid w:val="003D7F94"/>
    <w:rsid w:val="003E0112"/>
    <w:rsid w:val="003E03DB"/>
    <w:rsid w:val="003E04F2"/>
    <w:rsid w:val="003E0832"/>
    <w:rsid w:val="003E083E"/>
    <w:rsid w:val="003E0863"/>
    <w:rsid w:val="003E0A3D"/>
    <w:rsid w:val="003E0B5F"/>
    <w:rsid w:val="003E0D0C"/>
    <w:rsid w:val="003E1060"/>
    <w:rsid w:val="003E128D"/>
    <w:rsid w:val="003E1306"/>
    <w:rsid w:val="003E140A"/>
    <w:rsid w:val="003E141A"/>
    <w:rsid w:val="003E1790"/>
    <w:rsid w:val="003E18A2"/>
    <w:rsid w:val="003E1917"/>
    <w:rsid w:val="003E1AD7"/>
    <w:rsid w:val="003E1B2A"/>
    <w:rsid w:val="003E1E2A"/>
    <w:rsid w:val="003E1EB8"/>
    <w:rsid w:val="003E1FAE"/>
    <w:rsid w:val="003E20DB"/>
    <w:rsid w:val="003E2202"/>
    <w:rsid w:val="003E23F9"/>
    <w:rsid w:val="003E2438"/>
    <w:rsid w:val="003E2517"/>
    <w:rsid w:val="003E258E"/>
    <w:rsid w:val="003E259A"/>
    <w:rsid w:val="003E27BE"/>
    <w:rsid w:val="003E2937"/>
    <w:rsid w:val="003E293E"/>
    <w:rsid w:val="003E2AE2"/>
    <w:rsid w:val="003E2D97"/>
    <w:rsid w:val="003E2F2A"/>
    <w:rsid w:val="003E2FDE"/>
    <w:rsid w:val="003E3096"/>
    <w:rsid w:val="003E311C"/>
    <w:rsid w:val="003E329C"/>
    <w:rsid w:val="003E3385"/>
    <w:rsid w:val="003E36A2"/>
    <w:rsid w:val="003E379D"/>
    <w:rsid w:val="003E38B4"/>
    <w:rsid w:val="003E39FA"/>
    <w:rsid w:val="003E3D22"/>
    <w:rsid w:val="003E3D9A"/>
    <w:rsid w:val="003E3DA8"/>
    <w:rsid w:val="003E4016"/>
    <w:rsid w:val="003E44B3"/>
    <w:rsid w:val="003E4700"/>
    <w:rsid w:val="003E4701"/>
    <w:rsid w:val="003E4999"/>
    <w:rsid w:val="003E49E1"/>
    <w:rsid w:val="003E4B42"/>
    <w:rsid w:val="003E4CB0"/>
    <w:rsid w:val="003E4D20"/>
    <w:rsid w:val="003E4D36"/>
    <w:rsid w:val="003E4D59"/>
    <w:rsid w:val="003E4F1C"/>
    <w:rsid w:val="003E515F"/>
    <w:rsid w:val="003E5211"/>
    <w:rsid w:val="003E5472"/>
    <w:rsid w:val="003E5492"/>
    <w:rsid w:val="003E56D2"/>
    <w:rsid w:val="003E5AF0"/>
    <w:rsid w:val="003E5B57"/>
    <w:rsid w:val="003E5D05"/>
    <w:rsid w:val="003E5D3A"/>
    <w:rsid w:val="003E5E2E"/>
    <w:rsid w:val="003E5E7D"/>
    <w:rsid w:val="003E5E9B"/>
    <w:rsid w:val="003E5EB5"/>
    <w:rsid w:val="003E5F5F"/>
    <w:rsid w:val="003E60E9"/>
    <w:rsid w:val="003E6103"/>
    <w:rsid w:val="003E62A1"/>
    <w:rsid w:val="003E6665"/>
    <w:rsid w:val="003E6672"/>
    <w:rsid w:val="003E6748"/>
    <w:rsid w:val="003E676C"/>
    <w:rsid w:val="003E67AD"/>
    <w:rsid w:val="003E67D4"/>
    <w:rsid w:val="003E6877"/>
    <w:rsid w:val="003E693A"/>
    <w:rsid w:val="003E6971"/>
    <w:rsid w:val="003E69E9"/>
    <w:rsid w:val="003E6A68"/>
    <w:rsid w:val="003E6ADC"/>
    <w:rsid w:val="003E6CEA"/>
    <w:rsid w:val="003E6D9C"/>
    <w:rsid w:val="003E6EA0"/>
    <w:rsid w:val="003E6EAD"/>
    <w:rsid w:val="003E6EE3"/>
    <w:rsid w:val="003E6FEA"/>
    <w:rsid w:val="003E7137"/>
    <w:rsid w:val="003E7157"/>
    <w:rsid w:val="003E7767"/>
    <w:rsid w:val="003E79AD"/>
    <w:rsid w:val="003E7B40"/>
    <w:rsid w:val="003E7CCE"/>
    <w:rsid w:val="003E7CE4"/>
    <w:rsid w:val="003E7FBE"/>
    <w:rsid w:val="003F004D"/>
    <w:rsid w:val="003F0068"/>
    <w:rsid w:val="003F00E5"/>
    <w:rsid w:val="003F01EE"/>
    <w:rsid w:val="003F02BA"/>
    <w:rsid w:val="003F0304"/>
    <w:rsid w:val="003F0431"/>
    <w:rsid w:val="003F04DF"/>
    <w:rsid w:val="003F096D"/>
    <w:rsid w:val="003F0981"/>
    <w:rsid w:val="003F0990"/>
    <w:rsid w:val="003F09ED"/>
    <w:rsid w:val="003F0E57"/>
    <w:rsid w:val="003F0F1E"/>
    <w:rsid w:val="003F0F9D"/>
    <w:rsid w:val="003F1157"/>
    <w:rsid w:val="003F14E7"/>
    <w:rsid w:val="003F18FF"/>
    <w:rsid w:val="003F1B46"/>
    <w:rsid w:val="003F1BF3"/>
    <w:rsid w:val="003F1CEB"/>
    <w:rsid w:val="003F202B"/>
    <w:rsid w:val="003F2057"/>
    <w:rsid w:val="003F20D7"/>
    <w:rsid w:val="003F223D"/>
    <w:rsid w:val="003F2317"/>
    <w:rsid w:val="003F233E"/>
    <w:rsid w:val="003F23E9"/>
    <w:rsid w:val="003F240F"/>
    <w:rsid w:val="003F2413"/>
    <w:rsid w:val="003F24D6"/>
    <w:rsid w:val="003F25F8"/>
    <w:rsid w:val="003F2748"/>
    <w:rsid w:val="003F2984"/>
    <w:rsid w:val="003F2B11"/>
    <w:rsid w:val="003F2C11"/>
    <w:rsid w:val="003F2C2A"/>
    <w:rsid w:val="003F2D16"/>
    <w:rsid w:val="003F2D74"/>
    <w:rsid w:val="003F2DEF"/>
    <w:rsid w:val="003F2E1E"/>
    <w:rsid w:val="003F2F2D"/>
    <w:rsid w:val="003F2F79"/>
    <w:rsid w:val="003F30E2"/>
    <w:rsid w:val="003F31D2"/>
    <w:rsid w:val="003F3247"/>
    <w:rsid w:val="003F3716"/>
    <w:rsid w:val="003F39D1"/>
    <w:rsid w:val="003F39EA"/>
    <w:rsid w:val="003F3A25"/>
    <w:rsid w:val="003F3BD0"/>
    <w:rsid w:val="003F3DC0"/>
    <w:rsid w:val="003F3E86"/>
    <w:rsid w:val="003F3EE5"/>
    <w:rsid w:val="003F425F"/>
    <w:rsid w:val="003F42DE"/>
    <w:rsid w:val="003F45BC"/>
    <w:rsid w:val="003F46E5"/>
    <w:rsid w:val="003F4845"/>
    <w:rsid w:val="003F48CC"/>
    <w:rsid w:val="003F4902"/>
    <w:rsid w:val="003F4ABA"/>
    <w:rsid w:val="003F4DBE"/>
    <w:rsid w:val="003F4F31"/>
    <w:rsid w:val="003F4F6D"/>
    <w:rsid w:val="003F507F"/>
    <w:rsid w:val="003F50BD"/>
    <w:rsid w:val="003F557E"/>
    <w:rsid w:val="003F5626"/>
    <w:rsid w:val="003F5726"/>
    <w:rsid w:val="003F598D"/>
    <w:rsid w:val="003F5998"/>
    <w:rsid w:val="003F599D"/>
    <w:rsid w:val="003F5C73"/>
    <w:rsid w:val="003F5D30"/>
    <w:rsid w:val="003F5E8F"/>
    <w:rsid w:val="003F6003"/>
    <w:rsid w:val="003F6246"/>
    <w:rsid w:val="003F62C1"/>
    <w:rsid w:val="003F6502"/>
    <w:rsid w:val="003F6531"/>
    <w:rsid w:val="003F682A"/>
    <w:rsid w:val="003F693D"/>
    <w:rsid w:val="003F6994"/>
    <w:rsid w:val="003F6AFB"/>
    <w:rsid w:val="003F6B24"/>
    <w:rsid w:val="003F6D65"/>
    <w:rsid w:val="003F6DE3"/>
    <w:rsid w:val="003F6EC2"/>
    <w:rsid w:val="003F6F18"/>
    <w:rsid w:val="003F6FF5"/>
    <w:rsid w:val="003F71DB"/>
    <w:rsid w:val="003F7265"/>
    <w:rsid w:val="003F731E"/>
    <w:rsid w:val="003F7386"/>
    <w:rsid w:val="003F73FC"/>
    <w:rsid w:val="003F7506"/>
    <w:rsid w:val="003F7545"/>
    <w:rsid w:val="003F7779"/>
    <w:rsid w:val="003F778C"/>
    <w:rsid w:val="003F79B5"/>
    <w:rsid w:val="003F79DA"/>
    <w:rsid w:val="003F7CC5"/>
    <w:rsid w:val="004001B3"/>
    <w:rsid w:val="0040031B"/>
    <w:rsid w:val="004005E0"/>
    <w:rsid w:val="00400A38"/>
    <w:rsid w:val="00400B4D"/>
    <w:rsid w:val="00400B9F"/>
    <w:rsid w:val="00400D54"/>
    <w:rsid w:val="00400D68"/>
    <w:rsid w:val="00400D89"/>
    <w:rsid w:val="0040110F"/>
    <w:rsid w:val="0040114F"/>
    <w:rsid w:val="004012CB"/>
    <w:rsid w:val="004013B5"/>
    <w:rsid w:val="004015F5"/>
    <w:rsid w:val="0040170E"/>
    <w:rsid w:val="00401775"/>
    <w:rsid w:val="004018F7"/>
    <w:rsid w:val="00401912"/>
    <w:rsid w:val="00401A63"/>
    <w:rsid w:val="00401B14"/>
    <w:rsid w:val="00401B77"/>
    <w:rsid w:val="00401ED4"/>
    <w:rsid w:val="00402165"/>
    <w:rsid w:val="0040234E"/>
    <w:rsid w:val="00402381"/>
    <w:rsid w:val="0040244C"/>
    <w:rsid w:val="00402525"/>
    <w:rsid w:val="00402AA4"/>
    <w:rsid w:val="00402C3B"/>
    <w:rsid w:val="00402EA0"/>
    <w:rsid w:val="00402FBA"/>
    <w:rsid w:val="00403181"/>
    <w:rsid w:val="004032A1"/>
    <w:rsid w:val="00403399"/>
    <w:rsid w:val="004035FD"/>
    <w:rsid w:val="00403664"/>
    <w:rsid w:val="00403A12"/>
    <w:rsid w:val="00403B90"/>
    <w:rsid w:val="00403BF0"/>
    <w:rsid w:val="00403D42"/>
    <w:rsid w:val="00403E0A"/>
    <w:rsid w:val="00403E23"/>
    <w:rsid w:val="00404017"/>
    <w:rsid w:val="004043D8"/>
    <w:rsid w:val="004044B5"/>
    <w:rsid w:val="00404767"/>
    <w:rsid w:val="004048D0"/>
    <w:rsid w:val="00404BFD"/>
    <w:rsid w:val="00404C19"/>
    <w:rsid w:val="0040568B"/>
    <w:rsid w:val="00405758"/>
    <w:rsid w:val="004058EC"/>
    <w:rsid w:val="00405BD1"/>
    <w:rsid w:val="00405BE2"/>
    <w:rsid w:val="00405DDB"/>
    <w:rsid w:val="00406724"/>
    <w:rsid w:val="004067AD"/>
    <w:rsid w:val="0040690A"/>
    <w:rsid w:val="00406951"/>
    <w:rsid w:val="00406AB4"/>
    <w:rsid w:val="00406C58"/>
    <w:rsid w:val="00406C66"/>
    <w:rsid w:val="00406CD0"/>
    <w:rsid w:val="00406F49"/>
    <w:rsid w:val="00407073"/>
    <w:rsid w:val="0040733F"/>
    <w:rsid w:val="00407343"/>
    <w:rsid w:val="00407374"/>
    <w:rsid w:val="00407375"/>
    <w:rsid w:val="00407378"/>
    <w:rsid w:val="0040740D"/>
    <w:rsid w:val="00407416"/>
    <w:rsid w:val="00407489"/>
    <w:rsid w:val="004074E7"/>
    <w:rsid w:val="00407998"/>
    <w:rsid w:val="00407B99"/>
    <w:rsid w:val="00407CE8"/>
    <w:rsid w:val="00407EE0"/>
    <w:rsid w:val="00407F39"/>
    <w:rsid w:val="004103BE"/>
    <w:rsid w:val="004103DD"/>
    <w:rsid w:val="0041058B"/>
    <w:rsid w:val="0041083F"/>
    <w:rsid w:val="00410A7B"/>
    <w:rsid w:val="00410B8A"/>
    <w:rsid w:val="00410B8F"/>
    <w:rsid w:val="00410E54"/>
    <w:rsid w:val="004111BC"/>
    <w:rsid w:val="004112F9"/>
    <w:rsid w:val="00411380"/>
    <w:rsid w:val="004114E7"/>
    <w:rsid w:val="00411548"/>
    <w:rsid w:val="0041161B"/>
    <w:rsid w:val="0041164E"/>
    <w:rsid w:val="0041165F"/>
    <w:rsid w:val="0041170D"/>
    <w:rsid w:val="00411717"/>
    <w:rsid w:val="00411917"/>
    <w:rsid w:val="00411B85"/>
    <w:rsid w:val="00411D13"/>
    <w:rsid w:val="00411F40"/>
    <w:rsid w:val="00412279"/>
    <w:rsid w:val="00412B6D"/>
    <w:rsid w:val="00412C34"/>
    <w:rsid w:val="00412C9C"/>
    <w:rsid w:val="00412E4C"/>
    <w:rsid w:val="00412EBF"/>
    <w:rsid w:val="00412EFC"/>
    <w:rsid w:val="00412FA7"/>
    <w:rsid w:val="00413199"/>
    <w:rsid w:val="00413390"/>
    <w:rsid w:val="004133E8"/>
    <w:rsid w:val="0041357A"/>
    <w:rsid w:val="004135FA"/>
    <w:rsid w:val="004135FD"/>
    <w:rsid w:val="00413607"/>
    <w:rsid w:val="00413A52"/>
    <w:rsid w:val="00413AF8"/>
    <w:rsid w:val="00413C08"/>
    <w:rsid w:val="00413D68"/>
    <w:rsid w:val="00413DAF"/>
    <w:rsid w:val="00413DCB"/>
    <w:rsid w:val="00413F47"/>
    <w:rsid w:val="004140AD"/>
    <w:rsid w:val="0041413F"/>
    <w:rsid w:val="00414236"/>
    <w:rsid w:val="004142E4"/>
    <w:rsid w:val="00414415"/>
    <w:rsid w:val="00414520"/>
    <w:rsid w:val="00414725"/>
    <w:rsid w:val="00414806"/>
    <w:rsid w:val="00414850"/>
    <w:rsid w:val="004148D8"/>
    <w:rsid w:val="0041495C"/>
    <w:rsid w:val="00414992"/>
    <w:rsid w:val="004149D7"/>
    <w:rsid w:val="00414B50"/>
    <w:rsid w:val="00414CC1"/>
    <w:rsid w:val="00414E19"/>
    <w:rsid w:val="00414E86"/>
    <w:rsid w:val="00414F22"/>
    <w:rsid w:val="004150EE"/>
    <w:rsid w:val="00415110"/>
    <w:rsid w:val="004152D6"/>
    <w:rsid w:val="004152EB"/>
    <w:rsid w:val="004155EA"/>
    <w:rsid w:val="004157C8"/>
    <w:rsid w:val="004157F1"/>
    <w:rsid w:val="004158AA"/>
    <w:rsid w:val="004159D4"/>
    <w:rsid w:val="00415C20"/>
    <w:rsid w:val="00415CB2"/>
    <w:rsid w:val="00415D11"/>
    <w:rsid w:val="00415DDF"/>
    <w:rsid w:val="0041602A"/>
    <w:rsid w:val="00416091"/>
    <w:rsid w:val="00416257"/>
    <w:rsid w:val="00416994"/>
    <w:rsid w:val="004169E7"/>
    <w:rsid w:val="00416B4E"/>
    <w:rsid w:val="00416BF6"/>
    <w:rsid w:val="00416E8A"/>
    <w:rsid w:val="00416EFF"/>
    <w:rsid w:val="00417687"/>
    <w:rsid w:val="004176AE"/>
    <w:rsid w:val="00417780"/>
    <w:rsid w:val="0041790C"/>
    <w:rsid w:val="004179C4"/>
    <w:rsid w:val="00417A4D"/>
    <w:rsid w:val="00417B08"/>
    <w:rsid w:val="00417BFF"/>
    <w:rsid w:val="00417D94"/>
    <w:rsid w:val="00417E69"/>
    <w:rsid w:val="0042001D"/>
    <w:rsid w:val="004202A6"/>
    <w:rsid w:val="004203FE"/>
    <w:rsid w:val="00420553"/>
    <w:rsid w:val="004205B3"/>
    <w:rsid w:val="0042061E"/>
    <w:rsid w:val="00420678"/>
    <w:rsid w:val="004208CA"/>
    <w:rsid w:val="0042090F"/>
    <w:rsid w:val="00420966"/>
    <w:rsid w:val="0042096C"/>
    <w:rsid w:val="00420A95"/>
    <w:rsid w:val="00420AEE"/>
    <w:rsid w:val="00420F28"/>
    <w:rsid w:val="00421009"/>
    <w:rsid w:val="00421065"/>
    <w:rsid w:val="004213CC"/>
    <w:rsid w:val="004215EB"/>
    <w:rsid w:val="00421BBA"/>
    <w:rsid w:val="00421C0A"/>
    <w:rsid w:val="00421C35"/>
    <w:rsid w:val="00421D10"/>
    <w:rsid w:val="004221EB"/>
    <w:rsid w:val="0042226F"/>
    <w:rsid w:val="004222D9"/>
    <w:rsid w:val="004225F6"/>
    <w:rsid w:val="00422A24"/>
    <w:rsid w:val="00422B34"/>
    <w:rsid w:val="004233BE"/>
    <w:rsid w:val="004238F7"/>
    <w:rsid w:val="00423DA3"/>
    <w:rsid w:val="00423F87"/>
    <w:rsid w:val="00424093"/>
    <w:rsid w:val="00424197"/>
    <w:rsid w:val="004241DC"/>
    <w:rsid w:val="00424241"/>
    <w:rsid w:val="004242EB"/>
    <w:rsid w:val="0042430B"/>
    <w:rsid w:val="0042437C"/>
    <w:rsid w:val="0042453D"/>
    <w:rsid w:val="004245DD"/>
    <w:rsid w:val="0042473B"/>
    <w:rsid w:val="00424AFD"/>
    <w:rsid w:val="00424B78"/>
    <w:rsid w:val="00424C64"/>
    <w:rsid w:val="00424D21"/>
    <w:rsid w:val="00424F3B"/>
    <w:rsid w:val="00425028"/>
    <w:rsid w:val="00425322"/>
    <w:rsid w:val="00425333"/>
    <w:rsid w:val="00425416"/>
    <w:rsid w:val="004256F8"/>
    <w:rsid w:val="004257EE"/>
    <w:rsid w:val="0042582E"/>
    <w:rsid w:val="00425A29"/>
    <w:rsid w:val="00425C69"/>
    <w:rsid w:val="00425D36"/>
    <w:rsid w:val="00425D59"/>
    <w:rsid w:val="00425EBB"/>
    <w:rsid w:val="00425F30"/>
    <w:rsid w:val="00426009"/>
    <w:rsid w:val="004261CA"/>
    <w:rsid w:val="00426292"/>
    <w:rsid w:val="0042631E"/>
    <w:rsid w:val="00426501"/>
    <w:rsid w:val="004266D7"/>
    <w:rsid w:val="0042676C"/>
    <w:rsid w:val="00426968"/>
    <w:rsid w:val="00426A4F"/>
    <w:rsid w:val="00426AC4"/>
    <w:rsid w:val="00426BBC"/>
    <w:rsid w:val="00426C01"/>
    <w:rsid w:val="00426CC0"/>
    <w:rsid w:val="00426D38"/>
    <w:rsid w:val="004271F4"/>
    <w:rsid w:val="00427232"/>
    <w:rsid w:val="00427299"/>
    <w:rsid w:val="0042731C"/>
    <w:rsid w:val="00427747"/>
    <w:rsid w:val="004277B4"/>
    <w:rsid w:val="0042787C"/>
    <w:rsid w:val="00427B14"/>
    <w:rsid w:val="00427C59"/>
    <w:rsid w:val="00427E81"/>
    <w:rsid w:val="00427EB4"/>
    <w:rsid w:val="00427FAF"/>
    <w:rsid w:val="00427FD1"/>
    <w:rsid w:val="00430077"/>
    <w:rsid w:val="0043020F"/>
    <w:rsid w:val="004302F6"/>
    <w:rsid w:val="004303B0"/>
    <w:rsid w:val="00430519"/>
    <w:rsid w:val="004305AA"/>
    <w:rsid w:val="0043066D"/>
    <w:rsid w:val="004308DF"/>
    <w:rsid w:val="00430A71"/>
    <w:rsid w:val="00430E71"/>
    <w:rsid w:val="00431182"/>
    <w:rsid w:val="00431212"/>
    <w:rsid w:val="00431385"/>
    <w:rsid w:val="004314B6"/>
    <w:rsid w:val="0043167D"/>
    <w:rsid w:val="00431760"/>
    <w:rsid w:val="004319BF"/>
    <w:rsid w:val="00431D74"/>
    <w:rsid w:val="00431D83"/>
    <w:rsid w:val="00431D9E"/>
    <w:rsid w:val="00431FBA"/>
    <w:rsid w:val="00431FF6"/>
    <w:rsid w:val="004322E6"/>
    <w:rsid w:val="004325F5"/>
    <w:rsid w:val="00432731"/>
    <w:rsid w:val="004327AA"/>
    <w:rsid w:val="00432AEE"/>
    <w:rsid w:val="00432B3E"/>
    <w:rsid w:val="00432BCB"/>
    <w:rsid w:val="00432C86"/>
    <w:rsid w:val="00432C88"/>
    <w:rsid w:val="00432E84"/>
    <w:rsid w:val="00432EC8"/>
    <w:rsid w:val="00432FA9"/>
    <w:rsid w:val="004331FE"/>
    <w:rsid w:val="00433360"/>
    <w:rsid w:val="0043342F"/>
    <w:rsid w:val="00433568"/>
    <w:rsid w:val="00433575"/>
    <w:rsid w:val="004335E8"/>
    <w:rsid w:val="00433993"/>
    <w:rsid w:val="00433ABE"/>
    <w:rsid w:val="00433CE8"/>
    <w:rsid w:val="00434149"/>
    <w:rsid w:val="00434319"/>
    <w:rsid w:val="004343A8"/>
    <w:rsid w:val="00434400"/>
    <w:rsid w:val="00434490"/>
    <w:rsid w:val="004344E0"/>
    <w:rsid w:val="00434541"/>
    <w:rsid w:val="00434546"/>
    <w:rsid w:val="004346B4"/>
    <w:rsid w:val="00434774"/>
    <w:rsid w:val="0043489B"/>
    <w:rsid w:val="004349EE"/>
    <w:rsid w:val="00434A48"/>
    <w:rsid w:val="00434AC1"/>
    <w:rsid w:val="00434AD1"/>
    <w:rsid w:val="00434C1E"/>
    <w:rsid w:val="00434F77"/>
    <w:rsid w:val="00434F8B"/>
    <w:rsid w:val="004350D0"/>
    <w:rsid w:val="00435481"/>
    <w:rsid w:val="00435569"/>
    <w:rsid w:val="0043558A"/>
    <w:rsid w:val="00435597"/>
    <w:rsid w:val="0043564D"/>
    <w:rsid w:val="004357A3"/>
    <w:rsid w:val="0043582E"/>
    <w:rsid w:val="00435B01"/>
    <w:rsid w:val="00435CCB"/>
    <w:rsid w:val="00435CEC"/>
    <w:rsid w:val="00435F7C"/>
    <w:rsid w:val="00436001"/>
    <w:rsid w:val="00436286"/>
    <w:rsid w:val="004362CD"/>
    <w:rsid w:val="0043644A"/>
    <w:rsid w:val="0043665E"/>
    <w:rsid w:val="004367C8"/>
    <w:rsid w:val="004369E5"/>
    <w:rsid w:val="00436A2D"/>
    <w:rsid w:val="00436A3E"/>
    <w:rsid w:val="00436B6F"/>
    <w:rsid w:val="00436E6E"/>
    <w:rsid w:val="00436F4C"/>
    <w:rsid w:val="0043728E"/>
    <w:rsid w:val="004374F7"/>
    <w:rsid w:val="0043753E"/>
    <w:rsid w:val="00437548"/>
    <w:rsid w:val="00437585"/>
    <w:rsid w:val="004376CB"/>
    <w:rsid w:val="004377E3"/>
    <w:rsid w:val="00437B76"/>
    <w:rsid w:val="00437BE2"/>
    <w:rsid w:val="00437ED2"/>
    <w:rsid w:val="004400F5"/>
    <w:rsid w:val="0044022C"/>
    <w:rsid w:val="0044034F"/>
    <w:rsid w:val="004404E9"/>
    <w:rsid w:val="004404F0"/>
    <w:rsid w:val="004405C4"/>
    <w:rsid w:val="00440708"/>
    <w:rsid w:val="004407FD"/>
    <w:rsid w:val="00440830"/>
    <w:rsid w:val="004408B8"/>
    <w:rsid w:val="00440918"/>
    <w:rsid w:val="00440AFD"/>
    <w:rsid w:val="00440B24"/>
    <w:rsid w:val="00440BAF"/>
    <w:rsid w:val="00440BBB"/>
    <w:rsid w:val="00440BCF"/>
    <w:rsid w:val="00440D78"/>
    <w:rsid w:val="00440D95"/>
    <w:rsid w:val="00441164"/>
    <w:rsid w:val="004412A9"/>
    <w:rsid w:val="0044138A"/>
    <w:rsid w:val="0044150D"/>
    <w:rsid w:val="0044154B"/>
    <w:rsid w:val="00441A2A"/>
    <w:rsid w:val="00441B17"/>
    <w:rsid w:val="00441C9B"/>
    <w:rsid w:val="00441E29"/>
    <w:rsid w:val="00441F3E"/>
    <w:rsid w:val="00442085"/>
    <w:rsid w:val="004420F6"/>
    <w:rsid w:val="004421C8"/>
    <w:rsid w:val="004421D5"/>
    <w:rsid w:val="004421E2"/>
    <w:rsid w:val="00442368"/>
    <w:rsid w:val="00442373"/>
    <w:rsid w:val="0044264F"/>
    <w:rsid w:val="00442871"/>
    <w:rsid w:val="00442987"/>
    <w:rsid w:val="00442FA7"/>
    <w:rsid w:val="00442FE9"/>
    <w:rsid w:val="00443037"/>
    <w:rsid w:val="0044310F"/>
    <w:rsid w:val="0044316D"/>
    <w:rsid w:val="0044337E"/>
    <w:rsid w:val="004433FD"/>
    <w:rsid w:val="0044359A"/>
    <w:rsid w:val="004435AD"/>
    <w:rsid w:val="00443776"/>
    <w:rsid w:val="004437FD"/>
    <w:rsid w:val="00443968"/>
    <w:rsid w:val="00443F01"/>
    <w:rsid w:val="00443F52"/>
    <w:rsid w:val="00443FA7"/>
    <w:rsid w:val="00444004"/>
    <w:rsid w:val="0044404A"/>
    <w:rsid w:val="00444165"/>
    <w:rsid w:val="004444E8"/>
    <w:rsid w:val="0044462A"/>
    <w:rsid w:val="0044484B"/>
    <w:rsid w:val="0044484E"/>
    <w:rsid w:val="0044486F"/>
    <w:rsid w:val="00444877"/>
    <w:rsid w:val="00444963"/>
    <w:rsid w:val="00444CCF"/>
    <w:rsid w:val="00444D6B"/>
    <w:rsid w:val="00444F1E"/>
    <w:rsid w:val="00444F65"/>
    <w:rsid w:val="004450E7"/>
    <w:rsid w:val="004455CB"/>
    <w:rsid w:val="004456C6"/>
    <w:rsid w:val="00445833"/>
    <w:rsid w:val="00445ABB"/>
    <w:rsid w:val="00445B7B"/>
    <w:rsid w:val="00445C99"/>
    <w:rsid w:val="00445CE7"/>
    <w:rsid w:val="00445D41"/>
    <w:rsid w:val="00445DC8"/>
    <w:rsid w:val="00445E4A"/>
    <w:rsid w:val="00445FCB"/>
    <w:rsid w:val="00445FDA"/>
    <w:rsid w:val="00446082"/>
    <w:rsid w:val="00446103"/>
    <w:rsid w:val="00446118"/>
    <w:rsid w:val="004463E2"/>
    <w:rsid w:val="0044642D"/>
    <w:rsid w:val="00446654"/>
    <w:rsid w:val="00446675"/>
    <w:rsid w:val="004466A8"/>
    <w:rsid w:val="00446720"/>
    <w:rsid w:val="00446C1F"/>
    <w:rsid w:val="00446DB6"/>
    <w:rsid w:val="00446DFF"/>
    <w:rsid w:val="004470F3"/>
    <w:rsid w:val="0044753A"/>
    <w:rsid w:val="004476C6"/>
    <w:rsid w:val="0044776E"/>
    <w:rsid w:val="00447887"/>
    <w:rsid w:val="00447977"/>
    <w:rsid w:val="00447A7B"/>
    <w:rsid w:val="00447B8A"/>
    <w:rsid w:val="00447BFB"/>
    <w:rsid w:val="00447C66"/>
    <w:rsid w:val="00447D78"/>
    <w:rsid w:val="00447F17"/>
    <w:rsid w:val="00447F8E"/>
    <w:rsid w:val="00450401"/>
    <w:rsid w:val="0045078D"/>
    <w:rsid w:val="0045081F"/>
    <w:rsid w:val="0045094C"/>
    <w:rsid w:val="00450A04"/>
    <w:rsid w:val="00450B67"/>
    <w:rsid w:val="00450CDA"/>
    <w:rsid w:val="00450D45"/>
    <w:rsid w:val="00450E63"/>
    <w:rsid w:val="00450FCB"/>
    <w:rsid w:val="0045108E"/>
    <w:rsid w:val="0045113E"/>
    <w:rsid w:val="004512CA"/>
    <w:rsid w:val="0045130C"/>
    <w:rsid w:val="004513D4"/>
    <w:rsid w:val="00451477"/>
    <w:rsid w:val="00451559"/>
    <w:rsid w:val="0045157E"/>
    <w:rsid w:val="00451609"/>
    <w:rsid w:val="0045166B"/>
    <w:rsid w:val="00451790"/>
    <w:rsid w:val="004517DA"/>
    <w:rsid w:val="00451809"/>
    <w:rsid w:val="00451901"/>
    <w:rsid w:val="00451909"/>
    <w:rsid w:val="004519DC"/>
    <w:rsid w:val="00451B85"/>
    <w:rsid w:val="00451C9D"/>
    <w:rsid w:val="00451F97"/>
    <w:rsid w:val="00452697"/>
    <w:rsid w:val="004526EA"/>
    <w:rsid w:val="004527BC"/>
    <w:rsid w:val="00452BE3"/>
    <w:rsid w:val="00452C47"/>
    <w:rsid w:val="00452D44"/>
    <w:rsid w:val="00452E2A"/>
    <w:rsid w:val="00452E6E"/>
    <w:rsid w:val="00452EA3"/>
    <w:rsid w:val="00453162"/>
    <w:rsid w:val="0045317C"/>
    <w:rsid w:val="004531C4"/>
    <w:rsid w:val="004532B5"/>
    <w:rsid w:val="004532C9"/>
    <w:rsid w:val="00453353"/>
    <w:rsid w:val="004533CA"/>
    <w:rsid w:val="0045352B"/>
    <w:rsid w:val="00453545"/>
    <w:rsid w:val="00453578"/>
    <w:rsid w:val="004535EF"/>
    <w:rsid w:val="0045368A"/>
    <w:rsid w:val="004537CA"/>
    <w:rsid w:val="00453B93"/>
    <w:rsid w:val="00453C2F"/>
    <w:rsid w:val="00453C4B"/>
    <w:rsid w:val="00453D7B"/>
    <w:rsid w:val="00453EED"/>
    <w:rsid w:val="00453F05"/>
    <w:rsid w:val="00453F71"/>
    <w:rsid w:val="004540EB"/>
    <w:rsid w:val="00454128"/>
    <w:rsid w:val="0045423E"/>
    <w:rsid w:val="0045428A"/>
    <w:rsid w:val="00454311"/>
    <w:rsid w:val="0045438B"/>
    <w:rsid w:val="00454402"/>
    <w:rsid w:val="00454670"/>
    <w:rsid w:val="00454797"/>
    <w:rsid w:val="004548FF"/>
    <w:rsid w:val="00454978"/>
    <w:rsid w:val="00454A1D"/>
    <w:rsid w:val="00454A58"/>
    <w:rsid w:val="00454B6C"/>
    <w:rsid w:val="00454B7B"/>
    <w:rsid w:val="00454C13"/>
    <w:rsid w:val="00454C32"/>
    <w:rsid w:val="00454D79"/>
    <w:rsid w:val="00454F94"/>
    <w:rsid w:val="00455214"/>
    <w:rsid w:val="00455309"/>
    <w:rsid w:val="00455420"/>
    <w:rsid w:val="004554C1"/>
    <w:rsid w:val="004554F6"/>
    <w:rsid w:val="0045556D"/>
    <w:rsid w:val="0045569A"/>
    <w:rsid w:val="004556E4"/>
    <w:rsid w:val="00455809"/>
    <w:rsid w:val="004558A1"/>
    <w:rsid w:val="00455A58"/>
    <w:rsid w:val="00455C18"/>
    <w:rsid w:val="00455C82"/>
    <w:rsid w:val="00455E6C"/>
    <w:rsid w:val="00455EF5"/>
    <w:rsid w:val="00455F1F"/>
    <w:rsid w:val="00456136"/>
    <w:rsid w:val="004562AB"/>
    <w:rsid w:val="004567A1"/>
    <w:rsid w:val="00456800"/>
    <w:rsid w:val="00456805"/>
    <w:rsid w:val="00456914"/>
    <w:rsid w:val="00456D5A"/>
    <w:rsid w:val="00456E9A"/>
    <w:rsid w:val="00456EBE"/>
    <w:rsid w:val="00456F6D"/>
    <w:rsid w:val="004570A3"/>
    <w:rsid w:val="00457129"/>
    <w:rsid w:val="00457199"/>
    <w:rsid w:val="00457306"/>
    <w:rsid w:val="0045758D"/>
    <w:rsid w:val="004575E9"/>
    <w:rsid w:val="00457738"/>
    <w:rsid w:val="004579E1"/>
    <w:rsid w:val="00457A75"/>
    <w:rsid w:val="00457BB6"/>
    <w:rsid w:val="00457CBE"/>
    <w:rsid w:val="00457D22"/>
    <w:rsid w:val="00457DD1"/>
    <w:rsid w:val="00457F26"/>
    <w:rsid w:val="00457F9B"/>
    <w:rsid w:val="00460219"/>
    <w:rsid w:val="00460426"/>
    <w:rsid w:val="00460439"/>
    <w:rsid w:val="004606B7"/>
    <w:rsid w:val="004607C9"/>
    <w:rsid w:val="004607DA"/>
    <w:rsid w:val="0046083E"/>
    <w:rsid w:val="004608A2"/>
    <w:rsid w:val="0046095E"/>
    <w:rsid w:val="00460A8E"/>
    <w:rsid w:val="00460AF2"/>
    <w:rsid w:val="00460F1E"/>
    <w:rsid w:val="0046114D"/>
    <w:rsid w:val="004611A1"/>
    <w:rsid w:val="00461205"/>
    <w:rsid w:val="00461282"/>
    <w:rsid w:val="00461304"/>
    <w:rsid w:val="0046133D"/>
    <w:rsid w:val="00461356"/>
    <w:rsid w:val="00461572"/>
    <w:rsid w:val="00461838"/>
    <w:rsid w:val="00461874"/>
    <w:rsid w:val="00461900"/>
    <w:rsid w:val="004619B0"/>
    <w:rsid w:val="00461A76"/>
    <w:rsid w:val="00461AAF"/>
    <w:rsid w:val="00461AB4"/>
    <w:rsid w:val="00461AC7"/>
    <w:rsid w:val="00461AF6"/>
    <w:rsid w:val="00461CBF"/>
    <w:rsid w:val="00461E55"/>
    <w:rsid w:val="00461E9C"/>
    <w:rsid w:val="00462014"/>
    <w:rsid w:val="00462023"/>
    <w:rsid w:val="00462134"/>
    <w:rsid w:val="004621AD"/>
    <w:rsid w:val="004622D0"/>
    <w:rsid w:val="0046241C"/>
    <w:rsid w:val="00462498"/>
    <w:rsid w:val="004629D4"/>
    <w:rsid w:val="00462AA6"/>
    <w:rsid w:val="00462B56"/>
    <w:rsid w:val="00462C7A"/>
    <w:rsid w:val="00463000"/>
    <w:rsid w:val="00463212"/>
    <w:rsid w:val="0046324F"/>
    <w:rsid w:val="0046333A"/>
    <w:rsid w:val="0046349C"/>
    <w:rsid w:val="00463581"/>
    <w:rsid w:val="00463614"/>
    <w:rsid w:val="004637B5"/>
    <w:rsid w:val="0046398A"/>
    <w:rsid w:val="00463A17"/>
    <w:rsid w:val="00463DE3"/>
    <w:rsid w:val="00464173"/>
    <w:rsid w:val="00464328"/>
    <w:rsid w:val="00464495"/>
    <w:rsid w:val="004644E4"/>
    <w:rsid w:val="0046473F"/>
    <w:rsid w:val="00464760"/>
    <w:rsid w:val="00464798"/>
    <w:rsid w:val="0046488A"/>
    <w:rsid w:val="00464904"/>
    <w:rsid w:val="00464A2E"/>
    <w:rsid w:val="00464CD6"/>
    <w:rsid w:val="0046508D"/>
    <w:rsid w:val="00465274"/>
    <w:rsid w:val="00465739"/>
    <w:rsid w:val="0046574B"/>
    <w:rsid w:val="004657B5"/>
    <w:rsid w:val="00465873"/>
    <w:rsid w:val="00465A80"/>
    <w:rsid w:val="00465AD3"/>
    <w:rsid w:val="00465B56"/>
    <w:rsid w:val="00465F22"/>
    <w:rsid w:val="00465F87"/>
    <w:rsid w:val="00466119"/>
    <w:rsid w:val="004661BF"/>
    <w:rsid w:val="004661E4"/>
    <w:rsid w:val="004663D1"/>
    <w:rsid w:val="0046640D"/>
    <w:rsid w:val="00466422"/>
    <w:rsid w:val="0046644A"/>
    <w:rsid w:val="0046653C"/>
    <w:rsid w:val="00466C00"/>
    <w:rsid w:val="004670D8"/>
    <w:rsid w:val="0046719F"/>
    <w:rsid w:val="004672BF"/>
    <w:rsid w:val="004672CD"/>
    <w:rsid w:val="004677EA"/>
    <w:rsid w:val="00467B89"/>
    <w:rsid w:val="00467BF4"/>
    <w:rsid w:val="00467EBA"/>
    <w:rsid w:val="00467ED7"/>
    <w:rsid w:val="00467F2B"/>
    <w:rsid w:val="00467FF7"/>
    <w:rsid w:val="0047022A"/>
    <w:rsid w:val="004702FF"/>
    <w:rsid w:val="00470507"/>
    <w:rsid w:val="00470884"/>
    <w:rsid w:val="0047096A"/>
    <w:rsid w:val="00470C7D"/>
    <w:rsid w:val="00470C99"/>
    <w:rsid w:val="00470C9D"/>
    <w:rsid w:val="00470D61"/>
    <w:rsid w:val="00470EC7"/>
    <w:rsid w:val="0047101B"/>
    <w:rsid w:val="0047116C"/>
    <w:rsid w:val="00471299"/>
    <w:rsid w:val="004713A2"/>
    <w:rsid w:val="004716EB"/>
    <w:rsid w:val="00471899"/>
    <w:rsid w:val="004718BC"/>
    <w:rsid w:val="00471914"/>
    <w:rsid w:val="00471AFA"/>
    <w:rsid w:val="00471BC6"/>
    <w:rsid w:val="00471C71"/>
    <w:rsid w:val="00471D34"/>
    <w:rsid w:val="00471E44"/>
    <w:rsid w:val="00471EE2"/>
    <w:rsid w:val="00471FB1"/>
    <w:rsid w:val="00472310"/>
    <w:rsid w:val="0047253E"/>
    <w:rsid w:val="0047269E"/>
    <w:rsid w:val="00472769"/>
    <w:rsid w:val="00472807"/>
    <w:rsid w:val="0047284D"/>
    <w:rsid w:val="004728A6"/>
    <w:rsid w:val="00472C5F"/>
    <w:rsid w:val="00472C9B"/>
    <w:rsid w:val="00472DE8"/>
    <w:rsid w:val="00472E70"/>
    <w:rsid w:val="00472ED5"/>
    <w:rsid w:val="00472EE2"/>
    <w:rsid w:val="00473085"/>
    <w:rsid w:val="004732A8"/>
    <w:rsid w:val="00473610"/>
    <w:rsid w:val="0047378A"/>
    <w:rsid w:val="004738C6"/>
    <w:rsid w:val="0047393E"/>
    <w:rsid w:val="0047396B"/>
    <w:rsid w:val="00473A5E"/>
    <w:rsid w:val="00473B3B"/>
    <w:rsid w:val="00473CF9"/>
    <w:rsid w:val="00473E64"/>
    <w:rsid w:val="0047408E"/>
    <w:rsid w:val="00474474"/>
    <w:rsid w:val="00474557"/>
    <w:rsid w:val="00474581"/>
    <w:rsid w:val="0047494F"/>
    <w:rsid w:val="00474961"/>
    <w:rsid w:val="00474B87"/>
    <w:rsid w:val="00474E5E"/>
    <w:rsid w:val="00474E6D"/>
    <w:rsid w:val="00474F25"/>
    <w:rsid w:val="0047506E"/>
    <w:rsid w:val="00475389"/>
    <w:rsid w:val="004753D8"/>
    <w:rsid w:val="0047547E"/>
    <w:rsid w:val="0047553B"/>
    <w:rsid w:val="00475677"/>
    <w:rsid w:val="00475691"/>
    <w:rsid w:val="004757B9"/>
    <w:rsid w:val="0047586C"/>
    <w:rsid w:val="004758A9"/>
    <w:rsid w:val="00475949"/>
    <w:rsid w:val="00475BDA"/>
    <w:rsid w:val="00475EEF"/>
    <w:rsid w:val="00476122"/>
    <w:rsid w:val="00476273"/>
    <w:rsid w:val="004763B6"/>
    <w:rsid w:val="004763D8"/>
    <w:rsid w:val="0047644A"/>
    <w:rsid w:val="0047679F"/>
    <w:rsid w:val="004767A5"/>
    <w:rsid w:val="00476822"/>
    <w:rsid w:val="00476830"/>
    <w:rsid w:val="00476873"/>
    <w:rsid w:val="00476BE9"/>
    <w:rsid w:val="00476E8D"/>
    <w:rsid w:val="00476FE6"/>
    <w:rsid w:val="004770E7"/>
    <w:rsid w:val="00477123"/>
    <w:rsid w:val="00477326"/>
    <w:rsid w:val="00477399"/>
    <w:rsid w:val="004773C3"/>
    <w:rsid w:val="004774B8"/>
    <w:rsid w:val="00477634"/>
    <w:rsid w:val="004777D6"/>
    <w:rsid w:val="00477C31"/>
    <w:rsid w:val="00477D87"/>
    <w:rsid w:val="00480173"/>
    <w:rsid w:val="0048020B"/>
    <w:rsid w:val="004802A2"/>
    <w:rsid w:val="00480501"/>
    <w:rsid w:val="004805BF"/>
    <w:rsid w:val="004806FC"/>
    <w:rsid w:val="004808A2"/>
    <w:rsid w:val="0048098B"/>
    <w:rsid w:val="004809F7"/>
    <w:rsid w:val="00480BBB"/>
    <w:rsid w:val="00480F29"/>
    <w:rsid w:val="004810EC"/>
    <w:rsid w:val="0048128F"/>
    <w:rsid w:val="004812E9"/>
    <w:rsid w:val="00481612"/>
    <w:rsid w:val="00481615"/>
    <w:rsid w:val="00481661"/>
    <w:rsid w:val="0048166D"/>
    <w:rsid w:val="00481713"/>
    <w:rsid w:val="004817DA"/>
    <w:rsid w:val="00481841"/>
    <w:rsid w:val="00481850"/>
    <w:rsid w:val="00481920"/>
    <w:rsid w:val="00481A99"/>
    <w:rsid w:val="00481C14"/>
    <w:rsid w:val="00482035"/>
    <w:rsid w:val="00482092"/>
    <w:rsid w:val="0048253A"/>
    <w:rsid w:val="004825B0"/>
    <w:rsid w:val="0048267D"/>
    <w:rsid w:val="004828BB"/>
    <w:rsid w:val="0048291F"/>
    <w:rsid w:val="004829D3"/>
    <w:rsid w:val="00482BD5"/>
    <w:rsid w:val="00482C20"/>
    <w:rsid w:val="00482CCC"/>
    <w:rsid w:val="00482D5E"/>
    <w:rsid w:val="00482ED1"/>
    <w:rsid w:val="00482EFB"/>
    <w:rsid w:val="00483130"/>
    <w:rsid w:val="00483133"/>
    <w:rsid w:val="0048313C"/>
    <w:rsid w:val="004831EE"/>
    <w:rsid w:val="0048338A"/>
    <w:rsid w:val="0048339E"/>
    <w:rsid w:val="00483477"/>
    <w:rsid w:val="004836A0"/>
    <w:rsid w:val="00483923"/>
    <w:rsid w:val="00483AE1"/>
    <w:rsid w:val="00483B92"/>
    <w:rsid w:val="00483CC5"/>
    <w:rsid w:val="00483F29"/>
    <w:rsid w:val="00483F60"/>
    <w:rsid w:val="00483FD8"/>
    <w:rsid w:val="0048418E"/>
    <w:rsid w:val="0048489A"/>
    <w:rsid w:val="00484A9B"/>
    <w:rsid w:val="00484B42"/>
    <w:rsid w:val="00484ECB"/>
    <w:rsid w:val="00484FA4"/>
    <w:rsid w:val="00485112"/>
    <w:rsid w:val="0048520F"/>
    <w:rsid w:val="00485494"/>
    <w:rsid w:val="0048571D"/>
    <w:rsid w:val="0048578D"/>
    <w:rsid w:val="00485A94"/>
    <w:rsid w:val="00485CDD"/>
    <w:rsid w:val="00485DBE"/>
    <w:rsid w:val="00485ECE"/>
    <w:rsid w:val="0048606B"/>
    <w:rsid w:val="004860BB"/>
    <w:rsid w:val="00486209"/>
    <w:rsid w:val="0048621C"/>
    <w:rsid w:val="0048643E"/>
    <w:rsid w:val="004864DA"/>
    <w:rsid w:val="0048673D"/>
    <w:rsid w:val="00486781"/>
    <w:rsid w:val="0048678E"/>
    <w:rsid w:val="00486D94"/>
    <w:rsid w:val="00486E2C"/>
    <w:rsid w:val="00486FB1"/>
    <w:rsid w:val="00486FFA"/>
    <w:rsid w:val="00487130"/>
    <w:rsid w:val="00487202"/>
    <w:rsid w:val="004872BC"/>
    <w:rsid w:val="004874A4"/>
    <w:rsid w:val="004874FD"/>
    <w:rsid w:val="004878D1"/>
    <w:rsid w:val="00487CAB"/>
    <w:rsid w:val="00487D71"/>
    <w:rsid w:val="00490379"/>
    <w:rsid w:val="004903DD"/>
    <w:rsid w:val="00490874"/>
    <w:rsid w:val="004908DE"/>
    <w:rsid w:val="00490A64"/>
    <w:rsid w:val="00490AC0"/>
    <w:rsid w:val="00490C84"/>
    <w:rsid w:val="00490C95"/>
    <w:rsid w:val="00490E6A"/>
    <w:rsid w:val="00490E94"/>
    <w:rsid w:val="00490F22"/>
    <w:rsid w:val="00490FD0"/>
    <w:rsid w:val="00490FEE"/>
    <w:rsid w:val="004910A6"/>
    <w:rsid w:val="0049116F"/>
    <w:rsid w:val="00491436"/>
    <w:rsid w:val="00491479"/>
    <w:rsid w:val="0049150B"/>
    <w:rsid w:val="00491613"/>
    <w:rsid w:val="004916D4"/>
    <w:rsid w:val="004916EE"/>
    <w:rsid w:val="004917C0"/>
    <w:rsid w:val="00491809"/>
    <w:rsid w:val="004919C3"/>
    <w:rsid w:val="00491AC7"/>
    <w:rsid w:val="00491B8B"/>
    <w:rsid w:val="00491BD0"/>
    <w:rsid w:val="00491D04"/>
    <w:rsid w:val="00491D5C"/>
    <w:rsid w:val="00491F22"/>
    <w:rsid w:val="004922EA"/>
    <w:rsid w:val="0049243D"/>
    <w:rsid w:val="00492545"/>
    <w:rsid w:val="00492557"/>
    <w:rsid w:val="0049256B"/>
    <w:rsid w:val="00492650"/>
    <w:rsid w:val="00492654"/>
    <w:rsid w:val="004929F9"/>
    <w:rsid w:val="00492B2A"/>
    <w:rsid w:val="00492B44"/>
    <w:rsid w:val="00492C17"/>
    <w:rsid w:val="00493127"/>
    <w:rsid w:val="0049325D"/>
    <w:rsid w:val="004933F3"/>
    <w:rsid w:val="00493452"/>
    <w:rsid w:val="0049365F"/>
    <w:rsid w:val="00493719"/>
    <w:rsid w:val="00493896"/>
    <w:rsid w:val="004938F1"/>
    <w:rsid w:val="00493A31"/>
    <w:rsid w:val="00493A95"/>
    <w:rsid w:val="00493FCF"/>
    <w:rsid w:val="00494014"/>
    <w:rsid w:val="00494071"/>
    <w:rsid w:val="0049415F"/>
    <w:rsid w:val="004941EF"/>
    <w:rsid w:val="0049430A"/>
    <w:rsid w:val="00494355"/>
    <w:rsid w:val="004943E1"/>
    <w:rsid w:val="004943FC"/>
    <w:rsid w:val="004944FF"/>
    <w:rsid w:val="00494552"/>
    <w:rsid w:val="004945D7"/>
    <w:rsid w:val="0049466E"/>
    <w:rsid w:val="00494761"/>
    <w:rsid w:val="0049486D"/>
    <w:rsid w:val="0049487F"/>
    <w:rsid w:val="00494881"/>
    <w:rsid w:val="00494945"/>
    <w:rsid w:val="00494A04"/>
    <w:rsid w:val="00494A97"/>
    <w:rsid w:val="00494B58"/>
    <w:rsid w:val="00494CBF"/>
    <w:rsid w:val="00495170"/>
    <w:rsid w:val="00495240"/>
    <w:rsid w:val="00495492"/>
    <w:rsid w:val="004955CD"/>
    <w:rsid w:val="004956A7"/>
    <w:rsid w:val="00495AE7"/>
    <w:rsid w:val="00495B75"/>
    <w:rsid w:val="00495BC0"/>
    <w:rsid w:val="00495BC4"/>
    <w:rsid w:val="00495E07"/>
    <w:rsid w:val="00495E40"/>
    <w:rsid w:val="00495F3E"/>
    <w:rsid w:val="00496055"/>
    <w:rsid w:val="0049605F"/>
    <w:rsid w:val="004963DC"/>
    <w:rsid w:val="00496475"/>
    <w:rsid w:val="0049654D"/>
    <w:rsid w:val="004965A4"/>
    <w:rsid w:val="004966A8"/>
    <w:rsid w:val="0049671B"/>
    <w:rsid w:val="0049675C"/>
    <w:rsid w:val="00496BDF"/>
    <w:rsid w:val="00496C42"/>
    <w:rsid w:val="00496C43"/>
    <w:rsid w:val="00496CC1"/>
    <w:rsid w:val="00496ED5"/>
    <w:rsid w:val="00496F6B"/>
    <w:rsid w:val="00496F9F"/>
    <w:rsid w:val="00496FA5"/>
    <w:rsid w:val="004971A8"/>
    <w:rsid w:val="004972B7"/>
    <w:rsid w:val="00497435"/>
    <w:rsid w:val="004974A4"/>
    <w:rsid w:val="004974F2"/>
    <w:rsid w:val="00497796"/>
    <w:rsid w:val="004977F1"/>
    <w:rsid w:val="004977F4"/>
    <w:rsid w:val="00497D48"/>
    <w:rsid w:val="00497DA9"/>
    <w:rsid w:val="00497F70"/>
    <w:rsid w:val="004A02CE"/>
    <w:rsid w:val="004A03E5"/>
    <w:rsid w:val="004A03E6"/>
    <w:rsid w:val="004A0429"/>
    <w:rsid w:val="004A069A"/>
    <w:rsid w:val="004A09A2"/>
    <w:rsid w:val="004A09B0"/>
    <w:rsid w:val="004A0FAC"/>
    <w:rsid w:val="004A1118"/>
    <w:rsid w:val="004A12D3"/>
    <w:rsid w:val="004A12E1"/>
    <w:rsid w:val="004A1402"/>
    <w:rsid w:val="004A1546"/>
    <w:rsid w:val="004A1774"/>
    <w:rsid w:val="004A1AC5"/>
    <w:rsid w:val="004A1C20"/>
    <w:rsid w:val="004A1CFE"/>
    <w:rsid w:val="004A1DBE"/>
    <w:rsid w:val="004A1E59"/>
    <w:rsid w:val="004A1E6D"/>
    <w:rsid w:val="004A1ECC"/>
    <w:rsid w:val="004A1EE6"/>
    <w:rsid w:val="004A1F77"/>
    <w:rsid w:val="004A20D0"/>
    <w:rsid w:val="004A2170"/>
    <w:rsid w:val="004A238C"/>
    <w:rsid w:val="004A2884"/>
    <w:rsid w:val="004A2971"/>
    <w:rsid w:val="004A2A09"/>
    <w:rsid w:val="004A2C76"/>
    <w:rsid w:val="004A2DA2"/>
    <w:rsid w:val="004A2EDC"/>
    <w:rsid w:val="004A2F26"/>
    <w:rsid w:val="004A2F5D"/>
    <w:rsid w:val="004A2FD7"/>
    <w:rsid w:val="004A312E"/>
    <w:rsid w:val="004A3283"/>
    <w:rsid w:val="004A3338"/>
    <w:rsid w:val="004A33BD"/>
    <w:rsid w:val="004A3500"/>
    <w:rsid w:val="004A3521"/>
    <w:rsid w:val="004A3526"/>
    <w:rsid w:val="004A3645"/>
    <w:rsid w:val="004A3A1A"/>
    <w:rsid w:val="004A3AD3"/>
    <w:rsid w:val="004A3DA9"/>
    <w:rsid w:val="004A3EC4"/>
    <w:rsid w:val="004A3F39"/>
    <w:rsid w:val="004A3F85"/>
    <w:rsid w:val="004A403B"/>
    <w:rsid w:val="004A420E"/>
    <w:rsid w:val="004A4232"/>
    <w:rsid w:val="004A4265"/>
    <w:rsid w:val="004A4390"/>
    <w:rsid w:val="004A44C9"/>
    <w:rsid w:val="004A46B7"/>
    <w:rsid w:val="004A46BB"/>
    <w:rsid w:val="004A4DF8"/>
    <w:rsid w:val="004A4EB4"/>
    <w:rsid w:val="004A4FC8"/>
    <w:rsid w:val="004A503D"/>
    <w:rsid w:val="004A5095"/>
    <w:rsid w:val="004A50CB"/>
    <w:rsid w:val="004A50D4"/>
    <w:rsid w:val="004A5122"/>
    <w:rsid w:val="004A544F"/>
    <w:rsid w:val="004A5593"/>
    <w:rsid w:val="004A5811"/>
    <w:rsid w:val="004A5836"/>
    <w:rsid w:val="004A5883"/>
    <w:rsid w:val="004A58D3"/>
    <w:rsid w:val="004A5BF0"/>
    <w:rsid w:val="004A5BF5"/>
    <w:rsid w:val="004A5F02"/>
    <w:rsid w:val="004A5F9D"/>
    <w:rsid w:val="004A62D6"/>
    <w:rsid w:val="004A6483"/>
    <w:rsid w:val="004A64E9"/>
    <w:rsid w:val="004A67A3"/>
    <w:rsid w:val="004A6F97"/>
    <w:rsid w:val="004A703B"/>
    <w:rsid w:val="004A7062"/>
    <w:rsid w:val="004A7071"/>
    <w:rsid w:val="004A71C6"/>
    <w:rsid w:val="004A72EF"/>
    <w:rsid w:val="004A78B0"/>
    <w:rsid w:val="004A7AF2"/>
    <w:rsid w:val="004A7B2F"/>
    <w:rsid w:val="004A7E7F"/>
    <w:rsid w:val="004B027F"/>
    <w:rsid w:val="004B033B"/>
    <w:rsid w:val="004B052F"/>
    <w:rsid w:val="004B07AF"/>
    <w:rsid w:val="004B07E4"/>
    <w:rsid w:val="004B0B9E"/>
    <w:rsid w:val="004B0C8B"/>
    <w:rsid w:val="004B0CDC"/>
    <w:rsid w:val="004B109D"/>
    <w:rsid w:val="004B134C"/>
    <w:rsid w:val="004B141F"/>
    <w:rsid w:val="004B1996"/>
    <w:rsid w:val="004B1B33"/>
    <w:rsid w:val="004B1BDE"/>
    <w:rsid w:val="004B1E36"/>
    <w:rsid w:val="004B1E6C"/>
    <w:rsid w:val="004B1E6E"/>
    <w:rsid w:val="004B1E85"/>
    <w:rsid w:val="004B1F48"/>
    <w:rsid w:val="004B1F52"/>
    <w:rsid w:val="004B2083"/>
    <w:rsid w:val="004B2288"/>
    <w:rsid w:val="004B22C5"/>
    <w:rsid w:val="004B22DA"/>
    <w:rsid w:val="004B2737"/>
    <w:rsid w:val="004B2992"/>
    <w:rsid w:val="004B2A4A"/>
    <w:rsid w:val="004B2A95"/>
    <w:rsid w:val="004B2BDE"/>
    <w:rsid w:val="004B2D3F"/>
    <w:rsid w:val="004B2E07"/>
    <w:rsid w:val="004B33BB"/>
    <w:rsid w:val="004B3780"/>
    <w:rsid w:val="004B3916"/>
    <w:rsid w:val="004B3E3E"/>
    <w:rsid w:val="004B3F02"/>
    <w:rsid w:val="004B3F0A"/>
    <w:rsid w:val="004B40DA"/>
    <w:rsid w:val="004B4306"/>
    <w:rsid w:val="004B4308"/>
    <w:rsid w:val="004B4314"/>
    <w:rsid w:val="004B43AC"/>
    <w:rsid w:val="004B44FA"/>
    <w:rsid w:val="004B469D"/>
    <w:rsid w:val="004B46F3"/>
    <w:rsid w:val="004B479A"/>
    <w:rsid w:val="004B47E2"/>
    <w:rsid w:val="004B488F"/>
    <w:rsid w:val="004B48AC"/>
    <w:rsid w:val="004B4A38"/>
    <w:rsid w:val="004B4A8D"/>
    <w:rsid w:val="004B4A91"/>
    <w:rsid w:val="004B4BBC"/>
    <w:rsid w:val="004B4C52"/>
    <w:rsid w:val="004B4E4C"/>
    <w:rsid w:val="004B4F99"/>
    <w:rsid w:val="004B50FB"/>
    <w:rsid w:val="004B5257"/>
    <w:rsid w:val="004B5547"/>
    <w:rsid w:val="004B57E1"/>
    <w:rsid w:val="004B5882"/>
    <w:rsid w:val="004B5969"/>
    <w:rsid w:val="004B5984"/>
    <w:rsid w:val="004B5C6E"/>
    <w:rsid w:val="004B5C6F"/>
    <w:rsid w:val="004B5CC8"/>
    <w:rsid w:val="004B5F1B"/>
    <w:rsid w:val="004B5F69"/>
    <w:rsid w:val="004B60A0"/>
    <w:rsid w:val="004B60B4"/>
    <w:rsid w:val="004B617A"/>
    <w:rsid w:val="004B63F6"/>
    <w:rsid w:val="004B643B"/>
    <w:rsid w:val="004B6745"/>
    <w:rsid w:val="004B68F2"/>
    <w:rsid w:val="004B69DE"/>
    <w:rsid w:val="004B6A21"/>
    <w:rsid w:val="004B6AA8"/>
    <w:rsid w:val="004B6D4D"/>
    <w:rsid w:val="004B6E17"/>
    <w:rsid w:val="004B6E42"/>
    <w:rsid w:val="004B6ECA"/>
    <w:rsid w:val="004B6F5A"/>
    <w:rsid w:val="004B7021"/>
    <w:rsid w:val="004B72A8"/>
    <w:rsid w:val="004B75BA"/>
    <w:rsid w:val="004B76C4"/>
    <w:rsid w:val="004B7727"/>
    <w:rsid w:val="004B7872"/>
    <w:rsid w:val="004B7A71"/>
    <w:rsid w:val="004B7A8B"/>
    <w:rsid w:val="004B7CEE"/>
    <w:rsid w:val="004B7DFF"/>
    <w:rsid w:val="004C0104"/>
    <w:rsid w:val="004C059D"/>
    <w:rsid w:val="004C0768"/>
    <w:rsid w:val="004C09E9"/>
    <w:rsid w:val="004C0AB3"/>
    <w:rsid w:val="004C0E28"/>
    <w:rsid w:val="004C0FAF"/>
    <w:rsid w:val="004C103C"/>
    <w:rsid w:val="004C11D2"/>
    <w:rsid w:val="004C135B"/>
    <w:rsid w:val="004C13FC"/>
    <w:rsid w:val="004C1679"/>
    <w:rsid w:val="004C190E"/>
    <w:rsid w:val="004C1E39"/>
    <w:rsid w:val="004C1EA0"/>
    <w:rsid w:val="004C2144"/>
    <w:rsid w:val="004C21AD"/>
    <w:rsid w:val="004C222B"/>
    <w:rsid w:val="004C2259"/>
    <w:rsid w:val="004C271F"/>
    <w:rsid w:val="004C2A8B"/>
    <w:rsid w:val="004C2B68"/>
    <w:rsid w:val="004C2B83"/>
    <w:rsid w:val="004C2CCE"/>
    <w:rsid w:val="004C2CD5"/>
    <w:rsid w:val="004C2D70"/>
    <w:rsid w:val="004C2EE9"/>
    <w:rsid w:val="004C33C8"/>
    <w:rsid w:val="004C3422"/>
    <w:rsid w:val="004C38BF"/>
    <w:rsid w:val="004C38D1"/>
    <w:rsid w:val="004C3B5E"/>
    <w:rsid w:val="004C3C00"/>
    <w:rsid w:val="004C3D2C"/>
    <w:rsid w:val="004C3DC0"/>
    <w:rsid w:val="004C3E59"/>
    <w:rsid w:val="004C404B"/>
    <w:rsid w:val="004C41C0"/>
    <w:rsid w:val="004C4260"/>
    <w:rsid w:val="004C4268"/>
    <w:rsid w:val="004C440B"/>
    <w:rsid w:val="004C4487"/>
    <w:rsid w:val="004C44AB"/>
    <w:rsid w:val="004C456B"/>
    <w:rsid w:val="004C45CE"/>
    <w:rsid w:val="004C4661"/>
    <w:rsid w:val="004C47C1"/>
    <w:rsid w:val="004C4804"/>
    <w:rsid w:val="004C4C10"/>
    <w:rsid w:val="004C4D2B"/>
    <w:rsid w:val="004C4D5F"/>
    <w:rsid w:val="004C4D6B"/>
    <w:rsid w:val="004C4F7C"/>
    <w:rsid w:val="004C5005"/>
    <w:rsid w:val="004C501A"/>
    <w:rsid w:val="004C506E"/>
    <w:rsid w:val="004C50BC"/>
    <w:rsid w:val="004C523F"/>
    <w:rsid w:val="004C5614"/>
    <w:rsid w:val="004C569A"/>
    <w:rsid w:val="004C5776"/>
    <w:rsid w:val="004C599D"/>
    <w:rsid w:val="004C5A54"/>
    <w:rsid w:val="004C5C36"/>
    <w:rsid w:val="004C5E43"/>
    <w:rsid w:val="004C60AF"/>
    <w:rsid w:val="004C6311"/>
    <w:rsid w:val="004C6335"/>
    <w:rsid w:val="004C6630"/>
    <w:rsid w:val="004C6B54"/>
    <w:rsid w:val="004C6B84"/>
    <w:rsid w:val="004C6BD7"/>
    <w:rsid w:val="004C6DCA"/>
    <w:rsid w:val="004C7111"/>
    <w:rsid w:val="004C7319"/>
    <w:rsid w:val="004C7764"/>
    <w:rsid w:val="004C792C"/>
    <w:rsid w:val="004C7A09"/>
    <w:rsid w:val="004C7A5D"/>
    <w:rsid w:val="004C7BB1"/>
    <w:rsid w:val="004C7DED"/>
    <w:rsid w:val="004C7FD5"/>
    <w:rsid w:val="004D00CB"/>
    <w:rsid w:val="004D0659"/>
    <w:rsid w:val="004D0A5E"/>
    <w:rsid w:val="004D0C54"/>
    <w:rsid w:val="004D0D36"/>
    <w:rsid w:val="004D0D50"/>
    <w:rsid w:val="004D0FE1"/>
    <w:rsid w:val="004D127B"/>
    <w:rsid w:val="004D14EB"/>
    <w:rsid w:val="004D1519"/>
    <w:rsid w:val="004D1B94"/>
    <w:rsid w:val="004D1D65"/>
    <w:rsid w:val="004D2030"/>
    <w:rsid w:val="004D20CE"/>
    <w:rsid w:val="004D2321"/>
    <w:rsid w:val="004D23A3"/>
    <w:rsid w:val="004D23A4"/>
    <w:rsid w:val="004D2428"/>
    <w:rsid w:val="004D2504"/>
    <w:rsid w:val="004D2615"/>
    <w:rsid w:val="004D2620"/>
    <w:rsid w:val="004D27FF"/>
    <w:rsid w:val="004D2A89"/>
    <w:rsid w:val="004D2BBE"/>
    <w:rsid w:val="004D2D28"/>
    <w:rsid w:val="004D30ED"/>
    <w:rsid w:val="004D32B4"/>
    <w:rsid w:val="004D3398"/>
    <w:rsid w:val="004D3461"/>
    <w:rsid w:val="004D3465"/>
    <w:rsid w:val="004D35E8"/>
    <w:rsid w:val="004D37ED"/>
    <w:rsid w:val="004D3A93"/>
    <w:rsid w:val="004D3B24"/>
    <w:rsid w:val="004D3C40"/>
    <w:rsid w:val="004D3CD2"/>
    <w:rsid w:val="004D3D5E"/>
    <w:rsid w:val="004D3FD6"/>
    <w:rsid w:val="004D42DF"/>
    <w:rsid w:val="004D42FB"/>
    <w:rsid w:val="004D4364"/>
    <w:rsid w:val="004D443C"/>
    <w:rsid w:val="004D46C7"/>
    <w:rsid w:val="004D47E5"/>
    <w:rsid w:val="004D4824"/>
    <w:rsid w:val="004D4873"/>
    <w:rsid w:val="004D49BE"/>
    <w:rsid w:val="004D4A1A"/>
    <w:rsid w:val="004D4C17"/>
    <w:rsid w:val="004D4C67"/>
    <w:rsid w:val="004D4CA2"/>
    <w:rsid w:val="004D4FCB"/>
    <w:rsid w:val="004D50F5"/>
    <w:rsid w:val="004D51D9"/>
    <w:rsid w:val="004D536B"/>
    <w:rsid w:val="004D53CB"/>
    <w:rsid w:val="004D5AC6"/>
    <w:rsid w:val="004D5B2C"/>
    <w:rsid w:val="004D5BBF"/>
    <w:rsid w:val="004D5BF5"/>
    <w:rsid w:val="004D5FBD"/>
    <w:rsid w:val="004D614C"/>
    <w:rsid w:val="004D61C5"/>
    <w:rsid w:val="004D67F6"/>
    <w:rsid w:val="004D6C34"/>
    <w:rsid w:val="004D6E4A"/>
    <w:rsid w:val="004D710F"/>
    <w:rsid w:val="004D716C"/>
    <w:rsid w:val="004D7274"/>
    <w:rsid w:val="004D73FC"/>
    <w:rsid w:val="004D74E2"/>
    <w:rsid w:val="004D757A"/>
    <w:rsid w:val="004D77A1"/>
    <w:rsid w:val="004D796D"/>
    <w:rsid w:val="004D7C53"/>
    <w:rsid w:val="004D7E83"/>
    <w:rsid w:val="004E0088"/>
    <w:rsid w:val="004E019F"/>
    <w:rsid w:val="004E032D"/>
    <w:rsid w:val="004E03A3"/>
    <w:rsid w:val="004E03F6"/>
    <w:rsid w:val="004E07BE"/>
    <w:rsid w:val="004E08A5"/>
    <w:rsid w:val="004E0AAD"/>
    <w:rsid w:val="004E0E4C"/>
    <w:rsid w:val="004E0F4C"/>
    <w:rsid w:val="004E0F6B"/>
    <w:rsid w:val="004E11BB"/>
    <w:rsid w:val="004E12DD"/>
    <w:rsid w:val="004E1365"/>
    <w:rsid w:val="004E13AE"/>
    <w:rsid w:val="004E1600"/>
    <w:rsid w:val="004E18DE"/>
    <w:rsid w:val="004E1C82"/>
    <w:rsid w:val="004E1DAE"/>
    <w:rsid w:val="004E1EFD"/>
    <w:rsid w:val="004E1F4D"/>
    <w:rsid w:val="004E20F2"/>
    <w:rsid w:val="004E21A0"/>
    <w:rsid w:val="004E22D5"/>
    <w:rsid w:val="004E24DE"/>
    <w:rsid w:val="004E25A6"/>
    <w:rsid w:val="004E26E9"/>
    <w:rsid w:val="004E2840"/>
    <w:rsid w:val="004E28BA"/>
    <w:rsid w:val="004E2C66"/>
    <w:rsid w:val="004E2D64"/>
    <w:rsid w:val="004E3031"/>
    <w:rsid w:val="004E318C"/>
    <w:rsid w:val="004E344B"/>
    <w:rsid w:val="004E369B"/>
    <w:rsid w:val="004E36F3"/>
    <w:rsid w:val="004E3811"/>
    <w:rsid w:val="004E3AA7"/>
    <w:rsid w:val="004E3B0E"/>
    <w:rsid w:val="004E3B22"/>
    <w:rsid w:val="004E3C01"/>
    <w:rsid w:val="004E3C15"/>
    <w:rsid w:val="004E3D72"/>
    <w:rsid w:val="004E3DF3"/>
    <w:rsid w:val="004E3DF9"/>
    <w:rsid w:val="004E3F50"/>
    <w:rsid w:val="004E3F77"/>
    <w:rsid w:val="004E4056"/>
    <w:rsid w:val="004E410D"/>
    <w:rsid w:val="004E4375"/>
    <w:rsid w:val="004E4444"/>
    <w:rsid w:val="004E447B"/>
    <w:rsid w:val="004E4601"/>
    <w:rsid w:val="004E4698"/>
    <w:rsid w:val="004E47EC"/>
    <w:rsid w:val="004E4861"/>
    <w:rsid w:val="004E4951"/>
    <w:rsid w:val="004E4B01"/>
    <w:rsid w:val="004E4BA4"/>
    <w:rsid w:val="004E4C22"/>
    <w:rsid w:val="004E4DA0"/>
    <w:rsid w:val="004E4E56"/>
    <w:rsid w:val="004E4E67"/>
    <w:rsid w:val="004E4EA9"/>
    <w:rsid w:val="004E5038"/>
    <w:rsid w:val="004E5054"/>
    <w:rsid w:val="004E508F"/>
    <w:rsid w:val="004E525C"/>
    <w:rsid w:val="004E52D9"/>
    <w:rsid w:val="004E55A9"/>
    <w:rsid w:val="004E560B"/>
    <w:rsid w:val="004E567C"/>
    <w:rsid w:val="004E56F5"/>
    <w:rsid w:val="004E57C4"/>
    <w:rsid w:val="004E58F5"/>
    <w:rsid w:val="004E5B1E"/>
    <w:rsid w:val="004E5BF5"/>
    <w:rsid w:val="004E5C15"/>
    <w:rsid w:val="004E5C8D"/>
    <w:rsid w:val="004E5CC7"/>
    <w:rsid w:val="004E5DE9"/>
    <w:rsid w:val="004E5E2F"/>
    <w:rsid w:val="004E62EA"/>
    <w:rsid w:val="004E6346"/>
    <w:rsid w:val="004E6404"/>
    <w:rsid w:val="004E6422"/>
    <w:rsid w:val="004E645F"/>
    <w:rsid w:val="004E661D"/>
    <w:rsid w:val="004E6990"/>
    <w:rsid w:val="004E6A16"/>
    <w:rsid w:val="004E6D2A"/>
    <w:rsid w:val="004E6FC0"/>
    <w:rsid w:val="004E70C9"/>
    <w:rsid w:val="004E7130"/>
    <w:rsid w:val="004E7252"/>
    <w:rsid w:val="004E7298"/>
    <w:rsid w:val="004E7364"/>
    <w:rsid w:val="004E77DC"/>
    <w:rsid w:val="004E7868"/>
    <w:rsid w:val="004E7FBC"/>
    <w:rsid w:val="004F0196"/>
    <w:rsid w:val="004F022D"/>
    <w:rsid w:val="004F02DC"/>
    <w:rsid w:val="004F04C0"/>
    <w:rsid w:val="004F062F"/>
    <w:rsid w:val="004F0761"/>
    <w:rsid w:val="004F0790"/>
    <w:rsid w:val="004F0833"/>
    <w:rsid w:val="004F08B1"/>
    <w:rsid w:val="004F0A0C"/>
    <w:rsid w:val="004F0C50"/>
    <w:rsid w:val="004F0EAC"/>
    <w:rsid w:val="004F0F8B"/>
    <w:rsid w:val="004F0FDD"/>
    <w:rsid w:val="004F15A2"/>
    <w:rsid w:val="004F15B6"/>
    <w:rsid w:val="004F171D"/>
    <w:rsid w:val="004F179B"/>
    <w:rsid w:val="004F1B4C"/>
    <w:rsid w:val="004F1D2E"/>
    <w:rsid w:val="004F1D3C"/>
    <w:rsid w:val="004F1DBF"/>
    <w:rsid w:val="004F1F7C"/>
    <w:rsid w:val="004F2030"/>
    <w:rsid w:val="004F21A7"/>
    <w:rsid w:val="004F22BE"/>
    <w:rsid w:val="004F2358"/>
    <w:rsid w:val="004F2376"/>
    <w:rsid w:val="004F24A3"/>
    <w:rsid w:val="004F255F"/>
    <w:rsid w:val="004F2625"/>
    <w:rsid w:val="004F2918"/>
    <w:rsid w:val="004F296B"/>
    <w:rsid w:val="004F2975"/>
    <w:rsid w:val="004F2D10"/>
    <w:rsid w:val="004F2E6F"/>
    <w:rsid w:val="004F314D"/>
    <w:rsid w:val="004F32C2"/>
    <w:rsid w:val="004F3436"/>
    <w:rsid w:val="004F3556"/>
    <w:rsid w:val="004F37B1"/>
    <w:rsid w:val="004F37B2"/>
    <w:rsid w:val="004F3818"/>
    <w:rsid w:val="004F38E3"/>
    <w:rsid w:val="004F3AF1"/>
    <w:rsid w:val="004F3BC4"/>
    <w:rsid w:val="004F3BDC"/>
    <w:rsid w:val="004F3F1B"/>
    <w:rsid w:val="004F3F6A"/>
    <w:rsid w:val="004F43D2"/>
    <w:rsid w:val="004F4544"/>
    <w:rsid w:val="004F4752"/>
    <w:rsid w:val="004F49BE"/>
    <w:rsid w:val="004F4BEB"/>
    <w:rsid w:val="004F4C2C"/>
    <w:rsid w:val="004F4DCB"/>
    <w:rsid w:val="004F4E46"/>
    <w:rsid w:val="004F5000"/>
    <w:rsid w:val="004F51C5"/>
    <w:rsid w:val="004F538C"/>
    <w:rsid w:val="004F54B6"/>
    <w:rsid w:val="004F550D"/>
    <w:rsid w:val="004F5734"/>
    <w:rsid w:val="004F5740"/>
    <w:rsid w:val="004F5759"/>
    <w:rsid w:val="004F580B"/>
    <w:rsid w:val="004F58AB"/>
    <w:rsid w:val="004F58D3"/>
    <w:rsid w:val="004F58E2"/>
    <w:rsid w:val="004F5915"/>
    <w:rsid w:val="004F599F"/>
    <w:rsid w:val="004F635D"/>
    <w:rsid w:val="004F6475"/>
    <w:rsid w:val="004F6559"/>
    <w:rsid w:val="004F659E"/>
    <w:rsid w:val="004F67B2"/>
    <w:rsid w:val="004F6AA8"/>
    <w:rsid w:val="004F6C9C"/>
    <w:rsid w:val="004F6F1A"/>
    <w:rsid w:val="004F6FE5"/>
    <w:rsid w:val="004F7405"/>
    <w:rsid w:val="004F7924"/>
    <w:rsid w:val="004F7B42"/>
    <w:rsid w:val="004F7B6E"/>
    <w:rsid w:val="004F7F1D"/>
    <w:rsid w:val="004F7F99"/>
    <w:rsid w:val="0050001C"/>
    <w:rsid w:val="00500209"/>
    <w:rsid w:val="005005E8"/>
    <w:rsid w:val="0050075C"/>
    <w:rsid w:val="0050086B"/>
    <w:rsid w:val="00500ABE"/>
    <w:rsid w:val="00500AD1"/>
    <w:rsid w:val="00500B2A"/>
    <w:rsid w:val="00500D4B"/>
    <w:rsid w:val="0050125F"/>
    <w:rsid w:val="00501327"/>
    <w:rsid w:val="005014E6"/>
    <w:rsid w:val="00501557"/>
    <w:rsid w:val="005017AC"/>
    <w:rsid w:val="005017D3"/>
    <w:rsid w:val="0050180A"/>
    <w:rsid w:val="0050192F"/>
    <w:rsid w:val="00501A3F"/>
    <w:rsid w:val="00502042"/>
    <w:rsid w:val="00502200"/>
    <w:rsid w:val="0050223C"/>
    <w:rsid w:val="00502268"/>
    <w:rsid w:val="005022EE"/>
    <w:rsid w:val="005023BE"/>
    <w:rsid w:val="005023BF"/>
    <w:rsid w:val="005023DF"/>
    <w:rsid w:val="0050245B"/>
    <w:rsid w:val="0050249F"/>
    <w:rsid w:val="00502608"/>
    <w:rsid w:val="00502910"/>
    <w:rsid w:val="00502C5A"/>
    <w:rsid w:val="00502C9B"/>
    <w:rsid w:val="00502CCA"/>
    <w:rsid w:val="00502F5F"/>
    <w:rsid w:val="00502FA8"/>
    <w:rsid w:val="005030A8"/>
    <w:rsid w:val="00503104"/>
    <w:rsid w:val="00503190"/>
    <w:rsid w:val="005031A7"/>
    <w:rsid w:val="005033E6"/>
    <w:rsid w:val="00503432"/>
    <w:rsid w:val="00503509"/>
    <w:rsid w:val="00503721"/>
    <w:rsid w:val="005038F9"/>
    <w:rsid w:val="00503BE9"/>
    <w:rsid w:val="00503C11"/>
    <w:rsid w:val="00503CFB"/>
    <w:rsid w:val="00503F6A"/>
    <w:rsid w:val="005042BE"/>
    <w:rsid w:val="00504570"/>
    <w:rsid w:val="005045FF"/>
    <w:rsid w:val="0050460A"/>
    <w:rsid w:val="005046BF"/>
    <w:rsid w:val="0050473F"/>
    <w:rsid w:val="005047DF"/>
    <w:rsid w:val="00504803"/>
    <w:rsid w:val="00504AE3"/>
    <w:rsid w:val="00504C9F"/>
    <w:rsid w:val="00504CC5"/>
    <w:rsid w:val="00504DFF"/>
    <w:rsid w:val="00504E97"/>
    <w:rsid w:val="00504F12"/>
    <w:rsid w:val="00505095"/>
    <w:rsid w:val="00505181"/>
    <w:rsid w:val="005051AC"/>
    <w:rsid w:val="00505247"/>
    <w:rsid w:val="0050534A"/>
    <w:rsid w:val="00505464"/>
    <w:rsid w:val="00505D9F"/>
    <w:rsid w:val="00505DEE"/>
    <w:rsid w:val="0050628B"/>
    <w:rsid w:val="0050632A"/>
    <w:rsid w:val="00506334"/>
    <w:rsid w:val="00506431"/>
    <w:rsid w:val="00506462"/>
    <w:rsid w:val="0050647D"/>
    <w:rsid w:val="0050648E"/>
    <w:rsid w:val="005065B7"/>
    <w:rsid w:val="00506B3B"/>
    <w:rsid w:val="00506BE8"/>
    <w:rsid w:val="00506D75"/>
    <w:rsid w:val="00506E20"/>
    <w:rsid w:val="00506E33"/>
    <w:rsid w:val="00506EB0"/>
    <w:rsid w:val="00506F9E"/>
    <w:rsid w:val="0050710F"/>
    <w:rsid w:val="00507277"/>
    <w:rsid w:val="005072D3"/>
    <w:rsid w:val="005073C6"/>
    <w:rsid w:val="00507549"/>
    <w:rsid w:val="0050764A"/>
    <w:rsid w:val="00507999"/>
    <w:rsid w:val="00507B2B"/>
    <w:rsid w:val="00507BB3"/>
    <w:rsid w:val="00507EFC"/>
    <w:rsid w:val="0051046B"/>
    <w:rsid w:val="0051077C"/>
    <w:rsid w:val="005107E9"/>
    <w:rsid w:val="005107F7"/>
    <w:rsid w:val="00510D68"/>
    <w:rsid w:val="005110B5"/>
    <w:rsid w:val="00511188"/>
    <w:rsid w:val="00511278"/>
    <w:rsid w:val="005112B7"/>
    <w:rsid w:val="00511414"/>
    <w:rsid w:val="005115FA"/>
    <w:rsid w:val="00511644"/>
    <w:rsid w:val="00511705"/>
    <w:rsid w:val="00511825"/>
    <w:rsid w:val="00511AC6"/>
    <w:rsid w:val="00511B90"/>
    <w:rsid w:val="00511C5E"/>
    <w:rsid w:val="00511D94"/>
    <w:rsid w:val="00512064"/>
    <w:rsid w:val="005120D8"/>
    <w:rsid w:val="0051220C"/>
    <w:rsid w:val="0051224C"/>
    <w:rsid w:val="00512368"/>
    <w:rsid w:val="00512444"/>
    <w:rsid w:val="005124E9"/>
    <w:rsid w:val="005127E8"/>
    <w:rsid w:val="005127F0"/>
    <w:rsid w:val="0051296E"/>
    <w:rsid w:val="00512A39"/>
    <w:rsid w:val="00512B82"/>
    <w:rsid w:val="00512CA9"/>
    <w:rsid w:val="00512CCB"/>
    <w:rsid w:val="00513156"/>
    <w:rsid w:val="0051322C"/>
    <w:rsid w:val="00513379"/>
    <w:rsid w:val="005134BA"/>
    <w:rsid w:val="00513835"/>
    <w:rsid w:val="005139B6"/>
    <w:rsid w:val="005139CC"/>
    <w:rsid w:val="00513AA4"/>
    <w:rsid w:val="00513C16"/>
    <w:rsid w:val="00513C57"/>
    <w:rsid w:val="00513CFF"/>
    <w:rsid w:val="00513DC4"/>
    <w:rsid w:val="00513DE0"/>
    <w:rsid w:val="00513E14"/>
    <w:rsid w:val="00514004"/>
    <w:rsid w:val="00514148"/>
    <w:rsid w:val="005141C6"/>
    <w:rsid w:val="005141C7"/>
    <w:rsid w:val="005141EC"/>
    <w:rsid w:val="005144B0"/>
    <w:rsid w:val="005144CE"/>
    <w:rsid w:val="0051451B"/>
    <w:rsid w:val="00514537"/>
    <w:rsid w:val="0051456F"/>
    <w:rsid w:val="005146AC"/>
    <w:rsid w:val="0051473A"/>
    <w:rsid w:val="005147C8"/>
    <w:rsid w:val="005149A0"/>
    <w:rsid w:val="00514ACB"/>
    <w:rsid w:val="00514AE7"/>
    <w:rsid w:val="00514D3C"/>
    <w:rsid w:val="00514EF7"/>
    <w:rsid w:val="00514F9B"/>
    <w:rsid w:val="00514FC8"/>
    <w:rsid w:val="00515032"/>
    <w:rsid w:val="005152ED"/>
    <w:rsid w:val="005154C1"/>
    <w:rsid w:val="0051570E"/>
    <w:rsid w:val="0051587C"/>
    <w:rsid w:val="00515A07"/>
    <w:rsid w:val="00515ADD"/>
    <w:rsid w:val="00515BCD"/>
    <w:rsid w:val="00515C63"/>
    <w:rsid w:val="00515DCF"/>
    <w:rsid w:val="00515F74"/>
    <w:rsid w:val="005160D7"/>
    <w:rsid w:val="0051616F"/>
    <w:rsid w:val="005162AB"/>
    <w:rsid w:val="005162E3"/>
    <w:rsid w:val="00516360"/>
    <w:rsid w:val="005163C0"/>
    <w:rsid w:val="005164C5"/>
    <w:rsid w:val="00516584"/>
    <w:rsid w:val="00516806"/>
    <w:rsid w:val="00516A11"/>
    <w:rsid w:val="00517011"/>
    <w:rsid w:val="005171F6"/>
    <w:rsid w:val="00517286"/>
    <w:rsid w:val="0051747C"/>
    <w:rsid w:val="00517619"/>
    <w:rsid w:val="00517697"/>
    <w:rsid w:val="00517724"/>
    <w:rsid w:val="005177DE"/>
    <w:rsid w:val="005178AE"/>
    <w:rsid w:val="00517A20"/>
    <w:rsid w:val="00517C3E"/>
    <w:rsid w:val="00517C9E"/>
    <w:rsid w:val="00517D22"/>
    <w:rsid w:val="00517DD0"/>
    <w:rsid w:val="005200DE"/>
    <w:rsid w:val="00520230"/>
    <w:rsid w:val="005203C7"/>
    <w:rsid w:val="0052069D"/>
    <w:rsid w:val="00520812"/>
    <w:rsid w:val="0052092E"/>
    <w:rsid w:val="00520970"/>
    <w:rsid w:val="00520AC1"/>
    <w:rsid w:val="00520BDA"/>
    <w:rsid w:val="00520CE5"/>
    <w:rsid w:val="00520D1D"/>
    <w:rsid w:val="00520D4E"/>
    <w:rsid w:val="005210CF"/>
    <w:rsid w:val="00521122"/>
    <w:rsid w:val="00521129"/>
    <w:rsid w:val="00521248"/>
    <w:rsid w:val="00521404"/>
    <w:rsid w:val="00521468"/>
    <w:rsid w:val="00521659"/>
    <w:rsid w:val="00521731"/>
    <w:rsid w:val="0052175E"/>
    <w:rsid w:val="00521A72"/>
    <w:rsid w:val="00521BFC"/>
    <w:rsid w:val="00521C74"/>
    <w:rsid w:val="00521ED2"/>
    <w:rsid w:val="00521F5E"/>
    <w:rsid w:val="00521FBB"/>
    <w:rsid w:val="00522018"/>
    <w:rsid w:val="00522179"/>
    <w:rsid w:val="00522207"/>
    <w:rsid w:val="005222AD"/>
    <w:rsid w:val="00522325"/>
    <w:rsid w:val="0052233F"/>
    <w:rsid w:val="0052241E"/>
    <w:rsid w:val="00522509"/>
    <w:rsid w:val="00522901"/>
    <w:rsid w:val="00522B82"/>
    <w:rsid w:val="00522BA3"/>
    <w:rsid w:val="00522CCD"/>
    <w:rsid w:val="00522D80"/>
    <w:rsid w:val="00523137"/>
    <w:rsid w:val="00523235"/>
    <w:rsid w:val="005232DB"/>
    <w:rsid w:val="0052351B"/>
    <w:rsid w:val="00523557"/>
    <w:rsid w:val="00523759"/>
    <w:rsid w:val="005238ED"/>
    <w:rsid w:val="00523921"/>
    <w:rsid w:val="00523BFE"/>
    <w:rsid w:val="00523CBA"/>
    <w:rsid w:val="00523CF1"/>
    <w:rsid w:val="00523F4C"/>
    <w:rsid w:val="005240D3"/>
    <w:rsid w:val="005244F0"/>
    <w:rsid w:val="00524518"/>
    <w:rsid w:val="00524542"/>
    <w:rsid w:val="005247A4"/>
    <w:rsid w:val="005247E2"/>
    <w:rsid w:val="00524892"/>
    <w:rsid w:val="005248A0"/>
    <w:rsid w:val="005248D7"/>
    <w:rsid w:val="00524A42"/>
    <w:rsid w:val="00524A91"/>
    <w:rsid w:val="00524BDA"/>
    <w:rsid w:val="00524DC8"/>
    <w:rsid w:val="00525032"/>
    <w:rsid w:val="005250D4"/>
    <w:rsid w:val="005250F8"/>
    <w:rsid w:val="0052525B"/>
    <w:rsid w:val="00525282"/>
    <w:rsid w:val="005252EF"/>
    <w:rsid w:val="005252F2"/>
    <w:rsid w:val="00525551"/>
    <w:rsid w:val="005256C7"/>
    <w:rsid w:val="005256D1"/>
    <w:rsid w:val="005257C2"/>
    <w:rsid w:val="0052597B"/>
    <w:rsid w:val="00525A64"/>
    <w:rsid w:val="00525C23"/>
    <w:rsid w:val="00525DA0"/>
    <w:rsid w:val="00525FC8"/>
    <w:rsid w:val="0052615B"/>
    <w:rsid w:val="00526204"/>
    <w:rsid w:val="0052638D"/>
    <w:rsid w:val="00526437"/>
    <w:rsid w:val="00526491"/>
    <w:rsid w:val="005269CF"/>
    <w:rsid w:val="00526A46"/>
    <w:rsid w:val="00526A78"/>
    <w:rsid w:val="00526A92"/>
    <w:rsid w:val="00526CD6"/>
    <w:rsid w:val="00526F4B"/>
    <w:rsid w:val="00526FB5"/>
    <w:rsid w:val="0052705B"/>
    <w:rsid w:val="0052708D"/>
    <w:rsid w:val="0052710A"/>
    <w:rsid w:val="00527164"/>
    <w:rsid w:val="00527194"/>
    <w:rsid w:val="00527219"/>
    <w:rsid w:val="005272E8"/>
    <w:rsid w:val="00527360"/>
    <w:rsid w:val="00527533"/>
    <w:rsid w:val="0052756D"/>
    <w:rsid w:val="005275FA"/>
    <w:rsid w:val="00527633"/>
    <w:rsid w:val="00527699"/>
    <w:rsid w:val="005276DC"/>
    <w:rsid w:val="00527757"/>
    <w:rsid w:val="00527896"/>
    <w:rsid w:val="00527960"/>
    <w:rsid w:val="00527A5E"/>
    <w:rsid w:val="00527B31"/>
    <w:rsid w:val="00527D78"/>
    <w:rsid w:val="00527E9D"/>
    <w:rsid w:val="00527FBC"/>
    <w:rsid w:val="00527FE1"/>
    <w:rsid w:val="0053006F"/>
    <w:rsid w:val="00530083"/>
    <w:rsid w:val="005300CE"/>
    <w:rsid w:val="005300F1"/>
    <w:rsid w:val="00530518"/>
    <w:rsid w:val="00530550"/>
    <w:rsid w:val="005305F5"/>
    <w:rsid w:val="005308FF"/>
    <w:rsid w:val="005309D6"/>
    <w:rsid w:val="00530BAC"/>
    <w:rsid w:val="00530D19"/>
    <w:rsid w:val="00530E93"/>
    <w:rsid w:val="0053100B"/>
    <w:rsid w:val="0053101F"/>
    <w:rsid w:val="0053117F"/>
    <w:rsid w:val="00531268"/>
    <w:rsid w:val="005312A8"/>
    <w:rsid w:val="0053141C"/>
    <w:rsid w:val="00531454"/>
    <w:rsid w:val="005317B0"/>
    <w:rsid w:val="005318CC"/>
    <w:rsid w:val="0053199B"/>
    <w:rsid w:val="00531A7A"/>
    <w:rsid w:val="00531B10"/>
    <w:rsid w:val="00531F6C"/>
    <w:rsid w:val="00531F8A"/>
    <w:rsid w:val="0053203B"/>
    <w:rsid w:val="005320BA"/>
    <w:rsid w:val="005320EA"/>
    <w:rsid w:val="005323DB"/>
    <w:rsid w:val="0053247B"/>
    <w:rsid w:val="005326BD"/>
    <w:rsid w:val="005326CA"/>
    <w:rsid w:val="00532B1C"/>
    <w:rsid w:val="00532B1D"/>
    <w:rsid w:val="005330BF"/>
    <w:rsid w:val="0053342F"/>
    <w:rsid w:val="0053356D"/>
    <w:rsid w:val="0053359A"/>
    <w:rsid w:val="005335E1"/>
    <w:rsid w:val="0053362A"/>
    <w:rsid w:val="00533632"/>
    <w:rsid w:val="005336AC"/>
    <w:rsid w:val="005336F1"/>
    <w:rsid w:val="0053371E"/>
    <w:rsid w:val="005338F6"/>
    <w:rsid w:val="0053399C"/>
    <w:rsid w:val="005339D1"/>
    <w:rsid w:val="00533BF6"/>
    <w:rsid w:val="0053400B"/>
    <w:rsid w:val="0053423A"/>
    <w:rsid w:val="0053433F"/>
    <w:rsid w:val="005343A4"/>
    <w:rsid w:val="00534404"/>
    <w:rsid w:val="00534673"/>
    <w:rsid w:val="005346B7"/>
    <w:rsid w:val="0053490E"/>
    <w:rsid w:val="00534AA9"/>
    <w:rsid w:val="00534B1F"/>
    <w:rsid w:val="00534BF6"/>
    <w:rsid w:val="00534E43"/>
    <w:rsid w:val="0053547B"/>
    <w:rsid w:val="005354B6"/>
    <w:rsid w:val="005354D4"/>
    <w:rsid w:val="005354F7"/>
    <w:rsid w:val="00535675"/>
    <w:rsid w:val="00535688"/>
    <w:rsid w:val="0053569F"/>
    <w:rsid w:val="005357DF"/>
    <w:rsid w:val="00535823"/>
    <w:rsid w:val="00535908"/>
    <w:rsid w:val="00535ACF"/>
    <w:rsid w:val="00535BE8"/>
    <w:rsid w:val="00535E20"/>
    <w:rsid w:val="00535ECE"/>
    <w:rsid w:val="0053607B"/>
    <w:rsid w:val="00536099"/>
    <w:rsid w:val="005361AB"/>
    <w:rsid w:val="005361E5"/>
    <w:rsid w:val="005362A3"/>
    <w:rsid w:val="005366DE"/>
    <w:rsid w:val="00536967"/>
    <w:rsid w:val="00536A0A"/>
    <w:rsid w:val="00536A35"/>
    <w:rsid w:val="00536C5F"/>
    <w:rsid w:val="00536E98"/>
    <w:rsid w:val="00536F0F"/>
    <w:rsid w:val="00537332"/>
    <w:rsid w:val="0053740E"/>
    <w:rsid w:val="00537571"/>
    <w:rsid w:val="00537575"/>
    <w:rsid w:val="005375C5"/>
    <w:rsid w:val="005377ED"/>
    <w:rsid w:val="005379EF"/>
    <w:rsid w:val="005379F1"/>
    <w:rsid w:val="00537CD4"/>
    <w:rsid w:val="00537D79"/>
    <w:rsid w:val="00537D86"/>
    <w:rsid w:val="005404D1"/>
    <w:rsid w:val="0054055D"/>
    <w:rsid w:val="005406BD"/>
    <w:rsid w:val="005408C7"/>
    <w:rsid w:val="00540C4B"/>
    <w:rsid w:val="00540E24"/>
    <w:rsid w:val="00540E7A"/>
    <w:rsid w:val="00540F67"/>
    <w:rsid w:val="00541146"/>
    <w:rsid w:val="0054114E"/>
    <w:rsid w:val="00541213"/>
    <w:rsid w:val="00541391"/>
    <w:rsid w:val="00541460"/>
    <w:rsid w:val="005417D5"/>
    <w:rsid w:val="00541995"/>
    <w:rsid w:val="00541A28"/>
    <w:rsid w:val="00541AA3"/>
    <w:rsid w:val="00541B08"/>
    <w:rsid w:val="00541B99"/>
    <w:rsid w:val="00541C4B"/>
    <w:rsid w:val="00541C52"/>
    <w:rsid w:val="00541FFF"/>
    <w:rsid w:val="0054244D"/>
    <w:rsid w:val="0054254D"/>
    <w:rsid w:val="005426B7"/>
    <w:rsid w:val="00542814"/>
    <w:rsid w:val="005428F9"/>
    <w:rsid w:val="00542963"/>
    <w:rsid w:val="0054297A"/>
    <w:rsid w:val="0054298E"/>
    <w:rsid w:val="005429F4"/>
    <w:rsid w:val="00542BC3"/>
    <w:rsid w:val="00542D35"/>
    <w:rsid w:val="00542D82"/>
    <w:rsid w:val="00542DA3"/>
    <w:rsid w:val="00542DB3"/>
    <w:rsid w:val="00542E09"/>
    <w:rsid w:val="00543517"/>
    <w:rsid w:val="00543CCC"/>
    <w:rsid w:val="00543CDD"/>
    <w:rsid w:val="00543F08"/>
    <w:rsid w:val="00543F1D"/>
    <w:rsid w:val="00544179"/>
    <w:rsid w:val="00544416"/>
    <w:rsid w:val="005444AC"/>
    <w:rsid w:val="005444F1"/>
    <w:rsid w:val="0054453A"/>
    <w:rsid w:val="0054486A"/>
    <w:rsid w:val="00544873"/>
    <w:rsid w:val="005448A7"/>
    <w:rsid w:val="00544903"/>
    <w:rsid w:val="005449EF"/>
    <w:rsid w:val="00544A6C"/>
    <w:rsid w:val="00544CDE"/>
    <w:rsid w:val="00545020"/>
    <w:rsid w:val="0054512C"/>
    <w:rsid w:val="00545158"/>
    <w:rsid w:val="005453CB"/>
    <w:rsid w:val="00545444"/>
    <w:rsid w:val="005454AB"/>
    <w:rsid w:val="005454F8"/>
    <w:rsid w:val="00545540"/>
    <w:rsid w:val="00545656"/>
    <w:rsid w:val="00545933"/>
    <w:rsid w:val="0054595A"/>
    <w:rsid w:val="00545C20"/>
    <w:rsid w:val="00545CC2"/>
    <w:rsid w:val="00545D6E"/>
    <w:rsid w:val="00545E42"/>
    <w:rsid w:val="00545F91"/>
    <w:rsid w:val="005461D2"/>
    <w:rsid w:val="00546238"/>
    <w:rsid w:val="00546521"/>
    <w:rsid w:val="005465B5"/>
    <w:rsid w:val="0054682B"/>
    <w:rsid w:val="00546974"/>
    <w:rsid w:val="00546CBD"/>
    <w:rsid w:val="00546D88"/>
    <w:rsid w:val="00546DE4"/>
    <w:rsid w:val="00546DF3"/>
    <w:rsid w:val="00546DF9"/>
    <w:rsid w:val="00546FC3"/>
    <w:rsid w:val="005471F9"/>
    <w:rsid w:val="0054749F"/>
    <w:rsid w:val="00547AF1"/>
    <w:rsid w:val="00547D3F"/>
    <w:rsid w:val="00547E1A"/>
    <w:rsid w:val="00547EC1"/>
    <w:rsid w:val="00547EC5"/>
    <w:rsid w:val="00547F3F"/>
    <w:rsid w:val="005500DF"/>
    <w:rsid w:val="00550298"/>
    <w:rsid w:val="0055029A"/>
    <w:rsid w:val="00550437"/>
    <w:rsid w:val="005505FF"/>
    <w:rsid w:val="0055067C"/>
    <w:rsid w:val="005506BF"/>
    <w:rsid w:val="00550724"/>
    <w:rsid w:val="00550AE6"/>
    <w:rsid w:val="00550B93"/>
    <w:rsid w:val="00550C5E"/>
    <w:rsid w:val="00550CC2"/>
    <w:rsid w:val="00550D6D"/>
    <w:rsid w:val="00550E22"/>
    <w:rsid w:val="00550E64"/>
    <w:rsid w:val="00551091"/>
    <w:rsid w:val="005510EA"/>
    <w:rsid w:val="00551178"/>
    <w:rsid w:val="0055120F"/>
    <w:rsid w:val="00551247"/>
    <w:rsid w:val="0055140B"/>
    <w:rsid w:val="005519D9"/>
    <w:rsid w:val="005519E5"/>
    <w:rsid w:val="00551A05"/>
    <w:rsid w:val="00551A1B"/>
    <w:rsid w:val="00551A59"/>
    <w:rsid w:val="00551AF9"/>
    <w:rsid w:val="00551B5E"/>
    <w:rsid w:val="00551C28"/>
    <w:rsid w:val="00551D54"/>
    <w:rsid w:val="00551FEA"/>
    <w:rsid w:val="00552090"/>
    <w:rsid w:val="005520E1"/>
    <w:rsid w:val="00552134"/>
    <w:rsid w:val="00552208"/>
    <w:rsid w:val="00552216"/>
    <w:rsid w:val="00552271"/>
    <w:rsid w:val="00552365"/>
    <w:rsid w:val="00552716"/>
    <w:rsid w:val="0055276B"/>
    <w:rsid w:val="00552A11"/>
    <w:rsid w:val="00552AA2"/>
    <w:rsid w:val="00552B04"/>
    <w:rsid w:val="00552DB2"/>
    <w:rsid w:val="00552DC7"/>
    <w:rsid w:val="00552DE3"/>
    <w:rsid w:val="00552E73"/>
    <w:rsid w:val="00552F51"/>
    <w:rsid w:val="00553475"/>
    <w:rsid w:val="005534C7"/>
    <w:rsid w:val="00553594"/>
    <w:rsid w:val="005536A7"/>
    <w:rsid w:val="005537A3"/>
    <w:rsid w:val="005537D8"/>
    <w:rsid w:val="005538A7"/>
    <w:rsid w:val="00553971"/>
    <w:rsid w:val="00553AA9"/>
    <w:rsid w:val="00553B61"/>
    <w:rsid w:val="00553C21"/>
    <w:rsid w:val="00553C38"/>
    <w:rsid w:val="00553CFB"/>
    <w:rsid w:val="00553DFF"/>
    <w:rsid w:val="00553F68"/>
    <w:rsid w:val="00553FC9"/>
    <w:rsid w:val="005542B3"/>
    <w:rsid w:val="005542E7"/>
    <w:rsid w:val="005544B4"/>
    <w:rsid w:val="005548F8"/>
    <w:rsid w:val="00554BDC"/>
    <w:rsid w:val="00554C56"/>
    <w:rsid w:val="00554D23"/>
    <w:rsid w:val="00554E59"/>
    <w:rsid w:val="00554F1D"/>
    <w:rsid w:val="00555117"/>
    <w:rsid w:val="005551DC"/>
    <w:rsid w:val="00555282"/>
    <w:rsid w:val="0055532F"/>
    <w:rsid w:val="00555426"/>
    <w:rsid w:val="0055548E"/>
    <w:rsid w:val="005554BB"/>
    <w:rsid w:val="00555585"/>
    <w:rsid w:val="005555A4"/>
    <w:rsid w:val="0055570F"/>
    <w:rsid w:val="00555879"/>
    <w:rsid w:val="005558CD"/>
    <w:rsid w:val="005559CF"/>
    <w:rsid w:val="00555AE2"/>
    <w:rsid w:val="00555C45"/>
    <w:rsid w:val="00555F51"/>
    <w:rsid w:val="00555FE4"/>
    <w:rsid w:val="00556087"/>
    <w:rsid w:val="00556532"/>
    <w:rsid w:val="00556563"/>
    <w:rsid w:val="00556831"/>
    <w:rsid w:val="005568A0"/>
    <w:rsid w:val="00556B02"/>
    <w:rsid w:val="00556B9E"/>
    <w:rsid w:val="00556BE0"/>
    <w:rsid w:val="00556C0C"/>
    <w:rsid w:val="00556C35"/>
    <w:rsid w:val="00556D1B"/>
    <w:rsid w:val="00556D78"/>
    <w:rsid w:val="00556EDB"/>
    <w:rsid w:val="00556F86"/>
    <w:rsid w:val="00557098"/>
    <w:rsid w:val="00557237"/>
    <w:rsid w:val="0055729A"/>
    <w:rsid w:val="00557316"/>
    <w:rsid w:val="005573A1"/>
    <w:rsid w:val="005573E3"/>
    <w:rsid w:val="00557409"/>
    <w:rsid w:val="00557572"/>
    <w:rsid w:val="00557747"/>
    <w:rsid w:val="005577D9"/>
    <w:rsid w:val="005577E1"/>
    <w:rsid w:val="00557857"/>
    <w:rsid w:val="00557C22"/>
    <w:rsid w:val="00557D44"/>
    <w:rsid w:val="00560108"/>
    <w:rsid w:val="0056014F"/>
    <w:rsid w:val="0056027F"/>
    <w:rsid w:val="00560355"/>
    <w:rsid w:val="005605E2"/>
    <w:rsid w:val="005607BC"/>
    <w:rsid w:val="00560A7F"/>
    <w:rsid w:val="00560AC8"/>
    <w:rsid w:val="00560CA4"/>
    <w:rsid w:val="00560DF2"/>
    <w:rsid w:val="00560F92"/>
    <w:rsid w:val="00561192"/>
    <w:rsid w:val="00561197"/>
    <w:rsid w:val="0056119C"/>
    <w:rsid w:val="0056124B"/>
    <w:rsid w:val="00561384"/>
    <w:rsid w:val="00561588"/>
    <w:rsid w:val="005617A4"/>
    <w:rsid w:val="005618F0"/>
    <w:rsid w:val="00561AB3"/>
    <w:rsid w:val="00561C93"/>
    <w:rsid w:val="00561DA8"/>
    <w:rsid w:val="00561DE7"/>
    <w:rsid w:val="00561EB2"/>
    <w:rsid w:val="0056209C"/>
    <w:rsid w:val="0056210D"/>
    <w:rsid w:val="0056215C"/>
    <w:rsid w:val="005621EB"/>
    <w:rsid w:val="005622C6"/>
    <w:rsid w:val="00562308"/>
    <w:rsid w:val="00562361"/>
    <w:rsid w:val="005623F9"/>
    <w:rsid w:val="00562466"/>
    <w:rsid w:val="00562798"/>
    <w:rsid w:val="00562994"/>
    <w:rsid w:val="00562C0D"/>
    <w:rsid w:val="00562C27"/>
    <w:rsid w:val="00562C64"/>
    <w:rsid w:val="00562CB2"/>
    <w:rsid w:val="00562CCB"/>
    <w:rsid w:val="005630AD"/>
    <w:rsid w:val="005630BE"/>
    <w:rsid w:val="005631FA"/>
    <w:rsid w:val="005634CC"/>
    <w:rsid w:val="00563594"/>
    <w:rsid w:val="0056381D"/>
    <w:rsid w:val="00563AE6"/>
    <w:rsid w:val="00563E2C"/>
    <w:rsid w:val="00564014"/>
    <w:rsid w:val="0056402D"/>
    <w:rsid w:val="005641DB"/>
    <w:rsid w:val="00564255"/>
    <w:rsid w:val="0056430A"/>
    <w:rsid w:val="005643FE"/>
    <w:rsid w:val="00564597"/>
    <w:rsid w:val="005645AC"/>
    <w:rsid w:val="00564691"/>
    <w:rsid w:val="005646BE"/>
    <w:rsid w:val="005646C5"/>
    <w:rsid w:val="005646E3"/>
    <w:rsid w:val="0056486F"/>
    <w:rsid w:val="00564920"/>
    <w:rsid w:val="00564961"/>
    <w:rsid w:val="00564A9C"/>
    <w:rsid w:val="00564BCF"/>
    <w:rsid w:val="00564C6F"/>
    <w:rsid w:val="00564D71"/>
    <w:rsid w:val="00565239"/>
    <w:rsid w:val="00565338"/>
    <w:rsid w:val="0056548D"/>
    <w:rsid w:val="005655B1"/>
    <w:rsid w:val="005656A7"/>
    <w:rsid w:val="0056577C"/>
    <w:rsid w:val="005659FB"/>
    <w:rsid w:val="00565BE2"/>
    <w:rsid w:val="00565C03"/>
    <w:rsid w:val="00565EC2"/>
    <w:rsid w:val="005664D6"/>
    <w:rsid w:val="005668FE"/>
    <w:rsid w:val="00566D50"/>
    <w:rsid w:val="00566F3D"/>
    <w:rsid w:val="005674B3"/>
    <w:rsid w:val="005675C3"/>
    <w:rsid w:val="005675C4"/>
    <w:rsid w:val="005677F1"/>
    <w:rsid w:val="00567928"/>
    <w:rsid w:val="00567BBA"/>
    <w:rsid w:val="00567CA5"/>
    <w:rsid w:val="00567D70"/>
    <w:rsid w:val="00567F22"/>
    <w:rsid w:val="00567F6B"/>
    <w:rsid w:val="00567FE4"/>
    <w:rsid w:val="00570005"/>
    <w:rsid w:val="0057012B"/>
    <w:rsid w:val="00570313"/>
    <w:rsid w:val="00570356"/>
    <w:rsid w:val="005705D8"/>
    <w:rsid w:val="0057060F"/>
    <w:rsid w:val="005708A3"/>
    <w:rsid w:val="00570AC7"/>
    <w:rsid w:val="00570B5C"/>
    <w:rsid w:val="00570C3A"/>
    <w:rsid w:val="00570CA6"/>
    <w:rsid w:val="00570EE5"/>
    <w:rsid w:val="00570FAD"/>
    <w:rsid w:val="005711ED"/>
    <w:rsid w:val="00571527"/>
    <w:rsid w:val="0057174C"/>
    <w:rsid w:val="00571B08"/>
    <w:rsid w:val="00571C80"/>
    <w:rsid w:val="00571D06"/>
    <w:rsid w:val="00571D6D"/>
    <w:rsid w:val="00571DEB"/>
    <w:rsid w:val="005720DF"/>
    <w:rsid w:val="00572141"/>
    <w:rsid w:val="005723A0"/>
    <w:rsid w:val="00572422"/>
    <w:rsid w:val="005724DB"/>
    <w:rsid w:val="0057265C"/>
    <w:rsid w:val="005726E4"/>
    <w:rsid w:val="005727BA"/>
    <w:rsid w:val="005727EB"/>
    <w:rsid w:val="0057286A"/>
    <w:rsid w:val="00572A4F"/>
    <w:rsid w:val="00572B71"/>
    <w:rsid w:val="00572F46"/>
    <w:rsid w:val="00573103"/>
    <w:rsid w:val="005731AF"/>
    <w:rsid w:val="00573366"/>
    <w:rsid w:val="00573450"/>
    <w:rsid w:val="005734E5"/>
    <w:rsid w:val="00573825"/>
    <w:rsid w:val="00573955"/>
    <w:rsid w:val="00573A93"/>
    <w:rsid w:val="00573B40"/>
    <w:rsid w:val="00573BBD"/>
    <w:rsid w:val="00573CD3"/>
    <w:rsid w:val="00573D8E"/>
    <w:rsid w:val="00573EA3"/>
    <w:rsid w:val="00573F34"/>
    <w:rsid w:val="00573FA6"/>
    <w:rsid w:val="00574001"/>
    <w:rsid w:val="0057402E"/>
    <w:rsid w:val="005740B9"/>
    <w:rsid w:val="0057417A"/>
    <w:rsid w:val="00574182"/>
    <w:rsid w:val="0057419F"/>
    <w:rsid w:val="005742AC"/>
    <w:rsid w:val="005742FF"/>
    <w:rsid w:val="00574332"/>
    <w:rsid w:val="00574398"/>
    <w:rsid w:val="00574570"/>
    <w:rsid w:val="005747EA"/>
    <w:rsid w:val="00574835"/>
    <w:rsid w:val="005748DF"/>
    <w:rsid w:val="00574943"/>
    <w:rsid w:val="00574973"/>
    <w:rsid w:val="00574A02"/>
    <w:rsid w:val="00574C25"/>
    <w:rsid w:val="00574E36"/>
    <w:rsid w:val="00574E9D"/>
    <w:rsid w:val="00574FA9"/>
    <w:rsid w:val="00575086"/>
    <w:rsid w:val="00575433"/>
    <w:rsid w:val="00575779"/>
    <w:rsid w:val="00575909"/>
    <w:rsid w:val="00575A00"/>
    <w:rsid w:val="00575ABE"/>
    <w:rsid w:val="00575B07"/>
    <w:rsid w:val="00575CCB"/>
    <w:rsid w:val="00575E9D"/>
    <w:rsid w:val="00576102"/>
    <w:rsid w:val="00576363"/>
    <w:rsid w:val="00576573"/>
    <w:rsid w:val="005768F3"/>
    <w:rsid w:val="00576A2A"/>
    <w:rsid w:val="00576A54"/>
    <w:rsid w:val="00576ADD"/>
    <w:rsid w:val="00576B36"/>
    <w:rsid w:val="00576BBD"/>
    <w:rsid w:val="00576D54"/>
    <w:rsid w:val="00576F45"/>
    <w:rsid w:val="005770D0"/>
    <w:rsid w:val="005770DE"/>
    <w:rsid w:val="00577152"/>
    <w:rsid w:val="005771C5"/>
    <w:rsid w:val="005773A7"/>
    <w:rsid w:val="00577558"/>
    <w:rsid w:val="005776A9"/>
    <w:rsid w:val="00577723"/>
    <w:rsid w:val="005777B9"/>
    <w:rsid w:val="00577860"/>
    <w:rsid w:val="00577868"/>
    <w:rsid w:val="00577A40"/>
    <w:rsid w:val="00577DC6"/>
    <w:rsid w:val="00577E43"/>
    <w:rsid w:val="00577EE2"/>
    <w:rsid w:val="00577F0F"/>
    <w:rsid w:val="0058015C"/>
    <w:rsid w:val="005801E7"/>
    <w:rsid w:val="0058041E"/>
    <w:rsid w:val="0058045E"/>
    <w:rsid w:val="0058066A"/>
    <w:rsid w:val="00580D8B"/>
    <w:rsid w:val="00580E68"/>
    <w:rsid w:val="00580F5B"/>
    <w:rsid w:val="00580FFB"/>
    <w:rsid w:val="0058107C"/>
    <w:rsid w:val="005810E6"/>
    <w:rsid w:val="00581158"/>
    <w:rsid w:val="005813A6"/>
    <w:rsid w:val="00581401"/>
    <w:rsid w:val="00581566"/>
    <w:rsid w:val="005816F4"/>
    <w:rsid w:val="0058173D"/>
    <w:rsid w:val="00581806"/>
    <w:rsid w:val="0058188A"/>
    <w:rsid w:val="0058192F"/>
    <w:rsid w:val="00581AB3"/>
    <w:rsid w:val="00581B61"/>
    <w:rsid w:val="00581BDF"/>
    <w:rsid w:val="00581BFF"/>
    <w:rsid w:val="00581D34"/>
    <w:rsid w:val="00581EF2"/>
    <w:rsid w:val="00581FBC"/>
    <w:rsid w:val="0058228A"/>
    <w:rsid w:val="005822F0"/>
    <w:rsid w:val="00582476"/>
    <w:rsid w:val="00582530"/>
    <w:rsid w:val="00582C0C"/>
    <w:rsid w:val="00582D34"/>
    <w:rsid w:val="00582D54"/>
    <w:rsid w:val="00582DC4"/>
    <w:rsid w:val="00582EA0"/>
    <w:rsid w:val="00582F94"/>
    <w:rsid w:val="00582F9E"/>
    <w:rsid w:val="0058302A"/>
    <w:rsid w:val="0058306B"/>
    <w:rsid w:val="0058308D"/>
    <w:rsid w:val="00583257"/>
    <w:rsid w:val="0058332D"/>
    <w:rsid w:val="005833FE"/>
    <w:rsid w:val="00583494"/>
    <w:rsid w:val="005834FD"/>
    <w:rsid w:val="00583679"/>
    <w:rsid w:val="005837D3"/>
    <w:rsid w:val="00583816"/>
    <w:rsid w:val="00583972"/>
    <w:rsid w:val="00583990"/>
    <w:rsid w:val="00583B0E"/>
    <w:rsid w:val="00583BEE"/>
    <w:rsid w:val="00583D05"/>
    <w:rsid w:val="00583D2D"/>
    <w:rsid w:val="00583F0D"/>
    <w:rsid w:val="00583F1C"/>
    <w:rsid w:val="005840AB"/>
    <w:rsid w:val="005847E6"/>
    <w:rsid w:val="005848A4"/>
    <w:rsid w:val="00584907"/>
    <w:rsid w:val="00584A95"/>
    <w:rsid w:val="00584CE1"/>
    <w:rsid w:val="00584D23"/>
    <w:rsid w:val="00584E0D"/>
    <w:rsid w:val="0058500E"/>
    <w:rsid w:val="00585091"/>
    <w:rsid w:val="0058511F"/>
    <w:rsid w:val="00585174"/>
    <w:rsid w:val="005852E0"/>
    <w:rsid w:val="005855AA"/>
    <w:rsid w:val="00585736"/>
    <w:rsid w:val="005858A8"/>
    <w:rsid w:val="00585AB2"/>
    <w:rsid w:val="00585ACD"/>
    <w:rsid w:val="00585E88"/>
    <w:rsid w:val="00585F71"/>
    <w:rsid w:val="00586156"/>
    <w:rsid w:val="005861DC"/>
    <w:rsid w:val="00586213"/>
    <w:rsid w:val="00586270"/>
    <w:rsid w:val="005862C0"/>
    <w:rsid w:val="00586308"/>
    <w:rsid w:val="005864F6"/>
    <w:rsid w:val="0058654C"/>
    <w:rsid w:val="005865F3"/>
    <w:rsid w:val="00586734"/>
    <w:rsid w:val="0058689C"/>
    <w:rsid w:val="00586A8C"/>
    <w:rsid w:val="00586CB1"/>
    <w:rsid w:val="0058703B"/>
    <w:rsid w:val="0058706D"/>
    <w:rsid w:val="005872FF"/>
    <w:rsid w:val="0058738E"/>
    <w:rsid w:val="005873EA"/>
    <w:rsid w:val="005874F7"/>
    <w:rsid w:val="005875D2"/>
    <w:rsid w:val="00587728"/>
    <w:rsid w:val="00587A25"/>
    <w:rsid w:val="00587B48"/>
    <w:rsid w:val="00587B71"/>
    <w:rsid w:val="00587D83"/>
    <w:rsid w:val="00587E60"/>
    <w:rsid w:val="00590020"/>
    <w:rsid w:val="005900CB"/>
    <w:rsid w:val="0059038C"/>
    <w:rsid w:val="005906D3"/>
    <w:rsid w:val="00590958"/>
    <w:rsid w:val="00590AAC"/>
    <w:rsid w:val="00590E29"/>
    <w:rsid w:val="00591033"/>
    <w:rsid w:val="00591109"/>
    <w:rsid w:val="005911E5"/>
    <w:rsid w:val="0059161A"/>
    <w:rsid w:val="0059190F"/>
    <w:rsid w:val="00591A97"/>
    <w:rsid w:val="00591BD8"/>
    <w:rsid w:val="00591BE8"/>
    <w:rsid w:val="00591C0B"/>
    <w:rsid w:val="00591C4C"/>
    <w:rsid w:val="00591DC0"/>
    <w:rsid w:val="00591F89"/>
    <w:rsid w:val="00591F8E"/>
    <w:rsid w:val="005920B0"/>
    <w:rsid w:val="005921E2"/>
    <w:rsid w:val="00592277"/>
    <w:rsid w:val="00592618"/>
    <w:rsid w:val="00592689"/>
    <w:rsid w:val="00592AA7"/>
    <w:rsid w:val="00592B7D"/>
    <w:rsid w:val="005934C0"/>
    <w:rsid w:val="005934D1"/>
    <w:rsid w:val="00593550"/>
    <w:rsid w:val="005935B9"/>
    <w:rsid w:val="0059383F"/>
    <w:rsid w:val="0059390B"/>
    <w:rsid w:val="00593AFD"/>
    <w:rsid w:val="00593CF0"/>
    <w:rsid w:val="00593F91"/>
    <w:rsid w:val="00594083"/>
    <w:rsid w:val="00594289"/>
    <w:rsid w:val="00594297"/>
    <w:rsid w:val="005942B5"/>
    <w:rsid w:val="0059457F"/>
    <w:rsid w:val="005947FE"/>
    <w:rsid w:val="00594865"/>
    <w:rsid w:val="00594873"/>
    <w:rsid w:val="00594C37"/>
    <w:rsid w:val="00594CA9"/>
    <w:rsid w:val="00594E87"/>
    <w:rsid w:val="00594F18"/>
    <w:rsid w:val="00595073"/>
    <w:rsid w:val="005950E5"/>
    <w:rsid w:val="0059535B"/>
    <w:rsid w:val="005955AF"/>
    <w:rsid w:val="0059563E"/>
    <w:rsid w:val="005958F2"/>
    <w:rsid w:val="00595955"/>
    <w:rsid w:val="00595AEB"/>
    <w:rsid w:val="00595B94"/>
    <w:rsid w:val="00595DC8"/>
    <w:rsid w:val="00595E1E"/>
    <w:rsid w:val="00595F51"/>
    <w:rsid w:val="005960E3"/>
    <w:rsid w:val="00596373"/>
    <w:rsid w:val="00596441"/>
    <w:rsid w:val="0059659F"/>
    <w:rsid w:val="005965D0"/>
    <w:rsid w:val="005965D3"/>
    <w:rsid w:val="005968A8"/>
    <w:rsid w:val="005969D5"/>
    <w:rsid w:val="00596A35"/>
    <w:rsid w:val="00596C7F"/>
    <w:rsid w:val="00596D20"/>
    <w:rsid w:val="00596D43"/>
    <w:rsid w:val="00596D60"/>
    <w:rsid w:val="00596EFE"/>
    <w:rsid w:val="005970CD"/>
    <w:rsid w:val="005971A7"/>
    <w:rsid w:val="00597309"/>
    <w:rsid w:val="0059756C"/>
    <w:rsid w:val="005975A0"/>
    <w:rsid w:val="0059767E"/>
    <w:rsid w:val="005976BD"/>
    <w:rsid w:val="005977D0"/>
    <w:rsid w:val="005978D4"/>
    <w:rsid w:val="00597B03"/>
    <w:rsid w:val="00597DA3"/>
    <w:rsid w:val="005A0061"/>
    <w:rsid w:val="005A00E2"/>
    <w:rsid w:val="005A02A7"/>
    <w:rsid w:val="005A0324"/>
    <w:rsid w:val="005A0469"/>
    <w:rsid w:val="005A04E5"/>
    <w:rsid w:val="005A0C5E"/>
    <w:rsid w:val="005A0E26"/>
    <w:rsid w:val="005A10A5"/>
    <w:rsid w:val="005A149D"/>
    <w:rsid w:val="005A14D9"/>
    <w:rsid w:val="005A155E"/>
    <w:rsid w:val="005A164C"/>
    <w:rsid w:val="005A16DF"/>
    <w:rsid w:val="005A1772"/>
    <w:rsid w:val="005A1BB3"/>
    <w:rsid w:val="005A1E16"/>
    <w:rsid w:val="005A1E8F"/>
    <w:rsid w:val="005A1EEF"/>
    <w:rsid w:val="005A21AE"/>
    <w:rsid w:val="005A226A"/>
    <w:rsid w:val="005A2350"/>
    <w:rsid w:val="005A2853"/>
    <w:rsid w:val="005A2877"/>
    <w:rsid w:val="005A2930"/>
    <w:rsid w:val="005A2A8C"/>
    <w:rsid w:val="005A300E"/>
    <w:rsid w:val="005A3049"/>
    <w:rsid w:val="005A3279"/>
    <w:rsid w:val="005A32AB"/>
    <w:rsid w:val="005A32E1"/>
    <w:rsid w:val="005A3488"/>
    <w:rsid w:val="005A3500"/>
    <w:rsid w:val="005A3501"/>
    <w:rsid w:val="005A3521"/>
    <w:rsid w:val="005A353C"/>
    <w:rsid w:val="005A35A0"/>
    <w:rsid w:val="005A374B"/>
    <w:rsid w:val="005A37CA"/>
    <w:rsid w:val="005A39E7"/>
    <w:rsid w:val="005A3BB2"/>
    <w:rsid w:val="005A3EB3"/>
    <w:rsid w:val="005A3EFC"/>
    <w:rsid w:val="005A400C"/>
    <w:rsid w:val="005A404C"/>
    <w:rsid w:val="005A415B"/>
    <w:rsid w:val="005A42D2"/>
    <w:rsid w:val="005A4334"/>
    <w:rsid w:val="005A461B"/>
    <w:rsid w:val="005A4680"/>
    <w:rsid w:val="005A46A0"/>
    <w:rsid w:val="005A47F4"/>
    <w:rsid w:val="005A4A24"/>
    <w:rsid w:val="005A4A3C"/>
    <w:rsid w:val="005A4BC2"/>
    <w:rsid w:val="005A4C8D"/>
    <w:rsid w:val="005A4CD3"/>
    <w:rsid w:val="005A5031"/>
    <w:rsid w:val="005A5200"/>
    <w:rsid w:val="005A527C"/>
    <w:rsid w:val="005A541F"/>
    <w:rsid w:val="005A5610"/>
    <w:rsid w:val="005A5654"/>
    <w:rsid w:val="005A57C8"/>
    <w:rsid w:val="005A57CE"/>
    <w:rsid w:val="005A57FC"/>
    <w:rsid w:val="005A5909"/>
    <w:rsid w:val="005A5AB0"/>
    <w:rsid w:val="005A5D61"/>
    <w:rsid w:val="005A617C"/>
    <w:rsid w:val="005A61BE"/>
    <w:rsid w:val="005A655D"/>
    <w:rsid w:val="005A67C4"/>
    <w:rsid w:val="005A67D8"/>
    <w:rsid w:val="005A67E9"/>
    <w:rsid w:val="005A6A85"/>
    <w:rsid w:val="005A6AC6"/>
    <w:rsid w:val="005A6BC9"/>
    <w:rsid w:val="005A6CC6"/>
    <w:rsid w:val="005A6F7C"/>
    <w:rsid w:val="005A6FD6"/>
    <w:rsid w:val="005A70CF"/>
    <w:rsid w:val="005A70F0"/>
    <w:rsid w:val="005A7374"/>
    <w:rsid w:val="005A748E"/>
    <w:rsid w:val="005A753D"/>
    <w:rsid w:val="005A756D"/>
    <w:rsid w:val="005A7732"/>
    <w:rsid w:val="005A780C"/>
    <w:rsid w:val="005A79B1"/>
    <w:rsid w:val="005A79E6"/>
    <w:rsid w:val="005A7A64"/>
    <w:rsid w:val="005A7B1E"/>
    <w:rsid w:val="005A7E82"/>
    <w:rsid w:val="005B007B"/>
    <w:rsid w:val="005B020F"/>
    <w:rsid w:val="005B0343"/>
    <w:rsid w:val="005B0359"/>
    <w:rsid w:val="005B052F"/>
    <w:rsid w:val="005B0799"/>
    <w:rsid w:val="005B07DA"/>
    <w:rsid w:val="005B0A5E"/>
    <w:rsid w:val="005B0AE9"/>
    <w:rsid w:val="005B0B21"/>
    <w:rsid w:val="005B0D08"/>
    <w:rsid w:val="005B0D6A"/>
    <w:rsid w:val="005B0E0E"/>
    <w:rsid w:val="005B12D5"/>
    <w:rsid w:val="005B1319"/>
    <w:rsid w:val="005B132F"/>
    <w:rsid w:val="005B1433"/>
    <w:rsid w:val="005B1498"/>
    <w:rsid w:val="005B14D1"/>
    <w:rsid w:val="005B14F8"/>
    <w:rsid w:val="005B1586"/>
    <w:rsid w:val="005B15EB"/>
    <w:rsid w:val="005B167D"/>
    <w:rsid w:val="005B171E"/>
    <w:rsid w:val="005B18B2"/>
    <w:rsid w:val="005B1902"/>
    <w:rsid w:val="005B1B40"/>
    <w:rsid w:val="005B1B45"/>
    <w:rsid w:val="005B1B9E"/>
    <w:rsid w:val="005B1C6C"/>
    <w:rsid w:val="005B1F15"/>
    <w:rsid w:val="005B20B6"/>
    <w:rsid w:val="005B21AA"/>
    <w:rsid w:val="005B22C5"/>
    <w:rsid w:val="005B2394"/>
    <w:rsid w:val="005B2570"/>
    <w:rsid w:val="005B286B"/>
    <w:rsid w:val="005B2899"/>
    <w:rsid w:val="005B291F"/>
    <w:rsid w:val="005B2BB3"/>
    <w:rsid w:val="005B2BE1"/>
    <w:rsid w:val="005B2BFF"/>
    <w:rsid w:val="005B2D03"/>
    <w:rsid w:val="005B2D17"/>
    <w:rsid w:val="005B2E93"/>
    <w:rsid w:val="005B3251"/>
    <w:rsid w:val="005B34AA"/>
    <w:rsid w:val="005B35E7"/>
    <w:rsid w:val="005B3787"/>
    <w:rsid w:val="005B38E7"/>
    <w:rsid w:val="005B3B60"/>
    <w:rsid w:val="005B3C49"/>
    <w:rsid w:val="005B3C95"/>
    <w:rsid w:val="005B3F4F"/>
    <w:rsid w:val="005B3F96"/>
    <w:rsid w:val="005B3FD7"/>
    <w:rsid w:val="005B40A6"/>
    <w:rsid w:val="005B40AD"/>
    <w:rsid w:val="005B4193"/>
    <w:rsid w:val="005B4467"/>
    <w:rsid w:val="005B44F9"/>
    <w:rsid w:val="005B459C"/>
    <w:rsid w:val="005B45A6"/>
    <w:rsid w:val="005B4899"/>
    <w:rsid w:val="005B4AD0"/>
    <w:rsid w:val="005B4BF8"/>
    <w:rsid w:val="005B51F8"/>
    <w:rsid w:val="005B5268"/>
    <w:rsid w:val="005B5360"/>
    <w:rsid w:val="005B5375"/>
    <w:rsid w:val="005B53E4"/>
    <w:rsid w:val="005B54D9"/>
    <w:rsid w:val="005B55B8"/>
    <w:rsid w:val="005B5857"/>
    <w:rsid w:val="005B5A82"/>
    <w:rsid w:val="005B5B0C"/>
    <w:rsid w:val="005B5DD9"/>
    <w:rsid w:val="005B5F8E"/>
    <w:rsid w:val="005B601A"/>
    <w:rsid w:val="005B60BF"/>
    <w:rsid w:val="005B6250"/>
    <w:rsid w:val="005B635F"/>
    <w:rsid w:val="005B6369"/>
    <w:rsid w:val="005B6403"/>
    <w:rsid w:val="005B6455"/>
    <w:rsid w:val="005B68B2"/>
    <w:rsid w:val="005B6907"/>
    <w:rsid w:val="005B6925"/>
    <w:rsid w:val="005B6B9A"/>
    <w:rsid w:val="005B6BDE"/>
    <w:rsid w:val="005B6D92"/>
    <w:rsid w:val="005B6E61"/>
    <w:rsid w:val="005B7221"/>
    <w:rsid w:val="005B730E"/>
    <w:rsid w:val="005B73EE"/>
    <w:rsid w:val="005B78B9"/>
    <w:rsid w:val="005B7BB1"/>
    <w:rsid w:val="005B7C46"/>
    <w:rsid w:val="005B7D95"/>
    <w:rsid w:val="005B7DA3"/>
    <w:rsid w:val="005B7E6A"/>
    <w:rsid w:val="005C0054"/>
    <w:rsid w:val="005C00D9"/>
    <w:rsid w:val="005C010C"/>
    <w:rsid w:val="005C0180"/>
    <w:rsid w:val="005C01B7"/>
    <w:rsid w:val="005C02E0"/>
    <w:rsid w:val="005C03F3"/>
    <w:rsid w:val="005C0A17"/>
    <w:rsid w:val="005C0D78"/>
    <w:rsid w:val="005C0D7D"/>
    <w:rsid w:val="005C0DD3"/>
    <w:rsid w:val="005C12F1"/>
    <w:rsid w:val="005C139B"/>
    <w:rsid w:val="005C13AD"/>
    <w:rsid w:val="005C14B8"/>
    <w:rsid w:val="005C15EE"/>
    <w:rsid w:val="005C1601"/>
    <w:rsid w:val="005C1769"/>
    <w:rsid w:val="005C19DA"/>
    <w:rsid w:val="005C1A17"/>
    <w:rsid w:val="005C1A1B"/>
    <w:rsid w:val="005C1F5A"/>
    <w:rsid w:val="005C224F"/>
    <w:rsid w:val="005C244A"/>
    <w:rsid w:val="005C2775"/>
    <w:rsid w:val="005C281F"/>
    <w:rsid w:val="005C29AB"/>
    <w:rsid w:val="005C29E1"/>
    <w:rsid w:val="005C2BFD"/>
    <w:rsid w:val="005C2F0B"/>
    <w:rsid w:val="005C308E"/>
    <w:rsid w:val="005C30C5"/>
    <w:rsid w:val="005C3137"/>
    <w:rsid w:val="005C318C"/>
    <w:rsid w:val="005C33D5"/>
    <w:rsid w:val="005C3A0B"/>
    <w:rsid w:val="005C3A51"/>
    <w:rsid w:val="005C3A7E"/>
    <w:rsid w:val="005C3A84"/>
    <w:rsid w:val="005C3B32"/>
    <w:rsid w:val="005C3C67"/>
    <w:rsid w:val="005C3EC6"/>
    <w:rsid w:val="005C4014"/>
    <w:rsid w:val="005C40D8"/>
    <w:rsid w:val="005C42F0"/>
    <w:rsid w:val="005C46D0"/>
    <w:rsid w:val="005C4738"/>
    <w:rsid w:val="005C4747"/>
    <w:rsid w:val="005C4CE7"/>
    <w:rsid w:val="005C4DA8"/>
    <w:rsid w:val="005C4E65"/>
    <w:rsid w:val="005C4FAF"/>
    <w:rsid w:val="005C5062"/>
    <w:rsid w:val="005C50A5"/>
    <w:rsid w:val="005C5222"/>
    <w:rsid w:val="005C5321"/>
    <w:rsid w:val="005C532F"/>
    <w:rsid w:val="005C53F9"/>
    <w:rsid w:val="005C5554"/>
    <w:rsid w:val="005C563D"/>
    <w:rsid w:val="005C582E"/>
    <w:rsid w:val="005C5857"/>
    <w:rsid w:val="005C5914"/>
    <w:rsid w:val="005C5ACC"/>
    <w:rsid w:val="005C5BD7"/>
    <w:rsid w:val="005C5CB0"/>
    <w:rsid w:val="005C60C1"/>
    <w:rsid w:val="005C612C"/>
    <w:rsid w:val="005C6338"/>
    <w:rsid w:val="005C6381"/>
    <w:rsid w:val="005C6456"/>
    <w:rsid w:val="005C6720"/>
    <w:rsid w:val="005C67C5"/>
    <w:rsid w:val="005C6992"/>
    <w:rsid w:val="005C69FE"/>
    <w:rsid w:val="005C6AB6"/>
    <w:rsid w:val="005C6FF7"/>
    <w:rsid w:val="005C7039"/>
    <w:rsid w:val="005C7042"/>
    <w:rsid w:val="005C7108"/>
    <w:rsid w:val="005C7329"/>
    <w:rsid w:val="005C740C"/>
    <w:rsid w:val="005C7482"/>
    <w:rsid w:val="005C74F4"/>
    <w:rsid w:val="005C7527"/>
    <w:rsid w:val="005C787B"/>
    <w:rsid w:val="005C79BD"/>
    <w:rsid w:val="005C7D73"/>
    <w:rsid w:val="005C7E01"/>
    <w:rsid w:val="005C7F84"/>
    <w:rsid w:val="005D007D"/>
    <w:rsid w:val="005D011E"/>
    <w:rsid w:val="005D0312"/>
    <w:rsid w:val="005D03B3"/>
    <w:rsid w:val="005D0463"/>
    <w:rsid w:val="005D0517"/>
    <w:rsid w:val="005D0746"/>
    <w:rsid w:val="005D0803"/>
    <w:rsid w:val="005D081F"/>
    <w:rsid w:val="005D0901"/>
    <w:rsid w:val="005D0A50"/>
    <w:rsid w:val="005D0A75"/>
    <w:rsid w:val="005D0B0D"/>
    <w:rsid w:val="005D0C13"/>
    <w:rsid w:val="005D0D19"/>
    <w:rsid w:val="005D0E07"/>
    <w:rsid w:val="005D0EE3"/>
    <w:rsid w:val="005D0F44"/>
    <w:rsid w:val="005D0F5F"/>
    <w:rsid w:val="005D0F94"/>
    <w:rsid w:val="005D10F5"/>
    <w:rsid w:val="005D11B7"/>
    <w:rsid w:val="005D16F2"/>
    <w:rsid w:val="005D1799"/>
    <w:rsid w:val="005D18BE"/>
    <w:rsid w:val="005D1924"/>
    <w:rsid w:val="005D19C8"/>
    <w:rsid w:val="005D1A91"/>
    <w:rsid w:val="005D216A"/>
    <w:rsid w:val="005D2178"/>
    <w:rsid w:val="005D231A"/>
    <w:rsid w:val="005D2383"/>
    <w:rsid w:val="005D24D1"/>
    <w:rsid w:val="005D273E"/>
    <w:rsid w:val="005D2A79"/>
    <w:rsid w:val="005D2B5A"/>
    <w:rsid w:val="005D2C91"/>
    <w:rsid w:val="005D2CC4"/>
    <w:rsid w:val="005D2D70"/>
    <w:rsid w:val="005D2F81"/>
    <w:rsid w:val="005D2FB6"/>
    <w:rsid w:val="005D3004"/>
    <w:rsid w:val="005D3051"/>
    <w:rsid w:val="005D32EF"/>
    <w:rsid w:val="005D3335"/>
    <w:rsid w:val="005D3407"/>
    <w:rsid w:val="005D34EB"/>
    <w:rsid w:val="005D3607"/>
    <w:rsid w:val="005D365C"/>
    <w:rsid w:val="005D3B8D"/>
    <w:rsid w:val="005D3D39"/>
    <w:rsid w:val="005D3D9F"/>
    <w:rsid w:val="005D3DD1"/>
    <w:rsid w:val="005D3F32"/>
    <w:rsid w:val="005D40B3"/>
    <w:rsid w:val="005D40E5"/>
    <w:rsid w:val="005D44DD"/>
    <w:rsid w:val="005D45AB"/>
    <w:rsid w:val="005D473F"/>
    <w:rsid w:val="005D4942"/>
    <w:rsid w:val="005D498D"/>
    <w:rsid w:val="005D49C5"/>
    <w:rsid w:val="005D4A8A"/>
    <w:rsid w:val="005D4B92"/>
    <w:rsid w:val="005D4CCE"/>
    <w:rsid w:val="005D4D45"/>
    <w:rsid w:val="005D4F7C"/>
    <w:rsid w:val="005D5083"/>
    <w:rsid w:val="005D54B9"/>
    <w:rsid w:val="005D54ED"/>
    <w:rsid w:val="005D54F8"/>
    <w:rsid w:val="005D551E"/>
    <w:rsid w:val="005D558C"/>
    <w:rsid w:val="005D55D8"/>
    <w:rsid w:val="005D5A4D"/>
    <w:rsid w:val="005D5B89"/>
    <w:rsid w:val="005D5C19"/>
    <w:rsid w:val="005D5E7C"/>
    <w:rsid w:val="005D5F1F"/>
    <w:rsid w:val="005D6061"/>
    <w:rsid w:val="005D60B5"/>
    <w:rsid w:val="005D6221"/>
    <w:rsid w:val="005D62F8"/>
    <w:rsid w:val="005D63B3"/>
    <w:rsid w:val="005D64F1"/>
    <w:rsid w:val="005D6578"/>
    <w:rsid w:val="005D65D8"/>
    <w:rsid w:val="005D6614"/>
    <w:rsid w:val="005D6761"/>
    <w:rsid w:val="005D67D0"/>
    <w:rsid w:val="005D6849"/>
    <w:rsid w:val="005D69AC"/>
    <w:rsid w:val="005D6AE6"/>
    <w:rsid w:val="005D6EB5"/>
    <w:rsid w:val="005D6FF7"/>
    <w:rsid w:val="005D7029"/>
    <w:rsid w:val="005D713E"/>
    <w:rsid w:val="005D73FA"/>
    <w:rsid w:val="005D74A9"/>
    <w:rsid w:val="005D7658"/>
    <w:rsid w:val="005D77E3"/>
    <w:rsid w:val="005D787E"/>
    <w:rsid w:val="005D79A8"/>
    <w:rsid w:val="005D79F9"/>
    <w:rsid w:val="005D7B93"/>
    <w:rsid w:val="005D7C39"/>
    <w:rsid w:val="005D7CBB"/>
    <w:rsid w:val="005D7D1A"/>
    <w:rsid w:val="005D7EF3"/>
    <w:rsid w:val="005D7FA8"/>
    <w:rsid w:val="005E020F"/>
    <w:rsid w:val="005E038B"/>
    <w:rsid w:val="005E041A"/>
    <w:rsid w:val="005E06A9"/>
    <w:rsid w:val="005E07C2"/>
    <w:rsid w:val="005E084B"/>
    <w:rsid w:val="005E0A1A"/>
    <w:rsid w:val="005E0B93"/>
    <w:rsid w:val="005E0CC4"/>
    <w:rsid w:val="005E0E7B"/>
    <w:rsid w:val="005E0EC8"/>
    <w:rsid w:val="005E12AE"/>
    <w:rsid w:val="005E13DF"/>
    <w:rsid w:val="005E1547"/>
    <w:rsid w:val="005E1567"/>
    <w:rsid w:val="005E1569"/>
    <w:rsid w:val="005E15E8"/>
    <w:rsid w:val="005E1743"/>
    <w:rsid w:val="005E17B9"/>
    <w:rsid w:val="005E199C"/>
    <w:rsid w:val="005E19A7"/>
    <w:rsid w:val="005E1A92"/>
    <w:rsid w:val="005E1BC9"/>
    <w:rsid w:val="005E1BDB"/>
    <w:rsid w:val="005E1D85"/>
    <w:rsid w:val="005E1E3A"/>
    <w:rsid w:val="005E1E41"/>
    <w:rsid w:val="005E1F20"/>
    <w:rsid w:val="005E2434"/>
    <w:rsid w:val="005E24EC"/>
    <w:rsid w:val="005E27C9"/>
    <w:rsid w:val="005E280B"/>
    <w:rsid w:val="005E2B36"/>
    <w:rsid w:val="005E2C2B"/>
    <w:rsid w:val="005E2F80"/>
    <w:rsid w:val="005E31BA"/>
    <w:rsid w:val="005E3285"/>
    <w:rsid w:val="005E376B"/>
    <w:rsid w:val="005E3783"/>
    <w:rsid w:val="005E3837"/>
    <w:rsid w:val="005E383A"/>
    <w:rsid w:val="005E387D"/>
    <w:rsid w:val="005E39DE"/>
    <w:rsid w:val="005E3A7E"/>
    <w:rsid w:val="005E3AD1"/>
    <w:rsid w:val="005E3B75"/>
    <w:rsid w:val="005E3C78"/>
    <w:rsid w:val="005E3CEE"/>
    <w:rsid w:val="005E3CFF"/>
    <w:rsid w:val="005E3D15"/>
    <w:rsid w:val="005E3DCD"/>
    <w:rsid w:val="005E3DF2"/>
    <w:rsid w:val="005E3F4D"/>
    <w:rsid w:val="005E41E1"/>
    <w:rsid w:val="005E4665"/>
    <w:rsid w:val="005E4824"/>
    <w:rsid w:val="005E48F5"/>
    <w:rsid w:val="005E4928"/>
    <w:rsid w:val="005E4A46"/>
    <w:rsid w:val="005E4ABD"/>
    <w:rsid w:val="005E4C65"/>
    <w:rsid w:val="005E4CB0"/>
    <w:rsid w:val="005E4CB1"/>
    <w:rsid w:val="005E4CF9"/>
    <w:rsid w:val="005E4F07"/>
    <w:rsid w:val="005E5117"/>
    <w:rsid w:val="005E521A"/>
    <w:rsid w:val="005E5230"/>
    <w:rsid w:val="005E5366"/>
    <w:rsid w:val="005E54CD"/>
    <w:rsid w:val="005E55BC"/>
    <w:rsid w:val="005E5647"/>
    <w:rsid w:val="005E5696"/>
    <w:rsid w:val="005E56EF"/>
    <w:rsid w:val="005E57FC"/>
    <w:rsid w:val="005E5856"/>
    <w:rsid w:val="005E5876"/>
    <w:rsid w:val="005E5A13"/>
    <w:rsid w:val="005E5A68"/>
    <w:rsid w:val="005E5C68"/>
    <w:rsid w:val="005E6347"/>
    <w:rsid w:val="005E64A7"/>
    <w:rsid w:val="005E6591"/>
    <w:rsid w:val="005E65A6"/>
    <w:rsid w:val="005E6A45"/>
    <w:rsid w:val="005E6A77"/>
    <w:rsid w:val="005E6BD7"/>
    <w:rsid w:val="005E6C17"/>
    <w:rsid w:val="005E713B"/>
    <w:rsid w:val="005E71ED"/>
    <w:rsid w:val="005E7589"/>
    <w:rsid w:val="005E75E6"/>
    <w:rsid w:val="005E79C8"/>
    <w:rsid w:val="005E7B37"/>
    <w:rsid w:val="005E7BA7"/>
    <w:rsid w:val="005F061F"/>
    <w:rsid w:val="005F0758"/>
    <w:rsid w:val="005F077F"/>
    <w:rsid w:val="005F0C37"/>
    <w:rsid w:val="005F0CE0"/>
    <w:rsid w:val="005F0D0D"/>
    <w:rsid w:val="005F0E30"/>
    <w:rsid w:val="005F0EA3"/>
    <w:rsid w:val="005F0F76"/>
    <w:rsid w:val="005F112D"/>
    <w:rsid w:val="005F1148"/>
    <w:rsid w:val="005F116D"/>
    <w:rsid w:val="005F127D"/>
    <w:rsid w:val="005F13B7"/>
    <w:rsid w:val="005F1559"/>
    <w:rsid w:val="005F16D4"/>
    <w:rsid w:val="005F16E0"/>
    <w:rsid w:val="005F1895"/>
    <w:rsid w:val="005F1948"/>
    <w:rsid w:val="005F19DB"/>
    <w:rsid w:val="005F1A2A"/>
    <w:rsid w:val="005F1A99"/>
    <w:rsid w:val="005F1BB2"/>
    <w:rsid w:val="005F1D7F"/>
    <w:rsid w:val="005F1F82"/>
    <w:rsid w:val="005F204A"/>
    <w:rsid w:val="005F20B5"/>
    <w:rsid w:val="005F2461"/>
    <w:rsid w:val="005F2478"/>
    <w:rsid w:val="005F28CD"/>
    <w:rsid w:val="005F2920"/>
    <w:rsid w:val="005F2946"/>
    <w:rsid w:val="005F2A0B"/>
    <w:rsid w:val="005F2A27"/>
    <w:rsid w:val="005F2C0E"/>
    <w:rsid w:val="005F2C23"/>
    <w:rsid w:val="005F2CDC"/>
    <w:rsid w:val="005F2DA6"/>
    <w:rsid w:val="005F2E8B"/>
    <w:rsid w:val="005F3069"/>
    <w:rsid w:val="005F327A"/>
    <w:rsid w:val="005F3290"/>
    <w:rsid w:val="005F3419"/>
    <w:rsid w:val="005F342B"/>
    <w:rsid w:val="005F34C6"/>
    <w:rsid w:val="005F35A1"/>
    <w:rsid w:val="005F3683"/>
    <w:rsid w:val="005F390E"/>
    <w:rsid w:val="005F3948"/>
    <w:rsid w:val="005F3A2D"/>
    <w:rsid w:val="005F3C6B"/>
    <w:rsid w:val="005F3E8A"/>
    <w:rsid w:val="005F4268"/>
    <w:rsid w:val="005F4318"/>
    <w:rsid w:val="005F4422"/>
    <w:rsid w:val="005F44A6"/>
    <w:rsid w:val="005F451E"/>
    <w:rsid w:val="005F4641"/>
    <w:rsid w:val="005F466F"/>
    <w:rsid w:val="005F46A1"/>
    <w:rsid w:val="005F486C"/>
    <w:rsid w:val="005F49D9"/>
    <w:rsid w:val="005F4A02"/>
    <w:rsid w:val="005F4B44"/>
    <w:rsid w:val="005F4B62"/>
    <w:rsid w:val="005F4CE1"/>
    <w:rsid w:val="005F4DFA"/>
    <w:rsid w:val="005F4F18"/>
    <w:rsid w:val="005F4F8E"/>
    <w:rsid w:val="005F4F9C"/>
    <w:rsid w:val="005F51D9"/>
    <w:rsid w:val="005F546C"/>
    <w:rsid w:val="005F54A4"/>
    <w:rsid w:val="005F57C8"/>
    <w:rsid w:val="005F5817"/>
    <w:rsid w:val="005F59FD"/>
    <w:rsid w:val="005F5D88"/>
    <w:rsid w:val="005F5F1D"/>
    <w:rsid w:val="005F6316"/>
    <w:rsid w:val="005F638A"/>
    <w:rsid w:val="005F66B6"/>
    <w:rsid w:val="005F66C8"/>
    <w:rsid w:val="005F67B0"/>
    <w:rsid w:val="005F6E7D"/>
    <w:rsid w:val="005F6EF9"/>
    <w:rsid w:val="005F711D"/>
    <w:rsid w:val="005F71D1"/>
    <w:rsid w:val="005F73CB"/>
    <w:rsid w:val="005F755A"/>
    <w:rsid w:val="005F75D1"/>
    <w:rsid w:val="005F7669"/>
    <w:rsid w:val="005F77EA"/>
    <w:rsid w:val="005F7816"/>
    <w:rsid w:val="005F7AA4"/>
    <w:rsid w:val="005F7AD3"/>
    <w:rsid w:val="005F7C66"/>
    <w:rsid w:val="005F7D31"/>
    <w:rsid w:val="005F7E55"/>
    <w:rsid w:val="005F7F68"/>
    <w:rsid w:val="006002D3"/>
    <w:rsid w:val="0060035F"/>
    <w:rsid w:val="00600405"/>
    <w:rsid w:val="00600518"/>
    <w:rsid w:val="00600608"/>
    <w:rsid w:val="006006AE"/>
    <w:rsid w:val="0060081B"/>
    <w:rsid w:val="0060091B"/>
    <w:rsid w:val="006009FB"/>
    <w:rsid w:val="00600A47"/>
    <w:rsid w:val="00600B08"/>
    <w:rsid w:val="00600D63"/>
    <w:rsid w:val="00600DBF"/>
    <w:rsid w:val="00600DC0"/>
    <w:rsid w:val="00600E4D"/>
    <w:rsid w:val="00600FDE"/>
    <w:rsid w:val="006010DF"/>
    <w:rsid w:val="00601222"/>
    <w:rsid w:val="00601258"/>
    <w:rsid w:val="006012B7"/>
    <w:rsid w:val="00601475"/>
    <w:rsid w:val="00601489"/>
    <w:rsid w:val="00601555"/>
    <w:rsid w:val="006015DB"/>
    <w:rsid w:val="00601633"/>
    <w:rsid w:val="00601916"/>
    <w:rsid w:val="00601C91"/>
    <w:rsid w:val="00601D14"/>
    <w:rsid w:val="00601E3F"/>
    <w:rsid w:val="00601EC6"/>
    <w:rsid w:val="006021F2"/>
    <w:rsid w:val="00602360"/>
    <w:rsid w:val="00602370"/>
    <w:rsid w:val="00602783"/>
    <w:rsid w:val="00602A96"/>
    <w:rsid w:val="00602B21"/>
    <w:rsid w:val="00603081"/>
    <w:rsid w:val="006030C0"/>
    <w:rsid w:val="00603101"/>
    <w:rsid w:val="006031FC"/>
    <w:rsid w:val="006033A9"/>
    <w:rsid w:val="006033C2"/>
    <w:rsid w:val="00603556"/>
    <w:rsid w:val="00603767"/>
    <w:rsid w:val="00603AAF"/>
    <w:rsid w:val="00603ADE"/>
    <w:rsid w:val="006045B3"/>
    <w:rsid w:val="00604737"/>
    <w:rsid w:val="00604A37"/>
    <w:rsid w:val="00604C8D"/>
    <w:rsid w:val="00604CE0"/>
    <w:rsid w:val="006052AB"/>
    <w:rsid w:val="006053BB"/>
    <w:rsid w:val="006054E8"/>
    <w:rsid w:val="0060576A"/>
    <w:rsid w:val="00605811"/>
    <w:rsid w:val="006058F1"/>
    <w:rsid w:val="0060596D"/>
    <w:rsid w:val="006059B9"/>
    <w:rsid w:val="00605E2D"/>
    <w:rsid w:val="00605E45"/>
    <w:rsid w:val="0060663B"/>
    <w:rsid w:val="006066C1"/>
    <w:rsid w:val="00606753"/>
    <w:rsid w:val="006069A1"/>
    <w:rsid w:val="00606BE9"/>
    <w:rsid w:val="00606C0C"/>
    <w:rsid w:val="00607068"/>
    <w:rsid w:val="00607205"/>
    <w:rsid w:val="0060729D"/>
    <w:rsid w:val="006074E4"/>
    <w:rsid w:val="006074F7"/>
    <w:rsid w:val="006077DF"/>
    <w:rsid w:val="00607BAF"/>
    <w:rsid w:val="00607C69"/>
    <w:rsid w:val="00607CC5"/>
    <w:rsid w:val="00607CD9"/>
    <w:rsid w:val="00607D9E"/>
    <w:rsid w:val="00607E2C"/>
    <w:rsid w:val="00607FAA"/>
    <w:rsid w:val="00607FD7"/>
    <w:rsid w:val="0061006E"/>
    <w:rsid w:val="00610106"/>
    <w:rsid w:val="0061012F"/>
    <w:rsid w:val="006101D5"/>
    <w:rsid w:val="00610395"/>
    <w:rsid w:val="006103C9"/>
    <w:rsid w:val="00610525"/>
    <w:rsid w:val="006106D2"/>
    <w:rsid w:val="006108DD"/>
    <w:rsid w:val="00610923"/>
    <w:rsid w:val="00610A0C"/>
    <w:rsid w:val="00610B35"/>
    <w:rsid w:val="00611132"/>
    <w:rsid w:val="006112D1"/>
    <w:rsid w:val="006112FA"/>
    <w:rsid w:val="006115FC"/>
    <w:rsid w:val="006116EF"/>
    <w:rsid w:val="00611729"/>
    <w:rsid w:val="00611741"/>
    <w:rsid w:val="006119B8"/>
    <w:rsid w:val="00611A37"/>
    <w:rsid w:val="00611A46"/>
    <w:rsid w:val="00611CC3"/>
    <w:rsid w:val="006120A8"/>
    <w:rsid w:val="00612221"/>
    <w:rsid w:val="006122ED"/>
    <w:rsid w:val="0061232E"/>
    <w:rsid w:val="00612350"/>
    <w:rsid w:val="006123CA"/>
    <w:rsid w:val="00612403"/>
    <w:rsid w:val="0061246B"/>
    <w:rsid w:val="00612627"/>
    <w:rsid w:val="00612769"/>
    <w:rsid w:val="00612A18"/>
    <w:rsid w:val="00612C74"/>
    <w:rsid w:val="00612CBE"/>
    <w:rsid w:val="00612D5A"/>
    <w:rsid w:val="00612E9D"/>
    <w:rsid w:val="0061327E"/>
    <w:rsid w:val="00613357"/>
    <w:rsid w:val="006135F2"/>
    <w:rsid w:val="00613695"/>
    <w:rsid w:val="00613797"/>
    <w:rsid w:val="00613BBA"/>
    <w:rsid w:val="00613CB3"/>
    <w:rsid w:val="00613CE0"/>
    <w:rsid w:val="00613CFA"/>
    <w:rsid w:val="00613F3B"/>
    <w:rsid w:val="00613F61"/>
    <w:rsid w:val="006142E8"/>
    <w:rsid w:val="00614303"/>
    <w:rsid w:val="00614314"/>
    <w:rsid w:val="00614428"/>
    <w:rsid w:val="00614603"/>
    <w:rsid w:val="006146A7"/>
    <w:rsid w:val="00614736"/>
    <w:rsid w:val="006148B0"/>
    <w:rsid w:val="00614992"/>
    <w:rsid w:val="00614B00"/>
    <w:rsid w:val="00614BE3"/>
    <w:rsid w:val="00614DD4"/>
    <w:rsid w:val="00614E9E"/>
    <w:rsid w:val="00614FF1"/>
    <w:rsid w:val="006151F7"/>
    <w:rsid w:val="006152CB"/>
    <w:rsid w:val="00615993"/>
    <w:rsid w:val="00615B94"/>
    <w:rsid w:val="00615C28"/>
    <w:rsid w:val="00615D5F"/>
    <w:rsid w:val="00615E21"/>
    <w:rsid w:val="00616038"/>
    <w:rsid w:val="0061614C"/>
    <w:rsid w:val="0061623E"/>
    <w:rsid w:val="006164F3"/>
    <w:rsid w:val="00616516"/>
    <w:rsid w:val="00616617"/>
    <w:rsid w:val="00616664"/>
    <w:rsid w:val="006167A8"/>
    <w:rsid w:val="006168AF"/>
    <w:rsid w:val="0061691A"/>
    <w:rsid w:val="006169C8"/>
    <w:rsid w:val="00616CFC"/>
    <w:rsid w:val="00616D3B"/>
    <w:rsid w:val="00616F20"/>
    <w:rsid w:val="00616FAF"/>
    <w:rsid w:val="00617135"/>
    <w:rsid w:val="006171B8"/>
    <w:rsid w:val="006171DA"/>
    <w:rsid w:val="0061731D"/>
    <w:rsid w:val="006175E5"/>
    <w:rsid w:val="0061768E"/>
    <w:rsid w:val="006176F9"/>
    <w:rsid w:val="006177E0"/>
    <w:rsid w:val="006177F8"/>
    <w:rsid w:val="0061787C"/>
    <w:rsid w:val="00617891"/>
    <w:rsid w:val="0061789E"/>
    <w:rsid w:val="006179F9"/>
    <w:rsid w:val="00617A0C"/>
    <w:rsid w:val="00617BBE"/>
    <w:rsid w:val="00617CDD"/>
    <w:rsid w:val="00617D0C"/>
    <w:rsid w:val="00617D3F"/>
    <w:rsid w:val="00620205"/>
    <w:rsid w:val="0062048C"/>
    <w:rsid w:val="006207E7"/>
    <w:rsid w:val="006207FE"/>
    <w:rsid w:val="006208E8"/>
    <w:rsid w:val="00620911"/>
    <w:rsid w:val="006209D3"/>
    <w:rsid w:val="0062100B"/>
    <w:rsid w:val="006211AD"/>
    <w:rsid w:val="006213D7"/>
    <w:rsid w:val="0062162D"/>
    <w:rsid w:val="006216E2"/>
    <w:rsid w:val="00621787"/>
    <w:rsid w:val="00621933"/>
    <w:rsid w:val="00621B52"/>
    <w:rsid w:val="00621BD6"/>
    <w:rsid w:val="00621DB9"/>
    <w:rsid w:val="00621DD6"/>
    <w:rsid w:val="00621E4A"/>
    <w:rsid w:val="006220F7"/>
    <w:rsid w:val="006221CC"/>
    <w:rsid w:val="00622315"/>
    <w:rsid w:val="00622331"/>
    <w:rsid w:val="00622409"/>
    <w:rsid w:val="006226C3"/>
    <w:rsid w:val="006226FE"/>
    <w:rsid w:val="006228ED"/>
    <w:rsid w:val="006229BC"/>
    <w:rsid w:val="00622A74"/>
    <w:rsid w:val="00622D42"/>
    <w:rsid w:val="00622E0F"/>
    <w:rsid w:val="00622E79"/>
    <w:rsid w:val="00622EB4"/>
    <w:rsid w:val="00622F50"/>
    <w:rsid w:val="00622F63"/>
    <w:rsid w:val="00623101"/>
    <w:rsid w:val="006231BB"/>
    <w:rsid w:val="006232D1"/>
    <w:rsid w:val="00623402"/>
    <w:rsid w:val="00623423"/>
    <w:rsid w:val="006236A2"/>
    <w:rsid w:val="00623881"/>
    <w:rsid w:val="00623974"/>
    <w:rsid w:val="00623A10"/>
    <w:rsid w:val="00623B03"/>
    <w:rsid w:val="00623B0A"/>
    <w:rsid w:val="00623B28"/>
    <w:rsid w:val="00623B2A"/>
    <w:rsid w:val="00623B6C"/>
    <w:rsid w:val="00623F51"/>
    <w:rsid w:val="00623FEE"/>
    <w:rsid w:val="0062400A"/>
    <w:rsid w:val="00624017"/>
    <w:rsid w:val="0062405E"/>
    <w:rsid w:val="006241FD"/>
    <w:rsid w:val="00624286"/>
    <w:rsid w:val="0062437B"/>
    <w:rsid w:val="006244CB"/>
    <w:rsid w:val="006246D8"/>
    <w:rsid w:val="0062495D"/>
    <w:rsid w:val="00624AD3"/>
    <w:rsid w:val="00624B34"/>
    <w:rsid w:val="00624FC4"/>
    <w:rsid w:val="006251E8"/>
    <w:rsid w:val="00625255"/>
    <w:rsid w:val="0062527E"/>
    <w:rsid w:val="00625411"/>
    <w:rsid w:val="00625569"/>
    <w:rsid w:val="00625584"/>
    <w:rsid w:val="006257B1"/>
    <w:rsid w:val="006257FB"/>
    <w:rsid w:val="00625A1B"/>
    <w:rsid w:val="00625B93"/>
    <w:rsid w:val="00625BF8"/>
    <w:rsid w:val="00625C3A"/>
    <w:rsid w:val="00625D10"/>
    <w:rsid w:val="0062612D"/>
    <w:rsid w:val="006261A4"/>
    <w:rsid w:val="00626219"/>
    <w:rsid w:val="00626394"/>
    <w:rsid w:val="006265CE"/>
    <w:rsid w:val="006265E7"/>
    <w:rsid w:val="0062664C"/>
    <w:rsid w:val="006266BB"/>
    <w:rsid w:val="006267F3"/>
    <w:rsid w:val="006268C9"/>
    <w:rsid w:val="006268D2"/>
    <w:rsid w:val="00626AD6"/>
    <w:rsid w:val="00626B9C"/>
    <w:rsid w:val="00626BB6"/>
    <w:rsid w:val="00626CE9"/>
    <w:rsid w:val="00626D20"/>
    <w:rsid w:val="00626D69"/>
    <w:rsid w:val="006271F1"/>
    <w:rsid w:val="00627445"/>
    <w:rsid w:val="00627535"/>
    <w:rsid w:val="00627541"/>
    <w:rsid w:val="0062766E"/>
    <w:rsid w:val="006278B4"/>
    <w:rsid w:val="006279CB"/>
    <w:rsid w:val="00627A40"/>
    <w:rsid w:val="00627A5B"/>
    <w:rsid w:val="00627E59"/>
    <w:rsid w:val="00627FE4"/>
    <w:rsid w:val="006300DF"/>
    <w:rsid w:val="00630166"/>
    <w:rsid w:val="00630196"/>
    <w:rsid w:val="00630418"/>
    <w:rsid w:val="00630490"/>
    <w:rsid w:val="0063059A"/>
    <w:rsid w:val="00630643"/>
    <w:rsid w:val="006306A7"/>
    <w:rsid w:val="00630758"/>
    <w:rsid w:val="006308E9"/>
    <w:rsid w:val="00630BE9"/>
    <w:rsid w:val="00630C13"/>
    <w:rsid w:val="00630D44"/>
    <w:rsid w:val="00630DA7"/>
    <w:rsid w:val="00631027"/>
    <w:rsid w:val="006311E3"/>
    <w:rsid w:val="006312D4"/>
    <w:rsid w:val="00631453"/>
    <w:rsid w:val="00631536"/>
    <w:rsid w:val="006315C3"/>
    <w:rsid w:val="00631669"/>
    <w:rsid w:val="00631783"/>
    <w:rsid w:val="00631A71"/>
    <w:rsid w:val="00631AEE"/>
    <w:rsid w:val="00631B80"/>
    <w:rsid w:val="00631B94"/>
    <w:rsid w:val="00631CEC"/>
    <w:rsid w:val="00631DDA"/>
    <w:rsid w:val="00631DDD"/>
    <w:rsid w:val="00631F6D"/>
    <w:rsid w:val="00632027"/>
    <w:rsid w:val="006322D8"/>
    <w:rsid w:val="006323B4"/>
    <w:rsid w:val="006323CF"/>
    <w:rsid w:val="00632448"/>
    <w:rsid w:val="00632498"/>
    <w:rsid w:val="006324A1"/>
    <w:rsid w:val="00632500"/>
    <w:rsid w:val="0063261F"/>
    <w:rsid w:val="006326A0"/>
    <w:rsid w:val="00632790"/>
    <w:rsid w:val="006329E5"/>
    <w:rsid w:val="00632A02"/>
    <w:rsid w:val="00632A35"/>
    <w:rsid w:val="00632A3B"/>
    <w:rsid w:val="00632ADE"/>
    <w:rsid w:val="00632AE7"/>
    <w:rsid w:val="00632B0A"/>
    <w:rsid w:val="00632E25"/>
    <w:rsid w:val="00632F10"/>
    <w:rsid w:val="00632F40"/>
    <w:rsid w:val="00632F5C"/>
    <w:rsid w:val="006333E4"/>
    <w:rsid w:val="00633563"/>
    <w:rsid w:val="00633703"/>
    <w:rsid w:val="00633738"/>
    <w:rsid w:val="006338EB"/>
    <w:rsid w:val="00633B58"/>
    <w:rsid w:val="00633B9C"/>
    <w:rsid w:val="00633C38"/>
    <w:rsid w:val="00633D4A"/>
    <w:rsid w:val="00633DF5"/>
    <w:rsid w:val="00633E57"/>
    <w:rsid w:val="00633FFA"/>
    <w:rsid w:val="006340F7"/>
    <w:rsid w:val="006340F9"/>
    <w:rsid w:val="00634135"/>
    <w:rsid w:val="00634315"/>
    <w:rsid w:val="0063432A"/>
    <w:rsid w:val="00634470"/>
    <w:rsid w:val="0063450F"/>
    <w:rsid w:val="00634597"/>
    <w:rsid w:val="00634675"/>
    <w:rsid w:val="006347BB"/>
    <w:rsid w:val="006347D1"/>
    <w:rsid w:val="00634C4B"/>
    <w:rsid w:val="00634C78"/>
    <w:rsid w:val="00634FA6"/>
    <w:rsid w:val="006354FF"/>
    <w:rsid w:val="00635613"/>
    <w:rsid w:val="00635899"/>
    <w:rsid w:val="00635900"/>
    <w:rsid w:val="00635909"/>
    <w:rsid w:val="006359AE"/>
    <w:rsid w:val="00635BE5"/>
    <w:rsid w:val="00635C56"/>
    <w:rsid w:val="00635D63"/>
    <w:rsid w:val="00635EEB"/>
    <w:rsid w:val="00636137"/>
    <w:rsid w:val="00636173"/>
    <w:rsid w:val="00636271"/>
    <w:rsid w:val="00636545"/>
    <w:rsid w:val="006365A1"/>
    <w:rsid w:val="006365C4"/>
    <w:rsid w:val="00636642"/>
    <w:rsid w:val="0063669C"/>
    <w:rsid w:val="00636882"/>
    <w:rsid w:val="00636929"/>
    <w:rsid w:val="00636AD4"/>
    <w:rsid w:val="00636FA1"/>
    <w:rsid w:val="00637180"/>
    <w:rsid w:val="00637288"/>
    <w:rsid w:val="00637337"/>
    <w:rsid w:val="00637339"/>
    <w:rsid w:val="0063737F"/>
    <w:rsid w:val="0063750B"/>
    <w:rsid w:val="00637611"/>
    <w:rsid w:val="00637777"/>
    <w:rsid w:val="006377E0"/>
    <w:rsid w:val="0063781B"/>
    <w:rsid w:val="006378B3"/>
    <w:rsid w:val="00637B86"/>
    <w:rsid w:val="00637BC6"/>
    <w:rsid w:val="00637BF1"/>
    <w:rsid w:val="00637C03"/>
    <w:rsid w:val="00637D4C"/>
    <w:rsid w:val="00637E54"/>
    <w:rsid w:val="00640008"/>
    <w:rsid w:val="00640237"/>
    <w:rsid w:val="0064032D"/>
    <w:rsid w:val="0064034F"/>
    <w:rsid w:val="00640382"/>
    <w:rsid w:val="00640421"/>
    <w:rsid w:val="0064044E"/>
    <w:rsid w:val="006405AF"/>
    <w:rsid w:val="0064078E"/>
    <w:rsid w:val="0064079F"/>
    <w:rsid w:val="0064083B"/>
    <w:rsid w:val="006408E5"/>
    <w:rsid w:val="006408E6"/>
    <w:rsid w:val="00640CB8"/>
    <w:rsid w:val="00640DA8"/>
    <w:rsid w:val="00640E01"/>
    <w:rsid w:val="00640E1A"/>
    <w:rsid w:val="00640EE4"/>
    <w:rsid w:val="00640FCD"/>
    <w:rsid w:val="006412F6"/>
    <w:rsid w:val="006417A9"/>
    <w:rsid w:val="00641A66"/>
    <w:rsid w:val="00641AD2"/>
    <w:rsid w:val="00641C79"/>
    <w:rsid w:val="00641FEF"/>
    <w:rsid w:val="0064216B"/>
    <w:rsid w:val="006421FB"/>
    <w:rsid w:val="006422B5"/>
    <w:rsid w:val="00642323"/>
    <w:rsid w:val="00642495"/>
    <w:rsid w:val="0064250C"/>
    <w:rsid w:val="0064250E"/>
    <w:rsid w:val="006427A3"/>
    <w:rsid w:val="0064285E"/>
    <w:rsid w:val="0064288D"/>
    <w:rsid w:val="006428F5"/>
    <w:rsid w:val="00642927"/>
    <w:rsid w:val="00642AEF"/>
    <w:rsid w:val="00642CAE"/>
    <w:rsid w:val="00642CEA"/>
    <w:rsid w:val="00642D4F"/>
    <w:rsid w:val="00642D80"/>
    <w:rsid w:val="00642E83"/>
    <w:rsid w:val="00642E91"/>
    <w:rsid w:val="006430D9"/>
    <w:rsid w:val="006430FA"/>
    <w:rsid w:val="0064317C"/>
    <w:rsid w:val="006431DF"/>
    <w:rsid w:val="00643834"/>
    <w:rsid w:val="00643B19"/>
    <w:rsid w:val="00643C5A"/>
    <w:rsid w:val="00643C9A"/>
    <w:rsid w:val="00643E48"/>
    <w:rsid w:val="00644089"/>
    <w:rsid w:val="00644155"/>
    <w:rsid w:val="00644349"/>
    <w:rsid w:val="00644387"/>
    <w:rsid w:val="006444B5"/>
    <w:rsid w:val="006448DA"/>
    <w:rsid w:val="0064499C"/>
    <w:rsid w:val="00644B25"/>
    <w:rsid w:val="00644C25"/>
    <w:rsid w:val="00644C50"/>
    <w:rsid w:val="00644ECA"/>
    <w:rsid w:val="006451FA"/>
    <w:rsid w:val="00645266"/>
    <w:rsid w:val="00645270"/>
    <w:rsid w:val="006452B0"/>
    <w:rsid w:val="006454B7"/>
    <w:rsid w:val="00645605"/>
    <w:rsid w:val="0064565E"/>
    <w:rsid w:val="00645685"/>
    <w:rsid w:val="006456E3"/>
    <w:rsid w:val="00645811"/>
    <w:rsid w:val="0064587D"/>
    <w:rsid w:val="00645960"/>
    <w:rsid w:val="00645B6C"/>
    <w:rsid w:val="00645C05"/>
    <w:rsid w:val="00645DA8"/>
    <w:rsid w:val="00645E59"/>
    <w:rsid w:val="00645EE3"/>
    <w:rsid w:val="00646033"/>
    <w:rsid w:val="0064604E"/>
    <w:rsid w:val="006460D6"/>
    <w:rsid w:val="0064659F"/>
    <w:rsid w:val="006465E4"/>
    <w:rsid w:val="00646731"/>
    <w:rsid w:val="00646AA5"/>
    <w:rsid w:val="00646ACF"/>
    <w:rsid w:val="00646C50"/>
    <w:rsid w:val="00646DBB"/>
    <w:rsid w:val="00646DFC"/>
    <w:rsid w:val="00646E78"/>
    <w:rsid w:val="00646E8C"/>
    <w:rsid w:val="00646FE6"/>
    <w:rsid w:val="00647003"/>
    <w:rsid w:val="0064704C"/>
    <w:rsid w:val="006470FC"/>
    <w:rsid w:val="0064739F"/>
    <w:rsid w:val="006473E3"/>
    <w:rsid w:val="0064744E"/>
    <w:rsid w:val="0064758E"/>
    <w:rsid w:val="006476D1"/>
    <w:rsid w:val="00647802"/>
    <w:rsid w:val="0064788B"/>
    <w:rsid w:val="00647A65"/>
    <w:rsid w:val="00647B16"/>
    <w:rsid w:val="00647D09"/>
    <w:rsid w:val="00647D7B"/>
    <w:rsid w:val="00647DFA"/>
    <w:rsid w:val="0065009C"/>
    <w:rsid w:val="006500D2"/>
    <w:rsid w:val="006500E0"/>
    <w:rsid w:val="006502FA"/>
    <w:rsid w:val="0065042D"/>
    <w:rsid w:val="0065056C"/>
    <w:rsid w:val="00650630"/>
    <w:rsid w:val="00650665"/>
    <w:rsid w:val="006507BF"/>
    <w:rsid w:val="006508AC"/>
    <w:rsid w:val="00650A0E"/>
    <w:rsid w:val="00650A5D"/>
    <w:rsid w:val="00650DFB"/>
    <w:rsid w:val="00650F38"/>
    <w:rsid w:val="00650F99"/>
    <w:rsid w:val="00651530"/>
    <w:rsid w:val="006516EE"/>
    <w:rsid w:val="006516F6"/>
    <w:rsid w:val="0065173B"/>
    <w:rsid w:val="006517DB"/>
    <w:rsid w:val="00651810"/>
    <w:rsid w:val="00651818"/>
    <w:rsid w:val="006519A2"/>
    <w:rsid w:val="00651A2F"/>
    <w:rsid w:val="00651B7B"/>
    <w:rsid w:val="00651C36"/>
    <w:rsid w:val="00651CA2"/>
    <w:rsid w:val="00651F0D"/>
    <w:rsid w:val="006522C4"/>
    <w:rsid w:val="00652517"/>
    <w:rsid w:val="00652520"/>
    <w:rsid w:val="006525EF"/>
    <w:rsid w:val="006526CD"/>
    <w:rsid w:val="00652782"/>
    <w:rsid w:val="00652898"/>
    <w:rsid w:val="00652B35"/>
    <w:rsid w:val="00652BC3"/>
    <w:rsid w:val="00652BD8"/>
    <w:rsid w:val="00652D3A"/>
    <w:rsid w:val="00652FA5"/>
    <w:rsid w:val="00653126"/>
    <w:rsid w:val="0065320D"/>
    <w:rsid w:val="00653289"/>
    <w:rsid w:val="0065338C"/>
    <w:rsid w:val="00653408"/>
    <w:rsid w:val="00653440"/>
    <w:rsid w:val="00653493"/>
    <w:rsid w:val="0065357B"/>
    <w:rsid w:val="006535D7"/>
    <w:rsid w:val="0065388D"/>
    <w:rsid w:val="006538CB"/>
    <w:rsid w:val="00653BB0"/>
    <w:rsid w:val="00653D8D"/>
    <w:rsid w:val="00653DC5"/>
    <w:rsid w:val="0065406A"/>
    <w:rsid w:val="006540B5"/>
    <w:rsid w:val="00654155"/>
    <w:rsid w:val="006541AC"/>
    <w:rsid w:val="006541D6"/>
    <w:rsid w:val="00654210"/>
    <w:rsid w:val="00654350"/>
    <w:rsid w:val="006544B9"/>
    <w:rsid w:val="00654568"/>
    <w:rsid w:val="006545BD"/>
    <w:rsid w:val="00654652"/>
    <w:rsid w:val="0065465E"/>
    <w:rsid w:val="00654678"/>
    <w:rsid w:val="006546AB"/>
    <w:rsid w:val="006548BC"/>
    <w:rsid w:val="00654960"/>
    <w:rsid w:val="00654A11"/>
    <w:rsid w:val="00654ABD"/>
    <w:rsid w:val="00654AE3"/>
    <w:rsid w:val="00654B02"/>
    <w:rsid w:val="00654BB4"/>
    <w:rsid w:val="00654D7F"/>
    <w:rsid w:val="00654DA5"/>
    <w:rsid w:val="00654DB1"/>
    <w:rsid w:val="00654EC0"/>
    <w:rsid w:val="00655026"/>
    <w:rsid w:val="0065505F"/>
    <w:rsid w:val="00655267"/>
    <w:rsid w:val="006553A5"/>
    <w:rsid w:val="00655605"/>
    <w:rsid w:val="00655895"/>
    <w:rsid w:val="006558F5"/>
    <w:rsid w:val="00655A79"/>
    <w:rsid w:val="00655BEC"/>
    <w:rsid w:val="00655BFC"/>
    <w:rsid w:val="00655C3B"/>
    <w:rsid w:val="00655C86"/>
    <w:rsid w:val="00655D63"/>
    <w:rsid w:val="00655EAD"/>
    <w:rsid w:val="006560AB"/>
    <w:rsid w:val="006560C8"/>
    <w:rsid w:val="00656239"/>
    <w:rsid w:val="00656673"/>
    <w:rsid w:val="0065671B"/>
    <w:rsid w:val="006570AA"/>
    <w:rsid w:val="00657247"/>
    <w:rsid w:val="00657321"/>
    <w:rsid w:val="0065739F"/>
    <w:rsid w:val="0065740F"/>
    <w:rsid w:val="00657543"/>
    <w:rsid w:val="006579F8"/>
    <w:rsid w:val="00657A3B"/>
    <w:rsid w:val="00657D9D"/>
    <w:rsid w:val="00657EB1"/>
    <w:rsid w:val="00657F83"/>
    <w:rsid w:val="00657FF2"/>
    <w:rsid w:val="006600AC"/>
    <w:rsid w:val="006603BF"/>
    <w:rsid w:val="006603D8"/>
    <w:rsid w:val="006603E6"/>
    <w:rsid w:val="0066049C"/>
    <w:rsid w:val="006605B8"/>
    <w:rsid w:val="00660626"/>
    <w:rsid w:val="0066070F"/>
    <w:rsid w:val="00660727"/>
    <w:rsid w:val="0066072C"/>
    <w:rsid w:val="00660899"/>
    <w:rsid w:val="0066095D"/>
    <w:rsid w:val="00660962"/>
    <w:rsid w:val="0066098E"/>
    <w:rsid w:val="00660C08"/>
    <w:rsid w:val="00660EDB"/>
    <w:rsid w:val="00660EF6"/>
    <w:rsid w:val="00660F27"/>
    <w:rsid w:val="00660F29"/>
    <w:rsid w:val="0066103C"/>
    <w:rsid w:val="0066103D"/>
    <w:rsid w:val="006613F4"/>
    <w:rsid w:val="00661521"/>
    <w:rsid w:val="00661719"/>
    <w:rsid w:val="0066172E"/>
    <w:rsid w:val="006619E7"/>
    <w:rsid w:val="00661BD8"/>
    <w:rsid w:val="00661E4A"/>
    <w:rsid w:val="00662152"/>
    <w:rsid w:val="00662305"/>
    <w:rsid w:val="00662560"/>
    <w:rsid w:val="00662772"/>
    <w:rsid w:val="00662795"/>
    <w:rsid w:val="006628E5"/>
    <w:rsid w:val="00662B42"/>
    <w:rsid w:val="00662B71"/>
    <w:rsid w:val="00662BC9"/>
    <w:rsid w:val="00662D09"/>
    <w:rsid w:val="00662F46"/>
    <w:rsid w:val="0066317D"/>
    <w:rsid w:val="006631F1"/>
    <w:rsid w:val="006635AC"/>
    <w:rsid w:val="0066369B"/>
    <w:rsid w:val="006636CF"/>
    <w:rsid w:val="0066376A"/>
    <w:rsid w:val="00663A04"/>
    <w:rsid w:val="00663BFE"/>
    <w:rsid w:val="0066409E"/>
    <w:rsid w:val="00664344"/>
    <w:rsid w:val="00664436"/>
    <w:rsid w:val="006646C8"/>
    <w:rsid w:val="00664741"/>
    <w:rsid w:val="00664785"/>
    <w:rsid w:val="006647DC"/>
    <w:rsid w:val="00664854"/>
    <w:rsid w:val="0066496E"/>
    <w:rsid w:val="00664A2C"/>
    <w:rsid w:val="00664D62"/>
    <w:rsid w:val="00664E21"/>
    <w:rsid w:val="00665097"/>
    <w:rsid w:val="006651F8"/>
    <w:rsid w:val="006653FE"/>
    <w:rsid w:val="00665462"/>
    <w:rsid w:val="006654C8"/>
    <w:rsid w:val="006655F6"/>
    <w:rsid w:val="00665805"/>
    <w:rsid w:val="0066591D"/>
    <w:rsid w:val="00665A26"/>
    <w:rsid w:val="00666024"/>
    <w:rsid w:val="006660DB"/>
    <w:rsid w:val="00666171"/>
    <w:rsid w:val="006662A7"/>
    <w:rsid w:val="00666539"/>
    <w:rsid w:val="00666765"/>
    <w:rsid w:val="00666943"/>
    <w:rsid w:val="00666DCB"/>
    <w:rsid w:val="00667083"/>
    <w:rsid w:val="006670A8"/>
    <w:rsid w:val="0066724F"/>
    <w:rsid w:val="00667299"/>
    <w:rsid w:val="0066758E"/>
    <w:rsid w:val="0066766F"/>
    <w:rsid w:val="00667701"/>
    <w:rsid w:val="0066777B"/>
    <w:rsid w:val="00667988"/>
    <w:rsid w:val="00667A6B"/>
    <w:rsid w:val="00667B22"/>
    <w:rsid w:val="00667EC5"/>
    <w:rsid w:val="00667F24"/>
    <w:rsid w:val="00667F36"/>
    <w:rsid w:val="00667F98"/>
    <w:rsid w:val="00667FEF"/>
    <w:rsid w:val="0067002F"/>
    <w:rsid w:val="006702A9"/>
    <w:rsid w:val="006702CC"/>
    <w:rsid w:val="00670309"/>
    <w:rsid w:val="0067052A"/>
    <w:rsid w:val="006706B9"/>
    <w:rsid w:val="006708A3"/>
    <w:rsid w:val="00670A6F"/>
    <w:rsid w:val="00670A7A"/>
    <w:rsid w:val="00670EFA"/>
    <w:rsid w:val="006710C1"/>
    <w:rsid w:val="00671165"/>
    <w:rsid w:val="0067116B"/>
    <w:rsid w:val="006712F0"/>
    <w:rsid w:val="006713BF"/>
    <w:rsid w:val="00671410"/>
    <w:rsid w:val="00671458"/>
    <w:rsid w:val="0067167D"/>
    <w:rsid w:val="006716B7"/>
    <w:rsid w:val="00671896"/>
    <w:rsid w:val="00671A18"/>
    <w:rsid w:val="00671B5B"/>
    <w:rsid w:val="00671D1A"/>
    <w:rsid w:val="00671E55"/>
    <w:rsid w:val="006720BE"/>
    <w:rsid w:val="00672245"/>
    <w:rsid w:val="0067243C"/>
    <w:rsid w:val="00672460"/>
    <w:rsid w:val="00672589"/>
    <w:rsid w:val="006725BA"/>
    <w:rsid w:val="006726C0"/>
    <w:rsid w:val="0067282A"/>
    <w:rsid w:val="00672B0F"/>
    <w:rsid w:val="00672C6D"/>
    <w:rsid w:val="00672D4E"/>
    <w:rsid w:val="00672E32"/>
    <w:rsid w:val="00672E6C"/>
    <w:rsid w:val="00672F12"/>
    <w:rsid w:val="0067304E"/>
    <w:rsid w:val="0067309E"/>
    <w:rsid w:val="0067335A"/>
    <w:rsid w:val="0067357B"/>
    <w:rsid w:val="0067366E"/>
    <w:rsid w:val="0067372C"/>
    <w:rsid w:val="00673958"/>
    <w:rsid w:val="00673993"/>
    <w:rsid w:val="00673AD3"/>
    <w:rsid w:val="00673ADE"/>
    <w:rsid w:val="00673BF7"/>
    <w:rsid w:val="00673C07"/>
    <w:rsid w:val="00673C1C"/>
    <w:rsid w:val="00673E47"/>
    <w:rsid w:val="00673EDC"/>
    <w:rsid w:val="0067405B"/>
    <w:rsid w:val="00674079"/>
    <w:rsid w:val="0067408E"/>
    <w:rsid w:val="006740A1"/>
    <w:rsid w:val="006742B1"/>
    <w:rsid w:val="006742F3"/>
    <w:rsid w:val="006744E3"/>
    <w:rsid w:val="006745B6"/>
    <w:rsid w:val="006745E5"/>
    <w:rsid w:val="0067466E"/>
    <w:rsid w:val="006747E6"/>
    <w:rsid w:val="00674812"/>
    <w:rsid w:val="00674995"/>
    <w:rsid w:val="00674D0A"/>
    <w:rsid w:val="00674ECA"/>
    <w:rsid w:val="00674F2F"/>
    <w:rsid w:val="006750B1"/>
    <w:rsid w:val="006750EA"/>
    <w:rsid w:val="006752CE"/>
    <w:rsid w:val="006752FA"/>
    <w:rsid w:val="00675498"/>
    <w:rsid w:val="00675710"/>
    <w:rsid w:val="00675744"/>
    <w:rsid w:val="00675823"/>
    <w:rsid w:val="0067594D"/>
    <w:rsid w:val="00675D6C"/>
    <w:rsid w:val="00675EB4"/>
    <w:rsid w:val="00675FBE"/>
    <w:rsid w:val="00676160"/>
    <w:rsid w:val="00676271"/>
    <w:rsid w:val="0067643F"/>
    <w:rsid w:val="00676450"/>
    <w:rsid w:val="006764DB"/>
    <w:rsid w:val="0067671A"/>
    <w:rsid w:val="00676848"/>
    <w:rsid w:val="00676C67"/>
    <w:rsid w:val="00676D5E"/>
    <w:rsid w:val="00676D7E"/>
    <w:rsid w:val="00676F7A"/>
    <w:rsid w:val="00676FA9"/>
    <w:rsid w:val="00676FBF"/>
    <w:rsid w:val="00677480"/>
    <w:rsid w:val="00677494"/>
    <w:rsid w:val="00677526"/>
    <w:rsid w:val="0067775A"/>
    <w:rsid w:val="00677864"/>
    <w:rsid w:val="006778FE"/>
    <w:rsid w:val="00677967"/>
    <w:rsid w:val="00677A0E"/>
    <w:rsid w:val="00677B24"/>
    <w:rsid w:val="00677BD9"/>
    <w:rsid w:val="00677E1B"/>
    <w:rsid w:val="00677EEB"/>
    <w:rsid w:val="00677EFB"/>
    <w:rsid w:val="00677F1D"/>
    <w:rsid w:val="00677FA9"/>
    <w:rsid w:val="0068012F"/>
    <w:rsid w:val="006802C0"/>
    <w:rsid w:val="0068054A"/>
    <w:rsid w:val="00680575"/>
    <w:rsid w:val="0068064D"/>
    <w:rsid w:val="00680965"/>
    <w:rsid w:val="00680A14"/>
    <w:rsid w:val="00680BEC"/>
    <w:rsid w:val="00680EEE"/>
    <w:rsid w:val="00680FE8"/>
    <w:rsid w:val="0068103D"/>
    <w:rsid w:val="006810AB"/>
    <w:rsid w:val="00681155"/>
    <w:rsid w:val="00681181"/>
    <w:rsid w:val="00681232"/>
    <w:rsid w:val="0068129D"/>
    <w:rsid w:val="006813E3"/>
    <w:rsid w:val="006814E0"/>
    <w:rsid w:val="00681507"/>
    <w:rsid w:val="00681593"/>
    <w:rsid w:val="006815F6"/>
    <w:rsid w:val="0068177B"/>
    <w:rsid w:val="00681791"/>
    <w:rsid w:val="00681798"/>
    <w:rsid w:val="006817AB"/>
    <w:rsid w:val="0068194A"/>
    <w:rsid w:val="00681C0C"/>
    <w:rsid w:val="00681E9B"/>
    <w:rsid w:val="00681F1C"/>
    <w:rsid w:val="00681F33"/>
    <w:rsid w:val="00681FA9"/>
    <w:rsid w:val="00682099"/>
    <w:rsid w:val="006820E1"/>
    <w:rsid w:val="006823A9"/>
    <w:rsid w:val="006824AE"/>
    <w:rsid w:val="0068266C"/>
    <w:rsid w:val="006826DD"/>
    <w:rsid w:val="00682715"/>
    <w:rsid w:val="00682868"/>
    <w:rsid w:val="00682A5D"/>
    <w:rsid w:val="00682AD0"/>
    <w:rsid w:val="00682B83"/>
    <w:rsid w:val="00682BF1"/>
    <w:rsid w:val="00682CB5"/>
    <w:rsid w:val="00682CCF"/>
    <w:rsid w:val="00682D03"/>
    <w:rsid w:val="00682E89"/>
    <w:rsid w:val="00683005"/>
    <w:rsid w:val="00683075"/>
    <w:rsid w:val="00683200"/>
    <w:rsid w:val="0068380A"/>
    <w:rsid w:val="0068386C"/>
    <w:rsid w:val="00683A91"/>
    <w:rsid w:val="00683BD1"/>
    <w:rsid w:val="00683EE5"/>
    <w:rsid w:val="0068417E"/>
    <w:rsid w:val="0068444C"/>
    <w:rsid w:val="00684965"/>
    <w:rsid w:val="006849ED"/>
    <w:rsid w:val="00684AB3"/>
    <w:rsid w:val="00684B4B"/>
    <w:rsid w:val="00684C6D"/>
    <w:rsid w:val="00684DF4"/>
    <w:rsid w:val="00684E21"/>
    <w:rsid w:val="006850CB"/>
    <w:rsid w:val="0068529E"/>
    <w:rsid w:val="00685306"/>
    <w:rsid w:val="006853F2"/>
    <w:rsid w:val="006855BE"/>
    <w:rsid w:val="006858A2"/>
    <w:rsid w:val="0068598C"/>
    <w:rsid w:val="00685A13"/>
    <w:rsid w:val="00685A22"/>
    <w:rsid w:val="00685B5C"/>
    <w:rsid w:val="00685B64"/>
    <w:rsid w:val="00685BE0"/>
    <w:rsid w:val="00685E58"/>
    <w:rsid w:val="006860C5"/>
    <w:rsid w:val="0068615C"/>
    <w:rsid w:val="0068621A"/>
    <w:rsid w:val="006862A7"/>
    <w:rsid w:val="0068632C"/>
    <w:rsid w:val="0068636F"/>
    <w:rsid w:val="00686648"/>
    <w:rsid w:val="006866D6"/>
    <w:rsid w:val="00686797"/>
    <w:rsid w:val="006868E1"/>
    <w:rsid w:val="006868E5"/>
    <w:rsid w:val="006868F7"/>
    <w:rsid w:val="00686919"/>
    <w:rsid w:val="00686E0D"/>
    <w:rsid w:val="00686EBF"/>
    <w:rsid w:val="00686EF1"/>
    <w:rsid w:val="00686F1B"/>
    <w:rsid w:val="0068719D"/>
    <w:rsid w:val="00687573"/>
    <w:rsid w:val="00687781"/>
    <w:rsid w:val="00687A27"/>
    <w:rsid w:val="00687A84"/>
    <w:rsid w:val="00687DC3"/>
    <w:rsid w:val="006901DE"/>
    <w:rsid w:val="0069054E"/>
    <w:rsid w:val="00690586"/>
    <w:rsid w:val="006905AD"/>
    <w:rsid w:val="0069090E"/>
    <w:rsid w:val="00690D5D"/>
    <w:rsid w:val="00691189"/>
    <w:rsid w:val="006911C9"/>
    <w:rsid w:val="006911EA"/>
    <w:rsid w:val="00691338"/>
    <w:rsid w:val="00691386"/>
    <w:rsid w:val="00691A71"/>
    <w:rsid w:val="00691C8D"/>
    <w:rsid w:val="00691CD7"/>
    <w:rsid w:val="00691D66"/>
    <w:rsid w:val="00691D91"/>
    <w:rsid w:val="00691E98"/>
    <w:rsid w:val="006921AF"/>
    <w:rsid w:val="00692685"/>
    <w:rsid w:val="00692742"/>
    <w:rsid w:val="00692940"/>
    <w:rsid w:val="006929AE"/>
    <w:rsid w:val="00692A41"/>
    <w:rsid w:val="00692C08"/>
    <w:rsid w:val="00692D78"/>
    <w:rsid w:val="00692E6F"/>
    <w:rsid w:val="006933AD"/>
    <w:rsid w:val="006934DD"/>
    <w:rsid w:val="0069354A"/>
    <w:rsid w:val="0069376A"/>
    <w:rsid w:val="00693898"/>
    <w:rsid w:val="006939FD"/>
    <w:rsid w:val="00693AA5"/>
    <w:rsid w:val="00693AA9"/>
    <w:rsid w:val="00693E49"/>
    <w:rsid w:val="00693E6F"/>
    <w:rsid w:val="00693ECF"/>
    <w:rsid w:val="00693FA0"/>
    <w:rsid w:val="0069402D"/>
    <w:rsid w:val="00694125"/>
    <w:rsid w:val="00694610"/>
    <w:rsid w:val="006946C4"/>
    <w:rsid w:val="00694721"/>
    <w:rsid w:val="0069486F"/>
    <w:rsid w:val="006949C0"/>
    <w:rsid w:val="00694AA9"/>
    <w:rsid w:val="00694ABB"/>
    <w:rsid w:val="00694BCA"/>
    <w:rsid w:val="00694C70"/>
    <w:rsid w:val="00694C81"/>
    <w:rsid w:val="00694CD2"/>
    <w:rsid w:val="00694D31"/>
    <w:rsid w:val="00694D8A"/>
    <w:rsid w:val="00694E0E"/>
    <w:rsid w:val="00694F00"/>
    <w:rsid w:val="00694F3D"/>
    <w:rsid w:val="00694F98"/>
    <w:rsid w:val="00694FEB"/>
    <w:rsid w:val="00695384"/>
    <w:rsid w:val="006955FF"/>
    <w:rsid w:val="00695661"/>
    <w:rsid w:val="00695911"/>
    <w:rsid w:val="00695927"/>
    <w:rsid w:val="00695ABD"/>
    <w:rsid w:val="00695C34"/>
    <w:rsid w:val="00695D66"/>
    <w:rsid w:val="00695E75"/>
    <w:rsid w:val="00696359"/>
    <w:rsid w:val="00696493"/>
    <w:rsid w:val="006964FC"/>
    <w:rsid w:val="0069661A"/>
    <w:rsid w:val="006967E8"/>
    <w:rsid w:val="006968BF"/>
    <w:rsid w:val="006968EC"/>
    <w:rsid w:val="00696939"/>
    <w:rsid w:val="00696A52"/>
    <w:rsid w:val="00696CB9"/>
    <w:rsid w:val="00696D63"/>
    <w:rsid w:val="00696E35"/>
    <w:rsid w:val="00697166"/>
    <w:rsid w:val="0069733D"/>
    <w:rsid w:val="006975AD"/>
    <w:rsid w:val="0069768E"/>
    <w:rsid w:val="006977BE"/>
    <w:rsid w:val="00697916"/>
    <w:rsid w:val="00697918"/>
    <w:rsid w:val="00697A90"/>
    <w:rsid w:val="00697AAA"/>
    <w:rsid w:val="00697C3B"/>
    <w:rsid w:val="00697CFF"/>
    <w:rsid w:val="00697D8E"/>
    <w:rsid w:val="00697F7B"/>
    <w:rsid w:val="00697FDD"/>
    <w:rsid w:val="006A00E1"/>
    <w:rsid w:val="006A022F"/>
    <w:rsid w:val="006A025A"/>
    <w:rsid w:val="006A0387"/>
    <w:rsid w:val="006A0414"/>
    <w:rsid w:val="006A055C"/>
    <w:rsid w:val="006A0560"/>
    <w:rsid w:val="006A0568"/>
    <w:rsid w:val="006A07AE"/>
    <w:rsid w:val="006A0B8E"/>
    <w:rsid w:val="006A0C76"/>
    <w:rsid w:val="006A0C95"/>
    <w:rsid w:val="006A1175"/>
    <w:rsid w:val="006A141E"/>
    <w:rsid w:val="006A1543"/>
    <w:rsid w:val="006A16EE"/>
    <w:rsid w:val="006A1862"/>
    <w:rsid w:val="006A18B6"/>
    <w:rsid w:val="006A18D7"/>
    <w:rsid w:val="006A1958"/>
    <w:rsid w:val="006A199F"/>
    <w:rsid w:val="006A1AA3"/>
    <w:rsid w:val="006A1AFB"/>
    <w:rsid w:val="006A1C54"/>
    <w:rsid w:val="006A1D09"/>
    <w:rsid w:val="006A1EDC"/>
    <w:rsid w:val="006A210A"/>
    <w:rsid w:val="006A21D0"/>
    <w:rsid w:val="006A22EC"/>
    <w:rsid w:val="006A234E"/>
    <w:rsid w:val="006A2380"/>
    <w:rsid w:val="006A2383"/>
    <w:rsid w:val="006A2448"/>
    <w:rsid w:val="006A2537"/>
    <w:rsid w:val="006A2680"/>
    <w:rsid w:val="006A26F6"/>
    <w:rsid w:val="006A2736"/>
    <w:rsid w:val="006A2823"/>
    <w:rsid w:val="006A2981"/>
    <w:rsid w:val="006A2A6A"/>
    <w:rsid w:val="006A2B1F"/>
    <w:rsid w:val="006A2DF5"/>
    <w:rsid w:val="006A2F14"/>
    <w:rsid w:val="006A322E"/>
    <w:rsid w:val="006A333D"/>
    <w:rsid w:val="006A3460"/>
    <w:rsid w:val="006A3587"/>
    <w:rsid w:val="006A365E"/>
    <w:rsid w:val="006A37BA"/>
    <w:rsid w:val="006A39C2"/>
    <w:rsid w:val="006A39E2"/>
    <w:rsid w:val="006A3AE3"/>
    <w:rsid w:val="006A3AF2"/>
    <w:rsid w:val="006A3C8B"/>
    <w:rsid w:val="006A3E3B"/>
    <w:rsid w:val="006A3ED7"/>
    <w:rsid w:val="006A3FFD"/>
    <w:rsid w:val="006A417D"/>
    <w:rsid w:val="006A42E6"/>
    <w:rsid w:val="006A4342"/>
    <w:rsid w:val="006A45E8"/>
    <w:rsid w:val="006A474A"/>
    <w:rsid w:val="006A4831"/>
    <w:rsid w:val="006A4886"/>
    <w:rsid w:val="006A4933"/>
    <w:rsid w:val="006A4EB7"/>
    <w:rsid w:val="006A501C"/>
    <w:rsid w:val="006A5297"/>
    <w:rsid w:val="006A5511"/>
    <w:rsid w:val="006A5707"/>
    <w:rsid w:val="006A5764"/>
    <w:rsid w:val="006A580F"/>
    <w:rsid w:val="006A5819"/>
    <w:rsid w:val="006A581A"/>
    <w:rsid w:val="006A58DD"/>
    <w:rsid w:val="006A59DE"/>
    <w:rsid w:val="006A5B0F"/>
    <w:rsid w:val="006A5B96"/>
    <w:rsid w:val="006A5C4D"/>
    <w:rsid w:val="006A5C95"/>
    <w:rsid w:val="006A5DED"/>
    <w:rsid w:val="006A5ED6"/>
    <w:rsid w:val="006A5FF3"/>
    <w:rsid w:val="006A6344"/>
    <w:rsid w:val="006A639C"/>
    <w:rsid w:val="006A645C"/>
    <w:rsid w:val="006A645F"/>
    <w:rsid w:val="006A6712"/>
    <w:rsid w:val="006A6AF6"/>
    <w:rsid w:val="006A6D0D"/>
    <w:rsid w:val="006A6D78"/>
    <w:rsid w:val="006A6E43"/>
    <w:rsid w:val="006A7068"/>
    <w:rsid w:val="006A70B2"/>
    <w:rsid w:val="006A73C4"/>
    <w:rsid w:val="006A7508"/>
    <w:rsid w:val="006A755D"/>
    <w:rsid w:val="006A7611"/>
    <w:rsid w:val="006A779B"/>
    <w:rsid w:val="006A7A0C"/>
    <w:rsid w:val="006A7AA9"/>
    <w:rsid w:val="006A7B1B"/>
    <w:rsid w:val="006A7BAB"/>
    <w:rsid w:val="006A7BD4"/>
    <w:rsid w:val="006A7DD1"/>
    <w:rsid w:val="006A7E66"/>
    <w:rsid w:val="006A7FC6"/>
    <w:rsid w:val="006B00F9"/>
    <w:rsid w:val="006B0550"/>
    <w:rsid w:val="006B078D"/>
    <w:rsid w:val="006B07E7"/>
    <w:rsid w:val="006B08A2"/>
    <w:rsid w:val="006B0979"/>
    <w:rsid w:val="006B0B7C"/>
    <w:rsid w:val="006B0CFD"/>
    <w:rsid w:val="006B0E46"/>
    <w:rsid w:val="006B0F46"/>
    <w:rsid w:val="006B1053"/>
    <w:rsid w:val="006B1290"/>
    <w:rsid w:val="006B12A7"/>
    <w:rsid w:val="006B1392"/>
    <w:rsid w:val="006B1571"/>
    <w:rsid w:val="006B160D"/>
    <w:rsid w:val="006B16E5"/>
    <w:rsid w:val="006B1C7F"/>
    <w:rsid w:val="006B1E86"/>
    <w:rsid w:val="006B1F1C"/>
    <w:rsid w:val="006B1FD5"/>
    <w:rsid w:val="006B20EE"/>
    <w:rsid w:val="006B219F"/>
    <w:rsid w:val="006B229E"/>
    <w:rsid w:val="006B22EC"/>
    <w:rsid w:val="006B230A"/>
    <w:rsid w:val="006B26B6"/>
    <w:rsid w:val="006B272D"/>
    <w:rsid w:val="006B2929"/>
    <w:rsid w:val="006B2ACA"/>
    <w:rsid w:val="006B2CC0"/>
    <w:rsid w:val="006B2D73"/>
    <w:rsid w:val="006B2DEA"/>
    <w:rsid w:val="006B2E5A"/>
    <w:rsid w:val="006B2FAE"/>
    <w:rsid w:val="006B2FF8"/>
    <w:rsid w:val="006B3004"/>
    <w:rsid w:val="006B3086"/>
    <w:rsid w:val="006B30DC"/>
    <w:rsid w:val="006B3237"/>
    <w:rsid w:val="006B335D"/>
    <w:rsid w:val="006B3390"/>
    <w:rsid w:val="006B38EB"/>
    <w:rsid w:val="006B3975"/>
    <w:rsid w:val="006B3A05"/>
    <w:rsid w:val="006B3D05"/>
    <w:rsid w:val="006B3DD5"/>
    <w:rsid w:val="006B3F94"/>
    <w:rsid w:val="006B3FC5"/>
    <w:rsid w:val="006B4276"/>
    <w:rsid w:val="006B42FC"/>
    <w:rsid w:val="006B4346"/>
    <w:rsid w:val="006B4459"/>
    <w:rsid w:val="006B4493"/>
    <w:rsid w:val="006B44E7"/>
    <w:rsid w:val="006B44F2"/>
    <w:rsid w:val="006B47FE"/>
    <w:rsid w:val="006B4826"/>
    <w:rsid w:val="006B4985"/>
    <w:rsid w:val="006B4C3E"/>
    <w:rsid w:val="006B50CF"/>
    <w:rsid w:val="006B5138"/>
    <w:rsid w:val="006B5181"/>
    <w:rsid w:val="006B51E8"/>
    <w:rsid w:val="006B522B"/>
    <w:rsid w:val="006B54EE"/>
    <w:rsid w:val="006B58EC"/>
    <w:rsid w:val="006B592D"/>
    <w:rsid w:val="006B5A97"/>
    <w:rsid w:val="006B5B8D"/>
    <w:rsid w:val="006B5C83"/>
    <w:rsid w:val="006B5CD2"/>
    <w:rsid w:val="006B5D3F"/>
    <w:rsid w:val="006B5F52"/>
    <w:rsid w:val="006B60BD"/>
    <w:rsid w:val="006B6114"/>
    <w:rsid w:val="006B61B9"/>
    <w:rsid w:val="006B6220"/>
    <w:rsid w:val="006B6405"/>
    <w:rsid w:val="006B652D"/>
    <w:rsid w:val="006B66BB"/>
    <w:rsid w:val="006B67FC"/>
    <w:rsid w:val="006B68C8"/>
    <w:rsid w:val="006B6993"/>
    <w:rsid w:val="006B6B8D"/>
    <w:rsid w:val="006B6CC4"/>
    <w:rsid w:val="006B6D12"/>
    <w:rsid w:val="006B6DF4"/>
    <w:rsid w:val="006B6E3F"/>
    <w:rsid w:val="006B6F9B"/>
    <w:rsid w:val="006B71E4"/>
    <w:rsid w:val="006B72D3"/>
    <w:rsid w:val="006B72D8"/>
    <w:rsid w:val="006B7380"/>
    <w:rsid w:val="006B74B9"/>
    <w:rsid w:val="006B755E"/>
    <w:rsid w:val="006B7574"/>
    <w:rsid w:val="006B7927"/>
    <w:rsid w:val="006B7AF7"/>
    <w:rsid w:val="006B7C2B"/>
    <w:rsid w:val="006B7D23"/>
    <w:rsid w:val="006B7D58"/>
    <w:rsid w:val="006B7EBE"/>
    <w:rsid w:val="006B7EC0"/>
    <w:rsid w:val="006B7F55"/>
    <w:rsid w:val="006B7F7B"/>
    <w:rsid w:val="006C00E5"/>
    <w:rsid w:val="006C055A"/>
    <w:rsid w:val="006C0785"/>
    <w:rsid w:val="006C082D"/>
    <w:rsid w:val="006C0840"/>
    <w:rsid w:val="006C098B"/>
    <w:rsid w:val="006C0A09"/>
    <w:rsid w:val="006C0A14"/>
    <w:rsid w:val="006C0AC8"/>
    <w:rsid w:val="006C0C86"/>
    <w:rsid w:val="006C0CDA"/>
    <w:rsid w:val="006C0D4D"/>
    <w:rsid w:val="006C0E8D"/>
    <w:rsid w:val="006C12F1"/>
    <w:rsid w:val="006C14CA"/>
    <w:rsid w:val="006C1518"/>
    <w:rsid w:val="006C15D5"/>
    <w:rsid w:val="006C15E2"/>
    <w:rsid w:val="006C1614"/>
    <w:rsid w:val="006C1832"/>
    <w:rsid w:val="006C1845"/>
    <w:rsid w:val="006C1AA4"/>
    <w:rsid w:val="006C1AFC"/>
    <w:rsid w:val="006C1D3D"/>
    <w:rsid w:val="006C1D8C"/>
    <w:rsid w:val="006C1E22"/>
    <w:rsid w:val="006C21FA"/>
    <w:rsid w:val="006C23F7"/>
    <w:rsid w:val="006C2765"/>
    <w:rsid w:val="006C2AC9"/>
    <w:rsid w:val="006C2AEC"/>
    <w:rsid w:val="006C2B80"/>
    <w:rsid w:val="006C2BDA"/>
    <w:rsid w:val="006C2D4D"/>
    <w:rsid w:val="006C3158"/>
    <w:rsid w:val="006C349C"/>
    <w:rsid w:val="006C3519"/>
    <w:rsid w:val="006C37AB"/>
    <w:rsid w:val="006C37EB"/>
    <w:rsid w:val="006C3C66"/>
    <w:rsid w:val="006C3E8D"/>
    <w:rsid w:val="006C3F22"/>
    <w:rsid w:val="006C3F61"/>
    <w:rsid w:val="006C4045"/>
    <w:rsid w:val="006C4112"/>
    <w:rsid w:val="006C421F"/>
    <w:rsid w:val="006C44F9"/>
    <w:rsid w:val="006C4727"/>
    <w:rsid w:val="006C497B"/>
    <w:rsid w:val="006C4BBF"/>
    <w:rsid w:val="006C4C01"/>
    <w:rsid w:val="006C4DE3"/>
    <w:rsid w:val="006C4E63"/>
    <w:rsid w:val="006C4ED3"/>
    <w:rsid w:val="006C51D5"/>
    <w:rsid w:val="006C5215"/>
    <w:rsid w:val="006C52BD"/>
    <w:rsid w:val="006C535D"/>
    <w:rsid w:val="006C537D"/>
    <w:rsid w:val="006C558D"/>
    <w:rsid w:val="006C5630"/>
    <w:rsid w:val="006C5634"/>
    <w:rsid w:val="006C5869"/>
    <w:rsid w:val="006C596B"/>
    <w:rsid w:val="006C5AB5"/>
    <w:rsid w:val="006C5AC2"/>
    <w:rsid w:val="006C5B12"/>
    <w:rsid w:val="006C5BD1"/>
    <w:rsid w:val="006C5C1F"/>
    <w:rsid w:val="006C627B"/>
    <w:rsid w:val="006C6582"/>
    <w:rsid w:val="006C662E"/>
    <w:rsid w:val="006C664C"/>
    <w:rsid w:val="006C6744"/>
    <w:rsid w:val="006C6751"/>
    <w:rsid w:val="006C6C72"/>
    <w:rsid w:val="006C6CC5"/>
    <w:rsid w:val="006C6DF4"/>
    <w:rsid w:val="006C6E04"/>
    <w:rsid w:val="006C6F39"/>
    <w:rsid w:val="006C6F7C"/>
    <w:rsid w:val="006C7031"/>
    <w:rsid w:val="006C70B3"/>
    <w:rsid w:val="006C7114"/>
    <w:rsid w:val="006C7193"/>
    <w:rsid w:val="006C7351"/>
    <w:rsid w:val="006C745E"/>
    <w:rsid w:val="006C7472"/>
    <w:rsid w:val="006C74C2"/>
    <w:rsid w:val="006C7571"/>
    <w:rsid w:val="006C75F3"/>
    <w:rsid w:val="006C7602"/>
    <w:rsid w:val="006C792D"/>
    <w:rsid w:val="006C7935"/>
    <w:rsid w:val="006D0299"/>
    <w:rsid w:val="006D0861"/>
    <w:rsid w:val="006D0978"/>
    <w:rsid w:val="006D09A9"/>
    <w:rsid w:val="006D09AC"/>
    <w:rsid w:val="006D0A82"/>
    <w:rsid w:val="006D0B12"/>
    <w:rsid w:val="006D0BE1"/>
    <w:rsid w:val="006D0D8B"/>
    <w:rsid w:val="006D0DAD"/>
    <w:rsid w:val="006D0DAE"/>
    <w:rsid w:val="006D0E1A"/>
    <w:rsid w:val="006D1194"/>
    <w:rsid w:val="006D11DE"/>
    <w:rsid w:val="006D14D4"/>
    <w:rsid w:val="006D14F5"/>
    <w:rsid w:val="006D159E"/>
    <w:rsid w:val="006D19AE"/>
    <w:rsid w:val="006D1B00"/>
    <w:rsid w:val="006D1C51"/>
    <w:rsid w:val="006D1DAA"/>
    <w:rsid w:val="006D1E49"/>
    <w:rsid w:val="006D1E9E"/>
    <w:rsid w:val="006D1F05"/>
    <w:rsid w:val="006D2117"/>
    <w:rsid w:val="006D213D"/>
    <w:rsid w:val="006D2151"/>
    <w:rsid w:val="006D218C"/>
    <w:rsid w:val="006D2198"/>
    <w:rsid w:val="006D2215"/>
    <w:rsid w:val="006D22AE"/>
    <w:rsid w:val="006D23D2"/>
    <w:rsid w:val="006D2553"/>
    <w:rsid w:val="006D2720"/>
    <w:rsid w:val="006D2834"/>
    <w:rsid w:val="006D289F"/>
    <w:rsid w:val="006D2B52"/>
    <w:rsid w:val="006D2C4C"/>
    <w:rsid w:val="006D3187"/>
    <w:rsid w:val="006D31BC"/>
    <w:rsid w:val="006D35EE"/>
    <w:rsid w:val="006D35F8"/>
    <w:rsid w:val="006D37A6"/>
    <w:rsid w:val="006D399A"/>
    <w:rsid w:val="006D3AAB"/>
    <w:rsid w:val="006D3B32"/>
    <w:rsid w:val="006D3B7D"/>
    <w:rsid w:val="006D3C4B"/>
    <w:rsid w:val="006D3F1B"/>
    <w:rsid w:val="006D402C"/>
    <w:rsid w:val="006D4115"/>
    <w:rsid w:val="006D418D"/>
    <w:rsid w:val="006D425A"/>
    <w:rsid w:val="006D42BE"/>
    <w:rsid w:val="006D42C9"/>
    <w:rsid w:val="006D432E"/>
    <w:rsid w:val="006D438D"/>
    <w:rsid w:val="006D43AE"/>
    <w:rsid w:val="006D4481"/>
    <w:rsid w:val="006D4733"/>
    <w:rsid w:val="006D47AE"/>
    <w:rsid w:val="006D4834"/>
    <w:rsid w:val="006D4871"/>
    <w:rsid w:val="006D49DA"/>
    <w:rsid w:val="006D4B19"/>
    <w:rsid w:val="006D528E"/>
    <w:rsid w:val="006D52CE"/>
    <w:rsid w:val="006D5464"/>
    <w:rsid w:val="006D5673"/>
    <w:rsid w:val="006D5943"/>
    <w:rsid w:val="006D5991"/>
    <w:rsid w:val="006D599D"/>
    <w:rsid w:val="006D59BC"/>
    <w:rsid w:val="006D5B0E"/>
    <w:rsid w:val="006D5D62"/>
    <w:rsid w:val="006D5F5F"/>
    <w:rsid w:val="006D5F6E"/>
    <w:rsid w:val="006D5F86"/>
    <w:rsid w:val="006D6028"/>
    <w:rsid w:val="006D6055"/>
    <w:rsid w:val="006D6246"/>
    <w:rsid w:val="006D63C2"/>
    <w:rsid w:val="006D69C6"/>
    <w:rsid w:val="006D6A29"/>
    <w:rsid w:val="006D6A74"/>
    <w:rsid w:val="006D6B67"/>
    <w:rsid w:val="006D6C4E"/>
    <w:rsid w:val="006D6CA2"/>
    <w:rsid w:val="006D6F85"/>
    <w:rsid w:val="006D734A"/>
    <w:rsid w:val="006D7361"/>
    <w:rsid w:val="006D765F"/>
    <w:rsid w:val="006D7AE3"/>
    <w:rsid w:val="006D7B37"/>
    <w:rsid w:val="006D7C05"/>
    <w:rsid w:val="006D7DFC"/>
    <w:rsid w:val="006D7FDA"/>
    <w:rsid w:val="006E00B9"/>
    <w:rsid w:val="006E01B0"/>
    <w:rsid w:val="006E01DC"/>
    <w:rsid w:val="006E0203"/>
    <w:rsid w:val="006E0270"/>
    <w:rsid w:val="006E0391"/>
    <w:rsid w:val="006E03B2"/>
    <w:rsid w:val="006E050B"/>
    <w:rsid w:val="006E0558"/>
    <w:rsid w:val="006E0800"/>
    <w:rsid w:val="006E086F"/>
    <w:rsid w:val="006E09CA"/>
    <w:rsid w:val="006E0A4C"/>
    <w:rsid w:val="006E0A9B"/>
    <w:rsid w:val="006E0AAE"/>
    <w:rsid w:val="006E0C87"/>
    <w:rsid w:val="006E0F1A"/>
    <w:rsid w:val="006E1371"/>
    <w:rsid w:val="006E137E"/>
    <w:rsid w:val="006E14FF"/>
    <w:rsid w:val="006E1551"/>
    <w:rsid w:val="006E169B"/>
    <w:rsid w:val="006E16F6"/>
    <w:rsid w:val="006E1715"/>
    <w:rsid w:val="006E18CE"/>
    <w:rsid w:val="006E1926"/>
    <w:rsid w:val="006E1BB4"/>
    <w:rsid w:val="006E1CF4"/>
    <w:rsid w:val="006E1DB1"/>
    <w:rsid w:val="006E1EBB"/>
    <w:rsid w:val="006E2087"/>
    <w:rsid w:val="006E20E6"/>
    <w:rsid w:val="006E210B"/>
    <w:rsid w:val="006E225B"/>
    <w:rsid w:val="006E23C6"/>
    <w:rsid w:val="006E2A24"/>
    <w:rsid w:val="006E2A44"/>
    <w:rsid w:val="006E2B10"/>
    <w:rsid w:val="006E310F"/>
    <w:rsid w:val="006E3272"/>
    <w:rsid w:val="006E33C2"/>
    <w:rsid w:val="006E34CB"/>
    <w:rsid w:val="006E3591"/>
    <w:rsid w:val="006E372B"/>
    <w:rsid w:val="006E3768"/>
    <w:rsid w:val="006E3852"/>
    <w:rsid w:val="006E3858"/>
    <w:rsid w:val="006E388A"/>
    <w:rsid w:val="006E388D"/>
    <w:rsid w:val="006E39B6"/>
    <w:rsid w:val="006E3A07"/>
    <w:rsid w:val="006E3C18"/>
    <w:rsid w:val="006E3C2A"/>
    <w:rsid w:val="006E3FBF"/>
    <w:rsid w:val="006E400E"/>
    <w:rsid w:val="006E41A4"/>
    <w:rsid w:val="006E426D"/>
    <w:rsid w:val="006E433D"/>
    <w:rsid w:val="006E438B"/>
    <w:rsid w:val="006E4413"/>
    <w:rsid w:val="006E4499"/>
    <w:rsid w:val="006E456D"/>
    <w:rsid w:val="006E4755"/>
    <w:rsid w:val="006E4894"/>
    <w:rsid w:val="006E492A"/>
    <w:rsid w:val="006E49A5"/>
    <w:rsid w:val="006E4C7B"/>
    <w:rsid w:val="006E4D86"/>
    <w:rsid w:val="006E505B"/>
    <w:rsid w:val="006E509D"/>
    <w:rsid w:val="006E5433"/>
    <w:rsid w:val="006E58B1"/>
    <w:rsid w:val="006E594C"/>
    <w:rsid w:val="006E59D1"/>
    <w:rsid w:val="006E5ACE"/>
    <w:rsid w:val="006E5B3D"/>
    <w:rsid w:val="006E5B4C"/>
    <w:rsid w:val="006E5BFA"/>
    <w:rsid w:val="006E5D77"/>
    <w:rsid w:val="006E5E3E"/>
    <w:rsid w:val="006E5FC7"/>
    <w:rsid w:val="006E6037"/>
    <w:rsid w:val="006E6044"/>
    <w:rsid w:val="006E627D"/>
    <w:rsid w:val="006E6397"/>
    <w:rsid w:val="006E6480"/>
    <w:rsid w:val="006E64EE"/>
    <w:rsid w:val="006E687E"/>
    <w:rsid w:val="006E68C7"/>
    <w:rsid w:val="006E68F7"/>
    <w:rsid w:val="006E6992"/>
    <w:rsid w:val="006E6AF7"/>
    <w:rsid w:val="006E6D5E"/>
    <w:rsid w:val="006E6F21"/>
    <w:rsid w:val="006E7180"/>
    <w:rsid w:val="006E72C3"/>
    <w:rsid w:val="006E7388"/>
    <w:rsid w:val="006E74B5"/>
    <w:rsid w:val="006E74E2"/>
    <w:rsid w:val="006E74F2"/>
    <w:rsid w:val="006E752E"/>
    <w:rsid w:val="006E7629"/>
    <w:rsid w:val="006E7828"/>
    <w:rsid w:val="006E7B1E"/>
    <w:rsid w:val="006E7D45"/>
    <w:rsid w:val="006E7FB2"/>
    <w:rsid w:val="006E7FCE"/>
    <w:rsid w:val="006F00D6"/>
    <w:rsid w:val="006F0132"/>
    <w:rsid w:val="006F02C6"/>
    <w:rsid w:val="006F0349"/>
    <w:rsid w:val="006F0417"/>
    <w:rsid w:val="006F07F1"/>
    <w:rsid w:val="006F0849"/>
    <w:rsid w:val="006F089F"/>
    <w:rsid w:val="006F0A9B"/>
    <w:rsid w:val="006F0AFA"/>
    <w:rsid w:val="006F0B23"/>
    <w:rsid w:val="006F0D01"/>
    <w:rsid w:val="006F0D02"/>
    <w:rsid w:val="006F0D75"/>
    <w:rsid w:val="006F110E"/>
    <w:rsid w:val="006F114D"/>
    <w:rsid w:val="006F1173"/>
    <w:rsid w:val="006F1264"/>
    <w:rsid w:val="006F13A9"/>
    <w:rsid w:val="006F1495"/>
    <w:rsid w:val="006F16CD"/>
    <w:rsid w:val="006F1926"/>
    <w:rsid w:val="006F19EC"/>
    <w:rsid w:val="006F1ABF"/>
    <w:rsid w:val="006F1B52"/>
    <w:rsid w:val="006F1B79"/>
    <w:rsid w:val="006F1D46"/>
    <w:rsid w:val="006F1E5D"/>
    <w:rsid w:val="006F208B"/>
    <w:rsid w:val="006F2107"/>
    <w:rsid w:val="006F2134"/>
    <w:rsid w:val="006F245D"/>
    <w:rsid w:val="006F256A"/>
    <w:rsid w:val="006F270F"/>
    <w:rsid w:val="006F2769"/>
    <w:rsid w:val="006F27A6"/>
    <w:rsid w:val="006F2814"/>
    <w:rsid w:val="006F2891"/>
    <w:rsid w:val="006F2955"/>
    <w:rsid w:val="006F2977"/>
    <w:rsid w:val="006F29E2"/>
    <w:rsid w:val="006F2ABB"/>
    <w:rsid w:val="006F2AE3"/>
    <w:rsid w:val="006F2C51"/>
    <w:rsid w:val="006F2CF7"/>
    <w:rsid w:val="006F2DCA"/>
    <w:rsid w:val="006F2E3D"/>
    <w:rsid w:val="006F2E5F"/>
    <w:rsid w:val="006F2EBE"/>
    <w:rsid w:val="006F2F9D"/>
    <w:rsid w:val="006F317F"/>
    <w:rsid w:val="006F34F2"/>
    <w:rsid w:val="006F3631"/>
    <w:rsid w:val="006F3870"/>
    <w:rsid w:val="006F38D4"/>
    <w:rsid w:val="006F3920"/>
    <w:rsid w:val="006F39A4"/>
    <w:rsid w:val="006F3B77"/>
    <w:rsid w:val="006F3BEE"/>
    <w:rsid w:val="006F3CDF"/>
    <w:rsid w:val="006F3D39"/>
    <w:rsid w:val="006F3D81"/>
    <w:rsid w:val="006F3E23"/>
    <w:rsid w:val="006F3EB9"/>
    <w:rsid w:val="006F3F64"/>
    <w:rsid w:val="006F4041"/>
    <w:rsid w:val="006F41EB"/>
    <w:rsid w:val="006F4224"/>
    <w:rsid w:val="006F42DE"/>
    <w:rsid w:val="006F45D6"/>
    <w:rsid w:val="006F473C"/>
    <w:rsid w:val="006F4795"/>
    <w:rsid w:val="006F47D9"/>
    <w:rsid w:val="006F48C7"/>
    <w:rsid w:val="006F4CA4"/>
    <w:rsid w:val="006F4E09"/>
    <w:rsid w:val="006F4F52"/>
    <w:rsid w:val="006F5000"/>
    <w:rsid w:val="006F5201"/>
    <w:rsid w:val="006F52F7"/>
    <w:rsid w:val="006F5330"/>
    <w:rsid w:val="006F54DC"/>
    <w:rsid w:val="006F551C"/>
    <w:rsid w:val="006F55B7"/>
    <w:rsid w:val="006F5744"/>
    <w:rsid w:val="006F5B07"/>
    <w:rsid w:val="006F5B63"/>
    <w:rsid w:val="006F5C3F"/>
    <w:rsid w:val="006F5C60"/>
    <w:rsid w:val="006F60E0"/>
    <w:rsid w:val="006F60F6"/>
    <w:rsid w:val="006F634A"/>
    <w:rsid w:val="006F6643"/>
    <w:rsid w:val="006F6985"/>
    <w:rsid w:val="006F6A13"/>
    <w:rsid w:val="006F6ABF"/>
    <w:rsid w:val="006F6D8A"/>
    <w:rsid w:val="006F6EE5"/>
    <w:rsid w:val="006F7111"/>
    <w:rsid w:val="006F71DB"/>
    <w:rsid w:val="006F7251"/>
    <w:rsid w:val="006F7343"/>
    <w:rsid w:val="006F75D6"/>
    <w:rsid w:val="006F7867"/>
    <w:rsid w:val="006F78F6"/>
    <w:rsid w:val="006F7B85"/>
    <w:rsid w:val="006F7B8D"/>
    <w:rsid w:val="006F7EF3"/>
    <w:rsid w:val="00700060"/>
    <w:rsid w:val="007002B5"/>
    <w:rsid w:val="007002FA"/>
    <w:rsid w:val="0070030F"/>
    <w:rsid w:val="007004FF"/>
    <w:rsid w:val="00700541"/>
    <w:rsid w:val="00700CD6"/>
    <w:rsid w:val="00700DF6"/>
    <w:rsid w:val="0070100A"/>
    <w:rsid w:val="007016A4"/>
    <w:rsid w:val="007019D2"/>
    <w:rsid w:val="00701A55"/>
    <w:rsid w:val="00701A92"/>
    <w:rsid w:val="00701B2D"/>
    <w:rsid w:val="00701BBD"/>
    <w:rsid w:val="00701BDF"/>
    <w:rsid w:val="00701D79"/>
    <w:rsid w:val="00701F40"/>
    <w:rsid w:val="0070207B"/>
    <w:rsid w:val="0070213E"/>
    <w:rsid w:val="007022DE"/>
    <w:rsid w:val="0070236A"/>
    <w:rsid w:val="00702460"/>
    <w:rsid w:val="007025B6"/>
    <w:rsid w:val="0070283B"/>
    <w:rsid w:val="00702887"/>
    <w:rsid w:val="0070289C"/>
    <w:rsid w:val="00702989"/>
    <w:rsid w:val="00702B36"/>
    <w:rsid w:val="00702BC6"/>
    <w:rsid w:val="00702BE8"/>
    <w:rsid w:val="00702D7E"/>
    <w:rsid w:val="00702ECB"/>
    <w:rsid w:val="00702F42"/>
    <w:rsid w:val="00702F76"/>
    <w:rsid w:val="0070306C"/>
    <w:rsid w:val="007030CC"/>
    <w:rsid w:val="0070315E"/>
    <w:rsid w:val="0070316C"/>
    <w:rsid w:val="00703194"/>
    <w:rsid w:val="00703240"/>
    <w:rsid w:val="007032F3"/>
    <w:rsid w:val="00703AD4"/>
    <w:rsid w:val="00703C2D"/>
    <w:rsid w:val="00703D3E"/>
    <w:rsid w:val="00703D6E"/>
    <w:rsid w:val="00703F84"/>
    <w:rsid w:val="00704281"/>
    <w:rsid w:val="007042B7"/>
    <w:rsid w:val="007043F1"/>
    <w:rsid w:val="007043F7"/>
    <w:rsid w:val="007044C6"/>
    <w:rsid w:val="00704526"/>
    <w:rsid w:val="00704665"/>
    <w:rsid w:val="00704740"/>
    <w:rsid w:val="007047AD"/>
    <w:rsid w:val="00704856"/>
    <w:rsid w:val="00704B81"/>
    <w:rsid w:val="00704EFC"/>
    <w:rsid w:val="00704F21"/>
    <w:rsid w:val="00704F8F"/>
    <w:rsid w:val="00705107"/>
    <w:rsid w:val="007051A1"/>
    <w:rsid w:val="007051A5"/>
    <w:rsid w:val="007053F6"/>
    <w:rsid w:val="0070547D"/>
    <w:rsid w:val="00705481"/>
    <w:rsid w:val="007055BE"/>
    <w:rsid w:val="0070563D"/>
    <w:rsid w:val="00705738"/>
    <w:rsid w:val="007057D3"/>
    <w:rsid w:val="00705B08"/>
    <w:rsid w:val="00705B33"/>
    <w:rsid w:val="00705B46"/>
    <w:rsid w:val="00705BA8"/>
    <w:rsid w:val="00705C45"/>
    <w:rsid w:val="00705D4D"/>
    <w:rsid w:val="00705FD6"/>
    <w:rsid w:val="00706136"/>
    <w:rsid w:val="0070615E"/>
    <w:rsid w:val="007061D6"/>
    <w:rsid w:val="0070634B"/>
    <w:rsid w:val="007068DC"/>
    <w:rsid w:val="007068DF"/>
    <w:rsid w:val="0070694A"/>
    <w:rsid w:val="00706C4B"/>
    <w:rsid w:val="00706EC4"/>
    <w:rsid w:val="0070707F"/>
    <w:rsid w:val="007070BE"/>
    <w:rsid w:val="00707150"/>
    <w:rsid w:val="00707193"/>
    <w:rsid w:val="007073A3"/>
    <w:rsid w:val="00707573"/>
    <w:rsid w:val="0070775C"/>
    <w:rsid w:val="00707B25"/>
    <w:rsid w:val="00707BA1"/>
    <w:rsid w:val="00707C07"/>
    <w:rsid w:val="00707CD5"/>
    <w:rsid w:val="00710031"/>
    <w:rsid w:val="00710096"/>
    <w:rsid w:val="007100D4"/>
    <w:rsid w:val="0071012E"/>
    <w:rsid w:val="00710303"/>
    <w:rsid w:val="00710430"/>
    <w:rsid w:val="007106F2"/>
    <w:rsid w:val="00710789"/>
    <w:rsid w:val="0071085F"/>
    <w:rsid w:val="007109FB"/>
    <w:rsid w:val="00710A58"/>
    <w:rsid w:val="00710B15"/>
    <w:rsid w:val="00710BE2"/>
    <w:rsid w:val="00710E66"/>
    <w:rsid w:val="00710F8F"/>
    <w:rsid w:val="00710FAF"/>
    <w:rsid w:val="007110C2"/>
    <w:rsid w:val="007111A8"/>
    <w:rsid w:val="00711259"/>
    <w:rsid w:val="0071134A"/>
    <w:rsid w:val="00711646"/>
    <w:rsid w:val="007116AC"/>
    <w:rsid w:val="00711707"/>
    <w:rsid w:val="007118F8"/>
    <w:rsid w:val="00711A16"/>
    <w:rsid w:val="00711A95"/>
    <w:rsid w:val="00711BA2"/>
    <w:rsid w:val="00711C6E"/>
    <w:rsid w:val="00711CC3"/>
    <w:rsid w:val="00711E12"/>
    <w:rsid w:val="007123D4"/>
    <w:rsid w:val="007123DF"/>
    <w:rsid w:val="007124A2"/>
    <w:rsid w:val="007124DE"/>
    <w:rsid w:val="0071280E"/>
    <w:rsid w:val="00712845"/>
    <w:rsid w:val="007129B9"/>
    <w:rsid w:val="00712A77"/>
    <w:rsid w:val="00712B22"/>
    <w:rsid w:val="00712D5A"/>
    <w:rsid w:val="00712DD6"/>
    <w:rsid w:val="00712E69"/>
    <w:rsid w:val="00712EC4"/>
    <w:rsid w:val="007130C3"/>
    <w:rsid w:val="0071314C"/>
    <w:rsid w:val="00713178"/>
    <w:rsid w:val="00713179"/>
    <w:rsid w:val="00713273"/>
    <w:rsid w:val="00713307"/>
    <w:rsid w:val="007133ED"/>
    <w:rsid w:val="00713459"/>
    <w:rsid w:val="0071347F"/>
    <w:rsid w:val="00713734"/>
    <w:rsid w:val="00713735"/>
    <w:rsid w:val="007137E5"/>
    <w:rsid w:val="00713808"/>
    <w:rsid w:val="00713AA8"/>
    <w:rsid w:val="00713C9D"/>
    <w:rsid w:val="00713EA5"/>
    <w:rsid w:val="00713F8E"/>
    <w:rsid w:val="00714306"/>
    <w:rsid w:val="0071446E"/>
    <w:rsid w:val="00714B56"/>
    <w:rsid w:val="00714C78"/>
    <w:rsid w:val="00714FC9"/>
    <w:rsid w:val="0071517E"/>
    <w:rsid w:val="007151BD"/>
    <w:rsid w:val="0071526A"/>
    <w:rsid w:val="007153BF"/>
    <w:rsid w:val="00715616"/>
    <w:rsid w:val="00715795"/>
    <w:rsid w:val="0071587D"/>
    <w:rsid w:val="00715DAA"/>
    <w:rsid w:val="00715E85"/>
    <w:rsid w:val="00715EF2"/>
    <w:rsid w:val="00715F4A"/>
    <w:rsid w:val="00716101"/>
    <w:rsid w:val="0071624D"/>
    <w:rsid w:val="007163A8"/>
    <w:rsid w:val="007163F3"/>
    <w:rsid w:val="0071651C"/>
    <w:rsid w:val="00716995"/>
    <w:rsid w:val="00716A43"/>
    <w:rsid w:val="00716EF5"/>
    <w:rsid w:val="0071719A"/>
    <w:rsid w:val="007171F6"/>
    <w:rsid w:val="007174CA"/>
    <w:rsid w:val="007176F8"/>
    <w:rsid w:val="00717A78"/>
    <w:rsid w:val="00717D3C"/>
    <w:rsid w:val="0072027F"/>
    <w:rsid w:val="007202BA"/>
    <w:rsid w:val="00720635"/>
    <w:rsid w:val="007206A9"/>
    <w:rsid w:val="007206B7"/>
    <w:rsid w:val="007206EC"/>
    <w:rsid w:val="00720726"/>
    <w:rsid w:val="0072093C"/>
    <w:rsid w:val="00720991"/>
    <w:rsid w:val="00720A10"/>
    <w:rsid w:val="00720A9A"/>
    <w:rsid w:val="00720AB7"/>
    <w:rsid w:val="00720AD7"/>
    <w:rsid w:val="00720AD9"/>
    <w:rsid w:val="00720B32"/>
    <w:rsid w:val="00720BFB"/>
    <w:rsid w:val="00720BFE"/>
    <w:rsid w:val="00720DBC"/>
    <w:rsid w:val="00720E37"/>
    <w:rsid w:val="00720F7B"/>
    <w:rsid w:val="00721037"/>
    <w:rsid w:val="0072104C"/>
    <w:rsid w:val="00721133"/>
    <w:rsid w:val="007212B1"/>
    <w:rsid w:val="00721339"/>
    <w:rsid w:val="00721357"/>
    <w:rsid w:val="0072136D"/>
    <w:rsid w:val="007213DC"/>
    <w:rsid w:val="0072144D"/>
    <w:rsid w:val="007214DF"/>
    <w:rsid w:val="00721C0E"/>
    <w:rsid w:val="00721C54"/>
    <w:rsid w:val="00721C8F"/>
    <w:rsid w:val="00721CCB"/>
    <w:rsid w:val="00721D30"/>
    <w:rsid w:val="00721DD8"/>
    <w:rsid w:val="00721EC8"/>
    <w:rsid w:val="007221A6"/>
    <w:rsid w:val="00722233"/>
    <w:rsid w:val="0072245F"/>
    <w:rsid w:val="007224B9"/>
    <w:rsid w:val="00722594"/>
    <w:rsid w:val="0072259A"/>
    <w:rsid w:val="007225CD"/>
    <w:rsid w:val="0072267D"/>
    <w:rsid w:val="007226C9"/>
    <w:rsid w:val="00722929"/>
    <w:rsid w:val="00722936"/>
    <w:rsid w:val="00722AB6"/>
    <w:rsid w:val="00722BAB"/>
    <w:rsid w:val="00722E36"/>
    <w:rsid w:val="00722E3A"/>
    <w:rsid w:val="00722FC7"/>
    <w:rsid w:val="007230B5"/>
    <w:rsid w:val="007230D6"/>
    <w:rsid w:val="0072324B"/>
    <w:rsid w:val="0072342C"/>
    <w:rsid w:val="00723643"/>
    <w:rsid w:val="00723887"/>
    <w:rsid w:val="00723980"/>
    <w:rsid w:val="007239E1"/>
    <w:rsid w:val="00723A59"/>
    <w:rsid w:val="00723D78"/>
    <w:rsid w:val="00723E4B"/>
    <w:rsid w:val="00723EEE"/>
    <w:rsid w:val="0072428C"/>
    <w:rsid w:val="007244F3"/>
    <w:rsid w:val="00724506"/>
    <w:rsid w:val="00724553"/>
    <w:rsid w:val="0072493C"/>
    <w:rsid w:val="007249E4"/>
    <w:rsid w:val="00724A23"/>
    <w:rsid w:val="00724A25"/>
    <w:rsid w:val="00724A44"/>
    <w:rsid w:val="00724CDC"/>
    <w:rsid w:val="00724DBE"/>
    <w:rsid w:val="007250FA"/>
    <w:rsid w:val="0072534E"/>
    <w:rsid w:val="00725444"/>
    <w:rsid w:val="0072552E"/>
    <w:rsid w:val="0072563F"/>
    <w:rsid w:val="007256B7"/>
    <w:rsid w:val="00725754"/>
    <w:rsid w:val="0072582D"/>
    <w:rsid w:val="007258E9"/>
    <w:rsid w:val="007259F4"/>
    <w:rsid w:val="00725AA3"/>
    <w:rsid w:val="00725C31"/>
    <w:rsid w:val="00725C75"/>
    <w:rsid w:val="00725D4F"/>
    <w:rsid w:val="00725EA0"/>
    <w:rsid w:val="00725F40"/>
    <w:rsid w:val="0072604C"/>
    <w:rsid w:val="007262B1"/>
    <w:rsid w:val="007262C4"/>
    <w:rsid w:val="00726413"/>
    <w:rsid w:val="0072641F"/>
    <w:rsid w:val="00726504"/>
    <w:rsid w:val="00726621"/>
    <w:rsid w:val="00726645"/>
    <w:rsid w:val="0072699B"/>
    <w:rsid w:val="00726D92"/>
    <w:rsid w:val="00726DC1"/>
    <w:rsid w:val="00726E11"/>
    <w:rsid w:val="00726E39"/>
    <w:rsid w:val="00726F06"/>
    <w:rsid w:val="00726FF2"/>
    <w:rsid w:val="0072709A"/>
    <w:rsid w:val="007273C1"/>
    <w:rsid w:val="007274F7"/>
    <w:rsid w:val="007275D8"/>
    <w:rsid w:val="00727720"/>
    <w:rsid w:val="007278D5"/>
    <w:rsid w:val="00727B06"/>
    <w:rsid w:val="00727CF5"/>
    <w:rsid w:val="00727EE8"/>
    <w:rsid w:val="00727F30"/>
    <w:rsid w:val="00727F45"/>
    <w:rsid w:val="007300AC"/>
    <w:rsid w:val="0073022B"/>
    <w:rsid w:val="0073034D"/>
    <w:rsid w:val="00730544"/>
    <w:rsid w:val="0073063F"/>
    <w:rsid w:val="00730855"/>
    <w:rsid w:val="00730916"/>
    <w:rsid w:val="007309BA"/>
    <w:rsid w:val="00730A4E"/>
    <w:rsid w:val="00730AAF"/>
    <w:rsid w:val="00730B02"/>
    <w:rsid w:val="0073103A"/>
    <w:rsid w:val="00731317"/>
    <w:rsid w:val="007316AF"/>
    <w:rsid w:val="007316CE"/>
    <w:rsid w:val="0073183E"/>
    <w:rsid w:val="00731863"/>
    <w:rsid w:val="00731A56"/>
    <w:rsid w:val="00731B17"/>
    <w:rsid w:val="00731BE2"/>
    <w:rsid w:val="00731F93"/>
    <w:rsid w:val="00732312"/>
    <w:rsid w:val="0073238E"/>
    <w:rsid w:val="00732517"/>
    <w:rsid w:val="007325B5"/>
    <w:rsid w:val="007328DA"/>
    <w:rsid w:val="00732A07"/>
    <w:rsid w:val="00732AE2"/>
    <w:rsid w:val="00732B50"/>
    <w:rsid w:val="00732C39"/>
    <w:rsid w:val="00732CFA"/>
    <w:rsid w:val="00732D25"/>
    <w:rsid w:val="00732DF9"/>
    <w:rsid w:val="00732E2C"/>
    <w:rsid w:val="007330D0"/>
    <w:rsid w:val="00733286"/>
    <w:rsid w:val="00733398"/>
    <w:rsid w:val="0073344A"/>
    <w:rsid w:val="007334D4"/>
    <w:rsid w:val="0073361E"/>
    <w:rsid w:val="007337DC"/>
    <w:rsid w:val="007338C3"/>
    <w:rsid w:val="00733933"/>
    <w:rsid w:val="00733B0E"/>
    <w:rsid w:val="00733B55"/>
    <w:rsid w:val="00733B75"/>
    <w:rsid w:val="00733DCA"/>
    <w:rsid w:val="00734468"/>
    <w:rsid w:val="0073448C"/>
    <w:rsid w:val="007345BE"/>
    <w:rsid w:val="00734645"/>
    <w:rsid w:val="0073464A"/>
    <w:rsid w:val="007347E1"/>
    <w:rsid w:val="00734973"/>
    <w:rsid w:val="00734AB7"/>
    <w:rsid w:val="00734B46"/>
    <w:rsid w:val="00734B9E"/>
    <w:rsid w:val="00734E98"/>
    <w:rsid w:val="00734F11"/>
    <w:rsid w:val="0073500A"/>
    <w:rsid w:val="0073519B"/>
    <w:rsid w:val="007351F6"/>
    <w:rsid w:val="007353C4"/>
    <w:rsid w:val="0073543A"/>
    <w:rsid w:val="0073552C"/>
    <w:rsid w:val="0073559E"/>
    <w:rsid w:val="00735634"/>
    <w:rsid w:val="00735778"/>
    <w:rsid w:val="007357BC"/>
    <w:rsid w:val="007358D2"/>
    <w:rsid w:val="00735910"/>
    <w:rsid w:val="007359B2"/>
    <w:rsid w:val="00735A91"/>
    <w:rsid w:val="00735B2E"/>
    <w:rsid w:val="00735D92"/>
    <w:rsid w:val="00735E3B"/>
    <w:rsid w:val="00735EB4"/>
    <w:rsid w:val="00735ECF"/>
    <w:rsid w:val="00735FE2"/>
    <w:rsid w:val="00736113"/>
    <w:rsid w:val="0073657B"/>
    <w:rsid w:val="0073664C"/>
    <w:rsid w:val="00736777"/>
    <w:rsid w:val="007368A2"/>
    <w:rsid w:val="007368C1"/>
    <w:rsid w:val="00736AE2"/>
    <w:rsid w:val="00736C17"/>
    <w:rsid w:val="00736DE9"/>
    <w:rsid w:val="00736E29"/>
    <w:rsid w:val="00737210"/>
    <w:rsid w:val="00737277"/>
    <w:rsid w:val="007372FF"/>
    <w:rsid w:val="0073757B"/>
    <w:rsid w:val="007377B2"/>
    <w:rsid w:val="00737818"/>
    <w:rsid w:val="00737825"/>
    <w:rsid w:val="0073792E"/>
    <w:rsid w:val="007379DF"/>
    <w:rsid w:val="00737BAB"/>
    <w:rsid w:val="00737D67"/>
    <w:rsid w:val="00737EFF"/>
    <w:rsid w:val="007402CB"/>
    <w:rsid w:val="0074030A"/>
    <w:rsid w:val="0074036E"/>
    <w:rsid w:val="0074039C"/>
    <w:rsid w:val="00740450"/>
    <w:rsid w:val="0074048D"/>
    <w:rsid w:val="0074048E"/>
    <w:rsid w:val="00740706"/>
    <w:rsid w:val="0074094F"/>
    <w:rsid w:val="0074095F"/>
    <w:rsid w:val="0074099D"/>
    <w:rsid w:val="00740B43"/>
    <w:rsid w:val="00740C2E"/>
    <w:rsid w:val="00740EC5"/>
    <w:rsid w:val="00740FF3"/>
    <w:rsid w:val="00741037"/>
    <w:rsid w:val="0074109F"/>
    <w:rsid w:val="0074129A"/>
    <w:rsid w:val="00741402"/>
    <w:rsid w:val="00741879"/>
    <w:rsid w:val="00741C07"/>
    <w:rsid w:val="00741C90"/>
    <w:rsid w:val="00741F62"/>
    <w:rsid w:val="007422CA"/>
    <w:rsid w:val="007422D6"/>
    <w:rsid w:val="007422DB"/>
    <w:rsid w:val="00742439"/>
    <w:rsid w:val="00742874"/>
    <w:rsid w:val="00742A3C"/>
    <w:rsid w:val="00742A8C"/>
    <w:rsid w:val="00742A8E"/>
    <w:rsid w:val="00742AE0"/>
    <w:rsid w:val="00742AEF"/>
    <w:rsid w:val="00742D09"/>
    <w:rsid w:val="00742E25"/>
    <w:rsid w:val="00742EC4"/>
    <w:rsid w:val="0074303C"/>
    <w:rsid w:val="00743227"/>
    <w:rsid w:val="007433A3"/>
    <w:rsid w:val="00743440"/>
    <w:rsid w:val="007434DF"/>
    <w:rsid w:val="00743577"/>
    <w:rsid w:val="00743810"/>
    <w:rsid w:val="007439A7"/>
    <w:rsid w:val="00743A10"/>
    <w:rsid w:val="00743C82"/>
    <w:rsid w:val="00743DAA"/>
    <w:rsid w:val="00743EA4"/>
    <w:rsid w:val="007442CA"/>
    <w:rsid w:val="0074436A"/>
    <w:rsid w:val="00744482"/>
    <w:rsid w:val="00744567"/>
    <w:rsid w:val="00744576"/>
    <w:rsid w:val="00744700"/>
    <w:rsid w:val="0074480F"/>
    <w:rsid w:val="0074491F"/>
    <w:rsid w:val="00744921"/>
    <w:rsid w:val="00744ADF"/>
    <w:rsid w:val="00744C56"/>
    <w:rsid w:val="00744C74"/>
    <w:rsid w:val="007450D4"/>
    <w:rsid w:val="00745172"/>
    <w:rsid w:val="007451DE"/>
    <w:rsid w:val="007451F0"/>
    <w:rsid w:val="00745542"/>
    <w:rsid w:val="00745569"/>
    <w:rsid w:val="0074567B"/>
    <w:rsid w:val="007458A6"/>
    <w:rsid w:val="00745BC6"/>
    <w:rsid w:val="00745C91"/>
    <w:rsid w:val="00745CCB"/>
    <w:rsid w:val="00745D0F"/>
    <w:rsid w:val="00745D3C"/>
    <w:rsid w:val="00745D86"/>
    <w:rsid w:val="00745E65"/>
    <w:rsid w:val="0074614B"/>
    <w:rsid w:val="00746280"/>
    <w:rsid w:val="007462DF"/>
    <w:rsid w:val="0074635B"/>
    <w:rsid w:val="007465A9"/>
    <w:rsid w:val="007465E7"/>
    <w:rsid w:val="00746785"/>
    <w:rsid w:val="007468AB"/>
    <w:rsid w:val="0074692A"/>
    <w:rsid w:val="00746AA0"/>
    <w:rsid w:val="00746B6A"/>
    <w:rsid w:val="00746BFB"/>
    <w:rsid w:val="00746C58"/>
    <w:rsid w:val="00746CED"/>
    <w:rsid w:val="00747199"/>
    <w:rsid w:val="0074720D"/>
    <w:rsid w:val="00747246"/>
    <w:rsid w:val="0074728A"/>
    <w:rsid w:val="0074729D"/>
    <w:rsid w:val="0074737C"/>
    <w:rsid w:val="00747769"/>
    <w:rsid w:val="00747808"/>
    <w:rsid w:val="007478C2"/>
    <w:rsid w:val="00747983"/>
    <w:rsid w:val="007479E8"/>
    <w:rsid w:val="007479FF"/>
    <w:rsid w:val="00747A4B"/>
    <w:rsid w:val="00747D62"/>
    <w:rsid w:val="00747DF0"/>
    <w:rsid w:val="00747F29"/>
    <w:rsid w:val="00750161"/>
    <w:rsid w:val="0075030C"/>
    <w:rsid w:val="0075044A"/>
    <w:rsid w:val="0075050D"/>
    <w:rsid w:val="00750692"/>
    <w:rsid w:val="007507D8"/>
    <w:rsid w:val="00750A77"/>
    <w:rsid w:val="00750AAF"/>
    <w:rsid w:val="00750AD9"/>
    <w:rsid w:val="00750B9A"/>
    <w:rsid w:val="00750D6D"/>
    <w:rsid w:val="00750E6C"/>
    <w:rsid w:val="0075101A"/>
    <w:rsid w:val="007511AE"/>
    <w:rsid w:val="0075122F"/>
    <w:rsid w:val="00751309"/>
    <w:rsid w:val="0075139C"/>
    <w:rsid w:val="0075157E"/>
    <w:rsid w:val="0075165B"/>
    <w:rsid w:val="0075165E"/>
    <w:rsid w:val="00751879"/>
    <w:rsid w:val="007518AF"/>
    <w:rsid w:val="007518F6"/>
    <w:rsid w:val="007519D7"/>
    <w:rsid w:val="00751A7A"/>
    <w:rsid w:val="00751AC1"/>
    <w:rsid w:val="00751ADE"/>
    <w:rsid w:val="00751BDF"/>
    <w:rsid w:val="00751BE8"/>
    <w:rsid w:val="00751C12"/>
    <w:rsid w:val="00751F42"/>
    <w:rsid w:val="00751FE8"/>
    <w:rsid w:val="007522AB"/>
    <w:rsid w:val="007522C5"/>
    <w:rsid w:val="00752397"/>
    <w:rsid w:val="0075256C"/>
    <w:rsid w:val="00752702"/>
    <w:rsid w:val="007527F0"/>
    <w:rsid w:val="0075287B"/>
    <w:rsid w:val="007529C9"/>
    <w:rsid w:val="00752A08"/>
    <w:rsid w:val="00752B96"/>
    <w:rsid w:val="00752C9E"/>
    <w:rsid w:val="00752CDD"/>
    <w:rsid w:val="00752DC1"/>
    <w:rsid w:val="00752F53"/>
    <w:rsid w:val="00753002"/>
    <w:rsid w:val="00753087"/>
    <w:rsid w:val="00753136"/>
    <w:rsid w:val="007533FF"/>
    <w:rsid w:val="00753445"/>
    <w:rsid w:val="007534C0"/>
    <w:rsid w:val="0075364E"/>
    <w:rsid w:val="0075368F"/>
    <w:rsid w:val="007537A7"/>
    <w:rsid w:val="007537FF"/>
    <w:rsid w:val="00753895"/>
    <w:rsid w:val="00753A1E"/>
    <w:rsid w:val="00753B98"/>
    <w:rsid w:val="00753E0D"/>
    <w:rsid w:val="00753E0F"/>
    <w:rsid w:val="00753F4F"/>
    <w:rsid w:val="00754049"/>
    <w:rsid w:val="00754167"/>
    <w:rsid w:val="007541B1"/>
    <w:rsid w:val="0075430F"/>
    <w:rsid w:val="0075437B"/>
    <w:rsid w:val="007545EE"/>
    <w:rsid w:val="0075466D"/>
    <w:rsid w:val="007546CC"/>
    <w:rsid w:val="0075475F"/>
    <w:rsid w:val="00754998"/>
    <w:rsid w:val="007549EE"/>
    <w:rsid w:val="00754A0D"/>
    <w:rsid w:val="00754A28"/>
    <w:rsid w:val="00754A73"/>
    <w:rsid w:val="00754BEE"/>
    <w:rsid w:val="00754C28"/>
    <w:rsid w:val="00754CBA"/>
    <w:rsid w:val="00754CCA"/>
    <w:rsid w:val="00754E11"/>
    <w:rsid w:val="00754E50"/>
    <w:rsid w:val="00754F79"/>
    <w:rsid w:val="0075512D"/>
    <w:rsid w:val="00755139"/>
    <w:rsid w:val="0075522A"/>
    <w:rsid w:val="007552C1"/>
    <w:rsid w:val="007552EE"/>
    <w:rsid w:val="00755450"/>
    <w:rsid w:val="00755590"/>
    <w:rsid w:val="0075567C"/>
    <w:rsid w:val="007558DD"/>
    <w:rsid w:val="00755BB2"/>
    <w:rsid w:val="00755C2F"/>
    <w:rsid w:val="00755C32"/>
    <w:rsid w:val="00755C6C"/>
    <w:rsid w:val="00755DC8"/>
    <w:rsid w:val="00755F38"/>
    <w:rsid w:val="00755FC2"/>
    <w:rsid w:val="00756022"/>
    <w:rsid w:val="007562E2"/>
    <w:rsid w:val="0075632A"/>
    <w:rsid w:val="0075635A"/>
    <w:rsid w:val="00756413"/>
    <w:rsid w:val="007564BA"/>
    <w:rsid w:val="0075655D"/>
    <w:rsid w:val="00756606"/>
    <w:rsid w:val="0075673F"/>
    <w:rsid w:val="007568C3"/>
    <w:rsid w:val="00756B4D"/>
    <w:rsid w:val="00756C53"/>
    <w:rsid w:val="00756CE8"/>
    <w:rsid w:val="00756DFC"/>
    <w:rsid w:val="00756FCB"/>
    <w:rsid w:val="0075702A"/>
    <w:rsid w:val="007570F9"/>
    <w:rsid w:val="0075724D"/>
    <w:rsid w:val="00757447"/>
    <w:rsid w:val="007574B3"/>
    <w:rsid w:val="00757558"/>
    <w:rsid w:val="007577C2"/>
    <w:rsid w:val="00757A83"/>
    <w:rsid w:val="00757AB8"/>
    <w:rsid w:val="00757AEE"/>
    <w:rsid w:val="00757B69"/>
    <w:rsid w:val="00757B72"/>
    <w:rsid w:val="00757BD2"/>
    <w:rsid w:val="00757D35"/>
    <w:rsid w:val="00757D98"/>
    <w:rsid w:val="00757E20"/>
    <w:rsid w:val="00757F41"/>
    <w:rsid w:val="00760122"/>
    <w:rsid w:val="00760265"/>
    <w:rsid w:val="00760343"/>
    <w:rsid w:val="007603E2"/>
    <w:rsid w:val="0076042A"/>
    <w:rsid w:val="007604C0"/>
    <w:rsid w:val="0076056C"/>
    <w:rsid w:val="007605E5"/>
    <w:rsid w:val="00760737"/>
    <w:rsid w:val="00760766"/>
    <w:rsid w:val="007607FA"/>
    <w:rsid w:val="00760A03"/>
    <w:rsid w:val="00760A5B"/>
    <w:rsid w:val="00760B21"/>
    <w:rsid w:val="00760CBD"/>
    <w:rsid w:val="00760F21"/>
    <w:rsid w:val="007612E3"/>
    <w:rsid w:val="007615DD"/>
    <w:rsid w:val="0076176B"/>
    <w:rsid w:val="00761858"/>
    <w:rsid w:val="0076188B"/>
    <w:rsid w:val="00761983"/>
    <w:rsid w:val="00761C18"/>
    <w:rsid w:val="00761F8F"/>
    <w:rsid w:val="007625B5"/>
    <w:rsid w:val="007628E1"/>
    <w:rsid w:val="00762AE3"/>
    <w:rsid w:val="00762C02"/>
    <w:rsid w:val="00762CAB"/>
    <w:rsid w:val="00762CF1"/>
    <w:rsid w:val="00762F21"/>
    <w:rsid w:val="00762F2B"/>
    <w:rsid w:val="0076328E"/>
    <w:rsid w:val="007633FC"/>
    <w:rsid w:val="00763517"/>
    <w:rsid w:val="0076377B"/>
    <w:rsid w:val="00763A06"/>
    <w:rsid w:val="00763B63"/>
    <w:rsid w:val="00763C9C"/>
    <w:rsid w:val="00763D18"/>
    <w:rsid w:val="00763D66"/>
    <w:rsid w:val="00763E26"/>
    <w:rsid w:val="0076407F"/>
    <w:rsid w:val="007641B7"/>
    <w:rsid w:val="007643B5"/>
    <w:rsid w:val="00764605"/>
    <w:rsid w:val="0076482E"/>
    <w:rsid w:val="00764A4A"/>
    <w:rsid w:val="00764A66"/>
    <w:rsid w:val="00764BD8"/>
    <w:rsid w:val="00764C7E"/>
    <w:rsid w:val="00764E2F"/>
    <w:rsid w:val="00765134"/>
    <w:rsid w:val="0076519D"/>
    <w:rsid w:val="007652A1"/>
    <w:rsid w:val="00765554"/>
    <w:rsid w:val="0076555E"/>
    <w:rsid w:val="0076561E"/>
    <w:rsid w:val="0076567D"/>
    <w:rsid w:val="00765875"/>
    <w:rsid w:val="007658C6"/>
    <w:rsid w:val="0076595E"/>
    <w:rsid w:val="00765A3C"/>
    <w:rsid w:val="00765C49"/>
    <w:rsid w:val="00765E2B"/>
    <w:rsid w:val="00765E61"/>
    <w:rsid w:val="007660E3"/>
    <w:rsid w:val="00766138"/>
    <w:rsid w:val="007661B0"/>
    <w:rsid w:val="00766290"/>
    <w:rsid w:val="007662C4"/>
    <w:rsid w:val="007662EF"/>
    <w:rsid w:val="007664BF"/>
    <w:rsid w:val="007665B2"/>
    <w:rsid w:val="007665B9"/>
    <w:rsid w:val="00766A42"/>
    <w:rsid w:val="00766BDB"/>
    <w:rsid w:val="00766BF6"/>
    <w:rsid w:val="00766C59"/>
    <w:rsid w:val="00766CED"/>
    <w:rsid w:val="00766F6F"/>
    <w:rsid w:val="00766F88"/>
    <w:rsid w:val="00766FFE"/>
    <w:rsid w:val="0076770C"/>
    <w:rsid w:val="007677B7"/>
    <w:rsid w:val="0076795A"/>
    <w:rsid w:val="00767A0B"/>
    <w:rsid w:val="00767B37"/>
    <w:rsid w:val="00767D55"/>
    <w:rsid w:val="00767EC7"/>
    <w:rsid w:val="00767F62"/>
    <w:rsid w:val="00767F8D"/>
    <w:rsid w:val="00767FFC"/>
    <w:rsid w:val="00770330"/>
    <w:rsid w:val="00770395"/>
    <w:rsid w:val="007703E8"/>
    <w:rsid w:val="00770514"/>
    <w:rsid w:val="007708CF"/>
    <w:rsid w:val="00770A8C"/>
    <w:rsid w:val="00770B6F"/>
    <w:rsid w:val="00771015"/>
    <w:rsid w:val="007710F3"/>
    <w:rsid w:val="00771160"/>
    <w:rsid w:val="0077116E"/>
    <w:rsid w:val="00771233"/>
    <w:rsid w:val="00771459"/>
    <w:rsid w:val="00771910"/>
    <w:rsid w:val="0077194D"/>
    <w:rsid w:val="00771A05"/>
    <w:rsid w:val="00771B0D"/>
    <w:rsid w:val="00771D29"/>
    <w:rsid w:val="00771FBC"/>
    <w:rsid w:val="00772041"/>
    <w:rsid w:val="007721AC"/>
    <w:rsid w:val="007721AE"/>
    <w:rsid w:val="0077221C"/>
    <w:rsid w:val="0077229A"/>
    <w:rsid w:val="007725C5"/>
    <w:rsid w:val="007726C3"/>
    <w:rsid w:val="0077293F"/>
    <w:rsid w:val="00772E30"/>
    <w:rsid w:val="00772F74"/>
    <w:rsid w:val="00772F8A"/>
    <w:rsid w:val="00773353"/>
    <w:rsid w:val="007733C3"/>
    <w:rsid w:val="007733C6"/>
    <w:rsid w:val="007734AF"/>
    <w:rsid w:val="00773518"/>
    <w:rsid w:val="00773931"/>
    <w:rsid w:val="00773C40"/>
    <w:rsid w:val="00773D47"/>
    <w:rsid w:val="00773E07"/>
    <w:rsid w:val="00774030"/>
    <w:rsid w:val="007741BD"/>
    <w:rsid w:val="007742A2"/>
    <w:rsid w:val="007742A8"/>
    <w:rsid w:val="007744AC"/>
    <w:rsid w:val="00774592"/>
    <w:rsid w:val="0077472F"/>
    <w:rsid w:val="00774786"/>
    <w:rsid w:val="007748F4"/>
    <w:rsid w:val="00774B0B"/>
    <w:rsid w:val="00774BBF"/>
    <w:rsid w:val="00774C11"/>
    <w:rsid w:val="00774C96"/>
    <w:rsid w:val="00774E02"/>
    <w:rsid w:val="00774F50"/>
    <w:rsid w:val="00774FE2"/>
    <w:rsid w:val="00774FF3"/>
    <w:rsid w:val="00775195"/>
    <w:rsid w:val="007751F5"/>
    <w:rsid w:val="00775458"/>
    <w:rsid w:val="0077567F"/>
    <w:rsid w:val="007757C1"/>
    <w:rsid w:val="007758BE"/>
    <w:rsid w:val="007759FF"/>
    <w:rsid w:val="00775A42"/>
    <w:rsid w:val="00775AA9"/>
    <w:rsid w:val="00775C43"/>
    <w:rsid w:val="00775C4D"/>
    <w:rsid w:val="00775CEF"/>
    <w:rsid w:val="00775EC8"/>
    <w:rsid w:val="00775F54"/>
    <w:rsid w:val="0077610E"/>
    <w:rsid w:val="0077619E"/>
    <w:rsid w:val="00776732"/>
    <w:rsid w:val="0077696A"/>
    <w:rsid w:val="0077698C"/>
    <w:rsid w:val="00776CE4"/>
    <w:rsid w:val="00776F52"/>
    <w:rsid w:val="007771B8"/>
    <w:rsid w:val="00777283"/>
    <w:rsid w:val="0077729D"/>
    <w:rsid w:val="007774E5"/>
    <w:rsid w:val="0077762A"/>
    <w:rsid w:val="00777648"/>
    <w:rsid w:val="0077774E"/>
    <w:rsid w:val="0077794B"/>
    <w:rsid w:val="00777B6A"/>
    <w:rsid w:val="00777D58"/>
    <w:rsid w:val="00777D77"/>
    <w:rsid w:val="00777EDB"/>
    <w:rsid w:val="00777EF3"/>
    <w:rsid w:val="00777F22"/>
    <w:rsid w:val="00777FD9"/>
    <w:rsid w:val="007804CF"/>
    <w:rsid w:val="007805E9"/>
    <w:rsid w:val="00780705"/>
    <w:rsid w:val="0078097A"/>
    <w:rsid w:val="00780A45"/>
    <w:rsid w:val="00780B53"/>
    <w:rsid w:val="00780C03"/>
    <w:rsid w:val="00780D38"/>
    <w:rsid w:val="00780E85"/>
    <w:rsid w:val="00780F65"/>
    <w:rsid w:val="007810CF"/>
    <w:rsid w:val="007811DE"/>
    <w:rsid w:val="00781302"/>
    <w:rsid w:val="0078148E"/>
    <w:rsid w:val="007817D0"/>
    <w:rsid w:val="0078194C"/>
    <w:rsid w:val="00781A16"/>
    <w:rsid w:val="00781AF7"/>
    <w:rsid w:val="00781B0B"/>
    <w:rsid w:val="00781C21"/>
    <w:rsid w:val="00781C35"/>
    <w:rsid w:val="00781CD4"/>
    <w:rsid w:val="00781CEF"/>
    <w:rsid w:val="00781D0D"/>
    <w:rsid w:val="00781D81"/>
    <w:rsid w:val="00781FBA"/>
    <w:rsid w:val="00782228"/>
    <w:rsid w:val="00782268"/>
    <w:rsid w:val="007823F2"/>
    <w:rsid w:val="0078240B"/>
    <w:rsid w:val="0078256F"/>
    <w:rsid w:val="007825E9"/>
    <w:rsid w:val="00782751"/>
    <w:rsid w:val="00782864"/>
    <w:rsid w:val="007828FA"/>
    <w:rsid w:val="00782B1B"/>
    <w:rsid w:val="00782D2E"/>
    <w:rsid w:val="00782DCC"/>
    <w:rsid w:val="00782F90"/>
    <w:rsid w:val="00783016"/>
    <w:rsid w:val="00783018"/>
    <w:rsid w:val="00783035"/>
    <w:rsid w:val="007830CD"/>
    <w:rsid w:val="007831A2"/>
    <w:rsid w:val="00783242"/>
    <w:rsid w:val="00783431"/>
    <w:rsid w:val="007834E5"/>
    <w:rsid w:val="007835BD"/>
    <w:rsid w:val="007835EB"/>
    <w:rsid w:val="00783842"/>
    <w:rsid w:val="007838A6"/>
    <w:rsid w:val="00783AD2"/>
    <w:rsid w:val="00783C5C"/>
    <w:rsid w:val="00783C5D"/>
    <w:rsid w:val="00783C9F"/>
    <w:rsid w:val="00783D0A"/>
    <w:rsid w:val="00783E50"/>
    <w:rsid w:val="00783F8C"/>
    <w:rsid w:val="00784983"/>
    <w:rsid w:val="00784A2C"/>
    <w:rsid w:val="00784C2E"/>
    <w:rsid w:val="00784C82"/>
    <w:rsid w:val="00784C9A"/>
    <w:rsid w:val="00784E50"/>
    <w:rsid w:val="00784E66"/>
    <w:rsid w:val="007853C9"/>
    <w:rsid w:val="0078542F"/>
    <w:rsid w:val="00785493"/>
    <w:rsid w:val="00785654"/>
    <w:rsid w:val="007857A4"/>
    <w:rsid w:val="00785998"/>
    <w:rsid w:val="00785CBC"/>
    <w:rsid w:val="00785D30"/>
    <w:rsid w:val="00785D43"/>
    <w:rsid w:val="00785F86"/>
    <w:rsid w:val="007864C1"/>
    <w:rsid w:val="0078659C"/>
    <w:rsid w:val="007865DB"/>
    <w:rsid w:val="007867A9"/>
    <w:rsid w:val="007869B8"/>
    <w:rsid w:val="00786B33"/>
    <w:rsid w:val="00786BBB"/>
    <w:rsid w:val="00786CD4"/>
    <w:rsid w:val="00786F18"/>
    <w:rsid w:val="00786F6B"/>
    <w:rsid w:val="007870C4"/>
    <w:rsid w:val="0078717E"/>
    <w:rsid w:val="007872FF"/>
    <w:rsid w:val="007873DE"/>
    <w:rsid w:val="007873FC"/>
    <w:rsid w:val="007876B9"/>
    <w:rsid w:val="007876E3"/>
    <w:rsid w:val="00787840"/>
    <w:rsid w:val="007878F7"/>
    <w:rsid w:val="00787A72"/>
    <w:rsid w:val="00787E1A"/>
    <w:rsid w:val="00787F31"/>
    <w:rsid w:val="00790073"/>
    <w:rsid w:val="007900CB"/>
    <w:rsid w:val="0079017B"/>
    <w:rsid w:val="007901C2"/>
    <w:rsid w:val="0079025C"/>
    <w:rsid w:val="00790512"/>
    <w:rsid w:val="00790546"/>
    <w:rsid w:val="00790589"/>
    <w:rsid w:val="00790EB0"/>
    <w:rsid w:val="00790F16"/>
    <w:rsid w:val="0079116F"/>
    <w:rsid w:val="007914AB"/>
    <w:rsid w:val="007918D8"/>
    <w:rsid w:val="00791C44"/>
    <w:rsid w:val="00791C5E"/>
    <w:rsid w:val="00791DDC"/>
    <w:rsid w:val="007920FD"/>
    <w:rsid w:val="00792425"/>
    <w:rsid w:val="007928AD"/>
    <w:rsid w:val="00792961"/>
    <w:rsid w:val="00792984"/>
    <w:rsid w:val="00792C53"/>
    <w:rsid w:val="00792E11"/>
    <w:rsid w:val="00792FE6"/>
    <w:rsid w:val="0079311C"/>
    <w:rsid w:val="00793276"/>
    <w:rsid w:val="007932B6"/>
    <w:rsid w:val="007934FE"/>
    <w:rsid w:val="0079357B"/>
    <w:rsid w:val="0079357C"/>
    <w:rsid w:val="0079367A"/>
    <w:rsid w:val="007936DA"/>
    <w:rsid w:val="007937FC"/>
    <w:rsid w:val="00793A4C"/>
    <w:rsid w:val="00793BA8"/>
    <w:rsid w:val="00793C65"/>
    <w:rsid w:val="00793DF3"/>
    <w:rsid w:val="0079422E"/>
    <w:rsid w:val="007942B1"/>
    <w:rsid w:val="007943B5"/>
    <w:rsid w:val="007944F9"/>
    <w:rsid w:val="00794724"/>
    <w:rsid w:val="0079488B"/>
    <w:rsid w:val="00794AAA"/>
    <w:rsid w:val="00794B8B"/>
    <w:rsid w:val="00794C19"/>
    <w:rsid w:val="00794D04"/>
    <w:rsid w:val="00794D07"/>
    <w:rsid w:val="00794D4F"/>
    <w:rsid w:val="00794E31"/>
    <w:rsid w:val="00794F35"/>
    <w:rsid w:val="00795045"/>
    <w:rsid w:val="007950D0"/>
    <w:rsid w:val="0079512D"/>
    <w:rsid w:val="00795130"/>
    <w:rsid w:val="00795290"/>
    <w:rsid w:val="00795322"/>
    <w:rsid w:val="00795344"/>
    <w:rsid w:val="007954D6"/>
    <w:rsid w:val="007954FE"/>
    <w:rsid w:val="007957E1"/>
    <w:rsid w:val="00795855"/>
    <w:rsid w:val="007958B3"/>
    <w:rsid w:val="007958C0"/>
    <w:rsid w:val="007958EC"/>
    <w:rsid w:val="007959C7"/>
    <w:rsid w:val="007959F4"/>
    <w:rsid w:val="00795BC1"/>
    <w:rsid w:val="00795DCA"/>
    <w:rsid w:val="00795EB2"/>
    <w:rsid w:val="0079609D"/>
    <w:rsid w:val="007960C8"/>
    <w:rsid w:val="0079625E"/>
    <w:rsid w:val="007962A1"/>
    <w:rsid w:val="007963D6"/>
    <w:rsid w:val="00796605"/>
    <w:rsid w:val="00796A04"/>
    <w:rsid w:val="00796AB5"/>
    <w:rsid w:val="00796C35"/>
    <w:rsid w:val="00796DC3"/>
    <w:rsid w:val="00796FC7"/>
    <w:rsid w:val="00797261"/>
    <w:rsid w:val="00797372"/>
    <w:rsid w:val="007974DE"/>
    <w:rsid w:val="00797A78"/>
    <w:rsid w:val="00797B63"/>
    <w:rsid w:val="00797BB4"/>
    <w:rsid w:val="00797D70"/>
    <w:rsid w:val="00797E07"/>
    <w:rsid w:val="007A0048"/>
    <w:rsid w:val="007A0069"/>
    <w:rsid w:val="007A0091"/>
    <w:rsid w:val="007A0174"/>
    <w:rsid w:val="007A0252"/>
    <w:rsid w:val="007A02A5"/>
    <w:rsid w:val="007A0302"/>
    <w:rsid w:val="007A03D2"/>
    <w:rsid w:val="007A0449"/>
    <w:rsid w:val="007A0452"/>
    <w:rsid w:val="007A046A"/>
    <w:rsid w:val="007A0777"/>
    <w:rsid w:val="007A0782"/>
    <w:rsid w:val="007A083E"/>
    <w:rsid w:val="007A08C3"/>
    <w:rsid w:val="007A08D5"/>
    <w:rsid w:val="007A0A90"/>
    <w:rsid w:val="007A0B29"/>
    <w:rsid w:val="007A0BB2"/>
    <w:rsid w:val="007A0E80"/>
    <w:rsid w:val="007A0FC4"/>
    <w:rsid w:val="007A102F"/>
    <w:rsid w:val="007A1462"/>
    <w:rsid w:val="007A15B4"/>
    <w:rsid w:val="007A18B9"/>
    <w:rsid w:val="007A19E2"/>
    <w:rsid w:val="007A1C84"/>
    <w:rsid w:val="007A1E38"/>
    <w:rsid w:val="007A20B3"/>
    <w:rsid w:val="007A267B"/>
    <w:rsid w:val="007A296D"/>
    <w:rsid w:val="007A2A81"/>
    <w:rsid w:val="007A2D84"/>
    <w:rsid w:val="007A2DC1"/>
    <w:rsid w:val="007A2EB4"/>
    <w:rsid w:val="007A2FC8"/>
    <w:rsid w:val="007A3027"/>
    <w:rsid w:val="007A318F"/>
    <w:rsid w:val="007A31AC"/>
    <w:rsid w:val="007A31B8"/>
    <w:rsid w:val="007A3514"/>
    <w:rsid w:val="007A3866"/>
    <w:rsid w:val="007A3BC3"/>
    <w:rsid w:val="007A3DD2"/>
    <w:rsid w:val="007A4171"/>
    <w:rsid w:val="007A466C"/>
    <w:rsid w:val="007A469A"/>
    <w:rsid w:val="007A492F"/>
    <w:rsid w:val="007A4A02"/>
    <w:rsid w:val="007A5131"/>
    <w:rsid w:val="007A5272"/>
    <w:rsid w:val="007A5295"/>
    <w:rsid w:val="007A531D"/>
    <w:rsid w:val="007A572D"/>
    <w:rsid w:val="007A57BB"/>
    <w:rsid w:val="007A5945"/>
    <w:rsid w:val="007A5AB3"/>
    <w:rsid w:val="007A5C44"/>
    <w:rsid w:val="007A5DFF"/>
    <w:rsid w:val="007A61B8"/>
    <w:rsid w:val="007A621A"/>
    <w:rsid w:val="007A62E5"/>
    <w:rsid w:val="007A6543"/>
    <w:rsid w:val="007A658D"/>
    <w:rsid w:val="007A666C"/>
    <w:rsid w:val="007A671C"/>
    <w:rsid w:val="007A68D1"/>
    <w:rsid w:val="007A6A86"/>
    <w:rsid w:val="007A6B6C"/>
    <w:rsid w:val="007A6CD4"/>
    <w:rsid w:val="007A6D49"/>
    <w:rsid w:val="007A6E04"/>
    <w:rsid w:val="007A6FBD"/>
    <w:rsid w:val="007A7279"/>
    <w:rsid w:val="007A7678"/>
    <w:rsid w:val="007A77C5"/>
    <w:rsid w:val="007A7846"/>
    <w:rsid w:val="007A792B"/>
    <w:rsid w:val="007A7A4F"/>
    <w:rsid w:val="007A7BAA"/>
    <w:rsid w:val="007A7FD3"/>
    <w:rsid w:val="007B00E2"/>
    <w:rsid w:val="007B0112"/>
    <w:rsid w:val="007B0159"/>
    <w:rsid w:val="007B022C"/>
    <w:rsid w:val="007B052A"/>
    <w:rsid w:val="007B07C6"/>
    <w:rsid w:val="007B088D"/>
    <w:rsid w:val="007B0A4C"/>
    <w:rsid w:val="007B0BE3"/>
    <w:rsid w:val="007B0CB8"/>
    <w:rsid w:val="007B10DF"/>
    <w:rsid w:val="007B11AB"/>
    <w:rsid w:val="007B1254"/>
    <w:rsid w:val="007B14CC"/>
    <w:rsid w:val="007B164B"/>
    <w:rsid w:val="007B16AE"/>
    <w:rsid w:val="007B17C5"/>
    <w:rsid w:val="007B1900"/>
    <w:rsid w:val="007B1A8C"/>
    <w:rsid w:val="007B1AB1"/>
    <w:rsid w:val="007B1BFB"/>
    <w:rsid w:val="007B1C94"/>
    <w:rsid w:val="007B1D75"/>
    <w:rsid w:val="007B1E31"/>
    <w:rsid w:val="007B2126"/>
    <w:rsid w:val="007B2134"/>
    <w:rsid w:val="007B21BB"/>
    <w:rsid w:val="007B2219"/>
    <w:rsid w:val="007B2274"/>
    <w:rsid w:val="007B23CB"/>
    <w:rsid w:val="007B23D9"/>
    <w:rsid w:val="007B246F"/>
    <w:rsid w:val="007B25D0"/>
    <w:rsid w:val="007B2859"/>
    <w:rsid w:val="007B289F"/>
    <w:rsid w:val="007B2978"/>
    <w:rsid w:val="007B2B43"/>
    <w:rsid w:val="007B2CDE"/>
    <w:rsid w:val="007B2E53"/>
    <w:rsid w:val="007B2E83"/>
    <w:rsid w:val="007B318A"/>
    <w:rsid w:val="007B3382"/>
    <w:rsid w:val="007B35E2"/>
    <w:rsid w:val="007B377C"/>
    <w:rsid w:val="007B39AB"/>
    <w:rsid w:val="007B39AF"/>
    <w:rsid w:val="007B39BE"/>
    <w:rsid w:val="007B3C30"/>
    <w:rsid w:val="007B3D7B"/>
    <w:rsid w:val="007B3E8B"/>
    <w:rsid w:val="007B3EC7"/>
    <w:rsid w:val="007B4019"/>
    <w:rsid w:val="007B4257"/>
    <w:rsid w:val="007B4515"/>
    <w:rsid w:val="007B457A"/>
    <w:rsid w:val="007B4597"/>
    <w:rsid w:val="007B47EB"/>
    <w:rsid w:val="007B4854"/>
    <w:rsid w:val="007B4B57"/>
    <w:rsid w:val="007B4BCC"/>
    <w:rsid w:val="007B4D92"/>
    <w:rsid w:val="007B4F3F"/>
    <w:rsid w:val="007B511E"/>
    <w:rsid w:val="007B513B"/>
    <w:rsid w:val="007B5289"/>
    <w:rsid w:val="007B52BB"/>
    <w:rsid w:val="007B534D"/>
    <w:rsid w:val="007B5456"/>
    <w:rsid w:val="007B547E"/>
    <w:rsid w:val="007B547F"/>
    <w:rsid w:val="007B55D0"/>
    <w:rsid w:val="007B5635"/>
    <w:rsid w:val="007B57BB"/>
    <w:rsid w:val="007B5A06"/>
    <w:rsid w:val="007B5A41"/>
    <w:rsid w:val="007B5B80"/>
    <w:rsid w:val="007B5B81"/>
    <w:rsid w:val="007B5D42"/>
    <w:rsid w:val="007B5F24"/>
    <w:rsid w:val="007B6086"/>
    <w:rsid w:val="007B60BF"/>
    <w:rsid w:val="007B60FA"/>
    <w:rsid w:val="007B61C7"/>
    <w:rsid w:val="007B639A"/>
    <w:rsid w:val="007B63D4"/>
    <w:rsid w:val="007B65BA"/>
    <w:rsid w:val="007B66A0"/>
    <w:rsid w:val="007B682E"/>
    <w:rsid w:val="007B689C"/>
    <w:rsid w:val="007B697E"/>
    <w:rsid w:val="007B6A2A"/>
    <w:rsid w:val="007B6E47"/>
    <w:rsid w:val="007B6E4E"/>
    <w:rsid w:val="007B71E9"/>
    <w:rsid w:val="007B74F0"/>
    <w:rsid w:val="007B74F5"/>
    <w:rsid w:val="007B76FD"/>
    <w:rsid w:val="007B7804"/>
    <w:rsid w:val="007B78F8"/>
    <w:rsid w:val="007B7B4B"/>
    <w:rsid w:val="007B7EC6"/>
    <w:rsid w:val="007C0088"/>
    <w:rsid w:val="007C013C"/>
    <w:rsid w:val="007C029D"/>
    <w:rsid w:val="007C0559"/>
    <w:rsid w:val="007C0982"/>
    <w:rsid w:val="007C0A76"/>
    <w:rsid w:val="007C0A98"/>
    <w:rsid w:val="007C0B8B"/>
    <w:rsid w:val="007C0BCD"/>
    <w:rsid w:val="007C0CD0"/>
    <w:rsid w:val="007C0F3D"/>
    <w:rsid w:val="007C0F3F"/>
    <w:rsid w:val="007C0FA7"/>
    <w:rsid w:val="007C118B"/>
    <w:rsid w:val="007C1334"/>
    <w:rsid w:val="007C13BC"/>
    <w:rsid w:val="007C1702"/>
    <w:rsid w:val="007C183E"/>
    <w:rsid w:val="007C1842"/>
    <w:rsid w:val="007C1A6C"/>
    <w:rsid w:val="007C1BCB"/>
    <w:rsid w:val="007C1BED"/>
    <w:rsid w:val="007C1F8B"/>
    <w:rsid w:val="007C2192"/>
    <w:rsid w:val="007C2200"/>
    <w:rsid w:val="007C228E"/>
    <w:rsid w:val="007C2380"/>
    <w:rsid w:val="007C2532"/>
    <w:rsid w:val="007C2587"/>
    <w:rsid w:val="007C260F"/>
    <w:rsid w:val="007C2652"/>
    <w:rsid w:val="007C26FE"/>
    <w:rsid w:val="007C2714"/>
    <w:rsid w:val="007C2916"/>
    <w:rsid w:val="007C291E"/>
    <w:rsid w:val="007C29A0"/>
    <w:rsid w:val="007C29B9"/>
    <w:rsid w:val="007C2EF5"/>
    <w:rsid w:val="007C2F15"/>
    <w:rsid w:val="007C31E8"/>
    <w:rsid w:val="007C3225"/>
    <w:rsid w:val="007C32F1"/>
    <w:rsid w:val="007C3505"/>
    <w:rsid w:val="007C3596"/>
    <w:rsid w:val="007C368A"/>
    <w:rsid w:val="007C3735"/>
    <w:rsid w:val="007C3B5E"/>
    <w:rsid w:val="007C3C3C"/>
    <w:rsid w:val="007C404A"/>
    <w:rsid w:val="007C40F9"/>
    <w:rsid w:val="007C41D1"/>
    <w:rsid w:val="007C479C"/>
    <w:rsid w:val="007C48B2"/>
    <w:rsid w:val="007C48C7"/>
    <w:rsid w:val="007C48CF"/>
    <w:rsid w:val="007C4914"/>
    <w:rsid w:val="007C4B39"/>
    <w:rsid w:val="007C4E8A"/>
    <w:rsid w:val="007C4F34"/>
    <w:rsid w:val="007C4FB3"/>
    <w:rsid w:val="007C4FC0"/>
    <w:rsid w:val="007C50A3"/>
    <w:rsid w:val="007C524D"/>
    <w:rsid w:val="007C5605"/>
    <w:rsid w:val="007C56F5"/>
    <w:rsid w:val="007C6032"/>
    <w:rsid w:val="007C62A5"/>
    <w:rsid w:val="007C632D"/>
    <w:rsid w:val="007C6415"/>
    <w:rsid w:val="007C6462"/>
    <w:rsid w:val="007C646B"/>
    <w:rsid w:val="007C6506"/>
    <w:rsid w:val="007C65FB"/>
    <w:rsid w:val="007C671A"/>
    <w:rsid w:val="007C68BE"/>
    <w:rsid w:val="007C69D6"/>
    <w:rsid w:val="007C6A36"/>
    <w:rsid w:val="007C6B44"/>
    <w:rsid w:val="007C6DB4"/>
    <w:rsid w:val="007C6E8D"/>
    <w:rsid w:val="007C6EA3"/>
    <w:rsid w:val="007C6FEB"/>
    <w:rsid w:val="007C7508"/>
    <w:rsid w:val="007C77AC"/>
    <w:rsid w:val="007C785B"/>
    <w:rsid w:val="007C7927"/>
    <w:rsid w:val="007C798F"/>
    <w:rsid w:val="007C7EF6"/>
    <w:rsid w:val="007C7FE2"/>
    <w:rsid w:val="007D00A7"/>
    <w:rsid w:val="007D013A"/>
    <w:rsid w:val="007D0565"/>
    <w:rsid w:val="007D069A"/>
    <w:rsid w:val="007D0814"/>
    <w:rsid w:val="007D0AB7"/>
    <w:rsid w:val="007D0CB6"/>
    <w:rsid w:val="007D0E02"/>
    <w:rsid w:val="007D0F91"/>
    <w:rsid w:val="007D109F"/>
    <w:rsid w:val="007D1235"/>
    <w:rsid w:val="007D12DE"/>
    <w:rsid w:val="007D12F2"/>
    <w:rsid w:val="007D13ED"/>
    <w:rsid w:val="007D1671"/>
    <w:rsid w:val="007D1693"/>
    <w:rsid w:val="007D18BA"/>
    <w:rsid w:val="007D1C34"/>
    <w:rsid w:val="007D1D81"/>
    <w:rsid w:val="007D1D9C"/>
    <w:rsid w:val="007D1F60"/>
    <w:rsid w:val="007D20D1"/>
    <w:rsid w:val="007D22E7"/>
    <w:rsid w:val="007D2502"/>
    <w:rsid w:val="007D2520"/>
    <w:rsid w:val="007D2521"/>
    <w:rsid w:val="007D2775"/>
    <w:rsid w:val="007D2A59"/>
    <w:rsid w:val="007D2B11"/>
    <w:rsid w:val="007D2B99"/>
    <w:rsid w:val="007D2C90"/>
    <w:rsid w:val="007D2CEB"/>
    <w:rsid w:val="007D2D8F"/>
    <w:rsid w:val="007D2DFD"/>
    <w:rsid w:val="007D2E48"/>
    <w:rsid w:val="007D2E86"/>
    <w:rsid w:val="007D2F8F"/>
    <w:rsid w:val="007D30D1"/>
    <w:rsid w:val="007D32FF"/>
    <w:rsid w:val="007D3511"/>
    <w:rsid w:val="007D356F"/>
    <w:rsid w:val="007D3591"/>
    <w:rsid w:val="007D35E8"/>
    <w:rsid w:val="007D36E8"/>
    <w:rsid w:val="007D3781"/>
    <w:rsid w:val="007D387A"/>
    <w:rsid w:val="007D38A2"/>
    <w:rsid w:val="007D3A82"/>
    <w:rsid w:val="007D3D15"/>
    <w:rsid w:val="007D3E44"/>
    <w:rsid w:val="007D405D"/>
    <w:rsid w:val="007D4189"/>
    <w:rsid w:val="007D42BC"/>
    <w:rsid w:val="007D42C4"/>
    <w:rsid w:val="007D42E7"/>
    <w:rsid w:val="007D44AC"/>
    <w:rsid w:val="007D4759"/>
    <w:rsid w:val="007D475B"/>
    <w:rsid w:val="007D4850"/>
    <w:rsid w:val="007D48AA"/>
    <w:rsid w:val="007D4938"/>
    <w:rsid w:val="007D495C"/>
    <w:rsid w:val="007D4A88"/>
    <w:rsid w:val="007D4A92"/>
    <w:rsid w:val="007D4C43"/>
    <w:rsid w:val="007D4CD0"/>
    <w:rsid w:val="007D4CE5"/>
    <w:rsid w:val="007D4EAC"/>
    <w:rsid w:val="007D4FAE"/>
    <w:rsid w:val="007D5068"/>
    <w:rsid w:val="007D5087"/>
    <w:rsid w:val="007D50C2"/>
    <w:rsid w:val="007D5189"/>
    <w:rsid w:val="007D5205"/>
    <w:rsid w:val="007D5244"/>
    <w:rsid w:val="007D5446"/>
    <w:rsid w:val="007D55AD"/>
    <w:rsid w:val="007D5738"/>
    <w:rsid w:val="007D575C"/>
    <w:rsid w:val="007D5A6D"/>
    <w:rsid w:val="007D6683"/>
    <w:rsid w:val="007D686A"/>
    <w:rsid w:val="007D69A7"/>
    <w:rsid w:val="007D6A57"/>
    <w:rsid w:val="007D6BC3"/>
    <w:rsid w:val="007D6CCF"/>
    <w:rsid w:val="007D6D2F"/>
    <w:rsid w:val="007D6E92"/>
    <w:rsid w:val="007D6F3A"/>
    <w:rsid w:val="007D711B"/>
    <w:rsid w:val="007D7192"/>
    <w:rsid w:val="007D7291"/>
    <w:rsid w:val="007D75AB"/>
    <w:rsid w:val="007D75EE"/>
    <w:rsid w:val="007D765E"/>
    <w:rsid w:val="007D77F6"/>
    <w:rsid w:val="007D7A38"/>
    <w:rsid w:val="007D7AFF"/>
    <w:rsid w:val="007D7C75"/>
    <w:rsid w:val="007D7CE3"/>
    <w:rsid w:val="007D7E03"/>
    <w:rsid w:val="007E008A"/>
    <w:rsid w:val="007E015D"/>
    <w:rsid w:val="007E0238"/>
    <w:rsid w:val="007E06E7"/>
    <w:rsid w:val="007E0724"/>
    <w:rsid w:val="007E0A2E"/>
    <w:rsid w:val="007E0C9C"/>
    <w:rsid w:val="007E1052"/>
    <w:rsid w:val="007E10AE"/>
    <w:rsid w:val="007E12D4"/>
    <w:rsid w:val="007E1355"/>
    <w:rsid w:val="007E135F"/>
    <w:rsid w:val="007E1613"/>
    <w:rsid w:val="007E163A"/>
    <w:rsid w:val="007E172E"/>
    <w:rsid w:val="007E17BC"/>
    <w:rsid w:val="007E1952"/>
    <w:rsid w:val="007E1EDE"/>
    <w:rsid w:val="007E20C9"/>
    <w:rsid w:val="007E2175"/>
    <w:rsid w:val="007E23BB"/>
    <w:rsid w:val="007E23D9"/>
    <w:rsid w:val="007E2512"/>
    <w:rsid w:val="007E2530"/>
    <w:rsid w:val="007E27A5"/>
    <w:rsid w:val="007E27BD"/>
    <w:rsid w:val="007E2807"/>
    <w:rsid w:val="007E2978"/>
    <w:rsid w:val="007E2BC6"/>
    <w:rsid w:val="007E2CAB"/>
    <w:rsid w:val="007E2FD3"/>
    <w:rsid w:val="007E32E5"/>
    <w:rsid w:val="007E352D"/>
    <w:rsid w:val="007E355E"/>
    <w:rsid w:val="007E363C"/>
    <w:rsid w:val="007E37DB"/>
    <w:rsid w:val="007E3830"/>
    <w:rsid w:val="007E38C9"/>
    <w:rsid w:val="007E3A77"/>
    <w:rsid w:val="007E3B06"/>
    <w:rsid w:val="007E41DA"/>
    <w:rsid w:val="007E4201"/>
    <w:rsid w:val="007E4272"/>
    <w:rsid w:val="007E4326"/>
    <w:rsid w:val="007E43C5"/>
    <w:rsid w:val="007E444B"/>
    <w:rsid w:val="007E44C7"/>
    <w:rsid w:val="007E450F"/>
    <w:rsid w:val="007E4555"/>
    <w:rsid w:val="007E46CE"/>
    <w:rsid w:val="007E473A"/>
    <w:rsid w:val="007E478C"/>
    <w:rsid w:val="007E4B44"/>
    <w:rsid w:val="007E4CF3"/>
    <w:rsid w:val="007E4D90"/>
    <w:rsid w:val="007E4DBA"/>
    <w:rsid w:val="007E4E1F"/>
    <w:rsid w:val="007E4EEC"/>
    <w:rsid w:val="007E4EEE"/>
    <w:rsid w:val="007E4F97"/>
    <w:rsid w:val="007E5271"/>
    <w:rsid w:val="007E52D8"/>
    <w:rsid w:val="007E5348"/>
    <w:rsid w:val="007E53FA"/>
    <w:rsid w:val="007E5534"/>
    <w:rsid w:val="007E5547"/>
    <w:rsid w:val="007E554C"/>
    <w:rsid w:val="007E5714"/>
    <w:rsid w:val="007E5A64"/>
    <w:rsid w:val="007E5BA8"/>
    <w:rsid w:val="007E5D4C"/>
    <w:rsid w:val="007E5EBB"/>
    <w:rsid w:val="007E6167"/>
    <w:rsid w:val="007E62A8"/>
    <w:rsid w:val="007E63CA"/>
    <w:rsid w:val="007E6621"/>
    <w:rsid w:val="007E66AD"/>
    <w:rsid w:val="007E6C4D"/>
    <w:rsid w:val="007E6FB6"/>
    <w:rsid w:val="007E70B4"/>
    <w:rsid w:val="007E73F9"/>
    <w:rsid w:val="007E74C5"/>
    <w:rsid w:val="007E7607"/>
    <w:rsid w:val="007E78ED"/>
    <w:rsid w:val="007E7A2F"/>
    <w:rsid w:val="007E7B73"/>
    <w:rsid w:val="007E7DE1"/>
    <w:rsid w:val="007E7DFA"/>
    <w:rsid w:val="007E7F06"/>
    <w:rsid w:val="007F00D0"/>
    <w:rsid w:val="007F01BC"/>
    <w:rsid w:val="007F027A"/>
    <w:rsid w:val="007F0281"/>
    <w:rsid w:val="007F02AC"/>
    <w:rsid w:val="007F03EF"/>
    <w:rsid w:val="007F040A"/>
    <w:rsid w:val="007F04DF"/>
    <w:rsid w:val="007F074D"/>
    <w:rsid w:val="007F078E"/>
    <w:rsid w:val="007F0835"/>
    <w:rsid w:val="007F0C1A"/>
    <w:rsid w:val="007F0E34"/>
    <w:rsid w:val="007F0FD0"/>
    <w:rsid w:val="007F12AA"/>
    <w:rsid w:val="007F12BA"/>
    <w:rsid w:val="007F1722"/>
    <w:rsid w:val="007F1864"/>
    <w:rsid w:val="007F1C01"/>
    <w:rsid w:val="007F1D2C"/>
    <w:rsid w:val="007F1F37"/>
    <w:rsid w:val="007F2018"/>
    <w:rsid w:val="007F2662"/>
    <w:rsid w:val="007F2684"/>
    <w:rsid w:val="007F2794"/>
    <w:rsid w:val="007F27E9"/>
    <w:rsid w:val="007F27F0"/>
    <w:rsid w:val="007F29F2"/>
    <w:rsid w:val="007F2AED"/>
    <w:rsid w:val="007F2C9B"/>
    <w:rsid w:val="007F2E2C"/>
    <w:rsid w:val="007F3000"/>
    <w:rsid w:val="007F3013"/>
    <w:rsid w:val="007F311C"/>
    <w:rsid w:val="007F32C6"/>
    <w:rsid w:val="007F331B"/>
    <w:rsid w:val="007F3612"/>
    <w:rsid w:val="007F3E75"/>
    <w:rsid w:val="007F4024"/>
    <w:rsid w:val="007F402A"/>
    <w:rsid w:val="007F4273"/>
    <w:rsid w:val="007F42F0"/>
    <w:rsid w:val="007F4525"/>
    <w:rsid w:val="007F4896"/>
    <w:rsid w:val="007F48D9"/>
    <w:rsid w:val="007F4919"/>
    <w:rsid w:val="007F49B6"/>
    <w:rsid w:val="007F4C18"/>
    <w:rsid w:val="007F4E69"/>
    <w:rsid w:val="007F4F47"/>
    <w:rsid w:val="007F5205"/>
    <w:rsid w:val="007F5269"/>
    <w:rsid w:val="007F53F0"/>
    <w:rsid w:val="007F5412"/>
    <w:rsid w:val="007F55A3"/>
    <w:rsid w:val="007F56C3"/>
    <w:rsid w:val="007F57B7"/>
    <w:rsid w:val="007F5A33"/>
    <w:rsid w:val="007F609F"/>
    <w:rsid w:val="007F62F7"/>
    <w:rsid w:val="007F6354"/>
    <w:rsid w:val="007F6368"/>
    <w:rsid w:val="007F6573"/>
    <w:rsid w:val="007F661F"/>
    <w:rsid w:val="007F668C"/>
    <w:rsid w:val="007F68EC"/>
    <w:rsid w:val="007F6911"/>
    <w:rsid w:val="007F6B4F"/>
    <w:rsid w:val="007F6CAA"/>
    <w:rsid w:val="007F6CB8"/>
    <w:rsid w:val="007F6D88"/>
    <w:rsid w:val="007F6D9E"/>
    <w:rsid w:val="007F6DC5"/>
    <w:rsid w:val="007F71E6"/>
    <w:rsid w:val="007F758E"/>
    <w:rsid w:val="007F762C"/>
    <w:rsid w:val="007F7735"/>
    <w:rsid w:val="007F774D"/>
    <w:rsid w:val="007F77DD"/>
    <w:rsid w:val="007F79EC"/>
    <w:rsid w:val="007F7B7F"/>
    <w:rsid w:val="007F7CDB"/>
    <w:rsid w:val="007F7D4D"/>
    <w:rsid w:val="0080019F"/>
    <w:rsid w:val="00800363"/>
    <w:rsid w:val="008003A3"/>
    <w:rsid w:val="008005BA"/>
    <w:rsid w:val="008005D9"/>
    <w:rsid w:val="00800620"/>
    <w:rsid w:val="00800885"/>
    <w:rsid w:val="008008B0"/>
    <w:rsid w:val="00800945"/>
    <w:rsid w:val="00800C37"/>
    <w:rsid w:val="00801342"/>
    <w:rsid w:val="00801347"/>
    <w:rsid w:val="008013BC"/>
    <w:rsid w:val="008015E6"/>
    <w:rsid w:val="00801609"/>
    <w:rsid w:val="008016AE"/>
    <w:rsid w:val="00801783"/>
    <w:rsid w:val="008017C6"/>
    <w:rsid w:val="008017CD"/>
    <w:rsid w:val="00801827"/>
    <w:rsid w:val="00801958"/>
    <w:rsid w:val="00801A09"/>
    <w:rsid w:val="00801A17"/>
    <w:rsid w:val="00801AC0"/>
    <w:rsid w:val="00801BED"/>
    <w:rsid w:val="00801C5F"/>
    <w:rsid w:val="00801CA4"/>
    <w:rsid w:val="00801CB4"/>
    <w:rsid w:val="0080216A"/>
    <w:rsid w:val="00802198"/>
    <w:rsid w:val="00802241"/>
    <w:rsid w:val="0080236E"/>
    <w:rsid w:val="008023CC"/>
    <w:rsid w:val="00802414"/>
    <w:rsid w:val="008024BF"/>
    <w:rsid w:val="008028E7"/>
    <w:rsid w:val="00802982"/>
    <w:rsid w:val="00802A96"/>
    <w:rsid w:val="00802C28"/>
    <w:rsid w:val="00802F43"/>
    <w:rsid w:val="00802F9B"/>
    <w:rsid w:val="00803277"/>
    <w:rsid w:val="008033E1"/>
    <w:rsid w:val="00803527"/>
    <w:rsid w:val="00803584"/>
    <w:rsid w:val="00803678"/>
    <w:rsid w:val="00803CF4"/>
    <w:rsid w:val="00803D05"/>
    <w:rsid w:val="00803D12"/>
    <w:rsid w:val="00803D3C"/>
    <w:rsid w:val="00803EE2"/>
    <w:rsid w:val="00804044"/>
    <w:rsid w:val="0080410D"/>
    <w:rsid w:val="0080417F"/>
    <w:rsid w:val="008041C2"/>
    <w:rsid w:val="00804203"/>
    <w:rsid w:val="0080427F"/>
    <w:rsid w:val="008042A9"/>
    <w:rsid w:val="00804331"/>
    <w:rsid w:val="008043DE"/>
    <w:rsid w:val="0080449D"/>
    <w:rsid w:val="00804848"/>
    <w:rsid w:val="00804902"/>
    <w:rsid w:val="0080498D"/>
    <w:rsid w:val="00804A3C"/>
    <w:rsid w:val="00804C0F"/>
    <w:rsid w:val="00804CD7"/>
    <w:rsid w:val="00804EA0"/>
    <w:rsid w:val="00804F45"/>
    <w:rsid w:val="00804F62"/>
    <w:rsid w:val="0080508A"/>
    <w:rsid w:val="0080522C"/>
    <w:rsid w:val="00805250"/>
    <w:rsid w:val="008052A1"/>
    <w:rsid w:val="0080547E"/>
    <w:rsid w:val="008055BE"/>
    <w:rsid w:val="0080579E"/>
    <w:rsid w:val="00805822"/>
    <w:rsid w:val="0080586C"/>
    <w:rsid w:val="0080596D"/>
    <w:rsid w:val="00805ACA"/>
    <w:rsid w:val="00805AF5"/>
    <w:rsid w:val="00805E3E"/>
    <w:rsid w:val="00805F2C"/>
    <w:rsid w:val="00805F7C"/>
    <w:rsid w:val="00806061"/>
    <w:rsid w:val="0080606A"/>
    <w:rsid w:val="008061D5"/>
    <w:rsid w:val="00806301"/>
    <w:rsid w:val="00806478"/>
    <w:rsid w:val="00806591"/>
    <w:rsid w:val="008065F0"/>
    <w:rsid w:val="00806664"/>
    <w:rsid w:val="00806816"/>
    <w:rsid w:val="008068CE"/>
    <w:rsid w:val="00806985"/>
    <w:rsid w:val="00806A31"/>
    <w:rsid w:val="00807244"/>
    <w:rsid w:val="008072BD"/>
    <w:rsid w:val="008073AD"/>
    <w:rsid w:val="008076FF"/>
    <w:rsid w:val="008077D4"/>
    <w:rsid w:val="0080785B"/>
    <w:rsid w:val="00807946"/>
    <w:rsid w:val="00807B4C"/>
    <w:rsid w:val="00807B87"/>
    <w:rsid w:val="00807B96"/>
    <w:rsid w:val="00807C2F"/>
    <w:rsid w:val="00807D79"/>
    <w:rsid w:val="00807E41"/>
    <w:rsid w:val="00807F61"/>
    <w:rsid w:val="00807FC5"/>
    <w:rsid w:val="0081048D"/>
    <w:rsid w:val="008104EA"/>
    <w:rsid w:val="0081064F"/>
    <w:rsid w:val="00810681"/>
    <w:rsid w:val="0081070E"/>
    <w:rsid w:val="00810806"/>
    <w:rsid w:val="00810B67"/>
    <w:rsid w:val="00810BDC"/>
    <w:rsid w:val="00810D4B"/>
    <w:rsid w:val="00810D84"/>
    <w:rsid w:val="00810E22"/>
    <w:rsid w:val="00810FFF"/>
    <w:rsid w:val="00811210"/>
    <w:rsid w:val="00811333"/>
    <w:rsid w:val="008114BD"/>
    <w:rsid w:val="0081158C"/>
    <w:rsid w:val="00811867"/>
    <w:rsid w:val="008119B9"/>
    <w:rsid w:val="00811A15"/>
    <w:rsid w:val="00811B0B"/>
    <w:rsid w:val="00811BA3"/>
    <w:rsid w:val="00811C19"/>
    <w:rsid w:val="00811CD0"/>
    <w:rsid w:val="00811CF3"/>
    <w:rsid w:val="00811D16"/>
    <w:rsid w:val="00811FB7"/>
    <w:rsid w:val="00812088"/>
    <w:rsid w:val="008120C7"/>
    <w:rsid w:val="00812118"/>
    <w:rsid w:val="00812299"/>
    <w:rsid w:val="008122EA"/>
    <w:rsid w:val="00812677"/>
    <w:rsid w:val="00812777"/>
    <w:rsid w:val="008127AE"/>
    <w:rsid w:val="008127C5"/>
    <w:rsid w:val="008129C6"/>
    <w:rsid w:val="00812A7F"/>
    <w:rsid w:val="00812BC7"/>
    <w:rsid w:val="00812E0A"/>
    <w:rsid w:val="00812E96"/>
    <w:rsid w:val="00813055"/>
    <w:rsid w:val="00813278"/>
    <w:rsid w:val="00813291"/>
    <w:rsid w:val="0081352B"/>
    <w:rsid w:val="0081353A"/>
    <w:rsid w:val="00813620"/>
    <w:rsid w:val="0081366A"/>
    <w:rsid w:val="00813959"/>
    <w:rsid w:val="008139FA"/>
    <w:rsid w:val="00813B94"/>
    <w:rsid w:val="00813B97"/>
    <w:rsid w:val="00813CD1"/>
    <w:rsid w:val="00813CFB"/>
    <w:rsid w:val="00813DF2"/>
    <w:rsid w:val="00813F12"/>
    <w:rsid w:val="00813FB9"/>
    <w:rsid w:val="0081401A"/>
    <w:rsid w:val="00814032"/>
    <w:rsid w:val="008140C1"/>
    <w:rsid w:val="008140F3"/>
    <w:rsid w:val="0081440E"/>
    <w:rsid w:val="00814514"/>
    <w:rsid w:val="008146BC"/>
    <w:rsid w:val="0081483B"/>
    <w:rsid w:val="008148F5"/>
    <w:rsid w:val="00814A9E"/>
    <w:rsid w:val="00814D9C"/>
    <w:rsid w:val="00814EB9"/>
    <w:rsid w:val="00814F5B"/>
    <w:rsid w:val="00815013"/>
    <w:rsid w:val="008155AF"/>
    <w:rsid w:val="0081567D"/>
    <w:rsid w:val="0081592E"/>
    <w:rsid w:val="00815B2F"/>
    <w:rsid w:val="00815CCF"/>
    <w:rsid w:val="00815CD7"/>
    <w:rsid w:val="00815FA0"/>
    <w:rsid w:val="0081638B"/>
    <w:rsid w:val="008163A6"/>
    <w:rsid w:val="008163EF"/>
    <w:rsid w:val="008164A4"/>
    <w:rsid w:val="0081657F"/>
    <w:rsid w:val="008167F8"/>
    <w:rsid w:val="00816894"/>
    <w:rsid w:val="00816BE0"/>
    <w:rsid w:val="00816D5C"/>
    <w:rsid w:val="00817251"/>
    <w:rsid w:val="008172C3"/>
    <w:rsid w:val="008172F5"/>
    <w:rsid w:val="008174D8"/>
    <w:rsid w:val="00817589"/>
    <w:rsid w:val="00817641"/>
    <w:rsid w:val="008176C4"/>
    <w:rsid w:val="00817831"/>
    <w:rsid w:val="0081797E"/>
    <w:rsid w:val="00817C3B"/>
    <w:rsid w:val="00817DAD"/>
    <w:rsid w:val="0082008D"/>
    <w:rsid w:val="008200CB"/>
    <w:rsid w:val="00820716"/>
    <w:rsid w:val="00820781"/>
    <w:rsid w:val="008207C3"/>
    <w:rsid w:val="0082081E"/>
    <w:rsid w:val="008208C8"/>
    <w:rsid w:val="00820D2B"/>
    <w:rsid w:val="00820D3F"/>
    <w:rsid w:val="00820D8C"/>
    <w:rsid w:val="00820E14"/>
    <w:rsid w:val="00821097"/>
    <w:rsid w:val="00821575"/>
    <w:rsid w:val="00821751"/>
    <w:rsid w:val="008217BB"/>
    <w:rsid w:val="00821907"/>
    <w:rsid w:val="00821947"/>
    <w:rsid w:val="00821B12"/>
    <w:rsid w:val="00821B19"/>
    <w:rsid w:val="00821BE5"/>
    <w:rsid w:val="00821C9E"/>
    <w:rsid w:val="008220F7"/>
    <w:rsid w:val="0082224A"/>
    <w:rsid w:val="0082224D"/>
    <w:rsid w:val="0082227A"/>
    <w:rsid w:val="008225F1"/>
    <w:rsid w:val="008226F1"/>
    <w:rsid w:val="008228C0"/>
    <w:rsid w:val="00822BB6"/>
    <w:rsid w:val="00822DA0"/>
    <w:rsid w:val="00822DE6"/>
    <w:rsid w:val="00823020"/>
    <w:rsid w:val="008230E1"/>
    <w:rsid w:val="008231AE"/>
    <w:rsid w:val="008231BB"/>
    <w:rsid w:val="00823513"/>
    <w:rsid w:val="00823577"/>
    <w:rsid w:val="00823683"/>
    <w:rsid w:val="008236CE"/>
    <w:rsid w:val="008237E2"/>
    <w:rsid w:val="008238AA"/>
    <w:rsid w:val="008238E9"/>
    <w:rsid w:val="0082395B"/>
    <w:rsid w:val="00823AB2"/>
    <w:rsid w:val="00823C20"/>
    <w:rsid w:val="00823C79"/>
    <w:rsid w:val="00823D9F"/>
    <w:rsid w:val="00823DAC"/>
    <w:rsid w:val="00823EDB"/>
    <w:rsid w:val="008242F9"/>
    <w:rsid w:val="00824326"/>
    <w:rsid w:val="00824343"/>
    <w:rsid w:val="00824386"/>
    <w:rsid w:val="00824647"/>
    <w:rsid w:val="0082470E"/>
    <w:rsid w:val="00824832"/>
    <w:rsid w:val="0082491E"/>
    <w:rsid w:val="00824933"/>
    <w:rsid w:val="00824957"/>
    <w:rsid w:val="00824982"/>
    <w:rsid w:val="00824A82"/>
    <w:rsid w:val="00824B23"/>
    <w:rsid w:val="00824F80"/>
    <w:rsid w:val="008250B0"/>
    <w:rsid w:val="00825411"/>
    <w:rsid w:val="0082558F"/>
    <w:rsid w:val="008255E4"/>
    <w:rsid w:val="008256E3"/>
    <w:rsid w:val="00825826"/>
    <w:rsid w:val="00825851"/>
    <w:rsid w:val="0082585B"/>
    <w:rsid w:val="008258D7"/>
    <w:rsid w:val="0082592B"/>
    <w:rsid w:val="00825A23"/>
    <w:rsid w:val="00825AD5"/>
    <w:rsid w:val="00825B0C"/>
    <w:rsid w:val="00825CA2"/>
    <w:rsid w:val="00825EA8"/>
    <w:rsid w:val="00825ED0"/>
    <w:rsid w:val="008261CB"/>
    <w:rsid w:val="00826337"/>
    <w:rsid w:val="008267A3"/>
    <w:rsid w:val="008267EF"/>
    <w:rsid w:val="00826851"/>
    <w:rsid w:val="008268F6"/>
    <w:rsid w:val="00826B19"/>
    <w:rsid w:val="00826B91"/>
    <w:rsid w:val="00826D48"/>
    <w:rsid w:val="00826E4A"/>
    <w:rsid w:val="00826E67"/>
    <w:rsid w:val="0082708C"/>
    <w:rsid w:val="008273B7"/>
    <w:rsid w:val="00827491"/>
    <w:rsid w:val="00827634"/>
    <w:rsid w:val="008278BA"/>
    <w:rsid w:val="00827ACE"/>
    <w:rsid w:val="00827B43"/>
    <w:rsid w:val="00827BAD"/>
    <w:rsid w:val="00827C14"/>
    <w:rsid w:val="00827C86"/>
    <w:rsid w:val="00827CE4"/>
    <w:rsid w:val="00827E29"/>
    <w:rsid w:val="00827F19"/>
    <w:rsid w:val="0083000F"/>
    <w:rsid w:val="0083015B"/>
    <w:rsid w:val="0083046A"/>
    <w:rsid w:val="0083059A"/>
    <w:rsid w:val="008305B1"/>
    <w:rsid w:val="008305C0"/>
    <w:rsid w:val="00830626"/>
    <w:rsid w:val="00830639"/>
    <w:rsid w:val="008307BB"/>
    <w:rsid w:val="0083094C"/>
    <w:rsid w:val="008309C9"/>
    <w:rsid w:val="00830A2B"/>
    <w:rsid w:val="00830B43"/>
    <w:rsid w:val="00830BC7"/>
    <w:rsid w:val="00830C95"/>
    <w:rsid w:val="00830E47"/>
    <w:rsid w:val="008311F7"/>
    <w:rsid w:val="0083150A"/>
    <w:rsid w:val="00831666"/>
    <w:rsid w:val="00831835"/>
    <w:rsid w:val="00831871"/>
    <w:rsid w:val="00831881"/>
    <w:rsid w:val="008318D3"/>
    <w:rsid w:val="00831908"/>
    <w:rsid w:val="00831982"/>
    <w:rsid w:val="00831AE4"/>
    <w:rsid w:val="00831D2F"/>
    <w:rsid w:val="00831D3A"/>
    <w:rsid w:val="00831D97"/>
    <w:rsid w:val="00831ECA"/>
    <w:rsid w:val="0083202C"/>
    <w:rsid w:val="0083203F"/>
    <w:rsid w:val="0083209F"/>
    <w:rsid w:val="008321C2"/>
    <w:rsid w:val="0083298F"/>
    <w:rsid w:val="008329EF"/>
    <w:rsid w:val="00832AAB"/>
    <w:rsid w:val="00832D06"/>
    <w:rsid w:val="00832DF5"/>
    <w:rsid w:val="0083303D"/>
    <w:rsid w:val="00833088"/>
    <w:rsid w:val="008333AC"/>
    <w:rsid w:val="008333D6"/>
    <w:rsid w:val="00833450"/>
    <w:rsid w:val="00833496"/>
    <w:rsid w:val="008334E8"/>
    <w:rsid w:val="00833591"/>
    <w:rsid w:val="008335E2"/>
    <w:rsid w:val="008335E3"/>
    <w:rsid w:val="00833737"/>
    <w:rsid w:val="00833779"/>
    <w:rsid w:val="00833B07"/>
    <w:rsid w:val="00833D4A"/>
    <w:rsid w:val="00833D4B"/>
    <w:rsid w:val="00833FA1"/>
    <w:rsid w:val="008340F5"/>
    <w:rsid w:val="0083419E"/>
    <w:rsid w:val="0083422B"/>
    <w:rsid w:val="00834426"/>
    <w:rsid w:val="0083446C"/>
    <w:rsid w:val="008344BA"/>
    <w:rsid w:val="00834591"/>
    <w:rsid w:val="0083468A"/>
    <w:rsid w:val="00834993"/>
    <w:rsid w:val="00834B73"/>
    <w:rsid w:val="00834B9B"/>
    <w:rsid w:val="00834CC8"/>
    <w:rsid w:val="00834DBE"/>
    <w:rsid w:val="00834DCB"/>
    <w:rsid w:val="00834E7C"/>
    <w:rsid w:val="00834E92"/>
    <w:rsid w:val="00834EC7"/>
    <w:rsid w:val="0083513E"/>
    <w:rsid w:val="00835201"/>
    <w:rsid w:val="00835312"/>
    <w:rsid w:val="008353D7"/>
    <w:rsid w:val="00835521"/>
    <w:rsid w:val="008356C2"/>
    <w:rsid w:val="0083587D"/>
    <w:rsid w:val="008358F5"/>
    <w:rsid w:val="00835900"/>
    <w:rsid w:val="00835A9F"/>
    <w:rsid w:val="00835C61"/>
    <w:rsid w:val="00835E0F"/>
    <w:rsid w:val="0083617E"/>
    <w:rsid w:val="0083625F"/>
    <w:rsid w:val="00836291"/>
    <w:rsid w:val="0083639C"/>
    <w:rsid w:val="0083641D"/>
    <w:rsid w:val="00836508"/>
    <w:rsid w:val="008365B3"/>
    <w:rsid w:val="008365D5"/>
    <w:rsid w:val="00836646"/>
    <w:rsid w:val="00836673"/>
    <w:rsid w:val="0083678F"/>
    <w:rsid w:val="008367E9"/>
    <w:rsid w:val="00836967"/>
    <w:rsid w:val="00836C5E"/>
    <w:rsid w:val="00836CFB"/>
    <w:rsid w:val="00836F0E"/>
    <w:rsid w:val="0083707F"/>
    <w:rsid w:val="0083709D"/>
    <w:rsid w:val="008370CB"/>
    <w:rsid w:val="00837103"/>
    <w:rsid w:val="00837404"/>
    <w:rsid w:val="008374E5"/>
    <w:rsid w:val="0083754B"/>
    <w:rsid w:val="0083759E"/>
    <w:rsid w:val="00837A49"/>
    <w:rsid w:val="00837FC7"/>
    <w:rsid w:val="00840343"/>
    <w:rsid w:val="0084037B"/>
    <w:rsid w:val="00840671"/>
    <w:rsid w:val="0084075B"/>
    <w:rsid w:val="00840862"/>
    <w:rsid w:val="008408DA"/>
    <w:rsid w:val="00840BBB"/>
    <w:rsid w:val="00840C01"/>
    <w:rsid w:val="00840C42"/>
    <w:rsid w:val="00840D01"/>
    <w:rsid w:val="00840DA2"/>
    <w:rsid w:val="00840DC6"/>
    <w:rsid w:val="00840E7A"/>
    <w:rsid w:val="00840EA0"/>
    <w:rsid w:val="00840F8E"/>
    <w:rsid w:val="00840FA4"/>
    <w:rsid w:val="00841258"/>
    <w:rsid w:val="008413DA"/>
    <w:rsid w:val="0084142B"/>
    <w:rsid w:val="0084167C"/>
    <w:rsid w:val="0084176C"/>
    <w:rsid w:val="008418D9"/>
    <w:rsid w:val="00841AC2"/>
    <w:rsid w:val="00841DC8"/>
    <w:rsid w:val="00841F91"/>
    <w:rsid w:val="008420AB"/>
    <w:rsid w:val="00842197"/>
    <w:rsid w:val="00842198"/>
    <w:rsid w:val="008421FC"/>
    <w:rsid w:val="0084231A"/>
    <w:rsid w:val="008425C4"/>
    <w:rsid w:val="008429BA"/>
    <w:rsid w:val="00842AC9"/>
    <w:rsid w:val="00842B58"/>
    <w:rsid w:val="00842BEE"/>
    <w:rsid w:val="00842D44"/>
    <w:rsid w:val="00842EED"/>
    <w:rsid w:val="00842F5C"/>
    <w:rsid w:val="00842FF2"/>
    <w:rsid w:val="00842FF6"/>
    <w:rsid w:val="008430D2"/>
    <w:rsid w:val="008430D7"/>
    <w:rsid w:val="00843264"/>
    <w:rsid w:val="0084329F"/>
    <w:rsid w:val="0084376F"/>
    <w:rsid w:val="008437FB"/>
    <w:rsid w:val="00843821"/>
    <w:rsid w:val="00843893"/>
    <w:rsid w:val="008438B5"/>
    <w:rsid w:val="008438D7"/>
    <w:rsid w:val="00843C0E"/>
    <w:rsid w:val="00843C12"/>
    <w:rsid w:val="00843D90"/>
    <w:rsid w:val="00843DE0"/>
    <w:rsid w:val="00843F41"/>
    <w:rsid w:val="008440D1"/>
    <w:rsid w:val="00844180"/>
    <w:rsid w:val="00844233"/>
    <w:rsid w:val="008446E5"/>
    <w:rsid w:val="00844711"/>
    <w:rsid w:val="00844715"/>
    <w:rsid w:val="00844A50"/>
    <w:rsid w:val="00844D16"/>
    <w:rsid w:val="00844E6C"/>
    <w:rsid w:val="00844F10"/>
    <w:rsid w:val="00844F34"/>
    <w:rsid w:val="0084502B"/>
    <w:rsid w:val="008450BC"/>
    <w:rsid w:val="00845186"/>
    <w:rsid w:val="008452D0"/>
    <w:rsid w:val="00845384"/>
    <w:rsid w:val="00845455"/>
    <w:rsid w:val="008456F9"/>
    <w:rsid w:val="00845720"/>
    <w:rsid w:val="00845AD4"/>
    <w:rsid w:val="00845BBC"/>
    <w:rsid w:val="00845C98"/>
    <w:rsid w:val="00845D0B"/>
    <w:rsid w:val="00846114"/>
    <w:rsid w:val="0084664C"/>
    <w:rsid w:val="00846792"/>
    <w:rsid w:val="008468DA"/>
    <w:rsid w:val="008469EF"/>
    <w:rsid w:val="00846C1B"/>
    <w:rsid w:val="00846C1F"/>
    <w:rsid w:val="00847084"/>
    <w:rsid w:val="00847375"/>
    <w:rsid w:val="008474DC"/>
    <w:rsid w:val="008476B6"/>
    <w:rsid w:val="00847846"/>
    <w:rsid w:val="00847A3F"/>
    <w:rsid w:val="00847AD0"/>
    <w:rsid w:val="00847B7A"/>
    <w:rsid w:val="00847BC4"/>
    <w:rsid w:val="00847DB6"/>
    <w:rsid w:val="00847ED1"/>
    <w:rsid w:val="00847EF9"/>
    <w:rsid w:val="00847F2B"/>
    <w:rsid w:val="00850048"/>
    <w:rsid w:val="008502A4"/>
    <w:rsid w:val="008505A7"/>
    <w:rsid w:val="00850921"/>
    <w:rsid w:val="00850AB9"/>
    <w:rsid w:val="00850E81"/>
    <w:rsid w:val="00850EBD"/>
    <w:rsid w:val="00850EDC"/>
    <w:rsid w:val="008510F8"/>
    <w:rsid w:val="00851380"/>
    <w:rsid w:val="008513D8"/>
    <w:rsid w:val="00851858"/>
    <w:rsid w:val="00851A07"/>
    <w:rsid w:val="00851B68"/>
    <w:rsid w:val="00851BC5"/>
    <w:rsid w:val="00851DB8"/>
    <w:rsid w:val="00852091"/>
    <w:rsid w:val="0085230B"/>
    <w:rsid w:val="00852362"/>
    <w:rsid w:val="0085247B"/>
    <w:rsid w:val="008524D9"/>
    <w:rsid w:val="008525CB"/>
    <w:rsid w:val="00852600"/>
    <w:rsid w:val="0085267B"/>
    <w:rsid w:val="008527BB"/>
    <w:rsid w:val="00852870"/>
    <w:rsid w:val="008528A7"/>
    <w:rsid w:val="0085294C"/>
    <w:rsid w:val="00852C25"/>
    <w:rsid w:val="00852C84"/>
    <w:rsid w:val="00852E5D"/>
    <w:rsid w:val="00852F49"/>
    <w:rsid w:val="00852F64"/>
    <w:rsid w:val="00852FAA"/>
    <w:rsid w:val="00853242"/>
    <w:rsid w:val="008532E1"/>
    <w:rsid w:val="008532EE"/>
    <w:rsid w:val="00853669"/>
    <w:rsid w:val="008538AF"/>
    <w:rsid w:val="00853B37"/>
    <w:rsid w:val="00853DB6"/>
    <w:rsid w:val="008542C6"/>
    <w:rsid w:val="00854667"/>
    <w:rsid w:val="008546C0"/>
    <w:rsid w:val="0085491A"/>
    <w:rsid w:val="00854975"/>
    <w:rsid w:val="00854A6E"/>
    <w:rsid w:val="00854AE1"/>
    <w:rsid w:val="00854F46"/>
    <w:rsid w:val="0085500C"/>
    <w:rsid w:val="00855145"/>
    <w:rsid w:val="0085526B"/>
    <w:rsid w:val="0085532E"/>
    <w:rsid w:val="0085533C"/>
    <w:rsid w:val="00855353"/>
    <w:rsid w:val="00855354"/>
    <w:rsid w:val="00855502"/>
    <w:rsid w:val="0085556F"/>
    <w:rsid w:val="00855574"/>
    <w:rsid w:val="008556C2"/>
    <w:rsid w:val="00855AC0"/>
    <w:rsid w:val="00855D43"/>
    <w:rsid w:val="00855EB5"/>
    <w:rsid w:val="00856071"/>
    <w:rsid w:val="008561CD"/>
    <w:rsid w:val="008561D7"/>
    <w:rsid w:val="008562A4"/>
    <w:rsid w:val="008562D6"/>
    <w:rsid w:val="00856327"/>
    <w:rsid w:val="0085641F"/>
    <w:rsid w:val="008564B0"/>
    <w:rsid w:val="008565B4"/>
    <w:rsid w:val="008567BE"/>
    <w:rsid w:val="008567D3"/>
    <w:rsid w:val="008568DC"/>
    <w:rsid w:val="00856A0F"/>
    <w:rsid w:val="00856AB0"/>
    <w:rsid w:val="00856ADA"/>
    <w:rsid w:val="00856B2B"/>
    <w:rsid w:val="00856B65"/>
    <w:rsid w:val="00856C68"/>
    <w:rsid w:val="00856CC4"/>
    <w:rsid w:val="00857197"/>
    <w:rsid w:val="00857459"/>
    <w:rsid w:val="0085772D"/>
    <w:rsid w:val="00857A1D"/>
    <w:rsid w:val="00857A5C"/>
    <w:rsid w:val="00857AAF"/>
    <w:rsid w:val="00857BC9"/>
    <w:rsid w:val="00857C5E"/>
    <w:rsid w:val="00857F34"/>
    <w:rsid w:val="00857FF1"/>
    <w:rsid w:val="00860159"/>
    <w:rsid w:val="0086016E"/>
    <w:rsid w:val="008601CE"/>
    <w:rsid w:val="00860432"/>
    <w:rsid w:val="008605B6"/>
    <w:rsid w:val="0086061F"/>
    <w:rsid w:val="00860786"/>
    <w:rsid w:val="008607B4"/>
    <w:rsid w:val="008607F9"/>
    <w:rsid w:val="008608FF"/>
    <w:rsid w:val="008609CB"/>
    <w:rsid w:val="00860B22"/>
    <w:rsid w:val="00860B6E"/>
    <w:rsid w:val="00860C19"/>
    <w:rsid w:val="00860CC2"/>
    <w:rsid w:val="00861074"/>
    <w:rsid w:val="00861075"/>
    <w:rsid w:val="00861089"/>
    <w:rsid w:val="008610A7"/>
    <w:rsid w:val="00861217"/>
    <w:rsid w:val="0086122B"/>
    <w:rsid w:val="008612B0"/>
    <w:rsid w:val="008612C2"/>
    <w:rsid w:val="0086144E"/>
    <w:rsid w:val="0086151E"/>
    <w:rsid w:val="00861A49"/>
    <w:rsid w:val="00861B39"/>
    <w:rsid w:val="00861BAD"/>
    <w:rsid w:val="00861CBB"/>
    <w:rsid w:val="00861DF6"/>
    <w:rsid w:val="00861F39"/>
    <w:rsid w:val="00861FE1"/>
    <w:rsid w:val="00862519"/>
    <w:rsid w:val="008625B8"/>
    <w:rsid w:val="0086270B"/>
    <w:rsid w:val="0086282B"/>
    <w:rsid w:val="00862858"/>
    <w:rsid w:val="00862944"/>
    <w:rsid w:val="00862A5D"/>
    <w:rsid w:val="00862AFC"/>
    <w:rsid w:val="00862C47"/>
    <w:rsid w:val="00862E47"/>
    <w:rsid w:val="00862EA1"/>
    <w:rsid w:val="00862EAB"/>
    <w:rsid w:val="00862FAA"/>
    <w:rsid w:val="008630C3"/>
    <w:rsid w:val="008631AB"/>
    <w:rsid w:val="00863436"/>
    <w:rsid w:val="00863542"/>
    <w:rsid w:val="00863697"/>
    <w:rsid w:val="008636FC"/>
    <w:rsid w:val="00863887"/>
    <w:rsid w:val="00863A38"/>
    <w:rsid w:val="00863DB6"/>
    <w:rsid w:val="00864148"/>
    <w:rsid w:val="008642C1"/>
    <w:rsid w:val="00864608"/>
    <w:rsid w:val="0086493A"/>
    <w:rsid w:val="008649C0"/>
    <w:rsid w:val="00864AAC"/>
    <w:rsid w:val="00864BD6"/>
    <w:rsid w:val="00864D6F"/>
    <w:rsid w:val="00864E9C"/>
    <w:rsid w:val="00864F89"/>
    <w:rsid w:val="008650BA"/>
    <w:rsid w:val="008651ED"/>
    <w:rsid w:val="00865222"/>
    <w:rsid w:val="0086557F"/>
    <w:rsid w:val="00865850"/>
    <w:rsid w:val="00865892"/>
    <w:rsid w:val="008658FC"/>
    <w:rsid w:val="008659C9"/>
    <w:rsid w:val="00865B86"/>
    <w:rsid w:val="00865B93"/>
    <w:rsid w:val="00865BDB"/>
    <w:rsid w:val="00865BE2"/>
    <w:rsid w:val="00865C0F"/>
    <w:rsid w:val="00865F52"/>
    <w:rsid w:val="00865F72"/>
    <w:rsid w:val="00865F87"/>
    <w:rsid w:val="008665ED"/>
    <w:rsid w:val="0086672D"/>
    <w:rsid w:val="00866922"/>
    <w:rsid w:val="00866F25"/>
    <w:rsid w:val="0086703E"/>
    <w:rsid w:val="008670B0"/>
    <w:rsid w:val="008671A7"/>
    <w:rsid w:val="0086739D"/>
    <w:rsid w:val="0086740B"/>
    <w:rsid w:val="00867596"/>
    <w:rsid w:val="00867699"/>
    <w:rsid w:val="0086776B"/>
    <w:rsid w:val="00867821"/>
    <w:rsid w:val="008678F7"/>
    <w:rsid w:val="00867DC0"/>
    <w:rsid w:val="00867E13"/>
    <w:rsid w:val="00870368"/>
    <w:rsid w:val="008704E6"/>
    <w:rsid w:val="0087051C"/>
    <w:rsid w:val="00870554"/>
    <w:rsid w:val="008705C6"/>
    <w:rsid w:val="00870B72"/>
    <w:rsid w:val="00870BBB"/>
    <w:rsid w:val="00870C9A"/>
    <w:rsid w:val="00870F17"/>
    <w:rsid w:val="00871016"/>
    <w:rsid w:val="00871104"/>
    <w:rsid w:val="00871164"/>
    <w:rsid w:val="008713AF"/>
    <w:rsid w:val="0087155F"/>
    <w:rsid w:val="0087159B"/>
    <w:rsid w:val="0087178E"/>
    <w:rsid w:val="00871796"/>
    <w:rsid w:val="008717F7"/>
    <w:rsid w:val="00871B32"/>
    <w:rsid w:val="00871B42"/>
    <w:rsid w:val="00871C32"/>
    <w:rsid w:val="00871D33"/>
    <w:rsid w:val="00871E27"/>
    <w:rsid w:val="00871EB1"/>
    <w:rsid w:val="00871F35"/>
    <w:rsid w:val="00871FD2"/>
    <w:rsid w:val="00872033"/>
    <w:rsid w:val="00872228"/>
    <w:rsid w:val="008722C4"/>
    <w:rsid w:val="0087250F"/>
    <w:rsid w:val="008725DB"/>
    <w:rsid w:val="0087261E"/>
    <w:rsid w:val="00872691"/>
    <w:rsid w:val="008726F3"/>
    <w:rsid w:val="0087286E"/>
    <w:rsid w:val="00872ADA"/>
    <w:rsid w:val="00872DB2"/>
    <w:rsid w:val="00872EBC"/>
    <w:rsid w:val="00872F57"/>
    <w:rsid w:val="008733D7"/>
    <w:rsid w:val="00873445"/>
    <w:rsid w:val="008736D4"/>
    <w:rsid w:val="0087377B"/>
    <w:rsid w:val="00873945"/>
    <w:rsid w:val="008739ED"/>
    <w:rsid w:val="00873B06"/>
    <w:rsid w:val="00873BC6"/>
    <w:rsid w:val="00873BE5"/>
    <w:rsid w:val="00873C20"/>
    <w:rsid w:val="00873E85"/>
    <w:rsid w:val="00873EA2"/>
    <w:rsid w:val="00873F50"/>
    <w:rsid w:val="00873FE8"/>
    <w:rsid w:val="0087467B"/>
    <w:rsid w:val="00874819"/>
    <w:rsid w:val="008748EE"/>
    <w:rsid w:val="00874972"/>
    <w:rsid w:val="00874AB2"/>
    <w:rsid w:val="00874AEF"/>
    <w:rsid w:val="00874B99"/>
    <w:rsid w:val="00874C43"/>
    <w:rsid w:val="00874FB1"/>
    <w:rsid w:val="00875124"/>
    <w:rsid w:val="0087525C"/>
    <w:rsid w:val="00875306"/>
    <w:rsid w:val="0087535C"/>
    <w:rsid w:val="0087537A"/>
    <w:rsid w:val="0087541E"/>
    <w:rsid w:val="00875644"/>
    <w:rsid w:val="008756B1"/>
    <w:rsid w:val="00875722"/>
    <w:rsid w:val="00875955"/>
    <w:rsid w:val="00875A57"/>
    <w:rsid w:val="00875B3E"/>
    <w:rsid w:val="00875BDA"/>
    <w:rsid w:val="00875C4E"/>
    <w:rsid w:val="00875DDE"/>
    <w:rsid w:val="00875F87"/>
    <w:rsid w:val="00876198"/>
    <w:rsid w:val="00876216"/>
    <w:rsid w:val="00876489"/>
    <w:rsid w:val="008764AE"/>
    <w:rsid w:val="008765EF"/>
    <w:rsid w:val="00876A86"/>
    <w:rsid w:val="00876B1C"/>
    <w:rsid w:val="00876B63"/>
    <w:rsid w:val="00876B7E"/>
    <w:rsid w:val="00876EB6"/>
    <w:rsid w:val="00876F0F"/>
    <w:rsid w:val="008770E8"/>
    <w:rsid w:val="008771BA"/>
    <w:rsid w:val="008771D7"/>
    <w:rsid w:val="008771F4"/>
    <w:rsid w:val="00877248"/>
    <w:rsid w:val="0087728E"/>
    <w:rsid w:val="008777BB"/>
    <w:rsid w:val="008779EC"/>
    <w:rsid w:val="00877B03"/>
    <w:rsid w:val="00877C6C"/>
    <w:rsid w:val="00877CDA"/>
    <w:rsid w:val="00877D0B"/>
    <w:rsid w:val="00877F45"/>
    <w:rsid w:val="008801E8"/>
    <w:rsid w:val="00880214"/>
    <w:rsid w:val="0088047D"/>
    <w:rsid w:val="00880799"/>
    <w:rsid w:val="00880902"/>
    <w:rsid w:val="00880948"/>
    <w:rsid w:val="0088099F"/>
    <w:rsid w:val="00880A59"/>
    <w:rsid w:val="00880AE7"/>
    <w:rsid w:val="00880E36"/>
    <w:rsid w:val="00880ED8"/>
    <w:rsid w:val="00881274"/>
    <w:rsid w:val="00881466"/>
    <w:rsid w:val="008819FB"/>
    <w:rsid w:val="00881AAF"/>
    <w:rsid w:val="00881C7B"/>
    <w:rsid w:val="00881D66"/>
    <w:rsid w:val="00881E33"/>
    <w:rsid w:val="00881E3C"/>
    <w:rsid w:val="00881F26"/>
    <w:rsid w:val="00882093"/>
    <w:rsid w:val="008820A7"/>
    <w:rsid w:val="008823F7"/>
    <w:rsid w:val="008824C5"/>
    <w:rsid w:val="00882707"/>
    <w:rsid w:val="00882790"/>
    <w:rsid w:val="0088292D"/>
    <w:rsid w:val="00882A9D"/>
    <w:rsid w:val="00882B03"/>
    <w:rsid w:val="00882B9A"/>
    <w:rsid w:val="00882BC9"/>
    <w:rsid w:val="00882D81"/>
    <w:rsid w:val="00882E2C"/>
    <w:rsid w:val="00882F41"/>
    <w:rsid w:val="00883073"/>
    <w:rsid w:val="00883081"/>
    <w:rsid w:val="008830D2"/>
    <w:rsid w:val="0088310F"/>
    <w:rsid w:val="00883113"/>
    <w:rsid w:val="0088319B"/>
    <w:rsid w:val="0088373F"/>
    <w:rsid w:val="00883A6E"/>
    <w:rsid w:val="00883A8B"/>
    <w:rsid w:val="00883B77"/>
    <w:rsid w:val="00883B8E"/>
    <w:rsid w:val="00883C33"/>
    <w:rsid w:val="00883F1B"/>
    <w:rsid w:val="00884109"/>
    <w:rsid w:val="00884333"/>
    <w:rsid w:val="0088475B"/>
    <w:rsid w:val="008847DE"/>
    <w:rsid w:val="008848AF"/>
    <w:rsid w:val="00884900"/>
    <w:rsid w:val="00884993"/>
    <w:rsid w:val="00884C27"/>
    <w:rsid w:val="00884CF1"/>
    <w:rsid w:val="00884D35"/>
    <w:rsid w:val="00884E76"/>
    <w:rsid w:val="00885224"/>
    <w:rsid w:val="0088539F"/>
    <w:rsid w:val="00885696"/>
    <w:rsid w:val="008856C3"/>
    <w:rsid w:val="00885B0F"/>
    <w:rsid w:val="00885B98"/>
    <w:rsid w:val="00885CDE"/>
    <w:rsid w:val="00885EE8"/>
    <w:rsid w:val="00885FC9"/>
    <w:rsid w:val="00886045"/>
    <w:rsid w:val="00886057"/>
    <w:rsid w:val="00886618"/>
    <w:rsid w:val="00886958"/>
    <w:rsid w:val="00886A6F"/>
    <w:rsid w:val="00886D63"/>
    <w:rsid w:val="00886E7A"/>
    <w:rsid w:val="0088731E"/>
    <w:rsid w:val="00887323"/>
    <w:rsid w:val="0088740E"/>
    <w:rsid w:val="00887690"/>
    <w:rsid w:val="00887701"/>
    <w:rsid w:val="00887D59"/>
    <w:rsid w:val="00887F80"/>
    <w:rsid w:val="00890164"/>
    <w:rsid w:val="0089016C"/>
    <w:rsid w:val="00890270"/>
    <w:rsid w:val="00890443"/>
    <w:rsid w:val="00890501"/>
    <w:rsid w:val="00890542"/>
    <w:rsid w:val="00890596"/>
    <w:rsid w:val="008905EC"/>
    <w:rsid w:val="0089083A"/>
    <w:rsid w:val="008908CF"/>
    <w:rsid w:val="00890A69"/>
    <w:rsid w:val="00890C3A"/>
    <w:rsid w:val="00890CCD"/>
    <w:rsid w:val="00890DCE"/>
    <w:rsid w:val="00890F49"/>
    <w:rsid w:val="00891137"/>
    <w:rsid w:val="008911DD"/>
    <w:rsid w:val="0089156E"/>
    <w:rsid w:val="00891796"/>
    <w:rsid w:val="00891862"/>
    <w:rsid w:val="00891DCE"/>
    <w:rsid w:val="00892137"/>
    <w:rsid w:val="00892375"/>
    <w:rsid w:val="008923DE"/>
    <w:rsid w:val="008923E3"/>
    <w:rsid w:val="00892610"/>
    <w:rsid w:val="00892781"/>
    <w:rsid w:val="0089299A"/>
    <w:rsid w:val="008929A2"/>
    <w:rsid w:val="00892A2A"/>
    <w:rsid w:val="00892A4E"/>
    <w:rsid w:val="00892A7F"/>
    <w:rsid w:val="00892B6D"/>
    <w:rsid w:val="00892BF6"/>
    <w:rsid w:val="00892C67"/>
    <w:rsid w:val="00892CC1"/>
    <w:rsid w:val="00892D01"/>
    <w:rsid w:val="00892DFD"/>
    <w:rsid w:val="00892E95"/>
    <w:rsid w:val="00892F80"/>
    <w:rsid w:val="0089344C"/>
    <w:rsid w:val="00893547"/>
    <w:rsid w:val="00893604"/>
    <w:rsid w:val="0089368E"/>
    <w:rsid w:val="00893777"/>
    <w:rsid w:val="00893816"/>
    <w:rsid w:val="008938FF"/>
    <w:rsid w:val="0089390B"/>
    <w:rsid w:val="0089390C"/>
    <w:rsid w:val="0089394B"/>
    <w:rsid w:val="00893B89"/>
    <w:rsid w:val="00893C52"/>
    <w:rsid w:val="00893F2D"/>
    <w:rsid w:val="0089404B"/>
    <w:rsid w:val="008940F4"/>
    <w:rsid w:val="00894272"/>
    <w:rsid w:val="00894366"/>
    <w:rsid w:val="0089452C"/>
    <w:rsid w:val="00894670"/>
    <w:rsid w:val="008948BC"/>
    <w:rsid w:val="00894A1A"/>
    <w:rsid w:val="00894A27"/>
    <w:rsid w:val="00894C70"/>
    <w:rsid w:val="00894CC9"/>
    <w:rsid w:val="00894CEE"/>
    <w:rsid w:val="00894E68"/>
    <w:rsid w:val="00894EFA"/>
    <w:rsid w:val="0089543F"/>
    <w:rsid w:val="008955F9"/>
    <w:rsid w:val="00895CEB"/>
    <w:rsid w:val="00895F99"/>
    <w:rsid w:val="00896116"/>
    <w:rsid w:val="00896149"/>
    <w:rsid w:val="00896191"/>
    <w:rsid w:val="0089622C"/>
    <w:rsid w:val="008962E9"/>
    <w:rsid w:val="0089630C"/>
    <w:rsid w:val="00896427"/>
    <w:rsid w:val="008964C7"/>
    <w:rsid w:val="008966B1"/>
    <w:rsid w:val="008968A1"/>
    <w:rsid w:val="00896A4C"/>
    <w:rsid w:val="00896A71"/>
    <w:rsid w:val="00896AF6"/>
    <w:rsid w:val="00896C76"/>
    <w:rsid w:val="00896EBA"/>
    <w:rsid w:val="00896F03"/>
    <w:rsid w:val="008970A3"/>
    <w:rsid w:val="0089711B"/>
    <w:rsid w:val="00897342"/>
    <w:rsid w:val="0089737A"/>
    <w:rsid w:val="00897457"/>
    <w:rsid w:val="00897753"/>
    <w:rsid w:val="008977C1"/>
    <w:rsid w:val="008977CE"/>
    <w:rsid w:val="0089797F"/>
    <w:rsid w:val="00897A16"/>
    <w:rsid w:val="00897A69"/>
    <w:rsid w:val="00897CC0"/>
    <w:rsid w:val="00897FA9"/>
    <w:rsid w:val="008A0339"/>
    <w:rsid w:val="008A03DF"/>
    <w:rsid w:val="008A0673"/>
    <w:rsid w:val="008A08C1"/>
    <w:rsid w:val="008A0A9A"/>
    <w:rsid w:val="008A0C64"/>
    <w:rsid w:val="008A0F60"/>
    <w:rsid w:val="008A10E5"/>
    <w:rsid w:val="008A1204"/>
    <w:rsid w:val="008A1678"/>
    <w:rsid w:val="008A19D7"/>
    <w:rsid w:val="008A1A08"/>
    <w:rsid w:val="008A1A40"/>
    <w:rsid w:val="008A1A46"/>
    <w:rsid w:val="008A1A8A"/>
    <w:rsid w:val="008A1B52"/>
    <w:rsid w:val="008A1CC3"/>
    <w:rsid w:val="008A1E2A"/>
    <w:rsid w:val="008A1FC9"/>
    <w:rsid w:val="008A20C8"/>
    <w:rsid w:val="008A2116"/>
    <w:rsid w:val="008A211A"/>
    <w:rsid w:val="008A22AE"/>
    <w:rsid w:val="008A239A"/>
    <w:rsid w:val="008A23C9"/>
    <w:rsid w:val="008A2481"/>
    <w:rsid w:val="008A2596"/>
    <w:rsid w:val="008A25A3"/>
    <w:rsid w:val="008A261A"/>
    <w:rsid w:val="008A29DC"/>
    <w:rsid w:val="008A2A23"/>
    <w:rsid w:val="008A2BF4"/>
    <w:rsid w:val="008A2E98"/>
    <w:rsid w:val="008A2EE3"/>
    <w:rsid w:val="008A2F68"/>
    <w:rsid w:val="008A2FE7"/>
    <w:rsid w:val="008A30A8"/>
    <w:rsid w:val="008A3125"/>
    <w:rsid w:val="008A31A1"/>
    <w:rsid w:val="008A3224"/>
    <w:rsid w:val="008A32BF"/>
    <w:rsid w:val="008A32CE"/>
    <w:rsid w:val="008A366B"/>
    <w:rsid w:val="008A37DF"/>
    <w:rsid w:val="008A39C0"/>
    <w:rsid w:val="008A39F8"/>
    <w:rsid w:val="008A3B05"/>
    <w:rsid w:val="008A3B2D"/>
    <w:rsid w:val="008A3CDC"/>
    <w:rsid w:val="008A3DAD"/>
    <w:rsid w:val="008A3E7A"/>
    <w:rsid w:val="008A425C"/>
    <w:rsid w:val="008A43AE"/>
    <w:rsid w:val="008A4563"/>
    <w:rsid w:val="008A4569"/>
    <w:rsid w:val="008A45D8"/>
    <w:rsid w:val="008A4622"/>
    <w:rsid w:val="008A4820"/>
    <w:rsid w:val="008A48D5"/>
    <w:rsid w:val="008A4B2B"/>
    <w:rsid w:val="008A4BB7"/>
    <w:rsid w:val="008A4E57"/>
    <w:rsid w:val="008A5362"/>
    <w:rsid w:val="008A5510"/>
    <w:rsid w:val="008A5575"/>
    <w:rsid w:val="008A55D0"/>
    <w:rsid w:val="008A5631"/>
    <w:rsid w:val="008A59EE"/>
    <w:rsid w:val="008A5A09"/>
    <w:rsid w:val="008A5CD7"/>
    <w:rsid w:val="008A6298"/>
    <w:rsid w:val="008A64A3"/>
    <w:rsid w:val="008A6798"/>
    <w:rsid w:val="008A6857"/>
    <w:rsid w:val="008A69B0"/>
    <w:rsid w:val="008A6CD0"/>
    <w:rsid w:val="008A6D0D"/>
    <w:rsid w:val="008A6F62"/>
    <w:rsid w:val="008A70ED"/>
    <w:rsid w:val="008A73BA"/>
    <w:rsid w:val="008A7449"/>
    <w:rsid w:val="008A7570"/>
    <w:rsid w:val="008A7617"/>
    <w:rsid w:val="008A79DA"/>
    <w:rsid w:val="008A7A75"/>
    <w:rsid w:val="008A7B27"/>
    <w:rsid w:val="008A7CB4"/>
    <w:rsid w:val="008A7E2F"/>
    <w:rsid w:val="008B027A"/>
    <w:rsid w:val="008B050A"/>
    <w:rsid w:val="008B0589"/>
    <w:rsid w:val="008B06FC"/>
    <w:rsid w:val="008B07FC"/>
    <w:rsid w:val="008B09C6"/>
    <w:rsid w:val="008B0A31"/>
    <w:rsid w:val="008B0AC4"/>
    <w:rsid w:val="008B0B3A"/>
    <w:rsid w:val="008B0BF2"/>
    <w:rsid w:val="008B0CB1"/>
    <w:rsid w:val="008B0CB6"/>
    <w:rsid w:val="008B0CBB"/>
    <w:rsid w:val="008B0FAF"/>
    <w:rsid w:val="008B1185"/>
    <w:rsid w:val="008B11B0"/>
    <w:rsid w:val="008B1252"/>
    <w:rsid w:val="008B1307"/>
    <w:rsid w:val="008B139E"/>
    <w:rsid w:val="008B1CDE"/>
    <w:rsid w:val="008B1D85"/>
    <w:rsid w:val="008B1E43"/>
    <w:rsid w:val="008B1F7D"/>
    <w:rsid w:val="008B1FDA"/>
    <w:rsid w:val="008B2062"/>
    <w:rsid w:val="008B20D0"/>
    <w:rsid w:val="008B20D9"/>
    <w:rsid w:val="008B2231"/>
    <w:rsid w:val="008B2258"/>
    <w:rsid w:val="008B225F"/>
    <w:rsid w:val="008B23EF"/>
    <w:rsid w:val="008B2713"/>
    <w:rsid w:val="008B2A64"/>
    <w:rsid w:val="008B2C0B"/>
    <w:rsid w:val="008B2C8F"/>
    <w:rsid w:val="008B2D24"/>
    <w:rsid w:val="008B2FD6"/>
    <w:rsid w:val="008B3025"/>
    <w:rsid w:val="008B304D"/>
    <w:rsid w:val="008B32A9"/>
    <w:rsid w:val="008B344B"/>
    <w:rsid w:val="008B35F0"/>
    <w:rsid w:val="008B3652"/>
    <w:rsid w:val="008B36AB"/>
    <w:rsid w:val="008B376C"/>
    <w:rsid w:val="008B3780"/>
    <w:rsid w:val="008B38AF"/>
    <w:rsid w:val="008B3D4C"/>
    <w:rsid w:val="008B3DAA"/>
    <w:rsid w:val="008B3DD7"/>
    <w:rsid w:val="008B3E1A"/>
    <w:rsid w:val="008B3E34"/>
    <w:rsid w:val="008B408F"/>
    <w:rsid w:val="008B43D5"/>
    <w:rsid w:val="008B443B"/>
    <w:rsid w:val="008B4478"/>
    <w:rsid w:val="008B45F4"/>
    <w:rsid w:val="008B469A"/>
    <w:rsid w:val="008B4732"/>
    <w:rsid w:val="008B4801"/>
    <w:rsid w:val="008B489B"/>
    <w:rsid w:val="008B48B5"/>
    <w:rsid w:val="008B4B1A"/>
    <w:rsid w:val="008B4B89"/>
    <w:rsid w:val="008B4C3F"/>
    <w:rsid w:val="008B4E17"/>
    <w:rsid w:val="008B5306"/>
    <w:rsid w:val="008B540C"/>
    <w:rsid w:val="008B540D"/>
    <w:rsid w:val="008B5561"/>
    <w:rsid w:val="008B589A"/>
    <w:rsid w:val="008B59A0"/>
    <w:rsid w:val="008B5A65"/>
    <w:rsid w:val="008B5B1D"/>
    <w:rsid w:val="008B5C2E"/>
    <w:rsid w:val="008B5CA9"/>
    <w:rsid w:val="008B5FDB"/>
    <w:rsid w:val="008B5FFF"/>
    <w:rsid w:val="008B6014"/>
    <w:rsid w:val="008B6040"/>
    <w:rsid w:val="008B6158"/>
    <w:rsid w:val="008B622C"/>
    <w:rsid w:val="008B62BB"/>
    <w:rsid w:val="008B6351"/>
    <w:rsid w:val="008B6428"/>
    <w:rsid w:val="008B656F"/>
    <w:rsid w:val="008B6A79"/>
    <w:rsid w:val="008B6BFA"/>
    <w:rsid w:val="008B6D42"/>
    <w:rsid w:val="008B6F1F"/>
    <w:rsid w:val="008B701D"/>
    <w:rsid w:val="008B7231"/>
    <w:rsid w:val="008B7513"/>
    <w:rsid w:val="008B75C0"/>
    <w:rsid w:val="008B76FB"/>
    <w:rsid w:val="008B774D"/>
    <w:rsid w:val="008B7996"/>
    <w:rsid w:val="008B7A43"/>
    <w:rsid w:val="008B7ABB"/>
    <w:rsid w:val="008B7B11"/>
    <w:rsid w:val="008B7C35"/>
    <w:rsid w:val="008B7E35"/>
    <w:rsid w:val="008B7E49"/>
    <w:rsid w:val="008C0083"/>
    <w:rsid w:val="008C0143"/>
    <w:rsid w:val="008C0182"/>
    <w:rsid w:val="008C0324"/>
    <w:rsid w:val="008C039C"/>
    <w:rsid w:val="008C0497"/>
    <w:rsid w:val="008C04DF"/>
    <w:rsid w:val="008C06B5"/>
    <w:rsid w:val="008C06B7"/>
    <w:rsid w:val="008C0713"/>
    <w:rsid w:val="008C0795"/>
    <w:rsid w:val="008C099F"/>
    <w:rsid w:val="008C0A59"/>
    <w:rsid w:val="008C0A62"/>
    <w:rsid w:val="008C0A66"/>
    <w:rsid w:val="008C0C5D"/>
    <w:rsid w:val="008C0C6A"/>
    <w:rsid w:val="008C0C8C"/>
    <w:rsid w:val="008C0CF4"/>
    <w:rsid w:val="008C0D40"/>
    <w:rsid w:val="008C0DBC"/>
    <w:rsid w:val="008C11A0"/>
    <w:rsid w:val="008C1229"/>
    <w:rsid w:val="008C1638"/>
    <w:rsid w:val="008C163F"/>
    <w:rsid w:val="008C198D"/>
    <w:rsid w:val="008C1A7E"/>
    <w:rsid w:val="008C1DF2"/>
    <w:rsid w:val="008C1E52"/>
    <w:rsid w:val="008C1E6C"/>
    <w:rsid w:val="008C2458"/>
    <w:rsid w:val="008C245B"/>
    <w:rsid w:val="008C24DB"/>
    <w:rsid w:val="008C2575"/>
    <w:rsid w:val="008C25E7"/>
    <w:rsid w:val="008C2644"/>
    <w:rsid w:val="008C26C5"/>
    <w:rsid w:val="008C29C7"/>
    <w:rsid w:val="008C2C0B"/>
    <w:rsid w:val="008C2EDB"/>
    <w:rsid w:val="008C2F89"/>
    <w:rsid w:val="008C3083"/>
    <w:rsid w:val="008C316C"/>
    <w:rsid w:val="008C33F7"/>
    <w:rsid w:val="008C3569"/>
    <w:rsid w:val="008C35AE"/>
    <w:rsid w:val="008C376B"/>
    <w:rsid w:val="008C37B1"/>
    <w:rsid w:val="008C391C"/>
    <w:rsid w:val="008C393D"/>
    <w:rsid w:val="008C3A4C"/>
    <w:rsid w:val="008C3D48"/>
    <w:rsid w:val="008C3DAF"/>
    <w:rsid w:val="008C3EC6"/>
    <w:rsid w:val="008C40EF"/>
    <w:rsid w:val="008C4157"/>
    <w:rsid w:val="008C415E"/>
    <w:rsid w:val="008C4160"/>
    <w:rsid w:val="008C42C8"/>
    <w:rsid w:val="008C4377"/>
    <w:rsid w:val="008C446C"/>
    <w:rsid w:val="008C463D"/>
    <w:rsid w:val="008C464B"/>
    <w:rsid w:val="008C4717"/>
    <w:rsid w:val="008C4ABC"/>
    <w:rsid w:val="008C4CED"/>
    <w:rsid w:val="008C4D3F"/>
    <w:rsid w:val="008C4D73"/>
    <w:rsid w:val="008C4D74"/>
    <w:rsid w:val="008C4DDF"/>
    <w:rsid w:val="008C4E70"/>
    <w:rsid w:val="008C55E3"/>
    <w:rsid w:val="008C5622"/>
    <w:rsid w:val="008C564D"/>
    <w:rsid w:val="008C569C"/>
    <w:rsid w:val="008C571E"/>
    <w:rsid w:val="008C5B17"/>
    <w:rsid w:val="008C5C07"/>
    <w:rsid w:val="008C5C55"/>
    <w:rsid w:val="008C5CCD"/>
    <w:rsid w:val="008C5DDD"/>
    <w:rsid w:val="008C5F1C"/>
    <w:rsid w:val="008C614D"/>
    <w:rsid w:val="008C62C8"/>
    <w:rsid w:val="008C63AD"/>
    <w:rsid w:val="008C6506"/>
    <w:rsid w:val="008C660E"/>
    <w:rsid w:val="008C66BE"/>
    <w:rsid w:val="008C68AB"/>
    <w:rsid w:val="008C6AC1"/>
    <w:rsid w:val="008C6C9A"/>
    <w:rsid w:val="008C6D2E"/>
    <w:rsid w:val="008C6D9D"/>
    <w:rsid w:val="008C6DE7"/>
    <w:rsid w:val="008C6E25"/>
    <w:rsid w:val="008C6E3E"/>
    <w:rsid w:val="008C701E"/>
    <w:rsid w:val="008C706A"/>
    <w:rsid w:val="008C7222"/>
    <w:rsid w:val="008C725F"/>
    <w:rsid w:val="008C72A6"/>
    <w:rsid w:val="008C74ED"/>
    <w:rsid w:val="008C76ED"/>
    <w:rsid w:val="008C7732"/>
    <w:rsid w:val="008C776F"/>
    <w:rsid w:val="008C7815"/>
    <w:rsid w:val="008C7A45"/>
    <w:rsid w:val="008C7AA3"/>
    <w:rsid w:val="008C7CDD"/>
    <w:rsid w:val="008C7D29"/>
    <w:rsid w:val="008C7EE3"/>
    <w:rsid w:val="008D01A7"/>
    <w:rsid w:val="008D029F"/>
    <w:rsid w:val="008D02A4"/>
    <w:rsid w:val="008D0328"/>
    <w:rsid w:val="008D039D"/>
    <w:rsid w:val="008D052A"/>
    <w:rsid w:val="008D077F"/>
    <w:rsid w:val="008D082E"/>
    <w:rsid w:val="008D0975"/>
    <w:rsid w:val="008D0999"/>
    <w:rsid w:val="008D0C66"/>
    <w:rsid w:val="008D0E06"/>
    <w:rsid w:val="008D0E36"/>
    <w:rsid w:val="008D0E4D"/>
    <w:rsid w:val="008D1172"/>
    <w:rsid w:val="008D1193"/>
    <w:rsid w:val="008D11A9"/>
    <w:rsid w:val="008D13AC"/>
    <w:rsid w:val="008D174E"/>
    <w:rsid w:val="008D1866"/>
    <w:rsid w:val="008D1B60"/>
    <w:rsid w:val="008D1B64"/>
    <w:rsid w:val="008D1B6F"/>
    <w:rsid w:val="008D1C05"/>
    <w:rsid w:val="008D1C06"/>
    <w:rsid w:val="008D1DEC"/>
    <w:rsid w:val="008D2109"/>
    <w:rsid w:val="008D2253"/>
    <w:rsid w:val="008D23CE"/>
    <w:rsid w:val="008D23D9"/>
    <w:rsid w:val="008D240B"/>
    <w:rsid w:val="008D24AC"/>
    <w:rsid w:val="008D253A"/>
    <w:rsid w:val="008D28ED"/>
    <w:rsid w:val="008D299C"/>
    <w:rsid w:val="008D2F17"/>
    <w:rsid w:val="008D2F40"/>
    <w:rsid w:val="008D3487"/>
    <w:rsid w:val="008D350E"/>
    <w:rsid w:val="008D364E"/>
    <w:rsid w:val="008D3889"/>
    <w:rsid w:val="008D3892"/>
    <w:rsid w:val="008D3A2F"/>
    <w:rsid w:val="008D3AA8"/>
    <w:rsid w:val="008D3AF7"/>
    <w:rsid w:val="008D3F41"/>
    <w:rsid w:val="008D3FF5"/>
    <w:rsid w:val="008D4059"/>
    <w:rsid w:val="008D405B"/>
    <w:rsid w:val="008D4162"/>
    <w:rsid w:val="008D41BF"/>
    <w:rsid w:val="008D43A3"/>
    <w:rsid w:val="008D45C4"/>
    <w:rsid w:val="008D4687"/>
    <w:rsid w:val="008D46D8"/>
    <w:rsid w:val="008D4731"/>
    <w:rsid w:val="008D473A"/>
    <w:rsid w:val="008D48BE"/>
    <w:rsid w:val="008D4A3E"/>
    <w:rsid w:val="008D4A8E"/>
    <w:rsid w:val="008D4BD7"/>
    <w:rsid w:val="008D4D44"/>
    <w:rsid w:val="008D4E1E"/>
    <w:rsid w:val="008D4E20"/>
    <w:rsid w:val="008D4E54"/>
    <w:rsid w:val="008D4ED2"/>
    <w:rsid w:val="008D4F13"/>
    <w:rsid w:val="008D4FF8"/>
    <w:rsid w:val="008D504C"/>
    <w:rsid w:val="008D5073"/>
    <w:rsid w:val="008D51FB"/>
    <w:rsid w:val="008D52B5"/>
    <w:rsid w:val="008D54BC"/>
    <w:rsid w:val="008D56BC"/>
    <w:rsid w:val="008D5726"/>
    <w:rsid w:val="008D586D"/>
    <w:rsid w:val="008D5956"/>
    <w:rsid w:val="008D5C0C"/>
    <w:rsid w:val="008D6074"/>
    <w:rsid w:val="008D61E7"/>
    <w:rsid w:val="008D6357"/>
    <w:rsid w:val="008D63BA"/>
    <w:rsid w:val="008D6653"/>
    <w:rsid w:val="008D66A6"/>
    <w:rsid w:val="008D67D6"/>
    <w:rsid w:val="008D6AD2"/>
    <w:rsid w:val="008D6BD3"/>
    <w:rsid w:val="008D7346"/>
    <w:rsid w:val="008D7358"/>
    <w:rsid w:val="008D744B"/>
    <w:rsid w:val="008D74AE"/>
    <w:rsid w:val="008D74D8"/>
    <w:rsid w:val="008D777A"/>
    <w:rsid w:val="008D787A"/>
    <w:rsid w:val="008D78B5"/>
    <w:rsid w:val="008D7A37"/>
    <w:rsid w:val="008D7A89"/>
    <w:rsid w:val="008D7AA3"/>
    <w:rsid w:val="008D7ADF"/>
    <w:rsid w:val="008D7C00"/>
    <w:rsid w:val="008D7C05"/>
    <w:rsid w:val="008D7CBA"/>
    <w:rsid w:val="008E0248"/>
    <w:rsid w:val="008E055D"/>
    <w:rsid w:val="008E0838"/>
    <w:rsid w:val="008E09AC"/>
    <w:rsid w:val="008E0AAA"/>
    <w:rsid w:val="008E0B53"/>
    <w:rsid w:val="008E0C54"/>
    <w:rsid w:val="008E0C83"/>
    <w:rsid w:val="008E0FFB"/>
    <w:rsid w:val="008E10B2"/>
    <w:rsid w:val="008E12DE"/>
    <w:rsid w:val="008E143F"/>
    <w:rsid w:val="008E15A9"/>
    <w:rsid w:val="008E1819"/>
    <w:rsid w:val="008E1BC7"/>
    <w:rsid w:val="008E1F16"/>
    <w:rsid w:val="008E204C"/>
    <w:rsid w:val="008E21FB"/>
    <w:rsid w:val="008E23B0"/>
    <w:rsid w:val="008E247B"/>
    <w:rsid w:val="008E258C"/>
    <w:rsid w:val="008E28C4"/>
    <w:rsid w:val="008E2B8C"/>
    <w:rsid w:val="008E2BE1"/>
    <w:rsid w:val="008E2C14"/>
    <w:rsid w:val="008E2C27"/>
    <w:rsid w:val="008E2E92"/>
    <w:rsid w:val="008E2F77"/>
    <w:rsid w:val="008E3395"/>
    <w:rsid w:val="008E3548"/>
    <w:rsid w:val="008E3789"/>
    <w:rsid w:val="008E390E"/>
    <w:rsid w:val="008E392D"/>
    <w:rsid w:val="008E39AA"/>
    <w:rsid w:val="008E39D2"/>
    <w:rsid w:val="008E3B9A"/>
    <w:rsid w:val="008E3CC0"/>
    <w:rsid w:val="008E3D11"/>
    <w:rsid w:val="008E4048"/>
    <w:rsid w:val="008E40A6"/>
    <w:rsid w:val="008E4144"/>
    <w:rsid w:val="008E433B"/>
    <w:rsid w:val="008E464F"/>
    <w:rsid w:val="008E475E"/>
    <w:rsid w:val="008E4963"/>
    <w:rsid w:val="008E49C6"/>
    <w:rsid w:val="008E49E4"/>
    <w:rsid w:val="008E4AA2"/>
    <w:rsid w:val="008E4C89"/>
    <w:rsid w:val="008E4D86"/>
    <w:rsid w:val="008E4DC3"/>
    <w:rsid w:val="008E4E87"/>
    <w:rsid w:val="008E4F07"/>
    <w:rsid w:val="008E4FF8"/>
    <w:rsid w:val="008E500C"/>
    <w:rsid w:val="008E5184"/>
    <w:rsid w:val="008E51AF"/>
    <w:rsid w:val="008E5342"/>
    <w:rsid w:val="008E53D3"/>
    <w:rsid w:val="008E548A"/>
    <w:rsid w:val="008E55A9"/>
    <w:rsid w:val="008E55BC"/>
    <w:rsid w:val="008E5A2E"/>
    <w:rsid w:val="008E60AC"/>
    <w:rsid w:val="008E6224"/>
    <w:rsid w:val="008E65EC"/>
    <w:rsid w:val="008E6749"/>
    <w:rsid w:val="008E676C"/>
    <w:rsid w:val="008E6814"/>
    <w:rsid w:val="008E693D"/>
    <w:rsid w:val="008E6A15"/>
    <w:rsid w:val="008E6A3A"/>
    <w:rsid w:val="008E6B14"/>
    <w:rsid w:val="008E6B60"/>
    <w:rsid w:val="008E6BD5"/>
    <w:rsid w:val="008E6C18"/>
    <w:rsid w:val="008E6F2C"/>
    <w:rsid w:val="008E7053"/>
    <w:rsid w:val="008E707F"/>
    <w:rsid w:val="008E7102"/>
    <w:rsid w:val="008E71EC"/>
    <w:rsid w:val="008E7235"/>
    <w:rsid w:val="008E7254"/>
    <w:rsid w:val="008E73B4"/>
    <w:rsid w:val="008E74A2"/>
    <w:rsid w:val="008E74D9"/>
    <w:rsid w:val="008E754D"/>
    <w:rsid w:val="008E75AE"/>
    <w:rsid w:val="008E7675"/>
    <w:rsid w:val="008E7789"/>
    <w:rsid w:val="008E783F"/>
    <w:rsid w:val="008E7856"/>
    <w:rsid w:val="008E7BC1"/>
    <w:rsid w:val="008E7C79"/>
    <w:rsid w:val="008E7FF5"/>
    <w:rsid w:val="008F00A8"/>
    <w:rsid w:val="008F0196"/>
    <w:rsid w:val="008F03CB"/>
    <w:rsid w:val="008F0408"/>
    <w:rsid w:val="008F0B5A"/>
    <w:rsid w:val="008F0C23"/>
    <w:rsid w:val="008F0CA0"/>
    <w:rsid w:val="008F0CA6"/>
    <w:rsid w:val="008F0D4D"/>
    <w:rsid w:val="008F0DEF"/>
    <w:rsid w:val="008F0E1F"/>
    <w:rsid w:val="008F0F96"/>
    <w:rsid w:val="008F1082"/>
    <w:rsid w:val="008F1127"/>
    <w:rsid w:val="008F12D7"/>
    <w:rsid w:val="008F130C"/>
    <w:rsid w:val="008F15FB"/>
    <w:rsid w:val="008F1905"/>
    <w:rsid w:val="008F19D0"/>
    <w:rsid w:val="008F1AA1"/>
    <w:rsid w:val="008F1B1E"/>
    <w:rsid w:val="008F1C3C"/>
    <w:rsid w:val="008F1DDF"/>
    <w:rsid w:val="008F1E16"/>
    <w:rsid w:val="008F1EE5"/>
    <w:rsid w:val="008F2050"/>
    <w:rsid w:val="008F2316"/>
    <w:rsid w:val="008F23C0"/>
    <w:rsid w:val="008F2470"/>
    <w:rsid w:val="008F24B8"/>
    <w:rsid w:val="008F24DF"/>
    <w:rsid w:val="008F281F"/>
    <w:rsid w:val="008F2903"/>
    <w:rsid w:val="008F2B18"/>
    <w:rsid w:val="008F2B30"/>
    <w:rsid w:val="008F2DD2"/>
    <w:rsid w:val="008F31B2"/>
    <w:rsid w:val="008F341C"/>
    <w:rsid w:val="008F3582"/>
    <w:rsid w:val="008F369F"/>
    <w:rsid w:val="008F373A"/>
    <w:rsid w:val="008F3803"/>
    <w:rsid w:val="008F3956"/>
    <w:rsid w:val="008F39D6"/>
    <w:rsid w:val="008F3A13"/>
    <w:rsid w:val="008F3AF9"/>
    <w:rsid w:val="008F3B7A"/>
    <w:rsid w:val="008F3BA0"/>
    <w:rsid w:val="008F3BA8"/>
    <w:rsid w:val="008F3C12"/>
    <w:rsid w:val="008F3DE5"/>
    <w:rsid w:val="008F3E0D"/>
    <w:rsid w:val="008F3E64"/>
    <w:rsid w:val="008F3F03"/>
    <w:rsid w:val="008F4075"/>
    <w:rsid w:val="008F4126"/>
    <w:rsid w:val="008F41CF"/>
    <w:rsid w:val="008F42C0"/>
    <w:rsid w:val="008F45BF"/>
    <w:rsid w:val="008F470C"/>
    <w:rsid w:val="008F47BB"/>
    <w:rsid w:val="008F47CD"/>
    <w:rsid w:val="008F47E1"/>
    <w:rsid w:val="008F4B82"/>
    <w:rsid w:val="008F4B94"/>
    <w:rsid w:val="008F4D05"/>
    <w:rsid w:val="008F4D39"/>
    <w:rsid w:val="008F4E6F"/>
    <w:rsid w:val="008F4F4C"/>
    <w:rsid w:val="008F54AD"/>
    <w:rsid w:val="008F5947"/>
    <w:rsid w:val="008F596F"/>
    <w:rsid w:val="008F5BED"/>
    <w:rsid w:val="008F5C2E"/>
    <w:rsid w:val="008F5DE7"/>
    <w:rsid w:val="008F5DF6"/>
    <w:rsid w:val="008F61F3"/>
    <w:rsid w:val="008F644D"/>
    <w:rsid w:val="008F6520"/>
    <w:rsid w:val="008F65DF"/>
    <w:rsid w:val="008F661B"/>
    <w:rsid w:val="008F6690"/>
    <w:rsid w:val="008F69B4"/>
    <w:rsid w:val="008F69B8"/>
    <w:rsid w:val="008F6A15"/>
    <w:rsid w:val="008F6AD8"/>
    <w:rsid w:val="008F6C7B"/>
    <w:rsid w:val="008F6D37"/>
    <w:rsid w:val="008F6E58"/>
    <w:rsid w:val="008F71CF"/>
    <w:rsid w:val="008F72C1"/>
    <w:rsid w:val="008F75C6"/>
    <w:rsid w:val="008F77AC"/>
    <w:rsid w:val="008F79AF"/>
    <w:rsid w:val="008F7A20"/>
    <w:rsid w:val="008F7CE3"/>
    <w:rsid w:val="008F7E84"/>
    <w:rsid w:val="008F7EB1"/>
    <w:rsid w:val="008F7FAB"/>
    <w:rsid w:val="00900042"/>
    <w:rsid w:val="00900072"/>
    <w:rsid w:val="009000BD"/>
    <w:rsid w:val="00900221"/>
    <w:rsid w:val="00900267"/>
    <w:rsid w:val="009002D5"/>
    <w:rsid w:val="0090043F"/>
    <w:rsid w:val="009006A6"/>
    <w:rsid w:val="00900722"/>
    <w:rsid w:val="0090079F"/>
    <w:rsid w:val="0090094C"/>
    <w:rsid w:val="009009D1"/>
    <w:rsid w:val="00900ABD"/>
    <w:rsid w:val="00900D27"/>
    <w:rsid w:val="00900DCD"/>
    <w:rsid w:val="00901066"/>
    <w:rsid w:val="00901127"/>
    <w:rsid w:val="009011F1"/>
    <w:rsid w:val="0090124D"/>
    <w:rsid w:val="009013EE"/>
    <w:rsid w:val="0090164B"/>
    <w:rsid w:val="009016D7"/>
    <w:rsid w:val="00901719"/>
    <w:rsid w:val="00901800"/>
    <w:rsid w:val="00901CBA"/>
    <w:rsid w:val="00901F59"/>
    <w:rsid w:val="00901FA3"/>
    <w:rsid w:val="0090200E"/>
    <w:rsid w:val="0090222B"/>
    <w:rsid w:val="009022CA"/>
    <w:rsid w:val="00902539"/>
    <w:rsid w:val="009025C0"/>
    <w:rsid w:val="009025EE"/>
    <w:rsid w:val="0090265F"/>
    <w:rsid w:val="00902685"/>
    <w:rsid w:val="009026C7"/>
    <w:rsid w:val="0090272C"/>
    <w:rsid w:val="009028EA"/>
    <w:rsid w:val="0090298E"/>
    <w:rsid w:val="00902995"/>
    <w:rsid w:val="00902BB4"/>
    <w:rsid w:val="00902BDC"/>
    <w:rsid w:val="00902C2F"/>
    <w:rsid w:val="00902CAE"/>
    <w:rsid w:val="00902E52"/>
    <w:rsid w:val="00902E75"/>
    <w:rsid w:val="00902F3A"/>
    <w:rsid w:val="009030FF"/>
    <w:rsid w:val="00903100"/>
    <w:rsid w:val="0090319D"/>
    <w:rsid w:val="0090340C"/>
    <w:rsid w:val="00903883"/>
    <w:rsid w:val="009039C7"/>
    <w:rsid w:val="00903AC3"/>
    <w:rsid w:val="00903D4F"/>
    <w:rsid w:val="009040A2"/>
    <w:rsid w:val="0090412E"/>
    <w:rsid w:val="00904237"/>
    <w:rsid w:val="00904490"/>
    <w:rsid w:val="00904536"/>
    <w:rsid w:val="009046E0"/>
    <w:rsid w:val="0090471B"/>
    <w:rsid w:val="0090478A"/>
    <w:rsid w:val="00904792"/>
    <w:rsid w:val="00904B7C"/>
    <w:rsid w:val="00904CBC"/>
    <w:rsid w:val="00904E5D"/>
    <w:rsid w:val="00904F22"/>
    <w:rsid w:val="0090502F"/>
    <w:rsid w:val="00905314"/>
    <w:rsid w:val="0090553E"/>
    <w:rsid w:val="009059F9"/>
    <w:rsid w:val="00905A11"/>
    <w:rsid w:val="00905B1E"/>
    <w:rsid w:val="00905D53"/>
    <w:rsid w:val="00905D54"/>
    <w:rsid w:val="00905D95"/>
    <w:rsid w:val="00905FA7"/>
    <w:rsid w:val="009060AD"/>
    <w:rsid w:val="00906137"/>
    <w:rsid w:val="009061D6"/>
    <w:rsid w:val="009062BE"/>
    <w:rsid w:val="0090648F"/>
    <w:rsid w:val="00906731"/>
    <w:rsid w:val="00906769"/>
    <w:rsid w:val="00906863"/>
    <w:rsid w:val="00906A84"/>
    <w:rsid w:val="00906C0E"/>
    <w:rsid w:val="00906DEC"/>
    <w:rsid w:val="00907455"/>
    <w:rsid w:val="009075CE"/>
    <w:rsid w:val="009075E0"/>
    <w:rsid w:val="00907859"/>
    <w:rsid w:val="0090796B"/>
    <w:rsid w:val="00907A64"/>
    <w:rsid w:val="00907CC1"/>
    <w:rsid w:val="00907F2A"/>
    <w:rsid w:val="00907F91"/>
    <w:rsid w:val="00907FAF"/>
    <w:rsid w:val="0091003B"/>
    <w:rsid w:val="009100C9"/>
    <w:rsid w:val="009100D2"/>
    <w:rsid w:val="00910177"/>
    <w:rsid w:val="009101BF"/>
    <w:rsid w:val="009102A7"/>
    <w:rsid w:val="00910372"/>
    <w:rsid w:val="009103AA"/>
    <w:rsid w:val="009103C4"/>
    <w:rsid w:val="009103F5"/>
    <w:rsid w:val="009105B5"/>
    <w:rsid w:val="009105CD"/>
    <w:rsid w:val="00910713"/>
    <w:rsid w:val="0091083C"/>
    <w:rsid w:val="009108F8"/>
    <w:rsid w:val="00910968"/>
    <w:rsid w:val="00910B80"/>
    <w:rsid w:val="00910C97"/>
    <w:rsid w:val="00910D4E"/>
    <w:rsid w:val="00911176"/>
    <w:rsid w:val="00911394"/>
    <w:rsid w:val="00911683"/>
    <w:rsid w:val="009116BA"/>
    <w:rsid w:val="0091182D"/>
    <w:rsid w:val="00911B1F"/>
    <w:rsid w:val="00911B2A"/>
    <w:rsid w:val="00911D86"/>
    <w:rsid w:val="00911DF5"/>
    <w:rsid w:val="00911E7D"/>
    <w:rsid w:val="00912015"/>
    <w:rsid w:val="0091205E"/>
    <w:rsid w:val="0091215D"/>
    <w:rsid w:val="0091271E"/>
    <w:rsid w:val="00912818"/>
    <w:rsid w:val="009128FA"/>
    <w:rsid w:val="0091296A"/>
    <w:rsid w:val="00912994"/>
    <w:rsid w:val="00912A46"/>
    <w:rsid w:val="00912A94"/>
    <w:rsid w:val="00912C34"/>
    <w:rsid w:val="00912EEE"/>
    <w:rsid w:val="00912F12"/>
    <w:rsid w:val="009130FE"/>
    <w:rsid w:val="00913336"/>
    <w:rsid w:val="00913515"/>
    <w:rsid w:val="0091380F"/>
    <w:rsid w:val="00913835"/>
    <w:rsid w:val="0091392B"/>
    <w:rsid w:val="00913D3F"/>
    <w:rsid w:val="00913DBB"/>
    <w:rsid w:val="00913ED2"/>
    <w:rsid w:val="00913F2F"/>
    <w:rsid w:val="00914174"/>
    <w:rsid w:val="00914196"/>
    <w:rsid w:val="00914310"/>
    <w:rsid w:val="009143CD"/>
    <w:rsid w:val="009143FA"/>
    <w:rsid w:val="00914466"/>
    <w:rsid w:val="0091449B"/>
    <w:rsid w:val="009144B5"/>
    <w:rsid w:val="00914628"/>
    <w:rsid w:val="009146CE"/>
    <w:rsid w:val="009146F6"/>
    <w:rsid w:val="009147FF"/>
    <w:rsid w:val="00914A13"/>
    <w:rsid w:val="00914AF4"/>
    <w:rsid w:val="00914BF6"/>
    <w:rsid w:val="00914C36"/>
    <w:rsid w:val="00914C77"/>
    <w:rsid w:val="00914C90"/>
    <w:rsid w:val="00914D25"/>
    <w:rsid w:val="00914DD3"/>
    <w:rsid w:val="00914F97"/>
    <w:rsid w:val="0091543E"/>
    <w:rsid w:val="00915457"/>
    <w:rsid w:val="009155A1"/>
    <w:rsid w:val="00915609"/>
    <w:rsid w:val="00915720"/>
    <w:rsid w:val="00915832"/>
    <w:rsid w:val="00915863"/>
    <w:rsid w:val="00915A22"/>
    <w:rsid w:val="00915A89"/>
    <w:rsid w:val="00915AD7"/>
    <w:rsid w:val="00915ADD"/>
    <w:rsid w:val="00915CC4"/>
    <w:rsid w:val="00915F96"/>
    <w:rsid w:val="00916505"/>
    <w:rsid w:val="0091667F"/>
    <w:rsid w:val="00916744"/>
    <w:rsid w:val="009169B7"/>
    <w:rsid w:val="00916AC3"/>
    <w:rsid w:val="00916BFA"/>
    <w:rsid w:val="00916DB4"/>
    <w:rsid w:val="00916ED7"/>
    <w:rsid w:val="0091700A"/>
    <w:rsid w:val="00917073"/>
    <w:rsid w:val="00917165"/>
    <w:rsid w:val="0091733E"/>
    <w:rsid w:val="0091765A"/>
    <w:rsid w:val="00917917"/>
    <w:rsid w:val="00917B5C"/>
    <w:rsid w:val="00917C0E"/>
    <w:rsid w:val="00917C89"/>
    <w:rsid w:val="00917CA3"/>
    <w:rsid w:val="00917E3F"/>
    <w:rsid w:val="0092000F"/>
    <w:rsid w:val="0092074D"/>
    <w:rsid w:val="009207E6"/>
    <w:rsid w:val="009211FF"/>
    <w:rsid w:val="009215A2"/>
    <w:rsid w:val="00921605"/>
    <w:rsid w:val="0092168F"/>
    <w:rsid w:val="00921702"/>
    <w:rsid w:val="0092182C"/>
    <w:rsid w:val="00921910"/>
    <w:rsid w:val="00921BC6"/>
    <w:rsid w:val="00921C8C"/>
    <w:rsid w:val="00921D99"/>
    <w:rsid w:val="00921E30"/>
    <w:rsid w:val="00921E66"/>
    <w:rsid w:val="00921FB0"/>
    <w:rsid w:val="009222E1"/>
    <w:rsid w:val="0092259C"/>
    <w:rsid w:val="009225E2"/>
    <w:rsid w:val="0092266F"/>
    <w:rsid w:val="009227ED"/>
    <w:rsid w:val="009229FB"/>
    <w:rsid w:val="00922A5A"/>
    <w:rsid w:val="00922B2A"/>
    <w:rsid w:val="00922D86"/>
    <w:rsid w:val="00922E70"/>
    <w:rsid w:val="00922EB2"/>
    <w:rsid w:val="00923028"/>
    <w:rsid w:val="00923056"/>
    <w:rsid w:val="00923060"/>
    <w:rsid w:val="0092316D"/>
    <w:rsid w:val="009231B2"/>
    <w:rsid w:val="0092320F"/>
    <w:rsid w:val="009234CD"/>
    <w:rsid w:val="009235D2"/>
    <w:rsid w:val="0092383F"/>
    <w:rsid w:val="00923847"/>
    <w:rsid w:val="00923C8B"/>
    <w:rsid w:val="009241BC"/>
    <w:rsid w:val="009242C1"/>
    <w:rsid w:val="00924439"/>
    <w:rsid w:val="00924535"/>
    <w:rsid w:val="0092476A"/>
    <w:rsid w:val="009247AB"/>
    <w:rsid w:val="00924867"/>
    <w:rsid w:val="00924934"/>
    <w:rsid w:val="009249D6"/>
    <w:rsid w:val="00924A7C"/>
    <w:rsid w:val="00924B17"/>
    <w:rsid w:val="00924BDA"/>
    <w:rsid w:val="00924C62"/>
    <w:rsid w:val="00924C92"/>
    <w:rsid w:val="00924D21"/>
    <w:rsid w:val="00924FB3"/>
    <w:rsid w:val="00925082"/>
    <w:rsid w:val="0092519A"/>
    <w:rsid w:val="0092527C"/>
    <w:rsid w:val="0092577B"/>
    <w:rsid w:val="00925820"/>
    <w:rsid w:val="0092587C"/>
    <w:rsid w:val="00925C5B"/>
    <w:rsid w:val="00925C9C"/>
    <w:rsid w:val="00925CA7"/>
    <w:rsid w:val="00925D7A"/>
    <w:rsid w:val="00925DBE"/>
    <w:rsid w:val="00925EAA"/>
    <w:rsid w:val="00925F3C"/>
    <w:rsid w:val="00926058"/>
    <w:rsid w:val="00926075"/>
    <w:rsid w:val="00926302"/>
    <w:rsid w:val="0092638C"/>
    <w:rsid w:val="009265B9"/>
    <w:rsid w:val="009266BD"/>
    <w:rsid w:val="009267E2"/>
    <w:rsid w:val="00926ABA"/>
    <w:rsid w:val="00926B55"/>
    <w:rsid w:val="00926D34"/>
    <w:rsid w:val="00926E21"/>
    <w:rsid w:val="00926E69"/>
    <w:rsid w:val="0092702D"/>
    <w:rsid w:val="009270AC"/>
    <w:rsid w:val="009270C6"/>
    <w:rsid w:val="00927141"/>
    <w:rsid w:val="00927192"/>
    <w:rsid w:val="0092733E"/>
    <w:rsid w:val="00927565"/>
    <w:rsid w:val="00927638"/>
    <w:rsid w:val="0092774C"/>
    <w:rsid w:val="0092792F"/>
    <w:rsid w:val="00927BFB"/>
    <w:rsid w:val="00927C46"/>
    <w:rsid w:val="00927E8A"/>
    <w:rsid w:val="00927FF9"/>
    <w:rsid w:val="00930157"/>
    <w:rsid w:val="00930159"/>
    <w:rsid w:val="0093029A"/>
    <w:rsid w:val="00930411"/>
    <w:rsid w:val="009304E3"/>
    <w:rsid w:val="00930600"/>
    <w:rsid w:val="0093062B"/>
    <w:rsid w:val="0093065B"/>
    <w:rsid w:val="009307A5"/>
    <w:rsid w:val="009307BC"/>
    <w:rsid w:val="009307E7"/>
    <w:rsid w:val="00930A5F"/>
    <w:rsid w:val="00930DD9"/>
    <w:rsid w:val="00930EF7"/>
    <w:rsid w:val="00930F9B"/>
    <w:rsid w:val="00931056"/>
    <w:rsid w:val="0093114A"/>
    <w:rsid w:val="009311DC"/>
    <w:rsid w:val="0093125C"/>
    <w:rsid w:val="00931306"/>
    <w:rsid w:val="00931520"/>
    <w:rsid w:val="009317B8"/>
    <w:rsid w:val="009317EC"/>
    <w:rsid w:val="0093184B"/>
    <w:rsid w:val="00931897"/>
    <w:rsid w:val="009318C3"/>
    <w:rsid w:val="00931A8D"/>
    <w:rsid w:val="00931AE9"/>
    <w:rsid w:val="00931B1F"/>
    <w:rsid w:val="00931B20"/>
    <w:rsid w:val="00931B76"/>
    <w:rsid w:val="00931C0C"/>
    <w:rsid w:val="00931D1D"/>
    <w:rsid w:val="00931EAD"/>
    <w:rsid w:val="00932323"/>
    <w:rsid w:val="00932399"/>
    <w:rsid w:val="00932470"/>
    <w:rsid w:val="00932589"/>
    <w:rsid w:val="00932675"/>
    <w:rsid w:val="00932C93"/>
    <w:rsid w:val="00932D87"/>
    <w:rsid w:val="00932E59"/>
    <w:rsid w:val="00932F64"/>
    <w:rsid w:val="00932F6D"/>
    <w:rsid w:val="00932F73"/>
    <w:rsid w:val="00932F93"/>
    <w:rsid w:val="00932FFB"/>
    <w:rsid w:val="0093310B"/>
    <w:rsid w:val="009331A0"/>
    <w:rsid w:val="0093327E"/>
    <w:rsid w:val="009333AE"/>
    <w:rsid w:val="009335F3"/>
    <w:rsid w:val="009336AE"/>
    <w:rsid w:val="009336CA"/>
    <w:rsid w:val="00933753"/>
    <w:rsid w:val="0093377B"/>
    <w:rsid w:val="0093384F"/>
    <w:rsid w:val="0093395D"/>
    <w:rsid w:val="00933BBB"/>
    <w:rsid w:val="00933E66"/>
    <w:rsid w:val="00933E6B"/>
    <w:rsid w:val="00933F4D"/>
    <w:rsid w:val="00933F9A"/>
    <w:rsid w:val="0093422B"/>
    <w:rsid w:val="00934485"/>
    <w:rsid w:val="00934748"/>
    <w:rsid w:val="0093474E"/>
    <w:rsid w:val="0093498C"/>
    <w:rsid w:val="00934A38"/>
    <w:rsid w:val="00934B51"/>
    <w:rsid w:val="00934B75"/>
    <w:rsid w:val="00934BD2"/>
    <w:rsid w:val="00934C3D"/>
    <w:rsid w:val="00934CE7"/>
    <w:rsid w:val="00934CED"/>
    <w:rsid w:val="00934D03"/>
    <w:rsid w:val="00934FE1"/>
    <w:rsid w:val="00935057"/>
    <w:rsid w:val="009351A1"/>
    <w:rsid w:val="00935305"/>
    <w:rsid w:val="00935316"/>
    <w:rsid w:val="0093553B"/>
    <w:rsid w:val="00935783"/>
    <w:rsid w:val="009357A2"/>
    <w:rsid w:val="00935DF9"/>
    <w:rsid w:val="00936076"/>
    <w:rsid w:val="009360D6"/>
    <w:rsid w:val="0093612B"/>
    <w:rsid w:val="00936133"/>
    <w:rsid w:val="0093621D"/>
    <w:rsid w:val="00936282"/>
    <w:rsid w:val="00936346"/>
    <w:rsid w:val="00936351"/>
    <w:rsid w:val="00936510"/>
    <w:rsid w:val="009365DE"/>
    <w:rsid w:val="00936679"/>
    <w:rsid w:val="00936900"/>
    <w:rsid w:val="0093699E"/>
    <w:rsid w:val="00936A74"/>
    <w:rsid w:val="00936B15"/>
    <w:rsid w:val="00936C5E"/>
    <w:rsid w:val="00936D38"/>
    <w:rsid w:val="00936F33"/>
    <w:rsid w:val="00937160"/>
    <w:rsid w:val="00937176"/>
    <w:rsid w:val="00937182"/>
    <w:rsid w:val="009372E0"/>
    <w:rsid w:val="009373BA"/>
    <w:rsid w:val="0093770C"/>
    <w:rsid w:val="00937795"/>
    <w:rsid w:val="00937970"/>
    <w:rsid w:val="00937AE2"/>
    <w:rsid w:val="00937CE0"/>
    <w:rsid w:val="00937F8C"/>
    <w:rsid w:val="00940097"/>
    <w:rsid w:val="009400CD"/>
    <w:rsid w:val="009402C7"/>
    <w:rsid w:val="009402D2"/>
    <w:rsid w:val="00940339"/>
    <w:rsid w:val="0094035B"/>
    <w:rsid w:val="009403C4"/>
    <w:rsid w:val="0094061B"/>
    <w:rsid w:val="0094086A"/>
    <w:rsid w:val="009409C5"/>
    <w:rsid w:val="00940BE7"/>
    <w:rsid w:val="00940F19"/>
    <w:rsid w:val="00940F4D"/>
    <w:rsid w:val="00940F85"/>
    <w:rsid w:val="00940FFE"/>
    <w:rsid w:val="00941089"/>
    <w:rsid w:val="00941336"/>
    <w:rsid w:val="009413F4"/>
    <w:rsid w:val="009418D0"/>
    <w:rsid w:val="009419BC"/>
    <w:rsid w:val="00941A70"/>
    <w:rsid w:val="00941B7F"/>
    <w:rsid w:val="00941E59"/>
    <w:rsid w:val="00941EC4"/>
    <w:rsid w:val="00941F4A"/>
    <w:rsid w:val="00941F8F"/>
    <w:rsid w:val="00942078"/>
    <w:rsid w:val="00942122"/>
    <w:rsid w:val="009421A1"/>
    <w:rsid w:val="009424A0"/>
    <w:rsid w:val="0094252C"/>
    <w:rsid w:val="0094279A"/>
    <w:rsid w:val="00942868"/>
    <w:rsid w:val="0094298D"/>
    <w:rsid w:val="00942B00"/>
    <w:rsid w:val="00942B0F"/>
    <w:rsid w:val="00942C57"/>
    <w:rsid w:val="00942C60"/>
    <w:rsid w:val="00942DA5"/>
    <w:rsid w:val="00942EAF"/>
    <w:rsid w:val="00942F45"/>
    <w:rsid w:val="00943220"/>
    <w:rsid w:val="00943335"/>
    <w:rsid w:val="0094333A"/>
    <w:rsid w:val="00943390"/>
    <w:rsid w:val="0094346A"/>
    <w:rsid w:val="00943494"/>
    <w:rsid w:val="00943522"/>
    <w:rsid w:val="0094362D"/>
    <w:rsid w:val="009436B7"/>
    <w:rsid w:val="009438BA"/>
    <w:rsid w:val="009438F1"/>
    <w:rsid w:val="00943AF7"/>
    <w:rsid w:val="00943B62"/>
    <w:rsid w:val="00943F11"/>
    <w:rsid w:val="00944032"/>
    <w:rsid w:val="00944297"/>
    <w:rsid w:val="0094429E"/>
    <w:rsid w:val="009442BB"/>
    <w:rsid w:val="009442C0"/>
    <w:rsid w:val="0094461B"/>
    <w:rsid w:val="009446B9"/>
    <w:rsid w:val="009446D7"/>
    <w:rsid w:val="009446ED"/>
    <w:rsid w:val="00944D9F"/>
    <w:rsid w:val="00944DC4"/>
    <w:rsid w:val="00944E26"/>
    <w:rsid w:val="009450F7"/>
    <w:rsid w:val="00945226"/>
    <w:rsid w:val="009452D8"/>
    <w:rsid w:val="00945324"/>
    <w:rsid w:val="00945476"/>
    <w:rsid w:val="0094547A"/>
    <w:rsid w:val="00945562"/>
    <w:rsid w:val="00945571"/>
    <w:rsid w:val="0094597C"/>
    <w:rsid w:val="00945B27"/>
    <w:rsid w:val="00945CC4"/>
    <w:rsid w:val="00945DE0"/>
    <w:rsid w:val="00945E92"/>
    <w:rsid w:val="00945F89"/>
    <w:rsid w:val="00946138"/>
    <w:rsid w:val="00946172"/>
    <w:rsid w:val="00946394"/>
    <w:rsid w:val="0094643A"/>
    <w:rsid w:val="009466EE"/>
    <w:rsid w:val="0094687B"/>
    <w:rsid w:val="009468AE"/>
    <w:rsid w:val="0094698B"/>
    <w:rsid w:val="0094698E"/>
    <w:rsid w:val="00946C1C"/>
    <w:rsid w:val="00946C48"/>
    <w:rsid w:val="00946C66"/>
    <w:rsid w:val="00946D11"/>
    <w:rsid w:val="00947082"/>
    <w:rsid w:val="00947139"/>
    <w:rsid w:val="00947313"/>
    <w:rsid w:val="00947602"/>
    <w:rsid w:val="009476FE"/>
    <w:rsid w:val="00947792"/>
    <w:rsid w:val="00947892"/>
    <w:rsid w:val="00947DBF"/>
    <w:rsid w:val="0095013B"/>
    <w:rsid w:val="009502F1"/>
    <w:rsid w:val="009504A5"/>
    <w:rsid w:val="0095080F"/>
    <w:rsid w:val="009508DE"/>
    <w:rsid w:val="009508F4"/>
    <w:rsid w:val="009509C2"/>
    <w:rsid w:val="00950AC7"/>
    <w:rsid w:val="00950B88"/>
    <w:rsid w:val="00950BC0"/>
    <w:rsid w:val="009511A3"/>
    <w:rsid w:val="009514A7"/>
    <w:rsid w:val="00951511"/>
    <w:rsid w:val="00951587"/>
    <w:rsid w:val="009515DE"/>
    <w:rsid w:val="009518E6"/>
    <w:rsid w:val="0095198F"/>
    <w:rsid w:val="00951B0E"/>
    <w:rsid w:val="00951C0B"/>
    <w:rsid w:val="00951CE2"/>
    <w:rsid w:val="00951D3A"/>
    <w:rsid w:val="00951E33"/>
    <w:rsid w:val="0095237F"/>
    <w:rsid w:val="00952410"/>
    <w:rsid w:val="00952835"/>
    <w:rsid w:val="0095284F"/>
    <w:rsid w:val="00952BE9"/>
    <w:rsid w:val="00952DF0"/>
    <w:rsid w:val="00952F28"/>
    <w:rsid w:val="00953220"/>
    <w:rsid w:val="0095350B"/>
    <w:rsid w:val="00953698"/>
    <w:rsid w:val="009536BE"/>
    <w:rsid w:val="009536C5"/>
    <w:rsid w:val="00953738"/>
    <w:rsid w:val="0095389D"/>
    <w:rsid w:val="009538D2"/>
    <w:rsid w:val="00953D92"/>
    <w:rsid w:val="00953FB3"/>
    <w:rsid w:val="00953FEC"/>
    <w:rsid w:val="0095418E"/>
    <w:rsid w:val="009541EA"/>
    <w:rsid w:val="00954287"/>
    <w:rsid w:val="009543D6"/>
    <w:rsid w:val="0095450C"/>
    <w:rsid w:val="00954742"/>
    <w:rsid w:val="009549B3"/>
    <w:rsid w:val="00954B10"/>
    <w:rsid w:val="00954C57"/>
    <w:rsid w:val="00954C67"/>
    <w:rsid w:val="00954DA4"/>
    <w:rsid w:val="00954DB7"/>
    <w:rsid w:val="00954FF6"/>
    <w:rsid w:val="009550EF"/>
    <w:rsid w:val="0095517D"/>
    <w:rsid w:val="00955723"/>
    <w:rsid w:val="00955900"/>
    <w:rsid w:val="00955A11"/>
    <w:rsid w:val="00955B30"/>
    <w:rsid w:val="00955BFA"/>
    <w:rsid w:val="00955F69"/>
    <w:rsid w:val="009561D4"/>
    <w:rsid w:val="00956281"/>
    <w:rsid w:val="00956635"/>
    <w:rsid w:val="00956724"/>
    <w:rsid w:val="009567C6"/>
    <w:rsid w:val="00956C7E"/>
    <w:rsid w:val="00956C83"/>
    <w:rsid w:val="00957002"/>
    <w:rsid w:val="0095701E"/>
    <w:rsid w:val="0095703E"/>
    <w:rsid w:val="00957094"/>
    <w:rsid w:val="00957478"/>
    <w:rsid w:val="009574FA"/>
    <w:rsid w:val="009575E1"/>
    <w:rsid w:val="00957A5A"/>
    <w:rsid w:val="00957B16"/>
    <w:rsid w:val="00957B7E"/>
    <w:rsid w:val="00957BDD"/>
    <w:rsid w:val="00957C00"/>
    <w:rsid w:val="00957D13"/>
    <w:rsid w:val="00957DD9"/>
    <w:rsid w:val="009602AB"/>
    <w:rsid w:val="0096039E"/>
    <w:rsid w:val="00960659"/>
    <w:rsid w:val="00960758"/>
    <w:rsid w:val="0096081F"/>
    <w:rsid w:val="009608DE"/>
    <w:rsid w:val="009609B4"/>
    <w:rsid w:val="00960A27"/>
    <w:rsid w:val="00960BC7"/>
    <w:rsid w:val="00960C14"/>
    <w:rsid w:val="00960CEF"/>
    <w:rsid w:val="00960DD3"/>
    <w:rsid w:val="00960E72"/>
    <w:rsid w:val="00960F2A"/>
    <w:rsid w:val="00960FBE"/>
    <w:rsid w:val="0096104F"/>
    <w:rsid w:val="009612AE"/>
    <w:rsid w:val="00961AB8"/>
    <w:rsid w:val="00961BD5"/>
    <w:rsid w:val="00961E12"/>
    <w:rsid w:val="00961E1C"/>
    <w:rsid w:val="0096205D"/>
    <w:rsid w:val="00962129"/>
    <w:rsid w:val="00962137"/>
    <w:rsid w:val="0096219E"/>
    <w:rsid w:val="009621AD"/>
    <w:rsid w:val="009622E2"/>
    <w:rsid w:val="009623C5"/>
    <w:rsid w:val="0096258A"/>
    <w:rsid w:val="00962759"/>
    <w:rsid w:val="009628BD"/>
    <w:rsid w:val="009628C3"/>
    <w:rsid w:val="00962994"/>
    <w:rsid w:val="00962A8F"/>
    <w:rsid w:val="00962ACB"/>
    <w:rsid w:val="00962E37"/>
    <w:rsid w:val="009630B6"/>
    <w:rsid w:val="0096314C"/>
    <w:rsid w:val="00963151"/>
    <w:rsid w:val="009632C9"/>
    <w:rsid w:val="009632FB"/>
    <w:rsid w:val="009636C0"/>
    <w:rsid w:val="00963AC0"/>
    <w:rsid w:val="00964442"/>
    <w:rsid w:val="0096449A"/>
    <w:rsid w:val="009645F6"/>
    <w:rsid w:val="00964625"/>
    <w:rsid w:val="009646B4"/>
    <w:rsid w:val="00964A32"/>
    <w:rsid w:val="00964A4F"/>
    <w:rsid w:val="00964C03"/>
    <w:rsid w:val="00964D7B"/>
    <w:rsid w:val="00964DEB"/>
    <w:rsid w:val="00964F24"/>
    <w:rsid w:val="009652DB"/>
    <w:rsid w:val="00965307"/>
    <w:rsid w:val="0096548A"/>
    <w:rsid w:val="0096569C"/>
    <w:rsid w:val="009656D9"/>
    <w:rsid w:val="00965786"/>
    <w:rsid w:val="00965952"/>
    <w:rsid w:val="0096599A"/>
    <w:rsid w:val="00965B4D"/>
    <w:rsid w:val="00965BA5"/>
    <w:rsid w:val="00965C82"/>
    <w:rsid w:val="00965DF1"/>
    <w:rsid w:val="00965DFA"/>
    <w:rsid w:val="00965EB0"/>
    <w:rsid w:val="00965F11"/>
    <w:rsid w:val="0096600E"/>
    <w:rsid w:val="00966235"/>
    <w:rsid w:val="009663DB"/>
    <w:rsid w:val="00966480"/>
    <w:rsid w:val="00966490"/>
    <w:rsid w:val="0096665C"/>
    <w:rsid w:val="009666AE"/>
    <w:rsid w:val="00966705"/>
    <w:rsid w:val="009667EE"/>
    <w:rsid w:val="009669AD"/>
    <w:rsid w:val="00966AAA"/>
    <w:rsid w:val="00966C42"/>
    <w:rsid w:val="00966D57"/>
    <w:rsid w:val="00966DE4"/>
    <w:rsid w:val="00966EB7"/>
    <w:rsid w:val="0096729A"/>
    <w:rsid w:val="009672E5"/>
    <w:rsid w:val="00967601"/>
    <w:rsid w:val="00967696"/>
    <w:rsid w:val="00967FAF"/>
    <w:rsid w:val="009700F7"/>
    <w:rsid w:val="009701DC"/>
    <w:rsid w:val="0097053C"/>
    <w:rsid w:val="009707F5"/>
    <w:rsid w:val="00970838"/>
    <w:rsid w:val="009708D6"/>
    <w:rsid w:val="00970965"/>
    <w:rsid w:val="009709B1"/>
    <w:rsid w:val="00970A87"/>
    <w:rsid w:val="00970C8C"/>
    <w:rsid w:val="00970DC9"/>
    <w:rsid w:val="00970EF4"/>
    <w:rsid w:val="00970FA9"/>
    <w:rsid w:val="00970FD7"/>
    <w:rsid w:val="0097103E"/>
    <w:rsid w:val="00971089"/>
    <w:rsid w:val="009712AF"/>
    <w:rsid w:val="0097132E"/>
    <w:rsid w:val="00971515"/>
    <w:rsid w:val="009715BF"/>
    <w:rsid w:val="00971734"/>
    <w:rsid w:val="00971819"/>
    <w:rsid w:val="0097197C"/>
    <w:rsid w:val="00971ADA"/>
    <w:rsid w:val="00971AEE"/>
    <w:rsid w:val="00971BDA"/>
    <w:rsid w:val="00971C15"/>
    <w:rsid w:val="00971D6B"/>
    <w:rsid w:val="00972077"/>
    <w:rsid w:val="009720B6"/>
    <w:rsid w:val="009720EC"/>
    <w:rsid w:val="00972117"/>
    <w:rsid w:val="009723B3"/>
    <w:rsid w:val="009724C8"/>
    <w:rsid w:val="009724EC"/>
    <w:rsid w:val="009724F3"/>
    <w:rsid w:val="00972576"/>
    <w:rsid w:val="0097257A"/>
    <w:rsid w:val="0097288C"/>
    <w:rsid w:val="00972A11"/>
    <w:rsid w:val="00972A8B"/>
    <w:rsid w:val="00972A95"/>
    <w:rsid w:val="00972CED"/>
    <w:rsid w:val="00972DA0"/>
    <w:rsid w:val="00972F3B"/>
    <w:rsid w:val="00972FCE"/>
    <w:rsid w:val="009730A0"/>
    <w:rsid w:val="0097316B"/>
    <w:rsid w:val="009733E5"/>
    <w:rsid w:val="0097354A"/>
    <w:rsid w:val="00973780"/>
    <w:rsid w:val="009737E5"/>
    <w:rsid w:val="0097388C"/>
    <w:rsid w:val="0097395C"/>
    <w:rsid w:val="00973A3A"/>
    <w:rsid w:val="00973C06"/>
    <w:rsid w:val="00973C0E"/>
    <w:rsid w:val="00973C4F"/>
    <w:rsid w:val="00973E23"/>
    <w:rsid w:val="00973F97"/>
    <w:rsid w:val="0097405E"/>
    <w:rsid w:val="00974068"/>
    <w:rsid w:val="00974272"/>
    <w:rsid w:val="00974839"/>
    <w:rsid w:val="00974AAC"/>
    <w:rsid w:val="00974B5B"/>
    <w:rsid w:val="00974E3E"/>
    <w:rsid w:val="00974F22"/>
    <w:rsid w:val="00974F89"/>
    <w:rsid w:val="00974FAA"/>
    <w:rsid w:val="00975030"/>
    <w:rsid w:val="009751D4"/>
    <w:rsid w:val="009753E5"/>
    <w:rsid w:val="0097545D"/>
    <w:rsid w:val="009754A5"/>
    <w:rsid w:val="0097551B"/>
    <w:rsid w:val="0097567F"/>
    <w:rsid w:val="009758C4"/>
    <w:rsid w:val="009758EF"/>
    <w:rsid w:val="00975A6E"/>
    <w:rsid w:val="00975B73"/>
    <w:rsid w:val="00975BA9"/>
    <w:rsid w:val="00975BEA"/>
    <w:rsid w:val="00975CB2"/>
    <w:rsid w:val="00975D62"/>
    <w:rsid w:val="00975E20"/>
    <w:rsid w:val="00975FBA"/>
    <w:rsid w:val="0097601D"/>
    <w:rsid w:val="00976429"/>
    <w:rsid w:val="009765B4"/>
    <w:rsid w:val="00976B00"/>
    <w:rsid w:val="00976BD9"/>
    <w:rsid w:val="00976E70"/>
    <w:rsid w:val="00977108"/>
    <w:rsid w:val="0097716C"/>
    <w:rsid w:val="00977184"/>
    <w:rsid w:val="0097718F"/>
    <w:rsid w:val="00977191"/>
    <w:rsid w:val="009772EF"/>
    <w:rsid w:val="00977366"/>
    <w:rsid w:val="009773E7"/>
    <w:rsid w:val="00977504"/>
    <w:rsid w:val="00977526"/>
    <w:rsid w:val="009777B5"/>
    <w:rsid w:val="0097782C"/>
    <w:rsid w:val="00977A30"/>
    <w:rsid w:val="00977A76"/>
    <w:rsid w:val="00977C1D"/>
    <w:rsid w:val="00977C3D"/>
    <w:rsid w:val="00977C51"/>
    <w:rsid w:val="00977D3D"/>
    <w:rsid w:val="0098000C"/>
    <w:rsid w:val="0098011A"/>
    <w:rsid w:val="00980262"/>
    <w:rsid w:val="009802C9"/>
    <w:rsid w:val="0098037A"/>
    <w:rsid w:val="0098037D"/>
    <w:rsid w:val="009803D6"/>
    <w:rsid w:val="0098065A"/>
    <w:rsid w:val="009806EA"/>
    <w:rsid w:val="00980843"/>
    <w:rsid w:val="00980855"/>
    <w:rsid w:val="00980909"/>
    <w:rsid w:val="00980B13"/>
    <w:rsid w:val="00980BDA"/>
    <w:rsid w:val="00980D02"/>
    <w:rsid w:val="00980D68"/>
    <w:rsid w:val="00980F29"/>
    <w:rsid w:val="009811BE"/>
    <w:rsid w:val="0098122B"/>
    <w:rsid w:val="00981268"/>
    <w:rsid w:val="009814AD"/>
    <w:rsid w:val="00981605"/>
    <w:rsid w:val="00981894"/>
    <w:rsid w:val="00981991"/>
    <w:rsid w:val="00981A35"/>
    <w:rsid w:val="00981A62"/>
    <w:rsid w:val="00981B66"/>
    <w:rsid w:val="00981BE2"/>
    <w:rsid w:val="00981C4B"/>
    <w:rsid w:val="00981C85"/>
    <w:rsid w:val="00981C93"/>
    <w:rsid w:val="00981E2A"/>
    <w:rsid w:val="009820AF"/>
    <w:rsid w:val="009821E6"/>
    <w:rsid w:val="0098237F"/>
    <w:rsid w:val="009824D3"/>
    <w:rsid w:val="00982699"/>
    <w:rsid w:val="00982865"/>
    <w:rsid w:val="009828BE"/>
    <w:rsid w:val="00982AAF"/>
    <w:rsid w:val="00982FCD"/>
    <w:rsid w:val="009830B1"/>
    <w:rsid w:val="00983168"/>
    <w:rsid w:val="009831F1"/>
    <w:rsid w:val="0098324D"/>
    <w:rsid w:val="009834D7"/>
    <w:rsid w:val="00983856"/>
    <w:rsid w:val="009839F9"/>
    <w:rsid w:val="00983C81"/>
    <w:rsid w:val="00983EEA"/>
    <w:rsid w:val="00983F2B"/>
    <w:rsid w:val="00984150"/>
    <w:rsid w:val="0098434F"/>
    <w:rsid w:val="00984558"/>
    <w:rsid w:val="0098460A"/>
    <w:rsid w:val="00984783"/>
    <w:rsid w:val="00984784"/>
    <w:rsid w:val="009847E5"/>
    <w:rsid w:val="00984861"/>
    <w:rsid w:val="00984893"/>
    <w:rsid w:val="009848D9"/>
    <w:rsid w:val="00984C23"/>
    <w:rsid w:val="00984E51"/>
    <w:rsid w:val="00984F8C"/>
    <w:rsid w:val="00984F8D"/>
    <w:rsid w:val="00985233"/>
    <w:rsid w:val="00985289"/>
    <w:rsid w:val="00985444"/>
    <w:rsid w:val="0098554F"/>
    <w:rsid w:val="009855B8"/>
    <w:rsid w:val="00985663"/>
    <w:rsid w:val="00985715"/>
    <w:rsid w:val="0098594A"/>
    <w:rsid w:val="00985A09"/>
    <w:rsid w:val="00985ABF"/>
    <w:rsid w:val="00985D18"/>
    <w:rsid w:val="00985D2B"/>
    <w:rsid w:val="00985E3E"/>
    <w:rsid w:val="00985E52"/>
    <w:rsid w:val="00985F56"/>
    <w:rsid w:val="00986287"/>
    <w:rsid w:val="0098635E"/>
    <w:rsid w:val="009863F5"/>
    <w:rsid w:val="00986447"/>
    <w:rsid w:val="009866A3"/>
    <w:rsid w:val="00986B0C"/>
    <w:rsid w:val="00986D8F"/>
    <w:rsid w:val="00987057"/>
    <w:rsid w:val="009871AB"/>
    <w:rsid w:val="009871D3"/>
    <w:rsid w:val="009872F9"/>
    <w:rsid w:val="009873B8"/>
    <w:rsid w:val="0098750C"/>
    <w:rsid w:val="00987548"/>
    <w:rsid w:val="009875D1"/>
    <w:rsid w:val="009876A4"/>
    <w:rsid w:val="009877CA"/>
    <w:rsid w:val="009877CF"/>
    <w:rsid w:val="00987813"/>
    <w:rsid w:val="009878E0"/>
    <w:rsid w:val="00987B42"/>
    <w:rsid w:val="00987B56"/>
    <w:rsid w:val="00987E46"/>
    <w:rsid w:val="00987FFC"/>
    <w:rsid w:val="009901B3"/>
    <w:rsid w:val="00990351"/>
    <w:rsid w:val="009903E9"/>
    <w:rsid w:val="00990484"/>
    <w:rsid w:val="00990531"/>
    <w:rsid w:val="00990569"/>
    <w:rsid w:val="00990571"/>
    <w:rsid w:val="009906BE"/>
    <w:rsid w:val="00990964"/>
    <w:rsid w:val="00990C74"/>
    <w:rsid w:val="00990D19"/>
    <w:rsid w:val="009910CD"/>
    <w:rsid w:val="0099113E"/>
    <w:rsid w:val="009911B5"/>
    <w:rsid w:val="0099128E"/>
    <w:rsid w:val="009914F0"/>
    <w:rsid w:val="00991685"/>
    <w:rsid w:val="00991780"/>
    <w:rsid w:val="00991823"/>
    <w:rsid w:val="00991A16"/>
    <w:rsid w:val="00991E85"/>
    <w:rsid w:val="00991EDE"/>
    <w:rsid w:val="009920EC"/>
    <w:rsid w:val="00992194"/>
    <w:rsid w:val="00992340"/>
    <w:rsid w:val="0099239D"/>
    <w:rsid w:val="009923CC"/>
    <w:rsid w:val="00992407"/>
    <w:rsid w:val="0099248D"/>
    <w:rsid w:val="00992577"/>
    <w:rsid w:val="009925AE"/>
    <w:rsid w:val="009927B2"/>
    <w:rsid w:val="009927FA"/>
    <w:rsid w:val="00992A97"/>
    <w:rsid w:val="00992C6E"/>
    <w:rsid w:val="00992D92"/>
    <w:rsid w:val="00992ED1"/>
    <w:rsid w:val="0099325E"/>
    <w:rsid w:val="009932A1"/>
    <w:rsid w:val="00993325"/>
    <w:rsid w:val="0099363A"/>
    <w:rsid w:val="00993751"/>
    <w:rsid w:val="009937EE"/>
    <w:rsid w:val="009939A2"/>
    <w:rsid w:val="009939F6"/>
    <w:rsid w:val="00993A31"/>
    <w:rsid w:val="00993E84"/>
    <w:rsid w:val="00993FC7"/>
    <w:rsid w:val="0099413D"/>
    <w:rsid w:val="00994640"/>
    <w:rsid w:val="00994793"/>
    <w:rsid w:val="0099495E"/>
    <w:rsid w:val="00994A82"/>
    <w:rsid w:val="00994B43"/>
    <w:rsid w:val="00994C3E"/>
    <w:rsid w:val="00994D30"/>
    <w:rsid w:val="00994D5B"/>
    <w:rsid w:val="00994DF9"/>
    <w:rsid w:val="009954B7"/>
    <w:rsid w:val="00995775"/>
    <w:rsid w:val="00995965"/>
    <w:rsid w:val="00995A0B"/>
    <w:rsid w:val="00995A3C"/>
    <w:rsid w:val="00995AAF"/>
    <w:rsid w:val="00995C4A"/>
    <w:rsid w:val="00995C91"/>
    <w:rsid w:val="00996020"/>
    <w:rsid w:val="0099625C"/>
    <w:rsid w:val="0099674F"/>
    <w:rsid w:val="009967F2"/>
    <w:rsid w:val="00996829"/>
    <w:rsid w:val="00996866"/>
    <w:rsid w:val="00996957"/>
    <w:rsid w:val="00996C32"/>
    <w:rsid w:val="00996D4B"/>
    <w:rsid w:val="00996DE3"/>
    <w:rsid w:val="00996E87"/>
    <w:rsid w:val="00996EE7"/>
    <w:rsid w:val="00997054"/>
    <w:rsid w:val="009971DF"/>
    <w:rsid w:val="00997367"/>
    <w:rsid w:val="00997475"/>
    <w:rsid w:val="00997790"/>
    <w:rsid w:val="009978FB"/>
    <w:rsid w:val="00997D4A"/>
    <w:rsid w:val="009A0052"/>
    <w:rsid w:val="009A00E2"/>
    <w:rsid w:val="009A0108"/>
    <w:rsid w:val="009A02EC"/>
    <w:rsid w:val="009A0318"/>
    <w:rsid w:val="009A03B8"/>
    <w:rsid w:val="009A03C0"/>
    <w:rsid w:val="009A03C5"/>
    <w:rsid w:val="009A04CD"/>
    <w:rsid w:val="009A057F"/>
    <w:rsid w:val="009A0677"/>
    <w:rsid w:val="009A06AB"/>
    <w:rsid w:val="009A07FD"/>
    <w:rsid w:val="009A08A9"/>
    <w:rsid w:val="009A08FE"/>
    <w:rsid w:val="009A0956"/>
    <w:rsid w:val="009A0AA3"/>
    <w:rsid w:val="009A0C67"/>
    <w:rsid w:val="009A0EA0"/>
    <w:rsid w:val="009A109A"/>
    <w:rsid w:val="009A1219"/>
    <w:rsid w:val="009A1323"/>
    <w:rsid w:val="009A14D8"/>
    <w:rsid w:val="009A15BB"/>
    <w:rsid w:val="009A1735"/>
    <w:rsid w:val="009A19DD"/>
    <w:rsid w:val="009A1AE2"/>
    <w:rsid w:val="009A1B2C"/>
    <w:rsid w:val="009A1B9E"/>
    <w:rsid w:val="009A1BC1"/>
    <w:rsid w:val="009A1CED"/>
    <w:rsid w:val="009A1EA9"/>
    <w:rsid w:val="009A1FBE"/>
    <w:rsid w:val="009A2003"/>
    <w:rsid w:val="009A2169"/>
    <w:rsid w:val="009A2187"/>
    <w:rsid w:val="009A2225"/>
    <w:rsid w:val="009A22BF"/>
    <w:rsid w:val="009A24E9"/>
    <w:rsid w:val="009A265D"/>
    <w:rsid w:val="009A295F"/>
    <w:rsid w:val="009A2A42"/>
    <w:rsid w:val="009A2A90"/>
    <w:rsid w:val="009A2C04"/>
    <w:rsid w:val="009A2D1C"/>
    <w:rsid w:val="009A2FEB"/>
    <w:rsid w:val="009A3082"/>
    <w:rsid w:val="009A30C5"/>
    <w:rsid w:val="009A3229"/>
    <w:rsid w:val="009A3519"/>
    <w:rsid w:val="009A3524"/>
    <w:rsid w:val="009A3819"/>
    <w:rsid w:val="009A39AA"/>
    <w:rsid w:val="009A39D7"/>
    <w:rsid w:val="009A3B67"/>
    <w:rsid w:val="009A3B6F"/>
    <w:rsid w:val="009A3C9A"/>
    <w:rsid w:val="009A3D7B"/>
    <w:rsid w:val="009A3DFA"/>
    <w:rsid w:val="009A3ED5"/>
    <w:rsid w:val="009A3F27"/>
    <w:rsid w:val="009A3F4E"/>
    <w:rsid w:val="009A4011"/>
    <w:rsid w:val="009A4247"/>
    <w:rsid w:val="009A4313"/>
    <w:rsid w:val="009A449D"/>
    <w:rsid w:val="009A47D2"/>
    <w:rsid w:val="009A4961"/>
    <w:rsid w:val="009A4E07"/>
    <w:rsid w:val="009A4F1D"/>
    <w:rsid w:val="009A4F5F"/>
    <w:rsid w:val="009A5063"/>
    <w:rsid w:val="009A50B6"/>
    <w:rsid w:val="009A51DA"/>
    <w:rsid w:val="009A5230"/>
    <w:rsid w:val="009A523A"/>
    <w:rsid w:val="009A5495"/>
    <w:rsid w:val="009A5574"/>
    <w:rsid w:val="009A5861"/>
    <w:rsid w:val="009A5E77"/>
    <w:rsid w:val="009A61AE"/>
    <w:rsid w:val="009A62CB"/>
    <w:rsid w:val="009A62EC"/>
    <w:rsid w:val="009A633C"/>
    <w:rsid w:val="009A641C"/>
    <w:rsid w:val="009A6578"/>
    <w:rsid w:val="009A66D0"/>
    <w:rsid w:val="009A68AE"/>
    <w:rsid w:val="009A69D8"/>
    <w:rsid w:val="009A6D36"/>
    <w:rsid w:val="009A6F35"/>
    <w:rsid w:val="009A7008"/>
    <w:rsid w:val="009A709C"/>
    <w:rsid w:val="009A7139"/>
    <w:rsid w:val="009A714E"/>
    <w:rsid w:val="009A71C1"/>
    <w:rsid w:val="009A71F2"/>
    <w:rsid w:val="009A72D6"/>
    <w:rsid w:val="009A738A"/>
    <w:rsid w:val="009A73F2"/>
    <w:rsid w:val="009A74D4"/>
    <w:rsid w:val="009A78D2"/>
    <w:rsid w:val="009A7A4A"/>
    <w:rsid w:val="009A7A72"/>
    <w:rsid w:val="009A7AB0"/>
    <w:rsid w:val="009A7AFA"/>
    <w:rsid w:val="009A7CA7"/>
    <w:rsid w:val="009A7FD1"/>
    <w:rsid w:val="009B002B"/>
    <w:rsid w:val="009B01FC"/>
    <w:rsid w:val="009B04B2"/>
    <w:rsid w:val="009B0731"/>
    <w:rsid w:val="009B0896"/>
    <w:rsid w:val="009B0914"/>
    <w:rsid w:val="009B0A7D"/>
    <w:rsid w:val="009B0D72"/>
    <w:rsid w:val="009B13CF"/>
    <w:rsid w:val="009B144F"/>
    <w:rsid w:val="009B1494"/>
    <w:rsid w:val="009B14E2"/>
    <w:rsid w:val="009B1522"/>
    <w:rsid w:val="009B158A"/>
    <w:rsid w:val="009B1700"/>
    <w:rsid w:val="009B18A6"/>
    <w:rsid w:val="009B192C"/>
    <w:rsid w:val="009B1AEB"/>
    <w:rsid w:val="009B1BFE"/>
    <w:rsid w:val="009B1C5A"/>
    <w:rsid w:val="009B1CC2"/>
    <w:rsid w:val="009B1F91"/>
    <w:rsid w:val="009B1FF4"/>
    <w:rsid w:val="009B2025"/>
    <w:rsid w:val="009B20EC"/>
    <w:rsid w:val="009B2139"/>
    <w:rsid w:val="009B2461"/>
    <w:rsid w:val="009B26E9"/>
    <w:rsid w:val="009B2703"/>
    <w:rsid w:val="009B2754"/>
    <w:rsid w:val="009B2B0C"/>
    <w:rsid w:val="009B2BD4"/>
    <w:rsid w:val="009B2BE5"/>
    <w:rsid w:val="009B2D31"/>
    <w:rsid w:val="009B2D48"/>
    <w:rsid w:val="009B2DBD"/>
    <w:rsid w:val="009B3027"/>
    <w:rsid w:val="009B347C"/>
    <w:rsid w:val="009B3570"/>
    <w:rsid w:val="009B3667"/>
    <w:rsid w:val="009B37E6"/>
    <w:rsid w:val="009B387D"/>
    <w:rsid w:val="009B38B9"/>
    <w:rsid w:val="009B3995"/>
    <w:rsid w:val="009B3C92"/>
    <w:rsid w:val="009B3D57"/>
    <w:rsid w:val="009B3F37"/>
    <w:rsid w:val="009B42BB"/>
    <w:rsid w:val="009B42E8"/>
    <w:rsid w:val="009B4313"/>
    <w:rsid w:val="009B49D2"/>
    <w:rsid w:val="009B4C5D"/>
    <w:rsid w:val="009B4E1A"/>
    <w:rsid w:val="009B4FA6"/>
    <w:rsid w:val="009B4FFF"/>
    <w:rsid w:val="009B51F6"/>
    <w:rsid w:val="009B53EF"/>
    <w:rsid w:val="009B5440"/>
    <w:rsid w:val="009B546C"/>
    <w:rsid w:val="009B55EB"/>
    <w:rsid w:val="009B568E"/>
    <w:rsid w:val="009B570E"/>
    <w:rsid w:val="009B583A"/>
    <w:rsid w:val="009B5913"/>
    <w:rsid w:val="009B5AEC"/>
    <w:rsid w:val="009B5CDA"/>
    <w:rsid w:val="009B63D1"/>
    <w:rsid w:val="009B6592"/>
    <w:rsid w:val="009B665C"/>
    <w:rsid w:val="009B6828"/>
    <w:rsid w:val="009B6830"/>
    <w:rsid w:val="009B699E"/>
    <w:rsid w:val="009B6C25"/>
    <w:rsid w:val="009B70E8"/>
    <w:rsid w:val="009B7229"/>
    <w:rsid w:val="009B7307"/>
    <w:rsid w:val="009B7367"/>
    <w:rsid w:val="009B746C"/>
    <w:rsid w:val="009B790B"/>
    <w:rsid w:val="009B792E"/>
    <w:rsid w:val="009B7B09"/>
    <w:rsid w:val="009B7DD7"/>
    <w:rsid w:val="009B7F75"/>
    <w:rsid w:val="009C020D"/>
    <w:rsid w:val="009C0224"/>
    <w:rsid w:val="009C031B"/>
    <w:rsid w:val="009C034E"/>
    <w:rsid w:val="009C068F"/>
    <w:rsid w:val="009C089B"/>
    <w:rsid w:val="009C0915"/>
    <w:rsid w:val="009C0A6F"/>
    <w:rsid w:val="009C0A76"/>
    <w:rsid w:val="009C0B9D"/>
    <w:rsid w:val="009C0BD0"/>
    <w:rsid w:val="009C0C83"/>
    <w:rsid w:val="009C1069"/>
    <w:rsid w:val="009C10EC"/>
    <w:rsid w:val="009C123B"/>
    <w:rsid w:val="009C12A0"/>
    <w:rsid w:val="009C131F"/>
    <w:rsid w:val="009C1356"/>
    <w:rsid w:val="009C175D"/>
    <w:rsid w:val="009C1898"/>
    <w:rsid w:val="009C18D4"/>
    <w:rsid w:val="009C190B"/>
    <w:rsid w:val="009C203B"/>
    <w:rsid w:val="009C20CB"/>
    <w:rsid w:val="009C2146"/>
    <w:rsid w:val="009C22B3"/>
    <w:rsid w:val="009C25E4"/>
    <w:rsid w:val="009C2742"/>
    <w:rsid w:val="009C288F"/>
    <w:rsid w:val="009C2A91"/>
    <w:rsid w:val="009C2ADF"/>
    <w:rsid w:val="009C2B08"/>
    <w:rsid w:val="009C2B12"/>
    <w:rsid w:val="009C2CA1"/>
    <w:rsid w:val="009C327D"/>
    <w:rsid w:val="009C33C9"/>
    <w:rsid w:val="009C363C"/>
    <w:rsid w:val="009C37FF"/>
    <w:rsid w:val="009C381D"/>
    <w:rsid w:val="009C39C8"/>
    <w:rsid w:val="009C3A04"/>
    <w:rsid w:val="009C3A4E"/>
    <w:rsid w:val="009C3C84"/>
    <w:rsid w:val="009C3C8F"/>
    <w:rsid w:val="009C3D59"/>
    <w:rsid w:val="009C3DAE"/>
    <w:rsid w:val="009C4129"/>
    <w:rsid w:val="009C42DD"/>
    <w:rsid w:val="009C4459"/>
    <w:rsid w:val="009C45AB"/>
    <w:rsid w:val="009C468A"/>
    <w:rsid w:val="009C46E3"/>
    <w:rsid w:val="009C4707"/>
    <w:rsid w:val="009C476A"/>
    <w:rsid w:val="009C4AC3"/>
    <w:rsid w:val="009C4B2F"/>
    <w:rsid w:val="009C4B53"/>
    <w:rsid w:val="009C4C45"/>
    <w:rsid w:val="009C4C7F"/>
    <w:rsid w:val="009C4EA5"/>
    <w:rsid w:val="009C4F92"/>
    <w:rsid w:val="009C51CB"/>
    <w:rsid w:val="009C52EA"/>
    <w:rsid w:val="009C543C"/>
    <w:rsid w:val="009C5449"/>
    <w:rsid w:val="009C566A"/>
    <w:rsid w:val="009C5748"/>
    <w:rsid w:val="009C5788"/>
    <w:rsid w:val="009C57F2"/>
    <w:rsid w:val="009C59BD"/>
    <w:rsid w:val="009C5A08"/>
    <w:rsid w:val="009C5B71"/>
    <w:rsid w:val="009C5C94"/>
    <w:rsid w:val="009C5E25"/>
    <w:rsid w:val="009C5E58"/>
    <w:rsid w:val="009C606E"/>
    <w:rsid w:val="009C616C"/>
    <w:rsid w:val="009C6397"/>
    <w:rsid w:val="009C65DF"/>
    <w:rsid w:val="009C6713"/>
    <w:rsid w:val="009C676B"/>
    <w:rsid w:val="009C69D4"/>
    <w:rsid w:val="009C6AA9"/>
    <w:rsid w:val="009C6C5C"/>
    <w:rsid w:val="009C6D4B"/>
    <w:rsid w:val="009C6DC6"/>
    <w:rsid w:val="009C6F95"/>
    <w:rsid w:val="009C722C"/>
    <w:rsid w:val="009C7410"/>
    <w:rsid w:val="009C7471"/>
    <w:rsid w:val="009C7631"/>
    <w:rsid w:val="009C7685"/>
    <w:rsid w:val="009C79D9"/>
    <w:rsid w:val="009C7C31"/>
    <w:rsid w:val="009C7CAF"/>
    <w:rsid w:val="009C7D17"/>
    <w:rsid w:val="009C7E32"/>
    <w:rsid w:val="009C7EF2"/>
    <w:rsid w:val="009C7F2A"/>
    <w:rsid w:val="009D0085"/>
    <w:rsid w:val="009D0230"/>
    <w:rsid w:val="009D034F"/>
    <w:rsid w:val="009D05C8"/>
    <w:rsid w:val="009D09F3"/>
    <w:rsid w:val="009D0D54"/>
    <w:rsid w:val="009D0E32"/>
    <w:rsid w:val="009D0E33"/>
    <w:rsid w:val="009D0F04"/>
    <w:rsid w:val="009D14FF"/>
    <w:rsid w:val="009D152D"/>
    <w:rsid w:val="009D15CD"/>
    <w:rsid w:val="009D1995"/>
    <w:rsid w:val="009D1B9D"/>
    <w:rsid w:val="009D1CC4"/>
    <w:rsid w:val="009D1DBF"/>
    <w:rsid w:val="009D1E5A"/>
    <w:rsid w:val="009D20B0"/>
    <w:rsid w:val="009D20B5"/>
    <w:rsid w:val="009D2143"/>
    <w:rsid w:val="009D22E5"/>
    <w:rsid w:val="009D23B1"/>
    <w:rsid w:val="009D2458"/>
    <w:rsid w:val="009D245B"/>
    <w:rsid w:val="009D257E"/>
    <w:rsid w:val="009D25BC"/>
    <w:rsid w:val="009D27EB"/>
    <w:rsid w:val="009D2927"/>
    <w:rsid w:val="009D2966"/>
    <w:rsid w:val="009D2B29"/>
    <w:rsid w:val="009D2C7D"/>
    <w:rsid w:val="009D2EDB"/>
    <w:rsid w:val="009D3085"/>
    <w:rsid w:val="009D309B"/>
    <w:rsid w:val="009D3196"/>
    <w:rsid w:val="009D31BB"/>
    <w:rsid w:val="009D3368"/>
    <w:rsid w:val="009D3547"/>
    <w:rsid w:val="009D3749"/>
    <w:rsid w:val="009D3798"/>
    <w:rsid w:val="009D3AE0"/>
    <w:rsid w:val="009D3E1A"/>
    <w:rsid w:val="009D3F76"/>
    <w:rsid w:val="009D3FD5"/>
    <w:rsid w:val="009D408B"/>
    <w:rsid w:val="009D4111"/>
    <w:rsid w:val="009D41D0"/>
    <w:rsid w:val="009D4461"/>
    <w:rsid w:val="009D45F6"/>
    <w:rsid w:val="009D47C8"/>
    <w:rsid w:val="009D4877"/>
    <w:rsid w:val="009D4A32"/>
    <w:rsid w:val="009D4B71"/>
    <w:rsid w:val="009D4B9C"/>
    <w:rsid w:val="009D4DF4"/>
    <w:rsid w:val="009D51A6"/>
    <w:rsid w:val="009D5396"/>
    <w:rsid w:val="009D53BD"/>
    <w:rsid w:val="009D5495"/>
    <w:rsid w:val="009D54A3"/>
    <w:rsid w:val="009D580D"/>
    <w:rsid w:val="009D5942"/>
    <w:rsid w:val="009D59BC"/>
    <w:rsid w:val="009D59DB"/>
    <w:rsid w:val="009D5A67"/>
    <w:rsid w:val="009D5A90"/>
    <w:rsid w:val="009D5ED4"/>
    <w:rsid w:val="009D5F26"/>
    <w:rsid w:val="009D5F54"/>
    <w:rsid w:val="009D5FC7"/>
    <w:rsid w:val="009D5FD8"/>
    <w:rsid w:val="009D61A3"/>
    <w:rsid w:val="009D64AE"/>
    <w:rsid w:val="009D6736"/>
    <w:rsid w:val="009D6774"/>
    <w:rsid w:val="009D6885"/>
    <w:rsid w:val="009D68B3"/>
    <w:rsid w:val="009D6971"/>
    <w:rsid w:val="009D6A12"/>
    <w:rsid w:val="009D6A3F"/>
    <w:rsid w:val="009D6A91"/>
    <w:rsid w:val="009D6AA4"/>
    <w:rsid w:val="009D6C12"/>
    <w:rsid w:val="009D6ECC"/>
    <w:rsid w:val="009D700C"/>
    <w:rsid w:val="009D712C"/>
    <w:rsid w:val="009D7148"/>
    <w:rsid w:val="009D7226"/>
    <w:rsid w:val="009D73C4"/>
    <w:rsid w:val="009D7511"/>
    <w:rsid w:val="009D751B"/>
    <w:rsid w:val="009D785F"/>
    <w:rsid w:val="009D78DD"/>
    <w:rsid w:val="009D79FA"/>
    <w:rsid w:val="009D7D0A"/>
    <w:rsid w:val="009D7F56"/>
    <w:rsid w:val="009D7FA9"/>
    <w:rsid w:val="009E0061"/>
    <w:rsid w:val="009E0094"/>
    <w:rsid w:val="009E00E7"/>
    <w:rsid w:val="009E0249"/>
    <w:rsid w:val="009E0286"/>
    <w:rsid w:val="009E04E6"/>
    <w:rsid w:val="009E054C"/>
    <w:rsid w:val="009E0743"/>
    <w:rsid w:val="009E0A31"/>
    <w:rsid w:val="009E0D01"/>
    <w:rsid w:val="009E0DA3"/>
    <w:rsid w:val="009E0DD3"/>
    <w:rsid w:val="009E0E31"/>
    <w:rsid w:val="009E0E81"/>
    <w:rsid w:val="009E0EA2"/>
    <w:rsid w:val="009E0F91"/>
    <w:rsid w:val="009E118E"/>
    <w:rsid w:val="009E1191"/>
    <w:rsid w:val="009E1253"/>
    <w:rsid w:val="009E181B"/>
    <w:rsid w:val="009E1989"/>
    <w:rsid w:val="009E1DF2"/>
    <w:rsid w:val="009E20CF"/>
    <w:rsid w:val="009E214D"/>
    <w:rsid w:val="009E219E"/>
    <w:rsid w:val="009E21C1"/>
    <w:rsid w:val="009E22E0"/>
    <w:rsid w:val="009E2431"/>
    <w:rsid w:val="009E2478"/>
    <w:rsid w:val="009E2622"/>
    <w:rsid w:val="009E2894"/>
    <w:rsid w:val="009E28EC"/>
    <w:rsid w:val="009E29C5"/>
    <w:rsid w:val="009E2AD8"/>
    <w:rsid w:val="009E2B31"/>
    <w:rsid w:val="009E2B75"/>
    <w:rsid w:val="009E2CAD"/>
    <w:rsid w:val="009E2DF7"/>
    <w:rsid w:val="009E2E32"/>
    <w:rsid w:val="009E2EED"/>
    <w:rsid w:val="009E30FC"/>
    <w:rsid w:val="009E315A"/>
    <w:rsid w:val="009E31A0"/>
    <w:rsid w:val="009E3252"/>
    <w:rsid w:val="009E334B"/>
    <w:rsid w:val="009E341C"/>
    <w:rsid w:val="009E3493"/>
    <w:rsid w:val="009E358E"/>
    <w:rsid w:val="009E363E"/>
    <w:rsid w:val="009E37CB"/>
    <w:rsid w:val="009E3B36"/>
    <w:rsid w:val="009E3B50"/>
    <w:rsid w:val="009E3CA9"/>
    <w:rsid w:val="009E3E8A"/>
    <w:rsid w:val="009E3EF3"/>
    <w:rsid w:val="009E3FA2"/>
    <w:rsid w:val="009E40B5"/>
    <w:rsid w:val="009E44E5"/>
    <w:rsid w:val="009E455C"/>
    <w:rsid w:val="009E4584"/>
    <w:rsid w:val="009E471F"/>
    <w:rsid w:val="009E4841"/>
    <w:rsid w:val="009E4AB2"/>
    <w:rsid w:val="009E4BCE"/>
    <w:rsid w:val="009E4D63"/>
    <w:rsid w:val="009E4DD7"/>
    <w:rsid w:val="009E4E16"/>
    <w:rsid w:val="009E4E71"/>
    <w:rsid w:val="009E4FFC"/>
    <w:rsid w:val="009E5661"/>
    <w:rsid w:val="009E56E6"/>
    <w:rsid w:val="009E56F0"/>
    <w:rsid w:val="009E588C"/>
    <w:rsid w:val="009E5958"/>
    <w:rsid w:val="009E59E0"/>
    <w:rsid w:val="009E5CBC"/>
    <w:rsid w:val="009E5CE2"/>
    <w:rsid w:val="009E5D21"/>
    <w:rsid w:val="009E5D9A"/>
    <w:rsid w:val="009E5DB5"/>
    <w:rsid w:val="009E5F7A"/>
    <w:rsid w:val="009E60F7"/>
    <w:rsid w:val="009E657F"/>
    <w:rsid w:val="009E6928"/>
    <w:rsid w:val="009E6952"/>
    <w:rsid w:val="009E6A51"/>
    <w:rsid w:val="009E6B87"/>
    <w:rsid w:val="009E7002"/>
    <w:rsid w:val="009E70DB"/>
    <w:rsid w:val="009E74E5"/>
    <w:rsid w:val="009E7593"/>
    <w:rsid w:val="009E78E7"/>
    <w:rsid w:val="009E7919"/>
    <w:rsid w:val="009E7983"/>
    <w:rsid w:val="009E7D79"/>
    <w:rsid w:val="009E7DCB"/>
    <w:rsid w:val="009F00BA"/>
    <w:rsid w:val="009F02CC"/>
    <w:rsid w:val="009F03D3"/>
    <w:rsid w:val="009F0690"/>
    <w:rsid w:val="009F06DD"/>
    <w:rsid w:val="009F070B"/>
    <w:rsid w:val="009F0835"/>
    <w:rsid w:val="009F0839"/>
    <w:rsid w:val="009F0BBC"/>
    <w:rsid w:val="009F0C92"/>
    <w:rsid w:val="009F0E22"/>
    <w:rsid w:val="009F0E3F"/>
    <w:rsid w:val="009F102E"/>
    <w:rsid w:val="009F1111"/>
    <w:rsid w:val="009F1163"/>
    <w:rsid w:val="009F13D7"/>
    <w:rsid w:val="009F140C"/>
    <w:rsid w:val="009F1465"/>
    <w:rsid w:val="009F1706"/>
    <w:rsid w:val="009F17A1"/>
    <w:rsid w:val="009F17B6"/>
    <w:rsid w:val="009F1861"/>
    <w:rsid w:val="009F18A3"/>
    <w:rsid w:val="009F1923"/>
    <w:rsid w:val="009F1975"/>
    <w:rsid w:val="009F19F6"/>
    <w:rsid w:val="009F1BD2"/>
    <w:rsid w:val="009F1CA1"/>
    <w:rsid w:val="009F207A"/>
    <w:rsid w:val="009F2099"/>
    <w:rsid w:val="009F20AC"/>
    <w:rsid w:val="009F215F"/>
    <w:rsid w:val="009F22C5"/>
    <w:rsid w:val="009F2316"/>
    <w:rsid w:val="009F23A7"/>
    <w:rsid w:val="009F242A"/>
    <w:rsid w:val="009F2747"/>
    <w:rsid w:val="009F276B"/>
    <w:rsid w:val="009F2809"/>
    <w:rsid w:val="009F282A"/>
    <w:rsid w:val="009F29BE"/>
    <w:rsid w:val="009F2C65"/>
    <w:rsid w:val="009F2CB8"/>
    <w:rsid w:val="009F2D4F"/>
    <w:rsid w:val="009F2E31"/>
    <w:rsid w:val="009F2EF0"/>
    <w:rsid w:val="009F304D"/>
    <w:rsid w:val="009F31EC"/>
    <w:rsid w:val="009F354C"/>
    <w:rsid w:val="009F37A0"/>
    <w:rsid w:val="009F3832"/>
    <w:rsid w:val="009F3863"/>
    <w:rsid w:val="009F3890"/>
    <w:rsid w:val="009F38CB"/>
    <w:rsid w:val="009F390E"/>
    <w:rsid w:val="009F394A"/>
    <w:rsid w:val="009F3991"/>
    <w:rsid w:val="009F3CBE"/>
    <w:rsid w:val="009F3DDE"/>
    <w:rsid w:val="009F3E85"/>
    <w:rsid w:val="009F3F1F"/>
    <w:rsid w:val="009F40DA"/>
    <w:rsid w:val="009F42B0"/>
    <w:rsid w:val="009F43D1"/>
    <w:rsid w:val="009F4436"/>
    <w:rsid w:val="009F4449"/>
    <w:rsid w:val="009F4570"/>
    <w:rsid w:val="009F45F7"/>
    <w:rsid w:val="009F46DB"/>
    <w:rsid w:val="009F49AE"/>
    <w:rsid w:val="009F4B20"/>
    <w:rsid w:val="009F4C11"/>
    <w:rsid w:val="009F4D13"/>
    <w:rsid w:val="009F4FB3"/>
    <w:rsid w:val="009F5149"/>
    <w:rsid w:val="009F58D1"/>
    <w:rsid w:val="009F5A86"/>
    <w:rsid w:val="009F5B88"/>
    <w:rsid w:val="009F5D49"/>
    <w:rsid w:val="009F5D60"/>
    <w:rsid w:val="009F61C6"/>
    <w:rsid w:val="009F63A8"/>
    <w:rsid w:val="009F63CB"/>
    <w:rsid w:val="009F66BC"/>
    <w:rsid w:val="009F679C"/>
    <w:rsid w:val="009F6823"/>
    <w:rsid w:val="009F6ABE"/>
    <w:rsid w:val="009F6B2C"/>
    <w:rsid w:val="009F6C79"/>
    <w:rsid w:val="009F6D10"/>
    <w:rsid w:val="009F6DBE"/>
    <w:rsid w:val="009F71D1"/>
    <w:rsid w:val="009F7245"/>
    <w:rsid w:val="009F740E"/>
    <w:rsid w:val="009F74C1"/>
    <w:rsid w:val="009F74D3"/>
    <w:rsid w:val="009F77A0"/>
    <w:rsid w:val="009F77B3"/>
    <w:rsid w:val="009F7850"/>
    <w:rsid w:val="009F7911"/>
    <w:rsid w:val="009F79F7"/>
    <w:rsid w:val="009F7AB9"/>
    <w:rsid w:val="009F7AC2"/>
    <w:rsid w:val="009F7C1A"/>
    <w:rsid w:val="009F7C2E"/>
    <w:rsid w:val="00A00269"/>
    <w:rsid w:val="00A006EF"/>
    <w:rsid w:val="00A00788"/>
    <w:rsid w:val="00A007E6"/>
    <w:rsid w:val="00A00907"/>
    <w:rsid w:val="00A00D4E"/>
    <w:rsid w:val="00A00DD6"/>
    <w:rsid w:val="00A00ED7"/>
    <w:rsid w:val="00A0127E"/>
    <w:rsid w:val="00A013AC"/>
    <w:rsid w:val="00A013BE"/>
    <w:rsid w:val="00A014F0"/>
    <w:rsid w:val="00A015BA"/>
    <w:rsid w:val="00A015D0"/>
    <w:rsid w:val="00A015F3"/>
    <w:rsid w:val="00A01656"/>
    <w:rsid w:val="00A017BA"/>
    <w:rsid w:val="00A017EE"/>
    <w:rsid w:val="00A01D90"/>
    <w:rsid w:val="00A01EFD"/>
    <w:rsid w:val="00A01FE9"/>
    <w:rsid w:val="00A0200A"/>
    <w:rsid w:val="00A02064"/>
    <w:rsid w:val="00A020B5"/>
    <w:rsid w:val="00A0216A"/>
    <w:rsid w:val="00A0231C"/>
    <w:rsid w:val="00A02627"/>
    <w:rsid w:val="00A026A1"/>
    <w:rsid w:val="00A026DF"/>
    <w:rsid w:val="00A027B9"/>
    <w:rsid w:val="00A027C2"/>
    <w:rsid w:val="00A0286F"/>
    <w:rsid w:val="00A028A5"/>
    <w:rsid w:val="00A0293E"/>
    <w:rsid w:val="00A02A72"/>
    <w:rsid w:val="00A02A94"/>
    <w:rsid w:val="00A02AE0"/>
    <w:rsid w:val="00A02FAA"/>
    <w:rsid w:val="00A0326A"/>
    <w:rsid w:val="00A0332A"/>
    <w:rsid w:val="00A033A5"/>
    <w:rsid w:val="00A034B2"/>
    <w:rsid w:val="00A03521"/>
    <w:rsid w:val="00A0359A"/>
    <w:rsid w:val="00A03601"/>
    <w:rsid w:val="00A03774"/>
    <w:rsid w:val="00A0378E"/>
    <w:rsid w:val="00A039E3"/>
    <w:rsid w:val="00A03A5F"/>
    <w:rsid w:val="00A03F6D"/>
    <w:rsid w:val="00A04074"/>
    <w:rsid w:val="00A04100"/>
    <w:rsid w:val="00A04164"/>
    <w:rsid w:val="00A043C9"/>
    <w:rsid w:val="00A043E2"/>
    <w:rsid w:val="00A04786"/>
    <w:rsid w:val="00A04A7D"/>
    <w:rsid w:val="00A04AE0"/>
    <w:rsid w:val="00A04E81"/>
    <w:rsid w:val="00A04EEF"/>
    <w:rsid w:val="00A04F60"/>
    <w:rsid w:val="00A04FD4"/>
    <w:rsid w:val="00A05035"/>
    <w:rsid w:val="00A0549D"/>
    <w:rsid w:val="00A05630"/>
    <w:rsid w:val="00A056BA"/>
    <w:rsid w:val="00A05A95"/>
    <w:rsid w:val="00A05D99"/>
    <w:rsid w:val="00A05DEC"/>
    <w:rsid w:val="00A05EB3"/>
    <w:rsid w:val="00A060A0"/>
    <w:rsid w:val="00A06543"/>
    <w:rsid w:val="00A066DE"/>
    <w:rsid w:val="00A06741"/>
    <w:rsid w:val="00A06755"/>
    <w:rsid w:val="00A06776"/>
    <w:rsid w:val="00A0686A"/>
    <w:rsid w:val="00A068A7"/>
    <w:rsid w:val="00A06931"/>
    <w:rsid w:val="00A06976"/>
    <w:rsid w:val="00A06B43"/>
    <w:rsid w:val="00A06BDA"/>
    <w:rsid w:val="00A06E81"/>
    <w:rsid w:val="00A06ED1"/>
    <w:rsid w:val="00A07029"/>
    <w:rsid w:val="00A0746B"/>
    <w:rsid w:val="00A075C8"/>
    <w:rsid w:val="00A0774D"/>
    <w:rsid w:val="00A07A84"/>
    <w:rsid w:val="00A07F3A"/>
    <w:rsid w:val="00A07F7D"/>
    <w:rsid w:val="00A07FA2"/>
    <w:rsid w:val="00A07FF3"/>
    <w:rsid w:val="00A103EC"/>
    <w:rsid w:val="00A1042F"/>
    <w:rsid w:val="00A10439"/>
    <w:rsid w:val="00A1061C"/>
    <w:rsid w:val="00A10848"/>
    <w:rsid w:val="00A10B65"/>
    <w:rsid w:val="00A10DD7"/>
    <w:rsid w:val="00A11018"/>
    <w:rsid w:val="00A111F5"/>
    <w:rsid w:val="00A11362"/>
    <w:rsid w:val="00A113EB"/>
    <w:rsid w:val="00A1150D"/>
    <w:rsid w:val="00A11518"/>
    <w:rsid w:val="00A11520"/>
    <w:rsid w:val="00A11673"/>
    <w:rsid w:val="00A116DF"/>
    <w:rsid w:val="00A11C35"/>
    <w:rsid w:val="00A11C45"/>
    <w:rsid w:val="00A11D83"/>
    <w:rsid w:val="00A11DE2"/>
    <w:rsid w:val="00A12293"/>
    <w:rsid w:val="00A1235F"/>
    <w:rsid w:val="00A12429"/>
    <w:rsid w:val="00A1248E"/>
    <w:rsid w:val="00A125C8"/>
    <w:rsid w:val="00A12AED"/>
    <w:rsid w:val="00A12FD9"/>
    <w:rsid w:val="00A130D4"/>
    <w:rsid w:val="00A131A0"/>
    <w:rsid w:val="00A131C5"/>
    <w:rsid w:val="00A1323B"/>
    <w:rsid w:val="00A1333F"/>
    <w:rsid w:val="00A1350F"/>
    <w:rsid w:val="00A135B2"/>
    <w:rsid w:val="00A13636"/>
    <w:rsid w:val="00A1374A"/>
    <w:rsid w:val="00A138F9"/>
    <w:rsid w:val="00A13B55"/>
    <w:rsid w:val="00A13C61"/>
    <w:rsid w:val="00A13C8C"/>
    <w:rsid w:val="00A13D1C"/>
    <w:rsid w:val="00A1407C"/>
    <w:rsid w:val="00A141E5"/>
    <w:rsid w:val="00A14217"/>
    <w:rsid w:val="00A14255"/>
    <w:rsid w:val="00A143C1"/>
    <w:rsid w:val="00A144EF"/>
    <w:rsid w:val="00A1451C"/>
    <w:rsid w:val="00A145D7"/>
    <w:rsid w:val="00A14721"/>
    <w:rsid w:val="00A14734"/>
    <w:rsid w:val="00A1473C"/>
    <w:rsid w:val="00A1478A"/>
    <w:rsid w:val="00A149E9"/>
    <w:rsid w:val="00A14AB2"/>
    <w:rsid w:val="00A14ABD"/>
    <w:rsid w:val="00A14ABE"/>
    <w:rsid w:val="00A14AFE"/>
    <w:rsid w:val="00A14D85"/>
    <w:rsid w:val="00A14E39"/>
    <w:rsid w:val="00A14E72"/>
    <w:rsid w:val="00A14EA2"/>
    <w:rsid w:val="00A14EB5"/>
    <w:rsid w:val="00A14FDF"/>
    <w:rsid w:val="00A1509F"/>
    <w:rsid w:val="00A15144"/>
    <w:rsid w:val="00A1539F"/>
    <w:rsid w:val="00A15512"/>
    <w:rsid w:val="00A15564"/>
    <w:rsid w:val="00A15581"/>
    <w:rsid w:val="00A155A1"/>
    <w:rsid w:val="00A15703"/>
    <w:rsid w:val="00A15846"/>
    <w:rsid w:val="00A1593F"/>
    <w:rsid w:val="00A159DE"/>
    <w:rsid w:val="00A15B57"/>
    <w:rsid w:val="00A15D19"/>
    <w:rsid w:val="00A16290"/>
    <w:rsid w:val="00A1661E"/>
    <w:rsid w:val="00A166AE"/>
    <w:rsid w:val="00A16A25"/>
    <w:rsid w:val="00A16B45"/>
    <w:rsid w:val="00A16BA2"/>
    <w:rsid w:val="00A16C46"/>
    <w:rsid w:val="00A16D1E"/>
    <w:rsid w:val="00A16DD1"/>
    <w:rsid w:val="00A16DD9"/>
    <w:rsid w:val="00A16E53"/>
    <w:rsid w:val="00A16EAE"/>
    <w:rsid w:val="00A16F02"/>
    <w:rsid w:val="00A16F6D"/>
    <w:rsid w:val="00A16FB9"/>
    <w:rsid w:val="00A17114"/>
    <w:rsid w:val="00A1742D"/>
    <w:rsid w:val="00A17441"/>
    <w:rsid w:val="00A1750A"/>
    <w:rsid w:val="00A17622"/>
    <w:rsid w:val="00A17642"/>
    <w:rsid w:val="00A1765F"/>
    <w:rsid w:val="00A1787D"/>
    <w:rsid w:val="00A179CC"/>
    <w:rsid w:val="00A17B75"/>
    <w:rsid w:val="00A17C74"/>
    <w:rsid w:val="00A17E02"/>
    <w:rsid w:val="00A201C3"/>
    <w:rsid w:val="00A20285"/>
    <w:rsid w:val="00A20492"/>
    <w:rsid w:val="00A205EE"/>
    <w:rsid w:val="00A208EC"/>
    <w:rsid w:val="00A20939"/>
    <w:rsid w:val="00A20A87"/>
    <w:rsid w:val="00A20DAB"/>
    <w:rsid w:val="00A21215"/>
    <w:rsid w:val="00A21258"/>
    <w:rsid w:val="00A21442"/>
    <w:rsid w:val="00A217C2"/>
    <w:rsid w:val="00A21955"/>
    <w:rsid w:val="00A21EAF"/>
    <w:rsid w:val="00A21F92"/>
    <w:rsid w:val="00A21FF9"/>
    <w:rsid w:val="00A22076"/>
    <w:rsid w:val="00A22253"/>
    <w:rsid w:val="00A2229E"/>
    <w:rsid w:val="00A223AB"/>
    <w:rsid w:val="00A22470"/>
    <w:rsid w:val="00A22503"/>
    <w:rsid w:val="00A22A12"/>
    <w:rsid w:val="00A22A2F"/>
    <w:rsid w:val="00A22ABE"/>
    <w:rsid w:val="00A22E07"/>
    <w:rsid w:val="00A2302E"/>
    <w:rsid w:val="00A23091"/>
    <w:rsid w:val="00A2310B"/>
    <w:rsid w:val="00A234A4"/>
    <w:rsid w:val="00A237FC"/>
    <w:rsid w:val="00A238AA"/>
    <w:rsid w:val="00A23B0D"/>
    <w:rsid w:val="00A23B7D"/>
    <w:rsid w:val="00A23D40"/>
    <w:rsid w:val="00A241CF"/>
    <w:rsid w:val="00A24214"/>
    <w:rsid w:val="00A24352"/>
    <w:rsid w:val="00A245AD"/>
    <w:rsid w:val="00A24650"/>
    <w:rsid w:val="00A24870"/>
    <w:rsid w:val="00A249E8"/>
    <w:rsid w:val="00A24ACA"/>
    <w:rsid w:val="00A24B5B"/>
    <w:rsid w:val="00A24FE9"/>
    <w:rsid w:val="00A25088"/>
    <w:rsid w:val="00A251E2"/>
    <w:rsid w:val="00A2536F"/>
    <w:rsid w:val="00A254B5"/>
    <w:rsid w:val="00A254BE"/>
    <w:rsid w:val="00A254C4"/>
    <w:rsid w:val="00A254E0"/>
    <w:rsid w:val="00A2554D"/>
    <w:rsid w:val="00A255BF"/>
    <w:rsid w:val="00A25765"/>
    <w:rsid w:val="00A257E5"/>
    <w:rsid w:val="00A2587C"/>
    <w:rsid w:val="00A258EF"/>
    <w:rsid w:val="00A25A01"/>
    <w:rsid w:val="00A25B00"/>
    <w:rsid w:val="00A25DF1"/>
    <w:rsid w:val="00A2627F"/>
    <w:rsid w:val="00A2628F"/>
    <w:rsid w:val="00A263F4"/>
    <w:rsid w:val="00A2644E"/>
    <w:rsid w:val="00A264BD"/>
    <w:rsid w:val="00A264FF"/>
    <w:rsid w:val="00A26534"/>
    <w:rsid w:val="00A26908"/>
    <w:rsid w:val="00A26AF2"/>
    <w:rsid w:val="00A26AF6"/>
    <w:rsid w:val="00A26B39"/>
    <w:rsid w:val="00A2711F"/>
    <w:rsid w:val="00A27398"/>
    <w:rsid w:val="00A274A9"/>
    <w:rsid w:val="00A2762C"/>
    <w:rsid w:val="00A27818"/>
    <w:rsid w:val="00A27879"/>
    <w:rsid w:val="00A27BCE"/>
    <w:rsid w:val="00A27DA5"/>
    <w:rsid w:val="00A27F81"/>
    <w:rsid w:val="00A301FE"/>
    <w:rsid w:val="00A3021D"/>
    <w:rsid w:val="00A3023C"/>
    <w:rsid w:val="00A3054C"/>
    <w:rsid w:val="00A3074B"/>
    <w:rsid w:val="00A308D8"/>
    <w:rsid w:val="00A309CC"/>
    <w:rsid w:val="00A309DA"/>
    <w:rsid w:val="00A30A97"/>
    <w:rsid w:val="00A30AF9"/>
    <w:rsid w:val="00A30CEE"/>
    <w:rsid w:val="00A30DA7"/>
    <w:rsid w:val="00A30DB3"/>
    <w:rsid w:val="00A30F41"/>
    <w:rsid w:val="00A310A8"/>
    <w:rsid w:val="00A31324"/>
    <w:rsid w:val="00A313E3"/>
    <w:rsid w:val="00A3150D"/>
    <w:rsid w:val="00A31606"/>
    <w:rsid w:val="00A31634"/>
    <w:rsid w:val="00A31665"/>
    <w:rsid w:val="00A3182C"/>
    <w:rsid w:val="00A31D8C"/>
    <w:rsid w:val="00A31DF8"/>
    <w:rsid w:val="00A32247"/>
    <w:rsid w:val="00A3226D"/>
    <w:rsid w:val="00A324A6"/>
    <w:rsid w:val="00A325A9"/>
    <w:rsid w:val="00A32630"/>
    <w:rsid w:val="00A32988"/>
    <w:rsid w:val="00A32997"/>
    <w:rsid w:val="00A32ACE"/>
    <w:rsid w:val="00A32B89"/>
    <w:rsid w:val="00A32CC6"/>
    <w:rsid w:val="00A32CFC"/>
    <w:rsid w:val="00A32D0C"/>
    <w:rsid w:val="00A32D95"/>
    <w:rsid w:val="00A32DFA"/>
    <w:rsid w:val="00A33023"/>
    <w:rsid w:val="00A330AD"/>
    <w:rsid w:val="00A33153"/>
    <w:rsid w:val="00A332E6"/>
    <w:rsid w:val="00A33341"/>
    <w:rsid w:val="00A333B7"/>
    <w:rsid w:val="00A3386F"/>
    <w:rsid w:val="00A338D0"/>
    <w:rsid w:val="00A33939"/>
    <w:rsid w:val="00A33DF1"/>
    <w:rsid w:val="00A33F10"/>
    <w:rsid w:val="00A33F18"/>
    <w:rsid w:val="00A34141"/>
    <w:rsid w:val="00A34198"/>
    <w:rsid w:val="00A34231"/>
    <w:rsid w:val="00A3432D"/>
    <w:rsid w:val="00A3440B"/>
    <w:rsid w:val="00A344A6"/>
    <w:rsid w:val="00A3459F"/>
    <w:rsid w:val="00A345A3"/>
    <w:rsid w:val="00A34646"/>
    <w:rsid w:val="00A3493E"/>
    <w:rsid w:val="00A34974"/>
    <w:rsid w:val="00A34DAC"/>
    <w:rsid w:val="00A35343"/>
    <w:rsid w:val="00A35435"/>
    <w:rsid w:val="00A3549D"/>
    <w:rsid w:val="00A3564F"/>
    <w:rsid w:val="00A356E1"/>
    <w:rsid w:val="00A359DB"/>
    <w:rsid w:val="00A35AE9"/>
    <w:rsid w:val="00A35B95"/>
    <w:rsid w:val="00A35C05"/>
    <w:rsid w:val="00A35D13"/>
    <w:rsid w:val="00A35D38"/>
    <w:rsid w:val="00A35DB1"/>
    <w:rsid w:val="00A35F02"/>
    <w:rsid w:val="00A360A3"/>
    <w:rsid w:val="00A361E0"/>
    <w:rsid w:val="00A36378"/>
    <w:rsid w:val="00A36547"/>
    <w:rsid w:val="00A3667E"/>
    <w:rsid w:val="00A3677D"/>
    <w:rsid w:val="00A367A9"/>
    <w:rsid w:val="00A36919"/>
    <w:rsid w:val="00A36C38"/>
    <w:rsid w:val="00A36D40"/>
    <w:rsid w:val="00A3712D"/>
    <w:rsid w:val="00A37150"/>
    <w:rsid w:val="00A371D4"/>
    <w:rsid w:val="00A373D2"/>
    <w:rsid w:val="00A374E2"/>
    <w:rsid w:val="00A378E4"/>
    <w:rsid w:val="00A379DC"/>
    <w:rsid w:val="00A37BE5"/>
    <w:rsid w:val="00A37BEA"/>
    <w:rsid w:val="00A37C3B"/>
    <w:rsid w:val="00A37C4D"/>
    <w:rsid w:val="00A400D3"/>
    <w:rsid w:val="00A403D6"/>
    <w:rsid w:val="00A403E9"/>
    <w:rsid w:val="00A4047F"/>
    <w:rsid w:val="00A40625"/>
    <w:rsid w:val="00A40646"/>
    <w:rsid w:val="00A406AA"/>
    <w:rsid w:val="00A406DC"/>
    <w:rsid w:val="00A408C1"/>
    <w:rsid w:val="00A40BD7"/>
    <w:rsid w:val="00A40D55"/>
    <w:rsid w:val="00A40D5B"/>
    <w:rsid w:val="00A40FD2"/>
    <w:rsid w:val="00A410EA"/>
    <w:rsid w:val="00A41119"/>
    <w:rsid w:val="00A41299"/>
    <w:rsid w:val="00A41357"/>
    <w:rsid w:val="00A41582"/>
    <w:rsid w:val="00A417B9"/>
    <w:rsid w:val="00A419FD"/>
    <w:rsid w:val="00A41B03"/>
    <w:rsid w:val="00A41B06"/>
    <w:rsid w:val="00A41B5F"/>
    <w:rsid w:val="00A41CBB"/>
    <w:rsid w:val="00A41D70"/>
    <w:rsid w:val="00A41EA2"/>
    <w:rsid w:val="00A4247C"/>
    <w:rsid w:val="00A42482"/>
    <w:rsid w:val="00A424FA"/>
    <w:rsid w:val="00A4267A"/>
    <w:rsid w:val="00A42859"/>
    <w:rsid w:val="00A42874"/>
    <w:rsid w:val="00A42C86"/>
    <w:rsid w:val="00A42CD5"/>
    <w:rsid w:val="00A42E1E"/>
    <w:rsid w:val="00A42EB9"/>
    <w:rsid w:val="00A42FD4"/>
    <w:rsid w:val="00A43025"/>
    <w:rsid w:val="00A430D1"/>
    <w:rsid w:val="00A4321E"/>
    <w:rsid w:val="00A4347E"/>
    <w:rsid w:val="00A4381E"/>
    <w:rsid w:val="00A43838"/>
    <w:rsid w:val="00A4387D"/>
    <w:rsid w:val="00A438F2"/>
    <w:rsid w:val="00A43DF6"/>
    <w:rsid w:val="00A43ED8"/>
    <w:rsid w:val="00A43F67"/>
    <w:rsid w:val="00A44116"/>
    <w:rsid w:val="00A44473"/>
    <w:rsid w:val="00A445F2"/>
    <w:rsid w:val="00A44646"/>
    <w:rsid w:val="00A44847"/>
    <w:rsid w:val="00A44977"/>
    <w:rsid w:val="00A44B3D"/>
    <w:rsid w:val="00A44CCD"/>
    <w:rsid w:val="00A44E2D"/>
    <w:rsid w:val="00A44FC9"/>
    <w:rsid w:val="00A45387"/>
    <w:rsid w:val="00A4566C"/>
    <w:rsid w:val="00A458A9"/>
    <w:rsid w:val="00A459B1"/>
    <w:rsid w:val="00A45C9C"/>
    <w:rsid w:val="00A45F89"/>
    <w:rsid w:val="00A45FF5"/>
    <w:rsid w:val="00A460D1"/>
    <w:rsid w:val="00A461EE"/>
    <w:rsid w:val="00A461F1"/>
    <w:rsid w:val="00A4630E"/>
    <w:rsid w:val="00A463B1"/>
    <w:rsid w:val="00A4661C"/>
    <w:rsid w:val="00A46716"/>
    <w:rsid w:val="00A4675D"/>
    <w:rsid w:val="00A4697C"/>
    <w:rsid w:val="00A46A66"/>
    <w:rsid w:val="00A46B44"/>
    <w:rsid w:val="00A46BBB"/>
    <w:rsid w:val="00A46BCF"/>
    <w:rsid w:val="00A47267"/>
    <w:rsid w:val="00A472B7"/>
    <w:rsid w:val="00A47482"/>
    <w:rsid w:val="00A47502"/>
    <w:rsid w:val="00A47508"/>
    <w:rsid w:val="00A4754E"/>
    <w:rsid w:val="00A477D3"/>
    <w:rsid w:val="00A478CC"/>
    <w:rsid w:val="00A47960"/>
    <w:rsid w:val="00A47AE4"/>
    <w:rsid w:val="00A47B74"/>
    <w:rsid w:val="00A47C58"/>
    <w:rsid w:val="00A47CE8"/>
    <w:rsid w:val="00A47DE3"/>
    <w:rsid w:val="00A5021D"/>
    <w:rsid w:val="00A5052E"/>
    <w:rsid w:val="00A50600"/>
    <w:rsid w:val="00A50968"/>
    <w:rsid w:val="00A50A8C"/>
    <w:rsid w:val="00A50ACF"/>
    <w:rsid w:val="00A50E35"/>
    <w:rsid w:val="00A50E60"/>
    <w:rsid w:val="00A50F5A"/>
    <w:rsid w:val="00A51220"/>
    <w:rsid w:val="00A513A7"/>
    <w:rsid w:val="00A517DB"/>
    <w:rsid w:val="00A51990"/>
    <w:rsid w:val="00A51ACB"/>
    <w:rsid w:val="00A51C03"/>
    <w:rsid w:val="00A51CD8"/>
    <w:rsid w:val="00A51D19"/>
    <w:rsid w:val="00A51DC7"/>
    <w:rsid w:val="00A51FA9"/>
    <w:rsid w:val="00A51FBE"/>
    <w:rsid w:val="00A52132"/>
    <w:rsid w:val="00A52141"/>
    <w:rsid w:val="00A5214B"/>
    <w:rsid w:val="00A5227A"/>
    <w:rsid w:val="00A524EB"/>
    <w:rsid w:val="00A52769"/>
    <w:rsid w:val="00A52812"/>
    <w:rsid w:val="00A5284D"/>
    <w:rsid w:val="00A52A3A"/>
    <w:rsid w:val="00A52AC5"/>
    <w:rsid w:val="00A52BF0"/>
    <w:rsid w:val="00A52C11"/>
    <w:rsid w:val="00A5308E"/>
    <w:rsid w:val="00A5320D"/>
    <w:rsid w:val="00A53288"/>
    <w:rsid w:val="00A5334A"/>
    <w:rsid w:val="00A53499"/>
    <w:rsid w:val="00A5360C"/>
    <w:rsid w:val="00A537BA"/>
    <w:rsid w:val="00A538AE"/>
    <w:rsid w:val="00A53A15"/>
    <w:rsid w:val="00A53BD0"/>
    <w:rsid w:val="00A53D2C"/>
    <w:rsid w:val="00A53E6A"/>
    <w:rsid w:val="00A53E6C"/>
    <w:rsid w:val="00A53EF9"/>
    <w:rsid w:val="00A540E4"/>
    <w:rsid w:val="00A5410E"/>
    <w:rsid w:val="00A5414E"/>
    <w:rsid w:val="00A54222"/>
    <w:rsid w:val="00A5425E"/>
    <w:rsid w:val="00A5435B"/>
    <w:rsid w:val="00A545AF"/>
    <w:rsid w:val="00A54664"/>
    <w:rsid w:val="00A54773"/>
    <w:rsid w:val="00A5484E"/>
    <w:rsid w:val="00A54874"/>
    <w:rsid w:val="00A549BC"/>
    <w:rsid w:val="00A54ABF"/>
    <w:rsid w:val="00A54AE8"/>
    <w:rsid w:val="00A54DF1"/>
    <w:rsid w:val="00A54E69"/>
    <w:rsid w:val="00A552F0"/>
    <w:rsid w:val="00A5545E"/>
    <w:rsid w:val="00A5564A"/>
    <w:rsid w:val="00A556BD"/>
    <w:rsid w:val="00A55A52"/>
    <w:rsid w:val="00A55A6D"/>
    <w:rsid w:val="00A55B8B"/>
    <w:rsid w:val="00A55C1D"/>
    <w:rsid w:val="00A55DE0"/>
    <w:rsid w:val="00A55E3A"/>
    <w:rsid w:val="00A5601E"/>
    <w:rsid w:val="00A560AC"/>
    <w:rsid w:val="00A56269"/>
    <w:rsid w:val="00A56598"/>
    <w:rsid w:val="00A569BE"/>
    <w:rsid w:val="00A56A4F"/>
    <w:rsid w:val="00A56A95"/>
    <w:rsid w:val="00A56AF9"/>
    <w:rsid w:val="00A56C2A"/>
    <w:rsid w:val="00A56C6D"/>
    <w:rsid w:val="00A56C70"/>
    <w:rsid w:val="00A56CD6"/>
    <w:rsid w:val="00A56E08"/>
    <w:rsid w:val="00A57029"/>
    <w:rsid w:val="00A5723D"/>
    <w:rsid w:val="00A57250"/>
    <w:rsid w:val="00A57429"/>
    <w:rsid w:val="00A5745C"/>
    <w:rsid w:val="00A5757A"/>
    <w:rsid w:val="00A575D0"/>
    <w:rsid w:val="00A57652"/>
    <w:rsid w:val="00A576B3"/>
    <w:rsid w:val="00A57785"/>
    <w:rsid w:val="00A578D7"/>
    <w:rsid w:val="00A57A2D"/>
    <w:rsid w:val="00A57D42"/>
    <w:rsid w:val="00A57DB6"/>
    <w:rsid w:val="00A601AE"/>
    <w:rsid w:val="00A601F4"/>
    <w:rsid w:val="00A60581"/>
    <w:rsid w:val="00A606A6"/>
    <w:rsid w:val="00A6073B"/>
    <w:rsid w:val="00A60765"/>
    <w:rsid w:val="00A6083C"/>
    <w:rsid w:val="00A6087E"/>
    <w:rsid w:val="00A60985"/>
    <w:rsid w:val="00A60AD3"/>
    <w:rsid w:val="00A60BA8"/>
    <w:rsid w:val="00A60BBB"/>
    <w:rsid w:val="00A60C83"/>
    <w:rsid w:val="00A60C8A"/>
    <w:rsid w:val="00A60CF2"/>
    <w:rsid w:val="00A60E2E"/>
    <w:rsid w:val="00A60F66"/>
    <w:rsid w:val="00A60FEF"/>
    <w:rsid w:val="00A61501"/>
    <w:rsid w:val="00A61AC9"/>
    <w:rsid w:val="00A61B4A"/>
    <w:rsid w:val="00A61B73"/>
    <w:rsid w:val="00A61E0C"/>
    <w:rsid w:val="00A625EA"/>
    <w:rsid w:val="00A62979"/>
    <w:rsid w:val="00A62A30"/>
    <w:rsid w:val="00A62AB3"/>
    <w:rsid w:val="00A62AE5"/>
    <w:rsid w:val="00A62C2C"/>
    <w:rsid w:val="00A62E2D"/>
    <w:rsid w:val="00A630B7"/>
    <w:rsid w:val="00A6324E"/>
    <w:rsid w:val="00A63279"/>
    <w:rsid w:val="00A632E5"/>
    <w:rsid w:val="00A632FB"/>
    <w:rsid w:val="00A63555"/>
    <w:rsid w:val="00A635A0"/>
    <w:rsid w:val="00A636DC"/>
    <w:rsid w:val="00A63734"/>
    <w:rsid w:val="00A6380E"/>
    <w:rsid w:val="00A639EE"/>
    <w:rsid w:val="00A63A99"/>
    <w:rsid w:val="00A63B0D"/>
    <w:rsid w:val="00A64036"/>
    <w:rsid w:val="00A64555"/>
    <w:rsid w:val="00A64741"/>
    <w:rsid w:val="00A64760"/>
    <w:rsid w:val="00A6498B"/>
    <w:rsid w:val="00A649E2"/>
    <w:rsid w:val="00A64B06"/>
    <w:rsid w:val="00A64C7F"/>
    <w:rsid w:val="00A64C87"/>
    <w:rsid w:val="00A64CAE"/>
    <w:rsid w:val="00A64D50"/>
    <w:rsid w:val="00A64FD2"/>
    <w:rsid w:val="00A6516D"/>
    <w:rsid w:val="00A65346"/>
    <w:rsid w:val="00A65404"/>
    <w:rsid w:val="00A65613"/>
    <w:rsid w:val="00A6579B"/>
    <w:rsid w:val="00A657B5"/>
    <w:rsid w:val="00A657BE"/>
    <w:rsid w:val="00A6590A"/>
    <w:rsid w:val="00A65951"/>
    <w:rsid w:val="00A65A50"/>
    <w:rsid w:val="00A65C5E"/>
    <w:rsid w:val="00A65CC4"/>
    <w:rsid w:val="00A65D59"/>
    <w:rsid w:val="00A65DD8"/>
    <w:rsid w:val="00A65EDB"/>
    <w:rsid w:val="00A65F1D"/>
    <w:rsid w:val="00A65F1E"/>
    <w:rsid w:val="00A662F6"/>
    <w:rsid w:val="00A6651D"/>
    <w:rsid w:val="00A66717"/>
    <w:rsid w:val="00A667AB"/>
    <w:rsid w:val="00A668C2"/>
    <w:rsid w:val="00A668C3"/>
    <w:rsid w:val="00A66973"/>
    <w:rsid w:val="00A66A60"/>
    <w:rsid w:val="00A66CC4"/>
    <w:rsid w:val="00A66DC4"/>
    <w:rsid w:val="00A66FCA"/>
    <w:rsid w:val="00A66FE2"/>
    <w:rsid w:val="00A67079"/>
    <w:rsid w:val="00A67105"/>
    <w:rsid w:val="00A6724E"/>
    <w:rsid w:val="00A67327"/>
    <w:rsid w:val="00A6753C"/>
    <w:rsid w:val="00A6770A"/>
    <w:rsid w:val="00A677AF"/>
    <w:rsid w:val="00A67918"/>
    <w:rsid w:val="00A679D0"/>
    <w:rsid w:val="00A67B15"/>
    <w:rsid w:val="00A67BB4"/>
    <w:rsid w:val="00A67EEB"/>
    <w:rsid w:val="00A70105"/>
    <w:rsid w:val="00A70199"/>
    <w:rsid w:val="00A70219"/>
    <w:rsid w:val="00A704D9"/>
    <w:rsid w:val="00A7056B"/>
    <w:rsid w:val="00A705BB"/>
    <w:rsid w:val="00A70E13"/>
    <w:rsid w:val="00A70E58"/>
    <w:rsid w:val="00A713EB"/>
    <w:rsid w:val="00A715BD"/>
    <w:rsid w:val="00A715D1"/>
    <w:rsid w:val="00A716EE"/>
    <w:rsid w:val="00A71861"/>
    <w:rsid w:val="00A718E8"/>
    <w:rsid w:val="00A71900"/>
    <w:rsid w:val="00A7190E"/>
    <w:rsid w:val="00A71989"/>
    <w:rsid w:val="00A719CB"/>
    <w:rsid w:val="00A719FA"/>
    <w:rsid w:val="00A71A15"/>
    <w:rsid w:val="00A71A71"/>
    <w:rsid w:val="00A71A8D"/>
    <w:rsid w:val="00A71D47"/>
    <w:rsid w:val="00A71F0A"/>
    <w:rsid w:val="00A71F7F"/>
    <w:rsid w:val="00A7204C"/>
    <w:rsid w:val="00A72071"/>
    <w:rsid w:val="00A72168"/>
    <w:rsid w:val="00A7226A"/>
    <w:rsid w:val="00A728BB"/>
    <w:rsid w:val="00A72947"/>
    <w:rsid w:val="00A729E1"/>
    <w:rsid w:val="00A72F68"/>
    <w:rsid w:val="00A731A6"/>
    <w:rsid w:val="00A731AA"/>
    <w:rsid w:val="00A734B0"/>
    <w:rsid w:val="00A734D2"/>
    <w:rsid w:val="00A7356A"/>
    <w:rsid w:val="00A739AD"/>
    <w:rsid w:val="00A73BA0"/>
    <w:rsid w:val="00A73BC8"/>
    <w:rsid w:val="00A73EEC"/>
    <w:rsid w:val="00A73EFD"/>
    <w:rsid w:val="00A7404D"/>
    <w:rsid w:val="00A7410F"/>
    <w:rsid w:val="00A742D4"/>
    <w:rsid w:val="00A743E8"/>
    <w:rsid w:val="00A74461"/>
    <w:rsid w:val="00A74663"/>
    <w:rsid w:val="00A74675"/>
    <w:rsid w:val="00A74983"/>
    <w:rsid w:val="00A74ADD"/>
    <w:rsid w:val="00A74D24"/>
    <w:rsid w:val="00A74E29"/>
    <w:rsid w:val="00A7545A"/>
    <w:rsid w:val="00A7552E"/>
    <w:rsid w:val="00A75643"/>
    <w:rsid w:val="00A7566F"/>
    <w:rsid w:val="00A756C7"/>
    <w:rsid w:val="00A756E7"/>
    <w:rsid w:val="00A75762"/>
    <w:rsid w:val="00A75B88"/>
    <w:rsid w:val="00A75C69"/>
    <w:rsid w:val="00A75ECA"/>
    <w:rsid w:val="00A75F06"/>
    <w:rsid w:val="00A76193"/>
    <w:rsid w:val="00A7621D"/>
    <w:rsid w:val="00A7634D"/>
    <w:rsid w:val="00A764E0"/>
    <w:rsid w:val="00A764EF"/>
    <w:rsid w:val="00A7652A"/>
    <w:rsid w:val="00A7661A"/>
    <w:rsid w:val="00A76709"/>
    <w:rsid w:val="00A76741"/>
    <w:rsid w:val="00A767FA"/>
    <w:rsid w:val="00A768F4"/>
    <w:rsid w:val="00A76935"/>
    <w:rsid w:val="00A769D7"/>
    <w:rsid w:val="00A76AE7"/>
    <w:rsid w:val="00A76BF6"/>
    <w:rsid w:val="00A76D6A"/>
    <w:rsid w:val="00A76EE7"/>
    <w:rsid w:val="00A77066"/>
    <w:rsid w:val="00A773A9"/>
    <w:rsid w:val="00A774A6"/>
    <w:rsid w:val="00A776CC"/>
    <w:rsid w:val="00A77D9A"/>
    <w:rsid w:val="00A800BB"/>
    <w:rsid w:val="00A8011C"/>
    <w:rsid w:val="00A8024B"/>
    <w:rsid w:val="00A803CB"/>
    <w:rsid w:val="00A80414"/>
    <w:rsid w:val="00A80577"/>
    <w:rsid w:val="00A805C9"/>
    <w:rsid w:val="00A8082A"/>
    <w:rsid w:val="00A808A8"/>
    <w:rsid w:val="00A80900"/>
    <w:rsid w:val="00A80964"/>
    <w:rsid w:val="00A80A06"/>
    <w:rsid w:val="00A80AE2"/>
    <w:rsid w:val="00A80C28"/>
    <w:rsid w:val="00A80D16"/>
    <w:rsid w:val="00A80D7D"/>
    <w:rsid w:val="00A8102B"/>
    <w:rsid w:val="00A8105E"/>
    <w:rsid w:val="00A81189"/>
    <w:rsid w:val="00A81261"/>
    <w:rsid w:val="00A81563"/>
    <w:rsid w:val="00A815B3"/>
    <w:rsid w:val="00A81623"/>
    <w:rsid w:val="00A8173B"/>
    <w:rsid w:val="00A8176A"/>
    <w:rsid w:val="00A817BB"/>
    <w:rsid w:val="00A81B95"/>
    <w:rsid w:val="00A81BCA"/>
    <w:rsid w:val="00A81BFE"/>
    <w:rsid w:val="00A81C43"/>
    <w:rsid w:val="00A81D7C"/>
    <w:rsid w:val="00A81DAF"/>
    <w:rsid w:val="00A8211F"/>
    <w:rsid w:val="00A82192"/>
    <w:rsid w:val="00A82478"/>
    <w:rsid w:val="00A824AB"/>
    <w:rsid w:val="00A82869"/>
    <w:rsid w:val="00A82AC2"/>
    <w:rsid w:val="00A82B12"/>
    <w:rsid w:val="00A82D05"/>
    <w:rsid w:val="00A82E2C"/>
    <w:rsid w:val="00A8309B"/>
    <w:rsid w:val="00A830D2"/>
    <w:rsid w:val="00A83111"/>
    <w:rsid w:val="00A834DA"/>
    <w:rsid w:val="00A83509"/>
    <w:rsid w:val="00A8351F"/>
    <w:rsid w:val="00A8353C"/>
    <w:rsid w:val="00A83596"/>
    <w:rsid w:val="00A835BD"/>
    <w:rsid w:val="00A835EE"/>
    <w:rsid w:val="00A83659"/>
    <w:rsid w:val="00A83697"/>
    <w:rsid w:val="00A839F5"/>
    <w:rsid w:val="00A83A32"/>
    <w:rsid w:val="00A83A59"/>
    <w:rsid w:val="00A83BA7"/>
    <w:rsid w:val="00A83F82"/>
    <w:rsid w:val="00A84047"/>
    <w:rsid w:val="00A84245"/>
    <w:rsid w:val="00A84305"/>
    <w:rsid w:val="00A84461"/>
    <w:rsid w:val="00A845B3"/>
    <w:rsid w:val="00A84740"/>
    <w:rsid w:val="00A848D6"/>
    <w:rsid w:val="00A8497F"/>
    <w:rsid w:val="00A84992"/>
    <w:rsid w:val="00A8499F"/>
    <w:rsid w:val="00A849D3"/>
    <w:rsid w:val="00A84A40"/>
    <w:rsid w:val="00A84B10"/>
    <w:rsid w:val="00A85018"/>
    <w:rsid w:val="00A85034"/>
    <w:rsid w:val="00A85156"/>
    <w:rsid w:val="00A85232"/>
    <w:rsid w:val="00A852AA"/>
    <w:rsid w:val="00A852B1"/>
    <w:rsid w:val="00A852C1"/>
    <w:rsid w:val="00A8547A"/>
    <w:rsid w:val="00A855AA"/>
    <w:rsid w:val="00A855C5"/>
    <w:rsid w:val="00A85765"/>
    <w:rsid w:val="00A85893"/>
    <w:rsid w:val="00A85982"/>
    <w:rsid w:val="00A85AFF"/>
    <w:rsid w:val="00A85C05"/>
    <w:rsid w:val="00A86003"/>
    <w:rsid w:val="00A86106"/>
    <w:rsid w:val="00A86120"/>
    <w:rsid w:val="00A86515"/>
    <w:rsid w:val="00A8651D"/>
    <w:rsid w:val="00A86588"/>
    <w:rsid w:val="00A865FD"/>
    <w:rsid w:val="00A869C1"/>
    <w:rsid w:val="00A86C58"/>
    <w:rsid w:val="00A86E0E"/>
    <w:rsid w:val="00A86EE6"/>
    <w:rsid w:val="00A86F0C"/>
    <w:rsid w:val="00A87286"/>
    <w:rsid w:val="00A874D9"/>
    <w:rsid w:val="00A874EE"/>
    <w:rsid w:val="00A875A8"/>
    <w:rsid w:val="00A876F3"/>
    <w:rsid w:val="00A877F6"/>
    <w:rsid w:val="00A87C3C"/>
    <w:rsid w:val="00A87DF7"/>
    <w:rsid w:val="00A87FAE"/>
    <w:rsid w:val="00A87FE8"/>
    <w:rsid w:val="00A90123"/>
    <w:rsid w:val="00A905BE"/>
    <w:rsid w:val="00A90624"/>
    <w:rsid w:val="00A90752"/>
    <w:rsid w:val="00A907BE"/>
    <w:rsid w:val="00A9097D"/>
    <w:rsid w:val="00A909D2"/>
    <w:rsid w:val="00A90B7D"/>
    <w:rsid w:val="00A90BF6"/>
    <w:rsid w:val="00A90CB9"/>
    <w:rsid w:val="00A90CE3"/>
    <w:rsid w:val="00A90E5D"/>
    <w:rsid w:val="00A90EB5"/>
    <w:rsid w:val="00A90FDE"/>
    <w:rsid w:val="00A9128C"/>
    <w:rsid w:val="00A9130D"/>
    <w:rsid w:val="00A913CE"/>
    <w:rsid w:val="00A91425"/>
    <w:rsid w:val="00A9142B"/>
    <w:rsid w:val="00A914AB"/>
    <w:rsid w:val="00A914CE"/>
    <w:rsid w:val="00A9174C"/>
    <w:rsid w:val="00A91863"/>
    <w:rsid w:val="00A91BFB"/>
    <w:rsid w:val="00A91CF3"/>
    <w:rsid w:val="00A91D5A"/>
    <w:rsid w:val="00A9201C"/>
    <w:rsid w:val="00A92032"/>
    <w:rsid w:val="00A9216C"/>
    <w:rsid w:val="00A922E8"/>
    <w:rsid w:val="00A9235C"/>
    <w:rsid w:val="00A92413"/>
    <w:rsid w:val="00A9249B"/>
    <w:rsid w:val="00A92646"/>
    <w:rsid w:val="00A926C4"/>
    <w:rsid w:val="00A92745"/>
    <w:rsid w:val="00A927F3"/>
    <w:rsid w:val="00A92802"/>
    <w:rsid w:val="00A92AD3"/>
    <w:rsid w:val="00A92BBA"/>
    <w:rsid w:val="00A92C4F"/>
    <w:rsid w:val="00A92D3D"/>
    <w:rsid w:val="00A92D57"/>
    <w:rsid w:val="00A92F39"/>
    <w:rsid w:val="00A92FC6"/>
    <w:rsid w:val="00A93324"/>
    <w:rsid w:val="00A934C1"/>
    <w:rsid w:val="00A93643"/>
    <w:rsid w:val="00A93713"/>
    <w:rsid w:val="00A9385F"/>
    <w:rsid w:val="00A938A1"/>
    <w:rsid w:val="00A93A04"/>
    <w:rsid w:val="00A93AA3"/>
    <w:rsid w:val="00A93BF7"/>
    <w:rsid w:val="00A93CB3"/>
    <w:rsid w:val="00A93F8A"/>
    <w:rsid w:val="00A93F90"/>
    <w:rsid w:val="00A93F9E"/>
    <w:rsid w:val="00A94039"/>
    <w:rsid w:val="00A947B3"/>
    <w:rsid w:val="00A947B7"/>
    <w:rsid w:val="00A94925"/>
    <w:rsid w:val="00A94A4D"/>
    <w:rsid w:val="00A94BC6"/>
    <w:rsid w:val="00A94BCF"/>
    <w:rsid w:val="00A94CAA"/>
    <w:rsid w:val="00A94E75"/>
    <w:rsid w:val="00A9504D"/>
    <w:rsid w:val="00A95281"/>
    <w:rsid w:val="00A95407"/>
    <w:rsid w:val="00A95448"/>
    <w:rsid w:val="00A9567E"/>
    <w:rsid w:val="00A95756"/>
    <w:rsid w:val="00A9592E"/>
    <w:rsid w:val="00A95A95"/>
    <w:rsid w:val="00A95AD5"/>
    <w:rsid w:val="00A95C96"/>
    <w:rsid w:val="00A95E46"/>
    <w:rsid w:val="00A95F02"/>
    <w:rsid w:val="00A96123"/>
    <w:rsid w:val="00A96145"/>
    <w:rsid w:val="00A96174"/>
    <w:rsid w:val="00A96226"/>
    <w:rsid w:val="00A96402"/>
    <w:rsid w:val="00A9649D"/>
    <w:rsid w:val="00A96539"/>
    <w:rsid w:val="00A96700"/>
    <w:rsid w:val="00A96780"/>
    <w:rsid w:val="00A968AB"/>
    <w:rsid w:val="00A96923"/>
    <w:rsid w:val="00A96A66"/>
    <w:rsid w:val="00A96AC0"/>
    <w:rsid w:val="00A96CCB"/>
    <w:rsid w:val="00A96D2A"/>
    <w:rsid w:val="00A96DA3"/>
    <w:rsid w:val="00A96F6C"/>
    <w:rsid w:val="00A96FBE"/>
    <w:rsid w:val="00A97063"/>
    <w:rsid w:val="00A9717D"/>
    <w:rsid w:val="00A972A2"/>
    <w:rsid w:val="00A972FF"/>
    <w:rsid w:val="00A97609"/>
    <w:rsid w:val="00A97662"/>
    <w:rsid w:val="00A97892"/>
    <w:rsid w:val="00A978E7"/>
    <w:rsid w:val="00A979CE"/>
    <w:rsid w:val="00A97CBE"/>
    <w:rsid w:val="00AA00DA"/>
    <w:rsid w:val="00AA0217"/>
    <w:rsid w:val="00AA02A7"/>
    <w:rsid w:val="00AA0401"/>
    <w:rsid w:val="00AA075D"/>
    <w:rsid w:val="00AA09B6"/>
    <w:rsid w:val="00AA0B12"/>
    <w:rsid w:val="00AA0C9A"/>
    <w:rsid w:val="00AA0F41"/>
    <w:rsid w:val="00AA10AD"/>
    <w:rsid w:val="00AA119E"/>
    <w:rsid w:val="00AA135B"/>
    <w:rsid w:val="00AA1401"/>
    <w:rsid w:val="00AA17B7"/>
    <w:rsid w:val="00AA1963"/>
    <w:rsid w:val="00AA1A53"/>
    <w:rsid w:val="00AA1A66"/>
    <w:rsid w:val="00AA1C65"/>
    <w:rsid w:val="00AA1EAA"/>
    <w:rsid w:val="00AA1FC7"/>
    <w:rsid w:val="00AA2062"/>
    <w:rsid w:val="00AA22FC"/>
    <w:rsid w:val="00AA23F3"/>
    <w:rsid w:val="00AA2666"/>
    <w:rsid w:val="00AA2A08"/>
    <w:rsid w:val="00AA2AEE"/>
    <w:rsid w:val="00AA2B69"/>
    <w:rsid w:val="00AA2C14"/>
    <w:rsid w:val="00AA2C9E"/>
    <w:rsid w:val="00AA34E2"/>
    <w:rsid w:val="00AA36DB"/>
    <w:rsid w:val="00AA382F"/>
    <w:rsid w:val="00AA38C0"/>
    <w:rsid w:val="00AA39C7"/>
    <w:rsid w:val="00AA3A8F"/>
    <w:rsid w:val="00AA3BDF"/>
    <w:rsid w:val="00AA3DE6"/>
    <w:rsid w:val="00AA3EFE"/>
    <w:rsid w:val="00AA405B"/>
    <w:rsid w:val="00AA42EC"/>
    <w:rsid w:val="00AA436B"/>
    <w:rsid w:val="00AA46A5"/>
    <w:rsid w:val="00AA46B3"/>
    <w:rsid w:val="00AA4893"/>
    <w:rsid w:val="00AA48A3"/>
    <w:rsid w:val="00AA4910"/>
    <w:rsid w:val="00AA4CEB"/>
    <w:rsid w:val="00AA5014"/>
    <w:rsid w:val="00AA5058"/>
    <w:rsid w:val="00AA5087"/>
    <w:rsid w:val="00AA50A7"/>
    <w:rsid w:val="00AA5206"/>
    <w:rsid w:val="00AA52C3"/>
    <w:rsid w:val="00AA52F4"/>
    <w:rsid w:val="00AA535D"/>
    <w:rsid w:val="00AA56A9"/>
    <w:rsid w:val="00AA5701"/>
    <w:rsid w:val="00AA5B7F"/>
    <w:rsid w:val="00AA5BB0"/>
    <w:rsid w:val="00AA5DCC"/>
    <w:rsid w:val="00AA60DE"/>
    <w:rsid w:val="00AA62CE"/>
    <w:rsid w:val="00AA680C"/>
    <w:rsid w:val="00AA68F7"/>
    <w:rsid w:val="00AA6B13"/>
    <w:rsid w:val="00AA6ED0"/>
    <w:rsid w:val="00AA701A"/>
    <w:rsid w:val="00AA7143"/>
    <w:rsid w:val="00AA72C6"/>
    <w:rsid w:val="00AA74D1"/>
    <w:rsid w:val="00AA74D8"/>
    <w:rsid w:val="00AA7620"/>
    <w:rsid w:val="00AA767A"/>
    <w:rsid w:val="00AA769B"/>
    <w:rsid w:val="00AA787E"/>
    <w:rsid w:val="00AB0066"/>
    <w:rsid w:val="00AB0179"/>
    <w:rsid w:val="00AB01C5"/>
    <w:rsid w:val="00AB0378"/>
    <w:rsid w:val="00AB0683"/>
    <w:rsid w:val="00AB06F6"/>
    <w:rsid w:val="00AB0858"/>
    <w:rsid w:val="00AB097C"/>
    <w:rsid w:val="00AB0A0A"/>
    <w:rsid w:val="00AB0D00"/>
    <w:rsid w:val="00AB0F49"/>
    <w:rsid w:val="00AB115A"/>
    <w:rsid w:val="00AB138B"/>
    <w:rsid w:val="00AB148D"/>
    <w:rsid w:val="00AB14AC"/>
    <w:rsid w:val="00AB1526"/>
    <w:rsid w:val="00AB1744"/>
    <w:rsid w:val="00AB175B"/>
    <w:rsid w:val="00AB179B"/>
    <w:rsid w:val="00AB1876"/>
    <w:rsid w:val="00AB197C"/>
    <w:rsid w:val="00AB199E"/>
    <w:rsid w:val="00AB1B12"/>
    <w:rsid w:val="00AB1CA5"/>
    <w:rsid w:val="00AB1E6C"/>
    <w:rsid w:val="00AB2093"/>
    <w:rsid w:val="00AB20A2"/>
    <w:rsid w:val="00AB20A7"/>
    <w:rsid w:val="00AB20BB"/>
    <w:rsid w:val="00AB20C8"/>
    <w:rsid w:val="00AB2232"/>
    <w:rsid w:val="00AB2272"/>
    <w:rsid w:val="00AB2349"/>
    <w:rsid w:val="00AB2559"/>
    <w:rsid w:val="00AB26C8"/>
    <w:rsid w:val="00AB282A"/>
    <w:rsid w:val="00AB2872"/>
    <w:rsid w:val="00AB296E"/>
    <w:rsid w:val="00AB2B3E"/>
    <w:rsid w:val="00AB2BF6"/>
    <w:rsid w:val="00AB2D9B"/>
    <w:rsid w:val="00AB2DA9"/>
    <w:rsid w:val="00AB2E53"/>
    <w:rsid w:val="00AB2EB6"/>
    <w:rsid w:val="00AB2F3F"/>
    <w:rsid w:val="00AB3147"/>
    <w:rsid w:val="00AB3450"/>
    <w:rsid w:val="00AB37C0"/>
    <w:rsid w:val="00AB3869"/>
    <w:rsid w:val="00AB3928"/>
    <w:rsid w:val="00AB39A0"/>
    <w:rsid w:val="00AB3A16"/>
    <w:rsid w:val="00AB3B66"/>
    <w:rsid w:val="00AB3C8D"/>
    <w:rsid w:val="00AB3DB0"/>
    <w:rsid w:val="00AB3F82"/>
    <w:rsid w:val="00AB412D"/>
    <w:rsid w:val="00AB4182"/>
    <w:rsid w:val="00AB4278"/>
    <w:rsid w:val="00AB432E"/>
    <w:rsid w:val="00AB43F1"/>
    <w:rsid w:val="00AB4807"/>
    <w:rsid w:val="00AB48FF"/>
    <w:rsid w:val="00AB49C9"/>
    <w:rsid w:val="00AB4C2F"/>
    <w:rsid w:val="00AB4D18"/>
    <w:rsid w:val="00AB4E34"/>
    <w:rsid w:val="00AB5052"/>
    <w:rsid w:val="00AB50EB"/>
    <w:rsid w:val="00AB518D"/>
    <w:rsid w:val="00AB51F4"/>
    <w:rsid w:val="00AB5238"/>
    <w:rsid w:val="00AB5328"/>
    <w:rsid w:val="00AB541A"/>
    <w:rsid w:val="00AB5560"/>
    <w:rsid w:val="00AB55AA"/>
    <w:rsid w:val="00AB55CB"/>
    <w:rsid w:val="00AB5BB8"/>
    <w:rsid w:val="00AB5BCB"/>
    <w:rsid w:val="00AB5CDD"/>
    <w:rsid w:val="00AB5D30"/>
    <w:rsid w:val="00AB5FDF"/>
    <w:rsid w:val="00AB6062"/>
    <w:rsid w:val="00AB62E1"/>
    <w:rsid w:val="00AB6417"/>
    <w:rsid w:val="00AB66CB"/>
    <w:rsid w:val="00AB687E"/>
    <w:rsid w:val="00AB6991"/>
    <w:rsid w:val="00AB6CAE"/>
    <w:rsid w:val="00AB6D1A"/>
    <w:rsid w:val="00AB6E77"/>
    <w:rsid w:val="00AB6E9F"/>
    <w:rsid w:val="00AB6F92"/>
    <w:rsid w:val="00AB6FD7"/>
    <w:rsid w:val="00AB71EF"/>
    <w:rsid w:val="00AB7208"/>
    <w:rsid w:val="00AB75D9"/>
    <w:rsid w:val="00AB760A"/>
    <w:rsid w:val="00AB77DA"/>
    <w:rsid w:val="00AB780E"/>
    <w:rsid w:val="00AB782C"/>
    <w:rsid w:val="00AB78AC"/>
    <w:rsid w:val="00AB7962"/>
    <w:rsid w:val="00AB7BE4"/>
    <w:rsid w:val="00AB7C39"/>
    <w:rsid w:val="00AB7F76"/>
    <w:rsid w:val="00AC00BA"/>
    <w:rsid w:val="00AC012C"/>
    <w:rsid w:val="00AC01E6"/>
    <w:rsid w:val="00AC03E2"/>
    <w:rsid w:val="00AC063F"/>
    <w:rsid w:val="00AC06A6"/>
    <w:rsid w:val="00AC09F2"/>
    <w:rsid w:val="00AC0D89"/>
    <w:rsid w:val="00AC0E58"/>
    <w:rsid w:val="00AC1166"/>
    <w:rsid w:val="00AC11FE"/>
    <w:rsid w:val="00AC12E5"/>
    <w:rsid w:val="00AC1324"/>
    <w:rsid w:val="00AC14F8"/>
    <w:rsid w:val="00AC15E0"/>
    <w:rsid w:val="00AC15F9"/>
    <w:rsid w:val="00AC176F"/>
    <w:rsid w:val="00AC17CD"/>
    <w:rsid w:val="00AC1926"/>
    <w:rsid w:val="00AC1C8B"/>
    <w:rsid w:val="00AC1E25"/>
    <w:rsid w:val="00AC1F2E"/>
    <w:rsid w:val="00AC1FAA"/>
    <w:rsid w:val="00AC20BF"/>
    <w:rsid w:val="00AC2120"/>
    <w:rsid w:val="00AC2243"/>
    <w:rsid w:val="00AC22BA"/>
    <w:rsid w:val="00AC22CC"/>
    <w:rsid w:val="00AC2354"/>
    <w:rsid w:val="00AC23FC"/>
    <w:rsid w:val="00AC2402"/>
    <w:rsid w:val="00AC25CC"/>
    <w:rsid w:val="00AC2677"/>
    <w:rsid w:val="00AC2758"/>
    <w:rsid w:val="00AC2B43"/>
    <w:rsid w:val="00AC2E7A"/>
    <w:rsid w:val="00AC2F1A"/>
    <w:rsid w:val="00AC3189"/>
    <w:rsid w:val="00AC3194"/>
    <w:rsid w:val="00AC31A1"/>
    <w:rsid w:val="00AC335F"/>
    <w:rsid w:val="00AC35B4"/>
    <w:rsid w:val="00AC3687"/>
    <w:rsid w:val="00AC37FE"/>
    <w:rsid w:val="00AC38D7"/>
    <w:rsid w:val="00AC3C42"/>
    <w:rsid w:val="00AC3C68"/>
    <w:rsid w:val="00AC3D11"/>
    <w:rsid w:val="00AC4131"/>
    <w:rsid w:val="00AC4152"/>
    <w:rsid w:val="00AC4323"/>
    <w:rsid w:val="00AC43CC"/>
    <w:rsid w:val="00AC454B"/>
    <w:rsid w:val="00AC4573"/>
    <w:rsid w:val="00AC4966"/>
    <w:rsid w:val="00AC4B38"/>
    <w:rsid w:val="00AC4B43"/>
    <w:rsid w:val="00AC4BD8"/>
    <w:rsid w:val="00AC4CF8"/>
    <w:rsid w:val="00AC4F3E"/>
    <w:rsid w:val="00AC4FA9"/>
    <w:rsid w:val="00AC5135"/>
    <w:rsid w:val="00AC53A2"/>
    <w:rsid w:val="00AC56B9"/>
    <w:rsid w:val="00AC577F"/>
    <w:rsid w:val="00AC57E9"/>
    <w:rsid w:val="00AC58BC"/>
    <w:rsid w:val="00AC58FC"/>
    <w:rsid w:val="00AC592D"/>
    <w:rsid w:val="00AC5DAB"/>
    <w:rsid w:val="00AC5F24"/>
    <w:rsid w:val="00AC5F69"/>
    <w:rsid w:val="00AC617C"/>
    <w:rsid w:val="00AC682E"/>
    <w:rsid w:val="00AC6862"/>
    <w:rsid w:val="00AC6C77"/>
    <w:rsid w:val="00AC6EA8"/>
    <w:rsid w:val="00AC6FBB"/>
    <w:rsid w:val="00AC703F"/>
    <w:rsid w:val="00AC70D6"/>
    <w:rsid w:val="00AC70EF"/>
    <w:rsid w:val="00AC72CB"/>
    <w:rsid w:val="00AC7389"/>
    <w:rsid w:val="00AC7454"/>
    <w:rsid w:val="00AC7471"/>
    <w:rsid w:val="00AC77D3"/>
    <w:rsid w:val="00AC7B29"/>
    <w:rsid w:val="00AC7B37"/>
    <w:rsid w:val="00AC7D76"/>
    <w:rsid w:val="00AC7DE7"/>
    <w:rsid w:val="00AD05FE"/>
    <w:rsid w:val="00AD0600"/>
    <w:rsid w:val="00AD0629"/>
    <w:rsid w:val="00AD0731"/>
    <w:rsid w:val="00AD0876"/>
    <w:rsid w:val="00AD0943"/>
    <w:rsid w:val="00AD09FC"/>
    <w:rsid w:val="00AD0E53"/>
    <w:rsid w:val="00AD104C"/>
    <w:rsid w:val="00AD1233"/>
    <w:rsid w:val="00AD1327"/>
    <w:rsid w:val="00AD138C"/>
    <w:rsid w:val="00AD14DE"/>
    <w:rsid w:val="00AD153C"/>
    <w:rsid w:val="00AD16A2"/>
    <w:rsid w:val="00AD16FA"/>
    <w:rsid w:val="00AD17A2"/>
    <w:rsid w:val="00AD17BF"/>
    <w:rsid w:val="00AD189D"/>
    <w:rsid w:val="00AD1903"/>
    <w:rsid w:val="00AD19BA"/>
    <w:rsid w:val="00AD19E5"/>
    <w:rsid w:val="00AD1A06"/>
    <w:rsid w:val="00AD1C89"/>
    <w:rsid w:val="00AD1F92"/>
    <w:rsid w:val="00AD2067"/>
    <w:rsid w:val="00AD20C8"/>
    <w:rsid w:val="00AD219B"/>
    <w:rsid w:val="00AD223D"/>
    <w:rsid w:val="00AD235A"/>
    <w:rsid w:val="00AD249A"/>
    <w:rsid w:val="00AD24C6"/>
    <w:rsid w:val="00AD256E"/>
    <w:rsid w:val="00AD25E9"/>
    <w:rsid w:val="00AD2663"/>
    <w:rsid w:val="00AD28D9"/>
    <w:rsid w:val="00AD2CB6"/>
    <w:rsid w:val="00AD2E91"/>
    <w:rsid w:val="00AD2FC8"/>
    <w:rsid w:val="00AD3029"/>
    <w:rsid w:val="00AD3113"/>
    <w:rsid w:val="00AD314C"/>
    <w:rsid w:val="00AD32CE"/>
    <w:rsid w:val="00AD3751"/>
    <w:rsid w:val="00AD3A89"/>
    <w:rsid w:val="00AD3AF0"/>
    <w:rsid w:val="00AD3B2B"/>
    <w:rsid w:val="00AD3CAF"/>
    <w:rsid w:val="00AD3D44"/>
    <w:rsid w:val="00AD3DAA"/>
    <w:rsid w:val="00AD3DB1"/>
    <w:rsid w:val="00AD3E66"/>
    <w:rsid w:val="00AD423F"/>
    <w:rsid w:val="00AD42A2"/>
    <w:rsid w:val="00AD43EF"/>
    <w:rsid w:val="00AD4622"/>
    <w:rsid w:val="00AD48BE"/>
    <w:rsid w:val="00AD4991"/>
    <w:rsid w:val="00AD4A21"/>
    <w:rsid w:val="00AD4C00"/>
    <w:rsid w:val="00AD4D0F"/>
    <w:rsid w:val="00AD4D6F"/>
    <w:rsid w:val="00AD5148"/>
    <w:rsid w:val="00AD51ED"/>
    <w:rsid w:val="00AD526D"/>
    <w:rsid w:val="00AD52E3"/>
    <w:rsid w:val="00AD52F5"/>
    <w:rsid w:val="00AD536A"/>
    <w:rsid w:val="00AD5400"/>
    <w:rsid w:val="00AD548E"/>
    <w:rsid w:val="00AD5535"/>
    <w:rsid w:val="00AD5656"/>
    <w:rsid w:val="00AD572A"/>
    <w:rsid w:val="00AD57F7"/>
    <w:rsid w:val="00AD59A4"/>
    <w:rsid w:val="00AD5A40"/>
    <w:rsid w:val="00AD5B60"/>
    <w:rsid w:val="00AD5E42"/>
    <w:rsid w:val="00AD5E69"/>
    <w:rsid w:val="00AD5F1B"/>
    <w:rsid w:val="00AD5F90"/>
    <w:rsid w:val="00AD5FAB"/>
    <w:rsid w:val="00AD60C1"/>
    <w:rsid w:val="00AD611D"/>
    <w:rsid w:val="00AD6316"/>
    <w:rsid w:val="00AD63F0"/>
    <w:rsid w:val="00AD6514"/>
    <w:rsid w:val="00AD69D0"/>
    <w:rsid w:val="00AD7122"/>
    <w:rsid w:val="00AD71CE"/>
    <w:rsid w:val="00AD7227"/>
    <w:rsid w:val="00AD7547"/>
    <w:rsid w:val="00AD766E"/>
    <w:rsid w:val="00AD7693"/>
    <w:rsid w:val="00AD7892"/>
    <w:rsid w:val="00AD7AA1"/>
    <w:rsid w:val="00AD7AFE"/>
    <w:rsid w:val="00AD7B0F"/>
    <w:rsid w:val="00AD7C00"/>
    <w:rsid w:val="00AD7C59"/>
    <w:rsid w:val="00AD7C87"/>
    <w:rsid w:val="00AD7E11"/>
    <w:rsid w:val="00AD7E1E"/>
    <w:rsid w:val="00AD7F40"/>
    <w:rsid w:val="00AE005C"/>
    <w:rsid w:val="00AE05C0"/>
    <w:rsid w:val="00AE0999"/>
    <w:rsid w:val="00AE0C3D"/>
    <w:rsid w:val="00AE0D28"/>
    <w:rsid w:val="00AE0FFD"/>
    <w:rsid w:val="00AE10C0"/>
    <w:rsid w:val="00AE13CA"/>
    <w:rsid w:val="00AE1604"/>
    <w:rsid w:val="00AE16EC"/>
    <w:rsid w:val="00AE177C"/>
    <w:rsid w:val="00AE1832"/>
    <w:rsid w:val="00AE186F"/>
    <w:rsid w:val="00AE1872"/>
    <w:rsid w:val="00AE1A04"/>
    <w:rsid w:val="00AE1BD3"/>
    <w:rsid w:val="00AE1BEF"/>
    <w:rsid w:val="00AE1DDF"/>
    <w:rsid w:val="00AE1E61"/>
    <w:rsid w:val="00AE1FBF"/>
    <w:rsid w:val="00AE207D"/>
    <w:rsid w:val="00AE2159"/>
    <w:rsid w:val="00AE2261"/>
    <w:rsid w:val="00AE23AF"/>
    <w:rsid w:val="00AE2400"/>
    <w:rsid w:val="00AE24DD"/>
    <w:rsid w:val="00AE266E"/>
    <w:rsid w:val="00AE28E8"/>
    <w:rsid w:val="00AE2942"/>
    <w:rsid w:val="00AE297B"/>
    <w:rsid w:val="00AE2B57"/>
    <w:rsid w:val="00AE2E68"/>
    <w:rsid w:val="00AE2F42"/>
    <w:rsid w:val="00AE3082"/>
    <w:rsid w:val="00AE319C"/>
    <w:rsid w:val="00AE320F"/>
    <w:rsid w:val="00AE35B5"/>
    <w:rsid w:val="00AE3654"/>
    <w:rsid w:val="00AE3C10"/>
    <w:rsid w:val="00AE3C24"/>
    <w:rsid w:val="00AE3E21"/>
    <w:rsid w:val="00AE3E50"/>
    <w:rsid w:val="00AE41E3"/>
    <w:rsid w:val="00AE4583"/>
    <w:rsid w:val="00AE4634"/>
    <w:rsid w:val="00AE470F"/>
    <w:rsid w:val="00AE47F6"/>
    <w:rsid w:val="00AE48F7"/>
    <w:rsid w:val="00AE4988"/>
    <w:rsid w:val="00AE49C4"/>
    <w:rsid w:val="00AE4DEE"/>
    <w:rsid w:val="00AE4E98"/>
    <w:rsid w:val="00AE4F18"/>
    <w:rsid w:val="00AE4FCA"/>
    <w:rsid w:val="00AE505B"/>
    <w:rsid w:val="00AE5060"/>
    <w:rsid w:val="00AE537F"/>
    <w:rsid w:val="00AE5443"/>
    <w:rsid w:val="00AE55F2"/>
    <w:rsid w:val="00AE562A"/>
    <w:rsid w:val="00AE56D2"/>
    <w:rsid w:val="00AE59CD"/>
    <w:rsid w:val="00AE5AC5"/>
    <w:rsid w:val="00AE5D54"/>
    <w:rsid w:val="00AE5EBA"/>
    <w:rsid w:val="00AE6002"/>
    <w:rsid w:val="00AE600D"/>
    <w:rsid w:val="00AE61AC"/>
    <w:rsid w:val="00AE6204"/>
    <w:rsid w:val="00AE624E"/>
    <w:rsid w:val="00AE62E6"/>
    <w:rsid w:val="00AE6319"/>
    <w:rsid w:val="00AE647B"/>
    <w:rsid w:val="00AE64C0"/>
    <w:rsid w:val="00AE688E"/>
    <w:rsid w:val="00AE69D9"/>
    <w:rsid w:val="00AE6AB7"/>
    <w:rsid w:val="00AE6BD1"/>
    <w:rsid w:val="00AE6C5A"/>
    <w:rsid w:val="00AE6CA8"/>
    <w:rsid w:val="00AE6DC0"/>
    <w:rsid w:val="00AE6F6C"/>
    <w:rsid w:val="00AE700D"/>
    <w:rsid w:val="00AE71D4"/>
    <w:rsid w:val="00AE7212"/>
    <w:rsid w:val="00AE7260"/>
    <w:rsid w:val="00AE73F9"/>
    <w:rsid w:val="00AE75B8"/>
    <w:rsid w:val="00AE75C8"/>
    <w:rsid w:val="00AE75FF"/>
    <w:rsid w:val="00AE7653"/>
    <w:rsid w:val="00AE7749"/>
    <w:rsid w:val="00AE7950"/>
    <w:rsid w:val="00AE797D"/>
    <w:rsid w:val="00AE7A8A"/>
    <w:rsid w:val="00AE7B86"/>
    <w:rsid w:val="00AE7B88"/>
    <w:rsid w:val="00AF0148"/>
    <w:rsid w:val="00AF018D"/>
    <w:rsid w:val="00AF01D2"/>
    <w:rsid w:val="00AF020D"/>
    <w:rsid w:val="00AF02D5"/>
    <w:rsid w:val="00AF02F8"/>
    <w:rsid w:val="00AF04BB"/>
    <w:rsid w:val="00AF0801"/>
    <w:rsid w:val="00AF08B7"/>
    <w:rsid w:val="00AF0951"/>
    <w:rsid w:val="00AF0ABF"/>
    <w:rsid w:val="00AF0C9C"/>
    <w:rsid w:val="00AF0D05"/>
    <w:rsid w:val="00AF0D42"/>
    <w:rsid w:val="00AF0DE5"/>
    <w:rsid w:val="00AF1203"/>
    <w:rsid w:val="00AF163F"/>
    <w:rsid w:val="00AF16B9"/>
    <w:rsid w:val="00AF1726"/>
    <w:rsid w:val="00AF18C2"/>
    <w:rsid w:val="00AF195C"/>
    <w:rsid w:val="00AF1BAC"/>
    <w:rsid w:val="00AF1C56"/>
    <w:rsid w:val="00AF1CDE"/>
    <w:rsid w:val="00AF1D92"/>
    <w:rsid w:val="00AF2305"/>
    <w:rsid w:val="00AF2641"/>
    <w:rsid w:val="00AF2737"/>
    <w:rsid w:val="00AF277D"/>
    <w:rsid w:val="00AF2A93"/>
    <w:rsid w:val="00AF2D22"/>
    <w:rsid w:val="00AF2EE1"/>
    <w:rsid w:val="00AF350D"/>
    <w:rsid w:val="00AF356F"/>
    <w:rsid w:val="00AF369B"/>
    <w:rsid w:val="00AF3811"/>
    <w:rsid w:val="00AF38CD"/>
    <w:rsid w:val="00AF391D"/>
    <w:rsid w:val="00AF3CE6"/>
    <w:rsid w:val="00AF3D87"/>
    <w:rsid w:val="00AF3EE1"/>
    <w:rsid w:val="00AF3F52"/>
    <w:rsid w:val="00AF40A2"/>
    <w:rsid w:val="00AF43F4"/>
    <w:rsid w:val="00AF4455"/>
    <w:rsid w:val="00AF4466"/>
    <w:rsid w:val="00AF44DC"/>
    <w:rsid w:val="00AF46AA"/>
    <w:rsid w:val="00AF47BF"/>
    <w:rsid w:val="00AF48AF"/>
    <w:rsid w:val="00AF499F"/>
    <w:rsid w:val="00AF4A8E"/>
    <w:rsid w:val="00AF4B38"/>
    <w:rsid w:val="00AF4D75"/>
    <w:rsid w:val="00AF4E41"/>
    <w:rsid w:val="00AF4F48"/>
    <w:rsid w:val="00AF4F7D"/>
    <w:rsid w:val="00AF4F90"/>
    <w:rsid w:val="00AF4FC0"/>
    <w:rsid w:val="00AF4FD2"/>
    <w:rsid w:val="00AF4FD4"/>
    <w:rsid w:val="00AF5005"/>
    <w:rsid w:val="00AF53F8"/>
    <w:rsid w:val="00AF581A"/>
    <w:rsid w:val="00AF5991"/>
    <w:rsid w:val="00AF5AB7"/>
    <w:rsid w:val="00AF5AEA"/>
    <w:rsid w:val="00AF5B80"/>
    <w:rsid w:val="00AF5CB7"/>
    <w:rsid w:val="00AF5D6B"/>
    <w:rsid w:val="00AF5D98"/>
    <w:rsid w:val="00AF6A45"/>
    <w:rsid w:val="00AF6AF3"/>
    <w:rsid w:val="00AF6BA1"/>
    <w:rsid w:val="00AF6C1A"/>
    <w:rsid w:val="00AF6FE8"/>
    <w:rsid w:val="00AF71B8"/>
    <w:rsid w:val="00AF72ED"/>
    <w:rsid w:val="00AF72FB"/>
    <w:rsid w:val="00AF7307"/>
    <w:rsid w:val="00AF7355"/>
    <w:rsid w:val="00AF740A"/>
    <w:rsid w:val="00AF754F"/>
    <w:rsid w:val="00AF768E"/>
    <w:rsid w:val="00AF7938"/>
    <w:rsid w:val="00AF7BCF"/>
    <w:rsid w:val="00AF7E7D"/>
    <w:rsid w:val="00AF7E84"/>
    <w:rsid w:val="00AF7F60"/>
    <w:rsid w:val="00AF7F67"/>
    <w:rsid w:val="00B000F7"/>
    <w:rsid w:val="00B00159"/>
    <w:rsid w:val="00B001DD"/>
    <w:rsid w:val="00B00230"/>
    <w:rsid w:val="00B00275"/>
    <w:rsid w:val="00B00428"/>
    <w:rsid w:val="00B0053E"/>
    <w:rsid w:val="00B005C6"/>
    <w:rsid w:val="00B00806"/>
    <w:rsid w:val="00B00AF7"/>
    <w:rsid w:val="00B00CF3"/>
    <w:rsid w:val="00B00DF3"/>
    <w:rsid w:val="00B00E40"/>
    <w:rsid w:val="00B01100"/>
    <w:rsid w:val="00B0136E"/>
    <w:rsid w:val="00B0151D"/>
    <w:rsid w:val="00B0156E"/>
    <w:rsid w:val="00B015CF"/>
    <w:rsid w:val="00B017CA"/>
    <w:rsid w:val="00B017CD"/>
    <w:rsid w:val="00B01844"/>
    <w:rsid w:val="00B019DF"/>
    <w:rsid w:val="00B01A73"/>
    <w:rsid w:val="00B01B36"/>
    <w:rsid w:val="00B0238C"/>
    <w:rsid w:val="00B02394"/>
    <w:rsid w:val="00B0241E"/>
    <w:rsid w:val="00B02465"/>
    <w:rsid w:val="00B0257F"/>
    <w:rsid w:val="00B028BA"/>
    <w:rsid w:val="00B03033"/>
    <w:rsid w:val="00B0307F"/>
    <w:rsid w:val="00B031CC"/>
    <w:rsid w:val="00B031D3"/>
    <w:rsid w:val="00B03271"/>
    <w:rsid w:val="00B032CC"/>
    <w:rsid w:val="00B034E0"/>
    <w:rsid w:val="00B034F0"/>
    <w:rsid w:val="00B0352D"/>
    <w:rsid w:val="00B035B6"/>
    <w:rsid w:val="00B03626"/>
    <w:rsid w:val="00B036B5"/>
    <w:rsid w:val="00B03945"/>
    <w:rsid w:val="00B03A57"/>
    <w:rsid w:val="00B03A72"/>
    <w:rsid w:val="00B03AB6"/>
    <w:rsid w:val="00B03B89"/>
    <w:rsid w:val="00B03F2A"/>
    <w:rsid w:val="00B04031"/>
    <w:rsid w:val="00B040B7"/>
    <w:rsid w:val="00B041A3"/>
    <w:rsid w:val="00B0439E"/>
    <w:rsid w:val="00B04450"/>
    <w:rsid w:val="00B0445E"/>
    <w:rsid w:val="00B044C6"/>
    <w:rsid w:val="00B04506"/>
    <w:rsid w:val="00B0461D"/>
    <w:rsid w:val="00B0465B"/>
    <w:rsid w:val="00B046BC"/>
    <w:rsid w:val="00B04784"/>
    <w:rsid w:val="00B0486A"/>
    <w:rsid w:val="00B048B6"/>
    <w:rsid w:val="00B04EB8"/>
    <w:rsid w:val="00B051C6"/>
    <w:rsid w:val="00B0528B"/>
    <w:rsid w:val="00B054DB"/>
    <w:rsid w:val="00B05530"/>
    <w:rsid w:val="00B0553F"/>
    <w:rsid w:val="00B055BA"/>
    <w:rsid w:val="00B0562D"/>
    <w:rsid w:val="00B0569A"/>
    <w:rsid w:val="00B0574B"/>
    <w:rsid w:val="00B05898"/>
    <w:rsid w:val="00B05B2C"/>
    <w:rsid w:val="00B05C1E"/>
    <w:rsid w:val="00B05DE4"/>
    <w:rsid w:val="00B06181"/>
    <w:rsid w:val="00B06396"/>
    <w:rsid w:val="00B0643B"/>
    <w:rsid w:val="00B06562"/>
    <w:rsid w:val="00B06588"/>
    <w:rsid w:val="00B068A9"/>
    <w:rsid w:val="00B06BD3"/>
    <w:rsid w:val="00B06C76"/>
    <w:rsid w:val="00B06CE6"/>
    <w:rsid w:val="00B06D9A"/>
    <w:rsid w:val="00B06EA7"/>
    <w:rsid w:val="00B06EC2"/>
    <w:rsid w:val="00B06F2E"/>
    <w:rsid w:val="00B0707D"/>
    <w:rsid w:val="00B070DC"/>
    <w:rsid w:val="00B0712F"/>
    <w:rsid w:val="00B071B1"/>
    <w:rsid w:val="00B07246"/>
    <w:rsid w:val="00B07276"/>
    <w:rsid w:val="00B072AE"/>
    <w:rsid w:val="00B07724"/>
    <w:rsid w:val="00B079FC"/>
    <w:rsid w:val="00B07C76"/>
    <w:rsid w:val="00B07DA4"/>
    <w:rsid w:val="00B07DCB"/>
    <w:rsid w:val="00B10298"/>
    <w:rsid w:val="00B102A2"/>
    <w:rsid w:val="00B102B4"/>
    <w:rsid w:val="00B103B1"/>
    <w:rsid w:val="00B103D8"/>
    <w:rsid w:val="00B1044D"/>
    <w:rsid w:val="00B1062F"/>
    <w:rsid w:val="00B10659"/>
    <w:rsid w:val="00B10795"/>
    <w:rsid w:val="00B108D6"/>
    <w:rsid w:val="00B109C6"/>
    <w:rsid w:val="00B109EB"/>
    <w:rsid w:val="00B10F53"/>
    <w:rsid w:val="00B115BF"/>
    <w:rsid w:val="00B11625"/>
    <w:rsid w:val="00B116C0"/>
    <w:rsid w:val="00B11726"/>
    <w:rsid w:val="00B1184B"/>
    <w:rsid w:val="00B118AA"/>
    <w:rsid w:val="00B1193F"/>
    <w:rsid w:val="00B11A68"/>
    <w:rsid w:val="00B11D24"/>
    <w:rsid w:val="00B11D6B"/>
    <w:rsid w:val="00B11FF2"/>
    <w:rsid w:val="00B120B8"/>
    <w:rsid w:val="00B1228E"/>
    <w:rsid w:val="00B122E7"/>
    <w:rsid w:val="00B1239B"/>
    <w:rsid w:val="00B1250F"/>
    <w:rsid w:val="00B125D9"/>
    <w:rsid w:val="00B1268A"/>
    <w:rsid w:val="00B126A6"/>
    <w:rsid w:val="00B12719"/>
    <w:rsid w:val="00B12844"/>
    <w:rsid w:val="00B12B11"/>
    <w:rsid w:val="00B12D9E"/>
    <w:rsid w:val="00B13139"/>
    <w:rsid w:val="00B1319B"/>
    <w:rsid w:val="00B131FF"/>
    <w:rsid w:val="00B13355"/>
    <w:rsid w:val="00B13370"/>
    <w:rsid w:val="00B13638"/>
    <w:rsid w:val="00B13869"/>
    <w:rsid w:val="00B139CF"/>
    <w:rsid w:val="00B13CF7"/>
    <w:rsid w:val="00B13D80"/>
    <w:rsid w:val="00B13F09"/>
    <w:rsid w:val="00B14265"/>
    <w:rsid w:val="00B142C5"/>
    <w:rsid w:val="00B1443B"/>
    <w:rsid w:val="00B144DB"/>
    <w:rsid w:val="00B1468D"/>
    <w:rsid w:val="00B14747"/>
    <w:rsid w:val="00B1475E"/>
    <w:rsid w:val="00B1493C"/>
    <w:rsid w:val="00B1494A"/>
    <w:rsid w:val="00B14DD7"/>
    <w:rsid w:val="00B14E85"/>
    <w:rsid w:val="00B14EE0"/>
    <w:rsid w:val="00B1502E"/>
    <w:rsid w:val="00B1505B"/>
    <w:rsid w:val="00B1536A"/>
    <w:rsid w:val="00B1573C"/>
    <w:rsid w:val="00B15785"/>
    <w:rsid w:val="00B1582C"/>
    <w:rsid w:val="00B1594F"/>
    <w:rsid w:val="00B1595B"/>
    <w:rsid w:val="00B1597B"/>
    <w:rsid w:val="00B15A49"/>
    <w:rsid w:val="00B15B22"/>
    <w:rsid w:val="00B15B79"/>
    <w:rsid w:val="00B15BA0"/>
    <w:rsid w:val="00B15C4E"/>
    <w:rsid w:val="00B15F21"/>
    <w:rsid w:val="00B1606D"/>
    <w:rsid w:val="00B162A8"/>
    <w:rsid w:val="00B16302"/>
    <w:rsid w:val="00B1641E"/>
    <w:rsid w:val="00B1668B"/>
    <w:rsid w:val="00B16779"/>
    <w:rsid w:val="00B167CB"/>
    <w:rsid w:val="00B16B7A"/>
    <w:rsid w:val="00B16BBF"/>
    <w:rsid w:val="00B16D8A"/>
    <w:rsid w:val="00B16D92"/>
    <w:rsid w:val="00B16DBD"/>
    <w:rsid w:val="00B17193"/>
    <w:rsid w:val="00B171C0"/>
    <w:rsid w:val="00B17305"/>
    <w:rsid w:val="00B173D6"/>
    <w:rsid w:val="00B17542"/>
    <w:rsid w:val="00B1768F"/>
    <w:rsid w:val="00B17761"/>
    <w:rsid w:val="00B179F5"/>
    <w:rsid w:val="00B17BDD"/>
    <w:rsid w:val="00B17C7D"/>
    <w:rsid w:val="00B17CEB"/>
    <w:rsid w:val="00B17D02"/>
    <w:rsid w:val="00B2005B"/>
    <w:rsid w:val="00B20131"/>
    <w:rsid w:val="00B2024A"/>
    <w:rsid w:val="00B202F5"/>
    <w:rsid w:val="00B2045C"/>
    <w:rsid w:val="00B204F6"/>
    <w:rsid w:val="00B205C3"/>
    <w:rsid w:val="00B20C0A"/>
    <w:rsid w:val="00B20EFB"/>
    <w:rsid w:val="00B20F91"/>
    <w:rsid w:val="00B212CD"/>
    <w:rsid w:val="00B218BA"/>
    <w:rsid w:val="00B218EE"/>
    <w:rsid w:val="00B21903"/>
    <w:rsid w:val="00B21C83"/>
    <w:rsid w:val="00B21D1F"/>
    <w:rsid w:val="00B21DBF"/>
    <w:rsid w:val="00B21DF6"/>
    <w:rsid w:val="00B21FFA"/>
    <w:rsid w:val="00B2222C"/>
    <w:rsid w:val="00B22300"/>
    <w:rsid w:val="00B223B1"/>
    <w:rsid w:val="00B2247E"/>
    <w:rsid w:val="00B224C5"/>
    <w:rsid w:val="00B2254F"/>
    <w:rsid w:val="00B225CE"/>
    <w:rsid w:val="00B227CA"/>
    <w:rsid w:val="00B22810"/>
    <w:rsid w:val="00B22878"/>
    <w:rsid w:val="00B228EC"/>
    <w:rsid w:val="00B22907"/>
    <w:rsid w:val="00B22AC0"/>
    <w:rsid w:val="00B22BA8"/>
    <w:rsid w:val="00B22BB5"/>
    <w:rsid w:val="00B22CF8"/>
    <w:rsid w:val="00B22D36"/>
    <w:rsid w:val="00B22D5B"/>
    <w:rsid w:val="00B22DBE"/>
    <w:rsid w:val="00B22DC6"/>
    <w:rsid w:val="00B22DEA"/>
    <w:rsid w:val="00B22EB4"/>
    <w:rsid w:val="00B22EED"/>
    <w:rsid w:val="00B231D1"/>
    <w:rsid w:val="00B231F4"/>
    <w:rsid w:val="00B23545"/>
    <w:rsid w:val="00B239B5"/>
    <w:rsid w:val="00B23B2F"/>
    <w:rsid w:val="00B23D2D"/>
    <w:rsid w:val="00B23F3D"/>
    <w:rsid w:val="00B24027"/>
    <w:rsid w:val="00B240E7"/>
    <w:rsid w:val="00B24257"/>
    <w:rsid w:val="00B24259"/>
    <w:rsid w:val="00B2444C"/>
    <w:rsid w:val="00B2451B"/>
    <w:rsid w:val="00B249C2"/>
    <w:rsid w:val="00B24CC1"/>
    <w:rsid w:val="00B24F41"/>
    <w:rsid w:val="00B24F9D"/>
    <w:rsid w:val="00B24FD2"/>
    <w:rsid w:val="00B2518A"/>
    <w:rsid w:val="00B25272"/>
    <w:rsid w:val="00B252B3"/>
    <w:rsid w:val="00B252DF"/>
    <w:rsid w:val="00B25361"/>
    <w:rsid w:val="00B25AA8"/>
    <w:rsid w:val="00B25AC6"/>
    <w:rsid w:val="00B25BD1"/>
    <w:rsid w:val="00B25C7E"/>
    <w:rsid w:val="00B25CC7"/>
    <w:rsid w:val="00B25D7F"/>
    <w:rsid w:val="00B25DAC"/>
    <w:rsid w:val="00B25DE0"/>
    <w:rsid w:val="00B25E0E"/>
    <w:rsid w:val="00B2613E"/>
    <w:rsid w:val="00B2617F"/>
    <w:rsid w:val="00B26221"/>
    <w:rsid w:val="00B262BC"/>
    <w:rsid w:val="00B26308"/>
    <w:rsid w:val="00B2638F"/>
    <w:rsid w:val="00B26487"/>
    <w:rsid w:val="00B266A7"/>
    <w:rsid w:val="00B2671F"/>
    <w:rsid w:val="00B2676B"/>
    <w:rsid w:val="00B26880"/>
    <w:rsid w:val="00B26935"/>
    <w:rsid w:val="00B269E9"/>
    <w:rsid w:val="00B26B12"/>
    <w:rsid w:val="00B26CA9"/>
    <w:rsid w:val="00B26CF1"/>
    <w:rsid w:val="00B26F6B"/>
    <w:rsid w:val="00B27073"/>
    <w:rsid w:val="00B2710F"/>
    <w:rsid w:val="00B27267"/>
    <w:rsid w:val="00B27278"/>
    <w:rsid w:val="00B273FB"/>
    <w:rsid w:val="00B27447"/>
    <w:rsid w:val="00B2779E"/>
    <w:rsid w:val="00B278F4"/>
    <w:rsid w:val="00B27A17"/>
    <w:rsid w:val="00B27A34"/>
    <w:rsid w:val="00B27A67"/>
    <w:rsid w:val="00B27ACF"/>
    <w:rsid w:val="00B27CBD"/>
    <w:rsid w:val="00B27F4C"/>
    <w:rsid w:val="00B300D5"/>
    <w:rsid w:val="00B30145"/>
    <w:rsid w:val="00B303C7"/>
    <w:rsid w:val="00B3094E"/>
    <w:rsid w:val="00B30A1C"/>
    <w:rsid w:val="00B30A74"/>
    <w:rsid w:val="00B30A82"/>
    <w:rsid w:val="00B30AB1"/>
    <w:rsid w:val="00B30E2F"/>
    <w:rsid w:val="00B3100A"/>
    <w:rsid w:val="00B3111D"/>
    <w:rsid w:val="00B3148E"/>
    <w:rsid w:val="00B314A3"/>
    <w:rsid w:val="00B3175C"/>
    <w:rsid w:val="00B31983"/>
    <w:rsid w:val="00B31A48"/>
    <w:rsid w:val="00B31B15"/>
    <w:rsid w:val="00B31CFD"/>
    <w:rsid w:val="00B31D8C"/>
    <w:rsid w:val="00B32016"/>
    <w:rsid w:val="00B320EB"/>
    <w:rsid w:val="00B321B1"/>
    <w:rsid w:val="00B327C9"/>
    <w:rsid w:val="00B3286B"/>
    <w:rsid w:val="00B32A41"/>
    <w:rsid w:val="00B32E29"/>
    <w:rsid w:val="00B32F0C"/>
    <w:rsid w:val="00B3307A"/>
    <w:rsid w:val="00B330C5"/>
    <w:rsid w:val="00B330FD"/>
    <w:rsid w:val="00B3322D"/>
    <w:rsid w:val="00B3322E"/>
    <w:rsid w:val="00B3330E"/>
    <w:rsid w:val="00B33409"/>
    <w:rsid w:val="00B335D5"/>
    <w:rsid w:val="00B335D7"/>
    <w:rsid w:val="00B337A8"/>
    <w:rsid w:val="00B33984"/>
    <w:rsid w:val="00B339B5"/>
    <w:rsid w:val="00B33ACA"/>
    <w:rsid w:val="00B33B15"/>
    <w:rsid w:val="00B33B3A"/>
    <w:rsid w:val="00B33C5F"/>
    <w:rsid w:val="00B33EBD"/>
    <w:rsid w:val="00B33F5A"/>
    <w:rsid w:val="00B34133"/>
    <w:rsid w:val="00B34263"/>
    <w:rsid w:val="00B342C5"/>
    <w:rsid w:val="00B34311"/>
    <w:rsid w:val="00B34487"/>
    <w:rsid w:val="00B34611"/>
    <w:rsid w:val="00B34669"/>
    <w:rsid w:val="00B34867"/>
    <w:rsid w:val="00B3487C"/>
    <w:rsid w:val="00B34C15"/>
    <w:rsid w:val="00B34C4B"/>
    <w:rsid w:val="00B34D6D"/>
    <w:rsid w:val="00B34E3A"/>
    <w:rsid w:val="00B34E5E"/>
    <w:rsid w:val="00B34F19"/>
    <w:rsid w:val="00B34F63"/>
    <w:rsid w:val="00B34F7D"/>
    <w:rsid w:val="00B34F94"/>
    <w:rsid w:val="00B34FB4"/>
    <w:rsid w:val="00B351F1"/>
    <w:rsid w:val="00B352DF"/>
    <w:rsid w:val="00B35418"/>
    <w:rsid w:val="00B35670"/>
    <w:rsid w:val="00B35676"/>
    <w:rsid w:val="00B356A7"/>
    <w:rsid w:val="00B3580C"/>
    <w:rsid w:val="00B35926"/>
    <w:rsid w:val="00B3593F"/>
    <w:rsid w:val="00B359C8"/>
    <w:rsid w:val="00B35A12"/>
    <w:rsid w:val="00B35A14"/>
    <w:rsid w:val="00B35B0B"/>
    <w:rsid w:val="00B35B5C"/>
    <w:rsid w:val="00B35B70"/>
    <w:rsid w:val="00B35BBC"/>
    <w:rsid w:val="00B35CBC"/>
    <w:rsid w:val="00B35CBD"/>
    <w:rsid w:val="00B3613E"/>
    <w:rsid w:val="00B3624B"/>
    <w:rsid w:val="00B3666F"/>
    <w:rsid w:val="00B368FE"/>
    <w:rsid w:val="00B36AA1"/>
    <w:rsid w:val="00B36B4C"/>
    <w:rsid w:val="00B36B9A"/>
    <w:rsid w:val="00B36BA8"/>
    <w:rsid w:val="00B36BFD"/>
    <w:rsid w:val="00B37011"/>
    <w:rsid w:val="00B3703D"/>
    <w:rsid w:val="00B370FA"/>
    <w:rsid w:val="00B3714C"/>
    <w:rsid w:val="00B37376"/>
    <w:rsid w:val="00B3739D"/>
    <w:rsid w:val="00B3747C"/>
    <w:rsid w:val="00B374F8"/>
    <w:rsid w:val="00B37512"/>
    <w:rsid w:val="00B3757F"/>
    <w:rsid w:val="00B37641"/>
    <w:rsid w:val="00B379D1"/>
    <w:rsid w:val="00B37AF7"/>
    <w:rsid w:val="00B37B69"/>
    <w:rsid w:val="00B37BFE"/>
    <w:rsid w:val="00B37D67"/>
    <w:rsid w:val="00B37F2D"/>
    <w:rsid w:val="00B37F8D"/>
    <w:rsid w:val="00B37FB7"/>
    <w:rsid w:val="00B37FF7"/>
    <w:rsid w:val="00B40042"/>
    <w:rsid w:val="00B4012B"/>
    <w:rsid w:val="00B40369"/>
    <w:rsid w:val="00B40816"/>
    <w:rsid w:val="00B408A2"/>
    <w:rsid w:val="00B40B4C"/>
    <w:rsid w:val="00B40B75"/>
    <w:rsid w:val="00B40DB7"/>
    <w:rsid w:val="00B40EDB"/>
    <w:rsid w:val="00B40FFE"/>
    <w:rsid w:val="00B410ED"/>
    <w:rsid w:val="00B4113B"/>
    <w:rsid w:val="00B411E6"/>
    <w:rsid w:val="00B41210"/>
    <w:rsid w:val="00B413DC"/>
    <w:rsid w:val="00B4144D"/>
    <w:rsid w:val="00B414C3"/>
    <w:rsid w:val="00B4151A"/>
    <w:rsid w:val="00B41982"/>
    <w:rsid w:val="00B41A87"/>
    <w:rsid w:val="00B41B08"/>
    <w:rsid w:val="00B41F06"/>
    <w:rsid w:val="00B41FF9"/>
    <w:rsid w:val="00B420F5"/>
    <w:rsid w:val="00B423E9"/>
    <w:rsid w:val="00B42565"/>
    <w:rsid w:val="00B42645"/>
    <w:rsid w:val="00B42663"/>
    <w:rsid w:val="00B42707"/>
    <w:rsid w:val="00B42825"/>
    <w:rsid w:val="00B42887"/>
    <w:rsid w:val="00B42B29"/>
    <w:rsid w:val="00B42BDE"/>
    <w:rsid w:val="00B42DCE"/>
    <w:rsid w:val="00B42E02"/>
    <w:rsid w:val="00B43014"/>
    <w:rsid w:val="00B43126"/>
    <w:rsid w:val="00B431A6"/>
    <w:rsid w:val="00B43258"/>
    <w:rsid w:val="00B43626"/>
    <w:rsid w:val="00B438C7"/>
    <w:rsid w:val="00B4396F"/>
    <w:rsid w:val="00B4398A"/>
    <w:rsid w:val="00B43A48"/>
    <w:rsid w:val="00B43AB7"/>
    <w:rsid w:val="00B43B43"/>
    <w:rsid w:val="00B43E94"/>
    <w:rsid w:val="00B43F55"/>
    <w:rsid w:val="00B4418D"/>
    <w:rsid w:val="00B441EC"/>
    <w:rsid w:val="00B44337"/>
    <w:rsid w:val="00B44392"/>
    <w:rsid w:val="00B44442"/>
    <w:rsid w:val="00B444E1"/>
    <w:rsid w:val="00B4462B"/>
    <w:rsid w:val="00B44658"/>
    <w:rsid w:val="00B447CB"/>
    <w:rsid w:val="00B4480A"/>
    <w:rsid w:val="00B4485D"/>
    <w:rsid w:val="00B44955"/>
    <w:rsid w:val="00B44A18"/>
    <w:rsid w:val="00B44C58"/>
    <w:rsid w:val="00B45130"/>
    <w:rsid w:val="00B4513D"/>
    <w:rsid w:val="00B45311"/>
    <w:rsid w:val="00B4538A"/>
    <w:rsid w:val="00B45559"/>
    <w:rsid w:val="00B45712"/>
    <w:rsid w:val="00B4589A"/>
    <w:rsid w:val="00B45A41"/>
    <w:rsid w:val="00B46031"/>
    <w:rsid w:val="00B46166"/>
    <w:rsid w:val="00B463D5"/>
    <w:rsid w:val="00B465FA"/>
    <w:rsid w:val="00B46637"/>
    <w:rsid w:val="00B466C7"/>
    <w:rsid w:val="00B46828"/>
    <w:rsid w:val="00B46891"/>
    <w:rsid w:val="00B46A73"/>
    <w:rsid w:val="00B46D0C"/>
    <w:rsid w:val="00B46DC0"/>
    <w:rsid w:val="00B46E65"/>
    <w:rsid w:val="00B46E87"/>
    <w:rsid w:val="00B46EAA"/>
    <w:rsid w:val="00B47038"/>
    <w:rsid w:val="00B472C4"/>
    <w:rsid w:val="00B47549"/>
    <w:rsid w:val="00B47578"/>
    <w:rsid w:val="00B47579"/>
    <w:rsid w:val="00B4757D"/>
    <w:rsid w:val="00B475B9"/>
    <w:rsid w:val="00B47687"/>
    <w:rsid w:val="00B4768D"/>
    <w:rsid w:val="00B47A1E"/>
    <w:rsid w:val="00B47C48"/>
    <w:rsid w:val="00B47CD9"/>
    <w:rsid w:val="00B47CF2"/>
    <w:rsid w:val="00B47D7C"/>
    <w:rsid w:val="00B500DF"/>
    <w:rsid w:val="00B503D2"/>
    <w:rsid w:val="00B50561"/>
    <w:rsid w:val="00B50891"/>
    <w:rsid w:val="00B50906"/>
    <w:rsid w:val="00B50A42"/>
    <w:rsid w:val="00B50B10"/>
    <w:rsid w:val="00B50FC4"/>
    <w:rsid w:val="00B50FDE"/>
    <w:rsid w:val="00B5142D"/>
    <w:rsid w:val="00B516C5"/>
    <w:rsid w:val="00B516CB"/>
    <w:rsid w:val="00B518B4"/>
    <w:rsid w:val="00B51AB7"/>
    <w:rsid w:val="00B51B40"/>
    <w:rsid w:val="00B51B4C"/>
    <w:rsid w:val="00B51D47"/>
    <w:rsid w:val="00B52169"/>
    <w:rsid w:val="00B5234E"/>
    <w:rsid w:val="00B5255A"/>
    <w:rsid w:val="00B526CB"/>
    <w:rsid w:val="00B5275C"/>
    <w:rsid w:val="00B52A97"/>
    <w:rsid w:val="00B52B38"/>
    <w:rsid w:val="00B52B8D"/>
    <w:rsid w:val="00B52D08"/>
    <w:rsid w:val="00B53180"/>
    <w:rsid w:val="00B531CA"/>
    <w:rsid w:val="00B531FD"/>
    <w:rsid w:val="00B5320A"/>
    <w:rsid w:val="00B53338"/>
    <w:rsid w:val="00B533DA"/>
    <w:rsid w:val="00B533DD"/>
    <w:rsid w:val="00B5345F"/>
    <w:rsid w:val="00B537CA"/>
    <w:rsid w:val="00B5380B"/>
    <w:rsid w:val="00B53822"/>
    <w:rsid w:val="00B53A21"/>
    <w:rsid w:val="00B53AA5"/>
    <w:rsid w:val="00B53B0E"/>
    <w:rsid w:val="00B53B3A"/>
    <w:rsid w:val="00B53B49"/>
    <w:rsid w:val="00B53B92"/>
    <w:rsid w:val="00B53BBA"/>
    <w:rsid w:val="00B53BD9"/>
    <w:rsid w:val="00B53EE0"/>
    <w:rsid w:val="00B53FBC"/>
    <w:rsid w:val="00B5473D"/>
    <w:rsid w:val="00B5479C"/>
    <w:rsid w:val="00B548FA"/>
    <w:rsid w:val="00B54A0A"/>
    <w:rsid w:val="00B54B14"/>
    <w:rsid w:val="00B54D88"/>
    <w:rsid w:val="00B54EEA"/>
    <w:rsid w:val="00B54F63"/>
    <w:rsid w:val="00B55388"/>
    <w:rsid w:val="00B55517"/>
    <w:rsid w:val="00B55549"/>
    <w:rsid w:val="00B55714"/>
    <w:rsid w:val="00B55803"/>
    <w:rsid w:val="00B55807"/>
    <w:rsid w:val="00B558B3"/>
    <w:rsid w:val="00B55AEA"/>
    <w:rsid w:val="00B55B8C"/>
    <w:rsid w:val="00B55BD6"/>
    <w:rsid w:val="00B55F88"/>
    <w:rsid w:val="00B560EF"/>
    <w:rsid w:val="00B561A4"/>
    <w:rsid w:val="00B561A6"/>
    <w:rsid w:val="00B56624"/>
    <w:rsid w:val="00B56763"/>
    <w:rsid w:val="00B56820"/>
    <w:rsid w:val="00B568DA"/>
    <w:rsid w:val="00B56A8D"/>
    <w:rsid w:val="00B56D6F"/>
    <w:rsid w:val="00B56EC0"/>
    <w:rsid w:val="00B56FF3"/>
    <w:rsid w:val="00B570BA"/>
    <w:rsid w:val="00B57199"/>
    <w:rsid w:val="00B57247"/>
    <w:rsid w:val="00B57473"/>
    <w:rsid w:val="00B5764F"/>
    <w:rsid w:val="00B5772E"/>
    <w:rsid w:val="00B57735"/>
    <w:rsid w:val="00B5793A"/>
    <w:rsid w:val="00B579A9"/>
    <w:rsid w:val="00B57AFD"/>
    <w:rsid w:val="00B57C48"/>
    <w:rsid w:val="00B57DE8"/>
    <w:rsid w:val="00B57EA9"/>
    <w:rsid w:val="00B600B2"/>
    <w:rsid w:val="00B602A2"/>
    <w:rsid w:val="00B6037B"/>
    <w:rsid w:val="00B603C8"/>
    <w:rsid w:val="00B60977"/>
    <w:rsid w:val="00B60A10"/>
    <w:rsid w:val="00B60C94"/>
    <w:rsid w:val="00B60CAB"/>
    <w:rsid w:val="00B61136"/>
    <w:rsid w:val="00B6113A"/>
    <w:rsid w:val="00B6114B"/>
    <w:rsid w:val="00B6116C"/>
    <w:rsid w:val="00B611E4"/>
    <w:rsid w:val="00B612D1"/>
    <w:rsid w:val="00B613DC"/>
    <w:rsid w:val="00B61529"/>
    <w:rsid w:val="00B61560"/>
    <w:rsid w:val="00B617B5"/>
    <w:rsid w:val="00B6186D"/>
    <w:rsid w:val="00B619AB"/>
    <w:rsid w:val="00B61A15"/>
    <w:rsid w:val="00B61B91"/>
    <w:rsid w:val="00B61CA8"/>
    <w:rsid w:val="00B61D39"/>
    <w:rsid w:val="00B61E65"/>
    <w:rsid w:val="00B61EF4"/>
    <w:rsid w:val="00B620E0"/>
    <w:rsid w:val="00B621A8"/>
    <w:rsid w:val="00B621B7"/>
    <w:rsid w:val="00B621F6"/>
    <w:rsid w:val="00B62208"/>
    <w:rsid w:val="00B62239"/>
    <w:rsid w:val="00B623F3"/>
    <w:rsid w:val="00B6243E"/>
    <w:rsid w:val="00B627AD"/>
    <w:rsid w:val="00B62938"/>
    <w:rsid w:val="00B629E0"/>
    <w:rsid w:val="00B62A20"/>
    <w:rsid w:val="00B62D38"/>
    <w:rsid w:val="00B62DF9"/>
    <w:rsid w:val="00B6316E"/>
    <w:rsid w:val="00B6336F"/>
    <w:rsid w:val="00B6345E"/>
    <w:rsid w:val="00B636A7"/>
    <w:rsid w:val="00B6392C"/>
    <w:rsid w:val="00B63A99"/>
    <w:rsid w:val="00B63BA6"/>
    <w:rsid w:val="00B63C1F"/>
    <w:rsid w:val="00B63D51"/>
    <w:rsid w:val="00B641F8"/>
    <w:rsid w:val="00B64399"/>
    <w:rsid w:val="00B64622"/>
    <w:rsid w:val="00B6477D"/>
    <w:rsid w:val="00B64AB3"/>
    <w:rsid w:val="00B64AB7"/>
    <w:rsid w:val="00B64C65"/>
    <w:rsid w:val="00B64CBD"/>
    <w:rsid w:val="00B64CD6"/>
    <w:rsid w:val="00B64D19"/>
    <w:rsid w:val="00B64DC8"/>
    <w:rsid w:val="00B652BD"/>
    <w:rsid w:val="00B654C9"/>
    <w:rsid w:val="00B65514"/>
    <w:rsid w:val="00B655C5"/>
    <w:rsid w:val="00B657EA"/>
    <w:rsid w:val="00B65A20"/>
    <w:rsid w:val="00B65CE6"/>
    <w:rsid w:val="00B65F2D"/>
    <w:rsid w:val="00B6609F"/>
    <w:rsid w:val="00B662F4"/>
    <w:rsid w:val="00B6630E"/>
    <w:rsid w:val="00B66634"/>
    <w:rsid w:val="00B666C4"/>
    <w:rsid w:val="00B666E8"/>
    <w:rsid w:val="00B6671B"/>
    <w:rsid w:val="00B669DA"/>
    <w:rsid w:val="00B66AA6"/>
    <w:rsid w:val="00B66AF6"/>
    <w:rsid w:val="00B66BFB"/>
    <w:rsid w:val="00B66DAD"/>
    <w:rsid w:val="00B66F50"/>
    <w:rsid w:val="00B67094"/>
    <w:rsid w:val="00B670DF"/>
    <w:rsid w:val="00B671E1"/>
    <w:rsid w:val="00B672A5"/>
    <w:rsid w:val="00B676B4"/>
    <w:rsid w:val="00B67729"/>
    <w:rsid w:val="00B678C3"/>
    <w:rsid w:val="00B679D0"/>
    <w:rsid w:val="00B679E9"/>
    <w:rsid w:val="00B67B68"/>
    <w:rsid w:val="00B70082"/>
    <w:rsid w:val="00B70142"/>
    <w:rsid w:val="00B7041F"/>
    <w:rsid w:val="00B70550"/>
    <w:rsid w:val="00B70616"/>
    <w:rsid w:val="00B7068D"/>
    <w:rsid w:val="00B706E5"/>
    <w:rsid w:val="00B709D8"/>
    <w:rsid w:val="00B70A1B"/>
    <w:rsid w:val="00B70AAE"/>
    <w:rsid w:val="00B70F47"/>
    <w:rsid w:val="00B710BB"/>
    <w:rsid w:val="00B710FD"/>
    <w:rsid w:val="00B7130C"/>
    <w:rsid w:val="00B7154C"/>
    <w:rsid w:val="00B71903"/>
    <w:rsid w:val="00B71958"/>
    <w:rsid w:val="00B7199D"/>
    <w:rsid w:val="00B71C0B"/>
    <w:rsid w:val="00B71F20"/>
    <w:rsid w:val="00B72211"/>
    <w:rsid w:val="00B7228A"/>
    <w:rsid w:val="00B72577"/>
    <w:rsid w:val="00B72614"/>
    <w:rsid w:val="00B72739"/>
    <w:rsid w:val="00B72749"/>
    <w:rsid w:val="00B728CD"/>
    <w:rsid w:val="00B72AC2"/>
    <w:rsid w:val="00B72B25"/>
    <w:rsid w:val="00B72B3F"/>
    <w:rsid w:val="00B72BA9"/>
    <w:rsid w:val="00B72CAF"/>
    <w:rsid w:val="00B7341A"/>
    <w:rsid w:val="00B734C1"/>
    <w:rsid w:val="00B7354F"/>
    <w:rsid w:val="00B73A27"/>
    <w:rsid w:val="00B73B03"/>
    <w:rsid w:val="00B73B55"/>
    <w:rsid w:val="00B73EE9"/>
    <w:rsid w:val="00B73F99"/>
    <w:rsid w:val="00B742F8"/>
    <w:rsid w:val="00B74394"/>
    <w:rsid w:val="00B7458C"/>
    <w:rsid w:val="00B7479E"/>
    <w:rsid w:val="00B74840"/>
    <w:rsid w:val="00B74881"/>
    <w:rsid w:val="00B74935"/>
    <w:rsid w:val="00B74C91"/>
    <w:rsid w:val="00B74DF3"/>
    <w:rsid w:val="00B74EB4"/>
    <w:rsid w:val="00B74F0D"/>
    <w:rsid w:val="00B74FC5"/>
    <w:rsid w:val="00B75007"/>
    <w:rsid w:val="00B75059"/>
    <w:rsid w:val="00B751B3"/>
    <w:rsid w:val="00B752DF"/>
    <w:rsid w:val="00B7541A"/>
    <w:rsid w:val="00B754C0"/>
    <w:rsid w:val="00B7553B"/>
    <w:rsid w:val="00B7574C"/>
    <w:rsid w:val="00B75AF8"/>
    <w:rsid w:val="00B75B44"/>
    <w:rsid w:val="00B75B6B"/>
    <w:rsid w:val="00B75C11"/>
    <w:rsid w:val="00B75CDF"/>
    <w:rsid w:val="00B75F92"/>
    <w:rsid w:val="00B76026"/>
    <w:rsid w:val="00B760D0"/>
    <w:rsid w:val="00B7615D"/>
    <w:rsid w:val="00B764AF"/>
    <w:rsid w:val="00B765C6"/>
    <w:rsid w:val="00B7662E"/>
    <w:rsid w:val="00B76879"/>
    <w:rsid w:val="00B76A47"/>
    <w:rsid w:val="00B76B83"/>
    <w:rsid w:val="00B76C4C"/>
    <w:rsid w:val="00B77140"/>
    <w:rsid w:val="00B77409"/>
    <w:rsid w:val="00B77452"/>
    <w:rsid w:val="00B7749B"/>
    <w:rsid w:val="00B77681"/>
    <w:rsid w:val="00B77844"/>
    <w:rsid w:val="00B77A1F"/>
    <w:rsid w:val="00B77D44"/>
    <w:rsid w:val="00B80021"/>
    <w:rsid w:val="00B802C6"/>
    <w:rsid w:val="00B804D7"/>
    <w:rsid w:val="00B8053B"/>
    <w:rsid w:val="00B80696"/>
    <w:rsid w:val="00B80746"/>
    <w:rsid w:val="00B80776"/>
    <w:rsid w:val="00B80783"/>
    <w:rsid w:val="00B807F1"/>
    <w:rsid w:val="00B8094D"/>
    <w:rsid w:val="00B809DE"/>
    <w:rsid w:val="00B80AEF"/>
    <w:rsid w:val="00B80C1A"/>
    <w:rsid w:val="00B812F0"/>
    <w:rsid w:val="00B8131D"/>
    <w:rsid w:val="00B8148E"/>
    <w:rsid w:val="00B8150B"/>
    <w:rsid w:val="00B81582"/>
    <w:rsid w:val="00B81928"/>
    <w:rsid w:val="00B819DA"/>
    <w:rsid w:val="00B81BB4"/>
    <w:rsid w:val="00B81D66"/>
    <w:rsid w:val="00B81DE3"/>
    <w:rsid w:val="00B81E19"/>
    <w:rsid w:val="00B81E9E"/>
    <w:rsid w:val="00B81EF8"/>
    <w:rsid w:val="00B81FEE"/>
    <w:rsid w:val="00B82086"/>
    <w:rsid w:val="00B821DB"/>
    <w:rsid w:val="00B8243D"/>
    <w:rsid w:val="00B82498"/>
    <w:rsid w:val="00B826B6"/>
    <w:rsid w:val="00B826FA"/>
    <w:rsid w:val="00B8273C"/>
    <w:rsid w:val="00B828A4"/>
    <w:rsid w:val="00B829A1"/>
    <w:rsid w:val="00B82B0B"/>
    <w:rsid w:val="00B82B23"/>
    <w:rsid w:val="00B82BB2"/>
    <w:rsid w:val="00B82BBA"/>
    <w:rsid w:val="00B82DE1"/>
    <w:rsid w:val="00B82E71"/>
    <w:rsid w:val="00B830C9"/>
    <w:rsid w:val="00B83114"/>
    <w:rsid w:val="00B8315B"/>
    <w:rsid w:val="00B831AC"/>
    <w:rsid w:val="00B83418"/>
    <w:rsid w:val="00B8345F"/>
    <w:rsid w:val="00B836D0"/>
    <w:rsid w:val="00B8374F"/>
    <w:rsid w:val="00B83887"/>
    <w:rsid w:val="00B83956"/>
    <w:rsid w:val="00B83A03"/>
    <w:rsid w:val="00B83A75"/>
    <w:rsid w:val="00B83C17"/>
    <w:rsid w:val="00B83CC2"/>
    <w:rsid w:val="00B83D06"/>
    <w:rsid w:val="00B83F60"/>
    <w:rsid w:val="00B84092"/>
    <w:rsid w:val="00B843EB"/>
    <w:rsid w:val="00B84473"/>
    <w:rsid w:val="00B84657"/>
    <w:rsid w:val="00B84669"/>
    <w:rsid w:val="00B84705"/>
    <w:rsid w:val="00B8482B"/>
    <w:rsid w:val="00B84AB6"/>
    <w:rsid w:val="00B84B19"/>
    <w:rsid w:val="00B84B45"/>
    <w:rsid w:val="00B84DC3"/>
    <w:rsid w:val="00B84DDF"/>
    <w:rsid w:val="00B84DEC"/>
    <w:rsid w:val="00B84E19"/>
    <w:rsid w:val="00B84E1E"/>
    <w:rsid w:val="00B84E5A"/>
    <w:rsid w:val="00B85319"/>
    <w:rsid w:val="00B8539F"/>
    <w:rsid w:val="00B853E0"/>
    <w:rsid w:val="00B853EB"/>
    <w:rsid w:val="00B85451"/>
    <w:rsid w:val="00B85525"/>
    <w:rsid w:val="00B8560B"/>
    <w:rsid w:val="00B85A7D"/>
    <w:rsid w:val="00B85B45"/>
    <w:rsid w:val="00B85B90"/>
    <w:rsid w:val="00B85BA4"/>
    <w:rsid w:val="00B85BB1"/>
    <w:rsid w:val="00B85CEB"/>
    <w:rsid w:val="00B85DBC"/>
    <w:rsid w:val="00B85E59"/>
    <w:rsid w:val="00B85F26"/>
    <w:rsid w:val="00B861FC"/>
    <w:rsid w:val="00B86246"/>
    <w:rsid w:val="00B862CF"/>
    <w:rsid w:val="00B862D0"/>
    <w:rsid w:val="00B8654F"/>
    <w:rsid w:val="00B866D9"/>
    <w:rsid w:val="00B866E1"/>
    <w:rsid w:val="00B866F1"/>
    <w:rsid w:val="00B86753"/>
    <w:rsid w:val="00B868FD"/>
    <w:rsid w:val="00B869BC"/>
    <w:rsid w:val="00B86A96"/>
    <w:rsid w:val="00B86B79"/>
    <w:rsid w:val="00B86C30"/>
    <w:rsid w:val="00B86DED"/>
    <w:rsid w:val="00B87018"/>
    <w:rsid w:val="00B870F0"/>
    <w:rsid w:val="00B87146"/>
    <w:rsid w:val="00B871F1"/>
    <w:rsid w:val="00B87364"/>
    <w:rsid w:val="00B87371"/>
    <w:rsid w:val="00B87644"/>
    <w:rsid w:val="00B8770E"/>
    <w:rsid w:val="00B878AB"/>
    <w:rsid w:val="00B87E6D"/>
    <w:rsid w:val="00B87E78"/>
    <w:rsid w:val="00B87F90"/>
    <w:rsid w:val="00B900F6"/>
    <w:rsid w:val="00B9014A"/>
    <w:rsid w:val="00B9033B"/>
    <w:rsid w:val="00B903FB"/>
    <w:rsid w:val="00B904CC"/>
    <w:rsid w:val="00B90611"/>
    <w:rsid w:val="00B906F5"/>
    <w:rsid w:val="00B9070F"/>
    <w:rsid w:val="00B90A2A"/>
    <w:rsid w:val="00B90AEC"/>
    <w:rsid w:val="00B90BB3"/>
    <w:rsid w:val="00B90E28"/>
    <w:rsid w:val="00B90EAA"/>
    <w:rsid w:val="00B90F1C"/>
    <w:rsid w:val="00B90FC7"/>
    <w:rsid w:val="00B91263"/>
    <w:rsid w:val="00B914EB"/>
    <w:rsid w:val="00B915BF"/>
    <w:rsid w:val="00B918A5"/>
    <w:rsid w:val="00B919D7"/>
    <w:rsid w:val="00B91B08"/>
    <w:rsid w:val="00B91B11"/>
    <w:rsid w:val="00B91C63"/>
    <w:rsid w:val="00B91DB7"/>
    <w:rsid w:val="00B91DEB"/>
    <w:rsid w:val="00B91E43"/>
    <w:rsid w:val="00B91F06"/>
    <w:rsid w:val="00B9235A"/>
    <w:rsid w:val="00B9235D"/>
    <w:rsid w:val="00B925E4"/>
    <w:rsid w:val="00B926A7"/>
    <w:rsid w:val="00B926B0"/>
    <w:rsid w:val="00B926E7"/>
    <w:rsid w:val="00B927E5"/>
    <w:rsid w:val="00B92C1F"/>
    <w:rsid w:val="00B9301F"/>
    <w:rsid w:val="00B93050"/>
    <w:rsid w:val="00B9305A"/>
    <w:rsid w:val="00B930BC"/>
    <w:rsid w:val="00B93212"/>
    <w:rsid w:val="00B9321D"/>
    <w:rsid w:val="00B9343B"/>
    <w:rsid w:val="00B93612"/>
    <w:rsid w:val="00B93642"/>
    <w:rsid w:val="00B936A1"/>
    <w:rsid w:val="00B9380D"/>
    <w:rsid w:val="00B938FF"/>
    <w:rsid w:val="00B93900"/>
    <w:rsid w:val="00B9390B"/>
    <w:rsid w:val="00B93C1D"/>
    <w:rsid w:val="00B93C66"/>
    <w:rsid w:val="00B93C9D"/>
    <w:rsid w:val="00B93D69"/>
    <w:rsid w:val="00B93E27"/>
    <w:rsid w:val="00B93FB2"/>
    <w:rsid w:val="00B940B8"/>
    <w:rsid w:val="00B940BD"/>
    <w:rsid w:val="00B9451C"/>
    <w:rsid w:val="00B945E0"/>
    <w:rsid w:val="00B94671"/>
    <w:rsid w:val="00B947D9"/>
    <w:rsid w:val="00B94870"/>
    <w:rsid w:val="00B948E8"/>
    <w:rsid w:val="00B94998"/>
    <w:rsid w:val="00B94AAF"/>
    <w:rsid w:val="00B94BDD"/>
    <w:rsid w:val="00B94C00"/>
    <w:rsid w:val="00B94F62"/>
    <w:rsid w:val="00B95305"/>
    <w:rsid w:val="00B9538B"/>
    <w:rsid w:val="00B95409"/>
    <w:rsid w:val="00B95816"/>
    <w:rsid w:val="00B95838"/>
    <w:rsid w:val="00B9584E"/>
    <w:rsid w:val="00B95AA2"/>
    <w:rsid w:val="00B95C9C"/>
    <w:rsid w:val="00B95EAE"/>
    <w:rsid w:val="00B9614A"/>
    <w:rsid w:val="00B961A0"/>
    <w:rsid w:val="00B96375"/>
    <w:rsid w:val="00B96442"/>
    <w:rsid w:val="00B96479"/>
    <w:rsid w:val="00B964AD"/>
    <w:rsid w:val="00B96576"/>
    <w:rsid w:val="00B965AA"/>
    <w:rsid w:val="00B96A54"/>
    <w:rsid w:val="00B96A5B"/>
    <w:rsid w:val="00B96B8E"/>
    <w:rsid w:val="00B96C47"/>
    <w:rsid w:val="00B96C55"/>
    <w:rsid w:val="00B96F8E"/>
    <w:rsid w:val="00B97077"/>
    <w:rsid w:val="00B9711F"/>
    <w:rsid w:val="00B97435"/>
    <w:rsid w:val="00B975F3"/>
    <w:rsid w:val="00B976E6"/>
    <w:rsid w:val="00B97790"/>
    <w:rsid w:val="00B9792A"/>
    <w:rsid w:val="00B97935"/>
    <w:rsid w:val="00B9795C"/>
    <w:rsid w:val="00B97F4B"/>
    <w:rsid w:val="00B97F68"/>
    <w:rsid w:val="00BA014A"/>
    <w:rsid w:val="00BA01D1"/>
    <w:rsid w:val="00BA044D"/>
    <w:rsid w:val="00BA0491"/>
    <w:rsid w:val="00BA04D2"/>
    <w:rsid w:val="00BA0A56"/>
    <w:rsid w:val="00BA0D40"/>
    <w:rsid w:val="00BA0F96"/>
    <w:rsid w:val="00BA1157"/>
    <w:rsid w:val="00BA11E9"/>
    <w:rsid w:val="00BA142F"/>
    <w:rsid w:val="00BA1439"/>
    <w:rsid w:val="00BA143C"/>
    <w:rsid w:val="00BA1934"/>
    <w:rsid w:val="00BA1A96"/>
    <w:rsid w:val="00BA1AA1"/>
    <w:rsid w:val="00BA1C47"/>
    <w:rsid w:val="00BA1E11"/>
    <w:rsid w:val="00BA1E7D"/>
    <w:rsid w:val="00BA26B5"/>
    <w:rsid w:val="00BA27DA"/>
    <w:rsid w:val="00BA2854"/>
    <w:rsid w:val="00BA2B21"/>
    <w:rsid w:val="00BA2B99"/>
    <w:rsid w:val="00BA2D5E"/>
    <w:rsid w:val="00BA2E96"/>
    <w:rsid w:val="00BA30A4"/>
    <w:rsid w:val="00BA3269"/>
    <w:rsid w:val="00BA32EB"/>
    <w:rsid w:val="00BA33AD"/>
    <w:rsid w:val="00BA3486"/>
    <w:rsid w:val="00BA352B"/>
    <w:rsid w:val="00BA35C9"/>
    <w:rsid w:val="00BA368F"/>
    <w:rsid w:val="00BA36F8"/>
    <w:rsid w:val="00BA38F0"/>
    <w:rsid w:val="00BA3A52"/>
    <w:rsid w:val="00BA40BD"/>
    <w:rsid w:val="00BA412B"/>
    <w:rsid w:val="00BA4204"/>
    <w:rsid w:val="00BA420B"/>
    <w:rsid w:val="00BA4283"/>
    <w:rsid w:val="00BA44D2"/>
    <w:rsid w:val="00BA4734"/>
    <w:rsid w:val="00BA4941"/>
    <w:rsid w:val="00BA49E1"/>
    <w:rsid w:val="00BA4A85"/>
    <w:rsid w:val="00BA4ACE"/>
    <w:rsid w:val="00BA4B5C"/>
    <w:rsid w:val="00BA4BB2"/>
    <w:rsid w:val="00BA4C83"/>
    <w:rsid w:val="00BA4CBF"/>
    <w:rsid w:val="00BA4E60"/>
    <w:rsid w:val="00BA4EE9"/>
    <w:rsid w:val="00BA501A"/>
    <w:rsid w:val="00BA520E"/>
    <w:rsid w:val="00BA55E9"/>
    <w:rsid w:val="00BA581F"/>
    <w:rsid w:val="00BA591B"/>
    <w:rsid w:val="00BA59A1"/>
    <w:rsid w:val="00BA5A87"/>
    <w:rsid w:val="00BA5B04"/>
    <w:rsid w:val="00BA5B16"/>
    <w:rsid w:val="00BA5B9A"/>
    <w:rsid w:val="00BA5BFA"/>
    <w:rsid w:val="00BA5D8F"/>
    <w:rsid w:val="00BA5DFA"/>
    <w:rsid w:val="00BA6135"/>
    <w:rsid w:val="00BA646C"/>
    <w:rsid w:val="00BA65BF"/>
    <w:rsid w:val="00BA67F2"/>
    <w:rsid w:val="00BA68B3"/>
    <w:rsid w:val="00BA68D3"/>
    <w:rsid w:val="00BA6A4B"/>
    <w:rsid w:val="00BA6A87"/>
    <w:rsid w:val="00BA6C7D"/>
    <w:rsid w:val="00BA6DEB"/>
    <w:rsid w:val="00BA6EF2"/>
    <w:rsid w:val="00BA70B8"/>
    <w:rsid w:val="00BA714D"/>
    <w:rsid w:val="00BA73AB"/>
    <w:rsid w:val="00BA73CC"/>
    <w:rsid w:val="00BA7707"/>
    <w:rsid w:val="00BA770A"/>
    <w:rsid w:val="00BA78E7"/>
    <w:rsid w:val="00BA791F"/>
    <w:rsid w:val="00BA79EA"/>
    <w:rsid w:val="00BA7AE7"/>
    <w:rsid w:val="00BA7B1D"/>
    <w:rsid w:val="00BA7C0C"/>
    <w:rsid w:val="00BA7CC7"/>
    <w:rsid w:val="00BA7DCF"/>
    <w:rsid w:val="00BA7EDB"/>
    <w:rsid w:val="00BA7F81"/>
    <w:rsid w:val="00BB00B8"/>
    <w:rsid w:val="00BB0101"/>
    <w:rsid w:val="00BB018A"/>
    <w:rsid w:val="00BB01EC"/>
    <w:rsid w:val="00BB0308"/>
    <w:rsid w:val="00BB0346"/>
    <w:rsid w:val="00BB07F7"/>
    <w:rsid w:val="00BB0961"/>
    <w:rsid w:val="00BB09D5"/>
    <w:rsid w:val="00BB09D6"/>
    <w:rsid w:val="00BB09E2"/>
    <w:rsid w:val="00BB0A1C"/>
    <w:rsid w:val="00BB0B19"/>
    <w:rsid w:val="00BB0C6C"/>
    <w:rsid w:val="00BB0D43"/>
    <w:rsid w:val="00BB0D5F"/>
    <w:rsid w:val="00BB0DB6"/>
    <w:rsid w:val="00BB0F21"/>
    <w:rsid w:val="00BB0F91"/>
    <w:rsid w:val="00BB10ED"/>
    <w:rsid w:val="00BB1131"/>
    <w:rsid w:val="00BB1215"/>
    <w:rsid w:val="00BB1271"/>
    <w:rsid w:val="00BB129B"/>
    <w:rsid w:val="00BB1394"/>
    <w:rsid w:val="00BB1454"/>
    <w:rsid w:val="00BB14F4"/>
    <w:rsid w:val="00BB1568"/>
    <w:rsid w:val="00BB1635"/>
    <w:rsid w:val="00BB1A1D"/>
    <w:rsid w:val="00BB1ACE"/>
    <w:rsid w:val="00BB1B0C"/>
    <w:rsid w:val="00BB1DE7"/>
    <w:rsid w:val="00BB1E30"/>
    <w:rsid w:val="00BB1E65"/>
    <w:rsid w:val="00BB2033"/>
    <w:rsid w:val="00BB2154"/>
    <w:rsid w:val="00BB21A3"/>
    <w:rsid w:val="00BB27D4"/>
    <w:rsid w:val="00BB29FB"/>
    <w:rsid w:val="00BB2A0B"/>
    <w:rsid w:val="00BB2A12"/>
    <w:rsid w:val="00BB2CB3"/>
    <w:rsid w:val="00BB2CF9"/>
    <w:rsid w:val="00BB2D43"/>
    <w:rsid w:val="00BB2F12"/>
    <w:rsid w:val="00BB2FBE"/>
    <w:rsid w:val="00BB3122"/>
    <w:rsid w:val="00BB32AB"/>
    <w:rsid w:val="00BB340F"/>
    <w:rsid w:val="00BB34E1"/>
    <w:rsid w:val="00BB3686"/>
    <w:rsid w:val="00BB36E3"/>
    <w:rsid w:val="00BB373A"/>
    <w:rsid w:val="00BB38C5"/>
    <w:rsid w:val="00BB3AD8"/>
    <w:rsid w:val="00BB3B42"/>
    <w:rsid w:val="00BB3CD4"/>
    <w:rsid w:val="00BB3DB9"/>
    <w:rsid w:val="00BB3EFF"/>
    <w:rsid w:val="00BB4131"/>
    <w:rsid w:val="00BB4171"/>
    <w:rsid w:val="00BB4374"/>
    <w:rsid w:val="00BB4449"/>
    <w:rsid w:val="00BB47F6"/>
    <w:rsid w:val="00BB4B52"/>
    <w:rsid w:val="00BB4DD5"/>
    <w:rsid w:val="00BB4DE4"/>
    <w:rsid w:val="00BB4F20"/>
    <w:rsid w:val="00BB4F58"/>
    <w:rsid w:val="00BB4FAE"/>
    <w:rsid w:val="00BB4FC7"/>
    <w:rsid w:val="00BB502A"/>
    <w:rsid w:val="00BB5336"/>
    <w:rsid w:val="00BB5419"/>
    <w:rsid w:val="00BB5436"/>
    <w:rsid w:val="00BB54B6"/>
    <w:rsid w:val="00BB54C3"/>
    <w:rsid w:val="00BB5578"/>
    <w:rsid w:val="00BB55F1"/>
    <w:rsid w:val="00BB572B"/>
    <w:rsid w:val="00BB58EA"/>
    <w:rsid w:val="00BB59AC"/>
    <w:rsid w:val="00BB5AF9"/>
    <w:rsid w:val="00BB5D9A"/>
    <w:rsid w:val="00BB60B0"/>
    <w:rsid w:val="00BB6585"/>
    <w:rsid w:val="00BB6641"/>
    <w:rsid w:val="00BB664E"/>
    <w:rsid w:val="00BB69A5"/>
    <w:rsid w:val="00BB6B6C"/>
    <w:rsid w:val="00BB6C8B"/>
    <w:rsid w:val="00BB6D11"/>
    <w:rsid w:val="00BB6E24"/>
    <w:rsid w:val="00BB6E53"/>
    <w:rsid w:val="00BB7065"/>
    <w:rsid w:val="00BB707C"/>
    <w:rsid w:val="00BB73AD"/>
    <w:rsid w:val="00BB743B"/>
    <w:rsid w:val="00BB7656"/>
    <w:rsid w:val="00BB78A6"/>
    <w:rsid w:val="00BB7AC9"/>
    <w:rsid w:val="00BB7D61"/>
    <w:rsid w:val="00BB7F81"/>
    <w:rsid w:val="00BC0778"/>
    <w:rsid w:val="00BC0838"/>
    <w:rsid w:val="00BC09E7"/>
    <w:rsid w:val="00BC0A8D"/>
    <w:rsid w:val="00BC0E5E"/>
    <w:rsid w:val="00BC0EFB"/>
    <w:rsid w:val="00BC0FC1"/>
    <w:rsid w:val="00BC1100"/>
    <w:rsid w:val="00BC1159"/>
    <w:rsid w:val="00BC11EC"/>
    <w:rsid w:val="00BC1212"/>
    <w:rsid w:val="00BC124F"/>
    <w:rsid w:val="00BC1325"/>
    <w:rsid w:val="00BC1425"/>
    <w:rsid w:val="00BC14D4"/>
    <w:rsid w:val="00BC16B2"/>
    <w:rsid w:val="00BC1937"/>
    <w:rsid w:val="00BC1BC6"/>
    <w:rsid w:val="00BC1C1D"/>
    <w:rsid w:val="00BC1D5F"/>
    <w:rsid w:val="00BC1E76"/>
    <w:rsid w:val="00BC1EB0"/>
    <w:rsid w:val="00BC1EB8"/>
    <w:rsid w:val="00BC1ED7"/>
    <w:rsid w:val="00BC217E"/>
    <w:rsid w:val="00BC21EE"/>
    <w:rsid w:val="00BC2266"/>
    <w:rsid w:val="00BC22D2"/>
    <w:rsid w:val="00BC24F3"/>
    <w:rsid w:val="00BC2577"/>
    <w:rsid w:val="00BC259F"/>
    <w:rsid w:val="00BC2873"/>
    <w:rsid w:val="00BC291B"/>
    <w:rsid w:val="00BC2982"/>
    <w:rsid w:val="00BC2CB4"/>
    <w:rsid w:val="00BC2CF5"/>
    <w:rsid w:val="00BC2DFC"/>
    <w:rsid w:val="00BC2ED8"/>
    <w:rsid w:val="00BC307F"/>
    <w:rsid w:val="00BC31E6"/>
    <w:rsid w:val="00BC3497"/>
    <w:rsid w:val="00BC381F"/>
    <w:rsid w:val="00BC3849"/>
    <w:rsid w:val="00BC3871"/>
    <w:rsid w:val="00BC4240"/>
    <w:rsid w:val="00BC42FB"/>
    <w:rsid w:val="00BC4338"/>
    <w:rsid w:val="00BC4502"/>
    <w:rsid w:val="00BC45D0"/>
    <w:rsid w:val="00BC45DC"/>
    <w:rsid w:val="00BC4615"/>
    <w:rsid w:val="00BC4646"/>
    <w:rsid w:val="00BC4749"/>
    <w:rsid w:val="00BC47F1"/>
    <w:rsid w:val="00BC4802"/>
    <w:rsid w:val="00BC4869"/>
    <w:rsid w:val="00BC4BC6"/>
    <w:rsid w:val="00BC4DFC"/>
    <w:rsid w:val="00BC4F91"/>
    <w:rsid w:val="00BC4FA4"/>
    <w:rsid w:val="00BC4FEA"/>
    <w:rsid w:val="00BC5012"/>
    <w:rsid w:val="00BC50B3"/>
    <w:rsid w:val="00BC50C2"/>
    <w:rsid w:val="00BC50C7"/>
    <w:rsid w:val="00BC50FC"/>
    <w:rsid w:val="00BC514E"/>
    <w:rsid w:val="00BC529D"/>
    <w:rsid w:val="00BC5325"/>
    <w:rsid w:val="00BC5460"/>
    <w:rsid w:val="00BC5462"/>
    <w:rsid w:val="00BC5516"/>
    <w:rsid w:val="00BC552D"/>
    <w:rsid w:val="00BC56DF"/>
    <w:rsid w:val="00BC58AB"/>
    <w:rsid w:val="00BC58FE"/>
    <w:rsid w:val="00BC5922"/>
    <w:rsid w:val="00BC5BF6"/>
    <w:rsid w:val="00BC5CC1"/>
    <w:rsid w:val="00BC5CD8"/>
    <w:rsid w:val="00BC5CEC"/>
    <w:rsid w:val="00BC5F11"/>
    <w:rsid w:val="00BC5F21"/>
    <w:rsid w:val="00BC60C8"/>
    <w:rsid w:val="00BC61A8"/>
    <w:rsid w:val="00BC6240"/>
    <w:rsid w:val="00BC643F"/>
    <w:rsid w:val="00BC65D8"/>
    <w:rsid w:val="00BC6628"/>
    <w:rsid w:val="00BC67E4"/>
    <w:rsid w:val="00BC68B3"/>
    <w:rsid w:val="00BC6921"/>
    <w:rsid w:val="00BC69B9"/>
    <w:rsid w:val="00BC6A08"/>
    <w:rsid w:val="00BC6CE3"/>
    <w:rsid w:val="00BC6E7E"/>
    <w:rsid w:val="00BC6E86"/>
    <w:rsid w:val="00BC7171"/>
    <w:rsid w:val="00BC7301"/>
    <w:rsid w:val="00BC73ED"/>
    <w:rsid w:val="00BC78B0"/>
    <w:rsid w:val="00BC78D8"/>
    <w:rsid w:val="00BC7CA2"/>
    <w:rsid w:val="00BC7D01"/>
    <w:rsid w:val="00BC7ED0"/>
    <w:rsid w:val="00BD03BC"/>
    <w:rsid w:val="00BD03E1"/>
    <w:rsid w:val="00BD03FA"/>
    <w:rsid w:val="00BD0520"/>
    <w:rsid w:val="00BD05D5"/>
    <w:rsid w:val="00BD0665"/>
    <w:rsid w:val="00BD06CE"/>
    <w:rsid w:val="00BD09F8"/>
    <w:rsid w:val="00BD0C9D"/>
    <w:rsid w:val="00BD0CCD"/>
    <w:rsid w:val="00BD0D33"/>
    <w:rsid w:val="00BD0E3F"/>
    <w:rsid w:val="00BD0E89"/>
    <w:rsid w:val="00BD1076"/>
    <w:rsid w:val="00BD1152"/>
    <w:rsid w:val="00BD1229"/>
    <w:rsid w:val="00BD13F2"/>
    <w:rsid w:val="00BD1415"/>
    <w:rsid w:val="00BD141A"/>
    <w:rsid w:val="00BD14D4"/>
    <w:rsid w:val="00BD1820"/>
    <w:rsid w:val="00BD1865"/>
    <w:rsid w:val="00BD18B3"/>
    <w:rsid w:val="00BD19D9"/>
    <w:rsid w:val="00BD19DD"/>
    <w:rsid w:val="00BD1A0E"/>
    <w:rsid w:val="00BD1B4C"/>
    <w:rsid w:val="00BD1C81"/>
    <w:rsid w:val="00BD1CB2"/>
    <w:rsid w:val="00BD1D2A"/>
    <w:rsid w:val="00BD1FAD"/>
    <w:rsid w:val="00BD202E"/>
    <w:rsid w:val="00BD2523"/>
    <w:rsid w:val="00BD260A"/>
    <w:rsid w:val="00BD26CA"/>
    <w:rsid w:val="00BD28C6"/>
    <w:rsid w:val="00BD292A"/>
    <w:rsid w:val="00BD2935"/>
    <w:rsid w:val="00BD2949"/>
    <w:rsid w:val="00BD2B33"/>
    <w:rsid w:val="00BD2B4D"/>
    <w:rsid w:val="00BD2BED"/>
    <w:rsid w:val="00BD2C38"/>
    <w:rsid w:val="00BD2CCC"/>
    <w:rsid w:val="00BD2CEA"/>
    <w:rsid w:val="00BD30F2"/>
    <w:rsid w:val="00BD316B"/>
    <w:rsid w:val="00BD324F"/>
    <w:rsid w:val="00BD32C5"/>
    <w:rsid w:val="00BD34DC"/>
    <w:rsid w:val="00BD351C"/>
    <w:rsid w:val="00BD379A"/>
    <w:rsid w:val="00BD3921"/>
    <w:rsid w:val="00BD395E"/>
    <w:rsid w:val="00BD3E51"/>
    <w:rsid w:val="00BD3EBE"/>
    <w:rsid w:val="00BD4442"/>
    <w:rsid w:val="00BD44A1"/>
    <w:rsid w:val="00BD44A3"/>
    <w:rsid w:val="00BD450A"/>
    <w:rsid w:val="00BD4518"/>
    <w:rsid w:val="00BD4571"/>
    <w:rsid w:val="00BD4653"/>
    <w:rsid w:val="00BD4669"/>
    <w:rsid w:val="00BD46F0"/>
    <w:rsid w:val="00BD4847"/>
    <w:rsid w:val="00BD4BEC"/>
    <w:rsid w:val="00BD4BF7"/>
    <w:rsid w:val="00BD4C3F"/>
    <w:rsid w:val="00BD4C76"/>
    <w:rsid w:val="00BD5199"/>
    <w:rsid w:val="00BD55AC"/>
    <w:rsid w:val="00BD560B"/>
    <w:rsid w:val="00BD592E"/>
    <w:rsid w:val="00BD5B16"/>
    <w:rsid w:val="00BD5BDE"/>
    <w:rsid w:val="00BD5E26"/>
    <w:rsid w:val="00BD5E99"/>
    <w:rsid w:val="00BD5FB7"/>
    <w:rsid w:val="00BD5FBF"/>
    <w:rsid w:val="00BD62AE"/>
    <w:rsid w:val="00BD6359"/>
    <w:rsid w:val="00BD6475"/>
    <w:rsid w:val="00BD6608"/>
    <w:rsid w:val="00BD67EF"/>
    <w:rsid w:val="00BD68C2"/>
    <w:rsid w:val="00BD6BA6"/>
    <w:rsid w:val="00BD6C51"/>
    <w:rsid w:val="00BD70CC"/>
    <w:rsid w:val="00BD70CE"/>
    <w:rsid w:val="00BD711F"/>
    <w:rsid w:val="00BD717D"/>
    <w:rsid w:val="00BD71AE"/>
    <w:rsid w:val="00BD75AA"/>
    <w:rsid w:val="00BD771E"/>
    <w:rsid w:val="00BD7937"/>
    <w:rsid w:val="00BD7953"/>
    <w:rsid w:val="00BD7A1A"/>
    <w:rsid w:val="00BD7AF4"/>
    <w:rsid w:val="00BD7CEB"/>
    <w:rsid w:val="00BD7D3E"/>
    <w:rsid w:val="00BD7E99"/>
    <w:rsid w:val="00BD7EDE"/>
    <w:rsid w:val="00BE011B"/>
    <w:rsid w:val="00BE0121"/>
    <w:rsid w:val="00BE0273"/>
    <w:rsid w:val="00BE027D"/>
    <w:rsid w:val="00BE02BE"/>
    <w:rsid w:val="00BE041A"/>
    <w:rsid w:val="00BE0440"/>
    <w:rsid w:val="00BE05A5"/>
    <w:rsid w:val="00BE060C"/>
    <w:rsid w:val="00BE0652"/>
    <w:rsid w:val="00BE0673"/>
    <w:rsid w:val="00BE0837"/>
    <w:rsid w:val="00BE0AD2"/>
    <w:rsid w:val="00BE0C89"/>
    <w:rsid w:val="00BE0D08"/>
    <w:rsid w:val="00BE0EFB"/>
    <w:rsid w:val="00BE1053"/>
    <w:rsid w:val="00BE1140"/>
    <w:rsid w:val="00BE114C"/>
    <w:rsid w:val="00BE17BC"/>
    <w:rsid w:val="00BE1806"/>
    <w:rsid w:val="00BE18EC"/>
    <w:rsid w:val="00BE1ACA"/>
    <w:rsid w:val="00BE1AF9"/>
    <w:rsid w:val="00BE1B74"/>
    <w:rsid w:val="00BE1CB3"/>
    <w:rsid w:val="00BE1EE4"/>
    <w:rsid w:val="00BE21DF"/>
    <w:rsid w:val="00BE2304"/>
    <w:rsid w:val="00BE2386"/>
    <w:rsid w:val="00BE238A"/>
    <w:rsid w:val="00BE23DC"/>
    <w:rsid w:val="00BE2499"/>
    <w:rsid w:val="00BE24FB"/>
    <w:rsid w:val="00BE28BB"/>
    <w:rsid w:val="00BE29C5"/>
    <w:rsid w:val="00BE2B08"/>
    <w:rsid w:val="00BE2B4D"/>
    <w:rsid w:val="00BE2CAD"/>
    <w:rsid w:val="00BE2CFA"/>
    <w:rsid w:val="00BE2DA6"/>
    <w:rsid w:val="00BE2EB0"/>
    <w:rsid w:val="00BE2ECE"/>
    <w:rsid w:val="00BE2EFE"/>
    <w:rsid w:val="00BE312A"/>
    <w:rsid w:val="00BE312F"/>
    <w:rsid w:val="00BE333D"/>
    <w:rsid w:val="00BE33AD"/>
    <w:rsid w:val="00BE33FC"/>
    <w:rsid w:val="00BE3527"/>
    <w:rsid w:val="00BE371B"/>
    <w:rsid w:val="00BE3986"/>
    <w:rsid w:val="00BE3AC2"/>
    <w:rsid w:val="00BE3BE8"/>
    <w:rsid w:val="00BE3C75"/>
    <w:rsid w:val="00BE3EDB"/>
    <w:rsid w:val="00BE3EFC"/>
    <w:rsid w:val="00BE405A"/>
    <w:rsid w:val="00BE40DC"/>
    <w:rsid w:val="00BE40E6"/>
    <w:rsid w:val="00BE4228"/>
    <w:rsid w:val="00BE422D"/>
    <w:rsid w:val="00BE427F"/>
    <w:rsid w:val="00BE442A"/>
    <w:rsid w:val="00BE4481"/>
    <w:rsid w:val="00BE4543"/>
    <w:rsid w:val="00BE455B"/>
    <w:rsid w:val="00BE461E"/>
    <w:rsid w:val="00BE462B"/>
    <w:rsid w:val="00BE48FD"/>
    <w:rsid w:val="00BE4996"/>
    <w:rsid w:val="00BE4B7C"/>
    <w:rsid w:val="00BE4CD0"/>
    <w:rsid w:val="00BE4FED"/>
    <w:rsid w:val="00BE5005"/>
    <w:rsid w:val="00BE54ED"/>
    <w:rsid w:val="00BE5537"/>
    <w:rsid w:val="00BE555F"/>
    <w:rsid w:val="00BE576F"/>
    <w:rsid w:val="00BE5A1D"/>
    <w:rsid w:val="00BE5BCD"/>
    <w:rsid w:val="00BE5BDC"/>
    <w:rsid w:val="00BE5C95"/>
    <w:rsid w:val="00BE6131"/>
    <w:rsid w:val="00BE6441"/>
    <w:rsid w:val="00BE6721"/>
    <w:rsid w:val="00BE67E3"/>
    <w:rsid w:val="00BE6863"/>
    <w:rsid w:val="00BE693C"/>
    <w:rsid w:val="00BE6DDA"/>
    <w:rsid w:val="00BE7244"/>
    <w:rsid w:val="00BE7296"/>
    <w:rsid w:val="00BE75BE"/>
    <w:rsid w:val="00BE75FA"/>
    <w:rsid w:val="00BE7651"/>
    <w:rsid w:val="00BE7763"/>
    <w:rsid w:val="00BE782F"/>
    <w:rsid w:val="00BE789C"/>
    <w:rsid w:val="00BE7900"/>
    <w:rsid w:val="00BE79D8"/>
    <w:rsid w:val="00BE7B1B"/>
    <w:rsid w:val="00BE7C59"/>
    <w:rsid w:val="00BE7F7B"/>
    <w:rsid w:val="00BE7FC0"/>
    <w:rsid w:val="00BF0021"/>
    <w:rsid w:val="00BF017C"/>
    <w:rsid w:val="00BF017F"/>
    <w:rsid w:val="00BF01BD"/>
    <w:rsid w:val="00BF0260"/>
    <w:rsid w:val="00BF0271"/>
    <w:rsid w:val="00BF037E"/>
    <w:rsid w:val="00BF06DD"/>
    <w:rsid w:val="00BF0B70"/>
    <w:rsid w:val="00BF0C14"/>
    <w:rsid w:val="00BF0C42"/>
    <w:rsid w:val="00BF0CB8"/>
    <w:rsid w:val="00BF0D06"/>
    <w:rsid w:val="00BF0D98"/>
    <w:rsid w:val="00BF12C4"/>
    <w:rsid w:val="00BF1568"/>
    <w:rsid w:val="00BF19DD"/>
    <w:rsid w:val="00BF1B37"/>
    <w:rsid w:val="00BF1C5A"/>
    <w:rsid w:val="00BF1C64"/>
    <w:rsid w:val="00BF1D2E"/>
    <w:rsid w:val="00BF20B9"/>
    <w:rsid w:val="00BF2206"/>
    <w:rsid w:val="00BF2222"/>
    <w:rsid w:val="00BF2230"/>
    <w:rsid w:val="00BF2232"/>
    <w:rsid w:val="00BF23B1"/>
    <w:rsid w:val="00BF2467"/>
    <w:rsid w:val="00BF2776"/>
    <w:rsid w:val="00BF28BA"/>
    <w:rsid w:val="00BF2C0E"/>
    <w:rsid w:val="00BF2C22"/>
    <w:rsid w:val="00BF2CC6"/>
    <w:rsid w:val="00BF2FE9"/>
    <w:rsid w:val="00BF3001"/>
    <w:rsid w:val="00BF3115"/>
    <w:rsid w:val="00BF3192"/>
    <w:rsid w:val="00BF31C5"/>
    <w:rsid w:val="00BF321E"/>
    <w:rsid w:val="00BF32DF"/>
    <w:rsid w:val="00BF348E"/>
    <w:rsid w:val="00BF35A8"/>
    <w:rsid w:val="00BF36B1"/>
    <w:rsid w:val="00BF39F0"/>
    <w:rsid w:val="00BF3AFF"/>
    <w:rsid w:val="00BF3B20"/>
    <w:rsid w:val="00BF3C1D"/>
    <w:rsid w:val="00BF3DBE"/>
    <w:rsid w:val="00BF3EF2"/>
    <w:rsid w:val="00BF4302"/>
    <w:rsid w:val="00BF4338"/>
    <w:rsid w:val="00BF43AB"/>
    <w:rsid w:val="00BF4529"/>
    <w:rsid w:val="00BF45A9"/>
    <w:rsid w:val="00BF4632"/>
    <w:rsid w:val="00BF4817"/>
    <w:rsid w:val="00BF4993"/>
    <w:rsid w:val="00BF49E6"/>
    <w:rsid w:val="00BF4A04"/>
    <w:rsid w:val="00BF4A21"/>
    <w:rsid w:val="00BF4A66"/>
    <w:rsid w:val="00BF4BC0"/>
    <w:rsid w:val="00BF4BFC"/>
    <w:rsid w:val="00BF4C53"/>
    <w:rsid w:val="00BF4CFE"/>
    <w:rsid w:val="00BF4D19"/>
    <w:rsid w:val="00BF4D50"/>
    <w:rsid w:val="00BF4EA6"/>
    <w:rsid w:val="00BF502D"/>
    <w:rsid w:val="00BF5076"/>
    <w:rsid w:val="00BF529A"/>
    <w:rsid w:val="00BF54F8"/>
    <w:rsid w:val="00BF5546"/>
    <w:rsid w:val="00BF56E2"/>
    <w:rsid w:val="00BF5AFF"/>
    <w:rsid w:val="00BF5C9E"/>
    <w:rsid w:val="00BF5CE8"/>
    <w:rsid w:val="00BF5E2B"/>
    <w:rsid w:val="00BF5E54"/>
    <w:rsid w:val="00BF5E81"/>
    <w:rsid w:val="00BF6100"/>
    <w:rsid w:val="00BF6113"/>
    <w:rsid w:val="00BF6119"/>
    <w:rsid w:val="00BF648F"/>
    <w:rsid w:val="00BF65CA"/>
    <w:rsid w:val="00BF6815"/>
    <w:rsid w:val="00BF688F"/>
    <w:rsid w:val="00BF6916"/>
    <w:rsid w:val="00BF6AA9"/>
    <w:rsid w:val="00BF6B01"/>
    <w:rsid w:val="00BF6C94"/>
    <w:rsid w:val="00BF6E69"/>
    <w:rsid w:val="00BF6EEC"/>
    <w:rsid w:val="00BF6FFB"/>
    <w:rsid w:val="00BF7017"/>
    <w:rsid w:val="00BF711E"/>
    <w:rsid w:val="00BF7165"/>
    <w:rsid w:val="00BF72BC"/>
    <w:rsid w:val="00BF7343"/>
    <w:rsid w:val="00BF75EE"/>
    <w:rsid w:val="00BF78D0"/>
    <w:rsid w:val="00BF7A17"/>
    <w:rsid w:val="00BF7AB5"/>
    <w:rsid w:val="00BF7DB8"/>
    <w:rsid w:val="00C0009E"/>
    <w:rsid w:val="00C00258"/>
    <w:rsid w:val="00C0032E"/>
    <w:rsid w:val="00C003C7"/>
    <w:rsid w:val="00C005F1"/>
    <w:rsid w:val="00C006C4"/>
    <w:rsid w:val="00C00908"/>
    <w:rsid w:val="00C00A99"/>
    <w:rsid w:val="00C00B93"/>
    <w:rsid w:val="00C00D3A"/>
    <w:rsid w:val="00C01123"/>
    <w:rsid w:val="00C01236"/>
    <w:rsid w:val="00C01257"/>
    <w:rsid w:val="00C014DA"/>
    <w:rsid w:val="00C01626"/>
    <w:rsid w:val="00C016D5"/>
    <w:rsid w:val="00C017D3"/>
    <w:rsid w:val="00C01891"/>
    <w:rsid w:val="00C018C4"/>
    <w:rsid w:val="00C018F3"/>
    <w:rsid w:val="00C01A67"/>
    <w:rsid w:val="00C01C0B"/>
    <w:rsid w:val="00C01F7B"/>
    <w:rsid w:val="00C02094"/>
    <w:rsid w:val="00C02298"/>
    <w:rsid w:val="00C0229C"/>
    <w:rsid w:val="00C02339"/>
    <w:rsid w:val="00C02465"/>
    <w:rsid w:val="00C02702"/>
    <w:rsid w:val="00C02878"/>
    <w:rsid w:val="00C02934"/>
    <w:rsid w:val="00C02CA7"/>
    <w:rsid w:val="00C02EF5"/>
    <w:rsid w:val="00C02FA5"/>
    <w:rsid w:val="00C03002"/>
    <w:rsid w:val="00C030A6"/>
    <w:rsid w:val="00C0317D"/>
    <w:rsid w:val="00C0363D"/>
    <w:rsid w:val="00C03648"/>
    <w:rsid w:val="00C03789"/>
    <w:rsid w:val="00C0378A"/>
    <w:rsid w:val="00C037CE"/>
    <w:rsid w:val="00C03A44"/>
    <w:rsid w:val="00C03AC9"/>
    <w:rsid w:val="00C03CD4"/>
    <w:rsid w:val="00C03D6B"/>
    <w:rsid w:val="00C03F2C"/>
    <w:rsid w:val="00C04328"/>
    <w:rsid w:val="00C04455"/>
    <w:rsid w:val="00C0451C"/>
    <w:rsid w:val="00C04526"/>
    <w:rsid w:val="00C045B6"/>
    <w:rsid w:val="00C04B45"/>
    <w:rsid w:val="00C04D40"/>
    <w:rsid w:val="00C0504A"/>
    <w:rsid w:val="00C0506E"/>
    <w:rsid w:val="00C05282"/>
    <w:rsid w:val="00C0529F"/>
    <w:rsid w:val="00C0530B"/>
    <w:rsid w:val="00C05322"/>
    <w:rsid w:val="00C05404"/>
    <w:rsid w:val="00C05432"/>
    <w:rsid w:val="00C0543B"/>
    <w:rsid w:val="00C056EC"/>
    <w:rsid w:val="00C05744"/>
    <w:rsid w:val="00C057A9"/>
    <w:rsid w:val="00C05885"/>
    <w:rsid w:val="00C05938"/>
    <w:rsid w:val="00C059C6"/>
    <w:rsid w:val="00C059D8"/>
    <w:rsid w:val="00C05BCF"/>
    <w:rsid w:val="00C05C46"/>
    <w:rsid w:val="00C05C69"/>
    <w:rsid w:val="00C05D06"/>
    <w:rsid w:val="00C0607F"/>
    <w:rsid w:val="00C060DF"/>
    <w:rsid w:val="00C06120"/>
    <w:rsid w:val="00C06223"/>
    <w:rsid w:val="00C0627A"/>
    <w:rsid w:val="00C06646"/>
    <w:rsid w:val="00C0671F"/>
    <w:rsid w:val="00C06771"/>
    <w:rsid w:val="00C067E2"/>
    <w:rsid w:val="00C068EB"/>
    <w:rsid w:val="00C068F9"/>
    <w:rsid w:val="00C06F95"/>
    <w:rsid w:val="00C07009"/>
    <w:rsid w:val="00C07154"/>
    <w:rsid w:val="00C071F9"/>
    <w:rsid w:val="00C0738B"/>
    <w:rsid w:val="00C07480"/>
    <w:rsid w:val="00C07668"/>
    <w:rsid w:val="00C07728"/>
    <w:rsid w:val="00C0799D"/>
    <w:rsid w:val="00C07A53"/>
    <w:rsid w:val="00C07A95"/>
    <w:rsid w:val="00C07C51"/>
    <w:rsid w:val="00C07C98"/>
    <w:rsid w:val="00C07EA0"/>
    <w:rsid w:val="00C07F8E"/>
    <w:rsid w:val="00C10077"/>
    <w:rsid w:val="00C101FF"/>
    <w:rsid w:val="00C1061B"/>
    <w:rsid w:val="00C10858"/>
    <w:rsid w:val="00C108CB"/>
    <w:rsid w:val="00C108FC"/>
    <w:rsid w:val="00C1092E"/>
    <w:rsid w:val="00C1110D"/>
    <w:rsid w:val="00C111A2"/>
    <w:rsid w:val="00C111B5"/>
    <w:rsid w:val="00C11281"/>
    <w:rsid w:val="00C11390"/>
    <w:rsid w:val="00C117C9"/>
    <w:rsid w:val="00C1197E"/>
    <w:rsid w:val="00C11A50"/>
    <w:rsid w:val="00C11C11"/>
    <w:rsid w:val="00C11EFE"/>
    <w:rsid w:val="00C11FFF"/>
    <w:rsid w:val="00C1225B"/>
    <w:rsid w:val="00C122F5"/>
    <w:rsid w:val="00C12366"/>
    <w:rsid w:val="00C12685"/>
    <w:rsid w:val="00C127B1"/>
    <w:rsid w:val="00C127DB"/>
    <w:rsid w:val="00C12995"/>
    <w:rsid w:val="00C12AD7"/>
    <w:rsid w:val="00C12AE9"/>
    <w:rsid w:val="00C12B8B"/>
    <w:rsid w:val="00C12C6A"/>
    <w:rsid w:val="00C12E42"/>
    <w:rsid w:val="00C12FAB"/>
    <w:rsid w:val="00C13181"/>
    <w:rsid w:val="00C13211"/>
    <w:rsid w:val="00C13459"/>
    <w:rsid w:val="00C13479"/>
    <w:rsid w:val="00C134B7"/>
    <w:rsid w:val="00C134C6"/>
    <w:rsid w:val="00C13538"/>
    <w:rsid w:val="00C135BB"/>
    <w:rsid w:val="00C138A2"/>
    <w:rsid w:val="00C13A1E"/>
    <w:rsid w:val="00C13A6D"/>
    <w:rsid w:val="00C13A71"/>
    <w:rsid w:val="00C13AAA"/>
    <w:rsid w:val="00C13D23"/>
    <w:rsid w:val="00C13EE5"/>
    <w:rsid w:val="00C1401D"/>
    <w:rsid w:val="00C14087"/>
    <w:rsid w:val="00C140B1"/>
    <w:rsid w:val="00C142C9"/>
    <w:rsid w:val="00C14445"/>
    <w:rsid w:val="00C1450F"/>
    <w:rsid w:val="00C14799"/>
    <w:rsid w:val="00C147E3"/>
    <w:rsid w:val="00C14A95"/>
    <w:rsid w:val="00C14B7F"/>
    <w:rsid w:val="00C14BC6"/>
    <w:rsid w:val="00C14BCF"/>
    <w:rsid w:val="00C14CE0"/>
    <w:rsid w:val="00C14D58"/>
    <w:rsid w:val="00C14ED9"/>
    <w:rsid w:val="00C14F17"/>
    <w:rsid w:val="00C150CB"/>
    <w:rsid w:val="00C151C2"/>
    <w:rsid w:val="00C1522F"/>
    <w:rsid w:val="00C15293"/>
    <w:rsid w:val="00C15322"/>
    <w:rsid w:val="00C153AB"/>
    <w:rsid w:val="00C153D2"/>
    <w:rsid w:val="00C154D5"/>
    <w:rsid w:val="00C15507"/>
    <w:rsid w:val="00C15790"/>
    <w:rsid w:val="00C1583B"/>
    <w:rsid w:val="00C158B1"/>
    <w:rsid w:val="00C15971"/>
    <w:rsid w:val="00C1598D"/>
    <w:rsid w:val="00C15ADE"/>
    <w:rsid w:val="00C15CD6"/>
    <w:rsid w:val="00C15D81"/>
    <w:rsid w:val="00C15E87"/>
    <w:rsid w:val="00C15F4C"/>
    <w:rsid w:val="00C160F1"/>
    <w:rsid w:val="00C161C0"/>
    <w:rsid w:val="00C162F9"/>
    <w:rsid w:val="00C16469"/>
    <w:rsid w:val="00C164C1"/>
    <w:rsid w:val="00C164CA"/>
    <w:rsid w:val="00C16551"/>
    <w:rsid w:val="00C16774"/>
    <w:rsid w:val="00C167DC"/>
    <w:rsid w:val="00C16AB5"/>
    <w:rsid w:val="00C16C04"/>
    <w:rsid w:val="00C16C63"/>
    <w:rsid w:val="00C16F63"/>
    <w:rsid w:val="00C1720B"/>
    <w:rsid w:val="00C175D0"/>
    <w:rsid w:val="00C1761F"/>
    <w:rsid w:val="00C179BA"/>
    <w:rsid w:val="00C179E4"/>
    <w:rsid w:val="00C17AB4"/>
    <w:rsid w:val="00C17B1C"/>
    <w:rsid w:val="00C17CC0"/>
    <w:rsid w:val="00C17E1F"/>
    <w:rsid w:val="00C20198"/>
    <w:rsid w:val="00C20313"/>
    <w:rsid w:val="00C20423"/>
    <w:rsid w:val="00C204D5"/>
    <w:rsid w:val="00C20609"/>
    <w:rsid w:val="00C20615"/>
    <w:rsid w:val="00C206D9"/>
    <w:rsid w:val="00C2078F"/>
    <w:rsid w:val="00C2096B"/>
    <w:rsid w:val="00C20A2A"/>
    <w:rsid w:val="00C20A2E"/>
    <w:rsid w:val="00C20ADF"/>
    <w:rsid w:val="00C20BF3"/>
    <w:rsid w:val="00C20DC4"/>
    <w:rsid w:val="00C20EED"/>
    <w:rsid w:val="00C211A8"/>
    <w:rsid w:val="00C211B8"/>
    <w:rsid w:val="00C211D5"/>
    <w:rsid w:val="00C2127B"/>
    <w:rsid w:val="00C212E2"/>
    <w:rsid w:val="00C2151D"/>
    <w:rsid w:val="00C21606"/>
    <w:rsid w:val="00C21682"/>
    <w:rsid w:val="00C21751"/>
    <w:rsid w:val="00C217AB"/>
    <w:rsid w:val="00C218F7"/>
    <w:rsid w:val="00C21919"/>
    <w:rsid w:val="00C21A53"/>
    <w:rsid w:val="00C21A8D"/>
    <w:rsid w:val="00C21BCB"/>
    <w:rsid w:val="00C21BCF"/>
    <w:rsid w:val="00C21C80"/>
    <w:rsid w:val="00C21D05"/>
    <w:rsid w:val="00C21DE2"/>
    <w:rsid w:val="00C21E2C"/>
    <w:rsid w:val="00C21F05"/>
    <w:rsid w:val="00C22088"/>
    <w:rsid w:val="00C220AB"/>
    <w:rsid w:val="00C22268"/>
    <w:rsid w:val="00C22281"/>
    <w:rsid w:val="00C222EE"/>
    <w:rsid w:val="00C22556"/>
    <w:rsid w:val="00C2273A"/>
    <w:rsid w:val="00C22867"/>
    <w:rsid w:val="00C2287B"/>
    <w:rsid w:val="00C228B3"/>
    <w:rsid w:val="00C22D8B"/>
    <w:rsid w:val="00C22DD2"/>
    <w:rsid w:val="00C22ED9"/>
    <w:rsid w:val="00C22FA2"/>
    <w:rsid w:val="00C22FB4"/>
    <w:rsid w:val="00C23259"/>
    <w:rsid w:val="00C23343"/>
    <w:rsid w:val="00C2339B"/>
    <w:rsid w:val="00C233AC"/>
    <w:rsid w:val="00C233B3"/>
    <w:rsid w:val="00C23415"/>
    <w:rsid w:val="00C2350D"/>
    <w:rsid w:val="00C2355E"/>
    <w:rsid w:val="00C2358D"/>
    <w:rsid w:val="00C2388A"/>
    <w:rsid w:val="00C238AE"/>
    <w:rsid w:val="00C238B3"/>
    <w:rsid w:val="00C23942"/>
    <w:rsid w:val="00C239FF"/>
    <w:rsid w:val="00C23CAE"/>
    <w:rsid w:val="00C23EB0"/>
    <w:rsid w:val="00C23FB4"/>
    <w:rsid w:val="00C24231"/>
    <w:rsid w:val="00C24253"/>
    <w:rsid w:val="00C24384"/>
    <w:rsid w:val="00C243AC"/>
    <w:rsid w:val="00C243B1"/>
    <w:rsid w:val="00C244DF"/>
    <w:rsid w:val="00C24551"/>
    <w:rsid w:val="00C2459F"/>
    <w:rsid w:val="00C24640"/>
    <w:rsid w:val="00C24650"/>
    <w:rsid w:val="00C247DF"/>
    <w:rsid w:val="00C24ACC"/>
    <w:rsid w:val="00C24B83"/>
    <w:rsid w:val="00C24DB0"/>
    <w:rsid w:val="00C24DBA"/>
    <w:rsid w:val="00C25038"/>
    <w:rsid w:val="00C2542D"/>
    <w:rsid w:val="00C25496"/>
    <w:rsid w:val="00C254EA"/>
    <w:rsid w:val="00C25988"/>
    <w:rsid w:val="00C25AA6"/>
    <w:rsid w:val="00C25E08"/>
    <w:rsid w:val="00C25EEC"/>
    <w:rsid w:val="00C2607A"/>
    <w:rsid w:val="00C2608A"/>
    <w:rsid w:val="00C260A7"/>
    <w:rsid w:val="00C26113"/>
    <w:rsid w:val="00C2617F"/>
    <w:rsid w:val="00C261E7"/>
    <w:rsid w:val="00C26210"/>
    <w:rsid w:val="00C26484"/>
    <w:rsid w:val="00C264B2"/>
    <w:rsid w:val="00C264DE"/>
    <w:rsid w:val="00C2656C"/>
    <w:rsid w:val="00C26682"/>
    <w:rsid w:val="00C26731"/>
    <w:rsid w:val="00C26909"/>
    <w:rsid w:val="00C26B1C"/>
    <w:rsid w:val="00C26D6C"/>
    <w:rsid w:val="00C26E51"/>
    <w:rsid w:val="00C26FCD"/>
    <w:rsid w:val="00C27064"/>
    <w:rsid w:val="00C2730F"/>
    <w:rsid w:val="00C273C8"/>
    <w:rsid w:val="00C27414"/>
    <w:rsid w:val="00C2744B"/>
    <w:rsid w:val="00C27465"/>
    <w:rsid w:val="00C274AA"/>
    <w:rsid w:val="00C2752D"/>
    <w:rsid w:val="00C27778"/>
    <w:rsid w:val="00C27805"/>
    <w:rsid w:val="00C2787E"/>
    <w:rsid w:val="00C278C3"/>
    <w:rsid w:val="00C278E5"/>
    <w:rsid w:val="00C278FD"/>
    <w:rsid w:val="00C27962"/>
    <w:rsid w:val="00C27996"/>
    <w:rsid w:val="00C27D44"/>
    <w:rsid w:val="00C27EA7"/>
    <w:rsid w:val="00C30040"/>
    <w:rsid w:val="00C30127"/>
    <w:rsid w:val="00C30145"/>
    <w:rsid w:val="00C30373"/>
    <w:rsid w:val="00C304E5"/>
    <w:rsid w:val="00C30776"/>
    <w:rsid w:val="00C30779"/>
    <w:rsid w:val="00C30A99"/>
    <w:rsid w:val="00C30B27"/>
    <w:rsid w:val="00C30C69"/>
    <w:rsid w:val="00C30E84"/>
    <w:rsid w:val="00C30E97"/>
    <w:rsid w:val="00C3115C"/>
    <w:rsid w:val="00C31239"/>
    <w:rsid w:val="00C31289"/>
    <w:rsid w:val="00C313B6"/>
    <w:rsid w:val="00C3189B"/>
    <w:rsid w:val="00C31F6A"/>
    <w:rsid w:val="00C32187"/>
    <w:rsid w:val="00C32351"/>
    <w:rsid w:val="00C32361"/>
    <w:rsid w:val="00C3268C"/>
    <w:rsid w:val="00C327AA"/>
    <w:rsid w:val="00C327D4"/>
    <w:rsid w:val="00C32833"/>
    <w:rsid w:val="00C32965"/>
    <w:rsid w:val="00C329AA"/>
    <w:rsid w:val="00C32F51"/>
    <w:rsid w:val="00C33234"/>
    <w:rsid w:val="00C33456"/>
    <w:rsid w:val="00C33673"/>
    <w:rsid w:val="00C336D3"/>
    <w:rsid w:val="00C33A3E"/>
    <w:rsid w:val="00C33F19"/>
    <w:rsid w:val="00C33F7C"/>
    <w:rsid w:val="00C34004"/>
    <w:rsid w:val="00C34038"/>
    <w:rsid w:val="00C34074"/>
    <w:rsid w:val="00C341F4"/>
    <w:rsid w:val="00C34257"/>
    <w:rsid w:val="00C3426D"/>
    <w:rsid w:val="00C3439C"/>
    <w:rsid w:val="00C343DF"/>
    <w:rsid w:val="00C34576"/>
    <w:rsid w:val="00C346BA"/>
    <w:rsid w:val="00C348A1"/>
    <w:rsid w:val="00C3490A"/>
    <w:rsid w:val="00C34B28"/>
    <w:rsid w:val="00C34B72"/>
    <w:rsid w:val="00C34DE3"/>
    <w:rsid w:val="00C350D9"/>
    <w:rsid w:val="00C3512A"/>
    <w:rsid w:val="00C35294"/>
    <w:rsid w:val="00C35598"/>
    <w:rsid w:val="00C355AE"/>
    <w:rsid w:val="00C35655"/>
    <w:rsid w:val="00C3594C"/>
    <w:rsid w:val="00C359FD"/>
    <w:rsid w:val="00C35B19"/>
    <w:rsid w:val="00C35BF7"/>
    <w:rsid w:val="00C35C2C"/>
    <w:rsid w:val="00C35C66"/>
    <w:rsid w:val="00C35D14"/>
    <w:rsid w:val="00C35D78"/>
    <w:rsid w:val="00C36057"/>
    <w:rsid w:val="00C360CA"/>
    <w:rsid w:val="00C360E3"/>
    <w:rsid w:val="00C3618C"/>
    <w:rsid w:val="00C361CF"/>
    <w:rsid w:val="00C36534"/>
    <w:rsid w:val="00C36651"/>
    <w:rsid w:val="00C3691F"/>
    <w:rsid w:val="00C36953"/>
    <w:rsid w:val="00C36A90"/>
    <w:rsid w:val="00C36AE1"/>
    <w:rsid w:val="00C36AE7"/>
    <w:rsid w:val="00C36BC1"/>
    <w:rsid w:val="00C36EC2"/>
    <w:rsid w:val="00C3705D"/>
    <w:rsid w:val="00C370A8"/>
    <w:rsid w:val="00C37110"/>
    <w:rsid w:val="00C3723F"/>
    <w:rsid w:val="00C376BF"/>
    <w:rsid w:val="00C3776B"/>
    <w:rsid w:val="00C377C7"/>
    <w:rsid w:val="00C37909"/>
    <w:rsid w:val="00C37BA7"/>
    <w:rsid w:val="00C37D78"/>
    <w:rsid w:val="00C40066"/>
    <w:rsid w:val="00C400FB"/>
    <w:rsid w:val="00C40196"/>
    <w:rsid w:val="00C401E2"/>
    <w:rsid w:val="00C405A0"/>
    <w:rsid w:val="00C407D2"/>
    <w:rsid w:val="00C40A0F"/>
    <w:rsid w:val="00C40DD8"/>
    <w:rsid w:val="00C40F3D"/>
    <w:rsid w:val="00C41178"/>
    <w:rsid w:val="00C4155D"/>
    <w:rsid w:val="00C416C1"/>
    <w:rsid w:val="00C419B6"/>
    <w:rsid w:val="00C419CF"/>
    <w:rsid w:val="00C41A25"/>
    <w:rsid w:val="00C41AAE"/>
    <w:rsid w:val="00C41BFA"/>
    <w:rsid w:val="00C4218E"/>
    <w:rsid w:val="00C422A9"/>
    <w:rsid w:val="00C424DE"/>
    <w:rsid w:val="00C4268D"/>
    <w:rsid w:val="00C426D4"/>
    <w:rsid w:val="00C42A68"/>
    <w:rsid w:val="00C42AEE"/>
    <w:rsid w:val="00C42B4C"/>
    <w:rsid w:val="00C42B5B"/>
    <w:rsid w:val="00C42B72"/>
    <w:rsid w:val="00C42C97"/>
    <w:rsid w:val="00C42F65"/>
    <w:rsid w:val="00C42FD4"/>
    <w:rsid w:val="00C43088"/>
    <w:rsid w:val="00C43763"/>
    <w:rsid w:val="00C437DF"/>
    <w:rsid w:val="00C439FD"/>
    <w:rsid w:val="00C43A73"/>
    <w:rsid w:val="00C43BE8"/>
    <w:rsid w:val="00C43CBB"/>
    <w:rsid w:val="00C43E3E"/>
    <w:rsid w:val="00C44226"/>
    <w:rsid w:val="00C443CE"/>
    <w:rsid w:val="00C445C4"/>
    <w:rsid w:val="00C44658"/>
    <w:rsid w:val="00C44691"/>
    <w:rsid w:val="00C446BC"/>
    <w:rsid w:val="00C448A0"/>
    <w:rsid w:val="00C44ADA"/>
    <w:rsid w:val="00C44E0B"/>
    <w:rsid w:val="00C450D2"/>
    <w:rsid w:val="00C45130"/>
    <w:rsid w:val="00C452F7"/>
    <w:rsid w:val="00C45344"/>
    <w:rsid w:val="00C45397"/>
    <w:rsid w:val="00C45438"/>
    <w:rsid w:val="00C456A2"/>
    <w:rsid w:val="00C45856"/>
    <w:rsid w:val="00C45858"/>
    <w:rsid w:val="00C4586D"/>
    <w:rsid w:val="00C458FD"/>
    <w:rsid w:val="00C45B11"/>
    <w:rsid w:val="00C45C61"/>
    <w:rsid w:val="00C45CC6"/>
    <w:rsid w:val="00C46060"/>
    <w:rsid w:val="00C46063"/>
    <w:rsid w:val="00C460A0"/>
    <w:rsid w:val="00C460C7"/>
    <w:rsid w:val="00C461C4"/>
    <w:rsid w:val="00C46230"/>
    <w:rsid w:val="00C46283"/>
    <w:rsid w:val="00C463CB"/>
    <w:rsid w:val="00C46409"/>
    <w:rsid w:val="00C4670B"/>
    <w:rsid w:val="00C469F7"/>
    <w:rsid w:val="00C46DCC"/>
    <w:rsid w:val="00C4708F"/>
    <w:rsid w:val="00C470B3"/>
    <w:rsid w:val="00C47122"/>
    <w:rsid w:val="00C47192"/>
    <w:rsid w:val="00C471D9"/>
    <w:rsid w:val="00C4752F"/>
    <w:rsid w:val="00C475B8"/>
    <w:rsid w:val="00C476EC"/>
    <w:rsid w:val="00C47966"/>
    <w:rsid w:val="00C47DC9"/>
    <w:rsid w:val="00C47E74"/>
    <w:rsid w:val="00C503F7"/>
    <w:rsid w:val="00C50674"/>
    <w:rsid w:val="00C50711"/>
    <w:rsid w:val="00C507D4"/>
    <w:rsid w:val="00C5085C"/>
    <w:rsid w:val="00C508D4"/>
    <w:rsid w:val="00C50AD5"/>
    <w:rsid w:val="00C50BCA"/>
    <w:rsid w:val="00C50CB4"/>
    <w:rsid w:val="00C50E37"/>
    <w:rsid w:val="00C50E3B"/>
    <w:rsid w:val="00C50EC5"/>
    <w:rsid w:val="00C51005"/>
    <w:rsid w:val="00C51626"/>
    <w:rsid w:val="00C516E2"/>
    <w:rsid w:val="00C5170A"/>
    <w:rsid w:val="00C51748"/>
    <w:rsid w:val="00C51814"/>
    <w:rsid w:val="00C5182A"/>
    <w:rsid w:val="00C519CD"/>
    <w:rsid w:val="00C51B10"/>
    <w:rsid w:val="00C51B94"/>
    <w:rsid w:val="00C51BC2"/>
    <w:rsid w:val="00C51C84"/>
    <w:rsid w:val="00C51CB7"/>
    <w:rsid w:val="00C51CDB"/>
    <w:rsid w:val="00C51CE1"/>
    <w:rsid w:val="00C51DE9"/>
    <w:rsid w:val="00C51E98"/>
    <w:rsid w:val="00C51FB7"/>
    <w:rsid w:val="00C523C6"/>
    <w:rsid w:val="00C525BA"/>
    <w:rsid w:val="00C52735"/>
    <w:rsid w:val="00C52BBF"/>
    <w:rsid w:val="00C52BC6"/>
    <w:rsid w:val="00C52BF3"/>
    <w:rsid w:val="00C52C8C"/>
    <w:rsid w:val="00C52D3D"/>
    <w:rsid w:val="00C52D40"/>
    <w:rsid w:val="00C52D65"/>
    <w:rsid w:val="00C52D6A"/>
    <w:rsid w:val="00C52DA9"/>
    <w:rsid w:val="00C52E25"/>
    <w:rsid w:val="00C52E99"/>
    <w:rsid w:val="00C52F67"/>
    <w:rsid w:val="00C53047"/>
    <w:rsid w:val="00C53065"/>
    <w:rsid w:val="00C5311B"/>
    <w:rsid w:val="00C5323E"/>
    <w:rsid w:val="00C532A9"/>
    <w:rsid w:val="00C532B0"/>
    <w:rsid w:val="00C53363"/>
    <w:rsid w:val="00C53417"/>
    <w:rsid w:val="00C53474"/>
    <w:rsid w:val="00C534F0"/>
    <w:rsid w:val="00C535F5"/>
    <w:rsid w:val="00C53852"/>
    <w:rsid w:val="00C53B32"/>
    <w:rsid w:val="00C53DA8"/>
    <w:rsid w:val="00C53FE3"/>
    <w:rsid w:val="00C5402D"/>
    <w:rsid w:val="00C5409F"/>
    <w:rsid w:val="00C5414F"/>
    <w:rsid w:val="00C541C8"/>
    <w:rsid w:val="00C54204"/>
    <w:rsid w:val="00C54271"/>
    <w:rsid w:val="00C543D4"/>
    <w:rsid w:val="00C5451E"/>
    <w:rsid w:val="00C5458C"/>
    <w:rsid w:val="00C546D8"/>
    <w:rsid w:val="00C547BD"/>
    <w:rsid w:val="00C548C3"/>
    <w:rsid w:val="00C5491B"/>
    <w:rsid w:val="00C54A09"/>
    <w:rsid w:val="00C54A3E"/>
    <w:rsid w:val="00C54B37"/>
    <w:rsid w:val="00C54B93"/>
    <w:rsid w:val="00C54D32"/>
    <w:rsid w:val="00C55002"/>
    <w:rsid w:val="00C55031"/>
    <w:rsid w:val="00C5518D"/>
    <w:rsid w:val="00C55204"/>
    <w:rsid w:val="00C55300"/>
    <w:rsid w:val="00C553A5"/>
    <w:rsid w:val="00C553C4"/>
    <w:rsid w:val="00C555F7"/>
    <w:rsid w:val="00C558BB"/>
    <w:rsid w:val="00C55BE9"/>
    <w:rsid w:val="00C55E51"/>
    <w:rsid w:val="00C55EF8"/>
    <w:rsid w:val="00C56040"/>
    <w:rsid w:val="00C56109"/>
    <w:rsid w:val="00C56446"/>
    <w:rsid w:val="00C5650F"/>
    <w:rsid w:val="00C56523"/>
    <w:rsid w:val="00C566F1"/>
    <w:rsid w:val="00C5684E"/>
    <w:rsid w:val="00C569F5"/>
    <w:rsid w:val="00C56A10"/>
    <w:rsid w:val="00C56A24"/>
    <w:rsid w:val="00C56C75"/>
    <w:rsid w:val="00C57248"/>
    <w:rsid w:val="00C572AD"/>
    <w:rsid w:val="00C57561"/>
    <w:rsid w:val="00C57650"/>
    <w:rsid w:val="00C577A5"/>
    <w:rsid w:val="00C578FD"/>
    <w:rsid w:val="00C57930"/>
    <w:rsid w:val="00C57993"/>
    <w:rsid w:val="00C57ACD"/>
    <w:rsid w:val="00C57C11"/>
    <w:rsid w:val="00C57C47"/>
    <w:rsid w:val="00C57E2A"/>
    <w:rsid w:val="00C600F5"/>
    <w:rsid w:val="00C60480"/>
    <w:rsid w:val="00C605EA"/>
    <w:rsid w:val="00C60609"/>
    <w:rsid w:val="00C606F5"/>
    <w:rsid w:val="00C606FC"/>
    <w:rsid w:val="00C607A5"/>
    <w:rsid w:val="00C607B6"/>
    <w:rsid w:val="00C60863"/>
    <w:rsid w:val="00C60956"/>
    <w:rsid w:val="00C6096F"/>
    <w:rsid w:val="00C609D4"/>
    <w:rsid w:val="00C60B39"/>
    <w:rsid w:val="00C60C6B"/>
    <w:rsid w:val="00C60DE4"/>
    <w:rsid w:val="00C60E9F"/>
    <w:rsid w:val="00C60F36"/>
    <w:rsid w:val="00C610C7"/>
    <w:rsid w:val="00C61255"/>
    <w:rsid w:val="00C61330"/>
    <w:rsid w:val="00C61378"/>
    <w:rsid w:val="00C613A0"/>
    <w:rsid w:val="00C615C2"/>
    <w:rsid w:val="00C6167C"/>
    <w:rsid w:val="00C6171F"/>
    <w:rsid w:val="00C6174F"/>
    <w:rsid w:val="00C61A5F"/>
    <w:rsid w:val="00C61BD1"/>
    <w:rsid w:val="00C61C27"/>
    <w:rsid w:val="00C61CC5"/>
    <w:rsid w:val="00C61DA4"/>
    <w:rsid w:val="00C61DC1"/>
    <w:rsid w:val="00C61EBC"/>
    <w:rsid w:val="00C61EBE"/>
    <w:rsid w:val="00C620AE"/>
    <w:rsid w:val="00C620EA"/>
    <w:rsid w:val="00C62341"/>
    <w:rsid w:val="00C623F3"/>
    <w:rsid w:val="00C624F2"/>
    <w:rsid w:val="00C6285D"/>
    <w:rsid w:val="00C62A46"/>
    <w:rsid w:val="00C62A4F"/>
    <w:rsid w:val="00C62AC0"/>
    <w:rsid w:val="00C62E48"/>
    <w:rsid w:val="00C62E6F"/>
    <w:rsid w:val="00C63022"/>
    <w:rsid w:val="00C63472"/>
    <w:rsid w:val="00C634BC"/>
    <w:rsid w:val="00C6360E"/>
    <w:rsid w:val="00C63798"/>
    <w:rsid w:val="00C639E3"/>
    <w:rsid w:val="00C63A1D"/>
    <w:rsid w:val="00C63A65"/>
    <w:rsid w:val="00C63EB9"/>
    <w:rsid w:val="00C63ECD"/>
    <w:rsid w:val="00C640E3"/>
    <w:rsid w:val="00C6448D"/>
    <w:rsid w:val="00C64633"/>
    <w:rsid w:val="00C6490D"/>
    <w:rsid w:val="00C64B58"/>
    <w:rsid w:val="00C64BF7"/>
    <w:rsid w:val="00C64C4F"/>
    <w:rsid w:val="00C64D1F"/>
    <w:rsid w:val="00C64F04"/>
    <w:rsid w:val="00C64FE7"/>
    <w:rsid w:val="00C65076"/>
    <w:rsid w:val="00C6515F"/>
    <w:rsid w:val="00C65199"/>
    <w:rsid w:val="00C651D5"/>
    <w:rsid w:val="00C651F6"/>
    <w:rsid w:val="00C65313"/>
    <w:rsid w:val="00C6542F"/>
    <w:rsid w:val="00C65888"/>
    <w:rsid w:val="00C65967"/>
    <w:rsid w:val="00C659D7"/>
    <w:rsid w:val="00C659EE"/>
    <w:rsid w:val="00C65A3F"/>
    <w:rsid w:val="00C65DB7"/>
    <w:rsid w:val="00C65F38"/>
    <w:rsid w:val="00C66100"/>
    <w:rsid w:val="00C663AB"/>
    <w:rsid w:val="00C663CF"/>
    <w:rsid w:val="00C6648D"/>
    <w:rsid w:val="00C665B6"/>
    <w:rsid w:val="00C66723"/>
    <w:rsid w:val="00C667BB"/>
    <w:rsid w:val="00C668D7"/>
    <w:rsid w:val="00C66AE1"/>
    <w:rsid w:val="00C66F14"/>
    <w:rsid w:val="00C66F72"/>
    <w:rsid w:val="00C67026"/>
    <w:rsid w:val="00C67445"/>
    <w:rsid w:val="00C67597"/>
    <w:rsid w:val="00C675BE"/>
    <w:rsid w:val="00C676C7"/>
    <w:rsid w:val="00C67994"/>
    <w:rsid w:val="00C67AD1"/>
    <w:rsid w:val="00C67B45"/>
    <w:rsid w:val="00C67D91"/>
    <w:rsid w:val="00C67F45"/>
    <w:rsid w:val="00C7003E"/>
    <w:rsid w:val="00C70088"/>
    <w:rsid w:val="00C70101"/>
    <w:rsid w:val="00C70119"/>
    <w:rsid w:val="00C70195"/>
    <w:rsid w:val="00C70493"/>
    <w:rsid w:val="00C70563"/>
    <w:rsid w:val="00C7057C"/>
    <w:rsid w:val="00C7085D"/>
    <w:rsid w:val="00C708AD"/>
    <w:rsid w:val="00C70DBA"/>
    <w:rsid w:val="00C70FE0"/>
    <w:rsid w:val="00C710C5"/>
    <w:rsid w:val="00C7119A"/>
    <w:rsid w:val="00C71259"/>
    <w:rsid w:val="00C71292"/>
    <w:rsid w:val="00C71484"/>
    <w:rsid w:val="00C714C6"/>
    <w:rsid w:val="00C7160A"/>
    <w:rsid w:val="00C716CA"/>
    <w:rsid w:val="00C716DC"/>
    <w:rsid w:val="00C71993"/>
    <w:rsid w:val="00C71C7E"/>
    <w:rsid w:val="00C72062"/>
    <w:rsid w:val="00C72305"/>
    <w:rsid w:val="00C72575"/>
    <w:rsid w:val="00C7258D"/>
    <w:rsid w:val="00C72791"/>
    <w:rsid w:val="00C728A2"/>
    <w:rsid w:val="00C728F8"/>
    <w:rsid w:val="00C72902"/>
    <w:rsid w:val="00C72A9B"/>
    <w:rsid w:val="00C72E1C"/>
    <w:rsid w:val="00C730C8"/>
    <w:rsid w:val="00C73135"/>
    <w:rsid w:val="00C7317F"/>
    <w:rsid w:val="00C732A2"/>
    <w:rsid w:val="00C73576"/>
    <w:rsid w:val="00C735A7"/>
    <w:rsid w:val="00C73CCA"/>
    <w:rsid w:val="00C73E94"/>
    <w:rsid w:val="00C73F5C"/>
    <w:rsid w:val="00C73F83"/>
    <w:rsid w:val="00C74007"/>
    <w:rsid w:val="00C740F8"/>
    <w:rsid w:val="00C74158"/>
    <w:rsid w:val="00C742EF"/>
    <w:rsid w:val="00C743E7"/>
    <w:rsid w:val="00C74416"/>
    <w:rsid w:val="00C7454E"/>
    <w:rsid w:val="00C7469D"/>
    <w:rsid w:val="00C74740"/>
    <w:rsid w:val="00C748BC"/>
    <w:rsid w:val="00C7498A"/>
    <w:rsid w:val="00C74B54"/>
    <w:rsid w:val="00C74ECD"/>
    <w:rsid w:val="00C74F0A"/>
    <w:rsid w:val="00C74F59"/>
    <w:rsid w:val="00C7507F"/>
    <w:rsid w:val="00C7509D"/>
    <w:rsid w:val="00C75383"/>
    <w:rsid w:val="00C7549B"/>
    <w:rsid w:val="00C7553A"/>
    <w:rsid w:val="00C75676"/>
    <w:rsid w:val="00C75732"/>
    <w:rsid w:val="00C758E7"/>
    <w:rsid w:val="00C758EF"/>
    <w:rsid w:val="00C75CA3"/>
    <w:rsid w:val="00C76040"/>
    <w:rsid w:val="00C761DE"/>
    <w:rsid w:val="00C76224"/>
    <w:rsid w:val="00C7623D"/>
    <w:rsid w:val="00C76272"/>
    <w:rsid w:val="00C762F6"/>
    <w:rsid w:val="00C763FD"/>
    <w:rsid w:val="00C765D2"/>
    <w:rsid w:val="00C7694D"/>
    <w:rsid w:val="00C7698E"/>
    <w:rsid w:val="00C76A1B"/>
    <w:rsid w:val="00C76B4A"/>
    <w:rsid w:val="00C76C81"/>
    <w:rsid w:val="00C76EA7"/>
    <w:rsid w:val="00C76EFF"/>
    <w:rsid w:val="00C76FAC"/>
    <w:rsid w:val="00C77436"/>
    <w:rsid w:val="00C77712"/>
    <w:rsid w:val="00C778AF"/>
    <w:rsid w:val="00C7793D"/>
    <w:rsid w:val="00C779FD"/>
    <w:rsid w:val="00C77A94"/>
    <w:rsid w:val="00C77B22"/>
    <w:rsid w:val="00C77C04"/>
    <w:rsid w:val="00C77C64"/>
    <w:rsid w:val="00C77E99"/>
    <w:rsid w:val="00C77F09"/>
    <w:rsid w:val="00C8004C"/>
    <w:rsid w:val="00C800FD"/>
    <w:rsid w:val="00C80465"/>
    <w:rsid w:val="00C807BB"/>
    <w:rsid w:val="00C80B22"/>
    <w:rsid w:val="00C80ECE"/>
    <w:rsid w:val="00C80F11"/>
    <w:rsid w:val="00C812A1"/>
    <w:rsid w:val="00C813A9"/>
    <w:rsid w:val="00C814A2"/>
    <w:rsid w:val="00C8161E"/>
    <w:rsid w:val="00C81725"/>
    <w:rsid w:val="00C81974"/>
    <w:rsid w:val="00C81A86"/>
    <w:rsid w:val="00C81B17"/>
    <w:rsid w:val="00C81BE8"/>
    <w:rsid w:val="00C81C65"/>
    <w:rsid w:val="00C81C66"/>
    <w:rsid w:val="00C81DE0"/>
    <w:rsid w:val="00C81F11"/>
    <w:rsid w:val="00C82157"/>
    <w:rsid w:val="00C8221B"/>
    <w:rsid w:val="00C8222F"/>
    <w:rsid w:val="00C823D5"/>
    <w:rsid w:val="00C8254B"/>
    <w:rsid w:val="00C825A4"/>
    <w:rsid w:val="00C827A5"/>
    <w:rsid w:val="00C82914"/>
    <w:rsid w:val="00C82BDF"/>
    <w:rsid w:val="00C82BEA"/>
    <w:rsid w:val="00C82CBE"/>
    <w:rsid w:val="00C82FFD"/>
    <w:rsid w:val="00C8307C"/>
    <w:rsid w:val="00C831B7"/>
    <w:rsid w:val="00C831D9"/>
    <w:rsid w:val="00C8341A"/>
    <w:rsid w:val="00C8341C"/>
    <w:rsid w:val="00C83478"/>
    <w:rsid w:val="00C83552"/>
    <w:rsid w:val="00C83808"/>
    <w:rsid w:val="00C83850"/>
    <w:rsid w:val="00C8395E"/>
    <w:rsid w:val="00C83A3A"/>
    <w:rsid w:val="00C83C55"/>
    <w:rsid w:val="00C83EE1"/>
    <w:rsid w:val="00C83FDC"/>
    <w:rsid w:val="00C8408E"/>
    <w:rsid w:val="00C843AF"/>
    <w:rsid w:val="00C84470"/>
    <w:rsid w:val="00C844D2"/>
    <w:rsid w:val="00C844E1"/>
    <w:rsid w:val="00C8485E"/>
    <w:rsid w:val="00C8499A"/>
    <w:rsid w:val="00C84ACD"/>
    <w:rsid w:val="00C84CEE"/>
    <w:rsid w:val="00C84D4A"/>
    <w:rsid w:val="00C84D86"/>
    <w:rsid w:val="00C84EF0"/>
    <w:rsid w:val="00C8506A"/>
    <w:rsid w:val="00C8506C"/>
    <w:rsid w:val="00C85563"/>
    <w:rsid w:val="00C855C2"/>
    <w:rsid w:val="00C8566F"/>
    <w:rsid w:val="00C856C7"/>
    <w:rsid w:val="00C85766"/>
    <w:rsid w:val="00C85953"/>
    <w:rsid w:val="00C859AE"/>
    <w:rsid w:val="00C85A74"/>
    <w:rsid w:val="00C85AB0"/>
    <w:rsid w:val="00C85ABD"/>
    <w:rsid w:val="00C861AB"/>
    <w:rsid w:val="00C864CD"/>
    <w:rsid w:val="00C86946"/>
    <w:rsid w:val="00C869FB"/>
    <w:rsid w:val="00C86A9D"/>
    <w:rsid w:val="00C86BBC"/>
    <w:rsid w:val="00C86C4A"/>
    <w:rsid w:val="00C86D2B"/>
    <w:rsid w:val="00C86EA0"/>
    <w:rsid w:val="00C86F00"/>
    <w:rsid w:val="00C86F9C"/>
    <w:rsid w:val="00C87011"/>
    <w:rsid w:val="00C8716E"/>
    <w:rsid w:val="00C872C9"/>
    <w:rsid w:val="00C872D8"/>
    <w:rsid w:val="00C87302"/>
    <w:rsid w:val="00C87350"/>
    <w:rsid w:val="00C873FE"/>
    <w:rsid w:val="00C874F9"/>
    <w:rsid w:val="00C87572"/>
    <w:rsid w:val="00C876DB"/>
    <w:rsid w:val="00C8779B"/>
    <w:rsid w:val="00C878BA"/>
    <w:rsid w:val="00C8791F"/>
    <w:rsid w:val="00C879D1"/>
    <w:rsid w:val="00C87B47"/>
    <w:rsid w:val="00C87C43"/>
    <w:rsid w:val="00C87C97"/>
    <w:rsid w:val="00C90138"/>
    <w:rsid w:val="00C90180"/>
    <w:rsid w:val="00C90281"/>
    <w:rsid w:val="00C90335"/>
    <w:rsid w:val="00C903C6"/>
    <w:rsid w:val="00C904ED"/>
    <w:rsid w:val="00C90530"/>
    <w:rsid w:val="00C906A7"/>
    <w:rsid w:val="00C90805"/>
    <w:rsid w:val="00C90874"/>
    <w:rsid w:val="00C90921"/>
    <w:rsid w:val="00C909BD"/>
    <w:rsid w:val="00C90BC8"/>
    <w:rsid w:val="00C90BFD"/>
    <w:rsid w:val="00C90C0A"/>
    <w:rsid w:val="00C90EB9"/>
    <w:rsid w:val="00C90F6E"/>
    <w:rsid w:val="00C91150"/>
    <w:rsid w:val="00C911C5"/>
    <w:rsid w:val="00C912C5"/>
    <w:rsid w:val="00C917B9"/>
    <w:rsid w:val="00C91847"/>
    <w:rsid w:val="00C9187C"/>
    <w:rsid w:val="00C91A4D"/>
    <w:rsid w:val="00C91B45"/>
    <w:rsid w:val="00C91B99"/>
    <w:rsid w:val="00C91BEA"/>
    <w:rsid w:val="00C91F0E"/>
    <w:rsid w:val="00C925FD"/>
    <w:rsid w:val="00C9263A"/>
    <w:rsid w:val="00C926E0"/>
    <w:rsid w:val="00C92909"/>
    <w:rsid w:val="00C9294E"/>
    <w:rsid w:val="00C92ACA"/>
    <w:rsid w:val="00C92B0C"/>
    <w:rsid w:val="00C92BD0"/>
    <w:rsid w:val="00C92C13"/>
    <w:rsid w:val="00C92E51"/>
    <w:rsid w:val="00C9330A"/>
    <w:rsid w:val="00C935C1"/>
    <w:rsid w:val="00C9375F"/>
    <w:rsid w:val="00C938C0"/>
    <w:rsid w:val="00C939A1"/>
    <w:rsid w:val="00C93B0E"/>
    <w:rsid w:val="00C93C8B"/>
    <w:rsid w:val="00C93F77"/>
    <w:rsid w:val="00C94125"/>
    <w:rsid w:val="00C9425F"/>
    <w:rsid w:val="00C942ED"/>
    <w:rsid w:val="00C943D6"/>
    <w:rsid w:val="00C94409"/>
    <w:rsid w:val="00C944B6"/>
    <w:rsid w:val="00C94532"/>
    <w:rsid w:val="00C9458F"/>
    <w:rsid w:val="00C9467E"/>
    <w:rsid w:val="00C94803"/>
    <w:rsid w:val="00C94876"/>
    <w:rsid w:val="00C949CA"/>
    <w:rsid w:val="00C94B13"/>
    <w:rsid w:val="00C94B93"/>
    <w:rsid w:val="00C94BF8"/>
    <w:rsid w:val="00C94C81"/>
    <w:rsid w:val="00C94C96"/>
    <w:rsid w:val="00C94CD0"/>
    <w:rsid w:val="00C94E91"/>
    <w:rsid w:val="00C94F2B"/>
    <w:rsid w:val="00C94FA0"/>
    <w:rsid w:val="00C94FC5"/>
    <w:rsid w:val="00C95050"/>
    <w:rsid w:val="00C950F7"/>
    <w:rsid w:val="00C952B7"/>
    <w:rsid w:val="00C95495"/>
    <w:rsid w:val="00C95BF6"/>
    <w:rsid w:val="00C95C9D"/>
    <w:rsid w:val="00C96863"/>
    <w:rsid w:val="00C9694E"/>
    <w:rsid w:val="00C96AF3"/>
    <w:rsid w:val="00C96C7D"/>
    <w:rsid w:val="00C96CB8"/>
    <w:rsid w:val="00C96E45"/>
    <w:rsid w:val="00C96E7A"/>
    <w:rsid w:val="00C96EA1"/>
    <w:rsid w:val="00C96F4C"/>
    <w:rsid w:val="00C971A7"/>
    <w:rsid w:val="00C97214"/>
    <w:rsid w:val="00C9739F"/>
    <w:rsid w:val="00C97608"/>
    <w:rsid w:val="00C97871"/>
    <w:rsid w:val="00C9789F"/>
    <w:rsid w:val="00C97965"/>
    <w:rsid w:val="00C979D0"/>
    <w:rsid w:val="00C97A22"/>
    <w:rsid w:val="00C97B57"/>
    <w:rsid w:val="00C97EE2"/>
    <w:rsid w:val="00C97EED"/>
    <w:rsid w:val="00C97FEC"/>
    <w:rsid w:val="00CA01D8"/>
    <w:rsid w:val="00CA0214"/>
    <w:rsid w:val="00CA024C"/>
    <w:rsid w:val="00CA02F3"/>
    <w:rsid w:val="00CA03F8"/>
    <w:rsid w:val="00CA04B4"/>
    <w:rsid w:val="00CA0748"/>
    <w:rsid w:val="00CA0B0B"/>
    <w:rsid w:val="00CA0B58"/>
    <w:rsid w:val="00CA0D08"/>
    <w:rsid w:val="00CA0E86"/>
    <w:rsid w:val="00CA0E87"/>
    <w:rsid w:val="00CA1028"/>
    <w:rsid w:val="00CA1292"/>
    <w:rsid w:val="00CA148D"/>
    <w:rsid w:val="00CA170C"/>
    <w:rsid w:val="00CA17DB"/>
    <w:rsid w:val="00CA1810"/>
    <w:rsid w:val="00CA1BD0"/>
    <w:rsid w:val="00CA1C28"/>
    <w:rsid w:val="00CA1F9D"/>
    <w:rsid w:val="00CA1FE6"/>
    <w:rsid w:val="00CA20F9"/>
    <w:rsid w:val="00CA21FC"/>
    <w:rsid w:val="00CA2409"/>
    <w:rsid w:val="00CA24A3"/>
    <w:rsid w:val="00CA253F"/>
    <w:rsid w:val="00CA2600"/>
    <w:rsid w:val="00CA2655"/>
    <w:rsid w:val="00CA28AB"/>
    <w:rsid w:val="00CA29E7"/>
    <w:rsid w:val="00CA2A46"/>
    <w:rsid w:val="00CA2A55"/>
    <w:rsid w:val="00CA2ABB"/>
    <w:rsid w:val="00CA2B31"/>
    <w:rsid w:val="00CA2BF0"/>
    <w:rsid w:val="00CA2C50"/>
    <w:rsid w:val="00CA2E02"/>
    <w:rsid w:val="00CA2FB6"/>
    <w:rsid w:val="00CA343D"/>
    <w:rsid w:val="00CA36BC"/>
    <w:rsid w:val="00CA3AAB"/>
    <w:rsid w:val="00CA3BA1"/>
    <w:rsid w:val="00CA3BB0"/>
    <w:rsid w:val="00CA3E73"/>
    <w:rsid w:val="00CA4044"/>
    <w:rsid w:val="00CA410E"/>
    <w:rsid w:val="00CA4215"/>
    <w:rsid w:val="00CA435F"/>
    <w:rsid w:val="00CA43F3"/>
    <w:rsid w:val="00CA447E"/>
    <w:rsid w:val="00CA4773"/>
    <w:rsid w:val="00CA4994"/>
    <w:rsid w:val="00CA4B62"/>
    <w:rsid w:val="00CA4B9C"/>
    <w:rsid w:val="00CA4C62"/>
    <w:rsid w:val="00CA50B8"/>
    <w:rsid w:val="00CA50F0"/>
    <w:rsid w:val="00CA515E"/>
    <w:rsid w:val="00CA53A5"/>
    <w:rsid w:val="00CA542C"/>
    <w:rsid w:val="00CA5480"/>
    <w:rsid w:val="00CA5582"/>
    <w:rsid w:val="00CA57FF"/>
    <w:rsid w:val="00CA5BC2"/>
    <w:rsid w:val="00CA5E71"/>
    <w:rsid w:val="00CA5F55"/>
    <w:rsid w:val="00CA5FAB"/>
    <w:rsid w:val="00CA600B"/>
    <w:rsid w:val="00CA6095"/>
    <w:rsid w:val="00CA61B8"/>
    <w:rsid w:val="00CA62E0"/>
    <w:rsid w:val="00CA62E2"/>
    <w:rsid w:val="00CA63C6"/>
    <w:rsid w:val="00CA640F"/>
    <w:rsid w:val="00CA644D"/>
    <w:rsid w:val="00CA66EC"/>
    <w:rsid w:val="00CA69B8"/>
    <w:rsid w:val="00CA69D6"/>
    <w:rsid w:val="00CA6CDA"/>
    <w:rsid w:val="00CA6D92"/>
    <w:rsid w:val="00CA6EF9"/>
    <w:rsid w:val="00CA7368"/>
    <w:rsid w:val="00CA7496"/>
    <w:rsid w:val="00CA756D"/>
    <w:rsid w:val="00CA7825"/>
    <w:rsid w:val="00CA7952"/>
    <w:rsid w:val="00CA7C8D"/>
    <w:rsid w:val="00CA7C9F"/>
    <w:rsid w:val="00CB0028"/>
    <w:rsid w:val="00CB0165"/>
    <w:rsid w:val="00CB047B"/>
    <w:rsid w:val="00CB050D"/>
    <w:rsid w:val="00CB05DA"/>
    <w:rsid w:val="00CB099F"/>
    <w:rsid w:val="00CB0CDF"/>
    <w:rsid w:val="00CB0FE7"/>
    <w:rsid w:val="00CB0FFA"/>
    <w:rsid w:val="00CB1081"/>
    <w:rsid w:val="00CB11F0"/>
    <w:rsid w:val="00CB12B4"/>
    <w:rsid w:val="00CB133F"/>
    <w:rsid w:val="00CB14D8"/>
    <w:rsid w:val="00CB1953"/>
    <w:rsid w:val="00CB19E9"/>
    <w:rsid w:val="00CB1A4B"/>
    <w:rsid w:val="00CB1BC7"/>
    <w:rsid w:val="00CB1D2F"/>
    <w:rsid w:val="00CB1D78"/>
    <w:rsid w:val="00CB1D93"/>
    <w:rsid w:val="00CB1DDE"/>
    <w:rsid w:val="00CB1F4D"/>
    <w:rsid w:val="00CB1F8E"/>
    <w:rsid w:val="00CB1FC6"/>
    <w:rsid w:val="00CB20FF"/>
    <w:rsid w:val="00CB24DC"/>
    <w:rsid w:val="00CB2771"/>
    <w:rsid w:val="00CB27FD"/>
    <w:rsid w:val="00CB2872"/>
    <w:rsid w:val="00CB28F6"/>
    <w:rsid w:val="00CB2981"/>
    <w:rsid w:val="00CB2B79"/>
    <w:rsid w:val="00CB2E57"/>
    <w:rsid w:val="00CB2E7C"/>
    <w:rsid w:val="00CB301A"/>
    <w:rsid w:val="00CB31E6"/>
    <w:rsid w:val="00CB3478"/>
    <w:rsid w:val="00CB3594"/>
    <w:rsid w:val="00CB35C9"/>
    <w:rsid w:val="00CB36D8"/>
    <w:rsid w:val="00CB378E"/>
    <w:rsid w:val="00CB3C32"/>
    <w:rsid w:val="00CB3D38"/>
    <w:rsid w:val="00CB3F57"/>
    <w:rsid w:val="00CB3FF6"/>
    <w:rsid w:val="00CB4189"/>
    <w:rsid w:val="00CB47CD"/>
    <w:rsid w:val="00CB48A8"/>
    <w:rsid w:val="00CB4EBB"/>
    <w:rsid w:val="00CB4F63"/>
    <w:rsid w:val="00CB50D8"/>
    <w:rsid w:val="00CB513C"/>
    <w:rsid w:val="00CB525D"/>
    <w:rsid w:val="00CB528D"/>
    <w:rsid w:val="00CB53CF"/>
    <w:rsid w:val="00CB554F"/>
    <w:rsid w:val="00CB55DA"/>
    <w:rsid w:val="00CB5B5F"/>
    <w:rsid w:val="00CB5B86"/>
    <w:rsid w:val="00CB5BE6"/>
    <w:rsid w:val="00CB5C42"/>
    <w:rsid w:val="00CB5D65"/>
    <w:rsid w:val="00CB5ED1"/>
    <w:rsid w:val="00CB5F86"/>
    <w:rsid w:val="00CB6002"/>
    <w:rsid w:val="00CB6265"/>
    <w:rsid w:val="00CB629B"/>
    <w:rsid w:val="00CB635C"/>
    <w:rsid w:val="00CB652A"/>
    <w:rsid w:val="00CB6609"/>
    <w:rsid w:val="00CB6730"/>
    <w:rsid w:val="00CB6ABF"/>
    <w:rsid w:val="00CB6B20"/>
    <w:rsid w:val="00CB701F"/>
    <w:rsid w:val="00CB7077"/>
    <w:rsid w:val="00CB7127"/>
    <w:rsid w:val="00CB712B"/>
    <w:rsid w:val="00CB7304"/>
    <w:rsid w:val="00CB7321"/>
    <w:rsid w:val="00CB741C"/>
    <w:rsid w:val="00CB7477"/>
    <w:rsid w:val="00CB766C"/>
    <w:rsid w:val="00CB783B"/>
    <w:rsid w:val="00CB7938"/>
    <w:rsid w:val="00CB7BA0"/>
    <w:rsid w:val="00CB7E0A"/>
    <w:rsid w:val="00CC0295"/>
    <w:rsid w:val="00CC0438"/>
    <w:rsid w:val="00CC0440"/>
    <w:rsid w:val="00CC0578"/>
    <w:rsid w:val="00CC0824"/>
    <w:rsid w:val="00CC08A6"/>
    <w:rsid w:val="00CC08A9"/>
    <w:rsid w:val="00CC0D5A"/>
    <w:rsid w:val="00CC10BE"/>
    <w:rsid w:val="00CC1308"/>
    <w:rsid w:val="00CC13DC"/>
    <w:rsid w:val="00CC1773"/>
    <w:rsid w:val="00CC17B5"/>
    <w:rsid w:val="00CC19F3"/>
    <w:rsid w:val="00CC1A96"/>
    <w:rsid w:val="00CC1C8C"/>
    <w:rsid w:val="00CC1D27"/>
    <w:rsid w:val="00CC2088"/>
    <w:rsid w:val="00CC20DB"/>
    <w:rsid w:val="00CC232A"/>
    <w:rsid w:val="00CC2519"/>
    <w:rsid w:val="00CC2777"/>
    <w:rsid w:val="00CC29A4"/>
    <w:rsid w:val="00CC2B1B"/>
    <w:rsid w:val="00CC2B91"/>
    <w:rsid w:val="00CC2C70"/>
    <w:rsid w:val="00CC2CF7"/>
    <w:rsid w:val="00CC2D20"/>
    <w:rsid w:val="00CC2E25"/>
    <w:rsid w:val="00CC3027"/>
    <w:rsid w:val="00CC31EE"/>
    <w:rsid w:val="00CC32CB"/>
    <w:rsid w:val="00CC3331"/>
    <w:rsid w:val="00CC3397"/>
    <w:rsid w:val="00CC33ED"/>
    <w:rsid w:val="00CC34F3"/>
    <w:rsid w:val="00CC360E"/>
    <w:rsid w:val="00CC3849"/>
    <w:rsid w:val="00CC3875"/>
    <w:rsid w:val="00CC390D"/>
    <w:rsid w:val="00CC3944"/>
    <w:rsid w:val="00CC3B18"/>
    <w:rsid w:val="00CC3BE0"/>
    <w:rsid w:val="00CC3C0D"/>
    <w:rsid w:val="00CC3F0C"/>
    <w:rsid w:val="00CC402C"/>
    <w:rsid w:val="00CC421B"/>
    <w:rsid w:val="00CC4277"/>
    <w:rsid w:val="00CC43BA"/>
    <w:rsid w:val="00CC46D2"/>
    <w:rsid w:val="00CC4848"/>
    <w:rsid w:val="00CC48B2"/>
    <w:rsid w:val="00CC4B45"/>
    <w:rsid w:val="00CC4C5C"/>
    <w:rsid w:val="00CC4DA2"/>
    <w:rsid w:val="00CC4DAE"/>
    <w:rsid w:val="00CC50E4"/>
    <w:rsid w:val="00CC573B"/>
    <w:rsid w:val="00CC5960"/>
    <w:rsid w:val="00CC5A83"/>
    <w:rsid w:val="00CC5BF7"/>
    <w:rsid w:val="00CC5E7C"/>
    <w:rsid w:val="00CC5EBB"/>
    <w:rsid w:val="00CC6057"/>
    <w:rsid w:val="00CC62E6"/>
    <w:rsid w:val="00CC6372"/>
    <w:rsid w:val="00CC669A"/>
    <w:rsid w:val="00CC6784"/>
    <w:rsid w:val="00CC6813"/>
    <w:rsid w:val="00CC684B"/>
    <w:rsid w:val="00CC6928"/>
    <w:rsid w:val="00CC6A57"/>
    <w:rsid w:val="00CC6ABF"/>
    <w:rsid w:val="00CC6AD9"/>
    <w:rsid w:val="00CC6C1D"/>
    <w:rsid w:val="00CC6D17"/>
    <w:rsid w:val="00CC6F31"/>
    <w:rsid w:val="00CC6F9A"/>
    <w:rsid w:val="00CC6FD4"/>
    <w:rsid w:val="00CC7136"/>
    <w:rsid w:val="00CC71D5"/>
    <w:rsid w:val="00CC7386"/>
    <w:rsid w:val="00CC743B"/>
    <w:rsid w:val="00CC7454"/>
    <w:rsid w:val="00CC75BA"/>
    <w:rsid w:val="00CC770B"/>
    <w:rsid w:val="00CC7861"/>
    <w:rsid w:val="00CC78F9"/>
    <w:rsid w:val="00CC7A05"/>
    <w:rsid w:val="00CC7A10"/>
    <w:rsid w:val="00CC7A84"/>
    <w:rsid w:val="00CC7B57"/>
    <w:rsid w:val="00CC7CDA"/>
    <w:rsid w:val="00CC7DA6"/>
    <w:rsid w:val="00CC7EC8"/>
    <w:rsid w:val="00CC7F02"/>
    <w:rsid w:val="00CC7F36"/>
    <w:rsid w:val="00CC7F5F"/>
    <w:rsid w:val="00CD00E9"/>
    <w:rsid w:val="00CD0267"/>
    <w:rsid w:val="00CD0CC4"/>
    <w:rsid w:val="00CD1044"/>
    <w:rsid w:val="00CD140A"/>
    <w:rsid w:val="00CD1419"/>
    <w:rsid w:val="00CD14F9"/>
    <w:rsid w:val="00CD155A"/>
    <w:rsid w:val="00CD15E2"/>
    <w:rsid w:val="00CD1609"/>
    <w:rsid w:val="00CD161C"/>
    <w:rsid w:val="00CD16C4"/>
    <w:rsid w:val="00CD176C"/>
    <w:rsid w:val="00CD17CD"/>
    <w:rsid w:val="00CD180B"/>
    <w:rsid w:val="00CD1935"/>
    <w:rsid w:val="00CD1B9C"/>
    <w:rsid w:val="00CD1BC6"/>
    <w:rsid w:val="00CD1CE2"/>
    <w:rsid w:val="00CD1DD0"/>
    <w:rsid w:val="00CD1F33"/>
    <w:rsid w:val="00CD1FE1"/>
    <w:rsid w:val="00CD2002"/>
    <w:rsid w:val="00CD2012"/>
    <w:rsid w:val="00CD2179"/>
    <w:rsid w:val="00CD2349"/>
    <w:rsid w:val="00CD2370"/>
    <w:rsid w:val="00CD2666"/>
    <w:rsid w:val="00CD2748"/>
    <w:rsid w:val="00CD27C8"/>
    <w:rsid w:val="00CD27EE"/>
    <w:rsid w:val="00CD281A"/>
    <w:rsid w:val="00CD2896"/>
    <w:rsid w:val="00CD2AEB"/>
    <w:rsid w:val="00CD2B17"/>
    <w:rsid w:val="00CD2C53"/>
    <w:rsid w:val="00CD2C82"/>
    <w:rsid w:val="00CD2E52"/>
    <w:rsid w:val="00CD2EDF"/>
    <w:rsid w:val="00CD2EFA"/>
    <w:rsid w:val="00CD3090"/>
    <w:rsid w:val="00CD30DE"/>
    <w:rsid w:val="00CD3353"/>
    <w:rsid w:val="00CD339C"/>
    <w:rsid w:val="00CD34A7"/>
    <w:rsid w:val="00CD3593"/>
    <w:rsid w:val="00CD35EF"/>
    <w:rsid w:val="00CD36AC"/>
    <w:rsid w:val="00CD36D6"/>
    <w:rsid w:val="00CD37DA"/>
    <w:rsid w:val="00CD389D"/>
    <w:rsid w:val="00CD397B"/>
    <w:rsid w:val="00CD3AC5"/>
    <w:rsid w:val="00CD3AC7"/>
    <w:rsid w:val="00CD3D93"/>
    <w:rsid w:val="00CD3F1D"/>
    <w:rsid w:val="00CD3FB6"/>
    <w:rsid w:val="00CD4223"/>
    <w:rsid w:val="00CD4419"/>
    <w:rsid w:val="00CD4565"/>
    <w:rsid w:val="00CD45D8"/>
    <w:rsid w:val="00CD4690"/>
    <w:rsid w:val="00CD4730"/>
    <w:rsid w:val="00CD4AEF"/>
    <w:rsid w:val="00CD4B3D"/>
    <w:rsid w:val="00CD4C78"/>
    <w:rsid w:val="00CD5078"/>
    <w:rsid w:val="00CD52D3"/>
    <w:rsid w:val="00CD538F"/>
    <w:rsid w:val="00CD53C2"/>
    <w:rsid w:val="00CD546A"/>
    <w:rsid w:val="00CD5642"/>
    <w:rsid w:val="00CD56C0"/>
    <w:rsid w:val="00CD5804"/>
    <w:rsid w:val="00CD598C"/>
    <w:rsid w:val="00CD5A11"/>
    <w:rsid w:val="00CD5B6E"/>
    <w:rsid w:val="00CD5C0F"/>
    <w:rsid w:val="00CD5C50"/>
    <w:rsid w:val="00CD5D2E"/>
    <w:rsid w:val="00CD5D66"/>
    <w:rsid w:val="00CD60BD"/>
    <w:rsid w:val="00CD60CE"/>
    <w:rsid w:val="00CD61C3"/>
    <w:rsid w:val="00CD6465"/>
    <w:rsid w:val="00CD6606"/>
    <w:rsid w:val="00CD660F"/>
    <w:rsid w:val="00CD6A60"/>
    <w:rsid w:val="00CD6BEA"/>
    <w:rsid w:val="00CD6C3C"/>
    <w:rsid w:val="00CD6C64"/>
    <w:rsid w:val="00CD6FC5"/>
    <w:rsid w:val="00CD7123"/>
    <w:rsid w:val="00CD7340"/>
    <w:rsid w:val="00CD747F"/>
    <w:rsid w:val="00CD76F9"/>
    <w:rsid w:val="00CD78DD"/>
    <w:rsid w:val="00CD7AA9"/>
    <w:rsid w:val="00CE0009"/>
    <w:rsid w:val="00CE0048"/>
    <w:rsid w:val="00CE0180"/>
    <w:rsid w:val="00CE0251"/>
    <w:rsid w:val="00CE038A"/>
    <w:rsid w:val="00CE06E9"/>
    <w:rsid w:val="00CE06F5"/>
    <w:rsid w:val="00CE072E"/>
    <w:rsid w:val="00CE076E"/>
    <w:rsid w:val="00CE07AC"/>
    <w:rsid w:val="00CE07DD"/>
    <w:rsid w:val="00CE081C"/>
    <w:rsid w:val="00CE0A6A"/>
    <w:rsid w:val="00CE0DD9"/>
    <w:rsid w:val="00CE0E36"/>
    <w:rsid w:val="00CE0F23"/>
    <w:rsid w:val="00CE106B"/>
    <w:rsid w:val="00CE1083"/>
    <w:rsid w:val="00CE10BD"/>
    <w:rsid w:val="00CE122D"/>
    <w:rsid w:val="00CE122F"/>
    <w:rsid w:val="00CE1283"/>
    <w:rsid w:val="00CE12BF"/>
    <w:rsid w:val="00CE1349"/>
    <w:rsid w:val="00CE15FB"/>
    <w:rsid w:val="00CE18A3"/>
    <w:rsid w:val="00CE1BC2"/>
    <w:rsid w:val="00CE1C72"/>
    <w:rsid w:val="00CE1F17"/>
    <w:rsid w:val="00CE2115"/>
    <w:rsid w:val="00CE217C"/>
    <w:rsid w:val="00CE2475"/>
    <w:rsid w:val="00CE24A7"/>
    <w:rsid w:val="00CE255A"/>
    <w:rsid w:val="00CE28BA"/>
    <w:rsid w:val="00CE28CC"/>
    <w:rsid w:val="00CE291E"/>
    <w:rsid w:val="00CE2B1B"/>
    <w:rsid w:val="00CE2CDC"/>
    <w:rsid w:val="00CE30A7"/>
    <w:rsid w:val="00CE314D"/>
    <w:rsid w:val="00CE33DE"/>
    <w:rsid w:val="00CE3512"/>
    <w:rsid w:val="00CE35D5"/>
    <w:rsid w:val="00CE366F"/>
    <w:rsid w:val="00CE36F6"/>
    <w:rsid w:val="00CE3823"/>
    <w:rsid w:val="00CE3837"/>
    <w:rsid w:val="00CE3875"/>
    <w:rsid w:val="00CE3BA1"/>
    <w:rsid w:val="00CE3C21"/>
    <w:rsid w:val="00CE3CBE"/>
    <w:rsid w:val="00CE3D71"/>
    <w:rsid w:val="00CE3E15"/>
    <w:rsid w:val="00CE3F34"/>
    <w:rsid w:val="00CE4126"/>
    <w:rsid w:val="00CE4392"/>
    <w:rsid w:val="00CE47E2"/>
    <w:rsid w:val="00CE483D"/>
    <w:rsid w:val="00CE4877"/>
    <w:rsid w:val="00CE487E"/>
    <w:rsid w:val="00CE4A76"/>
    <w:rsid w:val="00CE4BAC"/>
    <w:rsid w:val="00CE4C89"/>
    <w:rsid w:val="00CE4DF3"/>
    <w:rsid w:val="00CE4DF8"/>
    <w:rsid w:val="00CE4E4C"/>
    <w:rsid w:val="00CE4F5D"/>
    <w:rsid w:val="00CE501B"/>
    <w:rsid w:val="00CE51A2"/>
    <w:rsid w:val="00CE51A6"/>
    <w:rsid w:val="00CE521C"/>
    <w:rsid w:val="00CE5233"/>
    <w:rsid w:val="00CE558D"/>
    <w:rsid w:val="00CE55AC"/>
    <w:rsid w:val="00CE55CB"/>
    <w:rsid w:val="00CE56CF"/>
    <w:rsid w:val="00CE57E5"/>
    <w:rsid w:val="00CE593D"/>
    <w:rsid w:val="00CE59B0"/>
    <w:rsid w:val="00CE5B37"/>
    <w:rsid w:val="00CE618F"/>
    <w:rsid w:val="00CE64DA"/>
    <w:rsid w:val="00CE66E6"/>
    <w:rsid w:val="00CE66FD"/>
    <w:rsid w:val="00CE6710"/>
    <w:rsid w:val="00CE68C9"/>
    <w:rsid w:val="00CE6A17"/>
    <w:rsid w:val="00CE6BC3"/>
    <w:rsid w:val="00CE6CEB"/>
    <w:rsid w:val="00CE6E12"/>
    <w:rsid w:val="00CE6E1C"/>
    <w:rsid w:val="00CE6E5E"/>
    <w:rsid w:val="00CE7119"/>
    <w:rsid w:val="00CE73C2"/>
    <w:rsid w:val="00CE74FF"/>
    <w:rsid w:val="00CE75B4"/>
    <w:rsid w:val="00CE789A"/>
    <w:rsid w:val="00CE7A2D"/>
    <w:rsid w:val="00CE7AB9"/>
    <w:rsid w:val="00CE7AF9"/>
    <w:rsid w:val="00CE7B0B"/>
    <w:rsid w:val="00CE7D60"/>
    <w:rsid w:val="00CE7D70"/>
    <w:rsid w:val="00CE7D8F"/>
    <w:rsid w:val="00CE7E74"/>
    <w:rsid w:val="00CE7F09"/>
    <w:rsid w:val="00CE7F13"/>
    <w:rsid w:val="00CF0022"/>
    <w:rsid w:val="00CF004B"/>
    <w:rsid w:val="00CF006F"/>
    <w:rsid w:val="00CF0181"/>
    <w:rsid w:val="00CF040A"/>
    <w:rsid w:val="00CF04E6"/>
    <w:rsid w:val="00CF053E"/>
    <w:rsid w:val="00CF0713"/>
    <w:rsid w:val="00CF07AF"/>
    <w:rsid w:val="00CF07BB"/>
    <w:rsid w:val="00CF08B7"/>
    <w:rsid w:val="00CF09BA"/>
    <w:rsid w:val="00CF0B08"/>
    <w:rsid w:val="00CF0C9C"/>
    <w:rsid w:val="00CF0D8B"/>
    <w:rsid w:val="00CF11B7"/>
    <w:rsid w:val="00CF1248"/>
    <w:rsid w:val="00CF1384"/>
    <w:rsid w:val="00CF13DB"/>
    <w:rsid w:val="00CF147F"/>
    <w:rsid w:val="00CF156F"/>
    <w:rsid w:val="00CF15BC"/>
    <w:rsid w:val="00CF1891"/>
    <w:rsid w:val="00CF1CA0"/>
    <w:rsid w:val="00CF1D66"/>
    <w:rsid w:val="00CF22BB"/>
    <w:rsid w:val="00CF2475"/>
    <w:rsid w:val="00CF24D2"/>
    <w:rsid w:val="00CF24E7"/>
    <w:rsid w:val="00CF26BF"/>
    <w:rsid w:val="00CF27C8"/>
    <w:rsid w:val="00CF2802"/>
    <w:rsid w:val="00CF28B9"/>
    <w:rsid w:val="00CF2965"/>
    <w:rsid w:val="00CF2A41"/>
    <w:rsid w:val="00CF2A75"/>
    <w:rsid w:val="00CF2B5E"/>
    <w:rsid w:val="00CF2CB1"/>
    <w:rsid w:val="00CF2CF3"/>
    <w:rsid w:val="00CF2D50"/>
    <w:rsid w:val="00CF2F89"/>
    <w:rsid w:val="00CF3153"/>
    <w:rsid w:val="00CF3213"/>
    <w:rsid w:val="00CF3273"/>
    <w:rsid w:val="00CF3344"/>
    <w:rsid w:val="00CF34A8"/>
    <w:rsid w:val="00CF3661"/>
    <w:rsid w:val="00CF3733"/>
    <w:rsid w:val="00CF383E"/>
    <w:rsid w:val="00CF386D"/>
    <w:rsid w:val="00CF3A0F"/>
    <w:rsid w:val="00CF3AAD"/>
    <w:rsid w:val="00CF3AC2"/>
    <w:rsid w:val="00CF3C64"/>
    <w:rsid w:val="00CF3D71"/>
    <w:rsid w:val="00CF3E2D"/>
    <w:rsid w:val="00CF3EE5"/>
    <w:rsid w:val="00CF3FB2"/>
    <w:rsid w:val="00CF411C"/>
    <w:rsid w:val="00CF42AB"/>
    <w:rsid w:val="00CF439C"/>
    <w:rsid w:val="00CF4502"/>
    <w:rsid w:val="00CF4538"/>
    <w:rsid w:val="00CF462B"/>
    <w:rsid w:val="00CF4724"/>
    <w:rsid w:val="00CF4741"/>
    <w:rsid w:val="00CF47A6"/>
    <w:rsid w:val="00CF4853"/>
    <w:rsid w:val="00CF498E"/>
    <w:rsid w:val="00CF4B77"/>
    <w:rsid w:val="00CF4BED"/>
    <w:rsid w:val="00CF4C9C"/>
    <w:rsid w:val="00CF4EC5"/>
    <w:rsid w:val="00CF509E"/>
    <w:rsid w:val="00CF51AD"/>
    <w:rsid w:val="00CF5366"/>
    <w:rsid w:val="00CF53AA"/>
    <w:rsid w:val="00CF5873"/>
    <w:rsid w:val="00CF596C"/>
    <w:rsid w:val="00CF599A"/>
    <w:rsid w:val="00CF59C9"/>
    <w:rsid w:val="00CF5B67"/>
    <w:rsid w:val="00CF5C94"/>
    <w:rsid w:val="00CF5D23"/>
    <w:rsid w:val="00CF5D2D"/>
    <w:rsid w:val="00CF5D7B"/>
    <w:rsid w:val="00CF5E1A"/>
    <w:rsid w:val="00CF604E"/>
    <w:rsid w:val="00CF60CF"/>
    <w:rsid w:val="00CF60EC"/>
    <w:rsid w:val="00CF6464"/>
    <w:rsid w:val="00CF648C"/>
    <w:rsid w:val="00CF65B0"/>
    <w:rsid w:val="00CF6664"/>
    <w:rsid w:val="00CF6680"/>
    <w:rsid w:val="00CF66A7"/>
    <w:rsid w:val="00CF6710"/>
    <w:rsid w:val="00CF684A"/>
    <w:rsid w:val="00CF6910"/>
    <w:rsid w:val="00CF6A80"/>
    <w:rsid w:val="00CF6B3E"/>
    <w:rsid w:val="00CF6C1F"/>
    <w:rsid w:val="00CF6C64"/>
    <w:rsid w:val="00CF6F74"/>
    <w:rsid w:val="00CF70BC"/>
    <w:rsid w:val="00CF71BB"/>
    <w:rsid w:val="00CF7325"/>
    <w:rsid w:val="00CF749C"/>
    <w:rsid w:val="00CF74F6"/>
    <w:rsid w:val="00CF7526"/>
    <w:rsid w:val="00CF7672"/>
    <w:rsid w:val="00CF7892"/>
    <w:rsid w:val="00CF795E"/>
    <w:rsid w:val="00CF7ACA"/>
    <w:rsid w:val="00CF7CD1"/>
    <w:rsid w:val="00CF7D31"/>
    <w:rsid w:val="00CF7DCA"/>
    <w:rsid w:val="00D0013D"/>
    <w:rsid w:val="00D004BE"/>
    <w:rsid w:val="00D0050C"/>
    <w:rsid w:val="00D00580"/>
    <w:rsid w:val="00D006C2"/>
    <w:rsid w:val="00D00852"/>
    <w:rsid w:val="00D00916"/>
    <w:rsid w:val="00D00A7B"/>
    <w:rsid w:val="00D00B23"/>
    <w:rsid w:val="00D00C13"/>
    <w:rsid w:val="00D00DBC"/>
    <w:rsid w:val="00D00E9A"/>
    <w:rsid w:val="00D00EDC"/>
    <w:rsid w:val="00D00FFB"/>
    <w:rsid w:val="00D01180"/>
    <w:rsid w:val="00D01268"/>
    <w:rsid w:val="00D012EB"/>
    <w:rsid w:val="00D01340"/>
    <w:rsid w:val="00D01344"/>
    <w:rsid w:val="00D0134C"/>
    <w:rsid w:val="00D013F7"/>
    <w:rsid w:val="00D01404"/>
    <w:rsid w:val="00D01449"/>
    <w:rsid w:val="00D0156B"/>
    <w:rsid w:val="00D015E6"/>
    <w:rsid w:val="00D01650"/>
    <w:rsid w:val="00D01F24"/>
    <w:rsid w:val="00D02033"/>
    <w:rsid w:val="00D0241A"/>
    <w:rsid w:val="00D02585"/>
    <w:rsid w:val="00D025DE"/>
    <w:rsid w:val="00D0263E"/>
    <w:rsid w:val="00D02724"/>
    <w:rsid w:val="00D028F7"/>
    <w:rsid w:val="00D02A99"/>
    <w:rsid w:val="00D02B7A"/>
    <w:rsid w:val="00D02B90"/>
    <w:rsid w:val="00D02C4F"/>
    <w:rsid w:val="00D02CDE"/>
    <w:rsid w:val="00D02DE3"/>
    <w:rsid w:val="00D0322B"/>
    <w:rsid w:val="00D034FA"/>
    <w:rsid w:val="00D0353F"/>
    <w:rsid w:val="00D03586"/>
    <w:rsid w:val="00D035F0"/>
    <w:rsid w:val="00D03613"/>
    <w:rsid w:val="00D03660"/>
    <w:rsid w:val="00D036DD"/>
    <w:rsid w:val="00D03A08"/>
    <w:rsid w:val="00D03B28"/>
    <w:rsid w:val="00D03CBA"/>
    <w:rsid w:val="00D03D6D"/>
    <w:rsid w:val="00D03DFB"/>
    <w:rsid w:val="00D03F60"/>
    <w:rsid w:val="00D04257"/>
    <w:rsid w:val="00D04264"/>
    <w:rsid w:val="00D04274"/>
    <w:rsid w:val="00D04343"/>
    <w:rsid w:val="00D0450B"/>
    <w:rsid w:val="00D0454B"/>
    <w:rsid w:val="00D0455E"/>
    <w:rsid w:val="00D04708"/>
    <w:rsid w:val="00D0480E"/>
    <w:rsid w:val="00D04844"/>
    <w:rsid w:val="00D0487F"/>
    <w:rsid w:val="00D048C2"/>
    <w:rsid w:val="00D049B7"/>
    <w:rsid w:val="00D049CA"/>
    <w:rsid w:val="00D04AD4"/>
    <w:rsid w:val="00D04B8C"/>
    <w:rsid w:val="00D04C84"/>
    <w:rsid w:val="00D04CA4"/>
    <w:rsid w:val="00D04CF1"/>
    <w:rsid w:val="00D04E58"/>
    <w:rsid w:val="00D04F3A"/>
    <w:rsid w:val="00D04FA3"/>
    <w:rsid w:val="00D050E8"/>
    <w:rsid w:val="00D050F8"/>
    <w:rsid w:val="00D051D0"/>
    <w:rsid w:val="00D05251"/>
    <w:rsid w:val="00D052BA"/>
    <w:rsid w:val="00D052C7"/>
    <w:rsid w:val="00D05726"/>
    <w:rsid w:val="00D0575D"/>
    <w:rsid w:val="00D0583A"/>
    <w:rsid w:val="00D05C4C"/>
    <w:rsid w:val="00D05CAF"/>
    <w:rsid w:val="00D05EDA"/>
    <w:rsid w:val="00D064F0"/>
    <w:rsid w:val="00D06694"/>
    <w:rsid w:val="00D06B0E"/>
    <w:rsid w:val="00D06C39"/>
    <w:rsid w:val="00D06CF7"/>
    <w:rsid w:val="00D06E32"/>
    <w:rsid w:val="00D06ECE"/>
    <w:rsid w:val="00D06FCF"/>
    <w:rsid w:val="00D07010"/>
    <w:rsid w:val="00D07186"/>
    <w:rsid w:val="00D0747E"/>
    <w:rsid w:val="00D07542"/>
    <w:rsid w:val="00D075C6"/>
    <w:rsid w:val="00D076EB"/>
    <w:rsid w:val="00D078FE"/>
    <w:rsid w:val="00D07C04"/>
    <w:rsid w:val="00D07E2D"/>
    <w:rsid w:val="00D1005C"/>
    <w:rsid w:val="00D10070"/>
    <w:rsid w:val="00D101C4"/>
    <w:rsid w:val="00D1028D"/>
    <w:rsid w:val="00D1034C"/>
    <w:rsid w:val="00D103E1"/>
    <w:rsid w:val="00D105D0"/>
    <w:rsid w:val="00D10848"/>
    <w:rsid w:val="00D10890"/>
    <w:rsid w:val="00D10B52"/>
    <w:rsid w:val="00D10C54"/>
    <w:rsid w:val="00D10D70"/>
    <w:rsid w:val="00D10E34"/>
    <w:rsid w:val="00D10E6B"/>
    <w:rsid w:val="00D10E75"/>
    <w:rsid w:val="00D10EF9"/>
    <w:rsid w:val="00D10F90"/>
    <w:rsid w:val="00D111C2"/>
    <w:rsid w:val="00D114D3"/>
    <w:rsid w:val="00D117FF"/>
    <w:rsid w:val="00D118E9"/>
    <w:rsid w:val="00D119EC"/>
    <w:rsid w:val="00D11E2B"/>
    <w:rsid w:val="00D1214B"/>
    <w:rsid w:val="00D1225A"/>
    <w:rsid w:val="00D123D4"/>
    <w:rsid w:val="00D123EA"/>
    <w:rsid w:val="00D1242B"/>
    <w:rsid w:val="00D12968"/>
    <w:rsid w:val="00D12A75"/>
    <w:rsid w:val="00D12ADE"/>
    <w:rsid w:val="00D12B2B"/>
    <w:rsid w:val="00D12BFE"/>
    <w:rsid w:val="00D12C2C"/>
    <w:rsid w:val="00D12CE2"/>
    <w:rsid w:val="00D12D7A"/>
    <w:rsid w:val="00D12FB3"/>
    <w:rsid w:val="00D1318E"/>
    <w:rsid w:val="00D133E1"/>
    <w:rsid w:val="00D13824"/>
    <w:rsid w:val="00D1382F"/>
    <w:rsid w:val="00D138F0"/>
    <w:rsid w:val="00D13909"/>
    <w:rsid w:val="00D13A04"/>
    <w:rsid w:val="00D13B47"/>
    <w:rsid w:val="00D13CDA"/>
    <w:rsid w:val="00D13E49"/>
    <w:rsid w:val="00D13FAE"/>
    <w:rsid w:val="00D14086"/>
    <w:rsid w:val="00D14356"/>
    <w:rsid w:val="00D144F4"/>
    <w:rsid w:val="00D145F3"/>
    <w:rsid w:val="00D1460C"/>
    <w:rsid w:val="00D147CD"/>
    <w:rsid w:val="00D147F0"/>
    <w:rsid w:val="00D1495B"/>
    <w:rsid w:val="00D14A17"/>
    <w:rsid w:val="00D14A94"/>
    <w:rsid w:val="00D14B31"/>
    <w:rsid w:val="00D14CAD"/>
    <w:rsid w:val="00D14E90"/>
    <w:rsid w:val="00D14F40"/>
    <w:rsid w:val="00D14FA1"/>
    <w:rsid w:val="00D14FB9"/>
    <w:rsid w:val="00D1509D"/>
    <w:rsid w:val="00D150CF"/>
    <w:rsid w:val="00D15159"/>
    <w:rsid w:val="00D151B0"/>
    <w:rsid w:val="00D151D3"/>
    <w:rsid w:val="00D152DD"/>
    <w:rsid w:val="00D15339"/>
    <w:rsid w:val="00D153B7"/>
    <w:rsid w:val="00D15472"/>
    <w:rsid w:val="00D154AA"/>
    <w:rsid w:val="00D15544"/>
    <w:rsid w:val="00D1561D"/>
    <w:rsid w:val="00D1590C"/>
    <w:rsid w:val="00D15BD4"/>
    <w:rsid w:val="00D15D9C"/>
    <w:rsid w:val="00D16014"/>
    <w:rsid w:val="00D16565"/>
    <w:rsid w:val="00D16626"/>
    <w:rsid w:val="00D16628"/>
    <w:rsid w:val="00D16652"/>
    <w:rsid w:val="00D16668"/>
    <w:rsid w:val="00D16AA5"/>
    <w:rsid w:val="00D16AC1"/>
    <w:rsid w:val="00D16AC7"/>
    <w:rsid w:val="00D16B8C"/>
    <w:rsid w:val="00D16C08"/>
    <w:rsid w:val="00D16E07"/>
    <w:rsid w:val="00D16F60"/>
    <w:rsid w:val="00D17077"/>
    <w:rsid w:val="00D1710F"/>
    <w:rsid w:val="00D171B0"/>
    <w:rsid w:val="00D1728B"/>
    <w:rsid w:val="00D17425"/>
    <w:rsid w:val="00D17644"/>
    <w:rsid w:val="00D1767A"/>
    <w:rsid w:val="00D1788F"/>
    <w:rsid w:val="00D17956"/>
    <w:rsid w:val="00D17AB4"/>
    <w:rsid w:val="00D17AF8"/>
    <w:rsid w:val="00D17B32"/>
    <w:rsid w:val="00D17D6E"/>
    <w:rsid w:val="00D17DCD"/>
    <w:rsid w:val="00D17FA2"/>
    <w:rsid w:val="00D204D7"/>
    <w:rsid w:val="00D20741"/>
    <w:rsid w:val="00D207AA"/>
    <w:rsid w:val="00D2082E"/>
    <w:rsid w:val="00D209BC"/>
    <w:rsid w:val="00D20A2A"/>
    <w:rsid w:val="00D20B2E"/>
    <w:rsid w:val="00D20BDA"/>
    <w:rsid w:val="00D20C3A"/>
    <w:rsid w:val="00D20DB1"/>
    <w:rsid w:val="00D210A8"/>
    <w:rsid w:val="00D21228"/>
    <w:rsid w:val="00D213E9"/>
    <w:rsid w:val="00D21676"/>
    <w:rsid w:val="00D21801"/>
    <w:rsid w:val="00D21811"/>
    <w:rsid w:val="00D21858"/>
    <w:rsid w:val="00D21A27"/>
    <w:rsid w:val="00D21A6A"/>
    <w:rsid w:val="00D21A77"/>
    <w:rsid w:val="00D21AC8"/>
    <w:rsid w:val="00D21E06"/>
    <w:rsid w:val="00D21EEA"/>
    <w:rsid w:val="00D22061"/>
    <w:rsid w:val="00D22078"/>
    <w:rsid w:val="00D220AA"/>
    <w:rsid w:val="00D2210C"/>
    <w:rsid w:val="00D2213D"/>
    <w:rsid w:val="00D2229B"/>
    <w:rsid w:val="00D22368"/>
    <w:rsid w:val="00D223D6"/>
    <w:rsid w:val="00D22416"/>
    <w:rsid w:val="00D2271A"/>
    <w:rsid w:val="00D22753"/>
    <w:rsid w:val="00D22985"/>
    <w:rsid w:val="00D2299D"/>
    <w:rsid w:val="00D22B93"/>
    <w:rsid w:val="00D22BA9"/>
    <w:rsid w:val="00D22DB0"/>
    <w:rsid w:val="00D22E06"/>
    <w:rsid w:val="00D22F3E"/>
    <w:rsid w:val="00D22F5A"/>
    <w:rsid w:val="00D22FAD"/>
    <w:rsid w:val="00D22FAF"/>
    <w:rsid w:val="00D23369"/>
    <w:rsid w:val="00D2340C"/>
    <w:rsid w:val="00D2355A"/>
    <w:rsid w:val="00D23611"/>
    <w:rsid w:val="00D236D2"/>
    <w:rsid w:val="00D239EB"/>
    <w:rsid w:val="00D23BBE"/>
    <w:rsid w:val="00D23C2C"/>
    <w:rsid w:val="00D23EA8"/>
    <w:rsid w:val="00D23EDE"/>
    <w:rsid w:val="00D244BD"/>
    <w:rsid w:val="00D2457A"/>
    <w:rsid w:val="00D2463F"/>
    <w:rsid w:val="00D246F2"/>
    <w:rsid w:val="00D24C6E"/>
    <w:rsid w:val="00D24F85"/>
    <w:rsid w:val="00D25062"/>
    <w:rsid w:val="00D251C4"/>
    <w:rsid w:val="00D251CB"/>
    <w:rsid w:val="00D25216"/>
    <w:rsid w:val="00D25465"/>
    <w:rsid w:val="00D2587E"/>
    <w:rsid w:val="00D25999"/>
    <w:rsid w:val="00D259F3"/>
    <w:rsid w:val="00D25AF4"/>
    <w:rsid w:val="00D25B79"/>
    <w:rsid w:val="00D25BB9"/>
    <w:rsid w:val="00D25C22"/>
    <w:rsid w:val="00D25EA8"/>
    <w:rsid w:val="00D25FD9"/>
    <w:rsid w:val="00D25FF2"/>
    <w:rsid w:val="00D261D6"/>
    <w:rsid w:val="00D2657B"/>
    <w:rsid w:val="00D26806"/>
    <w:rsid w:val="00D268BF"/>
    <w:rsid w:val="00D26AE2"/>
    <w:rsid w:val="00D26C97"/>
    <w:rsid w:val="00D26DF3"/>
    <w:rsid w:val="00D26E37"/>
    <w:rsid w:val="00D26E5E"/>
    <w:rsid w:val="00D26E6D"/>
    <w:rsid w:val="00D26F97"/>
    <w:rsid w:val="00D26F9F"/>
    <w:rsid w:val="00D27105"/>
    <w:rsid w:val="00D27180"/>
    <w:rsid w:val="00D2720A"/>
    <w:rsid w:val="00D272E2"/>
    <w:rsid w:val="00D27372"/>
    <w:rsid w:val="00D275C7"/>
    <w:rsid w:val="00D277BF"/>
    <w:rsid w:val="00D278F0"/>
    <w:rsid w:val="00D27927"/>
    <w:rsid w:val="00D279AB"/>
    <w:rsid w:val="00D27A92"/>
    <w:rsid w:val="00D27AE6"/>
    <w:rsid w:val="00D3023C"/>
    <w:rsid w:val="00D30443"/>
    <w:rsid w:val="00D304D4"/>
    <w:rsid w:val="00D304E5"/>
    <w:rsid w:val="00D304F7"/>
    <w:rsid w:val="00D305A1"/>
    <w:rsid w:val="00D3070B"/>
    <w:rsid w:val="00D30844"/>
    <w:rsid w:val="00D30961"/>
    <w:rsid w:val="00D30B13"/>
    <w:rsid w:val="00D30B78"/>
    <w:rsid w:val="00D30E72"/>
    <w:rsid w:val="00D31362"/>
    <w:rsid w:val="00D3145B"/>
    <w:rsid w:val="00D3169F"/>
    <w:rsid w:val="00D316D2"/>
    <w:rsid w:val="00D3172D"/>
    <w:rsid w:val="00D3176C"/>
    <w:rsid w:val="00D3181F"/>
    <w:rsid w:val="00D318E4"/>
    <w:rsid w:val="00D31A6B"/>
    <w:rsid w:val="00D31D14"/>
    <w:rsid w:val="00D31DBB"/>
    <w:rsid w:val="00D31E74"/>
    <w:rsid w:val="00D31EC7"/>
    <w:rsid w:val="00D321EF"/>
    <w:rsid w:val="00D32330"/>
    <w:rsid w:val="00D3239E"/>
    <w:rsid w:val="00D323C3"/>
    <w:rsid w:val="00D32A7B"/>
    <w:rsid w:val="00D32AE7"/>
    <w:rsid w:val="00D32AF4"/>
    <w:rsid w:val="00D32BBE"/>
    <w:rsid w:val="00D32C31"/>
    <w:rsid w:val="00D32FA5"/>
    <w:rsid w:val="00D3310C"/>
    <w:rsid w:val="00D33319"/>
    <w:rsid w:val="00D33555"/>
    <w:rsid w:val="00D33696"/>
    <w:rsid w:val="00D3373C"/>
    <w:rsid w:val="00D337B9"/>
    <w:rsid w:val="00D3384F"/>
    <w:rsid w:val="00D33878"/>
    <w:rsid w:val="00D3388D"/>
    <w:rsid w:val="00D33B6C"/>
    <w:rsid w:val="00D33C5D"/>
    <w:rsid w:val="00D33C6D"/>
    <w:rsid w:val="00D33C9D"/>
    <w:rsid w:val="00D33DAB"/>
    <w:rsid w:val="00D33FE4"/>
    <w:rsid w:val="00D341FE"/>
    <w:rsid w:val="00D34273"/>
    <w:rsid w:val="00D344E4"/>
    <w:rsid w:val="00D3454C"/>
    <w:rsid w:val="00D3481D"/>
    <w:rsid w:val="00D34A3E"/>
    <w:rsid w:val="00D34C22"/>
    <w:rsid w:val="00D34D1F"/>
    <w:rsid w:val="00D34EB0"/>
    <w:rsid w:val="00D34ECF"/>
    <w:rsid w:val="00D350BF"/>
    <w:rsid w:val="00D350E8"/>
    <w:rsid w:val="00D35179"/>
    <w:rsid w:val="00D355F3"/>
    <w:rsid w:val="00D35838"/>
    <w:rsid w:val="00D359AC"/>
    <w:rsid w:val="00D35DB2"/>
    <w:rsid w:val="00D36271"/>
    <w:rsid w:val="00D3629D"/>
    <w:rsid w:val="00D363FB"/>
    <w:rsid w:val="00D365B8"/>
    <w:rsid w:val="00D366A8"/>
    <w:rsid w:val="00D3671B"/>
    <w:rsid w:val="00D36846"/>
    <w:rsid w:val="00D3691B"/>
    <w:rsid w:val="00D36998"/>
    <w:rsid w:val="00D36A2B"/>
    <w:rsid w:val="00D36C71"/>
    <w:rsid w:val="00D36C86"/>
    <w:rsid w:val="00D36D97"/>
    <w:rsid w:val="00D36E6D"/>
    <w:rsid w:val="00D371AD"/>
    <w:rsid w:val="00D37508"/>
    <w:rsid w:val="00D37512"/>
    <w:rsid w:val="00D3760D"/>
    <w:rsid w:val="00D377E5"/>
    <w:rsid w:val="00D377E7"/>
    <w:rsid w:val="00D37825"/>
    <w:rsid w:val="00D37BB8"/>
    <w:rsid w:val="00D37E4D"/>
    <w:rsid w:val="00D37E55"/>
    <w:rsid w:val="00D37F45"/>
    <w:rsid w:val="00D4001E"/>
    <w:rsid w:val="00D400B7"/>
    <w:rsid w:val="00D4011B"/>
    <w:rsid w:val="00D40231"/>
    <w:rsid w:val="00D40288"/>
    <w:rsid w:val="00D404D5"/>
    <w:rsid w:val="00D4056E"/>
    <w:rsid w:val="00D40ABA"/>
    <w:rsid w:val="00D40BF6"/>
    <w:rsid w:val="00D40E69"/>
    <w:rsid w:val="00D41038"/>
    <w:rsid w:val="00D4105E"/>
    <w:rsid w:val="00D411B0"/>
    <w:rsid w:val="00D4124F"/>
    <w:rsid w:val="00D41354"/>
    <w:rsid w:val="00D41744"/>
    <w:rsid w:val="00D41750"/>
    <w:rsid w:val="00D41751"/>
    <w:rsid w:val="00D417E4"/>
    <w:rsid w:val="00D41845"/>
    <w:rsid w:val="00D419BC"/>
    <w:rsid w:val="00D41A58"/>
    <w:rsid w:val="00D41A71"/>
    <w:rsid w:val="00D41A82"/>
    <w:rsid w:val="00D41BBD"/>
    <w:rsid w:val="00D41CEA"/>
    <w:rsid w:val="00D41E3C"/>
    <w:rsid w:val="00D41F18"/>
    <w:rsid w:val="00D42025"/>
    <w:rsid w:val="00D42445"/>
    <w:rsid w:val="00D424CF"/>
    <w:rsid w:val="00D42551"/>
    <w:rsid w:val="00D42607"/>
    <w:rsid w:val="00D426F1"/>
    <w:rsid w:val="00D42965"/>
    <w:rsid w:val="00D42984"/>
    <w:rsid w:val="00D42A9C"/>
    <w:rsid w:val="00D42ADA"/>
    <w:rsid w:val="00D42D8D"/>
    <w:rsid w:val="00D42E24"/>
    <w:rsid w:val="00D42ECF"/>
    <w:rsid w:val="00D42F15"/>
    <w:rsid w:val="00D430E8"/>
    <w:rsid w:val="00D4339C"/>
    <w:rsid w:val="00D433A3"/>
    <w:rsid w:val="00D43557"/>
    <w:rsid w:val="00D43A1F"/>
    <w:rsid w:val="00D43A24"/>
    <w:rsid w:val="00D43BAE"/>
    <w:rsid w:val="00D43C9A"/>
    <w:rsid w:val="00D43DC5"/>
    <w:rsid w:val="00D43F10"/>
    <w:rsid w:val="00D43FA2"/>
    <w:rsid w:val="00D44036"/>
    <w:rsid w:val="00D441EC"/>
    <w:rsid w:val="00D4442E"/>
    <w:rsid w:val="00D44690"/>
    <w:rsid w:val="00D446CE"/>
    <w:rsid w:val="00D44873"/>
    <w:rsid w:val="00D449F6"/>
    <w:rsid w:val="00D44A44"/>
    <w:rsid w:val="00D44E81"/>
    <w:rsid w:val="00D44F2B"/>
    <w:rsid w:val="00D4566A"/>
    <w:rsid w:val="00D456AD"/>
    <w:rsid w:val="00D45976"/>
    <w:rsid w:val="00D45BBF"/>
    <w:rsid w:val="00D45BE3"/>
    <w:rsid w:val="00D45CBE"/>
    <w:rsid w:val="00D45D8A"/>
    <w:rsid w:val="00D46090"/>
    <w:rsid w:val="00D460F9"/>
    <w:rsid w:val="00D46105"/>
    <w:rsid w:val="00D46107"/>
    <w:rsid w:val="00D461CE"/>
    <w:rsid w:val="00D46350"/>
    <w:rsid w:val="00D46B03"/>
    <w:rsid w:val="00D46B2E"/>
    <w:rsid w:val="00D46CF1"/>
    <w:rsid w:val="00D46CFF"/>
    <w:rsid w:val="00D46D2D"/>
    <w:rsid w:val="00D46D2E"/>
    <w:rsid w:val="00D46FD4"/>
    <w:rsid w:val="00D47089"/>
    <w:rsid w:val="00D47124"/>
    <w:rsid w:val="00D47397"/>
    <w:rsid w:val="00D473B8"/>
    <w:rsid w:val="00D473EF"/>
    <w:rsid w:val="00D476A0"/>
    <w:rsid w:val="00D476A9"/>
    <w:rsid w:val="00D477AC"/>
    <w:rsid w:val="00D477C2"/>
    <w:rsid w:val="00D477DC"/>
    <w:rsid w:val="00D47835"/>
    <w:rsid w:val="00D47CB9"/>
    <w:rsid w:val="00D47DC7"/>
    <w:rsid w:val="00D47DF3"/>
    <w:rsid w:val="00D47EFD"/>
    <w:rsid w:val="00D47F41"/>
    <w:rsid w:val="00D50060"/>
    <w:rsid w:val="00D5017A"/>
    <w:rsid w:val="00D503BA"/>
    <w:rsid w:val="00D503E6"/>
    <w:rsid w:val="00D50522"/>
    <w:rsid w:val="00D505CC"/>
    <w:rsid w:val="00D506F7"/>
    <w:rsid w:val="00D507AB"/>
    <w:rsid w:val="00D50854"/>
    <w:rsid w:val="00D50899"/>
    <w:rsid w:val="00D50B77"/>
    <w:rsid w:val="00D50F01"/>
    <w:rsid w:val="00D50F0D"/>
    <w:rsid w:val="00D51033"/>
    <w:rsid w:val="00D51153"/>
    <w:rsid w:val="00D51154"/>
    <w:rsid w:val="00D51158"/>
    <w:rsid w:val="00D514D5"/>
    <w:rsid w:val="00D5151E"/>
    <w:rsid w:val="00D516A3"/>
    <w:rsid w:val="00D516D7"/>
    <w:rsid w:val="00D516E0"/>
    <w:rsid w:val="00D518F4"/>
    <w:rsid w:val="00D51A73"/>
    <w:rsid w:val="00D51A80"/>
    <w:rsid w:val="00D51BE6"/>
    <w:rsid w:val="00D51BF5"/>
    <w:rsid w:val="00D51D47"/>
    <w:rsid w:val="00D51E2C"/>
    <w:rsid w:val="00D51F94"/>
    <w:rsid w:val="00D52009"/>
    <w:rsid w:val="00D52065"/>
    <w:rsid w:val="00D52450"/>
    <w:rsid w:val="00D5271E"/>
    <w:rsid w:val="00D528F8"/>
    <w:rsid w:val="00D529CA"/>
    <w:rsid w:val="00D5300A"/>
    <w:rsid w:val="00D53058"/>
    <w:rsid w:val="00D53088"/>
    <w:rsid w:val="00D530CF"/>
    <w:rsid w:val="00D532EC"/>
    <w:rsid w:val="00D533B0"/>
    <w:rsid w:val="00D534F8"/>
    <w:rsid w:val="00D5354D"/>
    <w:rsid w:val="00D535C0"/>
    <w:rsid w:val="00D535C1"/>
    <w:rsid w:val="00D537DC"/>
    <w:rsid w:val="00D53801"/>
    <w:rsid w:val="00D53B0D"/>
    <w:rsid w:val="00D53B40"/>
    <w:rsid w:val="00D53C19"/>
    <w:rsid w:val="00D53CB9"/>
    <w:rsid w:val="00D53D12"/>
    <w:rsid w:val="00D53F9F"/>
    <w:rsid w:val="00D54017"/>
    <w:rsid w:val="00D54129"/>
    <w:rsid w:val="00D54158"/>
    <w:rsid w:val="00D54290"/>
    <w:rsid w:val="00D54309"/>
    <w:rsid w:val="00D54362"/>
    <w:rsid w:val="00D5459A"/>
    <w:rsid w:val="00D54611"/>
    <w:rsid w:val="00D5484F"/>
    <w:rsid w:val="00D5490F"/>
    <w:rsid w:val="00D549E6"/>
    <w:rsid w:val="00D549FE"/>
    <w:rsid w:val="00D54B56"/>
    <w:rsid w:val="00D54F30"/>
    <w:rsid w:val="00D54F45"/>
    <w:rsid w:val="00D55200"/>
    <w:rsid w:val="00D55335"/>
    <w:rsid w:val="00D55788"/>
    <w:rsid w:val="00D558E3"/>
    <w:rsid w:val="00D55A61"/>
    <w:rsid w:val="00D55BEE"/>
    <w:rsid w:val="00D55FB4"/>
    <w:rsid w:val="00D5609A"/>
    <w:rsid w:val="00D565C3"/>
    <w:rsid w:val="00D565D8"/>
    <w:rsid w:val="00D565EB"/>
    <w:rsid w:val="00D56659"/>
    <w:rsid w:val="00D5679A"/>
    <w:rsid w:val="00D567EE"/>
    <w:rsid w:val="00D5688B"/>
    <w:rsid w:val="00D568BC"/>
    <w:rsid w:val="00D56AB9"/>
    <w:rsid w:val="00D56AC8"/>
    <w:rsid w:val="00D56AFF"/>
    <w:rsid w:val="00D56B79"/>
    <w:rsid w:val="00D56B92"/>
    <w:rsid w:val="00D56C81"/>
    <w:rsid w:val="00D5700F"/>
    <w:rsid w:val="00D57043"/>
    <w:rsid w:val="00D5709D"/>
    <w:rsid w:val="00D57245"/>
    <w:rsid w:val="00D57276"/>
    <w:rsid w:val="00D57412"/>
    <w:rsid w:val="00D574F9"/>
    <w:rsid w:val="00D5762A"/>
    <w:rsid w:val="00D5775E"/>
    <w:rsid w:val="00D57787"/>
    <w:rsid w:val="00D57832"/>
    <w:rsid w:val="00D57DF2"/>
    <w:rsid w:val="00D57E92"/>
    <w:rsid w:val="00D57F56"/>
    <w:rsid w:val="00D60044"/>
    <w:rsid w:val="00D60125"/>
    <w:rsid w:val="00D60192"/>
    <w:rsid w:val="00D60418"/>
    <w:rsid w:val="00D60431"/>
    <w:rsid w:val="00D605CD"/>
    <w:rsid w:val="00D60648"/>
    <w:rsid w:val="00D606AE"/>
    <w:rsid w:val="00D60795"/>
    <w:rsid w:val="00D607CF"/>
    <w:rsid w:val="00D608D2"/>
    <w:rsid w:val="00D609D3"/>
    <w:rsid w:val="00D60AAB"/>
    <w:rsid w:val="00D60B3B"/>
    <w:rsid w:val="00D60DAA"/>
    <w:rsid w:val="00D60DC4"/>
    <w:rsid w:val="00D60FE0"/>
    <w:rsid w:val="00D611B8"/>
    <w:rsid w:val="00D611EB"/>
    <w:rsid w:val="00D611F6"/>
    <w:rsid w:val="00D61266"/>
    <w:rsid w:val="00D61330"/>
    <w:rsid w:val="00D61643"/>
    <w:rsid w:val="00D616C4"/>
    <w:rsid w:val="00D617E8"/>
    <w:rsid w:val="00D61843"/>
    <w:rsid w:val="00D61876"/>
    <w:rsid w:val="00D61A50"/>
    <w:rsid w:val="00D61ABC"/>
    <w:rsid w:val="00D61B92"/>
    <w:rsid w:val="00D61D13"/>
    <w:rsid w:val="00D61D19"/>
    <w:rsid w:val="00D61DCC"/>
    <w:rsid w:val="00D61EDB"/>
    <w:rsid w:val="00D61F14"/>
    <w:rsid w:val="00D62021"/>
    <w:rsid w:val="00D6210F"/>
    <w:rsid w:val="00D621A2"/>
    <w:rsid w:val="00D62A8C"/>
    <w:rsid w:val="00D62EE1"/>
    <w:rsid w:val="00D62FAE"/>
    <w:rsid w:val="00D62FC5"/>
    <w:rsid w:val="00D63054"/>
    <w:rsid w:val="00D630C0"/>
    <w:rsid w:val="00D63275"/>
    <w:rsid w:val="00D63654"/>
    <w:rsid w:val="00D638E0"/>
    <w:rsid w:val="00D63A34"/>
    <w:rsid w:val="00D63B6F"/>
    <w:rsid w:val="00D63D53"/>
    <w:rsid w:val="00D63FC0"/>
    <w:rsid w:val="00D6406C"/>
    <w:rsid w:val="00D64159"/>
    <w:rsid w:val="00D64625"/>
    <w:rsid w:val="00D646FC"/>
    <w:rsid w:val="00D6472C"/>
    <w:rsid w:val="00D64883"/>
    <w:rsid w:val="00D64BE4"/>
    <w:rsid w:val="00D64ED4"/>
    <w:rsid w:val="00D65039"/>
    <w:rsid w:val="00D6511E"/>
    <w:rsid w:val="00D6541D"/>
    <w:rsid w:val="00D6554D"/>
    <w:rsid w:val="00D65756"/>
    <w:rsid w:val="00D65943"/>
    <w:rsid w:val="00D65B51"/>
    <w:rsid w:val="00D65C6B"/>
    <w:rsid w:val="00D65C88"/>
    <w:rsid w:val="00D65CF5"/>
    <w:rsid w:val="00D65E25"/>
    <w:rsid w:val="00D65EB5"/>
    <w:rsid w:val="00D65FF4"/>
    <w:rsid w:val="00D660E6"/>
    <w:rsid w:val="00D6613D"/>
    <w:rsid w:val="00D661A1"/>
    <w:rsid w:val="00D66250"/>
    <w:rsid w:val="00D663C8"/>
    <w:rsid w:val="00D6642A"/>
    <w:rsid w:val="00D665F3"/>
    <w:rsid w:val="00D66A32"/>
    <w:rsid w:val="00D66B04"/>
    <w:rsid w:val="00D67423"/>
    <w:rsid w:val="00D674BE"/>
    <w:rsid w:val="00D676E9"/>
    <w:rsid w:val="00D6784E"/>
    <w:rsid w:val="00D6796B"/>
    <w:rsid w:val="00D679A9"/>
    <w:rsid w:val="00D679E0"/>
    <w:rsid w:val="00D67BAC"/>
    <w:rsid w:val="00D67C7E"/>
    <w:rsid w:val="00D67CC3"/>
    <w:rsid w:val="00D67CCD"/>
    <w:rsid w:val="00D67CD1"/>
    <w:rsid w:val="00D67D00"/>
    <w:rsid w:val="00D67D35"/>
    <w:rsid w:val="00D67EE7"/>
    <w:rsid w:val="00D67F3C"/>
    <w:rsid w:val="00D700B3"/>
    <w:rsid w:val="00D70135"/>
    <w:rsid w:val="00D703F4"/>
    <w:rsid w:val="00D70760"/>
    <w:rsid w:val="00D70855"/>
    <w:rsid w:val="00D70908"/>
    <w:rsid w:val="00D70999"/>
    <w:rsid w:val="00D70A26"/>
    <w:rsid w:val="00D70B69"/>
    <w:rsid w:val="00D70CC7"/>
    <w:rsid w:val="00D70D55"/>
    <w:rsid w:val="00D70D5C"/>
    <w:rsid w:val="00D70E56"/>
    <w:rsid w:val="00D70E7E"/>
    <w:rsid w:val="00D7116D"/>
    <w:rsid w:val="00D71313"/>
    <w:rsid w:val="00D713BB"/>
    <w:rsid w:val="00D713F6"/>
    <w:rsid w:val="00D71592"/>
    <w:rsid w:val="00D7167C"/>
    <w:rsid w:val="00D716BF"/>
    <w:rsid w:val="00D7173F"/>
    <w:rsid w:val="00D71800"/>
    <w:rsid w:val="00D718DB"/>
    <w:rsid w:val="00D7198E"/>
    <w:rsid w:val="00D719CA"/>
    <w:rsid w:val="00D719CE"/>
    <w:rsid w:val="00D71AD1"/>
    <w:rsid w:val="00D71B20"/>
    <w:rsid w:val="00D71B41"/>
    <w:rsid w:val="00D71B5F"/>
    <w:rsid w:val="00D71C38"/>
    <w:rsid w:val="00D71D11"/>
    <w:rsid w:val="00D71DF4"/>
    <w:rsid w:val="00D71E21"/>
    <w:rsid w:val="00D71F3B"/>
    <w:rsid w:val="00D71FE4"/>
    <w:rsid w:val="00D72000"/>
    <w:rsid w:val="00D72075"/>
    <w:rsid w:val="00D72181"/>
    <w:rsid w:val="00D721D5"/>
    <w:rsid w:val="00D722E8"/>
    <w:rsid w:val="00D72381"/>
    <w:rsid w:val="00D724C1"/>
    <w:rsid w:val="00D725F2"/>
    <w:rsid w:val="00D72852"/>
    <w:rsid w:val="00D72866"/>
    <w:rsid w:val="00D72980"/>
    <w:rsid w:val="00D72B9D"/>
    <w:rsid w:val="00D72BA6"/>
    <w:rsid w:val="00D72CAD"/>
    <w:rsid w:val="00D73205"/>
    <w:rsid w:val="00D73343"/>
    <w:rsid w:val="00D73483"/>
    <w:rsid w:val="00D73504"/>
    <w:rsid w:val="00D73524"/>
    <w:rsid w:val="00D7368D"/>
    <w:rsid w:val="00D736AB"/>
    <w:rsid w:val="00D737F1"/>
    <w:rsid w:val="00D73805"/>
    <w:rsid w:val="00D7396F"/>
    <w:rsid w:val="00D73B72"/>
    <w:rsid w:val="00D73BD5"/>
    <w:rsid w:val="00D73E85"/>
    <w:rsid w:val="00D73E92"/>
    <w:rsid w:val="00D73FD9"/>
    <w:rsid w:val="00D74059"/>
    <w:rsid w:val="00D7405F"/>
    <w:rsid w:val="00D740D0"/>
    <w:rsid w:val="00D741CE"/>
    <w:rsid w:val="00D74205"/>
    <w:rsid w:val="00D7422F"/>
    <w:rsid w:val="00D743E0"/>
    <w:rsid w:val="00D747B4"/>
    <w:rsid w:val="00D747FA"/>
    <w:rsid w:val="00D748BF"/>
    <w:rsid w:val="00D748D2"/>
    <w:rsid w:val="00D74BC3"/>
    <w:rsid w:val="00D74C73"/>
    <w:rsid w:val="00D74F72"/>
    <w:rsid w:val="00D7523E"/>
    <w:rsid w:val="00D7534B"/>
    <w:rsid w:val="00D7539E"/>
    <w:rsid w:val="00D75410"/>
    <w:rsid w:val="00D75498"/>
    <w:rsid w:val="00D75561"/>
    <w:rsid w:val="00D75594"/>
    <w:rsid w:val="00D75713"/>
    <w:rsid w:val="00D75938"/>
    <w:rsid w:val="00D75963"/>
    <w:rsid w:val="00D75BCA"/>
    <w:rsid w:val="00D75EA2"/>
    <w:rsid w:val="00D75EB0"/>
    <w:rsid w:val="00D75ED5"/>
    <w:rsid w:val="00D75F0D"/>
    <w:rsid w:val="00D75F1E"/>
    <w:rsid w:val="00D75FA8"/>
    <w:rsid w:val="00D76152"/>
    <w:rsid w:val="00D76225"/>
    <w:rsid w:val="00D76294"/>
    <w:rsid w:val="00D76471"/>
    <w:rsid w:val="00D76558"/>
    <w:rsid w:val="00D76593"/>
    <w:rsid w:val="00D767CF"/>
    <w:rsid w:val="00D76A33"/>
    <w:rsid w:val="00D76A9B"/>
    <w:rsid w:val="00D770C2"/>
    <w:rsid w:val="00D774B1"/>
    <w:rsid w:val="00D7773D"/>
    <w:rsid w:val="00D77789"/>
    <w:rsid w:val="00D777A0"/>
    <w:rsid w:val="00D77BEB"/>
    <w:rsid w:val="00D77C12"/>
    <w:rsid w:val="00D77CC4"/>
    <w:rsid w:val="00D77E21"/>
    <w:rsid w:val="00D77E90"/>
    <w:rsid w:val="00D77F4F"/>
    <w:rsid w:val="00D77F9C"/>
    <w:rsid w:val="00D77FE6"/>
    <w:rsid w:val="00D805EC"/>
    <w:rsid w:val="00D80710"/>
    <w:rsid w:val="00D80843"/>
    <w:rsid w:val="00D81158"/>
    <w:rsid w:val="00D81217"/>
    <w:rsid w:val="00D81249"/>
    <w:rsid w:val="00D8124F"/>
    <w:rsid w:val="00D81365"/>
    <w:rsid w:val="00D814D1"/>
    <w:rsid w:val="00D81767"/>
    <w:rsid w:val="00D81AE2"/>
    <w:rsid w:val="00D81AF1"/>
    <w:rsid w:val="00D81CC2"/>
    <w:rsid w:val="00D81F60"/>
    <w:rsid w:val="00D81FB6"/>
    <w:rsid w:val="00D820EC"/>
    <w:rsid w:val="00D82131"/>
    <w:rsid w:val="00D82203"/>
    <w:rsid w:val="00D822DB"/>
    <w:rsid w:val="00D824E9"/>
    <w:rsid w:val="00D82639"/>
    <w:rsid w:val="00D829D6"/>
    <w:rsid w:val="00D82A18"/>
    <w:rsid w:val="00D82A74"/>
    <w:rsid w:val="00D82A9F"/>
    <w:rsid w:val="00D82E87"/>
    <w:rsid w:val="00D83635"/>
    <w:rsid w:val="00D836D6"/>
    <w:rsid w:val="00D837F4"/>
    <w:rsid w:val="00D8380A"/>
    <w:rsid w:val="00D83965"/>
    <w:rsid w:val="00D839B5"/>
    <w:rsid w:val="00D83A30"/>
    <w:rsid w:val="00D83BFD"/>
    <w:rsid w:val="00D83D09"/>
    <w:rsid w:val="00D83F00"/>
    <w:rsid w:val="00D842DA"/>
    <w:rsid w:val="00D84305"/>
    <w:rsid w:val="00D843A3"/>
    <w:rsid w:val="00D843D7"/>
    <w:rsid w:val="00D843FB"/>
    <w:rsid w:val="00D8442A"/>
    <w:rsid w:val="00D846CD"/>
    <w:rsid w:val="00D8492D"/>
    <w:rsid w:val="00D849F2"/>
    <w:rsid w:val="00D84A8D"/>
    <w:rsid w:val="00D84D2B"/>
    <w:rsid w:val="00D84E4B"/>
    <w:rsid w:val="00D84ECA"/>
    <w:rsid w:val="00D84F67"/>
    <w:rsid w:val="00D854A3"/>
    <w:rsid w:val="00D855DE"/>
    <w:rsid w:val="00D8561E"/>
    <w:rsid w:val="00D85AB2"/>
    <w:rsid w:val="00D85B59"/>
    <w:rsid w:val="00D85C84"/>
    <w:rsid w:val="00D85DEF"/>
    <w:rsid w:val="00D85E17"/>
    <w:rsid w:val="00D85E36"/>
    <w:rsid w:val="00D85EB9"/>
    <w:rsid w:val="00D85EC8"/>
    <w:rsid w:val="00D85F2C"/>
    <w:rsid w:val="00D860D6"/>
    <w:rsid w:val="00D8613C"/>
    <w:rsid w:val="00D861A9"/>
    <w:rsid w:val="00D861E1"/>
    <w:rsid w:val="00D86226"/>
    <w:rsid w:val="00D8665F"/>
    <w:rsid w:val="00D8689B"/>
    <w:rsid w:val="00D86908"/>
    <w:rsid w:val="00D86BE9"/>
    <w:rsid w:val="00D86C06"/>
    <w:rsid w:val="00D86CB9"/>
    <w:rsid w:val="00D86DDF"/>
    <w:rsid w:val="00D86E4C"/>
    <w:rsid w:val="00D86F98"/>
    <w:rsid w:val="00D8715B"/>
    <w:rsid w:val="00D87298"/>
    <w:rsid w:val="00D87466"/>
    <w:rsid w:val="00D874E1"/>
    <w:rsid w:val="00D8757C"/>
    <w:rsid w:val="00D87612"/>
    <w:rsid w:val="00D8768E"/>
    <w:rsid w:val="00D8774B"/>
    <w:rsid w:val="00D877A0"/>
    <w:rsid w:val="00D87847"/>
    <w:rsid w:val="00D87868"/>
    <w:rsid w:val="00D87903"/>
    <w:rsid w:val="00D879E3"/>
    <w:rsid w:val="00D87A47"/>
    <w:rsid w:val="00D87A9D"/>
    <w:rsid w:val="00D87BBC"/>
    <w:rsid w:val="00D87BCC"/>
    <w:rsid w:val="00D87BF2"/>
    <w:rsid w:val="00D87C11"/>
    <w:rsid w:val="00D87C22"/>
    <w:rsid w:val="00D87C4D"/>
    <w:rsid w:val="00D87D1B"/>
    <w:rsid w:val="00D9001D"/>
    <w:rsid w:val="00D90345"/>
    <w:rsid w:val="00D903FA"/>
    <w:rsid w:val="00D904DD"/>
    <w:rsid w:val="00D90567"/>
    <w:rsid w:val="00D90592"/>
    <w:rsid w:val="00D9066D"/>
    <w:rsid w:val="00D906AD"/>
    <w:rsid w:val="00D906EB"/>
    <w:rsid w:val="00D90C14"/>
    <w:rsid w:val="00D90CD2"/>
    <w:rsid w:val="00D9131D"/>
    <w:rsid w:val="00D913AB"/>
    <w:rsid w:val="00D91722"/>
    <w:rsid w:val="00D91867"/>
    <w:rsid w:val="00D91A9D"/>
    <w:rsid w:val="00D91B44"/>
    <w:rsid w:val="00D91E50"/>
    <w:rsid w:val="00D91F2F"/>
    <w:rsid w:val="00D924C1"/>
    <w:rsid w:val="00D92585"/>
    <w:rsid w:val="00D9286E"/>
    <w:rsid w:val="00D92A4E"/>
    <w:rsid w:val="00D92D74"/>
    <w:rsid w:val="00D93054"/>
    <w:rsid w:val="00D9314E"/>
    <w:rsid w:val="00D93168"/>
    <w:rsid w:val="00D932A0"/>
    <w:rsid w:val="00D932A7"/>
    <w:rsid w:val="00D93808"/>
    <w:rsid w:val="00D9385E"/>
    <w:rsid w:val="00D93BEC"/>
    <w:rsid w:val="00D93C7B"/>
    <w:rsid w:val="00D93D67"/>
    <w:rsid w:val="00D93FAE"/>
    <w:rsid w:val="00D94033"/>
    <w:rsid w:val="00D94108"/>
    <w:rsid w:val="00D9420B"/>
    <w:rsid w:val="00D94897"/>
    <w:rsid w:val="00D94AC1"/>
    <w:rsid w:val="00D94B3B"/>
    <w:rsid w:val="00D94C56"/>
    <w:rsid w:val="00D94C7C"/>
    <w:rsid w:val="00D94CCD"/>
    <w:rsid w:val="00D94E6B"/>
    <w:rsid w:val="00D94E8C"/>
    <w:rsid w:val="00D94F7F"/>
    <w:rsid w:val="00D950AA"/>
    <w:rsid w:val="00D95225"/>
    <w:rsid w:val="00D95234"/>
    <w:rsid w:val="00D9526A"/>
    <w:rsid w:val="00D955BD"/>
    <w:rsid w:val="00D95600"/>
    <w:rsid w:val="00D956F4"/>
    <w:rsid w:val="00D956F5"/>
    <w:rsid w:val="00D959D2"/>
    <w:rsid w:val="00D95BB2"/>
    <w:rsid w:val="00D95C2E"/>
    <w:rsid w:val="00D95CEC"/>
    <w:rsid w:val="00D95D9A"/>
    <w:rsid w:val="00D95E79"/>
    <w:rsid w:val="00D9604D"/>
    <w:rsid w:val="00D9606D"/>
    <w:rsid w:val="00D96144"/>
    <w:rsid w:val="00D963C5"/>
    <w:rsid w:val="00D9654B"/>
    <w:rsid w:val="00D968CA"/>
    <w:rsid w:val="00D96A57"/>
    <w:rsid w:val="00D96AC3"/>
    <w:rsid w:val="00D96B61"/>
    <w:rsid w:val="00D96BF1"/>
    <w:rsid w:val="00D96E98"/>
    <w:rsid w:val="00D96F4F"/>
    <w:rsid w:val="00D96FD3"/>
    <w:rsid w:val="00D96FE8"/>
    <w:rsid w:val="00D971E4"/>
    <w:rsid w:val="00D9722C"/>
    <w:rsid w:val="00D9744C"/>
    <w:rsid w:val="00D9751E"/>
    <w:rsid w:val="00D9757D"/>
    <w:rsid w:val="00D975C2"/>
    <w:rsid w:val="00D97884"/>
    <w:rsid w:val="00D97A88"/>
    <w:rsid w:val="00D97BF9"/>
    <w:rsid w:val="00D97D5E"/>
    <w:rsid w:val="00D97EC3"/>
    <w:rsid w:val="00D97F5D"/>
    <w:rsid w:val="00DA011A"/>
    <w:rsid w:val="00DA09C0"/>
    <w:rsid w:val="00DA0A07"/>
    <w:rsid w:val="00DA0BAA"/>
    <w:rsid w:val="00DA0C7F"/>
    <w:rsid w:val="00DA1115"/>
    <w:rsid w:val="00DA1152"/>
    <w:rsid w:val="00DA120F"/>
    <w:rsid w:val="00DA1539"/>
    <w:rsid w:val="00DA16B3"/>
    <w:rsid w:val="00DA17C7"/>
    <w:rsid w:val="00DA18E7"/>
    <w:rsid w:val="00DA18FD"/>
    <w:rsid w:val="00DA1B03"/>
    <w:rsid w:val="00DA1CB8"/>
    <w:rsid w:val="00DA1D25"/>
    <w:rsid w:val="00DA2031"/>
    <w:rsid w:val="00DA20B4"/>
    <w:rsid w:val="00DA223B"/>
    <w:rsid w:val="00DA227B"/>
    <w:rsid w:val="00DA246F"/>
    <w:rsid w:val="00DA2586"/>
    <w:rsid w:val="00DA25BC"/>
    <w:rsid w:val="00DA26C9"/>
    <w:rsid w:val="00DA2739"/>
    <w:rsid w:val="00DA2915"/>
    <w:rsid w:val="00DA2A2A"/>
    <w:rsid w:val="00DA2A3C"/>
    <w:rsid w:val="00DA301F"/>
    <w:rsid w:val="00DA3178"/>
    <w:rsid w:val="00DA37BF"/>
    <w:rsid w:val="00DA3A71"/>
    <w:rsid w:val="00DA3A72"/>
    <w:rsid w:val="00DA3C37"/>
    <w:rsid w:val="00DA3DC6"/>
    <w:rsid w:val="00DA3EB8"/>
    <w:rsid w:val="00DA4017"/>
    <w:rsid w:val="00DA40CD"/>
    <w:rsid w:val="00DA40F0"/>
    <w:rsid w:val="00DA411C"/>
    <w:rsid w:val="00DA4391"/>
    <w:rsid w:val="00DA4409"/>
    <w:rsid w:val="00DA45E8"/>
    <w:rsid w:val="00DA4722"/>
    <w:rsid w:val="00DA4A31"/>
    <w:rsid w:val="00DA4CC5"/>
    <w:rsid w:val="00DA4CE8"/>
    <w:rsid w:val="00DA4D17"/>
    <w:rsid w:val="00DA4F81"/>
    <w:rsid w:val="00DA4FA8"/>
    <w:rsid w:val="00DA5169"/>
    <w:rsid w:val="00DA5272"/>
    <w:rsid w:val="00DA52A3"/>
    <w:rsid w:val="00DA53B4"/>
    <w:rsid w:val="00DA54DC"/>
    <w:rsid w:val="00DA56A8"/>
    <w:rsid w:val="00DA5A63"/>
    <w:rsid w:val="00DA5B94"/>
    <w:rsid w:val="00DA5CD0"/>
    <w:rsid w:val="00DA5D4B"/>
    <w:rsid w:val="00DA5D73"/>
    <w:rsid w:val="00DA5DF8"/>
    <w:rsid w:val="00DA5E6F"/>
    <w:rsid w:val="00DA6582"/>
    <w:rsid w:val="00DA66C4"/>
    <w:rsid w:val="00DA671D"/>
    <w:rsid w:val="00DA688E"/>
    <w:rsid w:val="00DA68A9"/>
    <w:rsid w:val="00DA6939"/>
    <w:rsid w:val="00DA6A03"/>
    <w:rsid w:val="00DA6A04"/>
    <w:rsid w:val="00DA6A50"/>
    <w:rsid w:val="00DA6C1F"/>
    <w:rsid w:val="00DA6CA3"/>
    <w:rsid w:val="00DA6E8C"/>
    <w:rsid w:val="00DA6FA6"/>
    <w:rsid w:val="00DA711B"/>
    <w:rsid w:val="00DA713C"/>
    <w:rsid w:val="00DA72DC"/>
    <w:rsid w:val="00DA733A"/>
    <w:rsid w:val="00DA737A"/>
    <w:rsid w:val="00DA73AF"/>
    <w:rsid w:val="00DA7478"/>
    <w:rsid w:val="00DA754A"/>
    <w:rsid w:val="00DA7933"/>
    <w:rsid w:val="00DA79CA"/>
    <w:rsid w:val="00DA7BD9"/>
    <w:rsid w:val="00DA7CAA"/>
    <w:rsid w:val="00DA7D27"/>
    <w:rsid w:val="00DB0181"/>
    <w:rsid w:val="00DB019A"/>
    <w:rsid w:val="00DB01D5"/>
    <w:rsid w:val="00DB0461"/>
    <w:rsid w:val="00DB0769"/>
    <w:rsid w:val="00DB077C"/>
    <w:rsid w:val="00DB0839"/>
    <w:rsid w:val="00DB087C"/>
    <w:rsid w:val="00DB0A71"/>
    <w:rsid w:val="00DB0BE3"/>
    <w:rsid w:val="00DB0FC5"/>
    <w:rsid w:val="00DB112C"/>
    <w:rsid w:val="00DB1180"/>
    <w:rsid w:val="00DB12F8"/>
    <w:rsid w:val="00DB141C"/>
    <w:rsid w:val="00DB14F2"/>
    <w:rsid w:val="00DB167B"/>
    <w:rsid w:val="00DB16ED"/>
    <w:rsid w:val="00DB17D3"/>
    <w:rsid w:val="00DB182D"/>
    <w:rsid w:val="00DB1B20"/>
    <w:rsid w:val="00DB1C07"/>
    <w:rsid w:val="00DB1C5F"/>
    <w:rsid w:val="00DB1D00"/>
    <w:rsid w:val="00DB1D01"/>
    <w:rsid w:val="00DB211F"/>
    <w:rsid w:val="00DB2187"/>
    <w:rsid w:val="00DB218C"/>
    <w:rsid w:val="00DB2338"/>
    <w:rsid w:val="00DB23EA"/>
    <w:rsid w:val="00DB290E"/>
    <w:rsid w:val="00DB2A82"/>
    <w:rsid w:val="00DB2AF4"/>
    <w:rsid w:val="00DB2D79"/>
    <w:rsid w:val="00DB3201"/>
    <w:rsid w:val="00DB323E"/>
    <w:rsid w:val="00DB345C"/>
    <w:rsid w:val="00DB34E8"/>
    <w:rsid w:val="00DB36B1"/>
    <w:rsid w:val="00DB3A8C"/>
    <w:rsid w:val="00DB3B2B"/>
    <w:rsid w:val="00DB3F4E"/>
    <w:rsid w:val="00DB3FBA"/>
    <w:rsid w:val="00DB3FEC"/>
    <w:rsid w:val="00DB410B"/>
    <w:rsid w:val="00DB41BF"/>
    <w:rsid w:val="00DB41D7"/>
    <w:rsid w:val="00DB4463"/>
    <w:rsid w:val="00DB459C"/>
    <w:rsid w:val="00DB45A3"/>
    <w:rsid w:val="00DB4789"/>
    <w:rsid w:val="00DB48B4"/>
    <w:rsid w:val="00DB4989"/>
    <w:rsid w:val="00DB4AB3"/>
    <w:rsid w:val="00DB4B56"/>
    <w:rsid w:val="00DB4CDF"/>
    <w:rsid w:val="00DB504D"/>
    <w:rsid w:val="00DB5133"/>
    <w:rsid w:val="00DB5144"/>
    <w:rsid w:val="00DB517A"/>
    <w:rsid w:val="00DB5270"/>
    <w:rsid w:val="00DB5451"/>
    <w:rsid w:val="00DB5549"/>
    <w:rsid w:val="00DB55B0"/>
    <w:rsid w:val="00DB55DC"/>
    <w:rsid w:val="00DB55EC"/>
    <w:rsid w:val="00DB5655"/>
    <w:rsid w:val="00DB5997"/>
    <w:rsid w:val="00DB5C76"/>
    <w:rsid w:val="00DB5CC6"/>
    <w:rsid w:val="00DB5D86"/>
    <w:rsid w:val="00DB5DB5"/>
    <w:rsid w:val="00DB5E90"/>
    <w:rsid w:val="00DB602E"/>
    <w:rsid w:val="00DB609E"/>
    <w:rsid w:val="00DB6143"/>
    <w:rsid w:val="00DB62FE"/>
    <w:rsid w:val="00DB6393"/>
    <w:rsid w:val="00DB644A"/>
    <w:rsid w:val="00DB6489"/>
    <w:rsid w:val="00DB656F"/>
    <w:rsid w:val="00DB65BF"/>
    <w:rsid w:val="00DB65C1"/>
    <w:rsid w:val="00DB6673"/>
    <w:rsid w:val="00DB671A"/>
    <w:rsid w:val="00DB682B"/>
    <w:rsid w:val="00DB683B"/>
    <w:rsid w:val="00DB6B1F"/>
    <w:rsid w:val="00DB6CEF"/>
    <w:rsid w:val="00DB6ED1"/>
    <w:rsid w:val="00DB6F2A"/>
    <w:rsid w:val="00DB7152"/>
    <w:rsid w:val="00DB72BB"/>
    <w:rsid w:val="00DB7795"/>
    <w:rsid w:val="00DB785E"/>
    <w:rsid w:val="00DB7A4F"/>
    <w:rsid w:val="00DB7AA8"/>
    <w:rsid w:val="00DB7D3C"/>
    <w:rsid w:val="00DB7D94"/>
    <w:rsid w:val="00DB7E53"/>
    <w:rsid w:val="00DB7F0A"/>
    <w:rsid w:val="00DB7F5A"/>
    <w:rsid w:val="00DB7F6A"/>
    <w:rsid w:val="00DC0047"/>
    <w:rsid w:val="00DC0144"/>
    <w:rsid w:val="00DC0159"/>
    <w:rsid w:val="00DC04FB"/>
    <w:rsid w:val="00DC0500"/>
    <w:rsid w:val="00DC07B7"/>
    <w:rsid w:val="00DC07D6"/>
    <w:rsid w:val="00DC0882"/>
    <w:rsid w:val="00DC0A3C"/>
    <w:rsid w:val="00DC0B11"/>
    <w:rsid w:val="00DC0B28"/>
    <w:rsid w:val="00DC0B66"/>
    <w:rsid w:val="00DC0B7F"/>
    <w:rsid w:val="00DC0BFD"/>
    <w:rsid w:val="00DC0C11"/>
    <w:rsid w:val="00DC0D20"/>
    <w:rsid w:val="00DC10A6"/>
    <w:rsid w:val="00DC1289"/>
    <w:rsid w:val="00DC131C"/>
    <w:rsid w:val="00DC1361"/>
    <w:rsid w:val="00DC13E9"/>
    <w:rsid w:val="00DC1595"/>
    <w:rsid w:val="00DC1AF1"/>
    <w:rsid w:val="00DC1BE8"/>
    <w:rsid w:val="00DC1CF0"/>
    <w:rsid w:val="00DC1DAA"/>
    <w:rsid w:val="00DC21CC"/>
    <w:rsid w:val="00DC2215"/>
    <w:rsid w:val="00DC2343"/>
    <w:rsid w:val="00DC2360"/>
    <w:rsid w:val="00DC2463"/>
    <w:rsid w:val="00DC24A4"/>
    <w:rsid w:val="00DC2A3F"/>
    <w:rsid w:val="00DC2D9A"/>
    <w:rsid w:val="00DC2E7F"/>
    <w:rsid w:val="00DC2E91"/>
    <w:rsid w:val="00DC2EA7"/>
    <w:rsid w:val="00DC2F75"/>
    <w:rsid w:val="00DC30C0"/>
    <w:rsid w:val="00DC3153"/>
    <w:rsid w:val="00DC3579"/>
    <w:rsid w:val="00DC35A3"/>
    <w:rsid w:val="00DC3638"/>
    <w:rsid w:val="00DC37D5"/>
    <w:rsid w:val="00DC3801"/>
    <w:rsid w:val="00DC38C7"/>
    <w:rsid w:val="00DC3906"/>
    <w:rsid w:val="00DC3994"/>
    <w:rsid w:val="00DC3A7C"/>
    <w:rsid w:val="00DC3AA7"/>
    <w:rsid w:val="00DC3ABD"/>
    <w:rsid w:val="00DC3B4C"/>
    <w:rsid w:val="00DC3D29"/>
    <w:rsid w:val="00DC3F3B"/>
    <w:rsid w:val="00DC426C"/>
    <w:rsid w:val="00DC4577"/>
    <w:rsid w:val="00DC46E5"/>
    <w:rsid w:val="00DC46F3"/>
    <w:rsid w:val="00DC473D"/>
    <w:rsid w:val="00DC4A14"/>
    <w:rsid w:val="00DC4DB2"/>
    <w:rsid w:val="00DC4F84"/>
    <w:rsid w:val="00DC4FC7"/>
    <w:rsid w:val="00DC5090"/>
    <w:rsid w:val="00DC50D4"/>
    <w:rsid w:val="00DC51FB"/>
    <w:rsid w:val="00DC53E7"/>
    <w:rsid w:val="00DC54E2"/>
    <w:rsid w:val="00DC5914"/>
    <w:rsid w:val="00DC5FF2"/>
    <w:rsid w:val="00DC61FB"/>
    <w:rsid w:val="00DC639E"/>
    <w:rsid w:val="00DC645A"/>
    <w:rsid w:val="00DC6507"/>
    <w:rsid w:val="00DC6770"/>
    <w:rsid w:val="00DC6C6A"/>
    <w:rsid w:val="00DC6DC5"/>
    <w:rsid w:val="00DC6EB4"/>
    <w:rsid w:val="00DC7098"/>
    <w:rsid w:val="00DC70C5"/>
    <w:rsid w:val="00DC70CB"/>
    <w:rsid w:val="00DC70D8"/>
    <w:rsid w:val="00DC71C9"/>
    <w:rsid w:val="00DC720B"/>
    <w:rsid w:val="00DC7307"/>
    <w:rsid w:val="00DC73B4"/>
    <w:rsid w:val="00DC7832"/>
    <w:rsid w:val="00DC789B"/>
    <w:rsid w:val="00DC7DF0"/>
    <w:rsid w:val="00DC7E1F"/>
    <w:rsid w:val="00DC7FE3"/>
    <w:rsid w:val="00DD036E"/>
    <w:rsid w:val="00DD040D"/>
    <w:rsid w:val="00DD05CF"/>
    <w:rsid w:val="00DD0733"/>
    <w:rsid w:val="00DD08ED"/>
    <w:rsid w:val="00DD0B88"/>
    <w:rsid w:val="00DD0BCF"/>
    <w:rsid w:val="00DD0BED"/>
    <w:rsid w:val="00DD0CBC"/>
    <w:rsid w:val="00DD0F4F"/>
    <w:rsid w:val="00DD1230"/>
    <w:rsid w:val="00DD127A"/>
    <w:rsid w:val="00DD12FE"/>
    <w:rsid w:val="00DD1305"/>
    <w:rsid w:val="00DD1675"/>
    <w:rsid w:val="00DD17C2"/>
    <w:rsid w:val="00DD1854"/>
    <w:rsid w:val="00DD1872"/>
    <w:rsid w:val="00DD1875"/>
    <w:rsid w:val="00DD1A37"/>
    <w:rsid w:val="00DD1ABA"/>
    <w:rsid w:val="00DD1D7D"/>
    <w:rsid w:val="00DD1DDB"/>
    <w:rsid w:val="00DD1E38"/>
    <w:rsid w:val="00DD1ED2"/>
    <w:rsid w:val="00DD1F66"/>
    <w:rsid w:val="00DD229E"/>
    <w:rsid w:val="00DD22CA"/>
    <w:rsid w:val="00DD234C"/>
    <w:rsid w:val="00DD2460"/>
    <w:rsid w:val="00DD27B8"/>
    <w:rsid w:val="00DD2A27"/>
    <w:rsid w:val="00DD2AA6"/>
    <w:rsid w:val="00DD2B27"/>
    <w:rsid w:val="00DD2B84"/>
    <w:rsid w:val="00DD2B9A"/>
    <w:rsid w:val="00DD2C33"/>
    <w:rsid w:val="00DD2D9E"/>
    <w:rsid w:val="00DD2DC1"/>
    <w:rsid w:val="00DD2E03"/>
    <w:rsid w:val="00DD2F32"/>
    <w:rsid w:val="00DD2F82"/>
    <w:rsid w:val="00DD2FB0"/>
    <w:rsid w:val="00DD3120"/>
    <w:rsid w:val="00DD317C"/>
    <w:rsid w:val="00DD3261"/>
    <w:rsid w:val="00DD326D"/>
    <w:rsid w:val="00DD32D7"/>
    <w:rsid w:val="00DD32E4"/>
    <w:rsid w:val="00DD33CC"/>
    <w:rsid w:val="00DD3434"/>
    <w:rsid w:val="00DD3657"/>
    <w:rsid w:val="00DD37CD"/>
    <w:rsid w:val="00DD386D"/>
    <w:rsid w:val="00DD3A49"/>
    <w:rsid w:val="00DD3EB7"/>
    <w:rsid w:val="00DD404E"/>
    <w:rsid w:val="00DD407D"/>
    <w:rsid w:val="00DD42EC"/>
    <w:rsid w:val="00DD45A7"/>
    <w:rsid w:val="00DD45EE"/>
    <w:rsid w:val="00DD46EB"/>
    <w:rsid w:val="00DD49CD"/>
    <w:rsid w:val="00DD4AA8"/>
    <w:rsid w:val="00DD4B3B"/>
    <w:rsid w:val="00DD4DE2"/>
    <w:rsid w:val="00DD4E98"/>
    <w:rsid w:val="00DD4EA4"/>
    <w:rsid w:val="00DD4EAA"/>
    <w:rsid w:val="00DD5010"/>
    <w:rsid w:val="00DD51A8"/>
    <w:rsid w:val="00DD52D7"/>
    <w:rsid w:val="00DD5332"/>
    <w:rsid w:val="00DD5433"/>
    <w:rsid w:val="00DD5537"/>
    <w:rsid w:val="00DD570B"/>
    <w:rsid w:val="00DD577B"/>
    <w:rsid w:val="00DD59E3"/>
    <w:rsid w:val="00DD5B66"/>
    <w:rsid w:val="00DD5B7B"/>
    <w:rsid w:val="00DD5D16"/>
    <w:rsid w:val="00DD5EFA"/>
    <w:rsid w:val="00DD64A2"/>
    <w:rsid w:val="00DD6528"/>
    <w:rsid w:val="00DD6744"/>
    <w:rsid w:val="00DD6852"/>
    <w:rsid w:val="00DD69DD"/>
    <w:rsid w:val="00DD69F9"/>
    <w:rsid w:val="00DD6BD6"/>
    <w:rsid w:val="00DD6D90"/>
    <w:rsid w:val="00DD712E"/>
    <w:rsid w:val="00DD72A5"/>
    <w:rsid w:val="00DD73A9"/>
    <w:rsid w:val="00DD757C"/>
    <w:rsid w:val="00DD7670"/>
    <w:rsid w:val="00DD776A"/>
    <w:rsid w:val="00DD7770"/>
    <w:rsid w:val="00DD7ABA"/>
    <w:rsid w:val="00DD7B7D"/>
    <w:rsid w:val="00DD7D45"/>
    <w:rsid w:val="00DD7E17"/>
    <w:rsid w:val="00DD7EBC"/>
    <w:rsid w:val="00DD7EE6"/>
    <w:rsid w:val="00DD7F48"/>
    <w:rsid w:val="00DE0015"/>
    <w:rsid w:val="00DE0093"/>
    <w:rsid w:val="00DE00E2"/>
    <w:rsid w:val="00DE02BE"/>
    <w:rsid w:val="00DE02F2"/>
    <w:rsid w:val="00DE0594"/>
    <w:rsid w:val="00DE05E6"/>
    <w:rsid w:val="00DE0684"/>
    <w:rsid w:val="00DE07B7"/>
    <w:rsid w:val="00DE0865"/>
    <w:rsid w:val="00DE09DC"/>
    <w:rsid w:val="00DE0B43"/>
    <w:rsid w:val="00DE0D0C"/>
    <w:rsid w:val="00DE0E4F"/>
    <w:rsid w:val="00DE10F3"/>
    <w:rsid w:val="00DE1297"/>
    <w:rsid w:val="00DE12AA"/>
    <w:rsid w:val="00DE134E"/>
    <w:rsid w:val="00DE1534"/>
    <w:rsid w:val="00DE171B"/>
    <w:rsid w:val="00DE1732"/>
    <w:rsid w:val="00DE1A2D"/>
    <w:rsid w:val="00DE1B36"/>
    <w:rsid w:val="00DE1C17"/>
    <w:rsid w:val="00DE1C5C"/>
    <w:rsid w:val="00DE1DDE"/>
    <w:rsid w:val="00DE1F5B"/>
    <w:rsid w:val="00DE2063"/>
    <w:rsid w:val="00DE21D7"/>
    <w:rsid w:val="00DE2287"/>
    <w:rsid w:val="00DE23AA"/>
    <w:rsid w:val="00DE23E8"/>
    <w:rsid w:val="00DE261E"/>
    <w:rsid w:val="00DE274C"/>
    <w:rsid w:val="00DE2835"/>
    <w:rsid w:val="00DE28C5"/>
    <w:rsid w:val="00DE28CD"/>
    <w:rsid w:val="00DE2A38"/>
    <w:rsid w:val="00DE2D48"/>
    <w:rsid w:val="00DE2E50"/>
    <w:rsid w:val="00DE2F5D"/>
    <w:rsid w:val="00DE3123"/>
    <w:rsid w:val="00DE33DC"/>
    <w:rsid w:val="00DE3430"/>
    <w:rsid w:val="00DE35DB"/>
    <w:rsid w:val="00DE3667"/>
    <w:rsid w:val="00DE36A2"/>
    <w:rsid w:val="00DE3822"/>
    <w:rsid w:val="00DE38BA"/>
    <w:rsid w:val="00DE39B8"/>
    <w:rsid w:val="00DE3A7F"/>
    <w:rsid w:val="00DE3C3D"/>
    <w:rsid w:val="00DE3C41"/>
    <w:rsid w:val="00DE3CA0"/>
    <w:rsid w:val="00DE3D78"/>
    <w:rsid w:val="00DE3E8C"/>
    <w:rsid w:val="00DE3EBD"/>
    <w:rsid w:val="00DE3EE8"/>
    <w:rsid w:val="00DE3FA7"/>
    <w:rsid w:val="00DE402E"/>
    <w:rsid w:val="00DE4270"/>
    <w:rsid w:val="00DE43A1"/>
    <w:rsid w:val="00DE4771"/>
    <w:rsid w:val="00DE4775"/>
    <w:rsid w:val="00DE4968"/>
    <w:rsid w:val="00DE4A27"/>
    <w:rsid w:val="00DE4E65"/>
    <w:rsid w:val="00DE509A"/>
    <w:rsid w:val="00DE50FC"/>
    <w:rsid w:val="00DE5358"/>
    <w:rsid w:val="00DE53EA"/>
    <w:rsid w:val="00DE5515"/>
    <w:rsid w:val="00DE5540"/>
    <w:rsid w:val="00DE56D4"/>
    <w:rsid w:val="00DE57E1"/>
    <w:rsid w:val="00DE58F1"/>
    <w:rsid w:val="00DE5DC0"/>
    <w:rsid w:val="00DE5EE5"/>
    <w:rsid w:val="00DE6315"/>
    <w:rsid w:val="00DE6597"/>
    <w:rsid w:val="00DE699C"/>
    <w:rsid w:val="00DE6B4D"/>
    <w:rsid w:val="00DE6EBF"/>
    <w:rsid w:val="00DE6F1F"/>
    <w:rsid w:val="00DE7046"/>
    <w:rsid w:val="00DE7144"/>
    <w:rsid w:val="00DE7172"/>
    <w:rsid w:val="00DE7184"/>
    <w:rsid w:val="00DE7622"/>
    <w:rsid w:val="00DE778C"/>
    <w:rsid w:val="00DE77C3"/>
    <w:rsid w:val="00DE7875"/>
    <w:rsid w:val="00DE78D5"/>
    <w:rsid w:val="00DE78FE"/>
    <w:rsid w:val="00DE7A43"/>
    <w:rsid w:val="00DE7B6C"/>
    <w:rsid w:val="00DE7DBD"/>
    <w:rsid w:val="00DF0059"/>
    <w:rsid w:val="00DF00FF"/>
    <w:rsid w:val="00DF021D"/>
    <w:rsid w:val="00DF035B"/>
    <w:rsid w:val="00DF09CC"/>
    <w:rsid w:val="00DF0ABF"/>
    <w:rsid w:val="00DF0D7C"/>
    <w:rsid w:val="00DF0F12"/>
    <w:rsid w:val="00DF0F39"/>
    <w:rsid w:val="00DF11F8"/>
    <w:rsid w:val="00DF1271"/>
    <w:rsid w:val="00DF1870"/>
    <w:rsid w:val="00DF18C7"/>
    <w:rsid w:val="00DF1EE6"/>
    <w:rsid w:val="00DF1FE5"/>
    <w:rsid w:val="00DF20A7"/>
    <w:rsid w:val="00DF2328"/>
    <w:rsid w:val="00DF269E"/>
    <w:rsid w:val="00DF26CF"/>
    <w:rsid w:val="00DF2885"/>
    <w:rsid w:val="00DF2A65"/>
    <w:rsid w:val="00DF2AB0"/>
    <w:rsid w:val="00DF2AE7"/>
    <w:rsid w:val="00DF2B31"/>
    <w:rsid w:val="00DF2D38"/>
    <w:rsid w:val="00DF2D43"/>
    <w:rsid w:val="00DF2EF6"/>
    <w:rsid w:val="00DF3088"/>
    <w:rsid w:val="00DF31BA"/>
    <w:rsid w:val="00DF31F9"/>
    <w:rsid w:val="00DF34EF"/>
    <w:rsid w:val="00DF3569"/>
    <w:rsid w:val="00DF359D"/>
    <w:rsid w:val="00DF372F"/>
    <w:rsid w:val="00DF3866"/>
    <w:rsid w:val="00DF3EB9"/>
    <w:rsid w:val="00DF3FCA"/>
    <w:rsid w:val="00DF40D8"/>
    <w:rsid w:val="00DF4120"/>
    <w:rsid w:val="00DF437A"/>
    <w:rsid w:val="00DF43A3"/>
    <w:rsid w:val="00DF43C5"/>
    <w:rsid w:val="00DF43C9"/>
    <w:rsid w:val="00DF45CF"/>
    <w:rsid w:val="00DF4730"/>
    <w:rsid w:val="00DF4805"/>
    <w:rsid w:val="00DF4813"/>
    <w:rsid w:val="00DF48D7"/>
    <w:rsid w:val="00DF497B"/>
    <w:rsid w:val="00DF4994"/>
    <w:rsid w:val="00DF4A2E"/>
    <w:rsid w:val="00DF4BF7"/>
    <w:rsid w:val="00DF4CCC"/>
    <w:rsid w:val="00DF4EC4"/>
    <w:rsid w:val="00DF4F5E"/>
    <w:rsid w:val="00DF5031"/>
    <w:rsid w:val="00DF517C"/>
    <w:rsid w:val="00DF5304"/>
    <w:rsid w:val="00DF5322"/>
    <w:rsid w:val="00DF53B4"/>
    <w:rsid w:val="00DF53CE"/>
    <w:rsid w:val="00DF53DD"/>
    <w:rsid w:val="00DF553A"/>
    <w:rsid w:val="00DF584C"/>
    <w:rsid w:val="00DF5A77"/>
    <w:rsid w:val="00DF5E38"/>
    <w:rsid w:val="00DF5ED1"/>
    <w:rsid w:val="00DF5F37"/>
    <w:rsid w:val="00DF652B"/>
    <w:rsid w:val="00DF6549"/>
    <w:rsid w:val="00DF6735"/>
    <w:rsid w:val="00DF67EC"/>
    <w:rsid w:val="00DF68B1"/>
    <w:rsid w:val="00DF6ABF"/>
    <w:rsid w:val="00DF6BC9"/>
    <w:rsid w:val="00DF6DBF"/>
    <w:rsid w:val="00DF6DC6"/>
    <w:rsid w:val="00DF6E47"/>
    <w:rsid w:val="00DF6EC5"/>
    <w:rsid w:val="00DF6F69"/>
    <w:rsid w:val="00DF7084"/>
    <w:rsid w:val="00DF70E2"/>
    <w:rsid w:val="00DF7145"/>
    <w:rsid w:val="00DF75E7"/>
    <w:rsid w:val="00DF7602"/>
    <w:rsid w:val="00DF77E6"/>
    <w:rsid w:val="00DF79B1"/>
    <w:rsid w:val="00DF79B8"/>
    <w:rsid w:val="00DF7B9E"/>
    <w:rsid w:val="00DF7C07"/>
    <w:rsid w:val="00DF7C4D"/>
    <w:rsid w:val="00DF7D03"/>
    <w:rsid w:val="00DF7D84"/>
    <w:rsid w:val="00DF7DCB"/>
    <w:rsid w:val="00DF7E8F"/>
    <w:rsid w:val="00DF7F6C"/>
    <w:rsid w:val="00E000B5"/>
    <w:rsid w:val="00E0029F"/>
    <w:rsid w:val="00E002E2"/>
    <w:rsid w:val="00E004E9"/>
    <w:rsid w:val="00E00611"/>
    <w:rsid w:val="00E00613"/>
    <w:rsid w:val="00E00696"/>
    <w:rsid w:val="00E00720"/>
    <w:rsid w:val="00E00882"/>
    <w:rsid w:val="00E009E1"/>
    <w:rsid w:val="00E00A95"/>
    <w:rsid w:val="00E00ACC"/>
    <w:rsid w:val="00E00B2D"/>
    <w:rsid w:val="00E00B2F"/>
    <w:rsid w:val="00E00BAA"/>
    <w:rsid w:val="00E00DF1"/>
    <w:rsid w:val="00E010AF"/>
    <w:rsid w:val="00E010F9"/>
    <w:rsid w:val="00E01160"/>
    <w:rsid w:val="00E0120C"/>
    <w:rsid w:val="00E013C0"/>
    <w:rsid w:val="00E0168E"/>
    <w:rsid w:val="00E01738"/>
    <w:rsid w:val="00E01833"/>
    <w:rsid w:val="00E018D5"/>
    <w:rsid w:val="00E01910"/>
    <w:rsid w:val="00E01943"/>
    <w:rsid w:val="00E0195E"/>
    <w:rsid w:val="00E019DD"/>
    <w:rsid w:val="00E01D79"/>
    <w:rsid w:val="00E0218F"/>
    <w:rsid w:val="00E022BD"/>
    <w:rsid w:val="00E022C7"/>
    <w:rsid w:val="00E0235A"/>
    <w:rsid w:val="00E0236E"/>
    <w:rsid w:val="00E023AA"/>
    <w:rsid w:val="00E02489"/>
    <w:rsid w:val="00E0248E"/>
    <w:rsid w:val="00E02514"/>
    <w:rsid w:val="00E026A4"/>
    <w:rsid w:val="00E026A6"/>
    <w:rsid w:val="00E028A0"/>
    <w:rsid w:val="00E02A36"/>
    <w:rsid w:val="00E02CA3"/>
    <w:rsid w:val="00E02FE2"/>
    <w:rsid w:val="00E03018"/>
    <w:rsid w:val="00E03147"/>
    <w:rsid w:val="00E03214"/>
    <w:rsid w:val="00E03299"/>
    <w:rsid w:val="00E034A9"/>
    <w:rsid w:val="00E03686"/>
    <w:rsid w:val="00E0384D"/>
    <w:rsid w:val="00E038C9"/>
    <w:rsid w:val="00E03B96"/>
    <w:rsid w:val="00E03B9D"/>
    <w:rsid w:val="00E03E57"/>
    <w:rsid w:val="00E04068"/>
    <w:rsid w:val="00E0419A"/>
    <w:rsid w:val="00E04273"/>
    <w:rsid w:val="00E04727"/>
    <w:rsid w:val="00E04832"/>
    <w:rsid w:val="00E0490F"/>
    <w:rsid w:val="00E04930"/>
    <w:rsid w:val="00E04D05"/>
    <w:rsid w:val="00E04D55"/>
    <w:rsid w:val="00E05000"/>
    <w:rsid w:val="00E05012"/>
    <w:rsid w:val="00E05189"/>
    <w:rsid w:val="00E0534C"/>
    <w:rsid w:val="00E05397"/>
    <w:rsid w:val="00E055C7"/>
    <w:rsid w:val="00E055D3"/>
    <w:rsid w:val="00E0569C"/>
    <w:rsid w:val="00E058C0"/>
    <w:rsid w:val="00E05976"/>
    <w:rsid w:val="00E059E6"/>
    <w:rsid w:val="00E05B01"/>
    <w:rsid w:val="00E05C6D"/>
    <w:rsid w:val="00E05D66"/>
    <w:rsid w:val="00E05FFE"/>
    <w:rsid w:val="00E063FC"/>
    <w:rsid w:val="00E0649C"/>
    <w:rsid w:val="00E065BB"/>
    <w:rsid w:val="00E06769"/>
    <w:rsid w:val="00E067B2"/>
    <w:rsid w:val="00E0683D"/>
    <w:rsid w:val="00E06865"/>
    <w:rsid w:val="00E06877"/>
    <w:rsid w:val="00E069E5"/>
    <w:rsid w:val="00E06A42"/>
    <w:rsid w:val="00E06B95"/>
    <w:rsid w:val="00E06DA6"/>
    <w:rsid w:val="00E06F17"/>
    <w:rsid w:val="00E06F5C"/>
    <w:rsid w:val="00E07042"/>
    <w:rsid w:val="00E07068"/>
    <w:rsid w:val="00E070C8"/>
    <w:rsid w:val="00E072D1"/>
    <w:rsid w:val="00E072D9"/>
    <w:rsid w:val="00E0744E"/>
    <w:rsid w:val="00E07484"/>
    <w:rsid w:val="00E0749B"/>
    <w:rsid w:val="00E07567"/>
    <w:rsid w:val="00E0756D"/>
    <w:rsid w:val="00E07573"/>
    <w:rsid w:val="00E076AC"/>
    <w:rsid w:val="00E0773F"/>
    <w:rsid w:val="00E077E5"/>
    <w:rsid w:val="00E0792C"/>
    <w:rsid w:val="00E07A8C"/>
    <w:rsid w:val="00E07C07"/>
    <w:rsid w:val="00E07E39"/>
    <w:rsid w:val="00E07E91"/>
    <w:rsid w:val="00E10040"/>
    <w:rsid w:val="00E100BE"/>
    <w:rsid w:val="00E10141"/>
    <w:rsid w:val="00E1016D"/>
    <w:rsid w:val="00E101E5"/>
    <w:rsid w:val="00E10444"/>
    <w:rsid w:val="00E10694"/>
    <w:rsid w:val="00E10700"/>
    <w:rsid w:val="00E1073B"/>
    <w:rsid w:val="00E10C2D"/>
    <w:rsid w:val="00E10D8C"/>
    <w:rsid w:val="00E10E7D"/>
    <w:rsid w:val="00E11373"/>
    <w:rsid w:val="00E114C1"/>
    <w:rsid w:val="00E1152A"/>
    <w:rsid w:val="00E115F1"/>
    <w:rsid w:val="00E11751"/>
    <w:rsid w:val="00E11A5A"/>
    <w:rsid w:val="00E11D33"/>
    <w:rsid w:val="00E11EE1"/>
    <w:rsid w:val="00E12069"/>
    <w:rsid w:val="00E12099"/>
    <w:rsid w:val="00E121BD"/>
    <w:rsid w:val="00E122FF"/>
    <w:rsid w:val="00E12415"/>
    <w:rsid w:val="00E12497"/>
    <w:rsid w:val="00E12562"/>
    <w:rsid w:val="00E126F7"/>
    <w:rsid w:val="00E128A6"/>
    <w:rsid w:val="00E12AAD"/>
    <w:rsid w:val="00E12CAB"/>
    <w:rsid w:val="00E12D31"/>
    <w:rsid w:val="00E12EAA"/>
    <w:rsid w:val="00E130BE"/>
    <w:rsid w:val="00E1321B"/>
    <w:rsid w:val="00E13468"/>
    <w:rsid w:val="00E1354F"/>
    <w:rsid w:val="00E135E6"/>
    <w:rsid w:val="00E13673"/>
    <w:rsid w:val="00E1390B"/>
    <w:rsid w:val="00E13B3F"/>
    <w:rsid w:val="00E13C20"/>
    <w:rsid w:val="00E13C44"/>
    <w:rsid w:val="00E13C81"/>
    <w:rsid w:val="00E13E43"/>
    <w:rsid w:val="00E13FC8"/>
    <w:rsid w:val="00E14035"/>
    <w:rsid w:val="00E1427C"/>
    <w:rsid w:val="00E142F3"/>
    <w:rsid w:val="00E143AE"/>
    <w:rsid w:val="00E145CD"/>
    <w:rsid w:val="00E14615"/>
    <w:rsid w:val="00E147FB"/>
    <w:rsid w:val="00E1485D"/>
    <w:rsid w:val="00E1489D"/>
    <w:rsid w:val="00E14AD7"/>
    <w:rsid w:val="00E14B7D"/>
    <w:rsid w:val="00E14D0B"/>
    <w:rsid w:val="00E14ED9"/>
    <w:rsid w:val="00E14F5D"/>
    <w:rsid w:val="00E14FC5"/>
    <w:rsid w:val="00E1500A"/>
    <w:rsid w:val="00E15181"/>
    <w:rsid w:val="00E151BC"/>
    <w:rsid w:val="00E151F5"/>
    <w:rsid w:val="00E1528D"/>
    <w:rsid w:val="00E15521"/>
    <w:rsid w:val="00E1555A"/>
    <w:rsid w:val="00E1569F"/>
    <w:rsid w:val="00E156D0"/>
    <w:rsid w:val="00E156F6"/>
    <w:rsid w:val="00E158E9"/>
    <w:rsid w:val="00E15978"/>
    <w:rsid w:val="00E15B2A"/>
    <w:rsid w:val="00E15BB8"/>
    <w:rsid w:val="00E15C90"/>
    <w:rsid w:val="00E15CDC"/>
    <w:rsid w:val="00E15D4A"/>
    <w:rsid w:val="00E16176"/>
    <w:rsid w:val="00E161CC"/>
    <w:rsid w:val="00E1640C"/>
    <w:rsid w:val="00E164A3"/>
    <w:rsid w:val="00E1655A"/>
    <w:rsid w:val="00E1663F"/>
    <w:rsid w:val="00E16745"/>
    <w:rsid w:val="00E1691A"/>
    <w:rsid w:val="00E16BA0"/>
    <w:rsid w:val="00E16E55"/>
    <w:rsid w:val="00E16F36"/>
    <w:rsid w:val="00E17084"/>
    <w:rsid w:val="00E17327"/>
    <w:rsid w:val="00E17375"/>
    <w:rsid w:val="00E176A3"/>
    <w:rsid w:val="00E176EE"/>
    <w:rsid w:val="00E17A12"/>
    <w:rsid w:val="00E17AEA"/>
    <w:rsid w:val="00E17B41"/>
    <w:rsid w:val="00E17CDF"/>
    <w:rsid w:val="00E17FCF"/>
    <w:rsid w:val="00E200B3"/>
    <w:rsid w:val="00E2086C"/>
    <w:rsid w:val="00E20929"/>
    <w:rsid w:val="00E20966"/>
    <w:rsid w:val="00E209A6"/>
    <w:rsid w:val="00E20A6E"/>
    <w:rsid w:val="00E20A79"/>
    <w:rsid w:val="00E20BCE"/>
    <w:rsid w:val="00E21035"/>
    <w:rsid w:val="00E21117"/>
    <w:rsid w:val="00E2127D"/>
    <w:rsid w:val="00E21643"/>
    <w:rsid w:val="00E21652"/>
    <w:rsid w:val="00E216A6"/>
    <w:rsid w:val="00E21920"/>
    <w:rsid w:val="00E219BB"/>
    <w:rsid w:val="00E21BFB"/>
    <w:rsid w:val="00E21C79"/>
    <w:rsid w:val="00E21E24"/>
    <w:rsid w:val="00E2209B"/>
    <w:rsid w:val="00E2215B"/>
    <w:rsid w:val="00E22293"/>
    <w:rsid w:val="00E222A7"/>
    <w:rsid w:val="00E223C1"/>
    <w:rsid w:val="00E22522"/>
    <w:rsid w:val="00E225FA"/>
    <w:rsid w:val="00E22717"/>
    <w:rsid w:val="00E2272F"/>
    <w:rsid w:val="00E22C07"/>
    <w:rsid w:val="00E2312E"/>
    <w:rsid w:val="00E231AD"/>
    <w:rsid w:val="00E23336"/>
    <w:rsid w:val="00E2336D"/>
    <w:rsid w:val="00E23533"/>
    <w:rsid w:val="00E2370D"/>
    <w:rsid w:val="00E2391F"/>
    <w:rsid w:val="00E2397A"/>
    <w:rsid w:val="00E23BED"/>
    <w:rsid w:val="00E23C8D"/>
    <w:rsid w:val="00E23D2E"/>
    <w:rsid w:val="00E240D7"/>
    <w:rsid w:val="00E24126"/>
    <w:rsid w:val="00E24167"/>
    <w:rsid w:val="00E241A6"/>
    <w:rsid w:val="00E241C1"/>
    <w:rsid w:val="00E241C9"/>
    <w:rsid w:val="00E245DE"/>
    <w:rsid w:val="00E245E3"/>
    <w:rsid w:val="00E24903"/>
    <w:rsid w:val="00E24957"/>
    <w:rsid w:val="00E24975"/>
    <w:rsid w:val="00E24991"/>
    <w:rsid w:val="00E24A59"/>
    <w:rsid w:val="00E24E40"/>
    <w:rsid w:val="00E2500D"/>
    <w:rsid w:val="00E252F3"/>
    <w:rsid w:val="00E25744"/>
    <w:rsid w:val="00E25796"/>
    <w:rsid w:val="00E258D9"/>
    <w:rsid w:val="00E25B57"/>
    <w:rsid w:val="00E25C39"/>
    <w:rsid w:val="00E260AF"/>
    <w:rsid w:val="00E260C0"/>
    <w:rsid w:val="00E2626F"/>
    <w:rsid w:val="00E26677"/>
    <w:rsid w:val="00E2682C"/>
    <w:rsid w:val="00E26973"/>
    <w:rsid w:val="00E26AE0"/>
    <w:rsid w:val="00E26CCB"/>
    <w:rsid w:val="00E26D7D"/>
    <w:rsid w:val="00E26DD8"/>
    <w:rsid w:val="00E26FB9"/>
    <w:rsid w:val="00E27415"/>
    <w:rsid w:val="00E2749E"/>
    <w:rsid w:val="00E274E0"/>
    <w:rsid w:val="00E277C9"/>
    <w:rsid w:val="00E27885"/>
    <w:rsid w:val="00E278D7"/>
    <w:rsid w:val="00E278FA"/>
    <w:rsid w:val="00E27B31"/>
    <w:rsid w:val="00E27BB9"/>
    <w:rsid w:val="00E27C4C"/>
    <w:rsid w:val="00E27C4F"/>
    <w:rsid w:val="00E27D1B"/>
    <w:rsid w:val="00E27FCD"/>
    <w:rsid w:val="00E30024"/>
    <w:rsid w:val="00E30233"/>
    <w:rsid w:val="00E30244"/>
    <w:rsid w:val="00E304D5"/>
    <w:rsid w:val="00E3053B"/>
    <w:rsid w:val="00E305EF"/>
    <w:rsid w:val="00E30610"/>
    <w:rsid w:val="00E307D8"/>
    <w:rsid w:val="00E3085F"/>
    <w:rsid w:val="00E30A2F"/>
    <w:rsid w:val="00E30A9A"/>
    <w:rsid w:val="00E30ADA"/>
    <w:rsid w:val="00E30B82"/>
    <w:rsid w:val="00E30C1A"/>
    <w:rsid w:val="00E30CA6"/>
    <w:rsid w:val="00E30CA7"/>
    <w:rsid w:val="00E30CC9"/>
    <w:rsid w:val="00E30DB4"/>
    <w:rsid w:val="00E30F4B"/>
    <w:rsid w:val="00E30FD7"/>
    <w:rsid w:val="00E31059"/>
    <w:rsid w:val="00E31257"/>
    <w:rsid w:val="00E3157C"/>
    <w:rsid w:val="00E3173F"/>
    <w:rsid w:val="00E317A6"/>
    <w:rsid w:val="00E318FB"/>
    <w:rsid w:val="00E319A0"/>
    <w:rsid w:val="00E31C5B"/>
    <w:rsid w:val="00E3218A"/>
    <w:rsid w:val="00E32398"/>
    <w:rsid w:val="00E323F9"/>
    <w:rsid w:val="00E324CD"/>
    <w:rsid w:val="00E324E8"/>
    <w:rsid w:val="00E32725"/>
    <w:rsid w:val="00E32727"/>
    <w:rsid w:val="00E327E7"/>
    <w:rsid w:val="00E32A20"/>
    <w:rsid w:val="00E32B1D"/>
    <w:rsid w:val="00E32BF5"/>
    <w:rsid w:val="00E32C90"/>
    <w:rsid w:val="00E32DFB"/>
    <w:rsid w:val="00E3309C"/>
    <w:rsid w:val="00E332F7"/>
    <w:rsid w:val="00E333EE"/>
    <w:rsid w:val="00E33650"/>
    <w:rsid w:val="00E3377B"/>
    <w:rsid w:val="00E3386E"/>
    <w:rsid w:val="00E33B7C"/>
    <w:rsid w:val="00E33C79"/>
    <w:rsid w:val="00E340C2"/>
    <w:rsid w:val="00E343A1"/>
    <w:rsid w:val="00E343FF"/>
    <w:rsid w:val="00E3462B"/>
    <w:rsid w:val="00E346B5"/>
    <w:rsid w:val="00E347CA"/>
    <w:rsid w:val="00E348BB"/>
    <w:rsid w:val="00E34FF4"/>
    <w:rsid w:val="00E35140"/>
    <w:rsid w:val="00E35213"/>
    <w:rsid w:val="00E35553"/>
    <w:rsid w:val="00E357FD"/>
    <w:rsid w:val="00E35837"/>
    <w:rsid w:val="00E35986"/>
    <w:rsid w:val="00E35A31"/>
    <w:rsid w:val="00E35B18"/>
    <w:rsid w:val="00E35B8D"/>
    <w:rsid w:val="00E35C90"/>
    <w:rsid w:val="00E35CF1"/>
    <w:rsid w:val="00E35DDA"/>
    <w:rsid w:val="00E35FC3"/>
    <w:rsid w:val="00E36048"/>
    <w:rsid w:val="00E36178"/>
    <w:rsid w:val="00E363A3"/>
    <w:rsid w:val="00E3657F"/>
    <w:rsid w:val="00E36594"/>
    <w:rsid w:val="00E365BA"/>
    <w:rsid w:val="00E3666C"/>
    <w:rsid w:val="00E367D0"/>
    <w:rsid w:val="00E368F8"/>
    <w:rsid w:val="00E3699A"/>
    <w:rsid w:val="00E36B8A"/>
    <w:rsid w:val="00E36E6A"/>
    <w:rsid w:val="00E36F79"/>
    <w:rsid w:val="00E36F87"/>
    <w:rsid w:val="00E371BF"/>
    <w:rsid w:val="00E372EC"/>
    <w:rsid w:val="00E3737A"/>
    <w:rsid w:val="00E374E0"/>
    <w:rsid w:val="00E37501"/>
    <w:rsid w:val="00E37660"/>
    <w:rsid w:val="00E3778F"/>
    <w:rsid w:val="00E3779F"/>
    <w:rsid w:val="00E37880"/>
    <w:rsid w:val="00E378BC"/>
    <w:rsid w:val="00E379C1"/>
    <w:rsid w:val="00E37ABB"/>
    <w:rsid w:val="00E37BD3"/>
    <w:rsid w:val="00E37C2E"/>
    <w:rsid w:val="00E37DB3"/>
    <w:rsid w:val="00E4009E"/>
    <w:rsid w:val="00E4012F"/>
    <w:rsid w:val="00E401F6"/>
    <w:rsid w:val="00E40331"/>
    <w:rsid w:val="00E403C4"/>
    <w:rsid w:val="00E40708"/>
    <w:rsid w:val="00E407A3"/>
    <w:rsid w:val="00E4083D"/>
    <w:rsid w:val="00E40870"/>
    <w:rsid w:val="00E408CC"/>
    <w:rsid w:val="00E40EDF"/>
    <w:rsid w:val="00E40EE4"/>
    <w:rsid w:val="00E41016"/>
    <w:rsid w:val="00E410B4"/>
    <w:rsid w:val="00E41430"/>
    <w:rsid w:val="00E41501"/>
    <w:rsid w:val="00E41635"/>
    <w:rsid w:val="00E41694"/>
    <w:rsid w:val="00E4186F"/>
    <w:rsid w:val="00E4190B"/>
    <w:rsid w:val="00E41AE6"/>
    <w:rsid w:val="00E41E69"/>
    <w:rsid w:val="00E423E0"/>
    <w:rsid w:val="00E4246F"/>
    <w:rsid w:val="00E42640"/>
    <w:rsid w:val="00E429A0"/>
    <w:rsid w:val="00E42A55"/>
    <w:rsid w:val="00E42AE8"/>
    <w:rsid w:val="00E42B77"/>
    <w:rsid w:val="00E42BD0"/>
    <w:rsid w:val="00E42CFF"/>
    <w:rsid w:val="00E43002"/>
    <w:rsid w:val="00E43033"/>
    <w:rsid w:val="00E43040"/>
    <w:rsid w:val="00E435C7"/>
    <w:rsid w:val="00E43618"/>
    <w:rsid w:val="00E4361E"/>
    <w:rsid w:val="00E439A6"/>
    <w:rsid w:val="00E439AA"/>
    <w:rsid w:val="00E43B41"/>
    <w:rsid w:val="00E43C95"/>
    <w:rsid w:val="00E43D67"/>
    <w:rsid w:val="00E43D8F"/>
    <w:rsid w:val="00E440B8"/>
    <w:rsid w:val="00E44278"/>
    <w:rsid w:val="00E44468"/>
    <w:rsid w:val="00E448C6"/>
    <w:rsid w:val="00E4495D"/>
    <w:rsid w:val="00E44965"/>
    <w:rsid w:val="00E44A91"/>
    <w:rsid w:val="00E44E8D"/>
    <w:rsid w:val="00E44E9B"/>
    <w:rsid w:val="00E45040"/>
    <w:rsid w:val="00E45046"/>
    <w:rsid w:val="00E4511E"/>
    <w:rsid w:val="00E45237"/>
    <w:rsid w:val="00E453B3"/>
    <w:rsid w:val="00E45454"/>
    <w:rsid w:val="00E45641"/>
    <w:rsid w:val="00E45665"/>
    <w:rsid w:val="00E456C0"/>
    <w:rsid w:val="00E456E9"/>
    <w:rsid w:val="00E457CD"/>
    <w:rsid w:val="00E45915"/>
    <w:rsid w:val="00E45949"/>
    <w:rsid w:val="00E45A95"/>
    <w:rsid w:val="00E45BEC"/>
    <w:rsid w:val="00E45BF5"/>
    <w:rsid w:val="00E45C59"/>
    <w:rsid w:val="00E45DD4"/>
    <w:rsid w:val="00E45EBD"/>
    <w:rsid w:val="00E46003"/>
    <w:rsid w:val="00E4609E"/>
    <w:rsid w:val="00E46106"/>
    <w:rsid w:val="00E463D3"/>
    <w:rsid w:val="00E46457"/>
    <w:rsid w:val="00E46470"/>
    <w:rsid w:val="00E46670"/>
    <w:rsid w:val="00E466CC"/>
    <w:rsid w:val="00E468CF"/>
    <w:rsid w:val="00E468F0"/>
    <w:rsid w:val="00E469B8"/>
    <w:rsid w:val="00E46C81"/>
    <w:rsid w:val="00E47021"/>
    <w:rsid w:val="00E4703D"/>
    <w:rsid w:val="00E47128"/>
    <w:rsid w:val="00E47430"/>
    <w:rsid w:val="00E4775F"/>
    <w:rsid w:val="00E479A5"/>
    <w:rsid w:val="00E47A0F"/>
    <w:rsid w:val="00E47A89"/>
    <w:rsid w:val="00E47B05"/>
    <w:rsid w:val="00E47B16"/>
    <w:rsid w:val="00E47BA4"/>
    <w:rsid w:val="00E47DD6"/>
    <w:rsid w:val="00E47EE5"/>
    <w:rsid w:val="00E47F2C"/>
    <w:rsid w:val="00E500FC"/>
    <w:rsid w:val="00E5014A"/>
    <w:rsid w:val="00E50184"/>
    <w:rsid w:val="00E5021D"/>
    <w:rsid w:val="00E50484"/>
    <w:rsid w:val="00E5069A"/>
    <w:rsid w:val="00E50796"/>
    <w:rsid w:val="00E5085F"/>
    <w:rsid w:val="00E5087F"/>
    <w:rsid w:val="00E509A7"/>
    <w:rsid w:val="00E50CD5"/>
    <w:rsid w:val="00E50D7C"/>
    <w:rsid w:val="00E50DB8"/>
    <w:rsid w:val="00E50DBB"/>
    <w:rsid w:val="00E50DD6"/>
    <w:rsid w:val="00E50FD3"/>
    <w:rsid w:val="00E51047"/>
    <w:rsid w:val="00E51198"/>
    <w:rsid w:val="00E511D3"/>
    <w:rsid w:val="00E51475"/>
    <w:rsid w:val="00E5150D"/>
    <w:rsid w:val="00E518D1"/>
    <w:rsid w:val="00E51A04"/>
    <w:rsid w:val="00E51B82"/>
    <w:rsid w:val="00E51C69"/>
    <w:rsid w:val="00E51D0C"/>
    <w:rsid w:val="00E51D4D"/>
    <w:rsid w:val="00E51D93"/>
    <w:rsid w:val="00E51DE8"/>
    <w:rsid w:val="00E51E3D"/>
    <w:rsid w:val="00E51F9E"/>
    <w:rsid w:val="00E5233C"/>
    <w:rsid w:val="00E5236F"/>
    <w:rsid w:val="00E52385"/>
    <w:rsid w:val="00E523F8"/>
    <w:rsid w:val="00E52467"/>
    <w:rsid w:val="00E525CC"/>
    <w:rsid w:val="00E526B8"/>
    <w:rsid w:val="00E52781"/>
    <w:rsid w:val="00E52A80"/>
    <w:rsid w:val="00E52C0C"/>
    <w:rsid w:val="00E52C86"/>
    <w:rsid w:val="00E52D3A"/>
    <w:rsid w:val="00E52DDB"/>
    <w:rsid w:val="00E52E18"/>
    <w:rsid w:val="00E52FCC"/>
    <w:rsid w:val="00E53096"/>
    <w:rsid w:val="00E530A0"/>
    <w:rsid w:val="00E53101"/>
    <w:rsid w:val="00E53163"/>
    <w:rsid w:val="00E531B9"/>
    <w:rsid w:val="00E533B8"/>
    <w:rsid w:val="00E533C0"/>
    <w:rsid w:val="00E535BF"/>
    <w:rsid w:val="00E53715"/>
    <w:rsid w:val="00E53907"/>
    <w:rsid w:val="00E53F56"/>
    <w:rsid w:val="00E54060"/>
    <w:rsid w:val="00E542B2"/>
    <w:rsid w:val="00E54333"/>
    <w:rsid w:val="00E544D3"/>
    <w:rsid w:val="00E54525"/>
    <w:rsid w:val="00E545B1"/>
    <w:rsid w:val="00E546F3"/>
    <w:rsid w:val="00E547D2"/>
    <w:rsid w:val="00E54F5E"/>
    <w:rsid w:val="00E54FA4"/>
    <w:rsid w:val="00E55501"/>
    <w:rsid w:val="00E556BC"/>
    <w:rsid w:val="00E5582F"/>
    <w:rsid w:val="00E55849"/>
    <w:rsid w:val="00E55A24"/>
    <w:rsid w:val="00E55BF2"/>
    <w:rsid w:val="00E55E94"/>
    <w:rsid w:val="00E55F2D"/>
    <w:rsid w:val="00E56095"/>
    <w:rsid w:val="00E562C3"/>
    <w:rsid w:val="00E562C8"/>
    <w:rsid w:val="00E564DA"/>
    <w:rsid w:val="00E56509"/>
    <w:rsid w:val="00E565C7"/>
    <w:rsid w:val="00E567B1"/>
    <w:rsid w:val="00E5694D"/>
    <w:rsid w:val="00E56953"/>
    <w:rsid w:val="00E569E2"/>
    <w:rsid w:val="00E569EA"/>
    <w:rsid w:val="00E56A01"/>
    <w:rsid w:val="00E56A7E"/>
    <w:rsid w:val="00E56CCA"/>
    <w:rsid w:val="00E56D51"/>
    <w:rsid w:val="00E56D9D"/>
    <w:rsid w:val="00E56DB9"/>
    <w:rsid w:val="00E56DE7"/>
    <w:rsid w:val="00E56F2F"/>
    <w:rsid w:val="00E56F53"/>
    <w:rsid w:val="00E56FB9"/>
    <w:rsid w:val="00E5700F"/>
    <w:rsid w:val="00E5740F"/>
    <w:rsid w:val="00E578D3"/>
    <w:rsid w:val="00E57A1F"/>
    <w:rsid w:val="00E57AD1"/>
    <w:rsid w:val="00E57C95"/>
    <w:rsid w:val="00E57E1D"/>
    <w:rsid w:val="00E60100"/>
    <w:rsid w:val="00E6023C"/>
    <w:rsid w:val="00E603AB"/>
    <w:rsid w:val="00E604A0"/>
    <w:rsid w:val="00E60648"/>
    <w:rsid w:val="00E606A4"/>
    <w:rsid w:val="00E606A8"/>
    <w:rsid w:val="00E60763"/>
    <w:rsid w:val="00E60770"/>
    <w:rsid w:val="00E607F2"/>
    <w:rsid w:val="00E60AFC"/>
    <w:rsid w:val="00E60CF9"/>
    <w:rsid w:val="00E60EB2"/>
    <w:rsid w:val="00E60EF2"/>
    <w:rsid w:val="00E61191"/>
    <w:rsid w:val="00E61264"/>
    <w:rsid w:val="00E612F9"/>
    <w:rsid w:val="00E61421"/>
    <w:rsid w:val="00E6158E"/>
    <w:rsid w:val="00E61624"/>
    <w:rsid w:val="00E6170D"/>
    <w:rsid w:val="00E61825"/>
    <w:rsid w:val="00E6189B"/>
    <w:rsid w:val="00E61B86"/>
    <w:rsid w:val="00E61F25"/>
    <w:rsid w:val="00E61F40"/>
    <w:rsid w:val="00E62025"/>
    <w:rsid w:val="00E62092"/>
    <w:rsid w:val="00E621B2"/>
    <w:rsid w:val="00E621B4"/>
    <w:rsid w:val="00E62225"/>
    <w:rsid w:val="00E62311"/>
    <w:rsid w:val="00E6233B"/>
    <w:rsid w:val="00E6251F"/>
    <w:rsid w:val="00E62594"/>
    <w:rsid w:val="00E6284A"/>
    <w:rsid w:val="00E62858"/>
    <w:rsid w:val="00E6286A"/>
    <w:rsid w:val="00E62959"/>
    <w:rsid w:val="00E62A5A"/>
    <w:rsid w:val="00E62E22"/>
    <w:rsid w:val="00E63040"/>
    <w:rsid w:val="00E63308"/>
    <w:rsid w:val="00E63443"/>
    <w:rsid w:val="00E634DC"/>
    <w:rsid w:val="00E63828"/>
    <w:rsid w:val="00E63A28"/>
    <w:rsid w:val="00E63C15"/>
    <w:rsid w:val="00E63CA3"/>
    <w:rsid w:val="00E63D48"/>
    <w:rsid w:val="00E63F76"/>
    <w:rsid w:val="00E640B5"/>
    <w:rsid w:val="00E64238"/>
    <w:rsid w:val="00E64433"/>
    <w:rsid w:val="00E64568"/>
    <w:rsid w:val="00E645F9"/>
    <w:rsid w:val="00E648F2"/>
    <w:rsid w:val="00E649B5"/>
    <w:rsid w:val="00E64C60"/>
    <w:rsid w:val="00E6513A"/>
    <w:rsid w:val="00E6516F"/>
    <w:rsid w:val="00E65242"/>
    <w:rsid w:val="00E652FD"/>
    <w:rsid w:val="00E65375"/>
    <w:rsid w:val="00E653D5"/>
    <w:rsid w:val="00E655DD"/>
    <w:rsid w:val="00E655F2"/>
    <w:rsid w:val="00E65783"/>
    <w:rsid w:val="00E658DB"/>
    <w:rsid w:val="00E65CCD"/>
    <w:rsid w:val="00E65DF8"/>
    <w:rsid w:val="00E65F50"/>
    <w:rsid w:val="00E65F8D"/>
    <w:rsid w:val="00E66401"/>
    <w:rsid w:val="00E6642A"/>
    <w:rsid w:val="00E6651E"/>
    <w:rsid w:val="00E6659C"/>
    <w:rsid w:val="00E66681"/>
    <w:rsid w:val="00E666DF"/>
    <w:rsid w:val="00E66767"/>
    <w:rsid w:val="00E66780"/>
    <w:rsid w:val="00E667DB"/>
    <w:rsid w:val="00E667E2"/>
    <w:rsid w:val="00E66827"/>
    <w:rsid w:val="00E66895"/>
    <w:rsid w:val="00E66909"/>
    <w:rsid w:val="00E66961"/>
    <w:rsid w:val="00E66C64"/>
    <w:rsid w:val="00E66F63"/>
    <w:rsid w:val="00E66F7A"/>
    <w:rsid w:val="00E67187"/>
    <w:rsid w:val="00E6736B"/>
    <w:rsid w:val="00E679E5"/>
    <w:rsid w:val="00E679F7"/>
    <w:rsid w:val="00E67BB9"/>
    <w:rsid w:val="00E67CAB"/>
    <w:rsid w:val="00E67D07"/>
    <w:rsid w:val="00E67E33"/>
    <w:rsid w:val="00E67E40"/>
    <w:rsid w:val="00E67E41"/>
    <w:rsid w:val="00E67FE6"/>
    <w:rsid w:val="00E70077"/>
    <w:rsid w:val="00E70140"/>
    <w:rsid w:val="00E70298"/>
    <w:rsid w:val="00E70533"/>
    <w:rsid w:val="00E70580"/>
    <w:rsid w:val="00E708A7"/>
    <w:rsid w:val="00E708FA"/>
    <w:rsid w:val="00E70E56"/>
    <w:rsid w:val="00E70EB2"/>
    <w:rsid w:val="00E70EDF"/>
    <w:rsid w:val="00E7106C"/>
    <w:rsid w:val="00E712E1"/>
    <w:rsid w:val="00E71310"/>
    <w:rsid w:val="00E71552"/>
    <w:rsid w:val="00E715C9"/>
    <w:rsid w:val="00E71725"/>
    <w:rsid w:val="00E71852"/>
    <w:rsid w:val="00E71A2C"/>
    <w:rsid w:val="00E71C86"/>
    <w:rsid w:val="00E71CFE"/>
    <w:rsid w:val="00E71D9E"/>
    <w:rsid w:val="00E71DF1"/>
    <w:rsid w:val="00E71FCE"/>
    <w:rsid w:val="00E723CD"/>
    <w:rsid w:val="00E725D8"/>
    <w:rsid w:val="00E72A47"/>
    <w:rsid w:val="00E72A4A"/>
    <w:rsid w:val="00E72C44"/>
    <w:rsid w:val="00E72D75"/>
    <w:rsid w:val="00E72F71"/>
    <w:rsid w:val="00E72FE8"/>
    <w:rsid w:val="00E7314F"/>
    <w:rsid w:val="00E7323F"/>
    <w:rsid w:val="00E73336"/>
    <w:rsid w:val="00E736BD"/>
    <w:rsid w:val="00E73815"/>
    <w:rsid w:val="00E73939"/>
    <w:rsid w:val="00E7395D"/>
    <w:rsid w:val="00E73973"/>
    <w:rsid w:val="00E73AC7"/>
    <w:rsid w:val="00E73EA3"/>
    <w:rsid w:val="00E73EC2"/>
    <w:rsid w:val="00E7402C"/>
    <w:rsid w:val="00E740DE"/>
    <w:rsid w:val="00E74158"/>
    <w:rsid w:val="00E7419E"/>
    <w:rsid w:val="00E741E2"/>
    <w:rsid w:val="00E74244"/>
    <w:rsid w:val="00E74259"/>
    <w:rsid w:val="00E7446D"/>
    <w:rsid w:val="00E7463E"/>
    <w:rsid w:val="00E74674"/>
    <w:rsid w:val="00E747D2"/>
    <w:rsid w:val="00E74831"/>
    <w:rsid w:val="00E74F06"/>
    <w:rsid w:val="00E74F16"/>
    <w:rsid w:val="00E74FA3"/>
    <w:rsid w:val="00E75101"/>
    <w:rsid w:val="00E7518F"/>
    <w:rsid w:val="00E754B8"/>
    <w:rsid w:val="00E757D7"/>
    <w:rsid w:val="00E758DB"/>
    <w:rsid w:val="00E75B49"/>
    <w:rsid w:val="00E75BD7"/>
    <w:rsid w:val="00E75C70"/>
    <w:rsid w:val="00E75FE6"/>
    <w:rsid w:val="00E760E8"/>
    <w:rsid w:val="00E7626F"/>
    <w:rsid w:val="00E764F7"/>
    <w:rsid w:val="00E765D9"/>
    <w:rsid w:val="00E765F4"/>
    <w:rsid w:val="00E76649"/>
    <w:rsid w:val="00E766B5"/>
    <w:rsid w:val="00E7680D"/>
    <w:rsid w:val="00E768CD"/>
    <w:rsid w:val="00E768DE"/>
    <w:rsid w:val="00E76967"/>
    <w:rsid w:val="00E76999"/>
    <w:rsid w:val="00E769B8"/>
    <w:rsid w:val="00E76F62"/>
    <w:rsid w:val="00E76F9D"/>
    <w:rsid w:val="00E7754C"/>
    <w:rsid w:val="00E77577"/>
    <w:rsid w:val="00E775B5"/>
    <w:rsid w:val="00E7762C"/>
    <w:rsid w:val="00E7763D"/>
    <w:rsid w:val="00E77862"/>
    <w:rsid w:val="00E778BF"/>
    <w:rsid w:val="00E77A1E"/>
    <w:rsid w:val="00E77B78"/>
    <w:rsid w:val="00E77C98"/>
    <w:rsid w:val="00E77DE5"/>
    <w:rsid w:val="00E801DA"/>
    <w:rsid w:val="00E80244"/>
    <w:rsid w:val="00E80248"/>
    <w:rsid w:val="00E80253"/>
    <w:rsid w:val="00E802F3"/>
    <w:rsid w:val="00E8037A"/>
    <w:rsid w:val="00E803AE"/>
    <w:rsid w:val="00E805EF"/>
    <w:rsid w:val="00E807D0"/>
    <w:rsid w:val="00E809F7"/>
    <w:rsid w:val="00E80A1E"/>
    <w:rsid w:val="00E80BB1"/>
    <w:rsid w:val="00E80E4C"/>
    <w:rsid w:val="00E80EF7"/>
    <w:rsid w:val="00E81042"/>
    <w:rsid w:val="00E8111B"/>
    <w:rsid w:val="00E8124B"/>
    <w:rsid w:val="00E81264"/>
    <w:rsid w:val="00E81282"/>
    <w:rsid w:val="00E81489"/>
    <w:rsid w:val="00E814AC"/>
    <w:rsid w:val="00E81571"/>
    <w:rsid w:val="00E81622"/>
    <w:rsid w:val="00E81737"/>
    <w:rsid w:val="00E818F8"/>
    <w:rsid w:val="00E81C36"/>
    <w:rsid w:val="00E81C52"/>
    <w:rsid w:val="00E8233F"/>
    <w:rsid w:val="00E82731"/>
    <w:rsid w:val="00E82856"/>
    <w:rsid w:val="00E82885"/>
    <w:rsid w:val="00E828E1"/>
    <w:rsid w:val="00E829EF"/>
    <w:rsid w:val="00E82A7A"/>
    <w:rsid w:val="00E82BD4"/>
    <w:rsid w:val="00E82D87"/>
    <w:rsid w:val="00E830B4"/>
    <w:rsid w:val="00E834EC"/>
    <w:rsid w:val="00E83586"/>
    <w:rsid w:val="00E837D9"/>
    <w:rsid w:val="00E838D9"/>
    <w:rsid w:val="00E83A07"/>
    <w:rsid w:val="00E83A3D"/>
    <w:rsid w:val="00E83C42"/>
    <w:rsid w:val="00E83C60"/>
    <w:rsid w:val="00E83CF6"/>
    <w:rsid w:val="00E8411E"/>
    <w:rsid w:val="00E841A2"/>
    <w:rsid w:val="00E84698"/>
    <w:rsid w:val="00E84892"/>
    <w:rsid w:val="00E84B96"/>
    <w:rsid w:val="00E84BC8"/>
    <w:rsid w:val="00E84C88"/>
    <w:rsid w:val="00E84C93"/>
    <w:rsid w:val="00E84E76"/>
    <w:rsid w:val="00E851A4"/>
    <w:rsid w:val="00E85714"/>
    <w:rsid w:val="00E85757"/>
    <w:rsid w:val="00E85786"/>
    <w:rsid w:val="00E85971"/>
    <w:rsid w:val="00E85C58"/>
    <w:rsid w:val="00E85D2F"/>
    <w:rsid w:val="00E85D88"/>
    <w:rsid w:val="00E85DC8"/>
    <w:rsid w:val="00E8601B"/>
    <w:rsid w:val="00E86093"/>
    <w:rsid w:val="00E861F9"/>
    <w:rsid w:val="00E86213"/>
    <w:rsid w:val="00E862F9"/>
    <w:rsid w:val="00E864CC"/>
    <w:rsid w:val="00E8650D"/>
    <w:rsid w:val="00E86615"/>
    <w:rsid w:val="00E8678A"/>
    <w:rsid w:val="00E867B4"/>
    <w:rsid w:val="00E86A52"/>
    <w:rsid w:val="00E86B1D"/>
    <w:rsid w:val="00E86CDD"/>
    <w:rsid w:val="00E86FA8"/>
    <w:rsid w:val="00E86FDF"/>
    <w:rsid w:val="00E8705A"/>
    <w:rsid w:val="00E87196"/>
    <w:rsid w:val="00E871F5"/>
    <w:rsid w:val="00E872D0"/>
    <w:rsid w:val="00E873A6"/>
    <w:rsid w:val="00E8753A"/>
    <w:rsid w:val="00E87ED6"/>
    <w:rsid w:val="00E87F29"/>
    <w:rsid w:val="00E90314"/>
    <w:rsid w:val="00E905A7"/>
    <w:rsid w:val="00E9062C"/>
    <w:rsid w:val="00E906DD"/>
    <w:rsid w:val="00E907CD"/>
    <w:rsid w:val="00E907FF"/>
    <w:rsid w:val="00E90B0F"/>
    <w:rsid w:val="00E90BBF"/>
    <w:rsid w:val="00E90CEC"/>
    <w:rsid w:val="00E90F7A"/>
    <w:rsid w:val="00E911F1"/>
    <w:rsid w:val="00E9124E"/>
    <w:rsid w:val="00E91592"/>
    <w:rsid w:val="00E915FF"/>
    <w:rsid w:val="00E917B3"/>
    <w:rsid w:val="00E917E1"/>
    <w:rsid w:val="00E918CA"/>
    <w:rsid w:val="00E91A21"/>
    <w:rsid w:val="00E91AE1"/>
    <w:rsid w:val="00E91BA8"/>
    <w:rsid w:val="00E91BAD"/>
    <w:rsid w:val="00E91C38"/>
    <w:rsid w:val="00E92126"/>
    <w:rsid w:val="00E92177"/>
    <w:rsid w:val="00E9220D"/>
    <w:rsid w:val="00E9231B"/>
    <w:rsid w:val="00E9253B"/>
    <w:rsid w:val="00E92783"/>
    <w:rsid w:val="00E9294F"/>
    <w:rsid w:val="00E92C22"/>
    <w:rsid w:val="00E92CBC"/>
    <w:rsid w:val="00E92E1D"/>
    <w:rsid w:val="00E92F00"/>
    <w:rsid w:val="00E92F9A"/>
    <w:rsid w:val="00E93285"/>
    <w:rsid w:val="00E93378"/>
    <w:rsid w:val="00E933DB"/>
    <w:rsid w:val="00E934C6"/>
    <w:rsid w:val="00E935B5"/>
    <w:rsid w:val="00E9372E"/>
    <w:rsid w:val="00E937C1"/>
    <w:rsid w:val="00E939B3"/>
    <w:rsid w:val="00E93C86"/>
    <w:rsid w:val="00E93E77"/>
    <w:rsid w:val="00E94193"/>
    <w:rsid w:val="00E941B6"/>
    <w:rsid w:val="00E94225"/>
    <w:rsid w:val="00E94392"/>
    <w:rsid w:val="00E944B9"/>
    <w:rsid w:val="00E94559"/>
    <w:rsid w:val="00E94606"/>
    <w:rsid w:val="00E9460F"/>
    <w:rsid w:val="00E947C9"/>
    <w:rsid w:val="00E94900"/>
    <w:rsid w:val="00E9493D"/>
    <w:rsid w:val="00E94A17"/>
    <w:rsid w:val="00E94AD5"/>
    <w:rsid w:val="00E94B05"/>
    <w:rsid w:val="00E94B4B"/>
    <w:rsid w:val="00E94D32"/>
    <w:rsid w:val="00E94DE5"/>
    <w:rsid w:val="00E94EAC"/>
    <w:rsid w:val="00E9507A"/>
    <w:rsid w:val="00E950D9"/>
    <w:rsid w:val="00E950E7"/>
    <w:rsid w:val="00E9511B"/>
    <w:rsid w:val="00E95245"/>
    <w:rsid w:val="00E95277"/>
    <w:rsid w:val="00E9571B"/>
    <w:rsid w:val="00E95AE1"/>
    <w:rsid w:val="00E95E3D"/>
    <w:rsid w:val="00E9633B"/>
    <w:rsid w:val="00E963BE"/>
    <w:rsid w:val="00E96607"/>
    <w:rsid w:val="00E966D3"/>
    <w:rsid w:val="00E967D5"/>
    <w:rsid w:val="00E96F33"/>
    <w:rsid w:val="00E97215"/>
    <w:rsid w:val="00E972C3"/>
    <w:rsid w:val="00E9734B"/>
    <w:rsid w:val="00E9746F"/>
    <w:rsid w:val="00E9758C"/>
    <w:rsid w:val="00E97592"/>
    <w:rsid w:val="00E97718"/>
    <w:rsid w:val="00E97758"/>
    <w:rsid w:val="00E97AAB"/>
    <w:rsid w:val="00E97ACA"/>
    <w:rsid w:val="00E97EBD"/>
    <w:rsid w:val="00E97F4A"/>
    <w:rsid w:val="00EA0296"/>
    <w:rsid w:val="00EA02BB"/>
    <w:rsid w:val="00EA0438"/>
    <w:rsid w:val="00EA04FB"/>
    <w:rsid w:val="00EA0846"/>
    <w:rsid w:val="00EA0AB1"/>
    <w:rsid w:val="00EA0DAB"/>
    <w:rsid w:val="00EA1016"/>
    <w:rsid w:val="00EA10A8"/>
    <w:rsid w:val="00EA10B9"/>
    <w:rsid w:val="00EA1127"/>
    <w:rsid w:val="00EA1932"/>
    <w:rsid w:val="00EA1A8B"/>
    <w:rsid w:val="00EA1BD2"/>
    <w:rsid w:val="00EA1D4B"/>
    <w:rsid w:val="00EA1D61"/>
    <w:rsid w:val="00EA1D64"/>
    <w:rsid w:val="00EA1F25"/>
    <w:rsid w:val="00EA22B8"/>
    <w:rsid w:val="00EA22DA"/>
    <w:rsid w:val="00EA246A"/>
    <w:rsid w:val="00EA2514"/>
    <w:rsid w:val="00EA264D"/>
    <w:rsid w:val="00EA2A81"/>
    <w:rsid w:val="00EA2A88"/>
    <w:rsid w:val="00EA2BC4"/>
    <w:rsid w:val="00EA2C91"/>
    <w:rsid w:val="00EA2CC0"/>
    <w:rsid w:val="00EA2D4A"/>
    <w:rsid w:val="00EA2DA3"/>
    <w:rsid w:val="00EA2E8D"/>
    <w:rsid w:val="00EA2FD3"/>
    <w:rsid w:val="00EA3337"/>
    <w:rsid w:val="00EA35D6"/>
    <w:rsid w:val="00EA371D"/>
    <w:rsid w:val="00EA3749"/>
    <w:rsid w:val="00EA3A4A"/>
    <w:rsid w:val="00EA3B64"/>
    <w:rsid w:val="00EA3C60"/>
    <w:rsid w:val="00EA3D3D"/>
    <w:rsid w:val="00EA414A"/>
    <w:rsid w:val="00EA4220"/>
    <w:rsid w:val="00EA4858"/>
    <w:rsid w:val="00EA4933"/>
    <w:rsid w:val="00EA494C"/>
    <w:rsid w:val="00EA49EF"/>
    <w:rsid w:val="00EA4CF7"/>
    <w:rsid w:val="00EA4D9D"/>
    <w:rsid w:val="00EA4DAF"/>
    <w:rsid w:val="00EA4F7F"/>
    <w:rsid w:val="00EA50E2"/>
    <w:rsid w:val="00EA52AF"/>
    <w:rsid w:val="00EA52B7"/>
    <w:rsid w:val="00EA589C"/>
    <w:rsid w:val="00EA5F5D"/>
    <w:rsid w:val="00EA6134"/>
    <w:rsid w:val="00EA6152"/>
    <w:rsid w:val="00EA635A"/>
    <w:rsid w:val="00EA63FF"/>
    <w:rsid w:val="00EA64DF"/>
    <w:rsid w:val="00EA65A8"/>
    <w:rsid w:val="00EA6685"/>
    <w:rsid w:val="00EA6731"/>
    <w:rsid w:val="00EA67F6"/>
    <w:rsid w:val="00EA6C09"/>
    <w:rsid w:val="00EA6F49"/>
    <w:rsid w:val="00EA701E"/>
    <w:rsid w:val="00EA72A2"/>
    <w:rsid w:val="00EA72D6"/>
    <w:rsid w:val="00EA7363"/>
    <w:rsid w:val="00EA73AA"/>
    <w:rsid w:val="00EA7477"/>
    <w:rsid w:val="00EA7598"/>
    <w:rsid w:val="00EA77F3"/>
    <w:rsid w:val="00EA7953"/>
    <w:rsid w:val="00EA7ACD"/>
    <w:rsid w:val="00EA7AE5"/>
    <w:rsid w:val="00EA7BED"/>
    <w:rsid w:val="00EA7DE2"/>
    <w:rsid w:val="00EA7F56"/>
    <w:rsid w:val="00EB0022"/>
    <w:rsid w:val="00EB002F"/>
    <w:rsid w:val="00EB0035"/>
    <w:rsid w:val="00EB04CB"/>
    <w:rsid w:val="00EB0517"/>
    <w:rsid w:val="00EB0563"/>
    <w:rsid w:val="00EB06F0"/>
    <w:rsid w:val="00EB0793"/>
    <w:rsid w:val="00EB079C"/>
    <w:rsid w:val="00EB08D0"/>
    <w:rsid w:val="00EB0B8A"/>
    <w:rsid w:val="00EB0C0B"/>
    <w:rsid w:val="00EB0C0D"/>
    <w:rsid w:val="00EB1100"/>
    <w:rsid w:val="00EB11C1"/>
    <w:rsid w:val="00EB13F8"/>
    <w:rsid w:val="00EB1526"/>
    <w:rsid w:val="00EB168A"/>
    <w:rsid w:val="00EB16F2"/>
    <w:rsid w:val="00EB1759"/>
    <w:rsid w:val="00EB17F1"/>
    <w:rsid w:val="00EB17F2"/>
    <w:rsid w:val="00EB1935"/>
    <w:rsid w:val="00EB19CE"/>
    <w:rsid w:val="00EB1AAE"/>
    <w:rsid w:val="00EB1D76"/>
    <w:rsid w:val="00EB1F37"/>
    <w:rsid w:val="00EB2083"/>
    <w:rsid w:val="00EB2163"/>
    <w:rsid w:val="00EB217F"/>
    <w:rsid w:val="00EB22E3"/>
    <w:rsid w:val="00EB2795"/>
    <w:rsid w:val="00EB27E6"/>
    <w:rsid w:val="00EB2C38"/>
    <w:rsid w:val="00EB2D27"/>
    <w:rsid w:val="00EB2EFA"/>
    <w:rsid w:val="00EB30E5"/>
    <w:rsid w:val="00EB31B5"/>
    <w:rsid w:val="00EB3340"/>
    <w:rsid w:val="00EB347E"/>
    <w:rsid w:val="00EB3654"/>
    <w:rsid w:val="00EB36D8"/>
    <w:rsid w:val="00EB3709"/>
    <w:rsid w:val="00EB3818"/>
    <w:rsid w:val="00EB383F"/>
    <w:rsid w:val="00EB39EC"/>
    <w:rsid w:val="00EB39F1"/>
    <w:rsid w:val="00EB3B30"/>
    <w:rsid w:val="00EB3C11"/>
    <w:rsid w:val="00EB42DA"/>
    <w:rsid w:val="00EB4300"/>
    <w:rsid w:val="00EB4335"/>
    <w:rsid w:val="00EB455C"/>
    <w:rsid w:val="00EB46F9"/>
    <w:rsid w:val="00EB476C"/>
    <w:rsid w:val="00EB492A"/>
    <w:rsid w:val="00EB4A59"/>
    <w:rsid w:val="00EB4A8E"/>
    <w:rsid w:val="00EB4ACB"/>
    <w:rsid w:val="00EB4CEA"/>
    <w:rsid w:val="00EB4D97"/>
    <w:rsid w:val="00EB4DCA"/>
    <w:rsid w:val="00EB5183"/>
    <w:rsid w:val="00EB53B3"/>
    <w:rsid w:val="00EB5477"/>
    <w:rsid w:val="00EB56E6"/>
    <w:rsid w:val="00EB5A2B"/>
    <w:rsid w:val="00EB5AD3"/>
    <w:rsid w:val="00EB5B7D"/>
    <w:rsid w:val="00EB5BEE"/>
    <w:rsid w:val="00EB5D6A"/>
    <w:rsid w:val="00EB5D6C"/>
    <w:rsid w:val="00EB5DBC"/>
    <w:rsid w:val="00EB5FEF"/>
    <w:rsid w:val="00EB615F"/>
    <w:rsid w:val="00EB61CB"/>
    <w:rsid w:val="00EB64BF"/>
    <w:rsid w:val="00EB6584"/>
    <w:rsid w:val="00EB67D8"/>
    <w:rsid w:val="00EB67D9"/>
    <w:rsid w:val="00EB6C25"/>
    <w:rsid w:val="00EB6C4B"/>
    <w:rsid w:val="00EB6DC0"/>
    <w:rsid w:val="00EB6DCF"/>
    <w:rsid w:val="00EB7408"/>
    <w:rsid w:val="00EB75DD"/>
    <w:rsid w:val="00EB7B4B"/>
    <w:rsid w:val="00EB7BE0"/>
    <w:rsid w:val="00EB7F70"/>
    <w:rsid w:val="00EC0029"/>
    <w:rsid w:val="00EC0557"/>
    <w:rsid w:val="00EC0A18"/>
    <w:rsid w:val="00EC0D19"/>
    <w:rsid w:val="00EC0E0D"/>
    <w:rsid w:val="00EC0E6D"/>
    <w:rsid w:val="00EC0F76"/>
    <w:rsid w:val="00EC0FD5"/>
    <w:rsid w:val="00EC10BB"/>
    <w:rsid w:val="00EC1353"/>
    <w:rsid w:val="00EC1433"/>
    <w:rsid w:val="00EC145F"/>
    <w:rsid w:val="00EC15BE"/>
    <w:rsid w:val="00EC16D7"/>
    <w:rsid w:val="00EC17E6"/>
    <w:rsid w:val="00EC184A"/>
    <w:rsid w:val="00EC1A0A"/>
    <w:rsid w:val="00EC1A78"/>
    <w:rsid w:val="00EC1AFC"/>
    <w:rsid w:val="00EC1B6A"/>
    <w:rsid w:val="00EC1B79"/>
    <w:rsid w:val="00EC1D44"/>
    <w:rsid w:val="00EC1E5C"/>
    <w:rsid w:val="00EC1F74"/>
    <w:rsid w:val="00EC1FAB"/>
    <w:rsid w:val="00EC213A"/>
    <w:rsid w:val="00EC217C"/>
    <w:rsid w:val="00EC22D0"/>
    <w:rsid w:val="00EC2379"/>
    <w:rsid w:val="00EC2471"/>
    <w:rsid w:val="00EC24A0"/>
    <w:rsid w:val="00EC2526"/>
    <w:rsid w:val="00EC2883"/>
    <w:rsid w:val="00EC2A12"/>
    <w:rsid w:val="00EC2A50"/>
    <w:rsid w:val="00EC2AE9"/>
    <w:rsid w:val="00EC2BFC"/>
    <w:rsid w:val="00EC2EAF"/>
    <w:rsid w:val="00EC314C"/>
    <w:rsid w:val="00EC32F7"/>
    <w:rsid w:val="00EC35A7"/>
    <w:rsid w:val="00EC36ED"/>
    <w:rsid w:val="00EC387F"/>
    <w:rsid w:val="00EC39B7"/>
    <w:rsid w:val="00EC3A23"/>
    <w:rsid w:val="00EC3A49"/>
    <w:rsid w:val="00EC3AAD"/>
    <w:rsid w:val="00EC3BFA"/>
    <w:rsid w:val="00EC3C12"/>
    <w:rsid w:val="00EC3C8F"/>
    <w:rsid w:val="00EC3F55"/>
    <w:rsid w:val="00EC41C9"/>
    <w:rsid w:val="00EC41E4"/>
    <w:rsid w:val="00EC42B5"/>
    <w:rsid w:val="00EC4662"/>
    <w:rsid w:val="00EC46A3"/>
    <w:rsid w:val="00EC46E4"/>
    <w:rsid w:val="00EC4A08"/>
    <w:rsid w:val="00EC4A9D"/>
    <w:rsid w:val="00EC4CE4"/>
    <w:rsid w:val="00EC4D89"/>
    <w:rsid w:val="00EC4E09"/>
    <w:rsid w:val="00EC4EC0"/>
    <w:rsid w:val="00EC51B8"/>
    <w:rsid w:val="00EC53C5"/>
    <w:rsid w:val="00EC5598"/>
    <w:rsid w:val="00EC55F2"/>
    <w:rsid w:val="00EC5646"/>
    <w:rsid w:val="00EC58D2"/>
    <w:rsid w:val="00EC5964"/>
    <w:rsid w:val="00EC5BA3"/>
    <w:rsid w:val="00EC5C8C"/>
    <w:rsid w:val="00EC5C9F"/>
    <w:rsid w:val="00EC5D40"/>
    <w:rsid w:val="00EC5D8C"/>
    <w:rsid w:val="00EC5E26"/>
    <w:rsid w:val="00EC6281"/>
    <w:rsid w:val="00EC6386"/>
    <w:rsid w:val="00EC6532"/>
    <w:rsid w:val="00EC6534"/>
    <w:rsid w:val="00EC654B"/>
    <w:rsid w:val="00EC6617"/>
    <w:rsid w:val="00EC666A"/>
    <w:rsid w:val="00EC66B3"/>
    <w:rsid w:val="00EC66DC"/>
    <w:rsid w:val="00EC6819"/>
    <w:rsid w:val="00EC6945"/>
    <w:rsid w:val="00EC699F"/>
    <w:rsid w:val="00EC6B37"/>
    <w:rsid w:val="00EC6C69"/>
    <w:rsid w:val="00EC6CCC"/>
    <w:rsid w:val="00EC6EC0"/>
    <w:rsid w:val="00EC6F70"/>
    <w:rsid w:val="00EC6FDC"/>
    <w:rsid w:val="00EC6FDF"/>
    <w:rsid w:val="00EC70C4"/>
    <w:rsid w:val="00EC71E2"/>
    <w:rsid w:val="00EC7270"/>
    <w:rsid w:val="00EC72C7"/>
    <w:rsid w:val="00EC7361"/>
    <w:rsid w:val="00EC7A80"/>
    <w:rsid w:val="00EC7B2B"/>
    <w:rsid w:val="00EC7D26"/>
    <w:rsid w:val="00EC7D58"/>
    <w:rsid w:val="00EC7E98"/>
    <w:rsid w:val="00ED0021"/>
    <w:rsid w:val="00ED00B9"/>
    <w:rsid w:val="00ED00DA"/>
    <w:rsid w:val="00ED00DD"/>
    <w:rsid w:val="00ED0125"/>
    <w:rsid w:val="00ED0329"/>
    <w:rsid w:val="00ED0383"/>
    <w:rsid w:val="00ED0573"/>
    <w:rsid w:val="00ED058C"/>
    <w:rsid w:val="00ED06A1"/>
    <w:rsid w:val="00ED06C3"/>
    <w:rsid w:val="00ED06C9"/>
    <w:rsid w:val="00ED06E7"/>
    <w:rsid w:val="00ED0830"/>
    <w:rsid w:val="00ED0877"/>
    <w:rsid w:val="00ED08E2"/>
    <w:rsid w:val="00ED0924"/>
    <w:rsid w:val="00ED0A00"/>
    <w:rsid w:val="00ED0B7C"/>
    <w:rsid w:val="00ED0FDE"/>
    <w:rsid w:val="00ED1055"/>
    <w:rsid w:val="00ED12E6"/>
    <w:rsid w:val="00ED16C8"/>
    <w:rsid w:val="00ED1764"/>
    <w:rsid w:val="00ED19FA"/>
    <w:rsid w:val="00ED1CB8"/>
    <w:rsid w:val="00ED1D22"/>
    <w:rsid w:val="00ED1D28"/>
    <w:rsid w:val="00ED1E7B"/>
    <w:rsid w:val="00ED2308"/>
    <w:rsid w:val="00ED24A6"/>
    <w:rsid w:val="00ED2514"/>
    <w:rsid w:val="00ED2560"/>
    <w:rsid w:val="00ED2639"/>
    <w:rsid w:val="00ED2763"/>
    <w:rsid w:val="00ED28CE"/>
    <w:rsid w:val="00ED2A29"/>
    <w:rsid w:val="00ED2CDB"/>
    <w:rsid w:val="00ED2DA5"/>
    <w:rsid w:val="00ED2E88"/>
    <w:rsid w:val="00ED2ECA"/>
    <w:rsid w:val="00ED3195"/>
    <w:rsid w:val="00ED31BD"/>
    <w:rsid w:val="00ED31E7"/>
    <w:rsid w:val="00ED330E"/>
    <w:rsid w:val="00ED352C"/>
    <w:rsid w:val="00ED37A3"/>
    <w:rsid w:val="00ED37A7"/>
    <w:rsid w:val="00ED39F1"/>
    <w:rsid w:val="00ED3B53"/>
    <w:rsid w:val="00ED3F4F"/>
    <w:rsid w:val="00ED400C"/>
    <w:rsid w:val="00ED40AA"/>
    <w:rsid w:val="00ED4821"/>
    <w:rsid w:val="00ED488F"/>
    <w:rsid w:val="00ED4932"/>
    <w:rsid w:val="00ED4C61"/>
    <w:rsid w:val="00ED4C77"/>
    <w:rsid w:val="00ED4E0C"/>
    <w:rsid w:val="00ED516B"/>
    <w:rsid w:val="00ED51BE"/>
    <w:rsid w:val="00ED53A9"/>
    <w:rsid w:val="00ED54B0"/>
    <w:rsid w:val="00ED590B"/>
    <w:rsid w:val="00ED5DD1"/>
    <w:rsid w:val="00ED619E"/>
    <w:rsid w:val="00ED648D"/>
    <w:rsid w:val="00ED68AF"/>
    <w:rsid w:val="00ED69B5"/>
    <w:rsid w:val="00ED69CA"/>
    <w:rsid w:val="00ED6A1C"/>
    <w:rsid w:val="00ED6B85"/>
    <w:rsid w:val="00ED6CEC"/>
    <w:rsid w:val="00ED70B2"/>
    <w:rsid w:val="00ED7200"/>
    <w:rsid w:val="00ED7480"/>
    <w:rsid w:val="00ED7526"/>
    <w:rsid w:val="00ED7583"/>
    <w:rsid w:val="00ED7647"/>
    <w:rsid w:val="00ED773D"/>
    <w:rsid w:val="00ED7A36"/>
    <w:rsid w:val="00ED7ACB"/>
    <w:rsid w:val="00ED7B26"/>
    <w:rsid w:val="00ED7CD5"/>
    <w:rsid w:val="00ED7CDE"/>
    <w:rsid w:val="00ED7D23"/>
    <w:rsid w:val="00ED7E4D"/>
    <w:rsid w:val="00ED7E7B"/>
    <w:rsid w:val="00ED7FA6"/>
    <w:rsid w:val="00ED7FFD"/>
    <w:rsid w:val="00EE00AB"/>
    <w:rsid w:val="00EE027B"/>
    <w:rsid w:val="00EE04DE"/>
    <w:rsid w:val="00EE0B5A"/>
    <w:rsid w:val="00EE0E34"/>
    <w:rsid w:val="00EE0EDF"/>
    <w:rsid w:val="00EE108A"/>
    <w:rsid w:val="00EE13BA"/>
    <w:rsid w:val="00EE1557"/>
    <w:rsid w:val="00EE15E4"/>
    <w:rsid w:val="00EE1702"/>
    <w:rsid w:val="00EE1775"/>
    <w:rsid w:val="00EE1A6F"/>
    <w:rsid w:val="00EE1B3F"/>
    <w:rsid w:val="00EE1C4B"/>
    <w:rsid w:val="00EE1EF9"/>
    <w:rsid w:val="00EE1F39"/>
    <w:rsid w:val="00EE209B"/>
    <w:rsid w:val="00EE20C8"/>
    <w:rsid w:val="00EE20DA"/>
    <w:rsid w:val="00EE213C"/>
    <w:rsid w:val="00EE266F"/>
    <w:rsid w:val="00EE26D6"/>
    <w:rsid w:val="00EE2758"/>
    <w:rsid w:val="00EE27A1"/>
    <w:rsid w:val="00EE27EB"/>
    <w:rsid w:val="00EE2C8C"/>
    <w:rsid w:val="00EE2D34"/>
    <w:rsid w:val="00EE2FEE"/>
    <w:rsid w:val="00EE307B"/>
    <w:rsid w:val="00EE3284"/>
    <w:rsid w:val="00EE339E"/>
    <w:rsid w:val="00EE34CB"/>
    <w:rsid w:val="00EE353D"/>
    <w:rsid w:val="00EE36E8"/>
    <w:rsid w:val="00EE3860"/>
    <w:rsid w:val="00EE3902"/>
    <w:rsid w:val="00EE3933"/>
    <w:rsid w:val="00EE3AEA"/>
    <w:rsid w:val="00EE3CC3"/>
    <w:rsid w:val="00EE3D54"/>
    <w:rsid w:val="00EE3E98"/>
    <w:rsid w:val="00EE3F69"/>
    <w:rsid w:val="00EE3FD0"/>
    <w:rsid w:val="00EE40BB"/>
    <w:rsid w:val="00EE4268"/>
    <w:rsid w:val="00EE4376"/>
    <w:rsid w:val="00EE43E7"/>
    <w:rsid w:val="00EE45D4"/>
    <w:rsid w:val="00EE467B"/>
    <w:rsid w:val="00EE46A8"/>
    <w:rsid w:val="00EE4966"/>
    <w:rsid w:val="00EE4AED"/>
    <w:rsid w:val="00EE4CC9"/>
    <w:rsid w:val="00EE4E10"/>
    <w:rsid w:val="00EE4EFA"/>
    <w:rsid w:val="00EE51DD"/>
    <w:rsid w:val="00EE53BE"/>
    <w:rsid w:val="00EE55E5"/>
    <w:rsid w:val="00EE566D"/>
    <w:rsid w:val="00EE57DA"/>
    <w:rsid w:val="00EE5971"/>
    <w:rsid w:val="00EE5BE9"/>
    <w:rsid w:val="00EE5BF0"/>
    <w:rsid w:val="00EE5CE6"/>
    <w:rsid w:val="00EE5DAA"/>
    <w:rsid w:val="00EE600C"/>
    <w:rsid w:val="00EE6059"/>
    <w:rsid w:val="00EE6308"/>
    <w:rsid w:val="00EE6425"/>
    <w:rsid w:val="00EE643D"/>
    <w:rsid w:val="00EE6492"/>
    <w:rsid w:val="00EE64AD"/>
    <w:rsid w:val="00EE64C5"/>
    <w:rsid w:val="00EE66B4"/>
    <w:rsid w:val="00EE66DC"/>
    <w:rsid w:val="00EE6736"/>
    <w:rsid w:val="00EE67F9"/>
    <w:rsid w:val="00EE6837"/>
    <w:rsid w:val="00EE6850"/>
    <w:rsid w:val="00EE69FC"/>
    <w:rsid w:val="00EE6A68"/>
    <w:rsid w:val="00EE6A8D"/>
    <w:rsid w:val="00EE704D"/>
    <w:rsid w:val="00EE70FD"/>
    <w:rsid w:val="00EE71F9"/>
    <w:rsid w:val="00EE74B2"/>
    <w:rsid w:val="00EE7542"/>
    <w:rsid w:val="00EE7776"/>
    <w:rsid w:val="00EE78D2"/>
    <w:rsid w:val="00EE79C9"/>
    <w:rsid w:val="00EE7B28"/>
    <w:rsid w:val="00EE7B73"/>
    <w:rsid w:val="00EE7F8A"/>
    <w:rsid w:val="00EE7FB4"/>
    <w:rsid w:val="00EE7FBF"/>
    <w:rsid w:val="00EF0085"/>
    <w:rsid w:val="00EF0137"/>
    <w:rsid w:val="00EF0491"/>
    <w:rsid w:val="00EF0612"/>
    <w:rsid w:val="00EF08D2"/>
    <w:rsid w:val="00EF0909"/>
    <w:rsid w:val="00EF0C38"/>
    <w:rsid w:val="00EF0DD4"/>
    <w:rsid w:val="00EF0E57"/>
    <w:rsid w:val="00EF10D6"/>
    <w:rsid w:val="00EF1230"/>
    <w:rsid w:val="00EF128C"/>
    <w:rsid w:val="00EF1631"/>
    <w:rsid w:val="00EF166E"/>
    <w:rsid w:val="00EF167F"/>
    <w:rsid w:val="00EF19F8"/>
    <w:rsid w:val="00EF1BFD"/>
    <w:rsid w:val="00EF1C39"/>
    <w:rsid w:val="00EF1C99"/>
    <w:rsid w:val="00EF1D03"/>
    <w:rsid w:val="00EF1F34"/>
    <w:rsid w:val="00EF1FD9"/>
    <w:rsid w:val="00EF2195"/>
    <w:rsid w:val="00EF21A9"/>
    <w:rsid w:val="00EF2276"/>
    <w:rsid w:val="00EF27B5"/>
    <w:rsid w:val="00EF280F"/>
    <w:rsid w:val="00EF2912"/>
    <w:rsid w:val="00EF2AC8"/>
    <w:rsid w:val="00EF2DD7"/>
    <w:rsid w:val="00EF2FF6"/>
    <w:rsid w:val="00EF32B9"/>
    <w:rsid w:val="00EF3300"/>
    <w:rsid w:val="00EF3482"/>
    <w:rsid w:val="00EF36E6"/>
    <w:rsid w:val="00EF374A"/>
    <w:rsid w:val="00EF382E"/>
    <w:rsid w:val="00EF390A"/>
    <w:rsid w:val="00EF39C7"/>
    <w:rsid w:val="00EF3D00"/>
    <w:rsid w:val="00EF3E28"/>
    <w:rsid w:val="00EF4097"/>
    <w:rsid w:val="00EF435E"/>
    <w:rsid w:val="00EF447E"/>
    <w:rsid w:val="00EF494B"/>
    <w:rsid w:val="00EF4A83"/>
    <w:rsid w:val="00EF4AEB"/>
    <w:rsid w:val="00EF4D62"/>
    <w:rsid w:val="00EF4DF5"/>
    <w:rsid w:val="00EF4E6F"/>
    <w:rsid w:val="00EF4F48"/>
    <w:rsid w:val="00EF53F3"/>
    <w:rsid w:val="00EF57C7"/>
    <w:rsid w:val="00EF5991"/>
    <w:rsid w:val="00EF59DD"/>
    <w:rsid w:val="00EF5CE8"/>
    <w:rsid w:val="00EF60E3"/>
    <w:rsid w:val="00EF6555"/>
    <w:rsid w:val="00EF6660"/>
    <w:rsid w:val="00EF685E"/>
    <w:rsid w:val="00EF68FF"/>
    <w:rsid w:val="00EF6DF7"/>
    <w:rsid w:val="00EF6E86"/>
    <w:rsid w:val="00EF7138"/>
    <w:rsid w:val="00EF7243"/>
    <w:rsid w:val="00EF72C9"/>
    <w:rsid w:val="00EF753F"/>
    <w:rsid w:val="00EF78F2"/>
    <w:rsid w:val="00EF7A5E"/>
    <w:rsid w:val="00EF7AF2"/>
    <w:rsid w:val="00EF7FAF"/>
    <w:rsid w:val="00F0000F"/>
    <w:rsid w:val="00F0005A"/>
    <w:rsid w:val="00F0032D"/>
    <w:rsid w:val="00F003EF"/>
    <w:rsid w:val="00F00680"/>
    <w:rsid w:val="00F007B8"/>
    <w:rsid w:val="00F009C7"/>
    <w:rsid w:val="00F00AF7"/>
    <w:rsid w:val="00F00C1B"/>
    <w:rsid w:val="00F00C65"/>
    <w:rsid w:val="00F00C76"/>
    <w:rsid w:val="00F00D4D"/>
    <w:rsid w:val="00F00F49"/>
    <w:rsid w:val="00F0103E"/>
    <w:rsid w:val="00F01066"/>
    <w:rsid w:val="00F0120B"/>
    <w:rsid w:val="00F01255"/>
    <w:rsid w:val="00F012EF"/>
    <w:rsid w:val="00F01342"/>
    <w:rsid w:val="00F013C0"/>
    <w:rsid w:val="00F014C9"/>
    <w:rsid w:val="00F01A91"/>
    <w:rsid w:val="00F01AE3"/>
    <w:rsid w:val="00F01B87"/>
    <w:rsid w:val="00F01DA3"/>
    <w:rsid w:val="00F01DCD"/>
    <w:rsid w:val="00F0222A"/>
    <w:rsid w:val="00F0227F"/>
    <w:rsid w:val="00F02440"/>
    <w:rsid w:val="00F025D7"/>
    <w:rsid w:val="00F02638"/>
    <w:rsid w:val="00F026AF"/>
    <w:rsid w:val="00F02938"/>
    <w:rsid w:val="00F02A09"/>
    <w:rsid w:val="00F02D0E"/>
    <w:rsid w:val="00F02D77"/>
    <w:rsid w:val="00F02D86"/>
    <w:rsid w:val="00F02E08"/>
    <w:rsid w:val="00F03034"/>
    <w:rsid w:val="00F033E6"/>
    <w:rsid w:val="00F037C0"/>
    <w:rsid w:val="00F037E3"/>
    <w:rsid w:val="00F03921"/>
    <w:rsid w:val="00F03943"/>
    <w:rsid w:val="00F03A47"/>
    <w:rsid w:val="00F03A7F"/>
    <w:rsid w:val="00F03C72"/>
    <w:rsid w:val="00F03C82"/>
    <w:rsid w:val="00F03CF8"/>
    <w:rsid w:val="00F03DA4"/>
    <w:rsid w:val="00F03EAE"/>
    <w:rsid w:val="00F04063"/>
    <w:rsid w:val="00F0425F"/>
    <w:rsid w:val="00F04288"/>
    <w:rsid w:val="00F04379"/>
    <w:rsid w:val="00F0440B"/>
    <w:rsid w:val="00F0454D"/>
    <w:rsid w:val="00F045C0"/>
    <w:rsid w:val="00F04628"/>
    <w:rsid w:val="00F048B0"/>
    <w:rsid w:val="00F04A5B"/>
    <w:rsid w:val="00F04BA3"/>
    <w:rsid w:val="00F04CC1"/>
    <w:rsid w:val="00F04CD7"/>
    <w:rsid w:val="00F04E51"/>
    <w:rsid w:val="00F05096"/>
    <w:rsid w:val="00F055FD"/>
    <w:rsid w:val="00F056EE"/>
    <w:rsid w:val="00F0571A"/>
    <w:rsid w:val="00F05A82"/>
    <w:rsid w:val="00F05B30"/>
    <w:rsid w:val="00F05B47"/>
    <w:rsid w:val="00F05CBA"/>
    <w:rsid w:val="00F05F9A"/>
    <w:rsid w:val="00F05FC6"/>
    <w:rsid w:val="00F06136"/>
    <w:rsid w:val="00F063F1"/>
    <w:rsid w:val="00F064ED"/>
    <w:rsid w:val="00F068A3"/>
    <w:rsid w:val="00F068C4"/>
    <w:rsid w:val="00F06ABA"/>
    <w:rsid w:val="00F06C7F"/>
    <w:rsid w:val="00F06DF2"/>
    <w:rsid w:val="00F06E30"/>
    <w:rsid w:val="00F07297"/>
    <w:rsid w:val="00F07302"/>
    <w:rsid w:val="00F073E9"/>
    <w:rsid w:val="00F07495"/>
    <w:rsid w:val="00F075BE"/>
    <w:rsid w:val="00F075FC"/>
    <w:rsid w:val="00F07694"/>
    <w:rsid w:val="00F076D0"/>
    <w:rsid w:val="00F076F6"/>
    <w:rsid w:val="00F078CB"/>
    <w:rsid w:val="00F078E0"/>
    <w:rsid w:val="00F0793A"/>
    <w:rsid w:val="00F07947"/>
    <w:rsid w:val="00F07AF8"/>
    <w:rsid w:val="00F07BDD"/>
    <w:rsid w:val="00F07C68"/>
    <w:rsid w:val="00F07DB5"/>
    <w:rsid w:val="00F07F41"/>
    <w:rsid w:val="00F07F5F"/>
    <w:rsid w:val="00F100C1"/>
    <w:rsid w:val="00F1011C"/>
    <w:rsid w:val="00F10142"/>
    <w:rsid w:val="00F107EE"/>
    <w:rsid w:val="00F10A4E"/>
    <w:rsid w:val="00F10CBA"/>
    <w:rsid w:val="00F10CE3"/>
    <w:rsid w:val="00F10D9A"/>
    <w:rsid w:val="00F110AE"/>
    <w:rsid w:val="00F11224"/>
    <w:rsid w:val="00F114CF"/>
    <w:rsid w:val="00F116CC"/>
    <w:rsid w:val="00F11747"/>
    <w:rsid w:val="00F1181A"/>
    <w:rsid w:val="00F11906"/>
    <w:rsid w:val="00F119AE"/>
    <w:rsid w:val="00F11A89"/>
    <w:rsid w:val="00F11B16"/>
    <w:rsid w:val="00F11D94"/>
    <w:rsid w:val="00F12046"/>
    <w:rsid w:val="00F120D2"/>
    <w:rsid w:val="00F12203"/>
    <w:rsid w:val="00F1236E"/>
    <w:rsid w:val="00F12549"/>
    <w:rsid w:val="00F12611"/>
    <w:rsid w:val="00F127B3"/>
    <w:rsid w:val="00F129BD"/>
    <w:rsid w:val="00F12AB4"/>
    <w:rsid w:val="00F12BB1"/>
    <w:rsid w:val="00F12BF4"/>
    <w:rsid w:val="00F12D19"/>
    <w:rsid w:val="00F12FFB"/>
    <w:rsid w:val="00F13066"/>
    <w:rsid w:val="00F13159"/>
    <w:rsid w:val="00F131A7"/>
    <w:rsid w:val="00F1321E"/>
    <w:rsid w:val="00F132DC"/>
    <w:rsid w:val="00F13408"/>
    <w:rsid w:val="00F13487"/>
    <w:rsid w:val="00F13688"/>
    <w:rsid w:val="00F136CA"/>
    <w:rsid w:val="00F136EC"/>
    <w:rsid w:val="00F138ED"/>
    <w:rsid w:val="00F138EF"/>
    <w:rsid w:val="00F13CA9"/>
    <w:rsid w:val="00F13D6F"/>
    <w:rsid w:val="00F13E49"/>
    <w:rsid w:val="00F1412A"/>
    <w:rsid w:val="00F142C2"/>
    <w:rsid w:val="00F14366"/>
    <w:rsid w:val="00F14367"/>
    <w:rsid w:val="00F145E8"/>
    <w:rsid w:val="00F14671"/>
    <w:rsid w:val="00F146B7"/>
    <w:rsid w:val="00F14723"/>
    <w:rsid w:val="00F147CF"/>
    <w:rsid w:val="00F149A8"/>
    <w:rsid w:val="00F14C2F"/>
    <w:rsid w:val="00F14C62"/>
    <w:rsid w:val="00F14DA7"/>
    <w:rsid w:val="00F14E7F"/>
    <w:rsid w:val="00F14F69"/>
    <w:rsid w:val="00F15017"/>
    <w:rsid w:val="00F1526B"/>
    <w:rsid w:val="00F155EC"/>
    <w:rsid w:val="00F15660"/>
    <w:rsid w:val="00F15671"/>
    <w:rsid w:val="00F156F7"/>
    <w:rsid w:val="00F1588F"/>
    <w:rsid w:val="00F1591B"/>
    <w:rsid w:val="00F15976"/>
    <w:rsid w:val="00F1603D"/>
    <w:rsid w:val="00F1621B"/>
    <w:rsid w:val="00F16291"/>
    <w:rsid w:val="00F1643A"/>
    <w:rsid w:val="00F164E0"/>
    <w:rsid w:val="00F16541"/>
    <w:rsid w:val="00F168D6"/>
    <w:rsid w:val="00F16B4B"/>
    <w:rsid w:val="00F16EC4"/>
    <w:rsid w:val="00F171EE"/>
    <w:rsid w:val="00F17236"/>
    <w:rsid w:val="00F17348"/>
    <w:rsid w:val="00F174A8"/>
    <w:rsid w:val="00F17895"/>
    <w:rsid w:val="00F17A83"/>
    <w:rsid w:val="00F17C1D"/>
    <w:rsid w:val="00F17D32"/>
    <w:rsid w:val="00F17D49"/>
    <w:rsid w:val="00F17DCE"/>
    <w:rsid w:val="00F17F13"/>
    <w:rsid w:val="00F17FD5"/>
    <w:rsid w:val="00F200C4"/>
    <w:rsid w:val="00F20109"/>
    <w:rsid w:val="00F2040B"/>
    <w:rsid w:val="00F204B5"/>
    <w:rsid w:val="00F208DA"/>
    <w:rsid w:val="00F20AE5"/>
    <w:rsid w:val="00F20AFC"/>
    <w:rsid w:val="00F20BFB"/>
    <w:rsid w:val="00F210B5"/>
    <w:rsid w:val="00F2112D"/>
    <w:rsid w:val="00F2118B"/>
    <w:rsid w:val="00F213E7"/>
    <w:rsid w:val="00F216D9"/>
    <w:rsid w:val="00F21861"/>
    <w:rsid w:val="00F21863"/>
    <w:rsid w:val="00F21A5C"/>
    <w:rsid w:val="00F21CE1"/>
    <w:rsid w:val="00F21D7D"/>
    <w:rsid w:val="00F21EBB"/>
    <w:rsid w:val="00F2220B"/>
    <w:rsid w:val="00F2288A"/>
    <w:rsid w:val="00F229B6"/>
    <w:rsid w:val="00F22A5A"/>
    <w:rsid w:val="00F22B22"/>
    <w:rsid w:val="00F22B97"/>
    <w:rsid w:val="00F22D71"/>
    <w:rsid w:val="00F22DB5"/>
    <w:rsid w:val="00F22DF4"/>
    <w:rsid w:val="00F22FA9"/>
    <w:rsid w:val="00F23136"/>
    <w:rsid w:val="00F23138"/>
    <w:rsid w:val="00F23188"/>
    <w:rsid w:val="00F231CA"/>
    <w:rsid w:val="00F232E0"/>
    <w:rsid w:val="00F23595"/>
    <w:rsid w:val="00F23635"/>
    <w:rsid w:val="00F23960"/>
    <w:rsid w:val="00F23A73"/>
    <w:rsid w:val="00F23ADA"/>
    <w:rsid w:val="00F23AE1"/>
    <w:rsid w:val="00F23C09"/>
    <w:rsid w:val="00F23C4A"/>
    <w:rsid w:val="00F23DAC"/>
    <w:rsid w:val="00F24091"/>
    <w:rsid w:val="00F2434B"/>
    <w:rsid w:val="00F2453D"/>
    <w:rsid w:val="00F24649"/>
    <w:rsid w:val="00F247BC"/>
    <w:rsid w:val="00F247DF"/>
    <w:rsid w:val="00F248A6"/>
    <w:rsid w:val="00F248BB"/>
    <w:rsid w:val="00F2491B"/>
    <w:rsid w:val="00F2494C"/>
    <w:rsid w:val="00F249F6"/>
    <w:rsid w:val="00F24C26"/>
    <w:rsid w:val="00F24CB0"/>
    <w:rsid w:val="00F25031"/>
    <w:rsid w:val="00F25062"/>
    <w:rsid w:val="00F2514B"/>
    <w:rsid w:val="00F2516E"/>
    <w:rsid w:val="00F25289"/>
    <w:rsid w:val="00F253E8"/>
    <w:rsid w:val="00F253F9"/>
    <w:rsid w:val="00F25497"/>
    <w:rsid w:val="00F2579C"/>
    <w:rsid w:val="00F25957"/>
    <w:rsid w:val="00F25BB7"/>
    <w:rsid w:val="00F25C9F"/>
    <w:rsid w:val="00F25D85"/>
    <w:rsid w:val="00F25DA7"/>
    <w:rsid w:val="00F25E90"/>
    <w:rsid w:val="00F25EE6"/>
    <w:rsid w:val="00F25F10"/>
    <w:rsid w:val="00F26014"/>
    <w:rsid w:val="00F2602B"/>
    <w:rsid w:val="00F26349"/>
    <w:rsid w:val="00F263CC"/>
    <w:rsid w:val="00F26469"/>
    <w:rsid w:val="00F26970"/>
    <w:rsid w:val="00F26A43"/>
    <w:rsid w:val="00F26BF4"/>
    <w:rsid w:val="00F26C3D"/>
    <w:rsid w:val="00F26CCA"/>
    <w:rsid w:val="00F26DF0"/>
    <w:rsid w:val="00F26EA7"/>
    <w:rsid w:val="00F27067"/>
    <w:rsid w:val="00F270F6"/>
    <w:rsid w:val="00F27379"/>
    <w:rsid w:val="00F2743D"/>
    <w:rsid w:val="00F27471"/>
    <w:rsid w:val="00F27562"/>
    <w:rsid w:val="00F2767E"/>
    <w:rsid w:val="00F27D5D"/>
    <w:rsid w:val="00F27DA5"/>
    <w:rsid w:val="00F27E24"/>
    <w:rsid w:val="00F27E4D"/>
    <w:rsid w:val="00F27E60"/>
    <w:rsid w:val="00F27F1E"/>
    <w:rsid w:val="00F27F5D"/>
    <w:rsid w:val="00F27F75"/>
    <w:rsid w:val="00F30212"/>
    <w:rsid w:val="00F302CE"/>
    <w:rsid w:val="00F30306"/>
    <w:rsid w:val="00F3030A"/>
    <w:rsid w:val="00F304C4"/>
    <w:rsid w:val="00F3057A"/>
    <w:rsid w:val="00F3087E"/>
    <w:rsid w:val="00F30A7B"/>
    <w:rsid w:val="00F30C1D"/>
    <w:rsid w:val="00F30E0A"/>
    <w:rsid w:val="00F30E53"/>
    <w:rsid w:val="00F31083"/>
    <w:rsid w:val="00F311AF"/>
    <w:rsid w:val="00F31513"/>
    <w:rsid w:val="00F31688"/>
    <w:rsid w:val="00F31764"/>
    <w:rsid w:val="00F317DA"/>
    <w:rsid w:val="00F31F44"/>
    <w:rsid w:val="00F32056"/>
    <w:rsid w:val="00F3208B"/>
    <w:rsid w:val="00F3212A"/>
    <w:rsid w:val="00F3219E"/>
    <w:rsid w:val="00F32392"/>
    <w:rsid w:val="00F32402"/>
    <w:rsid w:val="00F324E4"/>
    <w:rsid w:val="00F32510"/>
    <w:rsid w:val="00F32540"/>
    <w:rsid w:val="00F32587"/>
    <w:rsid w:val="00F32619"/>
    <w:rsid w:val="00F32B77"/>
    <w:rsid w:val="00F32BDE"/>
    <w:rsid w:val="00F32FB2"/>
    <w:rsid w:val="00F33106"/>
    <w:rsid w:val="00F331D9"/>
    <w:rsid w:val="00F3326E"/>
    <w:rsid w:val="00F337D2"/>
    <w:rsid w:val="00F3385A"/>
    <w:rsid w:val="00F338EA"/>
    <w:rsid w:val="00F33AC3"/>
    <w:rsid w:val="00F34198"/>
    <w:rsid w:val="00F342B4"/>
    <w:rsid w:val="00F34325"/>
    <w:rsid w:val="00F34458"/>
    <w:rsid w:val="00F344BD"/>
    <w:rsid w:val="00F3453A"/>
    <w:rsid w:val="00F349E6"/>
    <w:rsid w:val="00F34B5F"/>
    <w:rsid w:val="00F34DA3"/>
    <w:rsid w:val="00F34DF5"/>
    <w:rsid w:val="00F350CA"/>
    <w:rsid w:val="00F35240"/>
    <w:rsid w:val="00F353FB"/>
    <w:rsid w:val="00F35473"/>
    <w:rsid w:val="00F354A4"/>
    <w:rsid w:val="00F35534"/>
    <w:rsid w:val="00F3586F"/>
    <w:rsid w:val="00F35A8E"/>
    <w:rsid w:val="00F35D1D"/>
    <w:rsid w:val="00F35FBF"/>
    <w:rsid w:val="00F35FF7"/>
    <w:rsid w:val="00F36357"/>
    <w:rsid w:val="00F36498"/>
    <w:rsid w:val="00F36676"/>
    <w:rsid w:val="00F366B0"/>
    <w:rsid w:val="00F3672A"/>
    <w:rsid w:val="00F36779"/>
    <w:rsid w:val="00F369AF"/>
    <w:rsid w:val="00F36E39"/>
    <w:rsid w:val="00F36E4A"/>
    <w:rsid w:val="00F36EE0"/>
    <w:rsid w:val="00F36F76"/>
    <w:rsid w:val="00F3726F"/>
    <w:rsid w:val="00F376F0"/>
    <w:rsid w:val="00F37AE7"/>
    <w:rsid w:val="00F37B45"/>
    <w:rsid w:val="00F37BF1"/>
    <w:rsid w:val="00F37C3A"/>
    <w:rsid w:val="00F37CC0"/>
    <w:rsid w:val="00F37DA4"/>
    <w:rsid w:val="00F37DC0"/>
    <w:rsid w:val="00F37EBD"/>
    <w:rsid w:val="00F404F6"/>
    <w:rsid w:val="00F4051A"/>
    <w:rsid w:val="00F40C6D"/>
    <w:rsid w:val="00F40E88"/>
    <w:rsid w:val="00F40F95"/>
    <w:rsid w:val="00F41090"/>
    <w:rsid w:val="00F4115B"/>
    <w:rsid w:val="00F41197"/>
    <w:rsid w:val="00F411A6"/>
    <w:rsid w:val="00F412ED"/>
    <w:rsid w:val="00F41343"/>
    <w:rsid w:val="00F41445"/>
    <w:rsid w:val="00F414B4"/>
    <w:rsid w:val="00F415E2"/>
    <w:rsid w:val="00F4165A"/>
    <w:rsid w:val="00F41677"/>
    <w:rsid w:val="00F4188F"/>
    <w:rsid w:val="00F41AFD"/>
    <w:rsid w:val="00F41B85"/>
    <w:rsid w:val="00F41B8F"/>
    <w:rsid w:val="00F41C79"/>
    <w:rsid w:val="00F41DEE"/>
    <w:rsid w:val="00F41DFC"/>
    <w:rsid w:val="00F41EF3"/>
    <w:rsid w:val="00F41F21"/>
    <w:rsid w:val="00F421F7"/>
    <w:rsid w:val="00F42328"/>
    <w:rsid w:val="00F423FF"/>
    <w:rsid w:val="00F425AC"/>
    <w:rsid w:val="00F42671"/>
    <w:rsid w:val="00F42739"/>
    <w:rsid w:val="00F4283E"/>
    <w:rsid w:val="00F42B86"/>
    <w:rsid w:val="00F42C68"/>
    <w:rsid w:val="00F42CD0"/>
    <w:rsid w:val="00F42CF5"/>
    <w:rsid w:val="00F42F56"/>
    <w:rsid w:val="00F43019"/>
    <w:rsid w:val="00F431C3"/>
    <w:rsid w:val="00F433CD"/>
    <w:rsid w:val="00F4353D"/>
    <w:rsid w:val="00F436A6"/>
    <w:rsid w:val="00F436B5"/>
    <w:rsid w:val="00F436DC"/>
    <w:rsid w:val="00F43863"/>
    <w:rsid w:val="00F438E9"/>
    <w:rsid w:val="00F43ADC"/>
    <w:rsid w:val="00F43B0C"/>
    <w:rsid w:val="00F43F3B"/>
    <w:rsid w:val="00F44084"/>
    <w:rsid w:val="00F44105"/>
    <w:rsid w:val="00F44173"/>
    <w:rsid w:val="00F441D9"/>
    <w:rsid w:val="00F442F9"/>
    <w:rsid w:val="00F44311"/>
    <w:rsid w:val="00F443A8"/>
    <w:rsid w:val="00F4444E"/>
    <w:rsid w:val="00F444A7"/>
    <w:rsid w:val="00F444FE"/>
    <w:rsid w:val="00F4456D"/>
    <w:rsid w:val="00F4470B"/>
    <w:rsid w:val="00F44713"/>
    <w:rsid w:val="00F44728"/>
    <w:rsid w:val="00F449C0"/>
    <w:rsid w:val="00F44B10"/>
    <w:rsid w:val="00F45022"/>
    <w:rsid w:val="00F4512A"/>
    <w:rsid w:val="00F45268"/>
    <w:rsid w:val="00F452A6"/>
    <w:rsid w:val="00F4565F"/>
    <w:rsid w:val="00F4567F"/>
    <w:rsid w:val="00F459D3"/>
    <w:rsid w:val="00F45D9A"/>
    <w:rsid w:val="00F45F31"/>
    <w:rsid w:val="00F46037"/>
    <w:rsid w:val="00F46040"/>
    <w:rsid w:val="00F4617B"/>
    <w:rsid w:val="00F461BB"/>
    <w:rsid w:val="00F463F0"/>
    <w:rsid w:val="00F464E2"/>
    <w:rsid w:val="00F46588"/>
    <w:rsid w:val="00F46628"/>
    <w:rsid w:val="00F46AF9"/>
    <w:rsid w:val="00F46C07"/>
    <w:rsid w:val="00F46E7E"/>
    <w:rsid w:val="00F46EBA"/>
    <w:rsid w:val="00F47300"/>
    <w:rsid w:val="00F47927"/>
    <w:rsid w:val="00F479D6"/>
    <w:rsid w:val="00F47B58"/>
    <w:rsid w:val="00F47B62"/>
    <w:rsid w:val="00F47BA1"/>
    <w:rsid w:val="00F47BA7"/>
    <w:rsid w:val="00F47CC5"/>
    <w:rsid w:val="00F47D10"/>
    <w:rsid w:val="00F47D62"/>
    <w:rsid w:val="00F47E2E"/>
    <w:rsid w:val="00F47EE2"/>
    <w:rsid w:val="00F47F74"/>
    <w:rsid w:val="00F50090"/>
    <w:rsid w:val="00F502EF"/>
    <w:rsid w:val="00F504EB"/>
    <w:rsid w:val="00F50520"/>
    <w:rsid w:val="00F505FC"/>
    <w:rsid w:val="00F5069B"/>
    <w:rsid w:val="00F5070C"/>
    <w:rsid w:val="00F5075E"/>
    <w:rsid w:val="00F508A1"/>
    <w:rsid w:val="00F508F4"/>
    <w:rsid w:val="00F50AE4"/>
    <w:rsid w:val="00F50C79"/>
    <w:rsid w:val="00F50C7E"/>
    <w:rsid w:val="00F50C8E"/>
    <w:rsid w:val="00F50CB0"/>
    <w:rsid w:val="00F50CCB"/>
    <w:rsid w:val="00F50D2F"/>
    <w:rsid w:val="00F50FDF"/>
    <w:rsid w:val="00F510F7"/>
    <w:rsid w:val="00F51428"/>
    <w:rsid w:val="00F515C9"/>
    <w:rsid w:val="00F51A29"/>
    <w:rsid w:val="00F51BC1"/>
    <w:rsid w:val="00F51BD9"/>
    <w:rsid w:val="00F51E86"/>
    <w:rsid w:val="00F51FB4"/>
    <w:rsid w:val="00F523C1"/>
    <w:rsid w:val="00F5290A"/>
    <w:rsid w:val="00F52B51"/>
    <w:rsid w:val="00F52BE6"/>
    <w:rsid w:val="00F52CE8"/>
    <w:rsid w:val="00F52D62"/>
    <w:rsid w:val="00F52EDF"/>
    <w:rsid w:val="00F52F93"/>
    <w:rsid w:val="00F53097"/>
    <w:rsid w:val="00F53231"/>
    <w:rsid w:val="00F532E0"/>
    <w:rsid w:val="00F53341"/>
    <w:rsid w:val="00F53356"/>
    <w:rsid w:val="00F534E7"/>
    <w:rsid w:val="00F535BC"/>
    <w:rsid w:val="00F535E1"/>
    <w:rsid w:val="00F53A10"/>
    <w:rsid w:val="00F53A90"/>
    <w:rsid w:val="00F53C89"/>
    <w:rsid w:val="00F53E57"/>
    <w:rsid w:val="00F540A3"/>
    <w:rsid w:val="00F541E7"/>
    <w:rsid w:val="00F54344"/>
    <w:rsid w:val="00F544D3"/>
    <w:rsid w:val="00F545BB"/>
    <w:rsid w:val="00F54657"/>
    <w:rsid w:val="00F54A14"/>
    <w:rsid w:val="00F54CA8"/>
    <w:rsid w:val="00F54CB8"/>
    <w:rsid w:val="00F54E8F"/>
    <w:rsid w:val="00F54EEE"/>
    <w:rsid w:val="00F54F94"/>
    <w:rsid w:val="00F54FE8"/>
    <w:rsid w:val="00F55031"/>
    <w:rsid w:val="00F55057"/>
    <w:rsid w:val="00F550A7"/>
    <w:rsid w:val="00F5519F"/>
    <w:rsid w:val="00F55244"/>
    <w:rsid w:val="00F5539D"/>
    <w:rsid w:val="00F55578"/>
    <w:rsid w:val="00F55586"/>
    <w:rsid w:val="00F55828"/>
    <w:rsid w:val="00F55BEB"/>
    <w:rsid w:val="00F55CFD"/>
    <w:rsid w:val="00F55F84"/>
    <w:rsid w:val="00F55F91"/>
    <w:rsid w:val="00F56117"/>
    <w:rsid w:val="00F56534"/>
    <w:rsid w:val="00F566F1"/>
    <w:rsid w:val="00F5680E"/>
    <w:rsid w:val="00F56BBA"/>
    <w:rsid w:val="00F56BE8"/>
    <w:rsid w:val="00F56C20"/>
    <w:rsid w:val="00F56D45"/>
    <w:rsid w:val="00F56DC0"/>
    <w:rsid w:val="00F56F88"/>
    <w:rsid w:val="00F571A6"/>
    <w:rsid w:val="00F571F4"/>
    <w:rsid w:val="00F573E2"/>
    <w:rsid w:val="00F57638"/>
    <w:rsid w:val="00F576F0"/>
    <w:rsid w:val="00F576F2"/>
    <w:rsid w:val="00F578D9"/>
    <w:rsid w:val="00F57BE2"/>
    <w:rsid w:val="00F57BFA"/>
    <w:rsid w:val="00F57CB0"/>
    <w:rsid w:val="00F57F1D"/>
    <w:rsid w:val="00F57FE6"/>
    <w:rsid w:val="00F60057"/>
    <w:rsid w:val="00F600BF"/>
    <w:rsid w:val="00F600D3"/>
    <w:rsid w:val="00F60452"/>
    <w:rsid w:val="00F60468"/>
    <w:rsid w:val="00F604AC"/>
    <w:rsid w:val="00F60550"/>
    <w:rsid w:val="00F605E1"/>
    <w:rsid w:val="00F606D8"/>
    <w:rsid w:val="00F60887"/>
    <w:rsid w:val="00F60894"/>
    <w:rsid w:val="00F60F38"/>
    <w:rsid w:val="00F610C0"/>
    <w:rsid w:val="00F611B8"/>
    <w:rsid w:val="00F61216"/>
    <w:rsid w:val="00F61253"/>
    <w:rsid w:val="00F612C8"/>
    <w:rsid w:val="00F61407"/>
    <w:rsid w:val="00F6154D"/>
    <w:rsid w:val="00F6168F"/>
    <w:rsid w:val="00F61770"/>
    <w:rsid w:val="00F6187D"/>
    <w:rsid w:val="00F61A93"/>
    <w:rsid w:val="00F61B57"/>
    <w:rsid w:val="00F61BAC"/>
    <w:rsid w:val="00F61BC4"/>
    <w:rsid w:val="00F61C0B"/>
    <w:rsid w:val="00F61DE6"/>
    <w:rsid w:val="00F61E09"/>
    <w:rsid w:val="00F61E28"/>
    <w:rsid w:val="00F62151"/>
    <w:rsid w:val="00F6217D"/>
    <w:rsid w:val="00F62316"/>
    <w:rsid w:val="00F625BE"/>
    <w:rsid w:val="00F6267B"/>
    <w:rsid w:val="00F62831"/>
    <w:rsid w:val="00F62A6B"/>
    <w:rsid w:val="00F62AEC"/>
    <w:rsid w:val="00F62F15"/>
    <w:rsid w:val="00F630BA"/>
    <w:rsid w:val="00F630FB"/>
    <w:rsid w:val="00F63147"/>
    <w:rsid w:val="00F631C7"/>
    <w:rsid w:val="00F631CF"/>
    <w:rsid w:val="00F63444"/>
    <w:rsid w:val="00F634D4"/>
    <w:rsid w:val="00F636A6"/>
    <w:rsid w:val="00F6385D"/>
    <w:rsid w:val="00F63BCD"/>
    <w:rsid w:val="00F63D23"/>
    <w:rsid w:val="00F63DB0"/>
    <w:rsid w:val="00F63EC1"/>
    <w:rsid w:val="00F63FCD"/>
    <w:rsid w:val="00F64157"/>
    <w:rsid w:val="00F641C4"/>
    <w:rsid w:val="00F64211"/>
    <w:rsid w:val="00F642DC"/>
    <w:rsid w:val="00F645A8"/>
    <w:rsid w:val="00F64697"/>
    <w:rsid w:val="00F6484C"/>
    <w:rsid w:val="00F64D09"/>
    <w:rsid w:val="00F64D5D"/>
    <w:rsid w:val="00F650C5"/>
    <w:rsid w:val="00F653B6"/>
    <w:rsid w:val="00F6541A"/>
    <w:rsid w:val="00F6563A"/>
    <w:rsid w:val="00F65812"/>
    <w:rsid w:val="00F65872"/>
    <w:rsid w:val="00F6591A"/>
    <w:rsid w:val="00F65A3A"/>
    <w:rsid w:val="00F65A4F"/>
    <w:rsid w:val="00F65B26"/>
    <w:rsid w:val="00F65D38"/>
    <w:rsid w:val="00F65E29"/>
    <w:rsid w:val="00F66048"/>
    <w:rsid w:val="00F66179"/>
    <w:rsid w:val="00F661E3"/>
    <w:rsid w:val="00F66332"/>
    <w:rsid w:val="00F66511"/>
    <w:rsid w:val="00F6660F"/>
    <w:rsid w:val="00F66773"/>
    <w:rsid w:val="00F66776"/>
    <w:rsid w:val="00F6678E"/>
    <w:rsid w:val="00F6688D"/>
    <w:rsid w:val="00F66A3B"/>
    <w:rsid w:val="00F66AA5"/>
    <w:rsid w:val="00F66ABE"/>
    <w:rsid w:val="00F66BAF"/>
    <w:rsid w:val="00F66BC3"/>
    <w:rsid w:val="00F66BE1"/>
    <w:rsid w:val="00F66D8A"/>
    <w:rsid w:val="00F66FE7"/>
    <w:rsid w:val="00F67100"/>
    <w:rsid w:val="00F67323"/>
    <w:rsid w:val="00F67392"/>
    <w:rsid w:val="00F67495"/>
    <w:rsid w:val="00F674C1"/>
    <w:rsid w:val="00F6753F"/>
    <w:rsid w:val="00F67593"/>
    <w:rsid w:val="00F67998"/>
    <w:rsid w:val="00F67AF5"/>
    <w:rsid w:val="00F67BD2"/>
    <w:rsid w:val="00F67BD5"/>
    <w:rsid w:val="00F67CE6"/>
    <w:rsid w:val="00F67D16"/>
    <w:rsid w:val="00F67DBD"/>
    <w:rsid w:val="00F67EA0"/>
    <w:rsid w:val="00F67EFD"/>
    <w:rsid w:val="00F7000C"/>
    <w:rsid w:val="00F700FE"/>
    <w:rsid w:val="00F704A6"/>
    <w:rsid w:val="00F7058D"/>
    <w:rsid w:val="00F705A6"/>
    <w:rsid w:val="00F70993"/>
    <w:rsid w:val="00F709B6"/>
    <w:rsid w:val="00F70D14"/>
    <w:rsid w:val="00F70D89"/>
    <w:rsid w:val="00F70F06"/>
    <w:rsid w:val="00F71008"/>
    <w:rsid w:val="00F71582"/>
    <w:rsid w:val="00F71766"/>
    <w:rsid w:val="00F71C0A"/>
    <w:rsid w:val="00F71E3A"/>
    <w:rsid w:val="00F71E66"/>
    <w:rsid w:val="00F720AD"/>
    <w:rsid w:val="00F721AA"/>
    <w:rsid w:val="00F722E2"/>
    <w:rsid w:val="00F72516"/>
    <w:rsid w:val="00F7254E"/>
    <w:rsid w:val="00F72783"/>
    <w:rsid w:val="00F728E6"/>
    <w:rsid w:val="00F729F6"/>
    <w:rsid w:val="00F729FC"/>
    <w:rsid w:val="00F72C12"/>
    <w:rsid w:val="00F72D71"/>
    <w:rsid w:val="00F72DB2"/>
    <w:rsid w:val="00F731E2"/>
    <w:rsid w:val="00F734FE"/>
    <w:rsid w:val="00F73670"/>
    <w:rsid w:val="00F736BC"/>
    <w:rsid w:val="00F7374C"/>
    <w:rsid w:val="00F73799"/>
    <w:rsid w:val="00F737FE"/>
    <w:rsid w:val="00F73C22"/>
    <w:rsid w:val="00F73C86"/>
    <w:rsid w:val="00F74155"/>
    <w:rsid w:val="00F7419B"/>
    <w:rsid w:val="00F74210"/>
    <w:rsid w:val="00F7435C"/>
    <w:rsid w:val="00F7437A"/>
    <w:rsid w:val="00F74538"/>
    <w:rsid w:val="00F7458F"/>
    <w:rsid w:val="00F745B8"/>
    <w:rsid w:val="00F748C0"/>
    <w:rsid w:val="00F74AD1"/>
    <w:rsid w:val="00F74BFC"/>
    <w:rsid w:val="00F74D96"/>
    <w:rsid w:val="00F74F19"/>
    <w:rsid w:val="00F74F79"/>
    <w:rsid w:val="00F74FDB"/>
    <w:rsid w:val="00F7513E"/>
    <w:rsid w:val="00F75160"/>
    <w:rsid w:val="00F75383"/>
    <w:rsid w:val="00F75654"/>
    <w:rsid w:val="00F7575D"/>
    <w:rsid w:val="00F75823"/>
    <w:rsid w:val="00F759A2"/>
    <w:rsid w:val="00F75C9F"/>
    <w:rsid w:val="00F75E52"/>
    <w:rsid w:val="00F762B6"/>
    <w:rsid w:val="00F76410"/>
    <w:rsid w:val="00F76610"/>
    <w:rsid w:val="00F76641"/>
    <w:rsid w:val="00F76841"/>
    <w:rsid w:val="00F76A2E"/>
    <w:rsid w:val="00F76AF3"/>
    <w:rsid w:val="00F76B3F"/>
    <w:rsid w:val="00F76BA2"/>
    <w:rsid w:val="00F76CAA"/>
    <w:rsid w:val="00F76F00"/>
    <w:rsid w:val="00F7720C"/>
    <w:rsid w:val="00F7739E"/>
    <w:rsid w:val="00F773B2"/>
    <w:rsid w:val="00F77406"/>
    <w:rsid w:val="00F77505"/>
    <w:rsid w:val="00F7752A"/>
    <w:rsid w:val="00F7755C"/>
    <w:rsid w:val="00F77620"/>
    <w:rsid w:val="00F776E3"/>
    <w:rsid w:val="00F77AA2"/>
    <w:rsid w:val="00F77BA4"/>
    <w:rsid w:val="00F77BD2"/>
    <w:rsid w:val="00F77DC4"/>
    <w:rsid w:val="00F77ECC"/>
    <w:rsid w:val="00F80076"/>
    <w:rsid w:val="00F80200"/>
    <w:rsid w:val="00F8025C"/>
    <w:rsid w:val="00F80287"/>
    <w:rsid w:val="00F802C0"/>
    <w:rsid w:val="00F80643"/>
    <w:rsid w:val="00F80ECB"/>
    <w:rsid w:val="00F81244"/>
    <w:rsid w:val="00F8134D"/>
    <w:rsid w:val="00F8134F"/>
    <w:rsid w:val="00F813A2"/>
    <w:rsid w:val="00F814C0"/>
    <w:rsid w:val="00F81943"/>
    <w:rsid w:val="00F81978"/>
    <w:rsid w:val="00F81EA9"/>
    <w:rsid w:val="00F82043"/>
    <w:rsid w:val="00F8218E"/>
    <w:rsid w:val="00F82233"/>
    <w:rsid w:val="00F82563"/>
    <w:rsid w:val="00F825AC"/>
    <w:rsid w:val="00F825F2"/>
    <w:rsid w:val="00F826B4"/>
    <w:rsid w:val="00F826DF"/>
    <w:rsid w:val="00F8274B"/>
    <w:rsid w:val="00F8275D"/>
    <w:rsid w:val="00F82792"/>
    <w:rsid w:val="00F82815"/>
    <w:rsid w:val="00F828CD"/>
    <w:rsid w:val="00F829C6"/>
    <w:rsid w:val="00F82C00"/>
    <w:rsid w:val="00F82CA4"/>
    <w:rsid w:val="00F82D01"/>
    <w:rsid w:val="00F82DB4"/>
    <w:rsid w:val="00F83114"/>
    <w:rsid w:val="00F83155"/>
    <w:rsid w:val="00F83207"/>
    <w:rsid w:val="00F83240"/>
    <w:rsid w:val="00F834CC"/>
    <w:rsid w:val="00F83724"/>
    <w:rsid w:val="00F837C1"/>
    <w:rsid w:val="00F83A1C"/>
    <w:rsid w:val="00F83BAF"/>
    <w:rsid w:val="00F83BF9"/>
    <w:rsid w:val="00F83CCA"/>
    <w:rsid w:val="00F83DFE"/>
    <w:rsid w:val="00F83E76"/>
    <w:rsid w:val="00F83F8C"/>
    <w:rsid w:val="00F84153"/>
    <w:rsid w:val="00F8415B"/>
    <w:rsid w:val="00F84160"/>
    <w:rsid w:val="00F84218"/>
    <w:rsid w:val="00F8430A"/>
    <w:rsid w:val="00F8439D"/>
    <w:rsid w:val="00F8454D"/>
    <w:rsid w:val="00F84661"/>
    <w:rsid w:val="00F847DD"/>
    <w:rsid w:val="00F84819"/>
    <w:rsid w:val="00F848FF"/>
    <w:rsid w:val="00F84958"/>
    <w:rsid w:val="00F84A29"/>
    <w:rsid w:val="00F84B15"/>
    <w:rsid w:val="00F84D0A"/>
    <w:rsid w:val="00F84D74"/>
    <w:rsid w:val="00F84E4E"/>
    <w:rsid w:val="00F84FBF"/>
    <w:rsid w:val="00F84FCF"/>
    <w:rsid w:val="00F8503A"/>
    <w:rsid w:val="00F85237"/>
    <w:rsid w:val="00F858FA"/>
    <w:rsid w:val="00F859F7"/>
    <w:rsid w:val="00F85B85"/>
    <w:rsid w:val="00F85F52"/>
    <w:rsid w:val="00F86083"/>
    <w:rsid w:val="00F861E9"/>
    <w:rsid w:val="00F863AB"/>
    <w:rsid w:val="00F863FA"/>
    <w:rsid w:val="00F86642"/>
    <w:rsid w:val="00F86717"/>
    <w:rsid w:val="00F86818"/>
    <w:rsid w:val="00F870B6"/>
    <w:rsid w:val="00F870BC"/>
    <w:rsid w:val="00F87326"/>
    <w:rsid w:val="00F874BD"/>
    <w:rsid w:val="00F87593"/>
    <w:rsid w:val="00F875B0"/>
    <w:rsid w:val="00F87791"/>
    <w:rsid w:val="00F87B6A"/>
    <w:rsid w:val="00F87C57"/>
    <w:rsid w:val="00F87CD7"/>
    <w:rsid w:val="00F87D52"/>
    <w:rsid w:val="00F87E5C"/>
    <w:rsid w:val="00F87EA0"/>
    <w:rsid w:val="00F90133"/>
    <w:rsid w:val="00F902BF"/>
    <w:rsid w:val="00F90336"/>
    <w:rsid w:val="00F90620"/>
    <w:rsid w:val="00F9089F"/>
    <w:rsid w:val="00F90942"/>
    <w:rsid w:val="00F90944"/>
    <w:rsid w:val="00F90B96"/>
    <w:rsid w:val="00F90C79"/>
    <w:rsid w:val="00F90CD2"/>
    <w:rsid w:val="00F90CE7"/>
    <w:rsid w:val="00F90D4C"/>
    <w:rsid w:val="00F90F2D"/>
    <w:rsid w:val="00F91038"/>
    <w:rsid w:val="00F910E2"/>
    <w:rsid w:val="00F910F6"/>
    <w:rsid w:val="00F91168"/>
    <w:rsid w:val="00F9118B"/>
    <w:rsid w:val="00F913C1"/>
    <w:rsid w:val="00F91475"/>
    <w:rsid w:val="00F914AB"/>
    <w:rsid w:val="00F9150F"/>
    <w:rsid w:val="00F9177E"/>
    <w:rsid w:val="00F918C4"/>
    <w:rsid w:val="00F918DF"/>
    <w:rsid w:val="00F919FF"/>
    <w:rsid w:val="00F91A01"/>
    <w:rsid w:val="00F91B5C"/>
    <w:rsid w:val="00F91C2D"/>
    <w:rsid w:val="00F91E7C"/>
    <w:rsid w:val="00F91EA8"/>
    <w:rsid w:val="00F91F90"/>
    <w:rsid w:val="00F92067"/>
    <w:rsid w:val="00F9214B"/>
    <w:rsid w:val="00F922B4"/>
    <w:rsid w:val="00F92346"/>
    <w:rsid w:val="00F9236C"/>
    <w:rsid w:val="00F923F2"/>
    <w:rsid w:val="00F928AA"/>
    <w:rsid w:val="00F929CB"/>
    <w:rsid w:val="00F92A9B"/>
    <w:rsid w:val="00F92ACA"/>
    <w:rsid w:val="00F92E29"/>
    <w:rsid w:val="00F92E80"/>
    <w:rsid w:val="00F92F2D"/>
    <w:rsid w:val="00F92F91"/>
    <w:rsid w:val="00F9303A"/>
    <w:rsid w:val="00F93344"/>
    <w:rsid w:val="00F9345E"/>
    <w:rsid w:val="00F93482"/>
    <w:rsid w:val="00F9372F"/>
    <w:rsid w:val="00F93819"/>
    <w:rsid w:val="00F93A96"/>
    <w:rsid w:val="00F93AA1"/>
    <w:rsid w:val="00F93B09"/>
    <w:rsid w:val="00F93B7C"/>
    <w:rsid w:val="00F93DFB"/>
    <w:rsid w:val="00F93E3A"/>
    <w:rsid w:val="00F94105"/>
    <w:rsid w:val="00F94230"/>
    <w:rsid w:val="00F9434D"/>
    <w:rsid w:val="00F9449F"/>
    <w:rsid w:val="00F94522"/>
    <w:rsid w:val="00F9468A"/>
    <w:rsid w:val="00F94852"/>
    <w:rsid w:val="00F949B8"/>
    <w:rsid w:val="00F94A00"/>
    <w:rsid w:val="00F94D19"/>
    <w:rsid w:val="00F94DFC"/>
    <w:rsid w:val="00F94E18"/>
    <w:rsid w:val="00F94EC9"/>
    <w:rsid w:val="00F94FD5"/>
    <w:rsid w:val="00F95145"/>
    <w:rsid w:val="00F9517F"/>
    <w:rsid w:val="00F95225"/>
    <w:rsid w:val="00F952B4"/>
    <w:rsid w:val="00F955E6"/>
    <w:rsid w:val="00F956B1"/>
    <w:rsid w:val="00F95705"/>
    <w:rsid w:val="00F957A6"/>
    <w:rsid w:val="00F959CF"/>
    <w:rsid w:val="00F95B25"/>
    <w:rsid w:val="00F95D47"/>
    <w:rsid w:val="00F95D7F"/>
    <w:rsid w:val="00F9612E"/>
    <w:rsid w:val="00F9617C"/>
    <w:rsid w:val="00F961D8"/>
    <w:rsid w:val="00F9642C"/>
    <w:rsid w:val="00F96711"/>
    <w:rsid w:val="00F96767"/>
    <w:rsid w:val="00F96970"/>
    <w:rsid w:val="00F96A07"/>
    <w:rsid w:val="00F96B02"/>
    <w:rsid w:val="00F96B3C"/>
    <w:rsid w:val="00F96C6A"/>
    <w:rsid w:val="00F96EE7"/>
    <w:rsid w:val="00F96F74"/>
    <w:rsid w:val="00F96FB5"/>
    <w:rsid w:val="00F970D9"/>
    <w:rsid w:val="00F97454"/>
    <w:rsid w:val="00F9757D"/>
    <w:rsid w:val="00F976A0"/>
    <w:rsid w:val="00F97715"/>
    <w:rsid w:val="00F97997"/>
    <w:rsid w:val="00F97B1B"/>
    <w:rsid w:val="00F97C83"/>
    <w:rsid w:val="00F97DDA"/>
    <w:rsid w:val="00F97F44"/>
    <w:rsid w:val="00FA028E"/>
    <w:rsid w:val="00FA043D"/>
    <w:rsid w:val="00FA0497"/>
    <w:rsid w:val="00FA0561"/>
    <w:rsid w:val="00FA05CF"/>
    <w:rsid w:val="00FA0762"/>
    <w:rsid w:val="00FA08BD"/>
    <w:rsid w:val="00FA0BC3"/>
    <w:rsid w:val="00FA0DDF"/>
    <w:rsid w:val="00FA0FC5"/>
    <w:rsid w:val="00FA10BB"/>
    <w:rsid w:val="00FA10FB"/>
    <w:rsid w:val="00FA1126"/>
    <w:rsid w:val="00FA127D"/>
    <w:rsid w:val="00FA1280"/>
    <w:rsid w:val="00FA133B"/>
    <w:rsid w:val="00FA13DD"/>
    <w:rsid w:val="00FA149E"/>
    <w:rsid w:val="00FA17DB"/>
    <w:rsid w:val="00FA1837"/>
    <w:rsid w:val="00FA1849"/>
    <w:rsid w:val="00FA18E9"/>
    <w:rsid w:val="00FA1A33"/>
    <w:rsid w:val="00FA1A6A"/>
    <w:rsid w:val="00FA1D4E"/>
    <w:rsid w:val="00FA1E63"/>
    <w:rsid w:val="00FA20A5"/>
    <w:rsid w:val="00FA2112"/>
    <w:rsid w:val="00FA2270"/>
    <w:rsid w:val="00FA24E3"/>
    <w:rsid w:val="00FA25C6"/>
    <w:rsid w:val="00FA262E"/>
    <w:rsid w:val="00FA2650"/>
    <w:rsid w:val="00FA273B"/>
    <w:rsid w:val="00FA296B"/>
    <w:rsid w:val="00FA2A61"/>
    <w:rsid w:val="00FA2B29"/>
    <w:rsid w:val="00FA2B56"/>
    <w:rsid w:val="00FA2C34"/>
    <w:rsid w:val="00FA2C59"/>
    <w:rsid w:val="00FA2D26"/>
    <w:rsid w:val="00FA2E1C"/>
    <w:rsid w:val="00FA2E98"/>
    <w:rsid w:val="00FA2EFF"/>
    <w:rsid w:val="00FA2FC5"/>
    <w:rsid w:val="00FA30D8"/>
    <w:rsid w:val="00FA3277"/>
    <w:rsid w:val="00FA32C4"/>
    <w:rsid w:val="00FA349B"/>
    <w:rsid w:val="00FA3630"/>
    <w:rsid w:val="00FA36F8"/>
    <w:rsid w:val="00FA375E"/>
    <w:rsid w:val="00FA3885"/>
    <w:rsid w:val="00FA3A50"/>
    <w:rsid w:val="00FA3C5F"/>
    <w:rsid w:val="00FA3D31"/>
    <w:rsid w:val="00FA3D6C"/>
    <w:rsid w:val="00FA3ECD"/>
    <w:rsid w:val="00FA3F28"/>
    <w:rsid w:val="00FA403E"/>
    <w:rsid w:val="00FA4045"/>
    <w:rsid w:val="00FA449F"/>
    <w:rsid w:val="00FA44CC"/>
    <w:rsid w:val="00FA468C"/>
    <w:rsid w:val="00FA483C"/>
    <w:rsid w:val="00FA48ED"/>
    <w:rsid w:val="00FA4905"/>
    <w:rsid w:val="00FA4930"/>
    <w:rsid w:val="00FA498A"/>
    <w:rsid w:val="00FA49D5"/>
    <w:rsid w:val="00FA4A28"/>
    <w:rsid w:val="00FA4B56"/>
    <w:rsid w:val="00FA4B65"/>
    <w:rsid w:val="00FA4D88"/>
    <w:rsid w:val="00FA503F"/>
    <w:rsid w:val="00FA5090"/>
    <w:rsid w:val="00FA535F"/>
    <w:rsid w:val="00FA5444"/>
    <w:rsid w:val="00FA5573"/>
    <w:rsid w:val="00FA55B3"/>
    <w:rsid w:val="00FA55C7"/>
    <w:rsid w:val="00FA5606"/>
    <w:rsid w:val="00FA5710"/>
    <w:rsid w:val="00FA5825"/>
    <w:rsid w:val="00FA5A84"/>
    <w:rsid w:val="00FA6042"/>
    <w:rsid w:val="00FA6051"/>
    <w:rsid w:val="00FA6164"/>
    <w:rsid w:val="00FA61AF"/>
    <w:rsid w:val="00FA6243"/>
    <w:rsid w:val="00FA62C9"/>
    <w:rsid w:val="00FA654C"/>
    <w:rsid w:val="00FA65BE"/>
    <w:rsid w:val="00FA6761"/>
    <w:rsid w:val="00FA6998"/>
    <w:rsid w:val="00FA6C5D"/>
    <w:rsid w:val="00FA6C6D"/>
    <w:rsid w:val="00FA6D9A"/>
    <w:rsid w:val="00FA6D9B"/>
    <w:rsid w:val="00FA6DDE"/>
    <w:rsid w:val="00FA6F82"/>
    <w:rsid w:val="00FA7036"/>
    <w:rsid w:val="00FA72A2"/>
    <w:rsid w:val="00FA738B"/>
    <w:rsid w:val="00FA751B"/>
    <w:rsid w:val="00FA75F5"/>
    <w:rsid w:val="00FA7781"/>
    <w:rsid w:val="00FA778F"/>
    <w:rsid w:val="00FA7B11"/>
    <w:rsid w:val="00FA7C4B"/>
    <w:rsid w:val="00FA7D4F"/>
    <w:rsid w:val="00FA7DA0"/>
    <w:rsid w:val="00FA7DAD"/>
    <w:rsid w:val="00FA7DB4"/>
    <w:rsid w:val="00FA7ECA"/>
    <w:rsid w:val="00FB00AA"/>
    <w:rsid w:val="00FB01EE"/>
    <w:rsid w:val="00FB03F6"/>
    <w:rsid w:val="00FB04CC"/>
    <w:rsid w:val="00FB053E"/>
    <w:rsid w:val="00FB05EA"/>
    <w:rsid w:val="00FB0783"/>
    <w:rsid w:val="00FB0980"/>
    <w:rsid w:val="00FB0C91"/>
    <w:rsid w:val="00FB0CC7"/>
    <w:rsid w:val="00FB0F95"/>
    <w:rsid w:val="00FB1097"/>
    <w:rsid w:val="00FB1487"/>
    <w:rsid w:val="00FB155E"/>
    <w:rsid w:val="00FB15FC"/>
    <w:rsid w:val="00FB1608"/>
    <w:rsid w:val="00FB1729"/>
    <w:rsid w:val="00FB174E"/>
    <w:rsid w:val="00FB1AFF"/>
    <w:rsid w:val="00FB1D20"/>
    <w:rsid w:val="00FB1D68"/>
    <w:rsid w:val="00FB1EBF"/>
    <w:rsid w:val="00FB1FFF"/>
    <w:rsid w:val="00FB21C6"/>
    <w:rsid w:val="00FB2240"/>
    <w:rsid w:val="00FB23E6"/>
    <w:rsid w:val="00FB240B"/>
    <w:rsid w:val="00FB26ED"/>
    <w:rsid w:val="00FB2AD6"/>
    <w:rsid w:val="00FB2B19"/>
    <w:rsid w:val="00FB2C8D"/>
    <w:rsid w:val="00FB2CD2"/>
    <w:rsid w:val="00FB2F6C"/>
    <w:rsid w:val="00FB311E"/>
    <w:rsid w:val="00FB314C"/>
    <w:rsid w:val="00FB31B9"/>
    <w:rsid w:val="00FB31BD"/>
    <w:rsid w:val="00FB3253"/>
    <w:rsid w:val="00FB32A8"/>
    <w:rsid w:val="00FB32EB"/>
    <w:rsid w:val="00FB3376"/>
    <w:rsid w:val="00FB34B6"/>
    <w:rsid w:val="00FB359C"/>
    <w:rsid w:val="00FB3814"/>
    <w:rsid w:val="00FB390E"/>
    <w:rsid w:val="00FB3A06"/>
    <w:rsid w:val="00FB3C59"/>
    <w:rsid w:val="00FB3C6D"/>
    <w:rsid w:val="00FB3E99"/>
    <w:rsid w:val="00FB3EA7"/>
    <w:rsid w:val="00FB3EC8"/>
    <w:rsid w:val="00FB413F"/>
    <w:rsid w:val="00FB416D"/>
    <w:rsid w:val="00FB427D"/>
    <w:rsid w:val="00FB4457"/>
    <w:rsid w:val="00FB47FC"/>
    <w:rsid w:val="00FB4880"/>
    <w:rsid w:val="00FB48D4"/>
    <w:rsid w:val="00FB4A8C"/>
    <w:rsid w:val="00FB4AFF"/>
    <w:rsid w:val="00FB4CCD"/>
    <w:rsid w:val="00FB4D98"/>
    <w:rsid w:val="00FB5384"/>
    <w:rsid w:val="00FB53DB"/>
    <w:rsid w:val="00FB57D0"/>
    <w:rsid w:val="00FB5AF3"/>
    <w:rsid w:val="00FB5B4D"/>
    <w:rsid w:val="00FB5DDE"/>
    <w:rsid w:val="00FB5E7D"/>
    <w:rsid w:val="00FB5FB6"/>
    <w:rsid w:val="00FB6077"/>
    <w:rsid w:val="00FB60D6"/>
    <w:rsid w:val="00FB62F0"/>
    <w:rsid w:val="00FB6309"/>
    <w:rsid w:val="00FB6481"/>
    <w:rsid w:val="00FB64B0"/>
    <w:rsid w:val="00FB658A"/>
    <w:rsid w:val="00FB65C9"/>
    <w:rsid w:val="00FB665B"/>
    <w:rsid w:val="00FB67E2"/>
    <w:rsid w:val="00FB6AEC"/>
    <w:rsid w:val="00FB6C7A"/>
    <w:rsid w:val="00FB6CA0"/>
    <w:rsid w:val="00FB6CF7"/>
    <w:rsid w:val="00FB6E53"/>
    <w:rsid w:val="00FB6F38"/>
    <w:rsid w:val="00FB6F43"/>
    <w:rsid w:val="00FB70AE"/>
    <w:rsid w:val="00FB70D1"/>
    <w:rsid w:val="00FB7226"/>
    <w:rsid w:val="00FB729F"/>
    <w:rsid w:val="00FB745C"/>
    <w:rsid w:val="00FB74BF"/>
    <w:rsid w:val="00FB74D3"/>
    <w:rsid w:val="00FB74F7"/>
    <w:rsid w:val="00FB75B5"/>
    <w:rsid w:val="00FB77C7"/>
    <w:rsid w:val="00FB77D2"/>
    <w:rsid w:val="00FB78AE"/>
    <w:rsid w:val="00FB7A2F"/>
    <w:rsid w:val="00FB7A5C"/>
    <w:rsid w:val="00FB7F72"/>
    <w:rsid w:val="00FB7FC8"/>
    <w:rsid w:val="00FC00C3"/>
    <w:rsid w:val="00FC0120"/>
    <w:rsid w:val="00FC019C"/>
    <w:rsid w:val="00FC02BC"/>
    <w:rsid w:val="00FC0398"/>
    <w:rsid w:val="00FC0871"/>
    <w:rsid w:val="00FC09C0"/>
    <w:rsid w:val="00FC0D3F"/>
    <w:rsid w:val="00FC0DF1"/>
    <w:rsid w:val="00FC0E53"/>
    <w:rsid w:val="00FC0EAE"/>
    <w:rsid w:val="00FC0EFA"/>
    <w:rsid w:val="00FC0F9A"/>
    <w:rsid w:val="00FC1016"/>
    <w:rsid w:val="00FC1084"/>
    <w:rsid w:val="00FC1098"/>
    <w:rsid w:val="00FC1277"/>
    <w:rsid w:val="00FC12F8"/>
    <w:rsid w:val="00FC13CF"/>
    <w:rsid w:val="00FC1472"/>
    <w:rsid w:val="00FC173D"/>
    <w:rsid w:val="00FC1816"/>
    <w:rsid w:val="00FC18ED"/>
    <w:rsid w:val="00FC19FB"/>
    <w:rsid w:val="00FC1ADA"/>
    <w:rsid w:val="00FC1BD2"/>
    <w:rsid w:val="00FC1C23"/>
    <w:rsid w:val="00FC1C72"/>
    <w:rsid w:val="00FC1D88"/>
    <w:rsid w:val="00FC1DBE"/>
    <w:rsid w:val="00FC1DC5"/>
    <w:rsid w:val="00FC1EAE"/>
    <w:rsid w:val="00FC1FAB"/>
    <w:rsid w:val="00FC2012"/>
    <w:rsid w:val="00FC27B2"/>
    <w:rsid w:val="00FC2B74"/>
    <w:rsid w:val="00FC2B98"/>
    <w:rsid w:val="00FC2BD6"/>
    <w:rsid w:val="00FC2CF2"/>
    <w:rsid w:val="00FC2E78"/>
    <w:rsid w:val="00FC3144"/>
    <w:rsid w:val="00FC319F"/>
    <w:rsid w:val="00FC31DE"/>
    <w:rsid w:val="00FC325F"/>
    <w:rsid w:val="00FC34C6"/>
    <w:rsid w:val="00FC351C"/>
    <w:rsid w:val="00FC365B"/>
    <w:rsid w:val="00FC3787"/>
    <w:rsid w:val="00FC3A37"/>
    <w:rsid w:val="00FC3C26"/>
    <w:rsid w:val="00FC3C40"/>
    <w:rsid w:val="00FC3C62"/>
    <w:rsid w:val="00FC3D1D"/>
    <w:rsid w:val="00FC3D61"/>
    <w:rsid w:val="00FC3FBE"/>
    <w:rsid w:val="00FC409B"/>
    <w:rsid w:val="00FC429D"/>
    <w:rsid w:val="00FC44C2"/>
    <w:rsid w:val="00FC46AD"/>
    <w:rsid w:val="00FC46C5"/>
    <w:rsid w:val="00FC4BFF"/>
    <w:rsid w:val="00FC4D9A"/>
    <w:rsid w:val="00FC4DC8"/>
    <w:rsid w:val="00FC510C"/>
    <w:rsid w:val="00FC51E6"/>
    <w:rsid w:val="00FC51FD"/>
    <w:rsid w:val="00FC5286"/>
    <w:rsid w:val="00FC5373"/>
    <w:rsid w:val="00FC53FA"/>
    <w:rsid w:val="00FC5658"/>
    <w:rsid w:val="00FC56F3"/>
    <w:rsid w:val="00FC587A"/>
    <w:rsid w:val="00FC5985"/>
    <w:rsid w:val="00FC5A4A"/>
    <w:rsid w:val="00FC5A54"/>
    <w:rsid w:val="00FC5ADD"/>
    <w:rsid w:val="00FC5B2D"/>
    <w:rsid w:val="00FC5CDB"/>
    <w:rsid w:val="00FC61EE"/>
    <w:rsid w:val="00FC62ED"/>
    <w:rsid w:val="00FC630E"/>
    <w:rsid w:val="00FC6458"/>
    <w:rsid w:val="00FC6461"/>
    <w:rsid w:val="00FC64AC"/>
    <w:rsid w:val="00FC6617"/>
    <w:rsid w:val="00FC6753"/>
    <w:rsid w:val="00FC6835"/>
    <w:rsid w:val="00FC69B6"/>
    <w:rsid w:val="00FC6BA4"/>
    <w:rsid w:val="00FC6C59"/>
    <w:rsid w:val="00FC6DFD"/>
    <w:rsid w:val="00FC6F78"/>
    <w:rsid w:val="00FC71C5"/>
    <w:rsid w:val="00FC72E8"/>
    <w:rsid w:val="00FC74A6"/>
    <w:rsid w:val="00FC75F8"/>
    <w:rsid w:val="00FC7719"/>
    <w:rsid w:val="00FC7844"/>
    <w:rsid w:val="00FC7958"/>
    <w:rsid w:val="00FC7AAD"/>
    <w:rsid w:val="00FC7AF3"/>
    <w:rsid w:val="00FC7B38"/>
    <w:rsid w:val="00FC7C25"/>
    <w:rsid w:val="00FC7D20"/>
    <w:rsid w:val="00FD0123"/>
    <w:rsid w:val="00FD035F"/>
    <w:rsid w:val="00FD03D3"/>
    <w:rsid w:val="00FD045D"/>
    <w:rsid w:val="00FD0527"/>
    <w:rsid w:val="00FD052A"/>
    <w:rsid w:val="00FD07D2"/>
    <w:rsid w:val="00FD0825"/>
    <w:rsid w:val="00FD0BE0"/>
    <w:rsid w:val="00FD0C4B"/>
    <w:rsid w:val="00FD0C88"/>
    <w:rsid w:val="00FD0CE7"/>
    <w:rsid w:val="00FD1153"/>
    <w:rsid w:val="00FD1263"/>
    <w:rsid w:val="00FD1421"/>
    <w:rsid w:val="00FD1578"/>
    <w:rsid w:val="00FD15BF"/>
    <w:rsid w:val="00FD192A"/>
    <w:rsid w:val="00FD1A82"/>
    <w:rsid w:val="00FD1B09"/>
    <w:rsid w:val="00FD1C3D"/>
    <w:rsid w:val="00FD1DB1"/>
    <w:rsid w:val="00FD1E58"/>
    <w:rsid w:val="00FD1F86"/>
    <w:rsid w:val="00FD1FBF"/>
    <w:rsid w:val="00FD2007"/>
    <w:rsid w:val="00FD21DB"/>
    <w:rsid w:val="00FD21F4"/>
    <w:rsid w:val="00FD23C0"/>
    <w:rsid w:val="00FD248A"/>
    <w:rsid w:val="00FD2547"/>
    <w:rsid w:val="00FD2568"/>
    <w:rsid w:val="00FD297F"/>
    <w:rsid w:val="00FD2A0D"/>
    <w:rsid w:val="00FD2A53"/>
    <w:rsid w:val="00FD2D95"/>
    <w:rsid w:val="00FD2EC2"/>
    <w:rsid w:val="00FD2EF7"/>
    <w:rsid w:val="00FD2F55"/>
    <w:rsid w:val="00FD3310"/>
    <w:rsid w:val="00FD3322"/>
    <w:rsid w:val="00FD337C"/>
    <w:rsid w:val="00FD3456"/>
    <w:rsid w:val="00FD38ED"/>
    <w:rsid w:val="00FD3B85"/>
    <w:rsid w:val="00FD3CFC"/>
    <w:rsid w:val="00FD3D3B"/>
    <w:rsid w:val="00FD3D7A"/>
    <w:rsid w:val="00FD3DF3"/>
    <w:rsid w:val="00FD3E34"/>
    <w:rsid w:val="00FD3E67"/>
    <w:rsid w:val="00FD4046"/>
    <w:rsid w:val="00FD416A"/>
    <w:rsid w:val="00FD43BE"/>
    <w:rsid w:val="00FD4440"/>
    <w:rsid w:val="00FD456D"/>
    <w:rsid w:val="00FD4598"/>
    <w:rsid w:val="00FD4615"/>
    <w:rsid w:val="00FD4714"/>
    <w:rsid w:val="00FD4940"/>
    <w:rsid w:val="00FD494F"/>
    <w:rsid w:val="00FD499D"/>
    <w:rsid w:val="00FD4A83"/>
    <w:rsid w:val="00FD4ADB"/>
    <w:rsid w:val="00FD4B88"/>
    <w:rsid w:val="00FD4C5E"/>
    <w:rsid w:val="00FD4C85"/>
    <w:rsid w:val="00FD5015"/>
    <w:rsid w:val="00FD528A"/>
    <w:rsid w:val="00FD53C2"/>
    <w:rsid w:val="00FD543D"/>
    <w:rsid w:val="00FD54F3"/>
    <w:rsid w:val="00FD5544"/>
    <w:rsid w:val="00FD592B"/>
    <w:rsid w:val="00FD59D1"/>
    <w:rsid w:val="00FD5A4E"/>
    <w:rsid w:val="00FD5C80"/>
    <w:rsid w:val="00FD5E2B"/>
    <w:rsid w:val="00FD5E89"/>
    <w:rsid w:val="00FD5F86"/>
    <w:rsid w:val="00FD6001"/>
    <w:rsid w:val="00FD644F"/>
    <w:rsid w:val="00FD67A1"/>
    <w:rsid w:val="00FD67BC"/>
    <w:rsid w:val="00FD684E"/>
    <w:rsid w:val="00FD6BDC"/>
    <w:rsid w:val="00FD6C77"/>
    <w:rsid w:val="00FD6C97"/>
    <w:rsid w:val="00FD6FE1"/>
    <w:rsid w:val="00FD7017"/>
    <w:rsid w:val="00FD70DA"/>
    <w:rsid w:val="00FD7104"/>
    <w:rsid w:val="00FD7287"/>
    <w:rsid w:val="00FD75DA"/>
    <w:rsid w:val="00FD772C"/>
    <w:rsid w:val="00FD77A1"/>
    <w:rsid w:val="00FD797F"/>
    <w:rsid w:val="00FD79A6"/>
    <w:rsid w:val="00FD79E6"/>
    <w:rsid w:val="00FD7B4D"/>
    <w:rsid w:val="00FE020B"/>
    <w:rsid w:val="00FE03E2"/>
    <w:rsid w:val="00FE04C3"/>
    <w:rsid w:val="00FE08E4"/>
    <w:rsid w:val="00FE091C"/>
    <w:rsid w:val="00FE0B39"/>
    <w:rsid w:val="00FE0BE6"/>
    <w:rsid w:val="00FE0C65"/>
    <w:rsid w:val="00FE0E05"/>
    <w:rsid w:val="00FE0F93"/>
    <w:rsid w:val="00FE119F"/>
    <w:rsid w:val="00FE126F"/>
    <w:rsid w:val="00FE12A9"/>
    <w:rsid w:val="00FE14FE"/>
    <w:rsid w:val="00FE16A0"/>
    <w:rsid w:val="00FE1743"/>
    <w:rsid w:val="00FE1835"/>
    <w:rsid w:val="00FE186D"/>
    <w:rsid w:val="00FE198F"/>
    <w:rsid w:val="00FE19FA"/>
    <w:rsid w:val="00FE1A03"/>
    <w:rsid w:val="00FE1A90"/>
    <w:rsid w:val="00FE1B9A"/>
    <w:rsid w:val="00FE1C46"/>
    <w:rsid w:val="00FE1DCA"/>
    <w:rsid w:val="00FE1EE2"/>
    <w:rsid w:val="00FE2085"/>
    <w:rsid w:val="00FE24F0"/>
    <w:rsid w:val="00FE25B5"/>
    <w:rsid w:val="00FE289D"/>
    <w:rsid w:val="00FE28CC"/>
    <w:rsid w:val="00FE2BF8"/>
    <w:rsid w:val="00FE2E3D"/>
    <w:rsid w:val="00FE2EC1"/>
    <w:rsid w:val="00FE3125"/>
    <w:rsid w:val="00FE32B4"/>
    <w:rsid w:val="00FE34BE"/>
    <w:rsid w:val="00FE390B"/>
    <w:rsid w:val="00FE3B98"/>
    <w:rsid w:val="00FE3C4B"/>
    <w:rsid w:val="00FE3C66"/>
    <w:rsid w:val="00FE3EB4"/>
    <w:rsid w:val="00FE3F7E"/>
    <w:rsid w:val="00FE4132"/>
    <w:rsid w:val="00FE4306"/>
    <w:rsid w:val="00FE433A"/>
    <w:rsid w:val="00FE43D3"/>
    <w:rsid w:val="00FE45EB"/>
    <w:rsid w:val="00FE4850"/>
    <w:rsid w:val="00FE4B3C"/>
    <w:rsid w:val="00FE4D13"/>
    <w:rsid w:val="00FE5042"/>
    <w:rsid w:val="00FE519C"/>
    <w:rsid w:val="00FE5258"/>
    <w:rsid w:val="00FE5438"/>
    <w:rsid w:val="00FE54ED"/>
    <w:rsid w:val="00FE5707"/>
    <w:rsid w:val="00FE579B"/>
    <w:rsid w:val="00FE57C2"/>
    <w:rsid w:val="00FE57C6"/>
    <w:rsid w:val="00FE57E7"/>
    <w:rsid w:val="00FE582D"/>
    <w:rsid w:val="00FE5837"/>
    <w:rsid w:val="00FE58CA"/>
    <w:rsid w:val="00FE5934"/>
    <w:rsid w:val="00FE5A8A"/>
    <w:rsid w:val="00FE5B04"/>
    <w:rsid w:val="00FE5B2F"/>
    <w:rsid w:val="00FE5BD3"/>
    <w:rsid w:val="00FE5CEF"/>
    <w:rsid w:val="00FE602B"/>
    <w:rsid w:val="00FE617E"/>
    <w:rsid w:val="00FE61E9"/>
    <w:rsid w:val="00FE6244"/>
    <w:rsid w:val="00FE6495"/>
    <w:rsid w:val="00FE65A3"/>
    <w:rsid w:val="00FE6A85"/>
    <w:rsid w:val="00FE6B93"/>
    <w:rsid w:val="00FE6D66"/>
    <w:rsid w:val="00FE703A"/>
    <w:rsid w:val="00FE70AF"/>
    <w:rsid w:val="00FE736F"/>
    <w:rsid w:val="00FE73EA"/>
    <w:rsid w:val="00FE7474"/>
    <w:rsid w:val="00FE7486"/>
    <w:rsid w:val="00FE7BD9"/>
    <w:rsid w:val="00FE7BF3"/>
    <w:rsid w:val="00FE7F22"/>
    <w:rsid w:val="00FE7F6D"/>
    <w:rsid w:val="00FF00BE"/>
    <w:rsid w:val="00FF032F"/>
    <w:rsid w:val="00FF07B6"/>
    <w:rsid w:val="00FF0945"/>
    <w:rsid w:val="00FF0A00"/>
    <w:rsid w:val="00FF0BBC"/>
    <w:rsid w:val="00FF0E84"/>
    <w:rsid w:val="00FF112B"/>
    <w:rsid w:val="00FF1337"/>
    <w:rsid w:val="00FF1442"/>
    <w:rsid w:val="00FF1465"/>
    <w:rsid w:val="00FF14AC"/>
    <w:rsid w:val="00FF158E"/>
    <w:rsid w:val="00FF164B"/>
    <w:rsid w:val="00FF1741"/>
    <w:rsid w:val="00FF192C"/>
    <w:rsid w:val="00FF1F97"/>
    <w:rsid w:val="00FF23FC"/>
    <w:rsid w:val="00FF2547"/>
    <w:rsid w:val="00FF27C7"/>
    <w:rsid w:val="00FF2882"/>
    <w:rsid w:val="00FF2CE6"/>
    <w:rsid w:val="00FF2D12"/>
    <w:rsid w:val="00FF2D61"/>
    <w:rsid w:val="00FF2EBC"/>
    <w:rsid w:val="00FF2F71"/>
    <w:rsid w:val="00FF3050"/>
    <w:rsid w:val="00FF3109"/>
    <w:rsid w:val="00FF3162"/>
    <w:rsid w:val="00FF31D0"/>
    <w:rsid w:val="00FF32A1"/>
    <w:rsid w:val="00FF3613"/>
    <w:rsid w:val="00FF3733"/>
    <w:rsid w:val="00FF3933"/>
    <w:rsid w:val="00FF3BAD"/>
    <w:rsid w:val="00FF3C34"/>
    <w:rsid w:val="00FF3C87"/>
    <w:rsid w:val="00FF3CD4"/>
    <w:rsid w:val="00FF3D1C"/>
    <w:rsid w:val="00FF4109"/>
    <w:rsid w:val="00FF41BA"/>
    <w:rsid w:val="00FF45C6"/>
    <w:rsid w:val="00FF469C"/>
    <w:rsid w:val="00FF48AC"/>
    <w:rsid w:val="00FF491D"/>
    <w:rsid w:val="00FF4948"/>
    <w:rsid w:val="00FF4A09"/>
    <w:rsid w:val="00FF4A12"/>
    <w:rsid w:val="00FF4A64"/>
    <w:rsid w:val="00FF4B46"/>
    <w:rsid w:val="00FF4C24"/>
    <w:rsid w:val="00FF4CA5"/>
    <w:rsid w:val="00FF4E89"/>
    <w:rsid w:val="00FF5158"/>
    <w:rsid w:val="00FF51B8"/>
    <w:rsid w:val="00FF52A6"/>
    <w:rsid w:val="00FF531C"/>
    <w:rsid w:val="00FF562D"/>
    <w:rsid w:val="00FF565A"/>
    <w:rsid w:val="00FF5817"/>
    <w:rsid w:val="00FF58B3"/>
    <w:rsid w:val="00FF59A3"/>
    <w:rsid w:val="00FF59F8"/>
    <w:rsid w:val="00FF5D49"/>
    <w:rsid w:val="00FF5E0F"/>
    <w:rsid w:val="00FF5ECC"/>
    <w:rsid w:val="00FF5F9F"/>
    <w:rsid w:val="00FF6062"/>
    <w:rsid w:val="00FF60E9"/>
    <w:rsid w:val="00FF6119"/>
    <w:rsid w:val="00FF621B"/>
    <w:rsid w:val="00FF6382"/>
    <w:rsid w:val="00FF6595"/>
    <w:rsid w:val="00FF674B"/>
    <w:rsid w:val="00FF6829"/>
    <w:rsid w:val="00FF6A37"/>
    <w:rsid w:val="00FF6BB6"/>
    <w:rsid w:val="00FF6C47"/>
    <w:rsid w:val="00FF6CBD"/>
    <w:rsid w:val="00FF6EBD"/>
    <w:rsid w:val="00FF7368"/>
    <w:rsid w:val="00FF73FD"/>
    <w:rsid w:val="00FF754D"/>
    <w:rsid w:val="00FF7737"/>
    <w:rsid w:val="00FF777C"/>
    <w:rsid w:val="00FF781A"/>
    <w:rsid w:val="00FF7846"/>
    <w:rsid w:val="00FF7B47"/>
    <w:rsid w:val="00FF7C01"/>
    <w:rsid w:val="00FF7E11"/>
    <w:rsid w:val="00FF7E3A"/>
    <w:rsid w:val="00FF7E68"/>
    <w:rsid w:val="00FF7ED4"/>
    <w:rsid w:val="00FF7F50"/>
    <w:rsid w:val="092A4B26"/>
    <w:rsid w:val="0EDE2EC2"/>
    <w:rsid w:val="10F6E080"/>
    <w:rsid w:val="1A867CDE"/>
    <w:rsid w:val="23669B4A"/>
    <w:rsid w:val="29523481"/>
    <w:rsid w:val="33485AF1"/>
    <w:rsid w:val="36E6E894"/>
    <w:rsid w:val="3F7C4911"/>
    <w:rsid w:val="503BA134"/>
    <w:rsid w:val="51F36464"/>
    <w:rsid w:val="526CE1C7"/>
    <w:rsid w:val="535736CC"/>
    <w:rsid w:val="6CD90308"/>
    <w:rsid w:val="79206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A2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75702A"/>
    <w:pPr>
      <w:keepNext/>
      <w:keepLines/>
      <w:widowControl/>
      <w:numPr>
        <w:numId w:val="12"/>
      </w:numPr>
      <w:spacing w:line="480" w:lineRule="auto"/>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75702A"/>
    <w:pPr>
      <w:keepNext/>
      <w:keepLines/>
      <w:widowControl/>
      <w:numPr>
        <w:ilvl w:val="1"/>
        <w:numId w:val="12"/>
      </w:numPr>
      <w:spacing w:line="480" w:lineRule="auto"/>
      <w:outlineLvl w:val="1"/>
    </w:pPr>
    <w:rPr>
      <w:rFonts w:eastAsiaTheme="majorEastAsia"/>
      <w:b/>
      <w:kern w:val="32"/>
      <w:szCs w:val="26"/>
    </w:rPr>
  </w:style>
  <w:style w:type="paragraph" w:styleId="Heading3">
    <w:name w:val="heading 3"/>
    <w:basedOn w:val="Normal"/>
    <w:next w:val="FERCparanumber"/>
    <w:uiPriority w:val="9"/>
    <w:unhideWhenUsed/>
    <w:qFormat/>
    <w:rsid w:val="0075702A"/>
    <w:pPr>
      <w:keepNext/>
      <w:keepLines/>
      <w:widowControl/>
      <w:numPr>
        <w:ilvl w:val="2"/>
        <w:numId w:val="12"/>
      </w:numPr>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75702A"/>
    <w:pPr>
      <w:keepNext/>
      <w:keepLines/>
      <w:widowControl/>
      <w:numPr>
        <w:ilvl w:val="3"/>
        <w:numId w:val="12"/>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75702A"/>
    <w:pPr>
      <w:keepNext/>
      <w:keepLines/>
      <w:widowControl/>
      <w:numPr>
        <w:ilvl w:val="4"/>
        <w:numId w:val="12"/>
      </w:numPr>
      <w:spacing w:line="480" w:lineRule="auto"/>
      <w:outlineLvl w:val="4"/>
    </w:pPr>
    <w:rPr>
      <w:rFonts w:eastAsiaTheme="majorEastAsia"/>
      <w:b/>
      <w:kern w:val="32"/>
    </w:rPr>
  </w:style>
  <w:style w:type="paragraph" w:styleId="Heading6">
    <w:name w:val="heading 6"/>
    <w:basedOn w:val="Normal"/>
    <w:next w:val="FERCparanumber"/>
    <w:uiPriority w:val="9"/>
    <w:unhideWhenUsed/>
    <w:qFormat/>
    <w:rsid w:val="0075702A"/>
    <w:pPr>
      <w:keepNext/>
      <w:keepLines/>
      <w:widowControl/>
      <w:numPr>
        <w:ilvl w:val="5"/>
        <w:numId w:val="12"/>
      </w:numPr>
      <w:spacing w:line="480" w:lineRule="auto"/>
      <w:outlineLvl w:val="5"/>
    </w:pPr>
    <w:rPr>
      <w:rFonts w:eastAsiaTheme="majorEastAsia"/>
      <w:b/>
      <w:kern w:val="32"/>
    </w:rPr>
  </w:style>
  <w:style w:type="paragraph" w:styleId="Heading7">
    <w:name w:val="heading 7"/>
    <w:basedOn w:val="Normal"/>
    <w:next w:val="FERCparanumber"/>
    <w:uiPriority w:val="9"/>
    <w:semiHidden/>
    <w:unhideWhenUsed/>
    <w:qFormat/>
    <w:rsid w:val="0075702A"/>
    <w:pPr>
      <w:keepNext/>
      <w:keepLines/>
      <w:widowControl/>
      <w:numPr>
        <w:ilvl w:val="6"/>
        <w:numId w:val="12"/>
      </w:numPr>
      <w:spacing w:line="480" w:lineRule="auto"/>
      <w:outlineLvl w:val="6"/>
    </w:pPr>
    <w:rPr>
      <w:rFonts w:eastAsiaTheme="majorEastAsia"/>
      <w:b/>
      <w:iCs/>
      <w:kern w:val="32"/>
    </w:rPr>
  </w:style>
  <w:style w:type="paragraph" w:styleId="Heading8">
    <w:name w:val="heading 8"/>
    <w:basedOn w:val="Normal"/>
    <w:next w:val="FERCparanumber"/>
    <w:uiPriority w:val="9"/>
    <w:semiHidden/>
    <w:unhideWhenUsed/>
    <w:qFormat/>
    <w:rsid w:val="0075702A"/>
    <w:pPr>
      <w:keepNext/>
      <w:keepLines/>
      <w:widowControl/>
      <w:numPr>
        <w:ilvl w:val="7"/>
        <w:numId w:val="12"/>
      </w:numPr>
      <w:spacing w:line="480" w:lineRule="auto"/>
      <w:outlineLvl w:val="7"/>
    </w:pPr>
    <w:rPr>
      <w:rFonts w:eastAsiaTheme="majorEastAsia"/>
      <w:b/>
      <w:kern w:val="32"/>
      <w:szCs w:val="21"/>
    </w:rPr>
  </w:style>
  <w:style w:type="paragraph" w:styleId="Heading9">
    <w:name w:val="heading 9"/>
    <w:basedOn w:val="Normal"/>
    <w:next w:val="FERCparanumber"/>
    <w:uiPriority w:val="9"/>
    <w:semiHidden/>
    <w:unhideWhenUsed/>
    <w:qFormat/>
    <w:rsid w:val="0075702A"/>
    <w:pPr>
      <w:keepNext/>
      <w:keepLines/>
      <w:widowControl/>
      <w:numPr>
        <w:ilvl w:val="8"/>
        <w:numId w:val="12"/>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13"/>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1"/>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1"/>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paragraph" w:styleId="Revision">
    <w:name w:val="Revision"/>
    <w:hidden/>
    <w:uiPriority w:val="99"/>
    <w:semiHidden/>
    <w:rsid w:val="00EF2FF6"/>
    <w:pPr>
      <w:spacing w:after="0" w:line="240" w:lineRule="auto"/>
    </w:pPr>
    <w:rPr>
      <w:rFonts w:ascii="Times New Roman" w:hAnsi="Times New Roman" w:cs="Times New Roman"/>
      <w:sz w:val="26"/>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6F634A"/>
    <w:rPr>
      <w:rFonts w:ascii="Times New Roman" w:hAnsi="Times New Roman" w:cs="Times New Roman"/>
      <w:sz w:val="26"/>
      <w:szCs w:val="20"/>
    </w:rPr>
  </w:style>
  <w:style w:type="character" w:styleId="Mention">
    <w:name w:val="Mention"/>
    <w:basedOn w:val="DefaultParagraphFont"/>
    <w:uiPriority w:val="99"/>
    <w:unhideWhenUsed/>
    <w:rsid w:val="00E161CC"/>
    <w:rPr>
      <w:color w:val="2B579A"/>
      <w:shd w:val="clear" w:color="auto" w:fill="E1DFDD"/>
    </w:rPr>
  </w:style>
  <w:style w:type="paragraph" w:customStyle="1" w:styleId="BlockIndent">
    <w:name w:val="Block Indent"/>
    <w:basedOn w:val="Normal"/>
    <w:next w:val="FERCparanumber"/>
    <w:link w:val="BlockIndentChar"/>
    <w:rsid w:val="008413DA"/>
    <w:pPr>
      <w:widowControl/>
      <w:spacing w:after="240" w:line="259" w:lineRule="auto"/>
      <w:ind w:left="1440" w:right="1440"/>
    </w:pPr>
    <w:rPr>
      <w:kern w:val="2"/>
      <w14:ligatures w14:val="standardContextual"/>
    </w:rPr>
  </w:style>
  <w:style w:type="character" w:customStyle="1" w:styleId="BlockIndentChar">
    <w:name w:val="Block Indent Char"/>
    <w:basedOn w:val="FERCparanumberChar"/>
    <w:link w:val="BlockIndent"/>
    <w:rsid w:val="008413DA"/>
    <w:rPr>
      <w:rFonts w:ascii="Times New Roman" w:hAnsi="Times New Roman" w:cs="Times New Roman"/>
      <w:kern w:val="2"/>
      <w:sz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0831">
      <w:bodyDiv w:val="1"/>
      <w:marLeft w:val="0"/>
      <w:marRight w:val="0"/>
      <w:marTop w:val="0"/>
      <w:marBottom w:val="0"/>
      <w:divBdr>
        <w:top w:val="none" w:sz="0" w:space="0" w:color="auto"/>
        <w:left w:val="none" w:sz="0" w:space="0" w:color="auto"/>
        <w:bottom w:val="none" w:sz="0" w:space="0" w:color="auto"/>
        <w:right w:val="none" w:sz="0" w:space="0" w:color="auto"/>
      </w:divBdr>
      <w:divsChild>
        <w:div w:id="791024381">
          <w:marLeft w:val="0"/>
          <w:marRight w:val="0"/>
          <w:marTop w:val="0"/>
          <w:marBottom w:val="0"/>
          <w:divBdr>
            <w:top w:val="none" w:sz="0" w:space="0" w:color="3D3D3D"/>
            <w:left w:val="none" w:sz="0" w:space="0" w:color="3D3D3D"/>
            <w:bottom w:val="none" w:sz="0" w:space="0" w:color="3D3D3D"/>
            <w:right w:val="none" w:sz="0" w:space="0" w:color="3D3D3D"/>
          </w:divBdr>
          <w:divsChild>
            <w:div w:id="13718751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13288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46">
          <w:marLeft w:val="0"/>
          <w:marRight w:val="0"/>
          <w:marTop w:val="0"/>
          <w:marBottom w:val="0"/>
          <w:divBdr>
            <w:top w:val="none" w:sz="0" w:space="0" w:color="3D3D3D"/>
            <w:left w:val="none" w:sz="0" w:space="0" w:color="3D3D3D"/>
            <w:bottom w:val="none" w:sz="0" w:space="0" w:color="3D3D3D"/>
            <w:right w:val="none" w:sz="0" w:space="0" w:color="3D3D3D"/>
          </w:divBdr>
          <w:divsChild>
            <w:div w:id="7173891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662669">
      <w:bodyDiv w:val="1"/>
      <w:marLeft w:val="0"/>
      <w:marRight w:val="0"/>
      <w:marTop w:val="0"/>
      <w:marBottom w:val="0"/>
      <w:divBdr>
        <w:top w:val="none" w:sz="0" w:space="0" w:color="auto"/>
        <w:left w:val="none" w:sz="0" w:space="0" w:color="auto"/>
        <w:bottom w:val="none" w:sz="0" w:space="0" w:color="auto"/>
        <w:right w:val="none" w:sz="0" w:space="0" w:color="auto"/>
      </w:divBdr>
      <w:divsChild>
        <w:div w:id="1710686248">
          <w:marLeft w:val="0"/>
          <w:marRight w:val="0"/>
          <w:marTop w:val="0"/>
          <w:marBottom w:val="0"/>
          <w:divBdr>
            <w:top w:val="none" w:sz="0" w:space="0" w:color="3D3D3D"/>
            <w:left w:val="none" w:sz="0" w:space="0" w:color="3D3D3D"/>
            <w:bottom w:val="none" w:sz="0" w:space="0" w:color="3D3D3D"/>
            <w:right w:val="none" w:sz="0" w:space="0" w:color="3D3D3D"/>
          </w:divBdr>
          <w:divsChild>
            <w:div w:id="1415036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030757">
      <w:bodyDiv w:val="1"/>
      <w:marLeft w:val="0"/>
      <w:marRight w:val="0"/>
      <w:marTop w:val="0"/>
      <w:marBottom w:val="0"/>
      <w:divBdr>
        <w:top w:val="none" w:sz="0" w:space="0" w:color="auto"/>
        <w:left w:val="none" w:sz="0" w:space="0" w:color="auto"/>
        <w:bottom w:val="none" w:sz="0" w:space="0" w:color="auto"/>
        <w:right w:val="none" w:sz="0" w:space="0" w:color="auto"/>
      </w:divBdr>
      <w:divsChild>
        <w:div w:id="2134593949">
          <w:marLeft w:val="0"/>
          <w:marRight w:val="0"/>
          <w:marTop w:val="0"/>
          <w:marBottom w:val="0"/>
          <w:divBdr>
            <w:top w:val="none" w:sz="0" w:space="0" w:color="3D3D3D"/>
            <w:left w:val="none" w:sz="0" w:space="0" w:color="3D3D3D"/>
            <w:bottom w:val="none" w:sz="0" w:space="0" w:color="3D3D3D"/>
            <w:right w:val="none" w:sz="0" w:space="0" w:color="3D3D3D"/>
          </w:divBdr>
          <w:divsChild>
            <w:div w:id="1090588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1787299">
      <w:bodyDiv w:val="1"/>
      <w:marLeft w:val="0"/>
      <w:marRight w:val="0"/>
      <w:marTop w:val="0"/>
      <w:marBottom w:val="0"/>
      <w:divBdr>
        <w:top w:val="none" w:sz="0" w:space="0" w:color="auto"/>
        <w:left w:val="none" w:sz="0" w:space="0" w:color="auto"/>
        <w:bottom w:val="none" w:sz="0" w:space="0" w:color="auto"/>
        <w:right w:val="none" w:sz="0" w:space="0" w:color="auto"/>
      </w:divBdr>
      <w:divsChild>
        <w:div w:id="1975480585">
          <w:marLeft w:val="0"/>
          <w:marRight w:val="0"/>
          <w:marTop w:val="0"/>
          <w:marBottom w:val="0"/>
          <w:divBdr>
            <w:top w:val="none" w:sz="0" w:space="0" w:color="3D3D3D"/>
            <w:left w:val="none" w:sz="0" w:space="0" w:color="3D3D3D"/>
            <w:bottom w:val="none" w:sz="0" w:space="0" w:color="3D3D3D"/>
            <w:right w:val="none" w:sz="0" w:space="0" w:color="3D3D3D"/>
          </w:divBdr>
          <w:divsChild>
            <w:div w:id="199322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1037219">
      <w:bodyDiv w:val="1"/>
      <w:marLeft w:val="0"/>
      <w:marRight w:val="0"/>
      <w:marTop w:val="0"/>
      <w:marBottom w:val="0"/>
      <w:divBdr>
        <w:top w:val="none" w:sz="0" w:space="0" w:color="auto"/>
        <w:left w:val="none" w:sz="0" w:space="0" w:color="auto"/>
        <w:bottom w:val="none" w:sz="0" w:space="0" w:color="auto"/>
        <w:right w:val="none" w:sz="0" w:space="0" w:color="auto"/>
      </w:divBdr>
      <w:divsChild>
        <w:div w:id="1141651871">
          <w:marLeft w:val="0"/>
          <w:marRight w:val="0"/>
          <w:marTop w:val="0"/>
          <w:marBottom w:val="0"/>
          <w:divBdr>
            <w:top w:val="none" w:sz="0" w:space="0" w:color="3D3D3D"/>
            <w:left w:val="none" w:sz="0" w:space="0" w:color="3D3D3D"/>
            <w:bottom w:val="none" w:sz="0" w:space="0" w:color="3D3D3D"/>
            <w:right w:val="none" w:sz="0" w:space="0" w:color="3D3D3D"/>
          </w:divBdr>
          <w:divsChild>
            <w:div w:id="6621261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024773">
      <w:bodyDiv w:val="1"/>
      <w:marLeft w:val="0"/>
      <w:marRight w:val="0"/>
      <w:marTop w:val="0"/>
      <w:marBottom w:val="0"/>
      <w:divBdr>
        <w:top w:val="none" w:sz="0" w:space="0" w:color="auto"/>
        <w:left w:val="none" w:sz="0" w:space="0" w:color="auto"/>
        <w:bottom w:val="none" w:sz="0" w:space="0" w:color="auto"/>
        <w:right w:val="none" w:sz="0" w:space="0" w:color="auto"/>
      </w:divBdr>
      <w:divsChild>
        <w:div w:id="655115322">
          <w:marLeft w:val="0"/>
          <w:marRight w:val="0"/>
          <w:marTop w:val="0"/>
          <w:marBottom w:val="0"/>
          <w:divBdr>
            <w:top w:val="none" w:sz="0" w:space="0" w:color="3D3D3D"/>
            <w:left w:val="none" w:sz="0" w:space="0" w:color="3D3D3D"/>
            <w:bottom w:val="none" w:sz="0" w:space="0" w:color="3D3D3D"/>
            <w:right w:val="none" w:sz="0" w:space="0" w:color="3D3D3D"/>
          </w:divBdr>
          <w:divsChild>
            <w:div w:id="20380422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7945840">
      <w:bodyDiv w:val="1"/>
      <w:marLeft w:val="0"/>
      <w:marRight w:val="0"/>
      <w:marTop w:val="0"/>
      <w:marBottom w:val="0"/>
      <w:divBdr>
        <w:top w:val="none" w:sz="0" w:space="0" w:color="auto"/>
        <w:left w:val="none" w:sz="0" w:space="0" w:color="auto"/>
        <w:bottom w:val="none" w:sz="0" w:space="0" w:color="auto"/>
        <w:right w:val="none" w:sz="0" w:space="0" w:color="auto"/>
      </w:divBdr>
      <w:divsChild>
        <w:div w:id="962737123">
          <w:marLeft w:val="0"/>
          <w:marRight w:val="0"/>
          <w:marTop w:val="0"/>
          <w:marBottom w:val="0"/>
          <w:divBdr>
            <w:top w:val="none" w:sz="0" w:space="0" w:color="3D3D3D"/>
            <w:left w:val="none" w:sz="0" w:space="0" w:color="3D3D3D"/>
            <w:bottom w:val="none" w:sz="0" w:space="0" w:color="3D3D3D"/>
            <w:right w:val="none" w:sz="0" w:space="0" w:color="3D3D3D"/>
          </w:divBdr>
          <w:divsChild>
            <w:div w:id="3637529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8390264">
      <w:bodyDiv w:val="1"/>
      <w:marLeft w:val="0"/>
      <w:marRight w:val="0"/>
      <w:marTop w:val="0"/>
      <w:marBottom w:val="0"/>
      <w:divBdr>
        <w:top w:val="none" w:sz="0" w:space="0" w:color="auto"/>
        <w:left w:val="none" w:sz="0" w:space="0" w:color="auto"/>
        <w:bottom w:val="none" w:sz="0" w:space="0" w:color="auto"/>
        <w:right w:val="none" w:sz="0" w:space="0" w:color="auto"/>
      </w:divBdr>
    </w:div>
    <w:div w:id="471748461">
      <w:bodyDiv w:val="1"/>
      <w:marLeft w:val="0"/>
      <w:marRight w:val="0"/>
      <w:marTop w:val="0"/>
      <w:marBottom w:val="0"/>
      <w:divBdr>
        <w:top w:val="none" w:sz="0" w:space="0" w:color="auto"/>
        <w:left w:val="none" w:sz="0" w:space="0" w:color="auto"/>
        <w:bottom w:val="none" w:sz="0" w:space="0" w:color="auto"/>
        <w:right w:val="none" w:sz="0" w:space="0" w:color="auto"/>
      </w:divBdr>
      <w:divsChild>
        <w:div w:id="603538421">
          <w:marLeft w:val="0"/>
          <w:marRight w:val="0"/>
          <w:marTop w:val="0"/>
          <w:marBottom w:val="0"/>
          <w:divBdr>
            <w:top w:val="none" w:sz="0" w:space="0" w:color="3D3D3D"/>
            <w:left w:val="none" w:sz="0" w:space="0" w:color="3D3D3D"/>
            <w:bottom w:val="none" w:sz="0" w:space="0" w:color="3D3D3D"/>
            <w:right w:val="none" w:sz="0" w:space="0" w:color="3D3D3D"/>
          </w:divBdr>
          <w:divsChild>
            <w:div w:id="638610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3857343">
      <w:bodyDiv w:val="1"/>
      <w:marLeft w:val="0"/>
      <w:marRight w:val="0"/>
      <w:marTop w:val="0"/>
      <w:marBottom w:val="0"/>
      <w:divBdr>
        <w:top w:val="none" w:sz="0" w:space="0" w:color="auto"/>
        <w:left w:val="none" w:sz="0" w:space="0" w:color="auto"/>
        <w:bottom w:val="none" w:sz="0" w:space="0" w:color="auto"/>
        <w:right w:val="none" w:sz="0" w:space="0" w:color="auto"/>
      </w:divBdr>
      <w:divsChild>
        <w:div w:id="1421876577">
          <w:marLeft w:val="0"/>
          <w:marRight w:val="0"/>
          <w:marTop w:val="0"/>
          <w:marBottom w:val="0"/>
          <w:divBdr>
            <w:top w:val="none" w:sz="0" w:space="0" w:color="3D3D3D"/>
            <w:left w:val="none" w:sz="0" w:space="0" w:color="3D3D3D"/>
            <w:bottom w:val="none" w:sz="0" w:space="0" w:color="3D3D3D"/>
            <w:right w:val="none" w:sz="0" w:space="0" w:color="3D3D3D"/>
          </w:divBdr>
          <w:divsChild>
            <w:div w:id="1780680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2478584">
      <w:bodyDiv w:val="1"/>
      <w:marLeft w:val="0"/>
      <w:marRight w:val="0"/>
      <w:marTop w:val="0"/>
      <w:marBottom w:val="0"/>
      <w:divBdr>
        <w:top w:val="none" w:sz="0" w:space="0" w:color="auto"/>
        <w:left w:val="none" w:sz="0" w:space="0" w:color="auto"/>
        <w:bottom w:val="none" w:sz="0" w:space="0" w:color="auto"/>
        <w:right w:val="none" w:sz="0" w:space="0" w:color="auto"/>
      </w:divBdr>
      <w:divsChild>
        <w:div w:id="1756323327">
          <w:marLeft w:val="0"/>
          <w:marRight w:val="0"/>
          <w:marTop w:val="0"/>
          <w:marBottom w:val="0"/>
          <w:divBdr>
            <w:top w:val="none" w:sz="0" w:space="0" w:color="3D3D3D"/>
            <w:left w:val="none" w:sz="0" w:space="0" w:color="3D3D3D"/>
            <w:bottom w:val="none" w:sz="0" w:space="0" w:color="3D3D3D"/>
            <w:right w:val="none" w:sz="0" w:space="0" w:color="3D3D3D"/>
          </w:divBdr>
          <w:divsChild>
            <w:div w:id="1606323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120526">
      <w:bodyDiv w:val="1"/>
      <w:marLeft w:val="0"/>
      <w:marRight w:val="0"/>
      <w:marTop w:val="0"/>
      <w:marBottom w:val="0"/>
      <w:divBdr>
        <w:top w:val="none" w:sz="0" w:space="0" w:color="auto"/>
        <w:left w:val="none" w:sz="0" w:space="0" w:color="auto"/>
        <w:bottom w:val="none" w:sz="0" w:space="0" w:color="auto"/>
        <w:right w:val="none" w:sz="0" w:space="0" w:color="auto"/>
      </w:divBdr>
      <w:divsChild>
        <w:div w:id="1919633023">
          <w:marLeft w:val="0"/>
          <w:marRight w:val="0"/>
          <w:marTop w:val="0"/>
          <w:marBottom w:val="0"/>
          <w:divBdr>
            <w:top w:val="none" w:sz="0" w:space="0" w:color="3D3D3D"/>
            <w:left w:val="none" w:sz="0" w:space="0" w:color="3D3D3D"/>
            <w:bottom w:val="none" w:sz="0" w:space="0" w:color="3D3D3D"/>
            <w:right w:val="none" w:sz="0" w:space="0" w:color="3D3D3D"/>
          </w:divBdr>
          <w:divsChild>
            <w:div w:id="1607752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4677997">
      <w:bodyDiv w:val="1"/>
      <w:marLeft w:val="0"/>
      <w:marRight w:val="0"/>
      <w:marTop w:val="0"/>
      <w:marBottom w:val="0"/>
      <w:divBdr>
        <w:top w:val="none" w:sz="0" w:space="0" w:color="auto"/>
        <w:left w:val="none" w:sz="0" w:space="0" w:color="auto"/>
        <w:bottom w:val="none" w:sz="0" w:space="0" w:color="auto"/>
        <w:right w:val="none" w:sz="0" w:space="0" w:color="auto"/>
      </w:divBdr>
      <w:divsChild>
        <w:div w:id="1812356781">
          <w:marLeft w:val="0"/>
          <w:marRight w:val="0"/>
          <w:marTop w:val="0"/>
          <w:marBottom w:val="0"/>
          <w:divBdr>
            <w:top w:val="none" w:sz="0" w:space="0" w:color="3D3D3D"/>
            <w:left w:val="none" w:sz="0" w:space="0" w:color="3D3D3D"/>
            <w:bottom w:val="none" w:sz="0" w:space="0" w:color="3D3D3D"/>
            <w:right w:val="none" w:sz="0" w:space="0" w:color="3D3D3D"/>
          </w:divBdr>
          <w:divsChild>
            <w:div w:id="412287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664371">
      <w:bodyDiv w:val="1"/>
      <w:marLeft w:val="0"/>
      <w:marRight w:val="0"/>
      <w:marTop w:val="0"/>
      <w:marBottom w:val="0"/>
      <w:divBdr>
        <w:top w:val="none" w:sz="0" w:space="0" w:color="auto"/>
        <w:left w:val="none" w:sz="0" w:space="0" w:color="auto"/>
        <w:bottom w:val="none" w:sz="0" w:space="0" w:color="auto"/>
        <w:right w:val="none" w:sz="0" w:space="0" w:color="auto"/>
      </w:divBdr>
      <w:divsChild>
        <w:div w:id="544682629">
          <w:marLeft w:val="0"/>
          <w:marRight w:val="0"/>
          <w:marTop w:val="0"/>
          <w:marBottom w:val="0"/>
          <w:divBdr>
            <w:top w:val="none" w:sz="0" w:space="0" w:color="3D3D3D"/>
            <w:left w:val="none" w:sz="0" w:space="0" w:color="3D3D3D"/>
            <w:bottom w:val="none" w:sz="0" w:space="0" w:color="3D3D3D"/>
            <w:right w:val="none" w:sz="0" w:space="0" w:color="3D3D3D"/>
          </w:divBdr>
          <w:divsChild>
            <w:div w:id="3307626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5879912">
      <w:bodyDiv w:val="1"/>
      <w:marLeft w:val="0"/>
      <w:marRight w:val="0"/>
      <w:marTop w:val="0"/>
      <w:marBottom w:val="0"/>
      <w:divBdr>
        <w:top w:val="none" w:sz="0" w:space="0" w:color="auto"/>
        <w:left w:val="none" w:sz="0" w:space="0" w:color="auto"/>
        <w:bottom w:val="none" w:sz="0" w:space="0" w:color="auto"/>
        <w:right w:val="none" w:sz="0" w:space="0" w:color="auto"/>
      </w:divBdr>
      <w:divsChild>
        <w:div w:id="1588886167">
          <w:marLeft w:val="0"/>
          <w:marRight w:val="0"/>
          <w:marTop w:val="0"/>
          <w:marBottom w:val="0"/>
          <w:divBdr>
            <w:top w:val="none" w:sz="0" w:space="0" w:color="3D3D3D"/>
            <w:left w:val="none" w:sz="0" w:space="0" w:color="3D3D3D"/>
            <w:bottom w:val="none" w:sz="0" w:space="0" w:color="3D3D3D"/>
            <w:right w:val="none" w:sz="0" w:space="0" w:color="3D3D3D"/>
          </w:divBdr>
          <w:divsChild>
            <w:div w:id="1301762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4296053">
      <w:bodyDiv w:val="1"/>
      <w:marLeft w:val="0"/>
      <w:marRight w:val="0"/>
      <w:marTop w:val="0"/>
      <w:marBottom w:val="0"/>
      <w:divBdr>
        <w:top w:val="none" w:sz="0" w:space="0" w:color="auto"/>
        <w:left w:val="none" w:sz="0" w:space="0" w:color="auto"/>
        <w:bottom w:val="none" w:sz="0" w:space="0" w:color="auto"/>
        <w:right w:val="none" w:sz="0" w:space="0" w:color="auto"/>
      </w:divBdr>
      <w:divsChild>
        <w:div w:id="14697178">
          <w:marLeft w:val="0"/>
          <w:marRight w:val="0"/>
          <w:marTop w:val="0"/>
          <w:marBottom w:val="0"/>
          <w:divBdr>
            <w:top w:val="none" w:sz="0" w:space="0" w:color="3D3D3D"/>
            <w:left w:val="none" w:sz="0" w:space="0" w:color="3D3D3D"/>
            <w:bottom w:val="none" w:sz="0" w:space="0" w:color="3D3D3D"/>
            <w:right w:val="none" w:sz="0" w:space="0" w:color="3D3D3D"/>
          </w:divBdr>
          <w:divsChild>
            <w:div w:id="8668685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7505533">
      <w:bodyDiv w:val="1"/>
      <w:marLeft w:val="0"/>
      <w:marRight w:val="0"/>
      <w:marTop w:val="0"/>
      <w:marBottom w:val="0"/>
      <w:divBdr>
        <w:top w:val="none" w:sz="0" w:space="0" w:color="auto"/>
        <w:left w:val="none" w:sz="0" w:space="0" w:color="auto"/>
        <w:bottom w:val="none" w:sz="0" w:space="0" w:color="auto"/>
        <w:right w:val="none" w:sz="0" w:space="0" w:color="auto"/>
      </w:divBdr>
      <w:divsChild>
        <w:div w:id="82999696">
          <w:marLeft w:val="0"/>
          <w:marRight w:val="0"/>
          <w:marTop w:val="0"/>
          <w:marBottom w:val="0"/>
          <w:divBdr>
            <w:top w:val="none" w:sz="0" w:space="0" w:color="3D3D3D"/>
            <w:left w:val="none" w:sz="0" w:space="0" w:color="3D3D3D"/>
            <w:bottom w:val="none" w:sz="0" w:space="0" w:color="3D3D3D"/>
            <w:right w:val="none" w:sz="0" w:space="0" w:color="3D3D3D"/>
          </w:divBdr>
          <w:divsChild>
            <w:div w:id="118106989">
              <w:marLeft w:val="0"/>
              <w:marRight w:val="0"/>
              <w:marTop w:val="0"/>
              <w:marBottom w:val="0"/>
              <w:divBdr>
                <w:top w:val="none" w:sz="0" w:space="0" w:color="3D3D3D"/>
                <w:left w:val="none" w:sz="0" w:space="0" w:color="3D3D3D"/>
                <w:bottom w:val="none" w:sz="0" w:space="0" w:color="3D3D3D"/>
                <w:right w:val="none" w:sz="0" w:space="0" w:color="3D3D3D"/>
              </w:divBdr>
            </w:div>
            <w:div w:id="599068346">
              <w:marLeft w:val="0"/>
              <w:marRight w:val="0"/>
              <w:marTop w:val="0"/>
              <w:marBottom w:val="0"/>
              <w:divBdr>
                <w:top w:val="none" w:sz="0" w:space="0" w:color="3D3D3D"/>
                <w:left w:val="none" w:sz="0" w:space="0" w:color="3D3D3D"/>
                <w:bottom w:val="none" w:sz="0" w:space="0" w:color="3D3D3D"/>
                <w:right w:val="none" w:sz="0" w:space="0" w:color="3D3D3D"/>
              </w:divBdr>
              <w:divsChild>
                <w:div w:id="918560597">
                  <w:marLeft w:val="0"/>
                  <w:marRight w:val="0"/>
                  <w:marTop w:val="0"/>
                  <w:marBottom w:val="0"/>
                  <w:divBdr>
                    <w:top w:val="none" w:sz="0" w:space="0" w:color="3D3D3D"/>
                    <w:left w:val="none" w:sz="0" w:space="0" w:color="3D3D3D"/>
                    <w:bottom w:val="none" w:sz="0" w:space="0" w:color="3D3D3D"/>
                    <w:right w:val="none" w:sz="0" w:space="0" w:color="3D3D3D"/>
                  </w:divBdr>
                  <w:divsChild>
                    <w:div w:id="18506074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839395013">
      <w:bodyDiv w:val="1"/>
      <w:marLeft w:val="0"/>
      <w:marRight w:val="0"/>
      <w:marTop w:val="0"/>
      <w:marBottom w:val="0"/>
      <w:divBdr>
        <w:top w:val="none" w:sz="0" w:space="0" w:color="auto"/>
        <w:left w:val="none" w:sz="0" w:space="0" w:color="auto"/>
        <w:bottom w:val="none" w:sz="0" w:space="0" w:color="auto"/>
        <w:right w:val="none" w:sz="0" w:space="0" w:color="auto"/>
      </w:divBdr>
      <w:divsChild>
        <w:div w:id="250504020">
          <w:marLeft w:val="0"/>
          <w:marRight w:val="0"/>
          <w:marTop w:val="0"/>
          <w:marBottom w:val="0"/>
          <w:divBdr>
            <w:top w:val="none" w:sz="0" w:space="0" w:color="3D3D3D"/>
            <w:left w:val="none" w:sz="0" w:space="0" w:color="3D3D3D"/>
            <w:bottom w:val="none" w:sz="0" w:space="0" w:color="3D3D3D"/>
            <w:right w:val="none" w:sz="0" w:space="0" w:color="3D3D3D"/>
          </w:divBdr>
          <w:divsChild>
            <w:div w:id="870802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0412662">
      <w:bodyDiv w:val="1"/>
      <w:marLeft w:val="0"/>
      <w:marRight w:val="0"/>
      <w:marTop w:val="0"/>
      <w:marBottom w:val="0"/>
      <w:divBdr>
        <w:top w:val="none" w:sz="0" w:space="0" w:color="auto"/>
        <w:left w:val="none" w:sz="0" w:space="0" w:color="auto"/>
        <w:bottom w:val="none" w:sz="0" w:space="0" w:color="auto"/>
        <w:right w:val="none" w:sz="0" w:space="0" w:color="auto"/>
      </w:divBdr>
      <w:divsChild>
        <w:div w:id="1125151603">
          <w:marLeft w:val="0"/>
          <w:marRight w:val="0"/>
          <w:marTop w:val="0"/>
          <w:marBottom w:val="0"/>
          <w:divBdr>
            <w:top w:val="none" w:sz="0" w:space="0" w:color="3D3D3D"/>
            <w:left w:val="none" w:sz="0" w:space="0" w:color="3D3D3D"/>
            <w:bottom w:val="none" w:sz="0" w:space="0" w:color="3D3D3D"/>
            <w:right w:val="none" w:sz="0" w:space="0" w:color="3D3D3D"/>
          </w:divBdr>
          <w:divsChild>
            <w:div w:id="14351769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0578294">
      <w:bodyDiv w:val="1"/>
      <w:marLeft w:val="0"/>
      <w:marRight w:val="0"/>
      <w:marTop w:val="0"/>
      <w:marBottom w:val="0"/>
      <w:divBdr>
        <w:top w:val="none" w:sz="0" w:space="0" w:color="auto"/>
        <w:left w:val="none" w:sz="0" w:space="0" w:color="auto"/>
        <w:bottom w:val="none" w:sz="0" w:space="0" w:color="auto"/>
        <w:right w:val="none" w:sz="0" w:space="0" w:color="auto"/>
      </w:divBdr>
      <w:divsChild>
        <w:div w:id="780689906">
          <w:marLeft w:val="0"/>
          <w:marRight w:val="0"/>
          <w:marTop w:val="0"/>
          <w:marBottom w:val="0"/>
          <w:divBdr>
            <w:top w:val="none" w:sz="0" w:space="0" w:color="3D3D3D"/>
            <w:left w:val="none" w:sz="0" w:space="0" w:color="3D3D3D"/>
            <w:bottom w:val="none" w:sz="0" w:space="0" w:color="3D3D3D"/>
            <w:right w:val="none" w:sz="0" w:space="0" w:color="3D3D3D"/>
          </w:divBdr>
          <w:divsChild>
            <w:div w:id="336157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64165">
      <w:bodyDiv w:val="1"/>
      <w:marLeft w:val="0"/>
      <w:marRight w:val="0"/>
      <w:marTop w:val="0"/>
      <w:marBottom w:val="0"/>
      <w:divBdr>
        <w:top w:val="none" w:sz="0" w:space="0" w:color="auto"/>
        <w:left w:val="none" w:sz="0" w:space="0" w:color="auto"/>
        <w:bottom w:val="none" w:sz="0" w:space="0" w:color="auto"/>
        <w:right w:val="none" w:sz="0" w:space="0" w:color="auto"/>
      </w:divBdr>
      <w:divsChild>
        <w:div w:id="1524630236">
          <w:marLeft w:val="0"/>
          <w:marRight w:val="0"/>
          <w:marTop w:val="0"/>
          <w:marBottom w:val="0"/>
          <w:divBdr>
            <w:top w:val="none" w:sz="0" w:space="0" w:color="3D3D3D"/>
            <w:left w:val="none" w:sz="0" w:space="0" w:color="3D3D3D"/>
            <w:bottom w:val="none" w:sz="0" w:space="0" w:color="3D3D3D"/>
            <w:right w:val="none" w:sz="0" w:space="0" w:color="3D3D3D"/>
          </w:divBdr>
          <w:divsChild>
            <w:div w:id="14115836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997160">
      <w:bodyDiv w:val="1"/>
      <w:marLeft w:val="0"/>
      <w:marRight w:val="0"/>
      <w:marTop w:val="0"/>
      <w:marBottom w:val="0"/>
      <w:divBdr>
        <w:top w:val="none" w:sz="0" w:space="0" w:color="auto"/>
        <w:left w:val="none" w:sz="0" w:space="0" w:color="auto"/>
        <w:bottom w:val="none" w:sz="0" w:space="0" w:color="auto"/>
        <w:right w:val="none" w:sz="0" w:space="0" w:color="auto"/>
      </w:divBdr>
      <w:divsChild>
        <w:div w:id="156267302">
          <w:marLeft w:val="0"/>
          <w:marRight w:val="0"/>
          <w:marTop w:val="0"/>
          <w:marBottom w:val="0"/>
          <w:divBdr>
            <w:top w:val="none" w:sz="0" w:space="0" w:color="3D3D3D"/>
            <w:left w:val="none" w:sz="0" w:space="0" w:color="3D3D3D"/>
            <w:bottom w:val="none" w:sz="0" w:space="0" w:color="3D3D3D"/>
            <w:right w:val="none" w:sz="0" w:space="0" w:color="3D3D3D"/>
          </w:divBdr>
          <w:divsChild>
            <w:div w:id="1923807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6130945">
      <w:bodyDiv w:val="1"/>
      <w:marLeft w:val="0"/>
      <w:marRight w:val="0"/>
      <w:marTop w:val="0"/>
      <w:marBottom w:val="0"/>
      <w:divBdr>
        <w:top w:val="none" w:sz="0" w:space="0" w:color="auto"/>
        <w:left w:val="none" w:sz="0" w:space="0" w:color="auto"/>
        <w:bottom w:val="none" w:sz="0" w:space="0" w:color="auto"/>
        <w:right w:val="none" w:sz="0" w:space="0" w:color="auto"/>
      </w:divBdr>
      <w:divsChild>
        <w:div w:id="16473233">
          <w:marLeft w:val="0"/>
          <w:marRight w:val="0"/>
          <w:marTop w:val="0"/>
          <w:marBottom w:val="0"/>
          <w:divBdr>
            <w:top w:val="none" w:sz="0" w:space="0" w:color="3D3D3D"/>
            <w:left w:val="none" w:sz="0" w:space="0" w:color="3D3D3D"/>
            <w:bottom w:val="none" w:sz="0" w:space="0" w:color="3D3D3D"/>
            <w:right w:val="none" w:sz="0" w:space="0" w:color="3D3D3D"/>
          </w:divBdr>
          <w:divsChild>
            <w:div w:id="298191581">
              <w:marLeft w:val="0"/>
              <w:marRight w:val="0"/>
              <w:marTop w:val="0"/>
              <w:marBottom w:val="0"/>
              <w:divBdr>
                <w:top w:val="none" w:sz="0" w:space="0" w:color="3D3D3D"/>
                <w:left w:val="none" w:sz="0" w:space="0" w:color="3D3D3D"/>
                <w:bottom w:val="none" w:sz="0" w:space="0" w:color="3D3D3D"/>
                <w:right w:val="none" w:sz="0" w:space="0" w:color="3D3D3D"/>
              </w:divBdr>
              <w:divsChild>
                <w:div w:id="795224020">
                  <w:marLeft w:val="0"/>
                  <w:marRight w:val="0"/>
                  <w:marTop w:val="0"/>
                  <w:marBottom w:val="0"/>
                  <w:divBdr>
                    <w:top w:val="none" w:sz="0" w:space="0" w:color="3D3D3D"/>
                    <w:left w:val="none" w:sz="0" w:space="0" w:color="3D3D3D"/>
                    <w:bottom w:val="none" w:sz="0" w:space="0" w:color="3D3D3D"/>
                    <w:right w:val="none" w:sz="0" w:space="0" w:color="3D3D3D"/>
                  </w:divBdr>
                  <w:divsChild>
                    <w:div w:id="10907391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32176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0692244">
      <w:bodyDiv w:val="1"/>
      <w:marLeft w:val="0"/>
      <w:marRight w:val="0"/>
      <w:marTop w:val="0"/>
      <w:marBottom w:val="0"/>
      <w:divBdr>
        <w:top w:val="none" w:sz="0" w:space="0" w:color="auto"/>
        <w:left w:val="none" w:sz="0" w:space="0" w:color="auto"/>
        <w:bottom w:val="none" w:sz="0" w:space="0" w:color="auto"/>
        <w:right w:val="none" w:sz="0" w:space="0" w:color="auto"/>
      </w:divBdr>
    </w:div>
    <w:div w:id="1035888356">
      <w:bodyDiv w:val="1"/>
      <w:marLeft w:val="0"/>
      <w:marRight w:val="0"/>
      <w:marTop w:val="0"/>
      <w:marBottom w:val="0"/>
      <w:divBdr>
        <w:top w:val="none" w:sz="0" w:space="0" w:color="auto"/>
        <w:left w:val="none" w:sz="0" w:space="0" w:color="auto"/>
        <w:bottom w:val="none" w:sz="0" w:space="0" w:color="auto"/>
        <w:right w:val="none" w:sz="0" w:space="0" w:color="auto"/>
      </w:divBdr>
      <w:divsChild>
        <w:div w:id="928854291">
          <w:marLeft w:val="0"/>
          <w:marRight w:val="0"/>
          <w:marTop w:val="0"/>
          <w:marBottom w:val="0"/>
          <w:divBdr>
            <w:top w:val="none" w:sz="0" w:space="0" w:color="3D3D3D"/>
            <w:left w:val="none" w:sz="0" w:space="0" w:color="3D3D3D"/>
            <w:bottom w:val="none" w:sz="0" w:space="0" w:color="3D3D3D"/>
            <w:right w:val="none" w:sz="0" w:space="0" w:color="3D3D3D"/>
          </w:divBdr>
          <w:divsChild>
            <w:div w:id="13623239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1801943">
      <w:bodyDiv w:val="1"/>
      <w:marLeft w:val="0"/>
      <w:marRight w:val="0"/>
      <w:marTop w:val="0"/>
      <w:marBottom w:val="0"/>
      <w:divBdr>
        <w:top w:val="none" w:sz="0" w:space="0" w:color="auto"/>
        <w:left w:val="none" w:sz="0" w:space="0" w:color="auto"/>
        <w:bottom w:val="none" w:sz="0" w:space="0" w:color="auto"/>
        <w:right w:val="none" w:sz="0" w:space="0" w:color="auto"/>
      </w:divBdr>
      <w:divsChild>
        <w:div w:id="742681386">
          <w:marLeft w:val="0"/>
          <w:marRight w:val="0"/>
          <w:marTop w:val="0"/>
          <w:marBottom w:val="0"/>
          <w:divBdr>
            <w:top w:val="none" w:sz="0" w:space="0" w:color="3D3D3D"/>
            <w:left w:val="none" w:sz="0" w:space="0" w:color="3D3D3D"/>
            <w:bottom w:val="none" w:sz="0" w:space="0" w:color="3D3D3D"/>
            <w:right w:val="none" w:sz="0" w:space="0" w:color="3D3D3D"/>
          </w:divBdr>
          <w:divsChild>
            <w:div w:id="1058819277">
              <w:marLeft w:val="0"/>
              <w:marRight w:val="0"/>
              <w:marTop w:val="0"/>
              <w:marBottom w:val="0"/>
              <w:divBdr>
                <w:top w:val="none" w:sz="0" w:space="0" w:color="3D3D3D"/>
                <w:left w:val="none" w:sz="0" w:space="0" w:color="3D3D3D"/>
                <w:bottom w:val="none" w:sz="0" w:space="0" w:color="3D3D3D"/>
                <w:right w:val="none" w:sz="0" w:space="0" w:color="3D3D3D"/>
              </w:divBdr>
              <w:divsChild>
                <w:div w:id="864709681">
                  <w:marLeft w:val="0"/>
                  <w:marRight w:val="0"/>
                  <w:marTop w:val="0"/>
                  <w:marBottom w:val="0"/>
                  <w:divBdr>
                    <w:top w:val="none" w:sz="0" w:space="0" w:color="3D3D3D"/>
                    <w:left w:val="none" w:sz="0" w:space="0" w:color="3D3D3D"/>
                    <w:bottom w:val="none" w:sz="0" w:space="0" w:color="3D3D3D"/>
                    <w:right w:val="none" w:sz="0" w:space="0" w:color="3D3D3D"/>
                  </w:divBdr>
                  <w:divsChild>
                    <w:div w:id="8063625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97940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5879700">
      <w:bodyDiv w:val="1"/>
      <w:marLeft w:val="0"/>
      <w:marRight w:val="0"/>
      <w:marTop w:val="0"/>
      <w:marBottom w:val="0"/>
      <w:divBdr>
        <w:top w:val="none" w:sz="0" w:space="0" w:color="auto"/>
        <w:left w:val="none" w:sz="0" w:space="0" w:color="auto"/>
        <w:bottom w:val="none" w:sz="0" w:space="0" w:color="auto"/>
        <w:right w:val="none" w:sz="0" w:space="0" w:color="auto"/>
      </w:divBdr>
      <w:divsChild>
        <w:div w:id="2141410742">
          <w:marLeft w:val="0"/>
          <w:marRight w:val="0"/>
          <w:marTop w:val="0"/>
          <w:marBottom w:val="0"/>
          <w:divBdr>
            <w:top w:val="none" w:sz="0" w:space="0" w:color="3D3D3D"/>
            <w:left w:val="none" w:sz="0" w:space="0" w:color="3D3D3D"/>
            <w:bottom w:val="none" w:sz="0" w:space="0" w:color="3D3D3D"/>
            <w:right w:val="none" w:sz="0" w:space="0" w:color="3D3D3D"/>
          </w:divBdr>
          <w:divsChild>
            <w:div w:id="6439754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9652124">
      <w:bodyDiv w:val="1"/>
      <w:marLeft w:val="0"/>
      <w:marRight w:val="0"/>
      <w:marTop w:val="0"/>
      <w:marBottom w:val="0"/>
      <w:divBdr>
        <w:top w:val="none" w:sz="0" w:space="0" w:color="auto"/>
        <w:left w:val="none" w:sz="0" w:space="0" w:color="auto"/>
        <w:bottom w:val="none" w:sz="0" w:space="0" w:color="auto"/>
        <w:right w:val="none" w:sz="0" w:space="0" w:color="auto"/>
      </w:divBdr>
      <w:divsChild>
        <w:div w:id="1985043581">
          <w:marLeft w:val="0"/>
          <w:marRight w:val="0"/>
          <w:marTop w:val="0"/>
          <w:marBottom w:val="0"/>
          <w:divBdr>
            <w:top w:val="none" w:sz="0" w:space="0" w:color="3D3D3D"/>
            <w:left w:val="none" w:sz="0" w:space="0" w:color="3D3D3D"/>
            <w:bottom w:val="none" w:sz="0" w:space="0" w:color="3D3D3D"/>
            <w:right w:val="none" w:sz="0" w:space="0" w:color="3D3D3D"/>
          </w:divBdr>
          <w:divsChild>
            <w:div w:id="17558584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376543278">
      <w:bodyDiv w:val="1"/>
      <w:marLeft w:val="0"/>
      <w:marRight w:val="0"/>
      <w:marTop w:val="0"/>
      <w:marBottom w:val="0"/>
      <w:divBdr>
        <w:top w:val="none" w:sz="0" w:space="0" w:color="auto"/>
        <w:left w:val="none" w:sz="0" w:space="0" w:color="auto"/>
        <w:bottom w:val="none" w:sz="0" w:space="0" w:color="auto"/>
        <w:right w:val="none" w:sz="0" w:space="0" w:color="auto"/>
      </w:divBdr>
      <w:divsChild>
        <w:div w:id="1437368021">
          <w:marLeft w:val="0"/>
          <w:marRight w:val="0"/>
          <w:marTop w:val="0"/>
          <w:marBottom w:val="0"/>
          <w:divBdr>
            <w:top w:val="none" w:sz="0" w:space="0" w:color="3D3D3D"/>
            <w:left w:val="none" w:sz="0" w:space="0" w:color="3D3D3D"/>
            <w:bottom w:val="none" w:sz="0" w:space="0" w:color="3D3D3D"/>
            <w:right w:val="none" w:sz="0" w:space="0" w:color="3D3D3D"/>
          </w:divBdr>
          <w:divsChild>
            <w:div w:id="20548868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9283010">
      <w:bodyDiv w:val="1"/>
      <w:marLeft w:val="0"/>
      <w:marRight w:val="0"/>
      <w:marTop w:val="0"/>
      <w:marBottom w:val="0"/>
      <w:divBdr>
        <w:top w:val="none" w:sz="0" w:space="0" w:color="auto"/>
        <w:left w:val="none" w:sz="0" w:space="0" w:color="auto"/>
        <w:bottom w:val="none" w:sz="0" w:space="0" w:color="auto"/>
        <w:right w:val="none" w:sz="0" w:space="0" w:color="auto"/>
      </w:divBdr>
      <w:divsChild>
        <w:div w:id="2010323932">
          <w:marLeft w:val="0"/>
          <w:marRight w:val="0"/>
          <w:marTop w:val="0"/>
          <w:marBottom w:val="0"/>
          <w:divBdr>
            <w:top w:val="none" w:sz="0" w:space="0" w:color="3D3D3D"/>
            <w:left w:val="none" w:sz="0" w:space="0" w:color="3D3D3D"/>
            <w:bottom w:val="none" w:sz="0" w:space="0" w:color="3D3D3D"/>
            <w:right w:val="none" w:sz="0" w:space="0" w:color="3D3D3D"/>
          </w:divBdr>
          <w:divsChild>
            <w:div w:id="3452545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7507348">
      <w:bodyDiv w:val="1"/>
      <w:marLeft w:val="0"/>
      <w:marRight w:val="0"/>
      <w:marTop w:val="0"/>
      <w:marBottom w:val="0"/>
      <w:divBdr>
        <w:top w:val="none" w:sz="0" w:space="0" w:color="auto"/>
        <w:left w:val="none" w:sz="0" w:space="0" w:color="auto"/>
        <w:bottom w:val="none" w:sz="0" w:space="0" w:color="auto"/>
        <w:right w:val="none" w:sz="0" w:space="0" w:color="auto"/>
      </w:divBdr>
      <w:divsChild>
        <w:div w:id="530605919">
          <w:marLeft w:val="0"/>
          <w:marRight w:val="0"/>
          <w:marTop w:val="0"/>
          <w:marBottom w:val="0"/>
          <w:divBdr>
            <w:top w:val="none" w:sz="0" w:space="0" w:color="3D3D3D"/>
            <w:left w:val="none" w:sz="0" w:space="0" w:color="3D3D3D"/>
            <w:bottom w:val="none" w:sz="0" w:space="0" w:color="3D3D3D"/>
            <w:right w:val="none" w:sz="0" w:space="0" w:color="3D3D3D"/>
          </w:divBdr>
          <w:divsChild>
            <w:div w:id="18120935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7887541">
      <w:bodyDiv w:val="1"/>
      <w:marLeft w:val="0"/>
      <w:marRight w:val="0"/>
      <w:marTop w:val="0"/>
      <w:marBottom w:val="0"/>
      <w:divBdr>
        <w:top w:val="none" w:sz="0" w:space="0" w:color="auto"/>
        <w:left w:val="none" w:sz="0" w:space="0" w:color="auto"/>
        <w:bottom w:val="none" w:sz="0" w:space="0" w:color="auto"/>
        <w:right w:val="none" w:sz="0" w:space="0" w:color="auto"/>
      </w:divBdr>
      <w:divsChild>
        <w:div w:id="1445349487">
          <w:marLeft w:val="0"/>
          <w:marRight w:val="0"/>
          <w:marTop w:val="0"/>
          <w:marBottom w:val="0"/>
          <w:divBdr>
            <w:top w:val="none" w:sz="0" w:space="0" w:color="3D3D3D"/>
            <w:left w:val="none" w:sz="0" w:space="0" w:color="3D3D3D"/>
            <w:bottom w:val="none" w:sz="0" w:space="0" w:color="3D3D3D"/>
            <w:right w:val="none" w:sz="0" w:space="0" w:color="3D3D3D"/>
          </w:divBdr>
          <w:divsChild>
            <w:div w:id="671136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00984425">
      <w:bodyDiv w:val="1"/>
      <w:marLeft w:val="0"/>
      <w:marRight w:val="0"/>
      <w:marTop w:val="0"/>
      <w:marBottom w:val="0"/>
      <w:divBdr>
        <w:top w:val="none" w:sz="0" w:space="0" w:color="auto"/>
        <w:left w:val="none" w:sz="0" w:space="0" w:color="auto"/>
        <w:bottom w:val="none" w:sz="0" w:space="0" w:color="auto"/>
        <w:right w:val="none" w:sz="0" w:space="0" w:color="auto"/>
      </w:divBdr>
    </w:div>
    <w:div w:id="1639799003">
      <w:bodyDiv w:val="1"/>
      <w:marLeft w:val="0"/>
      <w:marRight w:val="0"/>
      <w:marTop w:val="0"/>
      <w:marBottom w:val="0"/>
      <w:divBdr>
        <w:top w:val="none" w:sz="0" w:space="0" w:color="auto"/>
        <w:left w:val="none" w:sz="0" w:space="0" w:color="auto"/>
        <w:bottom w:val="none" w:sz="0" w:space="0" w:color="auto"/>
        <w:right w:val="none" w:sz="0" w:space="0" w:color="auto"/>
      </w:divBdr>
      <w:divsChild>
        <w:div w:id="68236794">
          <w:marLeft w:val="0"/>
          <w:marRight w:val="0"/>
          <w:marTop w:val="0"/>
          <w:marBottom w:val="0"/>
          <w:divBdr>
            <w:top w:val="none" w:sz="0" w:space="0" w:color="3D3D3D"/>
            <w:left w:val="none" w:sz="0" w:space="0" w:color="3D3D3D"/>
            <w:bottom w:val="none" w:sz="0" w:space="0" w:color="3D3D3D"/>
            <w:right w:val="none" w:sz="0" w:space="0" w:color="3D3D3D"/>
          </w:divBdr>
          <w:divsChild>
            <w:div w:id="14043898">
              <w:marLeft w:val="0"/>
              <w:marRight w:val="0"/>
              <w:marTop w:val="0"/>
              <w:marBottom w:val="0"/>
              <w:divBdr>
                <w:top w:val="none" w:sz="0" w:space="0" w:color="3D3D3D"/>
                <w:left w:val="none" w:sz="0" w:space="0" w:color="3D3D3D"/>
                <w:bottom w:val="none" w:sz="0" w:space="0" w:color="3D3D3D"/>
                <w:right w:val="none" w:sz="0" w:space="0" w:color="3D3D3D"/>
              </w:divBdr>
              <w:divsChild>
                <w:div w:id="1342314354">
                  <w:marLeft w:val="0"/>
                  <w:marRight w:val="0"/>
                  <w:marTop w:val="0"/>
                  <w:marBottom w:val="0"/>
                  <w:divBdr>
                    <w:top w:val="none" w:sz="0" w:space="0" w:color="3D3D3D"/>
                    <w:left w:val="none" w:sz="0" w:space="0" w:color="3D3D3D"/>
                    <w:bottom w:val="none" w:sz="0" w:space="0" w:color="3D3D3D"/>
                    <w:right w:val="none" w:sz="0" w:space="0" w:color="3D3D3D"/>
                  </w:divBdr>
                  <w:divsChild>
                    <w:div w:id="6655186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49858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2520534">
      <w:bodyDiv w:val="1"/>
      <w:marLeft w:val="0"/>
      <w:marRight w:val="0"/>
      <w:marTop w:val="0"/>
      <w:marBottom w:val="0"/>
      <w:divBdr>
        <w:top w:val="none" w:sz="0" w:space="0" w:color="auto"/>
        <w:left w:val="none" w:sz="0" w:space="0" w:color="auto"/>
        <w:bottom w:val="none" w:sz="0" w:space="0" w:color="auto"/>
        <w:right w:val="none" w:sz="0" w:space="0" w:color="auto"/>
      </w:divBdr>
      <w:divsChild>
        <w:div w:id="489685004">
          <w:marLeft w:val="0"/>
          <w:marRight w:val="0"/>
          <w:marTop w:val="0"/>
          <w:marBottom w:val="0"/>
          <w:divBdr>
            <w:top w:val="none" w:sz="0" w:space="0" w:color="3D3D3D"/>
            <w:left w:val="none" w:sz="0" w:space="0" w:color="3D3D3D"/>
            <w:bottom w:val="none" w:sz="0" w:space="0" w:color="3D3D3D"/>
            <w:right w:val="none" w:sz="0" w:space="0" w:color="3D3D3D"/>
          </w:divBdr>
          <w:divsChild>
            <w:div w:id="7372160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2713072">
      <w:bodyDiv w:val="1"/>
      <w:marLeft w:val="0"/>
      <w:marRight w:val="0"/>
      <w:marTop w:val="0"/>
      <w:marBottom w:val="0"/>
      <w:divBdr>
        <w:top w:val="none" w:sz="0" w:space="0" w:color="auto"/>
        <w:left w:val="none" w:sz="0" w:space="0" w:color="auto"/>
        <w:bottom w:val="none" w:sz="0" w:space="0" w:color="auto"/>
        <w:right w:val="none" w:sz="0" w:space="0" w:color="auto"/>
      </w:divBdr>
      <w:divsChild>
        <w:div w:id="1747528893">
          <w:marLeft w:val="0"/>
          <w:marRight w:val="0"/>
          <w:marTop w:val="0"/>
          <w:marBottom w:val="0"/>
          <w:divBdr>
            <w:top w:val="none" w:sz="0" w:space="0" w:color="3D3D3D"/>
            <w:left w:val="none" w:sz="0" w:space="0" w:color="3D3D3D"/>
            <w:bottom w:val="none" w:sz="0" w:space="0" w:color="3D3D3D"/>
            <w:right w:val="none" w:sz="0" w:space="0" w:color="3D3D3D"/>
          </w:divBdr>
          <w:divsChild>
            <w:div w:id="19449212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sChild>
        <w:div w:id="80030909">
          <w:marLeft w:val="0"/>
          <w:marRight w:val="0"/>
          <w:marTop w:val="0"/>
          <w:marBottom w:val="0"/>
          <w:divBdr>
            <w:top w:val="none" w:sz="0" w:space="0" w:color="3D3D3D"/>
            <w:left w:val="none" w:sz="0" w:space="0" w:color="3D3D3D"/>
            <w:bottom w:val="none" w:sz="0" w:space="0" w:color="3D3D3D"/>
            <w:right w:val="none" w:sz="0" w:space="0" w:color="3D3D3D"/>
          </w:divBdr>
          <w:divsChild>
            <w:div w:id="3331933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3921759">
      <w:bodyDiv w:val="1"/>
      <w:marLeft w:val="0"/>
      <w:marRight w:val="0"/>
      <w:marTop w:val="0"/>
      <w:marBottom w:val="0"/>
      <w:divBdr>
        <w:top w:val="none" w:sz="0" w:space="0" w:color="auto"/>
        <w:left w:val="none" w:sz="0" w:space="0" w:color="auto"/>
        <w:bottom w:val="none" w:sz="0" w:space="0" w:color="auto"/>
        <w:right w:val="none" w:sz="0" w:space="0" w:color="auto"/>
      </w:divBdr>
      <w:divsChild>
        <w:div w:id="1269898174">
          <w:marLeft w:val="0"/>
          <w:marRight w:val="0"/>
          <w:marTop w:val="0"/>
          <w:marBottom w:val="0"/>
          <w:divBdr>
            <w:top w:val="none" w:sz="0" w:space="0" w:color="3D3D3D"/>
            <w:left w:val="none" w:sz="0" w:space="0" w:color="3D3D3D"/>
            <w:bottom w:val="none" w:sz="0" w:space="0" w:color="3D3D3D"/>
            <w:right w:val="none" w:sz="0" w:space="0" w:color="3D3D3D"/>
          </w:divBdr>
          <w:divsChild>
            <w:div w:id="1579632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01990581">
      <w:bodyDiv w:val="1"/>
      <w:marLeft w:val="0"/>
      <w:marRight w:val="0"/>
      <w:marTop w:val="0"/>
      <w:marBottom w:val="0"/>
      <w:divBdr>
        <w:top w:val="none" w:sz="0" w:space="0" w:color="auto"/>
        <w:left w:val="none" w:sz="0" w:space="0" w:color="auto"/>
        <w:bottom w:val="none" w:sz="0" w:space="0" w:color="auto"/>
        <w:right w:val="none" w:sz="0" w:space="0" w:color="auto"/>
      </w:divBdr>
      <w:divsChild>
        <w:div w:id="531503649">
          <w:marLeft w:val="0"/>
          <w:marRight w:val="0"/>
          <w:marTop w:val="0"/>
          <w:marBottom w:val="0"/>
          <w:divBdr>
            <w:top w:val="none" w:sz="0" w:space="0" w:color="3D3D3D"/>
            <w:left w:val="none" w:sz="0" w:space="0" w:color="3D3D3D"/>
            <w:bottom w:val="none" w:sz="0" w:space="0" w:color="3D3D3D"/>
            <w:right w:val="none" w:sz="0" w:space="0" w:color="3D3D3D"/>
          </w:divBdr>
          <w:divsChild>
            <w:div w:id="9276137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4292510">
      <w:bodyDiv w:val="1"/>
      <w:marLeft w:val="0"/>
      <w:marRight w:val="0"/>
      <w:marTop w:val="0"/>
      <w:marBottom w:val="0"/>
      <w:divBdr>
        <w:top w:val="none" w:sz="0" w:space="0" w:color="auto"/>
        <w:left w:val="none" w:sz="0" w:space="0" w:color="auto"/>
        <w:bottom w:val="none" w:sz="0" w:space="0" w:color="auto"/>
        <w:right w:val="none" w:sz="0" w:space="0" w:color="auto"/>
      </w:divBdr>
      <w:divsChild>
        <w:div w:id="1841776715">
          <w:marLeft w:val="0"/>
          <w:marRight w:val="0"/>
          <w:marTop w:val="0"/>
          <w:marBottom w:val="0"/>
          <w:divBdr>
            <w:top w:val="none" w:sz="0" w:space="0" w:color="3D3D3D"/>
            <w:left w:val="none" w:sz="0" w:space="0" w:color="3D3D3D"/>
            <w:bottom w:val="none" w:sz="0" w:space="0" w:color="3D3D3D"/>
            <w:right w:val="none" w:sz="0" w:space="0" w:color="3D3D3D"/>
          </w:divBdr>
          <w:divsChild>
            <w:div w:id="6294390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8277693">
      <w:bodyDiv w:val="1"/>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3D3D3D"/>
            <w:left w:val="none" w:sz="0" w:space="0" w:color="3D3D3D"/>
            <w:bottom w:val="none" w:sz="0" w:space="0" w:color="3D3D3D"/>
            <w:right w:val="none" w:sz="0" w:space="0" w:color="3D3D3D"/>
          </w:divBdr>
          <w:divsChild>
            <w:div w:id="172764817">
              <w:marLeft w:val="0"/>
              <w:marRight w:val="0"/>
              <w:marTop w:val="0"/>
              <w:marBottom w:val="0"/>
              <w:divBdr>
                <w:top w:val="none" w:sz="0" w:space="0" w:color="3D3D3D"/>
                <w:left w:val="none" w:sz="0" w:space="0" w:color="3D3D3D"/>
                <w:bottom w:val="none" w:sz="0" w:space="0" w:color="3D3D3D"/>
                <w:right w:val="none" w:sz="0" w:space="0" w:color="3D3D3D"/>
              </w:divBdr>
              <w:divsChild>
                <w:div w:id="1600287138">
                  <w:marLeft w:val="0"/>
                  <w:marRight w:val="0"/>
                  <w:marTop w:val="0"/>
                  <w:marBottom w:val="0"/>
                  <w:divBdr>
                    <w:top w:val="none" w:sz="0" w:space="0" w:color="3D3D3D"/>
                    <w:left w:val="none" w:sz="0" w:space="0" w:color="3D3D3D"/>
                    <w:bottom w:val="none" w:sz="0" w:space="0" w:color="3D3D3D"/>
                    <w:right w:val="none" w:sz="0" w:space="0" w:color="3D3D3D"/>
                  </w:divBdr>
                </w:div>
              </w:divsChild>
            </w:div>
            <w:div w:id="319190936">
              <w:marLeft w:val="0"/>
              <w:marRight w:val="0"/>
              <w:marTop w:val="0"/>
              <w:marBottom w:val="0"/>
              <w:divBdr>
                <w:top w:val="none" w:sz="0" w:space="0" w:color="3D3D3D"/>
                <w:left w:val="none" w:sz="0" w:space="0" w:color="3D3D3D"/>
                <w:bottom w:val="none" w:sz="0" w:space="0" w:color="3D3D3D"/>
                <w:right w:val="none" w:sz="0" w:space="0" w:color="3D3D3D"/>
              </w:divBdr>
            </w:div>
            <w:div w:id="1269510008">
              <w:marLeft w:val="0"/>
              <w:marRight w:val="0"/>
              <w:marTop w:val="240"/>
              <w:marBottom w:val="0"/>
              <w:divBdr>
                <w:top w:val="none" w:sz="0" w:space="0" w:color="3D3D3D"/>
                <w:left w:val="none" w:sz="0" w:space="0" w:color="3D3D3D"/>
                <w:bottom w:val="none" w:sz="0" w:space="0" w:color="3D3D3D"/>
                <w:right w:val="none" w:sz="0" w:space="0" w:color="3D3D3D"/>
              </w:divBdr>
              <w:divsChild>
                <w:div w:id="888882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925912027">
      <w:bodyDiv w:val="1"/>
      <w:marLeft w:val="0"/>
      <w:marRight w:val="0"/>
      <w:marTop w:val="0"/>
      <w:marBottom w:val="0"/>
      <w:divBdr>
        <w:top w:val="none" w:sz="0" w:space="0" w:color="auto"/>
        <w:left w:val="none" w:sz="0" w:space="0" w:color="auto"/>
        <w:bottom w:val="none" w:sz="0" w:space="0" w:color="auto"/>
        <w:right w:val="none" w:sz="0" w:space="0" w:color="auto"/>
      </w:divBdr>
      <w:divsChild>
        <w:div w:id="1286693361">
          <w:marLeft w:val="0"/>
          <w:marRight w:val="0"/>
          <w:marTop w:val="0"/>
          <w:marBottom w:val="0"/>
          <w:divBdr>
            <w:top w:val="none" w:sz="0" w:space="0" w:color="3D3D3D"/>
            <w:left w:val="none" w:sz="0" w:space="0" w:color="3D3D3D"/>
            <w:bottom w:val="none" w:sz="0" w:space="0" w:color="3D3D3D"/>
            <w:right w:val="none" w:sz="0" w:space="0" w:color="3D3D3D"/>
          </w:divBdr>
          <w:divsChild>
            <w:div w:id="19179375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2613349">
      <w:bodyDiv w:val="1"/>
      <w:marLeft w:val="0"/>
      <w:marRight w:val="0"/>
      <w:marTop w:val="0"/>
      <w:marBottom w:val="0"/>
      <w:divBdr>
        <w:top w:val="none" w:sz="0" w:space="0" w:color="auto"/>
        <w:left w:val="none" w:sz="0" w:space="0" w:color="auto"/>
        <w:bottom w:val="none" w:sz="0" w:space="0" w:color="auto"/>
        <w:right w:val="none" w:sz="0" w:space="0" w:color="auto"/>
      </w:divBdr>
      <w:divsChild>
        <w:div w:id="339935759">
          <w:marLeft w:val="0"/>
          <w:marRight w:val="0"/>
          <w:marTop w:val="0"/>
          <w:marBottom w:val="0"/>
          <w:divBdr>
            <w:top w:val="none" w:sz="0" w:space="0" w:color="3D3D3D"/>
            <w:left w:val="none" w:sz="0" w:space="0" w:color="3D3D3D"/>
            <w:bottom w:val="none" w:sz="0" w:space="0" w:color="3D3D3D"/>
            <w:right w:val="none" w:sz="0" w:space="0" w:color="3D3D3D"/>
          </w:divBdr>
          <w:divsChild>
            <w:div w:id="852915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43553678">
      <w:bodyDiv w:val="1"/>
      <w:marLeft w:val="0"/>
      <w:marRight w:val="0"/>
      <w:marTop w:val="0"/>
      <w:marBottom w:val="0"/>
      <w:divBdr>
        <w:top w:val="none" w:sz="0" w:space="0" w:color="auto"/>
        <w:left w:val="none" w:sz="0" w:space="0" w:color="auto"/>
        <w:bottom w:val="none" w:sz="0" w:space="0" w:color="auto"/>
        <w:right w:val="none" w:sz="0" w:space="0" w:color="auto"/>
      </w:divBdr>
      <w:divsChild>
        <w:div w:id="1251037520">
          <w:marLeft w:val="0"/>
          <w:marRight w:val="0"/>
          <w:marTop w:val="0"/>
          <w:marBottom w:val="0"/>
          <w:divBdr>
            <w:top w:val="none" w:sz="0" w:space="0" w:color="3D3D3D"/>
            <w:left w:val="none" w:sz="0" w:space="0" w:color="3D3D3D"/>
            <w:bottom w:val="none" w:sz="0" w:space="0" w:color="3D3D3D"/>
            <w:right w:val="none" w:sz="0" w:space="0" w:color="3D3D3D"/>
          </w:divBdr>
          <w:divsChild>
            <w:div w:id="465779642">
              <w:marLeft w:val="0"/>
              <w:marRight w:val="0"/>
              <w:marTop w:val="0"/>
              <w:marBottom w:val="0"/>
              <w:divBdr>
                <w:top w:val="none" w:sz="0" w:space="0" w:color="3D3D3D"/>
                <w:left w:val="none" w:sz="0" w:space="0" w:color="3D3D3D"/>
                <w:bottom w:val="none" w:sz="0" w:space="0" w:color="3D3D3D"/>
                <w:right w:val="none" w:sz="0" w:space="0" w:color="3D3D3D"/>
              </w:divBdr>
              <w:divsChild>
                <w:div w:id="1861963832">
                  <w:marLeft w:val="0"/>
                  <w:marRight w:val="0"/>
                  <w:marTop w:val="0"/>
                  <w:marBottom w:val="0"/>
                  <w:divBdr>
                    <w:top w:val="none" w:sz="0" w:space="0" w:color="3D3D3D"/>
                    <w:left w:val="none" w:sz="0" w:space="0" w:color="3D3D3D"/>
                    <w:bottom w:val="none" w:sz="0" w:space="0" w:color="3D3D3D"/>
                    <w:right w:val="none" w:sz="0" w:space="0" w:color="3D3D3D"/>
                  </w:divBdr>
                </w:div>
              </w:divsChild>
            </w:div>
            <w:div w:id="1724981310">
              <w:marLeft w:val="0"/>
              <w:marRight w:val="0"/>
              <w:marTop w:val="240"/>
              <w:marBottom w:val="0"/>
              <w:divBdr>
                <w:top w:val="none" w:sz="0" w:space="0" w:color="3D3D3D"/>
                <w:left w:val="none" w:sz="0" w:space="0" w:color="3D3D3D"/>
                <w:bottom w:val="none" w:sz="0" w:space="0" w:color="3D3D3D"/>
                <w:right w:val="none" w:sz="0" w:space="0" w:color="3D3D3D"/>
              </w:divBdr>
              <w:divsChild>
                <w:div w:id="1929190538">
                  <w:marLeft w:val="0"/>
                  <w:marRight w:val="0"/>
                  <w:marTop w:val="0"/>
                  <w:marBottom w:val="0"/>
                  <w:divBdr>
                    <w:top w:val="none" w:sz="0" w:space="0" w:color="3D3D3D"/>
                    <w:left w:val="none" w:sz="0" w:space="0" w:color="3D3D3D"/>
                    <w:bottom w:val="none" w:sz="0" w:space="0" w:color="3D3D3D"/>
                    <w:right w:val="none" w:sz="0" w:space="0" w:color="3D3D3D"/>
                  </w:divBdr>
                </w:div>
              </w:divsChild>
            </w:div>
            <w:div w:id="20137968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4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167</Pages>
  <Words>27611</Words>
  <Characters>157383</Characters>
  <Application>Microsoft Office Word</Application>
  <DocSecurity>4</DocSecurity>
  <Lines>1311</Lines>
  <Paragraphs>369</Paragraphs>
  <ScaleCrop>false</ScaleCrop>
  <LinksUpToDate>false</LinksUpToDate>
  <CharactersWithSpaces>184625</CharactersWithSpaces>
  <SharedDoc>false</SharedDoc>
  <HLinks>
    <vt:vector size="138" baseType="variant">
      <vt:variant>
        <vt:i4>3801088</vt:i4>
      </vt:variant>
      <vt:variant>
        <vt:i4>66</vt:i4>
      </vt:variant>
      <vt:variant>
        <vt:i4>0</vt:i4>
      </vt:variant>
      <vt:variant>
        <vt:i4>5</vt:i4>
      </vt:variant>
      <vt:variant>
        <vt:lpwstr/>
      </vt:variant>
      <vt:variant>
        <vt:lpwstr>_bmk23</vt:lpwstr>
      </vt:variant>
      <vt:variant>
        <vt:i4>3866624</vt:i4>
      </vt:variant>
      <vt:variant>
        <vt:i4>63</vt:i4>
      </vt:variant>
      <vt:variant>
        <vt:i4>0</vt:i4>
      </vt:variant>
      <vt:variant>
        <vt:i4>5</vt:i4>
      </vt:variant>
      <vt:variant>
        <vt:lpwstr/>
      </vt:variant>
      <vt:variant>
        <vt:lpwstr>_bmk22</vt:lpwstr>
      </vt:variant>
      <vt:variant>
        <vt:i4>3670016</vt:i4>
      </vt:variant>
      <vt:variant>
        <vt:i4>60</vt:i4>
      </vt:variant>
      <vt:variant>
        <vt:i4>0</vt:i4>
      </vt:variant>
      <vt:variant>
        <vt:i4>5</vt:i4>
      </vt:variant>
      <vt:variant>
        <vt:lpwstr/>
      </vt:variant>
      <vt:variant>
        <vt:lpwstr>_bmk21</vt:lpwstr>
      </vt:variant>
      <vt:variant>
        <vt:i4>3735552</vt:i4>
      </vt:variant>
      <vt:variant>
        <vt:i4>57</vt:i4>
      </vt:variant>
      <vt:variant>
        <vt:i4>0</vt:i4>
      </vt:variant>
      <vt:variant>
        <vt:i4>5</vt:i4>
      </vt:variant>
      <vt:variant>
        <vt:lpwstr/>
      </vt:variant>
      <vt:variant>
        <vt:lpwstr>_bmk20</vt:lpwstr>
      </vt:variant>
      <vt:variant>
        <vt:i4>3145731</vt:i4>
      </vt:variant>
      <vt:variant>
        <vt:i4>54</vt:i4>
      </vt:variant>
      <vt:variant>
        <vt:i4>0</vt:i4>
      </vt:variant>
      <vt:variant>
        <vt:i4>5</vt:i4>
      </vt:variant>
      <vt:variant>
        <vt:lpwstr/>
      </vt:variant>
      <vt:variant>
        <vt:lpwstr>_bmk19</vt:lpwstr>
      </vt:variant>
      <vt:variant>
        <vt:i4>3211267</vt:i4>
      </vt:variant>
      <vt:variant>
        <vt:i4>51</vt:i4>
      </vt:variant>
      <vt:variant>
        <vt:i4>0</vt:i4>
      </vt:variant>
      <vt:variant>
        <vt:i4>5</vt:i4>
      </vt:variant>
      <vt:variant>
        <vt:lpwstr/>
      </vt:variant>
      <vt:variant>
        <vt:lpwstr>_bmk18</vt:lpwstr>
      </vt:variant>
      <vt:variant>
        <vt:i4>4063235</vt:i4>
      </vt:variant>
      <vt:variant>
        <vt:i4>48</vt:i4>
      </vt:variant>
      <vt:variant>
        <vt:i4>0</vt:i4>
      </vt:variant>
      <vt:variant>
        <vt:i4>5</vt:i4>
      </vt:variant>
      <vt:variant>
        <vt:lpwstr/>
      </vt:variant>
      <vt:variant>
        <vt:lpwstr>_bmk17</vt:lpwstr>
      </vt:variant>
      <vt:variant>
        <vt:i4>4128771</vt:i4>
      </vt:variant>
      <vt:variant>
        <vt:i4>45</vt:i4>
      </vt:variant>
      <vt:variant>
        <vt:i4>0</vt:i4>
      </vt:variant>
      <vt:variant>
        <vt:i4>5</vt:i4>
      </vt:variant>
      <vt:variant>
        <vt:lpwstr/>
      </vt:variant>
      <vt:variant>
        <vt:lpwstr>_bmk16</vt:lpwstr>
      </vt:variant>
      <vt:variant>
        <vt:i4>3932163</vt:i4>
      </vt:variant>
      <vt:variant>
        <vt:i4>42</vt:i4>
      </vt:variant>
      <vt:variant>
        <vt:i4>0</vt:i4>
      </vt:variant>
      <vt:variant>
        <vt:i4>5</vt:i4>
      </vt:variant>
      <vt:variant>
        <vt:lpwstr/>
      </vt:variant>
      <vt:variant>
        <vt:lpwstr>_bmk15</vt:lpwstr>
      </vt:variant>
      <vt:variant>
        <vt:i4>3997699</vt:i4>
      </vt:variant>
      <vt:variant>
        <vt:i4>39</vt:i4>
      </vt:variant>
      <vt:variant>
        <vt:i4>0</vt:i4>
      </vt:variant>
      <vt:variant>
        <vt:i4>5</vt:i4>
      </vt:variant>
      <vt:variant>
        <vt:lpwstr/>
      </vt:variant>
      <vt:variant>
        <vt:lpwstr>_bmk14</vt:lpwstr>
      </vt:variant>
      <vt:variant>
        <vt:i4>3801091</vt:i4>
      </vt:variant>
      <vt:variant>
        <vt:i4>36</vt:i4>
      </vt:variant>
      <vt:variant>
        <vt:i4>0</vt:i4>
      </vt:variant>
      <vt:variant>
        <vt:i4>5</vt:i4>
      </vt:variant>
      <vt:variant>
        <vt:lpwstr/>
      </vt:variant>
      <vt:variant>
        <vt:lpwstr>_bmk13</vt:lpwstr>
      </vt:variant>
      <vt:variant>
        <vt:i4>3866627</vt:i4>
      </vt:variant>
      <vt:variant>
        <vt:i4>33</vt:i4>
      </vt:variant>
      <vt:variant>
        <vt:i4>0</vt:i4>
      </vt:variant>
      <vt:variant>
        <vt:i4>5</vt:i4>
      </vt:variant>
      <vt:variant>
        <vt:lpwstr/>
      </vt:variant>
      <vt:variant>
        <vt:lpwstr>_bmk12</vt:lpwstr>
      </vt:variant>
      <vt:variant>
        <vt:i4>3670019</vt:i4>
      </vt:variant>
      <vt:variant>
        <vt:i4>30</vt:i4>
      </vt:variant>
      <vt:variant>
        <vt:i4>0</vt:i4>
      </vt:variant>
      <vt:variant>
        <vt:i4>5</vt:i4>
      </vt:variant>
      <vt:variant>
        <vt:lpwstr/>
      </vt:variant>
      <vt:variant>
        <vt:lpwstr>_bmk11</vt:lpwstr>
      </vt:variant>
      <vt:variant>
        <vt:i4>3735555</vt:i4>
      </vt:variant>
      <vt:variant>
        <vt:i4>27</vt:i4>
      </vt:variant>
      <vt:variant>
        <vt:i4>0</vt:i4>
      </vt:variant>
      <vt:variant>
        <vt:i4>5</vt:i4>
      </vt:variant>
      <vt:variant>
        <vt:lpwstr/>
      </vt:variant>
      <vt:variant>
        <vt:lpwstr>_bmk10</vt:lpwstr>
      </vt:variant>
      <vt:variant>
        <vt:i4>589874</vt:i4>
      </vt:variant>
      <vt:variant>
        <vt:i4>24</vt:i4>
      </vt:variant>
      <vt:variant>
        <vt:i4>0</vt:i4>
      </vt:variant>
      <vt:variant>
        <vt:i4>5</vt:i4>
      </vt:variant>
      <vt:variant>
        <vt:lpwstr/>
      </vt:variant>
      <vt:variant>
        <vt:lpwstr>_bmk9</vt:lpwstr>
      </vt:variant>
      <vt:variant>
        <vt:i4>589874</vt:i4>
      </vt:variant>
      <vt:variant>
        <vt:i4>21</vt:i4>
      </vt:variant>
      <vt:variant>
        <vt:i4>0</vt:i4>
      </vt:variant>
      <vt:variant>
        <vt:i4>5</vt:i4>
      </vt:variant>
      <vt:variant>
        <vt:lpwstr/>
      </vt:variant>
      <vt:variant>
        <vt:lpwstr>_bmk8</vt:lpwstr>
      </vt:variant>
      <vt:variant>
        <vt:i4>589874</vt:i4>
      </vt:variant>
      <vt:variant>
        <vt:i4>18</vt:i4>
      </vt:variant>
      <vt:variant>
        <vt:i4>0</vt:i4>
      </vt:variant>
      <vt:variant>
        <vt:i4>5</vt:i4>
      </vt:variant>
      <vt:variant>
        <vt:lpwstr/>
      </vt:variant>
      <vt:variant>
        <vt:lpwstr>_bmk7</vt:lpwstr>
      </vt:variant>
      <vt:variant>
        <vt:i4>589874</vt:i4>
      </vt:variant>
      <vt:variant>
        <vt:i4>15</vt:i4>
      </vt:variant>
      <vt:variant>
        <vt:i4>0</vt:i4>
      </vt:variant>
      <vt:variant>
        <vt:i4>5</vt:i4>
      </vt:variant>
      <vt:variant>
        <vt:lpwstr/>
      </vt:variant>
      <vt:variant>
        <vt:lpwstr>_bmk6</vt:lpwstr>
      </vt:variant>
      <vt:variant>
        <vt:i4>589874</vt:i4>
      </vt:variant>
      <vt:variant>
        <vt:i4>12</vt:i4>
      </vt:variant>
      <vt:variant>
        <vt:i4>0</vt:i4>
      </vt:variant>
      <vt:variant>
        <vt:i4>5</vt:i4>
      </vt:variant>
      <vt:variant>
        <vt:lpwstr/>
      </vt:variant>
      <vt:variant>
        <vt:lpwstr>_bmk5</vt:lpwstr>
      </vt:variant>
      <vt:variant>
        <vt:i4>589874</vt:i4>
      </vt:variant>
      <vt:variant>
        <vt:i4>9</vt:i4>
      </vt:variant>
      <vt:variant>
        <vt:i4>0</vt:i4>
      </vt:variant>
      <vt:variant>
        <vt:i4>5</vt:i4>
      </vt:variant>
      <vt:variant>
        <vt:lpwstr/>
      </vt:variant>
      <vt:variant>
        <vt:lpwstr>_bmk4</vt:lpwstr>
      </vt:variant>
      <vt:variant>
        <vt:i4>589874</vt:i4>
      </vt:variant>
      <vt:variant>
        <vt:i4>6</vt:i4>
      </vt:variant>
      <vt:variant>
        <vt:i4>0</vt:i4>
      </vt:variant>
      <vt:variant>
        <vt:i4>5</vt:i4>
      </vt:variant>
      <vt:variant>
        <vt:lpwstr/>
      </vt:variant>
      <vt:variant>
        <vt:lpwstr>_bmk3</vt:lpwstr>
      </vt:variant>
      <vt:variant>
        <vt:i4>589874</vt:i4>
      </vt:variant>
      <vt:variant>
        <vt:i4>3</vt:i4>
      </vt:variant>
      <vt:variant>
        <vt:i4>0</vt:i4>
      </vt:variant>
      <vt:variant>
        <vt:i4>5</vt:i4>
      </vt:variant>
      <vt:variant>
        <vt:lpwstr/>
      </vt:variant>
      <vt:variant>
        <vt:lpwstr>_bmk2</vt:lpwstr>
      </vt:variant>
      <vt:variant>
        <vt:i4>589874</vt:i4>
      </vt:variant>
      <vt:variant>
        <vt:i4>0</vt:i4>
      </vt:variant>
      <vt:variant>
        <vt:i4>0</vt:i4>
      </vt:variant>
      <vt:variant>
        <vt:i4>5</vt:i4>
      </vt:variant>
      <vt:variant>
        <vt:lpwstr/>
      </vt:variant>
      <vt:variant>
        <vt:lpwstr>_bmk1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2025-04-12T22:04:00Z</dcterms:created>
  <dcterms:modified xsi:type="dcterms:W3CDTF">2025-04-12T22:04:00Z</dcterms:modified>
  <dc:identifier/>
</cp:coreProperties>
</file>