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458" w:rsidRDefault="00437AB0" w:rsidP="00D30EBA">
      <w:bookmarkStart w:id="0" w:name="_Toc229739377"/>
      <w:bookmarkStart w:id="1" w:name="_Toc231197071"/>
      <w:r>
        <w:t xml:space="preserve"> </w:t>
      </w:r>
    </w:p>
    <w:p w:rsidR="00680B18" w:rsidRDefault="001E3655" w:rsidP="00D30EBA">
      <w:r>
        <w:rPr>
          <w:noProof/>
        </w:rPr>
        <w:drawing>
          <wp:anchor distT="0" distB="0" distL="114300" distR="114300" simplePos="0" relativeHeight="251700224" behindDoc="1" locked="0" layoutInCell="1" allowOverlap="1">
            <wp:simplePos x="0" y="0"/>
            <wp:positionH relativeFrom="column">
              <wp:posOffset>-673735</wp:posOffset>
            </wp:positionH>
            <wp:positionV relativeFrom="paragraph">
              <wp:posOffset>0</wp:posOffset>
            </wp:positionV>
            <wp:extent cx="7352665" cy="9495155"/>
            <wp:effectExtent l="19050" t="0" r="635" b="0"/>
            <wp:wrapNone/>
            <wp:docPr id="11" name="Picture 36" descr="simple_yellowd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mple_yellowdots.jpg"/>
                    <pic:cNvPicPr>
                      <a:picLocks noChangeAspect="1" noChangeArrowheads="1"/>
                    </pic:cNvPicPr>
                  </pic:nvPicPr>
                  <pic:blipFill>
                    <a:blip r:embed="rId9" cstate="print"/>
                    <a:srcRect/>
                    <a:stretch>
                      <a:fillRect/>
                    </a:stretch>
                  </pic:blipFill>
                  <pic:spPr bwMode="auto">
                    <a:xfrm>
                      <a:off x="0" y="0"/>
                      <a:ext cx="7352665" cy="9495155"/>
                    </a:xfrm>
                    <a:prstGeom prst="rect">
                      <a:avLst/>
                    </a:prstGeom>
                    <a:noFill/>
                    <a:ln w="9525">
                      <a:noFill/>
                      <a:miter lim="800000"/>
                      <a:headEnd/>
                      <a:tailEnd/>
                    </a:ln>
                  </pic:spPr>
                </pic:pic>
              </a:graphicData>
            </a:graphic>
          </wp:anchor>
        </w:drawing>
      </w:r>
    </w:p>
    <w:p w:rsidR="00DC133A" w:rsidRDefault="00DC133A">
      <w:pPr>
        <w:spacing w:after="200" w:line="276" w:lineRule="auto"/>
      </w:pPr>
    </w:p>
    <w:p w:rsidR="00B47316" w:rsidRPr="00D178D9" w:rsidRDefault="00927965" w:rsidP="00DC133A">
      <w:pPr>
        <w:spacing w:after="200" w:line="276" w:lineRule="auto"/>
      </w:pPr>
      <w:r>
        <w:rPr>
          <w:noProof/>
        </w:rPr>
        <w:pict>
          <v:shapetype id="_x0000_t202" coordsize="21600,21600" o:spt="202" path="m,l,21600r21600,l21600,xe">
            <v:stroke joinstyle="miter"/>
            <v:path gradientshapeok="t" o:connecttype="rect"/>
          </v:shapetype>
          <v:shape id="_x0000_s1032" type="#_x0000_t202" style="position:absolute;margin-left:12pt;margin-top:392.75pt;width:176.1pt;height:56.55pt;z-index:251701248" stroked="f">
            <v:fill opacity=".5"/>
            <v:textbox style="mso-next-textbox:#_x0000_s1032">
              <w:txbxContent>
                <w:p w:rsidR="001E3655" w:rsidRPr="00E6063E" w:rsidRDefault="001E3655" w:rsidP="00CC709F">
                  <w:pPr>
                    <w:spacing w:after="0"/>
                    <w:rPr>
                      <w:rFonts w:asciiTheme="minorHAnsi" w:hAnsiTheme="minorHAnsi" w:cs="Arial"/>
                      <w:color w:val="9B8F83"/>
                      <w:sz w:val="32"/>
                      <w:szCs w:val="32"/>
                    </w:rPr>
                  </w:pPr>
                  <w:r w:rsidRPr="00E6063E">
                    <w:rPr>
                      <w:rFonts w:asciiTheme="minorHAnsi" w:hAnsiTheme="minorHAnsi" w:cs="Arial"/>
                      <w:color w:val="9B8F83"/>
                      <w:sz w:val="32"/>
                      <w:szCs w:val="32"/>
                    </w:rPr>
                    <w:t xml:space="preserve">© ISO New England Inc. </w:t>
                  </w:r>
                </w:p>
                <w:p w:rsidR="001E3655" w:rsidRPr="00651CC9" w:rsidRDefault="00901A57" w:rsidP="00DC133A">
                  <w:pPr>
                    <w:spacing w:after="0"/>
                    <w:rPr>
                      <w:rFonts w:asciiTheme="minorHAnsi" w:hAnsiTheme="minorHAnsi" w:cs="Arial"/>
                      <w:color w:val="FF0000"/>
                      <w:sz w:val="32"/>
                      <w:szCs w:val="32"/>
                    </w:rPr>
                  </w:pPr>
                  <w:r w:rsidRPr="00901A57">
                    <w:rPr>
                      <w:rFonts w:asciiTheme="minorHAnsi" w:hAnsiTheme="minorHAnsi" w:cs="Arial"/>
                      <w:color w:val="9B8F83"/>
                      <w:sz w:val="32"/>
                      <w:szCs w:val="32"/>
                    </w:rPr>
                    <w:t>November 6</w:t>
                  </w:r>
                  <w:r w:rsidR="001E3655" w:rsidRPr="00901A57">
                    <w:rPr>
                      <w:rFonts w:asciiTheme="minorHAnsi" w:hAnsiTheme="minorHAnsi" w:cs="Arial"/>
                      <w:color w:val="9B8F83"/>
                      <w:sz w:val="32"/>
                      <w:szCs w:val="32"/>
                    </w:rPr>
                    <w:t>, 2014</w:t>
                  </w:r>
                </w:p>
              </w:txbxContent>
            </v:textbox>
          </v:shape>
        </w:pict>
      </w:r>
      <w:r>
        <w:rPr>
          <w:noProof/>
        </w:rPr>
        <w:pict>
          <v:shape id="_x0000_s1031" type="#_x0000_t202" style="position:absolute;margin-left:1.65pt;margin-top:134.85pt;width:264.7pt;height:41.55pt;z-index:251698176" stroked="f">
            <v:fill opacity=".5"/>
            <v:textbox style="mso-next-textbox:#_x0000_s1031">
              <w:txbxContent>
                <w:p w:rsidR="001E3655" w:rsidRPr="00DB5A39" w:rsidRDefault="001E3655" w:rsidP="00727053">
                  <w:pPr>
                    <w:spacing w:after="0" w:line="240" w:lineRule="auto"/>
                    <w:rPr>
                      <w:rFonts w:asciiTheme="minorHAnsi" w:hAnsiTheme="minorHAnsi" w:cs="Arial"/>
                      <w:color w:val="9B8F83"/>
                      <w:sz w:val="44"/>
                      <w:szCs w:val="44"/>
                    </w:rPr>
                  </w:pPr>
                  <w:r w:rsidRPr="00DB5A39">
                    <w:rPr>
                      <w:rFonts w:asciiTheme="minorHAnsi" w:hAnsiTheme="minorHAnsi" w:cs="Arial"/>
                      <w:color w:val="9B8F83"/>
                      <w:sz w:val="44"/>
                      <w:szCs w:val="44"/>
                    </w:rPr>
                    <w:t>2014 Regional System Plan</w:t>
                  </w:r>
                </w:p>
                <w:p w:rsidR="001E3655" w:rsidRPr="009D2398" w:rsidRDefault="001E3655" w:rsidP="00DB5A39">
                  <w:pPr>
                    <w:spacing w:after="0" w:line="240" w:lineRule="auto"/>
                    <w:rPr>
                      <w:rFonts w:asciiTheme="minorHAnsi" w:hAnsiTheme="minorHAnsi" w:cs="Arial"/>
                      <w:color w:val="9B8F83"/>
                      <w:sz w:val="28"/>
                      <w:szCs w:val="28"/>
                    </w:rPr>
                  </w:pPr>
                </w:p>
              </w:txbxContent>
            </v:textbox>
          </v:shape>
        </w:pict>
      </w:r>
    </w:p>
    <w:p w:rsidR="00DC133A" w:rsidRDefault="00DC133A" w:rsidP="00D53010">
      <w:pPr>
        <w:pStyle w:val="TofCHeading"/>
        <w:spacing w:after="120"/>
        <w:jc w:val="left"/>
        <w:rPr>
          <w:rFonts w:asciiTheme="minorHAnsi" w:hAnsiTheme="minorHAnsi"/>
          <w:color w:val="11479D" w:themeColor="text2"/>
          <w:szCs w:val="36"/>
        </w:rPr>
        <w:sectPr w:rsidR="00DC133A" w:rsidSect="00E24A7B">
          <w:headerReference w:type="default" r:id="rId10"/>
          <w:footerReference w:type="default" r:id="rId11"/>
          <w:pgSz w:w="12240" w:h="15840"/>
          <w:pgMar w:top="1440" w:right="1440" w:bottom="1440" w:left="1800" w:header="720" w:footer="720" w:gutter="0"/>
          <w:pgNumType w:fmt="lowerRoman" w:start="1"/>
          <w:cols w:space="720"/>
          <w:docGrid w:linePitch="360"/>
        </w:sectPr>
      </w:pPr>
      <w:bookmarkStart w:id="2" w:name="_Toc334600987"/>
      <w:bookmarkStart w:id="3" w:name="_Toc365440961"/>
    </w:p>
    <w:p w:rsidR="00DC133A" w:rsidRDefault="00DC133A" w:rsidP="00D53010">
      <w:pPr>
        <w:pStyle w:val="TofCHeading"/>
        <w:spacing w:after="120"/>
        <w:jc w:val="left"/>
        <w:rPr>
          <w:rFonts w:asciiTheme="minorHAnsi" w:hAnsiTheme="minorHAnsi"/>
          <w:color w:val="11479D" w:themeColor="text2"/>
          <w:szCs w:val="36"/>
        </w:rPr>
        <w:sectPr w:rsidR="00DC133A" w:rsidSect="00E24A7B">
          <w:footerReference w:type="default" r:id="rId12"/>
          <w:pgSz w:w="12240" w:h="15840"/>
          <w:pgMar w:top="1440" w:right="1440" w:bottom="1440" w:left="1800" w:header="720" w:footer="720" w:gutter="0"/>
          <w:pgNumType w:fmt="lowerRoman" w:start="1"/>
          <w:cols w:space="720"/>
          <w:docGrid w:linePitch="360"/>
        </w:sectPr>
      </w:pPr>
    </w:p>
    <w:bookmarkEnd w:id="2"/>
    <w:bookmarkEnd w:id="3"/>
    <w:p w:rsidR="00D53010" w:rsidRPr="001777FF" w:rsidRDefault="00D53010" w:rsidP="001777FF">
      <w:pPr>
        <w:pStyle w:val="TofCHeading"/>
        <w:spacing w:after="120"/>
        <w:jc w:val="left"/>
        <w:rPr>
          <w:rFonts w:asciiTheme="minorHAnsi" w:hAnsiTheme="minorHAnsi"/>
          <w:color w:val="11479D" w:themeColor="text2"/>
          <w:sz w:val="20"/>
          <w:szCs w:val="20"/>
        </w:rPr>
        <w:sectPr w:rsidR="00D53010" w:rsidRPr="001777FF" w:rsidSect="00E24A7B">
          <w:headerReference w:type="default" r:id="rId13"/>
          <w:footerReference w:type="default" r:id="rId14"/>
          <w:pgSz w:w="12240" w:h="15840"/>
          <w:pgMar w:top="1440" w:right="1440" w:bottom="1440" w:left="1800" w:header="720" w:footer="720" w:gutter="0"/>
          <w:pgNumType w:fmt="lowerRoman" w:start="1"/>
          <w:cols w:space="720"/>
          <w:docGrid w:linePitch="360"/>
        </w:sectPr>
      </w:pPr>
    </w:p>
    <w:p w:rsidR="009907EF" w:rsidRPr="00E85FC7" w:rsidRDefault="00377CCA" w:rsidP="009907EF">
      <w:pPr>
        <w:pStyle w:val="TofCHeading"/>
        <w:spacing w:after="120"/>
        <w:jc w:val="left"/>
        <w:rPr>
          <w:rFonts w:asciiTheme="minorHAnsi" w:hAnsiTheme="minorHAnsi"/>
          <w:color w:val="11479D" w:themeColor="text2"/>
          <w:sz w:val="20"/>
          <w:szCs w:val="20"/>
        </w:rPr>
      </w:pPr>
      <w:bookmarkStart w:id="4" w:name="_Toc396807585"/>
      <w:bookmarkStart w:id="5" w:name="_Toc262722601"/>
      <w:bookmarkStart w:id="6" w:name="_Toc267323565"/>
      <w:bookmarkStart w:id="7" w:name="_Toc271552445"/>
      <w:bookmarkStart w:id="8" w:name="_Toc271632192"/>
      <w:bookmarkStart w:id="9" w:name="_Toc293243687"/>
      <w:bookmarkStart w:id="10" w:name="_Toc293929164"/>
      <w:bookmarkStart w:id="11" w:name="_Toc294097106"/>
      <w:bookmarkStart w:id="12" w:name="_Toc298257107"/>
      <w:bookmarkStart w:id="13" w:name="_Toc299027429"/>
      <w:r>
        <w:rPr>
          <w:rFonts w:asciiTheme="minorHAnsi" w:hAnsiTheme="minorHAnsi"/>
          <w:color w:val="11479D" w:themeColor="text2"/>
          <w:szCs w:val="36"/>
        </w:rPr>
        <w:t xml:space="preserve">                                                                                                                                                                                                                                                                                                                                                                                                                                                                                                                   </w:t>
      </w:r>
      <w:r w:rsidR="009907EF" w:rsidRPr="00EF6B88">
        <w:rPr>
          <w:rFonts w:asciiTheme="minorHAnsi" w:hAnsiTheme="minorHAnsi"/>
          <w:color w:val="11479D" w:themeColor="text2"/>
          <w:szCs w:val="36"/>
        </w:rPr>
        <w:t>Preface</w:t>
      </w:r>
      <w:bookmarkEnd w:id="4"/>
    </w:p>
    <w:p w:rsidR="00B94DC6" w:rsidRPr="00D45F5F" w:rsidRDefault="00B94DC6" w:rsidP="00B94DC6">
      <w:r w:rsidRPr="00E2436F">
        <w:t xml:space="preserve">ISO New England Inc. (ISO) is the not-for-profit corporation responsible for the reliable </w:t>
      </w:r>
      <w:r w:rsidR="003251EC" w:rsidRPr="00E2436F">
        <w:t>and economical</w:t>
      </w:r>
      <w:r w:rsidR="005A0799">
        <w:t xml:space="preserve"> </w:t>
      </w:r>
      <w:r w:rsidRPr="00D45F5F">
        <w:t xml:space="preserve">operation of New England’s </w:t>
      </w:r>
      <w:r>
        <w:t xml:space="preserve">electric </w:t>
      </w:r>
      <w:r w:rsidRPr="00D45F5F">
        <w:t>power</w:t>
      </w:r>
      <w:r>
        <w:t xml:space="preserve"> </w:t>
      </w:r>
      <w:r w:rsidRPr="00D45F5F">
        <w:t xml:space="preserve">system. It also administers the region’s wholesale electricity markets and manages the comprehensive planning of the regional power system. The planning process includes the preparation of an annual Regional System Plan (RSP) in accordance with the ISO’s </w:t>
      </w:r>
      <w:r w:rsidRPr="00D45F5F">
        <w:rPr>
          <w:i/>
        </w:rPr>
        <w:t xml:space="preserve">Open Access </w:t>
      </w:r>
      <w:r w:rsidRPr="00CA2E83">
        <w:rPr>
          <w:i/>
        </w:rPr>
        <w:t xml:space="preserve">Transmission Tariff </w:t>
      </w:r>
      <w:r w:rsidRPr="00CA2E83">
        <w:t xml:space="preserve">(OATT) and other parts of the </w:t>
      </w:r>
      <w:r w:rsidRPr="00CA2E83">
        <w:rPr>
          <w:i/>
          <w:iCs/>
        </w:rPr>
        <w:t xml:space="preserve">Transmission, Markets, and Services Tariff </w:t>
      </w:r>
      <w:r w:rsidRPr="00CA2E83">
        <w:rPr>
          <w:iCs/>
        </w:rPr>
        <w:t>(ISO tariff)</w:t>
      </w:r>
      <w:r w:rsidRPr="00CA2E83">
        <w:t>, approved by the Federal Energy Regulatory Commission (FERC).</w:t>
      </w:r>
      <w:r w:rsidRPr="00CA2E83">
        <w:rPr>
          <w:rStyle w:val="FootnoteReference"/>
        </w:rPr>
        <w:footnoteReference w:id="2"/>
      </w:r>
      <w:r w:rsidRPr="00CA2E83">
        <w:t xml:space="preserve"> Regional System Plans meet the tariff requirements by including the following:</w:t>
      </w:r>
    </w:p>
    <w:p w:rsidR="00B94DC6" w:rsidRPr="007D17CF" w:rsidRDefault="00B94DC6" w:rsidP="00B94DC6">
      <w:pPr>
        <w:pStyle w:val="Bullet-Solid"/>
        <w:numPr>
          <w:ilvl w:val="0"/>
          <w:numId w:val="368"/>
        </w:numPr>
        <w:rPr>
          <w:rFonts w:asciiTheme="minorHAnsi" w:hAnsiTheme="minorHAnsi"/>
        </w:rPr>
      </w:pPr>
      <w:r w:rsidRPr="007D17CF">
        <w:t>Forecasts of annual energy use and peak loads (i.e., the demand for electricity) for a 10-year planning horizon and the need for resources (i.e., capacity)</w:t>
      </w:r>
    </w:p>
    <w:p w:rsidR="00B94DC6" w:rsidRPr="007D17CF" w:rsidRDefault="00B94DC6" w:rsidP="00B94DC6">
      <w:pPr>
        <w:pStyle w:val="Bullet-Solid"/>
        <w:numPr>
          <w:ilvl w:val="0"/>
          <w:numId w:val="368"/>
        </w:numPr>
        <w:rPr>
          <w:rFonts w:asciiTheme="minorHAnsi" w:hAnsiTheme="minorHAnsi"/>
        </w:rPr>
      </w:pPr>
      <w:r w:rsidRPr="007D17CF">
        <w:t>Information about the amounts, locations, and characteristics of market responses (e.g., generation or demand resources or elective transmission upgrades) that can meet the defined system</w:t>
      </w:r>
      <w:r w:rsidR="00185B6C">
        <w:t xml:space="preserve"> needs</w:t>
      </w:r>
      <w:r w:rsidRPr="007D17CF">
        <w:t>—</w:t>
      </w:r>
      <w:proofErr w:type="spellStart"/>
      <w:r w:rsidRPr="007D17CF">
        <w:t>systemwide</w:t>
      </w:r>
      <w:proofErr w:type="spellEnd"/>
      <w:r w:rsidRPr="007D17CF">
        <w:t xml:space="preserve"> and in specific areas </w:t>
      </w:r>
    </w:p>
    <w:p w:rsidR="00B94DC6" w:rsidRPr="00D45F5F" w:rsidRDefault="00B94DC6" w:rsidP="00B94DC6">
      <w:pPr>
        <w:pStyle w:val="Bullet-Solid"/>
        <w:numPr>
          <w:ilvl w:val="0"/>
          <w:numId w:val="368"/>
        </w:numPr>
        <w:spacing w:after="240"/>
      </w:pPr>
      <w:r w:rsidRPr="00D45F5F">
        <w:t xml:space="preserve">Descriptions of transmission projects for the region that could meet the identified needs, as summarized in an </w:t>
      </w:r>
      <w:r w:rsidRPr="00D45F5F">
        <w:rPr>
          <w:i/>
        </w:rPr>
        <w:t>RSP Project List</w:t>
      </w:r>
      <w:r w:rsidRPr="00D45F5F">
        <w:t xml:space="preserve">, which includes information on project status and cost estimates </w:t>
      </w:r>
      <w:r>
        <w:t xml:space="preserve">and </w:t>
      </w:r>
      <w:r w:rsidRPr="00D45F5F">
        <w:t>is updated several times each year.</w:t>
      </w:r>
      <w:r w:rsidRPr="00D45F5F">
        <w:rPr>
          <w:rStyle w:val="FootnoteReference"/>
        </w:rPr>
        <w:footnoteReference w:id="3"/>
      </w:r>
    </w:p>
    <w:p w:rsidR="00B94DC6" w:rsidRPr="005A0799" w:rsidRDefault="00B94DC6" w:rsidP="00B94DC6">
      <w:r w:rsidRPr="00D45F5F">
        <w:t xml:space="preserve">RSPs also must summarize the ISO’s coordination of its short- and long-term system plans with those of neighboring systems, the results of economic studies of the New England </w:t>
      </w:r>
      <w:r>
        <w:t xml:space="preserve">power </w:t>
      </w:r>
      <w:r w:rsidRPr="00D45F5F">
        <w:t xml:space="preserve">system, and information that </w:t>
      </w:r>
      <w:proofErr w:type="gramStart"/>
      <w:r w:rsidRPr="00D45F5F">
        <w:t>can be used</w:t>
      </w:r>
      <w:proofErr w:type="gramEnd"/>
      <w:r w:rsidRPr="00D45F5F">
        <w:t xml:space="preserve"> for improving the design of the regional </w:t>
      </w:r>
      <w:r>
        <w:t>wholesale electricity</w:t>
      </w:r>
      <w:r w:rsidRPr="00D45F5F">
        <w:t xml:space="preserve"> markets. In addition to </w:t>
      </w:r>
      <w:r w:rsidRPr="007C17FC">
        <w:t xml:space="preserve">these requirements, the RSPs identify the initiatives and other actions </w:t>
      </w:r>
      <w:r w:rsidR="001D3B61">
        <w:t xml:space="preserve">taken by </w:t>
      </w:r>
      <w:r w:rsidRPr="007C17FC">
        <w:t>the ISO, state officials, regional</w:t>
      </w:r>
      <w:r w:rsidRPr="00D45F5F">
        <w:t xml:space="preserve"> policymakers, participating transmission owners (PTOs), New England Power Pool (NEPOOL) </w:t>
      </w:r>
      <w:r w:rsidR="0097225B">
        <w:t xml:space="preserve">members, </w:t>
      </w:r>
      <w:r w:rsidRPr="00E2436F">
        <w:t>market participants</w:t>
      </w:r>
      <w:r w:rsidR="0097225B" w:rsidRPr="00E2436F">
        <w:t>,</w:t>
      </w:r>
      <w:r w:rsidRPr="00E2436F">
        <w:t xml:space="preserve"> and </w:t>
      </w:r>
      <w:r w:rsidR="0097225B" w:rsidRPr="00E2436F">
        <w:t xml:space="preserve">other </w:t>
      </w:r>
      <w:r w:rsidRPr="00E2436F">
        <w:t xml:space="preserve">stakeholders to meet </w:t>
      </w:r>
      <w:r w:rsidR="003251EC" w:rsidRPr="00E2436F">
        <w:t xml:space="preserve">or </w:t>
      </w:r>
      <w:r w:rsidR="001D3B61" w:rsidRPr="00E2436F">
        <w:t>modify</w:t>
      </w:r>
      <w:r w:rsidRPr="00E2436F">
        <w:t xml:space="preserve"> the needs of</w:t>
      </w:r>
      <w:r w:rsidRPr="005A0799">
        <w:t xml:space="preserve"> the system.</w:t>
      </w:r>
      <w:r w:rsidRPr="005A0799">
        <w:rPr>
          <w:rStyle w:val="FootnoteReference"/>
        </w:rPr>
        <w:footnoteReference w:id="4"/>
      </w:r>
    </w:p>
    <w:p w:rsidR="00B94DC6" w:rsidRPr="00D45F5F" w:rsidRDefault="006229A8" w:rsidP="00B94DC6">
      <w:r w:rsidRPr="005A0799">
        <w:t xml:space="preserve">The </w:t>
      </w:r>
      <w:r w:rsidRPr="005A0799">
        <w:rPr>
          <w:i/>
        </w:rPr>
        <w:t>2014 Regional System Plan</w:t>
      </w:r>
      <w:r w:rsidRPr="005A0799">
        <w:t xml:space="preserve"> (RSP14) and the regional system planning process</w:t>
      </w:r>
      <w:r w:rsidR="00CD4123" w:rsidRPr="005A0799">
        <w:t xml:space="preserve"> </w:t>
      </w:r>
      <w:r w:rsidRPr="005A0799">
        <w:t>identifies the region’s electricity needs and plans for meeting these needs for 2014 through 2023.</w:t>
      </w:r>
    </w:p>
    <w:p w:rsidR="00B94DC6" w:rsidRPr="00053A2D" w:rsidRDefault="00B94DC6" w:rsidP="00B94DC6">
      <w:pPr>
        <w:pStyle w:val="PrefaceStyle2"/>
        <w:rPr>
          <w:b w:val="0"/>
          <w:sz w:val="24"/>
          <w:szCs w:val="24"/>
        </w:rPr>
      </w:pPr>
      <w:r w:rsidRPr="00D57AD0">
        <w:rPr>
          <w:sz w:val="24"/>
          <w:szCs w:val="24"/>
        </w:rPr>
        <w:t xml:space="preserve">Regional </w:t>
      </w:r>
      <w:r>
        <w:rPr>
          <w:sz w:val="24"/>
          <w:szCs w:val="24"/>
        </w:rPr>
        <w:t xml:space="preserve">Power System Evolution and </w:t>
      </w:r>
      <w:r w:rsidRPr="00D57AD0">
        <w:rPr>
          <w:sz w:val="24"/>
          <w:szCs w:val="24"/>
        </w:rPr>
        <w:t xml:space="preserve">System Planning </w:t>
      </w:r>
      <w:r w:rsidR="00E2436F">
        <w:rPr>
          <w:sz w:val="24"/>
          <w:szCs w:val="24"/>
        </w:rPr>
        <w:t>Achievements</w:t>
      </w:r>
      <w:r w:rsidR="00651CC9">
        <w:rPr>
          <w:sz w:val="24"/>
          <w:szCs w:val="24"/>
        </w:rPr>
        <w:t xml:space="preserve"> </w:t>
      </w:r>
    </w:p>
    <w:p w:rsidR="00B94DC6" w:rsidRDefault="00B94DC6" w:rsidP="00B94DC6">
      <w:r w:rsidRPr="00D45F5F">
        <w:rPr>
          <w:color w:val="000000"/>
        </w:rPr>
        <w:t xml:space="preserve">New England’s transmission owners have </w:t>
      </w:r>
      <w:r>
        <w:rPr>
          <w:color w:val="000000"/>
        </w:rPr>
        <w:t>placed</w:t>
      </w:r>
      <w:r w:rsidR="005E4B5E">
        <w:rPr>
          <w:color w:val="000000"/>
        </w:rPr>
        <w:t xml:space="preserve"> in service</w:t>
      </w:r>
      <w:r>
        <w:rPr>
          <w:color w:val="000000"/>
        </w:rPr>
        <w:t xml:space="preserve"> </w:t>
      </w:r>
      <w:r w:rsidRPr="00D45F5F">
        <w:t xml:space="preserve">transmission projects throughout the region </w:t>
      </w:r>
      <w:r>
        <w:t xml:space="preserve">to </w:t>
      </w:r>
      <w:r>
        <w:rPr>
          <w:color w:val="000000"/>
        </w:rPr>
        <w:t xml:space="preserve">provide </w:t>
      </w:r>
      <w:r w:rsidRPr="00D45F5F">
        <w:rPr>
          <w:color w:val="000000"/>
        </w:rPr>
        <w:t xml:space="preserve">solutions </w:t>
      </w:r>
      <w:r>
        <w:rPr>
          <w:color w:val="000000"/>
        </w:rPr>
        <w:t xml:space="preserve">to the needs </w:t>
      </w:r>
      <w:r w:rsidRPr="00D45F5F">
        <w:rPr>
          <w:color w:val="000000"/>
        </w:rPr>
        <w:t xml:space="preserve">identified through the regional planning process, as detailed in past RSPs </w:t>
      </w:r>
      <w:r w:rsidRPr="0051224C">
        <w:rPr>
          <w:color w:val="000000"/>
        </w:rPr>
        <w:t>and supporting reports</w:t>
      </w:r>
      <w:r w:rsidRPr="0051224C">
        <w:t>.</w:t>
      </w:r>
      <w:r w:rsidRPr="0051224C">
        <w:rPr>
          <w:rStyle w:val="FootnoteReference"/>
        </w:rPr>
        <w:footnoteReference w:id="5"/>
      </w:r>
      <w:r w:rsidRPr="0051224C">
        <w:t xml:space="preserve"> These projects </w:t>
      </w:r>
      <w:r>
        <w:t xml:space="preserve">have </w:t>
      </w:r>
      <w:r w:rsidRPr="0051224C">
        <w:t>reinforce</w:t>
      </w:r>
      <w:r>
        <w:t>d</w:t>
      </w:r>
      <w:r w:rsidRPr="0051224C">
        <w:t xml:space="preserve"> </w:t>
      </w:r>
      <w:r>
        <w:t xml:space="preserve">the </w:t>
      </w:r>
      <w:r w:rsidRPr="0051224C">
        <w:t xml:space="preserve">transmission facilities serving </w:t>
      </w:r>
      <w:r>
        <w:t xml:space="preserve">the entire region with upgrades in all six New England states. </w:t>
      </w:r>
      <w:r w:rsidRPr="008E1BA0">
        <w:t xml:space="preserve">The projects also </w:t>
      </w:r>
      <w:r>
        <w:t xml:space="preserve">have </w:t>
      </w:r>
      <w:r w:rsidRPr="008E1BA0">
        <w:t>reinforce</w:t>
      </w:r>
      <w:r>
        <w:t>d</w:t>
      </w:r>
      <w:r w:rsidRPr="008E1BA0">
        <w:t xml:space="preserve"> the system</w:t>
      </w:r>
      <w:r>
        <w:t xml:space="preserve"> in </w:t>
      </w:r>
      <w:r w:rsidRPr="008E1BA0">
        <w:t xml:space="preserve">critical “load pockets,” such as </w:t>
      </w:r>
      <w:proofErr w:type="gramStart"/>
      <w:r w:rsidRPr="008E1BA0">
        <w:t>Southwest</w:t>
      </w:r>
      <w:proofErr w:type="gramEnd"/>
      <w:r w:rsidRPr="0051224C">
        <w:t xml:space="preserve"> Connecticut (SWCT) and Boston, allowing the import of power from other parts of the system. New interconnections with neighboring power systems also </w:t>
      </w:r>
      <w:proofErr w:type="gramStart"/>
      <w:r w:rsidRPr="0051224C">
        <w:t>have been placed</w:t>
      </w:r>
      <w:proofErr w:type="gramEnd"/>
      <w:r w:rsidRPr="0051224C">
        <w:t xml:space="preserve"> in service</w:t>
      </w:r>
      <w:r>
        <w:t>, strengthening the region’s ability to interchange power with these systems</w:t>
      </w:r>
      <w:r w:rsidRPr="0051224C">
        <w:t>. From 2002 t</w:t>
      </w:r>
      <w:r>
        <w:t>o</w:t>
      </w:r>
      <w:r w:rsidRPr="0051224C">
        <w:t xml:space="preserve"> </w:t>
      </w:r>
      <w:r>
        <w:t xml:space="preserve">June </w:t>
      </w:r>
      <w:r w:rsidRPr="00A33E08">
        <w:t>201</w:t>
      </w:r>
      <w:r>
        <w:t>4</w:t>
      </w:r>
      <w:r w:rsidRPr="00A33E08">
        <w:t xml:space="preserve">, </w:t>
      </w:r>
      <w:r w:rsidR="003A6BAC" w:rsidRPr="003A6BAC">
        <w:t>559</w:t>
      </w:r>
      <w:r w:rsidRPr="003A6BAC">
        <w:t xml:space="preserve"> projects </w:t>
      </w:r>
      <w:proofErr w:type="gramStart"/>
      <w:r w:rsidRPr="003A6BAC">
        <w:t>were put</w:t>
      </w:r>
      <w:proofErr w:type="gramEnd"/>
      <w:r w:rsidRPr="003A6BAC">
        <w:t xml:space="preserve"> into service, totaling approximately $</w:t>
      </w:r>
      <w:r w:rsidR="003A6BAC" w:rsidRPr="003A6BAC">
        <w:t>6.6</w:t>
      </w:r>
      <w:r w:rsidRPr="003A6BAC">
        <w:t xml:space="preserve"> billion of new infrastructure</w:t>
      </w:r>
      <w:r w:rsidRPr="00A33E08">
        <w:t xml:space="preserve"> investment.</w:t>
      </w:r>
    </w:p>
    <w:p w:rsidR="00B94DC6" w:rsidRDefault="00B94DC6" w:rsidP="00B94DC6">
      <w:r>
        <w:t>In addition to transmission development, m</w:t>
      </w:r>
      <w:r w:rsidRPr="00EA2E47">
        <w:t>arket</w:t>
      </w:r>
      <w:r>
        <w:t xml:space="preserve"> p</w:t>
      </w:r>
      <w:r w:rsidRPr="00EA2E47">
        <w:t>articipant</w:t>
      </w:r>
      <w:r>
        <w:t xml:space="preserve">s and the states have </w:t>
      </w:r>
      <w:r w:rsidRPr="00EF20B8">
        <w:t xml:space="preserve">responded to the need for electric energy and capacity resources. </w:t>
      </w:r>
      <w:r>
        <w:t xml:space="preserve">From November 1997 through April 2014, </w:t>
      </w:r>
      <w:r w:rsidRPr="00BB42E9">
        <w:t xml:space="preserve">new generating projects </w:t>
      </w:r>
      <w:r w:rsidR="005228A8">
        <w:t>totaling 14,995</w:t>
      </w:r>
      <w:r w:rsidR="005228A8" w:rsidRPr="00EF20B8">
        <w:t xml:space="preserve"> megawatts </w:t>
      </w:r>
      <w:r w:rsidR="005228A8" w:rsidRPr="00BB42E9">
        <w:t xml:space="preserve">(MW) </w:t>
      </w:r>
      <w:r w:rsidRPr="00BB42E9">
        <w:t xml:space="preserve">have interconnected to the New England power </w:t>
      </w:r>
      <w:proofErr w:type="gramStart"/>
      <w:r w:rsidRPr="00BB42E9">
        <w:t>system,</w:t>
      </w:r>
      <w:proofErr w:type="gramEnd"/>
      <w:r w:rsidRPr="00BB42E9">
        <w:t xml:space="preserve"> and 4,114</w:t>
      </w:r>
      <w:r w:rsidRPr="00BB42E9">
        <w:rPr>
          <w:bCs/>
          <w:color w:val="1F497D"/>
        </w:rPr>
        <w:t xml:space="preserve"> </w:t>
      </w:r>
      <w:r w:rsidRPr="00BB42E9">
        <w:t>MW</w:t>
      </w:r>
      <w:r w:rsidRPr="004E319F">
        <w:t xml:space="preserve"> </w:t>
      </w:r>
      <w:r>
        <w:t xml:space="preserve">of primarily older, less efficient resources have retired from the </w:t>
      </w:r>
      <w:r w:rsidRPr="00587924">
        <w:t>system.</w:t>
      </w:r>
      <w:r w:rsidRPr="00587924">
        <w:rPr>
          <w:rStyle w:val="FootnoteReference"/>
        </w:rPr>
        <w:footnoteReference w:id="6"/>
      </w:r>
      <w:r w:rsidRPr="00587924">
        <w:t xml:space="preserve"> </w:t>
      </w:r>
      <w:r w:rsidR="00113C54" w:rsidRPr="00587924">
        <w:t xml:space="preserve">Active and passive </w:t>
      </w:r>
      <w:r w:rsidR="007E209F" w:rsidRPr="00587924">
        <w:t xml:space="preserve">demand </w:t>
      </w:r>
      <w:r w:rsidR="00113C54" w:rsidRPr="00587924">
        <w:t xml:space="preserve">resources, currently totaling 2,100 MW, are part of the regional power system, and 2,950 MW </w:t>
      </w:r>
      <w:proofErr w:type="gramStart"/>
      <w:r w:rsidR="00113C54" w:rsidRPr="00587924">
        <w:t>are expected</w:t>
      </w:r>
      <w:proofErr w:type="gramEnd"/>
      <w:r w:rsidR="00113C54" w:rsidRPr="00587924">
        <w:t xml:space="preserve"> by 2017.</w:t>
      </w:r>
      <w:r w:rsidR="00113C54" w:rsidRPr="00587924">
        <w:rPr>
          <w:rStyle w:val="FootnoteReference"/>
        </w:rPr>
        <w:footnoteReference w:id="7"/>
      </w:r>
      <w:r w:rsidR="00113C54" w:rsidRPr="00587924">
        <w:t xml:space="preserve"> </w:t>
      </w:r>
      <w:r w:rsidR="00113C54" w:rsidRPr="00113C54">
        <w:t>New England states’ annual investments in energy-</w:t>
      </w:r>
      <w:r w:rsidR="007E209F" w:rsidRPr="00076915">
        <w:t xml:space="preserve">efficiency </w:t>
      </w:r>
      <w:r w:rsidR="0052219C" w:rsidRPr="00076915">
        <w:t xml:space="preserve">(EE) </w:t>
      </w:r>
      <w:r w:rsidR="007E209F" w:rsidRPr="00076915">
        <w:t xml:space="preserve">programs </w:t>
      </w:r>
      <w:proofErr w:type="gramStart"/>
      <w:r w:rsidR="007E209F" w:rsidRPr="00076915">
        <w:t>are expected</w:t>
      </w:r>
      <w:proofErr w:type="gramEnd"/>
      <w:r w:rsidR="007E209F" w:rsidRPr="00076915">
        <w:t xml:space="preserve"> to exceed $</w:t>
      </w:r>
      <w:r w:rsidR="00F208B5" w:rsidRPr="00076915">
        <w:t>900</w:t>
      </w:r>
      <w:r w:rsidR="00F208B5">
        <w:t> </w:t>
      </w:r>
      <w:r w:rsidR="007E209F" w:rsidRPr="00076915">
        <w:t xml:space="preserve">million per year for 2018 through 2023. These </w:t>
      </w:r>
      <w:r w:rsidR="0052219C" w:rsidRPr="00076915">
        <w:t xml:space="preserve">EE </w:t>
      </w:r>
      <w:r w:rsidR="007E209F" w:rsidRPr="00076915">
        <w:t xml:space="preserve">investments </w:t>
      </w:r>
      <w:r w:rsidR="00113C54" w:rsidRPr="00113C54">
        <w:t xml:space="preserve">remain a large part of the expansion in passive demand resources, which </w:t>
      </w:r>
      <w:proofErr w:type="gramStart"/>
      <w:r w:rsidR="00113C54" w:rsidRPr="00113C54">
        <w:t>are projected</w:t>
      </w:r>
      <w:proofErr w:type="gramEnd"/>
      <w:r w:rsidR="00113C54" w:rsidRPr="00113C54">
        <w:t xml:space="preserve"> to grow at approximately 200 MW per year across the 10-year horizon.</w:t>
      </w:r>
      <w:r w:rsidRPr="00D45F5F">
        <w:t xml:space="preserve"> </w:t>
      </w:r>
    </w:p>
    <w:p w:rsidR="00B94DC6" w:rsidRPr="00053A2D" w:rsidRDefault="00B94DC6" w:rsidP="00B94DC6">
      <w:pPr>
        <w:pStyle w:val="PrefaceStyle2"/>
        <w:rPr>
          <w:b w:val="0"/>
          <w:sz w:val="24"/>
          <w:szCs w:val="24"/>
        </w:rPr>
      </w:pPr>
      <w:r w:rsidRPr="00053A2D">
        <w:rPr>
          <w:sz w:val="24"/>
          <w:szCs w:val="24"/>
        </w:rPr>
        <w:t>RSP1</w:t>
      </w:r>
      <w:r>
        <w:rPr>
          <w:sz w:val="24"/>
          <w:szCs w:val="24"/>
        </w:rPr>
        <w:t>4</w:t>
      </w:r>
      <w:r w:rsidRPr="00053A2D">
        <w:rPr>
          <w:sz w:val="24"/>
          <w:szCs w:val="24"/>
        </w:rPr>
        <w:t xml:space="preserve"> Review and Approval</w:t>
      </w:r>
    </w:p>
    <w:p w:rsidR="00B94DC6" w:rsidRPr="00D45F5F" w:rsidRDefault="00B94DC6" w:rsidP="00B94DC6">
      <w:r w:rsidRPr="00D45F5F">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w:t>
      </w:r>
      <w:r w:rsidR="00145A9E">
        <w:t>entities</w:t>
      </w:r>
      <w:r w:rsidRPr="00D45F5F">
        <w:t xml:space="preserve"> interested in regional system planning activities in New England. </w:t>
      </w:r>
    </w:p>
    <w:p w:rsidR="00B94DC6" w:rsidRPr="008A5E04" w:rsidRDefault="00B94DC6" w:rsidP="00B94DC6">
      <w:r w:rsidRPr="008A5E04">
        <w:t xml:space="preserve">The ISO and the PAC have discussed study proposals, scopes of work, assumptions, </w:t>
      </w:r>
      <w:proofErr w:type="gramStart"/>
      <w:r w:rsidRPr="008A5E04">
        <w:t>draft</w:t>
      </w:r>
      <w:proofErr w:type="gramEnd"/>
      <w:r w:rsidRPr="008A5E04">
        <w:t xml:space="preserve"> and final study results</w:t>
      </w:r>
      <w:r>
        <w:t>,</w:t>
      </w:r>
      <w:r w:rsidRPr="008A5E04">
        <w:t xml:space="preserve"> and other materials appearing in RSP1</w:t>
      </w:r>
      <w:r>
        <w:t>4</w:t>
      </w:r>
      <w:r w:rsidRPr="008A5E04">
        <w:t>. From September 201</w:t>
      </w:r>
      <w:r>
        <w:t>3</w:t>
      </w:r>
      <w:r w:rsidRPr="008A5E04">
        <w:t xml:space="preserve"> through August 201</w:t>
      </w:r>
      <w:r>
        <w:t>4</w:t>
      </w:r>
      <w:r w:rsidRPr="008A5E04">
        <w:t xml:space="preserve">, the ISO hosted </w:t>
      </w:r>
      <w:r w:rsidRPr="00C60831">
        <w:t>15 PAC meetings</w:t>
      </w:r>
      <w:r w:rsidR="005C26B1">
        <w:t xml:space="preserve">, and </w:t>
      </w:r>
      <w:r w:rsidRPr="00C60831">
        <w:t>1</w:t>
      </w:r>
      <w:r w:rsidR="00C60831" w:rsidRPr="00C60831">
        <w:t>97</w:t>
      </w:r>
      <w:r w:rsidRPr="00C60831">
        <w:t xml:space="preserve"> stakeholder representatives from 1</w:t>
      </w:r>
      <w:r w:rsidR="00C60831" w:rsidRPr="00C60831">
        <w:t>09</w:t>
      </w:r>
      <w:r w:rsidRPr="00C60831">
        <w:t xml:space="preserve"> entities attended</w:t>
      </w:r>
      <w:r w:rsidR="00B00601" w:rsidRPr="00C60831">
        <w:t xml:space="preserve"> at least one</w:t>
      </w:r>
      <w:r w:rsidR="00B00601">
        <w:t xml:space="preserve"> meeting</w:t>
      </w:r>
      <w:r>
        <w:t xml:space="preserve">. </w:t>
      </w:r>
      <w:r w:rsidRPr="008A5E04">
        <w:t>The ISO also posted to its website PAC presentations, meeting minutes, reports, databases, and other materials.</w:t>
      </w:r>
      <w:r w:rsidRPr="008A5E04">
        <w:rPr>
          <w:rStyle w:val="FootnoteReference"/>
        </w:rPr>
        <w:footnoteReference w:id="8"/>
      </w:r>
      <w:r w:rsidRPr="008A5E04">
        <w:t xml:space="preserve"> In addition, </w:t>
      </w:r>
      <w:r>
        <w:t xml:space="preserve">the ISO held </w:t>
      </w:r>
      <w:r w:rsidRPr="008A5E04">
        <w:t>a public meeting on September 1</w:t>
      </w:r>
      <w:r>
        <w:t>1</w:t>
      </w:r>
      <w:r w:rsidRPr="008A5E04">
        <w:t>, 201</w:t>
      </w:r>
      <w:r>
        <w:t>4</w:t>
      </w:r>
      <w:r w:rsidRPr="008A5E04">
        <w:t>, to discuss RSP1</w:t>
      </w:r>
      <w:r>
        <w:t>4</w:t>
      </w:r>
      <w:r w:rsidRPr="008A5E04">
        <w:t xml:space="preserve"> and other planning issues facing the New England region.</w:t>
      </w:r>
    </w:p>
    <w:p w:rsidR="00B94DC6" w:rsidRDefault="00B94DC6" w:rsidP="00B94DC6">
      <w:pPr>
        <w:rPr>
          <w:color w:val="211D1E"/>
        </w:rPr>
        <w:sectPr w:rsidR="00B94DC6" w:rsidSect="00E24A7B">
          <w:type w:val="continuous"/>
          <w:pgSz w:w="12240" w:h="15840"/>
          <w:pgMar w:top="1440" w:right="1080" w:bottom="1440" w:left="1800" w:header="720" w:footer="720" w:gutter="0"/>
          <w:pgNumType w:fmt="lowerRoman"/>
          <w:cols w:space="720"/>
          <w:docGrid w:linePitch="360"/>
        </w:sectPr>
      </w:pPr>
      <w:r w:rsidRPr="008563AF">
        <w:rPr>
          <w:color w:val="211D1E"/>
        </w:rPr>
        <w:t xml:space="preserve">As required by the OATT Attachment K, the ISO New England Board of Directors has approved the </w:t>
      </w:r>
      <w:r w:rsidRPr="008563AF">
        <w:rPr>
          <w:i/>
          <w:color w:val="211D1E"/>
        </w:rPr>
        <w:t>201</w:t>
      </w:r>
      <w:r>
        <w:rPr>
          <w:i/>
          <w:color w:val="211D1E"/>
        </w:rPr>
        <w:t>4</w:t>
      </w:r>
      <w:r w:rsidRPr="008563AF">
        <w:rPr>
          <w:i/>
          <w:color w:val="211D1E"/>
        </w:rPr>
        <w:t xml:space="preserve"> Regional System Plan</w:t>
      </w:r>
      <w:r w:rsidRPr="005550C5">
        <w:rPr>
          <w:i/>
          <w:color w:val="211D1E"/>
        </w:rPr>
        <w:t>.</w:t>
      </w:r>
    </w:p>
    <w:p w:rsidR="00D24A34" w:rsidRPr="005E7BD4" w:rsidRDefault="006229A8" w:rsidP="00D24A34">
      <w:pPr>
        <w:rPr>
          <w:rFonts w:asciiTheme="minorHAnsi" w:hAnsiTheme="minorHAnsi" w:cs="Arial"/>
          <w:b/>
          <w:color w:val="11479D" w:themeColor="text2"/>
          <w:sz w:val="32"/>
          <w:szCs w:val="32"/>
        </w:rPr>
      </w:pPr>
      <w:r w:rsidRPr="003C51B7">
        <w:rPr>
          <w:rFonts w:asciiTheme="minorHAnsi" w:hAnsiTheme="minorHAnsi" w:cs="Arial"/>
          <w:b/>
          <w:color w:val="11479D" w:themeColor="text2"/>
          <w:sz w:val="32"/>
          <w:szCs w:val="32"/>
        </w:rPr>
        <w:t>Contents</w:t>
      </w:r>
      <w:bookmarkEnd w:id="5"/>
      <w:bookmarkEnd w:id="6"/>
      <w:bookmarkEnd w:id="7"/>
      <w:bookmarkEnd w:id="8"/>
      <w:bookmarkEnd w:id="9"/>
      <w:bookmarkEnd w:id="10"/>
      <w:bookmarkEnd w:id="11"/>
      <w:bookmarkEnd w:id="12"/>
      <w:bookmarkEnd w:id="13"/>
    </w:p>
    <w:p w:rsidR="00F208B5" w:rsidRDefault="00927965">
      <w:pPr>
        <w:pStyle w:val="TOC1"/>
        <w:rPr>
          <w:rFonts w:eastAsiaTheme="minorEastAsia" w:cstheme="minorBidi"/>
          <w:b w:val="0"/>
          <w:sz w:val="22"/>
          <w:szCs w:val="22"/>
        </w:rPr>
      </w:pPr>
      <w:r w:rsidRPr="00927965">
        <w:fldChar w:fldCharType="begin"/>
      </w:r>
      <w:r w:rsidR="004E6814" w:rsidRPr="00256045">
        <w:instrText xml:space="preserve"> TOC \o "1-3" \h \z \u </w:instrText>
      </w:r>
      <w:r w:rsidRPr="00927965">
        <w:fldChar w:fldCharType="separate"/>
      </w:r>
      <w:hyperlink w:anchor="_Toc396807585" w:history="1">
        <w:r w:rsidR="00F208B5" w:rsidRPr="002447E2">
          <w:rPr>
            <w:rStyle w:val="Hyperlink"/>
          </w:rPr>
          <w:t>Preface</w:t>
        </w:r>
        <w:r w:rsidR="00F208B5">
          <w:rPr>
            <w:webHidden/>
          </w:rPr>
          <w:tab/>
        </w:r>
        <w:r>
          <w:rPr>
            <w:webHidden/>
          </w:rPr>
          <w:fldChar w:fldCharType="begin"/>
        </w:r>
        <w:r w:rsidR="00F208B5">
          <w:rPr>
            <w:webHidden/>
          </w:rPr>
          <w:instrText xml:space="preserve"> PAGEREF _Toc396807585 \h </w:instrText>
        </w:r>
        <w:r>
          <w:rPr>
            <w:webHidden/>
          </w:rPr>
        </w:r>
        <w:r>
          <w:rPr>
            <w:webHidden/>
          </w:rPr>
          <w:fldChar w:fldCharType="separate"/>
        </w:r>
        <w:r w:rsidR="00284CE3">
          <w:rPr>
            <w:webHidden/>
          </w:rPr>
          <w:t>i</w:t>
        </w:r>
        <w:r>
          <w:rPr>
            <w:webHidden/>
          </w:rPr>
          <w:fldChar w:fldCharType="end"/>
        </w:r>
      </w:hyperlink>
    </w:p>
    <w:p w:rsidR="00F208B5" w:rsidRDefault="00927965">
      <w:pPr>
        <w:pStyle w:val="TOC1"/>
        <w:rPr>
          <w:rFonts w:eastAsiaTheme="minorEastAsia" w:cstheme="minorBidi"/>
          <w:b w:val="0"/>
          <w:sz w:val="22"/>
          <w:szCs w:val="22"/>
        </w:rPr>
      </w:pPr>
      <w:hyperlink w:anchor="_Toc396807586" w:history="1">
        <w:r w:rsidR="00F208B5" w:rsidRPr="002447E2">
          <w:rPr>
            <w:rStyle w:val="Hyperlink"/>
          </w:rPr>
          <w:t>Figures</w:t>
        </w:r>
        <w:r w:rsidR="00F208B5">
          <w:rPr>
            <w:webHidden/>
          </w:rPr>
          <w:tab/>
        </w:r>
        <w:r>
          <w:rPr>
            <w:webHidden/>
          </w:rPr>
          <w:fldChar w:fldCharType="begin"/>
        </w:r>
        <w:r w:rsidR="00F208B5">
          <w:rPr>
            <w:webHidden/>
          </w:rPr>
          <w:instrText xml:space="preserve"> PAGEREF _Toc396807586 \h </w:instrText>
        </w:r>
        <w:r>
          <w:rPr>
            <w:webHidden/>
          </w:rPr>
        </w:r>
        <w:r>
          <w:rPr>
            <w:webHidden/>
          </w:rPr>
          <w:fldChar w:fldCharType="separate"/>
        </w:r>
        <w:r w:rsidR="00284CE3">
          <w:rPr>
            <w:webHidden/>
          </w:rPr>
          <w:t>vii</w:t>
        </w:r>
        <w:r>
          <w:rPr>
            <w:webHidden/>
          </w:rPr>
          <w:fldChar w:fldCharType="end"/>
        </w:r>
      </w:hyperlink>
    </w:p>
    <w:p w:rsidR="00F208B5" w:rsidRDefault="00927965">
      <w:pPr>
        <w:pStyle w:val="TOC1"/>
        <w:rPr>
          <w:rFonts w:eastAsiaTheme="minorEastAsia" w:cstheme="minorBidi"/>
          <w:b w:val="0"/>
          <w:sz w:val="22"/>
          <w:szCs w:val="22"/>
        </w:rPr>
      </w:pPr>
      <w:hyperlink w:anchor="_Toc396807587" w:history="1">
        <w:r w:rsidR="00F208B5" w:rsidRPr="002447E2">
          <w:rPr>
            <w:rStyle w:val="Hyperlink"/>
          </w:rPr>
          <w:t>Tables</w:t>
        </w:r>
        <w:r w:rsidR="00F208B5">
          <w:rPr>
            <w:webHidden/>
          </w:rPr>
          <w:tab/>
        </w:r>
        <w:r>
          <w:rPr>
            <w:webHidden/>
          </w:rPr>
          <w:fldChar w:fldCharType="begin"/>
        </w:r>
        <w:r w:rsidR="00F208B5">
          <w:rPr>
            <w:webHidden/>
          </w:rPr>
          <w:instrText xml:space="preserve"> PAGEREF _Toc396807587 \h </w:instrText>
        </w:r>
        <w:r>
          <w:rPr>
            <w:webHidden/>
          </w:rPr>
        </w:r>
        <w:r>
          <w:rPr>
            <w:webHidden/>
          </w:rPr>
          <w:fldChar w:fldCharType="separate"/>
        </w:r>
        <w:r w:rsidR="00284CE3">
          <w:rPr>
            <w:webHidden/>
          </w:rPr>
          <w:t>ix</w:t>
        </w:r>
        <w:r>
          <w:rPr>
            <w:webHidden/>
          </w:rPr>
          <w:fldChar w:fldCharType="end"/>
        </w:r>
      </w:hyperlink>
    </w:p>
    <w:p w:rsidR="00F208B5" w:rsidRDefault="00927965">
      <w:pPr>
        <w:pStyle w:val="TOC1"/>
        <w:rPr>
          <w:rFonts w:eastAsiaTheme="minorEastAsia" w:cstheme="minorBidi"/>
          <w:b w:val="0"/>
          <w:sz w:val="22"/>
          <w:szCs w:val="22"/>
        </w:rPr>
      </w:pPr>
      <w:hyperlink w:anchor="_Toc396807588" w:history="1">
        <w:r w:rsidR="00F208B5" w:rsidRPr="002447E2">
          <w:rPr>
            <w:rStyle w:val="Hyperlink"/>
          </w:rPr>
          <w:t>Section 1</w:t>
        </w:r>
        <w:r w:rsidR="00F208B5">
          <w:rPr>
            <w:rStyle w:val="Hyperlink"/>
          </w:rPr>
          <w:br/>
        </w:r>
        <w:r w:rsidR="00F208B5" w:rsidRPr="002447E2">
          <w:rPr>
            <w:rStyle w:val="Hyperlink"/>
          </w:rPr>
          <w:t>Executive Summary</w:t>
        </w:r>
        <w:r w:rsidR="00F208B5">
          <w:rPr>
            <w:webHidden/>
          </w:rPr>
          <w:tab/>
        </w:r>
        <w:r>
          <w:rPr>
            <w:webHidden/>
          </w:rPr>
          <w:fldChar w:fldCharType="begin"/>
        </w:r>
        <w:r w:rsidR="00F208B5">
          <w:rPr>
            <w:webHidden/>
          </w:rPr>
          <w:instrText xml:space="preserve"> PAGEREF _Toc396807588 \h </w:instrText>
        </w:r>
        <w:r>
          <w:rPr>
            <w:webHidden/>
          </w:rPr>
        </w:r>
        <w:r>
          <w:rPr>
            <w:webHidden/>
          </w:rPr>
          <w:fldChar w:fldCharType="separate"/>
        </w:r>
        <w:r w:rsidR="00284CE3">
          <w:rPr>
            <w:webHidden/>
          </w:rPr>
          <w:t>1</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589" w:history="1">
        <w:r w:rsidR="00F208B5" w:rsidRPr="002447E2">
          <w:rPr>
            <w:rStyle w:val="Hyperlink"/>
          </w:rPr>
          <w:t xml:space="preserve">1.1 Overview of the </w:t>
        </w:r>
        <w:r w:rsidR="00F208B5" w:rsidRPr="002447E2">
          <w:rPr>
            <w:rStyle w:val="Hyperlink"/>
            <w:i/>
          </w:rPr>
          <w:t>2014 Regional System Plan</w:t>
        </w:r>
        <w:r w:rsidR="00F208B5">
          <w:rPr>
            <w:webHidden/>
          </w:rPr>
          <w:tab/>
        </w:r>
        <w:r>
          <w:rPr>
            <w:webHidden/>
          </w:rPr>
          <w:fldChar w:fldCharType="begin"/>
        </w:r>
        <w:r w:rsidR="00F208B5">
          <w:rPr>
            <w:webHidden/>
          </w:rPr>
          <w:instrText xml:space="preserve"> PAGEREF _Toc396807589 \h </w:instrText>
        </w:r>
        <w:r>
          <w:rPr>
            <w:webHidden/>
          </w:rPr>
        </w:r>
        <w:r>
          <w:rPr>
            <w:webHidden/>
          </w:rPr>
          <w:fldChar w:fldCharType="separate"/>
        </w:r>
        <w:r w:rsidR="00284CE3">
          <w:rPr>
            <w:webHidden/>
          </w:rPr>
          <w:t>2</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590" w:history="1">
        <w:r w:rsidR="00F208B5" w:rsidRPr="002447E2">
          <w:rPr>
            <w:rStyle w:val="Hyperlink"/>
          </w:rPr>
          <w:t>1.2 Overview of System and Strategic Planning Issues</w:t>
        </w:r>
        <w:r w:rsidR="00F208B5">
          <w:rPr>
            <w:webHidden/>
          </w:rPr>
          <w:tab/>
        </w:r>
        <w:r>
          <w:rPr>
            <w:webHidden/>
          </w:rPr>
          <w:fldChar w:fldCharType="begin"/>
        </w:r>
        <w:r w:rsidR="00F208B5">
          <w:rPr>
            <w:webHidden/>
          </w:rPr>
          <w:instrText xml:space="preserve"> PAGEREF _Toc396807590 \h </w:instrText>
        </w:r>
        <w:r>
          <w:rPr>
            <w:webHidden/>
          </w:rPr>
        </w:r>
        <w:r>
          <w:rPr>
            <w:webHidden/>
          </w:rPr>
          <w:fldChar w:fldCharType="separate"/>
        </w:r>
        <w:r w:rsidR="00284CE3">
          <w:rPr>
            <w:webHidden/>
          </w:rPr>
          <w:t>4</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591" w:history="1">
        <w:r w:rsidR="00F208B5" w:rsidRPr="002447E2">
          <w:rPr>
            <w:rStyle w:val="Hyperlink"/>
          </w:rPr>
          <w:t>1.3 Major Findings and Observations</w:t>
        </w:r>
        <w:r w:rsidR="00F208B5">
          <w:rPr>
            <w:webHidden/>
          </w:rPr>
          <w:tab/>
        </w:r>
        <w:r>
          <w:rPr>
            <w:webHidden/>
          </w:rPr>
          <w:fldChar w:fldCharType="begin"/>
        </w:r>
        <w:r w:rsidR="00F208B5">
          <w:rPr>
            <w:webHidden/>
          </w:rPr>
          <w:instrText xml:space="preserve"> PAGEREF _Toc396807591 \h </w:instrText>
        </w:r>
        <w:r>
          <w:rPr>
            <w:webHidden/>
          </w:rPr>
        </w:r>
        <w:r>
          <w:rPr>
            <w:webHidden/>
          </w:rPr>
          <w:fldChar w:fldCharType="separate"/>
        </w:r>
        <w:r w:rsidR="00284CE3">
          <w:rPr>
            <w:webHidden/>
          </w:rPr>
          <w:t>8</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592" w:history="1">
        <w:r w:rsidR="00F208B5" w:rsidRPr="002447E2">
          <w:rPr>
            <w:rStyle w:val="Hyperlink"/>
            <w:noProof/>
          </w:rPr>
          <w:t>1.3.1 Forecasts of Peak Demand, Annual Use of Electric Energy, Effects of Energy-Efficiency Measures,</w:t>
        </w:r>
        <w:r w:rsidR="00FD7FCE">
          <w:rPr>
            <w:rStyle w:val="Hyperlink"/>
            <w:noProof/>
          </w:rPr>
          <w:br/>
        </w:r>
        <w:r w:rsidR="00F208B5" w:rsidRPr="002447E2">
          <w:rPr>
            <w:rStyle w:val="Hyperlink"/>
            <w:noProof/>
          </w:rPr>
          <w:t>and Distributed Generation</w:t>
        </w:r>
        <w:r w:rsidR="00F208B5">
          <w:rPr>
            <w:noProof/>
            <w:webHidden/>
          </w:rPr>
          <w:tab/>
        </w:r>
        <w:r>
          <w:rPr>
            <w:noProof/>
            <w:webHidden/>
          </w:rPr>
          <w:fldChar w:fldCharType="begin"/>
        </w:r>
        <w:r w:rsidR="00F208B5">
          <w:rPr>
            <w:noProof/>
            <w:webHidden/>
          </w:rPr>
          <w:instrText xml:space="preserve"> PAGEREF _Toc396807592 \h </w:instrText>
        </w:r>
        <w:r>
          <w:rPr>
            <w:noProof/>
            <w:webHidden/>
          </w:rPr>
        </w:r>
        <w:r>
          <w:rPr>
            <w:noProof/>
            <w:webHidden/>
          </w:rPr>
          <w:fldChar w:fldCharType="separate"/>
        </w:r>
        <w:r w:rsidR="00284CE3">
          <w:rPr>
            <w:noProof/>
            <w:webHidden/>
          </w:rPr>
          <w:t>8</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593" w:history="1">
        <w:r w:rsidR="00F208B5" w:rsidRPr="002447E2">
          <w:rPr>
            <w:rStyle w:val="Hyperlink"/>
            <w:noProof/>
          </w:rPr>
          <w:t>1.3.2 Needs for Capacity and Operating Reserves</w:t>
        </w:r>
        <w:r w:rsidR="00F208B5">
          <w:rPr>
            <w:noProof/>
            <w:webHidden/>
          </w:rPr>
          <w:tab/>
        </w:r>
        <w:r>
          <w:rPr>
            <w:noProof/>
            <w:webHidden/>
          </w:rPr>
          <w:fldChar w:fldCharType="begin"/>
        </w:r>
        <w:r w:rsidR="00F208B5">
          <w:rPr>
            <w:noProof/>
            <w:webHidden/>
          </w:rPr>
          <w:instrText xml:space="preserve"> PAGEREF _Toc396807593 \h </w:instrText>
        </w:r>
        <w:r>
          <w:rPr>
            <w:noProof/>
            <w:webHidden/>
          </w:rPr>
        </w:r>
        <w:r>
          <w:rPr>
            <w:noProof/>
            <w:webHidden/>
          </w:rPr>
          <w:fldChar w:fldCharType="separate"/>
        </w:r>
        <w:r w:rsidR="00284CE3">
          <w:rPr>
            <w:noProof/>
            <w:webHidden/>
          </w:rPr>
          <w:t>11</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594" w:history="1">
        <w:r w:rsidR="00F208B5" w:rsidRPr="002447E2">
          <w:rPr>
            <w:rStyle w:val="Hyperlink"/>
            <w:noProof/>
          </w:rPr>
          <w:t>1.3.3 Transmission System Needs and Solutions</w:t>
        </w:r>
        <w:r w:rsidR="00F208B5">
          <w:rPr>
            <w:noProof/>
            <w:webHidden/>
          </w:rPr>
          <w:tab/>
        </w:r>
        <w:r>
          <w:rPr>
            <w:noProof/>
            <w:webHidden/>
          </w:rPr>
          <w:fldChar w:fldCharType="begin"/>
        </w:r>
        <w:r w:rsidR="00F208B5">
          <w:rPr>
            <w:noProof/>
            <w:webHidden/>
          </w:rPr>
          <w:instrText xml:space="preserve"> PAGEREF _Toc396807594 \h </w:instrText>
        </w:r>
        <w:r>
          <w:rPr>
            <w:noProof/>
            <w:webHidden/>
          </w:rPr>
        </w:r>
        <w:r>
          <w:rPr>
            <w:noProof/>
            <w:webHidden/>
          </w:rPr>
          <w:fldChar w:fldCharType="separate"/>
        </w:r>
        <w:r w:rsidR="00284CE3">
          <w:rPr>
            <w:noProof/>
            <w:webHidden/>
          </w:rPr>
          <w:t>13</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595" w:history="1">
        <w:r w:rsidR="00F208B5" w:rsidRPr="002447E2">
          <w:rPr>
            <w:rStyle w:val="Hyperlink"/>
            <w:noProof/>
          </w:rPr>
          <w:t>1.3.4 Regional Strategic Planning</w:t>
        </w:r>
        <w:r w:rsidR="00F208B5">
          <w:rPr>
            <w:noProof/>
            <w:webHidden/>
          </w:rPr>
          <w:tab/>
        </w:r>
        <w:r>
          <w:rPr>
            <w:noProof/>
            <w:webHidden/>
          </w:rPr>
          <w:fldChar w:fldCharType="begin"/>
        </w:r>
        <w:r w:rsidR="00F208B5">
          <w:rPr>
            <w:noProof/>
            <w:webHidden/>
          </w:rPr>
          <w:instrText xml:space="preserve"> PAGEREF _Toc396807595 \h </w:instrText>
        </w:r>
        <w:r>
          <w:rPr>
            <w:noProof/>
            <w:webHidden/>
          </w:rPr>
        </w:r>
        <w:r>
          <w:rPr>
            <w:noProof/>
            <w:webHidden/>
          </w:rPr>
          <w:fldChar w:fldCharType="separate"/>
        </w:r>
        <w:r w:rsidR="00284CE3">
          <w:rPr>
            <w:noProof/>
            <w:webHidden/>
          </w:rPr>
          <w:t>16</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596" w:history="1">
        <w:r w:rsidR="00F208B5" w:rsidRPr="002447E2">
          <w:rPr>
            <w:rStyle w:val="Hyperlink"/>
            <w:noProof/>
          </w:rPr>
          <w:t>1.3.5 Interregional Planning</w:t>
        </w:r>
        <w:r w:rsidR="00F208B5">
          <w:rPr>
            <w:noProof/>
            <w:webHidden/>
          </w:rPr>
          <w:tab/>
        </w:r>
        <w:r>
          <w:rPr>
            <w:noProof/>
            <w:webHidden/>
          </w:rPr>
          <w:fldChar w:fldCharType="begin"/>
        </w:r>
        <w:r w:rsidR="00F208B5">
          <w:rPr>
            <w:noProof/>
            <w:webHidden/>
          </w:rPr>
          <w:instrText xml:space="preserve"> PAGEREF _Toc396807596 \h </w:instrText>
        </w:r>
        <w:r>
          <w:rPr>
            <w:noProof/>
            <w:webHidden/>
          </w:rPr>
        </w:r>
        <w:r>
          <w:rPr>
            <w:noProof/>
            <w:webHidden/>
          </w:rPr>
          <w:fldChar w:fldCharType="separate"/>
        </w:r>
        <w:r w:rsidR="00284CE3">
          <w:rPr>
            <w:noProof/>
            <w:webHidden/>
          </w:rPr>
          <w:t>22</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597" w:history="1">
        <w:r w:rsidR="00F208B5" w:rsidRPr="002447E2">
          <w:rPr>
            <w:rStyle w:val="Hyperlink"/>
            <w:noProof/>
          </w:rPr>
          <w:t>1.3.6 State, Regional, and Federal Initiatives that Affect System Planning</w:t>
        </w:r>
        <w:r w:rsidR="00F208B5">
          <w:rPr>
            <w:noProof/>
            <w:webHidden/>
          </w:rPr>
          <w:tab/>
        </w:r>
        <w:r>
          <w:rPr>
            <w:noProof/>
            <w:webHidden/>
          </w:rPr>
          <w:fldChar w:fldCharType="begin"/>
        </w:r>
        <w:r w:rsidR="00F208B5">
          <w:rPr>
            <w:noProof/>
            <w:webHidden/>
          </w:rPr>
          <w:instrText xml:space="preserve"> PAGEREF _Toc396807597 \h </w:instrText>
        </w:r>
        <w:r>
          <w:rPr>
            <w:noProof/>
            <w:webHidden/>
          </w:rPr>
        </w:r>
        <w:r>
          <w:rPr>
            <w:noProof/>
            <w:webHidden/>
          </w:rPr>
          <w:fldChar w:fldCharType="separate"/>
        </w:r>
        <w:r w:rsidR="00284CE3">
          <w:rPr>
            <w:noProof/>
            <w:webHidden/>
          </w:rPr>
          <w:t>23</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598" w:history="1">
        <w:r w:rsidR="00F208B5" w:rsidRPr="002447E2">
          <w:rPr>
            <w:rStyle w:val="Hyperlink"/>
          </w:rPr>
          <w:t>1.4 Conclusions</w:t>
        </w:r>
        <w:r w:rsidR="00F208B5">
          <w:rPr>
            <w:webHidden/>
          </w:rPr>
          <w:tab/>
        </w:r>
        <w:r>
          <w:rPr>
            <w:webHidden/>
          </w:rPr>
          <w:fldChar w:fldCharType="begin"/>
        </w:r>
        <w:r w:rsidR="00F208B5">
          <w:rPr>
            <w:webHidden/>
          </w:rPr>
          <w:instrText xml:space="preserve"> PAGEREF _Toc396807598 \h </w:instrText>
        </w:r>
        <w:r>
          <w:rPr>
            <w:webHidden/>
          </w:rPr>
        </w:r>
        <w:r>
          <w:rPr>
            <w:webHidden/>
          </w:rPr>
          <w:fldChar w:fldCharType="separate"/>
        </w:r>
        <w:r w:rsidR="00284CE3">
          <w:rPr>
            <w:webHidden/>
          </w:rPr>
          <w:t>24</w:t>
        </w:r>
        <w:r>
          <w:rPr>
            <w:webHidden/>
          </w:rPr>
          <w:fldChar w:fldCharType="end"/>
        </w:r>
      </w:hyperlink>
    </w:p>
    <w:p w:rsidR="00F208B5" w:rsidRDefault="00927965">
      <w:pPr>
        <w:pStyle w:val="TOC1"/>
        <w:rPr>
          <w:rFonts w:eastAsiaTheme="minorEastAsia" w:cstheme="minorBidi"/>
          <w:b w:val="0"/>
          <w:sz w:val="22"/>
          <w:szCs w:val="22"/>
        </w:rPr>
      </w:pPr>
      <w:hyperlink w:anchor="_Toc396807599" w:history="1">
        <w:r w:rsidR="00F208B5" w:rsidRPr="002447E2">
          <w:rPr>
            <w:rStyle w:val="Hyperlink"/>
          </w:rPr>
          <w:t>Section 2</w:t>
        </w:r>
        <w:r w:rsidR="00F208B5">
          <w:rPr>
            <w:rStyle w:val="Hyperlink"/>
          </w:rPr>
          <w:br/>
        </w:r>
        <w:r w:rsidR="00F208B5" w:rsidRPr="002447E2">
          <w:rPr>
            <w:rStyle w:val="Hyperlink"/>
          </w:rPr>
          <w:t>Introduction</w:t>
        </w:r>
        <w:r w:rsidR="00F208B5">
          <w:rPr>
            <w:webHidden/>
          </w:rPr>
          <w:tab/>
        </w:r>
        <w:r>
          <w:rPr>
            <w:webHidden/>
          </w:rPr>
          <w:fldChar w:fldCharType="begin"/>
        </w:r>
        <w:r w:rsidR="00F208B5">
          <w:rPr>
            <w:webHidden/>
          </w:rPr>
          <w:instrText xml:space="preserve"> PAGEREF _Toc396807599 \h </w:instrText>
        </w:r>
        <w:r>
          <w:rPr>
            <w:webHidden/>
          </w:rPr>
        </w:r>
        <w:r>
          <w:rPr>
            <w:webHidden/>
          </w:rPr>
          <w:fldChar w:fldCharType="separate"/>
        </w:r>
        <w:r w:rsidR="00284CE3">
          <w:rPr>
            <w:webHidden/>
          </w:rPr>
          <w:t>25</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00" w:history="1">
        <w:r w:rsidR="00F208B5" w:rsidRPr="002447E2">
          <w:rPr>
            <w:rStyle w:val="Hyperlink"/>
          </w:rPr>
          <w:t>2.1 Overview of the System Planning Process and RSP14</w:t>
        </w:r>
        <w:r w:rsidR="00F208B5">
          <w:rPr>
            <w:webHidden/>
          </w:rPr>
          <w:tab/>
        </w:r>
        <w:r>
          <w:rPr>
            <w:webHidden/>
          </w:rPr>
          <w:fldChar w:fldCharType="begin"/>
        </w:r>
        <w:r w:rsidR="00F208B5">
          <w:rPr>
            <w:webHidden/>
          </w:rPr>
          <w:instrText xml:space="preserve"> PAGEREF _Toc396807600 \h </w:instrText>
        </w:r>
        <w:r>
          <w:rPr>
            <w:webHidden/>
          </w:rPr>
        </w:r>
        <w:r>
          <w:rPr>
            <w:webHidden/>
          </w:rPr>
          <w:fldChar w:fldCharType="separate"/>
        </w:r>
        <w:r w:rsidR="00284CE3">
          <w:rPr>
            <w:webHidden/>
          </w:rPr>
          <w:t>25</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01" w:history="1">
        <w:r w:rsidR="00F208B5" w:rsidRPr="002447E2">
          <w:rPr>
            <w:rStyle w:val="Hyperlink"/>
            <w:noProof/>
          </w:rPr>
          <w:t>2.1.1 Planning Studies Conducted for and Summarized in RSP14</w:t>
        </w:r>
        <w:r w:rsidR="00F208B5">
          <w:rPr>
            <w:noProof/>
            <w:webHidden/>
          </w:rPr>
          <w:tab/>
        </w:r>
        <w:r>
          <w:rPr>
            <w:noProof/>
            <w:webHidden/>
          </w:rPr>
          <w:fldChar w:fldCharType="begin"/>
        </w:r>
        <w:r w:rsidR="00F208B5">
          <w:rPr>
            <w:noProof/>
            <w:webHidden/>
          </w:rPr>
          <w:instrText xml:space="preserve"> PAGEREF _Toc396807601 \h </w:instrText>
        </w:r>
        <w:r>
          <w:rPr>
            <w:noProof/>
            <w:webHidden/>
          </w:rPr>
        </w:r>
        <w:r>
          <w:rPr>
            <w:noProof/>
            <w:webHidden/>
          </w:rPr>
          <w:fldChar w:fldCharType="separate"/>
        </w:r>
        <w:r w:rsidR="00284CE3">
          <w:rPr>
            <w:noProof/>
            <w:webHidden/>
          </w:rPr>
          <w:t>27</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02" w:history="1">
        <w:r w:rsidR="00F208B5" w:rsidRPr="002447E2">
          <w:rPr>
            <w:rStyle w:val="Hyperlink"/>
            <w:noProof/>
          </w:rPr>
          <w:t>2.1.2 Other Planning Considerations</w:t>
        </w:r>
        <w:r w:rsidR="00F208B5">
          <w:rPr>
            <w:noProof/>
            <w:webHidden/>
          </w:rPr>
          <w:tab/>
        </w:r>
        <w:r>
          <w:rPr>
            <w:noProof/>
            <w:webHidden/>
          </w:rPr>
          <w:fldChar w:fldCharType="begin"/>
        </w:r>
        <w:r w:rsidR="00F208B5">
          <w:rPr>
            <w:noProof/>
            <w:webHidden/>
          </w:rPr>
          <w:instrText xml:space="preserve"> PAGEREF _Toc396807602 \h </w:instrText>
        </w:r>
        <w:r>
          <w:rPr>
            <w:noProof/>
            <w:webHidden/>
          </w:rPr>
        </w:r>
        <w:r>
          <w:rPr>
            <w:noProof/>
            <w:webHidden/>
          </w:rPr>
          <w:fldChar w:fldCharType="separate"/>
        </w:r>
        <w:r w:rsidR="00284CE3">
          <w:rPr>
            <w:noProof/>
            <w:webHidden/>
          </w:rPr>
          <w:t>28</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03" w:history="1">
        <w:r w:rsidR="00F208B5" w:rsidRPr="002447E2">
          <w:rPr>
            <w:rStyle w:val="Hyperlink"/>
          </w:rPr>
          <w:t>2.2 Overview of the New England Electric Power System</w:t>
        </w:r>
        <w:r w:rsidR="00F208B5">
          <w:rPr>
            <w:webHidden/>
          </w:rPr>
          <w:tab/>
        </w:r>
        <w:r>
          <w:rPr>
            <w:webHidden/>
          </w:rPr>
          <w:fldChar w:fldCharType="begin"/>
        </w:r>
        <w:r w:rsidR="00F208B5">
          <w:rPr>
            <w:webHidden/>
          </w:rPr>
          <w:instrText xml:space="preserve"> PAGEREF _Toc396807603 \h </w:instrText>
        </w:r>
        <w:r>
          <w:rPr>
            <w:webHidden/>
          </w:rPr>
        </w:r>
        <w:r>
          <w:rPr>
            <w:webHidden/>
          </w:rPr>
          <w:fldChar w:fldCharType="separate"/>
        </w:r>
        <w:r w:rsidR="00284CE3">
          <w:rPr>
            <w:webHidden/>
          </w:rPr>
          <w:t>31</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04" w:history="1">
        <w:r w:rsidR="00F208B5" w:rsidRPr="002447E2">
          <w:rPr>
            <w:rStyle w:val="Hyperlink"/>
          </w:rPr>
          <w:t>2.3 Overview of the New England Wholesale Electricity Market Structure</w:t>
        </w:r>
        <w:r w:rsidR="00F208B5">
          <w:rPr>
            <w:webHidden/>
          </w:rPr>
          <w:tab/>
        </w:r>
        <w:r>
          <w:rPr>
            <w:webHidden/>
          </w:rPr>
          <w:fldChar w:fldCharType="begin"/>
        </w:r>
        <w:r w:rsidR="00F208B5">
          <w:rPr>
            <w:webHidden/>
          </w:rPr>
          <w:instrText xml:space="preserve"> PAGEREF _Toc396807604 \h </w:instrText>
        </w:r>
        <w:r>
          <w:rPr>
            <w:webHidden/>
          </w:rPr>
        </w:r>
        <w:r>
          <w:rPr>
            <w:webHidden/>
          </w:rPr>
          <w:fldChar w:fldCharType="separate"/>
        </w:r>
        <w:r w:rsidR="00284CE3">
          <w:rPr>
            <w:webHidden/>
          </w:rPr>
          <w:t>32</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05" w:history="1">
        <w:r w:rsidR="00F208B5" w:rsidRPr="002447E2">
          <w:rPr>
            <w:rStyle w:val="Hyperlink"/>
          </w:rPr>
          <w:t>2.4 Overview of System Subdivisions Used for Analyzing and Planning the System</w:t>
        </w:r>
        <w:r w:rsidR="00F208B5">
          <w:rPr>
            <w:webHidden/>
          </w:rPr>
          <w:tab/>
        </w:r>
        <w:r>
          <w:rPr>
            <w:webHidden/>
          </w:rPr>
          <w:fldChar w:fldCharType="begin"/>
        </w:r>
        <w:r w:rsidR="00F208B5">
          <w:rPr>
            <w:webHidden/>
          </w:rPr>
          <w:instrText xml:space="preserve"> PAGEREF _Toc396807605 \h </w:instrText>
        </w:r>
        <w:r>
          <w:rPr>
            <w:webHidden/>
          </w:rPr>
        </w:r>
        <w:r>
          <w:rPr>
            <w:webHidden/>
          </w:rPr>
          <w:fldChar w:fldCharType="separate"/>
        </w:r>
        <w:r w:rsidR="00284CE3">
          <w:rPr>
            <w:webHidden/>
          </w:rPr>
          <w:t>33</w:t>
        </w:r>
        <w:r>
          <w:rPr>
            <w:webHidden/>
          </w:rPr>
          <w:fldChar w:fldCharType="end"/>
        </w:r>
      </w:hyperlink>
    </w:p>
    <w:p w:rsidR="00F208B5" w:rsidRDefault="00927965">
      <w:pPr>
        <w:pStyle w:val="TOC1"/>
        <w:rPr>
          <w:rFonts w:eastAsiaTheme="minorEastAsia" w:cstheme="minorBidi"/>
          <w:b w:val="0"/>
          <w:sz w:val="22"/>
          <w:szCs w:val="22"/>
        </w:rPr>
      </w:pPr>
      <w:hyperlink w:anchor="_Toc396807606" w:history="1">
        <w:r w:rsidR="00F208B5" w:rsidRPr="002447E2">
          <w:rPr>
            <w:rStyle w:val="Hyperlink"/>
          </w:rPr>
          <w:t>Section 3</w:t>
        </w:r>
        <w:r w:rsidR="00F208B5">
          <w:rPr>
            <w:rStyle w:val="Hyperlink"/>
          </w:rPr>
          <w:br/>
        </w:r>
        <w:r w:rsidR="00F208B5" w:rsidRPr="002447E2">
          <w:rPr>
            <w:rStyle w:val="Hyperlink"/>
          </w:rPr>
          <w:t>Forecasts of New England’s Peak Demand, Annual Use of Electric Energy, Energy Efficiency,</w:t>
        </w:r>
        <w:r w:rsidR="00184EFA">
          <w:rPr>
            <w:rStyle w:val="Hyperlink"/>
          </w:rPr>
          <w:br/>
        </w:r>
        <w:r w:rsidR="00F208B5" w:rsidRPr="002447E2">
          <w:rPr>
            <w:rStyle w:val="Hyperlink"/>
          </w:rPr>
          <w:t>and Distributed Generation</w:t>
        </w:r>
        <w:r w:rsidR="00F208B5">
          <w:rPr>
            <w:webHidden/>
          </w:rPr>
          <w:tab/>
        </w:r>
        <w:r>
          <w:rPr>
            <w:webHidden/>
          </w:rPr>
          <w:fldChar w:fldCharType="begin"/>
        </w:r>
        <w:r w:rsidR="00F208B5">
          <w:rPr>
            <w:webHidden/>
          </w:rPr>
          <w:instrText xml:space="preserve"> PAGEREF _Toc396807606 \h </w:instrText>
        </w:r>
        <w:r>
          <w:rPr>
            <w:webHidden/>
          </w:rPr>
        </w:r>
        <w:r>
          <w:rPr>
            <w:webHidden/>
          </w:rPr>
          <w:fldChar w:fldCharType="separate"/>
        </w:r>
        <w:r w:rsidR="00284CE3">
          <w:rPr>
            <w:webHidden/>
          </w:rPr>
          <w:t>37</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07" w:history="1">
        <w:r w:rsidR="00F208B5" w:rsidRPr="002447E2">
          <w:rPr>
            <w:rStyle w:val="Hyperlink"/>
          </w:rPr>
          <w:t>3.1 ISO New England Load Forecasts</w:t>
        </w:r>
        <w:r w:rsidR="00F208B5">
          <w:rPr>
            <w:webHidden/>
          </w:rPr>
          <w:tab/>
        </w:r>
        <w:r>
          <w:rPr>
            <w:webHidden/>
          </w:rPr>
          <w:fldChar w:fldCharType="begin"/>
        </w:r>
        <w:r w:rsidR="00F208B5">
          <w:rPr>
            <w:webHidden/>
          </w:rPr>
          <w:instrText xml:space="preserve"> PAGEREF _Toc396807607 \h </w:instrText>
        </w:r>
        <w:r>
          <w:rPr>
            <w:webHidden/>
          </w:rPr>
        </w:r>
        <w:r>
          <w:rPr>
            <w:webHidden/>
          </w:rPr>
          <w:fldChar w:fldCharType="separate"/>
        </w:r>
        <w:r w:rsidR="00284CE3">
          <w:rPr>
            <w:webHidden/>
          </w:rPr>
          <w:t>37</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08" w:history="1">
        <w:r w:rsidR="00F208B5" w:rsidRPr="002447E2">
          <w:rPr>
            <w:rStyle w:val="Hyperlink"/>
            <w:noProof/>
          </w:rPr>
          <w:t>3.1.1 Economic and Demographic Factors and Electric Energy Use</w:t>
        </w:r>
        <w:r w:rsidR="00F208B5">
          <w:rPr>
            <w:noProof/>
            <w:webHidden/>
          </w:rPr>
          <w:tab/>
        </w:r>
        <w:r>
          <w:rPr>
            <w:noProof/>
            <w:webHidden/>
          </w:rPr>
          <w:fldChar w:fldCharType="begin"/>
        </w:r>
        <w:r w:rsidR="00F208B5">
          <w:rPr>
            <w:noProof/>
            <w:webHidden/>
          </w:rPr>
          <w:instrText xml:space="preserve"> PAGEREF _Toc396807608 \h </w:instrText>
        </w:r>
        <w:r>
          <w:rPr>
            <w:noProof/>
            <w:webHidden/>
          </w:rPr>
        </w:r>
        <w:r>
          <w:rPr>
            <w:noProof/>
            <w:webHidden/>
          </w:rPr>
          <w:fldChar w:fldCharType="separate"/>
        </w:r>
        <w:r w:rsidR="00284CE3">
          <w:rPr>
            <w:noProof/>
            <w:webHidden/>
          </w:rPr>
          <w:t>39</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09" w:history="1">
        <w:r w:rsidR="00F208B5" w:rsidRPr="002447E2">
          <w:rPr>
            <w:rStyle w:val="Hyperlink"/>
            <w:noProof/>
          </w:rPr>
          <w:t>3.1.2 The CELT Forecast and Passive Demand Resources</w:t>
        </w:r>
        <w:r w:rsidR="00F208B5">
          <w:rPr>
            <w:noProof/>
            <w:webHidden/>
          </w:rPr>
          <w:tab/>
        </w:r>
        <w:r>
          <w:rPr>
            <w:noProof/>
            <w:webHidden/>
          </w:rPr>
          <w:fldChar w:fldCharType="begin"/>
        </w:r>
        <w:r w:rsidR="00F208B5">
          <w:rPr>
            <w:noProof/>
            <w:webHidden/>
          </w:rPr>
          <w:instrText xml:space="preserve"> PAGEREF _Toc396807609 \h </w:instrText>
        </w:r>
        <w:r>
          <w:rPr>
            <w:noProof/>
            <w:webHidden/>
          </w:rPr>
        </w:r>
        <w:r>
          <w:rPr>
            <w:noProof/>
            <w:webHidden/>
          </w:rPr>
          <w:fldChar w:fldCharType="separate"/>
        </w:r>
        <w:r w:rsidR="00284CE3">
          <w:rPr>
            <w:noProof/>
            <w:webHidden/>
          </w:rPr>
          <w:t>41</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10" w:history="1">
        <w:r w:rsidR="00F208B5" w:rsidRPr="002447E2">
          <w:rPr>
            <w:rStyle w:val="Hyperlink"/>
            <w:noProof/>
          </w:rPr>
          <w:t>3.1.3 Subarea Use of Electric Energy</w:t>
        </w:r>
        <w:r w:rsidR="00F208B5">
          <w:rPr>
            <w:noProof/>
            <w:webHidden/>
          </w:rPr>
          <w:tab/>
        </w:r>
        <w:r>
          <w:rPr>
            <w:noProof/>
            <w:webHidden/>
          </w:rPr>
          <w:fldChar w:fldCharType="begin"/>
        </w:r>
        <w:r w:rsidR="00F208B5">
          <w:rPr>
            <w:noProof/>
            <w:webHidden/>
          </w:rPr>
          <w:instrText xml:space="preserve"> PAGEREF _Toc396807610 \h </w:instrText>
        </w:r>
        <w:r>
          <w:rPr>
            <w:noProof/>
            <w:webHidden/>
          </w:rPr>
        </w:r>
        <w:r>
          <w:rPr>
            <w:noProof/>
            <w:webHidden/>
          </w:rPr>
          <w:fldChar w:fldCharType="separate"/>
        </w:r>
        <w:r w:rsidR="00284CE3">
          <w:rPr>
            <w:noProof/>
            <w:webHidden/>
          </w:rPr>
          <w:t>42</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11" w:history="1">
        <w:r w:rsidR="00F208B5" w:rsidRPr="002447E2">
          <w:rPr>
            <w:rStyle w:val="Hyperlink"/>
          </w:rPr>
          <w:t>3.2 Energy-Efficiency Forecast for New England</w:t>
        </w:r>
        <w:r w:rsidR="00F208B5">
          <w:rPr>
            <w:webHidden/>
          </w:rPr>
          <w:tab/>
        </w:r>
        <w:r>
          <w:rPr>
            <w:webHidden/>
          </w:rPr>
          <w:fldChar w:fldCharType="begin"/>
        </w:r>
        <w:r w:rsidR="00F208B5">
          <w:rPr>
            <w:webHidden/>
          </w:rPr>
          <w:instrText xml:space="preserve"> PAGEREF _Toc396807611 \h </w:instrText>
        </w:r>
        <w:r>
          <w:rPr>
            <w:webHidden/>
          </w:rPr>
        </w:r>
        <w:r>
          <w:rPr>
            <w:webHidden/>
          </w:rPr>
          <w:fldChar w:fldCharType="separate"/>
        </w:r>
        <w:r w:rsidR="00284CE3">
          <w:rPr>
            <w:webHidden/>
          </w:rPr>
          <w:t>45</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12" w:history="1">
        <w:r w:rsidR="00F208B5" w:rsidRPr="002447E2">
          <w:rPr>
            <w:rStyle w:val="Hyperlink"/>
          </w:rPr>
          <w:t>3.3 Load Forecast Incorporating Results for FCA #8 and the 2014 Energy-Efficiency Forecast</w:t>
        </w:r>
        <w:r w:rsidR="00F208B5">
          <w:rPr>
            <w:webHidden/>
          </w:rPr>
          <w:tab/>
        </w:r>
        <w:r>
          <w:rPr>
            <w:webHidden/>
          </w:rPr>
          <w:fldChar w:fldCharType="begin"/>
        </w:r>
        <w:r w:rsidR="00F208B5">
          <w:rPr>
            <w:webHidden/>
          </w:rPr>
          <w:instrText xml:space="preserve"> PAGEREF _Toc396807612 \h </w:instrText>
        </w:r>
        <w:r>
          <w:rPr>
            <w:webHidden/>
          </w:rPr>
        </w:r>
        <w:r>
          <w:rPr>
            <w:webHidden/>
          </w:rPr>
          <w:fldChar w:fldCharType="separate"/>
        </w:r>
        <w:r w:rsidR="00284CE3">
          <w:rPr>
            <w:webHidden/>
          </w:rPr>
          <w:t>46</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13" w:history="1">
        <w:r w:rsidR="00F208B5" w:rsidRPr="002447E2">
          <w:rPr>
            <w:rStyle w:val="Hyperlink"/>
          </w:rPr>
          <w:t>3.4 Distributed Generation Forecast</w:t>
        </w:r>
        <w:r w:rsidR="00F208B5">
          <w:rPr>
            <w:webHidden/>
          </w:rPr>
          <w:tab/>
        </w:r>
        <w:r>
          <w:rPr>
            <w:webHidden/>
          </w:rPr>
          <w:fldChar w:fldCharType="begin"/>
        </w:r>
        <w:r w:rsidR="00F208B5">
          <w:rPr>
            <w:webHidden/>
          </w:rPr>
          <w:instrText xml:space="preserve"> PAGEREF _Toc396807613 \h </w:instrText>
        </w:r>
        <w:r>
          <w:rPr>
            <w:webHidden/>
          </w:rPr>
        </w:r>
        <w:r>
          <w:rPr>
            <w:webHidden/>
          </w:rPr>
          <w:fldChar w:fldCharType="separate"/>
        </w:r>
        <w:r w:rsidR="00284CE3">
          <w:rPr>
            <w:webHidden/>
          </w:rPr>
          <w:t>48</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14" w:history="1">
        <w:r w:rsidR="00F208B5" w:rsidRPr="002447E2">
          <w:rPr>
            <w:rStyle w:val="Hyperlink"/>
            <w:noProof/>
          </w:rPr>
          <w:t>3.4.1 Background</w:t>
        </w:r>
        <w:r w:rsidR="00F208B5">
          <w:rPr>
            <w:noProof/>
            <w:webHidden/>
          </w:rPr>
          <w:tab/>
        </w:r>
        <w:r>
          <w:rPr>
            <w:noProof/>
            <w:webHidden/>
          </w:rPr>
          <w:fldChar w:fldCharType="begin"/>
        </w:r>
        <w:r w:rsidR="00F208B5">
          <w:rPr>
            <w:noProof/>
            <w:webHidden/>
          </w:rPr>
          <w:instrText xml:space="preserve"> PAGEREF _Toc396807614 \h </w:instrText>
        </w:r>
        <w:r>
          <w:rPr>
            <w:noProof/>
            <w:webHidden/>
          </w:rPr>
        </w:r>
        <w:r>
          <w:rPr>
            <w:noProof/>
            <w:webHidden/>
          </w:rPr>
          <w:fldChar w:fldCharType="separate"/>
        </w:r>
        <w:r w:rsidR="00284CE3">
          <w:rPr>
            <w:noProof/>
            <w:webHidden/>
          </w:rPr>
          <w:t>48</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15" w:history="1">
        <w:r w:rsidR="00F208B5" w:rsidRPr="002447E2">
          <w:rPr>
            <w:rStyle w:val="Hyperlink"/>
            <w:noProof/>
          </w:rPr>
          <w:t>3.4.2 Development of a PV Forecast Methodology</w:t>
        </w:r>
        <w:r w:rsidR="00F208B5">
          <w:rPr>
            <w:noProof/>
            <w:webHidden/>
          </w:rPr>
          <w:tab/>
        </w:r>
        <w:r>
          <w:rPr>
            <w:noProof/>
            <w:webHidden/>
          </w:rPr>
          <w:fldChar w:fldCharType="begin"/>
        </w:r>
        <w:r w:rsidR="00F208B5">
          <w:rPr>
            <w:noProof/>
            <w:webHidden/>
          </w:rPr>
          <w:instrText xml:space="preserve"> PAGEREF _Toc396807615 \h </w:instrText>
        </w:r>
        <w:r>
          <w:rPr>
            <w:noProof/>
            <w:webHidden/>
          </w:rPr>
        </w:r>
        <w:r>
          <w:rPr>
            <w:noProof/>
            <w:webHidden/>
          </w:rPr>
          <w:fldChar w:fldCharType="separate"/>
        </w:r>
        <w:r w:rsidR="00284CE3">
          <w:rPr>
            <w:noProof/>
            <w:webHidden/>
          </w:rPr>
          <w:t>49</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16" w:history="1">
        <w:r w:rsidR="00F208B5" w:rsidRPr="002447E2">
          <w:rPr>
            <w:rStyle w:val="Hyperlink"/>
            <w:noProof/>
          </w:rPr>
          <w:t>3.4.3 Data Collection</w:t>
        </w:r>
        <w:r w:rsidR="00F208B5">
          <w:rPr>
            <w:noProof/>
            <w:webHidden/>
          </w:rPr>
          <w:tab/>
        </w:r>
        <w:r>
          <w:rPr>
            <w:noProof/>
            <w:webHidden/>
          </w:rPr>
          <w:fldChar w:fldCharType="begin"/>
        </w:r>
        <w:r w:rsidR="00F208B5">
          <w:rPr>
            <w:noProof/>
            <w:webHidden/>
          </w:rPr>
          <w:instrText xml:space="preserve"> PAGEREF _Toc396807616 \h </w:instrText>
        </w:r>
        <w:r>
          <w:rPr>
            <w:noProof/>
            <w:webHidden/>
          </w:rPr>
        </w:r>
        <w:r>
          <w:rPr>
            <w:noProof/>
            <w:webHidden/>
          </w:rPr>
          <w:fldChar w:fldCharType="separate"/>
        </w:r>
        <w:r w:rsidR="00284CE3">
          <w:rPr>
            <w:noProof/>
            <w:webHidden/>
          </w:rPr>
          <w:t>49</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17" w:history="1">
        <w:r w:rsidR="00F208B5" w:rsidRPr="002447E2">
          <w:rPr>
            <w:rStyle w:val="Hyperlink"/>
            <w:noProof/>
          </w:rPr>
          <w:t>3.4.4 PV Forecast</w:t>
        </w:r>
        <w:r w:rsidR="00F208B5">
          <w:rPr>
            <w:noProof/>
            <w:webHidden/>
          </w:rPr>
          <w:tab/>
        </w:r>
        <w:r>
          <w:rPr>
            <w:noProof/>
            <w:webHidden/>
          </w:rPr>
          <w:fldChar w:fldCharType="begin"/>
        </w:r>
        <w:r w:rsidR="00F208B5">
          <w:rPr>
            <w:noProof/>
            <w:webHidden/>
          </w:rPr>
          <w:instrText xml:space="preserve"> PAGEREF _Toc396807617 \h </w:instrText>
        </w:r>
        <w:r>
          <w:rPr>
            <w:noProof/>
            <w:webHidden/>
          </w:rPr>
        </w:r>
        <w:r>
          <w:rPr>
            <w:noProof/>
            <w:webHidden/>
          </w:rPr>
          <w:fldChar w:fldCharType="separate"/>
        </w:r>
        <w:r w:rsidR="00284CE3">
          <w:rPr>
            <w:noProof/>
            <w:webHidden/>
          </w:rPr>
          <w:t>50</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18" w:history="1">
        <w:r w:rsidR="00F208B5" w:rsidRPr="002447E2">
          <w:rPr>
            <w:rStyle w:val="Hyperlink"/>
            <w:noProof/>
          </w:rPr>
          <w:t>3.4.5 Next Steps</w:t>
        </w:r>
        <w:r w:rsidR="00F208B5">
          <w:rPr>
            <w:noProof/>
            <w:webHidden/>
          </w:rPr>
          <w:tab/>
        </w:r>
        <w:r>
          <w:rPr>
            <w:noProof/>
            <w:webHidden/>
          </w:rPr>
          <w:fldChar w:fldCharType="begin"/>
        </w:r>
        <w:r w:rsidR="00F208B5">
          <w:rPr>
            <w:noProof/>
            <w:webHidden/>
          </w:rPr>
          <w:instrText xml:space="preserve"> PAGEREF _Toc396807618 \h </w:instrText>
        </w:r>
        <w:r>
          <w:rPr>
            <w:noProof/>
            <w:webHidden/>
          </w:rPr>
        </w:r>
        <w:r>
          <w:rPr>
            <w:noProof/>
            <w:webHidden/>
          </w:rPr>
          <w:fldChar w:fldCharType="separate"/>
        </w:r>
        <w:r w:rsidR="00284CE3">
          <w:rPr>
            <w:noProof/>
            <w:webHidden/>
          </w:rPr>
          <w:t>52</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19" w:history="1">
        <w:r w:rsidR="00F208B5" w:rsidRPr="002447E2">
          <w:rPr>
            <w:rStyle w:val="Hyperlink"/>
          </w:rPr>
          <w:t>3.5 Summary of Key Findings of the Load, Energy-Efficiency, and PV Forecasts</w:t>
        </w:r>
        <w:r w:rsidR="00F208B5">
          <w:rPr>
            <w:webHidden/>
          </w:rPr>
          <w:tab/>
        </w:r>
        <w:r>
          <w:rPr>
            <w:webHidden/>
          </w:rPr>
          <w:fldChar w:fldCharType="begin"/>
        </w:r>
        <w:r w:rsidR="00F208B5">
          <w:rPr>
            <w:webHidden/>
          </w:rPr>
          <w:instrText xml:space="preserve"> PAGEREF _Toc396807619 \h </w:instrText>
        </w:r>
        <w:r>
          <w:rPr>
            <w:webHidden/>
          </w:rPr>
        </w:r>
        <w:r>
          <w:rPr>
            <w:webHidden/>
          </w:rPr>
          <w:fldChar w:fldCharType="separate"/>
        </w:r>
        <w:r w:rsidR="00284CE3">
          <w:rPr>
            <w:webHidden/>
          </w:rPr>
          <w:t>53</w:t>
        </w:r>
        <w:r>
          <w:rPr>
            <w:webHidden/>
          </w:rPr>
          <w:fldChar w:fldCharType="end"/>
        </w:r>
      </w:hyperlink>
    </w:p>
    <w:p w:rsidR="00F208B5" w:rsidRDefault="00927965">
      <w:pPr>
        <w:pStyle w:val="TOC1"/>
        <w:rPr>
          <w:rFonts w:eastAsiaTheme="minorEastAsia" w:cstheme="minorBidi"/>
          <w:b w:val="0"/>
          <w:sz w:val="22"/>
          <w:szCs w:val="22"/>
        </w:rPr>
      </w:pPr>
      <w:hyperlink w:anchor="_Toc396807620" w:history="1">
        <w:r w:rsidR="00F208B5" w:rsidRPr="002447E2">
          <w:rPr>
            <w:rStyle w:val="Hyperlink"/>
          </w:rPr>
          <w:t>Section 4</w:t>
        </w:r>
        <w:r w:rsidR="00F208B5">
          <w:rPr>
            <w:rStyle w:val="Hyperlink"/>
          </w:rPr>
          <w:br/>
        </w:r>
        <w:r w:rsidR="00F208B5" w:rsidRPr="002447E2">
          <w:rPr>
            <w:rStyle w:val="Hyperlink"/>
          </w:rPr>
          <w:t>Resources—Adequacy, Capacity, and Reserves</w:t>
        </w:r>
        <w:r w:rsidR="00F208B5">
          <w:rPr>
            <w:webHidden/>
          </w:rPr>
          <w:tab/>
        </w:r>
        <w:r>
          <w:rPr>
            <w:webHidden/>
          </w:rPr>
          <w:fldChar w:fldCharType="begin"/>
        </w:r>
        <w:r w:rsidR="00F208B5">
          <w:rPr>
            <w:webHidden/>
          </w:rPr>
          <w:instrText xml:space="preserve"> PAGEREF _Toc396807620 \h </w:instrText>
        </w:r>
        <w:r>
          <w:rPr>
            <w:webHidden/>
          </w:rPr>
        </w:r>
        <w:r>
          <w:rPr>
            <w:webHidden/>
          </w:rPr>
          <w:fldChar w:fldCharType="separate"/>
        </w:r>
        <w:r w:rsidR="00284CE3">
          <w:rPr>
            <w:webHidden/>
          </w:rPr>
          <w:t>54</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21" w:history="1">
        <w:r w:rsidR="00F208B5" w:rsidRPr="002447E2">
          <w:rPr>
            <w:rStyle w:val="Hyperlink"/>
          </w:rPr>
          <w:t>4.1 Determining Systemwide and Local-Area Capacity Needs</w:t>
        </w:r>
        <w:r w:rsidR="00F208B5">
          <w:rPr>
            <w:webHidden/>
          </w:rPr>
          <w:tab/>
        </w:r>
        <w:r>
          <w:rPr>
            <w:webHidden/>
          </w:rPr>
          <w:fldChar w:fldCharType="begin"/>
        </w:r>
        <w:r w:rsidR="00F208B5">
          <w:rPr>
            <w:webHidden/>
          </w:rPr>
          <w:instrText xml:space="preserve"> PAGEREF _Toc396807621 \h </w:instrText>
        </w:r>
        <w:r>
          <w:rPr>
            <w:webHidden/>
          </w:rPr>
        </w:r>
        <w:r>
          <w:rPr>
            <w:webHidden/>
          </w:rPr>
          <w:fldChar w:fldCharType="separate"/>
        </w:r>
        <w:r w:rsidR="00284CE3">
          <w:rPr>
            <w:webHidden/>
          </w:rPr>
          <w:t>54</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22" w:history="1">
        <w:r w:rsidR="00F208B5" w:rsidRPr="002447E2">
          <w:rPr>
            <w:rStyle w:val="Hyperlink"/>
            <w:noProof/>
          </w:rPr>
          <w:t>4.1.1 Systemwide Installed Capacity Requirements</w:t>
        </w:r>
        <w:r w:rsidR="00F208B5">
          <w:rPr>
            <w:noProof/>
            <w:webHidden/>
          </w:rPr>
          <w:tab/>
        </w:r>
        <w:r>
          <w:rPr>
            <w:noProof/>
            <w:webHidden/>
          </w:rPr>
          <w:fldChar w:fldCharType="begin"/>
        </w:r>
        <w:r w:rsidR="00F208B5">
          <w:rPr>
            <w:noProof/>
            <w:webHidden/>
          </w:rPr>
          <w:instrText xml:space="preserve"> PAGEREF _Toc396807622 \h </w:instrText>
        </w:r>
        <w:r>
          <w:rPr>
            <w:noProof/>
            <w:webHidden/>
          </w:rPr>
        </w:r>
        <w:r>
          <w:rPr>
            <w:noProof/>
            <w:webHidden/>
          </w:rPr>
          <w:fldChar w:fldCharType="separate"/>
        </w:r>
        <w:r w:rsidR="00284CE3">
          <w:rPr>
            <w:noProof/>
            <w:webHidden/>
          </w:rPr>
          <w:t>55</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23" w:history="1">
        <w:r w:rsidR="00F208B5" w:rsidRPr="002447E2">
          <w:rPr>
            <w:rStyle w:val="Hyperlink"/>
            <w:noProof/>
          </w:rPr>
          <w:t>4.1.2 Local Resource Requirements and Limits</w:t>
        </w:r>
        <w:r w:rsidR="00F208B5">
          <w:rPr>
            <w:noProof/>
            <w:webHidden/>
          </w:rPr>
          <w:tab/>
        </w:r>
        <w:r>
          <w:rPr>
            <w:noProof/>
            <w:webHidden/>
          </w:rPr>
          <w:fldChar w:fldCharType="begin"/>
        </w:r>
        <w:r w:rsidR="00F208B5">
          <w:rPr>
            <w:noProof/>
            <w:webHidden/>
          </w:rPr>
          <w:instrText xml:space="preserve"> PAGEREF _Toc396807623 \h </w:instrText>
        </w:r>
        <w:r>
          <w:rPr>
            <w:noProof/>
            <w:webHidden/>
          </w:rPr>
        </w:r>
        <w:r>
          <w:rPr>
            <w:noProof/>
            <w:webHidden/>
          </w:rPr>
          <w:fldChar w:fldCharType="separate"/>
        </w:r>
        <w:r w:rsidR="00284CE3">
          <w:rPr>
            <w:noProof/>
            <w:webHidden/>
          </w:rPr>
          <w:t>56</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24" w:history="1">
        <w:r w:rsidR="00F208B5" w:rsidRPr="002447E2">
          <w:rPr>
            <w:rStyle w:val="Hyperlink"/>
            <w:noProof/>
          </w:rPr>
          <w:t>4.1.3 Capacity Supply Obligations from the Forward Capacity Auctions</w:t>
        </w:r>
        <w:r w:rsidR="00F208B5">
          <w:rPr>
            <w:noProof/>
            <w:webHidden/>
          </w:rPr>
          <w:tab/>
        </w:r>
        <w:r>
          <w:rPr>
            <w:noProof/>
            <w:webHidden/>
          </w:rPr>
          <w:fldChar w:fldCharType="begin"/>
        </w:r>
        <w:r w:rsidR="00F208B5">
          <w:rPr>
            <w:noProof/>
            <w:webHidden/>
          </w:rPr>
          <w:instrText xml:space="preserve"> PAGEREF _Toc396807624 \h </w:instrText>
        </w:r>
        <w:r>
          <w:rPr>
            <w:noProof/>
            <w:webHidden/>
          </w:rPr>
        </w:r>
        <w:r>
          <w:rPr>
            <w:noProof/>
            <w:webHidden/>
          </w:rPr>
          <w:fldChar w:fldCharType="separate"/>
        </w:r>
        <w:r w:rsidR="00284CE3">
          <w:rPr>
            <w:noProof/>
            <w:webHidden/>
          </w:rPr>
          <w:t>57</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25" w:history="1">
        <w:r w:rsidR="00F208B5" w:rsidRPr="002447E2">
          <w:rPr>
            <w:rStyle w:val="Hyperlink"/>
          </w:rPr>
          <w:t>4.2 FCM Capacity Zones</w:t>
        </w:r>
        <w:r w:rsidR="00F208B5">
          <w:rPr>
            <w:webHidden/>
          </w:rPr>
          <w:tab/>
        </w:r>
        <w:r>
          <w:rPr>
            <w:webHidden/>
          </w:rPr>
          <w:fldChar w:fldCharType="begin"/>
        </w:r>
        <w:r w:rsidR="00F208B5">
          <w:rPr>
            <w:webHidden/>
          </w:rPr>
          <w:instrText xml:space="preserve"> PAGEREF _Toc396807625 \h </w:instrText>
        </w:r>
        <w:r>
          <w:rPr>
            <w:webHidden/>
          </w:rPr>
        </w:r>
        <w:r>
          <w:rPr>
            <w:webHidden/>
          </w:rPr>
          <w:fldChar w:fldCharType="separate"/>
        </w:r>
        <w:r w:rsidR="00284CE3">
          <w:rPr>
            <w:webHidden/>
          </w:rPr>
          <w:t>62</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26" w:history="1">
        <w:r w:rsidR="00F208B5" w:rsidRPr="002447E2">
          <w:rPr>
            <w:rStyle w:val="Hyperlink"/>
          </w:rPr>
          <w:t>4.3 Determining Operating Reserves and Regulation</w:t>
        </w:r>
        <w:r w:rsidR="00F208B5">
          <w:rPr>
            <w:webHidden/>
          </w:rPr>
          <w:tab/>
        </w:r>
        <w:r>
          <w:rPr>
            <w:webHidden/>
          </w:rPr>
          <w:fldChar w:fldCharType="begin"/>
        </w:r>
        <w:r w:rsidR="00F208B5">
          <w:rPr>
            <w:webHidden/>
          </w:rPr>
          <w:instrText xml:space="preserve"> PAGEREF _Toc396807626 \h </w:instrText>
        </w:r>
        <w:r>
          <w:rPr>
            <w:webHidden/>
          </w:rPr>
        </w:r>
        <w:r>
          <w:rPr>
            <w:webHidden/>
          </w:rPr>
          <w:fldChar w:fldCharType="separate"/>
        </w:r>
        <w:r w:rsidR="00284CE3">
          <w:rPr>
            <w:webHidden/>
          </w:rPr>
          <w:t>65</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27" w:history="1">
        <w:r w:rsidR="00F208B5" w:rsidRPr="002447E2">
          <w:rPr>
            <w:rStyle w:val="Hyperlink"/>
            <w:noProof/>
          </w:rPr>
          <w:t>4.3.1 Systemwide Operating-Reserve Requirements</w:t>
        </w:r>
        <w:r w:rsidR="00F208B5">
          <w:rPr>
            <w:noProof/>
            <w:webHidden/>
          </w:rPr>
          <w:tab/>
        </w:r>
        <w:r>
          <w:rPr>
            <w:noProof/>
            <w:webHidden/>
          </w:rPr>
          <w:fldChar w:fldCharType="begin"/>
        </w:r>
        <w:r w:rsidR="00F208B5">
          <w:rPr>
            <w:noProof/>
            <w:webHidden/>
          </w:rPr>
          <w:instrText xml:space="preserve"> PAGEREF _Toc396807627 \h </w:instrText>
        </w:r>
        <w:r>
          <w:rPr>
            <w:noProof/>
            <w:webHidden/>
          </w:rPr>
        </w:r>
        <w:r>
          <w:rPr>
            <w:noProof/>
            <w:webHidden/>
          </w:rPr>
          <w:fldChar w:fldCharType="separate"/>
        </w:r>
        <w:r w:rsidR="00284CE3">
          <w:rPr>
            <w:noProof/>
            <w:webHidden/>
          </w:rPr>
          <w:t>66</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28" w:history="1">
        <w:r w:rsidR="00F208B5" w:rsidRPr="002447E2">
          <w:rPr>
            <w:rStyle w:val="Hyperlink"/>
            <w:noProof/>
          </w:rPr>
          <w:t>4.3.2 Locational Forward Reserve Market Requirements for Major Import Areas</w:t>
        </w:r>
        <w:r w:rsidR="00F208B5">
          <w:rPr>
            <w:noProof/>
            <w:webHidden/>
          </w:rPr>
          <w:tab/>
        </w:r>
        <w:r>
          <w:rPr>
            <w:noProof/>
            <w:webHidden/>
          </w:rPr>
          <w:fldChar w:fldCharType="begin"/>
        </w:r>
        <w:r w:rsidR="00F208B5">
          <w:rPr>
            <w:noProof/>
            <w:webHidden/>
          </w:rPr>
          <w:instrText xml:space="preserve"> PAGEREF _Toc396807628 \h </w:instrText>
        </w:r>
        <w:r>
          <w:rPr>
            <w:noProof/>
            <w:webHidden/>
          </w:rPr>
        </w:r>
        <w:r>
          <w:rPr>
            <w:noProof/>
            <w:webHidden/>
          </w:rPr>
          <w:fldChar w:fldCharType="separate"/>
        </w:r>
        <w:r w:rsidR="00284CE3">
          <w:rPr>
            <w:noProof/>
            <w:webHidden/>
          </w:rPr>
          <w:t>67</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29" w:history="1">
        <w:r w:rsidR="00F208B5" w:rsidRPr="002447E2">
          <w:rPr>
            <w:rStyle w:val="Hyperlink"/>
          </w:rPr>
          <w:t>4.4 Analyzing Operable Capacity</w:t>
        </w:r>
        <w:r w:rsidR="00F208B5">
          <w:rPr>
            <w:webHidden/>
          </w:rPr>
          <w:tab/>
        </w:r>
        <w:r>
          <w:rPr>
            <w:webHidden/>
          </w:rPr>
          <w:fldChar w:fldCharType="begin"/>
        </w:r>
        <w:r w:rsidR="00F208B5">
          <w:rPr>
            <w:webHidden/>
          </w:rPr>
          <w:instrText xml:space="preserve"> PAGEREF _Toc396807629 \h </w:instrText>
        </w:r>
        <w:r>
          <w:rPr>
            <w:webHidden/>
          </w:rPr>
        </w:r>
        <w:r>
          <w:rPr>
            <w:webHidden/>
          </w:rPr>
          <w:fldChar w:fldCharType="separate"/>
        </w:r>
        <w:r w:rsidR="00284CE3">
          <w:rPr>
            <w:webHidden/>
          </w:rPr>
          <w:t>70</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30" w:history="1">
        <w:r w:rsidR="00F208B5" w:rsidRPr="002447E2">
          <w:rPr>
            <w:rStyle w:val="Hyperlink"/>
          </w:rPr>
          <w:t>4.5 Identifying New England’s Generating Resources</w:t>
        </w:r>
        <w:r w:rsidR="00F208B5">
          <w:rPr>
            <w:webHidden/>
          </w:rPr>
          <w:tab/>
        </w:r>
        <w:r>
          <w:rPr>
            <w:webHidden/>
          </w:rPr>
          <w:fldChar w:fldCharType="begin"/>
        </w:r>
        <w:r w:rsidR="00F208B5">
          <w:rPr>
            <w:webHidden/>
          </w:rPr>
          <w:instrText xml:space="preserve"> PAGEREF _Toc396807630 \h </w:instrText>
        </w:r>
        <w:r>
          <w:rPr>
            <w:webHidden/>
          </w:rPr>
        </w:r>
        <w:r>
          <w:rPr>
            <w:webHidden/>
          </w:rPr>
          <w:fldChar w:fldCharType="separate"/>
        </w:r>
        <w:r w:rsidR="00284CE3">
          <w:rPr>
            <w:webHidden/>
          </w:rPr>
          <w:t>72</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31" w:history="1">
        <w:r w:rsidR="00F208B5" w:rsidRPr="002447E2">
          <w:rPr>
            <w:rStyle w:val="Hyperlink"/>
            <w:noProof/>
          </w:rPr>
          <w:t>4.5.1 Existing Generating Resources in New England</w:t>
        </w:r>
        <w:r w:rsidR="00F208B5">
          <w:rPr>
            <w:noProof/>
            <w:webHidden/>
          </w:rPr>
          <w:tab/>
        </w:r>
        <w:r>
          <w:rPr>
            <w:noProof/>
            <w:webHidden/>
          </w:rPr>
          <w:fldChar w:fldCharType="begin"/>
        </w:r>
        <w:r w:rsidR="00F208B5">
          <w:rPr>
            <w:noProof/>
            <w:webHidden/>
          </w:rPr>
          <w:instrText xml:space="preserve"> PAGEREF _Toc396807631 \h </w:instrText>
        </w:r>
        <w:r>
          <w:rPr>
            <w:noProof/>
            <w:webHidden/>
          </w:rPr>
        </w:r>
        <w:r>
          <w:rPr>
            <w:noProof/>
            <w:webHidden/>
          </w:rPr>
          <w:fldChar w:fldCharType="separate"/>
        </w:r>
        <w:r w:rsidR="00284CE3">
          <w:rPr>
            <w:noProof/>
            <w:webHidden/>
          </w:rPr>
          <w:t>73</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32" w:history="1">
        <w:r w:rsidR="00F208B5" w:rsidRPr="002447E2">
          <w:rPr>
            <w:rStyle w:val="Hyperlink"/>
            <w:noProof/>
          </w:rPr>
          <w:t>4.5.2 Generating Units in the ISO Generator Interconnection Queue</w:t>
        </w:r>
        <w:r w:rsidR="00F208B5">
          <w:rPr>
            <w:noProof/>
            <w:webHidden/>
          </w:rPr>
          <w:tab/>
        </w:r>
        <w:r>
          <w:rPr>
            <w:noProof/>
            <w:webHidden/>
          </w:rPr>
          <w:fldChar w:fldCharType="begin"/>
        </w:r>
        <w:r w:rsidR="00F208B5">
          <w:rPr>
            <w:noProof/>
            <w:webHidden/>
          </w:rPr>
          <w:instrText xml:space="preserve"> PAGEREF _Toc396807632 \h </w:instrText>
        </w:r>
        <w:r>
          <w:rPr>
            <w:noProof/>
            <w:webHidden/>
          </w:rPr>
        </w:r>
        <w:r>
          <w:rPr>
            <w:noProof/>
            <w:webHidden/>
          </w:rPr>
          <w:fldChar w:fldCharType="separate"/>
        </w:r>
        <w:r w:rsidR="00284CE3">
          <w:rPr>
            <w:noProof/>
            <w:webHidden/>
          </w:rPr>
          <w:t>75</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33" w:history="1">
        <w:r w:rsidR="00F208B5" w:rsidRPr="002447E2">
          <w:rPr>
            <w:rStyle w:val="Hyperlink"/>
          </w:rPr>
          <w:t>4.6 Summary</w:t>
        </w:r>
        <w:r w:rsidR="00F208B5">
          <w:rPr>
            <w:webHidden/>
          </w:rPr>
          <w:tab/>
        </w:r>
        <w:r>
          <w:rPr>
            <w:webHidden/>
          </w:rPr>
          <w:fldChar w:fldCharType="begin"/>
        </w:r>
        <w:r w:rsidR="00F208B5">
          <w:rPr>
            <w:webHidden/>
          </w:rPr>
          <w:instrText xml:space="preserve"> PAGEREF _Toc396807633 \h </w:instrText>
        </w:r>
        <w:r>
          <w:rPr>
            <w:webHidden/>
          </w:rPr>
        </w:r>
        <w:r>
          <w:rPr>
            <w:webHidden/>
          </w:rPr>
          <w:fldChar w:fldCharType="separate"/>
        </w:r>
        <w:r w:rsidR="00284CE3">
          <w:rPr>
            <w:webHidden/>
          </w:rPr>
          <w:t>77</w:t>
        </w:r>
        <w:r>
          <w:rPr>
            <w:webHidden/>
          </w:rPr>
          <w:fldChar w:fldCharType="end"/>
        </w:r>
      </w:hyperlink>
    </w:p>
    <w:p w:rsidR="00F208B5" w:rsidRDefault="00927965">
      <w:pPr>
        <w:pStyle w:val="TOC1"/>
        <w:rPr>
          <w:rFonts w:eastAsiaTheme="minorEastAsia" w:cstheme="minorBidi"/>
          <w:b w:val="0"/>
          <w:sz w:val="22"/>
          <w:szCs w:val="22"/>
        </w:rPr>
      </w:pPr>
      <w:hyperlink w:anchor="_Toc396807634" w:history="1">
        <w:r w:rsidR="00F208B5" w:rsidRPr="002447E2">
          <w:rPr>
            <w:rStyle w:val="Hyperlink"/>
          </w:rPr>
          <w:t>Section 5</w:t>
        </w:r>
        <w:r w:rsidR="00F208B5">
          <w:rPr>
            <w:rStyle w:val="Hyperlink"/>
          </w:rPr>
          <w:br/>
        </w:r>
        <w:r w:rsidR="00F208B5" w:rsidRPr="002447E2">
          <w:rPr>
            <w:rStyle w:val="Hyperlink"/>
          </w:rPr>
          <w:t>Transmission Security and Upgrades</w:t>
        </w:r>
        <w:r w:rsidR="00F208B5">
          <w:rPr>
            <w:webHidden/>
          </w:rPr>
          <w:tab/>
        </w:r>
        <w:r>
          <w:rPr>
            <w:webHidden/>
          </w:rPr>
          <w:fldChar w:fldCharType="begin"/>
        </w:r>
        <w:r w:rsidR="00F208B5">
          <w:rPr>
            <w:webHidden/>
          </w:rPr>
          <w:instrText xml:space="preserve"> PAGEREF _Toc396807634 \h </w:instrText>
        </w:r>
        <w:r>
          <w:rPr>
            <w:webHidden/>
          </w:rPr>
        </w:r>
        <w:r>
          <w:rPr>
            <w:webHidden/>
          </w:rPr>
          <w:fldChar w:fldCharType="separate"/>
        </w:r>
        <w:r w:rsidR="00284CE3">
          <w:rPr>
            <w:webHidden/>
          </w:rPr>
          <w:t>79</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35" w:history="1">
        <w:r w:rsidR="00F208B5" w:rsidRPr="002447E2">
          <w:rPr>
            <w:rStyle w:val="Hyperlink"/>
          </w:rPr>
          <w:t>5.1 The Need for Transmission Security</w:t>
        </w:r>
        <w:r w:rsidR="00F208B5">
          <w:rPr>
            <w:webHidden/>
          </w:rPr>
          <w:tab/>
        </w:r>
        <w:r>
          <w:rPr>
            <w:webHidden/>
          </w:rPr>
          <w:fldChar w:fldCharType="begin"/>
        </w:r>
        <w:r w:rsidR="00F208B5">
          <w:rPr>
            <w:webHidden/>
          </w:rPr>
          <w:instrText xml:space="preserve"> PAGEREF _Toc396807635 \h </w:instrText>
        </w:r>
        <w:r>
          <w:rPr>
            <w:webHidden/>
          </w:rPr>
        </w:r>
        <w:r>
          <w:rPr>
            <w:webHidden/>
          </w:rPr>
          <w:fldChar w:fldCharType="separate"/>
        </w:r>
        <w:r w:rsidR="00284CE3">
          <w:rPr>
            <w:webHidden/>
          </w:rPr>
          <w:t>81</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36" w:history="1">
        <w:r w:rsidR="00F208B5" w:rsidRPr="002447E2">
          <w:rPr>
            <w:rStyle w:val="Hyperlink"/>
          </w:rPr>
          <w:t>5.2 Types of Transmission Upgrades</w:t>
        </w:r>
        <w:r w:rsidR="00F208B5">
          <w:rPr>
            <w:webHidden/>
          </w:rPr>
          <w:tab/>
        </w:r>
        <w:r>
          <w:rPr>
            <w:webHidden/>
          </w:rPr>
          <w:fldChar w:fldCharType="begin"/>
        </w:r>
        <w:r w:rsidR="00F208B5">
          <w:rPr>
            <w:webHidden/>
          </w:rPr>
          <w:instrText xml:space="preserve"> PAGEREF _Toc396807636 \h </w:instrText>
        </w:r>
        <w:r>
          <w:rPr>
            <w:webHidden/>
          </w:rPr>
        </w:r>
        <w:r>
          <w:rPr>
            <w:webHidden/>
          </w:rPr>
          <w:fldChar w:fldCharType="separate"/>
        </w:r>
        <w:r w:rsidR="00284CE3">
          <w:rPr>
            <w:webHidden/>
          </w:rPr>
          <w:t>81</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37" w:history="1">
        <w:r w:rsidR="00F208B5" w:rsidRPr="002447E2">
          <w:rPr>
            <w:rStyle w:val="Hyperlink"/>
            <w:noProof/>
          </w:rPr>
          <w:t>5.2.1 Reliability Transmission Upgrades</w:t>
        </w:r>
        <w:r w:rsidR="00F208B5">
          <w:rPr>
            <w:noProof/>
            <w:webHidden/>
          </w:rPr>
          <w:tab/>
        </w:r>
        <w:r>
          <w:rPr>
            <w:noProof/>
            <w:webHidden/>
          </w:rPr>
          <w:fldChar w:fldCharType="begin"/>
        </w:r>
        <w:r w:rsidR="00F208B5">
          <w:rPr>
            <w:noProof/>
            <w:webHidden/>
          </w:rPr>
          <w:instrText xml:space="preserve"> PAGEREF _Toc396807637 \h </w:instrText>
        </w:r>
        <w:r>
          <w:rPr>
            <w:noProof/>
            <w:webHidden/>
          </w:rPr>
        </w:r>
        <w:r>
          <w:rPr>
            <w:noProof/>
            <w:webHidden/>
          </w:rPr>
          <w:fldChar w:fldCharType="separate"/>
        </w:r>
        <w:r w:rsidR="00284CE3">
          <w:rPr>
            <w:noProof/>
            <w:webHidden/>
          </w:rPr>
          <w:t>81</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38" w:history="1">
        <w:r w:rsidR="00F208B5" w:rsidRPr="002447E2">
          <w:rPr>
            <w:rStyle w:val="Hyperlink"/>
            <w:noProof/>
          </w:rPr>
          <w:t>5.2.2 Market Efficiency Transmission Upgrades</w:t>
        </w:r>
        <w:r w:rsidR="00F208B5">
          <w:rPr>
            <w:noProof/>
            <w:webHidden/>
          </w:rPr>
          <w:tab/>
        </w:r>
        <w:r>
          <w:rPr>
            <w:noProof/>
            <w:webHidden/>
          </w:rPr>
          <w:fldChar w:fldCharType="begin"/>
        </w:r>
        <w:r w:rsidR="00F208B5">
          <w:rPr>
            <w:noProof/>
            <w:webHidden/>
          </w:rPr>
          <w:instrText xml:space="preserve"> PAGEREF _Toc396807638 \h </w:instrText>
        </w:r>
        <w:r>
          <w:rPr>
            <w:noProof/>
            <w:webHidden/>
          </w:rPr>
        </w:r>
        <w:r>
          <w:rPr>
            <w:noProof/>
            <w:webHidden/>
          </w:rPr>
          <w:fldChar w:fldCharType="separate"/>
        </w:r>
        <w:r w:rsidR="00284CE3">
          <w:rPr>
            <w:noProof/>
            <w:webHidden/>
          </w:rPr>
          <w:t>82</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39" w:history="1">
        <w:r w:rsidR="00F208B5" w:rsidRPr="002447E2">
          <w:rPr>
            <w:rStyle w:val="Hyperlink"/>
            <w:noProof/>
          </w:rPr>
          <w:t>5.2.3 Generator Interconnection Upgrades and Generator Interconnection-Related Upgrades</w:t>
        </w:r>
        <w:r w:rsidR="00F208B5">
          <w:rPr>
            <w:noProof/>
            <w:webHidden/>
          </w:rPr>
          <w:tab/>
        </w:r>
        <w:r>
          <w:rPr>
            <w:noProof/>
            <w:webHidden/>
          </w:rPr>
          <w:fldChar w:fldCharType="begin"/>
        </w:r>
        <w:r w:rsidR="00F208B5">
          <w:rPr>
            <w:noProof/>
            <w:webHidden/>
          </w:rPr>
          <w:instrText xml:space="preserve"> PAGEREF _Toc396807639 \h </w:instrText>
        </w:r>
        <w:r>
          <w:rPr>
            <w:noProof/>
            <w:webHidden/>
          </w:rPr>
        </w:r>
        <w:r>
          <w:rPr>
            <w:noProof/>
            <w:webHidden/>
          </w:rPr>
          <w:fldChar w:fldCharType="separate"/>
        </w:r>
        <w:r w:rsidR="00284CE3">
          <w:rPr>
            <w:noProof/>
            <w:webHidden/>
          </w:rPr>
          <w:t>83</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40" w:history="1">
        <w:r w:rsidR="00F208B5" w:rsidRPr="002447E2">
          <w:rPr>
            <w:rStyle w:val="Hyperlink"/>
            <w:noProof/>
          </w:rPr>
          <w:t>5.2.4 Elective Transmission Upgrades and Merchant Transmission Facilities</w:t>
        </w:r>
        <w:r w:rsidR="00F208B5">
          <w:rPr>
            <w:noProof/>
            <w:webHidden/>
          </w:rPr>
          <w:tab/>
        </w:r>
        <w:r>
          <w:rPr>
            <w:noProof/>
            <w:webHidden/>
          </w:rPr>
          <w:fldChar w:fldCharType="begin"/>
        </w:r>
        <w:r w:rsidR="00F208B5">
          <w:rPr>
            <w:noProof/>
            <w:webHidden/>
          </w:rPr>
          <w:instrText xml:space="preserve"> PAGEREF _Toc396807640 \h </w:instrText>
        </w:r>
        <w:r>
          <w:rPr>
            <w:noProof/>
            <w:webHidden/>
          </w:rPr>
        </w:r>
        <w:r>
          <w:rPr>
            <w:noProof/>
            <w:webHidden/>
          </w:rPr>
          <w:fldChar w:fldCharType="separate"/>
        </w:r>
        <w:r w:rsidR="00284CE3">
          <w:rPr>
            <w:noProof/>
            <w:webHidden/>
          </w:rPr>
          <w:t>83</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41" w:history="1">
        <w:r w:rsidR="00F208B5" w:rsidRPr="002447E2">
          <w:rPr>
            <w:rStyle w:val="Hyperlink"/>
          </w:rPr>
          <w:t>5.3 RSP Project List and Projected Transmission Project Costs</w:t>
        </w:r>
        <w:r w:rsidR="00F208B5">
          <w:rPr>
            <w:webHidden/>
          </w:rPr>
          <w:tab/>
        </w:r>
        <w:r>
          <w:rPr>
            <w:webHidden/>
          </w:rPr>
          <w:fldChar w:fldCharType="begin"/>
        </w:r>
        <w:r w:rsidR="00F208B5">
          <w:rPr>
            <w:webHidden/>
          </w:rPr>
          <w:instrText xml:space="preserve"> PAGEREF _Toc396807641 \h </w:instrText>
        </w:r>
        <w:r>
          <w:rPr>
            <w:webHidden/>
          </w:rPr>
        </w:r>
        <w:r>
          <w:rPr>
            <w:webHidden/>
          </w:rPr>
          <w:fldChar w:fldCharType="separate"/>
        </w:r>
        <w:r w:rsidR="00284CE3">
          <w:rPr>
            <w:webHidden/>
          </w:rPr>
          <w:t>83</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42" w:history="1">
        <w:r w:rsidR="00F208B5" w:rsidRPr="002447E2">
          <w:rPr>
            <w:rStyle w:val="Hyperlink"/>
          </w:rPr>
          <w:t>5.4 Transmission System Performance Needs Assessments and Upgrade Approvals</w:t>
        </w:r>
        <w:r w:rsidR="00F208B5">
          <w:rPr>
            <w:webHidden/>
          </w:rPr>
          <w:tab/>
        </w:r>
        <w:r>
          <w:rPr>
            <w:webHidden/>
          </w:rPr>
          <w:fldChar w:fldCharType="begin"/>
        </w:r>
        <w:r w:rsidR="00F208B5">
          <w:rPr>
            <w:webHidden/>
          </w:rPr>
          <w:instrText xml:space="preserve"> PAGEREF _Toc396807642 \h </w:instrText>
        </w:r>
        <w:r>
          <w:rPr>
            <w:webHidden/>
          </w:rPr>
        </w:r>
        <w:r>
          <w:rPr>
            <w:webHidden/>
          </w:rPr>
          <w:fldChar w:fldCharType="separate"/>
        </w:r>
        <w:r w:rsidR="00284CE3">
          <w:rPr>
            <w:webHidden/>
          </w:rPr>
          <w:t>87</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43" w:history="1">
        <w:r w:rsidR="00F208B5" w:rsidRPr="002447E2">
          <w:rPr>
            <w:rStyle w:val="Hyperlink"/>
            <w:noProof/>
          </w:rPr>
          <w:t>5.4.1 Northern New England</w:t>
        </w:r>
        <w:r w:rsidR="00F208B5">
          <w:rPr>
            <w:noProof/>
            <w:webHidden/>
          </w:rPr>
          <w:tab/>
        </w:r>
        <w:r>
          <w:rPr>
            <w:noProof/>
            <w:webHidden/>
          </w:rPr>
          <w:fldChar w:fldCharType="begin"/>
        </w:r>
        <w:r w:rsidR="00F208B5">
          <w:rPr>
            <w:noProof/>
            <w:webHidden/>
          </w:rPr>
          <w:instrText xml:space="preserve"> PAGEREF _Toc396807643 \h </w:instrText>
        </w:r>
        <w:r>
          <w:rPr>
            <w:noProof/>
            <w:webHidden/>
          </w:rPr>
        </w:r>
        <w:r>
          <w:rPr>
            <w:noProof/>
            <w:webHidden/>
          </w:rPr>
          <w:fldChar w:fldCharType="separate"/>
        </w:r>
        <w:r w:rsidR="00284CE3">
          <w:rPr>
            <w:noProof/>
            <w:webHidden/>
          </w:rPr>
          <w:t>89</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44" w:history="1">
        <w:r w:rsidR="00F208B5" w:rsidRPr="002447E2">
          <w:rPr>
            <w:rStyle w:val="Hyperlink"/>
            <w:noProof/>
          </w:rPr>
          <w:t>5.4.2 Southern New England</w:t>
        </w:r>
        <w:r w:rsidR="00F208B5">
          <w:rPr>
            <w:noProof/>
            <w:webHidden/>
          </w:rPr>
          <w:tab/>
        </w:r>
        <w:r>
          <w:rPr>
            <w:noProof/>
            <w:webHidden/>
          </w:rPr>
          <w:fldChar w:fldCharType="begin"/>
        </w:r>
        <w:r w:rsidR="00F208B5">
          <w:rPr>
            <w:noProof/>
            <w:webHidden/>
          </w:rPr>
          <w:instrText xml:space="preserve"> PAGEREF _Toc396807644 \h </w:instrText>
        </w:r>
        <w:r>
          <w:rPr>
            <w:noProof/>
            <w:webHidden/>
          </w:rPr>
        </w:r>
        <w:r>
          <w:rPr>
            <w:noProof/>
            <w:webHidden/>
          </w:rPr>
          <w:fldChar w:fldCharType="separate"/>
        </w:r>
        <w:r w:rsidR="00284CE3">
          <w:rPr>
            <w:noProof/>
            <w:webHidden/>
          </w:rPr>
          <w:t>98</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45" w:history="1">
        <w:r w:rsidR="00F208B5" w:rsidRPr="002447E2">
          <w:rPr>
            <w:rStyle w:val="Hyperlink"/>
          </w:rPr>
          <w:t>5.5 Information on Critical Load Levels</w:t>
        </w:r>
        <w:r w:rsidR="00F208B5">
          <w:rPr>
            <w:webHidden/>
          </w:rPr>
          <w:tab/>
        </w:r>
        <w:r>
          <w:rPr>
            <w:webHidden/>
          </w:rPr>
          <w:fldChar w:fldCharType="begin"/>
        </w:r>
        <w:r w:rsidR="00F208B5">
          <w:rPr>
            <w:webHidden/>
          </w:rPr>
          <w:instrText xml:space="preserve"> PAGEREF _Toc396807645 \h </w:instrText>
        </w:r>
        <w:r>
          <w:rPr>
            <w:webHidden/>
          </w:rPr>
        </w:r>
        <w:r>
          <w:rPr>
            <w:webHidden/>
          </w:rPr>
          <w:fldChar w:fldCharType="separate"/>
        </w:r>
        <w:r w:rsidR="00284CE3">
          <w:rPr>
            <w:webHidden/>
          </w:rPr>
          <w:t>116</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46" w:history="1">
        <w:r w:rsidR="00F208B5" w:rsidRPr="002447E2">
          <w:rPr>
            <w:rStyle w:val="Hyperlink"/>
          </w:rPr>
          <w:t>5.6 Transmission Improvements to Load and Generation Pockets Addressing Reliability Issues</w:t>
        </w:r>
        <w:r w:rsidR="00F208B5">
          <w:rPr>
            <w:webHidden/>
          </w:rPr>
          <w:tab/>
        </w:r>
        <w:r>
          <w:rPr>
            <w:webHidden/>
          </w:rPr>
          <w:fldChar w:fldCharType="begin"/>
        </w:r>
        <w:r w:rsidR="00F208B5">
          <w:rPr>
            <w:webHidden/>
          </w:rPr>
          <w:instrText xml:space="preserve"> PAGEREF _Toc396807646 \h </w:instrText>
        </w:r>
        <w:r>
          <w:rPr>
            <w:webHidden/>
          </w:rPr>
        </w:r>
        <w:r>
          <w:rPr>
            <w:webHidden/>
          </w:rPr>
          <w:fldChar w:fldCharType="separate"/>
        </w:r>
        <w:r w:rsidR="00284CE3">
          <w:rPr>
            <w:webHidden/>
          </w:rPr>
          <w:t>117</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47" w:history="1">
        <w:r w:rsidR="00F208B5" w:rsidRPr="002447E2">
          <w:rPr>
            <w:rStyle w:val="Hyperlink"/>
          </w:rPr>
          <w:t>5.7 Delist Bids, FCA #4 to FCA #8</w:t>
        </w:r>
        <w:r w:rsidR="00F208B5">
          <w:rPr>
            <w:webHidden/>
          </w:rPr>
          <w:tab/>
        </w:r>
        <w:r>
          <w:rPr>
            <w:webHidden/>
          </w:rPr>
          <w:fldChar w:fldCharType="begin"/>
        </w:r>
        <w:r w:rsidR="00F208B5">
          <w:rPr>
            <w:webHidden/>
          </w:rPr>
          <w:instrText xml:space="preserve"> PAGEREF _Toc396807647 \h </w:instrText>
        </w:r>
        <w:r>
          <w:rPr>
            <w:webHidden/>
          </w:rPr>
        </w:r>
        <w:r>
          <w:rPr>
            <w:webHidden/>
          </w:rPr>
          <w:fldChar w:fldCharType="separate"/>
        </w:r>
        <w:r w:rsidR="00284CE3">
          <w:rPr>
            <w:webHidden/>
          </w:rPr>
          <w:t>118</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48" w:history="1">
        <w:r w:rsidR="00F208B5" w:rsidRPr="002447E2">
          <w:rPr>
            <w:rStyle w:val="Hyperlink"/>
          </w:rPr>
          <w:t>5.8 Other Needed and Elective Transmission Upgrades</w:t>
        </w:r>
        <w:r w:rsidR="00F208B5">
          <w:rPr>
            <w:webHidden/>
          </w:rPr>
          <w:tab/>
        </w:r>
        <w:r>
          <w:rPr>
            <w:webHidden/>
          </w:rPr>
          <w:fldChar w:fldCharType="begin"/>
        </w:r>
        <w:r w:rsidR="00F208B5">
          <w:rPr>
            <w:webHidden/>
          </w:rPr>
          <w:instrText xml:space="preserve"> PAGEREF _Toc396807648 \h </w:instrText>
        </w:r>
        <w:r>
          <w:rPr>
            <w:webHidden/>
          </w:rPr>
        </w:r>
        <w:r>
          <w:rPr>
            <w:webHidden/>
          </w:rPr>
          <w:fldChar w:fldCharType="separate"/>
        </w:r>
        <w:r w:rsidR="00284CE3">
          <w:rPr>
            <w:webHidden/>
          </w:rPr>
          <w:t>119</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49" w:history="1">
        <w:r w:rsidR="00F208B5" w:rsidRPr="002447E2">
          <w:rPr>
            <w:rStyle w:val="Hyperlink"/>
            <w:noProof/>
          </w:rPr>
          <w:t>5.8.1 Needed Market-Efficiency-Related Transmission Upgrades</w:t>
        </w:r>
        <w:r w:rsidR="00F208B5">
          <w:rPr>
            <w:noProof/>
            <w:webHidden/>
          </w:rPr>
          <w:tab/>
        </w:r>
        <w:r>
          <w:rPr>
            <w:noProof/>
            <w:webHidden/>
          </w:rPr>
          <w:fldChar w:fldCharType="begin"/>
        </w:r>
        <w:r w:rsidR="00F208B5">
          <w:rPr>
            <w:noProof/>
            <w:webHidden/>
          </w:rPr>
          <w:instrText xml:space="preserve"> PAGEREF _Toc396807649 \h </w:instrText>
        </w:r>
        <w:r>
          <w:rPr>
            <w:noProof/>
            <w:webHidden/>
          </w:rPr>
        </w:r>
        <w:r>
          <w:rPr>
            <w:noProof/>
            <w:webHidden/>
          </w:rPr>
          <w:fldChar w:fldCharType="separate"/>
        </w:r>
        <w:r w:rsidR="00284CE3">
          <w:rPr>
            <w:noProof/>
            <w:webHidden/>
          </w:rPr>
          <w:t>119</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50" w:history="1">
        <w:r w:rsidR="00F208B5" w:rsidRPr="002447E2">
          <w:rPr>
            <w:rStyle w:val="Hyperlink"/>
            <w:noProof/>
          </w:rPr>
          <w:t>5.8.2 Transmission Improvements to Mitigate Congestion</w:t>
        </w:r>
        <w:r w:rsidR="00F208B5">
          <w:rPr>
            <w:noProof/>
            <w:webHidden/>
          </w:rPr>
          <w:tab/>
        </w:r>
        <w:r>
          <w:rPr>
            <w:noProof/>
            <w:webHidden/>
          </w:rPr>
          <w:fldChar w:fldCharType="begin"/>
        </w:r>
        <w:r w:rsidR="00F208B5">
          <w:rPr>
            <w:noProof/>
            <w:webHidden/>
          </w:rPr>
          <w:instrText xml:space="preserve"> PAGEREF _Toc396807650 \h </w:instrText>
        </w:r>
        <w:r>
          <w:rPr>
            <w:noProof/>
            <w:webHidden/>
          </w:rPr>
        </w:r>
        <w:r>
          <w:rPr>
            <w:noProof/>
            <w:webHidden/>
          </w:rPr>
          <w:fldChar w:fldCharType="separate"/>
        </w:r>
        <w:r w:rsidR="00284CE3">
          <w:rPr>
            <w:noProof/>
            <w:webHidden/>
          </w:rPr>
          <w:t>120</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51" w:history="1">
        <w:r w:rsidR="00F208B5" w:rsidRPr="002447E2">
          <w:rPr>
            <w:rStyle w:val="Hyperlink"/>
            <w:noProof/>
          </w:rPr>
          <w:t>5.8.3 Reliability Transmission Upgrade Improvements to Load and Generation Pockets</w:t>
        </w:r>
        <w:r w:rsidR="00F208B5">
          <w:rPr>
            <w:noProof/>
            <w:webHidden/>
          </w:rPr>
          <w:tab/>
        </w:r>
        <w:r>
          <w:rPr>
            <w:noProof/>
            <w:webHidden/>
          </w:rPr>
          <w:fldChar w:fldCharType="begin"/>
        </w:r>
        <w:r w:rsidR="00F208B5">
          <w:rPr>
            <w:noProof/>
            <w:webHidden/>
          </w:rPr>
          <w:instrText xml:space="preserve"> PAGEREF _Toc396807651 \h </w:instrText>
        </w:r>
        <w:r>
          <w:rPr>
            <w:noProof/>
            <w:webHidden/>
          </w:rPr>
        </w:r>
        <w:r>
          <w:rPr>
            <w:noProof/>
            <w:webHidden/>
          </w:rPr>
          <w:fldChar w:fldCharType="separate"/>
        </w:r>
        <w:r w:rsidR="00284CE3">
          <w:rPr>
            <w:noProof/>
            <w:webHidden/>
          </w:rPr>
          <w:t>120</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52" w:history="1">
        <w:r w:rsidR="00F208B5" w:rsidRPr="002447E2">
          <w:rPr>
            <w:rStyle w:val="Hyperlink"/>
            <w:noProof/>
          </w:rPr>
          <w:t>5.8.4 Required Generator-Interconnection-Related Upgrades</w:t>
        </w:r>
        <w:r w:rsidR="00F208B5">
          <w:rPr>
            <w:noProof/>
            <w:webHidden/>
          </w:rPr>
          <w:tab/>
        </w:r>
        <w:r>
          <w:rPr>
            <w:noProof/>
            <w:webHidden/>
          </w:rPr>
          <w:fldChar w:fldCharType="begin"/>
        </w:r>
        <w:r w:rsidR="00F208B5">
          <w:rPr>
            <w:noProof/>
            <w:webHidden/>
          </w:rPr>
          <w:instrText xml:space="preserve"> PAGEREF _Toc396807652 \h </w:instrText>
        </w:r>
        <w:r>
          <w:rPr>
            <w:noProof/>
            <w:webHidden/>
          </w:rPr>
        </w:r>
        <w:r>
          <w:rPr>
            <w:noProof/>
            <w:webHidden/>
          </w:rPr>
          <w:fldChar w:fldCharType="separate"/>
        </w:r>
        <w:r w:rsidR="00284CE3">
          <w:rPr>
            <w:noProof/>
            <w:webHidden/>
          </w:rPr>
          <w:t>121</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53" w:history="1">
        <w:r w:rsidR="00F208B5" w:rsidRPr="002447E2">
          <w:rPr>
            <w:rStyle w:val="Hyperlink"/>
            <w:noProof/>
          </w:rPr>
          <w:t>5.8.5 Elective Transmission Upgrades</w:t>
        </w:r>
        <w:r w:rsidR="00F208B5">
          <w:rPr>
            <w:noProof/>
            <w:webHidden/>
          </w:rPr>
          <w:tab/>
        </w:r>
        <w:r>
          <w:rPr>
            <w:noProof/>
            <w:webHidden/>
          </w:rPr>
          <w:fldChar w:fldCharType="begin"/>
        </w:r>
        <w:r w:rsidR="00F208B5">
          <w:rPr>
            <w:noProof/>
            <w:webHidden/>
          </w:rPr>
          <w:instrText xml:space="preserve"> PAGEREF _Toc396807653 \h </w:instrText>
        </w:r>
        <w:r>
          <w:rPr>
            <w:noProof/>
            <w:webHidden/>
          </w:rPr>
        </w:r>
        <w:r>
          <w:rPr>
            <w:noProof/>
            <w:webHidden/>
          </w:rPr>
          <w:fldChar w:fldCharType="separate"/>
        </w:r>
        <w:r w:rsidR="00284CE3">
          <w:rPr>
            <w:noProof/>
            <w:webHidden/>
          </w:rPr>
          <w:t>121</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54" w:history="1">
        <w:r w:rsidR="00F208B5" w:rsidRPr="002447E2">
          <w:rPr>
            <w:rStyle w:val="Hyperlink"/>
          </w:rPr>
          <w:t>5.9 Summary</w:t>
        </w:r>
        <w:r w:rsidR="00F208B5">
          <w:rPr>
            <w:webHidden/>
          </w:rPr>
          <w:tab/>
        </w:r>
        <w:r>
          <w:rPr>
            <w:webHidden/>
          </w:rPr>
          <w:fldChar w:fldCharType="begin"/>
        </w:r>
        <w:r w:rsidR="00F208B5">
          <w:rPr>
            <w:webHidden/>
          </w:rPr>
          <w:instrText xml:space="preserve"> PAGEREF _Toc396807654 \h </w:instrText>
        </w:r>
        <w:r>
          <w:rPr>
            <w:webHidden/>
          </w:rPr>
        </w:r>
        <w:r>
          <w:rPr>
            <w:webHidden/>
          </w:rPr>
          <w:fldChar w:fldCharType="separate"/>
        </w:r>
        <w:r w:rsidR="00284CE3">
          <w:rPr>
            <w:webHidden/>
          </w:rPr>
          <w:t>122</w:t>
        </w:r>
        <w:r>
          <w:rPr>
            <w:webHidden/>
          </w:rPr>
          <w:fldChar w:fldCharType="end"/>
        </w:r>
      </w:hyperlink>
    </w:p>
    <w:p w:rsidR="00F208B5" w:rsidRDefault="00927965">
      <w:pPr>
        <w:pStyle w:val="TOC1"/>
        <w:rPr>
          <w:rFonts w:eastAsiaTheme="minorEastAsia" w:cstheme="minorBidi"/>
          <w:b w:val="0"/>
          <w:sz w:val="22"/>
          <w:szCs w:val="22"/>
        </w:rPr>
      </w:pPr>
      <w:hyperlink w:anchor="_Toc396807655" w:history="1">
        <w:r w:rsidR="00F208B5" w:rsidRPr="002447E2">
          <w:rPr>
            <w:rStyle w:val="Hyperlink"/>
          </w:rPr>
          <w:t>Section 6</w:t>
        </w:r>
        <w:r w:rsidR="00F208B5">
          <w:rPr>
            <w:rStyle w:val="Hyperlink"/>
          </w:rPr>
          <w:br/>
        </w:r>
        <w:r w:rsidR="00F208B5" w:rsidRPr="002447E2">
          <w:rPr>
            <w:rStyle w:val="Hyperlink"/>
            <w:rFonts w:eastAsiaTheme="minorHAnsi"/>
          </w:rPr>
          <w:t>Studies and Other Actions Supporting the Strategic Planning of the Region</w:t>
        </w:r>
        <w:r w:rsidR="00F208B5">
          <w:rPr>
            <w:webHidden/>
          </w:rPr>
          <w:tab/>
        </w:r>
        <w:r>
          <w:rPr>
            <w:webHidden/>
          </w:rPr>
          <w:fldChar w:fldCharType="begin"/>
        </w:r>
        <w:r w:rsidR="00F208B5">
          <w:rPr>
            <w:webHidden/>
          </w:rPr>
          <w:instrText xml:space="preserve"> PAGEREF _Toc396807655 \h </w:instrText>
        </w:r>
        <w:r>
          <w:rPr>
            <w:webHidden/>
          </w:rPr>
        </w:r>
        <w:r>
          <w:rPr>
            <w:webHidden/>
          </w:rPr>
          <w:fldChar w:fldCharType="separate"/>
        </w:r>
        <w:r w:rsidR="00284CE3">
          <w:rPr>
            <w:webHidden/>
          </w:rPr>
          <w:t>124</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56" w:history="1">
        <w:r w:rsidR="00F208B5" w:rsidRPr="002447E2">
          <w:rPr>
            <w:rStyle w:val="Hyperlink"/>
          </w:rPr>
          <w:t>6.1 Capacity and Electric Energy Production in the Region by Fuel Type</w:t>
        </w:r>
        <w:r w:rsidR="00F208B5">
          <w:rPr>
            <w:webHidden/>
          </w:rPr>
          <w:tab/>
        </w:r>
        <w:r>
          <w:rPr>
            <w:webHidden/>
          </w:rPr>
          <w:fldChar w:fldCharType="begin"/>
        </w:r>
        <w:r w:rsidR="00F208B5">
          <w:rPr>
            <w:webHidden/>
          </w:rPr>
          <w:instrText xml:space="preserve"> PAGEREF _Toc396807656 \h </w:instrText>
        </w:r>
        <w:r>
          <w:rPr>
            <w:webHidden/>
          </w:rPr>
        </w:r>
        <w:r>
          <w:rPr>
            <w:webHidden/>
          </w:rPr>
          <w:fldChar w:fldCharType="separate"/>
        </w:r>
        <w:r w:rsidR="00284CE3">
          <w:rPr>
            <w:webHidden/>
          </w:rPr>
          <w:t>124</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57" w:history="1">
        <w:r w:rsidR="00F208B5" w:rsidRPr="002447E2">
          <w:rPr>
            <w:rStyle w:val="Hyperlink"/>
          </w:rPr>
          <w:t>6.2 Natural Gas and Oil Fuel-Certainty Issues for Power Generation</w:t>
        </w:r>
        <w:r w:rsidR="00F208B5">
          <w:rPr>
            <w:webHidden/>
          </w:rPr>
          <w:tab/>
        </w:r>
        <w:r>
          <w:rPr>
            <w:webHidden/>
          </w:rPr>
          <w:fldChar w:fldCharType="begin"/>
        </w:r>
        <w:r w:rsidR="00F208B5">
          <w:rPr>
            <w:webHidden/>
          </w:rPr>
          <w:instrText xml:space="preserve"> PAGEREF _Toc396807657 \h </w:instrText>
        </w:r>
        <w:r>
          <w:rPr>
            <w:webHidden/>
          </w:rPr>
        </w:r>
        <w:r>
          <w:rPr>
            <w:webHidden/>
          </w:rPr>
          <w:fldChar w:fldCharType="separate"/>
        </w:r>
        <w:r w:rsidR="00284CE3">
          <w:rPr>
            <w:webHidden/>
          </w:rPr>
          <w:t>126</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58" w:history="1">
        <w:r w:rsidR="00F208B5" w:rsidRPr="002447E2">
          <w:rPr>
            <w:rStyle w:val="Hyperlink"/>
            <w:noProof/>
          </w:rPr>
          <w:t>6.2.1 Natural Gas Infrastructure—Issues and Improvements</w:t>
        </w:r>
        <w:r w:rsidR="00F208B5">
          <w:rPr>
            <w:noProof/>
            <w:webHidden/>
          </w:rPr>
          <w:tab/>
        </w:r>
        <w:r>
          <w:rPr>
            <w:noProof/>
            <w:webHidden/>
          </w:rPr>
          <w:fldChar w:fldCharType="begin"/>
        </w:r>
        <w:r w:rsidR="00F208B5">
          <w:rPr>
            <w:noProof/>
            <w:webHidden/>
          </w:rPr>
          <w:instrText xml:space="preserve"> PAGEREF _Toc396807658 \h </w:instrText>
        </w:r>
        <w:r>
          <w:rPr>
            <w:noProof/>
            <w:webHidden/>
          </w:rPr>
        </w:r>
        <w:r>
          <w:rPr>
            <w:noProof/>
            <w:webHidden/>
          </w:rPr>
          <w:fldChar w:fldCharType="separate"/>
        </w:r>
        <w:r w:rsidR="00284CE3">
          <w:rPr>
            <w:noProof/>
            <w:webHidden/>
          </w:rPr>
          <w:t>127</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59" w:history="1">
        <w:r w:rsidR="00F208B5" w:rsidRPr="002447E2">
          <w:rPr>
            <w:rStyle w:val="Hyperlink"/>
            <w:rFonts w:eastAsia="Times New Roman"/>
            <w:noProof/>
          </w:rPr>
          <w:t>6.2.2 Overview of Winter 2013/2014 Operations</w:t>
        </w:r>
        <w:r w:rsidR="00F208B5">
          <w:rPr>
            <w:noProof/>
            <w:webHidden/>
          </w:rPr>
          <w:tab/>
        </w:r>
        <w:r>
          <w:rPr>
            <w:noProof/>
            <w:webHidden/>
          </w:rPr>
          <w:fldChar w:fldCharType="begin"/>
        </w:r>
        <w:r w:rsidR="00F208B5">
          <w:rPr>
            <w:noProof/>
            <w:webHidden/>
          </w:rPr>
          <w:instrText xml:space="preserve"> PAGEREF _Toc396807659 \h </w:instrText>
        </w:r>
        <w:r>
          <w:rPr>
            <w:noProof/>
            <w:webHidden/>
          </w:rPr>
        </w:r>
        <w:r>
          <w:rPr>
            <w:noProof/>
            <w:webHidden/>
          </w:rPr>
          <w:fldChar w:fldCharType="separate"/>
        </w:r>
        <w:r w:rsidR="00284CE3">
          <w:rPr>
            <w:noProof/>
            <w:webHidden/>
          </w:rPr>
          <w:t>131</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60" w:history="1">
        <w:r w:rsidR="00F208B5" w:rsidRPr="002447E2">
          <w:rPr>
            <w:rStyle w:val="Hyperlink"/>
            <w:rFonts w:eastAsia="Times New Roman"/>
            <w:noProof/>
          </w:rPr>
          <w:t>6.2.3 Studies on Natural Gas Supply and Delivery to Power Generators</w:t>
        </w:r>
        <w:r w:rsidR="00F208B5">
          <w:rPr>
            <w:noProof/>
            <w:webHidden/>
          </w:rPr>
          <w:tab/>
        </w:r>
        <w:r>
          <w:rPr>
            <w:noProof/>
            <w:webHidden/>
          </w:rPr>
          <w:fldChar w:fldCharType="begin"/>
        </w:r>
        <w:r w:rsidR="00F208B5">
          <w:rPr>
            <w:noProof/>
            <w:webHidden/>
          </w:rPr>
          <w:instrText xml:space="preserve"> PAGEREF _Toc396807660 \h </w:instrText>
        </w:r>
        <w:r>
          <w:rPr>
            <w:noProof/>
            <w:webHidden/>
          </w:rPr>
        </w:r>
        <w:r>
          <w:rPr>
            <w:noProof/>
            <w:webHidden/>
          </w:rPr>
          <w:fldChar w:fldCharType="separate"/>
        </w:r>
        <w:r w:rsidR="00284CE3">
          <w:rPr>
            <w:noProof/>
            <w:webHidden/>
          </w:rPr>
          <w:t>140</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61" w:history="1">
        <w:r w:rsidR="00F208B5" w:rsidRPr="002447E2">
          <w:rPr>
            <w:rStyle w:val="Hyperlink"/>
            <w:rFonts w:eastAsia="Times New Roman"/>
            <w:noProof/>
          </w:rPr>
          <w:t>6.2.4 Addressing Regional Fuel-Certainty Issues</w:t>
        </w:r>
        <w:r w:rsidR="00F208B5">
          <w:rPr>
            <w:noProof/>
            <w:webHidden/>
          </w:rPr>
          <w:tab/>
        </w:r>
        <w:r>
          <w:rPr>
            <w:noProof/>
            <w:webHidden/>
          </w:rPr>
          <w:fldChar w:fldCharType="begin"/>
        </w:r>
        <w:r w:rsidR="00F208B5">
          <w:rPr>
            <w:noProof/>
            <w:webHidden/>
          </w:rPr>
          <w:instrText xml:space="preserve"> PAGEREF _Toc396807661 \h </w:instrText>
        </w:r>
        <w:r>
          <w:rPr>
            <w:noProof/>
            <w:webHidden/>
          </w:rPr>
        </w:r>
        <w:r>
          <w:rPr>
            <w:noProof/>
            <w:webHidden/>
          </w:rPr>
          <w:fldChar w:fldCharType="separate"/>
        </w:r>
        <w:r w:rsidR="00284CE3">
          <w:rPr>
            <w:noProof/>
            <w:webHidden/>
          </w:rPr>
          <w:t>142</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62" w:history="1">
        <w:r w:rsidR="00F208B5" w:rsidRPr="002447E2">
          <w:rPr>
            <w:rStyle w:val="Hyperlink"/>
          </w:rPr>
          <w:t>6.3 Impacts of Environmental Regulations on Generators and the Power System Overall</w:t>
        </w:r>
        <w:r w:rsidR="00F208B5">
          <w:rPr>
            <w:webHidden/>
          </w:rPr>
          <w:tab/>
        </w:r>
        <w:r>
          <w:rPr>
            <w:webHidden/>
          </w:rPr>
          <w:fldChar w:fldCharType="begin"/>
        </w:r>
        <w:r w:rsidR="00F208B5">
          <w:rPr>
            <w:webHidden/>
          </w:rPr>
          <w:instrText xml:space="preserve"> PAGEREF _Toc396807662 \h </w:instrText>
        </w:r>
        <w:r>
          <w:rPr>
            <w:webHidden/>
          </w:rPr>
        </w:r>
        <w:r>
          <w:rPr>
            <w:webHidden/>
          </w:rPr>
          <w:fldChar w:fldCharType="separate"/>
        </w:r>
        <w:r w:rsidR="00284CE3">
          <w:rPr>
            <w:webHidden/>
          </w:rPr>
          <w:t>147</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63" w:history="1">
        <w:r w:rsidR="00F208B5" w:rsidRPr="002447E2">
          <w:rPr>
            <w:rStyle w:val="Hyperlink"/>
            <w:noProof/>
          </w:rPr>
          <w:t xml:space="preserve">6.3.1 Emerging Impacts of </w:t>
        </w:r>
        <w:r w:rsidR="00F208B5" w:rsidRPr="002447E2">
          <w:rPr>
            <w:rStyle w:val="Hyperlink"/>
            <w:i/>
            <w:noProof/>
          </w:rPr>
          <w:t>Clean Water Act</w:t>
        </w:r>
        <w:r w:rsidR="00F208B5" w:rsidRPr="002447E2">
          <w:rPr>
            <w:rStyle w:val="Hyperlink"/>
            <w:noProof/>
          </w:rPr>
          <w:t xml:space="preserve"> Regulations on the Region’s Generators</w:t>
        </w:r>
        <w:r w:rsidR="00F208B5">
          <w:rPr>
            <w:noProof/>
            <w:webHidden/>
          </w:rPr>
          <w:tab/>
        </w:r>
        <w:r>
          <w:rPr>
            <w:noProof/>
            <w:webHidden/>
          </w:rPr>
          <w:fldChar w:fldCharType="begin"/>
        </w:r>
        <w:r w:rsidR="00F208B5">
          <w:rPr>
            <w:noProof/>
            <w:webHidden/>
          </w:rPr>
          <w:instrText xml:space="preserve"> PAGEREF _Toc396807663 \h </w:instrText>
        </w:r>
        <w:r>
          <w:rPr>
            <w:noProof/>
            <w:webHidden/>
          </w:rPr>
        </w:r>
        <w:r>
          <w:rPr>
            <w:noProof/>
            <w:webHidden/>
          </w:rPr>
          <w:fldChar w:fldCharType="separate"/>
        </w:r>
        <w:r w:rsidR="00284CE3">
          <w:rPr>
            <w:noProof/>
            <w:webHidden/>
          </w:rPr>
          <w:t>148</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64" w:history="1">
        <w:r w:rsidR="00F208B5" w:rsidRPr="002447E2">
          <w:rPr>
            <w:rStyle w:val="Hyperlink"/>
            <w:noProof/>
          </w:rPr>
          <w:t>6.3.2</w:t>
        </w:r>
        <w:r w:rsidR="00F208B5" w:rsidRPr="002447E2">
          <w:rPr>
            <w:rStyle w:val="Hyperlink"/>
            <w:i/>
            <w:noProof/>
          </w:rPr>
          <w:t xml:space="preserve"> Clean Air Act</w:t>
        </w:r>
        <w:r w:rsidR="00F208B5" w:rsidRPr="002447E2">
          <w:rPr>
            <w:rStyle w:val="Hyperlink"/>
            <w:noProof/>
          </w:rPr>
          <w:t xml:space="preserve"> Requirements and Regional and Federal Greenhouse Gas Regulations</w:t>
        </w:r>
        <w:r w:rsidR="00F208B5">
          <w:rPr>
            <w:noProof/>
            <w:webHidden/>
          </w:rPr>
          <w:tab/>
        </w:r>
        <w:r>
          <w:rPr>
            <w:noProof/>
            <w:webHidden/>
          </w:rPr>
          <w:fldChar w:fldCharType="begin"/>
        </w:r>
        <w:r w:rsidR="00F208B5">
          <w:rPr>
            <w:noProof/>
            <w:webHidden/>
          </w:rPr>
          <w:instrText xml:space="preserve"> PAGEREF _Toc396807664 \h </w:instrText>
        </w:r>
        <w:r>
          <w:rPr>
            <w:noProof/>
            <w:webHidden/>
          </w:rPr>
        </w:r>
        <w:r>
          <w:rPr>
            <w:noProof/>
            <w:webHidden/>
          </w:rPr>
          <w:fldChar w:fldCharType="separate"/>
        </w:r>
        <w:r w:rsidR="00284CE3">
          <w:rPr>
            <w:noProof/>
            <w:webHidden/>
          </w:rPr>
          <w:t>150</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65" w:history="1">
        <w:r w:rsidR="00F208B5" w:rsidRPr="002447E2">
          <w:rPr>
            <w:rStyle w:val="Hyperlink"/>
            <w:noProof/>
          </w:rPr>
          <w:t>6.3.3 Cost of Compliance with Environmental Regulations</w:t>
        </w:r>
        <w:r w:rsidR="00F208B5">
          <w:rPr>
            <w:noProof/>
            <w:webHidden/>
          </w:rPr>
          <w:tab/>
        </w:r>
        <w:r>
          <w:rPr>
            <w:noProof/>
            <w:webHidden/>
          </w:rPr>
          <w:fldChar w:fldCharType="begin"/>
        </w:r>
        <w:r w:rsidR="00F208B5">
          <w:rPr>
            <w:noProof/>
            <w:webHidden/>
          </w:rPr>
          <w:instrText xml:space="preserve"> PAGEREF _Toc396807665 \h </w:instrText>
        </w:r>
        <w:r>
          <w:rPr>
            <w:noProof/>
            <w:webHidden/>
          </w:rPr>
        </w:r>
        <w:r>
          <w:rPr>
            <w:noProof/>
            <w:webHidden/>
          </w:rPr>
          <w:fldChar w:fldCharType="separate"/>
        </w:r>
        <w:r w:rsidR="00284CE3">
          <w:rPr>
            <w:noProof/>
            <w:webHidden/>
          </w:rPr>
          <w:t>155</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66" w:history="1">
        <w:r w:rsidR="00F208B5" w:rsidRPr="002447E2">
          <w:rPr>
            <w:rStyle w:val="Hyperlink"/>
          </w:rPr>
          <w:t>6.4 Update of Regional Nuclear Generation Licensing Renewals</w:t>
        </w:r>
        <w:r w:rsidR="00F208B5">
          <w:rPr>
            <w:webHidden/>
          </w:rPr>
          <w:tab/>
        </w:r>
        <w:r>
          <w:rPr>
            <w:webHidden/>
          </w:rPr>
          <w:fldChar w:fldCharType="begin"/>
        </w:r>
        <w:r w:rsidR="00F208B5">
          <w:rPr>
            <w:webHidden/>
          </w:rPr>
          <w:instrText xml:space="preserve"> PAGEREF _Toc396807666 \h </w:instrText>
        </w:r>
        <w:r>
          <w:rPr>
            <w:webHidden/>
          </w:rPr>
        </w:r>
        <w:r>
          <w:rPr>
            <w:webHidden/>
          </w:rPr>
          <w:fldChar w:fldCharType="separate"/>
        </w:r>
        <w:r w:rsidR="00284CE3">
          <w:rPr>
            <w:webHidden/>
          </w:rPr>
          <w:t>155</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67" w:history="1">
        <w:r w:rsidR="00F208B5" w:rsidRPr="002447E2">
          <w:rPr>
            <w:rStyle w:val="Hyperlink"/>
          </w:rPr>
          <w:t>6.5 Update on Hydroelectric Generation Relicensing</w:t>
        </w:r>
        <w:r w:rsidR="00F208B5">
          <w:rPr>
            <w:webHidden/>
          </w:rPr>
          <w:tab/>
        </w:r>
        <w:r>
          <w:rPr>
            <w:webHidden/>
          </w:rPr>
          <w:fldChar w:fldCharType="begin"/>
        </w:r>
        <w:r w:rsidR="00F208B5">
          <w:rPr>
            <w:webHidden/>
          </w:rPr>
          <w:instrText xml:space="preserve"> PAGEREF _Toc396807667 \h </w:instrText>
        </w:r>
        <w:r>
          <w:rPr>
            <w:webHidden/>
          </w:rPr>
        </w:r>
        <w:r>
          <w:rPr>
            <w:webHidden/>
          </w:rPr>
          <w:fldChar w:fldCharType="separate"/>
        </w:r>
        <w:r w:rsidR="00284CE3">
          <w:rPr>
            <w:webHidden/>
          </w:rPr>
          <w:t>156</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68" w:history="1">
        <w:r w:rsidR="00F208B5" w:rsidRPr="002447E2">
          <w:rPr>
            <w:rStyle w:val="Hyperlink"/>
          </w:rPr>
          <w:t>6.6 Wind and Photovoltaic Integration Activities</w:t>
        </w:r>
        <w:r w:rsidR="00F208B5">
          <w:rPr>
            <w:webHidden/>
          </w:rPr>
          <w:tab/>
        </w:r>
        <w:r>
          <w:rPr>
            <w:webHidden/>
          </w:rPr>
          <w:fldChar w:fldCharType="begin"/>
        </w:r>
        <w:r w:rsidR="00F208B5">
          <w:rPr>
            <w:webHidden/>
          </w:rPr>
          <w:instrText xml:space="preserve"> PAGEREF _Toc396807668 \h </w:instrText>
        </w:r>
        <w:r>
          <w:rPr>
            <w:webHidden/>
          </w:rPr>
        </w:r>
        <w:r>
          <w:rPr>
            <w:webHidden/>
          </w:rPr>
          <w:fldChar w:fldCharType="separate"/>
        </w:r>
        <w:r w:rsidR="00284CE3">
          <w:rPr>
            <w:webHidden/>
          </w:rPr>
          <w:t>157</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69" w:history="1">
        <w:r w:rsidR="00F208B5" w:rsidRPr="002447E2">
          <w:rPr>
            <w:rStyle w:val="Hyperlink"/>
            <w:noProof/>
          </w:rPr>
          <w:t>6.6.1 Potential System Impact</w:t>
        </w:r>
        <w:r w:rsidR="00294C06">
          <w:rPr>
            <w:rStyle w:val="Hyperlink"/>
            <w:noProof/>
          </w:rPr>
          <w:t>s</w:t>
        </w:r>
        <w:r w:rsidR="00F208B5" w:rsidRPr="002447E2">
          <w:rPr>
            <w:rStyle w:val="Hyperlink"/>
            <w:noProof/>
          </w:rPr>
          <w:t xml:space="preserve"> </w:t>
        </w:r>
        <w:r w:rsidR="00294C06" w:rsidRPr="00294C06">
          <w:rPr>
            <w:rStyle w:val="Hyperlink"/>
            <w:noProof/>
          </w:rPr>
          <w:t>on Fossil Fuel Generators</w:t>
        </w:r>
        <w:r w:rsidR="00294C06">
          <w:rPr>
            <w:rStyle w:val="Hyperlink"/>
            <w:noProof/>
          </w:rPr>
          <w:t xml:space="preserve"> </w:t>
        </w:r>
        <w:r w:rsidR="00F208B5" w:rsidRPr="002447E2">
          <w:rPr>
            <w:rStyle w:val="Hyperlink"/>
            <w:noProof/>
          </w:rPr>
          <w:t xml:space="preserve">of </w:t>
        </w:r>
        <w:r w:rsidR="00294C06">
          <w:rPr>
            <w:rStyle w:val="Hyperlink"/>
            <w:noProof/>
          </w:rPr>
          <w:t xml:space="preserve">Integrating </w:t>
        </w:r>
        <w:r w:rsidR="00F208B5" w:rsidRPr="002447E2">
          <w:rPr>
            <w:rStyle w:val="Hyperlink"/>
            <w:noProof/>
          </w:rPr>
          <w:t>Wind and Solar Resource</w:t>
        </w:r>
        <w:r w:rsidR="00294C06">
          <w:rPr>
            <w:rStyle w:val="Hyperlink"/>
            <w:noProof/>
          </w:rPr>
          <w:t>s</w:t>
        </w:r>
        <w:r w:rsidR="00F208B5">
          <w:rPr>
            <w:noProof/>
            <w:webHidden/>
          </w:rPr>
          <w:tab/>
        </w:r>
        <w:r>
          <w:rPr>
            <w:noProof/>
            <w:webHidden/>
          </w:rPr>
          <w:fldChar w:fldCharType="begin"/>
        </w:r>
        <w:r w:rsidR="00F208B5">
          <w:rPr>
            <w:noProof/>
            <w:webHidden/>
          </w:rPr>
          <w:instrText xml:space="preserve"> PAGEREF _Toc396807669 \h </w:instrText>
        </w:r>
        <w:r>
          <w:rPr>
            <w:noProof/>
            <w:webHidden/>
          </w:rPr>
        </w:r>
        <w:r>
          <w:rPr>
            <w:noProof/>
            <w:webHidden/>
          </w:rPr>
          <w:fldChar w:fldCharType="separate"/>
        </w:r>
        <w:r w:rsidR="00284CE3">
          <w:rPr>
            <w:noProof/>
            <w:webHidden/>
          </w:rPr>
          <w:t>157</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70" w:history="1">
        <w:r w:rsidR="00F208B5" w:rsidRPr="002447E2">
          <w:rPr>
            <w:rStyle w:val="Hyperlink"/>
            <w:noProof/>
          </w:rPr>
          <w:t>6.6.2 Wind Forecasting and Dispatch</w:t>
        </w:r>
        <w:r w:rsidR="00F208B5">
          <w:rPr>
            <w:noProof/>
            <w:webHidden/>
          </w:rPr>
          <w:tab/>
        </w:r>
        <w:r>
          <w:rPr>
            <w:noProof/>
            <w:webHidden/>
          </w:rPr>
          <w:fldChar w:fldCharType="begin"/>
        </w:r>
        <w:r w:rsidR="00F208B5">
          <w:rPr>
            <w:noProof/>
            <w:webHidden/>
          </w:rPr>
          <w:instrText xml:space="preserve"> PAGEREF _Toc396807670 \h </w:instrText>
        </w:r>
        <w:r>
          <w:rPr>
            <w:noProof/>
            <w:webHidden/>
          </w:rPr>
        </w:r>
        <w:r>
          <w:rPr>
            <w:noProof/>
            <w:webHidden/>
          </w:rPr>
          <w:fldChar w:fldCharType="separate"/>
        </w:r>
        <w:r w:rsidR="00284CE3">
          <w:rPr>
            <w:noProof/>
            <w:webHidden/>
          </w:rPr>
          <w:t>157</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71" w:history="1">
        <w:r w:rsidR="00F208B5" w:rsidRPr="002447E2">
          <w:rPr>
            <w:rStyle w:val="Hyperlink"/>
            <w:noProof/>
          </w:rPr>
          <w:t>6.6.3 Strategic Transmission Analyses—Wind Integration Study</w:t>
        </w:r>
        <w:r w:rsidR="00F208B5">
          <w:rPr>
            <w:noProof/>
            <w:webHidden/>
          </w:rPr>
          <w:tab/>
        </w:r>
        <w:r>
          <w:rPr>
            <w:noProof/>
            <w:webHidden/>
          </w:rPr>
          <w:fldChar w:fldCharType="begin"/>
        </w:r>
        <w:r w:rsidR="00F208B5">
          <w:rPr>
            <w:noProof/>
            <w:webHidden/>
          </w:rPr>
          <w:instrText xml:space="preserve"> PAGEREF _Toc396807671 \h </w:instrText>
        </w:r>
        <w:r>
          <w:rPr>
            <w:noProof/>
            <w:webHidden/>
          </w:rPr>
        </w:r>
        <w:r>
          <w:rPr>
            <w:noProof/>
            <w:webHidden/>
          </w:rPr>
          <w:fldChar w:fldCharType="separate"/>
        </w:r>
        <w:r w:rsidR="00284CE3">
          <w:rPr>
            <w:noProof/>
            <w:webHidden/>
          </w:rPr>
          <w:t>158</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72" w:history="1">
        <w:r w:rsidR="00F208B5" w:rsidRPr="002447E2">
          <w:rPr>
            <w:rStyle w:val="Hyperlink"/>
          </w:rPr>
          <w:t>6.7 Large-Scale Adoption of Photovoltaic Resources and Other Distributed Generation Resources</w:t>
        </w:r>
        <w:r w:rsidR="00F208B5">
          <w:rPr>
            <w:webHidden/>
          </w:rPr>
          <w:tab/>
        </w:r>
        <w:r>
          <w:rPr>
            <w:webHidden/>
          </w:rPr>
          <w:fldChar w:fldCharType="begin"/>
        </w:r>
        <w:r w:rsidR="00F208B5">
          <w:rPr>
            <w:webHidden/>
          </w:rPr>
          <w:instrText xml:space="preserve"> PAGEREF _Toc396807672 \h </w:instrText>
        </w:r>
        <w:r>
          <w:rPr>
            <w:webHidden/>
          </w:rPr>
        </w:r>
        <w:r>
          <w:rPr>
            <w:webHidden/>
          </w:rPr>
          <w:fldChar w:fldCharType="separate"/>
        </w:r>
        <w:r w:rsidR="00284CE3">
          <w:rPr>
            <w:webHidden/>
          </w:rPr>
          <w:t>160</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73" w:history="1">
        <w:r w:rsidR="00F208B5" w:rsidRPr="002447E2">
          <w:rPr>
            <w:rStyle w:val="Hyperlink"/>
            <w:noProof/>
          </w:rPr>
          <w:t>6.7.1 Operational Solar Forecasting</w:t>
        </w:r>
        <w:r w:rsidR="00F208B5">
          <w:rPr>
            <w:noProof/>
            <w:webHidden/>
          </w:rPr>
          <w:tab/>
        </w:r>
        <w:r>
          <w:rPr>
            <w:noProof/>
            <w:webHidden/>
          </w:rPr>
          <w:fldChar w:fldCharType="begin"/>
        </w:r>
        <w:r w:rsidR="00F208B5">
          <w:rPr>
            <w:noProof/>
            <w:webHidden/>
          </w:rPr>
          <w:instrText xml:space="preserve"> PAGEREF _Toc396807673 \h </w:instrText>
        </w:r>
        <w:r>
          <w:rPr>
            <w:noProof/>
            <w:webHidden/>
          </w:rPr>
        </w:r>
        <w:r>
          <w:rPr>
            <w:noProof/>
            <w:webHidden/>
          </w:rPr>
          <w:fldChar w:fldCharType="separate"/>
        </w:r>
        <w:r w:rsidR="00284CE3">
          <w:rPr>
            <w:noProof/>
            <w:webHidden/>
          </w:rPr>
          <w:t>160</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74" w:history="1">
        <w:r w:rsidR="00F208B5" w:rsidRPr="002447E2">
          <w:rPr>
            <w:rStyle w:val="Hyperlink"/>
            <w:noProof/>
          </w:rPr>
          <w:t>6.7.2 PV and Long-Term Planning</w:t>
        </w:r>
        <w:r w:rsidR="00F208B5">
          <w:rPr>
            <w:noProof/>
            <w:webHidden/>
          </w:rPr>
          <w:tab/>
        </w:r>
        <w:r>
          <w:rPr>
            <w:noProof/>
            <w:webHidden/>
          </w:rPr>
          <w:fldChar w:fldCharType="begin"/>
        </w:r>
        <w:r w:rsidR="00F208B5">
          <w:rPr>
            <w:noProof/>
            <w:webHidden/>
          </w:rPr>
          <w:instrText xml:space="preserve"> PAGEREF _Toc396807674 \h </w:instrText>
        </w:r>
        <w:r>
          <w:rPr>
            <w:noProof/>
            <w:webHidden/>
          </w:rPr>
        </w:r>
        <w:r>
          <w:rPr>
            <w:noProof/>
            <w:webHidden/>
          </w:rPr>
          <w:fldChar w:fldCharType="separate"/>
        </w:r>
        <w:r w:rsidR="00284CE3">
          <w:rPr>
            <w:noProof/>
            <w:webHidden/>
          </w:rPr>
          <w:t>161</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75" w:history="1">
        <w:r w:rsidR="00F208B5" w:rsidRPr="002447E2">
          <w:rPr>
            <w:rStyle w:val="Hyperlink"/>
            <w:noProof/>
          </w:rPr>
          <w:t>6.7.3 Potential Reliability Impacts of PV</w:t>
        </w:r>
        <w:r w:rsidR="00F208B5">
          <w:rPr>
            <w:noProof/>
            <w:webHidden/>
          </w:rPr>
          <w:tab/>
        </w:r>
        <w:r>
          <w:rPr>
            <w:noProof/>
            <w:webHidden/>
          </w:rPr>
          <w:fldChar w:fldCharType="begin"/>
        </w:r>
        <w:r w:rsidR="00F208B5">
          <w:rPr>
            <w:noProof/>
            <w:webHidden/>
          </w:rPr>
          <w:instrText xml:space="preserve"> PAGEREF _Toc396807675 \h </w:instrText>
        </w:r>
        <w:r>
          <w:rPr>
            <w:noProof/>
            <w:webHidden/>
          </w:rPr>
        </w:r>
        <w:r>
          <w:rPr>
            <w:noProof/>
            <w:webHidden/>
          </w:rPr>
          <w:fldChar w:fldCharType="separate"/>
        </w:r>
        <w:r w:rsidR="00284CE3">
          <w:rPr>
            <w:noProof/>
            <w:webHidden/>
          </w:rPr>
          <w:t>161</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76" w:history="1">
        <w:r w:rsidR="00F208B5" w:rsidRPr="002447E2">
          <w:rPr>
            <w:rStyle w:val="Hyperlink"/>
          </w:rPr>
          <w:t>6.8 Economic Performance of the System and Other Studies</w:t>
        </w:r>
        <w:r w:rsidR="00F208B5">
          <w:rPr>
            <w:webHidden/>
          </w:rPr>
          <w:tab/>
        </w:r>
        <w:r>
          <w:rPr>
            <w:webHidden/>
          </w:rPr>
          <w:fldChar w:fldCharType="begin"/>
        </w:r>
        <w:r w:rsidR="00F208B5">
          <w:rPr>
            <w:webHidden/>
          </w:rPr>
          <w:instrText xml:space="preserve"> PAGEREF _Toc396807676 \h </w:instrText>
        </w:r>
        <w:r>
          <w:rPr>
            <w:webHidden/>
          </w:rPr>
        </w:r>
        <w:r>
          <w:rPr>
            <w:webHidden/>
          </w:rPr>
          <w:fldChar w:fldCharType="separate"/>
        </w:r>
        <w:r w:rsidR="00284CE3">
          <w:rPr>
            <w:webHidden/>
          </w:rPr>
          <w:t>162</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77" w:history="1">
        <w:r w:rsidR="00F208B5" w:rsidRPr="002447E2">
          <w:rPr>
            <w:rStyle w:val="Hyperlink"/>
            <w:noProof/>
          </w:rPr>
          <w:t>6.8.1 Economic Studies</w:t>
        </w:r>
        <w:r w:rsidR="00F208B5">
          <w:rPr>
            <w:noProof/>
            <w:webHidden/>
          </w:rPr>
          <w:tab/>
        </w:r>
        <w:r>
          <w:rPr>
            <w:noProof/>
            <w:webHidden/>
          </w:rPr>
          <w:fldChar w:fldCharType="begin"/>
        </w:r>
        <w:r w:rsidR="00F208B5">
          <w:rPr>
            <w:noProof/>
            <w:webHidden/>
          </w:rPr>
          <w:instrText xml:space="preserve"> PAGEREF _Toc396807677 \h </w:instrText>
        </w:r>
        <w:r>
          <w:rPr>
            <w:noProof/>
            <w:webHidden/>
          </w:rPr>
        </w:r>
        <w:r>
          <w:rPr>
            <w:noProof/>
            <w:webHidden/>
          </w:rPr>
          <w:fldChar w:fldCharType="separate"/>
        </w:r>
        <w:r w:rsidR="00284CE3">
          <w:rPr>
            <w:noProof/>
            <w:webHidden/>
          </w:rPr>
          <w:t>163</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78" w:history="1">
        <w:r w:rsidR="00F208B5" w:rsidRPr="002447E2">
          <w:rPr>
            <w:rStyle w:val="Hyperlink"/>
            <w:noProof/>
          </w:rPr>
          <w:t>6.8.2 Generic Capital Costs of New Supply Resources</w:t>
        </w:r>
        <w:r w:rsidR="00F208B5">
          <w:rPr>
            <w:noProof/>
            <w:webHidden/>
          </w:rPr>
          <w:tab/>
        </w:r>
        <w:r>
          <w:rPr>
            <w:noProof/>
            <w:webHidden/>
          </w:rPr>
          <w:fldChar w:fldCharType="begin"/>
        </w:r>
        <w:r w:rsidR="00F208B5">
          <w:rPr>
            <w:noProof/>
            <w:webHidden/>
          </w:rPr>
          <w:instrText xml:space="preserve"> PAGEREF _Toc396807678 \h </w:instrText>
        </w:r>
        <w:r>
          <w:rPr>
            <w:noProof/>
            <w:webHidden/>
          </w:rPr>
        </w:r>
        <w:r>
          <w:rPr>
            <w:noProof/>
            <w:webHidden/>
          </w:rPr>
          <w:fldChar w:fldCharType="separate"/>
        </w:r>
        <w:r w:rsidR="00284CE3">
          <w:rPr>
            <w:noProof/>
            <w:webHidden/>
          </w:rPr>
          <w:t>165</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79" w:history="1">
        <w:r w:rsidR="00F208B5" w:rsidRPr="002447E2">
          <w:rPr>
            <w:rStyle w:val="Hyperlink"/>
          </w:rPr>
          <w:t>6.9 Strategic Transmission Analyses—Generator Retirement Analysis</w:t>
        </w:r>
        <w:r w:rsidR="00F208B5">
          <w:rPr>
            <w:webHidden/>
          </w:rPr>
          <w:tab/>
        </w:r>
        <w:r>
          <w:rPr>
            <w:webHidden/>
          </w:rPr>
          <w:fldChar w:fldCharType="begin"/>
        </w:r>
        <w:r w:rsidR="00F208B5">
          <w:rPr>
            <w:webHidden/>
          </w:rPr>
          <w:instrText xml:space="preserve"> PAGEREF _Toc396807679 \h </w:instrText>
        </w:r>
        <w:r>
          <w:rPr>
            <w:webHidden/>
          </w:rPr>
        </w:r>
        <w:r>
          <w:rPr>
            <w:webHidden/>
          </w:rPr>
          <w:fldChar w:fldCharType="separate"/>
        </w:r>
        <w:r w:rsidR="00284CE3">
          <w:rPr>
            <w:webHidden/>
          </w:rPr>
          <w:t>166</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80" w:history="1">
        <w:r w:rsidR="00F208B5" w:rsidRPr="002447E2">
          <w:rPr>
            <w:rStyle w:val="Hyperlink"/>
          </w:rPr>
          <w:t>6.10 Analysis of Market-Resource Alternatives (MRAs) in Load Pockets</w:t>
        </w:r>
        <w:r w:rsidR="00F208B5">
          <w:rPr>
            <w:webHidden/>
          </w:rPr>
          <w:tab/>
        </w:r>
        <w:r>
          <w:rPr>
            <w:webHidden/>
          </w:rPr>
          <w:fldChar w:fldCharType="begin"/>
        </w:r>
        <w:r w:rsidR="00F208B5">
          <w:rPr>
            <w:webHidden/>
          </w:rPr>
          <w:instrText xml:space="preserve"> PAGEREF _Toc396807680 \h </w:instrText>
        </w:r>
        <w:r>
          <w:rPr>
            <w:webHidden/>
          </w:rPr>
        </w:r>
        <w:r>
          <w:rPr>
            <w:webHidden/>
          </w:rPr>
          <w:fldChar w:fldCharType="separate"/>
        </w:r>
        <w:r w:rsidR="00284CE3">
          <w:rPr>
            <w:webHidden/>
          </w:rPr>
          <w:t>167</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81" w:history="1">
        <w:r w:rsidR="00F208B5" w:rsidRPr="002447E2">
          <w:rPr>
            <w:rStyle w:val="Hyperlink"/>
          </w:rPr>
          <w:t>6.11 Summary</w:t>
        </w:r>
        <w:r w:rsidR="00F208B5">
          <w:rPr>
            <w:webHidden/>
          </w:rPr>
          <w:tab/>
        </w:r>
        <w:r>
          <w:rPr>
            <w:webHidden/>
          </w:rPr>
          <w:fldChar w:fldCharType="begin"/>
        </w:r>
        <w:r w:rsidR="00F208B5">
          <w:rPr>
            <w:webHidden/>
          </w:rPr>
          <w:instrText xml:space="preserve"> PAGEREF _Toc396807681 \h </w:instrText>
        </w:r>
        <w:r>
          <w:rPr>
            <w:webHidden/>
          </w:rPr>
        </w:r>
        <w:r>
          <w:rPr>
            <w:webHidden/>
          </w:rPr>
          <w:fldChar w:fldCharType="separate"/>
        </w:r>
        <w:r w:rsidR="00284CE3">
          <w:rPr>
            <w:webHidden/>
          </w:rPr>
          <w:t>168</w:t>
        </w:r>
        <w:r>
          <w:rPr>
            <w:webHidden/>
          </w:rPr>
          <w:fldChar w:fldCharType="end"/>
        </w:r>
      </w:hyperlink>
    </w:p>
    <w:p w:rsidR="00F208B5" w:rsidRDefault="00927965">
      <w:pPr>
        <w:pStyle w:val="TOC1"/>
        <w:rPr>
          <w:rFonts w:eastAsiaTheme="minorEastAsia" w:cstheme="minorBidi"/>
          <w:b w:val="0"/>
          <w:sz w:val="22"/>
          <w:szCs w:val="22"/>
        </w:rPr>
      </w:pPr>
      <w:hyperlink w:anchor="_Toc396807682" w:history="1">
        <w:r w:rsidR="00F208B5" w:rsidRPr="002447E2">
          <w:rPr>
            <w:rStyle w:val="Hyperlink"/>
          </w:rPr>
          <w:t>Section 7</w:t>
        </w:r>
        <w:r w:rsidR="00F208B5">
          <w:rPr>
            <w:rStyle w:val="Hyperlink"/>
          </w:rPr>
          <w:br/>
        </w:r>
        <w:r w:rsidR="00F208B5" w:rsidRPr="002447E2">
          <w:rPr>
            <w:rStyle w:val="Hyperlink"/>
          </w:rPr>
          <w:t>Planning Coordination, Studies, and Initiatives</w:t>
        </w:r>
        <w:r w:rsidR="00F208B5">
          <w:rPr>
            <w:webHidden/>
          </w:rPr>
          <w:tab/>
        </w:r>
        <w:r>
          <w:rPr>
            <w:webHidden/>
          </w:rPr>
          <w:fldChar w:fldCharType="begin"/>
        </w:r>
        <w:r w:rsidR="00F208B5">
          <w:rPr>
            <w:webHidden/>
          </w:rPr>
          <w:instrText xml:space="preserve"> PAGEREF _Toc396807682 \h </w:instrText>
        </w:r>
        <w:r>
          <w:rPr>
            <w:webHidden/>
          </w:rPr>
        </w:r>
        <w:r>
          <w:rPr>
            <w:webHidden/>
          </w:rPr>
          <w:fldChar w:fldCharType="separate"/>
        </w:r>
        <w:r w:rsidR="00284CE3">
          <w:rPr>
            <w:webHidden/>
          </w:rPr>
          <w:t>170</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83" w:history="1">
        <w:r w:rsidR="00F208B5" w:rsidRPr="002447E2">
          <w:rPr>
            <w:rStyle w:val="Hyperlink"/>
          </w:rPr>
          <w:t>7.1 Interregional Coordination and Initiatives</w:t>
        </w:r>
        <w:r w:rsidR="00F208B5">
          <w:rPr>
            <w:webHidden/>
          </w:rPr>
          <w:tab/>
        </w:r>
        <w:r>
          <w:rPr>
            <w:webHidden/>
          </w:rPr>
          <w:fldChar w:fldCharType="begin"/>
        </w:r>
        <w:r w:rsidR="00F208B5">
          <w:rPr>
            <w:webHidden/>
          </w:rPr>
          <w:instrText xml:space="preserve"> PAGEREF _Toc396807683 \h </w:instrText>
        </w:r>
        <w:r>
          <w:rPr>
            <w:webHidden/>
          </w:rPr>
        </w:r>
        <w:r>
          <w:rPr>
            <w:webHidden/>
          </w:rPr>
          <w:fldChar w:fldCharType="separate"/>
        </w:r>
        <w:r w:rsidR="00284CE3">
          <w:rPr>
            <w:webHidden/>
          </w:rPr>
          <w:t>170</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84" w:history="1">
        <w:r w:rsidR="00F208B5" w:rsidRPr="002447E2">
          <w:rPr>
            <w:rStyle w:val="Hyperlink"/>
            <w:noProof/>
          </w:rPr>
          <w:t>7.1.1 Eastern Interconnection Planning Collaborative Studies of the Eastern Interconnection</w:t>
        </w:r>
        <w:r w:rsidR="00F208B5">
          <w:rPr>
            <w:noProof/>
            <w:webHidden/>
          </w:rPr>
          <w:tab/>
        </w:r>
        <w:r>
          <w:rPr>
            <w:noProof/>
            <w:webHidden/>
          </w:rPr>
          <w:fldChar w:fldCharType="begin"/>
        </w:r>
        <w:r w:rsidR="00F208B5">
          <w:rPr>
            <w:noProof/>
            <w:webHidden/>
          </w:rPr>
          <w:instrText xml:space="preserve"> PAGEREF _Toc396807684 \h </w:instrText>
        </w:r>
        <w:r>
          <w:rPr>
            <w:noProof/>
            <w:webHidden/>
          </w:rPr>
        </w:r>
        <w:r>
          <w:rPr>
            <w:noProof/>
            <w:webHidden/>
          </w:rPr>
          <w:fldChar w:fldCharType="separate"/>
        </w:r>
        <w:r w:rsidR="00284CE3">
          <w:rPr>
            <w:noProof/>
            <w:webHidden/>
          </w:rPr>
          <w:t>170</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85" w:history="1">
        <w:r w:rsidR="00F208B5" w:rsidRPr="002447E2">
          <w:rPr>
            <w:rStyle w:val="Hyperlink"/>
            <w:noProof/>
          </w:rPr>
          <w:t>7.1.2 Electric Reliability Organization Overview</w:t>
        </w:r>
        <w:r w:rsidR="00F208B5">
          <w:rPr>
            <w:noProof/>
            <w:webHidden/>
          </w:rPr>
          <w:tab/>
        </w:r>
        <w:r>
          <w:rPr>
            <w:noProof/>
            <w:webHidden/>
          </w:rPr>
          <w:fldChar w:fldCharType="begin"/>
        </w:r>
        <w:r w:rsidR="00F208B5">
          <w:rPr>
            <w:noProof/>
            <w:webHidden/>
          </w:rPr>
          <w:instrText xml:space="preserve"> PAGEREF _Toc396807685 \h </w:instrText>
        </w:r>
        <w:r>
          <w:rPr>
            <w:noProof/>
            <w:webHidden/>
          </w:rPr>
        </w:r>
        <w:r>
          <w:rPr>
            <w:noProof/>
            <w:webHidden/>
          </w:rPr>
          <w:fldChar w:fldCharType="separate"/>
        </w:r>
        <w:r w:rsidR="00284CE3">
          <w:rPr>
            <w:noProof/>
            <w:webHidden/>
          </w:rPr>
          <w:t>171</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86" w:history="1">
        <w:r w:rsidR="00F208B5" w:rsidRPr="002447E2">
          <w:rPr>
            <w:rStyle w:val="Hyperlink"/>
            <w:noProof/>
          </w:rPr>
          <w:t>7.1.3 IRC Activities</w:t>
        </w:r>
        <w:r w:rsidR="00F208B5">
          <w:rPr>
            <w:noProof/>
            <w:webHidden/>
          </w:rPr>
          <w:tab/>
        </w:r>
        <w:r>
          <w:rPr>
            <w:noProof/>
            <w:webHidden/>
          </w:rPr>
          <w:fldChar w:fldCharType="begin"/>
        </w:r>
        <w:r w:rsidR="00F208B5">
          <w:rPr>
            <w:noProof/>
            <w:webHidden/>
          </w:rPr>
          <w:instrText xml:space="preserve"> PAGEREF _Toc396807686 \h </w:instrText>
        </w:r>
        <w:r>
          <w:rPr>
            <w:noProof/>
            <w:webHidden/>
          </w:rPr>
        </w:r>
        <w:r>
          <w:rPr>
            <w:noProof/>
            <w:webHidden/>
          </w:rPr>
          <w:fldChar w:fldCharType="separate"/>
        </w:r>
        <w:r w:rsidR="00284CE3">
          <w:rPr>
            <w:noProof/>
            <w:webHidden/>
          </w:rPr>
          <w:t>172</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87" w:history="1">
        <w:r w:rsidR="00F208B5" w:rsidRPr="002447E2">
          <w:rPr>
            <w:rStyle w:val="Hyperlink"/>
            <w:noProof/>
          </w:rPr>
          <w:t>7.1.4 Northeast Power Coordinating Council Studies and Activities</w:t>
        </w:r>
        <w:r w:rsidR="00F208B5">
          <w:rPr>
            <w:noProof/>
            <w:webHidden/>
          </w:rPr>
          <w:tab/>
        </w:r>
        <w:r>
          <w:rPr>
            <w:noProof/>
            <w:webHidden/>
          </w:rPr>
          <w:fldChar w:fldCharType="begin"/>
        </w:r>
        <w:r w:rsidR="00F208B5">
          <w:rPr>
            <w:noProof/>
            <w:webHidden/>
          </w:rPr>
          <w:instrText xml:space="preserve"> PAGEREF _Toc396807687 \h </w:instrText>
        </w:r>
        <w:r>
          <w:rPr>
            <w:noProof/>
            <w:webHidden/>
          </w:rPr>
        </w:r>
        <w:r>
          <w:rPr>
            <w:noProof/>
            <w:webHidden/>
          </w:rPr>
          <w:fldChar w:fldCharType="separate"/>
        </w:r>
        <w:r w:rsidR="00284CE3">
          <w:rPr>
            <w:noProof/>
            <w:webHidden/>
          </w:rPr>
          <w:t>172</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88" w:history="1">
        <w:r w:rsidR="00F208B5" w:rsidRPr="002447E2">
          <w:rPr>
            <w:rStyle w:val="Hyperlink"/>
            <w:noProof/>
          </w:rPr>
          <w:t>7.1.5 Northeastern ISO/RTO Planning Coordination Protocol</w:t>
        </w:r>
        <w:r w:rsidR="00F208B5">
          <w:rPr>
            <w:noProof/>
            <w:webHidden/>
          </w:rPr>
          <w:tab/>
        </w:r>
        <w:r>
          <w:rPr>
            <w:noProof/>
            <w:webHidden/>
          </w:rPr>
          <w:fldChar w:fldCharType="begin"/>
        </w:r>
        <w:r w:rsidR="00F208B5">
          <w:rPr>
            <w:noProof/>
            <w:webHidden/>
          </w:rPr>
          <w:instrText xml:space="preserve"> PAGEREF _Toc396807688 \h </w:instrText>
        </w:r>
        <w:r>
          <w:rPr>
            <w:noProof/>
            <w:webHidden/>
          </w:rPr>
        </w:r>
        <w:r>
          <w:rPr>
            <w:noProof/>
            <w:webHidden/>
          </w:rPr>
          <w:fldChar w:fldCharType="separate"/>
        </w:r>
        <w:r w:rsidR="00284CE3">
          <w:rPr>
            <w:noProof/>
            <w:webHidden/>
          </w:rPr>
          <w:t>173</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89" w:history="1">
        <w:r w:rsidR="00F208B5" w:rsidRPr="002447E2">
          <w:rPr>
            <w:rStyle w:val="Hyperlink"/>
            <w:noProof/>
          </w:rPr>
          <w:t>7.1.6 Interregional Transfers</w:t>
        </w:r>
        <w:r w:rsidR="00F208B5">
          <w:rPr>
            <w:noProof/>
            <w:webHidden/>
          </w:rPr>
          <w:tab/>
        </w:r>
        <w:r>
          <w:rPr>
            <w:noProof/>
            <w:webHidden/>
          </w:rPr>
          <w:fldChar w:fldCharType="begin"/>
        </w:r>
        <w:r w:rsidR="00F208B5">
          <w:rPr>
            <w:noProof/>
            <w:webHidden/>
          </w:rPr>
          <w:instrText xml:space="preserve"> PAGEREF _Toc396807689 \h </w:instrText>
        </w:r>
        <w:r>
          <w:rPr>
            <w:noProof/>
            <w:webHidden/>
          </w:rPr>
        </w:r>
        <w:r>
          <w:rPr>
            <w:noProof/>
            <w:webHidden/>
          </w:rPr>
          <w:fldChar w:fldCharType="separate"/>
        </w:r>
        <w:r w:rsidR="00284CE3">
          <w:rPr>
            <w:noProof/>
            <w:webHidden/>
          </w:rPr>
          <w:t>174</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90" w:history="1">
        <w:r w:rsidR="00F208B5" w:rsidRPr="002447E2">
          <w:rPr>
            <w:rStyle w:val="Hyperlink"/>
          </w:rPr>
          <w:t>7.2 Federal Initiatives</w:t>
        </w:r>
        <w:r w:rsidR="00F208B5">
          <w:rPr>
            <w:webHidden/>
          </w:rPr>
          <w:tab/>
        </w:r>
        <w:r>
          <w:rPr>
            <w:webHidden/>
          </w:rPr>
          <w:fldChar w:fldCharType="begin"/>
        </w:r>
        <w:r w:rsidR="00F208B5">
          <w:rPr>
            <w:webHidden/>
          </w:rPr>
          <w:instrText xml:space="preserve"> PAGEREF _Toc396807690 \h </w:instrText>
        </w:r>
        <w:r>
          <w:rPr>
            <w:webHidden/>
          </w:rPr>
        </w:r>
        <w:r>
          <w:rPr>
            <w:webHidden/>
          </w:rPr>
          <w:fldChar w:fldCharType="separate"/>
        </w:r>
        <w:r w:rsidR="00284CE3">
          <w:rPr>
            <w:webHidden/>
          </w:rPr>
          <w:t>175</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91" w:history="1">
        <w:r w:rsidR="00F208B5" w:rsidRPr="002447E2">
          <w:rPr>
            <w:rStyle w:val="Hyperlink"/>
            <w:noProof/>
          </w:rPr>
          <w:t>7.2.1 FERC Order No. 1000</w:t>
        </w:r>
        <w:r w:rsidR="00F208B5">
          <w:rPr>
            <w:noProof/>
            <w:webHidden/>
          </w:rPr>
          <w:tab/>
        </w:r>
        <w:r>
          <w:rPr>
            <w:noProof/>
            <w:webHidden/>
          </w:rPr>
          <w:fldChar w:fldCharType="begin"/>
        </w:r>
        <w:r w:rsidR="00F208B5">
          <w:rPr>
            <w:noProof/>
            <w:webHidden/>
          </w:rPr>
          <w:instrText xml:space="preserve"> PAGEREF _Toc396807691 \h </w:instrText>
        </w:r>
        <w:r>
          <w:rPr>
            <w:noProof/>
            <w:webHidden/>
          </w:rPr>
        </w:r>
        <w:r>
          <w:rPr>
            <w:noProof/>
            <w:webHidden/>
          </w:rPr>
          <w:fldChar w:fldCharType="separate"/>
        </w:r>
        <w:r w:rsidR="00284CE3">
          <w:rPr>
            <w:noProof/>
            <w:webHidden/>
          </w:rPr>
          <w:t>175</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92" w:history="1">
        <w:r w:rsidR="00F208B5" w:rsidRPr="002447E2">
          <w:rPr>
            <w:rStyle w:val="Hyperlink"/>
            <w:noProof/>
          </w:rPr>
          <w:t>7.2.2 US Department of Energy Congestion Studies</w:t>
        </w:r>
        <w:r w:rsidR="00F208B5">
          <w:rPr>
            <w:noProof/>
            <w:webHidden/>
          </w:rPr>
          <w:tab/>
        </w:r>
        <w:r>
          <w:rPr>
            <w:noProof/>
            <w:webHidden/>
          </w:rPr>
          <w:fldChar w:fldCharType="begin"/>
        </w:r>
        <w:r w:rsidR="00F208B5">
          <w:rPr>
            <w:noProof/>
            <w:webHidden/>
          </w:rPr>
          <w:instrText xml:space="preserve"> PAGEREF _Toc396807692 \h </w:instrText>
        </w:r>
        <w:r>
          <w:rPr>
            <w:noProof/>
            <w:webHidden/>
          </w:rPr>
        </w:r>
        <w:r>
          <w:rPr>
            <w:noProof/>
            <w:webHidden/>
          </w:rPr>
          <w:fldChar w:fldCharType="separate"/>
        </w:r>
        <w:r w:rsidR="00284CE3">
          <w:rPr>
            <w:noProof/>
            <w:webHidden/>
          </w:rPr>
          <w:t>175</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93" w:history="1">
        <w:r w:rsidR="00F208B5" w:rsidRPr="002447E2">
          <w:rPr>
            <w:rStyle w:val="Hyperlink"/>
            <w:noProof/>
          </w:rPr>
          <w:t>7.2.3 Quadrennial Energy Review</w:t>
        </w:r>
        <w:r w:rsidR="00F208B5">
          <w:rPr>
            <w:noProof/>
            <w:webHidden/>
          </w:rPr>
          <w:tab/>
        </w:r>
        <w:r>
          <w:rPr>
            <w:noProof/>
            <w:webHidden/>
          </w:rPr>
          <w:fldChar w:fldCharType="begin"/>
        </w:r>
        <w:r w:rsidR="00F208B5">
          <w:rPr>
            <w:noProof/>
            <w:webHidden/>
          </w:rPr>
          <w:instrText xml:space="preserve"> PAGEREF _Toc396807693 \h </w:instrText>
        </w:r>
        <w:r>
          <w:rPr>
            <w:noProof/>
            <w:webHidden/>
          </w:rPr>
        </w:r>
        <w:r>
          <w:rPr>
            <w:noProof/>
            <w:webHidden/>
          </w:rPr>
          <w:fldChar w:fldCharType="separate"/>
        </w:r>
        <w:r w:rsidR="00284CE3">
          <w:rPr>
            <w:noProof/>
            <w:webHidden/>
          </w:rPr>
          <w:t>176</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94" w:history="1">
        <w:r w:rsidR="00F208B5" w:rsidRPr="002447E2">
          <w:rPr>
            <w:rStyle w:val="Hyperlink"/>
            <w:noProof/>
          </w:rPr>
          <w:t>7.2.4 Executive Orders on Cybersecurity</w:t>
        </w:r>
        <w:r w:rsidR="00F208B5">
          <w:rPr>
            <w:noProof/>
            <w:webHidden/>
          </w:rPr>
          <w:tab/>
        </w:r>
        <w:r>
          <w:rPr>
            <w:noProof/>
            <w:webHidden/>
          </w:rPr>
          <w:fldChar w:fldCharType="begin"/>
        </w:r>
        <w:r w:rsidR="00F208B5">
          <w:rPr>
            <w:noProof/>
            <w:webHidden/>
          </w:rPr>
          <w:instrText xml:space="preserve"> PAGEREF _Toc396807694 \h </w:instrText>
        </w:r>
        <w:r>
          <w:rPr>
            <w:noProof/>
            <w:webHidden/>
          </w:rPr>
        </w:r>
        <w:r>
          <w:rPr>
            <w:noProof/>
            <w:webHidden/>
          </w:rPr>
          <w:fldChar w:fldCharType="separate"/>
        </w:r>
        <w:r w:rsidR="00284CE3">
          <w:rPr>
            <w:noProof/>
            <w:webHidden/>
          </w:rPr>
          <w:t>177</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95" w:history="1">
        <w:r w:rsidR="00F208B5" w:rsidRPr="002447E2">
          <w:rPr>
            <w:rStyle w:val="Hyperlink"/>
            <w:noProof/>
          </w:rPr>
          <w:t>7.2.5 FERC Directive on Physical Security</w:t>
        </w:r>
        <w:r w:rsidR="00F208B5">
          <w:rPr>
            <w:noProof/>
            <w:webHidden/>
          </w:rPr>
          <w:tab/>
        </w:r>
        <w:r>
          <w:rPr>
            <w:noProof/>
            <w:webHidden/>
          </w:rPr>
          <w:fldChar w:fldCharType="begin"/>
        </w:r>
        <w:r w:rsidR="00F208B5">
          <w:rPr>
            <w:noProof/>
            <w:webHidden/>
          </w:rPr>
          <w:instrText xml:space="preserve"> PAGEREF _Toc396807695 \h </w:instrText>
        </w:r>
        <w:r>
          <w:rPr>
            <w:noProof/>
            <w:webHidden/>
          </w:rPr>
        </w:r>
        <w:r>
          <w:rPr>
            <w:noProof/>
            <w:webHidden/>
          </w:rPr>
          <w:fldChar w:fldCharType="separate"/>
        </w:r>
        <w:r w:rsidR="00284CE3">
          <w:rPr>
            <w:noProof/>
            <w:webHidden/>
          </w:rPr>
          <w:t>177</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96" w:history="1">
        <w:r w:rsidR="00F208B5" w:rsidRPr="002447E2">
          <w:rPr>
            <w:rStyle w:val="Hyperlink"/>
          </w:rPr>
          <w:t>7.3 Regional Initiatives</w:t>
        </w:r>
        <w:r w:rsidR="00F208B5">
          <w:rPr>
            <w:webHidden/>
          </w:rPr>
          <w:tab/>
        </w:r>
        <w:r>
          <w:rPr>
            <w:webHidden/>
          </w:rPr>
          <w:fldChar w:fldCharType="begin"/>
        </w:r>
        <w:r w:rsidR="00F208B5">
          <w:rPr>
            <w:webHidden/>
          </w:rPr>
          <w:instrText xml:space="preserve"> PAGEREF _Toc396807696 \h </w:instrText>
        </w:r>
        <w:r>
          <w:rPr>
            <w:webHidden/>
          </w:rPr>
        </w:r>
        <w:r>
          <w:rPr>
            <w:webHidden/>
          </w:rPr>
          <w:fldChar w:fldCharType="separate"/>
        </w:r>
        <w:r w:rsidR="00284CE3">
          <w:rPr>
            <w:webHidden/>
          </w:rPr>
          <w:t>177</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97" w:history="1">
        <w:r w:rsidR="00F208B5" w:rsidRPr="002447E2">
          <w:rPr>
            <w:rStyle w:val="Hyperlink"/>
            <w:noProof/>
          </w:rPr>
          <w:t>7.3.1 Coordination among the New England States</w:t>
        </w:r>
        <w:r w:rsidR="00F208B5">
          <w:rPr>
            <w:noProof/>
            <w:webHidden/>
          </w:rPr>
          <w:tab/>
        </w:r>
        <w:r>
          <w:rPr>
            <w:noProof/>
            <w:webHidden/>
          </w:rPr>
          <w:fldChar w:fldCharType="begin"/>
        </w:r>
        <w:r w:rsidR="00F208B5">
          <w:rPr>
            <w:noProof/>
            <w:webHidden/>
          </w:rPr>
          <w:instrText xml:space="preserve"> PAGEREF _Toc396807697 \h </w:instrText>
        </w:r>
        <w:r>
          <w:rPr>
            <w:noProof/>
            <w:webHidden/>
          </w:rPr>
        </w:r>
        <w:r>
          <w:rPr>
            <w:noProof/>
            <w:webHidden/>
          </w:rPr>
          <w:fldChar w:fldCharType="separate"/>
        </w:r>
        <w:r w:rsidR="00284CE3">
          <w:rPr>
            <w:noProof/>
            <w:webHidden/>
          </w:rPr>
          <w:t>177</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698" w:history="1">
        <w:r w:rsidR="00F208B5" w:rsidRPr="002447E2">
          <w:rPr>
            <w:rStyle w:val="Hyperlink"/>
            <w:noProof/>
          </w:rPr>
          <w:t>7.3.2 Consumer Liaison Group</w:t>
        </w:r>
        <w:r w:rsidR="00F208B5">
          <w:rPr>
            <w:noProof/>
            <w:webHidden/>
          </w:rPr>
          <w:tab/>
        </w:r>
        <w:r>
          <w:rPr>
            <w:noProof/>
            <w:webHidden/>
          </w:rPr>
          <w:fldChar w:fldCharType="begin"/>
        </w:r>
        <w:r w:rsidR="00F208B5">
          <w:rPr>
            <w:noProof/>
            <w:webHidden/>
          </w:rPr>
          <w:instrText xml:space="preserve"> PAGEREF _Toc396807698 \h </w:instrText>
        </w:r>
        <w:r>
          <w:rPr>
            <w:noProof/>
            <w:webHidden/>
          </w:rPr>
        </w:r>
        <w:r>
          <w:rPr>
            <w:noProof/>
            <w:webHidden/>
          </w:rPr>
          <w:fldChar w:fldCharType="separate"/>
        </w:r>
        <w:r w:rsidR="00284CE3">
          <w:rPr>
            <w:noProof/>
            <w:webHidden/>
          </w:rPr>
          <w:t>178</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699" w:history="1">
        <w:r w:rsidR="00F208B5" w:rsidRPr="002447E2">
          <w:rPr>
            <w:rStyle w:val="Hyperlink"/>
          </w:rPr>
          <w:t>7.4 ISO Initiatives</w:t>
        </w:r>
        <w:r w:rsidR="00F208B5">
          <w:rPr>
            <w:webHidden/>
          </w:rPr>
          <w:tab/>
        </w:r>
        <w:r>
          <w:rPr>
            <w:webHidden/>
          </w:rPr>
          <w:fldChar w:fldCharType="begin"/>
        </w:r>
        <w:r w:rsidR="00F208B5">
          <w:rPr>
            <w:webHidden/>
          </w:rPr>
          <w:instrText xml:space="preserve"> PAGEREF _Toc396807699 \h </w:instrText>
        </w:r>
        <w:r>
          <w:rPr>
            <w:webHidden/>
          </w:rPr>
        </w:r>
        <w:r>
          <w:rPr>
            <w:webHidden/>
          </w:rPr>
          <w:fldChar w:fldCharType="separate"/>
        </w:r>
        <w:r w:rsidR="00284CE3">
          <w:rPr>
            <w:webHidden/>
          </w:rPr>
          <w:t>179</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0" w:history="1">
        <w:r w:rsidR="00F208B5" w:rsidRPr="002447E2">
          <w:rPr>
            <w:rStyle w:val="Hyperlink"/>
            <w:noProof/>
          </w:rPr>
          <w:t>7.4.1 Improving the Wholesale Electric</w:t>
        </w:r>
        <w:r w:rsidR="00341FB6">
          <w:rPr>
            <w:rStyle w:val="Hyperlink"/>
            <w:noProof/>
          </w:rPr>
          <w:t>ity</w:t>
        </w:r>
        <w:r w:rsidR="00F208B5" w:rsidRPr="002447E2">
          <w:rPr>
            <w:rStyle w:val="Hyperlink"/>
            <w:noProof/>
          </w:rPr>
          <w:t xml:space="preserve"> Markets</w:t>
        </w:r>
        <w:r w:rsidR="00F208B5">
          <w:rPr>
            <w:noProof/>
            <w:webHidden/>
          </w:rPr>
          <w:tab/>
        </w:r>
        <w:r>
          <w:rPr>
            <w:noProof/>
            <w:webHidden/>
          </w:rPr>
          <w:fldChar w:fldCharType="begin"/>
        </w:r>
        <w:r w:rsidR="00F208B5">
          <w:rPr>
            <w:noProof/>
            <w:webHidden/>
          </w:rPr>
          <w:instrText xml:space="preserve"> PAGEREF _Toc396807700 \h </w:instrText>
        </w:r>
        <w:r>
          <w:rPr>
            <w:noProof/>
            <w:webHidden/>
          </w:rPr>
        </w:r>
        <w:r>
          <w:rPr>
            <w:noProof/>
            <w:webHidden/>
          </w:rPr>
          <w:fldChar w:fldCharType="separate"/>
        </w:r>
        <w:r w:rsidR="00284CE3">
          <w:rPr>
            <w:noProof/>
            <w:webHidden/>
          </w:rPr>
          <w:t>179</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1" w:history="1">
        <w:r w:rsidR="00F208B5" w:rsidRPr="002447E2">
          <w:rPr>
            <w:rStyle w:val="Hyperlink"/>
            <w:noProof/>
          </w:rPr>
          <w:t>7.4.2 Updates on Developing and Integrating Smart Grid and Other New Technologies</w:t>
        </w:r>
        <w:r w:rsidR="00F208B5">
          <w:rPr>
            <w:noProof/>
            <w:webHidden/>
          </w:rPr>
          <w:tab/>
        </w:r>
        <w:r>
          <w:rPr>
            <w:noProof/>
            <w:webHidden/>
          </w:rPr>
          <w:fldChar w:fldCharType="begin"/>
        </w:r>
        <w:r w:rsidR="00F208B5">
          <w:rPr>
            <w:noProof/>
            <w:webHidden/>
          </w:rPr>
          <w:instrText xml:space="preserve"> PAGEREF _Toc396807701 \h </w:instrText>
        </w:r>
        <w:r>
          <w:rPr>
            <w:noProof/>
            <w:webHidden/>
          </w:rPr>
        </w:r>
        <w:r>
          <w:rPr>
            <w:noProof/>
            <w:webHidden/>
          </w:rPr>
          <w:fldChar w:fldCharType="separate"/>
        </w:r>
        <w:r w:rsidR="00284CE3">
          <w:rPr>
            <w:noProof/>
            <w:webHidden/>
          </w:rPr>
          <w:t>179</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2" w:history="1">
        <w:r w:rsidR="00F208B5" w:rsidRPr="002447E2">
          <w:rPr>
            <w:rStyle w:val="Hyperlink"/>
            <w:noProof/>
          </w:rPr>
          <w:t>7.4.3 Draft Transmission Planning Process Guide and Draft Transmission Planning Technical Guide</w:t>
        </w:r>
        <w:r w:rsidR="00F208B5">
          <w:rPr>
            <w:noProof/>
            <w:webHidden/>
          </w:rPr>
          <w:tab/>
        </w:r>
        <w:r>
          <w:rPr>
            <w:noProof/>
            <w:webHidden/>
          </w:rPr>
          <w:fldChar w:fldCharType="begin"/>
        </w:r>
        <w:r w:rsidR="00F208B5">
          <w:rPr>
            <w:noProof/>
            <w:webHidden/>
          </w:rPr>
          <w:instrText xml:space="preserve"> PAGEREF _Toc396807702 \h </w:instrText>
        </w:r>
        <w:r>
          <w:rPr>
            <w:noProof/>
            <w:webHidden/>
          </w:rPr>
        </w:r>
        <w:r>
          <w:rPr>
            <w:noProof/>
            <w:webHidden/>
          </w:rPr>
          <w:fldChar w:fldCharType="separate"/>
        </w:r>
        <w:r w:rsidR="00284CE3">
          <w:rPr>
            <w:noProof/>
            <w:webHidden/>
          </w:rPr>
          <w:t>182</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03" w:history="1">
        <w:r w:rsidR="00F208B5" w:rsidRPr="002447E2">
          <w:rPr>
            <w:rStyle w:val="Hyperlink"/>
          </w:rPr>
          <w:t>7.5 State Initiatives, Activities, and Policies</w:t>
        </w:r>
        <w:r w:rsidR="00F208B5">
          <w:rPr>
            <w:webHidden/>
          </w:rPr>
          <w:tab/>
        </w:r>
        <w:r>
          <w:rPr>
            <w:webHidden/>
          </w:rPr>
          <w:fldChar w:fldCharType="begin"/>
        </w:r>
        <w:r w:rsidR="00F208B5">
          <w:rPr>
            <w:webHidden/>
          </w:rPr>
          <w:instrText xml:space="preserve"> PAGEREF _Toc396807703 \h </w:instrText>
        </w:r>
        <w:r>
          <w:rPr>
            <w:webHidden/>
          </w:rPr>
        </w:r>
        <w:r>
          <w:rPr>
            <w:webHidden/>
          </w:rPr>
          <w:fldChar w:fldCharType="separate"/>
        </w:r>
        <w:r w:rsidR="00284CE3">
          <w:rPr>
            <w:webHidden/>
          </w:rPr>
          <w:t>183</w:t>
        </w:r>
        <w:r>
          <w:rPr>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4" w:history="1">
        <w:r w:rsidR="00F208B5" w:rsidRPr="002447E2">
          <w:rPr>
            <w:rStyle w:val="Hyperlink"/>
            <w:noProof/>
          </w:rPr>
          <w:t>7.5.1 Connecticut</w:t>
        </w:r>
        <w:r w:rsidR="00F208B5">
          <w:rPr>
            <w:noProof/>
            <w:webHidden/>
          </w:rPr>
          <w:tab/>
        </w:r>
        <w:r>
          <w:rPr>
            <w:noProof/>
            <w:webHidden/>
          </w:rPr>
          <w:fldChar w:fldCharType="begin"/>
        </w:r>
        <w:r w:rsidR="00F208B5">
          <w:rPr>
            <w:noProof/>
            <w:webHidden/>
          </w:rPr>
          <w:instrText xml:space="preserve"> PAGEREF _Toc396807704 \h </w:instrText>
        </w:r>
        <w:r>
          <w:rPr>
            <w:noProof/>
            <w:webHidden/>
          </w:rPr>
        </w:r>
        <w:r>
          <w:rPr>
            <w:noProof/>
            <w:webHidden/>
          </w:rPr>
          <w:fldChar w:fldCharType="separate"/>
        </w:r>
        <w:r w:rsidR="00284CE3">
          <w:rPr>
            <w:noProof/>
            <w:webHidden/>
          </w:rPr>
          <w:t>183</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5" w:history="1">
        <w:r w:rsidR="00F208B5" w:rsidRPr="002447E2">
          <w:rPr>
            <w:rStyle w:val="Hyperlink"/>
            <w:noProof/>
          </w:rPr>
          <w:t>7.5.2 Maine</w:t>
        </w:r>
        <w:r w:rsidR="00F208B5">
          <w:rPr>
            <w:noProof/>
            <w:webHidden/>
          </w:rPr>
          <w:tab/>
        </w:r>
        <w:r>
          <w:rPr>
            <w:noProof/>
            <w:webHidden/>
          </w:rPr>
          <w:fldChar w:fldCharType="begin"/>
        </w:r>
        <w:r w:rsidR="00F208B5">
          <w:rPr>
            <w:noProof/>
            <w:webHidden/>
          </w:rPr>
          <w:instrText xml:space="preserve"> PAGEREF _Toc396807705 \h </w:instrText>
        </w:r>
        <w:r>
          <w:rPr>
            <w:noProof/>
            <w:webHidden/>
          </w:rPr>
        </w:r>
        <w:r>
          <w:rPr>
            <w:noProof/>
            <w:webHidden/>
          </w:rPr>
          <w:fldChar w:fldCharType="separate"/>
        </w:r>
        <w:r w:rsidR="00284CE3">
          <w:rPr>
            <w:noProof/>
            <w:webHidden/>
          </w:rPr>
          <w:t>184</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6" w:history="1">
        <w:r w:rsidR="00F208B5" w:rsidRPr="002447E2">
          <w:rPr>
            <w:rStyle w:val="Hyperlink"/>
            <w:noProof/>
          </w:rPr>
          <w:t>7.5.3 Massachusetts</w:t>
        </w:r>
        <w:r w:rsidR="00F208B5">
          <w:rPr>
            <w:noProof/>
            <w:webHidden/>
          </w:rPr>
          <w:tab/>
        </w:r>
        <w:r>
          <w:rPr>
            <w:noProof/>
            <w:webHidden/>
          </w:rPr>
          <w:fldChar w:fldCharType="begin"/>
        </w:r>
        <w:r w:rsidR="00F208B5">
          <w:rPr>
            <w:noProof/>
            <w:webHidden/>
          </w:rPr>
          <w:instrText xml:space="preserve"> PAGEREF _Toc396807706 \h </w:instrText>
        </w:r>
        <w:r>
          <w:rPr>
            <w:noProof/>
            <w:webHidden/>
          </w:rPr>
        </w:r>
        <w:r>
          <w:rPr>
            <w:noProof/>
            <w:webHidden/>
          </w:rPr>
          <w:fldChar w:fldCharType="separate"/>
        </w:r>
        <w:r w:rsidR="00284CE3">
          <w:rPr>
            <w:noProof/>
            <w:webHidden/>
          </w:rPr>
          <w:t>185</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7" w:history="1">
        <w:r w:rsidR="00F208B5" w:rsidRPr="002447E2">
          <w:rPr>
            <w:rStyle w:val="Hyperlink"/>
            <w:noProof/>
          </w:rPr>
          <w:t>7.5.4 New Hampshire</w:t>
        </w:r>
        <w:r w:rsidR="00F208B5">
          <w:rPr>
            <w:noProof/>
            <w:webHidden/>
          </w:rPr>
          <w:tab/>
        </w:r>
        <w:r>
          <w:rPr>
            <w:noProof/>
            <w:webHidden/>
          </w:rPr>
          <w:fldChar w:fldCharType="begin"/>
        </w:r>
        <w:r w:rsidR="00F208B5">
          <w:rPr>
            <w:noProof/>
            <w:webHidden/>
          </w:rPr>
          <w:instrText xml:space="preserve"> PAGEREF _Toc396807707 \h </w:instrText>
        </w:r>
        <w:r>
          <w:rPr>
            <w:noProof/>
            <w:webHidden/>
          </w:rPr>
        </w:r>
        <w:r>
          <w:rPr>
            <w:noProof/>
            <w:webHidden/>
          </w:rPr>
          <w:fldChar w:fldCharType="separate"/>
        </w:r>
        <w:r w:rsidR="00284CE3">
          <w:rPr>
            <w:noProof/>
            <w:webHidden/>
          </w:rPr>
          <w:t>186</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8" w:history="1">
        <w:r w:rsidR="00F208B5" w:rsidRPr="002447E2">
          <w:rPr>
            <w:rStyle w:val="Hyperlink"/>
            <w:noProof/>
          </w:rPr>
          <w:t>7.5.5 Rhode Island</w:t>
        </w:r>
        <w:r w:rsidR="00F208B5">
          <w:rPr>
            <w:noProof/>
            <w:webHidden/>
          </w:rPr>
          <w:tab/>
        </w:r>
        <w:r>
          <w:rPr>
            <w:noProof/>
            <w:webHidden/>
          </w:rPr>
          <w:fldChar w:fldCharType="begin"/>
        </w:r>
        <w:r w:rsidR="00F208B5">
          <w:rPr>
            <w:noProof/>
            <w:webHidden/>
          </w:rPr>
          <w:instrText xml:space="preserve"> PAGEREF _Toc396807708 \h </w:instrText>
        </w:r>
        <w:r>
          <w:rPr>
            <w:noProof/>
            <w:webHidden/>
          </w:rPr>
        </w:r>
        <w:r>
          <w:rPr>
            <w:noProof/>
            <w:webHidden/>
          </w:rPr>
          <w:fldChar w:fldCharType="separate"/>
        </w:r>
        <w:r w:rsidR="00284CE3">
          <w:rPr>
            <w:noProof/>
            <w:webHidden/>
          </w:rPr>
          <w:t>188</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09" w:history="1">
        <w:r w:rsidR="00F208B5" w:rsidRPr="002447E2">
          <w:rPr>
            <w:rStyle w:val="Hyperlink"/>
            <w:noProof/>
          </w:rPr>
          <w:t>7.5.6 Vermont</w:t>
        </w:r>
        <w:r w:rsidR="00F208B5">
          <w:rPr>
            <w:noProof/>
            <w:webHidden/>
          </w:rPr>
          <w:tab/>
        </w:r>
        <w:r>
          <w:rPr>
            <w:noProof/>
            <w:webHidden/>
          </w:rPr>
          <w:fldChar w:fldCharType="begin"/>
        </w:r>
        <w:r w:rsidR="00F208B5">
          <w:rPr>
            <w:noProof/>
            <w:webHidden/>
          </w:rPr>
          <w:instrText xml:space="preserve"> PAGEREF _Toc396807709 \h </w:instrText>
        </w:r>
        <w:r>
          <w:rPr>
            <w:noProof/>
            <w:webHidden/>
          </w:rPr>
        </w:r>
        <w:r>
          <w:rPr>
            <w:noProof/>
            <w:webHidden/>
          </w:rPr>
          <w:fldChar w:fldCharType="separate"/>
        </w:r>
        <w:r w:rsidR="00284CE3">
          <w:rPr>
            <w:noProof/>
            <w:webHidden/>
          </w:rPr>
          <w:t>189</w:t>
        </w:r>
        <w:r>
          <w:rPr>
            <w:noProof/>
            <w:webHidden/>
          </w:rPr>
          <w:fldChar w:fldCharType="end"/>
        </w:r>
      </w:hyperlink>
    </w:p>
    <w:p w:rsidR="00F208B5" w:rsidRDefault="00927965">
      <w:pPr>
        <w:pStyle w:val="TOC3"/>
        <w:rPr>
          <w:rFonts w:asciiTheme="minorHAnsi" w:eastAsiaTheme="minorEastAsia" w:hAnsiTheme="minorHAnsi" w:cstheme="minorBidi"/>
          <w:noProof/>
          <w:sz w:val="22"/>
          <w:szCs w:val="22"/>
        </w:rPr>
      </w:pPr>
      <w:hyperlink w:anchor="_Toc396807710" w:history="1">
        <w:r w:rsidR="00F208B5" w:rsidRPr="002447E2">
          <w:rPr>
            <w:rStyle w:val="Hyperlink"/>
            <w:noProof/>
          </w:rPr>
          <w:t>7.5.7 Summary of Renewable Portfolio Standards</w:t>
        </w:r>
        <w:r w:rsidR="00F208B5">
          <w:rPr>
            <w:noProof/>
            <w:webHidden/>
          </w:rPr>
          <w:tab/>
        </w:r>
        <w:r>
          <w:rPr>
            <w:noProof/>
            <w:webHidden/>
          </w:rPr>
          <w:fldChar w:fldCharType="begin"/>
        </w:r>
        <w:r w:rsidR="00F208B5">
          <w:rPr>
            <w:noProof/>
            <w:webHidden/>
          </w:rPr>
          <w:instrText xml:space="preserve"> PAGEREF _Toc396807710 \h </w:instrText>
        </w:r>
        <w:r>
          <w:rPr>
            <w:noProof/>
            <w:webHidden/>
          </w:rPr>
        </w:r>
        <w:r>
          <w:rPr>
            <w:noProof/>
            <w:webHidden/>
          </w:rPr>
          <w:fldChar w:fldCharType="separate"/>
        </w:r>
        <w:r w:rsidR="00284CE3">
          <w:rPr>
            <w:noProof/>
            <w:webHidden/>
          </w:rPr>
          <w:t>189</w:t>
        </w:r>
        <w:r>
          <w:rPr>
            <w:noProof/>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11" w:history="1">
        <w:r w:rsidR="00F208B5" w:rsidRPr="002447E2">
          <w:rPr>
            <w:rStyle w:val="Hyperlink"/>
          </w:rPr>
          <w:t>7.6 Summary of Initiatives</w:t>
        </w:r>
        <w:r w:rsidR="00F208B5">
          <w:rPr>
            <w:webHidden/>
          </w:rPr>
          <w:tab/>
        </w:r>
        <w:r>
          <w:rPr>
            <w:webHidden/>
          </w:rPr>
          <w:fldChar w:fldCharType="begin"/>
        </w:r>
        <w:r w:rsidR="00F208B5">
          <w:rPr>
            <w:webHidden/>
          </w:rPr>
          <w:instrText xml:space="preserve"> PAGEREF _Toc396807711 \h </w:instrText>
        </w:r>
        <w:r>
          <w:rPr>
            <w:webHidden/>
          </w:rPr>
        </w:r>
        <w:r>
          <w:rPr>
            <w:webHidden/>
          </w:rPr>
          <w:fldChar w:fldCharType="separate"/>
        </w:r>
        <w:r w:rsidR="00284CE3">
          <w:rPr>
            <w:webHidden/>
          </w:rPr>
          <w:t>189</w:t>
        </w:r>
        <w:r>
          <w:rPr>
            <w:webHidden/>
          </w:rPr>
          <w:fldChar w:fldCharType="end"/>
        </w:r>
      </w:hyperlink>
    </w:p>
    <w:p w:rsidR="00F208B5" w:rsidRDefault="00927965">
      <w:pPr>
        <w:pStyle w:val="TOC1"/>
        <w:rPr>
          <w:rFonts w:eastAsiaTheme="minorEastAsia" w:cstheme="minorBidi"/>
          <w:b w:val="0"/>
          <w:sz w:val="22"/>
          <w:szCs w:val="22"/>
        </w:rPr>
      </w:pPr>
      <w:hyperlink w:anchor="_Toc396807712" w:history="1">
        <w:r w:rsidR="00F208B5" w:rsidRPr="002447E2">
          <w:rPr>
            <w:rStyle w:val="Hyperlink"/>
          </w:rPr>
          <w:t>Section 8</w:t>
        </w:r>
        <w:r w:rsidR="00F208B5">
          <w:rPr>
            <w:rStyle w:val="Hyperlink"/>
          </w:rPr>
          <w:br/>
        </w:r>
        <w:r w:rsidR="00F208B5" w:rsidRPr="002447E2">
          <w:rPr>
            <w:rStyle w:val="Hyperlink"/>
          </w:rPr>
          <w:t>Key Findings and Conclusions</w:t>
        </w:r>
        <w:r w:rsidR="00F208B5">
          <w:rPr>
            <w:webHidden/>
          </w:rPr>
          <w:tab/>
        </w:r>
        <w:r>
          <w:rPr>
            <w:webHidden/>
          </w:rPr>
          <w:fldChar w:fldCharType="begin"/>
        </w:r>
        <w:r w:rsidR="00F208B5">
          <w:rPr>
            <w:webHidden/>
          </w:rPr>
          <w:instrText xml:space="preserve"> PAGEREF _Toc396807712 \h </w:instrText>
        </w:r>
        <w:r>
          <w:rPr>
            <w:webHidden/>
          </w:rPr>
        </w:r>
        <w:r>
          <w:rPr>
            <w:webHidden/>
          </w:rPr>
          <w:fldChar w:fldCharType="separate"/>
        </w:r>
        <w:r w:rsidR="00284CE3">
          <w:rPr>
            <w:webHidden/>
          </w:rPr>
          <w:t>191</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13" w:history="1">
        <w:r w:rsidR="00F208B5" w:rsidRPr="002447E2">
          <w:rPr>
            <w:rStyle w:val="Hyperlink"/>
          </w:rPr>
          <w:t xml:space="preserve">8.1 </w:t>
        </w:r>
        <w:r w:rsidR="00E70888">
          <w:rPr>
            <w:rStyle w:val="Hyperlink"/>
          </w:rPr>
          <w:t xml:space="preserve">Forecasts of </w:t>
        </w:r>
        <w:r w:rsidR="00F208B5" w:rsidRPr="002447E2">
          <w:rPr>
            <w:rStyle w:val="Hyperlink"/>
          </w:rPr>
          <w:t>Peak Load, Energy Use, and Energy</w:t>
        </w:r>
        <w:r w:rsidR="00E70888">
          <w:rPr>
            <w:rStyle w:val="Hyperlink"/>
          </w:rPr>
          <w:t xml:space="preserve"> </w:t>
        </w:r>
        <w:r w:rsidR="00F208B5" w:rsidRPr="002447E2">
          <w:rPr>
            <w:rStyle w:val="Hyperlink"/>
          </w:rPr>
          <w:t>Efficiency</w:t>
        </w:r>
        <w:r w:rsidR="00F208B5">
          <w:rPr>
            <w:webHidden/>
          </w:rPr>
          <w:tab/>
        </w:r>
        <w:r>
          <w:rPr>
            <w:webHidden/>
          </w:rPr>
          <w:fldChar w:fldCharType="begin"/>
        </w:r>
        <w:r w:rsidR="00F208B5">
          <w:rPr>
            <w:webHidden/>
          </w:rPr>
          <w:instrText xml:space="preserve"> PAGEREF _Toc396807713 \h </w:instrText>
        </w:r>
        <w:r>
          <w:rPr>
            <w:webHidden/>
          </w:rPr>
        </w:r>
        <w:r>
          <w:rPr>
            <w:webHidden/>
          </w:rPr>
          <w:fldChar w:fldCharType="separate"/>
        </w:r>
        <w:r w:rsidR="00284CE3">
          <w:rPr>
            <w:webHidden/>
          </w:rPr>
          <w:t>191</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14" w:history="1">
        <w:r w:rsidR="00F208B5" w:rsidRPr="002447E2">
          <w:rPr>
            <w:rStyle w:val="Hyperlink"/>
          </w:rPr>
          <w:t>8.2 Distributed Generation Forecast</w:t>
        </w:r>
        <w:r w:rsidR="00F208B5">
          <w:rPr>
            <w:webHidden/>
          </w:rPr>
          <w:tab/>
        </w:r>
        <w:r>
          <w:rPr>
            <w:webHidden/>
          </w:rPr>
          <w:fldChar w:fldCharType="begin"/>
        </w:r>
        <w:r w:rsidR="00F208B5">
          <w:rPr>
            <w:webHidden/>
          </w:rPr>
          <w:instrText xml:space="preserve"> PAGEREF _Toc396807714 \h </w:instrText>
        </w:r>
        <w:r>
          <w:rPr>
            <w:webHidden/>
          </w:rPr>
        </w:r>
        <w:r>
          <w:rPr>
            <w:webHidden/>
          </w:rPr>
          <w:fldChar w:fldCharType="separate"/>
        </w:r>
        <w:r w:rsidR="00284CE3">
          <w:rPr>
            <w:webHidden/>
          </w:rPr>
          <w:t>191</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15" w:history="1">
        <w:r w:rsidR="00F208B5" w:rsidRPr="002447E2">
          <w:rPr>
            <w:rStyle w:val="Hyperlink"/>
          </w:rPr>
          <w:t>8.3 Systemwide and Local Area Needs for Capacity</w:t>
        </w:r>
        <w:r w:rsidR="00F208B5">
          <w:rPr>
            <w:webHidden/>
          </w:rPr>
          <w:tab/>
        </w:r>
        <w:r>
          <w:rPr>
            <w:webHidden/>
          </w:rPr>
          <w:fldChar w:fldCharType="begin"/>
        </w:r>
        <w:r w:rsidR="00F208B5">
          <w:rPr>
            <w:webHidden/>
          </w:rPr>
          <w:instrText xml:space="preserve"> PAGEREF _Toc396807715 \h </w:instrText>
        </w:r>
        <w:r>
          <w:rPr>
            <w:webHidden/>
          </w:rPr>
        </w:r>
        <w:r>
          <w:rPr>
            <w:webHidden/>
          </w:rPr>
          <w:fldChar w:fldCharType="separate"/>
        </w:r>
        <w:r w:rsidR="00284CE3">
          <w:rPr>
            <w:webHidden/>
          </w:rPr>
          <w:t>191</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16" w:history="1">
        <w:r w:rsidR="00F208B5" w:rsidRPr="002447E2">
          <w:rPr>
            <w:rStyle w:val="Hyperlink"/>
          </w:rPr>
          <w:t>8.4 Operating Reserves and Ancillary Services</w:t>
        </w:r>
        <w:r w:rsidR="00F208B5">
          <w:rPr>
            <w:webHidden/>
          </w:rPr>
          <w:tab/>
        </w:r>
        <w:r>
          <w:rPr>
            <w:webHidden/>
          </w:rPr>
          <w:fldChar w:fldCharType="begin"/>
        </w:r>
        <w:r w:rsidR="00F208B5">
          <w:rPr>
            <w:webHidden/>
          </w:rPr>
          <w:instrText xml:space="preserve"> PAGEREF _Toc396807716 \h </w:instrText>
        </w:r>
        <w:r>
          <w:rPr>
            <w:webHidden/>
          </w:rPr>
        </w:r>
        <w:r>
          <w:rPr>
            <w:webHidden/>
          </w:rPr>
          <w:fldChar w:fldCharType="separate"/>
        </w:r>
        <w:r w:rsidR="00284CE3">
          <w:rPr>
            <w:webHidden/>
          </w:rPr>
          <w:t>192</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17" w:history="1">
        <w:r w:rsidR="00F208B5" w:rsidRPr="002447E2">
          <w:rPr>
            <w:rStyle w:val="Hyperlink"/>
          </w:rPr>
          <w:t>8.5 Transmission Projects</w:t>
        </w:r>
        <w:r w:rsidR="00F208B5">
          <w:rPr>
            <w:webHidden/>
          </w:rPr>
          <w:tab/>
        </w:r>
        <w:r>
          <w:rPr>
            <w:webHidden/>
          </w:rPr>
          <w:fldChar w:fldCharType="begin"/>
        </w:r>
        <w:r w:rsidR="00F208B5">
          <w:rPr>
            <w:webHidden/>
          </w:rPr>
          <w:instrText xml:space="preserve"> PAGEREF _Toc396807717 \h </w:instrText>
        </w:r>
        <w:r>
          <w:rPr>
            <w:webHidden/>
          </w:rPr>
        </w:r>
        <w:r>
          <w:rPr>
            <w:webHidden/>
          </w:rPr>
          <w:fldChar w:fldCharType="separate"/>
        </w:r>
        <w:r w:rsidR="00284CE3">
          <w:rPr>
            <w:webHidden/>
          </w:rPr>
          <w:t>192</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18" w:history="1">
        <w:r w:rsidR="00F208B5" w:rsidRPr="002447E2">
          <w:rPr>
            <w:rStyle w:val="Hyperlink"/>
          </w:rPr>
          <w:t>8.6 Market Resource Alternatives to Transmission</w:t>
        </w:r>
        <w:r w:rsidR="00F208B5">
          <w:rPr>
            <w:webHidden/>
          </w:rPr>
          <w:tab/>
        </w:r>
        <w:r>
          <w:rPr>
            <w:webHidden/>
          </w:rPr>
          <w:fldChar w:fldCharType="begin"/>
        </w:r>
        <w:r w:rsidR="00F208B5">
          <w:rPr>
            <w:webHidden/>
          </w:rPr>
          <w:instrText xml:space="preserve"> PAGEREF _Toc396807718 \h </w:instrText>
        </w:r>
        <w:r>
          <w:rPr>
            <w:webHidden/>
          </w:rPr>
        </w:r>
        <w:r>
          <w:rPr>
            <w:webHidden/>
          </w:rPr>
          <w:fldChar w:fldCharType="separate"/>
        </w:r>
        <w:r w:rsidR="00284CE3">
          <w:rPr>
            <w:webHidden/>
          </w:rPr>
          <w:t>193</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19" w:history="1">
        <w:r w:rsidR="00F208B5" w:rsidRPr="002447E2">
          <w:rPr>
            <w:rStyle w:val="Hyperlink"/>
          </w:rPr>
          <w:t>8.7 Fuel Flexibility and Certainty</w:t>
        </w:r>
        <w:r w:rsidR="00F208B5">
          <w:rPr>
            <w:webHidden/>
          </w:rPr>
          <w:tab/>
        </w:r>
        <w:r>
          <w:rPr>
            <w:webHidden/>
          </w:rPr>
          <w:fldChar w:fldCharType="begin"/>
        </w:r>
        <w:r w:rsidR="00F208B5">
          <w:rPr>
            <w:webHidden/>
          </w:rPr>
          <w:instrText xml:space="preserve"> PAGEREF _Toc396807719 \h </w:instrText>
        </w:r>
        <w:r>
          <w:rPr>
            <w:webHidden/>
          </w:rPr>
        </w:r>
        <w:r>
          <w:rPr>
            <w:webHidden/>
          </w:rPr>
          <w:fldChar w:fldCharType="separate"/>
        </w:r>
        <w:r w:rsidR="00284CE3">
          <w:rPr>
            <w:webHidden/>
          </w:rPr>
          <w:t>194</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20" w:history="1">
        <w:r w:rsidR="00F208B5" w:rsidRPr="002447E2">
          <w:rPr>
            <w:rStyle w:val="Hyperlink"/>
          </w:rPr>
          <w:t>8.8 State Targets for Renewable Energy</w:t>
        </w:r>
        <w:r w:rsidR="00F208B5">
          <w:rPr>
            <w:webHidden/>
          </w:rPr>
          <w:tab/>
        </w:r>
        <w:r>
          <w:rPr>
            <w:webHidden/>
          </w:rPr>
          <w:fldChar w:fldCharType="begin"/>
        </w:r>
        <w:r w:rsidR="00F208B5">
          <w:rPr>
            <w:webHidden/>
          </w:rPr>
          <w:instrText xml:space="preserve"> PAGEREF _Toc396807720 \h </w:instrText>
        </w:r>
        <w:r>
          <w:rPr>
            <w:webHidden/>
          </w:rPr>
        </w:r>
        <w:r>
          <w:rPr>
            <w:webHidden/>
          </w:rPr>
          <w:fldChar w:fldCharType="separate"/>
        </w:r>
        <w:r w:rsidR="00284CE3">
          <w:rPr>
            <w:webHidden/>
          </w:rPr>
          <w:t>194</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21" w:history="1">
        <w:r w:rsidR="00F208B5" w:rsidRPr="002447E2">
          <w:rPr>
            <w:rStyle w:val="Hyperlink"/>
          </w:rPr>
          <w:t>8.9 Integration of Intermittent Resources</w:t>
        </w:r>
        <w:r w:rsidR="00F208B5">
          <w:rPr>
            <w:webHidden/>
          </w:rPr>
          <w:tab/>
        </w:r>
        <w:r>
          <w:rPr>
            <w:webHidden/>
          </w:rPr>
          <w:fldChar w:fldCharType="begin"/>
        </w:r>
        <w:r w:rsidR="00F208B5">
          <w:rPr>
            <w:webHidden/>
          </w:rPr>
          <w:instrText xml:space="preserve"> PAGEREF _Toc396807721 \h </w:instrText>
        </w:r>
        <w:r>
          <w:rPr>
            <w:webHidden/>
          </w:rPr>
        </w:r>
        <w:r>
          <w:rPr>
            <w:webHidden/>
          </w:rPr>
          <w:fldChar w:fldCharType="separate"/>
        </w:r>
        <w:r w:rsidR="00284CE3">
          <w:rPr>
            <w:webHidden/>
          </w:rPr>
          <w:t>195</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22" w:history="1">
        <w:r w:rsidR="00F208B5" w:rsidRPr="002447E2">
          <w:rPr>
            <w:rStyle w:val="Hyperlink"/>
          </w:rPr>
          <w:t>8.10 Environmental Regulations and Initiatives</w:t>
        </w:r>
        <w:r w:rsidR="00F208B5">
          <w:rPr>
            <w:webHidden/>
          </w:rPr>
          <w:tab/>
        </w:r>
        <w:r>
          <w:rPr>
            <w:webHidden/>
          </w:rPr>
          <w:fldChar w:fldCharType="begin"/>
        </w:r>
        <w:r w:rsidR="00F208B5">
          <w:rPr>
            <w:webHidden/>
          </w:rPr>
          <w:instrText xml:space="preserve"> PAGEREF _Toc396807722 \h </w:instrText>
        </w:r>
        <w:r>
          <w:rPr>
            <w:webHidden/>
          </w:rPr>
        </w:r>
        <w:r>
          <w:rPr>
            <w:webHidden/>
          </w:rPr>
          <w:fldChar w:fldCharType="separate"/>
        </w:r>
        <w:r w:rsidR="00284CE3">
          <w:rPr>
            <w:webHidden/>
          </w:rPr>
          <w:t>195</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23" w:history="1">
        <w:r w:rsidR="00F208B5" w:rsidRPr="002447E2">
          <w:rPr>
            <w:rStyle w:val="Hyperlink"/>
          </w:rPr>
          <w:t>8.11 Interregional Coordination</w:t>
        </w:r>
        <w:r w:rsidR="00F208B5">
          <w:rPr>
            <w:webHidden/>
          </w:rPr>
          <w:tab/>
        </w:r>
        <w:r>
          <w:rPr>
            <w:webHidden/>
          </w:rPr>
          <w:fldChar w:fldCharType="begin"/>
        </w:r>
        <w:r w:rsidR="00F208B5">
          <w:rPr>
            <w:webHidden/>
          </w:rPr>
          <w:instrText xml:space="preserve"> PAGEREF _Toc396807723 \h </w:instrText>
        </w:r>
        <w:r>
          <w:rPr>
            <w:webHidden/>
          </w:rPr>
        </w:r>
        <w:r>
          <w:rPr>
            <w:webHidden/>
          </w:rPr>
          <w:fldChar w:fldCharType="separate"/>
        </w:r>
        <w:r w:rsidR="00284CE3">
          <w:rPr>
            <w:webHidden/>
          </w:rPr>
          <w:t>196</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24" w:history="1">
        <w:r w:rsidR="00F208B5" w:rsidRPr="002447E2">
          <w:rPr>
            <w:rStyle w:val="Hyperlink"/>
          </w:rPr>
          <w:t>8.12 Federal, Regional, and State Initiatives</w:t>
        </w:r>
        <w:r w:rsidR="00F208B5">
          <w:rPr>
            <w:webHidden/>
          </w:rPr>
          <w:tab/>
        </w:r>
        <w:r>
          <w:rPr>
            <w:webHidden/>
          </w:rPr>
          <w:fldChar w:fldCharType="begin"/>
        </w:r>
        <w:r w:rsidR="00F208B5">
          <w:rPr>
            <w:webHidden/>
          </w:rPr>
          <w:instrText xml:space="preserve"> PAGEREF _Toc396807724 \h </w:instrText>
        </w:r>
        <w:r>
          <w:rPr>
            <w:webHidden/>
          </w:rPr>
        </w:r>
        <w:r>
          <w:rPr>
            <w:webHidden/>
          </w:rPr>
          <w:fldChar w:fldCharType="separate"/>
        </w:r>
        <w:r w:rsidR="00284CE3">
          <w:rPr>
            <w:webHidden/>
          </w:rPr>
          <w:t>196</w:t>
        </w:r>
        <w:r>
          <w:rPr>
            <w:webHidden/>
          </w:rPr>
          <w:fldChar w:fldCharType="end"/>
        </w:r>
      </w:hyperlink>
    </w:p>
    <w:p w:rsidR="00F208B5" w:rsidRDefault="00927965">
      <w:pPr>
        <w:pStyle w:val="TOC2"/>
        <w:rPr>
          <w:rFonts w:asciiTheme="minorHAnsi" w:eastAsiaTheme="minorEastAsia" w:hAnsiTheme="minorHAnsi" w:cstheme="minorBidi"/>
          <w:bCs w:val="0"/>
          <w:iCs w:val="0"/>
          <w:sz w:val="22"/>
          <w:szCs w:val="22"/>
        </w:rPr>
      </w:pPr>
      <w:hyperlink w:anchor="_Toc396807725" w:history="1">
        <w:r w:rsidR="00F208B5" w:rsidRPr="002447E2">
          <w:rPr>
            <w:rStyle w:val="Hyperlink"/>
          </w:rPr>
          <w:t>8.13 Looking Ahead</w:t>
        </w:r>
        <w:r w:rsidR="00F208B5">
          <w:rPr>
            <w:webHidden/>
          </w:rPr>
          <w:tab/>
        </w:r>
        <w:r>
          <w:rPr>
            <w:webHidden/>
          </w:rPr>
          <w:fldChar w:fldCharType="begin"/>
        </w:r>
        <w:r w:rsidR="00F208B5">
          <w:rPr>
            <w:webHidden/>
          </w:rPr>
          <w:instrText xml:space="preserve"> PAGEREF _Toc396807725 \h </w:instrText>
        </w:r>
        <w:r>
          <w:rPr>
            <w:webHidden/>
          </w:rPr>
        </w:r>
        <w:r>
          <w:rPr>
            <w:webHidden/>
          </w:rPr>
          <w:fldChar w:fldCharType="separate"/>
        </w:r>
        <w:r w:rsidR="00284CE3">
          <w:rPr>
            <w:webHidden/>
          </w:rPr>
          <w:t>196</w:t>
        </w:r>
        <w:r>
          <w:rPr>
            <w:webHidden/>
          </w:rPr>
          <w:fldChar w:fldCharType="end"/>
        </w:r>
      </w:hyperlink>
    </w:p>
    <w:p w:rsidR="00F208B5" w:rsidRDefault="00927965">
      <w:pPr>
        <w:pStyle w:val="TOC1"/>
        <w:rPr>
          <w:rFonts w:eastAsiaTheme="minorEastAsia" w:cstheme="minorBidi"/>
          <w:b w:val="0"/>
          <w:sz w:val="22"/>
          <w:szCs w:val="22"/>
        </w:rPr>
      </w:pPr>
      <w:hyperlink w:anchor="_Toc396807726" w:history="1">
        <w:r w:rsidR="00F208B5" w:rsidRPr="002447E2">
          <w:rPr>
            <w:rStyle w:val="Hyperlink"/>
            <w:rFonts w:cstheme="minorHAnsi"/>
          </w:rPr>
          <w:t>Appendix A</w:t>
        </w:r>
        <w:r w:rsidR="00F208B5">
          <w:rPr>
            <w:rStyle w:val="Hyperlink"/>
            <w:rFonts w:cstheme="minorHAnsi"/>
          </w:rPr>
          <w:br/>
        </w:r>
        <w:r w:rsidR="00F208B5" w:rsidRPr="002447E2">
          <w:rPr>
            <w:rStyle w:val="Hyperlink"/>
            <w:rFonts w:cstheme="minorHAnsi"/>
          </w:rPr>
          <w:t>Acronyms and Abbreviations</w:t>
        </w:r>
        <w:r w:rsidR="00F208B5">
          <w:rPr>
            <w:webHidden/>
          </w:rPr>
          <w:tab/>
        </w:r>
        <w:r>
          <w:rPr>
            <w:webHidden/>
          </w:rPr>
          <w:fldChar w:fldCharType="begin"/>
        </w:r>
        <w:r w:rsidR="00F208B5">
          <w:rPr>
            <w:webHidden/>
          </w:rPr>
          <w:instrText xml:space="preserve"> PAGEREF _Toc396807726 \h </w:instrText>
        </w:r>
        <w:r>
          <w:rPr>
            <w:webHidden/>
          </w:rPr>
        </w:r>
        <w:r>
          <w:rPr>
            <w:webHidden/>
          </w:rPr>
          <w:fldChar w:fldCharType="separate"/>
        </w:r>
        <w:r w:rsidR="00284CE3">
          <w:rPr>
            <w:webHidden/>
          </w:rPr>
          <w:t>197</w:t>
        </w:r>
        <w:r>
          <w:rPr>
            <w:webHidden/>
          </w:rPr>
          <w:fldChar w:fldCharType="end"/>
        </w:r>
      </w:hyperlink>
    </w:p>
    <w:p w:rsidR="00894512" w:rsidRPr="00F13B14" w:rsidRDefault="00927965" w:rsidP="00CA47CD">
      <w:pPr>
        <w:tabs>
          <w:tab w:val="right" w:leader="dot" w:pos="8910"/>
        </w:tabs>
        <w:spacing w:after="120" w:line="240" w:lineRule="auto"/>
        <w:ind w:right="-86"/>
        <w:rPr>
          <w:rFonts w:asciiTheme="minorHAnsi" w:hAnsiTheme="minorHAnsi" w:cs="Arial"/>
        </w:rPr>
      </w:pPr>
      <w:r w:rsidRPr="00256045">
        <w:rPr>
          <w:rFonts w:asciiTheme="minorHAnsi" w:hAnsiTheme="minorHAnsi" w:cs="Arial"/>
        </w:rPr>
        <w:fldChar w:fldCharType="end"/>
      </w:r>
    </w:p>
    <w:p w:rsidR="00894512" w:rsidRPr="00F13B14" w:rsidRDefault="00894512" w:rsidP="00073277">
      <w:pPr>
        <w:rPr>
          <w:rFonts w:asciiTheme="minorHAnsi" w:hAnsiTheme="minorHAnsi" w:cs="Arial"/>
        </w:rPr>
        <w:sectPr w:rsidR="00894512" w:rsidRPr="00F13B14" w:rsidSect="00E24A7B">
          <w:pgSz w:w="12240" w:h="15840"/>
          <w:pgMar w:top="1440" w:right="1080" w:bottom="1440" w:left="1800" w:header="720" w:footer="720" w:gutter="0"/>
          <w:pgNumType w:fmt="lowerRoman"/>
          <w:cols w:space="720"/>
          <w:docGrid w:linePitch="360"/>
        </w:sectPr>
      </w:pPr>
    </w:p>
    <w:p w:rsidR="00F34039" w:rsidRPr="00E9247C" w:rsidRDefault="004B056E" w:rsidP="00B20343">
      <w:pPr>
        <w:outlineLvl w:val="0"/>
        <w:rPr>
          <w:rFonts w:asciiTheme="minorHAnsi" w:hAnsiTheme="minorHAnsi" w:cs="Arial"/>
          <w:b/>
          <w:color w:val="11479D" w:themeColor="text2"/>
          <w:sz w:val="36"/>
          <w:szCs w:val="36"/>
        </w:rPr>
      </w:pPr>
      <w:bookmarkStart w:id="14" w:name="_Toc396807586"/>
      <w:r w:rsidRPr="003C51B7">
        <w:rPr>
          <w:rFonts w:asciiTheme="minorHAnsi" w:hAnsiTheme="minorHAnsi" w:cs="Arial"/>
          <w:b/>
          <w:color w:val="11479D" w:themeColor="text2"/>
          <w:sz w:val="36"/>
          <w:szCs w:val="36"/>
        </w:rPr>
        <w:t>Figures</w:t>
      </w:r>
      <w:bookmarkEnd w:id="14"/>
    </w:p>
    <w:p w:rsidR="003C51B7" w:rsidRPr="000B06F4" w:rsidRDefault="00927965">
      <w:pPr>
        <w:pStyle w:val="TableofFigures"/>
        <w:rPr>
          <w:rFonts w:asciiTheme="minorHAnsi" w:eastAsiaTheme="minorEastAsia" w:hAnsiTheme="minorHAnsi" w:cstheme="minorBidi"/>
          <w:b w:val="0"/>
          <w:bCs w:val="0"/>
          <w:sz w:val="22"/>
          <w:szCs w:val="22"/>
        </w:rPr>
      </w:pPr>
      <w:r w:rsidRPr="00927965">
        <w:rPr>
          <w:rFonts w:asciiTheme="minorHAnsi" w:hAnsiTheme="minorHAnsi"/>
          <w:b w:val="0"/>
        </w:rPr>
        <w:fldChar w:fldCharType="begin"/>
      </w:r>
      <w:r w:rsidR="00F27D3B" w:rsidRPr="000B06F4">
        <w:rPr>
          <w:rFonts w:asciiTheme="minorHAnsi" w:hAnsiTheme="minorHAnsi"/>
          <w:b w:val="0"/>
        </w:rPr>
        <w:instrText xml:space="preserve"> TOC \h \z \c "Figure" </w:instrText>
      </w:r>
      <w:r w:rsidRPr="00927965">
        <w:rPr>
          <w:rFonts w:asciiTheme="minorHAnsi" w:hAnsiTheme="minorHAnsi"/>
          <w:b w:val="0"/>
        </w:rPr>
        <w:fldChar w:fldCharType="separate"/>
      </w:r>
      <w:hyperlink w:anchor="_Toc391985562" w:history="1">
        <w:r w:rsidR="003C51B7" w:rsidRPr="000B06F4">
          <w:rPr>
            <w:rStyle w:val="Hyperlink"/>
            <w:b w:val="0"/>
          </w:rPr>
          <w:t>Figure 2</w:t>
        </w:r>
        <w:r w:rsidR="003C51B7" w:rsidRPr="000B06F4">
          <w:rPr>
            <w:rStyle w:val="Hyperlink"/>
            <w:b w:val="0"/>
          </w:rPr>
          <w:noBreakHyphen/>
          <w:t xml:space="preserve">1: </w:t>
        </w:r>
        <w:r w:rsidR="003C51B7" w:rsidRPr="000B06F4">
          <w:rPr>
            <w:rStyle w:val="Hyperlink"/>
            <w:b w:val="0"/>
          </w:rPr>
          <w:tab/>
          <w:t>Key facts about New England’s electric power system and wholesale electricity markets.</w:t>
        </w:r>
        <w:r w:rsidR="003C51B7" w:rsidRPr="000B06F4">
          <w:rPr>
            <w:b w:val="0"/>
            <w:webHidden/>
          </w:rPr>
          <w:tab/>
        </w:r>
        <w:r w:rsidRPr="000B06F4">
          <w:rPr>
            <w:b w:val="0"/>
            <w:webHidden/>
          </w:rPr>
          <w:fldChar w:fldCharType="begin"/>
        </w:r>
        <w:r w:rsidR="003C51B7" w:rsidRPr="000B06F4">
          <w:rPr>
            <w:b w:val="0"/>
            <w:webHidden/>
          </w:rPr>
          <w:instrText xml:space="preserve"> PAGEREF _Toc391985562 \h </w:instrText>
        </w:r>
        <w:r w:rsidRPr="000B06F4">
          <w:rPr>
            <w:b w:val="0"/>
            <w:webHidden/>
          </w:rPr>
        </w:r>
        <w:r w:rsidRPr="000B06F4">
          <w:rPr>
            <w:b w:val="0"/>
            <w:webHidden/>
          </w:rPr>
          <w:fldChar w:fldCharType="separate"/>
        </w:r>
        <w:r w:rsidR="00284CE3">
          <w:rPr>
            <w:b w:val="0"/>
            <w:webHidden/>
          </w:rPr>
          <w:t>31</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63" w:history="1">
        <w:r w:rsidR="003C51B7" w:rsidRPr="000B06F4">
          <w:rPr>
            <w:rStyle w:val="Hyperlink"/>
            <w:b w:val="0"/>
          </w:rPr>
          <w:t>Figure 2</w:t>
        </w:r>
        <w:r w:rsidR="003C51B7" w:rsidRPr="000B06F4">
          <w:rPr>
            <w:rStyle w:val="Hyperlink"/>
            <w:b w:val="0"/>
          </w:rPr>
          <w:noBreakHyphen/>
          <w:t xml:space="preserve">2: </w:t>
        </w:r>
        <w:r w:rsidR="003C51B7" w:rsidRPr="000B06F4">
          <w:rPr>
            <w:rStyle w:val="Hyperlink"/>
            <w:b w:val="0"/>
          </w:rPr>
          <w:tab/>
          <w:t>Active-demand-resource dispatch zones in the ISO New England system.</w:t>
        </w:r>
        <w:r w:rsidR="003C51B7" w:rsidRPr="000B06F4">
          <w:rPr>
            <w:b w:val="0"/>
            <w:webHidden/>
          </w:rPr>
          <w:tab/>
        </w:r>
        <w:r w:rsidRPr="000B06F4">
          <w:rPr>
            <w:b w:val="0"/>
            <w:webHidden/>
          </w:rPr>
          <w:fldChar w:fldCharType="begin"/>
        </w:r>
        <w:r w:rsidR="003C51B7" w:rsidRPr="000B06F4">
          <w:rPr>
            <w:b w:val="0"/>
            <w:webHidden/>
          </w:rPr>
          <w:instrText xml:space="preserve"> PAGEREF _Toc391985563 \h </w:instrText>
        </w:r>
        <w:r w:rsidRPr="000B06F4">
          <w:rPr>
            <w:b w:val="0"/>
            <w:webHidden/>
          </w:rPr>
        </w:r>
        <w:r w:rsidRPr="000B06F4">
          <w:rPr>
            <w:b w:val="0"/>
            <w:webHidden/>
          </w:rPr>
          <w:fldChar w:fldCharType="separate"/>
        </w:r>
        <w:r w:rsidR="00284CE3">
          <w:rPr>
            <w:b w:val="0"/>
            <w:webHidden/>
          </w:rPr>
          <w:t>35</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64" w:history="1">
        <w:r w:rsidR="003C51B7" w:rsidRPr="000B06F4">
          <w:rPr>
            <w:rStyle w:val="Hyperlink"/>
            <w:b w:val="0"/>
          </w:rPr>
          <w:t>Figure 2</w:t>
        </w:r>
        <w:r w:rsidR="003C51B7" w:rsidRPr="000B06F4">
          <w:rPr>
            <w:rStyle w:val="Hyperlink"/>
            <w:b w:val="0"/>
          </w:rPr>
          <w:noBreakHyphen/>
          <w:t xml:space="preserve">3: </w:t>
        </w:r>
        <w:r w:rsidR="003C51B7" w:rsidRPr="000B06F4">
          <w:rPr>
            <w:rStyle w:val="Hyperlink"/>
            <w:b w:val="0"/>
          </w:rPr>
          <w:tab/>
          <w:t>RSP14 geographic scope of the New England electric power system.</w:t>
        </w:r>
        <w:r w:rsidR="003C51B7" w:rsidRPr="000B06F4">
          <w:rPr>
            <w:b w:val="0"/>
            <w:webHidden/>
          </w:rPr>
          <w:tab/>
        </w:r>
        <w:r w:rsidRPr="000B06F4">
          <w:rPr>
            <w:b w:val="0"/>
            <w:webHidden/>
          </w:rPr>
          <w:fldChar w:fldCharType="begin"/>
        </w:r>
        <w:r w:rsidR="003C51B7" w:rsidRPr="000B06F4">
          <w:rPr>
            <w:b w:val="0"/>
            <w:webHidden/>
          </w:rPr>
          <w:instrText xml:space="preserve"> PAGEREF _Toc391985564 \h </w:instrText>
        </w:r>
        <w:r w:rsidRPr="000B06F4">
          <w:rPr>
            <w:b w:val="0"/>
            <w:webHidden/>
          </w:rPr>
        </w:r>
        <w:r w:rsidRPr="000B06F4">
          <w:rPr>
            <w:b w:val="0"/>
            <w:webHidden/>
          </w:rPr>
          <w:fldChar w:fldCharType="separate"/>
        </w:r>
        <w:r w:rsidR="00284CE3">
          <w:rPr>
            <w:b w:val="0"/>
            <w:webHidden/>
          </w:rPr>
          <w:t>36</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65" w:history="1">
        <w:r w:rsidR="003C51B7" w:rsidRPr="000B06F4">
          <w:rPr>
            <w:rStyle w:val="Hyperlink"/>
            <w:b w:val="0"/>
          </w:rPr>
          <w:t>Figure 3</w:t>
        </w:r>
        <w:r w:rsidR="003C51B7" w:rsidRPr="000B06F4">
          <w:rPr>
            <w:rStyle w:val="Hyperlink"/>
            <w:b w:val="0"/>
          </w:rPr>
          <w:noBreakHyphen/>
          <w:t xml:space="preserve">1: </w:t>
        </w:r>
        <w:r w:rsidR="003C51B7" w:rsidRPr="000B06F4">
          <w:rPr>
            <w:rStyle w:val="Hyperlink"/>
            <w:b w:val="0"/>
          </w:rPr>
          <w:tab/>
          <w:t>The ISO’s actual summer peak loads (i.e., reconstituted for OP 4 and FCM passive demand resources) and the 50/50 and 90/10 forecasts, 1992 to 2013 (MW).</w:t>
        </w:r>
        <w:r w:rsidR="003C51B7" w:rsidRPr="000B06F4">
          <w:rPr>
            <w:b w:val="0"/>
            <w:webHidden/>
          </w:rPr>
          <w:tab/>
        </w:r>
        <w:r w:rsidRPr="000B06F4">
          <w:rPr>
            <w:b w:val="0"/>
            <w:webHidden/>
          </w:rPr>
          <w:fldChar w:fldCharType="begin"/>
        </w:r>
        <w:r w:rsidR="003C51B7" w:rsidRPr="000B06F4">
          <w:rPr>
            <w:b w:val="0"/>
            <w:webHidden/>
          </w:rPr>
          <w:instrText xml:space="preserve"> PAGEREF _Toc391985565 \h </w:instrText>
        </w:r>
        <w:r w:rsidRPr="000B06F4">
          <w:rPr>
            <w:b w:val="0"/>
            <w:webHidden/>
          </w:rPr>
        </w:r>
        <w:r w:rsidRPr="000B06F4">
          <w:rPr>
            <w:b w:val="0"/>
            <w:webHidden/>
          </w:rPr>
          <w:fldChar w:fldCharType="separate"/>
        </w:r>
        <w:r w:rsidR="00284CE3">
          <w:rPr>
            <w:b w:val="0"/>
            <w:webHidden/>
          </w:rPr>
          <w:t>39</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66" w:history="1">
        <w:r w:rsidR="003C51B7" w:rsidRPr="000B06F4">
          <w:rPr>
            <w:rStyle w:val="Hyperlink"/>
            <w:b w:val="0"/>
          </w:rPr>
          <w:t>Figure 3</w:t>
        </w:r>
        <w:r w:rsidR="003C51B7" w:rsidRPr="000B06F4">
          <w:rPr>
            <w:rStyle w:val="Hyperlink"/>
            <w:b w:val="0"/>
          </w:rPr>
          <w:noBreakHyphen/>
          <w:t xml:space="preserve">2: </w:t>
        </w:r>
        <w:r w:rsidR="003C51B7" w:rsidRPr="000B06F4">
          <w:rPr>
            <w:rStyle w:val="Hyperlink"/>
            <w:b w:val="0"/>
          </w:rPr>
          <w:tab/>
          <w:t>“Economy.com” forecasts of New England gross state product from November 2013</w:t>
        </w:r>
        <w:r w:rsidR="003C51B7" w:rsidRPr="000B06F4">
          <w:rPr>
            <w:rStyle w:val="Hyperlink"/>
            <w:b w:val="0"/>
          </w:rPr>
          <w:br/>
          <w:t>and November 2012 forecasts.</w:t>
        </w:r>
        <w:r w:rsidR="003C51B7" w:rsidRPr="000B06F4">
          <w:rPr>
            <w:b w:val="0"/>
            <w:webHidden/>
          </w:rPr>
          <w:tab/>
        </w:r>
        <w:r w:rsidRPr="000B06F4">
          <w:rPr>
            <w:b w:val="0"/>
            <w:webHidden/>
          </w:rPr>
          <w:fldChar w:fldCharType="begin"/>
        </w:r>
        <w:r w:rsidR="003C51B7" w:rsidRPr="000B06F4">
          <w:rPr>
            <w:b w:val="0"/>
            <w:webHidden/>
          </w:rPr>
          <w:instrText xml:space="preserve"> PAGEREF _Toc391985566 \h </w:instrText>
        </w:r>
        <w:r w:rsidRPr="000B06F4">
          <w:rPr>
            <w:b w:val="0"/>
            <w:webHidden/>
          </w:rPr>
        </w:r>
        <w:r w:rsidRPr="000B06F4">
          <w:rPr>
            <w:b w:val="0"/>
            <w:webHidden/>
          </w:rPr>
          <w:fldChar w:fldCharType="separate"/>
        </w:r>
        <w:r w:rsidR="00284CE3">
          <w:rPr>
            <w:b w:val="0"/>
            <w:webHidden/>
          </w:rPr>
          <w:t>41</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67" w:history="1">
        <w:r w:rsidR="003C51B7" w:rsidRPr="000B06F4">
          <w:rPr>
            <w:rStyle w:val="Hyperlink"/>
            <w:b w:val="0"/>
          </w:rPr>
          <w:t>Figure 3</w:t>
        </w:r>
        <w:r w:rsidR="003C51B7" w:rsidRPr="000B06F4">
          <w:rPr>
            <w:rStyle w:val="Hyperlink"/>
            <w:b w:val="0"/>
          </w:rPr>
          <w:noBreakHyphen/>
          <w:t>3:</w:t>
        </w:r>
        <w:r w:rsidR="003C51B7" w:rsidRPr="000B06F4">
          <w:rPr>
            <w:rStyle w:val="Hyperlink"/>
            <w:b w:val="0"/>
          </w:rPr>
          <w:tab/>
          <w:t xml:space="preserve">RSP14 annual energy-use forecast (diamond), </w:t>
        </w:r>
        <w:r w:rsidR="006B231A">
          <w:rPr>
            <w:rStyle w:val="Hyperlink"/>
            <w:b w:val="0"/>
          </w:rPr>
          <w:t xml:space="preserve">energy-use </w:t>
        </w:r>
        <w:r w:rsidR="003C51B7" w:rsidRPr="000B06F4">
          <w:rPr>
            <w:rStyle w:val="Hyperlink"/>
            <w:b w:val="0"/>
          </w:rPr>
          <w:t>forecast minus FCM #8 results</w:t>
        </w:r>
        <w:r w:rsidR="00FD7FCE">
          <w:rPr>
            <w:rStyle w:val="Hyperlink"/>
            <w:b w:val="0"/>
          </w:rPr>
          <w:br/>
        </w:r>
        <w:r w:rsidR="003C51B7" w:rsidRPr="000B06F4">
          <w:rPr>
            <w:rStyle w:val="Hyperlink"/>
            <w:b w:val="0"/>
          </w:rPr>
          <w:t xml:space="preserve">through 2017 (square), and </w:t>
        </w:r>
        <w:r w:rsidR="006B231A">
          <w:rPr>
            <w:rStyle w:val="Hyperlink"/>
            <w:b w:val="0"/>
          </w:rPr>
          <w:t xml:space="preserve">energy-use </w:t>
        </w:r>
        <w:r w:rsidR="003C51B7" w:rsidRPr="000B06F4">
          <w:rPr>
            <w:rStyle w:val="Hyperlink"/>
            <w:b w:val="0"/>
          </w:rPr>
          <w:t>forecast minus FCM results and minus the</w:t>
        </w:r>
        <w:r w:rsidR="00FD7FCE">
          <w:rPr>
            <w:rStyle w:val="Hyperlink"/>
            <w:b w:val="0"/>
          </w:rPr>
          <w:br/>
        </w:r>
        <w:r w:rsidR="003C51B7" w:rsidRPr="000B06F4">
          <w:rPr>
            <w:rStyle w:val="Hyperlink"/>
            <w:b w:val="0"/>
          </w:rPr>
          <w:t>energy-efficiency forecast (triangle) for 2018 to 2023 (GWh).</w:t>
        </w:r>
        <w:r w:rsidR="003C51B7" w:rsidRPr="000B06F4">
          <w:rPr>
            <w:b w:val="0"/>
            <w:webHidden/>
          </w:rPr>
          <w:tab/>
        </w:r>
        <w:r w:rsidRPr="000B06F4">
          <w:rPr>
            <w:b w:val="0"/>
            <w:webHidden/>
          </w:rPr>
          <w:fldChar w:fldCharType="begin"/>
        </w:r>
        <w:r w:rsidR="003C51B7" w:rsidRPr="000B06F4">
          <w:rPr>
            <w:b w:val="0"/>
            <w:webHidden/>
          </w:rPr>
          <w:instrText xml:space="preserve"> PAGEREF _Toc391985567 \h </w:instrText>
        </w:r>
        <w:r w:rsidRPr="000B06F4">
          <w:rPr>
            <w:b w:val="0"/>
            <w:webHidden/>
          </w:rPr>
        </w:r>
        <w:r w:rsidRPr="000B06F4">
          <w:rPr>
            <w:b w:val="0"/>
            <w:webHidden/>
          </w:rPr>
          <w:fldChar w:fldCharType="separate"/>
        </w:r>
        <w:r w:rsidR="00284CE3">
          <w:rPr>
            <w:b w:val="0"/>
            <w:webHidden/>
          </w:rPr>
          <w:t>47</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68" w:history="1">
        <w:r w:rsidR="003C51B7" w:rsidRPr="000B06F4">
          <w:rPr>
            <w:rStyle w:val="Hyperlink"/>
            <w:b w:val="0"/>
          </w:rPr>
          <w:t>Figure 3</w:t>
        </w:r>
        <w:r w:rsidR="003C51B7" w:rsidRPr="000B06F4">
          <w:rPr>
            <w:rStyle w:val="Hyperlink"/>
            <w:b w:val="0"/>
          </w:rPr>
          <w:noBreakHyphen/>
          <w:t>4:</w:t>
        </w:r>
        <w:r w:rsidR="003C51B7" w:rsidRPr="000B06F4">
          <w:rPr>
            <w:rStyle w:val="Hyperlink"/>
            <w:b w:val="0"/>
          </w:rPr>
          <w:tab/>
          <w:t xml:space="preserve">RSP14 summer peak demand forecast (90/10) (diamond), </w:t>
        </w:r>
        <w:r w:rsidR="006B231A">
          <w:rPr>
            <w:rStyle w:val="Hyperlink"/>
            <w:b w:val="0"/>
          </w:rPr>
          <w:t>demand</w:t>
        </w:r>
        <w:r w:rsidR="003C51B7" w:rsidRPr="000B06F4">
          <w:rPr>
            <w:rStyle w:val="Hyperlink"/>
            <w:b w:val="0"/>
          </w:rPr>
          <w:t xml:space="preserve"> forecast minus FCM #8</w:t>
        </w:r>
        <w:r w:rsidR="00FD7FCE">
          <w:rPr>
            <w:rStyle w:val="Hyperlink"/>
            <w:b w:val="0"/>
          </w:rPr>
          <w:br/>
        </w:r>
        <w:r w:rsidR="003C51B7" w:rsidRPr="000B06F4">
          <w:rPr>
            <w:rStyle w:val="Hyperlink"/>
            <w:b w:val="0"/>
          </w:rPr>
          <w:t xml:space="preserve">results through 2017 (square), and </w:t>
        </w:r>
        <w:r w:rsidR="006B231A">
          <w:rPr>
            <w:rStyle w:val="Hyperlink"/>
            <w:b w:val="0"/>
          </w:rPr>
          <w:t>demand</w:t>
        </w:r>
        <w:r w:rsidR="003C51B7" w:rsidRPr="000B06F4">
          <w:rPr>
            <w:rStyle w:val="Hyperlink"/>
            <w:b w:val="0"/>
          </w:rPr>
          <w:t xml:space="preserve"> forecast minus FCM results and minus the energy-efficiency forecast (triangle) for 2018 to 2023 (MW).</w:t>
        </w:r>
        <w:r w:rsidR="003C51B7" w:rsidRPr="000B06F4">
          <w:rPr>
            <w:b w:val="0"/>
            <w:webHidden/>
          </w:rPr>
          <w:tab/>
        </w:r>
        <w:r w:rsidRPr="000B06F4">
          <w:rPr>
            <w:b w:val="0"/>
            <w:webHidden/>
          </w:rPr>
          <w:fldChar w:fldCharType="begin"/>
        </w:r>
        <w:r w:rsidR="003C51B7" w:rsidRPr="000B06F4">
          <w:rPr>
            <w:b w:val="0"/>
            <w:webHidden/>
          </w:rPr>
          <w:instrText xml:space="preserve"> PAGEREF _Toc391985568 \h </w:instrText>
        </w:r>
        <w:r w:rsidRPr="000B06F4">
          <w:rPr>
            <w:b w:val="0"/>
            <w:webHidden/>
          </w:rPr>
        </w:r>
        <w:r w:rsidRPr="000B06F4">
          <w:rPr>
            <w:b w:val="0"/>
            <w:webHidden/>
          </w:rPr>
          <w:fldChar w:fldCharType="separate"/>
        </w:r>
        <w:r w:rsidR="00284CE3">
          <w:rPr>
            <w:b w:val="0"/>
            <w:webHidden/>
          </w:rPr>
          <w:t>47</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69" w:history="1">
        <w:r w:rsidR="003C51B7" w:rsidRPr="000B06F4">
          <w:rPr>
            <w:rStyle w:val="Hyperlink"/>
            <w:b w:val="0"/>
          </w:rPr>
          <w:t>Figure 4</w:t>
        </w:r>
        <w:r w:rsidR="003C51B7" w:rsidRPr="000B06F4">
          <w:rPr>
            <w:rStyle w:val="Hyperlink"/>
            <w:b w:val="0"/>
          </w:rPr>
          <w:noBreakHyphen/>
          <w:t xml:space="preserve">1: </w:t>
        </w:r>
        <w:r w:rsidR="003C51B7" w:rsidRPr="000B06F4">
          <w:rPr>
            <w:rStyle w:val="Hyperlink"/>
            <w:b w:val="0"/>
          </w:rPr>
          <w:tab/>
          <w:t>Projected summer operable capacity analysis, 2014 to 2023.</w:t>
        </w:r>
        <w:r w:rsidR="003C51B7" w:rsidRPr="000B06F4">
          <w:rPr>
            <w:b w:val="0"/>
            <w:webHidden/>
          </w:rPr>
          <w:tab/>
        </w:r>
        <w:r w:rsidRPr="000B06F4">
          <w:rPr>
            <w:b w:val="0"/>
            <w:webHidden/>
          </w:rPr>
          <w:fldChar w:fldCharType="begin"/>
        </w:r>
        <w:r w:rsidR="003C51B7" w:rsidRPr="000B06F4">
          <w:rPr>
            <w:b w:val="0"/>
            <w:webHidden/>
          </w:rPr>
          <w:instrText xml:space="preserve"> PAGEREF _Toc391985569 \h </w:instrText>
        </w:r>
        <w:r w:rsidRPr="000B06F4">
          <w:rPr>
            <w:b w:val="0"/>
            <w:webHidden/>
          </w:rPr>
        </w:r>
        <w:r w:rsidRPr="000B06F4">
          <w:rPr>
            <w:b w:val="0"/>
            <w:webHidden/>
          </w:rPr>
          <w:fldChar w:fldCharType="separate"/>
        </w:r>
        <w:r w:rsidR="00284CE3">
          <w:rPr>
            <w:b w:val="0"/>
            <w:webHidden/>
          </w:rPr>
          <w:t>71</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0" w:history="1">
        <w:r w:rsidR="003C51B7" w:rsidRPr="000B06F4">
          <w:rPr>
            <w:rStyle w:val="Hyperlink"/>
            <w:b w:val="0"/>
          </w:rPr>
          <w:t>Figure 4</w:t>
        </w:r>
        <w:r w:rsidR="003C51B7" w:rsidRPr="000B06F4">
          <w:rPr>
            <w:rStyle w:val="Hyperlink"/>
            <w:b w:val="0"/>
          </w:rPr>
          <w:noBreakHyphen/>
          <w:t xml:space="preserve">2: </w:t>
        </w:r>
        <w:r w:rsidR="003C51B7" w:rsidRPr="000B06F4">
          <w:rPr>
            <w:rStyle w:val="Hyperlink"/>
            <w:b w:val="0"/>
          </w:rPr>
          <w:tab/>
          <w:t>Capacity of generation-interconnection requests by RSP subarea, November 1997</w:t>
        </w:r>
        <w:r w:rsidR="003C51B7" w:rsidRPr="000B06F4">
          <w:rPr>
            <w:rStyle w:val="Hyperlink"/>
            <w:b w:val="0"/>
          </w:rPr>
          <w:br/>
          <w:t>to April 2014.</w:t>
        </w:r>
        <w:r w:rsidR="003C51B7" w:rsidRPr="000B06F4">
          <w:rPr>
            <w:b w:val="0"/>
            <w:webHidden/>
          </w:rPr>
          <w:tab/>
        </w:r>
        <w:r w:rsidRPr="000B06F4">
          <w:rPr>
            <w:b w:val="0"/>
            <w:webHidden/>
          </w:rPr>
          <w:fldChar w:fldCharType="begin"/>
        </w:r>
        <w:r w:rsidR="003C51B7" w:rsidRPr="000B06F4">
          <w:rPr>
            <w:b w:val="0"/>
            <w:webHidden/>
          </w:rPr>
          <w:instrText xml:space="preserve"> PAGEREF _Toc391985570 \h </w:instrText>
        </w:r>
        <w:r w:rsidRPr="000B06F4">
          <w:rPr>
            <w:b w:val="0"/>
            <w:webHidden/>
          </w:rPr>
        </w:r>
        <w:r w:rsidRPr="000B06F4">
          <w:rPr>
            <w:b w:val="0"/>
            <w:webHidden/>
          </w:rPr>
          <w:fldChar w:fldCharType="separate"/>
        </w:r>
        <w:r w:rsidR="00284CE3">
          <w:rPr>
            <w:b w:val="0"/>
            <w:webHidden/>
          </w:rPr>
          <w:t>75</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1" w:history="1">
        <w:r w:rsidR="003C51B7" w:rsidRPr="000B06F4">
          <w:rPr>
            <w:rStyle w:val="Hyperlink"/>
            <w:b w:val="0"/>
          </w:rPr>
          <w:t>Figure 4</w:t>
        </w:r>
        <w:r w:rsidR="003C51B7" w:rsidRPr="000B06F4">
          <w:rPr>
            <w:rStyle w:val="Hyperlink"/>
            <w:b w:val="0"/>
          </w:rPr>
          <w:noBreakHyphen/>
          <w:t xml:space="preserve">3: </w:t>
        </w:r>
        <w:r w:rsidR="003C51B7" w:rsidRPr="000B06F4">
          <w:rPr>
            <w:rStyle w:val="Hyperlink"/>
            <w:b w:val="0"/>
          </w:rPr>
          <w:tab/>
          <w:t>Resources in the ISO Generator Interconnection Queue, by state and fuel type</w:t>
        </w:r>
        <w:r w:rsidR="003C51B7" w:rsidRPr="000B06F4">
          <w:rPr>
            <w:rStyle w:val="Hyperlink"/>
            <w:b w:val="0"/>
          </w:rPr>
          <w:br/>
          <w:t xml:space="preserve"> as of April 1, 2014 (MW and %).</w:t>
        </w:r>
        <w:r w:rsidR="003C51B7" w:rsidRPr="000B06F4">
          <w:rPr>
            <w:b w:val="0"/>
            <w:webHidden/>
          </w:rPr>
          <w:tab/>
        </w:r>
        <w:r w:rsidRPr="000B06F4">
          <w:rPr>
            <w:b w:val="0"/>
            <w:webHidden/>
          </w:rPr>
          <w:fldChar w:fldCharType="begin"/>
        </w:r>
        <w:r w:rsidR="003C51B7" w:rsidRPr="000B06F4">
          <w:rPr>
            <w:b w:val="0"/>
            <w:webHidden/>
          </w:rPr>
          <w:instrText xml:space="preserve"> PAGEREF _Toc391985571 \h </w:instrText>
        </w:r>
        <w:r w:rsidRPr="000B06F4">
          <w:rPr>
            <w:b w:val="0"/>
            <w:webHidden/>
          </w:rPr>
        </w:r>
        <w:r w:rsidRPr="000B06F4">
          <w:rPr>
            <w:b w:val="0"/>
            <w:webHidden/>
          </w:rPr>
          <w:fldChar w:fldCharType="separate"/>
        </w:r>
        <w:r w:rsidR="00284CE3">
          <w:rPr>
            <w:b w:val="0"/>
            <w:webHidden/>
          </w:rPr>
          <w:t>76</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2" w:history="1">
        <w:r w:rsidR="003C51B7" w:rsidRPr="000B06F4">
          <w:rPr>
            <w:rStyle w:val="Hyperlink"/>
            <w:b w:val="0"/>
          </w:rPr>
          <w:t>Figure 4</w:t>
        </w:r>
        <w:r w:rsidR="003C51B7" w:rsidRPr="000B06F4">
          <w:rPr>
            <w:rStyle w:val="Hyperlink"/>
            <w:b w:val="0"/>
          </w:rPr>
          <w:noBreakHyphen/>
          <w:t xml:space="preserve">4: </w:t>
        </w:r>
        <w:r w:rsidR="003C51B7" w:rsidRPr="000B06F4">
          <w:rPr>
            <w:rStyle w:val="Hyperlink"/>
            <w:b w:val="0"/>
          </w:rPr>
          <w:tab/>
          <w:t>Resources in the ISO Generator Interconnection Queue, by RSP subarea and fuel type,</w:t>
        </w:r>
        <w:r w:rsidR="00FD7FCE">
          <w:rPr>
            <w:rStyle w:val="Hyperlink"/>
            <w:b w:val="0"/>
          </w:rPr>
          <w:br/>
        </w:r>
        <w:r w:rsidR="003C51B7" w:rsidRPr="000B06F4">
          <w:rPr>
            <w:rStyle w:val="Hyperlink"/>
            <w:b w:val="0"/>
          </w:rPr>
          <w:t>as of April 1, 2014 (MW).</w:t>
        </w:r>
        <w:r w:rsidR="003C51B7" w:rsidRPr="000B06F4">
          <w:rPr>
            <w:b w:val="0"/>
            <w:webHidden/>
          </w:rPr>
          <w:tab/>
        </w:r>
        <w:r w:rsidRPr="000B06F4">
          <w:rPr>
            <w:b w:val="0"/>
            <w:webHidden/>
          </w:rPr>
          <w:fldChar w:fldCharType="begin"/>
        </w:r>
        <w:r w:rsidR="003C51B7" w:rsidRPr="000B06F4">
          <w:rPr>
            <w:b w:val="0"/>
            <w:webHidden/>
          </w:rPr>
          <w:instrText xml:space="preserve"> PAGEREF _Toc391985572 \h </w:instrText>
        </w:r>
        <w:r w:rsidRPr="000B06F4">
          <w:rPr>
            <w:b w:val="0"/>
            <w:webHidden/>
          </w:rPr>
        </w:r>
        <w:r w:rsidRPr="000B06F4">
          <w:rPr>
            <w:b w:val="0"/>
            <w:webHidden/>
          </w:rPr>
          <w:fldChar w:fldCharType="separate"/>
        </w:r>
        <w:r w:rsidR="00284CE3">
          <w:rPr>
            <w:b w:val="0"/>
            <w:webHidden/>
          </w:rPr>
          <w:t>77</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3" w:history="1">
        <w:r w:rsidR="003C51B7" w:rsidRPr="000B06F4">
          <w:rPr>
            <w:rStyle w:val="Hyperlink"/>
            <w:b w:val="0"/>
          </w:rPr>
          <w:t>Figure 4</w:t>
        </w:r>
        <w:r w:rsidR="003C51B7" w:rsidRPr="000B06F4">
          <w:rPr>
            <w:rStyle w:val="Hyperlink"/>
            <w:b w:val="0"/>
          </w:rPr>
          <w:noBreakHyphen/>
          <w:t xml:space="preserve">5: </w:t>
        </w:r>
        <w:r w:rsidR="003C51B7" w:rsidRPr="000B06F4">
          <w:rPr>
            <w:rStyle w:val="Hyperlink"/>
            <w:b w:val="0"/>
          </w:rPr>
          <w:tab/>
          <w:t>Percentage of resources in the ISO Generator Interconnection Queue, by RSP subarea</w:t>
        </w:r>
        <w:r w:rsidR="003C51B7" w:rsidRPr="000B06F4">
          <w:rPr>
            <w:rStyle w:val="Hyperlink"/>
            <w:b w:val="0"/>
          </w:rPr>
          <w:br/>
          <w:t>and fuel type, as of April 1, 2014.</w:t>
        </w:r>
        <w:r w:rsidR="003C51B7" w:rsidRPr="000B06F4">
          <w:rPr>
            <w:b w:val="0"/>
            <w:webHidden/>
          </w:rPr>
          <w:tab/>
        </w:r>
        <w:r w:rsidRPr="000B06F4">
          <w:rPr>
            <w:b w:val="0"/>
            <w:webHidden/>
          </w:rPr>
          <w:fldChar w:fldCharType="begin"/>
        </w:r>
        <w:r w:rsidR="003C51B7" w:rsidRPr="000B06F4">
          <w:rPr>
            <w:b w:val="0"/>
            <w:webHidden/>
          </w:rPr>
          <w:instrText xml:space="preserve"> PAGEREF _Toc391985573 \h </w:instrText>
        </w:r>
        <w:r w:rsidRPr="000B06F4">
          <w:rPr>
            <w:b w:val="0"/>
            <w:webHidden/>
          </w:rPr>
        </w:r>
        <w:r w:rsidRPr="000B06F4">
          <w:rPr>
            <w:b w:val="0"/>
            <w:webHidden/>
          </w:rPr>
          <w:fldChar w:fldCharType="separate"/>
        </w:r>
        <w:r w:rsidR="00284CE3">
          <w:rPr>
            <w:b w:val="0"/>
            <w:webHidden/>
          </w:rPr>
          <w:t>77</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4" w:history="1">
        <w:r w:rsidR="003C51B7" w:rsidRPr="000B06F4">
          <w:rPr>
            <w:rStyle w:val="Hyperlink"/>
            <w:b w:val="0"/>
          </w:rPr>
          <w:t>Figure 5</w:t>
        </w:r>
        <w:r w:rsidR="003C51B7" w:rsidRPr="000B06F4">
          <w:rPr>
            <w:rStyle w:val="Hyperlink"/>
            <w:b w:val="0"/>
          </w:rPr>
          <w:noBreakHyphen/>
          <w:t xml:space="preserve">1: </w:t>
        </w:r>
        <w:r w:rsidR="003C51B7" w:rsidRPr="000B06F4">
          <w:rPr>
            <w:rStyle w:val="Hyperlink"/>
            <w:b w:val="0"/>
          </w:rPr>
          <w:tab/>
          <w:t>Approximate geographic region of each of the 14 major transmission projects in New England,</w:t>
        </w:r>
        <w:r w:rsidR="003C51B7" w:rsidRPr="000B06F4">
          <w:rPr>
            <w:rStyle w:val="Hyperlink"/>
            <w:b w:val="0"/>
          </w:rPr>
          <w:br/>
          <w:t>as of June 1, 2014.</w:t>
        </w:r>
        <w:r w:rsidR="003C51B7" w:rsidRPr="000B06F4">
          <w:rPr>
            <w:b w:val="0"/>
            <w:webHidden/>
          </w:rPr>
          <w:tab/>
        </w:r>
        <w:r w:rsidRPr="000B06F4">
          <w:rPr>
            <w:b w:val="0"/>
            <w:webHidden/>
          </w:rPr>
          <w:fldChar w:fldCharType="begin"/>
        </w:r>
        <w:r w:rsidR="003C51B7" w:rsidRPr="000B06F4">
          <w:rPr>
            <w:b w:val="0"/>
            <w:webHidden/>
          </w:rPr>
          <w:instrText xml:space="preserve"> PAGEREF _Toc391985574 \h </w:instrText>
        </w:r>
        <w:r w:rsidRPr="000B06F4">
          <w:rPr>
            <w:b w:val="0"/>
            <w:webHidden/>
          </w:rPr>
        </w:r>
        <w:r w:rsidRPr="000B06F4">
          <w:rPr>
            <w:b w:val="0"/>
            <w:webHidden/>
          </w:rPr>
          <w:fldChar w:fldCharType="separate"/>
        </w:r>
        <w:r w:rsidR="00284CE3">
          <w:rPr>
            <w:b w:val="0"/>
            <w:webHidden/>
          </w:rPr>
          <w:t>80</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5" w:history="1">
        <w:r w:rsidR="003C51B7" w:rsidRPr="000B06F4">
          <w:rPr>
            <w:rStyle w:val="Hyperlink"/>
            <w:b w:val="0"/>
          </w:rPr>
          <w:t>Figure 5</w:t>
        </w:r>
        <w:r w:rsidR="003C51B7" w:rsidRPr="000B06F4">
          <w:rPr>
            <w:rStyle w:val="Hyperlink"/>
            <w:b w:val="0"/>
          </w:rPr>
          <w:noBreakHyphen/>
          <w:t xml:space="preserve">2: </w:t>
        </w:r>
        <w:r w:rsidR="003C51B7" w:rsidRPr="000B06F4">
          <w:rPr>
            <w:rStyle w:val="Hyperlink"/>
            <w:b w:val="0"/>
          </w:rPr>
          <w:tab/>
          <w:t>Map of constraints in southern New England.</w:t>
        </w:r>
        <w:r w:rsidR="003C51B7" w:rsidRPr="000B06F4">
          <w:rPr>
            <w:b w:val="0"/>
            <w:webHidden/>
          </w:rPr>
          <w:tab/>
        </w:r>
        <w:r w:rsidRPr="000B06F4">
          <w:rPr>
            <w:b w:val="0"/>
            <w:webHidden/>
          </w:rPr>
          <w:fldChar w:fldCharType="begin"/>
        </w:r>
        <w:r w:rsidR="003C51B7" w:rsidRPr="000B06F4">
          <w:rPr>
            <w:b w:val="0"/>
            <w:webHidden/>
          </w:rPr>
          <w:instrText xml:space="preserve"> PAGEREF _Toc391985575 \h </w:instrText>
        </w:r>
        <w:r w:rsidRPr="000B06F4">
          <w:rPr>
            <w:b w:val="0"/>
            <w:webHidden/>
          </w:rPr>
        </w:r>
        <w:r w:rsidRPr="000B06F4">
          <w:rPr>
            <w:b w:val="0"/>
            <w:webHidden/>
          </w:rPr>
          <w:fldChar w:fldCharType="separate"/>
        </w:r>
        <w:r w:rsidR="00284CE3">
          <w:rPr>
            <w:b w:val="0"/>
            <w:webHidden/>
          </w:rPr>
          <w:t>101</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6" w:history="1">
        <w:r w:rsidR="003C51B7" w:rsidRPr="000B06F4">
          <w:rPr>
            <w:rStyle w:val="Hyperlink"/>
            <w:b w:val="0"/>
          </w:rPr>
          <w:t>Figure 6</w:t>
        </w:r>
        <w:r w:rsidR="003C51B7" w:rsidRPr="000B06F4">
          <w:rPr>
            <w:rStyle w:val="Hyperlink"/>
            <w:b w:val="0"/>
          </w:rPr>
          <w:noBreakHyphen/>
          <w:t xml:space="preserve">1: </w:t>
        </w:r>
        <w:r w:rsidR="003C51B7" w:rsidRPr="000B06F4">
          <w:rPr>
            <w:rStyle w:val="Hyperlink"/>
            <w:b w:val="0"/>
          </w:rPr>
          <w:tab/>
          <w:t>New England’s summer seasonal claimed capability and electric energy production</w:t>
        </w:r>
        <w:r w:rsidR="003C51B7" w:rsidRPr="000B06F4">
          <w:rPr>
            <w:rStyle w:val="Hyperlink"/>
            <w:b w:val="0"/>
          </w:rPr>
          <w:br/>
          <w:t>by fuel type for 2013.</w:t>
        </w:r>
        <w:r w:rsidR="003C51B7" w:rsidRPr="000B06F4">
          <w:rPr>
            <w:b w:val="0"/>
            <w:webHidden/>
          </w:rPr>
          <w:tab/>
        </w:r>
        <w:r w:rsidRPr="000B06F4">
          <w:rPr>
            <w:b w:val="0"/>
            <w:webHidden/>
          </w:rPr>
          <w:fldChar w:fldCharType="begin"/>
        </w:r>
        <w:r w:rsidR="003C51B7" w:rsidRPr="000B06F4">
          <w:rPr>
            <w:b w:val="0"/>
            <w:webHidden/>
          </w:rPr>
          <w:instrText xml:space="preserve"> PAGEREF _Toc391985576 \h </w:instrText>
        </w:r>
        <w:r w:rsidRPr="000B06F4">
          <w:rPr>
            <w:b w:val="0"/>
            <w:webHidden/>
          </w:rPr>
        </w:r>
        <w:r w:rsidRPr="000B06F4">
          <w:rPr>
            <w:b w:val="0"/>
            <w:webHidden/>
          </w:rPr>
          <w:fldChar w:fldCharType="separate"/>
        </w:r>
        <w:r w:rsidR="00284CE3">
          <w:rPr>
            <w:b w:val="0"/>
            <w:webHidden/>
          </w:rPr>
          <w:t>125</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7" w:history="1">
        <w:r w:rsidR="003C51B7" w:rsidRPr="000B06F4">
          <w:rPr>
            <w:rStyle w:val="Hyperlink"/>
            <w:b w:val="0"/>
          </w:rPr>
          <w:t>Figure 6</w:t>
        </w:r>
        <w:r w:rsidR="003C51B7" w:rsidRPr="000B06F4">
          <w:rPr>
            <w:rStyle w:val="Hyperlink"/>
            <w:b w:val="0"/>
          </w:rPr>
          <w:noBreakHyphen/>
          <w:t>2</w:t>
        </w:r>
        <w:r w:rsidR="00065349">
          <w:rPr>
            <w:rStyle w:val="Hyperlink"/>
            <w:b w:val="0"/>
          </w:rPr>
          <w:t>:</w:t>
        </w:r>
        <w:r w:rsidR="003C51B7" w:rsidRPr="000B06F4">
          <w:rPr>
            <w:rStyle w:val="Hyperlink"/>
            <w:b w:val="0"/>
          </w:rPr>
          <w:t xml:space="preserve"> </w:t>
        </w:r>
        <w:r w:rsidR="003C51B7" w:rsidRPr="000B06F4">
          <w:rPr>
            <w:rStyle w:val="Hyperlink"/>
            <w:b w:val="0"/>
          </w:rPr>
          <w:tab/>
          <w:t>Generating resource summer capability by fuel type based on the 2014 CELT Report</w:t>
        </w:r>
        <w:r w:rsidR="003C51B7" w:rsidRPr="000B06F4">
          <w:rPr>
            <w:rStyle w:val="Hyperlink"/>
            <w:b w:val="0"/>
          </w:rPr>
          <w:br/>
          <w:t>and the interconnection queue (MW, %).</w:t>
        </w:r>
        <w:r w:rsidR="003C51B7" w:rsidRPr="000B06F4">
          <w:rPr>
            <w:b w:val="0"/>
            <w:webHidden/>
          </w:rPr>
          <w:tab/>
        </w:r>
        <w:r w:rsidRPr="000B06F4">
          <w:rPr>
            <w:b w:val="0"/>
            <w:webHidden/>
          </w:rPr>
          <w:fldChar w:fldCharType="begin"/>
        </w:r>
        <w:r w:rsidR="003C51B7" w:rsidRPr="000B06F4">
          <w:rPr>
            <w:b w:val="0"/>
            <w:webHidden/>
          </w:rPr>
          <w:instrText xml:space="preserve"> PAGEREF _Toc391985577 \h </w:instrText>
        </w:r>
        <w:r w:rsidRPr="000B06F4">
          <w:rPr>
            <w:b w:val="0"/>
            <w:webHidden/>
          </w:rPr>
        </w:r>
        <w:r w:rsidRPr="000B06F4">
          <w:rPr>
            <w:b w:val="0"/>
            <w:webHidden/>
          </w:rPr>
          <w:fldChar w:fldCharType="separate"/>
        </w:r>
        <w:r w:rsidR="00284CE3">
          <w:rPr>
            <w:b w:val="0"/>
            <w:webHidden/>
          </w:rPr>
          <w:t>126</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8" w:history="1">
        <w:r w:rsidR="003C51B7" w:rsidRPr="000B06F4">
          <w:rPr>
            <w:rStyle w:val="Hyperlink"/>
            <w:b w:val="0"/>
          </w:rPr>
          <w:t>Figure 6</w:t>
        </w:r>
        <w:r w:rsidR="003C51B7" w:rsidRPr="000B06F4">
          <w:rPr>
            <w:rStyle w:val="Hyperlink"/>
            <w:b w:val="0"/>
          </w:rPr>
          <w:noBreakHyphen/>
          <w:t>3:</w:t>
        </w:r>
        <w:r w:rsidR="003C51B7" w:rsidRPr="000B06F4">
          <w:rPr>
            <w:rStyle w:val="Hyperlink"/>
            <w:b w:val="0"/>
          </w:rPr>
          <w:tab/>
          <w:t>Overview map of the natural gas infrastructure serving New England.</w:t>
        </w:r>
        <w:r w:rsidR="003C51B7" w:rsidRPr="000B06F4">
          <w:rPr>
            <w:b w:val="0"/>
            <w:webHidden/>
          </w:rPr>
          <w:tab/>
        </w:r>
        <w:r w:rsidRPr="000B06F4">
          <w:rPr>
            <w:b w:val="0"/>
            <w:webHidden/>
          </w:rPr>
          <w:fldChar w:fldCharType="begin"/>
        </w:r>
        <w:r w:rsidR="003C51B7" w:rsidRPr="000B06F4">
          <w:rPr>
            <w:b w:val="0"/>
            <w:webHidden/>
          </w:rPr>
          <w:instrText xml:space="preserve"> PAGEREF _Toc391985578 \h </w:instrText>
        </w:r>
        <w:r w:rsidRPr="000B06F4">
          <w:rPr>
            <w:b w:val="0"/>
            <w:webHidden/>
          </w:rPr>
        </w:r>
        <w:r w:rsidRPr="000B06F4">
          <w:rPr>
            <w:b w:val="0"/>
            <w:webHidden/>
          </w:rPr>
          <w:fldChar w:fldCharType="separate"/>
        </w:r>
        <w:r w:rsidR="00284CE3">
          <w:rPr>
            <w:b w:val="0"/>
            <w:webHidden/>
          </w:rPr>
          <w:t>128</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79" w:history="1">
        <w:r w:rsidR="003C51B7" w:rsidRPr="000B06F4">
          <w:rPr>
            <w:rStyle w:val="Hyperlink"/>
            <w:b w:val="0"/>
          </w:rPr>
          <w:t>Figure 6</w:t>
        </w:r>
        <w:r w:rsidR="003C51B7" w:rsidRPr="000B06F4">
          <w:rPr>
            <w:rStyle w:val="Hyperlink"/>
            <w:b w:val="0"/>
          </w:rPr>
          <w:noBreakHyphen/>
          <w:t xml:space="preserve">4: </w:t>
        </w:r>
        <w:r w:rsidR="003C51B7" w:rsidRPr="000B06F4">
          <w:rPr>
            <w:rStyle w:val="Hyperlink"/>
            <w:b w:val="0"/>
          </w:rPr>
          <w:tab/>
          <w:t>LNG sendout from Canaport LNG terminal/Maritime pipeline and Everett LNG terminal,</w:t>
        </w:r>
        <w:r w:rsidR="003C51B7" w:rsidRPr="000B06F4">
          <w:rPr>
            <w:rStyle w:val="Hyperlink"/>
            <w:b w:val="0"/>
          </w:rPr>
          <w:br/>
          <w:t>November 2010 to May 2013 (MMcf/d).</w:t>
        </w:r>
        <w:r w:rsidR="003C51B7" w:rsidRPr="000B06F4">
          <w:rPr>
            <w:b w:val="0"/>
            <w:webHidden/>
          </w:rPr>
          <w:tab/>
        </w:r>
        <w:r w:rsidRPr="000B06F4">
          <w:rPr>
            <w:b w:val="0"/>
            <w:webHidden/>
          </w:rPr>
          <w:fldChar w:fldCharType="begin"/>
        </w:r>
        <w:r w:rsidR="003C51B7" w:rsidRPr="000B06F4">
          <w:rPr>
            <w:b w:val="0"/>
            <w:webHidden/>
          </w:rPr>
          <w:instrText xml:space="preserve"> PAGEREF _Toc391985579 \h </w:instrText>
        </w:r>
        <w:r w:rsidRPr="000B06F4">
          <w:rPr>
            <w:b w:val="0"/>
            <w:webHidden/>
          </w:rPr>
        </w:r>
        <w:r w:rsidRPr="000B06F4">
          <w:rPr>
            <w:b w:val="0"/>
            <w:webHidden/>
          </w:rPr>
          <w:fldChar w:fldCharType="separate"/>
        </w:r>
        <w:r w:rsidR="00284CE3">
          <w:rPr>
            <w:b w:val="0"/>
            <w:webHidden/>
          </w:rPr>
          <w:t>129</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0" w:history="1">
        <w:r w:rsidR="003C51B7" w:rsidRPr="000B06F4">
          <w:rPr>
            <w:rStyle w:val="Hyperlink"/>
            <w:b w:val="0"/>
          </w:rPr>
          <w:t>Figure 6</w:t>
        </w:r>
        <w:r w:rsidR="003C51B7" w:rsidRPr="000B06F4">
          <w:rPr>
            <w:rStyle w:val="Hyperlink"/>
            <w:b w:val="0"/>
          </w:rPr>
          <w:noBreakHyphen/>
          <w:t xml:space="preserve">5: </w:t>
        </w:r>
        <w:r w:rsidR="003C51B7" w:rsidRPr="000B06F4">
          <w:rPr>
            <w:rStyle w:val="Hyperlink"/>
            <w:b w:val="0"/>
          </w:rPr>
          <w:tab/>
          <w:t>Northeast natural gas pipeline constraints (left) and recent pipeline-capacity additions,</w:t>
        </w:r>
        <w:r w:rsidR="003C51B7" w:rsidRPr="000B06F4">
          <w:rPr>
            <w:rStyle w:val="Hyperlink"/>
            <w:b w:val="0"/>
          </w:rPr>
          <w:br/>
          <w:t>2011 (right).</w:t>
        </w:r>
        <w:r w:rsidR="003C51B7" w:rsidRPr="000B06F4">
          <w:rPr>
            <w:b w:val="0"/>
            <w:webHidden/>
          </w:rPr>
          <w:tab/>
        </w:r>
        <w:r w:rsidRPr="000B06F4">
          <w:rPr>
            <w:b w:val="0"/>
            <w:webHidden/>
          </w:rPr>
          <w:fldChar w:fldCharType="begin"/>
        </w:r>
        <w:r w:rsidR="003C51B7" w:rsidRPr="000B06F4">
          <w:rPr>
            <w:b w:val="0"/>
            <w:webHidden/>
          </w:rPr>
          <w:instrText xml:space="preserve"> PAGEREF _Toc391985580 \h </w:instrText>
        </w:r>
        <w:r w:rsidRPr="000B06F4">
          <w:rPr>
            <w:b w:val="0"/>
            <w:webHidden/>
          </w:rPr>
        </w:r>
        <w:r w:rsidRPr="000B06F4">
          <w:rPr>
            <w:b w:val="0"/>
            <w:webHidden/>
          </w:rPr>
          <w:fldChar w:fldCharType="separate"/>
        </w:r>
        <w:r w:rsidR="00284CE3">
          <w:rPr>
            <w:b w:val="0"/>
            <w:webHidden/>
          </w:rPr>
          <w:t>130</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1" w:history="1">
        <w:r w:rsidR="003C51B7" w:rsidRPr="000B06F4">
          <w:rPr>
            <w:rStyle w:val="Hyperlink"/>
            <w:b w:val="0"/>
          </w:rPr>
          <w:t>Figure 6</w:t>
        </w:r>
        <w:r w:rsidR="003C51B7" w:rsidRPr="000B06F4">
          <w:rPr>
            <w:rStyle w:val="Hyperlink"/>
            <w:b w:val="0"/>
          </w:rPr>
          <w:noBreakHyphen/>
          <w:t xml:space="preserve">6: </w:t>
        </w:r>
        <w:r w:rsidR="003C51B7" w:rsidRPr="000B06F4">
          <w:rPr>
            <w:rStyle w:val="Hyperlink"/>
            <w:b w:val="0"/>
          </w:rPr>
          <w:tab/>
          <w:t>Generator energy production by fuel type for December 2013, and January, February,</w:t>
        </w:r>
        <w:r w:rsidR="003C51B7" w:rsidRPr="000B06F4">
          <w:rPr>
            <w:rStyle w:val="Hyperlink"/>
            <w:b w:val="0"/>
          </w:rPr>
          <w:br/>
          <w:t>and March 2014.</w:t>
        </w:r>
        <w:r w:rsidR="003C51B7" w:rsidRPr="000B06F4">
          <w:rPr>
            <w:b w:val="0"/>
            <w:webHidden/>
          </w:rPr>
          <w:tab/>
        </w:r>
        <w:r w:rsidRPr="000B06F4">
          <w:rPr>
            <w:b w:val="0"/>
            <w:webHidden/>
          </w:rPr>
          <w:fldChar w:fldCharType="begin"/>
        </w:r>
        <w:r w:rsidR="003C51B7" w:rsidRPr="000B06F4">
          <w:rPr>
            <w:b w:val="0"/>
            <w:webHidden/>
          </w:rPr>
          <w:instrText xml:space="preserve"> PAGEREF _Toc391985581 \h </w:instrText>
        </w:r>
        <w:r w:rsidRPr="000B06F4">
          <w:rPr>
            <w:b w:val="0"/>
            <w:webHidden/>
          </w:rPr>
        </w:r>
        <w:r w:rsidRPr="000B06F4">
          <w:rPr>
            <w:b w:val="0"/>
            <w:webHidden/>
          </w:rPr>
          <w:fldChar w:fldCharType="separate"/>
        </w:r>
        <w:r w:rsidR="00284CE3">
          <w:rPr>
            <w:b w:val="0"/>
            <w:webHidden/>
          </w:rPr>
          <w:t>133</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2" w:history="1">
        <w:r w:rsidR="003C51B7" w:rsidRPr="000B06F4">
          <w:rPr>
            <w:rStyle w:val="Hyperlink"/>
            <w:b w:val="0"/>
          </w:rPr>
          <w:t>Figure 6</w:t>
        </w:r>
        <w:r w:rsidR="003C51B7" w:rsidRPr="000B06F4">
          <w:rPr>
            <w:rStyle w:val="Hyperlink"/>
            <w:b w:val="0"/>
          </w:rPr>
          <w:noBreakHyphen/>
          <w:t xml:space="preserve">7: </w:t>
        </w:r>
        <w:r w:rsidR="003C51B7" w:rsidRPr="000B06F4">
          <w:rPr>
            <w:rStyle w:val="Hyperlink"/>
            <w:b w:val="0"/>
          </w:rPr>
          <w:tab/>
          <w:t>Depletion of oil storage inventories at regional generation facilities.</w:t>
        </w:r>
        <w:r w:rsidR="003C51B7" w:rsidRPr="000B06F4">
          <w:rPr>
            <w:b w:val="0"/>
            <w:webHidden/>
          </w:rPr>
          <w:tab/>
        </w:r>
        <w:r w:rsidRPr="000B06F4">
          <w:rPr>
            <w:b w:val="0"/>
            <w:webHidden/>
          </w:rPr>
          <w:fldChar w:fldCharType="begin"/>
        </w:r>
        <w:r w:rsidR="003C51B7" w:rsidRPr="000B06F4">
          <w:rPr>
            <w:b w:val="0"/>
            <w:webHidden/>
          </w:rPr>
          <w:instrText xml:space="preserve"> PAGEREF _Toc391985582 \h </w:instrText>
        </w:r>
        <w:r w:rsidRPr="000B06F4">
          <w:rPr>
            <w:b w:val="0"/>
            <w:webHidden/>
          </w:rPr>
        </w:r>
        <w:r w:rsidRPr="000B06F4">
          <w:rPr>
            <w:b w:val="0"/>
            <w:webHidden/>
          </w:rPr>
          <w:fldChar w:fldCharType="separate"/>
        </w:r>
        <w:r w:rsidR="00284CE3">
          <w:rPr>
            <w:b w:val="0"/>
            <w:webHidden/>
          </w:rPr>
          <w:t>133</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3" w:history="1">
        <w:r w:rsidR="003C51B7" w:rsidRPr="000B06F4">
          <w:rPr>
            <w:rStyle w:val="Hyperlink"/>
            <w:b w:val="0"/>
          </w:rPr>
          <w:t>Figure 6</w:t>
        </w:r>
        <w:r w:rsidR="003C51B7" w:rsidRPr="000B06F4">
          <w:rPr>
            <w:rStyle w:val="Hyperlink"/>
            <w:b w:val="0"/>
          </w:rPr>
          <w:noBreakHyphen/>
          <w:t xml:space="preserve">8: </w:t>
        </w:r>
        <w:r w:rsidR="003C51B7" w:rsidRPr="000B06F4">
          <w:rPr>
            <w:rStyle w:val="Hyperlink"/>
            <w:b w:val="0"/>
          </w:rPr>
          <w:tab/>
          <w:t>Hourly real-time locational marginal prices, December 1 to 31, 2013.</w:t>
        </w:r>
        <w:r w:rsidR="003C51B7" w:rsidRPr="000B06F4">
          <w:rPr>
            <w:b w:val="0"/>
            <w:webHidden/>
          </w:rPr>
          <w:tab/>
        </w:r>
        <w:r w:rsidRPr="000B06F4">
          <w:rPr>
            <w:b w:val="0"/>
            <w:webHidden/>
          </w:rPr>
          <w:fldChar w:fldCharType="begin"/>
        </w:r>
        <w:r w:rsidR="003C51B7" w:rsidRPr="000B06F4">
          <w:rPr>
            <w:b w:val="0"/>
            <w:webHidden/>
          </w:rPr>
          <w:instrText xml:space="preserve"> PAGEREF _Toc391985583 \h </w:instrText>
        </w:r>
        <w:r w:rsidRPr="000B06F4">
          <w:rPr>
            <w:b w:val="0"/>
            <w:webHidden/>
          </w:rPr>
        </w:r>
        <w:r w:rsidRPr="000B06F4">
          <w:rPr>
            <w:b w:val="0"/>
            <w:webHidden/>
          </w:rPr>
          <w:fldChar w:fldCharType="separate"/>
        </w:r>
        <w:r w:rsidR="00284CE3">
          <w:rPr>
            <w:b w:val="0"/>
            <w:webHidden/>
          </w:rPr>
          <w:t>135</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4" w:history="1">
        <w:r w:rsidR="003C51B7" w:rsidRPr="000B06F4">
          <w:rPr>
            <w:rStyle w:val="Hyperlink"/>
            <w:b w:val="0"/>
          </w:rPr>
          <w:t>Figure 6</w:t>
        </w:r>
        <w:r w:rsidR="003C51B7" w:rsidRPr="000B06F4">
          <w:rPr>
            <w:rStyle w:val="Hyperlink"/>
            <w:b w:val="0"/>
          </w:rPr>
          <w:noBreakHyphen/>
          <w:t xml:space="preserve">9: </w:t>
        </w:r>
        <w:r w:rsidR="003C51B7" w:rsidRPr="000B06F4">
          <w:rPr>
            <w:rStyle w:val="Hyperlink"/>
            <w:b w:val="0"/>
          </w:rPr>
          <w:tab/>
          <w:t>Generation by fuel type compared with CSO</w:t>
        </w:r>
        <w:r w:rsidR="005126AD">
          <w:rPr>
            <w:rStyle w:val="Hyperlink"/>
            <w:b w:val="0"/>
          </w:rPr>
          <w:t>s</w:t>
        </w:r>
        <w:r w:rsidR="003C51B7" w:rsidRPr="000B06F4">
          <w:rPr>
            <w:rStyle w:val="Hyperlink"/>
            <w:b w:val="0"/>
          </w:rPr>
          <w:t>, January 7, 2014, evening peak (MW).</w:t>
        </w:r>
        <w:r w:rsidR="003C51B7" w:rsidRPr="000B06F4">
          <w:rPr>
            <w:b w:val="0"/>
            <w:webHidden/>
          </w:rPr>
          <w:tab/>
        </w:r>
        <w:r w:rsidRPr="000B06F4">
          <w:rPr>
            <w:b w:val="0"/>
            <w:webHidden/>
          </w:rPr>
          <w:fldChar w:fldCharType="begin"/>
        </w:r>
        <w:r w:rsidR="003C51B7" w:rsidRPr="000B06F4">
          <w:rPr>
            <w:b w:val="0"/>
            <w:webHidden/>
          </w:rPr>
          <w:instrText xml:space="preserve"> PAGEREF _Toc391985584 \h </w:instrText>
        </w:r>
        <w:r w:rsidRPr="000B06F4">
          <w:rPr>
            <w:b w:val="0"/>
            <w:webHidden/>
          </w:rPr>
        </w:r>
        <w:r w:rsidRPr="000B06F4">
          <w:rPr>
            <w:b w:val="0"/>
            <w:webHidden/>
          </w:rPr>
          <w:fldChar w:fldCharType="separate"/>
        </w:r>
        <w:r w:rsidR="00284CE3">
          <w:rPr>
            <w:b w:val="0"/>
            <w:webHidden/>
          </w:rPr>
          <w:t>137</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5" w:history="1">
        <w:r w:rsidR="003C51B7" w:rsidRPr="000B06F4">
          <w:rPr>
            <w:rStyle w:val="Hyperlink"/>
            <w:b w:val="0"/>
          </w:rPr>
          <w:t>Figure 6</w:t>
        </w:r>
        <w:r w:rsidR="003C51B7" w:rsidRPr="000B06F4">
          <w:rPr>
            <w:rStyle w:val="Hyperlink"/>
            <w:b w:val="0"/>
          </w:rPr>
          <w:noBreakHyphen/>
          <w:t xml:space="preserve">10: </w:t>
        </w:r>
        <w:r w:rsidR="003C51B7" w:rsidRPr="000B06F4">
          <w:rPr>
            <w:rStyle w:val="Hyperlink"/>
            <w:b w:val="0"/>
          </w:rPr>
          <w:tab/>
          <w:t>Generation by fuel type, January 7, 2014, evening peak (%)</w:t>
        </w:r>
        <w:r w:rsidR="003C51B7" w:rsidRPr="000B06F4">
          <w:rPr>
            <w:b w:val="0"/>
            <w:webHidden/>
          </w:rPr>
          <w:tab/>
        </w:r>
        <w:r w:rsidRPr="000B06F4">
          <w:rPr>
            <w:b w:val="0"/>
            <w:webHidden/>
          </w:rPr>
          <w:fldChar w:fldCharType="begin"/>
        </w:r>
        <w:r w:rsidR="003C51B7" w:rsidRPr="000B06F4">
          <w:rPr>
            <w:b w:val="0"/>
            <w:webHidden/>
          </w:rPr>
          <w:instrText xml:space="preserve"> PAGEREF _Toc391985585 \h </w:instrText>
        </w:r>
        <w:r w:rsidRPr="000B06F4">
          <w:rPr>
            <w:b w:val="0"/>
            <w:webHidden/>
          </w:rPr>
        </w:r>
        <w:r w:rsidRPr="000B06F4">
          <w:rPr>
            <w:b w:val="0"/>
            <w:webHidden/>
          </w:rPr>
          <w:fldChar w:fldCharType="separate"/>
        </w:r>
        <w:r w:rsidR="00284CE3">
          <w:rPr>
            <w:b w:val="0"/>
            <w:webHidden/>
          </w:rPr>
          <w:t>137</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6" w:history="1">
        <w:r w:rsidR="003C51B7" w:rsidRPr="000B06F4">
          <w:rPr>
            <w:rStyle w:val="Hyperlink"/>
            <w:b w:val="0"/>
          </w:rPr>
          <w:t>Figure 6</w:t>
        </w:r>
        <w:r w:rsidR="003C51B7" w:rsidRPr="000B06F4">
          <w:rPr>
            <w:rStyle w:val="Hyperlink"/>
            <w:b w:val="0"/>
          </w:rPr>
          <w:noBreakHyphen/>
          <w:t xml:space="preserve">11: </w:t>
        </w:r>
        <w:r w:rsidR="003C51B7" w:rsidRPr="000B06F4">
          <w:rPr>
            <w:rStyle w:val="Hyperlink"/>
            <w:b w:val="0"/>
          </w:rPr>
          <w:tab/>
          <w:t>Real-time energy prices compared with regional natural gas prices ($/MWh; $/MMbtu).</w:t>
        </w:r>
        <w:r w:rsidR="003C51B7" w:rsidRPr="000B06F4">
          <w:rPr>
            <w:b w:val="0"/>
            <w:webHidden/>
          </w:rPr>
          <w:tab/>
        </w:r>
        <w:r w:rsidRPr="000B06F4">
          <w:rPr>
            <w:b w:val="0"/>
            <w:webHidden/>
          </w:rPr>
          <w:fldChar w:fldCharType="begin"/>
        </w:r>
        <w:r w:rsidR="003C51B7" w:rsidRPr="000B06F4">
          <w:rPr>
            <w:b w:val="0"/>
            <w:webHidden/>
          </w:rPr>
          <w:instrText xml:space="preserve"> PAGEREF _Toc391985586 \h </w:instrText>
        </w:r>
        <w:r w:rsidRPr="000B06F4">
          <w:rPr>
            <w:b w:val="0"/>
            <w:webHidden/>
          </w:rPr>
        </w:r>
        <w:r w:rsidRPr="000B06F4">
          <w:rPr>
            <w:b w:val="0"/>
            <w:webHidden/>
          </w:rPr>
          <w:fldChar w:fldCharType="separate"/>
        </w:r>
        <w:r w:rsidR="00284CE3">
          <w:rPr>
            <w:b w:val="0"/>
            <w:webHidden/>
          </w:rPr>
          <w:t>139</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7" w:history="1">
        <w:r w:rsidR="003C51B7" w:rsidRPr="000B06F4">
          <w:rPr>
            <w:rStyle w:val="Hyperlink"/>
            <w:b w:val="0"/>
          </w:rPr>
          <w:t>Figure 6</w:t>
        </w:r>
        <w:r w:rsidR="003C51B7" w:rsidRPr="000B06F4">
          <w:rPr>
            <w:rStyle w:val="Hyperlink"/>
            <w:b w:val="0"/>
          </w:rPr>
          <w:noBreakHyphen/>
          <w:t xml:space="preserve">12: </w:t>
        </w:r>
        <w:r w:rsidR="003C51B7" w:rsidRPr="000B06F4">
          <w:rPr>
            <w:rStyle w:val="Hyperlink"/>
            <w:b w:val="0"/>
          </w:rPr>
          <w:tab/>
          <w:t>Daily day-ahead and real-time ISO New England Hub prices and input fuel prices,</w:t>
        </w:r>
        <w:r w:rsidR="003C51B7" w:rsidRPr="000B06F4">
          <w:rPr>
            <w:rStyle w:val="Hyperlink"/>
            <w:b w:val="0"/>
          </w:rPr>
          <w:br/>
          <w:t>January 1 to 31, 2014 ($/MWh; $/MMBtu).</w:t>
        </w:r>
        <w:r w:rsidR="003C51B7" w:rsidRPr="000B06F4">
          <w:rPr>
            <w:b w:val="0"/>
            <w:webHidden/>
          </w:rPr>
          <w:tab/>
        </w:r>
        <w:r w:rsidRPr="000B06F4">
          <w:rPr>
            <w:b w:val="0"/>
            <w:webHidden/>
          </w:rPr>
          <w:fldChar w:fldCharType="begin"/>
        </w:r>
        <w:r w:rsidR="003C51B7" w:rsidRPr="000B06F4">
          <w:rPr>
            <w:b w:val="0"/>
            <w:webHidden/>
          </w:rPr>
          <w:instrText xml:space="preserve"> PAGEREF _Toc391985587 \h </w:instrText>
        </w:r>
        <w:r w:rsidRPr="000B06F4">
          <w:rPr>
            <w:b w:val="0"/>
            <w:webHidden/>
          </w:rPr>
        </w:r>
        <w:r w:rsidRPr="000B06F4">
          <w:rPr>
            <w:b w:val="0"/>
            <w:webHidden/>
          </w:rPr>
          <w:fldChar w:fldCharType="separate"/>
        </w:r>
        <w:r w:rsidR="00284CE3">
          <w:rPr>
            <w:b w:val="0"/>
            <w:webHidden/>
          </w:rPr>
          <w:t>139</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8" w:history="1">
        <w:r w:rsidR="003C51B7" w:rsidRPr="000B06F4">
          <w:rPr>
            <w:rStyle w:val="Hyperlink"/>
            <w:b w:val="0"/>
          </w:rPr>
          <w:t>Figure 6</w:t>
        </w:r>
        <w:r w:rsidR="003C51B7" w:rsidRPr="000B06F4">
          <w:rPr>
            <w:rStyle w:val="Hyperlink"/>
            <w:b w:val="0"/>
          </w:rPr>
          <w:noBreakHyphen/>
          <w:t xml:space="preserve">13: </w:t>
        </w:r>
        <w:r w:rsidR="003C51B7" w:rsidRPr="000B06F4">
          <w:rPr>
            <w:rStyle w:val="Hyperlink"/>
            <w:b w:val="0"/>
          </w:rPr>
          <w:tab/>
          <w:t>Number of cooling systems in the United States by primary energy source, 2012.</w:t>
        </w:r>
        <w:r w:rsidR="003C51B7" w:rsidRPr="000B06F4">
          <w:rPr>
            <w:b w:val="0"/>
            <w:webHidden/>
          </w:rPr>
          <w:tab/>
        </w:r>
        <w:r w:rsidRPr="000B06F4">
          <w:rPr>
            <w:b w:val="0"/>
            <w:webHidden/>
          </w:rPr>
          <w:fldChar w:fldCharType="begin"/>
        </w:r>
        <w:r w:rsidR="003C51B7" w:rsidRPr="000B06F4">
          <w:rPr>
            <w:b w:val="0"/>
            <w:webHidden/>
          </w:rPr>
          <w:instrText xml:space="preserve"> PAGEREF _Toc391985588 \h </w:instrText>
        </w:r>
        <w:r w:rsidRPr="000B06F4">
          <w:rPr>
            <w:b w:val="0"/>
            <w:webHidden/>
          </w:rPr>
        </w:r>
        <w:r w:rsidRPr="000B06F4">
          <w:rPr>
            <w:b w:val="0"/>
            <w:webHidden/>
          </w:rPr>
          <w:fldChar w:fldCharType="separate"/>
        </w:r>
        <w:r w:rsidR="00284CE3">
          <w:rPr>
            <w:b w:val="0"/>
            <w:webHidden/>
          </w:rPr>
          <w:t>148</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89" w:history="1">
        <w:r w:rsidR="003C51B7" w:rsidRPr="000B06F4">
          <w:rPr>
            <w:rStyle w:val="Hyperlink"/>
            <w:b w:val="0"/>
          </w:rPr>
          <w:t>Figure 6</w:t>
        </w:r>
        <w:r w:rsidR="003C51B7" w:rsidRPr="000B06F4">
          <w:rPr>
            <w:rStyle w:val="Hyperlink"/>
            <w:b w:val="0"/>
          </w:rPr>
          <w:noBreakHyphen/>
          <w:t xml:space="preserve">14: </w:t>
        </w:r>
        <w:r w:rsidR="003C51B7" w:rsidRPr="000B06F4">
          <w:rPr>
            <w:rStyle w:val="Hyperlink"/>
            <w:b w:val="0"/>
          </w:rPr>
          <w:tab/>
          <w:t>Annual average NO</w:t>
        </w:r>
        <w:r w:rsidR="003C51B7" w:rsidRPr="000B06F4">
          <w:rPr>
            <w:rStyle w:val="Hyperlink"/>
            <w:b w:val="0"/>
            <w:vertAlign w:val="subscript"/>
          </w:rPr>
          <w:t>X</w:t>
        </w:r>
        <w:r w:rsidR="003C51B7" w:rsidRPr="000B06F4">
          <w:rPr>
            <w:rStyle w:val="Hyperlink"/>
            <w:b w:val="0"/>
          </w:rPr>
          <w:t>, SO</w:t>
        </w:r>
        <w:r w:rsidR="003C51B7" w:rsidRPr="000B06F4">
          <w:rPr>
            <w:rStyle w:val="Hyperlink"/>
            <w:b w:val="0"/>
            <w:vertAlign w:val="subscript"/>
          </w:rPr>
          <w:t>2</w:t>
        </w:r>
        <w:r w:rsidR="003C51B7" w:rsidRPr="000B06F4">
          <w:rPr>
            <w:rStyle w:val="Hyperlink"/>
            <w:b w:val="0"/>
          </w:rPr>
          <w:t xml:space="preserve"> and CO</w:t>
        </w:r>
        <w:r w:rsidR="003C51B7" w:rsidRPr="000B06F4">
          <w:rPr>
            <w:rStyle w:val="Hyperlink"/>
            <w:b w:val="0"/>
            <w:vertAlign w:val="subscript"/>
          </w:rPr>
          <w:t>2</w:t>
        </w:r>
        <w:r w:rsidR="003C51B7" w:rsidRPr="000B06F4">
          <w:rPr>
            <w:rStyle w:val="Hyperlink"/>
            <w:b w:val="0"/>
          </w:rPr>
          <w:t xml:space="preserve"> emission rates, 2001 to 2012 (lb/MWh).</w:t>
        </w:r>
        <w:r w:rsidR="003C51B7" w:rsidRPr="000B06F4">
          <w:rPr>
            <w:b w:val="0"/>
            <w:webHidden/>
          </w:rPr>
          <w:tab/>
        </w:r>
        <w:r w:rsidRPr="000B06F4">
          <w:rPr>
            <w:b w:val="0"/>
            <w:webHidden/>
          </w:rPr>
          <w:fldChar w:fldCharType="begin"/>
        </w:r>
        <w:r w:rsidR="003C51B7" w:rsidRPr="000B06F4">
          <w:rPr>
            <w:b w:val="0"/>
            <w:webHidden/>
          </w:rPr>
          <w:instrText xml:space="preserve"> PAGEREF _Toc391985589 \h </w:instrText>
        </w:r>
        <w:r w:rsidRPr="000B06F4">
          <w:rPr>
            <w:b w:val="0"/>
            <w:webHidden/>
          </w:rPr>
        </w:r>
        <w:r w:rsidRPr="000B06F4">
          <w:rPr>
            <w:b w:val="0"/>
            <w:webHidden/>
          </w:rPr>
          <w:fldChar w:fldCharType="separate"/>
        </w:r>
        <w:r w:rsidR="00284CE3">
          <w:rPr>
            <w:b w:val="0"/>
            <w:webHidden/>
          </w:rPr>
          <w:t>152</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0" w:history="1">
        <w:r w:rsidR="003C51B7" w:rsidRPr="000B06F4">
          <w:rPr>
            <w:rStyle w:val="Hyperlink"/>
            <w:b w:val="0"/>
          </w:rPr>
          <w:t>Figure 6</w:t>
        </w:r>
        <w:r w:rsidR="003C51B7" w:rsidRPr="000B06F4">
          <w:rPr>
            <w:rStyle w:val="Hyperlink"/>
            <w:b w:val="0"/>
          </w:rPr>
          <w:noBreakHyphen/>
          <w:t xml:space="preserve">15: </w:t>
        </w:r>
        <w:r w:rsidR="003C51B7" w:rsidRPr="000B06F4">
          <w:rPr>
            <w:rStyle w:val="Hyperlink"/>
            <w:b w:val="0"/>
          </w:rPr>
          <w:tab/>
          <w:t>RGGI CO</w:t>
        </w:r>
        <w:r w:rsidR="003C51B7" w:rsidRPr="000B06F4">
          <w:rPr>
            <w:rStyle w:val="Hyperlink"/>
            <w:b w:val="0"/>
            <w:vertAlign w:val="subscript"/>
          </w:rPr>
          <w:t>2</w:t>
        </w:r>
        <w:r w:rsidR="003C51B7" w:rsidRPr="000B06F4">
          <w:rPr>
            <w:rStyle w:val="Hyperlink"/>
            <w:b w:val="0"/>
          </w:rPr>
          <w:t xml:space="preserve"> emissions cap compared with actual/projected emissions (2005 to 2020).</w:t>
        </w:r>
        <w:r w:rsidR="003C51B7" w:rsidRPr="000B06F4">
          <w:rPr>
            <w:b w:val="0"/>
            <w:webHidden/>
          </w:rPr>
          <w:tab/>
        </w:r>
        <w:r w:rsidRPr="000B06F4">
          <w:rPr>
            <w:b w:val="0"/>
            <w:webHidden/>
          </w:rPr>
          <w:fldChar w:fldCharType="begin"/>
        </w:r>
        <w:r w:rsidR="003C51B7" w:rsidRPr="000B06F4">
          <w:rPr>
            <w:b w:val="0"/>
            <w:webHidden/>
          </w:rPr>
          <w:instrText xml:space="preserve"> PAGEREF _Toc391985590 \h </w:instrText>
        </w:r>
        <w:r w:rsidRPr="000B06F4">
          <w:rPr>
            <w:b w:val="0"/>
            <w:webHidden/>
          </w:rPr>
        </w:r>
        <w:r w:rsidRPr="000B06F4">
          <w:rPr>
            <w:b w:val="0"/>
            <w:webHidden/>
          </w:rPr>
          <w:fldChar w:fldCharType="separate"/>
        </w:r>
        <w:r w:rsidR="00284CE3">
          <w:rPr>
            <w:b w:val="0"/>
            <w:webHidden/>
          </w:rPr>
          <w:t>153</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1" w:history="1">
        <w:r w:rsidR="003C51B7" w:rsidRPr="000B06F4">
          <w:rPr>
            <w:rStyle w:val="Hyperlink"/>
            <w:b w:val="0"/>
          </w:rPr>
          <w:t>Figure 6</w:t>
        </w:r>
        <w:r w:rsidR="003C51B7" w:rsidRPr="000B06F4">
          <w:rPr>
            <w:rStyle w:val="Hyperlink"/>
            <w:b w:val="0"/>
          </w:rPr>
          <w:noBreakHyphen/>
          <w:t xml:space="preserve">16: </w:t>
        </w:r>
        <w:r w:rsidR="003C51B7" w:rsidRPr="000B06F4">
          <w:rPr>
            <w:rStyle w:val="Hyperlink"/>
            <w:b w:val="0"/>
          </w:rPr>
          <w:tab/>
          <w:t>Areas (in blue), in Connecticut (left) and Massachusetts (right), where PV resources</w:t>
        </w:r>
        <w:r w:rsidR="003C51B7" w:rsidRPr="000B06F4">
          <w:rPr>
            <w:rStyle w:val="Hyperlink"/>
            <w:b w:val="0"/>
          </w:rPr>
          <w:br/>
          <w:t>are likely to trip off line because of low voltage in the event of a fault on the 345 kV</w:t>
        </w:r>
        <w:r w:rsidR="003C51B7" w:rsidRPr="000B06F4">
          <w:rPr>
            <w:rStyle w:val="Hyperlink"/>
            <w:b w:val="0"/>
          </w:rPr>
          <w:br/>
          <w:t>transmission system.</w:t>
        </w:r>
        <w:r w:rsidR="003C51B7" w:rsidRPr="000B06F4">
          <w:rPr>
            <w:b w:val="0"/>
            <w:webHidden/>
          </w:rPr>
          <w:tab/>
        </w:r>
        <w:r w:rsidRPr="000B06F4">
          <w:rPr>
            <w:b w:val="0"/>
            <w:webHidden/>
          </w:rPr>
          <w:fldChar w:fldCharType="begin"/>
        </w:r>
        <w:r w:rsidR="003C51B7" w:rsidRPr="000B06F4">
          <w:rPr>
            <w:b w:val="0"/>
            <w:webHidden/>
          </w:rPr>
          <w:instrText xml:space="preserve"> PAGEREF _Toc391985591 \h </w:instrText>
        </w:r>
        <w:r w:rsidRPr="000B06F4">
          <w:rPr>
            <w:b w:val="0"/>
            <w:webHidden/>
          </w:rPr>
        </w:r>
        <w:r w:rsidRPr="000B06F4">
          <w:rPr>
            <w:b w:val="0"/>
            <w:webHidden/>
          </w:rPr>
          <w:fldChar w:fldCharType="separate"/>
        </w:r>
        <w:r w:rsidR="00284CE3">
          <w:rPr>
            <w:b w:val="0"/>
            <w:webHidden/>
          </w:rPr>
          <w:t>162</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2" w:history="1">
        <w:r w:rsidR="003C51B7" w:rsidRPr="000B06F4">
          <w:rPr>
            <w:rStyle w:val="Hyperlink"/>
            <w:b w:val="0"/>
          </w:rPr>
          <w:t>Figure 7</w:t>
        </w:r>
        <w:r w:rsidR="003C51B7" w:rsidRPr="000B06F4">
          <w:rPr>
            <w:rStyle w:val="Hyperlink"/>
            <w:b w:val="0"/>
          </w:rPr>
          <w:noBreakHyphen/>
          <w:t xml:space="preserve">1: </w:t>
        </w:r>
        <w:r w:rsidR="003C51B7" w:rsidRPr="000B06F4">
          <w:rPr>
            <w:rStyle w:val="Hyperlink"/>
            <w:b w:val="0"/>
          </w:rPr>
          <w:tab/>
        </w:r>
        <w:r w:rsidR="003C51B7" w:rsidRPr="000B06F4">
          <w:rPr>
            <w:rStyle w:val="Hyperlink"/>
            <w:rFonts w:cs="Cambria"/>
            <w:b w:val="0"/>
          </w:rPr>
          <w:t xml:space="preserve">2013 </w:t>
        </w:r>
        <w:r w:rsidR="00BA12BF">
          <w:rPr>
            <w:rStyle w:val="Hyperlink"/>
            <w:rFonts w:cs="Cambria"/>
            <w:b w:val="0"/>
          </w:rPr>
          <w:t>e</w:t>
        </w:r>
        <w:r w:rsidR="003C51B7" w:rsidRPr="000B06F4">
          <w:rPr>
            <w:rStyle w:val="Hyperlink"/>
            <w:rFonts w:cs="Cambria"/>
            <w:b w:val="0"/>
          </w:rPr>
          <w:t>nergy imports and exports by external area (GWh).</w:t>
        </w:r>
        <w:r w:rsidR="003C51B7" w:rsidRPr="000B06F4">
          <w:rPr>
            <w:b w:val="0"/>
            <w:webHidden/>
          </w:rPr>
          <w:tab/>
        </w:r>
        <w:r w:rsidRPr="000B06F4">
          <w:rPr>
            <w:b w:val="0"/>
            <w:webHidden/>
          </w:rPr>
          <w:fldChar w:fldCharType="begin"/>
        </w:r>
        <w:r w:rsidR="003C51B7" w:rsidRPr="000B06F4">
          <w:rPr>
            <w:b w:val="0"/>
            <w:webHidden/>
          </w:rPr>
          <w:instrText xml:space="preserve"> PAGEREF _Toc391985592 \h </w:instrText>
        </w:r>
        <w:r w:rsidRPr="000B06F4">
          <w:rPr>
            <w:b w:val="0"/>
            <w:webHidden/>
          </w:rPr>
        </w:r>
        <w:r w:rsidRPr="000B06F4">
          <w:rPr>
            <w:b w:val="0"/>
            <w:webHidden/>
          </w:rPr>
          <w:fldChar w:fldCharType="separate"/>
        </w:r>
        <w:r w:rsidR="00284CE3">
          <w:rPr>
            <w:b w:val="0"/>
            <w:webHidden/>
          </w:rPr>
          <w:t>174</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3" w:history="1">
        <w:r w:rsidR="003C51B7" w:rsidRPr="000B06F4">
          <w:rPr>
            <w:rStyle w:val="Hyperlink"/>
            <w:b w:val="0"/>
          </w:rPr>
          <w:t>Figure 7</w:t>
        </w:r>
        <w:r w:rsidR="003C51B7" w:rsidRPr="000B06F4">
          <w:rPr>
            <w:rStyle w:val="Hyperlink"/>
            <w:b w:val="0"/>
          </w:rPr>
          <w:noBreakHyphen/>
          <w:t xml:space="preserve">2: </w:t>
        </w:r>
        <w:r w:rsidR="003C51B7" w:rsidRPr="000B06F4">
          <w:rPr>
            <w:rStyle w:val="Hyperlink"/>
            <w:b w:val="0"/>
          </w:rPr>
          <w:tab/>
          <w:t>Existing and planned FACTS devices in New England.</w:t>
        </w:r>
        <w:r w:rsidR="003C51B7" w:rsidRPr="000B06F4">
          <w:rPr>
            <w:b w:val="0"/>
            <w:webHidden/>
          </w:rPr>
          <w:tab/>
        </w:r>
        <w:r w:rsidRPr="000B06F4">
          <w:rPr>
            <w:b w:val="0"/>
            <w:webHidden/>
          </w:rPr>
          <w:fldChar w:fldCharType="begin"/>
        </w:r>
        <w:r w:rsidR="003C51B7" w:rsidRPr="000B06F4">
          <w:rPr>
            <w:b w:val="0"/>
            <w:webHidden/>
          </w:rPr>
          <w:instrText xml:space="preserve"> PAGEREF _Toc391985593 \h </w:instrText>
        </w:r>
        <w:r w:rsidRPr="000B06F4">
          <w:rPr>
            <w:b w:val="0"/>
            <w:webHidden/>
          </w:rPr>
        </w:r>
        <w:r w:rsidRPr="000B06F4">
          <w:rPr>
            <w:b w:val="0"/>
            <w:webHidden/>
          </w:rPr>
          <w:fldChar w:fldCharType="separate"/>
        </w:r>
        <w:r w:rsidR="00284CE3">
          <w:rPr>
            <w:b w:val="0"/>
            <w:webHidden/>
          </w:rPr>
          <w:t>181</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4" w:history="1">
        <w:r w:rsidR="003C51B7" w:rsidRPr="000B06F4">
          <w:rPr>
            <w:rStyle w:val="Hyperlink"/>
            <w:b w:val="0"/>
          </w:rPr>
          <w:t>Figure 7</w:t>
        </w:r>
        <w:r w:rsidR="003C51B7" w:rsidRPr="000B06F4">
          <w:rPr>
            <w:rStyle w:val="Hyperlink"/>
            <w:b w:val="0"/>
          </w:rPr>
          <w:noBreakHyphen/>
          <w:t xml:space="preserve">3: </w:t>
        </w:r>
        <w:r w:rsidR="003C51B7" w:rsidRPr="000B06F4">
          <w:rPr>
            <w:rStyle w:val="Hyperlink"/>
            <w:b w:val="0"/>
          </w:rPr>
          <w:tab/>
          <w:t>Large-scale transmission in New England, including some proposed direct-current</w:t>
        </w:r>
        <w:r w:rsidR="003C51B7" w:rsidRPr="000B06F4">
          <w:rPr>
            <w:rStyle w:val="Hyperlink"/>
            <w:b w:val="0"/>
          </w:rPr>
          <w:br/>
          <w:t>transmission.</w:t>
        </w:r>
        <w:r w:rsidR="003C51B7" w:rsidRPr="000B06F4">
          <w:rPr>
            <w:b w:val="0"/>
            <w:webHidden/>
          </w:rPr>
          <w:tab/>
        </w:r>
        <w:r w:rsidRPr="000B06F4">
          <w:rPr>
            <w:b w:val="0"/>
            <w:webHidden/>
          </w:rPr>
          <w:fldChar w:fldCharType="begin"/>
        </w:r>
        <w:r w:rsidR="003C51B7" w:rsidRPr="000B06F4">
          <w:rPr>
            <w:b w:val="0"/>
            <w:webHidden/>
          </w:rPr>
          <w:instrText xml:space="preserve"> PAGEREF _Toc391985594 \h </w:instrText>
        </w:r>
        <w:r w:rsidRPr="000B06F4">
          <w:rPr>
            <w:b w:val="0"/>
            <w:webHidden/>
          </w:rPr>
        </w:r>
        <w:r w:rsidRPr="000B06F4">
          <w:rPr>
            <w:b w:val="0"/>
            <w:webHidden/>
          </w:rPr>
          <w:fldChar w:fldCharType="separate"/>
        </w:r>
        <w:r w:rsidR="00284CE3">
          <w:rPr>
            <w:b w:val="0"/>
            <w:webHidden/>
          </w:rPr>
          <w:t>182</w:t>
        </w:r>
        <w:r w:rsidRPr="000B06F4">
          <w:rPr>
            <w:b w:val="0"/>
            <w:webHidden/>
          </w:rPr>
          <w:fldChar w:fldCharType="end"/>
        </w:r>
      </w:hyperlink>
    </w:p>
    <w:p w:rsidR="00F05646" w:rsidRPr="00F13B14" w:rsidRDefault="00927965" w:rsidP="000122F2">
      <w:pPr>
        <w:spacing w:after="120" w:line="240" w:lineRule="auto"/>
        <w:rPr>
          <w:rFonts w:asciiTheme="minorHAnsi" w:hAnsiTheme="minorHAnsi"/>
        </w:rPr>
        <w:sectPr w:rsidR="00F05646" w:rsidRPr="00F13B14" w:rsidSect="00E24A7B">
          <w:pgSz w:w="12240" w:h="15840"/>
          <w:pgMar w:top="1350" w:right="1440" w:bottom="1440" w:left="1440" w:header="720" w:footer="720" w:gutter="0"/>
          <w:pgNumType w:fmt="lowerRoman"/>
          <w:cols w:space="720"/>
          <w:docGrid w:linePitch="360"/>
        </w:sectPr>
      </w:pPr>
      <w:r w:rsidRPr="000B06F4">
        <w:rPr>
          <w:rFonts w:asciiTheme="minorHAnsi" w:hAnsiTheme="minorHAnsi"/>
        </w:rPr>
        <w:fldChar w:fldCharType="end"/>
      </w:r>
      <w:bookmarkStart w:id="15" w:name="_Toc334600989"/>
    </w:p>
    <w:p w:rsidR="000070B3" w:rsidRPr="000B06F4" w:rsidRDefault="004B056E" w:rsidP="00E9247C">
      <w:pPr>
        <w:spacing w:after="120" w:line="240" w:lineRule="auto"/>
        <w:ind w:left="1170" w:hanging="1170"/>
        <w:outlineLvl w:val="0"/>
        <w:rPr>
          <w:rFonts w:asciiTheme="minorHAnsi" w:hAnsiTheme="minorHAnsi" w:cs="Arial"/>
          <w:b/>
          <w:color w:val="11479D" w:themeColor="text2"/>
          <w:sz w:val="36"/>
          <w:szCs w:val="36"/>
        </w:rPr>
      </w:pPr>
      <w:bookmarkStart w:id="16" w:name="_Toc396807587"/>
      <w:r w:rsidRPr="000B06F4">
        <w:rPr>
          <w:rFonts w:asciiTheme="minorHAnsi" w:hAnsiTheme="minorHAnsi" w:cs="Arial"/>
          <w:b/>
          <w:color w:val="11479D" w:themeColor="text2"/>
          <w:sz w:val="36"/>
          <w:szCs w:val="36"/>
        </w:rPr>
        <w:t>Tables</w:t>
      </w:r>
      <w:bookmarkEnd w:id="15"/>
      <w:bookmarkEnd w:id="16"/>
    </w:p>
    <w:p w:rsidR="003C51B7" w:rsidRPr="000B06F4" w:rsidRDefault="00927965">
      <w:pPr>
        <w:pStyle w:val="TableofFigures"/>
        <w:rPr>
          <w:rFonts w:asciiTheme="minorHAnsi" w:eastAsiaTheme="minorEastAsia" w:hAnsiTheme="minorHAnsi" w:cstheme="minorBidi"/>
          <w:b w:val="0"/>
          <w:bCs w:val="0"/>
          <w:sz w:val="22"/>
          <w:szCs w:val="22"/>
        </w:rPr>
      </w:pPr>
      <w:r w:rsidRPr="00927965">
        <w:rPr>
          <w:rStyle w:val="Hyperlink"/>
          <w:rFonts w:asciiTheme="minorHAnsi" w:hAnsiTheme="minorHAnsi"/>
          <w:b w:val="0"/>
          <w:sz w:val="22"/>
        </w:rPr>
        <w:fldChar w:fldCharType="begin"/>
      </w:r>
      <w:r w:rsidR="00906AA8" w:rsidRPr="000B06F4">
        <w:rPr>
          <w:rStyle w:val="Hyperlink"/>
          <w:rFonts w:asciiTheme="minorHAnsi" w:hAnsiTheme="minorHAnsi"/>
          <w:b w:val="0"/>
        </w:rPr>
        <w:instrText xml:space="preserve"> TOC \h \z \c "Table" </w:instrText>
      </w:r>
      <w:r w:rsidRPr="00927965">
        <w:rPr>
          <w:rStyle w:val="Hyperlink"/>
          <w:rFonts w:asciiTheme="minorHAnsi" w:hAnsiTheme="minorHAnsi"/>
          <w:b w:val="0"/>
          <w:sz w:val="22"/>
        </w:rPr>
        <w:fldChar w:fldCharType="separate"/>
      </w:r>
      <w:hyperlink w:anchor="_Toc391985595" w:history="1">
        <w:r w:rsidR="003C51B7" w:rsidRPr="000B06F4">
          <w:rPr>
            <w:rStyle w:val="Hyperlink"/>
            <w:b w:val="0"/>
          </w:rPr>
          <w:t>Table 3</w:t>
        </w:r>
        <w:r w:rsidR="003C51B7" w:rsidRPr="000B06F4">
          <w:rPr>
            <w:rStyle w:val="Hyperlink"/>
            <w:b w:val="0"/>
          </w:rPr>
          <w:noBreakHyphen/>
          <w:t xml:space="preserve">1 </w:t>
        </w:r>
        <w:r w:rsidR="003C51B7" w:rsidRPr="000B06F4">
          <w:rPr>
            <w:rStyle w:val="Hyperlink"/>
            <w:b w:val="0"/>
          </w:rPr>
          <w:tab/>
          <w:t>Summary of Annual Electric Energy Use and Peak Demand Forecast for New England</w:t>
        </w:r>
        <w:r w:rsidR="00BF5709">
          <w:rPr>
            <w:rStyle w:val="Hyperlink"/>
            <w:b w:val="0"/>
          </w:rPr>
          <w:br/>
        </w:r>
        <w:r w:rsidR="003C51B7" w:rsidRPr="000B06F4">
          <w:rPr>
            <w:rStyle w:val="Hyperlink"/>
            <w:b w:val="0"/>
          </w:rPr>
          <w:t>and the States, 2014/2015 and 2023/2024</w:t>
        </w:r>
        <w:r w:rsidR="003C51B7" w:rsidRPr="000B06F4">
          <w:rPr>
            <w:b w:val="0"/>
            <w:webHidden/>
          </w:rPr>
          <w:tab/>
        </w:r>
        <w:r w:rsidRPr="000B06F4">
          <w:rPr>
            <w:b w:val="0"/>
            <w:webHidden/>
          </w:rPr>
          <w:fldChar w:fldCharType="begin"/>
        </w:r>
        <w:r w:rsidR="003C51B7" w:rsidRPr="000B06F4">
          <w:rPr>
            <w:b w:val="0"/>
            <w:webHidden/>
          </w:rPr>
          <w:instrText xml:space="preserve"> PAGEREF _Toc391985595 \h </w:instrText>
        </w:r>
        <w:r w:rsidRPr="000B06F4">
          <w:rPr>
            <w:b w:val="0"/>
            <w:webHidden/>
          </w:rPr>
        </w:r>
        <w:r w:rsidRPr="000B06F4">
          <w:rPr>
            <w:b w:val="0"/>
            <w:webHidden/>
          </w:rPr>
          <w:fldChar w:fldCharType="separate"/>
        </w:r>
        <w:r w:rsidR="00284CE3">
          <w:rPr>
            <w:b w:val="0"/>
            <w:webHidden/>
          </w:rPr>
          <w:t>38</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6" w:history="1">
        <w:r w:rsidR="003C51B7" w:rsidRPr="000B06F4">
          <w:rPr>
            <w:rStyle w:val="Hyperlink"/>
            <w:b w:val="0"/>
          </w:rPr>
          <w:t>Table 3</w:t>
        </w:r>
        <w:r w:rsidR="003C51B7" w:rsidRPr="000B06F4">
          <w:rPr>
            <w:rStyle w:val="Hyperlink"/>
            <w:b w:val="0"/>
          </w:rPr>
          <w:noBreakHyphen/>
          <w:t xml:space="preserve">2 </w:t>
        </w:r>
        <w:r w:rsidR="003C51B7" w:rsidRPr="000B06F4">
          <w:rPr>
            <w:rStyle w:val="Hyperlink"/>
            <w:b w:val="0"/>
          </w:rPr>
          <w:tab/>
          <w:t>New England Economic and Demographic Forecast Summary</w:t>
        </w:r>
        <w:r w:rsidR="003C51B7" w:rsidRPr="000B06F4">
          <w:rPr>
            <w:b w:val="0"/>
            <w:webHidden/>
          </w:rPr>
          <w:tab/>
        </w:r>
        <w:r w:rsidRPr="000B06F4">
          <w:rPr>
            <w:b w:val="0"/>
            <w:webHidden/>
          </w:rPr>
          <w:fldChar w:fldCharType="begin"/>
        </w:r>
        <w:r w:rsidR="003C51B7" w:rsidRPr="000B06F4">
          <w:rPr>
            <w:b w:val="0"/>
            <w:webHidden/>
          </w:rPr>
          <w:instrText xml:space="preserve"> PAGEREF _Toc391985596 \h </w:instrText>
        </w:r>
        <w:r w:rsidRPr="000B06F4">
          <w:rPr>
            <w:b w:val="0"/>
            <w:webHidden/>
          </w:rPr>
        </w:r>
        <w:r w:rsidRPr="000B06F4">
          <w:rPr>
            <w:b w:val="0"/>
            <w:webHidden/>
          </w:rPr>
          <w:fldChar w:fldCharType="separate"/>
        </w:r>
        <w:r w:rsidR="00284CE3">
          <w:rPr>
            <w:b w:val="0"/>
            <w:webHidden/>
          </w:rPr>
          <w:t>40</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7" w:history="1">
        <w:r w:rsidR="003C51B7" w:rsidRPr="000B06F4">
          <w:rPr>
            <w:rStyle w:val="Hyperlink"/>
            <w:b w:val="0"/>
          </w:rPr>
          <w:t>Table 3</w:t>
        </w:r>
        <w:r w:rsidR="003C51B7" w:rsidRPr="000B06F4">
          <w:rPr>
            <w:rStyle w:val="Hyperlink"/>
            <w:b w:val="0"/>
          </w:rPr>
          <w:noBreakHyphen/>
          <w:t xml:space="preserve">3 </w:t>
        </w:r>
        <w:r w:rsidR="003C51B7" w:rsidRPr="000B06F4">
          <w:rPr>
            <w:rStyle w:val="Hyperlink"/>
            <w:b w:val="0"/>
          </w:rPr>
          <w:tab/>
          <w:t>Forecasts of Annual Use of Electric Energy and Peak Demand in RSP Subareas, 2014 and 2023</w:t>
        </w:r>
        <w:r w:rsidR="003C51B7" w:rsidRPr="000B06F4">
          <w:rPr>
            <w:b w:val="0"/>
            <w:webHidden/>
          </w:rPr>
          <w:tab/>
        </w:r>
        <w:r w:rsidRPr="000B06F4">
          <w:rPr>
            <w:b w:val="0"/>
            <w:webHidden/>
          </w:rPr>
          <w:fldChar w:fldCharType="begin"/>
        </w:r>
        <w:r w:rsidR="003C51B7" w:rsidRPr="000B06F4">
          <w:rPr>
            <w:b w:val="0"/>
            <w:webHidden/>
          </w:rPr>
          <w:instrText xml:space="preserve"> PAGEREF _Toc391985597 \h </w:instrText>
        </w:r>
        <w:r w:rsidRPr="000B06F4">
          <w:rPr>
            <w:b w:val="0"/>
            <w:webHidden/>
          </w:rPr>
        </w:r>
        <w:r w:rsidRPr="000B06F4">
          <w:rPr>
            <w:b w:val="0"/>
            <w:webHidden/>
          </w:rPr>
          <w:fldChar w:fldCharType="separate"/>
        </w:r>
        <w:r w:rsidR="00284CE3">
          <w:rPr>
            <w:b w:val="0"/>
            <w:webHidden/>
          </w:rPr>
          <w:t>43</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8" w:history="1">
        <w:r w:rsidR="003C51B7" w:rsidRPr="000B06F4">
          <w:rPr>
            <w:rStyle w:val="Hyperlink"/>
            <w:b w:val="0"/>
          </w:rPr>
          <w:t>Table 3</w:t>
        </w:r>
        <w:r w:rsidR="003C51B7" w:rsidRPr="000B06F4">
          <w:rPr>
            <w:rStyle w:val="Hyperlink"/>
            <w:b w:val="0"/>
          </w:rPr>
          <w:noBreakHyphen/>
          <w:t>4</w:t>
        </w:r>
        <w:r w:rsidR="003C51B7" w:rsidRPr="000B06F4">
          <w:rPr>
            <w:rStyle w:val="Hyperlink"/>
            <w:b w:val="0"/>
          </w:rPr>
          <w:tab/>
          <w:t>Forecasts of RSP Subarea Peak Demand, 2014</w:t>
        </w:r>
        <w:r w:rsidR="003C51B7" w:rsidRPr="000B06F4">
          <w:rPr>
            <w:b w:val="0"/>
            <w:webHidden/>
          </w:rPr>
          <w:tab/>
        </w:r>
        <w:r w:rsidRPr="000B06F4">
          <w:rPr>
            <w:b w:val="0"/>
            <w:webHidden/>
          </w:rPr>
          <w:fldChar w:fldCharType="begin"/>
        </w:r>
        <w:r w:rsidR="003C51B7" w:rsidRPr="000B06F4">
          <w:rPr>
            <w:b w:val="0"/>
            <w:webHidden/>
          </w:rPr>
          <w:instrText xml:space="preserve"> PAGEREF _Toc391985598 \h </w:instrText>
        </w:r>
        <w:r w:rsidRPr="000B06F4">
          <w:rPr>
            <w:b w:val="0"/>
            <w:webHidden/>
          </w:rPr>
        </w:r>
        <w:r w:rsidRPr="000B06F4">
          <w:rPr>
            <w:b w:val="0"/>
            <w:webHidden/>
          </w:rPr>
          <w:fldChar w:fldCharType="separate"/>
        </w:r>
        <w:r w:rsidR="00284CE3">
          <w:rPr>
            <w:b w:val="0"/>
            <w:webHidden/>
          </w:rPr>
          <w:t>44</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599" w:history="1">
        <w:r w:rsidR="003C51B7" w:rsidRPr="000B06F4">
          <w:rPr>
            <w:rStyle w:val="Hyperlink"/>
            <w:b w:val="0"/>
          </w:rPr>
          <w:t>Table 3</w:t>
        </w:r>
        <w:r w:rsidR="003C51B7" w:rsidRPr="000B06F4">
          <w:rPr>
            <w:rStyle w:val="Hyperlink"/>
            <w:b w:val="0"/>
          </w:rPr>
          <w:noBreakHyphen/>
          <w:t>5</w:t>
        </w:r>
        <w:r w:rsidR="003C51B7" w:rsidRPr="000B06F4">
          <w:rPr>
            <w:rStyle w:val="Hyperlink"/>
            <w:b w:val="0"/>
          </w:rPr>
          <w:tab/>
          <w:t>ISO New England’s Final Energy-Efficiency Forecast for 2018 to 2023 (GWh, MW)</w:t>
        </w:r>
        <w:r w:rsidR="003C51B7" w:rsidRPr="000B06F4">
          <w:rPr>
            <w:b w:val="0"/>
            <w:webHidden/>
          </w:rPr>
          <w:tab/>
        </w:r>
        <w:r w:rsidRPr="000B06F4">
          <w:rPr>
            <w:b w:val="0"/>
            <w:webHidden/>
          </w:rPr>
          <w:fldChar w:fldCharType="begin"/>
        </w:r>
        <w:r w:rsidR="003C51B7" w:rsidRPr="000B06F4">
          <w:rPr>
            <w:b w:val="0"/>
            <w:webHidden/>
          </w:rPr>
          <w:instrText xml:space="preserve"> PAGEREF _Toc391985599 \h </w:instrText>
        </w:r>
        <w:r w:rsidRPr="000B06F4">
          <w:rPr>
            <w:b w:val="0"/>
            <w:webHidden/>
          </w:rPr>
        </w:r>
        <w:r w:rsidRPr="000B06F4">
          <w:rPr>
            <w:b w:val="0"/>
            <w:webHidden/>
          </w:rPr>
          <w:fldChar w:fldCharType="separate"/>
        </w:r>
        <w:r w:rsidR="00284CE3">
          <w:rPr>
            <w:b w:val="0"/>
            <w:webHidden/>
          </w:rPr>
          <w:t>46</w:t>
        </w:r>
        <w:r w:rsidRPr="000B06F4">
          <w:rPr>
            <w:b w:val="0"/>
            <w:webHidden/>
          </w:rPr>
          <w:fldChar w:fldCharType="end"/>
        </w:r>
      </w:hyperlink>
    </w:p>
    <w:p w:rsidR="003C51B7" w:rsidRPr="000B06F4" w:rsidRDefault="00927965" w:rsidP="0042794A">
      <w:pPr>
        <w:pStyle w:val="TableofFigures"/>
        <w:ind w:right="-90"/>
        <w:rPr>
          <w:rFonts w:asciiTheme="minorHAnsi" w:eastAsiaTheme="minorEastAsia" w:hAnsiTheme="minorHAnsi" w:cstheme="minorBidi"/>
          <w:b w:val="0"/>
          <w:bCs w:val="0"/>
          <w:sz w:val="22"/>
          <w:szCs w:val="22"/>
        </w:rPr>
      </w:pPr>
      <w:hyperlink w:anchor="_Toc391985600" w:history="1">
        <w:r w:rsidR="003C51B7" w:rsidRPr="000B06F4">
          <w:rPr>
            <w:rStyle w:val="Hyperlink"/>
            <w:b w:val="0"/>
          </w:rPr>
          <w:t>Table 3</w:t>
        </w:r>
        <w:r w:rsidR="003C51B7" w:rsidRPr="000B06F4">
          <w:rPr>
            <w:rStyle w:val="Hyperlink"/>
            <w:b w:val="0"/>
          </w:rPr>
          <w:noBreakHyphen/>
          <w:t xml:space="preserve">6 </w:t>
        </w:r>
        <w:r w:rsidR="003C51B7" w:rsidRPr="000B06F4">
          <w:rPr>
            <w:rStyle w:val="Hyperlink"/>
            <w:b w:val="0"/>
          </w:rPr>
          <w:tab/>
          <w:t>2014 Forecasts of Annual and Peak Electric Energy Use Compared with the Forecast Minus</w:t>
        </w:r>
        <w:r w:rsidR="00BF5709">
          <w:rPr>
            <w:rStyle w:val="Hyperlink"/>
            <w:b w:val="0"/>
          </w:rPr>
          <w:br/>
        </w:r>
        <w:r w:rsidR="003C51B7" w:rsidRPr="000B06F4">
          <w:rPr>
            <w:rStyle w:val="Hyperlink"/>
            <w:b w:val="0"/>
          </w:rPr>
          <w:t>FCM</w:t>
        </w:r>
        <w:r w:rsidR="0042794A">
          <w:rPr>
            <w:rStyle w:val="Hyperlink"/>
            <w:b w:val="0"/>
          </w:rPr>
          <w:t xml:space="preserve"> </w:t>
        </w:r>
        <w:r w:rsidR="003C51B7" w:rsidRPr="000B06F4">
          <w:rPr>
            <w:rStyle w:val="Hyperlink"/>
            <w:b w:val="0"/>
          </w:rPr>
          <w:t xml:space="preserve">Passive </w:t>
        </w:r>
        <w:r w:rsidR="0042794A">
          <w:rPr>
            <w:rStyle w:val="Hyperlink"/>
            <w:b w:val="0"/>
          </w:rPr>
          <w:t xml:space="preserve">Demand </w:t>
        </w:r>
        <w:r w:rsidR="003C51B7" w:rsidRPr="000B06F4">
          <w:rPr>
            <w:rStyle w:val="Hyperlink"/>
            <w:b w:val="0"/>
          </w:rPr>
          <w:t>Resources (2014 to 2017) and Energy-Efficiency Forecast Results</w:t>
        </w:r>
        <w:r w:rsidR="00BF5709">
          <w:rPr>
            <w:rStyle w:val="Hyperlink"/>
            <w:b w:val="0"/>
          </w:rPr>
          <w:br/>
        </w:r>
        <w:r w:rsidR="003C51B7" w:rsidRPr="000B06F4">
          <w:rPr>
            <w:rStyle w:val="Hyperlink"/>
            <w:b w:val="0"/>
          </w:rPr>
          <w:t>(2018 to 2023)</w:t>
        </w:r>
        <w:r w:rsidR="003C51B7" w:rsidRPr="000B06F4">
          <w:rPr>
            <w:b w:val="0"/>
            <w:webHidden/>
          </w:rPr>
          <w:tab/>
        </w:r>
        <w:r w:rsidRPr="000B06F4">
          <w:rPr>
            <w:b w:val="0"/>
            <w:webHidden/>
          </w:rPr>
          <w:fldChar w:fldCharType="begin"/>
        </w:r>
        <w:r w:rsidR="003C51B7" w:rsidRPr="000B06F4">
          <w:rPr>
            <w:b w:val="0"/>
            <w:webHidden/>
          </w:rPr>
          <w:instrText xml:space="preserve"> PAGEREF _Toc391985600 \h </w:instrText>
        </w:r>
        <w:r w:rsidRPr="000B06F4">
          <w:rPr>
            <w:b w:val="0"/>
            <w:webHidden/>
          </w:rPr>
        </w:r>
        <w:r w:rsidRPr="000B06F4">
          <w:rPr>
            <w:b w:val="0"/>
            <w:webHidden/>
          </w:rPr>
          <w:fldChar w:fldCharType="separate"/>
        </w:r>
        <w:r w:rsidR="00284CE3">
          <w:rPr>
            <w:b w:val="0"/>
            <w:webHidden/>
          </w:rPr>
          <w:t>48</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1" w:history="1">
        <w:r w:rsidR="003C51B7" w:rsidRPr="000B06F4">
          <w:rPr>
            <w:rStyle w:val="Hyperlink"/>
            <w:b w:val="0"/>
          </w:rPr>
          <w:t>Table 3</w:t>
        </w:r>
        <w:r w:rsidR="003C51B7" w:rsidRPr="000B06F4">
          <w:rPr>
            <w:rStyle w:val="Hyperlink"/>
            <w:b w:val="0"/>
          </w:rPr>
          <w:noBreakHyphen/>
          <w:t xml:space="preserve">7 </w:t>
        </w:r>
        <w:r w:rsidR="003C51B7" w:rsidRPr="000B06F4">
          <w:rPr>
            <w:rStyle w:val="Hyperlink"/>
            <w:b w:val="0"/>
          </w:rPr>
          <w:tab/>
          <w:t>Discount Factor Percentages for New England State Policy-Supported Megawatts of PV,</w:t>
        </w:r>
        <w:r w:rsidR="000B06F4" w:rsidRPr="000B06F4">
          <w:rPr>
            <w:rStyle w:val="Hyperlink"/>
            <w:b w:val="0"/>
          </w:rPr>
          <w:br/>
        </w:r>
        <w:r w:rsidR="003C51B7" w:rsidRPr="000B06F4">
          <w:rPr>
            <w:rStyle w:val="Hyperlink"/>
            <w:b w:val="0"/>
          </w:rPr>
          <w:t>2013 to 2023 and Post-Policy Years</w:t>
        </w:r>
        <w:r w:rsidR="003C51B7" w:rsidRPr="000B06F4">
          <w:rPr>
            <w:b w:val="0"/>
            <w:webHidden/>
          </w:rPr>
          <w:tab/>
        </w:r>
        <w:r w:rsidRPr="000B06F4">
          <w:rPr>
            <w:b w:val="0"/>
            <w:webHidden/>
          </w:rPr>
          <w:fldChar w:fldCharType="begin"/>
        </w:r>
        <w:r w:rsidR="003C51B7" w:rsidRPr="000B06F4">
          <w:rPr>
            <w:b w:val="0"/>
            <w:webHidden/>
          </w:rPr>
          <w:instrText xml:space="preserve"> PAGEREF _Toc391985601 \h </w:instrText>
        </w:r>
        <w:r w:rsidRPr="000B06F4">
          <w:rPr>
            <w:b w:val="0"/>
            <w:webHidden/>
          </w:rPr>
        </w:r>
        <w:r w:rsidRPr="000B06F4">
          <w:rPr>
            <w:b w:val="0"/>
            <w:webHidden/>
          </w:rPr>
          <w:fldChar w:fldCharType="separate"/>
        </w:r>
        <w:r w:rsidR="00284CE3">
          <w:rPr>
            <w:b w:val="0"/>
            <w:webHidden/>
          </w:rPr>
          <w:t>50</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2" w:history="1">
        <w:r w:rsidR="003C51B7" w:rsidRPr="000B06F4">
          <w:rPr>
            <w:rStyle w:val="Hyperlink"/>
            <w:b w:val="0"/>
          </w:rPr>
          <w:t>Table 3</w:t>
        </w:r>
        <w:r w:rsidR="003C51B7" w:rsidRPr="000B06F4">
          <w:rPr>
            <w:rStyle w:val="Hyperlink"/>
            <w:b w:val="0"/>
          </w:rPr>
          <w:noBreakHyphen/>
          <w:t xml:space="preserve">8 </w:t>
        </w:r>
        <w:r w:rsidR="003C51B7" w:rsidRPr="000B06F4">
          <w:rPr>
            <w:rStyle w:val="Hyperlink"/>
            <w:b w:val="0"/>
          </w:rPr>
          <w:tab/>
          <w:t>State-by-State Annual and Cumulative PV Nameplate Capacity Forecast after Applying</w:t>
        </w:r>
        <w:r w:rsidR="000B06F4" w:rsidRPr="000B06F4">
          <w:rPr>
            <w:rStyle w:val="Hyperlink"/>
            <w:b w:val="0"/>
          </w:rPr>
          <w:br/>
        </w:r>
        <w:r w:rsidR="003C51B7" w:rsidRPr="000B06F4">
          <w:rPr>
            <w:rStyle w:val="Hyperlink"/>
            <w:b w:val="0"/>
          </w:rPr>
          <w:t>Discount Factors, 2013 to 2023 (MW</w:t>
        </w:r>
        <w:r w:rsidR="003C51B7" w:rsidRPr="000B06F4">
          <w:rPr>
            <w:rStyle w:val="Hyperlink"/>
            <w:b w:val="0"/>
            <w:vertAlign w:val="subscript"/>
          </w:rPr>
          <w:t>AC</w:t>
        </w:r>
        <w:r w:rsidR="003C51B7" w:rsidRPr="000B06F4">
          <w:rPr>
            <w:rStyle w:val="Hyperlink"/>
            <w:b w:val="0"/>
          </w:rPr>
          <w:t>)</w:t>
        </w:r>
        <w:r w:rsidR="003C51B7" w:rsidRPr="000B06F4">
          <w:rPr>
            <w:b w:val="0"/>
            <w:webHidden/>
          </w:rPr>
          <w:tab/>
        </w:r>
        <w:r w:rsidRPr="000B06F4">
          <w:rPr>
            <w:b w:val="0"/>
            <w:webHidden/>
          </w:rPr>
          <w:fldChar w:fldCharType="begin"/>
        </w:r>
        <w:r w:rsidR="003C51B7" w:rsidRPr="000B06F4">
          <w:rPr>
            <w:b w:val="0"/>
            <w:webHidden/>
          </w:rPr>
          <w:instrText xml:space="preserve"> PAGEREF _Toc391985602 \h </w:instrText>
        </w:r>
        <w:r w:rsidRPr="000B06F4">
          <w:rPr>
            <w:b w:val="0"/>
            <w:webHidden/>
          </w:rPr>
        </w:r>
        <w:r w:rsidRPr="000B06F4">
          <w:rPr>
            <w:b w:val="0"/>
            <w:webHidden/>
          </w:rPr>
          <w:fldChar w:fldCharType="separate"/>
        </w:r>
        <w:r w:rsidR="00284CE3">
          <w:rPr>
            <w:b w:val="0"/>
            <w:webHidden/>
          </w:rPr>
          <w:t>51</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3" w:history="1">
        <w:r w:rsidR="003C51B7" w:rsidRPr="000B06F4">
          <w:rPr>
            <w:rStyle w:val="Hyperlink"/>
            <w:b w:val="0"/>
          </w:rPr>
          <w:t>Table 4</w:t>
        </w:r>
        <w:r w:rsidR="003C51B7" w:rsidRPr="000B06F4">
          <w:rPr>
            <w:rStyle w:val="Hyperlink"/>
            <w:b w:val="0"/>
          </w:rPr>
          <w:noBreakHyphen/>
          <w:t>1</w:t>
        </w:r>
        <w:r w:rsidR="003C51B7" w:rsidRPr="000B06F4">
          <w:rPr>
            <w:rStyle w:val="Hyperlink"/>
            <w:b w:val="0"/>
          </w:rPr>
          <w:tab/>
          <w:t>Actual and Representative New England Net Installed Capacity Requirements and Resulting Reserves, 2014 to 2023 (MW, %)</w:t>
        </w:r>
        <w:r w:rsidR="003C51B7" w:rsidRPr="000B06F4">
          <w:rPr>
            <w:b w:val="0"/>
            <w:webHidden/>
          </w:rPr>
          <w:tab/>
        </w:r>
        <w:r w:rsidRPr="000B06F4">
          <w:rPr>
            <w:b w:val="0"/>
            <w:webHidden/>
          </w:rPr>
          <w:fldChar w:fldCharType="begin"/>
        </w:r>
        <w:r w:rsidR="003C51B7" w:rsidRPr="000B06F4">
          <w:rPr>
            <w:b w:val="0"/>
            <w:webHidden/>
          </w:rPr>
          <w:instrText xml:space="preserve"> PAGEREF _Toc391985603 \h </w:instrText>
        </w:r>
        <w:r w:rsidRPr="000B06F4">
          <w:rPr>
            <w:b w:val="0"/>
            <w:webHidden/>
          </w:rPr>
        </w:r>
        <w:r w:rsidRPr="000B06F4">
          <w:rPr>
            <w:b w:val="0"/>
            <w:webHidden/>
          </w:rPr>
          <w:fldChar w:fldCharType="separate"/>
        </w:r>
        <w:r w:rsidR="00284CE3">
          <w:rPr>
            <w:b w:val="0"/>
            <w:webHidden/>
          </w:rPr>
          <w:t>56</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4" w:history="1">
        <w:r w:rsidR="003C51B7" w:rsidRPr="000B06F4">
          <w:rPr>
            <w:rStyle w:val="Hyperlink"/>
            <w:b w:val="0"/>
          </w:rPr>
          <w:t>Table 4</w:t>
        </w:r>
        <w:r w:rsidR="003C51B7" w:rsidRPr="000B06F4">
          <w:rPr>
            <w:rStyle w:val="Hyperlink"/>
            <w:b w:val="0"/>
          </w:rPr>
          <w:noBreakHyphen/>
          <w:t xml:space="preserve">2 </w:t>
        </w:r>
        <w:r w:rsidR="003C51B7" w:rsidRPr="000B06F4">
          <w:rPr>
            <w:rStyle w:val="Hyperlink"/>
            <w:b w:val="0"/>
          </w:rPr>
          <w:tab/>
          <w:t>Actual LSRs and MCLs for the 2014/2015 to 2017/2018 Capacity Commitment Periods</w:t>
        </w:r>
        <w:r w:rsidR="003C51B7" w:rsidRPr="000B06F4">
          <w:rPr>
            <w:b w:val="0"/>
            <w:webHidden/>
          </w:rPr>
          <w:tab/>
        </w:r>
        <w:r w:rsidRPr="000B06F4">
          <w:rPr>
            <w:b w:val="0"/>
            <w:webHidden/>
          </w:rPr>
          <w:fldChar w:fldCharType="begin"/>
        </w:r>
        <w:r w:rsidR="003C51B7" w:rsidRPr="000B06F4">
          <w:rPr>
            <w:b w:val="0"/>
            <w:webHidden/>
          </w:rPr>
          <w:instrText xml:space="preserve"> PAGEREF _Toc391985604 \h </w:instrText>
        </w:r>
        <w:r w:rsidRPr="000B06F4">
          <w:rPr>
            <w:b w:val="0"/>
            <w:webHidden/>
          </w:rPr>
        </w:r>
        <w:r w:rsidRPr="000B06F4">
          <w:rPr>
            <w:b w:val="0"/>
            <w:webHidden/>
          </w:rPr>
          <w:fldChar w:fldCharType="separate"/>
        </w:r>
        <w:r w:rsidR="00284CE3">
          <w:rPr>
            <w:b w:val="0"/>
            <w:webHidden/>
          </w:rPr>
          <w:t>57</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5" w:history="1">
        <w:r w:rsidR="003C51B7" w:rsidRPr="000B06F4">
          <w:rPr>
            <w:rStyle w:val="Hyperlink"/>
            <w:b w:val="0"/>
          </w:rPr>
          <w:t>Table 4</w:t>
        </w:r>
        <w:r w:rsidR="003C51B7" w:rsidRPr="000B06F4">
          <w:rPr>
            <w:rStyle w:val="Hyperlink"/>
            <w:b w:val="0"/>
          </w:rPr>
          <w:noBreakHyphen/>
          <w:t xml:space="preserve">3 </w:t>
        </w:r>
        <w:r w:rsidR="003C51B7" w:rsidRPr="000B06F4">
          <w:rPr>
            <w:rStyle w:val="Hyperlink"/>
            <w:b w:val="0"/>
          </w:rPr>
          <w:tab/>
          <w:t>Summary of the FCA Obligations at the Conclusion of Each Auction (MW)</w:t>
        </w:r>
        <w:r w:rsidR="003C51B7" w:rsidRPr="000B06F4">
          <w:rPr>
            <w:b w:val="0"/>
            <w:webHidden/>
          </w:rPr>
          <w:tab/>
        </w:r>
        <w:r w:rsidRPr="000B06F4">
          <w:rPr>
            <w:b w:val="0"/>
            <w:webHidden/>
          </w:rPr>
          <w:fldChar w:fldCharType="begin"/>
        </w:r>
        <w:r w:rsidR="003C51B7" w:rsidRPr="000B06F4">
          <w:rPr>
            <w:b w:val="0"/>
            <w:webHidden/>
          </w:rPr>
          <w:instrText xml:space="preserve"> PAGEREF _Toc391985605 \h </w:instrText>
        </w:r>
        <w:r w:rsidRPr="000B06F4">
          <w:rPr>
            <w:b w:val="0"/>
            <w:webHidden/>
          </w:rPr>
        </w:r>
        <w:r w:rsidRPr="000B06F4">
          <w:rPr>
            <w:b w:val="0"/>
            <w:webHidden/>
          </w:rPr>
          <w:fldChar w:fldCharType="separate"/>
        </w:r>
        <w:r w:rsidR="00284CE3">
          <w:rPr>
            <w:b w:val="0"/>
            <w:webHidden/>
          </w:rPr>
          <w:t>58</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6" w:history="1">
        <w:r w:rsidR="003C51B7" w:rsidRPr="000B06F4">
          <w:rPr>
            <w:rStyle w:val="Hyperlink"/>
            <w:b w:val="0"/>
          </w:rPr>
          <w:t>Table 4</w:t>
        </w:r>
        <w:r w:rsidR="003C51B7" w:rsidRPr="000B06F4">
          <w:rPr>
            <w:rStyle w:val="Hyperlink"/>
            <w:b w:val="0"/>
          </w:rPr>
          <w:noBreakHyphen/>
          <w:t xml:space="preserve">4 </w:t>
        </w:r>
        <w:r w:rsidR="003C51B7" w:rsidRPr="000B06F4">
          <w:rPr>
            <w:rStyle w:val="Hyperlink"/>
            <w:b w:val="0"/>
          </w:rPr>
          <w:tab/>
          <w:t>Results of the FCA by Capacity Zone at the Conclusion of Each Auction (MW, $/kW</w:t>
        </w:r>
        <w:r w:rsidR="003C51B7" w:rsidRPr="000B06F4">
          <w:rPr>
            <w:rStyle w:val="Hyperlink"/>
            <w:b w:val="0"/>
          </w:rPr>
          <w:noBreakHyphen/>
          <w:t>month)</w:t>
        </w:r>
        <w:r w:rsidR="003C51B7" w:rsidRPr="000B06F4">
          <w:rPr>
            <w:b w:val="0"/>
            <w:webHidden/>
          </w:rPr>
          <w:tab/>
        </w:r>
        <w:r w:rsidRPr="000B06F4">
          <w:rPr>
            <w:b w:val="0"/>
            <w:webHidden/>
          </w:rPr>
          <w:fldChar w:fldCharType="begin"/>
        </w:r>
        <w:r w:rsidR="003C51B7" w:rsidRPr="000B06F4">
          <w:rPr>
            <w:b w:val="0"/>
            <w:webHidden/>
          </w:rPr>
          <w:instrText xml:space="preserve"> PAGEREF _Toc391985606 \h </w:instrText>
        </w:r>
        <w:r w:rsidRPr="000B06F4">
          <w:rPr>
            <w:b w:val="0"/>
            <w:webHidden/>
          </w:rPr>
        </w:r>
        <w:r w:rsidRPr="000B06F4">
          <w:rPr>
            <w:b w:val="0"/>
            <w:webHidden/>
          </w:rPr>
          <w:fldChar w:fldCharType="separate"/>
        </w:r>
        <w:r w:rsidR="00284CE3">
          <w:rPr>
            <w:b w:val="0"/>
            <w:webHidden/>
          </w:rPr>
          <w:t>59</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7" w:history="1">
        <w:r w:rsidR="003C51B7" w:rsidRPr="000B06F4">
          <w:rPr>
            <w:rStyle w:val="Hyperlink"/>
            <w:b w:val="0"/>
          </w:rPr>
          <w:t>Table 4</w:t>
        </w:r>
        <w:r w:rsidR="003C51B7" w:rsidRPr="000B06F4">
          <w:rPr>
            <w:rStyle w:val="Hyperlink"/>
            <w:b w:val="0"/>
          </w:rPr>
          <w:noBreakHyphen/>
          <w:t xml:space="preserve">5 </w:t>
        </w:r>
        <w:r w:rsidR="003C51B7" w:rsidRPr="000B06F4">
          <w:rPr>
            <w:rStyle w:val="Hyperlink"/>
            <w:b w:val="0"/>
          </w:rPr>
          <w:tab/>
          <w:t>Capacity Supply Obligation for New Capacity Procured during the Forward Capacity</w:t>
        </w:r>
        <w:r w:rsidR="000B06F4" w:rsidRPr="000B06F4">
          <w:rPr>
            <w:rStyle w:val="Hyperlink"/>
            <w:b w:val="0"/>
          </w:rPr>
          <w:br/>
        </w:r>
        <w:r w:rsidR="003C51B7" w:rsidRPr="000B06F4">
          <w:rPr>
            <w:rStyle w:val="Hyperlink"/>
            <w:b w:val="0"/>
          </w:rPr>
          <w:t>Auctions (MW</w:t>
        </w:r>
        <w:r w:rsidR="00963B34" w:rsidRPr="00963B34">
          <w:rPr>
            <w:rStyle w:val="Hyperlink"/>
            <w:b w:val="0"/>
          </w:rPr>
          <w:t>)</w:t>
        </w:r>
        <w:r w:rsidR="003C51B7" w:rsidRPr="000B06F4">
          <w:rPr>
            <w:b w:val="0"/>
            <w:webHidden/>
          </w:rPr>
          <w:tab/>
        </w:r>
        <w:r w:rsidRPr="000B06F4">
          <w:rPr>
            <w:b w:val="0"/>
            <w:webHidden/>
          </w:rPr>
          <w:fldChar w:fldCharType="begin"/>
        </w:r>
        <w:r w:rsidR="003C51B7" w:rsidRPr="000B06F4">
          <w:rPr>
            <w:b w:val="0"/>
            <w:webHidden/>
          </w:rPr>
          <w:instrText xml:space="preserve"> PAGEREF _Toc391985607 \h </w:instrText>
        </w:r>
        <w:r w:rsidRPr="000B06F4">
          <w:rPr>
            <w:b w:val="0"/>
            <w:webHidden/>
          </w:rPr>
        </w:r>
        <w:r w:rsidRPr="000B06F4">
          <w:rPr>
            <w:b w:val="0"/>
            <w:webHidden/>
          </w:rPr>
          <w:fldChar w:fldCharType="separate"/>
        </w:r>
        <w:r w:rsidR="00284CE3">
          <w:rPr>
            <w:b w:val="0"/>
            <w:webHidden/>
          </w:rPr>
          <w:t>61</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8" w:history="1">
        <w:r w:rsidR="003C51B7" w:rsidRPr="000B06F4">
          <w:rPr>
            <w:rStyle w:val="Hyperlink"/>
            <w:b w:val="0"/>
          </w:rPr>
          <w:t>Table 4</w:t>
        </w:r>
        <w:r w:rsidR="003C51B7" w:rsidRPr="000B06F4">
          <w:rPr>
            <w:rStyle w:val="Hyperlink"/>
            <w:b w:val="0"/>
          </w:rPr>
          <w:noBreakHyphen/>
          <w:t>6</w:t>
        </w:r>
        <w:r w:rsidR="003C51B7" w:rsidRPr="000B06F4">
          <w:rPr>
            <w:rStyle w:val="Hyperlink"/>
            <w:b w:val="0"/>
          </w:rPr>
          <w:tab/>
          <w:t>Future Systemwide Needs (MW)</w:t>
        </w:r>
        <w:r w:rsidR="003C51B7" w:rsidRPr="000B06F4">
          <w:rPr>
            <w:b w:val="0"/>
            <w:webHidden/>
          </w:rPr>
          <w:tab/>
        </w:r>
        <w:r w:rsidRPr="000B06F4">
          <w:rPr>
            <w:b w:val="0"/>
            <w:webHidden/>
          </w:rPr>
          <w:fldChar w:fldCharType="begin"/>
        </w:r>
        <w:r w:rsidR="003C51B7" w:rsidRPr="000B06F4">
          <w:rPr>
            <w:b w:val="0"/>
            <w:webHidden/>
          </w:rPr>
          <w:instrText xml:space="preserve"> PAGEREF _Toc391985608 \h </w:instrText>
        </w:r>
        <w:r w:rsidRPr="000B06F4">
          <w:rPr>
            <w:b w:val="0"/>
            <w:webHidden/>
          </w:rPr>
        </w:r>
        <w:r w:rsidRPr="000B06F4">
          <w:rPr>
            <w:b w:val="0"/>
            <w:webHidden/>
          </w:rPr>
          <w:fldChar w:fldCharType="separate"/>
        </w:r>
        <w:r w:rsidR="00284CE3">
          <w:rPr>
            <w:b w:val="0"/>
            <w:webHidden/>
          </w:rPr>
          <w:t>62</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09" w:history="1">
        <w:r w:rsidR="003C51B7" w:rsidRPr="000B06F4">
          <w:rPr>
            <w:rStyle w:val="Hyperlink"/>
            <w:b w:val="0"/>
          </w:rPr>
          <w:t>Table 4</w:t>
        </w:r>
        <w:r w:rsidR="003C51B7" w:rsidRPr="000B06F4">
          <w:rPr>
            <w:rStyle w:val="Hyperlink"/>
            <w:b w:val="0"/>
          </w:rPr>
          <w:noBreakHyphen/>
          <w:t xml:space="preserve">7 </w:t>
        </w:r>
        <w:r w:rsidR="003C51B7" w:rsidRPr="000B06F4">
          <w:rPr>
            <w:rStyle w:val="Hyperlink"/>
            <w:b w:val="0"/>
          </w:rPr>
          <w:tab/>
          <w:t>Results of the Transfer Capability Analysis for New England, 2014 to 2023 (MW)</w:t>
        </w:r>
        <w:r w:rsidR="003C51B7" w:rsidRPr="000B06F4">
          <w:rPr>
            <w:b w:val="0"/>
            <w:webHidden/>
          </w:rPr>
          <w:tab/>
        </w:r>
        <w:r w:rsidRPr="000B06F4">
          <w:rPr>
            <w:b w:val="0"/>
            <w:webHidden/>
          </w:rPr>
          <w:fldChar w:fldCharType="begin"/>
        </w:r>
        <w:r w:rsidR="003C51B7" w:rsidRPr="000B06F4">
          <w:rPr>
            <w:b w:val="0"/>
            <w:webHidden/>
          </w:rPr>
          <w:instrText xml:space="preserve"> PAGEREF _Toc391985609 \h </w:instrText>
        </w:r>
        <w:r w:rsidRPr="000B06F4">
          <w:rPr>
            <w:b w:val="0"/>
            <w:webHidden/>
          </w:rPr>
        </w:r>
        <w:r w:rsidRPr="000B06F4">
          <w:rPr>
            <w:b w:val="0"/>
            <w:webHidden/>
          </w:rPr>
          <w:fldChar w:fldCharType="separate"/>
        </w:r>
        <w:r w:rsidR="00284CE3">
          <w:rPr>
            <w:b w:val="0"/>
            <w:webHidden/>
          </w:rPr>
          <w:t>64</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0" w:history="1">
        <w:r w:rsidR="003C51B7" w:rsidRPr="000B06F4">
          <w:rPr>
            <w:rStyle w:val="Hyperlink"/>
            <w:b w:val="0"/>
          </w:rPr>
          <w:t>Table 4</w:t>
        </w:r>
        <w:r w:rsidR="003C51B7" w:rsidRPr="000B06F4">
          <w:rPr>
            <w:rStyle w:val="Hyperlink"/>
            <w:b w:val="0"/>
          </w:rPr>
          <w:noBreakHyphen/>
          <w:t xml:space="preserve">8 </w:t>
        </w:r>
        <w:r w:rsidR="003C51B7" w:rsidRPr="000B06F4">
          <w:rPr>
            <w:rStyle w:val="Hyperlink"/>
            <w:b w:val="0"/>
          </w:rPr>
          <w:tab/>
          <w:t>Representative Future Operating-Reserve Requirements in Major New England Import</w:t>
        </w:r>
        <w:r w:rsidR="000B06F4" w:rsidRPr="000B06F4">
          <w:rPr>
            <w:rStyle w:val="Hyperlink"/>
            <w:b w:val="0"/>
          </w:rPr>
          <w:br/>
        </w:r>
        <w:r w:rsidR="003C51B7" w:rsidRPr="000B06F4">
          <w:rPr>
            <w:rStyle w:val="Hyperlink"/>
            <w:b w:val="0"/>
          </w:rPr>
          <w:t>Areas (MW)</w:t>
        </w:r>
        <w:r w:rsidR="003C51B7" w:rsidRPr="000B06F4">
          <w:rPr>
            <w:b w:val="0"/>
            <w:webHidden/>
          </w:rPr>
          <w:tab/>
        </w:r>
        <w:r w:rsidRPr="000B06F4">
          <w:rPr>
            <w:b w:val="0"/>
            <w:webHidden/>
          </w:rPr>
          <w:fldChar w:fldCharType="begin"/>
        </w:r>
        <w:r w:rsidR="003C51B7" w:rsidRPr="000B06F4">
          <w:rPr>
            <w:b w:val="0"/>
            <w:webHidden/>
          </w:rPr>
          <w:instrText xml:space="preserve"> PAGEREF _Toc391985610 \h </w:instrText>
        </w:r>
        <w:r w:rsidRPr="000B06F4">
          <w:rPr>
            <w:b w:val="0"/>
            <w:webHidden/>
          </w:rPr>
        </w:r>
        <w:r w:rsidRPr="000B06F4">
          <w:rPr>
            <w:b w:val="0"/>
            <w:webHidden/>
          </w:rPr>
          <w:fldChar w:fldCharType="separate"/>
        </w:r>
        <w:r w:rsidR="00284CE3">
          <w:rPr>
            <w:b w:val="0"/>
            <w:webHidden/>
          </w:rPr>
          <w:t>68</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1" w:history="1">
        <w:r w:rsidR="003C51B7" w:rsidRPr="000B06F4">
          <w:rPr>
            <w:rStyle w:val="Hyperlink"/>
            <w:b w:val="0"/>
          </w:rPr>
          <w:t>Table 4</w:t>
        </w:r>
        <w:r w:rsidR="003C51B7" w:rsidRPr="000B06F4">
          <w:rPr>
            <w:rStyle w:val="Hyperlink"/>
            <w:b w:val="0"/>
          </w:rPr>
          <w:noBreakHyphen/>
          <w:t xml:space="preserve">9 </w:t>
        </w:r>
        <w:r w:rsidR="003C51B7" w:rsidRPr="000B06F4">
          <w:rPr>
            <w:rStyle w:val="Hyperlink"/>
            <w:b w:val="0"/>
          </w:rPr>
          <w:tab/>
          <w:t>Projected New England Operable Capacity Analysis for Summer, 2014 to 2023,</w:t>
        </w:r>
        <w:r w:rsidR="000B06F4" w:rsidRPr="000B06F4">
          <w:rPr>
            <w:rStyle w:val="Hyperlink"/>
            <w:b w:val="0"/>
          </w:rPr>
          <w:br/>
        </w:r>
        <w:r w:rsidR="003C51B7" w:rsidRPr="000B06F4">
          <w:rPr>
            <w:rStyle w:val="Hyperlink"/>
            <w:b w:val="0"/>
          </w:rPr>
          <w:t>Assuming 50/50 Loads (MW)</w:t>
        </w:r>
        <w:r w:rsidR="003C51B7" w:rsidRPr="000B06F4">
          <w:rPr>
            <w:b w:val="0"/>
            <w:webHidden/>
          </w:rPr>
          <w:tab/>
        </w:r>
        <w:r w:rsidRPr="000B06F4">
          <w:rPr>
            <w:b w:val="0"/>
            <w:webHidden/>
          </w:rPr>
          <w:fldChar w:fldCharType="begin"/>
        </w:r>
        <w:r w:rsidR="003C51B7" w:rsidRPr="000B06F4">
          <w:rPr>
            <w:b w:val="0"/>
            <w:webHidden/>
          </w:rPr>
          <w:instrText xml:space="preserve"> PAGEREF _Toc391985611 \h </w:instrText>
        </w:r>
        <w:r w:rsidRPr="000B06F4">
          <w:rPr>
            <w:b w:val="0"/>
            <w:webHidden/>
          </w:rPr>
        </w:r>
        <w:r w:rsidRPr="000B06F4">
          <w:rPr>
            <w:b w:val="0"/>
            <w:webHidden/>
          </w:rPr>
          <w:fldChar w:fldCharType="separate"/>
        </w:r>
        <w:r w:rsidR="00284CE3">
          <w:rPr>
            <w:b w:val="0"/>
            <w:webHidden/>
          </w:rPr>
          <w:t>71</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2" w:history="1">
        <w:r w:rsidR="003C51B7" w:rsidRPr="000B06F4">
          <w:rPr>
            <w:rStyle w:val="Hyperlink"/>
            <w:b w:val="0"/>
          </w:rPr>
          <w:t>Table 4</w:t>
        </w:r>
        <w:r w:rsidR="003C51B7" w:rsidRPr="000B06F4">
          <w:rPr>
            <w:rStyle w:val="Hyperlink"/>
            <w:b w:val="0"/>
          </w:rPr>
          <w:noBreakHyphen/>
          <w:t xml:space="preserve">10 </w:t>
        </w:r>
        <w:r w:rsidR="003C51B7" w:rsidRPr="000B06F4">
          <w:rPr>
            <w:rStyle w:val="Hyperlink"/>
            <w:b w:val="0"/>
          </w:rPr>
          <w:tab/>
          <w:t>Projected New England Operable Capacity Analysis for Summer, 2014 to 2023,</w:t>
        </w:r>
        <w:r w:rsidR="000B06F4" w:rsidRPr="000B06F4">
          <w:rPr>
            <w:rStyle w:val="Hyperlink"/>
            <w:b w:val="0"/>
          </w:rPr>
          <w:br/>
        </w:r>
        <w:r w:rsidR="003C51B7" w:rsidRPr="000B06F4">
          <w:rPr>
            <w:rStyle w:val="Hyperlink"/>
            <w:b w:val="0"/>
          </w:rPr>
          <w:t>Assuming 90/10 Loads (MW)</w:t>
        </w:r>
        <w:r w:rsidR="003C51B7" w:rsidRPr="000B06F4">
          <w:rPr>
            <w:b w:val="0"/>
            <w:webHidden/>
          </w:rPr>
          <w:tab/>
        </w:r>
        <w:r w:rsidRPr="000B06F4">
          <w:rPr>
            <w:b w:val="0"/>
            <w:webHidden/>
          </w:rPr>
          <w:fldChar w:fldCharType="begin"/>
        </w:r>
        <w:r w:rsidR="003C51B7" w:rsidRPr="000B06F4">
          <w:rPr>
            <w:b w:val="0"/>
            <w:webHidden/>
          </w:rPr>
          <w:instrText xml:space="preserve"> PAGEREF _Toc391985612 \h </w:instrText>
        </w:r>
        <w:r w:rsidRPr="000B06F4">
          <w:rPr>
            <w:b w:val="0"/>
            <w:webHidden/>
          </w:rPr>
        </w:r>
        <w:r w:rsidRPr="000B06F4">
          <w:rPr>
            <w:b w:val="0"/>
            <w:webHidden/>
          </w:rPr>
          <w:fldChar w:fldCharType="separate"/>
        </w:r>
        <w:r w:rsidR="00284CE3">
          <w:rPr>
            <w:b w:val="0"/>
            <w:webHidden/>
          </w:rPr>
          <w:t>72</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3" w:history="1">
        <w:r w:rsidR="003C51B7" w:rsidRPr="000B06F4">
          <w:rPr>
            <w:rStyle w:val="Hyperlink"/>
            <w:b w:val="0"/>
          </w:rPr>
          <w:t>Table 4</w:t>
        </w:r>
        <w:r w:rsidR="003C51B7" w:rsidRPr="000B06F4">
          <w:rPr>
            <w:rStyle w:val="Hyperlink"/>
            <w:b w:val="0"/>
          </w:rPr>
          <w:noBreakHyphen/>
          <w:t>11</w:t>
        </w:r>
        <w:r w:rsidR="003C51B7" w:rsidRPr="000B06F4">
          <w:rPr>
            <w:rStyle w:val="Hyperlink"/>
            <w:b w:val="0"/>
          </w:rPr>
          <w:tab/>
          <w:t>2014 Summer Seasonal Claimed Capability for ISO New England Generating Resources,</w:t>
        </w:r>
        <w:r w:rsidR="000B06F4" w:rsidRPr="000B06F4">
          <w:rPr>
            <w:rStyle w:val="Hyperlink"/>
            <w:b w:val="0"/>
          </w:rPr>
          <w:br/>
        </w:r>
        <w:r w:rsidR="003C51B7" w:rsidRPr="000B06F4">
          <w:rPr>
            <w:rStyle w:val="Hyperlink"/>
            <w:b w:val="0"/>
          </w:rPr>
          <w:t>by Assumed Operating Classification, Systemwide, and by RSP Subarea (MW)</w:t>
        </w:r>
        <w:r w:rsidR="003C51B7" w:rsidRPr="000B06F4">
          <w:rPr>
            <w:b w:val="0"/>
            <w:webHidden/>
          </w:rPr>
          <w:tab/>
        </w:r>
        <w:r w:rsidRPr="000B06F4">
          <w:rPr>
            <w:b w:val="0"/>
            <w:webHidden/>
          </w:rPr>
          <w:fldChar w:fldCharType="begin"/>
        </w:r>
        <w:r w:rsidR="003C51B7" w:rsidRPr="000B06F4">
          <w:rPr>
            <w:b w:val="0"/>
            <w:webHidden/>
          </w:rPr>
          <w:instrText xml:space="preserve"> PAGEREF _Toc391985613 \h </w:instrText>
        </w:r>
        <w:r w:rsidRPr="000B06F4">
          <w:rPr>
            <w:b w:val="0"/>
            <w:webHidden/>
          </w:rPr>
        </w:r>
        <w:r w:rsidRPr="000B06F4">
          <w:rPr>
            <w:b w:val="0"/>
            <w:webHidden/>
          </w:rPr>
          <w:fldChar w:fldCharType="separate"/>
        </w:r>
        <w:r w:rsidR="00284CE3">
          <w:rPr>
            <w:b w:val="0"/>
            <w:webHidden/>
          </w:rPr>
          <w:t>73</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4" w:history="1">
        <w:r w:rsidR="003C51B7" w:rsidRPr="000B06F4">
          <w:rPr>
            <w:rStyle w:val="Hyperlink"/>
            <w:b w:val="0"/>
          </w:rPr>
          <w:t>Table 4</w:t>
        </w:r>
        <w:r w:rsidR="003C51B7" w:rsidRPr="000B06F4">
          <w:rPr>
            <w:rStyle w:val="Hyperlink"/>
            <w:b w:val="0"/>
          </w:rPr>
          <w:noBreakHyphen/>
          <w:t xml:space="preserve">12 </w:t>
        </w:r>
        <w:r w:rsidR="003C51B7" w:rsidRPr="000B06F4">
          <w:rPr>
            <w:rStyle w:val="Hyperlink"/>
            <w:b w:val="0"/>
          </w:rPr>
          <w:tab/>
          <w:t>RSP14 Generating Capacity by Subarea, Load Zone, and State, 2014</w:t>
        </w:r>
        <w:r w:rsidR="003C51B7" w:rsidRPr="000B06F4">
          <w:rPr>
            <w:b w:val="0"/>
            <w:webHidden/>
          </w:rPr>
          <w:tab/>
        </w:r>
        <w:r w:rsidRPr="000B06F4">
          <w:rPr>
            <w:b w:val="0"/>
            <w:webHidden/>
          </w:rPr>
          <w:fldChar w:fldCharType="begin"/>
        </w:r>
        <w:r w:rsidR="003C51B7" w:rsidRPr="000B06F4">
          <w:rPr>
            <w:b w:val="0"/>
            <w:webHidden/>
          </w:rPr>
          <w:instrText xml:space="preserve"> PAGEREF _Toc391985614 \h </w:instrText>
        </w:r>
        <w:r w:rsidRPr="000B06F4">
          <w:rPr>
            <w:b w:val="0"/>
            <w:webHidden/>
          </w:rPr>
        </w:r>
        <w:r w:rsidRPr="000B06F4">
          <w:rPr>
            <w:b w:val="0"/>
            <w:webHidden/>
          </w:rPr>
          <w:fldChar w:fldCharType="separate"/>
        </w:r>
        <w:r w:rsidR="00284CE3">
          <w:rPr>
            <w:b w:val="0"/>
            <w:webHidden/>
          </w:rPr>
          <w:t>74</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5" w:history="1">
        <w:r w:rsidR="003C51B7" w:rsidRPr="000B06F4">
          <w:rPr>
            <w:rStyle w:val="Hyperlink"/>
            <w:b w:val="0"/>
          </w:rPr>
          <w:t>Table 4</w:t>
        </w:r>
        <w:r w:rsidR="003C51B7" w:rsidRPr="000B06F4">
          <w:rPr>
            <w:rStyle w:val="Hyperlink"/>
            <w:b w:val="0"/>
          </w:rPr>
          <w:noBreakHyphen/>
          <w:t xml:space="preserve">13 </w:t>
        </w:r>
        <w:r w:rsidR="003C51B7" w:rsidRPr="000B06F4">
          <w:rPr>
            <w:rStyle w:val="Hyperlink"/>
            <w:b w:val="0"/>
          </w:rPr>
          <w:tab/>
          <w:t>Summary of Queue Projects as of April 1, 2014</w:t>
        </w:r>
        <w:r w:rsidR="003C51B7" w:rsidRPr="000B06F4">
          <w:rPr>
            <w:b w:val="0"/>
            <w:webHidden/>
          </w:rPr>
          <w:tab/>
        </w:r>
        <w:r w:rsidRPr="000B06F4">
          <w:rPr>
            <w:b w:val="0"/>
            <w:webHidden/>
          </w:rPr>
          <w:fldChar w:fldCharType="begin"/>
        </w:r>
        <w:r w:rsidR="003C51B7" w:rsidRPr="000B06F4">
          <w:rPr>
            <w:b w:val="0"/>
            <w:webHidden/>
          </w:rPr>
          <w:instrText xml:space="preserve"> PAGEREF _Toc391985615 \h </w:instrText>
        </w:r>
        <w:r w:rsidRPr="000B06F4">
          <w:rPr>
            <w:b w:val="0"/>
            <w:webHidden/>
          </w:rPr>
        </w:r>
        <w:r w:rsidRPr="000B06F4">
          <w:rPr>
            <w:b w:val="0"/>
            <w:webHidden/>
          </w:rPr>
          <w:fldChar w:fldCharType="separate"/>
        </w:r>
        <w:r w:rsidR="00284CE3">
          <w:rPr>
            <w:b w:val="0"/>
            <w:webHidden/>
          </w:rPr>
          <w:t>76</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6" w:history="1">
        <w:r w:rsidR="003C51B7" w:rsidRPr="000B06F4">
          <w:rPr>
            <w:rStyle w:val="Hyperlink"/>
            <w:b w:val="0"/>
          </w:rPr>
          <w:t>Table 5</w:t>
        </w:r>
        <w:r w:rsidR="003C51B7" w:rsidRPr="000B06F4">
          <w:rPr>
            <w:rStyle w:val="Hyperlink"/>
            <w:b w:val="0"/>
          </w:rPr>
          <w:noBreakHyphen/>
          <w:t xml:space="preserve">1 </w:t>
        </w:r>
        <w:r w:rsidR="003C51B7" w:rsidRPr="000B06F4">
          <w:rPr>
            <w:rStyle w:val="Hyperlink"/>
            <w:b w:val="0"/>
          </w:rPr>
          <w:tab/>
          <w:t>Estimated Cost of Reliability Projects as of June 2014 Plan Update (Million $)</w:t>
        </w:r>
        <w:r w:rsidR="003C51B7" w:rsidRPr="000B06F4">
          <w:rPr>
            <w:b w:val="0"/>
            <w:webHidden/>
          </w:rPr>
          <w:tab/>
        </w:r>
        <w:r w:rsidRPr="000B06F4">
          <w:rPr>
            <w:b w:val="0"/>
            <w:webHidden/>
          </w:rPr>
          <w:fldChar w:fldCharType="begin"/>
        </w:r>
        <w:r w:rsidR="003C51B7" w:rsidRPr="000B06F4">
          <w:rPr>
            <w:b w:val="0"/>
            <w:webHidden/>
          </w:rPr>
          <w:instrText xml:space="preserve"> PAGEREF _Toc391985616 \h </w:instrText>
        </w:r>
        <w:r w:rsidRPr="000B06F4">
          <w:rPr>
            <w:b w:val="0"/>
            <w:webHidden/>
          </w:rPr>
        </w:r>
        <w:r w:rsidRPr="000B06F4">
          <w:rPr>
            <w:b w:val="0"/>
            <w:webHidden/>
          </w:rPr>
          <w:fldChar w:fldCharType="separate"/>
        </w:r>
        <w:r w:rsidR="00284CE3">
          <w:rPr>
            <w:b w:val="0"/>
            <w:webHidden/>
          </w:rPr>
          <w:t>85</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7" w:history="1">
        <w:r w:rsidR="003C51B7" w:rsidRPr="000B06F4">
          <w:rPr>
            <w:rStyle w:val="Hyperlink"/>
            <w:b w:val="0"/>
          </w:rPr>
          <w:t>Table 5</w:t>
        </w:r>
        <w:r w:rsidR="003C51B7" w:rsidRPr="000B06F4">
          <w:rPr>
            <w:rStyle w:val="Hyperlink"/>
            <w:b w:val="0"/>
          </w:rPr>
          <w:noBreakHyphen/>
          <w:t xml:space="preserve">2 </w:t>
        </w:r>
        <w:r w:rsidR="003C51B7" w:rsidRPr="000B06F4">
          <w:rPr>
            <w:rStyle w:val="Hyperlink"/>
            <w:b w:val="0"/>
          </w:rPr>
          <w:tab/>
          <w:t>Actual and Forecast Regional Network Service Rates, 2012 to 2017</w:t>
        </w:r>
        <w:r w:rsidR="003C51B7" w:rsidRPr="000B06F4">
          <w:rPr>
            <w:b w:val="0"/>
            <w:webHidden/>
          </w:rPr>
          <w:tab/>
        </w:r>
        <w:r w:rsidRPr="000B06F4">
          <w:rPr>
            <w:b w:val="0"/>
            <w:webHidden/>
          </w:rPr>
          <w:fldChar w:fldCharType="begin"/>
        </w:r>
        <w:r w:rsidR="003C51B7" w:rsidRPr="000B06F4">
          <w:rPr>
            <w:b w:val="0"/>
            <w:webHidden/>
          </w:rPr>
          <w:instrText xml:space="preserve"> PAGEREF _Toc391985617 \h </w:instrText>
        </w:r>
        <w:r w:rsidRPr="000B06F4">
          <w:rPr>
            <w:b w:val="0"/>
            <w:webHidden/>
          </w:rPr>
        </w:r>
        <w:r w:rsidRPr="000B06F4">
          <w:rPr>
            <w:b w:val="0"/>
            <w:webHidden/>
          </w:rPr>
          <w:fldChar w:fldCharType="separate"/>
        </w:r>
        <w:r w:rsidR="00284CE3">
          <w:rPr>
            <w:b w:val="0"/>
            <w:webHidden/>
          </w:rPr>
          <w:t>87</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8" w:history="1">
        <w:r w:rsidR="003C51B7" w:rsidRPr="000B06F4">
          <w:rPr>
            <w:rStyle w:val="Hyperlink"/>
            <w:b w:val="0"/>
          </w:rPr>
          <w:t>Table 5</w:t>
        </w:r>
        <w:r w:rsidR="003C51B7" w:rsidRPr="000B06F4">
          <w:rPr>
            <w:rStyle w:val="Hyperlink"/>
            <w:b w:val="0"/>
          </w:rPr>
          <w:noBreakHyphen/>
          <w:t xml:space="preserve">3 </w:t>
        </w:r>
        <w:r w:rsidR="003C51B7" w:rsidRPr="000B06F4">
          <w:rPr>
            <w:rStyle w:val="Hyperlink"/>
            <w:b w:val="0"/>
          </w:rPr>
          <w:tab/>
          <w:t>Net Commitment-Period Compensation by Type and Year (Million $)</w:t>
        </w:r>
        <w:r w:rsidR="003C51B7" w:rsidRPr="000B06F4">
          <w:rPr>
            <w:b w:val="0"/>
            <w:webHidden/>
          </w:rPr>
          <w:tab/>
        </w:r>
        <w:r w:rsidRPr="000B06F4">
          <w:rPr>
            <w:b w:val="0"/>
            <w:webHidden/>
          </w:rPr>
          <w:fldChar w:fldCharType="begin"/>
        </w:r>
        <w:r w:rsidR="003C51B7" w:rsidRPr="000B06F4">
          <w:rPr>
            <w:b w:val="0"/>
            <w:webHidden/>
          </w:rPr>
          <w:instrText xml:space="preserve"> PAGEREF _Toc391985618 \h </w:instrText>
        </w:r>
        <w:r w:rsidRPr="000B06F4">
          <w:rPr>
            <w:b w:val="0"/>
            <w:webHidden/>
          </w:rPr>
        </w:r>
        <w:r w:rsidRPr="000B06F4">
          <w:rPr>
            <w:b w:val="0"/>
            <w:webHidden/>
          </w:rPr>
          <w:fldChar w:fldCharType="separate"/>
        </w:r>
        <w:r w:rsidR="00284CE3">
          <w:rPr>
            <w:b w:val="0"/>
            <w:webHidden/>
          </w:rPr>
          <w:t>120</w:t>
        </w:r>
        <w:r w:rsidRPr="000B06F4">
          <w:rPr>
            <w:b w:val="0"/>
            <w:webHidden/>
          </w:rPr>
          <w:fldChar w:fldCharType="end"/>
        </w:r>
      </w:hyperlink>
    </w:p>
    <w:p w:rsidR="003C51B7" w:rsidRPr="000B06F4" w:rsidRDefault="00927965">
      <w:pPr>
        <w:pStyle w:val="TableofFigures"/>
        <w:rPr>
          <w:rFonts w:asciiTheme="minorHAnsi" w:eastAsiaTheme="minorEastAsia" w:hAnsiTheme="minorHAnsi" w:cstheme="minorBidi"/>
          <w:b w:val="0"/>
          <w:bCs w:val="0"/>
          <w:sz w:val="22"/>
          <w:szCs w:val="22"/>
        </w:rPr>
      </w:pPr>
      <w:hyperlink w:anchor="_Toc391985619" w:history="1">
        <w:r w:rsidR="003C51B7" w:rsidRPr="000B06F4">
          <w:rPr>
            <w:rStyle w:val="Hyperlink"/>
            <w:b w:val="0"/>
          </w:rPr>
          <w:t>Table 6</w:t>
        </w:r>
        <w:r w:rsidR="003C51B7" w:rsidRPr="000B06F4">
          <w:rPr>
            <w:rStyle w:val="Hyperlink"/>
            <w:b w:val="0"/>
          </w:rPr>
          <w:noBreakHyphen/>
          <w:t xml:space="preserve">1 </w:t>
        </w:r>
        <w:r w:rsidR="003C51B7" w:rsidRPr="000B06F4">
          <w:rPr>
            <w:rStyle w:val="Hyperlink"/>
            <w:b w:val="0"/>
          </w:rPr>
          <w:tab/>
          <w:t>New England Operating Nuclear Power Plants</w:t>
        </w:r>
        <w:r w:rsidR="003C51B7" w:rsidRPr="000B06F4">
          <w:rPr>
            <w:b w:val="0"/>
            <w:webHidden/>
          </w:rPr>
          <w:tab/>
        </w:r>
        <w:r w:rsidRPr="000B06F4">
          <w:rPr>
            <w:b w:val="0"/>
            <w:webHidden/>
          </w:rPr>
          <w:fldChar w:fldCharType="begin"/>
        </w:r>
        <w:r w:rsidR="003C51B7" w:rsidRPr="000B06F4">
          <w:rPr>
            <w:b w:val="0"/>
            <w:webHidden/>
          </w:rPr>
          <w:instrText xml:space="preserve"> PAGEREF _Toc391985619 \h </w:instrText>
        </w:r>
        <w:r w:rsidRPr="000B06F4">
          <w:rPr>
            <w:b w:val="0"/>
            <w:webHidden/>
          </w:rPr>
        </w:r>
        <w:r w:rsidRPr="000B06F4">
          <w:rPr>
            <w:b w:val="0"/>
            <w:webHidden/>
          </w:rPr>
          <w:fldChar w:fldCharType="separate"/>
        </w:r>
        <w:r w:rsidR="00284CE3">
          <w:rPr>
            <w:b w:val="0"/>
            <w:webHidden/>
          </w:rPr>
          <w:t>156</w:t>
        </w:r>
        <w:r w:rsidRPr="000B06F4">
          <w:rPr>
            <w:b w:val="0"/>
            <w:webHidden/>
          </w:rPr>
          <w:fldChar w:fldCharType="end"/>
        </w:r>
      </w:hyperlink>
    </w:p>
    <w:p w:rsidR="00DB025A" w:rsidRDefault="00927965" w:rsidP="005550C5">
      <w:pPr>
        <w:pStyle w:val="TableofFigures"/>
      </w:pPr>
      <w:hyperlink w:anchor="_Toc391985620" w:history="1">
        <w:r w:rsidR="003C51B7" w:rsidRPr="000B06F4">
          <w:rPr>
            <w:rStyle w:val="Hyperlink"/>
            <w:b w:val="0"/>
          </w:rPr>
          <w:t>Table 6</w:t>
        </w:r>
        <w:r w:rsidR="003C51B7" w:rsidRPr="000B06F4">
          <w:rPr>
            <w:rStyle w:val="Hyperlink"/>
            <w:b w:val="0"/>
          </w:rPr>
          <w:noBreakHyphen/>
          <w:t>2</w:t>
        </w:r>
        <w:r w:rsidR="003C51B7" w:rsidRPr="000B06F4">
          <w:rPr>
            <w:rStyle w:val="Hyperlink"/>
            <w:b w:val="0"/>
          </w:rPr>
          <w:tab/>
          <w:t>Generic Capital Costs of New Supply-Side Resources</w:t>
        </w:r>
        <w:r w:rsidR="003C51B7" w:rsidRPr="000B06F4">
          <w:rPr>
            <w:b w:val="0"/>
            <w:webHidden/>
          </w:rPr>
          <w:tab/>
        </w:r>
        <w:r w:rsidRPr="000B06F4">
          <w:rPr>
            <w:b w:val="0"/>
            <w:webHidden/>
          </w:rPr>
          <w:fldChar w:fldCharType="begin"/>
        </w:r>
        <w:r w:rsidR="003C51B7" w:rsidRPr="000B06F4">
          <w:rPr>
            <w:b w:val="0"/>
            <w:webHidden/>
          </w:rPr>
          <w:instrText xml:space="preserve"> PAGEREF _Toc391985620 \h </w:instrText>
        </w:r>
        <w:r w:rsidRPr="000B06F4">
          <w:rPr>
            <w:b w:val="0"/>
            <w:webHidden/>
          </w:rPr>
        </w:r>
        <w:r w:rsidRPr="000B06F4">
          <w:rPr>
            <w:b w:val="0"/>
            <w:webHidden/>
          </w:rPr>
          <w:fldChar w:fldCharType="separate"/>
        </w:r>
        <w:r w:rsidR="00284CE3">
          <w:rPr>
            <w:b w:val="0"/>
            <w:webHidden/>
          </w:rPr>
          <w:t>166</w:t>
        </w:r>
        <w:r w:rsidRPr="000B06F4">
          <w:rPr>
            <w:b w:val="0"/>
            <w:webHidden/>
          </w:rPr>
          <w:fldChar w:fldCharType="end"/>
        </w:r>
      </w:hyperlink>
    </w:p>
    <w:p w:rsidR="00DB025A" w:rsidRDefault="00DB025A">
      <w:pPr>
        <w:pStyle w:val="TableofFigures"/>
        <w:rPr>
          <w:rStyle w:val="Hyperlink"/>
          <w:b w:val="0"/>
        </w:rPr>
        <w:sectPr w:rsidR="00DB025A" w:rsidSect="000B06F4">
          <w:headerReference w:type="default" r:id="rId15"/>
          <w:footerReference w:type="default" r:id="rId16"/>
          <w:pgSz w:w="12240" w:h="15840"/>
          <w:pgMar w:top="1440" w:right="1440" w:bottom="1440" w:left="1800" w:header="720" w:footer="720" w:gutter="0"/>
          <w:pgNumType w:fmt="lowerRoman"/>
          <w:cols w:space="720"/>
          <w:docGrid w:linePitch="360"/>
        </w:sectPr>
      </w:pPr>
    </w:p>
    <w:p w:rsidR="00DB025A" w:rsidRDefault="00DB025A">
      <w:pPr>
        <w:pStyle w:val="TableofFigures"/>
        <w:rPr>
          <w:rStyle w:val="Hyperlink"/>
          <w:b w:val="0"/>
        </w:rPr>
        <w:sectPr w:rsidR="00DB025A" w:rsidSect="000B06F4">
          <w:headerReference w:type="default" r:id="rId17"/>
          <w:footerReference w:type="default" r:id="rId18"/>
          <w:pgSz w:w="12240" w:h="15840"/>
          <w:pgMar w:top="1440" w:right="1440" w:bottom="1440" w:left="1800" w:header="720" w:footer="720" w:gutter="0"/>
          <w:pgNumType w:fmt="lowerRoman"/>
          <w:cols w:space="720"/>
          <w:docGrid w:linePitch="360"/>
        </w:sectPr>
      </w:pPr>
    </w:p>
    <w:bookmarkStart w:id="17" w:name="_Toc388960602"/>
    <w:bookmarkStart w:id="18" w:name="_Toc388960603"/>
    <w:bookmarkStart w:id="19" w:name="_Toc388960604"/>
    <w:bookmarkStart w:id="20" w:name="_Toc388960605"/>
    <w:bookmarkStart w:id="21" w:name="_Toc388960606"/>
    <w:bookmarkStart w:id="22" w:name="_Toc388960607"/>
    <w:bookmarkStart w:id="23" w:name="_Toc388960608"/>
    <w:bookmarkStart w:id="24" w:name="_Toc388960609"/>
    <w:bookmarkStart w:id="25" w:name="_Toc388960610"/>
    <w:bookmarkStart w:id="26" w:name="_Toc388960611"/>
    <w:bookmarkStart w:id="27" w:name="_Toc388960612"/>
    <w:bookmarkStart w:id="28" w:name="_Toc388960613"/>
    <w:bookmarkStart w:id="29" w:name="_Toc388960614"/>
    <w:bookmarkStart w:id="30" w:name="_Toc388960615"/>
    <w:bookmarkStart w:id="31" w:name="_Toc388960616"/>
    <w:bookmarkStart w:id="32" w:name="_Toc388960617"/>
    <w:bookmarkStart w:id="33" w:name="_Toc388960618"/>
    <w:bookmarkStart w:id="34" w:name="_Toc388960619"/>
    <w:bookmarkStart w:id="35" w:name="_Toc388960620"/>
    <w:bookmarkStart w:id="36" w:name="_Toc388960621"/>
    <w:bookmarkStart w:id="37" w:name="_Toc388960622"/>
    <w:bookmarkStart w:id="38" w:name="_Toc388960623"/>
    <w:bookmarkStart w:id="39" w:name="_Toc388960624"/>
    <w:bookmarkStart w:id="40" w:name="_Toc388960625"/>
    <w:bookmarkStart w:id="41" w:name="_Toc388960626"/>
    <w:bookmarkStart w:id="42" w:name="_Toc38896062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92626C" w:rsidRPr="00123E40" w:rsidRDefault="00927965" w:rsidP="00424255">
      <w:pPr>
        <w:pStyle w:val="Heading1"/>
        <w:spacing w:after="120" w:line="240" w:lineRule="auto"/>
      </w:pPr>
      <w:r w:rsidRPr="000B06F4">
        <w:rPr>
          <w:rStyle w:val="Hyperlink"/>
          <w:rFonts w:asciiTheme="minorHAnsi" w:hAnsiTheme="minorHAnsi"/>
          <w:b w:val="0"/>
          <w:sz w:val="20"/>
          <w:szCs w:val="20"/>
        </w:rPr>
        <w:fldChar w:fldCharType="end"/>
      </w:r>
      <w:bookmarkStart w:id="43" w:name="_Toc365440964"/>
      <w:r w:rsidR="0092626C">
        <w:rPr>
          <w:rStyle w:val="Hyperlink"/>
          <w:rFonts w:asciiTheme="minorHAnsi" w:hAnsiTheme="minorHAnsi"/>
          <w:b w:val="0"/>
        </w:rPr>
        <w:br/>
      </w:r>
      <w:bookmarkStart w:id="44" w:name="_Toc396807588"/>
      <w:r w:rsidR="0092626C" w:rsidRPr="00123E40">
        <w:t>Executive Summary</w:t>
      </w:r>
      <w:bookmarkEnd w:id="43"/>
      <w:bookmarkEnd w:id="44"/>
    </w:p>
    <w:p w:rsidR="00B94DC6" w:rsidRDefault="00B94DC6" w:rsidP="00B94DC6">
      <w:r w:rsidRPr="00CD7D57">
        <w:t xml:space="preserve">ISO New England’s (ISO) regional system planning process and market design </w:t>
      </w:r>
      <w:r w:rsidR="006229A8" w:rsidRPr="00CD7D57">
        <w:t xml:space="preserve">have fostered </w:t>
      </w:r>
      <w:r w:rsidR="00FA5D33">
        <w:t>significant</w:t>
      </w:r>
      <w:r w:rsidR="00CD7D57" w:rsidRPr="00CD7D57">
        <w:t xml:space="preserve"> </w:t>
      </w:r>
      <w:r w:rsidR="006229A8" w:rsidRPr="00CD7D57">
        <w:t>additions</w:t>
      </w:r>
      <w:r w:rsidRPr="00CD7D57">
        <w:t xml:space="preserve"> to the region’s generation and demand resources.</w:t>
      </w:r>
      <w:r w:rsidRPr="00CD7D57">
        <w:rPr>
          <w:rStyle w:val="FootnoteReference"/>
        </w:rPr>
        <w:footnoteReference w:id="9"/>
      </w:r>
      <w:r w:rsidRPr="00CD7D57">
        <w:t xml:space="preserve"> A</w:t>
      </w:r>
      <w:r w:rsidR="0079466C">
        <w:t>pproximately</w:t>
      </w:r>
      <w:r w:rsidRPr="00CD7D57">
        <w:t xml:space="preserve"> </w:t>
      </w:r>
      <w:r w:rsidR="0079466C">
        <w:t>10</w:t>
      </w:r>
      <w:r w:rsidRPr="00CD7D57">
        <w:t>% of the region’s</w:t>
      </w:r>
      <w:r w:rsidRPr="00D71775">
        <w:t xml:space="preserve"> existing generation </w:t>
      </w:r>
      <w:proofErr w:type="gramStart"/>
      <w:r w:rsidRPr="00D71775">
        <w:t>was built</w:t>
      </w:r>
      <w:proofErr w:type="gramEnd"/>
      <w:r w:rsidRPr="00D71775">
        <w:t xml:space="preserve"> during the past 1</w:t>
      </w:r>
      <w:r w:rsidR="0079466C">
        <w:t>0</w:t>
      </w:r>
      <w:r w:rsidRPr="00D71775">
        <w:t xml:space="preserve"> years, and the amount of energy efficiency participating </w:t>
      </w:r>
      <w:r w:rsidRPr="0079466C">
        <w:t xml:space="preserve">as </w:t>
      </w:r>
      <w:r w:rsidR="00113C54" w:rsidRPr="0079466C">
        <w:t xml:space="preserve">demand resources in the Forward Capacity Market (FCM) has increased roughly 235 </w:t>
      </w:r>
      <w:r w:rsidR="00D60C53">
        <w:t>megawatts (</w:t>
      </w:r>
      <w:r w:rsidR="00113C54" w:rsidRPr="0079466C">
        <w:t>MW</w:t>
      </w:r>
      <w:r w:rsidR="00D60C53">
        <w:t>)</w:t>
      </w:r>
      <w:r w:rsidR="00113C54" w:rsidRPr="0079466C">
        <w:t xml:space="preserve"> per year over the past four years.</w:t>
      </w:r>
      <w:r w:rsidRPr="0079466C">
        <w:t xml:space="preserve"> The transmission system, which had seen little investment in past decades, </w:t>
      </w:r>
      <w:proofErr w:type="gramStart"/>
      <w:r w:rsidRPr="0079466C">
        <w:t>has</w:t>
      </w:r>
      <w:r w:rsidRPr="00D71775">
        <w:t xml:space="preserve"> been upgraded</w:t>
      </w:r>
      <w:proofErr w:type="gramEnd"/>
      <w:r w:rsidRPr="00D71775">
        <w:t xml:space="preserve"> over the past 10 years to </w:t>
      </w:r>
      <w:r>
        <w:t xml:space="preserve">reduce congestion and </w:t>
      </w:r>
      <w:r w:rsidRPr="00D71775">
        <w:t>better serve the region’s load.</w:t>
      </w:r>
      <w:r w:rsidRPr="00286AC9">
        <w:t xml:space="preserve"> </w:t>
      </w:r>
    </w:p>
    <w:p w:rsidR="00B94DC6" w:rsidRPr="00F86A3F" w:rsidRDefault="00B94DC6" w:rsidP="00B94DC6">
      <w:r>
        <w:t xml:space="preserve">To </w:t>
      </w:r>
      <w:r w:rsidRPr="004E3D5B">
        <w:t xml:space="preserve">maintain the reliable and efficient operation of the New England power system, the regional </w:t>
      </w:r>
      <w:r w:rsidRPr="00F86A3F">
        <w:t xml:space="preserve">system planning process </w:t>
      </w:r>
      <w:r>
        <w:t xml:space="preserve">is </w:t>
      </w:r>
      <w:r w:rsidRPr="00F86A3F">
        <w:t>continuous and comprehensive</w:t>
      </w:r>
      <w:r>
        <w:t xml:space="preserve">. </w:t>
      </w:r>
      <w:proofErr w:type="gramStart"/>
      <w:r>
        <w:t>B</w:t>
      </w:r>
      <w:r w:rsidRPr="00781631">
        <w:t>ut</w:t>
      </w:r>
      <w:r w:rsidRPr="00D57DFB">
        <w:t xml:space="preserve"> </w:t>
      </w:r>
      <w:r w:rsidRPr="00781631">
        <w:t>n</w:t>
      </w:r>
      <w:r w:rsidRPr="00F86A3F">
        <w:t>otwithstanding</w:t>
      </w:r>
      <w:proofErr w:type="gramEnd"/>
      <w:r w:rsidRPr="00F86A3F">
        <w:t xml:space="preserve"> the region’s system improvements, challenges remain across the 10-year planning horizon for maintaining system reliability, including the following:</w:t>
      </w:r>
    </w:p>
    <w:p w:rsidR="00B94DC6" w:rsidRPr="00A217E5" w:rsidRDefault="00B94DC6" w:rsidP="00B94DC6">
      <w:pPr>
        <w:pStyle w:val="Bullet-Solid"/>
        <w:numPr>
          <w:ilvl w:val="0"/>
          <w:numId w:val="369"/>
        </w:numPr>
      </w:pPr>
      <w:r w:rsidRPr="00A217E5">
        <w:t>Improving resource performance and flexibility</w:t>
      </w:r>
    </w:p>
    <w:p w:rsidR="00B94DC6" w:rsidRDefault="00B94DC6" w:rsidP="00B94DC6">
      <w:pPr>
        <w:pStyle w:val="Bullet-Solid"/>
        <w:numPr>
          <w:ilvl w:val="0"/>
          <w:numId w:val="369"/>
        </w:numPr>
      </w:pPr>
      <w:r w:rsidRPr="00A217E5">
        <w:t>Maintaining reliability</w:t>
      </w:r>
      <w:r>
        <w:t xml:space="preserve"> </w:t>
      </w:r>
      <w:r w:rsidRPr="00781631">
        <w:t>and fuel certainty</w:t>
      </w:r>
      <w:r>
        <w:t>,</w:t>
      </w:r>
      <w:r w:rsidRPr="00A217E5">
        <w:t xml:space="preserve"> given the region’s increased reliance on natural-gas-fired capacity</w:t>
      </w:r>
      <w:r>
        <w:t xml:space="preserve"> and the limited availability of fuels necessary to generate electrical energy </w:t>
      </w:r>
    </w:p>
    <w:p w:rsidR="00B94DC6" w:rsidRPr="00A174FB" w:rsidRDefault="00B94DC6" w:rsidP="00B94DC6">
      <w:pPr>
        <w:pStyle w:val="Bullet-Solid"/>
        <w:numPr>
          <w:ilvl w:val="0"/>
          <w:numId w:val="369"/>
        </w:numPr>
      </w:pPr>
      <w:r w:rsidRPr="00A174FB">
        <w:t>Planning for the potential retirement of generators</w:t>
      </w:r>
    </w:p>
    <w:p w:rsidR="00B94DC6" w:rsidRPr="00A174FB" w:rsidRDefault="00B94DC6" w:rsidP="00B94DC6">
      <w:pPr>
        <w:pStyle w:val="Bullet-Solid"/>
        <w:numPr>
          <w:ilvl w:val="0"/>
          <w:numId w:val="369"/>
        </w:numPr>
        <w:spacing w:after="240"/>
      </w:pPr>
      <w:r w:rsidRPr="00A174FB">
        <w:t xml:space="preserve">Integrating a greater level of intermittent resources (i.e., </w:t>
      </w:r>
      <w:r w:rsidRPr="00A174FB">
        <w:rPr>
          <w:i/>
        </w:rPr>
        <w:t xml:space="preserve">variable energy </w:t>
      </w:r>
      <w:r w:rsidRPr="00E4618E">
        <w:rPr>
          <w:i/>
        </w:rPr>
        <w:t>resources</w:t>
      </w:r>
      <w:r w:rsidRPr="00E4618E">
        <w:t>; VERs)</w:t>
      </w:r>
    </w:p>
    <w:p w:rsidR="00B94DC6" w:rsidRDefault="00B94DC6" w:rsidP="00B94DC6">
      <w:r w:rsidRPr="00F86A3F">
        <w:t xml:space="preserve">To address these </w:t>
      </w:r>
      <w:r>
        <w:t>regional strategic planning</w:t>
      </w:r>
      <w:r w:rsidRPr="00F86A3F">
        <w:t xml:space="preserve"> </w:t>
      </w:r>
      <w:r>
        <w:t>issues</w:t>
      </w:r>
      <w:r w:rsidRPr="00F86A3F">
        <w:t xml:space="preserve">, prepare for changes likely to confront the New England power system, and assess potential system enhancements, the ISO and its stakeholders are </w:t>
      </w:r>
      <w:r w:rsidRPr="005A68D2">
        <w:t>modifying the market design, system operations, and planning activities.</w:t>
      </w:r>
      <w:r w:rsidRPr="005A68D2">
        <w:rPr>
          <w:rStyle w:val="FootnoteReference"/>
        </w:rPr>
        <w:footnoteReference w:id="10"/>
      </w:r>
      <w:r w:rsidRPr="005A68D2">
        <w:t xml:space="preserve"> The</w:t>
      </w:r>
      <w:r w:rsidR="00E705CA" w:rsidRPr="005A68D2">
        <w:t xml:space="preserve">se </w:t>
      </w:r>
      <w:r w:rsidR="00FA5D33">
        <w:t xml:space="preserve">planning </w:t>
      </w:r>
      <w:r w:rsidRPr="005A68D2">
        <w:t>activities</w:t>
      </w:r>
      <w:r w:rsidR="00E705CA" w:rsidRPr="005A68D2">
        <w:t xml:space="preserve">, </w:t>
      </w:r>
      <w:r w:rsidR="003D30FC" w:rsidRPr="005A68D2">
        <w:t>which</w:t>
      </w:r>
      <w:r w:rsidR="003D30FC">
        <w:t xml:space="preserve"> </w:t>
      </w:r>
      <w:proofErr w:type="gramStart"/>
      <w:r w:rsidR="00FA5D33">
        <w:t>are designed</w:t>
      </w:r>
      <w:proofErr w:type="gramEnd"/>
      <w:r w:rsidR="00FA5D33">
        <w:t xml:space="preserve"> to </w:t>
      </w:r>
      <w:r w:rsidR="003D30FC">
        <w:t>ensure</w:t>
      </w:r>
      <w:r w:rsidR="0044721C" w:rsidRPr="004F7C9A">
        <w:t xml:space="preserve"> a reliable and economical</w:t>
      </w:r>
      <w:r w:rsidR="006229A8" w:rsidRPr="006229A8">
        <w:t xml:space="preserve"> </w:t>
      </w:r>
      <w:r w:rsidR="0044721C" w:rsidRPr="004F7C9A">
        <w:t>power system</w:t>
      </w:r>
      <w:r w:rsidR="00E705CA" w:rsidRPr="004F7C9A">
        <w:t>,</w:t>
      </w:r>
      <w:r w:rsidR="0044721C" w:rsidRPr="004F7C9A">
        <w:t xml:space="preserve"> </w:t>
      </w:r>
      <w:r w:rsidRPr="004F7C9A">
        <w:t>take place through an open stakeholder process</w:t>
      </w:r>
      <w:r w:rsidR="00FA5D33">
        <w:t xml:space="preserve"> that includes input from </w:t>
      </w:r>
      <w:r w:rsidRPr="00BC2659">
        <w:t xml:space="preserve">the Planning Advisory </w:t>
      </w:r>
      <w:r w:rsidRPr="008A00E8">
        <w:t>Committee (</w:t>
      </w:r>
      <w:r w:rsidRPr="00E90DC7">
        <w:t>PAC</w:t>
      </w:r>
      <w:r w:rsidRPr="005A68D2">
        <w:t>)</w:t>
      </w:r>
      <w:r w:rsidR="00E705CA" w:rsidRPr="005A68D2">
        <w:t>.</w:t>
      </w:r>
      <w:r w:rsidR="005A68D2">
        <w:rPr>
          <w:rStyle w:val="FootnoteReference"/>
        </w:rPr>
        <w:footnoteReference w:id="11"/>
      </w:r>
      <w:r w:rsidR="004F7C9A">
        <w:t xml:space="preserve"> </w:t>
      </w:r>
      <w:r w:rsidR="00E705CA" w:rsidRPr="005A68D2">
        <w:t xml:space="preserve">Additionally, the ISO </w:t>
      </w:r>
      <w:r w:rsidR="00E705CA" w:rsidRPr="004F7C9A">
        <w:t xml:space="preserve">receives advisory input </w:t>
      </w:r>
      <w:r w:rsidR="003D30FC" w:rsidRPr="004F7C9A">
        <w:t>through the New England Power Pool (NEPOOL) committee structure</w:t>
      </w:r>
      <w:r w:rsidR="003D30FC">
        <w:t xml:space="preserve"> </w:t>
      </w:r>
      <w:r w:rsidR="00DC7A53">
        <w:t>on</w:t>
      </w:r>
      <w:r w:rsidR="00E705CA" w:rsidRPr="004F7C9A">
        <w:t xml:space="preserve"> potential changes to the market design, provisions of the </w:t>
      </w:r>
      <w:r w:rsidR="006229A8" w:rsidRPr="006229A8">
        <w:rPr>
          <w:i/>
        </w:rPr>
        <w:t>Open Access Transmission Tariff</w:t>
      </w:r>
      <w:r w:rsidR="00E705CA" w:rsidRPr="004F7C9A">
        <w:t xml:space="preserve"> (OATT), and supporting procedures</w:t>
      </w:r>
      <w:r w:rsidRPr="004F7C9A">
        <w:t>.</w:t>
      </w:r>
      <w:r w:rsidRPr="004F7C9A">
        <w:rPr>
          <w:rStyle w:val="FootnoteReference"/>
        </w:rPr>
        <w:footnoteReference w:id="12"/>
      </w:r>
      <w:r w:rsidRPr="003058A4">
        <w:t xml:space="preserve"> </w:t>
      </w:r>
    </w:p>
    <w:p w:rsidR="00B94DC6" w:rsidRPr="00706706" w:rsidRDefault="00B94DC6" w:rsidP="00B94DC6">
      <w:r w:rsidRPr="007432E2">
        <w:t xml:space="preserve">Historically, </w:t>
      </w:r>
      <w:r w:rsidR="00113C54" w:rsidRPr="007432E2">
        <w:t xml:space="preserve">the region has </w:t>
      </w:r>
      <w:r w:rsidR="00A33302">
        <w:t>supported</w:t>
      </w:r>
      <w:r w:rsidRPr="007432E2">
        <w:t xml:space="preserve"> the reliable operation of the system</w:t>
      </w:r>
      <w:r>
        <w:t xml:space="preserve"> through proactive planning, the completion of transmission projects and other improvements, the </w:t>
      </w:r>
      <w:r w:rsidRPr="007432E2">
        <w:t xml:space="preserve">development of needed resources, and the overall competitiveness of the markets. </w:t>
      </w:r>
      <w:r w:rsidR="00113C54" w:rsidRPr="007432E2">
        <w:t xml:space="preserve">The ISO anticipates that </w:t>
      </w:r>
      <w:r w:rsidR="0004359B" w:rsidRPr="007432E2">
        <w:t xml:space="preserve">compliance </w:t>
      </w:r>
      <w:r w:rsidR="00F63E98" w:rsidRPr="007432E2">
        <w:t>with</w:t>
      </w:r>
      <w:r w:rsidR="00113C54" w:rsidRPr="007432E2">
        <w:t xml:space="preserve"> </w:t>
      </w:r>
      <w:r w:rsidR="00F63E98" w:rsidRPr="007432E2">
        <w:t xml:space="preserve">the </w:t>
      </w:r>
      <w:r w:rsidR="00113C54" w:rsidRPr="007432E2">
        <w:t>Federal Energy</w:t>
      </w:r>
      <w:r w:rsidR="00113C54" w:rsidRPr="00113C54">
        <w:t xml:space="preserve"> </w:t>
      </w:r>
      <w:r w:rsidR="00113C54" w:rsidRPr="007432E2">
        <w:t>Regulatory Commission’s (FERC) final</w:t>
      </w:r>
      <w:r w:rsidR="00F63E98" w:rsidRPr="007432E2">
        <w:t xml:space="preserve"> </w:t>
      </w:r>
      <w:r w:rsidR="00113C54" w:rsidRPr="007432E2">
        <w:t>Order No. 1000 will require fundamental changes to the</w:t>
      </w:r>
      <w:r w:rsidR="00113C54" w:rsidRPr="00113C54">
        <w:t xml:space="preserve"> transmission planning process as it </w:t>
      </w:r>
      <w:proofErr w:type="gramStart"/>
      <w:r w:rsidR="00113C54" w:rsidRPr="00113C54">
        <w:t>has been</w:t>
      </w:r>
      <w:r w:rsidR="007E209F" w:rsidRPr="009469AB">
        <w:t xml:space="preserve"> </w:t>
      </w:r>
      <w:r w:rsidR="00113C54" w:rsidRPr="00113C54">
        <w:t>conducted</w:t>
      </w:r>
      <w:proofErr w:type="gramEnd"/>
      <w:r w:rsidR="00113C54" w:rsidRPr="00113C54">
        <w:t xml:space="preserve"> in New England since 2001</w:t>
      </w:r>
      <w:r w:rsidR="007432E2">
        <w:t xml:space="preserve">. </w:t>
      </w:r>
      <w:r w:rsidR="00FA5D33" w:rsidRPr="00F63E98">
        <w:t>Opening the process to</w:t>
      </w:r>
      <w:r w:rsidR="00FA5D33">
        <w:t xml:space="preserve"> </w:t>
      </w:r>
      <w:proofErr w:type="spellStart"/>
      <w:r w:rsidRPr="002D3B58">
        <w:t>nonincumbent</w:t>
      </w:r>
      <w:proofErr w:type="spellEnd"/>
      <w:r w:rsidRPr="002D3B58">
        <w:t xml:space="preserve"> transmission developers </w:t>
      </w:r>
      <w:r w:rsidR="00FA5D33">
        <w:t xml:space="preserve">and implementing a competitive solicitation process for </w:t>
      </w:r>
      <w:r w:rsidR="004F7C9A" w:rsidRPr="0004359B">
        <w:t xml:space="preserve">transmission </w:t>
      </w:r>
      <w:r w:rsidR="00FA5D33" w:rsidRPr="0004359B">
        <w:t>solutions are key components of this order</w:t>
      </w:r>
      <w:r w:rsidRPr="0004359B">
        <w:t>.</w:t>
      </w:r>
      <w:r w:rsidR="004F7C9A" w:rsidRPr="0004359B">
        <w:rPr>
          <w:rStyle w:val="FootnoteReference"/>
        </w:rPr>
        <w:footnoteReference w:id="13"/>
      </w:r>
      <w:r w:rsidR="004F7C9A" w:rsidRPr="0004359B">
        <w:t xml:space="preserve"> </w:t>
      </w:r>
      <w:r w:rsidRPr="0004359B">
        <w:t xml:space="preserve">The order also requires the planning process to address public policy objectives and includes modifying the interregional planning processes, as well. </w:t>
      </w:r>
      <w:r w:rsidR="00113C54" w:rsidRPr="00113C54">
        <w:t xml:space="preserve">The final scope and substance of the changes to the regional system planning process are still uncertain pending </w:t>
      </w:r>
      <w:r w:rsidR="0004359B" w:rsidRPr="002C3D67">
        <w:t>the</w:t>
      </w:r>
      <w:r w:rsidR="00113C54" w:rsidRPr="00113C54">
        <w:t xml:space="preserve"> final FERC order and court decisions.</w:t>
      </w:r>
    </w:p>
    <w:p w:rsidR="00B94DC6" w:rsidRDefault="00B94DC6" w:rsidP="00B94DC6">
      <w:r w:rsidRPr="008345AC">
        <w:t>T</w:t>
      </w:r>
      <w:r>
        <w:t>he ISO is conducting its ongoing regional planning activities under the following set of system considerations:</w:t>
      </w:r>
    </w:p>
    <w:p w:rsidR="00B94DC6" w:rsidRPr="00A174FB" w:rsidRDefault="00B94DC6" w:rsidP="00B94DC6">
      <w:pPr>
        <w:numPr>
          <w:ilvl w:val="0"/>
          <w:numId w:val="467"/>
        </w:numPr>
        <w:spacing w:after="120"/>
      </w:pPr>
      <w:r w:rsidRPr="00A174FB">
        <w:t xml:space="preserve">Low net load growth due to a slow recovery from the recession and the forecast of energy-efficiency resources </w:t>
      </w:r>
    </w:p>
    <w:p w:rsidR="00B94DC6" w:rsidRPr="000F732E" w:rsidRDefault="00B94DC6" w:rsidP="00B94DC6">
      <w:pPr>
        <w:numPr>
          <w:ilvl w:val="0"/>
          <w:numId w:val="467"/>
        </w:numPr>
        <w:spacing w:after="120"/>
      </w:pPr>
      <w:r w:rsidRPr="0095383C">
        <w:t>Existing level, types</w:t>
      </w:r>
      <w:r w:rsidRPr="00E809D1">
        <w:t xml:space="preserve">, and </w:t>
      </w:r>
      <w:r w:rsidRPr="0095383C">
        <w:t>location</w:t>
      </w:r>
      <w:r w:rsidR="0095383C">
        <w:t>s</w:t>
      </w:r>
      <w:r w:rsidRPr="0095383C">
        <w:t xml:space="preserve"> of resources</w:t>
      </w:r>
      <w:r w:rsidRPr="00E809D1">
        <w:t>, the development of new resources, and the retirement</w:t>
      </w:r>
      <w:r w:rsidRPr="000F732E">
        <w:t xml:space="preserve"> of others </w:t>
      </w:r>
    </w:p>
    <w:p w:rsidR="00B94DC6" w:rsidRDefault="00B94DC6" w:rsidP="00B94DC6">
      <w:pPr>
        <w:numPr>
          <w:ilvl w:val="0"/>
          <w:numId w:val="467"/>
        </w:numPr>
        <w:spacing w:after="120"/>
      </w:pPr>
      <w:r w:rsidRPr="003A6BAC">
        <w:t>$</w:t>
      </w:r>
      <w:r w:rsidR="003A6BAC" w:rsidRPr="003A6BAC">
        <w:t>4.5</w:t>
      </w:r>
      <w:r w:rsidRPr="003A6BAC">
        <w:t xml:space="preserve"> billion additional transmission improvements planned for the region</w:t>
      </w:r>
      <w:r w:rsidR="00F51FA6">
        <w:t>,</w:t>
      </w:r>
      <w:r w:rsidRPr="003A6BAC">
        <w:t xml:space="preserve"> consistent with</w:t>
      </w:r>
      <w:r>
        <w:t xml:space="preserve"> federal and regional reliability standards</w:t>
      </w:r>
    </w:p>
    <w:p w:rsidR="00B94DC6" w:rsidRPr="000F61B3" w:rsidRDefault="00B94DC6" w:rsidP="00B94DC6">
      <w:pPr>
        <w:numPr>
          <w:ilvl w:val="0"/>
          <w:numId w:val="467"/>
        </w:numPr>
      </w:pPr>
      <w:r w:rsidRPr="00A174FB">
        <w:t>The results from interregional coordination and planning studies the ISO performs with</w:t>
      </w:r>
      <w:r w:rsidRPr="00706706">
        <w:t xml:space="preserve"> </w:t>
      </w:r>
      <w:r w:rsidRPr="000F61B3">
        <w:t>neighboring regions</w:t>
      </w:r>
    </w:p>
    <w:p w:rsidR="00B94DC6" w:rsidRPr="00540722" w:rsidRDefault="00B94DC6" w:rsidP="00B94DC6">
      <w:pPr>
        <w:rPr>
          <w:strike/>
        </w:rPr>
      </w:pPr>
      <w:r w:rsidRPr="000F61B3">
        <w:t xml:space="preserve">The regional planning process has been robust and able to foster the development of required infrastructure through the ISO’s partnership with the states, market participants, transmission owners, and other stakeholders. The ISO is committed to procuring adequate resources and remains hopeful that </w:t>
      </w:r>
      <w:r w:rsidRPr="00195A31">
        <w:t>the region will install the required type</w:t>
      </w:r>
      <w:r w:rsidR="00050EC2" w:rsidRPr="00195A31">
        <w:t>s</w:t>
      </w:r>
      <w:r w:rsidRPr="00195A31">
        <w:t xml:space="preserve"> of demand and supply resources where and when needed.</w:t>
      </w:r>
      <w:r w:rsidRPr="000F61B3">
        <w:t xml:space="preserve"> </w:t>
      </w:r>
      <w:r w:rsidRPr="00BC4983">
        <w:t xml:space="preserve">Transmission projects </w:t>
      </w:r>
      <w:proofErr w:type="gramStart"/>
      <w:r w:rsidRPr="00BC4983">
        <w:t>have been placed</w:t>
      </w:r>
      <w:proofErr w:type="gramEnd"/>
      <w:r w:rsidRPr="00BC4983">
        <w:t xml:space="preserve"> in service successfully</w:t>
      </w:r>
      <w:r>
        <w:t xml:space="preserve">, </w:t>
      </w:r>
      <w:r w:rsidRPr="00BC4983">
        <w:t xml:space="preserve">and others are under development. The ISO will continue </w:t>
      </w:r>
      <w:r w:rsidRPr="00D34925">
        <w:t>to work through the PAC and NEPOOL processes to meet and implement all requirements as they continue to evolve</w:t>
      </w:r>
      <w:r w:rsidRPr="00BC4983">
        <w:t>.</w:t>
      </w:r>
      <w:r w:rsidRPr="000F61B3">
        <w:t xml:space="preserve"> </w:t>
      </w:r>
    </w:p>
    <w:p w:rsidR="00B94DC6" w:rsidRDefault="00B94DC6" w:rsidP="00B94DC6">
      <w:r w:rsidRPr="00706706">
        <w:t xml:space="preserve">This </w:t>
      </w:r>
      <w:r>
        <w:t xml:space="preserve">Executive </w:t>
      </w:r>
      <w:r w:rsidR="00CD4123">
        <w:t xml:space="preserve">Summary </w:t>
      </w:r>
      <w:r w:rsidR="00CD4123" w:rsidRPr="00706706">
        <w:t>provides</w:t>
      </w:r>
      <w:r w:rsidRPr="00706706">
        <w:t xml:space="preserve"> an overview of the </w:t>
      </w:r>
      <w:r w:rsidRPr="00706706">
        <w:rPr>
          <w:i/>
        </w:rPr>
        <w:t>201</w:t>
      </w:r>
      <w:r>
        <w:rPr>
          <w:i/>
        </w:rPr>
        <w:t>4</w:t>
      </w:r>
      <w:r w:rsidRPr="00706706">
        <w:rPr>
          <w:i/>
        </w:rPr>
        <w:t xml:space="preserve"> Regional System Plan</w:t>
      </w:r>
      <w:r w:rsidRPr="00706706">
        <w:t>, a summary of the results of system and strategic planning studies, and the highlights of key findings and observations. The main sections</w:t>
      </w:r>
      <w:r>
        <w:t xml:space="preserve"> of RSP14 summarize major assumptions, study results, and issues and include references to reports and presentations that provide detailed information to interested readers. I</w:t>
      </w:r>
      <w:r w:rsidRPr="00954782">
        <w:t xml:space="preserve">talicized terms </w:t>
      </w:r>
      <w:r>
        <w:t xml:space="preserve">throughout the report </w:t>
      </w:r>
      <w:r w:rsidRPr="00954782">
        <w:t>indicate that a definition for the term is included within the text</w:t>
      </w:r>
      <w:r>
        <w:t xml:space="preserve"> or </w:t>
      </w:r>
      <w:r w:rsidRPr="00954782">
        <w:t xml:space="preserve">footnotes; links to other documents </w:t>
      </w:r>
      <w:r w:rsidRPr="000D5269">
        <w:t xml:space="preserve">that more fully define the more complex terms </w:t>
      </w:r>
      <w:proofErr w:type="gramStart"/>
      <w:r w:rsidRPr="000D5269">
        <w:t>are provided</w:t>
      </w:r>
      <w:proofErr w:type="gramEnd"/>
      <w:r w:rsidRPr="000D5269">
        <w:t>. Appendix A is a list of acronyms and</w:t>
      </w:r>
      <w:r w:rsidRPr="00954782">
        <w:t xml:space="preserve"> abbreviations used in RSP1</w:t>
      </w:r>
      <w:r>
        <w:t>4</w:t>
      </w:r>
      <w:r w:rsidRPr="00954782">
        <w:t>.</w:t>
      </w:r>
    </w:p>
    <w:p w:rsidR="00B94DC6" w:rsidRDefault="00B94DC6" w:rsidP="005E14EF">
      <w:pPr>
        <w:pStyle w:val="Heading2"/>
      </w:pPr>
      <w:bookmarkStart w:id="45" w:name="_Toc390070632"/>
      <w:bookmarkStart w:id="46" w:name="_Toc396807589"/>
      <w:r>
        <w:t xml:space="preserve">Overview of the </w:t>
      </w:r>
      <w:r w:rsidRPr="00DB1553">
        <w:t>201</w:t>
      </w:r>
      <w:r>
        <w:t>4</w:t>
      </w:r>
      <w:r w:rsidRPr="00DB1553">
        <w:t xml:space="preserve"> Regional System Plan</w:t>
      </w:r>
      <w:bookmarkEnd w:id="45"/>
      <w:bookmarkEnd w:id="46"/>
    </w:p>
    <w:p w:rsidR="00B94DC6" w:rsidRDefault="00B94DC6" w:rsidP="00B94DC6">
      <w:r w:rsidRPr="00D57DFB">
        <w:t xml:space="preserve">The </w:t>
      </w:r>
      <w:r w:rsidRPr="00D57DFB">
        <w:rPr>
          <w:i/>
        </w:rPr>
        <w:t>2014 Regional System Plan</w:t>
      </w:r>
      <w:r w:rsidRPr="00D57DFB">
        <w:t xml:space="preserve"> (RSP14) builds on the results of previous regional system plans and analyses. It provides information on electric power system needs; system improvements; and the results of </w:t>
      </w:r>
      <w:r w:rsidRPr="006625E9">
        <w:t xml:space="preserve">newly completed load, resource, and transmission </w:t>
      </w:r>
      <w:r>
        <w:t>studies</w:t>
      </w:r>
      <w:r w:rsidRPr="006625E9">
        <w:t xml:space="preserve"> for reliably meeting demand</w:t>
      </w:r>
      <w:r>
        <w:t xml:space="preserve"> </w:t>
      </w:r>
      <w:r w:rsidRPr="00D57DFB">
        <w:t>throughout the region to 2023.</w:t>
      </w:r>
      <w:r w:rsidRPr="006A24BF">
        <w:t xml:space="preserve"> It also discusses ongoing and new analyses based on the current and planned system and</w:t>
      </w:r>
      <w:r w:rsidRPr="00741852">
        <w:t xml:space="preserve"> </w:t>
      </w:r>
      <w:r>
        <w:t>describes</w:t>
      </w:r>
      <w:r w:rsidRPr="00741852">
        <w:t xml:space="preserve"> new and</w:t>
      </w:r>
      <w:r w:rsidRPr="008A00E8">
        <w:t xml:space="preserve"> planned infrastructure for all areas of New England</w:t>
      </w:r>
      <w:r>
        <w:t xml:space="preserve">. The report also addresses </w:t>
      </w:r>
      <w:r w:rsidRPr="00FD2F3B">
        <w:t xml:space="preserve">many of </w:t>
      </w:r>
      <w:proofErr w:type="gramStart"/>
      <w:r w:rsidRPr="00FD2F3B">
        <w:t>the challenges the region is facing and how the ISO and its stakeholders are addressing key strategic issues</w:t>
      </w:r>
      <w:proofErr w:type="gramEnd"/>
      <w:r w:rsidRPr="001B5F9A">
        <w:t>.</w:t>
      </w:r>
      <w:r>
        <w:t xml:space="preserve"> Notably, the report addresses t</w:t>
      </w:r>
      <w:r w:rsidRPr="008A00E8">
        <w:t xml:space="preserve">he </w:t>
      </w:r>
      <w:r w:rsidRPr="000D5269">
        <w:t xml:space="preserve">major factors influencing </w:t>
      </w:r>
      <w:r>
        <w:t>resource development, the requirements for fuel certainty,</w:t>
      </w:r>
      <w:r w:rsidRPr="000D5269">
        <w:t xml:space="preserve"> and </w:t>
      </w:r>
      <w:r>
        <w:t xml:space="preserve">the </w:t>
      </w:r>
      <w:r w:rsidRPr="000D5269">
        <w:t>development of the electric power system</w:t>
      </w:r>
      <w:r w:rsidRPr="008A00E8">
        <w:t xml:space="preserve"> </w:t>
      </w:r>
      <w:r>
        <w:t xml:space="preserve">infrastructure </w:t>
      </w:r>
      <w:r w:rsidRPr="008A00E8">
        <w:t xml:space="preserve">for the 10-year </w:t>
      </w:r>
      <w:r w:rsidRPr="004E304E">
        <w:t>planning period, such as existing and pending state and federal environmental and energy policies</w:t>
      </w:r>
      <w:r>
        <w:t>.</w:t>
      </w:r>
    </w:p>
    <w:p w:rsidR="00B94DC6" w:rsidRPr="002A17D1" w:rsidRDefault="00B94DC6" w:rsidP="00B94DC6">
      <w:r w:rsidRPr="00D45F5F">
        <w:t>RSP1</w:t>
      </w:r>
      <w:r>
        <w:t>4</w:t>
      </w:r>
      <w:r w:rsidRPr="00D45F5F">
        <w:t xml:space="preserve"> and the </w:t>
      </w:r>
      <w:r>
        <w:t xml:space="preserve">ongoing </w:t>
      </w:r>
      <w:r w:rsidRPr="00D45F5F">
        <w:t xml:space="preserve">system planning </w:t>
      </w:r>
      <w:r w:rsidRPr="008A00E8">
        <w:t xml:space="preserve">process </w:t>
      </w:r>
      <w:r w:rsidRPr="00D45F5F">
        <w:t xml:space="preserve">comply with all applicable sections of the ISO’s </w:t>
      </w:r>
      <w:r w:rsidRPr="00D45F5F">
        <w:rPr>
          <w:i/>
        </w:rPr>
        <w:t xml:space="preserve">Transmission, Markets, and Services Tariff </w:t>
      </w:r>
      <w:r w:rsidRPr="00D45F5F">
        <w:t>(ISO tariff), approved by FERC</w:t>
      </w:r>
      <w:r>
        <w:t>.</w:t>
      </w:r>
      <w:r>
        <w:rPr>
          <w:rStyle w:val="FootnoteReference"/>
        </w:rPr>
        <w:footnoteReference w:id="14"/>
      </w:r>
      <w:r>
        <w:t xml:space="preserve"> The plan and planning process also </w:t>
      </w:r>
      <w:r w:rsidRPr="00D45F5F">
        <w:t xml:space="preserve">satisfy the relevant </w:t>
      </w:r>
      <w:r>
        <w:t xml:space="preserve">standards, </w:t>
      </w:r>
      <w:r w:rsidRPr="00D45F5F">
        <w:t>criteria</w:t>
      </w:r>
      <w:r>
        <w:t>,</w:t>
      </w:r>
      <w:r w:rsidRPr="00D45F5F">
        <w:t xml:space="preserve"> and </w:t>
      </w:r>
      <w:r>
        <w:t xml:space="preserve">other </w:t>
      </w:r>
      <w:r w:rsidRPr="00D45F5F">
        <w:t xml:space="preserve">requirements established by the North American Electric Reliability Corporation (NERC), the Northeast Power Coordinating Council (NPCC), </w:t>
      </w:r>
      <w:r>
        <w:t xml:space="preserve">participating transmission owners (PTOs), </w:t>
      </w:r>
      <w:r w:rsidRPr="00D45F5F">
        <w:t xml:space="preserve">and the </w:t>
      </w:r>
      <w:r>
        <w:t>ISO</w:t>
      </w:r>
      <w:r w:rsidRPr="00D45F5F">
        <w:t>.</w:t>
      </w:r>
      <w:r>
        <w:rPr>
          <w:rStyle w:val="FootnoteReference"/>
        </w:rPr>
        <w:footnoteReference w:id="15"/>
      </w:r>
      <w:r w:rsidRPr="00D45F5F">
        <w:t xml:space="preserve"> </w:t>
      </w:r>
      <w:r>
        <w:t xml:space="preserve">As part of its </w:t>
      </w:r>
      <w:r w:rsidRPr="008A00E8">
        <w:t xml:space="preserve">compliance with Attachment K of the ISO’s </w:t>
      </w:r>
      <w:r w:rsidRPr="008A00E8">
        <w:rPr>
          <w:i/>
        </w:rPr>
        <w:t>Open Access Transmission Tariff</w:t>
      </w:r>
      <w:r>
        <w:rPr>
          <w:i/>
        </w:rPr>
        <w:t xml:space="preserve"> </w:t>
      </w:r>
      <w:r>
        <w:t>(OATT)</w:t>
      </w:r>
      <w:r w:rsidRPr="008A00E8">
        <w:t>, RSP1</w:t>
      </w:r>
      <w:r>
        <w:t>4</w:t>
      </w:r>
      <w:r w:rsidRPr="008A00E8">
        <w:t xml:space="preserve"> specifically</w:t>
      </w:r>
      <w:r>
        <w:t xml:space="preserve"> </w:t>
      </w:r>
      <w:r w:rsidRPr="00C700C9">
        <w:t xml:space="preserve">provides information </w:t>
      </w:r>
      <w:r>
        <w:t xml:space="preserve">on the timing of system needs and the </w:t>
      </w:r>
      <w:r w:rsidRPr="00C700C9">
        <w:t xml:space="preserve">quantity, general locations, and characteristics of the generation and demand resources that could resolve </w:t>
      </w:r>
      <w:r>
        <w:t>these</w:t>
      </w:r>
      <w:r w:rsidRPr="00C700C9">
        <w:t xml:space="preserve"> </w:t>
      </w:r>
      <w:r w:rsidRPr="007F21BB">
        <w:t>needs</w:t>
      </w:r>
      <w:r>
        <w:t xml:space="preserve"> and defer or eliminate the need for transmission projects.</w:t>
      </w:r>
      <w:r w:rsidRPr="007F21BB">
        <w:rPr>
          <w:rStyle w:val="FootnoteReference"/>
        </w:rPr>
        <w:footnoteReference w:id="16"/>
      </w:r>
      <w:r w:rsidRPr="002A17D1">
        <w:t xml:space="preserve"> </w:t>
      </w:r>
      <w:r>
        <w:t>T</w:t>
      </w:r>
      <w:r w:rsidRPr="007F21BB">
        <w:t>he results of various system and regional strategic planning studies and other materials</w:t>
      </w:r>
      <w:r w:rsidR="00C51560">
        <w:t>, as follows,</w:t>
      </w:r>
      <w:r>
        <w:t xml:space="preserve"> provide this information</w:t>
      </w:r>
      <w:r w:rsidRPr="007F21BB">
        <w:t>:</w:t>
      </w:r>
      <w:r w:rsidRPr="002A17D1">
        <w:t xml:space="preserve"> </w:t>
      </w:r>
    </w:p>
    <w:p w:rsidR="00B94DC6" w:rsidRPr="00540F55" w:rsidRDefault="00B94DC6" w:rsidP="00B94DC6">
      <w:pPr>
        <w:pStyle w:val="Bullet-Solid"/>
        <w:numPr>
          <w:ilvl w:val="0"/>
          <w:numId w:val="438"/>
        </w:numPr>
        <w:rPr>
          <w:rFonts w:asciiTheme="majorHAnsi" w:hAnsiTheme="majorHAnsi"/>
        </w:rPr>
      </w:pPr>
      <w:r w:rsidRPr="00540F55">
        <w:rPr>
          <w:rFonts w:asciiTheme="majorHAnsi" w:hAnsiTheme="majorHAnsi"/>
        </w:rPr>
        <w:t xml:space="preserve">Forecasts of the average electric energy usage annually and at the peak hour for 2014 to 2023—for the entire system, individual states, and smaller areas of the power system (see Section </w:t>
      </w:r>
      <w:r w:rsidR="00927965">
        <w:rPr>
          <w:rFonts w:asciiTheme="majorHAnsi" w:hAnsiTheme="majorHAnsi"/>
        </w:rPr>
        <w:fldChar w:fldCharType="begin"/>
      </w:r>
      <w:r w:rsidR="008A2991">
        <w:rPr>
          <w:rFonts w:asciiTheme="majorHAnsi" w:hAnsiTheme="majorHAnsi"/>
        </w:rPr>
        <w:instrText xml:space="preserve"> REF _Ref325529643 \r \h </w:instrText>
      </w:r>
      <w:r w:rsidR="00927965">
        <w:rPr>
          <w:rFonts w:asciiTheme="majorHAnsi" w:hAnsiTheme="majorHAnsi"/>
        </w:rPr>
      </w:r>
      <w:r w:rsidR="00927965">
        <w:rPr>
          <w:rFonts w:asciiTheme="majorHAnsi" w:hAnsiTheme="majorHAnsi"/>
        </w:rPr>
        <w:fldChar w:fldCharType="separate"/>
      </w:r>
      <w:r w:rsidR="00284CE3">
        <w:rPr>
          <w:rFonts w:asciiTheme="majorHAnsi" w:hAnsiTheme="majorHAnsi"/>
        </w:rPr>
        <w:t>3.1</w:t>
      </w:r>
      <w:r w:rsidR="00927965">
        <w:rPr>
          <w:rFonts w:asciiTheme="majorHAnsi" w:hAnsiTheme="majorHAnsi"/>
        </w:rPr>
        <w:fldChar w:fldCharType="end"/>
      </w:r>
      <w:r w:rsidRPr="00540F55">
        <w:rPr>
          <w:rFonts w:asciiTheme="majorHAnsi" w:hAnsiTheme="majorHAnsi"/>
        </w:rPr>
        <w:t>)</w:t>
      </w:r>
    </w:p>
    <w:p w:rsidR="00B94DC6" w:rsidRPr="00540F55" w:rsidRDefault="00B94DC6" w:rsidP="00B94DC6">
      <w:pPr>
        <w:pStyle w:val="Bullet-Solid"/>
        <w:numPr>
          <w:ilvl w:val="0"/>
          <w:numId w:val="438"/>
        </w:numPr>
        <w:rPr>
          <w:rFonts w:asciiTheme="majorHAnsi" w:hAnsiTheme="majorHAnsi"/>
        </w:rPr>
      </w:pPr>
      <w:r>
        <w:rPr>
          <w:rFonts w:asciiTheme="majorHAnsi" w:hAnsiTheme="majorHAnsi"/>
        </w:rPr>
        <w:t>Planned long-term energy efficiency (EE) additions for 2014 through 2017 and f</w:t>
      </w:r>
      <w:r w:rsidRPr="00540F55">
        <w:rPr>
          <w:rFonts w:asciiTheme="majorHAnsi" w:hAnsiTheme="majorHAnsi"/>
        </w:rPr>
        <w:t xml:space="preserve">orecasts of the EE savings in the six New England states, annually and at the peak hour for 2018 to 2023 (see Section </w:t>
      </w:r>
      <w:r w:rsidR="00927965">
        <w:rPr>
          <w:rFonts w:asciiTheme="majorHAnsi" w:hAnsiTheme="majorHAnsi"/>
        </w:rPr>
        <w:fldChar w:fldCharType="begin"/>
      </w:r>
      <w:r w:rsidR="008A2991">
        <w:rPr>
          <w:rFonts w:asciiTheme="majorHAnsi" w:hAnsiTheme="majorHAnsi"/>
        </w:rPr>
        <w:instrText xml:space="preserve"> REF _Ref387327848 \r \h </w:instrText>
      </w:r>
      <w:r w:rsidR="00927965">
        <w:rPr>
          <w:rFonts w:asciiTheme="majorHAnsi" w:hAnsiTheme="majorHAnsi"/>
        </w:rPr>
      </w:r>
      <w:r w:rsidR="00927965">
        <w:rPr>
          <w:rFonts w:asciiTheme="majorHAnsi" w:hAnsiTheme="majorHAnsi"/>
        </w:rPr>
        <w:fldChar w:fldCharType="separate"/>
      </w:r>
      <w:r w:rsidR="00284CE3">
        <w:rPr>
          <w:rFonts w:asciiTheme="majorHAnsi" w:hAnsiTheme="majorHAnsi"/>
        </w:rPr>
        <w:t>3.2</w:t>
      </w:r>
      <w:r w:rsidR="00927965">
        <w:rPr>
          <w:rFonts w:asciiTheme="majorHAnsi" w:hAnsiTheme="majorHAnsi"/>
        </w:rPr>
        <w:fldChar w:fldCharType="end"/>
      </w:r>
      <w:r w:rsidRPr="00540F55">
        <w:rPr>
          <w:rFonts w:asciiTheme="majorHAnsi" w:hAnsiTheme="majorHAnsi"/>
        </w:rPr>
        <w:t>)</w:t>
      </w:r>
    </w:p>
    <w:p w:rsidR="00B94DC6" w:rsidRPr="00540F55" w:rsidRDefault="00B94DC6" w:rsidP="00B94DC6">
      <w:pPr>
        <w:pStyle w:val="Bullet-Solid"/>
        <w:numPr>
          <w:ilvl w:val="0"/>
          <w:numId w:val="438"/>
        </w:numPr>
        <w:rPr>
          <w:rFonts w:asciiTheme="majorHAnsi" w:hAnsiTheme="majorHAnsi"/>
        </w:rPr>
      </w:pPr>
      <w:r>
        <w:rPr>
          <w:rFonts w:asciiTheme="majorHAnsi" w:hAnsiTheme="majorHAnsi"/>
        </w:rPr>
        <w:t>F</w:t>
      </w:r>
      <w:r w:rsidRPr="00540F55">
        <w:rPr>
          <w:rFonts w:asciiTheme="majorHAnsi" w:hAnsiTheme="majorHAnsi"/>
        </w:rPr>
        <w:t xml:space="preserve">orecasts of the growth of photovoltaic (PV) resources in the region from 2014 through 2023 (see Section </w:t>
      </w:r>
      <w:r w:rsidR="00927965">
        <w:rPr>
          <w:rFonts w:asciiTheme="majorHAnsi" w:hAnsiTheme="majorHAnsi"/>
        </w:rPr>
        <w:fldChar w:fldCharType="begin"/>
      </w:r>
      <w:r w:rsidR="008A2991">
        <w:rPr>
          <w:rFonts w:asciiTheme="majorHAnsi" w:hAnsiTheme="majorHAnsi"/>
        </w:rPr>
        <w:instrText xml:space="preserve"> REF _Ref387327878 \r \h </w:instrText>
      </w:r>
      <w:r w:rsidR="00927965">
        <w:rPr>
          <w:rFonts w:asciiTheme="majorHAnsi" w:hAnsiTheme="majorHAnsi"/>
        </w:rPr>
      </w:r>
      <w:r w:rsidR="00927965">
        <w:rPr>
          <w:rFonts w:asciiTheme="majorHAnsi" w:hAnsiTheme="majorHAnsi"/>
        </w:rPr>
        <w:fldChar w:fldCharType="separate"/>
      </w:r>
      <w:r w:rsidR="00284CE3">
        <w:rPr>
          <w:rFonts w:asciiTheme="majorHAnsi" w:hAnsiTheme="majorHAnsi"/>
        </w:rPr>
        <w:t>3.4</w:t>
      </w:r>
      <w:r w:rsidR="00927965">
        <w:rPr>
          <w:rFonts w:asciiTheme="majorHAnsi" w:hAnsiTheme="majorHAnsi"/>
        </w:rPr>
        <w:fldChar w:fldCharType="end"/>
      </w:r>
      <w:r w:rsidRPr="00540F55">
        <w:rPr>
          <w:rFonts w:asciiTheme="majorHAnsi" w:hAnsiTheme="majorHAnsi"/>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Projections of the </w:t>
      </w:r>
      <w:proofErr w:type="spellStart"/>
      <w:r w:rsidRPr="00540F55">
        <w:rPr>
          <w:rFonts w:asciiTheme="majorHAnsi" w:hAnsiTheme="majorHAnsi"/>
          <w:sz w:val="20"/>
          <w:szCs w:val="20"/>
        </w:rPr>
        <w:t>systemwide</w:t>
      </w:r>
      <w:proofErr w:type="spellEnd"/>
      <w:r w:rsidRPr="00540F55">
        <w:rPr>
          <w:rFonts w:asciiTheme="majorHAnsi" w:hAnsiTheme="majorHAnsi"/>
          <w:sz w:val="20"/>
          <w:szCs w:val="20"/>
        </w:rPr>
        <w:t xml:space="preserve"> need for both capacity and operating reserves and the identification and evaluation of the locations where </w:t>
      </w:r>
      <w:r w:rsidRPr="00540F55">
        <w:rPr>
          <w:rFonts w:asciiTheme="majorHAnsi" w:hAnsiTheme="majorHAnsi"/>
          <w:i/>
          <w:sz w:val="20"/>
          <w:szCs w:val="20"/>
        </w:rPr>
        <w:t>fast-start</w:t>
      </w:r>
      <w:r w:rsidRPr="00540F55">
        <w:rPr>
          <w:rFonts w:asciiTheme="majorHAnsi" w:hAnsiTheme="majorHAnsi"/>
          <w:sz w:val="20"/>
          <w:szCs w:val="20"/>
        </w:rPr>
        <w:t xml:space="preserve"> resources (i.e., those available for service within 10 minutes or within 30 minutes) would be the most beneficial (Sections </w:t>
      </w:r>
      <w:r w:rsidR="00927965">
        <w:rPr>
          <w:rFonts w:asciiTheme="majorHAnsi" w:hAnsiTheme="majorHAnsi"/>
          <w:sz w:val="20"/>
          <w:szCs w:val="20"/>
        </w:rPr>
        <w:fldChar w:fldCharType="begin"/>
      </w:r>
      <w:r w:rsidR="008A2991">
        <w:rPr>
          <w:rFonts w:asciiTheme="majorHAnsi" w:hAnsiTheme="majorHAnsi"/>
          <w:sz w:val="20"/>
          <w:szCs w:val="20"/>
        </w:rPr>
        <w:instrText xml:space="preserve"> REF _Ref327866184 \r \h </w:instrText>
      </w:r>
      <w:r w:rsidR="00927965">
        <w:rPr>
          <w:rFonts w:asciiTheme="majorHAnsi" w:hAnsiTheme="majorHAnsi"/>
          <w:sz w:val="20"/>
          <w:szCs w:val="20"/>
        </w:rPr>
      </w:r>
      <w:r w:rsidR="00927965">
        <w:rPr>
          <w:rFonts w:asciiTheme="majorHAnsi" w:hAnsiTheme="majorHAnsi"/>
          <w:sz w:val="20"/>
          <w:szCs w:val="20"/>
        </w:rPr>
        <w:fldChar w:fldCharType="separate"/>
      </w:r>
      <w:r w:rsidR="00284CE3">
        <w:rPr>
          <w:rFonts w:asciiTheme="majorHAnsi" w:hAnsiTheme="majorHAnsi"/>
          <w:sz w:val="20"/>
          <w:szCs w:val="20"/>
        </w:rPr>
        <w:t>4.1</w:t>
      </w:r>
      <w:r w:rsidR="00927965">
        <w:rPr>
          <w:rFonts w:asciiTheme="majorHAnsi" w:hAnsiTheme="majorHAnsi"/>
          <w:sz w:val="20"/>
          <w:szCs w:val="20"/>
        </w:rPr>
        <w:fldChar w:fldCharType="end"/>
      </w:r>
      <w:r w:rsidRPr="00540F55">
        <w:rPr>
          <w:rFonts w:asciiTheme="majorHAnsi" w:hAnsiTheme="majorHAnsi"/>
          <w:sz w:val="20"/>
          <w:szCs w:val="20"/>
        </w:rPr>
        <w:t xml:space="preserve"> </w:t>
      </w:r>
      <w:r w:rsidR="0028510C" w:rsidRPr="00540F55">
        <w:rPr>
          <w:rFonts w:asciiTheme="majorHAnsi" w:hAnsiTheme="majorHAnsi"/>
          <w:sz w:val="20"/>
          <w:szCs w:val="20"/>
        </w:rPr>
        <w:t>and</w:t>
      </w:r>
      <w:r w:rsidR="0028510C">
        <w:rPr>
          <w:rFonts w:asciiTheme="majorHAnsi" w:hAnsiTheme="majorHAnsi"/>
          <w:sz w:val="20"/>
          <w:szCs w:val="20"/>
        </w:rPr>
        <w:t> </w:t>
      </w:r>
      <w:r w:rsidR="00927965">
        <w:rPr>
          <w:rFonts w:asciiTheme="majorHAnsi" w:hAnsiTheme="majorHAnsi"/>
          <w:sz w:val="20"/>
          <w:szCs w:val="20"/>
        </w:rPr>
        <w:fldChar w:fldCharType="begin"/>
      </w:r>
      <w:r w:rsidR="008A2991">
        <w:rPr>
          <w:rFonts w:asciiTheme="majorHAnsi" w:hAnsiTheme="majorHAnsi"/>
          <w:sz w:val="20"/>
          <w:szCs w:val="20"/>
        </w:rPr>
        <w:instrText xml:space="preserve"> REF _Ref327457751 \r \h </w:instrText>
      </w:r>
      <w:r w:rsidR="00927965">
        <w:rPr>
          <w:rFonts w:asciiTheme="majorHAnsi" w:hAnsiTheme="majorHAnsi"/>
          <w:sz w:val="20"/>
          <w:szCs w:val="20"/>
        </w:rPr>
      </w:r>
      <w:r w:rsidR="00927965">
        <w:rPr>
          <w:rFonts w:asciiTheme="majorHAnsi" w:hAnsiTheme="majorHAnsi"/>
          <w:sz w:val="20"/>
          <w:szCs w:val="20"/>
        </w:rPr>
        <w:fldChar w:fldCharType="separate"/>
      </w:r>
      <w:r w:rsidR="00284CE3">
        <w:rPr>
          <w:rFonts w:asciiTheme="majorHAnsi" w:hAnsiTheme="majorHAnsi"/>
          <w:sz w:val="20"/>
          <w:szCs w:val="20"/>
        </w:rPr>
        <w:t>4.3</w:t>
      </w:r>
      <w:r w:rsidR="00927965">
        <w:rPr>
          <w:rFonts w:asciiTheme="majorHAnsi" w:hAnsiTheme="majorHAnsi"/>
          <w:sz w:val="20"/>
          <w:szCs w:val="20"/>
        </w:rPr>
        <w:fldChar w:fldCharType="end"/>
      </w:r>
      <w:r w:rsidRPr="00540F55">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Evaluations of interface transfer capabilities relevant to capacity zone modeling, which when combined with other RSP14 information, help market participants identify the portions of the system with potential resource surpluses or shortfalls (see Section </w:t>
      </w:r>
      <w:r w:rsidR="00927965">
        <w:rPr>
          <w:rFonts w:asciiTheme="majorHAnsi" w:hAnsiTheme="majorHAnsi"/>
          <w:sz w:val="20"/>
          <w:szCs w:val="20"/>
        </w:rPr>
        <w:fldChar w:fldCharType="begin"/>
      </w:r>
      <w:r w:rsidR="008A2991">
        <w:rPr>
          <w:rFonts w:asciiTheme="majorHAnsi" w:hAnsiTheme="majorHAnsi"/>
          <w:sz w:val="20"/>
          <w:szCs w:val="20"/>
        </w:rPr>
        <w:instrText xml:space="preserve"> REF _Ref387671423 \r \h </w:instrText>
      </w:r>
      <w:r w:rsidR="00927965">
        <w:rPr>
          <w:rFonts w:asciiTheme="majorHAnsi" w:hAnsiTheme="majorHAnsi"/>
          <w:sz w:val="20"/>
          <w:szCs w:val="20"/>
        </w:rPr>
      </w:r>
      <w:r w:rsidR="00927965">
        <w:rPr>
          <w:rFonts w:asciiTheme="majorHAnsi" w:hAnsiTheme="majorHAnsi"/>
          <w:sz w:val="20"/>
          <w:szCs w:val="20"/>
        </w:rPr>
        <w:fldChar w:fldCharType="separate"/>
      </w:r>
      <w:r w:rsidR="00284CE3">
        <w:rPr>
          <w:rFonts w:asciiTheme="majorHAnsi" w:hAnsiTheme="majorHAnsi"/>
          <w:sz w:val="20"/>
          <w:szCs w:val="20"/>
        </w:rPr>
        <w:t>4.2</w:t>
      </w:r>
      <w:r w:rsidR="00927965">
        <w:rPr>
          <w:rFonts w:asciiTheme="majorHAnsi" w:hAnsiTheme="majorHAnsi"/>
          <w:sz w:val="20"/>
          <w:szCs w:val="20"/>
        </w:rPr>
        <w:fldChar w:fldCharType="end"/>
      </w:r>
      <w:r w:rsidRPr="00540F55">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Analyses and operating experience that show the vulnerabilities associated with the regional reliance on natural gas and the benefits of having more reliable access to gas supplies, dual-fuel capabilities, and other fuel sources (see Section </w:t>
      </w:r>
      <w:r w:rsidR="00927965">
        <w:rPr>
          <w:rFonts w:asciiTheme="majorHAnsi" w:hAnsiTheme="majorHAnsi"/>
          <w:sz w:val="20"/>
          <w:szCs w:val="20"/>
        </w:rPr>
        <w:fldChar w:fldCharType="begin"/>
      </w:r>
      <w:r w:rsidR="008A2991">
        <w:rPr>
          <w:rFonts w:asciiTheme="majorHAnsi" w:hAnsiTheme="majorHAnsi"/>
          <w:sz w:val="20"/>
          <w:szCs w:val="20"/>
        </w:rPr>
        <w:instrText xml:space="preserve"> REF _Ref388876647 \r \h </w:instrText>
      </w:r>
      <w:r w:rsidR="00927965">
        <w:rPr>
          <w:rFonts w:asciiTheme="majorHAnsi" w:hAnsiTheme="majorHAnsi"/>
          <w:sz w:val="20"/>
          <w:szCs w:val="20"/>
        </w:rPr>
      </w:r>
      <w:r w:rsidR="00927965">
        <w:rPr>
          <w:rFonts w:asciiTheme="majorHAnsi" w:hAnsiTheme="majorHAnsi"/>
          <w:sz w:val="20"/>
          <w:szCs w:val="20"/>
        </w:rPr>
        <w:fldChar w:fldCharType="separate"/>
      </w:r>
      <w:r w:rsidR="00284CE3">
        <w:rPr>
          <w:rFonts w:asciiTheme="majorHAnsi" w:hAnsiTheme="majorHAnsi"/>
          <w:sz w:val="20"/>
          <w:szCs w:val="20"/>
        </w:rPr>
        <w:t>6.2</w:t>
      </w:r>
      <w:r w:rsidR="00927965">
        <w:rPr>
          <w:rFonts w:asciiTheme="majorHAnsi" w:hAnsiTheme="majorHAnsi"/>
          <w:sz w:val="20"/>
          <w:szCs w:val="20"/>
        </w:rPr>
        <w:fldChar w:fldCharType="end"/>
      </w:r>
      <w:r>
        <w:rPr>
          <w:rFonts w:asciiTheme="majorHAnsi" w:hAnsiTheme="majorHAnsi"/>
          <w:sz w:val="20"/>
          <w:szCs w:val="20"/>
        </w:rPr>
        <w:t>2</w:t>
      </w:r>
      <w:r w:rsidRPr="00540F55">
        <w:rPr>
          <w:rFonts w:asciiTheme="majorHAnsi" w:hAnsiTheme="majorHAnsi"/>
          <w:sz w:val="20"/>
          <w:szCs w:val="20"/>
        </w:rPr>
        <w:t xml:space="preserve">) </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Existing and pending environmental regulations, emissions analyses, and economic studies, which show the effects of using efficient, low-emitting resources; greater amounts of renewable resources; and increased energy efficiency on regional air emissions</w:t>
      </w:r>
      <w:r w:rsidR="003C23AE">
        <w:rPr>
          <w:rFonts w:asciiTheme="majorHAnsi" w:hAnsiTheme="majorHAnsi"/>
          <w:sz w:val="20"/>
          <w:szCs w:val="20"/>
        </w:rPr>
        <w:t xml:space="preserve"> and</w:t>
      </w:r>
      <w:r w:rsidR="0026274B">
        <w:rPr>
          <w:rFonts w:asciiTheme="majorHAnsi" w:hAnsiTheme="majorHAnsi"/>
          <w:sz w:val="20"/>
          <w:szCs w:val="20"/>
        </w:rPr>
        <w:t xml:space="preserve"> </w:t>
      </w:r>
      <w:r w:rsidRPr="00540F55">
        <w:rPr>
          <w:rFonts w:asciiTheme="majorHAnsi" w:hAnsiTheme="majorHAnsi"/>
          <w:sz w:val="20"/>
          <w:szCs w:val="20"/>
        </w:rPr>
        <w:t xml:space="preserve">the economic performance of the system (see Section </w:t>
      </w:r>
      <w:r w:rsidR="00927965">
        <w:rPr>
          <w:rFonts w:asciiTheme="majorHAnsi" w:hAnsiTheme="majorHAnsi"/>
          <w:sz w:val="20"/>
          <w:szCs w:val="20"/>
        </w:rPr>
        <w:fldChar w:fldCharType="begin"/>
      </w:r>
      <w:r w:rsidR="008A2991">
        <w:rPr>
          <w:rFonts w:asciiTheme="majorHAnsi" w:hAnsiTheme="majorHAnsi"/>
          <w:sz w:val="20"/>
          <w:szCs w:val="20"/>
        </w:rPr>
        <w:instrText xml:space="preserve"> REF _Ref390423179 \r \h </w:instrText>
      </w:r>
      <w:r w:rsidR="00927965">
        <w:rPr>
          <w:rFonts w:asciiTheme="majorHAnsi" w:hAnsiTheme="majorHAnsi"/>
          <w:sz w:val="20"/>
          <w:szCs w:val="20"/>
        </w:rPr>
      </w:r>
      <w:r w:rsidR="00927965">
        <w:rPr>
          <w:rFonts w:asciiTheme="majorHAnsi" w:hAnsiTheme="majorHAnsi"/>
          <w:sz w:val="20"/>
          <w:szCs w:val="20"/>
        </w:rPr>
        <w:fldChar w:fldCharType="separate"/>
      </w:r>
      <w:r w:rsidR="00284CE3">
        <w:rPr>
          <w:rFonts w:asciiTheme="majorHAnsi" w:hAnsiTheme="majorHAnsi"/>
          <w:sz w:val="20"/>
          <w:szCs w:val="20"/>
        </w:rPr>
        <w:t>6.3</w:t>
      </w:r>
      <w:r w:rsidR="00927965">
        <w:rPr>
          <w:rFonts w:asciiTheme="majorHAnsi" w:hAnsiTheme="majorHAnsi"/>
          <w:sz w:val="20"/>
          <w:szCs w:val="20"/>
        </w:rPr>
        <w:fldChar w:fldCharType="end"/>
      </w:r>
      <w:r w:rsidRPr="00540F55">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Economic studies of resource retirement</w:t>
      </w:r>
      <w:r w:rsidR="003C23AE">
        <w:rPr>
          <w:rFonts w:asciiTheme="majorHAnsi" w:hAnsiTheme="majorHAnsi"/>
          <w:sz w:val="20"/>
          <w:szCs w:val="20"/>
        </w:rPr>
        <w:t>s</w:t>
      </w:r>
      <w:r w:rsidRPr="00540F55">
        <w:rPr>
          <w:rFonts w:asciiTheme="majorHAnsi" w:hAnsiTheme="majorHAnsi"/>
          <w:sz w:val="20"/>
          <w:szCs w:val="20"/>
        </w:rPr>
        <w:t xml:space="preserve"> and expansion, which describe the effects of varying amounts, locations, and types of resources and imports from neighboring systems on system performance (see Section</w:t>
      </w:r>
      <w:r w:rsidR="008A2991">
        <w:rPr>
          <w:rFonts w:asciiTheme="majorHAnsi" w:hAnsiTheme="majorHAnsi"/>
          <w:sz w:val="20"/>
          <w:szCs w:val="20"/>
        </w:rPr>
        <w:t xml:space="preserve"> </w:t>
      </w:r>
      <w:r w:rsidR="00927965">
        <w:rPr>
          <w:rFonts w:asciiTheme="majorHAnsi" w:hAnsiTheme="majorHAnsi"/>
          <w:sz w:val="20"/>
          <w:szCs w:val="20"/>
        </w:rPr>
        <w:fldChar w:fldCharType="begin"/>
      </w:r>
      <w:r w:rsidR="008A2991">
        <w:rPr>
          <w:rFonts w:asciiTheme="majorHAnsi" w:hAnsiTheme="majorHAnsi"/>
          <w:sz w:val="20"/>
          <w:szCs w:val="20"/>
        </w:rPr>
        <w:instrText xml:space="preserve"> REF _Ref388730879 \r \h </w:instrText>
      </w:r>
      <w:r w:rsidR="00927965">
        <w:rPr>
          <w:rFonts w:asciiTheme="majorHAnsi" w:hAnsiTheme="majorHAnsi"/>
          <w:sz w:val="20"/>
          <w:szCs w:val="20"/>
        </w:rPr>
      </w:r>
      <w:r w:rsidR="00927965">
        <w:rPr>
          <w:rFonts w:asciiTheme="majorHAnsi" w:hAnsiTheme="majorHAnsi"/>
          <w:sz w:val="20"/>
          <w:szCs w:val="20"/>
        </w:rPr>
        <w:fldChar w:fldCharType="separate"/>
      </w:r>
      <w:r w:rsidR="00284CE3">
        <w:rPr>
          <w:rFonts w:asciiTheme="majorHAnsi" w:hAnsiTheme="majorHAnsi"/>
          <w:sz w:val="20"/>
          <w:szCs w:val="20"/>
        </w:rPr>
        <w:t>6.8</w:t>
      </w:r>
      <w:r w:rsidR="00927965">
        <w:rPr>
          <w:rFonts w:asciiTheme="majorHAnsi" w:hAnsiTheme="majorHAnsi"/>
          <w:sz w:val="20"/>
          <w:szCs w:val="20"/>
        </w:rPr>
        <w:fldChar w:fldCharType="end"/>
      </w:r>
      <w:r w:rsidRPr="00540F55">
        <w:rPr>
          <w:rFonts w:asciiTheme="majorHAnsi" w:hAnsiTheme="majorHAnsi"/>
          <w:sz w:val="20"/>
          <w:szCs w:val="20"/>
        </w:rPr>
        <w:t>)</w:t>
      </w:r>
    </w:p>
    <w:p w:rsidR="00B94DC6" w:rsidRPr="00A84456"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The Strategic Transmission Analysis, which provides insight on beneficial electrical locations for </w:t>
      </w:r>
      <w:r w:rsidRPr="00A84456">
        <w:rPr>
          <w:rFonts w:asciiTheme="majorHAnsi" w:hAnsiTheme="majorHAnsi"/>
          <w:sz w:val="20"/>
          <w:szCs w:val="20"/>
        </w:rPr>
        <w:t>resource development and the effects of extensive generation retirements across the region (Section </w:t>
      </w:r>
      <w:fldSimple w:instr=" REF _Ref390423204 \r \h  \* MERGEFORMAT ">
        <w:r w:rsidR="00284CE3" w:rsidRPr="00284CE3">
          <w:rPr>
            <w:rFonts w:asciiTheme="majorHAnsi" w:hAnsiTheme="majorHAnsi"/>
            <w:sz w:val="20"/>
            <w:szCs w:val="20"/>
          </w:rPr>
          <w:t>6.9</w:t>
        </w:r>
      </w:fldSimple>
      <w:r w:rsidRPr="00A84456">
        <w:rPr>
          <w:rFonts w:asciiTheme="majorHAnsi" w:hAnsiTheme="majorHAnsi"/>
          <w:sz w:val="20"/>
          <w:szCs w:val="20"/>
        </w:rPr>
        <w:t>)</w:t>
      </w:r>
    </w:p>
    <w:p w:rsidR="00B94DC6" w:rsidRPr="000362C1"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0362C1">
        <w:rPr>
          <w:rFonts w:asciiTheme="majorHAnsi" w:hAnsiTheme="majorHAnsi"/>
          <w:sz w:val="20"/>
          <w:szCs w:val="20"/>
        </w:rPr>
        <w:t xml:space="preserve">Planning analyses of wind and photovoltaic </w:t>
      </w:r>
      <w:r w:rsidR="000F397D" w:rsidRPr="000362C1">
        <w:rPr>
          <w:rFonts w:asciiTheme="majorHAnsi" w:hAnsiTheme="majorHAnsi"/>
          <w:sz w:val="20"/>
          <w:szCs w:val="20"/>
        </w:rPr>
        <w:t>resources</w:t>
      </w:r>
      <w:r w:rsidR="009D5EE5" w:rsidRPr="000362C1">
        <w:rPr>
          <w:rFonts w:asciiTheme="majorHAnsi" w:hAnsiTheme="majorHAnsi"/>
          <w:sz w:val="20"/>
          <w:szCs w:val="20"/>
        </w:rPr>
        <w:t>,</w:t>
      </w:r>
      <w:r w:rsidR="000F397D" w:rsidRPr="000362C1">
        <w:rPr>
          <w:rFonts w:asciiTheme="majorHAnsi" w:hAnsiTheme="majorHAnsi"/>
          <w:sz w:val="20"/>
          <w:szCs w:val="20"/>
        </w:rPr>
        <w:t xml:space="preserve"> </w:t>
      </w:r>
      <w:r w:rsidR="00D837D8" w:rsidRPr="000362C1">
        <w:rPr>
          <w:rFonts w:asciiTheme="majorHAnsi" w:hAnsiTheme="majorHAnsi"/>
          <w:sz w:val="20"/>
          <w:szCs w:val="20"/>
        </w:rPr>
        <w:t xml:space="preserve">the status of </w:t>
      </w:r>
      <w:r w:rsidR="00A84456" w:rsidRPr="000362C1">
        <w:rPr>
          <w:rFonts w:asciiTheme="majorHAnsi" w:hAnsiTheme="majorHAnsi"/>
          <w:sz w:val="20"/>
          <w:szCs w:val="20"/>
        </w:rPr>
        <w:t xml:space="preserve">revisions to </w:t>
      </w:r>
      <w:r w:rsidR="000F397D" w:rsidRPr="000362C1">
        <w:rPr>
          <w:rFonts w:asciiTheme="majorHAnsi" w:hAnsiTheme="majorHAnsi"/>
          <w:sz w:val="20"/>
          <w:szCs w:val="20"/>
        </w:rPr>
        <w:t xml:space="preserve">the interconnection requirements, </w:t>
      </w:r>
      <w:r w:rsidR="009D5EE5" w:rsidRPr="000362C1">
        <w:rPr>
          <w:rFonts w:asciiTheme="majorHAnsi" w:hAnsiTheme="majorHAnsi"/>
          <w:sz w:val="20"/>
          <w:szCs w:val="20"/>
        </w:rPr>
        <w:t xml:space="preserve">tools for </w:t>
      </w:r>
      <w:r w:rsidR="00A34A75" w:rsidRPr="000362C1">
        <w:rPr>
          <w:rFonts w:asciiTheme="majorHAnsi" w:hAnsiTheme="majorHAnsi"/>
          <w:sz w:val="20"/>
          <w:szCs w:val="20"/>
        </w:rPr>
        <w:t xml:space="preserve">developing </w:t>
      </w:r>
      <w:r w:rsidR="000F397D" w:rsidRPr="000362C1">
        <w:rPr>
          <w:rFonts w:asciiTheme="majorHAnsi" w:hAnsiTheme="majorHAnsi"/>
          <w:sz w:val="20"/>
          <w:szCs w:val="20"/>
        </w:rPr>
        <w:t>forecast</w:t>
      </w:r>
      <w:r w:rsidR="00A34A75" w:rsidRPr="000362C1">
        <w:rPr>
          <w:rFonts w:asciiTheme="majorHAnsi" w:hAnsiTheme="majorHAnsi"/>
          <w:sz w:val="20"/>
          <w:szCs w:val="20"/>
        </w:rPr>
        <w:t xml:space="preserve">s, </w:t>
      </w:r>
      <w:r w:rsidR="000F397D" w:rsidRPr="000362C1">
        <w:rPr>
          <w:rFonts w:asciiTheme="majorHAnsi" w:hAnsiTheme="majorHAnsi"/>
          <w:sz w:val="20"/>
          <w:szCs w:val="20"/>
        </w:rPr>
        <w:t xml:space="preserve">and </w:t>
      </w:r>
      <w:r w:rsidR="00A34A75" w:rsidRPr="000362C1">
        <w:rPr>
          <w:rFonts w:asciiTheme="majorHAnsi" w:hAnsiTheme="majorHAnsi"/>
          <w:sz w:val="20"/>
          <w:szCs w:val="20"/>
        </w:rPr>
        <w:t xml:space="preserve">the identification of </w:t>
      </w:r>
      <w:proofErr w:type="spellStart"/>
      <w:r w:rsidR="000F397D" w:rsidRPr="000362C1">
        <w:rPr>
          <w:rFonts w:asciiTheme="majorHAnsi" w:hAnsiTheme="majorHAnsi"/>
          <w:sz w:val="20"/>
          <w:szCs w:val="20"/>
        </w:rPr>
        <w:t>systemwide</w:t>
      </w:r>
      <w:proofErr w:type="spellEnd"/>
      <w:r w:rsidR="000F397D" w:rsidRPr="000362C1">
        <w:rPr>
          <w:rFonts w:asciiTheme="majorHAnsi" w:hAnsiTheme="majorHAnsi"/>
          <w:sz w:val="20"/>
          <w:szCs w:val="20"/>
        </w:rPr>
        <w:t xml:space="preserve"> needs for </w:t>
      </w:r>
      <w:r w:rsidR="00D837D8" w:rsidRPr="000362C1">
        <w:rPr>
          <w:rFonts w:asciiTheme="majorHAnsi" w:hAnsiTheme="majorHAnsi"/>
          <w:sz w:val="20"/>
          <w:szCs w:val="20"/>
        </w:rPr>
        <w:t>successfully</w:t>
      </w:r>
      <w:r w:rsidR="00D67797" w:rsidRPr="000362C1">
        <w:rPr>
          <w:rFonts w:asciiTheme="majorHAnsi" w:hAnsiTheme="majorHAnsi"/>
          <w:sz w:val="20"/>
          <w:szCs w:val="20"/>
        </w:rPr>
        <w:t xml:space="preserve"> </w:t>
      </w:r>
      <w:r w:rsidR="00A84456" w:rsidRPr="000362C1">
        <w:rPr>
          <w:rFonts w:asciiTheme="majorHAnsi" w:hAnsiTheme="majorHAnsi"/>
          <w:sz w:val="20"/>
          <w:szCs w:val="20"/>
        </w:rPr>
        <w:t xml:space="preserve">integrating and operating </w:t>
      </w:r>
      <w:r w:rsidR="000362C1" w:rsidRPr="000362C1">
        <w:rPr>
          <w:rFonts w:asciiTheme="majorHAnsi" w:hAnsiTheme="majorHAnsi"/>
          <w:sz w:val="20"/>
          <w:szCs w:val="20"/>
        </w:rPr>
        <w:t xml:space="preserve">variable resources on a </w:t>
      </w:r>
      <w:r w:rsidRPr="000362C1">
        <w:rPr>
          <w:rFonts w:asciiTheme="majorHAnsi" w:hAnsiTheme="majorHAnsi"/>
          <w:sz w:val="20"/>
          <w:szCs w:val="20"/>
        </w:rPr>
        <w:t>large-scale</w:t>
      </w:r>
      <w:r w:rsidR="000362C1" w:rsidRPr="000362C1">
        <w:rPr>
          <w:rFonts w:asciiTheme="majorHAnsi" w:hAnsiTheme="majorHAnsi"/>
          <w:sz w:val="20"/>
          <w:szCs w:val="20"/>
        </w:rPr>
        <w:t xml:space="preserve"> </w:t>
      </w:r>
      <w:r w:rsidRPr="000362C1">
        <w:rPr>
          <w:rFonts w:asciiTheme="majorHAnsi" w:hAnsiTheme="majorHAnsi"/>
          <w:sz w:val="20"/>
          <w:szCs w:val="20"/>
        </w:rPr>
        <w:t xml:space="preserve">(see Section </w:t>
      </w:r>
      <w:fldSimple w:instr=" REF _Ref388709721 \r \h  \* MERGEFORMAT ">
        <w:r w:rsidR="00284CE3" w:rsidRPr="00284CE3">
          <w:rPr>
            <w:rFonts w:asciiTheme="majorHAnsi" w:hAnsiTheme="majorHAnsi"/>
            <w:sz w:val="20"/>
            <w:szCs w:val="20"/>
          </w:rPr>
          <w:t>6.6</w:t>
        </w:r>
      </w:fldSimple>
      <w:r w:rsidRPr="000362C1">
        <w:rPr>
          <w:rFonts w:asciiTheme="majorHAnsi" w:hAnsiTheme="majorHAnsi"/>
          <w:sz w:val="20"/>
          <w:szCs w:val="20"/>
        </w:rPr>
        <w:t>)</w:t>
      </w:r>
    </w:p>
    <w:p w:rsidR="00B94DC6" w:rsidRPr="00540F55" w:rsidRDefault="00B94DC6" w:rsidP="00B94DC6">
      <w:pPr>
        <w:pStyle w:val="ListParagraph"/>
        <w:numPr>
          <w:ilvl w:val="0"/>
          <w:numId w:val="438"/>
        </w:numPr>
        <w:spacing w:after="120" w:line="260" w:lineRule="atLeast"/>
        <w:contextualSpacing w:val="0"/>
        <w:rPr>
          <w:rFonts w:asciiTheme="majorHAnsi" w:hAnsiTheme="majorHAnsi"/>
          <w:sz w:val="20"/>
          <w:szCs w:val="20"/>
        </w:rPr>
      </w:pPr>
      <w:r w:rsidRPr="00540F55">
        <w:rPr>
          <w:rFonts w:asciiTheme="majorHAnsi" w:hAnsiTheme="majorHAnsi"/>
          <w:sz w:val="20"/>
          <w:szCs w:val="20"/>
        </w:rPr>
        <w:t xml:space="preserve">Studies of market resource alternatives (MRAs) in the Southeast Massachusetts/Rhode Island load pockets (see Section </w:t>
      </w:r>
      <w:r w:rsidR="00927965">
        <w:rPr>
          <w:rFonts w:asciiTheme="majorHAnsi" w:hAnsiTheme="majorHAnsi"/>
          <w:sz w:val="20"/>
          <w:szCs w:val="20"/>
        </w:rPr>
        <w:fldChar w:fldCharType="begin"/>
      </w:r>
      <w:r w:rsidR="008A2991">
        <w:rPr>
          <w:rFonts w:asciiTheme="majorHAnsi" w:hAnsiTheme="majorHAnsi"/>
          <w:sz w:val="20"/>
          <w:szCs w:val="20"/>
        </w:rPr>
        <w:instrText xml:space="preserve"> REF _Ref388716796 \r \h </w:instrText>
      </w:r>
      <w:r w:rsidR="00927965">
        <w:rPr>
          <w:rFonts w:asciiTheme="majorHAnsi" w:hAnsiTheme="majorHAnsi"/>
          <w:sz w:val="20"/>
          <w:szCs w:val="20"/>
        </w:rPr>
      </w:r>
      <w:r w:rsidR="00927965">
        <w:rPr>
          <w:rFonts w:asciiTheme="majorHAnsi" w:hAnsiTheme="majorHAnsi"/>
          <w:sz w:val="20"/>
          <w:szCs w:val="20"/>
        </w:rPr>
        <w:fldChar w:fldCharType="separate"/>
      </w:r>
      <w:r w:rsidR="00284CE3">
        <w:rPr>
          <w:rFonts w:asciiTheme="majorHAnsi" w:hAnsiTheme="majorHAnsi"/>
          <w:sz w:val="20"/>
          <w:szCs w:val="20"/>
        </w:rPr>
        <w:t>6.10</w:t>
      </w:r>
      <w:r w:rsidR="00927965">
        <w:rPr>
          <w:rFonts w:asciiTheme="majorHAnsi" w:hAnsiTheme="majorHAnsi"/>
          <w:sz w:val="20"/>
          <w:szCs w:val="20"/>
        </w:rPr>
        <w:fldChar w:fldCharType="end"/>
      </w:r>
      <w:r w:rsidRPr="00540F55">
        <w:rPr>
          <w:rFonts w:asciiTheme="majorHAnsi" w:hAnsiTheme="majorHAnsi"/>
          <w:sz w:val="20"/>
          <w:szCs w:val="20"/>
        </w:rPr>
        <w:t>)</w:t>
      </w:r>
      <w:r w:rsidRPr="00540F55">
        <w:rPr>
          <w:rStyle w:val="FootnoteReference"/>
          <w:rFonts w:asciiTheme="majorHAnsi" w:hAnsiTheme="majorHAnsi"/>
          <w:szCs w:val="20"/>
        </w:rPr>
        <w:footnoteReference w:id="17"/>
      </w:r>
    </w:p>
    <w:p w:rsidR="00B94DC6" w:rsidRPr="00540F55" w:rsidRDefault="00B94DC6" w:rsidP="00B94DC6">
      <w:pPr>
        <w:pStyle w:val="ListParagraph"/>
        <w:numPr>
          <w:ilvl w:val="0"/>
          <w:numId w:val="438"/>
        </w:numPr>
        <w:spacing w:after="240"/>
        <w:contextualSpacing w:val="0"/>
        <w:rPr>
          <w:rFonts w:asciiTheme="majorHAnsi" w:hAnsiTheme="majorHAnsi"/>
          <w:sz w:val="20"/>
          <w:szCs w:val="20"/>
        </w:rPr>
      </w:pPr>
      <w:r w:rsidRPr="00540F55">
        <w:rPr>
          <w:rFonts w:asciiTheme="majorHAnsi" w:hAnsiTheme="majorHAnsi"/>
          <w:sz w:val="20"/>
          <w:szCs w:val="20"/>
        </w:rPr>
        <w:t>Summaries of regional and interregional transmission planning studies (i.e., needs assessments and solutions studies), which provide detailed information to resource developers and other stakeholders on potential infrastructure additions (</w:t>
      </w:r>
      <w:r w:rsidR="00927965">
        <w:rPr>
          <w:rFonts w:asciiTheme="majorHAnsi" w:hAnsiTheme="majorHAnsi"/>
          <w:sz w:val="20"/>
          <w:szCs w:val="20"/>
        </w:rPr>
        <w:fldChar w:fldCharType="begin"/>
      </w:r>
      <w:r w:rsidR="008A2991">
        <w:rPr>
          <w:rFonts w:asciiTheme="majorHAnsi" w:hAnsiTheme="majorHAnsi"/>
          <w:sz w:val="20"/>
          <w:szCs w:val="20"/>
        </w:rPr>
        <w:instrText xml:space="preserve"> REF _Ref301345731 \r \h </w:instrText>
      </w:r>
      <w:r w:rsidR="00927965">
        <w:rPr>
          <w:rFonts w:asciiTheme="majorHAnsi" w:hAnsiTheme="majorHAnsi"/>
          <w:sz w:val="20"/>
          <w:szCs w:val="20"/>
        </w:rPr>
      </w:r>
      <w:r w:rsidR="00927965">
        <w:rPr>
          <w:rFonts w:asciiTheme="majorHAnsi" w:hAnsiTheme="majorHAnsi"/>
          <w:sz w:val="20"/>
          <w:szCs w:val="20"/>
        </w:rPr>
        <w:fldChar w:fldCharType="separate"/>
      </w:r>
      <w:r w:rsidR="00284CE3">
        <w:rPr>
          <w:rFonts w:asciiTheme="majorHAnsi" w:hAnsiTheme="majorHAnsi"/>
          <w:sz w:val="20"/>
          <w:szCs w:val="20"/>
        </w:rPr>
        <w:t>Section 5</w:t>
      </w:r>
      <w:r w:rsidR="00927965">
        <w:rPr>
          <w:rFonts w:asciiTheme="majorHAnsi" w:hAnsiTheme="majorHAnsi"/>
          <w:sz w:val="20"/>
          <w:szCs w:val="20"/>
        </w:rPr>
        <w:fldChar w:fldCharType="end"/>
      </w:r>
      <w:r w:rsidRPr="00540F55">
        <w:rPr>
          <w:rFonts w:asciiTheme="majorHAnsi" w:hAnsiTheme="majorHAnsi"/>
          <w:sz w:val="20"/>
          <w:szCs w:val="20"/>
        </w:rPr>
        <w:t>)</w:t>
      </w:r>
    </w:p>
    <w:p w:rsidR="00B94DC6" w:rsidRPr="00797BFF" w:rsidRDefault="00B94DC6" w:rsidP="005E14EF">
      <w:pPr>
        <w:pStyle w:val="Heading2"/>
      </w:pPr>
      <w:bookmarkStart w:id="47" w:name="_Toc390070633"/>
      <w:bookmarkStart w:id="48" w:name="_Toc396807590"/>
      <w:r w:rsidRPr="00797BFF">
        <w:t>Overview of System and Strategic Planning Issues</w:t>
      </w:r>
      <w:bookmarkEnd w:id="47"/>
      <w:bookmarkEnd w:id="48"/>
    </w:p>
    <w:p w:rsidR="00B94DC6" w:rsidRDefault="00B94DC6" w:rsidP="00B94DC6">
      <w:pPr>
        <w:pStyle w:val="CommentText"/>
        <w:spacing w:line="260" w:lineRule="atLeast"/>
      </w:pPr>
      <w:r w:rsidRPr="000D6E4B">
        <w:t>The New England system requires resources that provide flexible capacity and energy supply and</w:t>
      </w:r>
      <w:r w:rsidRPr="004D2ADE">
        <w:t xml:space="preserve"> transmission to carry electric energy where needed. </w:t>
      </w:r>
      <w:r>
        <w:t>I</w:t>
      </w:r>
      <w:r w:rsidRPr="00306866">
        <w:t>mprovements in the markets</w:t>
      </w:r>
      <w:r>
        <w:t xml:space="preserve">, </w:t>
      </w:r>
      <w:r w:rsidRPr="00306866">
        <w:t>the development of new resources</w:t>
      </w:r>
      <w:r>
        <w:t xml:space="preserve">, </w:t>
      </w:r>
      <w:r w:rsidRPr="00306866">
        <w:t xml:space="preserve">and transmission </w:t>
      </w:r>
      <w:r w:rsidRPr="003623EF">
        <w:t>upgrades</w:t>
      </w:r>
      <w:r>
        <w:t xml:space="preserve"> are helping meet t</w:t>
      </w:r>
      <w:r w:rsidRPr="004D2ADE">
        <w:t>hese regional needs</w:t>
      </w:r>
      <w:r w:rsidRPr="003623EF">
        <w:t>. Interregional planning studies, especially for ensuring reliable infrastructure development</w:t>
      </w:r>
      <w:r>
        <w:t xml:space="preserve">, </w:t>
      </w:r>
      <w:r w:rsidRPr="003623EF">
        <w:t>ha</w:t>
      </w:r>
      <w:r w:rsidR="00D9497D">
        <w:t>ve</w:t>
      </w:r>
      <w:r w:rsidRPr="00306866">
        <w:t xml:space="preserve"> become increasingly important, and the ISO is coordinating planning efforts in the Northeast and throughout the Eastern Interconnection.</w:t>
      </w:r>
      <w:r w:rsidRPr="00306866">
        <w:rPr>
          <w:rStyle w:val="FootnoteReference"/>
        </w:rPr>
        <w:footnoteReference w:id="18"/>
      </w:r>
      <w:r w:rsidRPr="00306866">
        <w:t xml:space="preserve"> Regional initiatives on improv</w:t>
      </w:r>
      <w:r>
        <w:t>ing</w:t>
      </w:r>
      <w:r w:rsidRPr="00306866">
        <w:t xml:space="preserve"> the wholesale electric</w:t>
      </w:r>
      <w:r>
        <w:t>ity</w:t>
      </w:r>
      <w:r w:rsidRPr="00306866">
        <w:t xml:space="preserve"> markets, appl</w:t>
      </w:r>
      <w:r>
        <w:t>ying</w:t>
      </w:r>
      <w:r w:rsidRPr="00306866">
        <w:t xml:space="preserve"> advanced technologies, and </w:t>
      </w:r>
      <w:r>
        <w:t xml:space="preserve">developing </w:t>
      </w:r>
      <w:r w:rsidRPr="00306866">
        <w:t>regional policies and procedures are affecting the evolution of the New England electric power system.</w:t>
      </w:r>
    </w:p>
    <w:p w:rsidR="00B94DC6" w:rsidRDefault="00113C54" w:rsidP="00B94DC6">
      <w:pPr>
        <w:pStyle w:val="CommentText"/>
        <w:spacing w:line="260" w:lineRule="atLeast"/>
      </w:pPr>
      <w:r w:rsidRPr="007432E2">
        <w:t>Similar to the RSP13 forecast, the RSP14 regional forecast shows slow growth in both the summer and winter peak demand of 1.3% and 0.6%, respectively, and annual energy use of 1%.</w:t>
      </w:r>
      <w:r w:rsidR="00B94DC6" w:rsidRPr="007432E2">
        <w:t xml:space="preserve"> The energy-</w:t>
      </w:r>
      <w:r w:rsidR="00B94DC6" w:rsidRPr="00D61A0D">
        <w:t>efficiency forecast also is similar to the RSP1</w:t>
      </w:r>
      <w:r w:rsidR="00B94DC6">
        <w:t>3</w:t>
      </w:r>
      <w:r w:rsidR="00B94DC6" w:rsidRPr="00D61A0D">
        <w:t xml:space="preserve"> forecast and shows a further slowing of net load growth</w:t>
      </w:r>
      <w:r w:rsidR="00362A73">
        <w:t xml:space="preserve"> to about half the </w:t>
      </w:r>
      <w:r w:rsidR="00D85F24">
        <w:t xml:space="preserve">growth rate of the </w:t>
      </w:r>
      <w:r w:rsidR="00362A73">
        <w:t xml:space="preserve">summer peak load </w:t>
      </w:r>
      <w:r w:rsidR="0017656D">
        <w:t xml:space="preserve">and essentially </w:t>
      </w:r>
      <w:r w:rsidR="00577B19">
        <w:t xml:space="preserve">no net </w:t>
      </w:r>
      <w:r w:rsidR="0017656D">
        <w:t>growth</w:t>
      </w:r>
      <w:r w:rsidR="00577B19">
        <w:t xml:space="preserve"> in </w:t>
      </w:r>
      <w:r w:rsidR="00596E6E">
        <w:t xml:space="preserve">both </w:t>
      </w:r>
      <w:r w:rsidR="00D85F24">
        <w:t xml:space="preserve">the </w:t>
      </w:r>
      <w:r w:rsidR="00596E6E">
        <w:t xml:space="preserve">winter peak load and </w:t>
      </w:r>
      <w:r w:rsidR="00264172">
        <w:t xml:space="preserve">regional </w:t>
      </w:r>
      <w:r w:rsidR="00596E6E">
        <w:t xml:space="preserve">annual </w:t>
      </w:r>
      <w:r w:rsidR="00264172">
        <w:t xml:space="preserve">use of </w:t>
      </w:r>
      <w:r w:rsidR="00577B19">
        <w:t>energy</w:t>
      </w:r>
      <w:r w:rsidR="00B94DC6" w:rsidRPr="00D61A0D">
        <w:t>.</w:t>
      </w:r>
      <w:r w:rsidR="00B94DC6">
        <w:t xml:space="preserve"> </w:t>
      </w:r>
      <w:proofErr w:type="gramStart"/>
      <w:r w:rsidR="00B94DC6">
        <w:t>The ISO issued a multistate forecast of photovoltaic resources and is working with stakeholders to expand the forecast to cover all distributed generation (DG) resources.</w:t>
      </w:r>
      <w:proofErr w:type="gramEnd"/>
      <w:r w:rsidR="00B94DC6">
        <w:rPr>
          <w:rStyle w:val="FootnoteReference"/>
        </w:rPr>
        <w:footnoteReference w:id="19"/>
      </w:r>
      <w:r w:rsidR="00B94DC6">
        <w:t xml:space="preserve"> </w:t>
      </w:r>
    </w:p>
    <w:p w:rsidR="00B94DC6" w:rsidRDefault="00113C54" w:rsidP="00D85F24">
      <w:pPr>
        <w:pStyle w:val="CommentText"/>
        <w:spacing w:line="260" w:lineRule="atLeast"/>
        <w:rPr>
          <w:color w:val="000000" w:themeColor="text1"/>
        </w:rPr>
      </w:pPr>
      <w:r w:rsidRPr="007432E2">
        <w:t>Despite the slow growth</w:t>
      </w:r>
      <w:r w:rsidR="00FB42CF" w:rsidRPr="007432E2">
        <w:t xml:space="preserve"> in demand,</w:t>
      </w:r>
      <w:r w:rsidR="007432E2" w:rsidRPr="007432E2">
        <w:t xml:space="preserve"> </w:t>
      </w:r>
      <w:r w:rsidR="00B94DC6" w:rsidRPr="007432E2">
        <w:t xml:space="preserve">RSP14 shows </w:t>
      </w:r>
      <w:r w:rsidR="00FB42CF" w:rsidRPr="007432E2">
        <w:t xml:space="preserve">that </w:t>
      </w:r>
      <w:r w:rsidR="00B94DC6" w:rsidRPr="007432E2">
        <w:t xml:space="preserve">the region </w:t>
      </w:r>
      <w:r w:rsidRPr="007432E2">
        <w:t>requires additional reliable capacity</w:t>
      </w:r>
      <w:r w:rsidR="00B94DC6" w:rsidRPr="007432E2">
        <w:t>,</w:t>
      </w:r>
      <w:r w:rsidR="00B94DC6">
        <w:t xml:space="preserve"> which </w:t>
      </w:r>
      <w:proofErr w:type="gramStart"/>
      <w:r w:rsidR="00B94DC6">
        <w:t>can be achieved</w:t>
      </w:r>
      <w:proofErr w:type="gramEnd"/>
      <w:r w:rsidR="00B94DC6">
        <w:t xml:space="preserve"> by developing new resources and improving the performance of existing resources. </w:t>
      </w:r>
      <w:r w:rsidR="00A33302">
        <w:t xml:space="preserve">Over </w:t>
      </w:r>
      <w:r w:rsidR="00ED5172">
        <w:t>4,</w:t>
      </w:r>
      <w:r w:rsidR="00A33302">
        <w:t>000</w:t>
      </w:r>
      <w:r w:rsidR="00ED5172">
        <w:t xml:space="preserve"> MW</w:t>
      </w:r>
      <w:r w:rsidR="00A33302">
        <w:t xml:space="preserve"> </w:t>
      </w:r>
      <w:r w:rsidR="00B94DC6" w:rsidRPr="007D4E2C">
        <w:t xml:space="preserve">of </w:t>
      </w:r>
      <w:r w:rsidR="00A33302">
        <w:t xml:space="preserve">resource </w:t>
      </w:r>
      <w:r w:rsidR="00B94DC6" w:rsidRPr="007D4E2C">
        <w:t>retirements</w:t>
      </w:r>
      <w:r w:rsidR="00B94DC6">
        <w:t xml:space="preserve"> </w:t>
      </w:r>
      <w:r w:rsidR="00ED5172">
        <w:t>are expected from June 2014 through June 2017</w:t>
      </w:r>
      <w:r w:rsidR="00D85F24">
        <w:t>,</w:t>
      </w:r>
      <w:r w:rsidR="00ED5172">
        <w:t xml:space="preserve"> </w:t>
      </w:r>
      <w:r w:rsidR="00B94DC6">
        <w:t xml:space="preserve">stemming </w:t>
      </w:r>
      <w:r w:rsidR="00B94DC6" w:rsidRPr="007D4E2C">
        <w:t xml:space="preserve">from </w:t>
      </w:r>
      <w:proofErr w:type="spellStart"/>
      <w:r w:rsidR="00B94DC6" w:rsidRPr="00AD4A53">
        <w:rPr>
          <w:i/>
        </w:rPr>
        <w:t>nonprice</w:t>
      </w:r>
      <w:proofErr w:type="spellEnd"/>
      <w:r w:rsidR="00B94DC6" w:rsidRPr="007D4E2C">
        <w:t xml:space="preserve"> </w:t>
      </w:r>
      <w:r w:rsidR="00B94DC6">
        <w:t xml:space="preserve">retirement requests </w:t>
      </w:r>
      <w:r w:rsidR="00ED5172">
        <w:t>by demand and supply resources</w:t>
      </w:r>
      <w:r w:rsidR="00B94DC6">
        <w:t xml:space="preserve">, and </w:t>
      </w:r>
      <w:r w:rsidR="00B94DC6" w:rsidRPr="00E71289">
        <w:t>additional generators are likely to retire as a result of their not being economically competitive.</w:t>
      </w:r>
      <w:r w:rsidR="00B94DC6" w:rsidRPr="00E71289">
        <w:rPr>
          <w:rStyle w:val="FootnoteReference"/>
        </w:rPr>
        <w:footnoteReference w:id="20"/>
      </w:r>
      <w:r w:rsidR="00B94DC6" w:rsidRPr="00E71289">
        <w:t xml:space="preserve"> Few new resources cleared the eighth Forward Capacity Auction (</w:t>
      </w:r>
      <w:r w:rsidR="0039302D" w:rsidRPr="00E71289">
        <w:t>FCA </w:t>
      </w:r>
      <w:r w:rsidR="00B94DC6" w:rsidRPr="00E71289">
        <w:t>#8), and the region is projected to require new resources from 2017 through 2023. To ensure resource adequacy in the region,</w:t>
      </w:r>
      <w:r w:rsidR="00EE75EA" w:rsidRPr="00E71289">
        <w:t xml:space="preserve"> </w:t>
      </w:r>
      <w:r w:rsidR="00C63ED2" w:rsidRPr="00E71289">
        <w:t xml:space="preserve">the ISO </w:t>
      </w:r>
      <w:r w:rsidR="00E71289" w:rsidRPr="00E71289">
        <w:t>e</w:t>
      </w:r>
      <w:r w:rsidR="00E71289">
        <w:t>x</w:t>
      </w:r>
      <w:r w:rsidR="00E71289" w:rsidRPr="00E71289">
        <w:t>pect</w:t>
      </w:r>
      <w:r w:rsidR="00A33302">
        <w:t>s</w:t>
      </w:r>
      <w:r w:rsidR="00E71289" w:rsidRPr="00E71289">
        <w:t xml:space="preserve"> to </w:t>
      </w:r>
      <w:r w:rsidR="00B94DC6" w:rsidRPr="00E71289">
        <w:t>procur</w:t>
      </w:r>
      <w:r w:rsidR="00C63ED2" w:rsidRPr="00E71289">
        <w:t>e</w:t>
      </w:r>
      <w:r w:rsidR="00B94DC6" w:rsidRPr="00E71289">
        <w:t xml:space="preserve"> </w:t>
      </w:r>
      <w:r w:rsidR="00E71289">
        <w:t xml:space="preserve">needed </w:t>
      </w:r>
      <w:r w:rsidR="00B94DC6" w:rsidRPr="00E71289">
        <w:t>resources through the Forward Capacity Market</w:t>
      </w:r>
      <w:r w:rsidR="00836CB9" w:rsidRPr="00E71289">
        <w:t>.</w:t>
      </w:r>
      <w:r w:rsidR="00836CB9">
        <w:t xml:space="preserve"> </w:t>
      </w:r>
      <w:r w:rsidR="00C63ED2">
        <w:t xml:space="preserve">Additional </w:t>
      </w:r>
      <w:r w:rsidR="00B94DC6" w:rsidRPr="004B5B15">
        <w:t xml:space="preserve">market performance incentives </w:t>
      </w:r>
      <w:proofErr w:type="gramStart"/>
      <w:r w:rsidR="00C63ED2">
        <w:t xml:space="preserve">are </w:t>
      </w:r>
      <w:r w:rsidR="00B94DC6" w:rsidRPr="004B5B15">
        <w:t>aimed</w:t>
      </w:r>
      <w:proofErr w:type="gramEnd"/>
      <w:r w:rsidR="00B94DC6" w:rsidRPr="004B5B15">
        <w:t xml:space="preserve"> at </w:t>
      </w:r>
      <w:r w:rsidR="00C63ED2">
        <w:t xml:space="preserve">further </w:t>
      </w:r>
      <w:r w:rsidR="00B94DC6" w:rsidRPr="004B5B15">
        <w:t xml:space="preserve">encouraging resource owners to </w:t>
      </w:r>
      <w:r w:rsidR="00C63ED2">
        <w:t xml:space="preserve">improve their performance and </w:t>
      </w:r>
      <w:r w:rsidRPr="004B5B15">
        <w:t>develop</w:t>
      </w:r>
      <w:r w:rsidR="00B94DC6" w:rsidRPr="004B5B15">
        <w:t xml:space="preserve"> </w:t>
      </w:r>
      <w:r w:rsidRPr="004B5B15">
        <w:t>capacity</w:t>
      </w:r>
      <w:r w:rsidR="00B94DC6" w:rsidRPr="004B5B15">
        <w:t xml:space="preserve">, including </w:t>
      </w:r>
      <w:r w:rsidR="0039302D" w:rsidRPr="004B5B15">
        <w:t xml:space="preserve">demand resources and </w:t>
      </w:r>
      <w:r w:rsidR="00B94DC6" w:rsidRPr="004B5B15">
        <w:t>new resources listed in</w:t>
      </w:r>
      <w:r w:rsidR="00B94DC6" w:rsidRPr="001D2B0A">
        <w:t xml:space="preserve"> the ISO New England</w:t>
      </w:r>
      <w:r w:rsidR="00B94DC6" w:rsidRPr="00FD0E15">
        <w:t xml:space="preserve"> Generator Interconnection</w:t>
      </w:r>
      <w:r w:rsidR="00B94DC6" w:rsidRPr="0081078B">
        <w:t xml:space="preserve"> Queue (the queue).</w:t>
      </w:r>
      <w:r w:rsidR="00B94DC6" w:rsidRPr="0081078B">
        <w:rPr>
          <w:rStyle w:val="FootnoteReference"/>
          <w:color w:val="000000" w:themeColor="text1"/>
        </w:rPr>
        <w:footnoteReference w:id="21"/>
      </w:r>
      <w:r w:rsidR="00B94DC6" w:rsidRPr="0081078B">
        <w:rPr>
          <w:color w:val="000000" w:themeColor="text1"/>
        </w:rPr>
        <w:t xml:space="preserve"> </w:t>
      </w:r>
      <w:r w:rsidRPr="00113C54">
        <w:rPr>
          <w:color w:val="000000" w:themeColor="text1"/>
        </w:rPr>
        <w:t xml:space="preserve">Some of the key market improvements </w:t>
      </w:r>
      <w:r w:rsidRPr="00113C54">
        <w:t>to the day-ahead and real-time markets, as well as changes to the FCM</w:t>
      </w:r>
      <w:r w:rsidR="0039302D">
        <w:t>,</w:t>
      </w:r>
      <w:r w:rsidRPr="00113C54">
        <w:t xml:space="preserve"> </w:t>
      </w:r>
      <w:r w:rsidRPr="00113C54">
        <w:rPr>
          <w:color w:val="000000" w:themeColor="text1"/>
        </w:rPr>
        <w:t>are as follows:</w:t>
      </w:r>
      <w:r w:rsidR="00B94DC6">
        <w:rPr>
          <w:color w:val="000000" w:themeColor="text1"/>
        </w:rPr>
        <w:t xml:space="preserve"> </w:t>
      </w:r>
    </w:p>
    <w:p w:rsidR="00B94DC6" w:rsidRPr="00C63ED2" w:rsidRDefault="00B94DC6" w:rsidP="00B94DC6">
      <w:pPr>
        <w:pStyle w:val="CommentText"/>
        <w:numPr>
          <w:ilvl w:val="0"/>
          <w:numId w:val="570"/>
        </w:numPr>
        <w:spacing w:after="120" w:line="260" w:lineRule="atLeast"/>
        <w:rPr>
          <w:color w:val="000000" w:themeColor="text1"/>
        </w:rPr>
      </w:pPr>
      <w:r>
        <w:rPr>
          <w:color w:val="000000" w:themeColor="text1"/>
        </w:rPr>
        <w:t xml:space="preserve">“Pay for performance,” designed to encourage the operation of resources when most needed, including </w:t>
      </w:r>
      <w:r w:rsidRPr="007304FC">
        <w:rPr>
          <w:color w:val="000000" w:themeColor="text1"/>
        </w:rPr>
        <w:t xml:space="preserve">during </w:t>
      </w:r>
      <w:r w:rsidRPr="00D57DFB">
        <w:rPr>
          <w:color w:val="000000" w:themeColor="text1"/>
        </w:rPr>
        <w:t>scarcity events</w:t>
      </w:r>
      <w:r w:rsidRPr="007304FC">
        <w:rPr>
          <w:color w:val="000000" w:themeColor="text1"/>
        </w:rPr>
        <w:t>,</w:t>
      </w:r>
      <w:r>
        <w:rPr>
          <w:color w:val="000000" w:themeColor="text1"/>
        </w:rPr>
        <w:t xml:space="preserve"> by creating stronger financial incentives to </w:t>
      </w:r>
      <w:r w:rsidRPr="00283D7A">
        <w:rPr>
          <w:color w:val="000000" w:themeColor="text1"/>
        </w:rPr>
        <w:t xml:space="preserve">produce </w:t>
      </w:r>
      <w:r w:rsidR="00716562">
        <w:rPr>
          <w:color w:val="000000" w:themeColor="text1"/>
        </w:rPr>
        <w:t xml:space="preserve">electric </w:t>
      </w:r>
      <w:r w:rsidRPr="00C63ED2">
        <w:rPr>
          <w:color w:val="000000" w:themeColor="text1"/>
        </w:rPr>
        <w:t>energy</w:t>
      </w:r>
      <w:r w:rsidR="00120E0A" w:rsidRPr="00C63ED2">
        <w:rPr>
          <w:color w:val="000000" w:themeColor="text1"/>
        </w:rPr>
        <w:t xml:space="preserve"> and </w:t>
      </w:r>
      <w:r w:rsidR="00662DB0" w:rsidRPr="00C63ED2">
        <w:rPr>
          <w:color w:val="000000" w:themeColor="text1"/>
        </w:rPr>
        <w:t xml:space="preserve">to </w:t>
      </w:r>
      <w:r w:rsidR="00120E0A" w:rsidRPr="00C63ED2">
        <w:rPr>
          <w:color w:val="000000" w:themeColor="text1"/>
        </w:rPr>
        <w:t>supply reserves</w:t>
      </w:r>
      <w:r w:rsidR="006B14A6" w:rsidRPr="00C63ED2">
        <w:rPr>
          <w:color w:val="000000" w:themeColor="text1"/>
        </w:rPr>
        <w:t xml:space="preserve"> </w:t>
      </w:r>
      <w:r w:rsidR="0079466C" w:rsidRPr="00C63ED2">
        <w:rPr>
          <w:color w:val="000000" w:themeColor="text1"/>
        </w:rPr>
        <w:t>(</w:t>
      </w:r>
      <w:r w:rsidR="0058019A" w:rsidRPr="00C63ED2">
        <w:rPr>
          <w:color w:val="000000" w:themeColor="text1"/>
        </w:rPr>
        <w:t>to be implemented on June 1, 2018)</w:t>
      </w:r>
    </w:p>
    <w:p w:rsidR="00B94DC6" w:rsidRPr="00C63ED2" w:rsidRDefault="00B94DC6" w:rsidP="00B94DC6">
      <w:pPr>
        <w:pStyle w:val="CommentText"/>
        <w:numPr>
          <w:ilvl w:val="0"/>
          <w:numId w:val="570"/>
        </w:numPr>
        <w:spacing w:after="120" w:line="260" w:lineRule="atLeast"/>
        <w:rPr>
          <w:color w:val="000000" w:themeColor="text1"/>
        </w:rPr>
      </w:pPr>
      <w:r w:rsidRPr="00C63ED2">
        <w:rPr>
          <w:color w:val="000000" w:themeColor="text1"/>
        </w:rPr>
        <w:t xml:space="preserve">A sloped demand curve for capacity auctions, designed to </w:t>
      </w:r>
      <w:r w:rsidRPr="00C63ED2">
        <w:t>reduce the volatility in capacity prices between periods of excess supply and periods when new capacity resources are needed, which may occur as aging plants retire</w:t>
      </w:r>
      <w:r w:rsidR="006B14A6" w:rsidRPr="00C63ED2">
        <w:t xml:space="preserve"> </w:t>
      </w:r>
      <w:r w:rsidR="0058019A" w:rsidRPr="00C63ED2">
        <w:t>(to be implemented for the FCA #9 primary auction and for the</w:t>
      </w:r>
      <w:r w:rsidR="006B14A6" w:rsidRPr="00C63ED2">
        <w:t xml:space="preserve"> </w:t>
      </w:r>
      <w:r w:rsidR="00A33302">
        <w:t xml:space="preserve">associated </w:t>
      </w:r>
      <w:r w:rsidR="00662DB0" w:rsidRPr="00C63ED2">
        <w:t>reconfiguration auctions</w:t>
      </w:r>
      <w:r w:rsidR="00E71289">
        <w:t>)</w:t>
      </w:r>
      <w:r w:rsidR="00662DB0" w:rsidRPr="00C63ED2">
        <w:rPr>
          <w:rStyle w:val="FootnoteReference"/>
        </w:rPr>
        <w:footnoteReference w:id="22"/>
      </w:r>
    </w:p>
    <w:p w:rsidR="00B94DC6" w:rsidRPr="00C63ED2" w:rsidRDefault="00B94DC6" w:rsidP="00B94DC6">
      <w:pPr>
        <w:pStyle w:val="CommentText"/>
        <w:numPr>
          <w:ilvl w:val="0"/>
          <w:numId w:val="570"/>
        </w:numPr>
        <w:spacing w:line="260" w:lineRule="atLeast"/>
        <w:rPr>
          <w:color w:val="000000" w:themeColor="text1"/>
        </w:rPr>
      </w:pPr>
      <w:r w:rsidRPr="00283D7A">
        <w:rPr>
          <w:color w:val="000000" w:themeColor="text1"/>
        </w:rPr>
        <w:t xml:space="preserve">An update of the methodology for identifying and forming capacity zones to be used in the FCAs that reflect changing system conditions and encourage the development of capacity resources in </w:t>
      </w:r>
      <w:r w:rsidRPr="00C63ED2">
        <w:rPr>
          <w:color w:val="000000" w:themeColor="text1"/>
        </w:rPr>
        <w:t xml:space="preserve">needed locations </w:t>
      </w:r>
      <w:r w:rsidR="006B14A6" w:rsidRPr="00C63ED2">
        <w:rPr>
          <w:color w:val="000000" w:themeColor="text1"/>
        </w:rPr>
        <w:t xml:space="preserve">(to be reflected in </w:t>
      </w:r>
      <w:r w:rsidR="0079466C" w:rsidRPr="00C63ED2">
        <w:rPr>
          <w:color w:val="000000" w:themeColor="text1"/>
        </w:rPr>
        <w:t xml:space="preserve">FCA #9, </w:t>
      </w:r>
      <w:r w:rsidR="00662DB0" w:rsidRPr="00C63ED2">
        <w:rPr>
          <w:color w:val="000000" w:themeColor="text1"/>
        </w:rPr>
        <w:t>reconfiguration auctions</w:t>
      </w:r>
      <w:r w:rsidR="006B14A6" w:rsidRPr="00C63ED2">
        <w:rPr>
          <w:color w:val="000000" w:themeColor="text1"/>
        </w:rPr>
        <w:t>, and settlements)</w:t>
      </w:r>
    </w:p>
    <w:p w:rsidR="00513AE2" w:rsidRDefault="0058019A">
      <w:pPr>
        <w:rPr>
          <w:color w:val="000000" w:themeColor="text1"/>
        </w:rPr>
      </w:pPr>
      <w:proofErr w:type="gramStart"/>
      <w:r w:rsidRPr="0058019A">
        <w:t xml:space="preserve">To </w:t>
      </w:r>
      <w:r w:rsidR="00EE75EA">
        <w:t xml:space="preserve">further </w:t>
      </w:r>
      <w:r w:rsidRPr="0058019A">
        <w:t>support</w:t>
      </w:r>
      <w:proofErr w:type="gramEnd"/>
      <w:r w:rsidRPr="0058019A">
        <w:t xml:space="preserve"> the region’s need for reliable capacity</w:t>
      </w:r>
      <w:r w:rsidR="00BC4BA3">
        <w:t xml:space="preserve"> and </w:t>
      </w:r>
      <w:r w:rsidR="00BC4BA3" w:rsidRPr="0058019A">
        <w:t xml:space="preserve">because </w:t>
      </w:r>
      <w:r w:rsidR="00BC4BA3" w:rsidRPr="0079466C">
        <w:t>New</w:t>
      </w:r>
      <w:r w:rsidR="00BC4BA3" w:rsidRPr="005D1F53">
        <w:t xml:space="preserve"> England </w:t>
      </w:r>
      <w:r w:rsidR="00BC4BA3">
        <w:t>has become</w:t>
      </w:r>
      <w:r w:rsidR="00BC4BA3" w:rsidRPr="005D1F53">
        <w:t xml:space="preserve"> an energy-constrained system </w:t>
      </w:r>
      <w:r w:rsidR="00BC4BA3">
        <w:t>in recent years</w:t>
      </w:r>
      <w:r w:rsidRPr="0058019A">
        <w:t>, New England requires fuel certainty</w:t>
      </w:r>
      <w:r w:rsidR="0079466C">
        <w:t xml:space="preserve">. </w:t>
      </w:r>
      <w:r w:rsidR="009677A8">
        <w:t xml:space="preserve">The need for </w:t>
      </w:r>
      <w:r w:rsidR="00B94DC6" w:rsidRPr="005D1F53">
        <w:t>greater fuel certainty</w:t>
      </w:r>
      <w:r w:rsidR="000B2A29">
        <w:t xml:space="preserve"> to maintain reliability</w:t>
      </w:r>
      <w:r w:rsidR="009677A8">
        <w:t xml:space="preserve"> was evident i</w:t>
      </w:r>
      <w:r w:rsidR="00B94DC6">
        <w:t xml:space="preserve">n 2013 and 2014, </w:t>
      </w:r>
      <w:r w:rsidR="009677A8">
        <w:t xml:space="preserve">when </w:t>
      </w:r>
      <w:r w:rsidR="00B94DC6">
        <w:t>t</w:t>
      </w:r>
      <w:r w:rsidR="00B94DC6" w:rsidRPr="005D1F53">
        <w:t>he region’s heavy</w:t>
      </w:r>
      <w:r w:rsidR="00B94DC6" w:rsidRPr="0072521A">
        <w:t xml:space="preserve"> </w:t>
      </w:r>
      <w:r w:rsidR="00B94DC6" w:rsidRPr="001448CA">
        <w:t xml:space="preserve">dependence on </w:t>
      </w:r>
      <w:r w:rsidR="00B94DC6" w:rsidRPr="00A34A75">
        <w:t>natural-gas-fired generation to meet its electricity needs</w:t>
      </w:r>
      <w:r w:rsidR="002E25BA" w:rsidRPr="00A34A75">
        <w:t xml:space="preserve"> </w:t>
      </w:r>
      <w:r w:rsidR="00B94DC6" w:rsidRPr="00A34A75">
        <w:t xml:space="preserve">resulted in </w:t>
      </w:r>
      <w:r w:rsidR="00D837D8" w:rsidRPr="00A34A75">
        <w:t>system</w:t>
      </w:r>
      <w:r w:rsidR="00600074" w:rsidRPr="00A34A75">
        <w:t xml:space="preserve"> </w:t>
      </w:r>
      <w:r w:rsidR="00B94DC6" w:rsidRPr="00A34A75">
        <w:t>operating problems similar</w:t>
      </w:r>
      <w:r w:rsidR="00B94DC6" w:rsidRPr="001448CA">
        <w:t xml:space="preserve"> to those experienced during past extreme weather events.</w:t>
      </w:r>
      <w:r w:rsidR="00B94DC6" w:rsidRPr="001448CA">
        <w:rPr>
          <w:rStyle w:val="FootnoteReference"/>
        </w:rPr>
        <w:footnoteReference w:id="23"/>
      </w:r>
      <w:r w:rsidR="00B94DC6" w:rsidRPr="001448CA">
        <w:t xml:space="preserve"> </w:t>
      </w:r>
      <w:r w:rsidRPr="0058019A">
        <w:rPr>
          <w:color w:val="000000" w:themeColor="text1"/>
        </w:rPr>
        <w:t>Both the high demand for natural gas during cold weather periods and interruptions to the natural gas system have reduced the flow of fuel to generating units, and</w:t>
      </w:r>
      <w:r w:rsidR="000F6F26" w:rsidRPr="0079466C">
        <w:rPr>
          <w:color w:val="000000" w:themeColor="text1"/>
        </w:rPr>
        <w:t xml:space="preserve"> </w:t>
      </w:r>
      <w:r w:rsidRPr="0058019A">
        <w:rPr>
          <w:color w:val="000000" w:themeColor="text1"/>
        </w:rPr>
        <w:t>the natural gas units with dual-fuel capability have not always been effective or timely in switching to using oil.</w:t>
      </w:r>
      <w:r w:rsidR="00D216F9" w:rsidRPr="0079466C">
        <w:rPr>
          <w:color w:val="000000" w:themeColor="text1"/>
        </w:rPr>
        <w:t xml:space="preserve"> More</w:t>
      </w:r>
      <w:r w:rsidR="000F6F26" w:rsidRPr="0079466C">
        <w:rPr>
          <w:color w:val="000000" w:themeColor="text1"/>
        </w:rPr>
        <w:t xml:space="preserve"> </w:t>
      </w:r>
      <w:r w:rsidR="00D216F9" w:rsidRPr="0079466C">
        <w:rPr>
          <w:color w:val="000000" w:themeColor="text1"/>
        </w:rPr>
        <w:t xml:space="preserve">so, </w:t>
      </w:r>
      <w:r w:rsidRPr="0058019A">
        <w:t>LNG supplies, while beneficial, have been</w:t>
      </w:r>
      <w:r w:rsidR="00D216F9">
        <w:t xml:space="preserve"> </w:t>
      </w:r>
      <w:r w:rsidRPr="0058019A">
        <w:t>subject to competition from growing worldwide demand.</w:t>
      </w:r>
      <w:r w:rsidR="003B0D4B" w:rsidRPr="0079466C">
        <w:t xml:space="preserve"> </w:t>
      </w:r>
      <w:r w:rsidRPr="0058019A">
        <w:t>Lastly</w:t>
      </w:r>
      <w:r w:rsidRPr="0058019A">
        <w:rPr>
          <w:color w:val="000000" w:themeColor="text1"/>
        </w:rPr>
        <w:t xml:space="preserve">, infrequently operated coal-fired and oil-fired generators have experienced diminished operating performance and constrained energy production due to issues with fuel availability, delivery, and other challenges caused by </w:t>
      </w:r>
      <w:r w:rsidR="000F6F26">
        <w:rPr>
          <w:color w:val="000000" w:themeColor="text1"/>
        </w:rPr>
        <w:t xml:space="preserve">the sporadic </w:t>
      </w:r>
      <w:r w:rsidRPr="0058019A">
        <w:rPr>
          <w:color w:val="000000" w:themeColor="text1"/>
        </w:rPr>
        <w:t>operati</w:t>
      </w:r>
      <w:r w:rsidR="000F6F26">
        <w:rPr>
          <w:color w:val="000000" w:themeColor="text1"/>
        </w:rPr>
        <w:t xml:space="preserve">on of </w:t>
      </w:r>
      <w:r w:rsidRPr="0058019A">
        <w:rPr>
          <w:color w:val="000000" w:themeColor="text1"/>
        </w:rPr>
        <w:t>the units</w:t>
      </w:r>
      <w:r w:rsidR="00513AE2">
        <w:rPr>
          <w:color w:val="000000" w:themeColor="text1"/>
        </w:rPr>
        <w:t>.</w:t>
      </w:r>
    </w:p>
    <w:p w:rsidR="00DB5A39" w:rsidRPr="00B7641B" w:rsidRDefault="0058019A">
      <w:r w:rsidRPr="0058019A">
        <w:t>The results of studies, as well as actual events, demonstrate the need for fuel certainty</w:t>
      </w:r>
      <w:r w:rsidR="0063636A" w:rsidRPr="0063636A">
        <w:t xml:space="preserve"> in the region. </w:t>
      </w:r>
      <w:r w:rsidR="00B94DC6" w:rsidRPr="0063636A">
        <w:t>The</w:t>
      </w:r>
      <w:r w:rsidR="00B94DC6" w:rsidRPr="009830F6">
        <w:t xml:space="preserve"> results of a</w:t>
      </w:r>
      <w:r w:rsidR="00BC4BA3">
        <w:t xml:space="preserve">n </w:t>
      </w:r>
      <w:r w:rsidR="00B94DC6" w:rsidRPr="009830F6">
        <w:t xml:space="preserve">ICF International </w:t>
      </w:r>
      <w:r w:rsidR="00BC4BA3">
        <w:t xml:space="preserve">study </w:t>
      </w:r>
      <w:r w:rsidR="00B94DC6" w:rsidRPr="009830F6">
        <w:t>show that t</w:t>
      </w:r>
      <w:r w:rsidR="00B94DC6" w:rsidRPr="009830F6">
        <w:rPr>
          <w:color w:val="000000" w:themeColor="text1"/>
        </w:rPr>
        <w:t xml:space="preserve">he region </w:t>
      </w:r>
      <w:proofErr w:type="gramStart"/>
      <w:r w:rsidR="00B94DC6" w:rsidRPr="009830F6">
        <w:rPr>
          <w:color w:val="000000" w:themeColor="text1"/>
        </w:rPr>
        <w:t>is projected</w:t>
      </w:r>
      <w:proofErr w:type="gramEnd"/>
      <w:r w:rsidR="00B94DC6" w:rsidRPr="009830F6">
        <w:rPr>
          <w:color w:val="000000" w:themeColor="text1"/>
        </w:rPr>
        <w:t xml:space="preserve"> to have shortfalls of natural gas supply </w:t>
      </w:r>
      <w:r w:rsidR="00B94DC6" w:rsidRPr="00BC4BA3">
        <w:rPr>
          <w:color w:val="000000" w:themeColor="text1"/>
        </w:rPr>
        <w:t xml:space="preserve">during winter periods through 2020, </w:t>
      </w:r>
      <w:r w:rsidRPr="00BC4BA3">
        <w:rPr>
          <w:color w:val="000000" w:themeColor="text1"/>
        </w:rPr>
        <w:t>even with the addition of 450 </w:t>
      </w:r>
      <w:r w:rsidR="00845BE1" w:rsidRPr="00BC4BA3">
        <w:rPr>
          <w:color w:val="000000" w:themeColor="text1"/>
        </w:rPr>
        <w:t>million cubic feet per day (</w:t>
      </w:r>
      <w:proofErr w:type="spellStart"/>
      <w:r w:rsidR="00662DB0" w:rsidRPr="00662DB0">
        <w:rPr>
          <w:color w:val="000000" w:themeColor="text1"/>
        </w:rPr>
        <w:t>MMcf</w:t>
      </w:r>
      <w:proofErr w:type="spellEnd"/>
      <w:r w:rsidR="00662DB0" w:rsidRPr="00662DB0">
        <w:rPr>
          <w:color w:val="000000" w:themeColor="text1"/>
        </w:rPr>
        <w:t>/d</w:t>
      </w:r>
      <w:r w:rsidR="00845BE1" w:rsidRPr="00BC4BA3">
        <w:rPr>
          <w:color w:val="000000" w:themeColor="text1"/>
        </w:rPr>
        <w:t>)</w:t>
      </w:r>
      <w:r w:rsidRPr="00845BE1">
        <w:rPr>
          <w:color w:val="000000" w:themeColor="text1"/>
        </w:rPr>
        <w:t xml:space="preserve"> of</w:t>
      </w:r>
      <w:r w:rsidRPr="0058019A">
        <w:rPr>
          <w:color w:val="000000" w:themeColor="text1"/>
        </w:rPr>
        <w:t xml:space="preserve"> new pipeline capacity.</w:t>
      </w:r>
      <w:r w:rsidR="0078566C" w:rsidRPr="009830F6">
        <w:rPr>
          <w:rStyle w:val="FootnoteReference"/>
          <w:color w:val="000000" w:themeColor="text1"/>
        </w:rPr>
        <w:footnoteReference w:id="24"/>
      </w:r>
      <w:r w:rsidR="00B94DC6" w:rsidRPr="009830F6">
        <w:rPr>
          <w:color w:val="000000" w:themeColor="text1"/>
        </w:rPr>
        <w:t xml:space="preserve"> </w:t>
      </w:r>
      <w:r w:rsidR="00845BE1">
        <w:rPr>
          <w:color w:val="000000" w:themeColor="text1"/>
        </w:rPr>
        <w:t>Planned and forced o</w:t>
      </w:r>
      <w:r w:rsidRPr="0058019A">
        <w:rPr>
          <w:color w:val="000000" w:themeColor="text1"/>
        </w:rPr>
        <w:t>utages</w:t>
      </w:r>
      <w:r w:rsidR="00845BE1">
        <w:rPr>
          <w:color w:val="000000" w:themeColor="text1"/>
        </w:rPr>
        <w:t xml:space="preserve"> </w:t>
      </w:r>
      <w:r w:rsidR="00B94DC6" w:rsidRPr="009830F6">
        <w:rPr>
          <w:color w:val="000000" w:themeColor="text1"/>
        </w:rPr>
        <w:t>of non-gas-fired generation</w:t>
      </w:r>
      <w:r w:rsidR="00141991">
        <w:rPr>
          <w:color w:val="000000" w:themeColor="text1"/>
        </w:rPr>
        <w:t xml:space="preserve"> (e.g., </w:t>
      </w:r>
      <w:r w:rsidR="00B94DC6" w:rsidRPr="009830F6">
        <w:rPr>
          <w:color w:val="000000" w:themeColor="text1"/>
        </w:rPr>
        <w:t>nuclear</w:t>
      </w:r>
      <w:r w:rsidR="000B2A29" w:rsidRPr="009830F6">
        <w:rPr>
          <w:color w:val="000000" w:themeColor="text1"/>
        </w:rPr>
        <w:t xml:space="preserve"> </w:t>
      </w:r>
      <w:r w:rsidRPr="0058019A">
        <w:rPr>
          <w:color w:val="000000" w:themeColor="text1"/>
        </w:rPr>
        <w:t>and coal</w:t>
      </w:r>
      <w:r w:rsidR="00B94DC6" w:rsidRPr="009830F6">
        <w:rPr>
          <w:color w:val="000000" w:themeColor="text1"/>
        </w:rPr>
        <w:t xml:space="preserve"> units</w:t>
      </w:r>
      <w:r w:rsidR="00141991" w:rsidRPr="00141991">
        <w:rPr>
          <w:color w:val="000000" w:themeColor="text1"/>
        </w:rPr>
        <w:t>)</w:t>
      </w:r>
      <w:r w:rsidR="00B94DC6" w:rsidRPr="00141991">
        <w:rPr>
          <w:color w:val="000000" w:themeColor="text1"/>
        </w:rPr>
        <w:t xml:space="preserve"> </w:t>
      </w:r>
      <w:r w:rsidRPr="0058019A">
        <w:rPr>
          <w:color w:val="000000" w:themeColor="text1"/>
        </w:rPr>
        <w:t xml:space="preserve">further increase the system’s </w:t>
      </w:r>
      <w:r w:rsidR="00B7641B">
        <w:rPr>
          <w:color w:val="000000" w:themeColor="text1"/>
        </w:rPr>
        <w:t xml:space="preserve">reliance on </w:t>
      </w:r>
      <w:r w:rsidR="00141991">
        <w:rPr>
          <w:color w:val="000000" w:themeColor="text1"/>
        </w:rPr>
        <w:t>gas</w:t>
      </w:r>
      <w:r w:rsidR="008C0274">
        <w:rPr>
          <w:color w:val="000000" w:themeColor="text1"/>
        </w:rPr>
        <w:t>-fired</w:t>
      </w:r>
      <w:r w:rsidR="00141991">
        <w:rPr>
          <w:color w:val="000000" w:themeColor="text1"/>
        </w:rPr>
        <w:t xml:space="preserve"> generation and its </w:t>
      </w:r>
      <w:r w:rsidRPr="0058019A">
        <w:rPr>
          <w:color w:val="000000" w:themeColor="text1"/>
        </w:rPr>
        <w:t xml:space="preserve">exposure to potential shortfalls of natural gas for </w:t>
      </w:r>
      <w:r w:rsidR="00B7641B">
        <w:rPr>
          <w:color w:val="000000" w:themeColor="text1"/>
        </w:rPr>
        <w:t xml:space="preserve">fueling this </w:t>
      </w:r>
      <w:r w:rsidRPr="0058019A">
        <w:rPr>
          <w:color w:val="000000" w:themeColor="text1"/>
        </w:rPr>
        <w:t>electric power generation.</w:t>
      </w:r>
      <w:r w:rsidR="00E067E0" w:rsidRPr="009830F6">
        <w:rPr>
          <w:rStyle w:val="FootnoteReference"/>
          <w:color w:val="000000" w:themeColor="text1"/>
        </w:rPr>
        <w:footnoteReference w:id="25"/>
      </w:r>
      <w:r w:rsidR="00B94DC6">
        <w:rPr>
          <w:color w:val="000000" w:themeColor="text1"/>
        </w:rPr>
        <w:t xml:space="preserve"> </w:t>
      </w:r>
      <w:r w:rsidR="00CD7C56">
        <w:t>T</w:t>
      </w:r>
      <w:r w:rsidR="00B94DC6" w:rsidRPr="00A61047">
        <w:t>he retirement of older coal</w:t>
      </w:r>
      <w:r w:rsidR="00B94DC6">
        <w:t xml:space="preserve">, </w:t>
      </w:r>
      <w:r w:rsidR="00B94DC6" w:rsidRPr="00A61047">
        <w:t>oil</w:t>
      </w:r>
      <w:r w:rsidR="00B94DC6">
        <w:t>, and nuclear</w:t>
      </w:r>
      <w:r w:rsidR="00B94DC6" w:rsidRPr="00A61047">
        <w:t xml:space="preserve"> units</w:t>
      </w:r>
      <w:r w:rsidR="00B94DC6">
        <w:t xml:space="preserve"> </w:t>
      </w:r>
      <w:r w:rsidR="00B94DC6" w:rsidRPr="00A61047">
        <w:t xml:space="preserve">and their replacement, in </w:t>
      </w:r>
      <w:proofErr w:type="gramStart"/>
      <w:r w:rsidR="00B94DC6" w:rsidRPr="00A61047">
        <w:t>whole</w:t>
      </w:r>
      <w:proofErr w:type="gramEnd"/>
      <w:r w:rsidR="00B94DC6" w:rsidRPr="00A61047">
        <w:t xml:space="preserve"> or</w:t>
      </w:r>
      <w:r w:rsidR="00B94DC6" w:rsidRPr="0072521A">
        <w:t xml:space="preserve"> in part, with generators </w:t>
      </w:r>
      <w:r w:rsidR="00B94DC6">
        <w:t>that burn natural gas</w:t>
      </w:r>
      <w:r w:rsidR="00CD7C56">
        <w:t xml:space="preserve"> is expected to increase the regional dependence on natural-gas-fired generation to provide electric energy and capacity</w:t>
      </w:r>
      <w:r w:rsidR="00B94DC6" w:rsidRPr="0072521A">
        <w:t>.</w:t>
      </w:r>
      <w:r w:rsidR="00845BE1">
        <w:t xml:space="preserve"> Additionally, f</w:t>
      </w:r>
      <w:r w:rsidR="00845BE1" w:rsidRPr="0058019A">
        <w:t xml:space="preserve">orce majeure </w:t>
      </w:r>
      <w:r w:rsidR="00845BE1" w:rsidRPr="00B7641B">
        <w:t>events (e.g., caused by weather</w:t>
      </w:r>
      <w:r w:rsidR="00845BE1" w:rsidRPr="0058019A">
        <w:t>, equipment failures, fuel embargos, and labor strikes) could interrupt all types of fuel supplies and</w:t>
      </w:r>
      <w:r w:rsidR="00845BE1">
        <w:t xml:space="preserve"> </w:t>
      </w:r>
      <w:r w:rsidR="00845BE1" w:rsidRPr="0058019A">
        <w:t>further complicate the fuel-</w:t>
      </w:r>
      <w:r w:rsidR="00845BE1" w:rsidRPr="00B7641B">
        <w:t xml:space="preserve">certainty issue. </w:t>
      </w:r>
    </w:p>
    <w:p w:rsidR="00D233D4" w:rsidRPr="00E46945" w:rsidRDefault="00662DB0" w:rsidP="00B94DC6">
      <w:pPr>
        <w:pStyle w:val="CommentText"/>
        <w:spacing w:line="260" w:lineRule="atLeast"/>
      </w:pPr>
      <w:r w:rsidRPr="00B7641B">
        <w:t xml:space="preserve">To address the fuel-certainty issue, </w:t>
      </w:r>
      <w:r w:rsidR="00BE2AF9" w:rsidRPr="00B7641B">
        <w:t>g</w:t>
      </w:r>
      <w:r w:rsidR="0058019A" w:rsidRPr="00B7641B">
        <w:t>enerators</w:t>
      </w:r>
      <w:r w:rsidR="0058019A" w:rsidRPr="0058019A">
        <w:t xml:space="preserve"> </w:t>
      </w:r>
      <w:r w:rsidR="0058019A" w:rsidRPr="00B7641B">
        <w:t>and other contracting entities can make firm commitments for procuring natural gas</w:t>
      </w:r>
      <w:r w:rsidR="00845BE1" w:rsidRPr="00B7641B">
        <w:t xml:space="preserve">. </w:t>
      </w:r>
      <w:r w:rsidRPr="00B7641B">
        <w:t xml:space="preserve">This would lead to </w:t>
      </w:r>
      <w:r w:rsidR="00B7641B" w:rsidRPr="00B7641B">
        <w:t xml:space="preserve">the improved use of existing </w:t>
      </w:r>
      <w:r w:rsidRPr="00B7641B">
        <w:t>natural gas infrastructure</w:t>
      </w:r>
      <w:r w:rsidR="00845BE1" w:rsidRPr="00B7641B">
        <w:t xml:space="preserve"> </w:t>
      </w:r>
      <w:r w:rsidR="00B7641B" w:rsidRPr="00B7641B">
        <w:t>a</w:t>
      </w:r>
      <w:r w:rsidR="003103B1">
        <w:t>s well as</w:t>
      </w:r>
      <w:r w:rsidR="00B7641B" w:rsidRPr="00B7641B">
        <w:t xml:space="preserve"> </w:t>
      </w:r>
      <w:r w:rsidR="003103B1">
        <w:t>infrastructure</w:t>
      </w:r>
      <w:r w:rsidR="00B7641B" w:rsidRPr="00B7641B">
        <w:t xml:space="preserve"> </w:t>
      </w:r>
      <w:r w:rsidR="00845BE1" w:rsidRPr="00B7641B">
        <w:t xml:space="preserve">upgrades, </w:t>
      </w:r>
      <w:r w:rsidR="00AB5AE0" w:rsidRPr="00E067E0">
        <w:t xml:space="preserve">such as the addition of </w:t>
      </w:r>
      <w:r w:rsidR="00403CC2" w:rsidRPr="00E067E0">
        <w:t xml:space="preserve">natural gas pipelines and </w:t>
      </w:r>
      <w:r w:rsidR="00AB5AE0" w:rsidRPr="00E067E0">
        <w:t>LNG terminals,</w:t>
      </w:r>
      <w:r w:rsidR="00B94DC6" w:rsidRPr="00E067E0">
        <w:t xml:space="preserve"> </w:t>
      </w:r>
      <w:r w:rsidR="00845BE1">
        <w:t xml:space="preserve">which in turn </w:t>
      </w:r>
      <w:r w:rsidR="00B94DC6" w:rsidRPr="00E067E0">
        <w:t xml:space="preserve">would improve the deliverability of natural </w:t>
      </w:r>
      <w:r w:rsidR="0058019A" w:rsidRPr="0058019A">
        <w:t xml:space="preserve">gas. </w:t>
      </w:r>
      <w:r w:rsidR="00B94DC6" w:rsidRPr="007864B1">
        <w:t xml:space="preserve">Several </w:t>
      </w:r>
      <w:r w:rsidR="00B94DC6" w:rsidRPr="00042901">
        <w:t xml:space="preserve">infrastructure improvements </w:t>
      </w:r>
      <w:proofErr w:type="gramStart"/>
      <w:r w:rsidR="00462F91">
        <w:t>have been proposed</w:t>
      </w:r>
      <w:proofErr w:type="gramEnd"/>
      <w:r w:rsidR="00462F91" w:rsidRPr="00AA31AB">
        <w:t>, and the New England states are considering additional means of funding new pipeline capacity into the region.</w:t>
      </w:r>
      <w:r w:rsidR="00462F91">
        <w:t xml:space="preserve"> </w:t>
      </w:r>
      <w:r w:rsidR="001779A8">
        <w:t xml:space="preserve">Hydroelectric </w:t>
      </w:r>
      <w:r w:rsidR="001779A8" w:rsidRPr="00B7641B">
        <w:t>power</w:t>
      </w:r>
      <w:r w:rsidR="00B94DC6" w:rsidRPr="00B7641B">
        <w:t xml:space="preserve"> </w:t>
      </w:r>
      <w:proofErr w:type="gramStart"/>
      <w:r w:rsidR="00B94DC6" w:rsidRPr="00B7641B">
        <w:t>can be accessed</w:t>
      </w:r>
      <w:proofErr w:type="gramEnd"/>
      <w:r w:rsidR="00B94DC6" w:rsidRPr="00B7641B">
        <w:t xml:space="preserve"> by building transmission interconnections with Canada</w:t>
      </w:r>
      <w:r w:rsidR="00AA31AB" w:rsidRPr="00B7641B">
        <w:t xml:space="preserve">, for which the states also are considering a means of funding. </w:t>
      </w:r>
      <w:r w:rsidR="00D60C53" w:rsidRPr="008B0F45">
        <w:t xml:space="preserve">Proposed </w:t>
      </w:r>
      <w:r w:rsidR="004F44D0" w:rsidRPr="008B0F45">
        <w:t>E</w:t>
      </w:r>
      <w:r w:rsidR="00D60C53" w:rsidRPr="008B0F45">
        <w:t xml:space="preserve">lective </w:t>
      </w:r>
      <w:r w:rsidR="004F44D0" w:rsidRPr="008B0F45">
        <w:t>T</w:t>
      </w:r>
      <w:r w:rsidR="00D60C53" w:rsidRPr="008B0F45">
        <w:t xml:space="preserve">ransmission </w:t>
      </w:r>
      <w:r w:rsidR="004F44D0" w:rsidRPr="008B0F45">
        <w:t>U</w:t>
      </w:r>
      <w:r w:rsidR="00D60C53" w:rsidRPr="008B0F45">
        <w:t xml:space="preserve">pgrades </w:t>
      </w:r>
      <w:r w:rsidR="004F44D0" w:rsidRPr="008B0F45">
        <w:t xml:space="preserve">(ETUs), </w:t>
      </w:r>
      <w:r w:rsidR="00D60C53" w:rsidRPr="008B0F45">
        <w:t>in various stages of development</w:t>
      </w:r>
      <w:r w:rsidR="004F44D0" w:rsidRPr="008B0F45">
        <w:t>,</w:t>
      </w:r>
      <w:r w:rsidR="00D60C53" w:rsidRPr="008B0F45">
        <w:t xml:space="preserve"> could improve</w:t>
      </w:r>
      <w:r w:rsidR="00D60C53" w:rsidRPr="00D60C53">
        <w:t xml:space="preserve"> access to renewable resources in neighboring areas and remote areas of </w:t>
      </w:r>
      <w:r w:rsidR="00A33302">
        <w:t>New England</w:t>
      </w:r>
      <w:r w:rsidR="00D60C53" w:rsidRPr="00D60C53">
        <w:t>.</w:t>
      </w:r>
      <w:r w:rsidR="004F44D0">
        <w:rPr>
          <w:rStyle w:val="FootnoteReference"/>
        </w:rPr>
        <w:footnoteReference w:id="26"/>
      </w:r>
      <w:r w:rsidR="00D60C53" w:rsidRPr="00D60C53">
        <w:t xml:space="preserve"> T</w:t>
      </w:r>
      <w:r w:rsidRPr="00D60C53">
        <w:t xml:space="preserve">he </w:t>
      </w:r>
      <w:r w:rsidR="00D02FAA" w:rsidRPr="00D60C53">
        <w:t>ISO’s Strategic Transmission Analysis</w:t>
      </w:r>
      <w:r w:rsidR="000D6E4B" w:rsidRPr="00D60C53">
        <w:t xml:space="preserve"> and economic stud</w:t>
      </w:r>
      <w:r w:rsidR="00A33302">
        <w:t>y results</w:t>
      </w:r>
      <w:r w:rsidR="00D60C53" w:rsidRPr="00D60C53">
        <w:t xml:space="preserve"> also stated that </w:t>
      </w:r>
      <w:r w:rsidRPr="00D60C53">
        <w:t xml:space="preserve">adding transmission facilities to areas of northern New England could </w:t>
      </w:r>
      <w:r w:rsidR="00BE2AF9" w:rsidRPr="00D60C53">
        <w:t xml:space="preserve">facilitate </w:t>
      </w:r>
      <w:r w:rsidRPr="00D60C53">
        <w:t xml:space="preserve">access </w:t>
      </w:r>
      <w:r w:rsidR="00BE2AF9" w:rsidRPr="00D60C53">
        <w:t xml:space="preserve">to </w:t>
      </w:r>
      <w:r w:rsidRPr="00D60C53">
        <w:t xml:space="preserve">large-scale wind power, if </w:t>
      </w:r>
      <w:proofErr w:type="gramStart"/>
      <w:r w:rsidRPr="00D60C53">
        <w:t>developed</w:t>
      </w:r>
      <w:proofErr w:type="gramEnd"/>
      <w:r w:rsidRPr="00D60C53">
        <w:t xml:space="preserve"> in this</w:t>
      </w:r>
      <w:r w:rsidR="00AA31AB" w:rsidRPr="00D60C53">
        <w:t xml:space="preserve"> </w:t>
      </w:r>
      <w:r w:rsidRPr="00D60C53">
        <w:t>region</w:t>
      </w:r>
      <w:r w:rsidR="006435D9">
        <w:t xml:space="preserve">, and </w:t>
      </w:r>
      <w:r w:rsidR="00A33302">
        <w:t xml:space="preserve">be extended to support imports of </w:t>
      </w:r>
      <w:r w:rsidR="006435D9">
        <w:t>Canadian hydropower</w:t>
      </w:r>
      <w:r w:rsidRPr="00D60C53">
        <w:t>.</w:t>
      </w:r>
      <w:r w:rsidR="00AA31AB" w:rsidRPr="00D60C53">
        <w:rPr>
          <w:rStyle w:val="FootnoteReference"/>
        </w:rPr>
        <w:footnoteReference w:id="27"/>
      </w:r>
    </w:p>
    <w:p w:rsidR="00B94DC6" w:rsidRPr="00B06241" w:rsidRDefault="0058019A" w:rsidP="00B94DC6">
      <w:pPr>
        <w:pStyle w:val="CommentText"/>
        <w:spacing w:line="260" w:lineRule="atLeast"/>
      </w:pPr>
      <w:r w:rsidRPr="003103B1">
        <w:t>Greater</w:t>
      </w:r>
      <w:r w:rsidR="00B94DC6" w:rsidRPr="003103B1">
        <w:t xml:space="preserve"> fuel diversity would </w:t>
      </w:r>
      <w:r w:rsidR="003103B1">
        <w:t xml:space="preserve">also </w:t>
      </w:r>
      <w:r w:rsidR="00B94DC6" w:rsidRPr="003103B1">
        <w:t>improve system reliability</w:t>
      </w:r>
      <w:r w:rsidR="00FF0350" w:rsidRPr="003103B1">
        <w:t xml:space="preserve">. This </w:t>
      </w:r>
      <w:proofErr w:type="gramStart"/>
      <w:r w:rsidR="00FF0350" w:rsidRPr="003103B1">
        <w:t>could be achieved</w:t>
      </w:r>
      <w:proofErr w:type="gramEnd"/>
      <w:r w:rsidR="00FF0350" w:rsidRPr="003103B1">
        <w:t xml:space="preserve"> through </w:t>
      </w:r>
      <w:r w:rsidR="0071049B" w:rsidRPr="003103B1">
        <w:t>the</w:t>
      </w:r>
      <w:r w:rsidR="0071049B" w:rsidRPr="00203B33">
        <w:t xml:space="preserve"> more </w:t>
      </w:r>
      <w:r w:rsidR="008E39F0" w:rsidRPr="00203B33">
        <w:t>effective</w:t>
      </w:r>
      <w:r w:rsidR="00D233D4" w:rsidRPr="00203B33">
        <w:t xml:space="preserve"> </w:t>
      </w:r>
      <w:r w:rsidR="00403CC2" w:rsidRPr="00203B33">
        <w:t>us</w:t>
      </w:r>
      <w:r w:rsidR="0071049B" w:rsidRPr="00203B33">
        <w:t>e</w:t>
      </w:r>
      <w:r w:rsidR="00042901" w:rsidRPr="00203B33">
        <w:t xml:space="preserve"> </w:t>
      </w:r>
      <w:r w:rsidR="0071049B" w:rsidRPr="00203B33">
        <w:t xml:space="preserve">of </w:t>
      </w:r>
      <w:r w:rsidR="00042901" w:rsidRPr="00203B33">
        <w:t>dual-fuel-capability at existing</w:t>
      </w:r>
      <w:r w:rsidR="00D233D4" w:rsidRPr="00203B33">
        <w:t xml:space="preserve"> </w:t>
      </w:r>
      <w:r w:rsidR="00256F00" w:rsidRPr="00203B33">
        <w:t xml:space="preserve">dual-fuel </w:t>
      </w:r>
      <w:r w:rsidR="00D233D4" w:rsidRPr="00203B33">
        <w:t>units</w:t>
      </w:r>
      <w:r w:rsidR="00256F00" w:rsidRPr="00203B33">
        <w:t xml:space="preserve"> and</w:t>
      </w:r>
      <w:r w:rsidR="00FF0350" w:rsidRPr="00203B33">
        <w:t xml:space="preserve"> incentives that encourage </w:t>
      </w:r>
      <w:r w:rsidR="00D233D4" w:rsidRPr="00203B33">
        <w:t xml:space="preserve">the </w:t>
      </w:r>
      <w:r w:rsidR="00FF0350" w:rsidRPr="00203B33">
        <w:t xml:space="preserve">development </w:t>
      </w:r>
      <w:r w:rsidR="0071049B" w:rsidRPr="00203B33">
        <w:t xml:space="preserve">of this </w:t>
      </w:r>
      <w:r w:rsidR="00D233D4" w:rsidRPr="00203B33">
        <w:t xml:space="preserve">capability </w:t>
      </w:r>
      <w:r w:rsidR="00FF0350" w:rsidRPr="00203B33">
        <w:t>at</w:t>
      </w:r>
      <w:r w:rsidR="00601681" w:rsidRPr="00203B33">
        <w:t xml:space="preserve"> </w:t>
      </w:r>
      <w:r w:rsidR="00256F00" w:rsidRPr="00203B33">
        <w:t xml:space="preserve">existing non-dual-fuel units and proposed </w:t>
      </w:r>
      <w:r w:rsidR="000B2A29" w:rsidRPr="00203B33">
        <w:t xml:space="preserve">single-fueled </w:t>
      </w:r>
      <w:r w:rsidR="00B94DC6" w:rsidRPr="00203B33">
        <w:t xml:space="preserve">units. </w:t>
      </w:r>
      <w:r w:rsidR="00E72906" w:rsidRPr="00203B33">
        <w:t>D</w:t>
      </w:r>
      <w:r w:rsidR="00B7641B" w:rsidRPr="00203B33">
        <w:t xml:space="preserve">uring winter </w:t>
      </w:r>
      <w:r w:rsidR="00250210" w:rsidRPr="00203B33">
        <w:t>2013/2014</w:t>
      </w:r>
      <w:r w:rsidR="00E72906" w:rsidRPr="00203B33">
        <w:t xml:space="preserve">, resource performance and fuel-adequacy issues were improved </w:t>
      </w:r>
      <w:r w:rsidR="00E46945" w:rsidRPr="00203B33">
        <w:t xml:space="preserve">through </w:t>
      </w:r>
      <w:r w:rsidR="00B7641B" w:rsidRPr="00203B33">
        <w:t xml:space="preserve">a </w:t>
      </w:r>
      <w:r w:rsidR="00662DB0" w:rsidRPr="00203B33">
        <w:t xml:space="preserve">winter reliability program and better coordination </w:t>
      </w:r>
      <w:r w:rsidR="00B7641B" w:rsidRPr="00203B33">
        <w:t xml:space="preserve">between </w:t>
      </w:r>
      <w:r w:rsidR="00662DB0" w:rsidRPr="00203B33">
        <w:t>electric power and natural gas system operations</w:t>
      </w:r>
      <w:r w:rsidR="006C5780">
        <w:t xml:space="preserve">. </w:t>
      </w:r>
      <w:r w:rsidR="00D837D8" w:rsidRPr="00A34A75">
        <w:t>FERC has approved an ISO program for winter 2014/2015, revised from the 2013/2014 program</w:t>
      </w:r>
      <w:r w:rsidR="006C5780" w:rsidRPr="00A34A75">
        <w:t>.</w:t>
      </w:r>
      <w:r w:rsidR="00BA5E8D" w:rsidRPr="00A34A75">
        <w:rPr>
          <w:rStyle w:val="FootnoteReference"/>
        </w:rPr>
        <w:footnoteReference w:id="28"/>
      </w:r>
    </w:p>
    <w:p w:rsidR="00D02FAA" w:rsidRDefault="00B94DC6" w:rsidP="00B94DC6">
      <w:pPr>
        <w:pStyle w:val="CommentText"/>
        <w:spacing w:line="260" w:lineRule="atLeast"/>
        <w:rPr>
          <w:color w:val="000000" w:themeColor="text1"/>
        </w:rPr>
      </w:pPr>
      <w:r w:rsidRPr="00E24F39">
        <w:t>Environmental and economic incentives provided by governmental policies are encouraging the development of low-emitting, renewable resources, such as wind and solar. These resources could</w:t>
      </w:r>
      <w:r w:rsidRPr="004F2DD9">
        <w:t xml:space="preserve"> </w:t>
      </w:r>
      <w:r w:rsidRPr="00EA2E47">
        <w:t xml:space="preserve">diversify the fuel supply; however, the </w:t>
      </w:r>
      <w:r w:rsidRPr="00EA2E47">
        <w:rPr>
          <w:color w:val="000000" w:themeColor="text1"/>
        </w:rPr>
        <w:t xml:space="preserve">reliable </w:t>
      </w:r>
      <w:r w:rsidRPr="00EA2E47">
        <w:t>large-scale integration of intermittent</w:t>
      </w:r>
      <w:r w:rsidRPr="00DB1553">
        <w:t xml:space="preserve"> resources</w:t>
      </w:r>
      <w:r>
        <w:t xml:space="preserve"> would </w:t>
      </w:r>
      <w:r w:rsidRPr="00E24F39">
        <w:t xml:space="preserve">place increased </w:t>
      </w:r>
      <w:r w:rsidRPr="00E24F39">
        <w:rPr>
          <w:color w:val="000000" w:themeColor="text1"/>
        </w:rPr>
        <w:t>regulation and reserve requirements</w:t>
      </w:r>
      <w:r w:rsidRPr="00E24F39">
        <w:t xml:space="preserve"> on the system, presenting challenges for </w:t>
      </w:r>
      <w:r w:rsidR="00564B58" w:rsidRPr="00E24F39">
        <w:t>operating</w:t>
      </w:r>
      <w:r w:rsidR="00564B58">
        <w:t xml:space="preserve"> and planning the </w:t>
      </w:r>
      <w:r>
        <w:t xml:space="preserve">system. </w:t>
      </w:r>
      <w:r w:rsidR="00256F00">
        <w:t>C</w:t>
      </w:r>
      <w:r>
        <w:t xml:space="preserve">onventional and </w:t>
      </w:r>
      <w:proofErr w:type="gramStart"/>
      <w:r>
        <w:t>pumped-storage</w:t>
      </w:r>
      <w:proofErr w:type="gramEnd"/>
      <w:r>
        <w:t xml:space="preserve"> </w:t>
      </w:r>
      <w:r>
        <w:rPr>
          <w:color w:val="000000" w:themeColor="text1"/>
        </w:rPr>
        <w:t>h</w:t>
      </w:r>
      <w:r w:rsidRPr="0052547E">
        <w:rPr>
          <w:color w:val="000000" w:themeColor="text1"/>
        </w:rPr>
        <w:t xml:space="preserve">ydroelectric </w:t>
      </w:r>
      <w:r w:rsidR="0058019A" w:rsidRPr="0058019A">
        <w:rPr>
          <w:color w:val="000000" w:themeColor="text1"/>
        </w:rPr>
        <w:t>facilities</w:t>
      </w:r>
      <w:r w:rsidR="00256F00" w:rsidRPr="00564B58">
        <w:rPr>
          <w:color w:val="000000" w:themeColor="text1"/>
        </w:rPr>
        <w:t xml:space="preserve"> </w:t>
      </w:r>
      <w:r w:rsidRPr="00564B58">
        <w:rPr>
          <w:color w:val="000000" w:themeColor="text1"/>
        </w:rPr>
        <w:t>have traditionally been well suited to provide regulation and reserves, but they may lose</w:t>
      </w:r>
      <w:r w:rsidRPr="0052547E">
        <w:rPr>
          <w:color w:val="000000" w:themeColor="text1"/>
        </w:rPr>
        <w:t xml:space="preserve"> some of their </w:t>
      </w:r>
      <w:r>
        <w:rPr>
          <w:color w:val="000000" w:themeColor="text1"/>
        </w:rPr>
        <w:t xml:space="preserve">operating </w:t>
      </w:r>
      <w:r w:rsidRPr="0052547E">
        <w:rPr>
          <w:color w:val="000000" w:themeColor="text1"/>
        </w:rPr>
        <w:t>flexib</w:t>
      </w:r>
      <w:r>
        <w:rPr>
          <w:color w:val="000000" w:themeColor="text1"/>
        </w:rPr>
        <w:t>ility</w:t>
      </w:r>
      <w:r w:rsidRPr="0052547E">
        <w:rPr>
          <w:color w:val="000000" w:themeColor="text1"/>
        </w:rPr>
        <w:t xml:space="preserve"> as part of their relicensing requirements</w:t>
      </w:r>
      <w:r w:rsidR="00462F91" w:rsidRPr="00E24F39">
        <w:rPr>
          <w:color w:val="000000" w:themeColor="text1"/>
        </w:rPr>
        <w:t xml:space="preserve">. </w:t>
      </w:r>
      <w:r w:rsidR="0058019A" w:rsidRPr="00E24F39">
        <w:rPr>
          <w:color w:val="000000" w:themeColor="text1"/>
        </w:rPr>
        <w:t>Natural gas units</w:t>
      </w:r>
      <w:r w:rsidR="00D02FAA" w:rsidRPr="00E24F39">
        <w:rPr>
          <w:color w:val="000000" w:themeColor="text1"/>
        </w:rPr>
        <w:t>, which</w:t>
      </w:r>
      <w:r w:rsidR="0058019A" w:rsidRPr="00E24F39">
        <w:rPr>
          <w:color w:val="000000" w:themeColor="text1"/>
        </w:rPr>
        <w:t xml:space="preserve"> are subject to gas nomination and physical constraints, and </w:t>
      </w:r>
      <w:proofErr w:type="spellStart"/>
      <w:r w:rsidR="0058019A" w:rsidRPr="00E24F39">
        <w:rPr>
          <w:color w:val="000000" w:themeColor="text1"/>
        </w:rPr>
        <w:t>baseload</w:t>
      </w:r>
      <w:proofErr w:type="spellEnd"/>
      <w:r w:rsidR="0058019A" w:rsidRPr="00E24F39">
        <w:rPr>
          <w:color w:val="000000" w:themeColor="text1"/>
        </w:rPr>
        <w:t xml:space="preserve"> units, particularly nuclear units, </w:t>
      </w:r>
      <w:r w:rsidR="00D02FAA" w:rsidRPr="00E24F39">
        <w:rPr>
          <w:color w:val="000000" w:themeColor="text1"/>
        </w:rPr>
        <w:t xml:space="preserve">which </w:t>
      </w:r>
      <w:proofErr w:type="gramStart"/>
      <w:r w:rsidR="0058019A" w:rsidRPr="00E24F39">
        <w:rPr>
          <w:color w:val="000000" w:themeColor="text1"/>
        </w:rPr>
        <w:t>are normally dispatched</w:t>
      </w:r>
      <w:proofErr w:type="gramEnd"/>
      <w:r w:rsidR="0058019A" w:rsidRPr="00E24F39">
        <w:rPr>
          <w:color w:val="000000" w:themeColor="text1"/>
        </w:rPr>
        <w:t xml:space="preserve"> to their maximum output</w:t>
      </w:r>
      <w:r w:rsidR="00D02FAA" w:rsidRPr="00E24F39">
        <w:rPr>
          <w:color w:val="000000" w:themeColor="text1"/>
        </w:rPr>
        <w:t>, also are unsuitable for helping meet regulation and reserve requirements</w:t>
      </w:r>
      <w:r w:rsidR="0058019A" w:rsidRPr="00E24F39">
        <w:rPr>
          <w:color w:val="000000" w:themeColor="text1"/>
        </w:rPr>
        <w:t>.</w:t>
      </w:r>
      <w:r w:rsidR="0058019A" w:rsidRPr="0058019A">
        <w:rPr>
          <w:color w:val="000000" w:themeColor="text1"/>
        </w:rPr>
        <w:t xml:space="preserve"> </w:t>
      </w:r>
      <w:r w:rsidR="00D02FAA" w:rsidRPr="002446CF">
        <w:t>Increasing the availability of operating reserves, enhancing market incentives, and procuring sufficient</w:t>
      </w:r>
      <w:r w:rsidR="00D02FAA" w:rsidRPr="00D57DFB">
        <w:t xml:space="preserve"> </w:t>
      </w:r>
      <w:r w:rsidR="00D02FAA" w:rsidRPr="00E24F39">
        <w:t>resources to meet the region’s ramping and regulation needs all would improve system flexibility, and</w:t>
      </w:r>
      <w:r w:rsidR="00D02FAA" w:rsidRPr="00B06241">
        <w:t xml:space="preserve"> several recent and planned market improvements </w:t>
      </w:r>
      <w:proofErr w:type="gramStart"/>
      <w:r w:rsidR="00D02FAA" w:rsidRPr="00B06241">
        <w:t>are aimed</w:t>
      </w:r>
      <w:proofErr w:type="gramEnd"/>
      <w:r w:rsidR="00D02FAA" w:rsidRPr="00B06241">
        <w:t xml:space="preserve"> at addressing these issues. </w:t>
      </w:r>
    </w:p>
    <w:p w:rsidR="00B94DC6" w:rsidRDefault="0058019A" w:rsidP="00B94DC6">
      <w:pPr>
        <w:pStyle w:val="CommentText"/>
        <w:spacing w:line="260" w:lineRule="atLeast"/>
      </w:pPr>
      <w:r w:rsidRPr="006435D9">
        <w:t>Although</w:t>
      </w:r>
      <w:r w:rsidR="00462F91" w:rsidRPr="006435D9">
        <w:t xml:space="preserve"> most photovoltaic resources do not require transmission expansion, for these resources to </w:t>
      </w:r>
      <w:proofErr w:type="gramStart"/>
      <w:r w:rsidRPr="006435D9">
        <w:t>be integrated</w:t>
      </w:r>
      <w:proofErr w:type="gramEnd"/>
      <w:r w:rsidRPr="006435D9">
        <w:t xml:space="preserve"> into the system while maintaining </w:t>
      </w:r>
      <w:r w:rsidR="00462F91" w:rsidRPr="006435D9">
        <w:t xml:space="preserve">system reliability, their interconnection </w:t>
      </w:r>
      <w:r w:rsidR="00577B19" w:rsidRPr="006435D9">
        <w:t>requirements</w:t>
      </w:r>
      <w:r w:rsidR="00462F91" w:rsidRPr="006435D9">
        <w:t xml:space="preserve"> </w:t>
      </w:r>
      <w:r w:rsidRPr="006435D9">
        <w:t>must be revised</w:t>
      </w:r>
      <w:r w:rsidR="00462F91" w:rsidRPr="006435D9">
        <w:t xml:space="preserve"> and their operational forecast tools improved. </w:t>
      </w:r>
      <w:r w:rsidR="0078485A" w:rsidRPr="006435D9">
        <w:t>O</w:t>
      </w:r>
      <w:r w:rsidR="00462F91" w:rsidRPr="006435D9">
        <w:t xml:space="preserve">perating procedures </w:t>
      </w:r>
      <w:r w:rsidRPr="006435D9">
        <w:t xml:space="preserve">may need to </w:t>
      </w:r>
      <w:proofErr w:type="gramStart"/>
      <w:r w:rsidRPr="006435D9">
        <w:t>be revised</w:t>
      </w:r>
      <w:proofErr w:type="gramEnd"/>
      <w:r w:rsidR="0078485A" w:rsidRPr="006435D9">
        <w:t>,</w:t>
      </w:r>
      <w:r w:rsidR="00CF2FA9" w:rsidRPr="006435D9">
        <w:t xml:space="preserve"> </w:t>
      </w:r>
      <w:r w:rsidR="0078485A" w:rsidRPr="006435D9">
        <w:t>as well, to</w:t>
      </w:r>
      <w:r w:rsidRPr="006435D9">
        <w:t xml:space="preserve"> </w:t>
      </w:r>
      <w:r w:rsidR="00462F91" w:rsidRPr="006435D9">
        <w:t>address unique operating requirements associated with a larger composition of intermittent</w:t>
      </w:r>
      <w:r w:rsidR="00462F91">
        <w:t xml:space="preserve"> resources in the capacity mix.</w:t>
      </w:r>
      <w:r w:rsidR="00D02FAA">
        <w:t xml:space="preserve"> </w:t>
      </w:r>
      <w:r w:rsidR="00B94DC6" w:rsidRPr="00E24F39">
        <w:t>In addition, smart grid technologies presently being developed and implemented should improve the electric power system’s performance</w:t>
      </w:r>
      <w:r w:rsidR="009466DA">
        <w:t xml:space="preserve"> </w:t>
      </w:r>
      <w:r w:rsidR="00B94DC6" w:rsidRPr="00E24F39">
        <w:t>and operating flexibility.</w:t>
      </w:r>
      <w:r w:rsidR="00B94DC6" w:rsidRPr="00DE716F">
        <w:t xml:space="preserve"> </w:t>
      </w:r>
    </w:p>
    <w:p w:rsidR="00B94DC6" w:rsidRDefault="00B94DC6" w:rsidP="00B94DC6">
      <w:pPr>
        <w:autoSpaceDE w:val="0"/>
        <w:autoSpaceDN w:val="0"/>
        <w:adjustRightInd w:val="0"/>
      </w:pPr>
      <w:r w:rsidRPr="007C7F18">
        <w:rPr>
          <w:color w:val="000000"/>
        </w:rPr>
        <w:t>T</w:t>
      </w:r>
      <w:r w:rsidRPr="007C7F18">
        <w:t xml:space="preserve">ransmission projects </w:t>
      </w:r>
      <w:proofErr w:type="gramStart"/>
      <w:r>
        <w:t>have been placed</w:t>
      </w:r>
      <w:proofErr w:type="gramEnd"/>
      <w:r>
        <w:t xml:space="preserve"> in service throughout the region, and others are </w:t>
      </w:r>
      <w:r w:rsidRPr="007C7F18">
        <w:t xml:space="preserve">in various stages of development, </w:t>
      </w:r>
      <w:r>
        <w:t xml:space="preserve">including </w:t>
      </w:r>
      <w:proofErr w:type="spellStart"/>
      <w:r w:rsidRPr="007C7F18">
        <w:t>siting</w:t>
      </w:r>
      <w:proofErr w:type="spellEnd"/>
      <w:r w:rsidRPr="007C7F18">
        <w:t xml:space="preserve">. </w:t>
      </w:r>
      <w:r>
        <w:t>T</w:t>
      </w:r>
      <w:r w:rsidRPr="007C7F18">
        <w:t xml:space="preserve">he required timing and components of certain projects </w:t>
      </w:r>
      <w:proofErr w:type="gramStart"/>
      <w:r w:rsidRPr="007C7F18">
        <w:t>are</w:t>
      </w:r>
      <w:r w:rsidR="000B4D64">
        <w:t xml:space="preserve"> </w:t>
      </w:r>
      <w:r w:rsidRPr="002446CF">
        <w:t>being modified</w:t>
      </w:r>
      <w:proofErr w:type="gramEnd"/>
      <w:r w:rsidRPr="002446CF">
        <w:t>, however, because of the reduction in net loads</w:t>
      </w:r>
      <w:r w:rsidR="00113C54" w:rsidRPr="002446CF">
        <w:t>, the</w:t>
      </w:r>
      <w:r w:rsidR="00113C54" w:rsidRPr="00113C54">
        <w:t xml:space="preserve"> retirement of generating resources, and the addition of new market resources</w:t>
      </w:r>
      <w:r w:rsidRPr="00D87156">
        <w:t>.</w:t>
      </w:r>
      <w:r w:rsidRPr="002D0B67">
        <w:t xml:space="preserve"> In general, the development of resources in load pockets relieves transmission system constraints. </w:t>
      </w:r>
      <w:proofErr w:type="gramStart"/>
      <w:r>
        <w:t>But</w:t>
      </w:r>
      <w:proofErr w:type="gramEnd"/>
      <w:r>
        <w:t xml:space="preserve"> </w:t>
      </w:r>
      <w:r w:rsidRPr="002D0B67">
        <w:rPr>
          <w:rFonts w:asciiTheme="majorHAnsi" w:hAnsiTheme="majorHAnsi"/>
        </w:rPr>
        <w:t>when resources fail to develop in the required amounts and in the needed locations, proper</w:t>
      </w:r>
      <w:r>
        <w:rPr>
          <w:rFonts w:asciiTheme="majorHAnsi" w:hAnsiTheme="majorHAnsi"/>
        </w:rPr>
        <w:t>ly</w:t>
      </w:r>
      <w:r w:rsidRPr="002D0B67">
        <w:rPr>
          <w:rFonts w:asciiTheme="majorHAnsi" w:hAnsiTheme="majorHAnsi"/>
        </w:rPr>
        <w:t xml:space="preserve"> tim</w:t>
      </w:r>
      <w:r>
        <w:rPr>
          <w:rFonts w:asciiTheme="majorHAnsi" w:hAnsiTheme="majorHAnsi"/>
        </w:rPr>
        <w:t>ed</w:t>
      </w:r>
      <w:r w:rsidRPr="002D0B67">
        <w:rPr>
          <w:rFonts w:asciiTheme="majorHAnsi" w:hAnsiTheme="majorHAnsi"/>
        </w:rPr>
        <w:t xml:space="preserve"> transmission projects </w:t>
      </w:r>
      <w:r w:rsidR="00D87156">
        <w:rPr>
          <w:rFonts w:asciiTheme="majorHAnsi" w:hAnsiTheme="majorHAnsi"/>
        </w:rPr>
        <w:t xml:space="preserve">that provide access to more remote resources </w:t>
      </w:r>
      <w:r>
        <w:rPr>
          <w:rFonts w:asciiTheme="majorHAnsi" w:hAnsiTheme="majorHAnsi"/>
        </w:rPr>
        <w:t>are</w:t>
      </w:r>
      <w:r w:rsidRPr="002D0B67">
        <w:rPr>
          <w:rFonts w:asciiTheme="majorHAnsi" w:hAnsiTheme="majorHAnsi"/>
        </w:rPr>
        <w:t xml:space="preserve"> critical </w:t>
      </w:r>
      <w:r>
        <w:rPr>
          <w:rFonts w:asciiTheme="majorHAnsi" w:hAnsiTheme="majorHAnsi"/>
        </w:rPr>
        <w:t>for</w:t>
      </w:r>
      <w:r w:rsidRPr="002D0B67">
        <w:rPr>
          <w:rFonts w:asciiTheme="majorHAnsi" w:hAnsiTheme="majorHAnsi"/>
        </w:rPr>
        <w:t xml:space="preserve"> meet</w:t>
      </w:r>
      <w:r>
        <w:rPr>
          <w:rFonts w:asciiTheme="majorHAnsi" w:hAnsiTheme="majorHAnsi"/>
        </w:rPr>
        <w:t>ing</w:t>
      </w:r>
      <w:r w:rsidRPr="002D0B67">
        <w:rPr>
          <w:rFonts w:asciiTheme="majorHAnsi" w:hAnsiTheme="majorHAnsi"/>
        </w:rPr>
        <w:t xml:space="preserve"> regional reliability requirements and mitigat</w:t>
      </w:r>
      <w:r>
        <w:rPr>
          <w:rFonts w:asciiTheme="majorHAnsi" w:hAnsiTheme="majorHAnsi"/>
        </w:rPr>
        <w:t>ing</w:t>
      </w:r>
      <w:r w:rsidRPr="002D0B67">
        <w:rPr>
          <w:rFonts w:asciiTheme="majorHAnsi" w:hAnsiTheme="majorHAnsi"/>
        </w:rPr>
        <w:t xml:space="preserve"> </w:t>
      </w:r>
      <w:r>
        <w:rPr>
          <w:rFonts w:asciiTheme="majorHAnsi" w:hAnsiTheme="majorHAnsi"/>
        </w:rPr>
        <w:t xml:space="preserve">the </w:t>
      </w:r>
      <w:r w:rsidRPr="002D0B67">
        <w:rPr>
          <w:rFonts w:asciiTheme="majorHAnsi" w:hAnsiTheme="majorHAnsi"/>
        </w:rPr>
        <w:t>risks associated with resource deficiencies.</w:t>
      </w:r>
    </w:p>
    <w:p w:rsidR="00B94DC6" w:rsidRDefault="00B94DC6" w:rsidP="00B94DC6">
      <w:pPr>
        <w:rPr>
          <w:rFonts w:asciiTheme="majorHAnsi" w:hAnsiTheme="majorHAnsi"/>
        </w:rPr>
      </w:pPr>
      <w:r w:rsidRPr="0011326F">
        <w:t xml:space="preserve">The ISO </w:t>
      </w:r>
      <w:r w:rsidRPr="00C150E5">
        <w:t xml:space="preserve">has coordinated </w:t>
      </w:r>
      <w:r>
        <w:t xml:space="preserve">interregional </w:t>
      </w:r>
      <w:r w:rsidRPr="00C150E5">
        <w:t xml:space="preserve">planning activities with the </w:t>
      </w:r>
      <w:r>
        <w:t xml:space="preserve">New York Independent System </w:t>
      </w:r>
      <w:r w:rsidRPr="003643E3">
        <w:t>Operator (NYISO), PJM</w:t>
      </w:r>
      <w:r>
        <w:t xml:space="preserve"> Interconnection</w:t>
      </w:r>
      <w:r w:rsidRPr="003643E3">
        <w:t xml:space="preserve">, </w:t>
      </w:r>
      <w:r>
        <w:t xml:space="preserve">neighboring Canadian provinces, </w:t>
      </w:r>
      <w:r w:rsidRPr="003643E3">
        <w:t>and</w:t>
      </w:r>
      <w:r w:rsidRPr="00C150E5">
        <w:t xml:space="preserve"> </w:t>
      </w:r>
      <w:r>
        <w:t>multi</w:t>
      </w:r>
      <w:r w:rsidRPr="00C150E5">
        <w:t>regional organizations,</w:t>
      </w:r>
      <w:r w:rsidRPr="0011326F">
        <w:t xml:space="preserve"> </w:t>
      </w:r>
      <w:r w:rsidRPr="004471E9">
        <w:t xml:space="preserve">such as </w:t>
      </w:r>
      <w:r w:rsidRPr="009F1EF3">
        <w:t>NPCC and NERC, and</w:t>
      </w:r>
      <w:r w:rsidRPr="005949FD">
        <w:t xml:space="preserve"> has actively participated in </w:t>
      </w:r>
      <w:r w:rsidRPr="00A02FBD">
        <w:t xml:space="preserve">the Eastern Interconnection Planning </w:t>
      </w:r>
      <w:r w:rsidRPr="00CB5807">
        <w:t>Collaborative (EIPC).</w:t>
      </w:r>
      <w:r w:rsidRPr="00CB5807">
        <w:rPr>
          <w:rStyle w:val="FootnoteReference"/>
        </w:rPr>
        <w:footnoteReference w:id="29"/>
      </w:r>
      <w:r w:rsidRPr="00CB5807">
        <w:t xml:space="preserve"> The ISO has filed with FERC proposed measures </w:t>
      </w:r>
      <w:r>
        <w:t xml:space="preserve">required </w:t>
      </w:r>
      <w:r w:rsidRPr="00CB5807">
        <w:t>for compliance with Order</w:t>
      </w:r>
      <w:r>
        <w:t> </w:t>
      </w:r>
      <w:r w:rsidR="005364C3">
        <w:t xml:space="preserve">No. </w:t>
      </w:r>
      <w:r w:rsidRPr="00CB5807">
        <w:t xml:space="preserve">1000 </w:t>
      </w:r>
      <w:r>
        <w:t xml:space="preserve">that will change </w:t>
      </w:r>
      <w:r w:rsidRPr="00CB5807">
        <w:t>interregional planning and interregional transmission cost allocation.</w:t>
      </w:r>
      <w:r w:rsidRPr="00CB5807">
        <w:rPr>
          <w:rStyle w:val="FootnoteReference"/>
        </w:rPr>
        <w:footnoteReference w:id="30"/>
      </w:r>
    </w:p>
    <w:p w:rsidR="00B94DC6" w:rsidRDefault="00B94DC6" w:rsidP="005E14EF">
      <w:pPr>
        <w:pStyle w:val="Heading2"/>
      </w:pPr>
      <w:bookmarkStart w:id="49" w:name="_Toc390070634"/>
      <w:bookmarkStart w:id="50" w:name="_Toc396807591"/>
      <w:r w:rsidRPr="00315544">
        <w:t xml:space="preserve">Major </w:t>
      </w:r>
      <w:r w:rsidRPr="00DF39BB">
        <w:t>Findings</w:t>
      </w:r>
      <w:r w:rsidRPr="00315544">
        <w:t xml:space="preserve"> and Observations</w:t>
      </w:r>
      <w:bookmarkEnd w:id="49"/>
      <w:bookmarkEnd w:id="50"/>
    </w:p>
    <w:p w:rsidR="00B94DC6" w:rsidRDefault="00B94DC6" w:rsidP="00B94DC6">
      <w:r>
        <w:t xml:space="preserve">This section highlights the </w:t>
      </w:r>
      <w:r w:rsidRPr="008C3655">
        <w:t xml:space="preserve">major findings and observations </w:t>
      </w:r>
      <w:r>
        <w:t xml:space="preserve">of the </w:t>
      </w:r>
      <w:r w:rsidRPr="002F763F">
        <w:t>RSP</w:t>
      </w:r>
      <w:r>
        <w:t>14</w:t>
      </w:r>
      <w:r w:rsidRPr="002F763F">
        <w:t xml:space="preserve"> load forecast</w:t>
      </w:r>
      <w:r>
        <w:t>, energy-efficiency forecast,</w:t>
      </w:r>
      <w:r w:rsidRPr="00D4331C">
        <w:t xml:space="preserve"> </w:t>
      </w:r>
      <w:r w:rsidR="00D60C53">
        <w:t xml:space="preserve">and </w:t>
      </w:r>
      <w:r>
        <w:t xml:space="preserve">photovoltaic forecast; </w:t>
      </w:r>
      <w:r w:rsidRPr="00D4331C">
        <w:t xml:space="preserve">supply and demand resource and transmission </w:t>
      </w:r>
      <w:r w:rsidRPr="009947E3">
        <w:t>planning studies</w:t>
      </w:r>
      <w:r>
        <w:t>;</w:t>
      </w:r>
      <w:r w:rsidRPr="009947E3">
        <w:t xml:space="preserve"> market</w:t>
      </w:r>
      <w:r w:rsidRPr="00D4331C">
        <w:t xml:space="preserve"> outcomes</w:t>
      </w:r>
      <w:r>
        <w:t>;</w:t>
      </w:r>
      <w:r w:rsidRPr="00D4331C">
        <w:t xml:space="preserve"> </w:t>
      </w:r>
      <w:r>
        <w:t xml:space="preserve">and </w:t>
      </w:r>
      <w:r w:rsidRPr="00D4331C">
        <w:t xml:space="preserve">economic </w:t>
      </w:r>
      <w:r w:rsidRPr="00821DBE">
        <w:t>studies</w:t>
      </w:r>
      <w:r>
        <w:t>. O</w:t>
      </w:r>
      <w:r w:rsidRPr="00821DBE">
        <w:t xml:space="preserve">ther </w:t>
      </w:r>
      <w:r w:rsidRPr="009947E3">
        <w:t>projects,</w:t>
      </w:r>
      <w:r w:rsidRPr="00821DBE">
        <w:t xml:space="preserve"> </w:t>
      </w:r>
      <w:r>
        <w:t xml:space="preserve">studies, </w:t>
      </w:r>
      <w:r w:rsidRPr="00821DBE">
        <w:t xml:space="preserve">and initiatives </w:t>
      </w:r>
      <w:r>
        <w:t xml:space="preserve">affecting </w:t>
      </w:r>
      <w:r w:rsidRPr="00821DBE">
        <w:t>the system planning process</w:t>
      </w:r>
      <w:r>
        <w:t xml:space="preserve"> </w:t>
      </w:r>
      <w:proofErr w:type="gramStart"/>
      <w:r>
        <w:t>are summarized</w:t>
      </w:r>
      <w:proofErr w:type="gramEnd"/>
      <w:r w:rsidRPr="00821DBE">
        <w:t xml:space="preserve">. The sections of the report that contain more details of these findings and observations </w:t>
      </w:r>
      <w:proofErr w:type="gramStart"/>
      <w:r w:rsidRPr="00821DBE">
        <w:t>are indicated</w:t>
      </w:r>
      <w:proofErr w:type="gramEnd"/>
      <w:r w:rsidRPr="00821DBE">
        <w:t>.</w:t>
      </w:r>
      <w:r>
        <w:t xml:space="preserve"> </w:t>
      </w:r>
    </w:p>
    <w:p w:rsidR="00B94DC6" w:rsidRPr="00F65CD9" w:rsidRDefault="00B94DC6" w:rsidP="00B94DC6">
      <w:r>
        <w:t xml:space="preserve">For all </w:t>
      </w:r>
      <w:r w:rsidRPr="00FE609F">
        <w:t>RSP1</w:t>
      </w:r>
      <w:r>
        <w:t>4</w:t>
      </w:r>
      <w:r w:rsidRPr="00FE609F">
        <w:t xml:space="preserve"> analyses</w:t>
      </w:r>
      <w:r>
        <w:t>, the ISO</w:t>
      </w:r>
      <w:r w:rsidRPr="00FE609F">
        <w:t xml:space="preserve"> </w:t>
      </w:r>
      <w:r>
        <w:t>used</w:t>
      </w:r>
      <w:r w:rsidRPr="00FE609F">
        <w:t xml:space="preserve"> a number of assumptions</w:t>
      </w:r>
      <w:r>
        <w:t xml:space="preserve">, which </w:t>
      </w:r>
      <w:r w:rsidRPr="00FE609F">
        <w:t>are subject to uncertainty over the course of the planning period.</w:t>
      </w:r>
      <w:r>
        <w:t xml:space="preserve"> </w:t>
      </w:r>
      <w:r w:rsidR="00A33302">
        <w:t xml:space="preserve">Changes in </w:t>
      </w:r>
      <w:r>
        <w:t xml:space="preserve">these assumptions may </w:t>
      </w:r>
      <w:r w:rsidR="00A33302">
        <w:t>vary RSP14</w:t>
      </w:r>
      <w:r w:rsidR="00EF4218">
        <w:t xml:space="preserve"> </w:t>
      </w:r>
      <w:r>
        <w:t xml:space="preserve">results and conclusions </w:t>
      </w:r>
      <w:r w:rsidR="00EF4218">
        <w:t xml:space="preserve">of the analyses </w:t>
      </w:r>
      <w:r>
        <w:t xml:space="preserve">and </w:t>
      </w:r>
      <w:r w:rsidRPr="008E31F2">
        <w:t>ultimately</w:t>
      </w:r>
      <w:r>
        <w:t xml:space="preserve"> </w:t>
      </w:r>
      <w:r w:rsidR="00842166">
        <w:t xml:space="preserve">can </w:t>
      </w:r>
      <w:r w:rsidRPr="008E31F2">
        <w:t>influence the future development of transmission</w:t>
      </w:r>
      <w:r>
        <w:t xml:space="preserve"> and </w:t>
      </w:r>
      <w:r w:rsidRPr="008E31F2">
        <w:t xml:space="preserve">generation </w:t>
      </w:r>
      <w:r w:rsidRPr="004B12A2">
        <w:t xml:space="preserve">and demand resources: </w:t>
      </w:r>
    </w:p>
    <w:p w:rsidR="00B94DC6" w:rsidRDefault="00B94DC6" w:rsidP="00B94DC6">
      <w:pPr>
        <w:pStyle w:val="Bullet-Solid"/>
      </w:pPr>
      <w:r w:rsidRPr="00A73FE0">
        <w:t xml:space="preserve">Fuel </w:t>
      </w:r>
      <w:r>
        <w:t>availability and fuel-</w:t>
      </w:r>
      <w:r w:rsidRPr="00A73FE0">
        <w:t>price forecasts</w:t>
      </w:r>
      <w:r>
        <w:t>, which change with world markets and infrastructure development</w:t>
      </w:r>
    </w:p>
    <w:p w:rsidR="00B94DC6" w:rsidRDefault="00B94DC6" w:rsidP="00B94DC6">
      <w:pPr>
        <w:pStyle w:val="Bullet-Solid"/>
      </w:pPr>
      <w:r w:rsidRPr="004B12A2">
        <w:t>Demand and energy-efficiency forecasts, which are dependent on the economy, new building and federal appliance</w:t>
      </w:r>
      <w:r>
        <w:t>-</w:t>
      </w:r>
      <w:r w:rsidRPr="004B12A2">
        <w:t>efficiency standards, state EE goals and pro</w:t>
      </w:r>
      <w:r>
        <w:t>gram</w:t>
      </w:r>
      <w:r w:rsidRPr="004B12A2">
        <w:t xml:space="preserve"> implementation, and other considerations</w:t>
      </w:r>
    </w:p>
    <w:p w:rsidR="00B94DC6" w:rsidRDefault="00B94DC6" w:rsidP="00B94DC6">
      <w:pPr>
        <w:pStyle w:val="Bullet-Solid"/>
      </w:pPr>
      <w:r w:rsidRPr="00A73FE0">
        <w:t>Resource availability</w:t>
      </w:r>
      <w:r>
        <w:t>,</w:t>
      </w:r>
      <w:r w:rsidRPr="00B605DB">
        <w:t xml:space="preserve"> </w:t>
      </w:r>
      <w:r>
        <w:t>which is dependent on physical and economic parameters that affect the performance, development, and retirement of resources</w:t>
      </w:r>
    </w:p>
    <w:p w:rsidR="00B94DC6" w:rsidRPr="007F21BB" w:rsidRDefault="00B94DC6" w:rsidP="00B94DC6">
      <w:pPr>
        <w:pStyle w:val="Bullet-Solid"/>
      </w:pPr>
      <w:r w:rsidRPr="004A525F">
        <w:t xml:space="preserve">Environmental regulations and compliance strategies, which can vary with changes in public </w:t>
      </w:r>
      <w:r w:rsidRPr="007F21BB">
        <w:t xml:space="preserve">policies, economic parameters, and technology development </w:t>
      </w:r>
    </w:p>
    <w:p w:rsidR="00B94DC6" w:rsidRDefault="00B94DC6" w:rsidP="00B94DC6">
      <w:pPr>
        <w:pStyle w:val="Bullet-Solid"/>
      </w:pPr>
      <w:r w:rsidRPr="007F21BB">
        <w:t>The deployment of new technologies, which may</w:t>
      </w:r>
      <w:r>
        <w:t xml:space="preserve"> affect </w:t>
      </w:r>
      <w:r w:rsidRPr="007F21BB">
        <w:t>the physical ability and the economic</w:t>
      </w:r>
      <w:r>
        <w:t xml:space="preserve"> viability of new and existing resources and the efficiency of operating the power system</w:t>
      </w:r>
    </w:p>
    <w:p w:rsidR="00B94DC6" w:rsidRDefault="00B94DC6" w:rsidP="00B94DC6">
      <w:pPr>
        <w:pStyle w:val="Bullet-Solid"/>
      </w:pPr>
      <w:r w:rsidRPr="00A73FE0">
        <w:t xml:space="preserve">Market rules </w:t>
      </w:r>
      <w:r w:rsidRPr="004A525F">
        <w:t>and public policies, which can alter the development of market resources</w:t>
      </w:r>
      <w:r>
        <w:t xml:space="preserve"> and renewable resources</w:t>
      </w:r>
    </w:p>
    <w:p w:rsidR="00B94DC6" w:rsidRDefault="00B94DC6" w:rsidP="00B94DC6">
      <w:pPr>
        <w:pStyle w:val="Bullet-Solid"/>
        <w:spacing w:after="240"/>
      </w:pPr>
      <w:r>
        <w:t xml:space="preserve">Timing of planned system improvements, which can be subject to </w:t>
      </w:r>
      <w:proofErr w:type="spellStart"/>
      <w:r>
        <w:t>siting</w:t>
      </w:r>
      <w:proofErr w:type="spellEnd"/>
      <w:r>
        <w:t xml:space="preserve"> and construction delays, and other changes to</w:t>
      </w:r>
      <w:r w:rsidRPr="004A525F">
        <w:t xml:space="preserve"> the system</w:t>
      </w:r>
      <w:r>
        <w:t xml:space="preserve"> </w:t>
      </w:r>
    </w:p>
    <w:p w:rsidR="00B94DC6" w:rsidRDefault="00B94DC6" w:rsidP="00B94DC6">
      <w:r w:rsidRPr="00737289">
        <w:t>The ISO considers these factors for developing a comprehensive and flexible plan. While each RSP is a snapshot in time, the ISO updates the results of planning activities as needed, accounting for the status of ongoing projects, studies, and new initiatives.</w:t>
      </w:r>
    </w:p>
    <w:p w:rsidR="00B94DC6" w:rsidRPr="00A66EC1" w:rsidRDefault="00B94DC6" w:rsidP="00B94DC6">
      <w:pPr>
        <w:pStyle w:val="Heading3"/>
      </w:pPr>
      <w:bookmarkStart w:id="51" w:name="_Toc390070635"/>
      <w:bookmarkStart w:id="52" w:name="_Toc396807592"/>
      <w:r w:rsidRPr="00B06B3E">
        <w:t>Forecasts of Peak Demand</w:t>
      </w:r>
      <w:r>
        <w:t>,</w:t>
      </w:r>
      <w:r w:rsidRPr="00B06B3E">
        <w:t xml:space="preserve"> Annual Use of Electric Energy</w:t>
      </w:r>
      <w:r>
        <w:t xml:space="preserve">, </w:t>
      </w:r>
      <w:r w:rsidRPr="00B06B3E">
        <w:t>Effects of Energy-Efficiency Measures</w:t>
      </w:r>
      <w:r>
        <w:t>, and Distributed Generation</w:t>
      </w:r>
      <w:bookmarkEnd w:id="51"/>
      <w:bookmarkEnd w:id="52"/>
    </w:p>
    <w:p w:rsidR="00B94DC6" w:rsidRDefault="00B94DC6" w:rsidP="00B94DC6">
      <w:r w:rsidRPr="000C5476">
        <w:t>RSP14 includes forecasts of annual and peak energy use, as well as the peak load reductions and annual energy savings from energy efficiency. The amount and location of the net</w:t>
      </w:r>
      <w:r w:rsidRPr="00EA2E47">
        <w:t xml:space="preserve"> system load</w:t>
      </w:r>
      <w:r>
        <w:t xml:space="preserve"> </w:t>
      </w:r>
      <w:r w:rsidRPr="00EA2E47">
        <w:t>affect the need for new resources and the required timing of some transmission projects.</w:t>
      </w:r>
    </w:p>
    <w:p w:rsidR="00B94DC6" w:rsidRDefault="00B94DC6" w:rsidP="00B94DC6">
      <w:pPr>
        <w:pStyle w:val="Heading4"/>
      </w:pPr>
      <w:r>
        <w:t xml:space="preserve">Peak Demand, </w:t>
      </w:r>
      <w:r w:rsidRPr="00871176">
        <w:t>Annual</w:t>
      </w:r>
      <w:r>
        <w:t xml:space="preserve"> </w:t>
      </w:r>
      <w:r w:rsidRPr="00871176">
        <w:t>Use of Electric Energy</w:t>
      </w:r>
      <w:r>
        <w:t>,</w:t>
      </w:r>
      <w:r w:rsidRPr="00871176">
        <w:t xml:space="preserve"> and Load Growth</w:t>
      </w:r>
      <w:r>
        <w:t xml:space="preserve"> </w:t>
      </w:r>
    </w:p>
    <w:p w:rsidR="00B94DC6" w:rsidRPr="00E02240" w:rsidRDefault="00B94DC6" w:rsidP="00B94DC6">
      <w:r w:rsidRPr="000F732E">
        <w:t>The RSP1</w:t>
      </w:r>
      <w:r>
        <w:t>4</w:t>
      </w:r>
      <w:r w:rsidRPr="000F732E">
        <w:t xml:space="preserve"> forecast of summer peak demand is </w:t>
      </w:r>
      <w:r>
        <w:t>lower</w:t>
      </w:r>
      <w:r w:rsidRPr="000F732E">
        <w:t xml:space="preserve"> than the RSP1</w:t>
      </w:r>
      <w:r>
        <w:t>3</w:t>
      </w:r>
      <w:r w:rsidRPr="000F732E">
        <w:t xml:space="preserve"> forecast by </w:t>
      </w:r>
      <w:r>
        <w:t>12</w:t>
      </w:r>
      <w:r w:rsidRPr="000F732E">
        <w:t>5 MW for 201</w:t>
      </w:r>
      <w:r>
        <w:t>4</w:t>
      </w:r>
      <w:r w:rsidRPr="000F732E">
        <w:t xml:space="preserve"> and by </w:t>
      </w:r>
      <w:r>
        <w:t>205</w:t>
      </w:r>
      <w:r w:rsidRPr="000F732E">
        <w:t xml:space="preserve"> MW for 202</w:t>
      </w:r>
      <w:r>
        <w:t>2</w:t>
      </w:r>
      <w:r w:rsidRPr="000F732E">
        <w:t xml:space="preserve"> for the 50/50 “reference” case.</w:t>
      </w:r>
      <w:r w:rsidRPr="000F732E">
        <w:rPr>
          <w:rStyle w:val="FootnoteReference"/>
        </w:rPr>
        <w:footnoteReference w:id="31"/>
      </w:r>
      <w:r w:rsidRPr="000F732E">
        <w:t xml:space="preserve"> </w:t>
      </w:r>
      <w:r>
        <w:t xml:space="preserve">The </w:t>
      </w:r>
      <w:r w:rsidRPr="000F732E">
        <w:t>RSP1</w:t>
      </w:r>
      <w:r>
        <w:t xml:space="preserve">4 </w:t>
      </w:r>
      <w:r w:rsidRPr="000F732E">
        <w:t>50/50 summer peak forecast is</w:t>
      </w:r>
      <w:r w:rsidRPr="00A86BFE">
        <w:t xml:space="preserve"> 2</w:t>
      </w:r>
      <w:r>
        <w:t>8</w:t>
      </w:r>
      <w:r w:rsidRPr="00A86BFE">
        <w:t>,</w:t>
      </w:r>
      <w:r>
        <w:t>165 </w:t>
      </w:r>
      <w:r w:rsidRPr="00A86BFE">
        <w:t>MW for 201</w:t>
      </w:r>
      <w:r>
        <w:t>4</w:t>
      </w:r>
      <w:r w:rsidRPr="00A86BFE">
        <w:t>, which grows to 31,</w:t>
      </w:r>
      <w:r>
        <w:t>6</w:t>
      </w:r>
      <w:r w:rsidRPr="00A86BFE">
        <w:t>20 MW</w:t>
      </w:r>
      <w:r w:rsidRPr="00D45F5F">
        <w:t xml:space="preserve"> f</w:t>
      </w:r>
      <w:r>
        <w:t>o</w:t>
      </w:r>
      <w:r w:rsidRPr="00D45F5F">
        <w:t>r 202</w:t>
      </w:r>
      <w:r>
        <w:t>3</w:t>
      </w:r>
      <w:r w:rsidRPr="00D45F5F">
        <w:t>. The 90/10 summer peak forecast</w:t>
      </w:r>
      <w:r>
        <w:t xml:space="preserve">, which represents more extreme </w:t>
      </w:r>
      <w:r w:rsidRPr="003142D7">
        <w:t xml:space="preserve">summer heat waves, is </w:t>
      </w:r>
      <w:r>
        <w:t>30,470</w:t>
      </w:r>
      <w:r w:rsidRPr="003142D7">
        <w:t xml:space="preserve"> MW for 201</w:t>
      </w:r>
      <w:r>
        <w:t>4</w:t>
      </w:r>
      <w:r w:rsidRPr="003142D7">
        <w:t xml:space="preserve"> and </w:t>
      </w:r>
      <w:r w:rsidR="000F6A3B">
        <w:t>increases</w:t>
      </w:r>
      <w:r w:rsidRPr="003142D7">
        <w:t xml:space="preserve"> to </w:t>
      </w:r>
      <w:r>
        <w:t>34,195</w:t>
      </w:r>
      <w:r w:rsidRPr="003142D7">
        <w:t> MW in 202</w:t>
      </w:r>
      <w:r>
        <w:t>3</w:t>
      </w:r>
      <w:r w:rsidRPr="003142D7">
        <w:t>.</w:t>
      </w:r>
      <w:r>
        <w:rPr>
          <w:rStyle w:val="FootnoteReference"/>
        </w:rPr>
        <w:footnoteReference w:id="32"/>
      </w:r>
      <w:r w:rsidRPr="003142D7" w:rsidDel="00B01E3F">
        <w:t xml:space="preserve"> </w:t>
      </w:r>
      <w:r w:rsidRPr="003142D7">
        <w:t>The ISO forecasts the 10-year growth rate to be 1.</w:t>
      </w:r>
      <w:r>
        <w:t>3</w:t>
      </w:r>
      <w:r w:rsidRPr="003142D7">
        <w:t xml:space="preserve">% per year for the summer peak demand, 0.6% per year for the winter peak demand, and </w:t>
      </w:r>
      <w:r>
        <w:t>1.0</w:t>
      </w:r>
      <w:r w:rsidRPr="003142D7">
        <w:t xml:space="preserve">% per year for the annual use of electric energy. </w:t>
      </w:r>
      <w:r w:rsidRPr="00221450">
        <w:t>The annual</w:t>
      </w:r>
      <w:r w:rsidRPr="00221450">
        <w:rPr>
          <w:i/>
        </w:rPr>
        <w:t xml:space="preserve"> load factor</w:t>
      </w:r>
      <w:r w:rsidRPr="00221450">
        <w:t xml:space="preserve"> </w:t>
      </w:r>
      <w:r w:rsidRPr="00221450">
        <w:rPr>
          <w:rFonts w:eastAsia="Calibri"/>
        </w:rPr>
        <w:t>(</w:t>
      </w:r>
      <w:r w:rsidRPr="00221450">
        <w:rPr>
          <w:rFonts w:eastAsia="Calibri"/>
          <w:iCs/>
        </w:rPr>
        <w:t>i.e.</w:t>
      </w:r>
      <w:r w:rsidRPr="00221450">
        <w:rPr>
          <w:rFonts w:eastAsia="Calibri"/>
        </w:rPr>
        <w:t xml:space="preserve">, the ratio of the average hourly load during a year to peak hourly load) continues to </w:t>
      </w:r>
      <w:r w:rsidRPr="00221450">
        <w:t>decline from 56.</w:t>
      </w:r>
      <w:r>
        <w:t>1</w:t>
      </w:r>
      <w:r w:rsidRPr="00221450">
        <w:t>% in 201</w:t>
      </w:r>
      <w:r>
        <w:t>4</w:t>
      </w:r>
      <w:r w:rsidRPr="00221450">
        <w:t xml:space="preserve"> to </w:t>
      </w:r>
      <w:r w:rsidRPr="00E02240">
        <w:t>54.</w:t>
      </w:r>
      <w:r>
        <w:t>7</w:t>
      </w:r>
      <w:r w:rsidRPr="00E02240">
        <w:t>% in 202</w:t>
      </w:r>
      <w:r>
        <w:t>3</w:t>
      </w:r>
      <w:r w:rsidRPr="00E02240">
        <w:t>. (Section</w:t>
      </w:r>
      <w:r>
        <w:t xml:space="preserve"> </w:t>
      </w:r>
      <w:r w:rsidR="00927965">
        <w:fldChar w:fldCharType="begin"/>
      </w:r>
      <w:r w:rsidR="008A2991">
        <w:instrText xml:space="preserve"> REF _Ref390423729 \r \h </w:instrText>
      </w:r>
      <w:r w:rsidR="00927965">
        <w:fldChar w:fldCharType="separate"/>
      </w:r>
      <w:r w:rsidR="00284CE3">
        <w:t>3.1.1</w:t>
      </w:r>
      <w:r w:rsidR="00927965">
        <w:fldChar w:fldCharType="end"/>
      </w:r>
      <w:r w:rsidRPr="00E02240">
        <w:t xml:space="preserve">) </w:t>
      </w:r>
    </w:p>
    <w:p w:rsidR="00B94DC6" w:rsidRDefault="00B94DC6" w:rsidP="00B94DC6">
      <w:r w:rsidRPr="004D2ADE">
        <w:t xml:space="preserve">Load forecasts are highly dependent on the economic forecast, which reflects economic trends. The </w:t>
      </w:r>
      <w:r w:rsidRPr="00674614">
        <w:t>RSP14 load forecasts also account for reductions based on the historical growth of</w:t>
      </w:r>
      <w:r>
        <w:t xml:space="preserve"> non-FCM </w:t>
      </w:r>
      <w:r w:rsidRPr="004D2ADE">
        <w:t xml:space="preserve">energy-efficiency savings and the expected effects of federal EE standards for appliances and commercial </w:t>
      </w:r>
      <w:r w:rsidRPr="00E0535A">
        <w:t>equipment.</w:t>
      </w:r>
      <w:r w:rsidRPr="00E0535A">
        <w:rPr>
          <w:rStyle w:val="FootnoteReference"/>
        </w:rPr>
        <w:footnoteReference w:id="33"/>
      </w:r>
      <w:r w:rsidRPr="00E0535A">
        <w:t xml:space="preserve"> The load forecast does not include the </w:t>
      </w:r>
      <w:r w:rsidR="006C5780" w:rsidRPr="00E0535A">
        <w:t>energy-efficiency savings of the passive demand resources (PDRs</w:t>
      </w:r>
      <w:r w:rsidR="0042794A" w:rsidRPr="00E0535A">
        <w:t xml:space="preserve">) </w:t>
      </w:r>
      <w:r w:rsidRPr="00E0535A">
        <w:t xml:space="preserve">that </w:t>
      </w:r>
      <w:r w:rsidR="006C5780" w:rsidRPr="00E0535A">
        <w:t>participate</w:t>
      </w:r>
      <w:r w:rsidRPr="00E0535A">
        <w:t xml:space="preserve"> in the </w:t>
      </w:r>
      <w:r w:rsidR="006C5780" w:rsidRPr="00E0535A">
        <w:t>Forward Capacity Market</w:t>
      </w:r>
      <w:r w:rsidR="00E0535A" w:rsidRPr="00E0535A">
        <w:t xml:space="preserve"> or account for </w:t>
      </w:r>
      <w:r w:rsidR="006C5780" w:rsidRPr="00E0535A">
        <w:t>the energy</w:t>
      </w:r>
      <w:r w:rsidR="00E0535A">
        <w:t>-</w:t>
      </w:r>
      <w:r w:rsidR="006C5780" w:rsidRPr="00E0535A">
        <w:t>efficiency</w:t>
      </w:r>
      <w:r w:rsidR="00E0535A" w:rsidRPr="00E0535A">
        <w:t xml:space="preserve"> </w:t>
      </w:r>
      <w:r w:rsidR="006C5780" w:rsidRPr="00E0535A">
        <w:t>forecast</w:t>
      </w:r>
      <w:r w:rsidR="00E0535A" w:rsidRPr="00E0535A">
        <w:t xml:space="preserve">. These PDRs and the energy-efficiency forecast </w:t>
      </w:r>
      <w:proofErr w:type="gramStart"/>
      <w:r w:rsidR="00E0535A" w:rsidRPr="00E0535A">
        <w:t>a</w:t>
      </w:r>
      <w:r w:rsidR="006C5780" w:rsidRPr="00E0535A">
        <w:t>re represented</w:t>
      </w:r>
      <w:proofErr w:type="gramEnd"/>
      <w:r w:rsidR="006C5780" w:rsidRPr="00E0535A">
        <w:t xml:space="preserve"> as supply-side resources</w:t>
      </w:r>
      <w:r w:rsidRPr="00E0535A">
        <w:t xml:space="preserve"> in</w:t>
      </w:r>
      <w:r w:rsidRPr="004D2ADE">
        <w:t xml:space="preserve"> planning studies.</w:t>
      </w:r>
      <w:r>
        <w:rPr>
          <w:rStyle w:val="FootnoteReference"/>
        </w:rPr>
        <w:footnoteReference w:id="34"/>
      </w:r>
      <w:r w:rsidRPr="004D2ADE">
        <w:t xml:space="preserve"> (Section </w:t>
      </w:r>
      <w:r w:rsidR="00927965">
        <w:fldChar w:fldCharType="begin"/>
      </w:r>
      <w:r w:rsidR="008A2991">
        <w:instrText xml:space="preserve"> REF _Ref323053560 \r \h </w:instrText>
      </w:r>
      <w:r w:rsidR="00927965">
        <w:fldChar w:fldCharType="separate"/>
      </w:r>
      <w:r w:rsidR="00284CE3">
        <w:t>3.1.2</w:t>
      </w:r>
      <w:r w:rsidR="00927965">
        <w:fldChar w:fldCharType="end"/>
      </w:r>
      <w:r w:rsidRPr="004D2ADE">
        <w:t>)</w:t>
      </w:r>
      <w:r w:rsidRPr="003643E3">
        <w:t xml:space="preserve"> </w:t>
      </w:r>
    </w:p>
    <w:p w:rsidR="00B94DC6" w:rsidRPr="00C154F1" w:rsidRDefault="00B94DC6" w:rsidP="00B94DC6">
      <w:pPr>
        <w:pStyle w:val="Heading4"/>
      </w:pPr>
      <w:r w:rsidRPr="00C154F1">
        <w:t>Energy-Efficiency Forecast</w:t>
      </w:r>
    </w:p>
    <w:p w:rsidR="00B94DC6" w:rsidRDefault="00B94DC6" w:rsidP="00B94DC6">
      <w:r w:rsidRPr="00D57DFB">
        <w:t>RSP14 discusses the annual planned additions of EE in the FCM for 2014 through 2017 and forecasts new EE for each year from 2018 to 2023.</w:t>
      </w:r>
      <w:r w:rsidRPr="009319FF">
        <w:t xml:space="preserve"> The</w:t>
      </w:r>
      <w:r w:rsidRPr="00DF6572">
        <w:t xml:space="preserve"> EE forecast </w:t>
      </w:r>
      <w:r>
        <w:t>(</w:t>
      </w:r>
      <w:r w:rsidRPr="00DF6572">
        <w:t xml:space="preserve">for </w:t>
      </w:r>
      <w:r>
        <w:t>2018</w:t>
      </w:r>
      <w:r w:rsidRPr="00DF6572">
        <w:t xml:space="preserve"> through </w:t>
      </w:r>
      <w:r>
        <w:t>2023)</w:t>
      </w:r>
      <w:r w:rsidRPr="00DF6572">
        <w:t xml:space="preserve"> </w:t>
      </w:r>
      <w:r>
        <w:t>shows</w:t>
      </w:r>
      <w:r w:rsidRPr="00DF6572">
        <w:t xml:space="preserve"> a</w:t>
      </w:r>
      <w:r w:rsidRPr="00632FEF">
        <w:t xml:space="preserve"> </w:t>
      </w:r>
      <w:proofErr w:type="spellStart"/>
      <w:r w:rsidRPr="00DF6572">
        <w:t>region</w:t>
      </w:r>
      <w:r>
        <w:t>wide</w:t>
      </w:r>
      <w:proofErr w:type="spellEnd"/>
      <w:r w:rsidRPr="00DF6572">
        <w:t xml:space="preserve"> annual average energy savings of approximately 1,</w:t>
      </w:r>
      <w:r>
        <w:t>518</w:t>
      </w:r>
      <w:r w:rsidRPr="00DF6572">
        <w:t xml:space="preserve"> </w:t>
      </w:r>
      <w:proofErr w:type="spellStart"/>
      <w:r w:rsidRPr="00DF6572">
        <w:t>gigawatt</w:t>
      </w:r>
      <w:proofErr w:type="spellEnd"/>
      <w:r w:rsidRPr="00DF6572">
        <w:t>-hours (</w:t>
      </w:r>
      <w:proofErr w:type="spellStart"/>
      <w:r w:rsidRPr="00DF6572">
        <w:t>GWh</w:t>
      </w:r>
      <w:proofErr w:type="spellEnd"/>
      <w:r w:rsidRPr="00DF6572">
        <w:t>)</w:t>
      </w:r>
      <w:r>
        <w:t xml:space="preserve"> and</w:t>
      </w:r>
      <w:r w:rsidRPr="00DF6572">
        <w:t xml:space="preserve"> an </w:t>
      </w:r>
      <w:r w:rsidRPr="007826D8">
        <w:t xml:space="preserve">average reduction in peak </w:t>
      </w:r>
      <w:r w:rsidRPr="00CD7D57">
        <w:t>loads of 205 MW per year.</w:t>
      </w:r>
      <w:r w:rsidR="006229A8" w:rsidRPr="00CD7D57">
        <w:rPr>
          <w:rStyle w:val="FootnoteReference"/>
        </w:rPr>
        <w:footnoteReference w:id="35"/>
      </w:r>
      <w:r w:rsidRPr="00CD7D57">
        <w:t xml:space="preserve"> The EE forecast shows savings from new energy efficiency levels (i.e., not</w:t>
      </w:r>
      <w:r w:rsidRPr="00D57DFB">
        <w:t xml:space="preserve"> cumulative EE)</w:t>
      </w:r>
      <w:r>
        <w:t xml:space="preserve"> of 1,764 </w:t>
      </w:r>
      <w:proofErr w:type="spellStart"/>
      <w:r>
        <w:t>GWh</w:t>
      </w:r>
      <w:proofErr w:type="spellEnd"/>
      <w:r>
        <w:t xml:space="preserve"> in 2018, ranging to 1,288 </w:t>
      </w:r>
      <w:proofErr w:type="spellStart"/>
      <w:r>
        <w:t>GWh</w:t>
      </w:r>
      <w:proofErr w:type="spellEnd"/>
      <w:r>
        <w:t xml:space="preserve"> in 2023. Similarly, </w:t>
      </w:r>
      <w:r w:rsidRPr="007826D8">
        <w:t xml:space="preserve">the peak </w:t>
      </w:r>
      <w:r w:rsidRPr="00B41265">
        <w:t xml:space="preserve">load savings </w:t>
      </w:r>
      <w:r w:rsidRPr="007304FC">
        <w:t xml:space="preserve">from </w:t>
      </w:r>
      <w:r w:rsidRPr="00D57DFB">
        <w:t>new EE</w:t>
      </w:r>
      <w:r>
        <w:t xml:space="preserve"> ranges</w:t>
      </w:r>
      <w:r w:rsidRPr="00B41265">
        <w:t xml:space="preserve"> from 23</w:t>
      </w:r>
      <w:r>
        <w:t>9</w:t>
      </w:r>
      <w:r w:rsidRPr="00B41265">
        <w:t xml:space="preserve"> MW in 201</w:t>
      </w:r>
      <w:r>
        <w:t>8</w:t>
      </w:r>
      <w:r w:rsidRPr="00B41265">
        <w:t xml:space="preserve"> to 1</w:t>
      </w:r>
      <w:r>
        <w:t>74</w:t>
      </w:r>
      <w:r w:rsidRPr="00B41265">
        <w:t xml:space="preserve"> MW in 202</w:t>
      </w:r>
      <w:r>
        <w:t>3</w:t>
      </w:r>
      <w:r w:rsidRPr="00B41265">
        <w:t>. The EE forecast also shows results for each New England state. (Section</w:t>
      </w:r>
      <w:r>
        <w:t xml:space="preserve"> </w:t>
      </w:r>
      <w:r w:rsidR="00927965">
        <w:fldChar w:fldCharType="begin"/>
      </w:r>
      <w:r w:rsidR="008A2991">
        <w:instrText xml:space="preserve"> REF _Ref387327848 \r \h </w:instrText>
      </w:r>
      <w:r w:rsidR="00927965">
        <w:fldChar w:fldCharType="separate"/>
      </w:r>
      <w:r w:rsidR="00284CE3">
        <w:t>3.2</w:t>
      </w:r>
      <w:r w:rsidR="00927965">
        <w:fldChar w:fldCharType="end"/>
      </w:r>
      <w:r w:rsidRPr="00B41265">
        <w:t>)</w:t>
      </w:r>
      <w:r>
        <w:t xml:space="preserve"> </w:t>
      </w:r>
    </w:p>
    <w:p w:rsidR="00B94DC6" w:rsidRDefault="00B94DC6" w:rsidP="00B94DC6">
      <w:pPr>
        <w:tabs>
          <w:tab w:val="left" w:pos="270"/>
        </w:tabs>
      </w:pPr>
      <w:r w:rsidRPr="00E70888">
        <w:t>The annual energy</w:t>
      </w:r>
      <w:r w:rsidR="00E70888" w:rsidRPr="00E70888">
        <w:t>-</w:t>
      </w:r>
      <w:r w:rsidRPr="00E70888">
        <w:t>use forecast, minus both the FCM passive demand resources projected for 2014–</w:t>
      </w:r>
      <w:r>
        <w:t xml:space="preserve">2017 and the 2018–2023 energy-efficiency forecast, shows essentially no net long-run growth in electric </w:t>
      </w:r>
      <w:r w:rsidR="00462F91">
        <w:t xml:space="preserve">energy use and would save 13.8% of </w:t>
      </w:r>
      <w:r w:rsidR="00462F91" w:rsidRPr="00076915">
        <w:t xml:space="preserve">the </w:t>
      </w:r>
      <w:r w:rsidR="00113C54" w:rsidRPr="00113C54">
        <w:t xml:space="preserve">forecasted </w:t>
      </w:r>
      <w:r w:rsidR="00462F91">
        <w:t>gross energy consumption in 2023. The summer</w:t>
      </w:r>
      <w:r>
        <w:t xml:space="preserve"> peak 90/10 forecast, when adjusted for both the existing FCM </w:t>
      </w:r>
      <w:r w:rsidR="0042794A">
        <w:t>PDRs</w:t>
      </w:r>
      <w:r>
        <w:t xml:space="preserve"> projected for 2014–2017 and the 2018–2023 energy-efficiency forecast, is </w:t>
      </w:r>
      <w:r w:rsidRPr="00E05879">
        <w:t xml:space="preserve">projected to increase at </w:t>
      </w:r>
      <w:r w:rsidR="00362A73">
        <w:t xml:space="preserve">0.7% compared with </w:t>
      </w:r>
      <w:r w:rsidRPr="008264F5">
        <w:t xml:space="preserve">the </w:t>
      </w:r>
      <w:r w:rsidR="00362A73">
        <w:t xml:space="preserve">1.3% </w:t>
      </w:r>
      <w:r w:rsidRPr="008264F5">
        <w:t xml:space="preserve">projected </w:t>
      </w:r>
      <w:r w:rsidRPr="00DC7A53">
        <w:rPr>
          <w:color w:val="000000" w:themeColor="text1"/>
        </w:rPr>
        <w:t>growth rate of the demand forecast. Transmission planning studies use this adjusted 90/10 forecast, and at 30,873 MW for 2023, is 747 MW lower than the gross 50/50 forecast of 31,620 MW.</w:t>
      </w:r>
      <w:r w:rsidRPr="00DC7A53">
        <w:rPr>
          <w:rStyle w:val="FootnoteReference"/>
          <w:color w:val="000000" w:themeColor="text1"/>
        </w:rPr>
        <w:footnoteReference w:id="36"/>
      </w:r>
      <w:r w:rsidRPr="00DC7A53">
        <w:rPr>
          <w:color w:val="000000" w:themeColor="text1"/>
        </w:rPr>
        <w:t xml:space="preserve"> </w:t>
      </w:r>
      <w:r w:rsidR="00F42EC1" w:rsidRPr="00DC7A53">
        <w:rPr>
          <w:color w:val="000000" w:themeColor="text1"/>
        </w:rPr>
        <w:t xml:space="preserve">After allowing for FCM energy efficiency and the EE forecast, the winter peak </w:t>
      </w:r>
      <w:r w:rsidR="003A6D75">
        <w:rPr>
          <w:color w:val="000000" w:themeColor="text1"/>
        </w:rPr>
        <w:t xml:space="preserve">demand </w:t>
      </w:r>
      <w:proofErr w:type="gramStart"/>
      <w:r w:rsidR="003A6D75">
        <w:rPr>
          <w:color w:val="000000" w:themeColor="text1"/>
        </w:rPr>
        <w:t>is expected</w:t>
      </w:r>
      <w:proofErr w:type="gramEnd"/>
      <w:r w:rsidR="003A6D75">
        <w:rPr>
          <w:color w:val="000000" w:themeColor="text1"/>
        </w:rPr>
        <w:t xml:space="preserve"> to slightly decline at a rate of </w:t>
      </w:r>
      <w:r w:rsidR="00F42EC1" w:rsidRPr="00DC7A53">
        <w:rPr>
          <w:color w:val="000000" w:themeColor="text1"/>
        </w:rPr>
        <w:t>0.1% over the 10-year forecast.</w:t>
      </w:r>
      <w:r w:rsidR="00CE2DE1" w:rsidRPr="00DC7A53">
        <w:rPr>
          <w:color w:val="000000" w:themeColor="text1"/>
        </w:rPr>
        <w:t xml:space="preserve"> </w:t>
      </w:r>
      <w:r w:rsidRPr="00DC7A53">
        <w:rPr>
          <w:color w:val="000000" w:themeColor="text1"/>
        </w:rPr>
        <w:t xml:space="preserve">(Section </w:t>
      </w:r>
      <w:fldSimple w:instr=" REF _Ref360783069 \r \h  \* MERGEFORMAT ">
        <w:r w:rsidR="00284CE3" w:rsidRPr="00284CE3">
          <w:rPr>
            <w:color w:val="000000" w:themeColor="text1"/>
          </w:rPr>
          <w:t>3.3</w:t>
        </w:r>
      </w:fldSimple>
      <w:r w:rsidRPr="00DC7A53">
        <w:rPr>
          <w:color w:val="000000" w:themeColor="text1"/>
        </w:rPr>
        <w:t>)</w:t>
      </w:r>
    </w:p>
    <w:p w:rsidR="00B94DC6" w:rsidRPr="000B4D9C" w:rsidRDefault="00B94DC6" w:rsidP="00B94DC6">
      <w:pPr>
        <w:pStyle w:val="Heading4"/>
      </w:pPr>
      <w:r w:rsidRPr="000B4D9C">
        <w:t>Distributed Generation Forecast</w:t>
      </w:r>
    </w:p>
    <w:p w:rsidR="00AB0C9A" w:rsidRDefault="00B94DC6" w:rsidP="00B94DC6">
      <w:r w:rsidRPr="00AB0C9A">
        <w:t xml:space="preserve">Distributed generation resources have been rapidly growing in New England </w:t>
      </w:r>
      <w:r w:rsidRPr="00737289">
        <w:t xml:space="preserve">and </w:t>
      </w:r>
      <w:r w:rsidRPr="00663EFD">
        <w:t xml:space="preserve">are predominantly photovoltaic resources developed </w:t>
      </w:r>
      <w:proofErr w:type="gramStart"/>
      <w:r w:rsidRPr="00663EFD">
        <w:t>as a result</w:t>
      </w:r>
      <w:proofErr w:type="gramEnd"/>
      <w:r w:rsidRPr="00663EFD">
        <w:t xml:space="preserve"> of governmental policies (e.g., incentives). </w:t>
      </w:r>
      <w:r w:rsidR="00662DB0" w:rsidRPr="00663EFD">
        <w:t>To be able to account for th</w:t>
      </w:r>
      <w:r w:rsidR="00663EFD" w:rsidRPr="00663EFD">
        <w:t xml:space="preserve">e rapid growth of PV </w:t>
      </w:r>
      <w:r w:rsidR="00662DB0" w:rsidRPr="00663EFD">
        <w:t xml:space="preserve">resources </w:t>
      </w:r>
      <w:r w:rsidR="00663EFD" w:rsidRPr="00663EFD">
        <w:t>and their intermittent performance, t</w:t>
      </w:r>
      <w:r w:rsidR="00662DB0" w:rsidRPr="00663EFD">
        <w:t>h</w:t>
      </w:r>
      <w:r w:rsidR="00113C54" w:rsidRPr="00663EFD">
        <w:t>e IS</w:t>
      </w:r>
      <w:r w:rsidR="00113C54" w:rsidRPr="00587924">
        <w:t xml:space="preserve">O, with input from the six New England states and other stakeholders, developed a multistate forecast of </w:t>
      </w:r>
      <w:r w:rsidR="00663EFD">
        <w:t>PV</w:t>
      </w:r>
      <w:r w:rsidR="00113C54" w:rsidRPr="00587924">
        <w:t>.</w:t>
      </w:r>
      <w:r>
        <w:t xml:space="preserve"> The forecast </w:t>
      </w:r>
      <w:r w:rsidR="00663EFD">
        <w:t xml:space="preserve">considers </w:t>
      </w:r>
      <w:r>
        <w:t xml:space="preserve">the amounts and locations of existing PV resources, state policy objectives for PV development, and uncertainties in future policy and market and price conditions necessary to support </w:t>
      </w:r>
      <w:r w:rsidRPr="00AD5FC9">
        <w:t xml:space="preserve">the continued development of PV. </w:t>
      </w:r>
    </w:p>
    <w:p w:rsidR="00B94DC6" w:rsidRDefault="00662DB0" w:rsidP="00B94DC6">
      <w:r w:rsidRPr="00663EFD">
        <w:t>By the end of 2013, the installed nameplate</w:t>
      </w:r>
      <w:r w:rsidR="00B94DC6" w:rsidRPr="00663EFD">
        <w:t xml:space="preserve"> of PV was almost 500 MW</w:t>
      </w:r>
      <w:r w:rsidR="00B94DC6" w:rsidRPr="00663EFD">
        <w:rPr>
          <w:vertAlign w:val="subscript"/>
        </w:rPr>
        <w:t>AC</w:t>
      </w:r>
      <w:r w:rsidR="00B94DC6" w:rsidRPr="00663EFD">
        <w:t>, which was approximately</w:t>
      </w:r>
      <w:r w:rsidR="00B94DC6" w:rsidRPr="002346DF">
        <w:t xml:space="preserve"> </w:t>
      </w:r>
      <w:r w:rsidR="00B94DC6" w:rsidRPr="00046613">
        <w:t>double the amount installed in 2012.</w:t>
      </w:r>
      <w:r w:rsidR="007117AB" w:rsidRPr="00046613">
        <w:rPr>
          <w:rStyle w:val="FootnoteReference"/>
        </w:rPr>
        <w:footnoteReference w:id="37"/>
      </w:r>
      <w:r w:rsidR="00B94DC6" w:rsidRPr="00046613">
        <w:t xml:space="preserve"> Th</w:t>
      </w:r>
      <w:r w:rsidR="00046613" w:rsidRPr="00046613">
        <w:t xml:space="preserve">e PV </w:t>
      </w:r>
      <w:r w:rsidR="00B94DC6" w:rsidRPr="00046613">
        <w:t xml:space="preserve">forecast </w:t>
      </w:r>
      <w:r w:rsidRPr="00046613">
        <w:t>also</w:t>
      </w:r>
      <w:r w:rsidR="00AB0C9A" w:rsidRPr="00046613">
        <w:t xml:space="preserve"> </w:t>
      </w:r>
      <w:r w:rsidR="00B94DC6" w:rsidRPr="00046613">
        <w:t xml:space="preserve">shows an increase </w:t>
      </w:r>
      <w:r w:rsidRPr="00046613">
        <w:t>of PV resources</w:t>
      </w:r>
      <w:r w:rsidR="00852301" w:rsidRPr="00046613">
        <w:t xml:space="preserve"> </w:t>
      </w:r>
      <w:r w:rsidR="00B94DC6" w:rsidRPr="00046613">
        <w:t>to over</w:t>
      </w:r>
      <w:r w:rsidR="00B94DC6">
        <w:t xml:space="preserve"> 1,800 </w:t>
      </w:r>
      <w:r w:rsidR="00B94DC6" w:rsidRPr="002E0543">
        <w:t>MW</w:t>
      </w:r>
      <w:r w:rsidR="00B94DC6">
        <w:rPr>
          <w:vertAlign w:val="subscript"/>
        </w:rPr>
        <w:t>A</w:t>
      </w:r>
      <w:r w:rsidR="00B94DC6" w:rsidRPr="00D60AD5">
        <w:rPr>
          <w:vertAlign w:val="subscript"/>
        </w:rPr>
        <w:t>C</w:t>
      </w:r>
      <w:r w:rsidR="00B94DC6">
        <w:rPr>
          <w:vertAlign w:val="subscript"/>
        </w:rPr>
        <w:t xml:space="preserve"> </w:t>
      </w:r>
      <w:r w:rsidR="00B94DC6">
        <w:t xml:space="preserve">by 2023, which has a total estimated summer seasonal claimed </w:t>
      </w:r>
      <w:r w:rsidR="00B94DC6" w:rsidRPr="00E846CA">
        <w:t>capability (SSCC) of</w:t>
      </w:r>
      <w:r w:rsidR="00B94DC6">
        <w:t xml:space="preserve"> approximately 632 MW.</w:t>
      </w:r>
      <w:r w:rsidR="00B94DC6">
        <w:rPr>
          <w:rStyle w:val="FootnoteReference"/>
        </w:rPr>
        <w:footnoteReference w:id="38"/>
      </w:r>
      <w:r w:rsidR="00B94DC6">
        <w:t xml:space="preserve"> Almost 70% of PV </w:t>
      </w:r>
      <w:proofErr w:type="gramStart"/>
      <w:r w:rsidR="00B94DC6">
        <w:t>is projected</w:t>
      </w:r>
      <w:proofErr w:type="gramEnd"/>
      <w:r w:rsidR="00B94DC6">
        <w:t xml:space="preserve"> to be in Massachusetts. (Section </w:t>
      </w:r>
      <w:r w:rsidR="00927965">
        <w:fldChar w:fldCharType="begin"/>
      </w:r>
      <w:r w:rsidR="008A2991">
        <w:instrText xml:space="preserve"> REF _Ref387327878 \r \h </w:instrText>
      </w:r>
      <w:r w:rsidR="00927965">
        <w:fldChar w:fldCharType="separate"/>
      </w:r>
      <w:r w:rsidR="00284CE3">
        <w:t>3.4</w:t>
      </w:r>
      <w:r w:rsidR="00927965">
        <w:fldChar w:fldCharType="end"/>
      </w:r>
      <w:r w:rsidR="00B94DC6">
        <w:t>)</w:t>
      </w:r>
    </w:p>
    <w:p w:rsidR="00B94DC6" w:rsidRPr="00820EB2" w:rsidRDefault="00B94DC6" w:rsidP="00B94DC6">
      <w:r w:rsidRPr="008D1C32">
        <w:t xml:space="preserve">The growth in </w:t>
      </w:r>
      <w:r w:rsidR="00662DB0" w:rsidRPr="008D1C32">
        <w:t>distributed</w:t>
      </w:r>
      <w:r w:rsidR="009A3ED6" w:rsidRPr="008D1C32">
        <w:t xml:space="preserve"> </w:t>
      </w:r>
      <w:r w:rsidR="00662DB0" w:rsidRPr="008D1C32">
        <w:t>generation resources</w:t>
      </w:r>
      <w:r w:rsidR="00046613" w:rsidRPr="008D1C32">
        <w:t>, particularly PV resources</w:t>
      </w:r>
      <w:r w:rsidR="00046613" w:rsidRPr="00046613">
        <w:t xml:space="preserve">, </w:t>
      </w:r>
      <w:r w:rsidR="006C3D84" w:rsidRPr="00046613">
        <w:t>poses</w:t>
      </w:r>
      <w:r w:rsidR="006C3D84">
        <w:t xml:space="preserve"> extraordinary technical </w:t>
      </w:r>
      <w:r w:rsidRPr="002E0543">
        <w:t>challenges for grid operators and planners</w:t>
      </w:r>
      <w:r w:rsidR="00046613">
        <w:t>, s</w:t>
      </w:r>
      <w:r w:rsidR="00852301">
        <w:t>ome</w:t>
      </w:r>
      <w:r w:rsidR="00046613">
        <w:t xml:space="preserve"> of which </w:t>
      </w:r>
      <w:r w:rsidRPr="00820EB2">
        <w:t xml:space="preserve">are </w:t>
      </w:r>
      <w:r w:rsidR="00852301">
        <w:t>as follows</w:t>
      </w:r>
      <w:r w:rsidRPr="00820EB2">
        <w:t>:</w:t>
      </w:r>
    </w:p>
    <w:p w:rsidR="00B94DC6" w:rsidRPr="00820EB2" w:rsidRDefault="00B94DC6" w:rsidP="00B94DC6">
      <w:pPr>
        <w:pStyle w:val="Bullet-Solid"/>
      </w:pPr>
      <w:r w:rsidRPr="00820EB2">
        <w:t xml:space="preserve">A limited amount of DG resource data for planning studies, including resource size, location, and operational characteristics </w:t>
      </w:r>
    </w:p>
    <w:p w:rsidR="00B94DC6" w:rsidRPr="00820EB2" w:rsidRDefault="00B94DC6" w:rsidP="00B94DC6">
      <w:pPr>
        <w:pStyle w:val="Bullet-Solid"/>
      </w:pPr>
      <w:r w:rsidRPr="00820EB2">
        <w:t>A current inability of system operators to observe and control DG resources in real time</w:t>
      </w:r>
    </w:p>
    <w:p w:rsidR="00B94DC6" w:rsidRPr="00AB0C9A" w:rsidRDefault="00B94DC6" w:rsidP="00B94DC6">
      <w:pPr>
        <w:pStyle w:val="Bullet-Solid"/>
      </w:pPr>
      <w:r w:rsidRPr="00EF7ECF">
        <w:t xml:space="preserve">A need to better understand the impacts of growing DG on system operations, including ramping, </w:t>
      </w:r>
      <w:r w:rsidRPr="00AB0C9A">
        <w:t>reserve, and regulation requirements</w:t>
      </w:r>
      <w:r w:rsidR="00B4202D" w:rsidRPr="00AB0C9A">
        <w:t xml:space="preserve"> for the most intermittent resources</w:t>
      </w:r>
    </w:p>
    <w:p w:rsidR="00416B4F" w:rsidRPr="00046613" w:rsidRDefault="00B94DC6" w:rsidP="00416B4F">
      <w:pPr>
        <w:pStyle w:val="Bullet-Solid"/>
        <w:spacing w:after="240"/>
      </w:pPr>
      <w:r w:rsidRPr="00EF7ECF">
        <w:t xml:space="preserve">Potential reliability impacts to the regional power system posed by future amounts of DG, </w:t>
      </w:r>
      <w:r w:rsidRPr="00046613">
        <w:t>resulting from existing state interconnection standards</w:t>
      </w:r>
    </w:p>
    <w:p w:rsidR="00046613" w:rsidRDefault="00046613" w:rsidP="00046613">
      <w:pPr>
        <w:pStyle w:val="Bullet-Solid"/>
        <w:numPr>
          <w:ilvl w:val="0"/>
          <w:numId w:val="0"/>
        </w:numPr>
        <w:spacing w:after="240"/>
      </w:pPr>
      <w:r w:rsidRPr="00046613">
        <w:t xml:space="preserve">The challenges </w:t>
      </w:r>
      <w:proofErr w:type="gramStart"/>
      <w:r w:rsidRPr="00046613">
        <w:t>are being addressed</w:t>
      </w:r>
      <w:proofErr w:type="gramEnd"/>
      <w:r w:rsidRPr="00046613">
        <w:t xml:space="preserve"> through advanced research conducted by the US Department of Energy (DOE)</w:t>
      </w:r>
      <w:r>
        <w:t xml:space="preserve"> and highly technical analysis by ISO staff. Stakeholder discussions have provided vital data and guidance to the ISO. </w:t>
      </w:r>
    </w:p>
    <w:p w:rsidR="00B4202D" w:rsidRDefault="000C7ADC" w:rsidP="00C61567">
      <w:pPr>
        <w:pStyle w:val="Bullet-Solid"/>
        <w:numPr>
          <w:ilvl w:val="0"/>
          <w:numId w:val="0"/>
        </w:numPr>
        <w:spacing w:after="240"/>
      </w:pPr>
      <w:r>
        <w:t xml:space="preserve">The ISO </w:t>
      </w:r>
      <w:r w:rsidR="00046613">
        <w:t xml:space="preserve">is </w:t>
      </w:r>
      <w:r>
        <w:t xml:space="preserve">working to </w:t>
      </w:r>
      <w:r w:rsidR="001C3216">
        <w:t xml:space="preserve">improve </w:t>
      </w:r>
      <w:r w:rsidR="00046613">
        <w:t xml:space="preserve">its operating forecasts </w:t>
      </w:r>
      <w:proofErr w:type="gramStart"/>
      <w:r w:rsidR="00046613">
        <w:t>to more fully account</w:t>
      </w:r>
      <w:proofErr w:type="gramEnd"/>
      <w:r w:rsidR="00046613">
        <w:t xml:space="preserve"> for PV. The ISO also plans on improving </w:t>
      </w:r>
      <w:r w:rsidR="001C3216">
        <w:t xml:space="preserve">the PV </w:t>
      </w:r>
      <w:r w:rsidR="00046613">
        <w:t xml:space="preserve">planning </w:t>
      </w:r>
      <w:r w:rsidR="001C3216" w:rsidRPr="00AB0C9A">
        <w:t xml:space="preserve">forecast, </w:t>
      </w:r>
      <w:r>
        <w:t>produc</w:t>
      </w:r>
      <w:r w:rsidR="00046613">
        <w:t>ing</w:t>
      </w:r>
      <w:r>
        <w:t xml:space="preserve"> a</w:t>
      </w:r>
      <w:r w:rsidR="00D4418B">
        <w:t xml:space="preserve"> </w:t>
      </w:r>
      <w:r w:rsidR="00B4202D">
        <w:t xml:space="preserve">PV </w:t>
      </w:r>
      <w:r>
        <w:t xml:space="preserve">energy forecast </w:t>
      </w:r>
      <w:r w:rsidR="00D4418B" w:rsidRPr="00EB5125">
        <w:t xml:space="preserve">for </w:t>
      </w:r>
      <w:r w:rsidR="00662DB0" w:rsidRPr="00EB5125">
        <w:t>RSP15</w:t>
      </w:r>
      <w:r w:rsidR="001C3216">
        <w:t>,</w:t>
      </w:r>
      <w:r w:rsidR="005179DE">
        <w:t xml:space="preserve"> and </w:t>
      </w:r>
      <w:r w:rsidR="00B4202D">
        <w:t xml:space="preserve">more fully </w:t>
      </w:r>
      <w:r w:rsidR="005179DE">
        <w:t>address</w:t>
      </w:r>
      <w:r w:rsidR="00046613">
        <w:t>ing</w:t>
      </w:r>
      <w:r w:rsidR="005179DE">
        <w:t xml:space="preserve"> </w:t>
      </w:r>
      <w:r w:rsidR="00D4418B">
        <w:t xml:space="preserve">the above issues and </w:t>
      </w:r>
      <w:r w:rsidR="005179DE">
        <w:t xml:space="preserve">other challenges presented by the growth of DG </w:t>
      </w:r>
      <w:r w:rsidR="00EC6E3A">
        <w:t>resources</w:t>
      </w:r>
      <w:r>
        <w:t>.</w:t>
      </w:r>
      <w:r w:rsidR="001C3216">
        <w:t xml:space="preserve"> </w:t>
      </w:r>
      <w:r w:rsidR="00272EFD">
        <w:t>Additionally, t</w:t>
      </w:r>
      <w:r w:rsidR="00B4202D" w:rsidRPr="000C0045">
        <w:t>he ISO and stakeholders are discussing the use of the PV forecast in long-term planning studies</w:t>
      </w:r>
      <w:r w:rsidR="00046613">
        <w:t xml:space="preserve">, and progress has been evident over the </w:t>
      </w:r>
      <w:r w:rsidR="00EB5125">
        <w:t>p</w:t>
      </w:r>
      <w:r w:rsidR="00046613">
        <w:t>ast year</w:t>
      </w:r>
      <w:r w:rsidR="00065349">
        <w:t>;</w:t>
      </w:r>
      <w:r w:rsidR="00EB5125">
        <w:t xml:space="preserve"> e</w:t>
      </w:r>
      <w:r w:rsidR="00B4202D" w:rsidRPr="000C0045">
        <w:t xml:space="preserve">conomic studies have already considered the modeling of PV resources, and plans call for using the PV forecast in new transmission planning studies. </w:t>
      </w:r>
      <w:r w:rsidR="00046613">
        <w:t xml:space="preserve">Stakeholder discussions on </w:t>
      </w:r>
      <w:r w:rsidR="00B4202D" w:rsidRPr="000C0045">
        <w:t>the use of the PV forecast in other planning studies, such as resource adequacy studies</w:t>
      </w:r>
      <w:r w:rsidR="00EB5125">
        <w:t>, will continue in fall 2014, with plans for implementation by FCA #10</w:t>
      </w:r>
      <w:r w:rsidR="00B4202D" w:rsidRPr="000C0045">
        <w:t>.</w:t>
      </w:r>
    </w:p>
    <w:p w:rsidR="00272EFD" w:rsidRDefault="00EB5125" w:rsidP="00272EFD">
      <w:r w:rsidRPr="00EB5125">
        <w:t>Although the ISO is not directly involved with the interconnection of most distributed generation and</w:t>
      </w:r>
      <w:r w:rsidRPr="00AB0C9A">
        <w:t xml:space="preserve"> traditionally has not been aware of </w:t>
      </w:r>
      <w:r w:rsidR="00165059">
        <w:t>the timing or locations of DG installations</w:t>
      </w:r>
      <w:r>
        <w:t xml:space="preserve">, </w:t>
      </w:r>
      <w:r w:rsidR="00165059">
        <w:t xml:space="preserve">in the planning process, it considers </w:t>
      </w:r>
      <w:r>
        <w:t xml:space="preserve">existing DG as resources or as part of </w:t>
      </w:r>
      <w:r w:rsidR="00165059">
        <w:t xml:space="preserve">the </w:t>
      </w:r>
      <w:r>
        <w:t>historical load, which is an input into the ISO load forecast. The ISO will continue discussions with stakeholders to develop any needed improvements required to extend the planning forecast from PV to other types of DG as a part of RSP15.</w:t>
      </w:r>
    </w:p>
    <w:p w:rsidR="00B94DC6" w:rsidRPr="00B41265" w:rsidRDefault="00B94DC6" w:rsidP="00B94DC6">
      <w:pPr>
        <w:pStyle w:val="Heading3"/>
        <w:spacing w:before="120"/>
      </w:pPr>
      <w:bookmarkStart w:id="53" w:name="_Toc390070636"/>
      <w:bookmarkStart w:id="54" w:name="_Toc396807593"/>
      <w:r w:rsidRPr="00B41265">
        <w:t>Needs for Capacity and Operating Reserves</w:t>
      </w:r>
      <w:bookmarkEnd w:id="53"/>
      <w:bookmarkEnd w:id="54"/>
      <w:r>
        <w:t xml:space="preserve"> </w:t>
      </w:r>
    </w:p>
    <w:p w:rsidR="00B94DC6" w:rsidRPr="00B41265" w:rsidRDefault="00B94DC6" w:rsidP="00B94DC6">
      <w:r w:rsidRPr="00B41265">
        <w:t>RSP1</w:t>
      </w:r>
      <w:r>
        <w:t>4</w:t>
      </w:r>
      <w:r w:rsidRPr="00B41265">
        <w:t xml:space="preserve"> quantifies the system needs for capacity and operating reserves and the amounts procured </w:t>
      </w:r>
      <w:r w:rsidRPr="009A66C7">
        <w:t xml:space="preserve">through the Forward Capacity Market and the </w:t>
      </w:r>
      <w:proofErr w:type="spellStart"/>
      <w:r w:rsidRPr="009A66C7">
        <w:t>locational</w:t>
      </w:r>
      <w:proofErr w:type="spellEnd"/>
      <w:r w:rsidRPr="009A66C7">
        <w:t xml:space="preserve"> Forward Reserve Market (FRM).</w:t>
      </w:r>
      <w:r w:rsidRPr="00B41265">
        <w:t xml:space="preserve"> </w:t>
      </w:r>
    </w:p>
    <w:p w:rsidR="00B94DC6" w:rsidRPr="001E60E0" w:rsidRDefault="00B94DC6" w:rsidP="00B94DC6">
      <w:pPr>
        <w:pStyle w:val="Heading4"/>
      </w:pPr>
      <w:r w:rsidRPr="001E60E0">
        <w:t>Capacity</w:t>
      </w:r>
    </w:p>
    <w:p w:rsidR="00B94DC6" w:rsidRDefault="00B94DC6" w:rsidP="00B94DC6">
      <w:r>
        <w:t>T</w:t>
      </w:r>
      <w:r w:rsidRPr="00B41265">
        <w:t xml:space="preserve">he minimum amount of capacity the region </w:t>
      </w:r>
      <w:r>
        <w:t xml:space="preserve">needs to meet </w:t>
      </w:r>
      <w:r w:rsidRPr="00B41265">
        <w:t>resource adequacy</w:t>
      </w:r>
      <w:r>
        <w:t xml:space="preserve"> requirements </w:t>
      </w:r>
      <w:proofErr w:type="gramStart"/>
      <w:r>
        <w:t xml:space="preserve">is </w:t>
      </w:r>
      <w:r w:rsidRPr="00B41265">
        <w:t>called</w:t>
      </w:r>
      <w:proofErr w:type="gramEnd"/>
      <w:r w:rsidRPr="00B41265">
        <w:t xml:space="preserve"> the </w:t>
      </w:r>
      <w:r w:rsidRPr="00B41265">
        <w:rPr>
          <w:i/>
        </w:rPr>
        <w:t xml:space="preserve">Installed Capacity Requirement </w:t>
      </w:r>
      <w:r>
        <w:t>(</w:t>
      </w:r>
      <w:r w:rsidRPr="00B41265">
        <w:t>ICR)</w:t>
      </w:r>
      <w:r>
        <w:t xml:space="preserve">. </w:t>
      </w:r>
      <w:r w:rsidRPr="00B41265">
        <w:t xml:space="preserve">The </w:t>
      </w:r>
      <w:r>
        <w:t>region’s net ICR</w:t>
      </w:r>
      <w:r w:rsidRPr="00B41265">
        <w:t xml:space="preserve"> </w:t>
      </w:r>
      <w:proofErr w:type="gramStart"/>
      <w:r>
        <w:t xml:space="preserve">is </w:t>
      </w:r>
      <w:r w:rsidRPr="00B41265">
        <w:t>expected</w:t>
      </w:r>
      <w:proofErr w:type="gramEnd"/>
      <w:r w:rsidRPr="00B41265">
        <w:t xml:space="preserve"> to grow from 3</w:t>
      </w:r>
      <w:r>
        <w:t>2</w:t>
      </w:r>
      <w:r w:rsidRPr="00B41265">
        <w:t>,5</w:t>
      </w:r>
      <w:r>
        <w:t>88</w:t>
      </w:r>
      <w:r w:rsidRPr="00B41265">
        <w:t> MW in 201</w:t>
      </w:r>
      <w:r>
        <w:t>4</w:t>
      </w:r>
      <w:r w:rsidRPr="00B41265">
        <w:t xml:space="preserve"> to a representative value of 3</w:t>
      </w:r>
      <w:r>
        <w:t>6</w:t>
      </w:r>
      <w:r w:rsidRPr="00B41265">
        <w:t>,</w:t>
      </w:r>
      <w:r>
        <w:t>1</w:t>
      </w:r>
      <w:r w:rsidRPr="00B41265">
        <w:t>00 MW by 202</w:t>
      </w:r>
      <w:r>
        <w:t>3</w:t>
      </w:r>
      <w:r w:rsidRPr="00B41265">
        <w:t>.</w:t>
      </w:r>
      <w:r w:rsidRPr="00B41265">
        <w:rPr>
          <w:rStyle w:val="FootnoteReference"/>
        </w:rPr>
        <w:footnoteReference w:id="39"/>
      </w:r>
      <w:r w:rsidRPr="00B41265">
        <w:t xml:space="preserve"> </w:t>
      </w:r>
      <w:r>
        <w:t xml:space="preserve">This </w:t>
      </w:r>
      <w:r w:rsidRPr="00EA2E47">
        <w:t xml:space="preserve">represents a growth of </w:t>
      </w:r>
      <w:r>
        <w:t>approximately</w:t>
      </w:r>
      <w:r w:rsidRPr="00EA2E47">
        <w:t xml:space="preserve"> </w:t>
      </w:r>
      <w:r>
        <w:t>390 MW per year</w:t>
      </w:r>
      <w:r w:rsidRPr="00EA2E47">
        <w:t xml:space="preserve">, which is equivalent to </w:t>
      </w:r>
      <w:r>
        <w:t>1</w:t>
      </w:r>
      <w:r w:rsidRPr="00101D0F">
        <w:t>.</w:t>
      </w:r>
      <w:r>
        <w:t>14</w:t>
      </w:r>
      <w:r w:rsidRPr="00EA2E47">
        <w:t xml:space="preserve">% per year. The development of generation, demand, and import capacity resources </w:t>
      </w:r>
      <w:r>
        <w:t>for</w:t>
      </w:r>
      <w:r w:rsidRPr="00EA2E47">
        <w:t xml:space="preserve"> the region is </w:t>
      </w:r>
      <w:r>
        <w:t>required</w:t>
      </w:r>
      <w:r w:rsidRPr="00EA2E47">
        <w:t xml:space="preserve"> to provide the capacity needed to meet the ICR. Because the ICR calculation accounts for the load-relieving actions of ISO Operating Procedure No. 4 (OP 4), </w:t>
      </w:r>
      <w:r w:rsidRPr="00EA2E47">
        <w:rPr>
          <w:i/>
        </w:rPr>
        <w:t>Action during a Capacity Deficiency</w:t>
      </w:r>
      <w:r w:rsidRPr="00EA2E47">
        <w:t>, meeting the</w:t>
      </w:r>
      <w:r w:rsidRPr="00B41265">
        <w:t xml:space="preserve"> </w:t>
      </w:r>
      <w:r>
        <w:t xml:space="preserve">ICR </w:t>
      </w:r>
      <w:r w:rsidRPr="00B41265">
        <w:t xml:space="preserve">level could necessitate the use of specific </w:t>
      </w:r>
      <w:r>
        <w:t xml:space="preserve">OP 4 </w:t>
      </w:r>
      <w:r w:rsidRPr="00B41265">
        <w:t>actions</w:t>
      </w:r>
      <w:r>
        <w:t>.</w:t>
      </w:r>
      <w:r w:rsidRPr="00B41265">
        <w:rPr>
          <w:rStyle w:val="FootnoteReference"/>
        </w:rPr>
        <w:footnoteReference w:id="40"/>
      </w:r>
      <w:r w:rsidRPr="00B41265">
        <w:t xml:space="preserve"> Several factors affect the frequency and extent of OP 4 actions, including the amount of resources procured to meet capacity needs, their availability, actual system loads, and other system conditions.</w:t>
      </w:r>
      <w:r w:rsidRPr="00B41265">
        <w:rPr>
          <w:rStyle w:val="FootnoteReference"/>
        </w:rPr>
        <w:footnoteReference w:id="41"/>
      </w:r>
      <w:r w:rsidRPr="00B41265">
        <w:t xml:space="preserve"> Study results show that the need for load and capacity relief by OP 4 actions will be </w:t>
      </w:r>
      <w:r w:rsidRPr="00D57DFB">
        <w:t xml:space="preserve">as much as </w:t>
      </w:r>
      <w:r>
        <w:t>2,665</w:t>
      </w:r>
      <w:r w:rsidRPr="00B41265">
        <w:t> MW during extremely hot and humid summer peak-load conditions</w:t>
      </w:r>
      <w:r>
        <w:t xml:space="preserve"> over the planning horizon</w:t>
      </w:r>
      <w:r w:rsidRPr="00B41265">
        <w:t>. (S</w:t>
      </w:r>
      <w:r w:rsidRPr="00C62664">
        <w:t>ection</w:t>
      </w:r>
      <w:r>
        <w:t xml:space="preserve"> </w:t>
      </w:r>
      <w:r w:rsidR="00927965">
        <w:fldChar w:fldCharType="begin"/>
      </w:r>
      <w:r w:rsidR="008A2991">
        <w:instrText xml:space="preserve"> REF _Ref327866184 \r \h </w:instrText>
      </w:r>
      <w:r w:rsidR="00927965">
        <w:fldChar w:fldCharType="separate"/>
      </w:r>
      <w:r w:rsidR="00284CE3">
        <w:t>4.1</w:t>
      </w:r>
      <w:r w:rsidR="00927965">
        <w:fldChar w:fldCharType="end"/>
      </w:r>
      <w:r w:rsidRPr="00B41265">
        <w:t>)</w:t>
      </w:r>
      <w:r w:rsidRPr="00CD20F5">
        <w:t xml:space="preserve"> </w:t>
      </w:r>
    </w:p>
    <w:p w:rsidR="00B94DC6" w:rsidRDefault="00B94DC6" w:rsidP="00B94DC6">
      <w:r w:rsidRPr="00B71C3D">
        <w:t>FCA #8 resulted in the first capacity shortage in a primary auction. As recently as fall 2013, a</w:t>
      </w:r>
      <w:r>
        <w:t xml:space="preserve"> surplus of capacity resources (both new and existing) </w:t>
      </w:r>
      <w:proofErr w:type="gramStart"/>
      <w:r>
        <w:t>was considered</w:t>
      </w:r>
      <w:proofErr w:type="gramEnd"/>
      <w:r>
        <w:t xml:space="preserve"> likely for the auction, but retirements have </w:t>
      </w:r>
      <w:r w:rsidR="006C5780">
        <w:t>since been announced. Resources</w:t>
      </w:r>
      <w:r w:rsidR="006C5780">
        <w:rPr>
          <w:rFonts w:ascii="Calibri" w:hAnsi="Calibri"/>
          <w:color w:val="1F497D"/>
        </w:rPr>
        <w:t xml:space="preserve"> </w:t>
      </w:r>
      <w:proofErr w:type="gramStart"/>
      <w:r w:rsidR="006C5780">
        <w:rPr>
          <w:rFonts w:asciiTheme="majorHAnsi" w:hAnsiTheme="majorHAnsi"/>
          <w:color w:val="000000" w:themeColor="text1"/>
        </w:rPr>
        <w:t>will</w:t>
      </w:r>
      <w:r w:rsidR="006C5780">
        <w:t xml:space="preserve"> be procured</w:t>
      </w:r>
      <w:proofErr w:type="gramEnd"/>
      <w:r w:rsidR="006C5780">
        <w:t xml:space="preserve"> for the 2017/2018 capacity commitment period if</w:t>
      </w:r>
      <w:r>
        <w:t xml:space="preserve"> deemed necessary in upcoming </w:t>
      </w:r>
      <w:r w:rsidR="003511F3">
        <w:t>a</w:t>
      </w:r>
      <w:r>
        <w:t xml:space="preserve">nnual </w:t>
      </w:r>
      <w:r w:rsidR="003511F3">
        <w:t>r</w:t>
      </w:r>
      <w:r>
        <w:t xml:space="preserve">econfiguration </w:t>
      </w:r>
      <w:r w:rsidR="003511F3">
        <w:t>a</w:t>
      </w:r>
      <w:r w:rsidRPr="000C7695">
        <w:t>uctions.</w:t>
      </w:r>
      <w:r w:rsidRPr="000C7695">
        <w:rPr>
          <w:vertAlign w:val="superscript"/>
        </w:rPr>
        <w:footnoteReference w:id="42"/>
      </w:r>
      <w:r w:rsidRPr="000C7695">
        <w:rPr>
          <w:vertAlign w:val="superscript"/>
        </w:rPr>
        <w:t xml:space="preserve"> </w:t>
      </w:r>
      <w:r w:rsidRPr="000C7695">
        <w:t xml:space="preserve">The region </w:t>
      </w:r>
      <w:proofErr w:type="gramStart"/>
      <w:r w:rsidRPr="000C7695">
        <w:t>is projected</w:t>
      </w:r>
      <w:proofErr w:type="gramEnd"/>
      <w:r w:rsidRPr="000C7695">
        <w:t xml:space="preserve"> to require </w:t>
      </w:r>
      <w:r w:rsidR="00F42472" w:rsidRPr="000C7695">
        <w:t>424</w:t>
      </w:r>
      <w:r w:rsidR="00F42472">
        <w:t> </w:t>
      </w:r>
      <w:r w:rsidRPr="000C7695">
        <w:t>MW in 2019/2020, which would increase to a shortage of 1,155 MW in 2023/2024, accounting for the load and energy-efficiency forecasts and only known retirements</w:t>
      </w:r>
      <w:r>
        <w:t xml:space="preserve">. This also </w:t>
      </w:r>
      <w:r w:rsidRPr="000C7695">
        <w:t>assum</w:t>
      </w:r>
      <w:r>
        <w:t>es</w:t>
      </w:r>
      <w:r w:rsidRPr="000C7695">
        <w:t xml:space="preserve"> all resources with capacity supply obligations for FCA #8 remain in service. In August 2013, Entergy announced the retirement of Vermont Yankee (604 MW) and submitted a </w:t>
      </w:r>
      <w:proofErr w:type="spellStart"/>
      <w:r w:rsidRPr="000C7695">
        <w:t>nonprice</w:t>
      </w:r>
      <w:proofErr w:type="spellEnd"/>
      <w:r w:rsidRPr="000C7695">
        <w:t xml:space="preserve"> retirement request. During fall 2013, the ISO received </w:t>
      </w:r>
      <w:proofErr w:type="spellStart"/>
      <w:r w:rsidRPr="000C7695">
        <w:t>nonprice</w:t>
      </w:r>
      <w:proofErr w:type="spellEnd"/>
      <w:r w:rsidRPr="000C7695">
        <w:t xml:space="preserve"> retirement </w:t>
      </w:r>
      <w:r w:rsidRPr="00887252">
        <w:t>requests for an additional 2,531 MW to leave the market. The ISO analyzed 100 “static” delist bids, totaling 4,170 MW</w:t>
      </w:r>
      <w:r w:rsidR="001F6CC8">
        <w:t>,</w:t>
      </w:r>
      <w:r w:rsidRPr="00887252">
        <w:t xml:space="preserve"> and was not required </w:t>
      </w:r>
      <w:proofErr w:type="gramStart"/>
      <w:r w:rsidRPr="00887252">
        <w:t>to reject</w:t>
      </w:r>
      <w:proofErr w:type="gramEnd"/>
      <w:r w:rsidRPr="00887252">
        <w:t xml:space="preserve"> any for reliability reasons in FCA #8.</w:t>
      </w:r>
      <w:r w:rsidRPr="00887252">
        <w:rPr>
          <w:rStyle w:val="FootnoteReference"/>
        </w:rPr>
        <w:footnoteReference w:id="43"/>
      </w:r>
      <w:r w:rsidRPr="00887252">
        <w:rPr>
          <w:rStyle w:val="FootnoteReference"/>
        </w:rPr>
        <w:t xml:space="preserve"> </w:t>
      </w:r>
      <w:r w:rsidRPr="00887252">
        <w:t xml:space="preserve">The </w:t>
      </w:r>
      <w:r>
        <w:t>probability</w:t>
      </w:r>
      <w:r w:rsidRPr="00887252">
        <w:t xml:space="preserve"> for resource retirements at future auctions will likely accelerate the need for new resources; the region already is beginning to lose older, relatively inefficient generating facilities.</w:t>
      </w:r>
      <w:r w:rsidRPr="009469AB">
        <w:t xml:space="preserve"> </w:t>
      </w:r>
      <w:r w:rsidRPr="00D57DFB">
        <w:t xml:space="preserve">Additionally, generation owners could choose not to </w:t>
      </w:r>
      <w:r w:rsidRPr="00692954">
        <w:t>invest in environmental remediation measures called</w:t>
      </w:r>
      <w:r w:rsidRPr="00695473">
        <w:t xml:space="preserve"> for in pending or required regulations, which could force </w:t>
      </w:r>
      <w:r w:rsidRPr="00502C59">
        <w:t xml:space="preserve">these units to shut down. </w:t>
      </w:r>
      <w:r w:rsidRPr="00A85CD9">
        <w:t xml:space="preserve">(Sections </w:t>
      </w:r>
      <w:r w:rsidR="00927965">
        <w:fldChar w:fldCharType="begin"/>
      </w:r>
      <w:r w:rsidR="008A2991">
        <w:instrText xml:space="preserve"> REF _Ref327866184 \r \h </w:instrText>
      </w:r>
      <w:r w:rsidR="00927965">
        <w:fldChar w:fldCharType="separate"/>
      </w:r>
      <w:r w:rsidR="00284CE3">
        <w:t>4.1</w:t>
      </w:r>
      <w:r w:rsidR="00927965">
        <w:fldChar w:fldCharType="end"/>
      </w:r>
      <w:r w:rsidRPr="00A85CD9">
        <w:t>)</w:t>
      </w:r>
    </w:p>
    <w:p w:rsidR="00B94DC6" w:rsidRDefault="00B94DC6" w:rsidP="00B94DC6">
      <w:r w:rsidRPr="00B41265">
        <w:t xml:space="preserve">The amount of capacity resources </w:t>
      </w:r>
      <w:r>
        <w:t xml:space="preserve">located in import-constrained zones </w:t>
      </w:r>
      <w:proofErr w:type="gramStart"/>
      <w:r w:rsidRPr="00B41265">
        <w:t>is projected</w:t>
      </w:r>
      <w:proofErr w:type="gramEnd"/>
      <w:r w:rsidRPr="00B41265">
        <w:t xml:space="preserve"> to meet the </w:t>
      </w:r>
      <w:r>
        <w:t xml:space="preserve">local </w:t>
      </w:r>
      <w:r w:rsidRPr="00B41265">
        <w:t xml:space="preserve">resource adequacy requirements. </w:t>
      </w:r>
      <w:r>
        <w:t>Connecticut resources exceed this zone’s local sourcing requirement (LSR) by 1,872 MW.</w:t>
      </w:r>
      <w:r w:rsidRPr="00B41265">
        <w:rPr>
          <w:rStyle w:val="FootnoteReference"/>
        </w:rPr>
        <w:footnoteReference w:id="44"/>
      </w:r>
      <w:r>
        <w:t xml:space="preserve"> </w:t>
      </w:r>
      <w:r w:rsidRPr="00B41265">
        <w:t>In FCA #</w:t>
      </w:r>
      <w:r>
        <w:t>8</w:t>
      </w:r>
      <w:r w:rsidRPr="00B41265">
        <w:t xml:space="preserve">, the LSR for </w:t>
      </w:r>
      <w:r>
        <w:t>Northeast Massachusetts (</w:t>
      </w:r>
      <w:r w:rsidRPr="00B41265">
        <w:t>NEMA</w:t>
      </w:r>
      <w:r>
        <w:t>)</w:t>
      </w:r>
      <w:r w:rsidRPr="00B41265">
        <w:t>/Boston was 3,</w:t>
      </w:r>
      <w:r>
        <w:t>428</w:t>
      </w:r>
      <w:r w:rsidRPr="00B41265">
        <w:t xml:space="preserve"> MW, and the resources in th</w:t>
      </w:r>
      <w:r>
        <w:t>is</w:t>
      </w:r>
      <w:r w:rsidRPr="00B41265">
        <w:t xml:space="preserve"> area</w:t>
      </w:r>
      <w:r w:rsidR="004247E5">
        <w:t>, including new resources not yet on line,</w:t>
      </w:r>
      <w:r>
        <w:t xml:space="preserve"> </w:t>
      </w:r>
      <w:r w:rsidRPr="00B41265">
        <w:t>totaled 3,</w:t>
      </w:r>
      <w:r>
        <w:t>821</w:t>
      </w:r>
      <w:r w:rsidRPr="00B41265">
        <w:t xml:space="preserve"> MW</w:t>
      </w:r>
      <w:r w:rsidR="00113C54" w:rsidRPr="00113C54">
        <w:t xml:space="preserve">. Although the </w:t>
      </w:r>
      <w:r w:rsidR="00113C54" w:rsidRPr="00593D3E">
        <w:t xml:space="preserve">NEMA/Boston area </w:t>
      </w:r>
      <w:r w:rsidR="00593D3E" w:rsidRPr="00593D3E">
        <w:t xml:space="preserve">is projected to have </w:t>
      </w:r>
      <w:r w:rsidR="00113C54" w:rsidRPr="00593D3E">
        <w:t>surplus capacity, the ISO has growing concerns about the lack of</w:t>
      </w:r>
      <w:r w:rsidR="00113C54" w:rsidRPr="00113C54">
        <w:t xml:space="preserve"> timely </w:t>
      </w:r>
      <w:r w:rsidRPr="00D4418B">
        <w:t xml:space="preserve">development of </w:t>
      </w:r>
      <w:r w:rsidR="00113C54" w:rsidRPr="00113C54">
        <w:t>new resources</w:t>
      </w:r>
      <w:r w:rsidRPr="00D4418B">
        <w:t xml:space="preserve"> </w:t>
      </w:r>
      <w:r w:rsidR="00113C54" w:rsidRPr="00113C54">
        <w:t>in</w:t>
      </w:r>
      <w:r w:rsidRPr="00D4418B">
        <w:t xml:space="preserve"> </w:t>
      </w:r>
      <w:proofErr w:type="gramStart"/>
      <w:r w:rsidR="00113C54" w:rsidRPr="00113C54">
        <w:t>this</w:t>
      </w:r>
      <w:proofErr w:type="gramEnd"/>
      <w:r w:rsidR="00113C54" w:rsidRPr="00113C54">
        <w:t xml:space="preserve"> area that, if not developed, would result in the area being short of required capacity</w:t>
      </w:r>
      <w:r w:rsidR="00407D63" w:rsidRPr="00D4418B">
        <w:t xml:space="preserve">. </w:t>
      </w:r>
      <w:r w:rsidRPr="00F62C72">
        <w:t>Additional</w:t>
      </w:r>
      <w:r w:rsidRPr="00B41265">
        <w:t xml:space="preserve"> load growth</w:t>
      </w:r>
      <w:r w:rsidR="001F6CC8">
        <w:t xml:space="preserve"> or</w:t>
      </w:r>
      <w:r w:rsidRPr="00B41265">
        <w:t xml:space="preserve"> reduced resource availability—possibly resulting from fuel supply </w:t>
      </w:r>
      <w:r w:rsidRPr="00EA2E47">
        <w:t>issues</w:t>
      </w:r>
      <w:r>
        <w:t>; a failure to develop new, cleared resources in a timely manner; o</w:t>
      </w:r>
      <w:r w:rsidRPr="00EA2E47">
        <w:t>r</w:t>
      </w:r>
      <w:r w:rsidRPr="00B41265">
        <w:t xml:space="preserve"> retirements—</w:t>
      </w:r>
      <w:r>
        <w:t>c</w:t>
      </w:r>
      <w:r w:rsidRPr="00B41265">
        <w:t xml:space="preserve">ould create </w:t>
      </w:r>
      <w:r w:rsidRPr="009B6239">
        <w:t xml:space="preserve">the need to develop additional new resources </w:t>
      </w:r>
      <w:r>
        <w:t>across the region or in constrained zones</w:t>
      </w:r>
      <w:r w:rsidRPr="009469AB">
        <w:rPr>
          <w:rStyle w:val="FootnoteReference"/>
          <w:vertAlign w:val="baseline"/>
        </w:rPr>
        <w:t xml:space="preserve"> </w:t>
      </w:r>
      <w:r>
        <w:t>.</w:t>
      </w:r>
      <w:r w:rsidRPr="009B6239">
        <w:rPr>
          <w:rStyle w:val="FootnoteReference"/>
        </w:rPr>
        <w:footnoteReference w:id="45"/>
      </w:r>
      <w:r w:rsidRPr="009B6239">
        <w:t xml:space="preserve"> (Section </w:t>
      </w:r>
      <w:r w:rsidR="00927965">
        <w:fldChar w:fldCharType="begin"/>
      </w:r>
      <w:r w:rsidR="008A2991">
        <w:instrText xml:space="preserve"> REF _Ref388452282 \r \h </w:instrText>
      </w:r>
      <w:r w:rsidR="00927965">
        <w:fldChar w:fldCharType="separate"/>
      </w:r>
      <w:r w:rsidR="00284CE3">
        <w:t>4.1.3</w:t>
      </w:r>
      <w:r w:rsidR="00927965">
        <w:fldChar w:fldCharType="end"/>
      </w:r>
      <w:r w:rsidRPr="009B6239">
        <w:t>)</w:t>
      </w:r>
      <w:r>
        <w:t xml:space="preserve"> </w:t>
      </w:r>
    </w:p>
    <w:p w:rsidR="00B94DC6" w:rsidRDefault="00B94DC6" w:rsidP="00B94DC6">
      <w:r w:rsidRPr="004D2ADE">
        <w:t>FERC-approved changes also will improve the market incentives for developing resources when and where needed, and the Strategic Planning Initiative is assessing ways to enhance the efficient development of resources.</w:t>
      </w:r>
      <w:r w:rsidRPr="004D2ADE">
        <w:rPr>
          <w:rStyle w:val="FootnoteReference"/>
        </w:rPr>
        <w:footnoteReference w:id="46"/>
      </w:r>
      <w:r w:rsidRPr="004D2ADE">
        <w:t xml:space="preserve"> The ISO is following a new two-step process for creating, modifying, or collapsing capacity </w:t>
      </w:r>
      <w:r w:rsidRPr="00085AFA">
        <w:t>zones</w:t>
      </w:r>
      <w:r w:rsidR="00113C54" w:rsidRPr="00113C54">
        <w:t xml:space="preserve">. Step </w:t>
      </w:r>
      <w:proofErr w:type="gramStart"/>
      <w:r w:rsidR="00113C54" w:rsidRPr="00113C54">
        <w:t>one</w:t>
      </w:r>
      <w:proofErr w:type="gramEnd"/>
      <w:r w:rsidR="00113C54" w:rsidRPr="00113C54">
        <w:t xml:space="preserve"> identifies potential zonal boundaries and associated transfer limits. Step two uses objective criteria to evaluate the portions of the system identified in step one and establish whether any of these areas </w:t>
      </w:r>
      <w:proofErr w:type="gramStart"/>
      <w:r w:rsidR="00113C54" w:rsidRPr="00113C54">
        <w:t>will be modeled</w:t>
      </w:r>
      <w:proofErr w:type="gramEnd"/>
      <w:r w:rsidR="00113C54" w:rsidRPr="00113C54">
        <w:t xml:space="preserve"> as capacity zones in the capacity auction.</w:t>
      </w:r>
      <w:r w:rsidR="006855A9" w:rsidRPr="00085AFA">
        <w:rPr>
          <w:rStyle w:val="FootnoteReference"/>
        </w:rPr>
        <w:footnoteReference w:id="47"/>
      </w:r>
      <w:r w:rsidRPr="00085AFA">
        <w:t xml:space="preserve"> These</w:t>
      </w:r>
      <w:r w:rsidRPr="004D2ADE">
        <w:t xml:space="preserve"> changes are addressing the relationship between the zonal reconfigurations and the ISO’s </w:t>
      </w:r>
      <w:r w:rsidRPr="00F62C72">
        <w:t>rejection of delist bids. A new zone for the Southeast Massachusetts/Rhode Island (SEMA/RI)</w:t>
      </w:r>
      <w:r>
        <w:t xml:space="preserve"> area will be eligible for modeling in FCA#9. </w:t>
      </w:r>
      <w:r w:rsidRPr="004D2ADE">
        <w:t xml:space="preserve">In general, the development of new resources near the system load centers mitigates reliability risks associated with resource retirements and resource performance issues, improves system </w:t>
      </w:r>
      <w:r w:rsidRPr="00A34A75">
        <w:t>performance, and allows for</w:t>
      </w:r>
      <w:r w:rsidR="001B3B2D" w:rsidRPr="00A34A75">
        <w:t xml:space="preserve"> </w:t>
      </w:r>
      <w:r w:rsidR="00A34A75" w:rsidRPr="00A34A75">
        <w:t xml:space="preserve">improved </w:t>
      </w:r>
      <w:r w:rsidRPr="00A34A75">
        <w:t>use of the existing transmission infrastructure.</w:t>
      </w:r>
      <w:r w:rsidRPr="004D2ADE">
        <w:t xml:space="preserve"> Resources in the generator interconnection queue, which included 6,915</w:t>
      </w:r>
      <w:r>
        <w:t> </w:t>
      </w:r>
      <w:r w:rsidRPr="004D2ADE">
        <w:t xml:space="preserve">MW as of April 1, 2014; new demand resources; and new import capacity from neighboring regions are in various stages of development and could address some of these issues. (Sections </w:t>
      </w:r>
      <w:r w:rsidR="00927965">
        <w:fldChar w:fldCharType="begin"/>
      </w:r>
      <w:r w:rsidR="008A2991">
        <w:instrText xml:space="preserve"> REF _Ref327873597 \r \h </w:instrText>
      </w:r>
      <w:r w:rsidR="00927965">
        <w:fldChar w:fldCharType="separate"/>
      </w:r>
      <w:r w:rsidR="00284CE3">
        <w:t>4.5</w:t>
      </w:r>
      <w:r w:rsidR="00927965">
        <w:fldChar w:fldCharType="end"/>
      </w:r>
      <w:r w:rsidRPr="004D2ADE">
        <w:t>)</w:t>
      </w:r>
    </w:p>
    <w:p w:rsidR="00B94DC6" w:rsidRPr="00E10F33" w:rsidRDefault="00B94DC6" w:rsidP="00B94DC6">
      <w:pPr>
        <w:pStyle w:val="Heading4"/>
      </w:pPr>
      <w:r w:rsidRPr="00E10F33">
        <w:rPr>
          <w:rFonts w:cs="Times New Roman"/>
        </w:rPr>
        <w:t xml:space="preserve">Operating Reserves and Resource Flexibility </w:t>
      </w:r>
    </w:p>
    <w:p w:rsidR="00B94DC6" w:rsidRPr="00B42755" w:rsidRDefault="00B94DC6" w:rsidP="00B94DC6">
      <w:r w:rsidRPr="00403499">
        <w:rPr>
          <w:i/>
          <w:color w:val="000000"/>
        </w:rPr>
        <w:t>Operating reserve</w:t>
      </w:r>
      <w:r w:rsidRPr="00DB1553">
        <w:rPr>
          <w:color w:val="000000"/>
        </w:rPr>
        <w:t xml:space="preserve"> is the megawatt capability of a power system greater than system demand require</w:t>
      </w:r>
      <w:r>
        <w:rPr>
          <w:color w:val="000000"/>
        </w:rPr>
        <w:t>d for</w:t>
      </w:r>
      <w:r w:rsidRPr="00DB1553">
        <w:rPr>
          <w:color w:val="000000"/>
        </w:rPr>
        <w:t xml:space="preserve"> preserv</w:t>
      </w:r>
      <w:r>
        <w:rPr>
          <w:color w:val="000000"/>
        </w:rPr>
        <w:t>ing</w:t>
      </w:r>
      <w:r w:rsidRPr="00DB1553">
        <w:rPr>
          <w:color w:val="000000"/>
        </w:rPr>
        <w:t xml:space="preserve"> system reliability—such as by providing frequency regulation, </w:t>
      </w:r>
      <w:r>
        <w:rPr>
          <w:color w:val="000000"/>
        </w:rPr>
        <w:t xml:space="preserve">responding to </w:t>
      </w:r>
      <w:r w:rsidRPr="00D33010">
        <w:rPr>
          <w:color w:val="000000"/>
        </w:rPr>
        <w:t>load</w:t>
      </w:r>
      <w:r>
        <w:rPr>
          <w:color w:val="000000"/>
        </w:rPr>
        <w:t xml:space="preserve"> </w:t>
      </w:r>
      <w:r w:rsidRPr="00D33010">
        <w:rPr>
          <w:color w:val="000000"/>
        </w:rPr>
        <w:t>forecast</w:t>
      </w:r>
      <w:r>
        <w:rPr>
          <w:color w:val="000000"/>
        </w:rPr>
        <w:t xml:space="preserve"> errors</w:t>
      </w:r>
      <w:r w:rsidRPr="00D33010">
        <w:rPr>
          <w:color w:val="000000"/>
        </w:rPr>
        <w:t xml:space="preserve">, and </w:t>
      </w:r>
      <w:r>
        <w:rPr>
          <w:color w:val="000000"/>
        </w:rPr>
        <w:t xml:space="preserve">filling the void left </w:t>
      </w:r>
      <w:r w:rsidRPr="00B42755">
        <w:rPr>
          <w:color w:val="000000"/>
        </w:rPr>
        <w:t>by forced outages—when resources or transmission facilities are lost because of a contingency.</w:t>
      </w:r>
      <w:r w:rsidRPr="00B42755">
        <w:rPr>
          <w:rStyle w:val="FootnoteReference"/>
          <w:color w:val="000000"/>
        </w:rPr>
        <w:footnoteReference w:id="48"/>
      </w:r>
      <w:r w:rsidRPr="00B42755">
        <w:rPr>
          <w:color w:val="000000"/>
        </w:rPr>
        <w:t xml:space="preserve"> Some resources a</w:t>
      </w:r>
      <w:r w:rsidRPr="00A86BFE">
        <w:rPr>
          <w:color w:val="000000"/>
        </w:rPr>
        <w:t>re required to be synchronized to the system for</w:t>
      </w:r>
      <w:r>
        <w:rPr>
          <w:color w:val="000000"/>
        </w:rPr>
        <w:t xml:space="preserve"> immediate </w:t>
      </w:r>
      <w:r w:rsidRPr="000F732E">
        <w:rPr>
          <w:color w:val="000000"/>
        </w:rPr>
        <w:t xml:space="preserve">use (i.e., </w:t>
      </w:r>
      <w:r w:rsidRPr="000F732E">
        <w:rPr>
          <w:i/>
          <w:color w:val="000000"/>
        </w:rPr>
        <w:t xml:space="preserve">spinning </w:t>
      </w:r>
      <w:r w:rsidRPr="000F732E">
        <w:rPr>
          <w:color w:val="000000"/>
        </w:rPr>
        <w:t xml:space="preserve">resources), and some must be </w:t>
      </w:r>
      <w:r w:rsidRPr="00FD2F3B">
        <w:rPr>
          <w:color w:val="000000"/>
        </w:rPr>
        <w:t>fast-start</w:t>
      </w:r>
      <w:r w:rsidRPr="000F732E">
        <w:rPr>
          <w:color w:val="000000"/>
        </w:rPr>
        <w:t xml:space="preserve"> resources.</w:t>
      </w:r>
      <w:r w:rsidRPr="000F732E">
        <w:rPr>
          <w:rStyle w:val="FootnoteReference"/>
          <w:color w:val="000000"/>
        </w:rPr>
        <w:footnoteReference w:id="49"/>
      </w:r>
      <w:r w:rsidRPr="000F732E">
        <w:rPr>
          <w:color w:val="000000"/>
        </w:rPr>
        <w:t xml:space="preserve"> In New England, resources participating in the </w:t>
      </w:r>
      <w:proofErr w:type="spellStart"/>
      <w:r>
        <w:rPr>
          <w:color w:val="000000"/>
        </w:rPr>
        <w:t>locational</w:t>
      </w:r>
      <w:proofErr w:type="spellEnd"/>
      <w:r>
        <w:rPr>
          <w:color w:val="000000"/>
        </w:rPr>
        <w:t xml:space="preserve"> </w:t>
      </w:r>
      <w:r w:rsidRPr="006544FB">
        <w:t>F</w:t>
      </w:r>
      <w:r>
        <w:t>RM</w:t>
      </w:r>
      <w:r w:rsidRPr="006544FB">
        <w:t xml:space="preserve"> and other committed and on-line resources help satisfy the operating-reserve</w:t>
      </w:r>
      <w:r w:rsidRPr="00D33010">
        <w:t xml:space="preserve"> requirements</w:t>
      </w:r>
      <w:r>
        <w:t xml:space="preserve"> </w:t>
      </w:r>
      <w:r w:rsidRPr="00D33010">
        <w:t xml:space="preserve">of the </w:t>
      </w:r>
      <w:r w:rsidRPr="00B42755">
        <w:t xml:space="preserve">region overall and in major load pockets. </w:t>
      </w:r>
    </w:p>
    <w:p w:rsidR="00B94DC6" w:rsidRPr="00A63002" w:rsidRDefault="00B94DC6" w:rsidP="00B94DC6">
      <w:r w:rsidRPr="00B42755">
        <w:t>The ISO develops the representative operating-reserve requirements of major import areas as ranges to account for future uncertainties about the availability of resources, load variations due to weather, and other factors. F</w:t>
      </w:r>
      <w:r w:rsidR="0085011E">
        <w:t>or</w:t>
      </w:r>
      <w:r w:rsidRPr="00B42755">
        <w:t xml:space="preserve"> 2014 through 2018, the representative operating</w:t>
      </w:r>
      <w:r w:rsidR="006664D8">
        <w:t>-</w:t>
      </w:r>
      <w:r w:rsidRPr="00B42755">
        <w:t xml:space="preserve">reserve </w:t>
      </w:r>
      <w:proofErr w:type="gramStart"/>
      <w:r w:rsidRPr="00B42755">
        <w:t>requirements for Greater Southwest Connecticut is</w:t>
      </w:r>
      <w:proofErr w:type="gramEnd"/>
      <w:r w:rsidRPr="00B42755">
        <w:t xml:space="preserve"> from 0 to 350 MW.</w:t>
      </w:r>
      <w:r w:rsidRPr="00B42755">
        <w:rPr>
          <w:rStyle w:val="FootnoteReference"/>
        </w:rPr>
        <w:footnoteReference w:id="50"/>
      </w:r>
      <w:r w:rsidRPr="00B42755">
        <w:t xml:space="preserve"> Over the same period, the need for operating reserves in Greater </w:t>
      </w:r>
      <w:r w:rsidRPr="00A63002">
        <w:t xml:space="preserve">Connecticut </w:t>
      </w:r>
      <w:r w:rsidRPr="007304FC">
        <w:t xml:space="preserve">is </w:t>
      </w:r>
      <w:r w:rsidRPr="00D57DFB">
        <w:t>as much as 1,100 MW during the summer, and similarly, the need for the BOSTON area is as much as 350 M</w:t>
      </w:r>
      <w:r w:rsidRPr="00A63002">
        <w:t xml:space="preserve">W. </w:t>
      </w:r>
      <w:r w:rsidRPr="00D57DFB">
        <w:t xml:space="preserve">Although each of these areas currently has sufficient resources to meet its representative reserve </w:t>
      </w:r>
      <w:r w:rsidRPr="00A63002">
        <w:t xml:space="preserve">requirements, the placement of fast-start, energy-efficiency, and economical </w:t>
      </w:r>
      <w:proofErr w:type="spellStart"/>
      <w:r w:rsidRPr="00A34A75">
        <w:t>baseload</w:t>
      </w:r>
      <w:proofErr w:type="spellEnd"/>
      <w:r w:rsidRPr="00A34A75">
        <w:t xml:space="preserve"> resources in these load pockets </w:t>
      </w:r>
      <w:r w:rsidR="00D837D8" w:rsidRPr="00A34A75">
        <w:t>would improve</w:t>
      </w:r>
      <w:r w:rsidRPr="00A34A75">
        <w:t xml:space="preserve"> system performance. Transmission projects that </w:t>
      </w:r>
      <w:proofErr w:type="gramStart"/>
      <w:r w:rsidRPr="00A34A75">
        <w:t>increase the transfer capability into these areas or in other ways improve</w:t>
      </w:r>
      <w:proofErr w:type="gramEnd"/>
      <w:r w:rsidRPr="00A34A75">
        <w:t xml:space="preserve"> the electrical access of these areas to economical resources also </w:t>
      </w:r>
      <w:r w:rsidR="00D837D8" w:rsidRPr="00A34A75">
        <w:t>would</w:t>
      </w:r>
      <w:r w:rsidR="00867B03" w:rsidRPr="00A34A75">
        <w:t xml:space="preserve"> </w:t>
      </w:r>
      <w:r w:rsidRPr="00A34A75">
        <w:t>enhance the economical and reliable performance of the</w:t>
      </w:r>
      <w:r w:rsidRPr="00D57DFB">
        <w:t xml:space="preserve"> system.</w:t>
      </w:r>
    </w:p>
    <w:p w:rsidR="00B94DC6" w:rsidRDefault="00B94DC6" w:rsidP="00B94DC6">
      <w:r w:rsidRPr="00D57DFB">
        <w:t xml:space="preserve">The need for flexible resources to provide operating reserves as well as other ancillary services, such as regulation and ramping, will likely increase as a result of unit retirements and the addition of variable energy </w:t>
      </w:r>
      <w:r w:rsidRPr="00BC0453">
        <w:t xml:space="preserve">resources, particularly wind and PV. To date, increasing the 10-minute operating-reserve requirement and adding seasonal replacement reserves have improved the </w:t>
      </w:r>
      <w:proofErr w:type="spellStart"/>
      <w:r w:rsidRPr="00BC0453">
        <w:t>systemwide</w:t>
      </w:r>
      <w:proofErr w:type="spellEnd"/>
      <w:r w:rsidRPr="00BC0453">
        <w:t xml:space="preserve"> performance for meeting peak load, ramping during changing system conditions, and the resource response to </w:t>
      </w:r>
      <w:r w:rsidRPr="00A63002">
        <w:t xml:space="preserve">contingencies. (Section </w:t>
      </w:r>
      <w:r w:rsidR="00927965">
        <w:fldChar w:fldCharType="begin"/>
      </w:r>
      <w:r w:rsidR="008A2991">
        <w:instrText xml:space="preserve"> REF _Ref327457751 \r \h </w:instrText>
      </w:r>
      <w:r w:rsidR="00927965">
        <w:fldChar w:fldCharType="separate"/>
      </w:r>
      <w:r w:rsidR="00284CE3">
        <w:t>4.3</w:t>
      </w:r>
      <w:r w:rsidR="00927965">
        <w:fldChar w:fldCharType="end"/>
      </w:r>
      <w:r w:rsidRPr="00A63002">
        <w:t>)</w:t>
      </w:r>
    </w:p>
    <w:p w:rsidR="00B94DC6" w:rsidRPr="00A53BCE" w:rsidRDefault="00B94DC6" w:rsidP="00B94DC6">
      <w:pPr>
        <w:pStyle w:val="Heading3"/>
        <w:spacing w:before="120"/>
      </w:pPr>
      <w:bookmarkStart w:id="55" w:name="_Toc396807594"/>
      <w:bookmarkStart w:id="56" w:name="_Toc390070637"/>
      <w:r w:rsidRPr="00A53BCE">
        <w:t>Transmission System Needs and Solutions</w:t>
      </w:r>
      <w:bookmarkEnd w:id="55"/>
      <w:r w:rsidRPr="00A53BCE">
        <w:t xml:space="preserve"> </w:t>
      </w:r>
      <w:bookmarkEnd w:id="56"/>
    </w:p>
    <w:p w:rsidR="00B94DC6" w:rsidRDefault="00B94DC6" w:rsidP="00B94DC6">
      <w:pPr>
        <w:pStyle w:val="CommentText"/>
        <w:spacing w:line="260" w:lineRule="atLeast"/>
      </w:pPr>
      <w:r w:rsidRPr="00A53BCE">
        <w:t xml:space="preserve">Transmission projects placed in service have reduced congestion and decreased dependence on generating </w:t>
      </w:r>
      <w:r w:rsidRPr="00226E89">
        <w:t xml:space="preserve">units located in load pockets. In 2013, the real-time </w:t>
      </w:r>
      <w:proofErr w:type="spellStart"/>
      <w:r w:rsidRPr="00226E89">
        <w:t>systemwide</w:t>
      </w:r>
      <w:proofErr w:type="spellEnd"/>
      <w:r w:rsidRPr="00226E89">
        <w:t xml:space="preserve"> congestion-related costs </w:t>
      </w:r>
      <w:r w:rsidRPr="00EC6E3A">
        <w:t xml:space="preserve">totaled approximately </w:t>
      </w:r>
      <w:r w:rsidR="00113C54" w:rsidRPr="00113C54">
        <w:t>$17</w:t>
      </w:r>
      <w:r w:rsidR="00F31D2D">
        <w:t>5</w:t>
      </w:r>
      <w:r w:rsidR="00113C54" w:rsidRPr="00113C54">
        <w:t>,</w:t>
      </w:r>
      <w:r w:rsidR="00F31D2D">
        <w:t>0</w:t>
      </w:r>
      <w:r w:rsidR="00113C54" w:rsidRPr="00113C54">
        <w:t>00</w:t>
      </w:r>
      <w:r w:rsidRPr="00EC6E3A">
        <w:t>, and payments for generators in “must-run” situations that</w:t>
      </w:r>
      <w:r w:rsidRPr="00226E89">
        <w:t xml:space="preserve"> provided second-contingency coverage and voltage control totaled just under $54.6 million. These values in total represent approximately 0.6% of the $8.82 billion wholesale electric energy market</w:t>
      </w:r>
      <w:r>
        <w:t xml:space="preserve">. </w:t>
      </w:r>
      <w:r w:rsidRPr="004A276E">
        <w:t>(Section</w:t>
      </w:r>
      <w:r w:rsidR="004A276E" w:rsidRPr="004A276E">
        <w:t>s</w:t>
      </w:r>
      <w:r w:rsidRPr="004A276E">
        <w:t xml:space="preserve"> </w:t>
      </w:r>
      <w:fldSimple w:instr=" REF _Ref390423870 \r \h  \* MERGEFORMAT ">
        <w:r w:rsidR="00284CE3">
          <w:t>5.6</w:t>
        </w:r>
      </w:fldSimple>
      <w:r w:rsidR="004A276E" w:rsidRPr="004A276E">
        <w:t xml:space="preserve"> and</w:t>
      </w:r>
      <w:r w:rsidR="004A276E">
        <w:t xml:space="preserve"> </w:t>
      </w:r>
      <w:r w:rsidR="00927965">
        <w:rPr>
          <w:highlight w:val="green"/>
        </w:rPr>
        <w:fldChar w:fldCharType="begin"/>
      </w:r>
      <w:r w:rsidR="004A276E">
        <w:instrText xml:space="preserve"> REF _Ref298857085 \r \h </w:instrText>
      </w:r>
      <w:r w:rsidR="00927965">
        <w:rPr>
          <w:highlight w:val="green"/>
        </w:rPr>
      </w:r>
      <w:r w:rsidR="00927965">
        <w:rPr>
          <w:highlight w:val="green"/>
        </w:rPr>
        <w:fldChar w:fldCharType="separate"/>
      </w:r>
      <w:r w:rsidR="00284CE3">
        <w:t>5.8.2</w:t>
      </w:r>
      <w:r w:rsidR="00927965">
        <w:rPr>
          <w:highlight w:val="green"/>
        </w:rPr>
        <w:fldChar w:fldCharType="end"/>
      </w:r>
      <w:r w:rsidRPr="00226E89">
        <w:t>)</w:t>
      </w:r>
    </w:p>
    <w:p w:rsidR="00B94DC6" w:rsidRDefault="00B94DC6" w:rsidP="00B94DC6">
      <w:pPr>
        <w:pStyle w:val="Heading4"/>
      </w:pPr>
      <w:r>
        <w:t xml:space="preserve">Transmission </w:t>
      </w:r>
      <w:r w:rsidRPr="00916712">
        <w:t>Project</w:t>
      </w:r>
      <w:r>
        <w:t>s</w:t>
      </w:r>
    </w:p>
    <w:p w:rsidR="00B94DC6" w:rsidRDefault="00B94DC6" w:rsidP="00B94DC6">
      <w:pPr>
        <w:pStyle w:val="CommentText"/>
        <w:spacing w:line="260" w:lineRule="atLeast"/>
        <w:rPr>
          <w:color w:val="000000"/>
        </w:rPr>
      </w:pPr>
      <w:r w:rsidRPr="00D45F5F">
        <w:t xml:space="preserve">The ISO </w:t>
      </w:r>
      <w:r>
        <w:t xml:space="preserve">and the PAC </w:t>
      </w:r>
      <w:r w:rsidRPr="00D45F5F">
        <w:t xml:space="preserve">regularly discuss </w:t>
      </w:r>
      <w:r>
        <w:t xml:space="preserve">the scope of transmission system needs and the progress of assessments that drive regional </w:t>
      </w:r>
      <w:r w:rsidRPr="00D45F5F">
        <w:t>transmission</w:t>
      </w:r>
      <w:r>
        <w:t xml:space="preserve"> planning for </w:t>
      </w:r>
      <w:r w:rsidRPr="00D45F5F">
        <w:t>improvements</w:t>
      </w:r>
      <w:r>
        <w:t xml:space="preserve">. The PAC </w:t>
      </w:r>
      <w:r w:rsidRPr="00D45F5F">
        <w:t>provide</w:t>
      </w:r>
      <w:r>
        <w:t>s</w:t>
      </w:r>
      <w:r w:rsidRPr="00D45F5F">
        <w:t xml:space="preserve"> guidance and comment</w:t>
      </w:r>
      <w:r>
        <w:t>s</w:t>
      </w:r>
      <w:r w:rsidRPr="00D45F5F">
        <w:t xml:space="preserve"> on study scopes, assumptions, and results. All transmission projects are coordinated with other regions as </w:t>
      </w:r>
      <w:r>
        <w:t>warranted</w:t>
      </w:r>
      <w:r w:rsidRPr="00D45F5F">
        <w:t xml:space="preserve">. The ISO also has advised </w:t>
      </w:r>
      <w:r w:rsidRPr="00664777">
        <w:t xml:space="preserve">the PAC </w:t>
      </w:r>
      <w:r w:rsidRPr="00D45F5F">
        <w:t>of the regional network service (RNS) rate and projections developed by the PTOs.</w:t>
      </w:r>
      <w:r w:rsidRPr="00D45F5F">
        <w:rPr>
          <w:rStyle w:val="FootnoteReference"/>
        </w:rPr>
        <w:footnoteReference w:id="51"/>
      </w:r>
      <w:r w:rsidRPr="00D45F5F">
        <w:t xml:space="preserve"> </w:t>
      </w:r>
      <w:r w:rsidRPr="00A53BCE">
        <w:t>(</w:t>
      </w:r>
      <w:r>
        <w:t xml:space="preserve">Section </w:t>
      </w:r>
      <w:r w:rsidR="00927965">
        <w:fldChar w:fldCharType="begin"/>
      </w:r>
      <w:r w:rsidR="008A2991">
        <w:instrText xml:space="preserve"> REF _Ref296338350 \r \h </w:instrText>
      </w:r>
      <w:r w:rsidR="00927965">
        <w:fldChar w:fldCharType="separate"/>
      </w:r>
      <w:r w:rsidR="00284CE3">
        <w:t>5.3</w:t>
      </w:r>
      <w:r w:rsidR="00927965">
        <w:fldChar w:fldCharType="end"/>
      </w:r>
      <w:r w:rsidRPr="00D45F5F">
        <w:rPr>
          <w:color w:val="000000"/>
        </w:rPr>
        <w:t>)</w:t>
      </w:r>
    </w:p>
    <w:p w:rsidR="00B94DC6" w:rsidRPr="0082756D" w:rsidRDefault="00B94DC6" w:rsidP="00B94DC6">
      <w:r w:rsidRPr="0051224C">
        <w:t>The descriptions of transmission projects in RSP1</w:t>
      </w:r>
      <w:r>
        <w:t>4</w:t>
      </w:r>
      <w:r w:rsidRPr="0051224C">
        <w:t xml:space="preserve"> are based on the June 201</w:t>
      </w:r>
      <w:r>
        <w:t>4</w:t>
      </w:r>
      <w:r w:rsidRPr="0051224C">
        <w:t xml:space="preserve"> </w:t>
      </w:r>
      <w:r w:rsidRPr="005949FD">
        <w:rPr>
          <w:i/>
        </w:rPr>
        <w:t>RSP Project List</w:t>
      </w:r>
      <w:r>
        <w:t xml:space="preserve"> </w:t>
      </w:r>
      <w:r w:rsidRPr="0051224C">
        <w:t xml:space="preserve">update, </w:t>
      </w:r>
      <w:r w:rsidRPr="003A6BAC">
        <w:t>which includes 2</w:t>
      </w:r>
      <w:r w:rsidR="003A6BAC" w:rsidRPr="003A6BAC">
        <w:t>22</w:t>
      </w:r>
      <w:r w:rsidRPr="003A6BAC">
        <w:t xml:space="preserve"> projects at a total cost of approximately $</w:t>
      </w:r>
      <w:r w:rsidR="003A6BAC" w:rsidRPr="003A6BAC">
        <w:t>4.</w:t>
      </w:r>
      <w:r w:rsidRPr="003A6BAC">
        <w:t>5 billion</w:t>
      </w:r>
      <w:r w:rsidRPr="003A6BAC">
        <w:rPr>
          <w:rStyle w:val="FootnoteReference"/>
          <w:vertAlign w:val="baseline"/>
        </w:rPr>
        <w:t>.</w:t>
      </w:r>
      <w:r w:rsidRPr="003A6BAC">
        <w:rPr>
          <w:rStyle w:val="FootnoteReference"/>
        </w:rPr>
        <w:footnoteReference w:id="52"/>
      </w:r>
      <w:r w:rsidRPr="003A6BAC" w:rsidDel="00CC522D">
        <w:rPr>
          <w:rStyle w:val="FootnoteReference"/>
        </w:rPr>
        <w:t xml:space="preserve"> </w:t>
      </w:r>
      <w:r w:rsidRPr="003A6BAC">
        <w:t xml:space="preserve">The ISO updates the </w:t>
      </w:r>
      <w:r w:rsidRPr="003A6BAC">
        <w:rPr>
          <w:i/>
        </w:rPr>
        <w:t>RSP</w:t>
      </w:r>
      <w:r w:rsidRPr="00AD562D">
        <w:rPr>
          <w:i/>
        </w:rPr>
        <w:t xml:space="preserve"> Project List</w:t>
      </w:r>
      <w:r w:rsidRPr="00AD562D">
        <w:t xml:space="preserve"> at</w:t>
      </w:r>
      <w:r w:rsidRPr="0051224C">
        <w:t xml:space="preserve"> least three times per year, </w:t>
      </w:r>
      <w:r>
        <w:t xml:space="preserve">identifying </w:t>
      </w:r>
      <w:r w:rsidRPr="0051224C">
        <w:t>improvements and changes in project</w:t>
      </w:r>
      <w:r>
        <w:t xml:space="preserve"> </w:t>
      </w:r>
      <w:r w:rsidRPr="00D45F5F">
        <w:t>s</w:t>
      </w:r>
      <w:r>
        <w:t>tatus</w:t>
      </w:r>
      <w:r w:rsidRPr="00D45F5F">
        <w:t xml:space="preserve">. </w:t>
      </w:r>
      <w:r w:rsidRPr="00D45F5F">
        <w:rPr>
          <w:color w:val="000000"/>
        </w:rPr>
        <w:t xml:space="preserve">The </w:t>
      </w:r>
      <w:r w:rsidRPr="0082756D">
        <w:rPr>
          <w:color w:val="000000"/>
        </w:rPr>
        <w:t xml:space="preserve">status of several major projects under development is as follows: </w:t>
      </w:r>
      <w:r w:rsidRPr="0082756D">
        <w:t xml:space="preserve">(Section </w:t>
      </w:r>
      <w:fldSimple w:instr=" REF _Ref390423895 \r \h  \* MERGEFORMAT ">
        <w:r w:rsidR="00284CE3">
          <w:t>5.4</w:t>
        </w:r>
      </w:fldSimple>
      <w:r w:rsidRPr="0082756D">
        <w:t>)</w:t>
      </w:r>
    </w:p>
    <w:p w:rsidR="00B94DC6" w:rsidRPr="0082756D" w:rsidRDefault="00B94DC6" w:rsidP="00B94DC6">
      <w:pPr>
        <w:pStyle w:val="Bullet-Solid"/>
        <w:numPr>
          <w:ilvl w:val="0"/>
          <w:numId w:val="371"/>
        </w:numPr>
      </w:pPr>
      <w:r w:rsidRPr="0082756D">
        <w:t xml:space="preserve">The Maine Power Reliability Program (MPRP), for which the Maine Public Utilities Commission (MPUC) has approved </w:t>
      </w:r>
      <w:proofErr w:type="spellStart"/>
      <w:r w:rsidRPr="0082756D">
        <w:t>siting</w:t>
      </w:r>
      <w:proofErr w:type="spellEnd"/>
      <w:r w:rsidRPr="0082756D">
        <w:t xml:space="preserve"> for most of the components, establishes a second 345 kilovolt (kV) path in northern Maine from </w:t>
      </w:r>
      <w:proofErr w:type="spellStart"/>
      <w:r w:rsidRPr="0082756D">
        <w:t>Surowiec</w:t>
      </w:r>
      <w:proofErr w:type="spellEnd"/>
      <w:r w:rsidRPr="0082756D">
        <w:t xml:space="preserve"> to Orrington and adds new 345 kV lines in southern Maine, creating a third parallel path from </w:t>
      </w:r>
      <w:proofErr w:type="spellStart"/>
      <w:r w:rsidRPr="0082756D">
        <w:t>Surowiec</w:t>
      </w:r>
      <w:proofErr w:type="spellEnd"/>
      <w:r w:rsidRPr="0082756D">
        <w:t xml:space="preserve"> to Eliot. Many components of these new paths are under construction, and several elements already are in service. When completed, they will provide basic infrastructure needed to increase the ability to move power from New Hampshire into Maine and will improve the ability of </w:t>
      </w:r>
      <w:r w:rsidRPr="0082756D">
        <w:rPr>
          <w:color w:val="000000" w:themeColor="text1"/>
        </w:rPr>
        <w:t>the transmission system within Maine to move power into the local load pockets as necessary.</w:t>
      </w:r>
      <w:r w:rsidRPr="0082756D">
        <w:rPr>
          <w:rStyle w:val="FootnoteReference"/>
          <w:color w:val="000000" w:themeColor="text1"/>
        </w:rPr>
        <w:footnoteReference w:id="53"/>
      </w:r>
      <w:r w:rsidRPr="0082756D">
        <w:rPr>
          <w:color w:val="000000" w:themeColor="text1"/>
        </w:rPr>
        <w:t xml:space="preserve"> Studies have demonstrated that the MPRP also will provide a modest increase in the transfer capability across major interfaces in Maine, including </w:t>
      </w:r>
      <w:r w:rsidR="005746E1">
        <w:rPr>
          <w:color w:val="000000" w:themeColor="text1"/>
        </w:rPr>
        <w:t xml:space="preserve">an increase </w:t>
      </w:r>
      <w:r w:rsidR="006D7270">
        <w:rPr>
          <w:color w:val="000000" w:themeColor="text1"/>
        </w:rPr>
        <w:t>from 1,600 to</w:t>
      </w:r>
      <w:r w:rsidR="005746E1">
        <w:rPr>
          <w:color w:val="000000" w:themeColor="text1"/>
        </w:rPr>
        <w:t xml:space="preserve"> 1,900 MW of the </w:t>
      </w:r>
      <w:r w:rsidRPr="0082756D">
        <w:rPr>
          <w:color w:val="000000" w:themeColor="text1"/>
        </w:rPr>
        <w:t>Maine</w:t>
      </w:r>
      <w:r w:rsidR="005746E1">
        <w:rPr>
          <w:color w:val="000000" w:themeColor="text1"/>
        </w:rPr>
        <w:t>-</w:t>
      </w:r>
      <w:r w:rsidRPr="0082756D">
        <w:rPr>
          <w:color w:val="000000" w:themeColor="text1"/>
        </w:rPr>
        <w:t>to</w:t>
      </w:r>
      <w:r w:rsidR="005746E1">
        <w:rPr>
          <w:color w:val="000000" w:themeColor="text1"/>
        </w:rPr>
        <w:t>-</w:t>
      </w:r>
      <w:r w:rsidRPr="0082756D">
        <w:rPr>
          <w:color w:val="000000" w:themeColor="text1"/>
        </w:rPr>
        <w:t>New Hampshire</w:t>
      </w:r>
      <w:r w:rsidR="005746E1">
        <w:rPr>
          <w:color w:val="000000" w:themeColor="text1"/>
        </w:rPr>
        <w:t xml:space="preserve"> transfer capability</w:t>
      </w:r>
      <w:r w:rsidRPr="0082756D">
        <w:rPr>
          <w:color w:val="000000" w:themeColor="text1"/>
        </w:rPr>
        <w:t xml:space="preserve">. The MPRP project </w:t>
      </w:r>
      <w:proofErr w:type="gramStart"/>
      <w:r w:rsidRPr="0082756D">
        <w:rPr>
          <w:color w:val="000000" w:themeColor="text1"/>
        </w:rPr>
        <w:t>is scheduled</w:t>
      </w:r>
      <w:proofErr w:type="gramEnd"/>
      <w:r w:rsidRPr="0082756D">
        <w:rPr>
          <w:color w:val="000000" w:themeColor="text1"/>
        </w:rPr>
        <w:t xml:space="preserve"> for completion by early 2015, with the exception of upgrades around Lewiston</w:t>
      </w:r>
      <w:r w:rsidR="005746E1">
        <w:rPr>
          <w:color w:val="000000" w:themeColor="text1"/>
        </w:rPr>
        <w:t xml:space="preserve"> expected to be complete by January 2017</w:t>
      </w:r>
      <w:r w:rsidRPr="0082756D">
        <w:rPr>
          <w:color w:val="000000" w:themeColor="text1"/>
        </w:rPr>
        <w:t>.</w:t>
      </w:r>
    </w:p>
    <w:p w:rsidR="00B94DC6" w:rsidRPr="00B41265" w:rsidRDefault="00B94DC6" w:rsidP="00B94DC6">
      <w:pPr>
        <w:pStyle w:val="Bullet-Solid"/>
        <w:numPr>
          <w:ilvl w:val="0"/>
          <w:numId w:val="371"/>
        </w:numPr>
      </w:pPr>
      <w:r w:rsidRPr="00B41265">
        <w:t xml:space="preserve">The New England East–West Solution (NEEWS) series of projects has been identified to </w:t>
      </w:r>
      <w:r>
        <w:t xml:space="preserve">address </w:t>
      </w:r>
      <w:r w:rsidRPr="00B41265">
        <w:t>system reliability</w:t>
      </w:r>
      <w:r>
        <w:t xml:space="preserve"> needs</w:t>
      </w:r>
      <w:r w:rsidRPr="00B41265">
        <w:t xml:space="preserve">: </w:t>
      </w:r>
    </w:p>
    <w:p w:rsidR="00B94DC6" w:rsidRDefault="00B94DC6" w:rsidP="00B94DC6">
      <w:pPr>
        <w:pStyle w:val="Bullet-Open"/>
        <w:numPr>
          <w:ilvl w:val="0"/>
          <w:numId w:val="418"/>
        </w:numPr>
        <w:ind w:left="1440"/>
      </w:pPr>
      <w:r>
        <w:t>T</w:t>
      </w:r>
      <w:r w:rsidRPr="000F732E">
        <w:t xml:space="preserve">he Rhode Island </w:t>
      </w:r>
      <w:r>
        <w:t xml:space="preserve">components and the Springfield </w:t>
      </w:r>
      <w:r w:rsidRPr="000F732E">
        <w:t xml:space="preserve">components of NEEWS </w:t>
      </w:r>
      <w:proofErr w:type="gramStart"/>
      <w:r>
        <w:t>were placed</w:t>
      </w:r>
      <w:proofErr w:type="gramEnd"/>
      <w:r w:rsidRPr="000F732E">
        <w:t xml:space="preserve"> in service </w:t>
      </w:r>
      <w:r>
        <w:t xml:space="preserve">in </w:t>
      </w:r>
      <w:r w:rsidRPr="000F732E">
        <w:t>2013.</w:t>
      </w:r>
      <w:r>
        <w:t xml:space="preserve"> </w:t>
      </w:r>
    </w:p>
    <w:p w:rsidR="00B94DC6" w:rsidRPr="00FA1A27" w:rsidRDefault="00B94DC6" w:rsidP="00B94DC6">
      <w:pPr>
        <w:pStyle w:val="Bullet-Open"/>
        <w:numPr>
          <w:ilvl w:val="0"/>
          <w:numId w:val="418"/>
        </w:numPr>
        <w:ind w:left="1440"/>
      </w:pPr>
      <w:r w:rsidRPr="00117FE1">
        <w:t xml:space="preserve">The Interstate Reliability Project (IRP) </w:t>
      </w:r>
      <w:r>
        <w:t>w</w:t>
      </w:r>
      <w:r w:rsidRPr="000F732E">
        <w:t xml:space="preserve">as reevaluated </w:t>
      </w:r>
      <w:r>
        <w:t>in light of</w:t>
      </w:r>
      <w:r w:rsidRPr="000F732E">
        <w:t xml:space="preserve"> updated load and energy-efficiency forecasts; system operating constraints; and resources acquired, delisted, or retired through the Forward Capacity Auctions</w:t>
      </w:r>
      <w:r>
        <w:t xml:space="preserve">, such as </w:t>
      </w:r>
      <w:r w:rsidRPr="0028427D">
        <w:t>Salem Harbor.</w:t>
      </w:r>
      <w:r w:rsidRPr="007304FC">
        <w:t xml:space="preserve"> Consistent with the original plan, t</w:t>
      </w:r>
      <w:r w:rsidRPr="0028427D">
        <w:t>he final plan calls for a new 345 kV transmission between</w:t>
      </w:r>
      <w:r w:rsidRPr="000F732E">
        <w:t xml:space="preserve"> Millbury, MA; West </w:t>
      </w:r>
      <w:proofErr w:type="spellStart"/>
      <w:r w:rsidRPr="000F732E">
        <w:t>Farnum</w:t>
      </w:r>
      <w:proofErr w:type="spellEnd"/>
      <w:r w:rsidRPr="000F732E">
        <w:t>, RI; Lake Road, CT; and Card, CT.</w:t>
      </w:r>
      <w:r w:rsidRPr="00511907">
        <w:t xml:space="preserve"> </w:t>
      </w:r>
      <w:r>
        <w:t xml:space="preserve">Additional system modifications to the original plan have been identified, which </w:t>
      </w:r>
      <w:r w:rsidRPr="0028427D">
        <w:t>primarily relieve thermal constraints</w:t>
      </w:r>
      <w:r w:rsidRPr="007304FC">
        <w:t>.</w:t>
      </w:r>
      <w:r>
        <w:t xml:space="preserve"> Other improvements identified in the original plan </w:t>
      </w:r>
      <w:proofErr w:type="gramStart"/>
      <w:r>
        <w:t>have been eliminated</w:t>
      </w:r>
      <w:proofErr w:type="gramEnd"/>
      <w:r>
        <w:t xml:space="preserve">, including upgrades to 345 kV facilities. </w:t>
      </w:r>
      <w:proofErr w:type="gramStart"/>
      <w:r w:rsidRPr="00FA1A27">
        <w:t xml:space="preserve">The IRP has received </w:t>
      </w:r>
      <w:proofErr w:type="spellStart"/>
      <w:r w:rsidRPr="00FA1A27">
        <w:t>siting</w:t>
      </w:r>
      <w:proofErr w:type="spellEnd"/>
      <w:r w:rsidRPr="00FA1A27">
        <w:t xml:space="preserve"> approval and is under construction.</w:t>
      </w:r>
      <w:proofErr w:type="gramEnd"/>
    </w:p>
    <w:p w:rsidR="00B94DC6" w:rsidRPr="006A29DE" w:rsidRDefault="00B94DC6" w:rsidP="00B94DC6">
      <w:pPr>
        <w:pStyle w:val="Bullet-Open"/>
        <w:numPr>
          <w:ilvl w:val="0"/>
          <w:numId w:val="418"/>
        </w:numPr>
        <w:ind w:left="1440"/>
      </w:pPr>
      <w:r w:rsidRPr="00056A9D">
        <w:t xml:space="preserve">A reevaluation of the Central Connecticut Reliability Project </w:t>
      </w:r>
      <w:r>
        <w:t>(CCRP)</w:t>
      </w:r>
      <w:r w:rsidR="005746E1">
        <w:t>, a 345 kV line from North Bloomfield to Frost Bridge,</w:t>
      </w:r>
      <w:r>
        <w:t xml:space="preserve"> </w:t>
      </w:r>
      <w:proofErr w:type="gramStart"/>
      <w:r w:rsidRPr="00056A9D">
        <w:t>has been completed</w:t>
      </w:r>
      <w:proofErr w:type="gramEnd"/>
      <w:r w:rsidRPr="00056A9D">
        <w:t xml:space="preserve"> with the Greater Hartford</w:t>
      </w:r>
      <w:r w:rsidR="000322EB">
        <w:t>/</w:t>
      </w:r>
      <w:r w:rsidRPr="00056A9D">
        <w:t xml:space="preserve">Central Connecticut study. </w:t>
      </w:r>
      <w:r w:rsidR="00BA5717">
        <w:t>A</w:t>
      </w:r>
      <w:r>
        <w:t xml:space="preserve"> number of 115 kV upgrades</w:t>
      </w:r>
      <w:r w:rsidR="00130FC8">
        <w:t xml:space="preserve"> that </w:t>
      </w:r>
      <w:r>
        <w:t>address local Hartford concerns and issues associated with imports into western Connecticut</w:t>
      </w:r>
      <w:r w:rsidR="00BA5717">
        <w:t xml:space="preserve"> have </w:t>
      </w:r>
      <w:r w:rsidR="00086BE9">
        <w:t xml:space="preserve">replaced </w:t>
      </w:r>
      <w:r w:rsidR="00BA5717">
        <w:t>the CCRP project</w:t>
      </w:r>
      <w:r>
        <w:t>.</w:t>
      </w:r>
    </w:p>
    <w:p w:rsidR="00B94DC6" w:rsidRDefault="00B94DC6" w:rsidP="00B94DC6">
      <w:pPr>
        <w:numPr>
          <w:ilvl w:val="0"/>
          <w:numId w:val="294"/>
        </w:numPr>
        <w:ind w:left="900"/>
      </w:pPr>
      <w:r w:rsidRPr="0019634D">
        <w:t xml:space="preserve">The </w:t>
      </w:r>
      <w:r w:rsidRPr="0082756D">
        <w:t>Long-Term Lower Southeastern Massachusetts (Lower SEMA) project addresses system reliability concerns in the lower southeastern Massachusetts (LSM) area, which includes Cape Cod, and went into service in 2014. The project included adding a new 345 kV transmission line from the Carver substation to a new 345/115 kV substation west of Barnstable on Cape Cod, adding a third 345 kV line serving Cape Cod.</w:t>
      </w:r>
      <w:r w:rsidRPr="00A11251">
        <w:t xml:space="preserve"> </w:t>
      </w:r>
    </w:p>
    <w:p w:rsidR="00B94DC6" w:rsidRPr="00A11251" w:rsidRDefault="00B94DC6" w:rsidP="00B94DC6">
      <w:pPr>
        <w:numPr>
          <w:ilvl w:val="0"/>
          <w:numId w:val="294"/>
        </w:numPr>
        <w:ind w:left="900"/>
      </w:pPr>
      <w:r>
        <w:t xml:space="preserve">The Greater Boston study assessed and identified improvements required to respect revised cable ratings in downtown Boston and the addition of Footprint Power generating plant (674 MW) at the Salem Harbor site. </w:t>
      </w:r>
      <w:r w:rsidRPr="00C0262F">
        <w:t xml:space="preserve">The ISO </w:t>
      </w:r>
      <w:r>
        <w:t xml:space="preserve">is reviewing the merits of two alternatives, which include an independent review of the cost of each alternative </w:t>
      </w:r>
      <w:r w:rsidRPr="00C0262F">
        <w:t>to ensure that the most cost</w:t>
      </w:r>
      <w:r>
        <w:t>-</w:t>
      </w:r>
      <w:r w:rsidRPr="00C0262F">
        <w:t xml:space="preserve">effective solution </w:t>
      </w:r>
      <w:proofErr w:type="gramStart"/>
      <w:r w:rsidRPr="00C0262F">
        <w:t>is selected</w:t>
      </w:r>
      <w:proofErr w:type="gramEnd"/>
      <w:r w:rsidRPr="00C0262F">
        <w:t xml:space="preserve"> for the Greater Boston </w:t>
      </w:r>
      <w:r w:rsidRPr="0028427D">
        <w:t>area.</w:t>
      </w:r>
      <w:r w:rsidR="00CE2DE1">
        <w:t xml:space="preserve"> </w:t>
      </w:r>
      <w:r w:rsidRPr="007304FC">
        <w:t>One</w:t>
      </w:r>
      <w:r w:rsidRPr="0028427D">
        <w:t xml:space="preserve"> alternative</w:t>
      </w:r>
      <w:r>
        <w:t xml:space="preserve"> includes new 345 kV circuits from </w:t>
      </w:r>
      <w:proofErr w:type="spellStart"/>
      <w:r>
        <w:t>Scobie</w:t>
      </w:r>
      <w:proofErr w:type="spellEnd"/>
      <w:r>
        <w:t xml:space="preserve"> to Tewksbury and from Wakefield to Woburn, and the other alternative</w:t>
      </w:r>
      <w:r w:rsidRPr="00A15C1D">
        <w:t xml:space="preserve"> </w:t>
      </w:r>
      <w:r>
        <w:t>plan includes a high-voltage</w:t>
      </w:r>
      <w:r w:rsidR="001B73C3">
        <w:t>,</w:t>
      </w:r>
      <w:r>
        <w:t xml:space="preserve"> direct-current (</w:t>
      </w:r>
      <w:r w:rsidRPr="00A15C1D">
        <w:t>HVDC</w:t>
      </w:r>
      <w:r>
        <w:t>)</w:t>
      </w:r>
      <w:r w:rsidRPr="00A15C1D">
        <w:t xml:space="preserve"> submarine </w:t>
      </w:r>
      <w:r w:rsidRPr="00EA2E47">
        <w:t>cable (</w:t>
      </w:r>
      <w:proofErr w:type="spellStart"/>
      <w:r w:rsidRPr="00EA2E47">
        <w:t>SeaLink</w:t>
      </w:r>
      <w:proofErr w:type="spellEnd"/>
      <w:r w:rsidRPr="00EA2E47">
        <w:t xml:space="preserve"> HVDC Submarine Cable Project) extending</w:t>
      </w:r>
      <w:r w:rsidRPr="00A15C1D">
        <w:t xml:space="preserve"> from </w:t>
      </w:r>
      <w:r w:rsidRPr="00EA2E47">
        <w:t>Seabrook, New Hampshire, to Boston, Massachusetts</w:t>
      </w:r>
      <w:r>
        <w:t xml:space="preserve">. System improvements common to both alternatives </w:t>
      </w:r>
      <w:r w:rsidR="004F44D0">
        <w:t xml:space="preserve">also </w:t>
      </w:r>
      <w:proofErr w:type="gramStart"/>
      <w:r>
        <w:t>were identified</w:t>
      </w:r>
      <w:proofErr w:type="gramEnd"/>
      <w:r>
        <w:t>.</w:t>
      </w:r>
    </w:p>
    <w:p w:rsidR="00B94DC6" w:rsidRPr="00D45F5F" w:rsidRDefault="00B94DC6" w:rsidP="00B94DC6">
      <w:r>
        <w:t xml:space="preserve">In addition to the system </w:t>
      </w:r>
      <w:proofErr w:type="gramStart"/>
      <w:r>
        <w:t>needs assessments and solutions studies, s</w:t>
      </w:r>
      <w:r w:rsidRPr="00D45F5F">
        <w:t>everal major transmission</w:t>
      </w:r>
      <w:r>
        <w:t xml:space="preserve"> </w:t>
      </w:r>
      <w:r w:rsidRPr="00D45F5F">
        <w:t xml:space="preserve">planning </w:t>
      </w:r>
      <w:r w:rsidRPr="00287DE0">
        <w:t>studies have been completed</w:t>
      </w:r>
      <w:proofErr w:type="gramEnd"/>
      <w:r>
        <w:t>,</w:t>
      </w:r>
      <w:r w:rsidRPr="00287DE0">
        <w:t xml:space="preserve"> and others are underway to address system issues in all six New England states. Some studies have developed preferred solutions to serve major portions of the system, including Vermont </w:t>
      </w:r>
      <w:r w:rsidRPr="00CB4045">
        <w:t xml:space="preserve">and New Hampshire, the southwestern area of Connecticut, the </w:t>
      </w:r>
      <w:r w:rsidRPr="000C5476">
        <w:t>Berkshire County/Pittsfield area of western Massachusetts, and the Southeast Massachusetts/</w:t>
      </w:r>
      <w:r w:rsidRPr="008607E1">
        <w:t>Rhode Island area. All studies examine the system comprehensively and account for the electrical characteristics of the tightly integrated New England network. The ISO</w:t>
      </w:r>
      <w:r>
        <w:t xml:space="preserve"> continues to review the elements and timing of projects throughout the system to account for changes in load level, resource development and availability, and other factors.</w:t>
      </w:r>
    </w:p>
    <w:p w:rsidR="00B94DC6" w:rsidRPr="0051224C" w:rsidRDefault="00C7484D" w:rsidP="00B94DC6">
      <w:r>
        <w:t>Resources</w:t>
      </w:r>
      <w:r w:rsidR="00B94DC6">
        <w:t xml:space="preserve"> help </w:t>
      </w:r>
      <w:r w:rsidR="00B94DC6" w:rsidRPr="0051224C">
        <w:t>ensure the reliability of area load pockets</w:t>
      </w:r>
      <w:r w:rsidR="00B94DC6">
        <w:t xml:space="preserve">, which </w:t>
      </w:r>
      <w:r w:rsidR="00B94DC6" w:rsidRPr="0051224C">
        <w:t xml:space="preserve">include portions of Maine, the Boston </w:t>
      </w:r>
      <w:r w:rsidR="00B94DC6" w:rsidRPr="0019634D">
        <w:t xml:space="preserve">area, </w:t>
      </w:r>
      <w:r w:rsidR="00B94DC6">
        <w:t>s</w:t>
      </w:r>
      <w:r w:rsidR="00B94DC6" w:rsidRPr="0019634D">
        <w:t>outheastern Massachusetts, western Massachusetts, the Springfield area, and portions of</w:t>
      </w:r>
      <w:r w:rsidR="00B94DC6" w:rsidRPr="0051224C">
        <w:t xml:space="preserve"> Connecticut. In addition to enhancing reliability, transmission improvements placed in service have </w:t>
      </w:r>
      <w:r w:rsidR="00B94DC6">
        <w:t xml:space="preserve">generally </w:t>
      </w:r>
      <w:r w:rsidR="00B94DC6" w:rsidRPr="0051224C">
        <w:t xml:space="preserve">reduced </w:t>
      </w:r>
      <w:r w:rsidR="00B94DC6">
        <w:t xml:space="preserve">the </w:t>
      </w:r>
      <w:r w:rsidR="00B94DC6" w:rsidRPr="0051224C">
        <w:t xml:space="preserve">costs associated with second-contingency and voltage-control payments to generators. The </w:t>
      </w:r>
      <w:r w:rsidR="00B94DC6" w:rsidRPr="0019634D">
        <w:t>Lower SEMA short-term upgrades are one example of transmission</w:t>
      </w:r>
      <w:r w:rsidR="00B94DC6" w:rsidRPr="0051224C">
        <w:t xml:space="preserve"> upgrades that have</w:t>
      </w:r>
      <w:r w:rsidR="00B94DC6" w:rsidRPr="00D45F5F">
        <w:t xml:space="preserve"> improved reliability, reduced dependencies on generating units, and reduced “make-whole” payments to market participants whose </w:t>
      </w:r>
      <w:r w:rsidR="00B94DC6">
        <w:t xml:space="preserve">resources had </w:t>
      </w:r>
      <w:r w:rsidR="00B94DC6" w:rsidRPr="00D45F5F">
        <w:t>operating costs higher than their energy market revenues over a 24-hour dispatch day</w:t>
      </w:r>
      <w:r w:rsidR="00B94DC6" w:rsidRPr="003F35EE">
        <w:t xml:space="preserve">. (Section </w:t>
      </w:r>
      <w:r w:rsidR="00927965">
        <w:fldChar w:fldCharType="begin"/>
      </w:r>
      <w:r w:rsidR="008A2991">
        <w:instrText xml:space="preserve"> REF _Ref390423909 \r \h </w:instrText>
      </w:r>
      <w:r w:rsidR="00927965">
        <w:fldChar w:fldCharType="separate"/>
      </w:r>
      <w:r w:rsidR="00284CE3">
        <w:t>5.6</w:t>
      </w:r>
      <w:r w:rsidR="00927965">
        <w:fldChar w:fldCharType="end"/>
      </w:r>
      <w:r w:rsidR="00B94DC6" w:rsidRPr="003F35EE">
        <w:t>)</w:t>
      </w:r>
    </w:p>
    <w:p w:rsidR="00B94DC6" w:rsidRPr="00195A31" w:rsidRDefault="00B94DC6" w:rsidP="00B94DC6">
      <w:r w:rsidRPr="00181DBF">
        <w:t xml:space="preserve">Transmission expansion </w:t>
      </w:r>
      <w:proofErr w:type="gramStart"/>
      <w:r w:rsidRPr="00181DBF">
        <w:t xml:space="preserve">may be </w:t>
      </w:r>
      <w:r w:rsidR="00EC7CE8">
        <w:t>needed</w:t>
      </w:r>
      <w:proofErr w:type="gramEnd"/>
      <w:r w:rsidRPr="00181DBF">
        <w:t xml:space="preserve"> to meet future challenges facing the New England region</w:t>
      </w:r>
      <w:r w:rsidR="00EC7CE8">
        <w:t>,</w:t>
      </w:r>
      <w:r w:rsidRPr="00181DBF">
        <w:t xml:space="preserve"> </w:t>
      </w:r>
      <w:r w:rsidR="00EC7CE8">
        <w:t>for</w:t>
      </w:r>
      <w:r w:rsidRPr="0051224C">
        <w:t xml:space="preserve"> </w:t>
      </w:r>
      <w:r>
        <w:t>p</w:t>
      </w:r>
      <w:r w:rsidRPr="00424B95">
        <w:t>reserv</w:t>
      </w:r>
      <w:r w:rsidR="00EC7CE8">
        <w:t>ing</w:t>
      </w:r>
      <w:r w:rsidRPr="00424B95">
        <w:t xml:space="preserve"> the reliability of service to those areas of the system that could face generator retirements </w:t>
      </w:r>
      <w:r w:rsidRPr="00195A31">
        <w:t>within the planning horizon and address</w:t>
      </w:r>
      <w:r w:rsidR="00EC7CE8" w:rsidRPr="00195A31">
        <w:t>ing</w:t>
      </w:r>
      <w:r w:rsidRPr="00195A31">
        <w:t xml:space="preserve"> reliability needs attributable to load growth and resource integration. (Section </w:t>
      </w:r>
      <w:fldSimple w:instr=" REF _Ref388452655 \r \h  \* MERGEFORMAT ">
        <w:r w:rsidR="00284CE3">
          <w:t>5.8</w:t>
        </w:r>
      </w:fldSimple>
      <w:r w:rsidRPr="00195A31">
        <w:t>)</w:t>
      </w:r>
    </w:p>
    <w:p w:rsidR="00B94DC6" w:rsidRPr="00195A31" w:rsidRDefault="00B94DC6" w:rsidP="00B94DC6">
      <w:pPr>
        <w:pStyle w:val="Heading4"/>
      </w:pPr>
      <w:r w:rsidRPr="00195A31">
        <w:t xml:space="preserve">Development of Elective Transmission Upgrades </w:t>
      </w:r>
    </w:p>
    <w:p w:rsidR="00B94DC6" w:rsidRDefault="00B94DC6" w:rsidP="00B94DC6">
      <w:r w:rsidRPr="00195A31">
        <w:t xml:space="preserve">Several developers have proposed Elective Transmission Upgrades, which are in various stages of study and development. </w:t>
      </w:r>
      <w:r w:rsidR="007D0FD3" w:rsidRPr="00195A31">
        <w:t xml:space="preserve">These projects could increase New England’s tie capability with its neighbors </w:t>
      </w:r>
      <w:r w:rsidR="00050EC2" w:rsidRPr="00195A31">
        <w:t>and improve access to renewable sources of energy. For example, certain generators are considering elective upgrades as a way to mitigate the curtailment of wind energy resources.</w:t>
      </w:r>
      <w:r w:rsidRPr="00195A31">
        <w:t xml:space="preserve"> The ISO will continue to monitor the outcomes of these upgrades and their impacts on system conditions and needs. The ISO has initiated an effort to improve the existing process for reviewing E</w:t>
      </w:r>
      <w:r w:rsidR="004F44D0" w:rsidRPr="00195A31">
        <w:t>TUs</w:t>
      </w:r>
      <w:r w:rsidRPr="00195A31">
        <w:t>. (</w:t>
      </w:r>
      <w:r w:rsidR="002A1F2E" w:rsidRPr="00195A31">
        <w:t>Section </w:t>
      </w:r>
      <w:fldSimple w:instr=" REF _Ref388452655 \r \h  \* MERGEFORMAT ">
        <w:r w:rsidR="00284CE3">
          <w:t>5.8</w:t>
        </w:r>
      </w:fldSimple>
      <w:r w:rsidRPr="00195A31">
        <w:t>)</w:t>
      </w:r>
    </w:p>
    <w:p w:rsidR="00B94DC6" w:rsidRPr="00423EBE" w:rsidRDefault="00B94DC6" w:rsidP="00B94DC6">
      <w:pPr>
        <w:pStyle w:val="Heading3"/>
        <w:spacing w:before="120"/>
      </w:pPr>
      <w:bookmarkStart w:id="57" w:name="_Toc390070638"/>
      <w:bookmarkStart w:id="58" w:name="_Toc396807595"/>
      <w:r w:rsidRPr="00423EBE">
        <w:t>Regional Strategic Planning</w:t>
      </w:r>
      <w:bookmarkEnd w:id="57"/>
      <w:bookmarkEnd w:id="58"/>
      <w:r w:rsidRPr="00423EBE">
        <w:t xml:space="preserve"> </w:t>
      </w:r>
    </w:p>
    <w:p w:rsidR="00B94DC6" w:rsidRPr="0019634D" w:rsidRDefault="00B94DC6" w:rsidP="00B94DC6">
      <w:r w:rsidRPr="00B94E0E">
        <w:t xml:space="preserve">The ISO is assessing </w:t>
      </w:r>
      <w:r>
        <w:t>a number of</w:t>
      </w:r>
      <w:r w:rsidRPr="00B94E0E">
        <w:t xml:space="preserve"> potential reliability effects of </w:t>
      </w:r>
      <w:r w:rsidRPr="00B94E0E">
        <w:rPr>
          <w:color w:val="000000" w:themeColor="text1"/>
        </w:rPr>
        <w:t>the fuel-procurement strategies of natural-gas- and oil-fired generators</w:t>
      </w:r>
      <w:r w:rsidRPr="00B94E0E">
        <w:t xml:space="preserve"> and the influences of public policies, including environmental initiatives. Fuel availability and certainty for generating electric energy, and the system’s need for specific amounts, types, and locations of resources and transmission improvements, are important elements of system reliability</w:t>
      </w:r>
      <w:r>
        <w:t xml:space="preserve"> </w:t>
      </w:r>
      <w:proofErr w:type="gramStart"/>
      <w:r>
        <w:t>being assessed</w:t>
      </w:r>
      <w:proofErr w:type="gramEnd"/>
      <w:r w:rsidRPr="00B94E0E">
        <w:t>. The ISO also is addressing issues concerning the development and integration of renewable</w:t>
      </w:r>
      <w:r w:rsidRPr="00672E9A">
        <w:t xml:space="preserve"> resources and smart grid </w:t>
      </w:r>
      <w:r w:rsidRPr="005162BD">
        <w:t>technologies.</w:t>
      </w:r>
    </w:p>
    <w:p w:rsidR="00B94DC6" w:rsidRPr="001E266B" w:rsidRDefault="00B94DC6" w:rsidP="00B94DC6">
      <w:pPr>
        <w:pStyle w:val="Heading4"/>
      </w:pPr>
      <w:r w:rsidRPr="001E266B">
        <w:t xml:space="preserve">Resource Performance and </w:t>
      </w:r>
      <w:r>
        <w:t>Fuel Certainty</w:t>
      </w:r>
    </w:p>
    <w:p w:rsidR="00B94DC6" w:rsidRDefault="00B94DC6" w:rsidP="00B94DC6">
      <w:r>
        <w:t>S</w:t>
      </w:r>
      <w:r w:rsidRPr="001E266B">
        <w:t xml:space="preserve">everal strategic planning issues associated with </w:t>
      </w:r>
      <w:r>
        <w:t xml:space="preserve">fuel certainty and </w:t>
      </w:r>
      <w:r w:rsidRPr="001E266B">
        <w:t>resource performance</w:t>
      </w:r>
      <w:r>
        <w:t xml:space="preserve"> stem from the region’s dependence on natural gas-fired generation and other constrained-energy resources. </w:t>
      </w:r>
      <w:r w:rsidRPr="001E266B">
        <w:t xml:space="preserve">These problems </w:t>
      </w:r>
      <w:proofErr w:type="gramStart"/>
      <w:r w:rsidRPr="001E266B">
        <w:t>have been quantified</w:t>
      </w:r>
      <w:proofErr w:type="gramEnd"/>
      <w:r>
        <w:t>,</w:t>
      </w:r>
      <w:r w:rsidRPr="001E266B">
        <w:t xml:space="preserve"> and </w:t>
      </w:r>
      <w:r>
        <w:t xml:space="preserve">infrastructure and market </w:t>
      </w:r>
      <w:r w:rsidRPr="001E266B">
        <w:t xml:space="preserve">solutions are being implemented. </w:t>
      </w:r>
    </w:p>
    <w:p w:rsidR="00F70FD2" w:rsidRPr="003D6FD0" w:rsidRDefault="00B94DC6" w:rsidP="00B94DC6">
      <w:proofErr w:type="gramStart"/>
      <w:r w:rsidRPr="00AB24AE">
        <w:rPr>
          <w:i/>
        </w:rPr>
        <w:t>Natural Gas Dependency.</w:t>
      </w:r>
      <w:proofErr w:type="gramEnd"/>
      <w:r w:rsidRPr="00AB24AE">
        <w:t xml:space="preserve"> New England is increasingly dependent on natural gas as a primary fuel for</w:t>
      </w:r>
      <w:r w:rsidRPr="008F1935">
        <w:t xml:space="preserve"> generating electric energy and decreasing its </w:t>
      </w:r>
      <w:r w:rsidRPr="003D6FD0">
        <w:t xml:space="preserve">dependence on oil. In 2013, </w:t>
      </w:r>
      <w:r w:rsidR="00F70FD2" w:rsidRPr="003D6FD0">
        <w:t xml:space="preserve">the approximate percentages of the region’s generation capacity and electric energy </w:t>
      </w:r>
      <w:r w:rsidR="007D17CF" w:rsidRPr="003D6FD0">
        <w:t xml:space="preserve">production </w:t>
      </w:r>
      <w:r w:rsidR="008E2D71" w:rsidRPr="003D6FD0">
        <w:t xml:space="preserve">by fuel type </w:t>
      </w:r>
      <w:r w:rsidR="00F70FD2" w:rsidRPr="003D6FD0">
        <w:t>were as follows:</w:t>
      </w:r>
    </w:p>
    <w:p w:rsidR="00DC7A53" w:rsidRPr="003D6FD0" w:rsidRDefault="00DC7A53" w:rsidP="007D17CF">
      <w:pPr>
        <w:numPr>
          <w:ilvl w:val="0"/>
          <w:numId w:val="585"/>
        </w:numPr>
        <w:spacing w:after="120"/>
      </w:pPr>
      <w:r w:rsidRPr="003D6FD0">
        <w:t>Natural gas: 42.8% capacity</w:t>
      </w:r>
      <w:r w:rsidR="008E2D71" w:rsidRPr="003D6FD0">
        <w:t xml:space="preserve"> and 4</w:t>
      </w:r>
      <w:r w:rsidRPr="003D6FD0">
        <w:t>5.1% electric energy</w:t>
      </w:r>
    </w:p>
    <w:p w:rsidR="007D17CF" w:rsidRPr="003D6FD0" w:rsidRDefault="007D17CF" w:rsidP="007D17CF">
      <w:pPr>
        <w:numPr>
          <w:ilvl w:val="0"/>
          <w:numId w:val="585"/>
        </w:numPr>
        <w:spacing w:after="120"/>
      </w:pPr>
      <w:r w:rsidRPr="003D6FD0">
        <w:t>Oil: 22.3% capacity</w:t>
      </w:r>
      <w:r w:rsidR="008E2D71" w:rsidRPr="003D6FD0">
        <w:t xml:space="preserve"> and</w:t>
      </w:r>
      <w:r w:rsidRPr="003D6FD0">
        <w:t xml:space="preserve"> 0.9% electric energy</w:t>
      </w:r>
    </w:p>
    <w:p w:rsidR="00DC7A53" w:rsidRPr="003D6FD0" w:rsidRDefault="00DC7A53" w:rsidP="007D17CF">
      <w:pPr>
        <w:numPr>
          <w:ilvl w:val="0"/>
          <w:numId w:val="585"/>
        </w:numPr>
        <w:spacing w:after="120"/>
      </w:pPr>
      <w:r w:rsidRPr="003D6FD0">
        <w:t>Coal:</w:t>
      </w:r>
      <w:r w:rsidR="007D17CF" w:rsidRPr="003D6FD0">
        <w:t xml:space="preserve"> 7.2% capacity</w:t>
      </w:r>
      <w:r w:rsidR="008E2D71" w:rsidRPr="003D6FD0">
        <w:t xml:space="preserve"> and</w:t>
      </w:r>
      <w:r w:rsidR="007D17CF" w:rsidRPr="003D6FD0">
        <w:t xml:space="preserve"> 5.6% electric energy</w:t>
      </w:r>
    </w:p>
    <w:p w:rsidR="00DC7A53" w:rsidRPr="003D6FD0" w:rsidRDefault="00DC7A53" w:rsidP="007D17CF">
      <w:pPr>
        <w:numPr>
          <w:ilvl w:val="0"/>
          <w:numId w:val="585"/>
        </w:numPr>
        <w:spacing w:after="120"/>
      </w:pPr>
      <w:r w:rsidRPr="003D6FD0">
        <w:t>Nuclear:</w:t>
      </w:r>
      <w:r w:rsidR="007D17CF" w:rsidRPr="003D6FD0">
        <w:t xml:space="preserve"> 14.6% capacity</w:t>
      </w:r>
      <w:r w:rsidR="008E2D71" w:rsidRPr="003D6FD0">
        <w:t xml:space="preserve"> and</w:t>
      </w:r>
      <w:r w:rsidR="007D17CF" w:rsidRPr="003D6FD0">
        <w:t xml:space="preserve"> 33.2% electric energy</w:t>
      </w:r>
    </w:p>
    <w:p w:rsidR="00DC7A53" w:rsidRPr="003D6FD0" w:rsidRDefault="00A65520" w:rsidP="007D17CF">
      <w:pPr>
        <w:numPr>
          <w:ilvl w:val="0"/>
          <w:numId w:val="585"/>
        </w:numPr>
      </w:pPr>
      <w:r w:rsidRPr="003D6FD0">
        <w:t>Hydro, pumped storage, and renewable resources</w:t>
      </w:r>
      <w:r w:rsidR="007D17CF" w:rsidRPr="003D6FD0">
        <w:t xml:space="preserve">: </w:t>
      </w:r>
      <w:r w:rsidR="003A5741" w:rsidRPr="003D6FD0">
        <w:t>13.1</w:t>
      </w:r>
      <w:r w:rsidRPr="003D6FD0">
        <w:t>% capacity</w:t>
      </w:r>
      <w:r w:rsidR="008E2D71" w:rsidRPr="003D6FD0">
        <w:t xml:space="preserve"> and </w:t>
      </w:r>
      <w:r w:rsidR="003A5741" w:rsidRPr="003D6FD0">
        <w:t>15.3</w:t>
      </w:r>
      <w:r w:rsidRPr="003D6FD0">
        <w:t xml:space="preserve">% </w:t>
      </w:r>
      <w:r w:rsidR="008E2D71" w:rsidRPr="003D6FD0">
        <w:t>electric</w:t>
      </w:r>
      <w:r w:rsidRPr="003D6FD0">
        <w:t xml:space="preserve"> energy </w:t>
      </w:r>
    </w:p>
    <w:p w:rsidR="00B94DC6" w:rsidRDefault="00B94DC6" w:rsidP="00B94DC6">
      <w:r>
        <w:t xml:space="preserve">The high regional dependence on natural-gas-fired generation has resulted in natural gas fuel prices typically setting the marginal price for wholesale electricity. </w:t>
      </w:r>
      <w:r w:rsidRPr="008F1935">
        <w:t>(Section</w:t>
      </w:r>
      <w:r>
        <w:t xml:space="preserve"> </w:t>
      </w:r>
      <w:r w:rsidR="00927965">
        <w:fldChar w:fldCharType="begin"/>
      </w:r>
      <w:r w:rsidR="008A2991">
        <w:instrText xml:space="preserve"> REF _Ref390423940 \r \h </w:instrText>
      </w:r>
      <w:r w:rsidR="00927965">
        <w:fldChar w:fldCharType="separate"/>
      </w:r>
      <w:r w:rsidR="00284CE3">
        <w:t>6.1</w:t>
      </w:r>
      <w:r w:rsidR="00927965">
        <w:fldChar w:fldCharType="end"/>
      </w:r>
      <w:r w:rsidRPr="008F1935">
        <w:t xml:space="preserve">) </w:t>
      </w:r>
    </w:p>
    <w:p w:rsidR="00B94DC6" w:rsidRDefault="00B94DC6" w:rsidP="00B94DC6">
      <w:pPr>
        <w:rPr>
          <w:color w:val="000000" w:themeColor="text1"/>
        </w:rPr>
      </w:pPr>
      <w:r w:rsidRPr="00BF75F5">
        <w:t xml:space="preserve">The high regional use of natural gas to generate electricity is the result of the addition of new, efficient </w:t>
      </w:r>
      <w:r w:rsidRPr="00EC6E3A">
        <w:t xml:space="preserve">natural-gas-fired units </w:t>
      </w:r>
      <w:r w:rsidR="006855A9" w:rsidRPr="006855A9">
        <w:t>over the past 13 years;</w:t>
      </w:r>
      <w:r w:rsidRPr="00EC6E3A">
        <w:t xml:space="preserve"> the generally low price of natural gas; and the</w:t>
      </w:r>
      <w:r w:rsidRPr="00BF75F5">
        <w:t xml:space="preserve"> displacement of older, less efficient oil- and coal-fired units in economic</w:t>
      </w:r>
      <w:r w:rsidRPr="00CC0347">
        <w:t xml:space="preserve"> dispatch.</w:t>
      </w:r>
      <w:r>
        <w:rPr>
          <w:rStyle w:val="FootnoteReference"/>
        </w:rPr>
        <w:footnoteReference w:id="54"/>
      </w:r>
      <w:r w:rsidRPr="00CC0347">
        <w:t xml:space="preserve"> </w:t>
      </w:r>
      <w:r w:rsidRPr="00515E2D">
        <w:t>As</w:t>
      </w:r>
      <w:r w:rsidRPr="002F71DC">
        <w:t xml:space="preserve"> the revenues from the wholesale electricity markets decline for these </w:t>
      </w:r>
      <w:r>
        <w:t xml:space="preserve">older </w:t>
      </w:r>
      <w:r w:rsidRPr="002F71DC">
        <w:t xml:space="preserve">oil and coal units and more units retire, the regional reliance on natural gas </w:t>
      </w:r>
      <w:r>
        <w:t xml:space="preserve">for providing capacity and energy </w:t>
      </w:r>
      <w:r w:rsidRPr="002F71DC">
        <w:t>will increase</w:t>
      </w:r>
      <w:r>
        <w:t xml:space="preserve">. </w:t>
      </w:r>
      <w:r w:rsidR="000E5ED9">
        <w:t>N</w:t>
      </w:r>
      <w:r>
        <w:t xml:space="preserve">atural gas-fired generation’s proportion of the system capacity mix </w:t>
      </w:r>
      <w:proofErr w:type="gramStart"/>
      <w:r>
        <w:t>is expected</w:t>
      </w:r>
      <w:proofErr w:type="gramEnd"/>
      <w:r>
        <w:t xml:space="preserve"> to grow to approximately 48% as early as 2017. The region will continue to depend on natural-gas-fired generation</w:t>
      </w:r>
      <w:r w:rsidRPr="00EA2E47">
        <w:t xml:space="preserve"> </w:t>
      </w:r>
      <w:r>
        <w:t xml:space="preserve">because of the risks faced by </w:t>
      </w:r>
      <w:r w:rsidRPr="0053323A">
        <w:t>other types of generation</w:t>
      </w:r>
      <w:r w:rsidR="0060377F">
        <w:t>. N</w:t>
      </w:r>
      <w:r w:rsidRPr="0053323A">
        <w:t xml:space="preserve">uclear and hydro units </w:t>
      </w:r>
      <w:r>
        <w:t xml:space="preserve">have already announced retirements or </w:t>
      </w:r>
      <w:proofErr w:type="gramStart"/>
      <w:r w:rsidRPr="0053323A">
        <w:t>may not be relicensed</w:t>
      </w:r>
      <w:proofErr w:type="gramEnd"/>
      <w:r w:rsidRPr="0053323A">
        <w:t xml:space="preserve">. </w:t>
      </w:r>
      <w:r w:rsidRPr="00EF3B4D">
        <w:rPr>
          <w:color w:val="000000" w:themeColor="text1"/>
        </w:rPr>
        <w:t>Many units</w:t>
      </w:r>
      <w:r w:rsidR="00946910">
        <w:rPr>
          <w:color w:val="000000" w:themeColor="text1"/>
        </w:rPr>
        <w:t xml:space="preserve"> </w:t>
      </w:r>
      <w:r w:rsidRPr="00EF3B4D">
        <w:rPr>
          <w:color w:val="000000" w:themeColor="text1"/>
        </w:rPr>
        <w:t>do not have dual-fuel capability</w:t>
      </w:r>
      <w:r w:rsidR="00946910">
        <w:rPr>
          <w:color w:val="000000" w:themeColor="text1"/>
        </w:rPr>
        <w:t xml:space="preserve">. Other units with dual-fuel capability, especially newer combined-cycle generators, are not effective </w:t>
      </w:r>
      <w:r w:rsidRPr="00EF3B4D">
        <w:rPr>
          <w:color w:val="000000" w:themeColor="text1"/>
        </w:rPr>
        <w:t xml:space="preserve">in terms of the amount of time they need to switch to using oil or the availability of secondary fuel inventory. </w:t>
      </w:r>
    </w:p>
    <w:p w:rsidR="00B94DC6" w:rsidRPr="00DA4177" w:rsidRDefault="00B94DC6" w:rsidP="00B94DC6">
      <w:pPr>
        <w:rPr>
          <w:color w:val="000000" w:themeColor="text1"/>
        </w:rPr>
      </w:pPr>
      <w:r w:rsidRPr="00EF3B4D">
        <w:t>A</w:t>
      </w:r>
      <w:r>
        <w:t>dding to the concern about t</w:t>
      </w:r>
      <w:r w:rsidRPr="0053323A">
        <w:t xml:space="preserve">he increased use of natural gas </w:t>
      </w:r>
      <w:r>
        <w:t xml:space="preserve">are </w:t>
      </w:r>
      <w:r w:rsidRPr="0053323A">
        <w:t xml:space="preserve">concerns </w:t>
      </w:r>
      <w:r>
        <w:t xml:space="preserve">about </w:t>
      </w:r>
      <w:r w:rsidRPr="0053323A">
        <w:t xml:space="preserve">the </w:t>
      </w:r>
      <w:r>
        <w:t xml:space="preserve">capacity of the </w:t>
      </w:r>
      <w:r w:rsidRPr="0053323A">
        <w:t>region’s gas pipeline</w:t>
      </w:r>
      <w:r>
        <w:t xml:space="preserve">s </w:t>
      </w:r>
      <w:r w:rsidRPr="0053323A">
        <w:t xml:space="preserve">and </w:t>
      </w:r>
      <w:r>
        <w:t xml:space="preserve">the </w:t>
      </w:r>
      <w:r w:rsidRPr="00D57DFB">
        <w:t>adequacy of</w:t>
      </w:r>
      <w:r w:rsidRPr="00D942D9">
        <w:t xml:space="preserve"> the</w:t>
      </w:r>
      <w:r>
        <w:t xml:space="preserve"> </w:t>
      </w:r>
      <w:r w:rsidRPr="0053323A">
        <w:t xml:space="preserve">gas supply </w:t>
      </w:r>
      <w:r>
        <w:t>for serving electric power generation</w:t>
      </w:r>
      <w:r w:rsidRPr="00E84B5F">
        <w:t xml:space="preserve"> </w:t>
      </w:r>
      <w:r>
        <w:t xml:space="preserve">reliably; at any time of the year, a </w:t>
      </w:r>
      <w:r w:rsidRPr="0053323A">
        <w:t xml:space="preserve">natural </w:t>
      </w:r>
      <w:r>
        <w:t>or</w:t>
      </w:r>
      <w:r w:rsidRPr="0053323A">
        <w:t xml:space="preserve"> </w:t>
      </w:r>
      <w:r w:rsidRPr="00F4247A">
        <w:t>geopolitical event</w:t>
      </w:r>
      <w:r>
        <w:t xml:space="preserve"> </w:t>
      </w:r>
      <w:r w:rsidRPr="00F4247A">
        <w:t xml:space="preserve">could interrupt supplies of gas and other fuels, such as oil and coal. </w:t>
      </w:r>
      <w:r>
        <w:t xml:space="preserve">Renewable resources provide some diversity of energy supply but are weather dependent, typically </w:t>
      </w:r>
      <w:r w:rsidR="009419FB">
        <w:t xml:space="preserve">need </w:t>
      </w:r>
      <w:r>
        <w:t xml:space="preserve">thermal or hydro resources to accommodate their variability, and pose both </w:t>
      </w:r>
      <w:r w:rsidRPr="00DA4177">
        <w:t xml:space="preserve">interconnection and operational challenges. </w:t>
      </w:r>
      <w:r w:rsidRPr="00DA4177">
        <w:rPr>
          <w:color w:val="000000" w:themeColor="text1"/>
        </w:rPr>
        <w:t>(Section</w:t>
      </w:r>
      <w:r w:rsidR="008A2991" w:rsidRPr="00DA4177">
        <w:rPr>
          <w:color w:val="000000" w:themeColor="text1"/>
        </w:rPr>
        <w:t>s</w:t>
      </w:r>
      <w:r w:rsidRPr="00DA4177">
        <w:rPr>
          <w:color w:val="000000" w:themeColor="text1"/>
        </w:rPr>
        <w:t xml:space="preserve"> </w:t>
      </w:r>
      <w:fldSimple w:instr=" REF _Ref388448569 \r \h  \* MERGEFORMAT ">
        <w:r w:rsidR="00284CE3" w:rsidRPr="00284CE3">
          <w:rPr>
            <w:color w:val="000000" w:themeColor="text1"/>
          </w:rPr>
          <w:t>6.2.2</w:t>
        </w:r>
      </w:fldSimple>
      <w:r w:rsidRPr="00DA4177">
        <w:rPr>
          <w:color w:val="000000" w:themeColor="text1"/>
        </w:rPr>
        <w:t xml:space="preserve"> and </w:t>
      </w:r>
      <w:fldSimple w:instr=" REF _Ref388709721 \r \h  \* MERGEFORMAT ">
        <w:r w:rsidR="00284CE3" w:rsidRPr="00284CE3">
          <w:rPr>
            <w:color w:val="000000" w:themeColor="text1"/>
          </w:rPr>
          <w:t>6.6</w:t>
        </w:r>
      </w:fldSimple>
      <w:r w:rsidRPr="00DA4177">
        <w:rPr>
          <w:color w:val="000000" w:themeColor="text1"/>
        </w:rPr>
        <w:t xml:space="preserve">) </w:t>
      </w:r>
    </w:p>
    <w:p w:rsidR="00B94DC6" w:rsidRDefault="00B94DC6" w:rsidP="00B94DC6">
      <w:pPr>
        <w:pStyle w:val="CommentText"/>
        <w:spacing w:line="260" w:lineRule="atLeast"/>
      </w:pPr>
      <w:proofErr w:type="gramStart"/>
      <w:r w:rsidRPr="00DA4177">
        <w:rPr>
          <w:i/>
        </w:rPr>
        <w:t>Natural Gas Infrastructure.</w:t>
      </w:r>
      <w:proofErr w:type="gramEnd"/>
      <w:r w:rsidRPr="00DA4177">
        <w:t xml:space="preserve"> Recent improvements to the interregional natural gas infrastructure have helpe</w:t>
      </w:r>
      <w:r w:rsidR="00113C54" w:rsidRPr="00113C54">
        <w:t xml:space="preserve">d increase the supply of natural gas from the Marcellus Shale production areas, displacing the </w:t>
      </w:r>
      <w:r w:rsidR="000E5ED9">
        <w:t xml:space="preserve">Northeast’s </w:t>
      </w:r>
      <w:r w:rsidR="00113C54" w:rsidRPr="00113C54">
        <w:t>traditional supply sources, such as the Gulf of Mexico.</w:t>
      </w:r>
      <w:r w:rsidRPr="00DA4177">
        <w:t xml:space="preserve"> Additional</w:t>
      </w:r>
      <w:r w:rsidRPr="000B66C7">
        <w:t xml:space="preserve"> enhancements</w:t>
      </w:r>
      <w:r>
        <w:t xml:space="preserve"> to the regional pipeline network </w:t>
      </w:r>
      <w:proofErr w:type="gramStart"/>
      <w:r>
        <w:t>are planned</w:t>
      </w:r>
      <w:proofErr w:type="gramEnd"/>
      <w:r>
        <w:t xml:space="preserve"> and would allow New England to access the </w:t>
      </w:r>
      <w:r w:rsidRPr="00BF75F5">
        <w:t xml:space="preserve">larger quantities of natural gas for the region’s power </w:t>
      </w:r>
      <w:r w:rsidRPr="00DA4177">
        <w:t xml:space="preserve">generators. </w:t>
      </w:r>
      <w:r w:rsidR="00113C54" w:rsidRPr="00113C54">
        <w:t>Further</w:t>
      </w:r>
      <w:r w:rsidRPr="00BF75F5">
        <w:t xml:space="preserve"> expansion, however, is likely</w:t>
      </w:r>
      <w:r>
        <w:t xml:space="preserve"> required</w:t>
      </w:r>
      <w:r w:rsidR="002610F0">
        <w:t xml:space="preserve">, which would improve </w:t>
      </w:r>
      <w:r w:rsidR="0060377F">
        <w:t xml:space="preserve">fuel certainty for the </w:t>
      </w:r>
      <w:r w:rsidR="002610F0">
        <w:t>electric power system and provide access to more</w:t>
      </w:r>
      <w:r w:rsidR="00136127">
        <w:t xml:space="preserve"> </w:t>
      </w:r>
      <w:r w:rsidR="002610F0">
        <w:t>economical natural gas supply</w:t>
      </w:r>
      <w:r>
        <w:t xml:space="preserve">. Unlike the electric power industry, which proactively plans the expansion of the transmission network, natural gas transportation </w:t>
      </w:r>
      <w:r w:rsidRPr="00863CA5">
        <w:t xml:space="preserve">requires </w:t>
      </w:r>
      <w:r w:rsidR="00113C54" w:rsidRPr="00113C54">
        <w:t>firm</w:t>
      </w:r>
      <w:r>
        <w:t xml:space="preserve"> contractual arrangements before natural gas pipeline facilities </w:t>
      </w:r>
      <w:proofErr w:type="gramStart"/>
      <w:r>
        <w:t>can be constructed</w:t>
      </w:r>
      <w:proofErr w:type="gramEnd"/>
      <w:r>
        <w:t xml:space="preserve">. The New England states are considering </w:t>
      </w:r>
      <w:r w:rsidR="00F41981">
        <w:t>the</w:t>
      </w:r>
      <w:r>
        <w:t xml:space="preserve"> means of funding pipeline expansion into the region</w:t>
      </w:r>
      <w:r w:rsidR="00F41981">
        <w:t xml:space="preserve">, including </w:t>
      </w:r>
      <w:r w:rsidR="00AA4195">
        <w:t>possible modifications to the</w:t>
      </w:r>
      <w:r w:rsidR="00F41981">
        <w:t xml:space="preserve"> ISO tariff</w:t>
      </w:r>
      <w:r>
        <w:t xml:space="preserve">. </w:t>
      </w:r>
      <w:r w:rsidR="00EC6E3A">
        <w:t>The i</w:t>
      </w:r>
      <w:r w:rsidR="00F17959">
        <w:t>ncreased u</w:t>
      </w:r>
      <w:r w:rsidR="00EC6E3A">
        <w:t>se</w:t>
      </w:r>
      <w:r w:rsidR="00F17959">
        <w:t xml:space="preserve"> of existing LNG storage capability </w:t>
      </w:r>
      <w:r w:rsidR="0075722F">
        <w:t xml:space="preserve">or </w:t>
      </w:r>
      <w:r w:rsidR="00863CA5">
        <w:t xml:space="preserve">the </w:t>
      </w:r>
      <w:r w:rsidR="0075722F">
        <w:t xml:space="preserve">expansion of </w:t>
      </w:r>
      <w:r w:rsidR="008B4ECC">
        <w:t xml:space="preserve">this </w:t>
      </w:r>
      <w:r w:rsidR="0075722F">
        <w:t>capabilit</w:t>
      </w:r>
      <w:r w:rsidR="008B4ECC">
        <w:t>y</w:t>
      </w:r>
      <w:r w:rsidR="00863CA5">
        <w:t xml:space="preserve"> also</w:t>
      </w:r>
      <w:r w:rsidR="0075722F">
        <w:t xml:space="preserve"> c</w:t>
      </w:r>
      <w:r w:rsidR="00DC2A16">
        <w:t xml:space="preserve">ould improve fuel certainty. </w:t>
      </w:r>
      <w:r>
        <w:t>(Section </w:t>
      </w:r>
      <w:r w:rsidR="00927965">
        <w:fldChar w:fldCharType="begin"/>
      </w:r>
      <w:r w:rsidR="008A2991">
        <w:instrText xml:space="preserve"> REF _Ref388710255 \r \h </w:instrText>
      </w:r>
      <w:r w:rsidR="00927965">
        <w:fldChar w:fldCharType="separate"/>
      </w:r>
      <w:r w:rsidR="00284CE3">
        <w:t>6.2.1</w:t>
      </w:r>
      <w:r w:rsidR="00927965">
        <w:fldChar w:fldCharType="end"/>
      </w:r>
      <w:r>
        <w:t>)</w:t>
      </w:r>
    </w:p>
    <w:p w:rsidR="00B94DC6" w:rsidRDefault="00B94DC6" w:rsidP="00B94DC6">
      <w:proofErr w:type="gramStart"/>
      <w:r w:rsidRPr="00AB24AE">
        <w:rPr>
          <w:i/>
        </w:rPr>
        <w:t>Resource Performance.</w:t>
      </w:r>
      <w:proofErr w:type="gramEnd"/>
      <w:r w:rsidRPr="00AB24AE">
        <w:rPr>
          <w:i/>
        </w:rPr>
        <w:t xml:space="preserve"> </w:t>
      </w:r>
      <w:r>
        <w:t xml:space="preserve">Operational experience </w:t>
      </w:r>
      <w:r w:rsidRPr="00AB24AE">
        <w:t>during winter 2013</w:t>
      </w:r>
      <w:r>
        <w:t>/2014</w:t>
      </w:r>
      <w:r w:rsidRPr="00AB24AE">
        <w:t xml:space="preserve"> </w:t>
      </w:r>
      <w:r>
        <w:t>showed the need for the ISO to manage the limitations of energy production by electric power generators. T</w:t>
      </w:r>
      <w:r w:rsidRPr="00AB24AE">
        <w:t>he</w:t>
      </w:r>
      <w:r w:rsidRPr="0047180B">
        <w:t xml:space="preserve"> </w:t>
      </w:r>
      <w:r w:rsidRPr="00EA2E47">
        <w:t xml:space="preserve">vulnerabilities and limitations of the system </w:t>
      </w:r>
      <w:r>
        <w:t>were evident</w:t>
      </w:r>
      <w:r w:rsidRPr="001729BB">
        <w:t xml:space="preserve"> </w:t>
      </w:r>
      <w:r w:rsidRPr="00EA2E47">
        <w:t xml:space="preserve">during severe winter </w:t>
      </w:r>
      <w:r>
        <w:t>weather and</w:t>
      </w:r>
      <w:r w:rsidRPr="00EA2E47">
        <w:t xml:space="preserve"> other stressed system</w:t>
      </w:r>
      <w:r w:rsidRPr="0047180B">
        <w:t xml:space="preserve"> conditions</w:t>
      </w:r>
      <w:r>
        <w:t xml:space="preserve"> because natural gas was not available to </w:t>
      </w:r>
      <w:r w:rsidRPr="00EA2E47">
        <w:t xml:space="preserve">generators </w:t>
      </w:r>
      <w:r>
        <w:t>at desired levels</w:t>
      </w:r>
      <w:r w:rsidRPr="0047180B">
        <w:t xml:space="preserve">. </w:t>
      </w:r>
      <w:r w:rsidR="002610F0">
        <w:t>Several o</w:t>
      </w:r>
      <w:r w:rsidRPr="0047180B">
        <w:t>il-</w:t>
      </w:r>
      <w:r w:rsidRPr="00BF75F5">
        <w:t>fired generators</w:t>
      </w:r>
      <w:r>
        <w:t xml:space="preserve">, which operated </w:t>
      </w:r>
      <w:r w:rsidR="00DB6D3D">
        <w:t>periodically</w:t>
      </w:r>
      <w:r>
        <w:t xml:space="preserve"> </w:t>
      </w:r>
      <w:r w:rsidRPr="00BF75F5">
        <w:t xml:space="preserve">and </w:t>
      </w:r>
      <w:proofErr w:type="gramStart"/>
      <w:r>
        <w:t xml:space="preserve">were </w:t>
      </w:r>
      <w:r w:rsidRPr="00BF75F5">
        <w:t>expos</w:t>
      </w:r>
      <w:r>
        <w:t>ed</w:t>
      </w:r>
      <w:proofErr w:type="gramEnd"/>
      <w:r>
        <w:t xml:space="preserve"> </w:t>
      </w:r>
      <w:r w:rsidRPr="00BF75F5">
        <w:t xml:space="preserve">to </w:t>
      </w:r>
      <w:r>
        <w:t xml:space="preserve">equipment failure, </w:t>
      </w:r>
      <w:r w:rsidRPr="00BF75F5">
        <w:t>fuel interruptions</w:t>
      </w:r>
      <w:r>
        <w:t>,</w:t>
      </w:r>
      <w:r w:rsidRPr="00BF75F5">
        <w:t xml:space="preserve"> and supply limitations</w:t>
      </w:r>
      <w:r>
        <w:t xml:space="preserve">, further highlighted </w:t>
      </w:r>
      <w:r w:rsidRPr="0047180B">
        <w:t>reliability issues</w:t>
      </w:r>
      <w:r>
        <w:t xml:space="preserve">. </w:t>
      </w:r>
      <w:r w:rsidRPr="00BF75F5">
        <w:t>Market rules that</w:t>
      </w:r>
      <w:r>
        <w:t xml:space="preserve"> allow resources to constrain their operation when they have limited fuel</w:t>
      </w:r>
      <w:r w:rsidRPr="00D942D9">
        <w:t xml:space="preserve">, </w:t>
      </w:r>
      <w:r w:rsidRPr="00D57DFB">
        <w:t>such as</w:t>
      </w:r>
      <w:r w:rsidRPr="00D942D9">
        <w:t xml:space="preserve"> when </w:t>
      </w:r>
      <w:r w:rsidRPr="00D57DFB">
        <w:t>the capacity of the natural gas pipeline is lacking, added to operating concerns.</w:t>
      </w:r>
      <w:r w:rsidRPr="00D942D9">
        <w:rPr>
          <w:rStyle w:val="FootnoteReference"/>
        </w:rPr>
        <w:footnoteReference w:id="55"/>
      </w:r>
      <w:r>
        <w:t xml:space="preserve"> (Section </w:t>
      </w:r>
      <w:r w:rsidR="00927965">
        <w:fldChar w:fldCharType="begin"/>
      </w:r>
      <w:r w:rsidR="008A2991">
        <w:instrText xml:space="preserve"> REF _Ref388448569 \r \h </w:instrText>
      </w:r>
      <w:r w:rsidR="00927965">
        <w:fldChar w:fldCharType="separate"/>
      </w:r>
      <w:r w:rsidR="00284CE3">
        <w:t>6.2.2</w:t>
      </w:r>
      <w:r w:rsidR="00927965">
        <w:fldChar w:fldCharType="end"/>
      </w:r>
      <w:r>
        <w:t>)</w:t>
      </w:r>
    </w:p>
    <w:p w:rsidR="00785403" w:rsidRDefault="00B94DC6" w:rsidP="00785403">
      <w:pPr>
        <w:pStyle w:val="CommentText"/>
        <w:spacing w:line="260" w:lineRule="atLeast"/>
      </w:pPr>
      <w:r>
        <w:t>The ISO has taken a number of actions to address fuel</w:t>
      </w:r>
      <w:r w:rsidR="0082756D">
        <w:t>-</w:t>
      </w:r>
      <w:r>
        <w:t>certainty issues in the short</w:t>
      </w:r>
      <w:r w:rsidR="002610F0">
        <w:t xml:space="preserve"> </w:t>
      </w:r>
      <w:r>
        <w:t>and longer</w:t>
      </w:r>
      <w:r w:rsidR="002610F0">
        <w:t xml:space="preserve"> </w:t>
      </w:r>
      <w:r>
        <w:t>term</w:t>
      </w:r>
      <w:r w:rsidR="002610F0">
        <w:t>s</w:t>
      </w:r>
      <w:r>
        <w:t>. Regional load was reliably served</w:t>
      </w:r>
      <w:r w:rsidRPr="00AD7FE0">
        <w:t xml:space="preserve"> </w:t>
      </w:r>
      <w:r>
        <w:t xml:space="preserve">during winter 2013/2014 as a result of improved communication between electric </w:t>
      </w:r>
      <w:r w:rsidR="000E5ED9">
        <w:t xml:space="preserve">power </w:t>
      </w:r>
      <w:r>
        <w:t xml:space="preserve">and natural gas system operators and the successful implementation of </w:t>
      </w:r>
      <w:r w:rsidR="007D5419">
        <w:t>a</w:t>
      </w:r>
      <w:r>
        <w:t xml:space="preserve"> </w:t>
      </w:r>
      <w:r w:rsidR="007D5419">
        <w:t>w</w:t>
      </w:r>
      <w:r>
        <w:t xml:space="preserve">inter </w:t>
      </w:r>
      <w:r w:rsidR="007D5419" w:rsidRPr="00A34A75">
        <w:t>r</w:t>
      </w:r>
      <w:r w:rsidRPr="00A34A75">
        <w:t xml:space="preserve">eliability </w:t>
      </w:r>
      <w:r w:rsidR="007D5419" w:rsidRPr="00A34A75">
        <w:t>p</w:t>
      </w:r>
      <w:r w:rsidRPr="00A34A75">
        <w:t>rogram, which proved vital in maintaining required fuel supplies.</w:t>
      </w:r>
      <w:r w:rsidRPr="00A34A75">
        <w:rPr>
          <w:rStyle w:val="FootnoteReference"/>
        </w:rPr>
        <w:footnoteReference w:id="56"/>
      </w:r>
      <w:r w:rsidRPr="00A34A75">
        <w:t xml:space="preserve"> </w:t>
      </w:r>
      <w:r w:rsidR="00D837D8" w:rsidRPr="00A34A75">
        <w:t>The ISO has filed and FERC has approved an update to this program for winter 2014/2015.</w:t>
      </w:r>
      <w:r w:rsidR="00D837D8" w:rsidRPr="00A34A75">
        <w:rPr>
          <w:rStyle w:val="FootnoteReference"/>
        </w:rPr>
        <w:footnoteReference w:id="57"/>
      </w:r>
      <w:r w:rsidR="000B4D9C" w:rsidRPr="00A34A75">
        <w:t xml:space="preserve"> </w:t>
      </w:r>
      <w:r w:rsidRPr="00A34A75">
        <w:t xml:space="preserve">In addition, the ISO is actively </w:t>
      </w:r>
      <w:r w:rsidR="00D837D8" w:rsidRPr="00A34A75">
        <w:t xml:space="preserve">collaborating </w:t>
      </w:r>
      <w:r w:rsidRPr="00A34A75">
        <w:t>with stakeholders to improve the</w:t>
      </w:r>
      <w:r w:rsidRPr="00933BC6">
        <w:t xml:space="preserve"> Day-Ahead </w:t>
      </w:r>
      <w:r w:rsidR="00933BC6" w:rsidRPr="00933BC6">
        <w:t xml:space="preserve">Energy Market, </w:t>
      </w:r>
      <w:r w:rsidRPr="00933BC6">
        <w:t>Real-Time Energy Market</w:t>
      </w:r>
      <w:r w:rsidR="00933BC6" w:rsidRPr="00933BC6">
        <w:t>,</w:t>
      </w:r>
      <w:r w:rsidRPr="00933BC6">
        <w:t xml:space="preserve"> and </w:t>
      </w:r>
      <w:r>
        <w:t>Forward Capacity Market. B</w:t>
      </w:r>
      <w:r w:rsidRPr="00421F2A">
        <w:t>y the end of 2014</w:t>
      </w:r>
      <w:r>
        <w:t>, the ISO plans on implementing rule changes that allow generators to better reflect the real-time price of fuel in their supply offers.</w:t>
      </w:r>
      <w:r w:rsidRPr="00421F2A">
        <w:rPr>
          <w:rStyle w:val="FootnoteReference"/>
        </w:rPr>
        <w:footnoteReference w:id="58"/>
      </w:r>
      <w:r w:rsidRPr="00F4247A">
        <w:t xml:space="preserve"> </w:t>
      </w:r>
      <w:r>
        <w:t xml:space="preserve">Longer-term, an FCM pay-for-performance mechanism should create stronger financial incentives for capacity supplies to produce electricity </w:t>
      </w:r>
      <w:r w:rsidR="002610F0">
        <w:t xml:space="preserve">and supply reserves </w:t>
      </w:r>
      <w:r>
        <w:t>when needed the most. This planned market improvement is designed to encourage generator owners to invest in dual-fuel capability or new fast-start assets</w:t>
      </w:r>
      <w:r w:rsidR="00462998">
        <w:t xml:space="preserve">, </w:t>
      </w:r>
      <w:r>
        <w:t xml:space="preserve">enter </w:t>
      </w:r>
      <w:r w:rsidRPr="00863CA5">
        <w:t xml:space="preserve">into </w:t>
      </w:r>
      <w:r w:rsidR="00113C54" w:rsidRPr="00113C54">
        <w:t>firm</w:t>
      </w:r>
      <w:r w:rsidRPr="00863CA5">
        <w:t>er</w:t>
      </w:r>
      <w:r>
        <w:t xml:space="preserve"> fuel arrangements, and have more reliable operating and maintenance practices</w:t>
      </w:r>
      <w:r w:rsidR="00462998">
        <w:t xml:space="preserve">, </w:t>
      </w:r>
      <w:r w:rsidR="00462998" w:rsidRPr="002610F0">
        <w:t xml:space="preserve">which </w:t>
      </w:r>
      <w:r w:rsidR="006229A8" w:rsidRPr="002610F0">
        <w:t>all</w:t>
      </w:r>
      <w:r w:rsidR="00462998" w:rsidRPr="002610F0">
        <w:t xml:space="preserve"> should in turn</w:t>
      </w:r>
      <w:r w:rsidR="00462998">
        <w:t xml:space="preserve"> reduce the need for </w:t>
      </w:r>
      <w:proofErr w:type="gramStart"/>
      <w:r w:rsidR="00462998">
        <w:t>stop-gap</w:t>
      </w:r>
      <w:proofErr w:type="gramEnd"/>
      <w:r w:rsidR="00462998">
        <w:t xml:space="preserve"> measures like </w:t>
      </w:r>
      <w:r w:rsidR="007D5419">
        <w:t>a</w:t>
      </w:r>
      <w:r w:rsidR="00462998">
        <w:t xml:space="preserve"> </w:t>
      </w:r>
      <w:r w:rsidR="007D5419">
        <w:t>w</w:t>
      </w:r>
      <w:r w:rsidR="00462998">
        <w:t xml:space="preserve">inter </w:t>
      </w:r>
      <w:r w:rsidR="007D5419">
        <w:t>r</w:t>
      </w:r>
      <w:r w:rsidR="00462998">
        <w:t xml:space="preserve">eliability </w:t>
      </w:r>
      <w:r w:rsidR="007D5419">
        <w:t>p</w:t>
      </w:r>
      <w:r w:rsidR="00462998">
        <w:t>rogram</w:t>
      </w:r>
      <w:r>
        <w:t xml:space="preserve">. </w:t>
      </w:r>
    </w:p>
    <w:p w:rsidR="00B94DC6" w:rsidRPr="00792F3B" w:rsidRDefault="00B94DC6" w:rsidP="00B94DC6">
      <w:r w:rsidRPr="00792F3B">
        <w:t>More fully integrating demand resources into the energy market</w:t>
      </w:r>
      <w:r>
        <w:t xml:space="preserve"> also is planned to </w:t>
      </w:r>
      <w:r w:rsidRPr="00792F3B">
        <w:t xml:space="preserve">broaden the conditions under which demand resources could be called on to </w:t>
      </w:r>
      <w:proofErr w:type="gramStart"/>
      <w:r w:rsidRPr="00792F3B">
        <w:t>help meet</w:t>
      </w:r>
      <w:proofErr w:type="gramEnd"/>
      <w:r w:rsidRPr="00792F3B">
        <w:t xml:space="preserve"> the region’s energy needs</w:t>
      </w:r>
      <w:r>
        <w:t>.</w:t>
      </w:r>
      <w:r w:rsidRPr="00EA2E47">
        <w:t xml:space="preserve"> (Section</w:t>
      </w:r>
      <w:r>
        <w:t xml:space="preserve"> </w:t>
      </w:r>
      <w:r w:rsidR="00927965">
        <w:fldChar w:fldCharType="begin"/>
      </w:r>
      <w:r w:rsidR="008A2991">
        <w:instrText xml:space="preserve"> REF _Ref388448569 \r \h </w:instrText>
      </w:r>
      <w:r w:rsidR="00927965">
        <w:fldChar w:fldCharType="separate"/>
      </w:r>
      <w:r w:rsidR="00284CE3">
        <w:t>6.2.2</w:t>
      </w:r>
      <w:r w:rsidR="00927965">
        <w:fldChar w:fldCharType="end"/>
      </w:r>
      <w:r w:rsidRPr="00EA2E47">
        <w:t>)</w:t>
      </w:r>
      <w:r>
        <w:t xml:space="preserve"> </w:t>
      </w:r>
    </w:p>
    <w:p w:rsidR="00B94DC6" w:rsidRDefault="00B94DC6" w:rsidP="00B94DC6">
      <w:proofErr w:type="gramStart"/>
      <w:r w:rsidRPr="008F742F">
        <w:rPr>
          <w:i/>
        </w:rPr>
        <w:t xml:space="preserve">Studies of Natural Gas </w:t>
      </w:r>
      <w:r>
        <w:rPr>
          <w:i/>
        </w:rPr>
        <w:t xml:space="preserve">Supply </w:t>
      </w:r>
      <w:r w:rsidRPr="008F742F">
        <w:rPr>
          <w:i/>
        </w:rPr>
        <w:t>Issues.</w:t>
      </w:r>
      <w:proofErr w:type="gramEnd"/>
      <w:r w:rsidRPr="008F742F">
        <w:rPr>
          <w:i/>
        </w:rPr>
        <w:t xml:space="preserve"> </w:t>
      </w:r>
      <w:r>
        <w:t>P</w:t>
      </w:r>
      <w:r w:rsidRPr="00F4247A">
        <w:t>lanning stud</w:t>
      </w:r>
      <w:r>
        <w:t>ies</w:t>
      </w:r>
      <w:r w:rsidRPr="00F4247A">
        <w:t xml:space="preserve"> of regional natural gas issues</w:t>
      </w:r>
      <w:r>
        <w:t xml:space="preserve"> quantified the need to bolster the region’s natural gas system supply or the use of non-gas-fired resources under a number of scenarios. </w:t>
      </w:r>
      <w:r w:rsidRPr="00F5727F">
        <w:t>The</w:t>
      </w:r>
      <w:r>
        <w:t xml:space="preserve"> scenarios included </w:t>
      </w:r>
      <w:r w:rsidR="00405ACC">
        <w:t xml:space="preserve">outages of non-gas-fired generating units, </w:t>
      </w:r>
      <w:r>
        <w:t>the replacement of older oil- and coal-fired generating units with natural-gas-fired generators</w:t>
      </w:r>
      <w:r w:rsidR="00405ACC">
        <w:t>,</w:t>
      </w:r>
      <w:r>
        <w:t xml:space="preserve"> and outages of </w:t>
      </w:r>
      <w:r w:rsidRPr="00381C48">
        <w:t>natural gas infrastructure affecting reliable electric power operation</w:t>
      </w:r>
      <w:r>
        <w:t>.</w:t>
      </w:r>
      <w:r w:rsidRPr="00F4247A">
        <w:rPr>
          <w:rStyle w:val="FootnoteReference"/>
        </w:rPr>
        <w:footnoteReference w:id="59"/>
      </w:r>
      <w:r>
        <w:t xml:space="preserve"> The studies examined the potential natural gas available to the region from pipelines, peak-shaving capabilities of the local distribution companies (LDCs)</w:t>
      </w:r>
      <w:r w:rsidR="002610F0">
        <w:t xml:space="preserve"> that serve retail customers</w:t>
      </w:r>
      <w:r>
        <w:t xml:space="preserve">, and LNG storage. The natural gas supply </w:t>
      </w:r>
      <w:proofErr w:type="gramStart"/>
      <w:r>
        <w:t>was compared</w:t>
      </w:r>
      <w:proofErr w:type="gramEnd"/>
      <w:r>
        <w:t xml:space="preserve"> with the natural gas demand </w:t>
      </w:r>
      <w:r w:rsidRPr="00863CA5">
        <w:t xml:space="preserve">of </w:t>
      </w:r>
      <w:r w:rsidR="00113C54" w:rsidRPr="00113C54">
        <w:t>firm</w:t>
      </w:r>
      <w:r w:rsidRPr="00863CA5">
        <w:t xml:space="preserve"> contract</w:t>
      </w:r>
      <w:r>
        <w:t xml:space="preserve"> holders, including LDCs. The scenarios considered the demands of natural gas customers upstream of New England, and some modeled the low levels of LNG stored and </w:t>
      </w:r>
      <w:r w:rsidRPr="00B678F9">
        <w:t xml:space="preserve">available to the region during winter 2013/2014. </w:t>
      </w:r>
      <w:r w:rsidR="00113C54" w:rsidRPr="00B678F9">
        <w:t>The studies</w:t>
      </w:r>
      <w:r w:rsidR="00863CA5" w:rsidRPr="00B678F9">
        <w:t xml:space="preserve">, which used 20 years of weather data, </w:t>
      </w:r>
      <w:r w:rsidR="00113C54" w:rsidRPr="00113C54">
        <w:t>show that electric power generators would likely have a gas supply deficit on 24 to 34 days per winter by 2019/</w:t>
      </w:r>
      <w:r w:rsidR="006855A9" w:rsidRPr="00863CA5">
        <w:t>2020</w:t>
      </w:r>
      <w:r w:rsidR="00863CA5" w:rsidRPr="00863CA5">
        <w:t>.</w:t>
      </w:r>
      <w:r w:rsidRPr="00863CA5">
        <w:t xml:space="preserve"> Under 2013/2014 winter conditions, the supply deficit would be even more severe. (</w:t>
      </w:r>
      <w:r w:rsidR="008B4ECC" w:rsidRPr="00863CA5">
        <w:t>Section</w:t>
      </w:r>
      <w:r w:rsidR="008B4ECC">
        <w:t> </w:t>
      </w:r>
      <w:r w:rsidR="00927965">
        <w:fldChar w:fldCharType="begin"/>
      </w:r>
      <w:r w:rsidR="008A2991">
        <w:instrText xml:space="preserve"> REF _Ref388711316 \r \h </w:instrText>
      </w:r>
      <w:r w:rsidR="00927965">
        <w:fldChar w:fldCharType="separate"/>
      </w:r>
      <w:r w:rsidR="00284CE3">
        <w:t>6.2.3</w:t>
      </w:r>
      <w:r w:rsidR="00927965">
        <w:fldChar w:fldCharType="end"/>
      </w:r>
      <w:r>
        <w:t>)</w:t>
      </w:r>
    </w:p>
    <w:p w:rsidR="00B94DC6" w:rsidRDefault="00B94DC6" w:rsidP="00B94DC6">
      <w:r>
        <w:t xml:space="preserve">The ISO </w:t>
      </w:r>
      <w:r w:rsidRPr="00AA4A88">
        <w:t>also is coordinating an interregional study of the natural gas system with the NYISO, PJM, the Mid</w:t>
      </w:r>
      <w:r>
        <w:t>continent</w:t>
      </w:r>
      <w:r w:rsidRPr="00AA4A88">
        <w:t xml:space="preserve"> Independent System Operator (MISO), the Independent Electricity System </w:t>
      </w:r>
      <w:r w:rsidRPr="001E7E88">
        <w:t xml:space="preserve">Operator (of Ontario) (IESO), and the Tennessee Valley Authority (TVA). (Section </w:t>
      </w:r>
      <w:r w:rsidR="00927965">
        <w:fldChar w:fldCharType="begin"/>
      </w:r>
      <w:r w:rsidR="008A2991">
        <w:instrText xml:space="preserve"> REF _Ref388711316 \r \h </w:instrText>
      </w:r>
      <w:r w:rsidR="00927965">
        <w:fldChar w:fldCharType="separate"/>
      </w:r>
      <w:r w:rsidR="00284CE3">
        <w:t>6.2.3</w:t>
      </w:r>
      <w:r w:rsidR="00927965">
        <w:fldChar w:fldCharType="end"/>
      </w:r>
      <w:r w:rsidRPr="001E7E88">
        <w:t>)</w:t>
      </w:r>
    </w:p>
    <w:p w:rsidR="00B94DC6" w:rsidRPr="001E7E88" w:rsidRDefault="00B94DC6" w:rsidP="00B94DC6">
      <w:pPr>
        <w:pStyle w:val="Heading4"/>
      </w:pPr>
      <w:r w:rsidRPr="001E7E88">
        <w:t>The Potential Impacts of Environmental Regulations on the Power System</w:t>
      </w:r>
    </w:p>
    <w:p w:rsidR="00B94DC6" w:rsidRDefault="00B94DC6" w:rsidP="00B94DC6">
      <w:r w:rsidRPr="00D35363">
        <w:rPr>
          <w:szCs w:val="36"/>
        </w:rPr>
        <w:t xml:space="preserve">Existing and pending </w:t>
      </w:r>
      <w:r>
        <w:rPr>
          <w:szCs w:val="36"/>
        </w:rPr>
        <w:t>s</w:t>
      </w:r>
      <w:r w:rsidRPr="00D35363">
        <w:rPr>
          <w:szCs w:val="36"/>
        </w:rPr>
        <w:t>tate, regional</w:t>
      </w:r>
      <w:r>
        <w:rPr>
          <w:szCs w:val="36"/>
        </w:rPr>
        <w:t>,</w:t>
      </w:r>
      <w:r w:rsidRPr="00D35363">
        <w:rPr>
          <w:szCs w:val="36"/>
        </w:rPr>
        <w:t xml:space="preserve"> and federal environmental requirements addressing air pollution, greenhouse gas emissions</w:t>
      </w:r>
      <w:r>
        <w:rPr>
          <w:szCs w:val="36"/>
        </w:rPr>
        <w:t xml:space="preserve">, </w:t>
      </w:r>
      <w:r w:rsidRPr="00D35363">
        <w:rPr>
          <w:szCs w:val="36"/>
        </w:rPr>
        <w:t xml:space="preserve">cooling water </w:t>
      </w:r>
      <w:r>
        <w:rPr>
          <w:szCs w:val="36"/>
        </w:rPr>
        <w:t xml:space="preserve">drawn </w:t>
      </w:r>
      <w:r w:rsidRPr="00D35363">
        <w:rPr>
          <w:szCs w:val="36"/>
        </w:rPr>
        <w:t xml:space="preserve">from rivers and bays, and wastewater discharges </w:t>
      </w:r>
      <w:r>
        <w:rPr>
          <w:szCs w:val="36"/>
        </w:rPr>
        <w:t xml:space="preserve">that flow back </w:t>
      </w:r>
      <w:r w:rsidRPr="00D35363">
        <w:rPr>
          <w:szCs w:val="36"/>
        </w:rPr>
        <w:t xml:space="preserve">into </w:t>
      </w:r>
      <w:r>
        <w:rPr>
          <w:szCs w:val="36"/>
        </w:rPr>
        <w:t xml:space="preserve">these </w:t>
      </w:r>
      <w:r w:rsidRPr="00D35363">
        <w:rPr>
          <w:szCs w:val="36"/>
        </w:rPr>
        <w:t xml:space="preserve">bodies </w:t>
      </w:r>
      <w:r>
        <w:rPr>
          <w:szCs w:val="36"/>
        </w:rPr>
        <w:t xml:space="preserve">of water </w:t>
      </w:r>
      <w:r w:rsidRPr="00D35363">
        <w:rPr>
          <w:szCs w:val="36"/>
        </w:rPr>
        <w:t>a</w:t>
      </w:r>
      <w:r>
        <w:rPr>
          <w:szCs w:val="36"/>
        </w:rPr>
        <w:t xml:space="preserve">s well as </w:t>
      </w:r>
      <w:r w:rsidRPr="00D35363">
        <w:rPr>
          <w:szCs w:val="36"/>
        </w:rPr>
        <w:t xml:space="preserve">public treatment works will affect many New England generators in the 2015 </w:t>
      </w:r>
      <w:r>
        <w:rPr>
          <w:szCs w:val="36"/>
        </w:rPr>
        <w:t>to</w:t>
      </w:r>
      <w:r w:rsidRPr="00D35363">
        <w:rPr>
          <w:szCs w:val="36"/>
        </w:rPr>
        <w:t xml:space="preserve"> 202</w:t>
      </w:r>
      <w:r>
        <w:rPr>
          <w:szCs w:val="36"/>
        </w:rPr>
        <w:t>3</w:t>
      </w:r>
      <w:r w:rsidRPr="00D35363">
        <w:rPr>
          <w:szCs w:val="36"/>
        </w:rPr>
        <w:t xml:space="preserve"> timeframe. </w:t>
      </w:r>
      <w:r>
        <w:t>Many generators in the region already have installed the needed controls to comply with existing state environmental rules, and n</w:t>
      </w:r>
      <w:r w:rsidRPr="00E27364">
        <w:t xml:space="preserve">ew transmission upgrades have </w:t>
      </w:r>
      <w:r w:rsidRPr="00D72D26">
        <w:t xml:space="preserve">reduced the </w:t>
      </w:r>
      <w:r>
        <w:t xml:space="preserve">need to use </w:t>
      </w:r>
      <w:r w:rsidRPr="00D72D26">
        <w:t>older, less efficient oil</w:t>
      </w:r>
      <w:r>
        <w:t>-</w:t>
      </w:r>
      <w:r w:rsidRPr="00D72D26">
        <w:t xml:space="preserve"> and coal</w:t>
      </w:r>
      <w:r>
        <w:t>-fired</w:t>
      </w:r>
      <w:r w:rsidRPr="00D72D26">
        <w:t xml:space="preserve"> units to address</w:t>
      </w:r>
      <w:r w:rsidRPr="00E27364">
        <w:t xml:space="preserve"> </w:t>
      </w:r>
      <w:r>
        <w:t xml:space="preserve">more local </w:t>
      </w:r>
      <w:r w:rsidRPr="00E27364">
        <w:t xml:space="preserve">reliability concerns. </w:t>
      </w:r>
      <w:r>
        <w:t xml:space="preserve">These changes, and the greater reliance on natural gas for power generation, have reduced regional air pollution emissions and thermal discharges into the region’s waterways. </w:t>
      </w:r>
    </w:p>
    <w:p w:rsidR="00B94DC6" w:rsidRPr="00D45F5F" w:rsidRDefault="00B94DC6" w:rsidP="00B94DC6">
      <w:r w:rsidRPr="00A50185">
        <w:t>Between 2001 and 2012, the annual average emission rate of nitrogen oxides (NO</w:t>
      </w:r>
      <w:r w:rsidRPr="00A50185">
        <w:rPr>
          <w:vertAlign w:val="subscript"/>
        </w:rPr>
        <w:t>X</w:t>
      </w:r>
      <w:r w:rsidRPr="00A50185">
        <w:t>) declined by 67%; sulfur dioxide (SO</w:t>
      </w:r>
      <w:r w:rsidRPr="00A50185">
        <w:rPr>
          <w:vertAlign w:val="subscript"/>
        </w:rPr>
        <w:t>2</w:t>
      </w:r>
      <w:r w:rsidRPr="00A50185">
        <w:t>), by 92%; and carbon dioxide (CO</w:t>
      </w:r>
      <w:r w:rsidRPr="00A50185">
        <w:rPr>
          <w:vertAlign w:val="subscript"/>
        </w:rPr>
        <w:t>2</w:t>
      </w:r>
      <w:r w:rsidRPr="00A50185">
        <w:t>), by 23%. The decrease appears attributable to declines in both oil- and coal-fired generation combined with a significant increase in natural gas generation, which has a substantially lower SO</w:t>
      </w:r>
      <w:r w:rsidRPr="00A50185">
        <w:rPr>
          <w:vertAlign w:val="subscript"/>
        </w:rPr>
        <w:t xml:space="preserve">2 </w:t>
      </w:r>
      <w:r w:rsidRPr="00A50185">
        <w:t>emission rate.</w:t>
      </w:r>
      <w:r w:rsidRPr="00A50185">
        <w:rPr>
          <w:rStyle w:val="FootnoteReference"/>
        </w:rPr>
        <w:footnoteReference w:id="60"/>
      </w:r>
      <w:r w:rsidRPr="00A50185">
        <w:t xml:space="preserve"> Future regional emissions could increase however, even with more</w:t>
      </w:r>
      <w:r w:rsidR="00136127">
        <w:t xml:space="preserve"> </w:t>
      </w:r>
      <w:r w:rsidRPr="00A50185">
        <w:t>stringent regulations, if oil-fired generating units need to operate during</w:t>
      </w:r>
      <w:r w:rsidRPr="0052547E">
        <w:t xml:space="preserve"> periods of natural gas shortages</w:t>
      </w:r>
      <w:r>
        <w:t xml:space="preserve"> or because nuclear units have retired or are on outages. Emissions </w:t>
      </w:r>
      <w:r w:rsidRPr="0052547E">
        <w:t xml:space="preserve">could decrease </w:t>
      </w:r>
      <w:r>
        <w:t>with the use of lower</w:t>
      </w:r>
      <w:r w:rsidR="00300870">
        <w:t>-</w:t>
      </w:r>
      <w:r>
        <w:t xml:space="preserve">emitting fuels, additional environmental controls, and </w:t>
      </w:r>
      <w:r w:rsidRPr="0052547E">
        <w:t xml:space="preserve">the greater use of energy efficiency and wind and </w:t>
      </w:r>
      <w:r w:rsidRPr="00FF6672">
        <w:t xml:space="preserve">photovoltaic resources. </w:t>
      </w:r>
      <w:r w:rsidRPr="008F742F">
        <w:t>(Section</w:t>
      </w:r>
      <w:r>
        <w:t xml:space="preserve">s </w:t>
      </w:r>
      <w:r w:rsidR="00927965">
        <w:fldChar w:fldCharType="begin"/>
      </w:r>
      <w:r w:rsidR="008A2991">
        <w:instrText xml:space="preserve"> REF _Ref390424093 \r \h </w:instrText>
      </w:r>
      <w:r w:rsidR="00927965">
        <w:fldChar w:fldCharType="separate"/>
      </w:r>
      <w:r w:rsidR="00284CE3">
        <w:t>6.3</w:t>
      </w:r>
      <w:r w:rsidR="00927965">
        <w:fldChar w:fldCharType="end"/>
      </w:r>
      <w:r w:rsidR="00326D47">
        <w:t xml:space="preserve"> </w:t>
      </w:r>
      <w:r w:rsidR="008A2991">
        <w:t xml:space="preserve">and </w:t>
      </w:r>
      <w:r w:rsidR="00927965">
        <w:fldChar w:fldCharType="begin"/>
      </w:r>
      <w:r w:rsidR="008A2991">
        <w:instrText xml:space="preserve"> REF _Ref388713432 \r \h </w:instrText>
      </w:r>
      <w:r w:rsidR="00927965">
        <w:fldChar w:fldCharType="separate"/>
      </w:r>
      <w:r w:rsidR="00284CE3">
        <w:t>6.4</w:t>
      </w:r>
      <w:r w:rsidR="00927965">
        <w:fldChar w:fldCharType="end"/>
      </w:r>
      <w:r w:rsidRPr="008F742F">
        <w:t>)</w:t>
      </w:r>
      <w:r w:rsidRPr="0052547E">
        <w:t xml:space="preserve"> </w:t>
      </w:r>
    </w:p>
    <w:p w:rsidR="00B94DC6" w:rsidRPr="0052547E" w:rsidRDefault="00B94DC6" w:rsidP="00B94DC6">
      <w:pPr>
        <w:spacing w:after="120"/>
      </w:pPr>
      <w:r>
        <w:t>The ISO has been a</w:t>
      </w:r>
      <w:r w:rsidRPr="00FD2F3B">
        <w:t xml:space="preserve">ssessing the potential impact of existing and proposed </w:t>
      </w:r>
      <w:r w:rsidR="00300870" w:rsidRPr="00300870">
        <w:t>US Environmental Protection Agency (</w:t>
      </w:r>
      <w:r w:rsidRPr="00300870">
        <w:t>EPA</w:t>
      </w:r>
      <w:r w:rsidR="00300870" w:rsidRPr="00300870">
        <w:t>)</w:t>
      </w:r>
      <w:r w:rsidRPr="00300870">
        <w:t xml:space="preserve"> </w:t>
      </w:r>
      <w:r w:rsidR="00300870">
        <w:t xml:space="preserve">and </w:t>
      </w:r>
      <w:r w:rsidR="00300870" w:rsidRPr="00FD2F3B">
        <w:t xml:space="preserve">state </w:t>
      </w:r>
      <w:r w:rsidRPr="00300870">
        <w:t>regulations on the operation of</w:t>
      </w:r>
      <w:r w:rsidRPr="00195A31">
        <w:t xml:space="preserve"> </w:t>
      </w:r>
      <w:r w:rsidR="00050EC2" w:rsidRPr="00195A31">
        <w:t>existing</w:t>
      </w:r>
      <w:r w:rsidRPr="00300870">
        <w:t xml:space="preserve"> fossil steam units</w:t>
      </w:r>
      <w:r w:rsidRPr="00D942D9">
        <w:t xml:space="preserve"> and other types of generation in the region. Uncertainty remain</w:t>
      </w:r>
      <w:r w:rsidRPr="00A25044">
        <w:t xml:space="preserve">s over the </w:t>
      </w:r>
      <w:r w:rsidRPr="00E90DC7">
        <w:t xml:space="preserve">extent to which the </w:t>
      </w:r>
      <w:r w:rsidRPr="00A25044">
        <w:t xml:space="preserve">final regulations will </w:t>
      </w:r>
      <w:r w:rsidRPr="00E90DC7">
        <w:t xml:space="preserve">require generator owners to make </w:t>
      </w:r>
      <w:r w:rsidRPr="00A25044">
        <w:t>capital investment</w:t>
      </w:r>
      <w:r w:rsidRPr="00E90DC7">
        <w:t>s</w:t>
      </w:r>
      <w:r w:rsidRPr="00A25044">
        <w:t xml:space="preserve"> in environmental remediation measures and potential</w:t>
      </w:r>
      <w:r>
        <w:t>ly</w:t>
      </w:r>
      <w:r w:rsidRPr="00A25044">
        <w:t xml:space="preserve"> increase </w:t>
      </w:r>
      <w:proofErr w:type="gramStart"/>
      <w:r w:rsidRPr="00A25044">
        <w:t>plant operating</w:t>
      </w:r>
      <w:proofErr w:type="gramEnd"/>
      <w:r w:rsidRPr="00A25044">
        <w:t xml:space="preserve"> costs.</w:t>
      </w:r>
      <w:r>
        <w:t xml:space="preserve"> These factors could require long-term generator outages for implementing required remediation measures. They also could trigger unit retirements as an alternative to accepting higher capital and operating costs. Alternatively, generators </w:t>
      </w:r>
      <w:r w:rsidRPr="0052547E">
        <w:t>may comply with some of the environmental requirements by reducing capacity or energy production.</w:t>
      </w:r>
    </w:p>
    <w:p w:rsidR="00B94DC6" w:rsidRDefault="00B94DC6" w:rsidP="00B94DC6">
      <w:r w:rsidRPr="009D22FF">
        <w:t>ISO analyses will continue to update stakeholders regarding the generators at risk for retirement and generators that</w:t>
      </w:r>
      <w:r w:rsidRPr="0052547E">
        <w:t xml:space="preserve"> already have </w:t>
      </w:r>
      <w:r w:rsidRPr="00421F2A">
        <w:t>environmental remediation measures in place or may require relatively minor upgrades.</w:t>
      </w:r>
      <w:r w:rsidRPr="00421F2A">
        <w:rPr>
          <w:rStyle w:val="FootnoteReference"/>
        </w:rPr>
        <w:footnoteReference w:id="61"/>
      </w:r>
      <w:r w:rsidRPr="00421F2A">
        <w:t xml:space="preserve"> The actual</w:t>
      </w:r>
      <w:r w:rsidRPr="0052547E">
        <w:t xml:space="preserve"> compliance timelines will depend on the timing and substance of the final regulations and site-specific circumstances of the electric generating facilities</w:t>
      </w:r>
      <w:r w:rsidR="00E60CEB">
        <w:t>, such as their economic performance</w:t>
      </w:r>
      <w:r w:rsidRPr="0052547E">
        <w:t>.</w:t>
      </w:r>
    </w:p>
    <w:p w:rsidR="00B94DC6" w:rsidRPr="00C6560A" w:rsidRDefault="00B94DC6" w:rsidP="00B94DC6">
      <w:pPr>
        <w:pStyle w:val="Heading4"/>
        <w:rPr>
          <w:rFonts w:cs="Arial"/>
        </w:rPr>
      </w:pPr>
      <w:r w:rsidRPr="00C6560A">
        <w:rPr>
          <w:rFonts w:ascii="Cambria" w:hAnsi="Cambria" w:cs="Times New Roman"/>
        </w:rPr>
        <w:t>Renewable Portfolio Standards and the</w:t>
      </w:r>
      <w:r w:rsidRPr="00C6560A">
        <w:t xml:space="preserve"> Integration of Renewable</w:t>
      </w:r>
      <w:r w:rsidRPr="00C6560A">
        <w:rPr>
          <w:rFonts w:cs="Arial"/>
        </w:rPr>
        <w:t xml:space="preserve"> Resources</w:t>
      </w:r>
    </w:p>
    <w:p w:rsidR="00B94DC6" w:rsidRPr="00863EDB" w:rsidRDefault="00B94DC6" w:rsidP="00B94DC6">
      <w:r w:rsidRPr="00C6560A">
        <w:t>Renewable Portfolio Standards (RPSs) and similar state goals are stimulating the need for, and the development of, renewable resources and energy efficiency in the region. Other regional and</w:t>
      </w:r>
      <w:r w:rsidRPr="00D45F5F">
        <w:t xml:space="preserve"> industry efforts are assisting in integrating renewable</w:t>
      </w:r>
      <w:r>
        <w:t xml:space="preserve"> resource</w:t>
      </w:r>
      <w:r w:rsidRPr="00D45F5F">
        <w:t xml:space="preserve">s, </w:t>
      </w:r>
      <w:r w:rsidRPr="00863EDB">
        <w:t>demand resources, and smart grid technologies into the system.</w:t>
      </w:r>
    </w:p>
    <w:p w:rsidR="00B94DC6" w:rsidRPr="00863EDB" w:rsidRDefault="00B94DC6" w:rsidP="00B94DC6">
      <w:pPr>
        <w:pStyle w:val="CommentText"/>
        <w:spacing w:line="260" w:lineRule="atLeast"/>
        <w:rPr>
          <w:color w:val="000000" w:themeColor="text1"/>
        </w:rPr>
      </w:pPr>
      <w:proofErr w:type="gramStart"/>
      <w:r w:rsidRPr="00863EDB">
        <w:rPr>
          <w:i/>
          <w:color w:val="000000" w:themeColor="text1"/>
        </w:rPr>
        <w:t>Meeting State Targets for Renewable Energy.</w:t>
      </w:r>
      <w:proofErr w:type="gramEnd"/>
      <w:r>
        <w:rPr>
          <w:i/>
          <w:color w:val="000000" w:themeColor="text1"/>
        </w:rPr>
        <w:t xml:space="preserve"> </w:t>
      </w:r>
      <w:r w:rsidRPr="005949FD">
        <w:rPr>
          <w:color w:val="000000" w:themeColor="text1"/>
        </w:rPr>
        <w:t xml:space="preserve">The New England states have targets for the proportion of </w:t>
      </w:r>
      <w:r w:rsidRPr="00EA2E47">
        <w:rPr>
          <w:color w:val="000000" w:themeColor="text1"/>
        </w:rPr>
        <w:t xml:space="preserve">electric energy that load-serving entities (LSEs) must serve </w:t>
      </w:r>
      <w:r>
        <w:rPr>
          <w:color w:val="000000" w:themeColor="text1"/>
        </w:rPr>
        <w:t xml:space="preserve">using </w:t>
      </w:r>
      <w:r w:rsidRPr="00EA2E47">
        <w:rPr>
          <w:color w:val="000000" w:themeColor="text1"/>
        </w:rPr>
        <w:t>renewable resources, such as wind, solar, and energy efficiency. Because the states are revising these targets to reflect different amounts and</w:t>
      </w:r>
      <w:r w:rsidRPr="005949FD">
        <w:rPr>
          <w:color w:val="000000" w:themeColor="text1"/>
        </w:rPr>
        <w:t xml:space="preserve"> types of resources that qualify for RPSs, the ISO cannot project the precise amount of regional renewable energy </w:t>
      </w:r>
      <w:r w:rsidRPr="007C17FC">
        <w:rPr>
          <w:color w:val="000000" w:themeColor="text1"/>
        </w:rPr>
        <w:t xml:space="preserve">goals. </w:t>
      </w:r>
      <w:r w:rsidRPr="007A0CA9">
        <w:rPr>
          <w:color w:val="000000" w:themeColor="text1"/>
        </w:rPr>
        <w:t xml:space="preserve">The region’s RPSs </w:t>
      </w:r>
      <w:proofErr w:type="gramStart"/>
      <w:r w:rsidRPr="007A0CA9">
        <w:rPr>
          <w:color w:val="000000" w:themeColor="text1"/>
        </w:rPr>
        <w:t>can be met</w:t>
      </w:r>
      <w:proofErr w:type="gramEnd"/>
      <w:r w:rsidRPr="007A0CA9">
        <w:rPr>
          <w:color w:val="000000" w:themeColor="text1"/>
        </w:rPr>
        <w:t xml:space="preserve"> by developing the renewable resources already in the ISO queue; importing renewable resources from adjacent balancing authority areas; building new renewable resources in New England not yet in the queue; and using “behind-the-meter” projects and eligible renewable fuels, such as biomass</w:t>
      </w:r>
      <w:r w:rsidR="00845761">
        <w:rPr>
          <w:color w:val="000000" w:themeColor="text1"/>
        </w:rPr>
        <w:t>, at</w:t>
      </w:r>
      <w:r w:rsidR="00845761" w:rsidRPr="007A0CA9">
        <w:rPr>
          <w:color w:val="000000" w:themeColor="text1"/>
        </w:rPr>
        <w:t xml:space="preserve"> existing generators</w:t>
      </w:r>
      <w:r w:rsidRPr="000D0C59">
        <w:rPr>
          <w:color w:val="000000" w:themeColor="text1"/>
        </w:rPr>
        <w:t>. If the development of renewable resources falls short of providing sufficient Renewable Energy Certificates (RECs) to meet the RPSs, load-serving entities can make state-established alternative compliance payments (ACPs).</w:t>
      </w:r>
      <w:r w:rsidRPr="000D0C59">
        <w:rPr>
          <w:color w:val="000000" w:themeColor="text1"/>
          <w:vertAlign w:val="superscript"/>
        </w:rPr>
        <w:footnoteReference w:id="62"/>
      </w:r>
      <w:r w:rsidRPr="000D0C59">
        <w:rPr>
          <w:color w:val="000000" w:themeColor="text1"/>
        </w:rPr>
        <w:t xml:space="preserve"> ACPs also can serve as a price cap on the cost of </w:t>
      </w:r>
      <w:r w:rsidR="00501664">
        <w:rPr>
          <w:color w:val="000000" w:themeColor="text1"/>
        </w:rPr>
        <w:t xml:space="preserve">the </w:t>
      </w:r>
      <w:proofErr w:type="spellStart"/>
      <w:r w:rsidRPr="000D0C59">
        <w:rPr>
          <w:color w:val="000000" w:themeColor="text1"/>
        </w:rPr>
        <w:t>R</w:t>
      </w:r>
      <w:r w:rsidR="00501664">
        <w:rPr>
          <w:color w:val="000000" w:themeColor="text1"/>
        </w:rPr>
        <w:t>ECs</w:t>
      </w:r>
      <w:r w:rsidRPr="00C6560A">
        <w:rPr>
          <w:color w:val="000000" w:themeColor="text1"/>
        </w:rPr>
        <w:t>.</w:t>
      </w:r>
      <w:proofErr w:type="spellEnd"/>
      <w:r w:rsidRPr="00C6560A">
        <w:rPr>
          <w:color w:val="000000" w:themeColor="text1"/>
        </w:rPr>
        <w:t xml:space="preserve"> (Section </w:t>
      </w:r>
      <w:r w:rsidR="00927965">
        <w:rPr>
          <w:color w:val="000000" w:themeColor="text1"/>
        </w:rPr>
        <w:fldChar w:fldCharType="begin"/>
      </w:r>
      <w:r w:rsidR="008A2991">
        <w:rPr>
          <w:color w:val="000000" w:themeColor="text1"/>
        </w:rPr>
        <w:instrText xml:space="preserve"> REF _Ref360786528 \r \h </w:instrText>
      </w:r>
      <w:r w:rsidR="00927965">
        <w:rPr>
          <w:color w:val="000000" w:themeColor="text1"/>
        </w:rPr>
      </w:r>
      <w:r w:rsidR="00927965">
        <w:rPr>
          <w:color w:val="000000" w:themeColor="text1"/>
        </w:rPr>
        <w:fldChar w:fldCharType="separate"/>
      </w:r>
      <w:r w:rsidR="00284CE3">
        <w:rPr>
          <w:color w:val="000000" w:themeColor="text1"/>
        </w:rPr>
        <w:t>7.5.7</w:t>
      </w:r>
      <w:r w:rsidR="00927965">
        <w:rPr>
          <w:color w:val="000000" w:themeColor="text1"/>
        </w:rPr>
        <w:fldChar w:fldCharType="end"/>
      </w:r>
      <w:r w:rsidRPr="00C6560A">
        <w:rPr>
          <w:color w:val="000000" w:themeColor="text1"/>
        </w:rPr>
        <w:t>)</w:t>
      </w:r>
    </w:p>
    <w:p w:rsidR="00B94DC6" w:rsidRDefault="00B94DC6" w:rsidP="00B94DC6">
      <w:proofErr w:type="gramStart"/>
      <w:r w:rsidRPr="00CB497E">
        <w:rPr>
          <w:i/>
        </w:rPr>
        <w:t>Integrating Intermittent Renewable Resources.</w:t>
      </w:r>
      <w:proofErr w:type="gramEnd"/>
      <w:r w:rsidRPr="00CB497E">
        <w:rPr>
          <w:i/>
        </w:rPr>
        <w:t xml:space="preserve"> </w:t>
      </w:r>
      <w:r w:rsidRPr="00CB497E">
        <w:t xml:space="preserve">A number of wind projects have interconnected to electrically remote and weak portions of the regional power system, and additional </w:t>
      </w:r>
      <w:r w:rsidR="00A33302" w:rsidRPr="00CB497E">
        <w:t xml:space="preserve">wind </w:t>
      </w:r>
      <w:r w:rsidRPr="00CB497E">
        <w:t xml:space="preserve">projects </w:t>
      </w:r>
      <w:proofErr w:type="gramStart"/>
      <w:r w:rsidRPr="00CB497E">
        <w:t>are proposed</w:t>
      </w:r>
      <w:proofErr w:type="gramEnd"/>
      <w:r w:rsidRPr="00CB497E">
        <w:t xml:space="preserve"> for these areas. These facilities pose operational and planning challenges due to issues with voltage and stability performance</w:t>
      </w:r>
      <w:r w:rsidR="00A33302" w:rsidRPr="00CB497E">
        <w:t>.</w:t>
      </w:r>
      <w:r w:rsidR="002D6113" w:rsidRPr="00CB497E">
        <w:rPr>
          <w:rStyle w:val="FootnoteReference"/>
        </w:rPr>
        <w:footnoteReference w:id="63"/>
      </w:r>
      <w:r w:rsidR="008039FA" w:rsidRPr="00CB497E">
        <w:t xml:space="preserve"> </w:t>
      </w:r>
      <w:r w:rsidR="00B1114A" w:rsidRPr="00CB497E">
        <w:t>In addition,</w:t>
      </w:r>
      <w:r w:rsidR="00CB497E">
        <w:t xml:space="preserve"> t</w:t>
      </w:r>
      <w:r w:rsidR="006C5780" w:rsidRPr="00CB497E">
        <w:t xml:space="preserve">he basic assumptions in interconnection studies may be </w:t>
      </w:r>
      <w:r w:rsidR="006C5780" w:rsidRPr="00A34A75">
        <w:t>different from the typical operation of the system</w:t>
      </w:r>
      <w:r w:rsidR="00B1114A" w:rsidRPr="00A34A75">
        <w:t xml:space="preserve">, which may further constrain wind output </w:t>
      </w:r>
      <w:r w:rsidR="00D837D8" w:rsidRPr="00A34A75">
        <w:t>under</w:t>
      </w:r>
      <w:r w:rsidR="00B1114A" w:rsidRPr="00A34A75">
        <w:t xml:space="preserve"> stressed system conditions, such as during maintenance outages. </w:t>
      </w:r>
      <w:r w:rsidR="005F615C">
        <w:t>T</w:t>
      </w:r>
      <w:r w:rsidR="005F615C" w:rsidRPr="00CB497E">
        <w:t xml:space="preserve">he ISO is considering ways of improving the Elective Transmission Upgrade process </w:t>
      </w:r>
      <w:proofErr w:type="gramStart"/>
      <w:r w:rsidR="005F615C">
        <w:t xml:space="preserve">to </w:t>
      </w:r>
      <w:r w:rsidRPr="00CB497E">
        <w:t>more readily support</w:t>
      </w:r>
      <w:proofErr w:type="gramEnd"/>
      <w:r w:rsidRPr="00CB497E">
        <w:t xml:space="preserve"> the means to strengthen electrically weak portions of the regional transmission network</w:t>
      </w:r>
      <w:r w:rsidR="005F615C">
        <w:t>,</w:t>
      </w:r>
      <w:r w:rsidRPr="00CB497E">
        <w:t xml:space="preserve"> enhance generator deliverability</w:t>
      </w:r>
      <w:r w:rsidR="005F615C">
        <w:t xml:space="preserve">, and </w:t>
      </w:r>
      <w:r w:rsidR="005F615C" w:rsidRPr="00A34A75">
        <w:t>facilitate the integration of</w:t>
      </w:r>
      <w:r w:rsidR="005F615C" w:rsidRPr="00CB497E">
        <w:t xml:space="preserve"> renewable resources</w:t>
      </w:r>
      <w:r w:rsidRPr="00CB497E">
        <w:t xml:space="preserve">. (Section </w:t>
      </w:r>
      <w:fldSimple w:instr=" REF _Ref388709721 \r \h  \* MERGEFORMAT ">
        <w:r w:rsidR="00284CE3">
          <w:t>6.6</w:t>
        </w:r>
      </w:fldSimple>
      <w:r w:rsidRPr="00CB497E">
        <w:t>)</w:t>
      </w:r>
    </w:p>
    <w:p w:rsidR="00B94DC6" w:rsidRPr="00A023C4" w:rsidRDefault="00B94DC6" w:rsidP="00B94DC6">
      <w:pPr>
        <w:rPr>
          <w:color w:val="000000" w:themeColor="text1"/>
        </w:rPr>
      </w:pPr>
      <w:proofErr w:type="gramStart"/>
      <w:r w:rsidRPr="00852301">
        <w:t>The ISO continues to analyze wind</w:t>
      </w:r>
      <w:r w:rsidR="004732CA" w:rsidRPr="00852301">
        <w:t>-</w:t>
      </w:r>
      <w:r w:rsidRPr="00852301">
        <w:t>integration issues and has made progress implementing wind forecasting and dispatch.</w:t>
      </w:r>
      <w:proofErr w:type="gramEnd"/>
      <w:r w:rsidRPr="00852301">
        <w:t xml:space="preserve"> The wind</w:t>
      </w:r>
      <w:r w:rsidR="004732CA" w:rsidRPr="00852301">
        <w:t>-</w:t>
      </w:r>
      <w:r w:rsidRPr="00852301">
        <w:t>integration component of the Strategic Transmission Analysis is</w:t>
      </w:r>
      <w:r w:rsidRPr="008F742F">
        <w:t xml:space="preserve"> exploring conceptual modifications to the transmission system that would enable onshore wind resources </w:t>
      </w:r>
      <w:proofErr w:type="gramStart"/>
      <w:r w:rsidRPr="008F742F">
        <w:t>to more reliably provide</w:t>
      </w:r>
      <w:proofErr w:type="gramEnd"/>
      <w:r w:rsidRPr="008F742F">
        <w:t xml:space="preserve"> energy. </w:t>
      </w:r>
      <w:r w:rsidRPr="008F742F">
        <w:rPr>
          <w:color w:val="000000" w:themeColor="text1"/>
        </w:rPr>
        <w:t>This analysis of approximately 1,</w:t>
      </w:r>
      <w:r w:rsidR="00633868">
        <w:rPr>
          <w:color w:val="000000" w:themeColor="text1"/>
        </w:rPr>
        <w:t>1</w:t>
      </w:r>
      <w:r w:rsidRPr="008F742F">
        <w:rPr>
          <w:color w:val="000000" w:themeColor="text1"/>
        </w:rPr>
        <w:t xml:space="preserve">00 MW of installed and proposed wind resources examined the proposed transmission system as of October 2013. The study identified the need for local area improvements to accommodate the wind resource interconnections and the need for regional transmission improvements to accommodate the total development of wind resources in </w:t>
      </w:r>
      <w:r>
        <w:rPr>
          <w:color w:val="000000" w:themeColor="text1"/>
        </w:rPr>
        <w:t>several</w:t>
      </w:r>
      <w:r w:rsidRPr="008F742F">
        <w:rPr>
          <w:color w:val="000000" w:themeColor="text1"/>
        </w:rPr>
        <w:t xml:space="preserve"> regions of Maine. </w:t>
      </w:r>
      <w:r>
        <w:rPr>
          <w:color w:val="000000" w:themeColor="text1"/>
        </w:rPr>
        <w:t xml:space="preserve">(Section </w:t>
      </w:r>
      <w:r w:rsidR="00927965">
        <w:rPr>
          <w:color w:val="000000" w:themeColor="text1"/>
        </w:rPr>
        <w:fldChar w:fldCharType="begin"/>
      </w:r>
      <w:r w:rsidR="008A2991">
        <w:rPr>
          <w:color w:val="000000" w:themeColor="text1"/>
        </w:rPr>
        <w:instrText xml:space="preserve"> REF _Ref388714958 \r \h </w:instrText>
      </w:r>
      <w:r w:rsidR="00927965">
        <w:rPr>
          <w:color w:val="000000" w:themeColor="text1"/>
        </w:rPr>
      </w:r>
      <w:r w:rsidR="00927965">
        <w:rPr>
          <w:color w:val="000000" w:themeColor="text1"/>
        </w:rPr>
        <w:fldChar w:fldCharType="separate"/>
      </w:r>
      <w:r w:rsidR="00284CE3">
        <w:rPr>
          <w:color w:val="000000" w:themeColor="text1"/>
        </w:rPr>
        <w:t>6.6.2</w:t>
      </w:r>
      <w:r w:rsidR="00927965">
        <w:rPr>
          <w:color w:val="000000" w:themeColor="text1"/>
        </w:rPr>
        <w:fldChar w:fldCharType="end"/>
      </w:r>
      <w:r>
        <w:rPr>
          <w:color w:val="000000" w:themeColor="text1"/>
        </w:rPr>
        <w:t>)</w:t>
      </w:r>
    </w:p>
    <w:p w:rsidR="00B94DC6" w:rsidRPr="0090613F" w:rsidRDefault="00B94DC6" w:rsidP="00B94DC6">
      <w:pPr>
        <w:rPr>
          <w:color w:val="000000" w:themeColor="text1"/>
        </w:rPr>
      </w:pPr>
      <w:r w:rsidRPr="008F742F">
        <w:rPr>
          <w:color w:val="000000" w:themeColor="text1"/>
        </w:rPr>
        <w:t xml:space="preserve">The results show </w:t>
      </w:r>
      <w:r w:rsidR="0049340A">
        <w:rPr>
          <w:color w:val="000000" w:themeColor="text1"/>
        </w:rPr>
        <w:t xml:space="preserve">that </w:t>
      </w:r>
      <w:r w:rsidRPr="008F742F">
        <w:rPr>
          <w:color w:val="000000" w:themeColor="text1"/>
        </w:rPr>
        <w:t xml:space="preserve">local transmission upgrades could likely accommodate additional wind resource interconnections planned for the Wyman Hydro and Rumford regions in Maine but without major transmission improvements to those local areas. However, additional wind capacity </w:t>
      </w:r>
      <w:proofErr w:type="gramStart"/>
      <w:r w:rsidRPr="008F742F">
        <w:rPr>
          <w:color w:val="000000" w:themeColor="text1"/>
        </w:rPr>
        <w:t xml:space="preserve">cannot </w:t>
      </w:r>
      <w:r w:rsidR="0022445F">
        <w:rPr>
          <w:color w:val="000000" w:themeColor="text1"/>
        </w:rPr>
        <w:t xml:space="preserve">be well </w:t>
      </w:r>
      <w:r w:rsidR="00610F2C">
        <w:rPr>
          <w:color w:val="000000" w:themeColor="text1"/>
        </w:rPr>
        <w:t>integrated</w:t>
      </w:r>
      <w:proofErr w:type="gramEnd"/>
      <w:r w:rsidR="00610F2C">
        <w:rPr>
          <w:color w:val="000000" w:themeColor="text1"/>
        </w:rPr>
        <w:t xml:space="preserve"> </w:t>
      </w:r>
      <w:r w:rsidR="0022445F">
        <w:rPr>
          <w:color w:val="000000" w:themeColor="text1"/>
        </w:rPr>
        <w:t>in</w:t>
      </w:r>
      <w:r w:rsidRPr="008F742F">
        <w:rPr>
          <w:color w:val="000000" w:themeColor="text1"/>
        </w:rPr>
        <w:t>to the Keene Road and Bangor regions, also in Maine, without major transmission improvements to these areas. The addition of generation to the Aroostook region</w:t>
      </w:r>
      <w:r>
        <w:rPr>
          <w:color w:val="000000" w:themeColor="text1"/>
        </w:rPr>
        <w:t xml:space="preserve"> of</w:t>
      </w:r>
      <w:r w:rsidRPr="008F742F">
        <w:rPr>
          <w:color w:val="000000" w:themeColor="text1"/>
        </w:rPr>
        <w:t xml:space="preserve"> Maine </w:t>
      </w:r>
      <w:r w:rsidR="00E643C5">
        <w:rPr>
          <w:color w:val="000000" w:themeColor="text1"/>
        </w:rPr>
        <w:t xml:space="preserve">also </w:t>
      </w:r>
      <w:r w:rsidRPr="008F742F">
        <w:rPr>
          <w:color w:val="000000" w:themeColor="text1"/>
        </w:rPr>
        <w:t>would require new major transmission facilities to successfully inte</w:t>
      </w:r>
      <w:r w:rsidR="0022445F">
        <w:rPr>
          <w:color w:val="000000" w:themeColor="text1"/>
        </w:rPr>
        <w:t>rconnect</w:t>
      </w:r>
      <w:r w:rsidRPr="008F742F">
        <w:rPr>
          <w:color w:val="000000" w:themeColor="text1"/>
        </w:rPr>
        <w:t xml:space="preserve"> these resources </w:t>
      </w:r>
      <w:r w:rsidR="0022445F">
        <w:rPr>
          <w:color w:val="000000" w:themeColor="text1"/>
        </w:rPr>
        <w:t xml:space="preserve">and integrate them </w:t>
      </w:r>
      <w:r w:rsidRPr="008F742F">
        <w:rPr>
          <w:color w:val="000000" w:themeColor="text1"/>
        </w:rPr>
        <w:t xml:space="preserve">with the rest of the New England system. Regional improvements </w:t>
      </w:r>
      <w:proofErr w:type="gramStart"/>
      <w:r w:rsidRPr="008F742F">
        <w:rPr>
          <w:color w:val="000000" w:themeColor="text1"/>
        </w:rPr>
        <w:t>would be needed</w:t>
      </w:r>
      <w:proofErr w:type="gramEnd"/>
      <w:r w:rsidRPr="008F742F">
        <w:rPr>
          <w:color w:val="000000" w:themeColor="text1"/>
        </w:rPr>
        <w:t xml:space="preserve"> to accommodate resources remote from the New England load centers, such as the total wind resources in all </w:t>
      </w:r>
      <w:r>
        <w:rPr>
          <w:color w:val="000000" w:themeColor="text1"/>
        </w:rPr>
        <w:t>the northern New England</w:t>
      </w:r>
      <w:r w:rsidRPr="008F742F">
        <w:rPr>
          <w:color w:val="000000" w:themeColor="text1"/>
        </w:rPr>
        <w:t xml:space="preserve"> regions. These transmission improvements </w:t>
      </w:r>
      <w:r w:rsidR="0072412C">
        <w:rPr>
          <w:color w:val="000000" w:themeColor="text1"/>
        </w:rPr>
        <w:t>c</w:t>
      </w:r>
      <w:r w:rsidRPr="008F742F">
        <w:rPr>
          <w:color w:val="000000" w:themeColor="text1"/>
        </w:rPr>
        <w:t>ould include a major dynamic voltage device</w:t>
      </w:r>
      <w:r w:rsidR="00851193">
        <w:rPr>
          <w:color w:val="000000" w:themeColor="text1"/>
        </w:rPr>
        <w:t>, 345 kV</w:t>
      </w:r>
      <w:r w:rsidR="00610F2C">
        <w:rPr>
          <w:color w:val="000000" w:themeColor="text1"/>
        </w:rPr>
        <w:t xml:space="preserve"> </w:t>
      </w:r>
      <w:r w:rsidR="00851193">
        <w:rPr>
          <w:color w:val="000000" w:themeColor="text1"/>
        </w:rPr>
        <w:t xml:space="preserve">dynamically acting series-compensating devices, </w:t>
      </w:r>
      <w:r w:rsidRPr="008F742F">
        <w:rPr>
          <w:color w:val="000000" w:themeColor="text1"/>
        </w:rPr>
        <w:t xml:space="preserve">and 115 kV </w:t>
      </w:r>
      <w:r w:rsidR="00851193">
        <w:rPr>
          <w:color w:val="000000" w:themeColor="text1"/>
        </w:rPr>
        <w:t>capacitors</w:t>
      </w:r>
      <w:r w:rsidRPr="008F742F">
        <w:rPr>
          <w:color w:val="000000" w:themeColor="text1"/>
        </w:rPr>
        <w:t>.</w:t>
      </w:r>
    </w:p>
    <w:p w:rsidR="00B94DC6" w:rsidRDefault="00B94DC6" w:rsidP="00B94DC6">
      <w:r w:rsidRPr="00036A28">
        <w:t xml:space="preserve">The </w:t>
      </w:r>
      <w:r w:rsidRPr="000326C9">
        <w:rPr>
          <w:i/>
        </w:rPr>
        <w:t>2011 Economic Study</w:t>
      </w:r>
      <w:r w:rsidRPr="00036A28">
        <w:t xml:space="preserve"> quantified the amounts of congestion associated with different wind</w:t>
      </w:r>
      <w:r w:rsidR="00E643C5">
        <w:t>-</w:t>
      </w:r>
      <w:r w:rsidRPr="00036A28">
        <w:t>penetration scenarios.</w:t>
      </w:r>
      <w:r>
        <w:rPr>
          <w:rStyle w:val="FootnoteReference"/>
        </w:rPr>
        <w:footnoteReference w:id="64"/>
      </w:r>
      <w:r w:rsidRPr="00036A28">
        <w:t xml:space="preserve"> The results of the study show the effects of</w:t>
      </w:r>
      <w:r w:rsidRPr="00961DAB">
        <w:t xml:space="preserve"> integrating varying amounts of wind on</w:t>
      </w:r>
      <w:r w:rsidRPr="00217BF0">
        <w:t xml:space="preserve"> production cost, load-serving energy expense, and </w:t>
      </w:r>
      <w:r>
        <w:t>congestion</w:t>
      </w:r>
      <w:r w:rsidRPr="00217BF0">
        <w:t>, as well as the need for transmission development to enable wind resources to serve the region’s load centers.</w:t>
      </w:r>
      <w:r>
        <w:t xml:space="preserve"> </w:t>
      </w:r>
      <w:r w:rsidRPr="00217BF0">
        <w:t>The ISO will continue to engage stakeholders on the issues challenging the wind</w:t>
      </w:r>
      <w:r w:rsidR="00E643C5">
        <w:t>-</w:t>
      </w:r>
      <w:r w:rsidRPr="00217BF0">
        <w:t>interconnection process and the performance of the system with wind resources in locally</w:t>
      </w:r>
      <w:r>
        <w:t xml:space="preserve"> </w:t>
      </w:r>
      <w:r w:rsidRPr="00217BF0">
        <w:t xml:space="preserve">constrained areas. </w:t>
      </w:r>
      <w:r>
        <w:t xml:space="preserve">(Section </w:t>
      </w:r>
      <w:r w:rsidR="00927965">
        <w:fldChar w:fldCharType="begin"/>
      </w:r>
      <w:r w:rsidR="008A2991">
        <w:instrText xml:space="preserve"> REF _Ref388714829 \r \h </w:instrText>
      </w:r>
      <w:r w:rsidR="00927965">
        <w:fldChar w:fldCharType="separate"/>
      </w:r>
      <w:r w:rsidR="00284CE3">
        <w:t>6.8.1</w:t>
      </w:r>
      <w:r w:rsidR="00927965">
        <w:fldChar w:fldCharType="end"/>
      </w:r>
      <w:r>
        <w:t>)</w:t>
      </w:r>
    </w:p>
    <w:p w:rsidR="00B94DC6" w:rsidRDefault="00B94DC6" w:rsidP="00B94DC6">
      <w:r w:rsidRPr="000B786F">
        <w:t>While existing amounts of PV have yet to have a significant impact on system operations,</w:t>
      </w:r>
      <w:r w:rsidR="00B45F28" w:rsidRPr="000B786F">
        <w:t xml:space="preserve"> </w:t>
      </w:r>
      <w:r w:rsidR="00113C54" w:rsidRPr="000B786F">
        <w:t xml:space="preserve">the regional </w:t>
      </w:r>
      <w:r w:rsidR="00113C54" w:rsidRPr="000B4D9C">
        <w:t xml:space="preserve">goal is to have over 2,000 MW of distributed generation by 2023, approximately 1,800 MW of which </w:t>
      </w:r>
      <w:proofErr w:type="gramStart"/>
      <w:r w:rsidR="00113C54" w:rsidRPr="000B4D9C">
        <w:t>is expected</w:t>
      </w:r>
      <w:proofErr w:type="gramEnd"/>
      <w:r w:rsidR="00113C54" w:rsidRPr="000B4D9C">
        <w:t xml:space="preserve"> to be PV.</w:t>
      </w:r>
      <w:r w:rsidRPr="000B4D9C">
        <w:t xml:space="preserve"> </w:t>
      </w:r>
      <w:proofErr w:type="gramStart"/>
      <w:r w:rsidR="00B45F28" w:rsidRPr="000B4D9C">
        <w:t>T</w:t>
      </w:r>
      <w:r w:rsidRPr="000B4D9C">
        <w:t xml:space="preserve">he ISO </w:t>
      </w:r>
      <w:r w:rsidR="00113C54" w:rsidRPr="000B4D9C">
        <w:t>and stakeholders</w:t>
      </w:r>
      <w:r w:rsidR="00B45F28" w:rsidRPr="000B4D9C">
        <w:t xml:space="preserve"> are</w:t>
      </w:r>
      <w:r w:rsidRPr="000B4D9C">
        <w:t xml:space="preserve"> working on several initiatives aimed at facilitating the reliable and efficient integration of PV</w:t>
      </w:r>
      <w:r w:rsidR="00B45F28" w:rsidRPr="000B4D9C">
        <w:t xml:space="preserve">, </w:t>
      </w:r>
      <w:r w:rsidR="00113C54" w:rsidRPr="000B4D9C">
        <w:t xml:space="preserve">including </w:t>
      </w:r>
      <w:r w:rsidR="000B786F" w:rsidRPr="000B4D9C">
        <w:t>improving</w:t>
      </w:r>
      <w:r w:rsidRPr="000B4D9C">
        <w:t xml:space="preserve"> the long-term forecast of </w:t>
      </w:r>
      <w:r w:rsidR="00662DB0" w:rsidRPr="000B4D9C">
        <w:t xml:space="preserve">the amounts </w:t>
      </w:r>
      <w:r w:rsidR="00272EFD" w:rsidRPr="000B4D9C">
        <w:t xml:space="preserve">and locations </w:t>
      </w:r>
      <w:r w:rsidR="00662DB0" w:rsidRPr="000B4D9C">
        <w:t>of PV resource</w:t>
      </w:r>
      <w:r w:rsidR="00B4202D" w:rsidRPr="000B4D9C">
        <w:t>s</w:t>
      </w:r>
      <w:r w:rsidR="00662DB0" w:rsidRPr="000B4D9C">
        <w:t xml:space="preserve"> and </w:t>
      </w:r>
      <w:r w:rsidR="006C3D84" w:rsidRPr="000B4D9C">
        <w:t xml:space="preserve">the </w:t>
      </w:r>
      <w:r w:rsidR="007C1EF9" w:rsidRPr="000B4D9C">
        <w:t xml:space="preserve">amount of </w:t>
      </w:r>
      <w:r w:rsidR="00662DB0" w:rsidRPr="000B4D9C">
        <w:t xml:space="preserve">electric energy </w:t>
      </w:r>
      <w:r w:rsidR="007C1EF9" w:rsidRPr="000B4D9C">
        <w:t xml:space="preserve">PV resources </w:t>
      </w:r>
      <w:r w:rsidR="00662DB0" w:rsidRPr="000B4D9C">
        <w:t>produc</w:t>
      </w:r>
      <w:r w:rsidR="007C1EF9" w:rsidRPr="000B4D9C">
        <w:t>e</w:t>
      </w:r>
      <w:r w:rsidR="002B284C">
        <w:t>;</w:t>
      </w:r>
      <w:r w:rsidR="00662DB0" w:rsidRPr="000B4D9C">
        <w:t xml:space="preserve"> </w:t>
      </w:r>
      <w:r w:rsidRPr="000B4D9C">
        <w:t>developing a short-term solar forecast for use by system operators</w:t>
      </w:r>
      <w:r w:rsidR="002B284C">
        <w:t>;</w:t>
      </w:r>
      <w:r w:rsidRPr="000B4D9C">
        <w:t xml:space="preserve"> and addressing other potential reliability risks posed by growing penetrations of PV, such as interconnection requirements.</w:t>
      </w:r>
      <w:proofErr w:type="gramEnd"/>
      <w:r w:rsidRPr="000B4D9C" w:rsidDel="00B64A73">
        <w:t xml:space="preserve"> </w:t>
      </w:r>
      <w:r w:rsidRPr="000B4D9C">
        <w:t>(Section</w:t>
      </w:r>
      <w:r w:rsidR="00272EFD" w:rsidRPr="000B4D9C">
        <w:t xml:space="preserve"> </w:t>
      </w:r>
      <w:fldSimple w:instr=" REF _Ref387327878 \r \h  \* MERGEFORMAT ">
        <w:r w:rsidR="00284CE3">
          <w:t>3.4</w:t>
        </w:r>
      </w:fldSimple>
      <w:r w:rsidR="00272EFD" w:rsidRPr="000B4D9C">
        <w:t xml:space="preserve"> and</w:t>
      </w:r>
      <w:r w:rsidRPr="000B4D9C">
        <w:t xml:space="preserve"> </w:t>
      </w:r>
      <w:fldSimple w:instr=" REF _Ref388715573 \r \h  \* MERGEFORMAT ">
        <w:r w:rsidR="00284CE3">
          <w:t>6.7</w:t>
        </w:r>
      </w:fldSimple>
      <w:r w:rsidRPr="000B4D9C">
        <w:t>)</w:t>
      </w:r>
    </w:p>
    <w:p w:rsidR="00B94DC6" w:rsidRPr="00926405" w:rsidRDefault="00B94DC6" w:rsidP="00B94DC6">
      <w:proofErr w:type="gramStart"/>
      <w:r w:rsidRPr="00926405">
        <w:rPr>
          <w:i/>
        </w:rPr>
        <w:t>Developing New England’s Smart Grid.</w:t>
      </w:r>
      <w:proofErr w:type="gramEnd"/>
      <w:r w:rsidRPr="00926405">
        <w:rPr>
          <w:i/>
        </w:rPr>
        <w:t xml:space="preserve"> </w:t>
      </w:r>
      <w:r w:rsidRPr="00926405">
        <w:t>In general, smart grid technologies can</w:t>
      </w:r>
      <w:r w:rsidRPr="00926405">
        <w:rPr>
          <w:color w:val="1F497D"/>
        </w:rPr>
        <w:t xml:space="preserve"> i</w:t>
      </w:r>
      <w:r w:rsidRPr="00926405">
        <w:t>mprove the ability of the</w:t>
      </w:r>
      <w:r w:rsidRPr="00926405">
        <w:rPr>
          <w:color w:val="1F497D"/>
        </w:rPr>
        <w:t xml:space="preserve"> </w:t>
      </w:r>
      <w:r w:rsidRPr="00926405">
        <w:t>transmission system to operate reliably under a wide variety of system conditions. They can improve the ability of system operators to observe and control the system, increase the transfer capability of the transmission system while adding less new infrastructure, and facilitate end-user response to the power system. Specific applications of smart grid technologies in New England use demand resources to provide ancillary services, such as operating reserves, and help integrate variable renewable resources, such as wind and photovoltaic power and hydroelectric power from neighboring Canadian regions</w:t>
      </w:r>
      <w:r w:rsidRPr="00171027">
        <w:t>. Smart grid technologies also can facilitate the reduction in demand when electr</w:t>
      </w:r>
      <w:r w:rsidRPr="00926405">
        <w:t>ic</w:t>
      </w:r>
      <w:r w:rsidR="005A554E">
        <w:t>ity</w:t>
      </w:r>
      <w:r w:rsidRPr="00926405">
        <w:t xml:space="preserve"> prices are high. This smart grid equipment helps implement both customers’ load response and the use of behind-the-meter resources, such as rooftop solar installations. (Section </w:t>
      </w:r>
      <w:r w:rsidR="00927965">
        <w:fldChar w:fldCharType="begin"/>
      </w:r>
      <w:r w:rsidR="008A2991">
        <w:instrText xml:space="preserve"> REF _Ref360786801 \r \h </w:instrText>
      </w:r>
      <w:r w:rsidR="00927965">
        <w:fldChar w:fldCharType="separate"/>
      </w:r>
      <w:r w:rsidR="00284CE3">
        <w:t>7.4.2</w:t>
      </w:r>
      <w:r w:rsidR="00927965">
        <w:fldChar w:fldCharType="end"/>
      </w:r>
      <w:r w:rsidRPr="00926405">
        <w:t>)</w:t>
      </w:r>
    </w:p>
    <w:p w:rsidR="00B94DC6" w:rsidRDefault="00B94DC6" w:rsidP="00B94DC6">
      <w:r w:rsidRPr="00A214D4">
        <w:t xml:space="preserve">The region is a leader in the smart grid application of HVDC facilities and flexible alternating-current transmission systems (FACTS), which improve the use of system infrastructure. </w:t>
      </w:r>
      <w:r>
        <w:t>T</w:t>
      </w:r>
      <w:r w:rsidRPr="00A214D4">
        <w:t>he ISO and the New England transmission owners install</w:t>
      </w:r>
      <w:r>
        <w:t>ed</w:t>
      </w:r>
      <w:r w:rsidRPr="00A214D4">
        <w:t xml:space="preserve"> </w:t>
      </w:r>
      <w:proofErr w:type="spellStart"/>
      <w:r w:rsidRPr="00A214D4">
        <w:t>phasor</w:t>
      </w:r>
      <w:proofErr w:type="spellEnd"/>
      <w:r w:rsidRPr="00A214D4">
        <w:t xml:space="preserve"> measurement units </w:t>
      </w:r>
      <w:r w:rsidRPr="0052547E">
        <w:t>(PMUs) and associated equipment at 40 substations</w:t>
      </w:r>
      <w:r>
        <w:t xml:space="preserve"> to </w:t>
      </w:r>
      <w:r w:rsidRPr="0052547E">
        <w:t>upgrade the</w:t>
      </w:r>
      <w:r w:rsidRPr="00AD002C">
        <w:t xml:space="preserve"> monitoring and operation of the system. The ISO and stakeholders </w:t>
      </w:r>
      <w:r>
        <w:t>have also</w:t>
      </w:r>
      <w:r w:rsidRPr="00AD002C">
        <w:t xml:space="preserve"> supported research and development efforts and the establishment of industry standards for integrating s</w:t>
      </w:r>
      <w:r w:rsidRPr="00A214D4">
        <w:t xml:space="preserve">mart grid technologies, including </w:t>
      </w:r>
      <w:r w:rsidRPr="00E40E2B">
        <w:t>dispatching active demand</w:t>
      </w:r>
      <w:r w:rsidRPr="00A214D4">
        <w:t xml:space="preserve"> resources, which </w:t>
      </w:r>
      <w:proofErr w:type="gramStart"/>
      <w:r w:rsidRPr="00A214D4">
        <w:t>are affected</w:t>
      </w:r>
      <w:proofErr w:type="gramEnd"/>
      <w:r w:rsidRPr="00A214D4">
        <w:t xml:space="preserve"> by the installation of smart meters and changes in retail rate structures. </w:t>
      </w:r>
      <w:r>
        <w:rPr>
          <w:color w:val="000000"/>
        </w:rPr>
        <w:t xml:space="preserve">Alternative technology regulation resources </w:t>
      </w:r>
      <w:r w:rsidRPr="00750143">
        <w:rPr>
          <w:color w:val="000000"/>
        </w:rPr>
        <w:t xml:space="preserve">and </w:t>
      </w:r>
      <w:r w:rsidRPr="00D57DFB">
        <w:rPr>
          <w:color w:val="000000"/>
        </w:rPr>
        <w:t>active demand resources</w:t>
      </w:r>
      <w:r w:rsidRPr="00750143">
        <w:rPr>
          <w:color w:val="000000"/>
        </w:rPr>
        <w:t xml:space="preserve"> </w:t>
      </w:r>
      <w:proofErr w:type="gramStart"/>
      <w:r w:rsidRPr="00750143">
        <w:rPr>
          <w:color w:val="000000"/>
        </w:rPr>
        <w:t>may be used</w:t>
      </w:r>
      <w:proofErr w:type="gramEnd"/>
      <w:r w:rsidRPr="00750143">
        <w:rPr>
          <w:color w:val="000000"/>
        </w:rPr>
        <w:t xml:space="preserve"> to provide regulation and reserve services, which would facilitate the</w:t>
      </w:r>
      <w:r>
        <w:rPr>
          <w:color w:val="000000"/>
        </w:rPr>
        <w:t xml:space="preserve"> reliable </w:t>
      </w:r>
      <w:r w:rsidRPr="004F21DF">
        <w:rPr>
          <w:color w:val="000000"/>
        </w:rPr>
        <w:t>integrat</w:t>
      </w:r>
      <w:r>
        <w:rPr>
          <w:color w:val="000000"/>
        </w:rPr>
        <w:t xml:space="preserve">ion of </w:t>
      </w:r>
      <w:r w:rsidRPr="004F21DF">
        <w:rPr>
          <w:color w:val="000000"/>
        </w:rPr>
        <w:t>intermittent renewable resources</w:t>
      </w:r>
      <w:r>
        <w:rPr>
          <w:color w:val="000000"/>
        </w:rPr>
        <w:t xml:space="preserve">. </w:t>
      </w:r>
      <w:r w:rsidRPr="00A214D4">
        <w:t>The</w:t>
      </w:r>
      <w:r w:rsidRPr="001B574A">
        <w:t xml:space="preserve"> ISO will </w:t>
      </w:r>
      <w:r>
        <w:t xml:space="preserve">continue to </w:t>
      </w:r>
      <w:r w:rsidRPr="001B574A">
        <w:t xml:space="preserve">monitor the development </w:t>
      </w:r>
      <w:r w:rsidR="009419FB">
        <w:t xml:space="preserve">of </w:t>
      </w:r>
      <w:r>
        <w:t xml:space="preserve">and </w:t>
      </w:r>
      <w:r w:rsidR="009419FB">
        <w:t xml:space="preserve">will </w:t>
      </w:r>
      <w:r>
        <w:t xml:space="preserve">support </w:t>
      </w:r>
      <w:r w:rsidR="009419FB">
        <w:t xml:space="preserve">the </w:t>
      </w:r>
      <w:r>
        <w:t xml:space="preserve">implementation </w:t>
      </w:r>
      <w:r w:rsidRPr="001B574A">
        <w:t xml:space="preserve">of these </w:t>
      </w:r>
      <w:r>
        <w:t xml:space="preserve">and other advanced technologies. </w:t>
      </w:r>
      <w:r w:rsidRPr="001B613C">
        <w:t xml:space="preserve">(Section </w:t>
      </w:r>
      <w:r w:rsidR="00927965">
        <w:fldChar w:fldCharType="begin"/>
      </w:r>
      <w:r w:rsidR="008A2991">
        <w:instrText xml:space="preserve"> REF _Ref360786801 \r \h </w:instrText>
      </w:r>
      <w:r w:rsidR="00927965">
        <w:fldChar w:fldCharType="separate"/>
      </w:r>
      <w:r w:rsidR="00284CE3">
        <w:t>7.4.2</w:t>
      </w:r>
      <w:r w:rsidR="00927965">
        <w:fldChar w:fldCharType="end"/>
      </w:r>
      <w:r w:rsidRPr="001B613C">
        <w:t>)</w:t>
      </w:r>
    </w:p>
    <w:p w:rsidR="00B94DC6" w:rsidRPr="000B786F" w:rsidRDefault="00B94DC6" w:rsidP="00B94DC6">
      <w:pPr>
        <w:pStyle w:val="Heading4"/>
      </w:pPr>
      <w:r w:rsidRPr="000B786F">
        <w:t xml:space="preserve">Economic Studies of Resource Integration and Interregional Coordination </w:t>
      </w:r>
    </w:p>
    <w:p w:rsidR="00B94DC6" w:rsidRPr="00EE5608" w:rsidRDefault="00B94DC6" w:rsidP="00B94DC6">
      <w:pPr>
        <w:tabs>
          <w:tab w:val="left" w:pos="720"/>
        </w:tabs>
      </w:pPr>
      <w:r w:rsidRPr="00EE5608">
        <w:t xml:space="preserve">Both the </w:t>
      </w:r>
      <w:r w:rsidR="004A2083" w:rsidRPr="004A2083">
        <w:rPr>
          <w:i/>
        </w:rPr>
        <w:t>2011 Economic Study</w:t>
      </w:r>
      <w:r w:rsidRPr="00EE5608">
        <w:t xml:space="preserve"> and the </w:t>
      </w:r>
      <w:r w:rsidR="004A2083" w:rsidRPr="004A2083">
        <w:rPr>
          <w:i/>
        </w:rPr>
        <w:t>2012 Economic Study</w:t>
      </w:r>
      <w:r w:rsidRPr="00EE5608">
        <w:t xml:space="preserve"> analyzed several of the strategic issues the region is addressing.</w:t>
      </w:r>
      <w:r w:rsidRPr="00EE5608">
        <w:rPr>
          <w:rStyle w:val="FootnoteReference"/>
        </w:rPr>
        <w:footnoteReference w:id="65"/>
      </w:r>
      <w:r w:rsidRPr="00EE5608">
        <w:t xml:space="preserve"> </w:t>
      </w:r>
      <w:r w:rsidRPr="00EE5608">
        <w:rPr>
          <w:szCs w:val="36"/>
        </w:rPr>
        <w:t xml:space="preserve">The </w:t>
      </w:r>
      <w:r w:rsidR="004A2083" w:rsidRPr="004A2083">
        <w:rPr>
          <w:i/>
          <w:szCs w:val="36"/>
        </w:rPr>
        <w:t>2011 Economic Study</w:t>
      </w:r>
      <w:r w:rsidRPr="00EE5608">
        <w:rPr>
          <w:szCs w:val="36"/>
        </w:rPr>
        <w:t xml:space="preserve">, </w:t>
      </w:r>
      <w:r w:rsidRPr="00EE5608">
        <w:t xml:space="preserve">summarized above, </w:t>
      </w:r>
      <w:r w:rsidRPr="00EE5608">
        <w:rPr>
          <w:szCs w:val="36"/>
        </w:rPr>
        <w:t>examined</w:t>
      </w:r>
      <w:r w:rsidRPr="00EE5608">
        <w:t xml:space="preserve"> the economic and environmental impacts of wind integration. </w:t>
      </w:r>
      <w:r w:rsidRPr="00EE5608">
        <w:rPr>
          <w:szCs w:val="36"/>
        </w:rPr>
        <w:t xml:space="preserve">The </w:t>
      </w:r>
      <w:r w:rsidR="004A2083" w:rsidRPr="004A2083">
        <w:rPr>
          <w:i/>
          <w:szCs w:val="36"/>
        </w:rPr>
        <w:t>2012 Economic Study</w:t>
      </w:r>
      <w:r w:rsidRPr="00EE5608">
        <w:rPr>
          <w:szCs w:val="36"/>
        </w:rPr>
        <w:t xml:space="preserve"> highlighted the least suitable locations for unit retirements and the most suitable locations for developing different resources without causing congestion. The study showed the effects of using various amounts of energy efficiency and low-emitting resources, including renewable energy.</w:t>
      </w:r>
    </w:p>
    <w:p w:rsidR="00B94DC6" w:rsidRPr="00EE5608" w:rsidRDefault="00B94DC6" w:rsidP="00B94DC6">
      <w:r w:rsidRPr="00EE5608">
        <w:t xml:space="preserve">These studies showed several key results. Accessing the onshore wind energy located in northern New England remote from load centers will require transmission expansion. Replacing older high-emitting coal- and oil-fired units with cleaner-burning natural gas generation will decrease environmental emissions but </w:t>
      </w:r>
      <w:r w:rsidR="006709F6">
        <w:t xml:space="preserve">further </w:t>
      </w:r>
      <w:r w:rsidRPr="00EE5608">
        <w:t xml:space="preserve">increase New England’s dependence on natural gas. The addition of resources with low energy costs decreases electric energy expenses for LSEs but also decreases energy market revenues to resources, which may then require increases in other revenue sources to remain economically viable. (Section </w:t>
      </w:r>
      <w:r w:rsidR="00927965">
        <w:fldChar w:fldCharType="begin"/>
      </w:r>
      <w:r w:rsidR="008A2991">
        <w:instrText xml:space="preserve"> REF _Ref388714829 \r \h </w:instrText>
      </w:r>
      <w:r w:rsidR="00927965">
        <w:fldChar w:fldCharType="separate"/>
      </w:r>
      <w:r w:rsidR="00284CE3">
        <w:t>6.8.1</w:t>
      </w:r>
      <w:r w:rsidR="00927965">
        <w:fldChar w:fldCharType="end"/>
      </w:r>
      <w:r w:rsidRPr="00EE5608">
        <w:t>)</w:t>
      </w:r>
    </w:p>
    <w:p w:rsidR="00B94DC6" w:rsidRDefault="00B94DC6" w:rsidP="00B94DC6">
      <w:r w:rsidRPr="00EE5608">
        <w:t>The ISO conducted an economic study in response to a stakeholder request received in 2013. This study examined the effects of increasing the acceptable loss-of-source limits in New England, which currently</w:t>
      </w:r>
      <w:r w:rsidR="00581866">
        <w:t xml:space="preserve"> </w:t>
      </w:r>
      <w:proofErr w:type="gramStart"/>
      <w:r w:rsidR="00581866">
        <w:t xml:space="preserve">is </w:t>
      </w:r>
      <w:r w:rsidRPr="00EE5608">
        <w:t>limited</w:t>
      </w:r>
      <w:proofErr w:type="gramEnd"/>
      <w:r w:rsidRPr="00EE5608">
        <w:t xml:space="preserve"> by constraints in New York and PJM. The study considered changes in required operating reserve</w:t>
      </w:r>
      <w:r w:rsidR="005909BC">
        <w:t>s</w:t>
      </w:r>
      <w:r w:rsidRPr="00EE5608">
        <w:t xml:space="preserve"> and varying profiles and prices of imported energy. As with other economic studies, the results show changes in the production cost, LSE expenses, and environmental emissions. In general, importing more</w:t>
      </w:r>
      <w:r w:rsidR="002B284C">
        <w:t>-</w:t>
      </w:r>
      <w:r w:rsidRPr="00EE5608">
        <w:t xml:space="preserve">economical energy from </w:t>
      </w:r>
      <w:r>
        <w:t>Canada</w:t>
      </w:r>
      <w:r w:rsidRPr="00EE5608">
        <w:t xml:space="preserve"> could lower system energy </w:t>
      </w:r>
      <w:proofErr w:type="spellStart"/>
      <w:r w:rsidRPr="00EE5608">
        <w:t>locational</w:t>
      </w:r>
      <w:proofErr w:type="spellEnd"/>
      <w:r w:rsidRPr="00EE5608">
        <w:t xml:space="preserve"> marginal prices (LMPs) and emissions but would increase the cost of operating reserves.</w:t>
      </w:r>
      <w:r>
        <w:t xml:space="preserve"> </w:t>
      </w:r>
    </w:p>
    <w:p w:rsidR="00B94DC6" w:rsidRPr="0001785E" w:rsidRDefault="00B94DC6" w:rsidP="00B94DC6">
      <w:pPr>
        <w:pStyle w:val="Heading4"/>
      </w:pPr>
      <w:r w:rsidRPr="0001785E">
        <w:t xml:space="preserve">Analysis of Market Resources </w:t>
      </w:r>
      <w:r>
        <w:t xml:space="preserve">in Load Pockets </w:t>
      </w:r>
      <w:r w:rsidRPr="0001785E">
        <w:t>as an Alternative to Transmission Investment</w:t>
      </w:r>
    </w:p>
    <w:p w:rsidR="00B94DC6" w:rsidRPr="00EF0747" w:rsidRDefault="00B94DC6" w:rsidP="00B94DC6">
      <w:r w:rsidRPr="004A7BA1">
        <w:t xml:space="preserve">Results of the Strategic Transmission Analysis show that developing resources </w:t>
      </w:r>
      <w:r w:rsidR="000C287B">
        <w:t xml:space="preserve">integrated into or interconnected to the buses in </w:t>
      </w:r>
      <w:r w:rsidRPr="004A7BA1">
        <w:t xml:space="preserve">the </w:t>
      </w:r>
      <w:r w:rsidRPr="00D57DFB">
        <w:t>Hub</w:t>
      </w:r>
      <w:r w:rsidRPr="004A7BA1">
        <w:t xml:space="preserve"> or in load</w:t>
      </w:r>
      <w:r w:rsidRPr="0001785E">
        <w:t xml:space="preserve"> pockets is</w:t>
      </w:r>
      <w:r w:rsidRPr="00F609F2">
        <w:t xml:space="preserve"> beneficial, especially the load pockets with exposure to potential generator retirements.</w:t>
      </w:r>
      <w:r>
        <w:rPr>
          <w:rStyle w:val="FootnoteReference"/>
        </w:rPr>
        <w:footnoteReference w:id="66"/>
      </w:r>
      <w:r w:rsidRPr="00F609F2">
        <w:t xml:space="preserve"> </w:t>
      </w:r>
      <w:r w:rsidRPr="00BF75F5">
        <w:t>However, assessing the suitability of develop</w:t>
      </w:r>
      <w:r>
        <w:t>ing</w:t>
      </w:r>
      <w:r w:rsidRPr="00BF75F5">
        <w:t xml:space="preserve"> individual resources can be challenging </w:t>
      </w:r>
      <w:r w:rsidR="00432AEB">
        <w:t xml:space="preserve">during the planning process </w:t>
      </w:r>
      <w:r w:rsidRPr="00BF75F5">
        <w:t xml:space="preserve">because of the wide variability of the characteristics, locations, and possible combinations of resources that </w:t>
      </w:r>
      <w:proofErr w:type="gramStart"/>
      <w:r w:rsidRPr="00BF75F5">
        <w:t>could be developed</w:t>
      </w:r>
      <w:proofErr w:type="gramEnd"/>
      <w:r w:rsidRPr="00BF75F5">
        <w:t xml:space="preserve">, such as central station and </w:t>
      </w:r>
      <w:r>
        <w:t xml:space="preserve">DG </w:t>
      </w:r>
      <w:r w:rsidRPr="0089562E">
        <w:t>resources, end-use efficiency, and storage technologies.</w:t>
      </w:r>
      <w:r>
        <w:t xml:space="preserve"> </w:t>
      </w:r>
      <w:r w:rsidRPr="00D45F5F">
        <w:t>In response to PAC requests for more detail</w:t>
      </w:r>
      <w:r>
        <w:t xml:space="preserve">s </w:t>
      </w:r>
      <w:r w:rsidRPr="00D45F5F">
        <w:t xml:space="preserve">about resources that could meet system needs, the ISO </w:t>
      </w:r>
      <w:r>
        <w:t xml:space="preserve">applied the lessons learned from studies of the Vermont/New Hampshire area and </w:t>
      </w:r>
      <w:r w:rsidRPr="004139DD">
        <w:t xml:space="preserve">the Greater Hartford/Central Connecticut area </w:t>
      </w:r>
      <w:r w:rsidR="00432AEB">
        <w:t xml:space="preserve">to </w:t>
      </w:r>
      <w:r w:rsidRPr="004139DD">
        <w:t>a study of</w:t>
      </w:r>
      <w:r w:rsidR="00D43C82">
        <w:t xml:space="preserve"> </w:t>
      </w:r>
      <w:r w:rsidRPr="004139DD">
        <w:t>Southeast Massachusetts/Rhode</w:t>
      </w:r>
      <w:r w:rsidRPr="00D57DFB">
        <w:t xml:space="preserve"> Island (SEMA/RI).</w:t>
      </w:r>
      <w:r w:rsidRPr="00D57DFB">
        <w:rPr>
          <w:rStyle w:val="FootnoteReference"/>
        </w:rPr>
        <w:footnoteReference w:id="67"/>
      </w:r>
      <w:r w:rsidRPr="00D57DFB">
        <w:t xml:space="preserve"> The study respected</w:t>
      </w:r>
      <w:r>
        <w:t xml:space="preserve"> the contingency loss of power system elements (</w:t>
      </w:r>
      <w:r w:rsidRPr="00D57DFB">
        <w:t>N-1 criteria contingencies</w:t>
      </w:r>
      <w:r>
        <w:t>)</w:t>
      </w:r>
      <w:r w:rsidRPr="00D57DFB">
        <w:t xml:space="preserve"> but did not address constraints </w:t>
      </w:r>
      <w:r>
        <w:t xml:space="preserve">respecting subsequent criteria contingencies (N-1-1 criteria contingencies) </w:t>
      </w:r>
      <w:r w:rsidRPr="00D57DFB">
        <w:t xml:space="preserve">and FCM deliverability requirements. The analysis considered large generators (greater than or equal to 20 MW), small generators (less than 20 MW), and demand resources (less than 40% of the load at a given location). The results show that a minimum of </w:t>
      </w:r>
      <w:r w:rsidRPr="00B815A4">
        <w:t xml:space="preserve">941 MW </w:t>
      </w:r>
      <w:r w:rsidRPr="00D57DFB">
        <w:t xml:space="preserve">of total new generation and load reductions ranging from </w:t>
      </w:r>
      <w:proofErr w:type="gramStart"/>
      <w:r w:rsidRPr="00D57DFB">
        <w:t>5</w:t>
      </w:r>
      <w:proofErr w:type="gramEnd"/>
      <w:r w:rsidRPr="00D57DFB">
        <w:t xml:space="preserve"> MW to 590</w:t>
      </w:r>
      <w:r>
        <w:t> </w:t>
      </w:r>
      <w:r w:rsidRPr="00D57DFB">
        <w:t xml:space="preserve">MW at specific locations, as well as some minor transmission upgrades, can mitigate the thermal and voltage needs for the area. (Section </w:t>
      </w:r>
      <w:r w:rsidR="00927965">
        <w:fldChar w:fldCharType="begin"/>
      </w:r>
      <w:r w:rsidR="008A2991">
        <w:instrText xml:space="preserve"> REF _Ref388716796 \r \h </w:instrText>
      </w:r>
      <w:r w:rsidR="00927965">
        <w:fldChar w:fldCharType="separate"/>
      </w:r>
      <w:r w:rsidR="00284CE3">
        <w:t>6.10</w:t>
      </w:r>
      <w:r w:rsidR="00927965">
        <w:fldChar w:fldCharType="end"/>
      </w:r>
      <w:r w:rsidRPr="00D57DFB">
        <w:t>)</w:t>
      </w:r>
    </w:p>
    <w:p w:rsidR="00B94DC6" w:rsidRPr="00664B6F" w:rsidRDefault="00B94DC6" w:rsidP="00B94DC6">
      <w:pPr>
        <w:pStyle w:val="Heading3"/>
        <w:spacing w:before="120"/>
      </w:pPr>
      <w:bookmarkStart w:id="59" w:name="_Toc390070639"/>
      <w:bookmarkStart w:id="60" w:name="_Toc396807596"/>
      <w:r>
        <w:t>Interregional Planning</w:t>
      </w:r>
      <w:bookmarkEnd w:id="59"/>
      <w:bookmarkEnd w:id="60"/>
    </w:p>
    <w:p w:rsidR="00B94DC6" w:rsidRDefault="00B94DC6" w:rsidP="00B94DC6">
      <w:r>
        <w:t>ISO New England’s planning activities are closely coordinated at the state, regional, interregional, and federal levels.</w:t>
      </w:r>
      <w:r w:rsidRPr="003058A4">
        <w:t xml:space="preserve"> Identifying interregional system needs and the potential impacts that proposed generating units and transmission projects could have on neighboring systems is beneficial to support interregional reliability and economic performance.</w:t>
      </w:r>
      <w:r w:rsidRPr="002E1082">
        <w:t xml:space="preserve"> </w:t>
      </w:r>
    </w:p>
    <w:p w:rsidR="00B94DC6" w:rsidRDefault="00B94DC6" w:rsidP="00B94DC6">
      <w:r w:rsidRPr="00D45F5F">
        <w:t xml:space="preserve">The ISO has developed coordinated system plans and </w:t>
      </w:r>
      <w:r>
        <w:t xml:space="preserve">has </w:t>
      </w:r>
      <w:r w:rsidRPr="00D45F5F">
        <w:t xml:space="preserve">proactively initiated planning </w:t>
      </w:r>
      <w:r w:rsidRPr="00B20441">
        <w:t>studies with other regions.</w:t>
      </w:r>
      <w:r>
        <w:t xml:space="preserve"> The </w:t>
      </w:r>
      <w:r w:rsidRPr="00B20441">
        <w:t>ISO has worked with both NYISO and PJM through the Northeastern</w:t>
      </w:r>
      <w:r>
        <w:t xml:space="preserve"> ISO/RTO Planning Coordination Protocol and issued the </w:t>
      </w:r>
      <w:r w:rsidRPr="008A0DFD">
        <w:rPr>
          <w:i/>
        </w:rPr>
        <w:t>2013 Northeast Coordinated System Plan</w:t>
      </w:r>
      <w:r>
        <w:t xml:space="preserve"> (NCSP13) that addresses </w:t>
      </w:r>
      <w:r w:rsidRPr="00293020">
        <w:t>several key interregional</w:t>
      </w:r>
      <w:r>
        <w:t xml:space="preserve"> </w:t>
      </w:r>
      <w:r w:rsidRPr="00293020">
        <w:t xml:space="preserve">issues and </w:t>
      </w:r>
      <w:r>
        <w:t xml:space="preserve">summarizes key </w:t>
      </w:r>
      <w:r w:rsidRPr="00293020">
        <w:t>activities</w:t>
      </w:r>
      <w:r>
        <w:t>.</w:t>
      </w:r>
      <w:r w:rsidRPr="00B20441">
        <w:rPr>
          <w:rStyle w:val="FootnoteReference"/>
        </w:rPr>
        <w:footnoteReference w:id="68"/>
      </w:r>
      <w:r w:rsidRPr="00B20441">
        <w:t xml:space="preserve"> </w:t>
      </w:r>
      <w:r>
        <w:t xml:space="preserve">The ISO/RTOs have coordinated databases and models of their systems and conducted production cost analyses and transmission analyses of planned system improvements and interconnections. The three planning authorities have discussed these studies and key planning issues affecting the Northeast with stakeholders. Some of these issues include environmental regulations and their potential effect on the power system, </w:t>
      </w:r>
      <w:proofErr w:type="gramStart"/>
      <w:r>
        <w:t>challenges</w:t>
      </w:r>
      <w:proofErr w:type="gramEnd"/>
      <w:r>
        <w:t xml:space="preserve"> and solutions facilitating the integration of renewable resources, the need for fuel diversity, and the results of coordinated studies of the natural gas system. </w:t>
      </w:r>
      <w:r w:rsidRPr="00293020">
        <w:t>(</w:t>
      </w:r>
      <w:r>
        <w:t xml:space="preserve">Section </w:t>
      </w:r>
      <w:r w:rsidR="00927965">
        <w:fldChar w:fldCharType="begin"/>
      </w:r>
      <w:r w:rsidR="008A2991">
        <w:instrText xml:space="preserve"> REF _Ref360786969 \r \h </w:instrText>
      </w:r>
      <w:r w:rsidR="00927965">
        <w:fldChar w:fldCharType="separate"/>
      </w:r>
      <w:r w:rsidR="00284CE3">
        <w:t>7.1</w:t>
      </w:r>
      <w:r w:rsidR="00927965">
        <w:fldChar w:fldCharType="end"/>
      </w:r>
      <w:r w:rsidRPr="00293020">
        <w:t>)</w:t>
      </w:r>
    </w:p>
    <w:p w:rsidR="00B94DC6" w:rsidRDefault="00B94DC6" w:rsidP="00B94DC6">
      <w:r w:rsidRPr="0087388D">
        <w:t xml:space="preserve">Sharing more supply and demand resources with other systems most likely </w:t>
      </w:r>
      <w:proofErr w:type="gramStart"/>
      <w:r w:rsidRPr="0087388D">
        <w:t>will be needed</w:t>
      </w:r>
      <w:proofErr w:type="gramEnd"/>
      <w:r w:rsidRPr="0087388D">
        <w:t xml:space="preserve">, particularly </w:t>
      </w:r>
      <w:r w:rsidRPr="00BF75F5">
        <w:t xml:space="preserve">to meet environmental regulations and successfully integrate intermittent resources. </w:t>
      </w:r>
      <w:r w:rsidRPr="00BF75F5">
        <w:rPr>
          <w:rFonts w:asciiTheme="majorHAnsi" w:hAnsiTheme="majorHAnsi"/>
        </w:rPr>
        <w:t>The</w:t>
      </w:r>
      <w:r w:rsidRPr="0087388D">
        <w:rPr>
          <w:rFonts w:asciiTheme="majorHAnsi" w:hAnsiTheme="majorHAnsi"/>
        </w:rPr>
        <w:t xml:space="preserve"> ISO has worked with stakeholders to establish a means of complying with FERC Order </w:t>
      </w:r>
      <w:r w:rsidR="005364C3">
        <w:rPr>
          <w:rFonts w:asciiTheme="majorHAnsi" w:hAnsiTheme="majorHAnsi"/>
        </w:rPr>
        <w:t xml:space="preserve">No. </w:t>
      </w:r>
      <w:r w:rsidRPr="0087388D">
        <w:rPr>
          <w:rFonts w:asciiTheme="majorHAnsi" w:hAnsiTheme="majorHAnsi"/>
        </w:rPr>
        <w:t xml:space="preserve">1000, which includes </w:t>
      </w:r>
      <w:r>
        <w:rPr>
          <w:rFonts w:asciiTheme="majorHAnsi" w:hAnsiTheme="majorHAnsi"/>
        </w:rPr>
        <w:t>changing</w:t>
      </w:r>
      <w:r w:rsidRPr="0087388D">
        <w:rPr>
          <w:rFonts w:asciiTheme="majorHAnsi" w:hAnsiTheme="majorHAnsi"/>
        </w:rPr>
        <w:t xml:space="preserve"> the interregional planning process and interregional cost allocation. </w:t>
      </w:r>
      <w:r w:rsidRPr="0087388D">
        <w:t>ISO New England will continue conducting joint studies with NYISO and PJM to identify transmission constraints limiting</w:t>
      </w:r>
      <w:r w:rsidRPr="002E1082">
        <w:t xml:space="preserve"> interregional power transfers and </w:t>
      </w:r>
      <w:r>
        <w:t xml:space="preserve">to </w:t>
      </w:r>
      <w:r w:rsidRPr="002E1082">
        <w:t>show the effects of rel</w:t>
      </w:r>
      <w:r>
        <w:t>ieving</w:t>
      </w:r>
      <w:r w:rsidRPr="002E1082">
        <w:t xml:space="preserve"> these </w:t>
      </w:r>
      <w:r w:rsidRPr="00181DBF">
        <w:t>constraints throughout the ISO/RTO regions. The ISO also will continue to coordinate other efforts</w:t>
      </w:r>
      <w:r w:rsidRPr="002E1082">
        <w:t xml:space="preserve"> with neighboring systems to explore the ability to import power from</w:t>
      </w:r>
      <w:r>
        <w:t>,</w:t>
      </w:r>
      <w:r w:rsidRPr="002E1082">
        <w:t xml:space="preserve"> and export power to</w:t>
      </w:r>
      <w:r>
        <w:t>,</w:t>
      </w:r>
      <w:r w:rsidRPr="002E1082">
        <w:t xml:space="preserve"> the eastern Canadian provinces and New York and participate in national and regional planning activities.</w:t>
      </w:r>
    </w:p>
    <w:p w:rsidR="00B94DC6" w:rsidRPr="009B2564" w:rsidRDefault="00B94DC6" w:rsidP="00B94DC6">
      <w:r w:rsidRPr="00D45F5F">
        <w:t xml:space="preserve">ISO New England and other planning authorities throughout the Eastern Interconnection are </w:t>
      </w:r>
      <w:r>
        <w:t xml:space="preserve">members of </w:t>
      </w:r>
      <w:r w:rsidRPr="00AB79ED">
        <w:t xml:space="preserve">the Eastern Interconnection Planning Collaborative. The EIPC addresses its portion of North American planning issues, coordinates plans, and conducts studies for the entire Eastern Interconnection through a transparent and collaborative process </w:t>
      </w:r>
      <w:r>
        <w:t xml:space="preserve">involving </w:t>
      </w:r>
      <w:r w:rsidRPr="00AB79ED">
        <w:t xml:space="preserve">input from a broad base of </w:t>
      </w:r>
      <w:r w:rsidRPr="0052547E">
        <w:t xml:space="preserve">interested stakeholders. </w:t>
      </w:r>
      <w:r>
        <w:t xml:space="preserve">ISO New England also serves as a principal investigator for a project funded as part of </w:t>
      </w:r>
      <w:r w:rsidRPr="00EA2E47">
        <w:t>DOE</w:t>
      </w:r>
      <w:r>
        <w:t xml:space="preserve"> grant work. At DOE’s request, </w:t>
      </w:r>
      <w:r w:rsidRPr="00EA2E47">
        <w:t xml:space="preserve">EIPC is studying how the interface between the natural gas and electric power systems affects operations and planning. </w:t>
      </w:r>
      <w:r>
        <w:t xml:space="preserve">In a separate effort, </w:t>
      </w:r>
      <w:r w:rsidRPr="00BF75F5">
        <w:t xml:space="preserve">the EIPC is also coordinating planning databases and </w:t>
      </w:r>
      <w:r w:rsidRPr="009B2564">
        <w:t>conducting</w:t>
      </w:r>
      <w:r w:rsidR="00EB2519">
        <w:t xml:space="preserve"> scenario analyses of </w:t>
      </w:r>
      <w:r w:rsidRPr="009B2564">
        <w:t xml:space="preserve">electric </w:t>
      </w:r>
      <w:r w:rsidR="00EB2519">
        <w:t xml:space="preserve">power </w:t>
      </w:r>
      <w:r w:rsidRPr="009B2564">
        <w:t>transmission system</w:t>
      </w:r>
      <w:r w:rsidR="00EB2519">
        <w:t xml:space="preserve">s </w:t>
      </w:r>
      <w:r w:rsidRPr="009B2564">
        <w:t xml:space="preserve">for the entire Eastern Interconnection. </w:t>
      </w:r>
      <w:r>
        <w:t>(Section</w:t>
      </w:r>
      <w:r w:rsidR="008A2991">
        <w:t>s</w:t>
      </w:r>
      <w:r>
        <w:t> </w:t>
      </w:r>
      <w:r w:rsidR="00927965">
        <w:fldChar w:fldCharType="begin"/>
      </w:r>
      <w:r w:rsidR="008A2991">
        <w:instrText xml:space="preserve"> REF _Ref390424252 \r \h </w:instrText>
      </w:r>
      <w:r w:rsidR="00927965">
        <w:fldChar w:fldCharType="separate"/>
      </w:r>
      <w:r w:rsidR="00284CE3">
        <w:t>7.1.1</w:t>
      </w:r>
      <w:r w:rsidR="00927965">
        <w:fldChar w:fldCharType="end"/>
      </w:r>
      <w:r>
        <w:t xml:space="preserve"> and </w:t>
      </w:r>
      <w:r w:rsidR="00927965">
        <w:fldChar w:fldCharType="begin"/>
      </w:r>
      <w:r w:rsidR="008A2991">
        <w:instrText xml:space="preserve"> REF _Ref388717416 \r \h </w:instrText>
      </w:r>
      <w:r w:rsidR="00927965">
        <w:fldChar w:fldCharType="separate"/>
      </w:r>
      <w:r w:rsidR="00284CE3">
        <w:t>7.2</w:t>
      </w:r>
      <w:r w:rsidR="00927965">
        <w:fldChar w:fldCharType="end"/>
      </w:r>
      <w:r>
        <w:t>)</w:t>
      </w:r>
    </w:p>
    <w:p w:rsidR="00B94DC6" w:rsidRDefault="00B94DC6" w:rsidP="00B94DC6">
      <w:r w:rsidRPr="009B2564">
        <w:t xml:space="preserve">The ISO participates in several other national and regional </w:t>
      </w:r>
      <w:proofErr w:type="gramStart"/>
      <w:r w:rsidRPr="009B2564">
        <w:t>system planning</w:t>
      </w:r>
      <w:proofErr w:type="gramEnd"/>
      <w:r w:rsidRPr="009B2564">
        <w:t xml:space="preserve"> forums, such as NERC, the ISO/RTO Council, and the NPCC. Through</w:t>
      </w:r>
      <w:r w:rsidRPr="00AB5727">
        <w:t xml:space="preserve"> the NPCC and NERC, the ISO has participated in interregional assessments, which coordinate planning studies and demonstrate compliance with all required planning standards, criteria, and procedures</w:t>
      </w:r>
      <w:r>
        <w:t>.</w:t>
      </w:r>
    </w:p>
    <w:p w:rsidR="00B94DC6" w:rsidRDefault="00B94DC6" w:rsidP="00B94DC6">
      <w:pPr>
        <w:pStyle w:val="Heading3"/>
        <w:spacing w:before="120"/>
      </w:pPr>
      <w:bookmarkStart w:id="61" w:name="_Toc390070640"/>
      <w:bookmarkStart w:id="62" w:name="_Toc396807597"/>
      <w:r w:rsidRPr="00E607B6">
        <w:t>State</w:t>
      </w:r>
      <w:r w:rsidRPr="00750049">
        <w:t xml:space="preserve">, </w:t>
      </w:r>
      <w:r>
        <w:t xml:space="preserve">Regional, </w:t>
      </w:r>
      <w:r w:rsidRPr="00750049">
        <w:t>and Federal Initiatives that Affect System Planning</w:t>
      </w:r>
      <w:bookmarkEnd w:id="61"/>
      <w:bookmarkEnd w:id="62"/>
    </w:p>
    <w:p w:rsidR="00B94DC6" w:rsidRDefault="00B94DC6" w:rsidP="00B94DC6">
      <w:r w:rsidRPr="00D4331C">
        <w:t xml:space="preserve">The ISO continuously works with a wide variety of state policymakers and other regional </w:t>
      </w:r>
      <w:r>
        <w:t xml:space="preserve">and </w:t>
      </w:r>
      <w:r w:rsidRPr="00E60CEB">
        <w:t>interregional stakeholders on initiatives such as the Strategic Planning Initiative</w:t>
      </w:r>
      <w:r w:rsidR="00E60CEB">
        <w:t xml:space="preserve">. </w:t>
      </w:r>
      <w:r w:rsidRPr="00D4331C">
        <w:t>Regional</w:t>
      </w:r>
      <w:r>
        <w:t xml:space="preserve"> </w:t>
      </w:r>
      <w:r w:rsidRPr="007D41EA">
        <w:t xml:space="preserve">initiatives </w:t>
      </w:r>
      <w:r>
        <w:t xml:space="preserve">continue for improving the wholesale electricity markets, </w:t>
      </w:r>
      <w:r w:rsidRPr="000514CD">
        <w:t xml:space="preserve">integrating new technologies, and documenting the regional transmission planning </w:t>
      </w:r>
      <w:r w:rsidRPr="00171027">
        <w:t xml:space="preserve">process and technical requirements for planning studies. The draft </w:t>
      </w:r>
      <w:r w:rsidRPr="00171027">
        <w:rPr>
          <w:i/>
        </w:rPr>
        <w:t xml:space="preserve">Transmission Planning Process Guide </w:t>
      </w:r>
      <w:r w:rsidRPr="00171027">
        <w:t xml:space="preserve">and the draft </w:t>
      </w:r>
      <w:r w:rsidRPr="00171027">
        <w:rPr>
          <w:i/>
        </w:rPr>
        <w:t>Transmission Planning Technical Guide</w:t>
      </w:r>
      <w:r w:rsidRPr="00171027">
        <w:t xml:space="preserve"> </w:t>
      </w:r>
      <w:proofErr w:type="gramStart"/>
      <w:r w:rsidRPr="00171027">
        <w:t>will be revisited</w:t>
      </w:r>
      <w:proofErr w:type="gramEnd"/>
      <w:r w:rsidRPr="00171027">
        <w:t xml:space="preserve"> to align with final Order </w:t>
      </w:r>
      <w:r w:rsidR="005364C3">
        <w:t xml:space="preserve">No. </w:t>
      </w:r>
      <w:r w:rsidRPr="00171027">
        <w:t>1000 requirements.</w:t>
      </w:r>
      <w:r w:rsidRPr="00171027">
        <w:rPr>
          <w:rStyle w:val="FootnoteReference"/>
        </w:rPr>
        <w:footnoteReference w:id="69"/>
      </w:r>
      <w:r w:rsidRPr="00171027">
        <w:t xml:space="preserve"> In response to stakeholder requests, the ISO is also continuing to work with stakeholders to examine suitable assumptions </w:t>
      </w:r>
      <w:r w:rsidR="005310A6">
        <w:t xml:space="preserve">for use </w:t>
      </w:r>
      <w:r w:rsidRPr="00171027">
        <w:t>in planning studies, which may more fully consider the probability of resources outages, system transfers, and system load levels.</w:t>
      </w:r>
      <w:r>
        <w:t xml:space="preserve"> </w:t>
      </w:r>
    </w:p>
    <w:p w:rsidR="00B94DC6" w:rsidRDefault="00B94DC6" w:rsidP="00B94DC6">
      <w:r w:rsidRPr="00CD698B">
        <w:t>The ISO has continued to provide technical support to a number of state agencies and groups</w:t>
      </w:r>
      <w:r>
        <w:t xml:space="preserve"> as they formulate policies for the region. These groups include </w:t>
      </w:r>
      <w:r w:rsidRPr="00CD698B">
        <w:t xml:space="preserve">the New England Conference of Public Utilities Commissioners (NECPUC), </w:t>
      </w:r>
      <w:r>
        <w:t xml:space="preserve">the New England States Committee on Electricity (NESCOE), the New England governors, </w:t>
      </w:r>
      <w:r w:rsidRPr="00CD698B">
        <w:t>the Consumer Liaison Group (CLG),</w:t>
      </w:r>
      <w:r>
        <w:t xml:space="preserve"> </w:t>
      </w:r>
      <w:r w:rsidRPr="00E95DF1">
        <w:t>and</w:t>
      </w:r>
      <w:r w:rsidRPr="00CD698B">
        <w:t xml:space="preserve"> others.</w:t>
      </w:r>
      <w:r>
        <w:t xml:space="preserve"> </w:t>
      </w:r>
      <w:r w:rsidRPr="00CD698B">
        <w:t>The planning process</w:t>
      </w:r>
      <w:r w:rsidRPr="00E06971">
        <w:t xml:space="preserve"> will continue to evolve in response to FERC </w:t>
      </w:r>
      <w:r>
        <w:t xml:space="preserve">orders </w:t>
      </w:r>
      <w:r w:rsidRPr="00E06971">
        <w:t xml:space="preserve">and other policy </w:t>
      </w:r>
      <w:r w:rsidRPr="00185F24">
        <w:t>developments</w:t>
      </w:r>
      <w:r w:rsidRPr="003B38A5">
        <w:t xml:space="preserve">. The </w:t>
      </w:r>
      <w:r w:rsidRPr="003B38A5">
        <w:rPr>
          <w:i/>
        </w:rPr>
        <w:t>Quadrennial Energy Review</w:t>
      </w:r>
      <w:r w:rsidRPr="003B38A5">
        <w:t xml:space="preserve"> by DOE, which will conclude in 2015, is a comprehensive analysis of energy and electricity production and delivery systems that addresses the challenges of cyber- and physical security</w:t>
      </w:r>
      <w:r>
        <w:t xml:space="preserve"> of critical infrastructure. </w:t>
      </w:r>
      <w:r w:rsidRPr="00EE7A8B">
        <w:t>(</w:t>
      </w:r>
      <w:r>
        <w:t>Section</w:t>
      </w:r>
      <w:r w:rsidR="008A2991">
        <w:t xml:space="preserve"> </w:t>
      </w:r>
      <w:r w:rsidR="00927965">
        <w:fldChar w:fldCharType="begin"/>
      </w:r>
      <w:r w:rsidR="008A2991">
        <w:instrText xml:space="preserve"> REF _Ref360787033 \r \h </w:instrText>
      </w:r>
      <w:r w:rsidR="00927965">
        <w:fldChar w:fldCharType="separate"/>
      </w:r>
      <w:r w:rsidR="00284CE3">
        <w:t>7.3</w:t>
      </w:r>
      <w:r w:rsidR="00927965">
        <w:fldChar w:fldCharType="end"/>
      </w:r>
      <w:r w:rsidRPr="00EE7A8B">
        <w:t>)</w:t>
      </w:r>
      <w:r>
        <w:t xml:space="preserve"> </w:t>
      </w:r>
    </w:p>
    <w:p w:rsidR="00B94DC6" w:rsidRPr="000B4E9E" w:rsidRDefault="00B94DC6" w:rsidP="005E14EF">
      <w:pPr>
        <w:pStyle w:val="Heading2"/>
      </w:pPr>
      <w:bookmarkStart w:id="63" w:name="_Toc390070641"/>
      <w:bookmarkStart w:id="64" w:name="_Toc396807598"/>
      <w:r w:rsidRPr="000B4E9E">
        <w:t>Conclusions</w:t>
      </w:r>
      <w:bookmarkEnd w:id="63"/>
      <w:bookmarkEnd w:id="64"/>
      <w:r w:rsidRPr="000B4E9E">
        <w:t xml:space="preserve"> </w:t>
      </w:r>
    </w:p>
    <w:p w:rsidR="00B94DC6" w:rsidRPr="00317036" w:rsidRDefault="00B94DC6" w:rsidP="00B94DC6">
      <w:r>
        <w:t xml:space="preserve">The </w:t>
      </w:r>
      <w:r w:rsidRPr="00DB1553">
        <w:rPr>
          <w:i/>
        </w:rPr>
        <w:t>201</w:t>
      </w:r>
      <w:r>
        <w:rPr>
          <w:i/>
        </w:rPr>
        <w:t>4</w:t>
      </w:r>
      <w:r w:rsidRPr="00DB1553">
        <w:rPr>
          <w:i/>
        </w:rPr>
        <w:t xml:space="preserve"> Regional System Plan</w:t>
      </w:r>
      <w:r w:rsidRPr="00A02FBD">
        <w:t xml:space="preserve"> identifies system needs and plans for meeting these needs. RSP1</w:t>
      </w:r>
      <w:r>
        <w:t>4</w:t>
      </w:r>
      <w:r w:rsidRPr="00A02FBD">
        <w:t xml:space="preserve"> also discusses risks to the regional electric power system; the likelihood, timing, and potential consequences of these risks; and mitigating actions.</w:t>
      </w:r>
      <w:r w:rsidRPr="009469AB">
        <w:rPr>
          <w:sz w:val="18"/>
        </w:rPr>
        <w:t xml:space="preserve"> </w:t>
      </w:r>
      <w:r w:rsidRPr="00A02FBD">
        <w:t>Through an open process, regional stakeholders and the ISO are address</w:t>
      </w:r>
      <w:r>
        <w:t>ing</w:t>
      </w:r>
      <w:r w:rsidRPr="00A02FBD">
        <w:t xml:space="preserve"> these issues, which could include further infrastructure development as well as changes to the wholesale electricity market design and the system planning process.</w:t>
      </w:r>
      <w:r>
        <w:t xml:space="preserve"> </w:t>
      </w:r>
      <w:r w:rsidRPr="00A02FBD">
        <w:t xml:space="preserve">Through current and planned activities, the </w:t>
      </w:r>
      <w:r w:rsidRPr="00F43D46">
        <w:t>region is w</w:t>
      </w:r>
      <w:r>
        <w:t xml:space="preserve">orking toward </w:t>
      </w:r>
      <w:r w:rsidRPr="00F43D46">
        <w:t>meet</w:t>
      </w:r>
      <w:r>
        <w:t>ing</w:t>
      </w:r>
      <w:r w:rsidRPr="00F43D46">
        <w:t xml:space="preserve"> all challenges for planning and operating the </w:t>
      </w:r>
      <w:r w:rsidRPr="00BF75F5">
        <w:t>system in accordance with all requirements.</w:t>
      </w:r>
    </w:p>
    <w:p w:rsidR="00181557" w:rsidRDefault="00181557">
      <w:pPr>
        <w:pStyle w:val="Heading1"/>
      </w:pPr>
      <w:bookmarkStart w:id="65" w:name="_Toc141573370"/>
      <w:bookmarkStart w:id="66" w:name="_Toc141573604"/>
      <w:bookmarkStart w:id="67" w:name="_Toc141573772"/>
      <w:bookmarkStart w:id="68" w:name="_Toc141574786"/>
      <w:bookmarkStart w:id="69" w:name="_Toc141574954"/>
      <w:bookmarkStart w:id="70" w:name="_Toc141575122"/>
      <w:bookmarkStart w:id="71" w:name="_Toc141575290"/>
      <w:bookmarkStart w:id="72" w:name="_Toc141666592"/>
      <w:bookmarkStart w:id="73" w:name="_Toc141573371"/>
      <w:bookmarkStart w:id="74" w:name="_Toc141573605"/>
      <w:bookmarkStart w:id="75" w:name="_Toc141573773"/>
      <w:bookmarkStart w:id="76" w:name="_Toc141574787"/>
      <w:bookmarkStart w:id="77" w:name="_Toc141574955"/>
      <w:bookmarkStart w:id="78" w:name="_Toc141575123"/>
      <w:bookmarkStart w:id="79" w:name="_Toc141575291"/>
      <w:bookmarkStart w:id="80" w:name="_Toc141666593"/>
      <w:bookmarkStart w:id="81" w:name="_Toc201669900"/>
      <w:bookmarkStart w:id="82" w:name="_Toc207531801"/>
      <w:bookmarkStart w:id="83" w:name="_Toc239157043"/>
      <w:bookmarkEnd w:id="0"/>
      <w:bookmarkEnd w:id="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br/>
      </w:r>
      <w:bookmarkStart w:id="84" w:name="_Toc271632203"/>
      <w:bookmarkStart w:id="85" w:name="_Toc303086347"/>
      <w:bookmarkStart w:id="86" w:name="_Toc396807599"/>
      <w:r w:rsidRPr="002B72CB">
        <w:t>Introduction</w:t>
      </w:r>
      <w:bookmarkEnd w:id="81"/>
      <w:bookmarkEnd w:id="82"/>
      <w:bookmarkEnd w:id="83"/>
      <w:bookmarkEnd w:id="84"/>
      <w:bookmarkEnd w:id="85"/>
      <w:bookmarkEnd w:id="86"/>
    </w:p>
    <w:p w:rsidR="00EE46C8" w:rsidRPr="006254A7" w:rsidRDefault="001A6B75" w:rsidP="00EE46C8">
      <w:r>
        <w:t xml:space="preserve">As the Regional Transmission Organization (RTO) for New England, ISO New England (ISO) operates the region’s electric power system, administers the region’s competitive wholesale electricity markets, and conducts the regional </w:t>
      </w:r>
      <w:r w:rsidR="00A139AE">
        <w:t xml:space="preserve">system </w:t>
      </w:r>
      <w:r>
        <w:t>planning process</w:t>
      </w:r>
      <w:r w:rsidR="00AB2515">
        <w:t xml:space="preserve">, which includes </w:t>
      </w:r>
      <w:r>
        <w:t>coordinat</w:t>
      </w:r>
      <w:r w:rsidR="00AB2515">
        <w:t xml:space="preserve">ing </w:t>
      </w:r>
      <w:r>
        <w:t>planning efforts with neighboring areas.</w:t>
      </w:r>
      <w:r w:rsidR="00181557" w:rsidRPr="00D45F5F">
        <w:t xml:space="preserve"> </w:t>
      </w:r>
      <w:r w:rsidR="00EE46C8" w:rsidRPr="001A6B75">
        <w:t xml:space="preserve">The </w:t>
      </w:r>
      <w:r w:rsidR="00554943">
        <w:t xml:space="preserve">main </w:t>
      </w:r>
      <w:r w:rsidR="00EE46C8" w:rsidRPr="001A6B75">
        <w:t>objectives of the ISO’s system planning process are as follows:</w:t>
      </w:r>
    </w:p>
    <w:p w:rsidR="00EE46C8" w:rsidRPr="006254A7" w:rsidRDefault="00EE46C8" w:rsidP="00EE46C8">
      <w:pPr>
        <w:pStyle w:val="Bullet-Solid"/>
        <w:numPr>
          <w:ilvl w:val="0"/>
          <w:numId w:val="359"/>
        </w:numPr>
        <w:ind w:left="720"/>
      </w:pPr>
      <w:r w:rsidRPr="001A6B75">
        <w:t xml:space="preserve">Identify system needs and </w:t>
      </w:r>
      <w:r w:rsidR="00134FF4">
        <w:t xml:space="preserve">potential solutions </w:t>
      </w:r>
      <w:r w:rsidR="00AB2515">
        <w:t xml:space="preserve">for </w:t>
      </w:r>
      <w:r w:rsidRPr="001A6B75">
        <w:t>ensur</w:t>
      </w:r>
      <w:r w:rsidR="00AB2515">
        <w:t>ing</w:t>
      </w:r>
      <w:r w:rsidRPr="001A6B75">
        <w:t xml:space="preserve"> the </w:t>
      </w:r>
      <w:r w:rsidR="00AB2515">
        <w:t xml:space="preserve">short-term and long-term </w:t>
      </w:r>
      <w:r w:rsidRPr="001A6B75">
        <w:t>reliability of the system</w:t>
      </w:r>
    </w:p>
    <w:p w:rsidR="00EE46C8" w:rsidRPr="006254A7" w:rsidRDefault="00EE46C8" w:rsidP="00EE46C8">
      <w:pPr>
        <w:pStyle w:val="Bullet-Solid"/>
        <w:numPr>
          <w:ilvl w:val="0"/>
          <w:numId w:val="359"/>
        </w:numPr>
        <w:ind w:left="720"/>
      </w:pPr>
      <w:r w:rsidRPr="001A6B75">
        <w:t>Facilitate the efficient operation of the markets through resource additions and transmission upgrades that serve to reliably move power from various internal and external sources to the region’s load centers</w:t>
      </w:r>
      <w:r w:rsidR="00F02EC7" w:rsidRPr="00C54A20">
        <w:rPr>
          <w:rStyle w:val="FootnoteReference"/>
        </w:rPr>
        <w:footnoteReference w:id="70"/>
      </w:r>
    </w:p>
    <w:p w:rsidR="00EE46C8" w:rsidRPr="006254A7" w:rsidRDefault="00EE46C8" w:rsidP="00EE46C8">
      <w:pPr>
        <w:pStyle w:val="Bullet-Solid"/>
        <w:numPr>
          <w:ilvl w:val="0"/>
          <w:numId w:val="359"/>
        </w:numPr>
        <w:spacing w:after="240"/>
        <w:ind w:left="720"/>
      </w:pPr>
      <w:r w:rsidRPr="001A6B75">
        <w:t>Provide information to regional stakeholders, who can further develop system improvements</w:t>
      </w:r>
    </w:p>
    <w:p w:rsidR="009728BD" w:rsidRPr="00E52B20" w:rsidRDefault="00AB2515" w:rsidP="007A35DD">
      <w:r>
        <w:t xml:space="preserve">To meet </w:t>
      </w:r>
      <w:r w:rsidR="00134FF4">
        <w:t>these</w:t>
      </w:r>
      <w:r>
        <w:t xml:space="preserve"> objectives and i</w:t>
      </w:r>
      <w:r w:rsidR="001A6B75" w:rsidRPr="001A6B75">
        <w:t xml:space="preserve">n compliance with all portions of the ISO’s </w:t>
      </w:r>
      <w:r w:rsidR="001A6B75" w:rsidRPr="001A6B75">
        <w:rPr>
          <w:i/>
        </w:rPr>
        <w:t xml:space="preserve">Transmission, Markets, and Services Tariff </w:t>
      </w:r>
      <w:r w:rsidR="001A6B75" w:rsidRPr="001A6B75">
        <w:t xml:space="preserve">(ISO tariff), including the </w:t>
      </w:r>
      <w:r w:rsidR="001A6B75" w:rsidRPr="001A6B75">
        <w:rPr>
          <w:i/>
        </w:rPr>
        <w:t>Open Access Transmission Tariff</w:t>
      </w:r>
      <w:r w:rsidR="001A6B75" w:rsidRPr="001A6B75">
        <w:t xml:space="preserve"> (OATT), </w:t>
      </w:r>
      <w:r w:rsidR="004E39A2" w:rsidRPr="004E39A2">
        <w:t xml:space="preserve">the </w:t>
      </w:r>
      <w:r w:rsidR="004E39A2" w:rsidRPr="004E39A2">
        <w:rPr>
          <w:i/>
        </w:rPr>
        <w:t>201</w:t>
      </w:r>
      <w:r w:rsidR="009B56D3">
        <w:rPr>
          <w:i/>
        </w:rPr>
        <w:t>4</w:t>
      </w:r>
      <w:r w:rsidR="004E39A2" w:rsidRPr="004E39A2">
        <w:rPr>
          <w:i/>
        </w:rPr>
        <w:t xml:space="preserve"> Regional System </w:t>
      </w:r>
      <w:r w:rsidR="004E39A2" w:rsidRPr="00730C91">
        <w:rPr>
          <w:i/>
        </w:rPr>
        <w:t>Plan</w:t>
      </w:r>
      <w:r w:rsidR="004E39A2" w:rsidRPr="00730C91">
        <w:t xml:space="preserve"> (RSP1</w:t>
      </w:r>
      <w:r w:rsidR="009B56D3">
        <w:t>4</w:t>
      </w:r>
      <w:r w:rsidR="004E39A2" w:rsidRPr="00730C91">
        <w:t xml:space="preserve">) describes the ISO’s </w:t>
      </w:r>
      <w:r w:rsidR="007511AA" w:rsidRPr="00730C91">
        <w:t xml:space="preserve">ongoing </w:t>
      </w:r>
      <w:r w:rsidR="004E39A2" w:rsidRPr="00730C91">
        <w:t>system resource</w:t>
      </w:r>
      <w:r w:rsidR="00730C91" w:rsidRPr="00730C91">
        <w:t xml:space="preserve"> </w:t>
      </w:r>
      <w:r w:rsidR="004E39A2" w:rsidRPr="00730C91">
        <w:t>and transmission planning</w:t>
      </w:r>
      <w:r w:rsidR="004E39A2" w:rsidRPr="004E39A2">
        <w:t xml:space="preserve"> </w:t>
      </w:r>
      <w:r w:rsidR="001A6B75" w:rsidRPr="001A6B75">
        <w:t xml:space="preserve">activities </w:t>
      </w:r>
      <w:r w:rsidR="00730C91">
        <w:t xml:space="preserve">covering </w:t>
      </w:r>
      <w:r w:rsidR="001A6B75" w:rsidRPr="001A6B75">
        <w:t xml:space="preserve">the 10-year </w:t>
      </w:r>
      <w:r w:rsidR="004E39A2" w:rsidRPr="007F0826">
        <w:t>period to 202</w:t>
      </w:r>
      <w:r w:rsidR="009B56D3">
        <w:t>3</w:t>
      </w:r>
      <w:r w:rsidR="004E39A2" w:rsidRPr="007F0826">
        <w:t>.</w:t>
      </w:r>
      <w:r>
        <w:rPr>
          <w:rStyle w:val="FootnoteReference"/>
        </w:rPr>
        <w:footnoteReference w:id="71"/>
      </w:r>
      <w:r w:rsidR="004E39A2" w:rsidRPr="007F0826">
        <w:t xml:space="preserve"> </w:t>
      </w:r>
    </w:p>
    <w:p w:rsidR="00730C91" w:rsidRDefault="00181557" w:rsidP="00554943">
      <w:r w:rsidRPr="00730C91">
        <w:t xml:space="preserve">This section </w:t>
      </w:r>
      <w:r w:rsidR="007A35DD" w:rsidRPr="00730C91">
        <w:t xml:space="preserve">provides </w:t>
      </w:r>
      <w:r w:rsidR="0048401A" w:rsidRPr="00730C91">
        <w:t>an overview of RSP1</w:t>
      </w:r>
      <w:r w:rsidR="009B56D3">
        <w:t>4</w:t>
      </w:r>
      <w:r w:rsidR="00C54A20" w:rsidRPr="00730C91">
        <w:t xml:space="preserve"> </w:t>
      </w:r>
      <w:r w:rsidR="0048401A" w:rsidRPr="00730C91">
        <w:t>and the ISO’s regional system planning process</w:t>
      </w:r>
      <w:r w:rsidRPr="00730C91">
        <w:t xml:space="preserve"> required</w:t>
      </w:r>
      <w:r w:rsidRPr="007A35DD">
        <w:t xml:space="preserve"> by the ISO’s tariff.</w:t>
      </w:r>
      <w:r w:rsidRPr="00D45F5F">
        <w:t xml:space="preserve"> </w:t>
      </w:r>
      <w:r w:rsidR="00014D6D">
        <w:t xml:space="preserve">For </w:t>
      </w:r>
      <w:r w:rsidRPr="00D45F5F">
        <w:t xml:space="preserve">background, the section </w:t>
      </w:r>
      <w:r w:rsidR="00C54A20">
        <w:t xml:space="preserve">also </w:t>
      </w:r>
      <w:r w:rsidRPr="00D45F5F">
        <w:t xml:space="preserve">provides </w:t>
      </w:r>
      <w:r w:rsidR="00E64E45">
        <w:t xml:space="preserve">highlights </w:t>
      </w:r>
      <w:r w:rsidRPr="00D45F5F">
        <w:t>of the power system</w:t>
      </w:r>
      <w:r w:rsidR="00134FF4">
        <w:t xml:space="preserve"> and the </w:t>
      </w:r>
      <w:r w:rsidR="00014D6D">
        <w:t>wholesale electricity market structure in New England. A</w:t>
      </w:r>
      <w:r w:rsidR="00E64E45">
        <w:t xml:space="preserve"> summary </w:t>
      </w:r>
      <w:r w:rsidR="00014D6D">
        <w:t xml:space="preserve">of </w:t>
      </w:r>
      <w:r w:rsidR="00E64E45">
        <w:t xml:space="preserve">the </w:t>
      </w:r>
      <w:r w:rsidR="00F02EC7">
        <w:t xml:space="preserve">various </w:t>
      </w:r>
      <w:r w:rsidR="00E64E45">
        <w:t xml:space="preserve">regional </w:t>
      </w:r>
      <w:r w:rsidR="00F02EC7" w:rsidRPr="0057660C">
        <w:t xml:space="preserve">subdivisions </w:t>
      </w:r>
      <w:r w:rsidR="0057660C" w:rsidRPr="0057660C">
        <w:t xml:space="preserve">the ISO </w:t>
      </w:r>
      <w:r w:rsidR="001A6B75" w:rsidRPr="0057660C">
        <w:t>use</w:t>
      </w:r>
      <w:r w:rsidR="0057660C" w:rsidRPr="0057660C">
        <w:t>s</w:t>
      </w:r>
      <w:r w:rsidR="001A6B75" w:rsidRPr="0057660C">
        <w:t xml:space="preserve"> </w:t>
      </w:r>
      <w:r w:rsidR="0057660C" w:rsidRPr="0057660C">
        <w:t xml:space="preserve">in </w:t>
      </w:r>
      <w:r w:rsidR="001A6B75" w:rsidRPr="0057660C">
        <w:t>system planning studies</w:t>
      </w:r>
      <w:r w:rsidR="00F02EC7" w:rsidRPr="0057660C">
        <w:t xml:space="preserve"> also </w:t>
      </w:r>
      <w:proofErr w:type="gramStart"/>
      <w:r w:rsidR="00F02EC7" w:rsidRPr="0057660C">
        <w:t>is provided</w:t>
      </w:r>
      <w:proofErr w:type="gramEnd"/>
      <w:r w:rsidR="001A6B75" w:rsidRPr="0057660C">
        <w:t>.</w:t>
      </w:r>
      <w:r w:rsidR="00B62F14" w:rsidRPr="00B62F14">
        <w:t xml:space="preserve"> </w:t>
      </w:r>
    </w:p>
    <w:p w:rsidR="008025A7" w:rsidRDefault="008025A7" w:rsidP="00554943">
      <w:r w:rsidRPr="00AB61BA">
        <w:t xml:space="preserve">Throughout </w:t>
      </w:r>
      <w:r>
        <w:t>RSP1</w:t>
      </w:r>
      <w:r w:rsidR="009B56D3">
        <w:t>4</w:t>
      </w:r>
      <w:r w:rsidRPr="00AB61BA">
        <w:t>, italicized terms indicate that a definition for the term is included within the text</w:t>
      </w:r>
      <w:r w:rsidR="00B62F14">
        <w:t xml:space="preserve"> or </w:t>
      </w:r>
      <w:r w:rsidRPr="00AB61BA">
        <w:t xml:space="preserve">footnotes; links to other documents that more fully define the more complex terms </w:t>
      </w:r>
      <w:proofErr w:type="gramStart"/>
      <w:r w:rsidRPr="00AB61BA">
        <w:t>are provided</w:t>
      </w:r>
      <w:proofErr w:type="gramEnd"/>
      <w:r w:rsidRPr="00AB61BA">
        <w:t xml:space="preserve">. Links to relevant technical </w:t>
      </w:r>
      <w:r w:rsidR="00C57BDA">
        <w:t>reports</w:t>
      </w:r>
      <w:r w:rsidR="00E84B5F">
        <w:t>;</w:t>
      </w:r>
      <w:r w:rsidR="00C57BDA">
        <w:t xml:space="preserve"> presentations</w:t>
      </w:r>
      <w:proofErr w:type="gramStart"/>
      <w:r w:rsidR="00E84B5F">
        <w:t>;</w:t>
      </w:r>
      <w:proofErr w:type="gramEnd"/>
      <w:r w:rsidR="00C57BDA">
        <w:t xml:space="preserve"> and other</w:t>
      </w:r>
      <w:r w:rsidR="00E84B5F">
        <w:t>,</w:t>
      </w:r>
      <w:r w:rsidR="00C57BDA">
        <w:t xml:space="preserve"> </w:t>
      </w:r>
      <w:r w:rsidR="00E84B5F">
        <w:t xml:space="preserve">more detailed </w:t>
      </w:r>
      <w:r w:rsidRPr="00AB61BA">
        <w:t>materials also are included throughout the report</w:t>
      </w:r>
      <w:r w:rsidR="00E84B5F">
        <w:t>. A</w:t>
      </w:r>
      <w:r w:rsidRPr="00AB61BA">
        <w:t xml:space="preserve">ll website addresses are current as of the time of publication. Appendix </w:t>
      </w:r>
      <w:r w:rsidR="00C57BDA">
        <w:t>A</w:t>
      </w:r>
      <w:r w:rsidRPr="00AB61BA">
        <w:t xml:space="preserve"> is a list of acronyms and abbreviations used in RSP1</w:t>
      </w:r>
      <w:r w:rsidR="009B56D3">
        <w:t>4</w:t>
      </w:r>
      <w:r w:rsidR="004070B4">
        <w:t>.</w:t>
      </w:r>
      <w:r w:rsidR="005C07F2" w:rsidRPr="00E52B20">
        <w:rPr>
          <w:szCs w:val="36"/>
        </w:rPr>
        <w:t xml:space="preserve"> </w:t>
      </w:r>
    </w:p>
    <w:p w:rsidR="00E63D3A" w:rsidRDefault="00F0379A">
      <w:pPr>
        <w:pStyle w:val="Heading2"/>
      </w:pPr>
      <w:bookmarkStart w:id="87" w:name="_Ref364760449"/>
      <w:bookmarkStart w:id="88" w:name="_Toc396807600"/>
      <w:r>
        <w:t xml:space="preserve">Overview of </w:t>
      </w:r>
      <w:r w:rsidR="0062212F">
        <w:t xml:space="preserve">the System Planning Process and </w:t>
      </w:r>
      <w:r>
        <w:t>RSP1</w:t>
      </w:r>
      <w:r w:rsidR="009B56D3">
        <w:t>4</w:t>
      </w:r>
      <w:bookmarkEnd w:id="87"/>
      <w:bookmarkEnd w:id="88"/>
    </w:p>
    <w:p w:rsidR="00134FF4" w:rsidRPr="002D03E1" w:rsidRDefault="0062212F" w:rsidP="00C83366">
      <w:r w:rsidRPr="0048401A">
        <w:t xml:space="preserve">To assess how to maintain the reliability of the New England power system, while promoting the operation of efficient wholesale electricity markets, the ISO and its stakeholders analyze the system and its components as a whole. They account for the performance of these individual elements and the many varied and complex interactions that occur among the components and </w:t>
      </w:r>
      <w:r w:rsidR="00152D95">
        <w:t xml:space="preserve">that </w:t>
      </w:r>
      <w:r w:rsidRPr="0048401A">
        <w:t xml:space="preserve">affect the overall performance of </w:t>
      </w:r>
      <w:r w:rsidRPr="002D03E1">
        <w:t>the system.</w:t>
      </w:r>
      <w:r w:rsidR="00134FF4" w:rsidRPr="002D03E1">
        <w:t xml:space="preserve"> </w:t>
      </w:r>
      <w:r w:rsidR="00F946C9" w:rsidRPr="002D03E1">
        <w:t xml:space="preserve">The major steps in planning the </w:t>
      </w:r>
      <w:r w:rsidR="002D03E1">
        <w:t xml:space="preserve">regional electric power </w:t>
      </w:r>
      <w:r w:rsidR="00F946C9" w:rsidRPr="002D03E1">
        <w:t xml:space="preserve">system </w:t>
      </w:r>
      <w:r w:rsidR="002D03E1">
        <w:t>are as follows:</w:t>
      </w:r>
    </w:p>
    <w:p w:rsidR="00134FF4" w:rsidRPr="002D03E1" w:rsidRDefault="00134FF4" w:rsidP="00134FF4">
      <w:pPr>
        <w:numPr>
          <w:ilvl w:val="0"/>
          <w:numId w:val="429"/>
        </w:numPr>
        <w:spacing w:after="120"/>
      </w:pPr>
      <w:r w:rsidRPr="002D03E1">
        <w:t>F</w:t>
      </w:r>
      <w:r w:rsidR="00F946C9" w:rsidRPr="002D03E1">
        <w:t>orecasting the peak demand for electric energy</w:t>
      </w:r>
      <w:r w:rsidRPr="002D03E1">
        <w:t xml:space="preserve"> and </w:t>
      </w:r>
      <w:r w:rsidR="00F946C9" w:rsidRPr="002D03E1">
        <w:t>the average annual use of electric energy</w:t>
      </w:r>
    </w:p>
    <w:p w:rsidR="00134FF4" w:rsidRPr="002D03E1" w:rsidRDefault="00134FF4" w:rsidP="00134FF4">
      <w:pPr>
        <w:numPr>
          <w:ilvl w:val="0"/>
          <w:numId w:val="429"/>
        </w:numPr>
        <w:spacing w:after="120"/>
      </w:pPr>
      <w:r w:rsidRPr="002D03E1">
        <w:t>F</w:t>
      </w:r>
      <w:r w:rsidR="00F946C9" w:rsidRPr="002D03E1">
        <w:t xml:space="preserve">orecasting the amount of energy efficiency (EE) that will be available and determining the potential effect of energy efficiency on </w:t>
      </w:r>
      <w:r w:rsidR="009146FC">
        <w:t xml:space="preserve">system peak </w:t>
      </w:r>
      <w:r w:rsidR="00F946C9" w:rsidRPr="002D03E1">
        <w:t>demand</w:t>
      </w:r>
      <w:r w:rsidR="00676243">
        <w:t xml:space="preserve"> </w:t>
      </w:r>
    </w:p>
    <w:p w:rsidR="00134FF4" w:rsidRPr="00573A22" w:rsidRDefault="002D63A6" w:rsidP="00134FF4">
      <w:pPr>
        <w:numPr>
          <w:ilvl w:val="0"/>
          <w:numId w:val="429"/>
        </w:numPr>
        <w:spacing w:after="120"/>
      </w:pPr>
      <w:r>
        <w:t>A</w:t>
      </w:r>
      <w:r w:rsidR="00F946C9" w:rsidRPr="002D03E1">
        <w:t>ssess</w:t>
      </w:r>
      <w:r>
        <w:t>ing</w:t>
      </w:r>
      <w:r w:rsidR="00F946C9" w:rsidRPr="002D03E1">
        <w:t xml:space="preserve"> the amounts and general locations of resources </w:t>
      </w:r>
      <w:r w:rsidR="00152D95">
        <w:t xml:space="preserve">that </w:t>
      </w:r>
      <w:r w:rsidR="00F946C9" w:rsidRPr="002D03E1">
        <w:t xml:space="preserve">the overall system and individual </w:t>
      </w:r>
      <w:r w:rsidR="00EA2E47" w:rsidRPr="00EA2E47">
        <w:t>areas of the system need, the types of resources that can satisfy these needs</w:t>
      </w:r>
      <w:r w:rsidR="00676243">
        <w:t>,</w:t>
      </w:r>
      <w:r w:rsidR="00EA2E47" w:rsidRPr="00EA2E47">
        <w:t xml:space="preserve"> and any critical time</w:t>
      </w:r>
      <w:r w:rsidR="00F946C9" w:rsidRPr="00573A22">
        <w:t xml:space="preserve"> constraints for addressing </w:t>
      </w:r>
      <w:r w:rsidR="00D705EC">
        <w:t>resource needs</w:t>
      </w:r>
    </w:p>
    <w:p w:rsidR="00573A22" w:rsidRPr="00573A22" w:rsidRDefault="004408C3" w:rsidP="00573A22">
      <w:pPr>
        <w:numPr>
          <w:ilvl w:val="0"/>
          <w:numId w:val="429"/>
        </w:numPr>
        <w:spacing w:after="120"/>
      </w:pPr>
      <w:r w:rsidRPr="00573A22">
        <w:t xml:space="preserve">Analyzing transmission system needs and developing potential solutions to meet these needs </w:t>
      </w:r>
    </w:p>
    <w:p w:rsidR="00134FF4" w:rsidRPr="003E7202" w:rsidRDefault="0000669E" w:rsidP="00134FF4">
      <w:pPr>
        <w:numPr>
          <w:ilvl w:val="0"/>
          <w:numId w:val="429"/>
        </w:numPr>
        <w:spacing w:after="120"/>
      </w:pPr>
      <w:r w:rsidRPr="003E7202">
        <w:t>Assessing scenarios of the economic</w:t>
      </w:r>
      <w:r w:rsidR="00F1378E" w:rsidRPr="00F1378E">
        <w:t xml:space="preserve"> </w:t>
      </w:r>
      <w:r w:rsidRPr="003E7202">
        <w:t xml:space="preserve">performance </w:t>
      </w:r>
      <w:r w:rsidR="00F1378E" w:rsidRPr="00F1378E">
        <w:t xml:space="preserve">of the system </w:t>
      </w:r>
      <w:r w:rsidRPr="003E7202">
        <w:t>with existing resources, possible resource retirements, and potential resource development</w:t>
      </w:r>
    </w:p>
    <w:p w:rsidR="00134FF4" w:rsidRPr="002D03E1" w:rsidRDefault="00134FF4" w:rsidP="00573A22">
      <w:pPr>
        <w:numPr>
          <w:ilvl w:val="0"/>
          <w:numId w:val="429"/>
        </w:numPr>
      </w:pPr>
      <w:r w:rsidRPr="0021376F">
        <w:t xml:space="preserve">Coordinating study efforts with surrounding RTOs, </w:t>
      </w:r>
      <w:r w:rsidR="007C175E" w:rsidRPr="0021376F">
        <w:t>balancing authority areas</w:t>
      </w:r>
      <w:r w:rsidRPr="0021376F">
        <w:t>, and the entire</w:t>
      </w:r>
      <w:r w:rsidRPr="002D03E1">
        <w:t xml:space="preserve"> Eastern Interconnection and analyzing information and data presented in neighboring plans through a number of interregional agreements and joint studies</w:t>
      </w:r>
      <w:r w:rsidRPr="002D03E1">
        <w:rPr>
          <w:rStyle w:val="FootnoteReference"/>
        </w:rPr>
        <w:footnoteReference w:id="72"/>
      </w:r>
    </w:p>
    <w:p w:rsidR="004668CE" w:rsidRDefault="004C7527" w:rsidP="00C83366">
      <w:r w:rsidRPr="002D03E1">
        <w:t xml:space="preserve">Using information on defined system needs, a variety of established signals from ISO-administered markets, and other factors, </w:t>
      </w:r>
      <w:r w:rsidR="00F946C9" w:rsidRPr="002D03E1">
        <w:t xml:space="preserve">stakeholders responsible for developing needed resources can assess their options for </w:t>
      </w:r>
      <w:r w:rsidR="00F946C9" w:rsidRPr="00573A22">
        <w:t xml:space="preserve">satisfying these needs and commit to developing </w:t>
      </w:r>
      <w:r w:rsidR="00006A40" w:rsidRPr="00573A22">
        <w:t xml:space="preserve">market resource </w:t>
      </w:r>
      <w:r w:rsidR="00F946C9" w:rsidRPr="00573A22">
        <w:t xml:space="preserve">projects. For example, </w:t>
      </w:r>
      <w:r w:rsidR="00EA2E47" w:rsidRPr="00EA2E47">
        <w:t xml:space="preserve">stakeholders can build a new power plant to provide additional system capacity and electric energy production or </w:t>
      </w:r>
      <w:r w:rsidR="004D48EF">
        <w:t>provide</w:t>
      </w:r>
      <w:r w:rsidR="00EA2E47" w:rsidRPr="00EA2E47">
        <w:t xml:space="preserve"> </w:t>
      </w:r>
      <w:r w:rsidR="00EA2E47" w:rsidRPr="00EA2E47">
        <w:rPr>
          <w:i/>
        </w:rPr>
        <w:t xml:space="preserve">active </w:t>
      </w:r>
      <w:r w:rsidR="0042794A">
        <w:rPr>
          <w:i/>
        </w:rPr>
        <w:t xml:space="preserve">demand resources </w:t>
      </w:r>
      <w:r w:rsidR="00EA2E47" w:rsidRPr="0042794A">
        <w:t xml:space="preserve">and </w:t>
      </w:r>
      <w:r w:rsidR="00EA2E47" w:rsidRPr="00EA2E47">
        <w:rPr>
          <w:i/>
        </w:rPr>
        <w:t>passive demand resources</w:t>
      </w:r>
      <w:r w:rsidR="00EA2E47" w:rsidRPr="00EA2E47">
        <w:t xml:space="preserve"> </w:t>
      </w:r>
      <w:r w:rsidR="0042794A">
        <w:t xml:space="preserve">(PDRs) </w:t>
      </w:r>
      <w:r w:rsidR="00EA2E47" w:rsidRPr="00EA2E47">
        <w:t>to reduce the amount of electric energy used.</w:t>
      </w:r>
      <w:r w:rsidR="00EA2E47" w:rsidRPr="00EA2E47">
        <w:rPr>
          <w:rStyle w:val="FootnoteReference"/>
        </w:rPr>
        <w:footnoteReference w:id="73"/>
      </w:r>
      <w:r w:rsidR="00EA2E47" w:rsidRPr="00EA2E47">
        <w:t xml:space="preserve"> They also can </w:t>
      </w:r>
      <w:r w:rsidR="004D48EF">
        <w:t>develop</w:t>
      </w:r>
      <w:r w:rsidR="00EA2E47" w:rsidRPr="00EA2E47">
        <w:t xml:space="preserve"> </w:t>
      </w:r>
      <w:r w:rsidR="001112CB">
        <w:rPr>
          <w:i/>
        </w:rPr>
        <w:t>E</w:t>
      </w:r>
      <w:r w:rsidR="00EA2E47" w:rsidRPr="00EA2E47">
        <w:rPr>
          <w:i/>
        </w:rPr>
        <w:t xml:space="preserve">lective </w:t>
      </w:r>
      <w:r w:rsidR="001112CB">
        <w:rPr>
          <w:i/>
        </w:rPr>
        <w:t>T</w:t>
      </w:r>
      <w:r w:rsidR="00EA2E47" w:rsidRPr="00EA2E47">
        <w:rPr>
          <w:i/>
        </w:rPr>
        <w:t xml:space="preserve">ransmission </w:t>
      </w:r>
      <w:r w:rsidR="001112CB">
        <w:rPr>
          <w:i/>
        </w:rPr>
        <w:t>U</w:t>
      </w:r>
      <w:r w:rsidR="00EA2E47" w:rsidRPr="00EA2E47">
        <w:rPr>
          <w:i/>
        </w:rPr>
        <w:t xml:space="preserve">pgrades </w:t>
      </w:r>
      <w:r w:rsidR="00EA2E47" w:rsidRPr="00EA2E47">
        <w:t>(ETUs).</w:t>
      </w:r>
      <w:r w:rsidR="00EA2E47">
        <w:rPr>
          <w:rStyle w:val="FootnoteReference"/>
        </w:rPr>
        <w:footnoteReference w:id="74"/>
      </w:r>
    </w:p>
    <w:p w:rsidR="004C7527" w:rsidRPr="008442BB" w:rsidRDefault="00EA2E47" w:rsidP="004C7527">
      <w:r w:rsidRPr="00EA2E47">
        <w:t>These elective transmission and supply and demand resource alternatives could result in</w:t>
      </w:r>
      <w:r w:rsidR="00F946C9" w:rsidRPr="008442BB">
        <w:t xml:space="preserve"> modifying, offsetting, or deferring proposed regulated transmission upgrades</w:t>
      </w:r>
      <w:r w:rsidR="00EE64FC" w:rsidRPr="008442BB">
        <w:t>.</w:t>
      </w:r>
      <w:r w:rsidR="001D1F48">
        <w:t xml:space="preserve"> </w:t>
      </w:r>
      <w:r w:rsidR="00F946C9" w:rsidRPr="008442BB">
        <w:t xml:space="preserve">To the extent that stakeholder responses to market signals are not forthcoming or adequate to meet identified system needs, the planning process requires the ISO to conduct subsequent planning of </w:t>
      </w:r>
      <w:r w:rsidR="008442BB">
        <w:t xml:space="preserve">regulated </w:t>
      </w:r>
      <w:r w:rsidR="00F946C9" w:rsidRPr="008442BB">
        <w:t>transmission upgrades</w:t>
      </w:r>
      <w:r w:rsidR="00B93552">
        <w:t xml:space="preserve"> </w:t>
      </w:r>
      <w:r w:rsidR="008442BB">
        <w:t xml:space="preserve">to </w:t>
      </w:r>
      <w:r w:rsidR="00F946C9" w:rsidRPr="008442BB">
        <w:t>meet the identified needs.</w:t>
      </w:r>
    </w:p>
    <w:p w:rsidR="00C83366" w:rsidRPr="00141D5A" w:rsidRDefault="00E84B5F" w:rsidP="00C83366">
      <w:r>
        <w:t>T</w:t>
      </w:r>
      <w:r w:rsidR="004C7527" w:rsidRPr="008442BB">
        <w:t>he</w:t>
      </w:r>
      <w:r w:rsidR="00653DFB">
        <w:t xml:space="preserve"> draft</w:t>
      </w:r>
      <w:r w:rsidR="004C7527" w:rsidRPr="008442BB">
        <w:t xml:space="preserve"> </w:t>
      </w:r>
      <w:r w:rsidR="00F1378E" w:rsidRPr="00F1378E">
        <w:rPr>
          <w:i/>
        </w:rPr>
        <w:t>Transmission Planning Process Guide</w:t>
      </w:r>
      <w:r w:rsidR="00F1378E" w:rsidRPr="00F1378E">
        <w:t xml:space="preserve"> and </w:t>
      </w:r>
      <w:r w:rsidR="0086214C">
        <w:t xml:space="preserve">draft </w:t>
      </w:r>
      <w:r w:rsidR="00F1378E" w:rsidRPr="00F1378E">
        <w:rPr>
          <w:i/>
        </w:rPr>
        <w:t>Transmission Planning Technical Guide</w:t>
      </w:r>
      <w:r w:rsidRPr="00E84B5F">
        <w:t xml:space="preserve"> </w:t>
      </w:r>
      <w:r>
        <w:t>describe t</w:t>
      </w:r>
      <w:r w:rsidRPr="008442BB">
        <w:t>he transmission planning process and the assumptions used with transmission planning stud</w:t>
      </w:r>
      <w:r>
        <w:t>i</w:t>
      </w:r>
      <w:r w:rsidRPr="008442BB">
        <w:t xml:space="preserve">es in more </w:t>
      </w:r>
      <w:r w:rsidRPr="008E2D71">
        <w:t>detail</w:t>
      </w:r>
      <w:r w:rsidR="00F1378E" w:rsidRPr="008E2D71">
        <w:t>.</w:t>
      </w:r>
      <w:r w:rsidR="00F1378E" w:rsidRPr="008E2D71">
        <w:rPr>
          <w:rStyle w:val="FootnoteReference"/>
        </w:rPr>
        <w:footnoteReference w:id="75"/>
      </w:r>
      <w:r w:rsidR="00C83366" w:rsidRPr="008E2D71">
        <w:t xml:space="preserve"> </w:t>
      </w:r>
      <w:r w:rsidR="006229A8" w:rsidRPr="008E2D71">
        <w:t>The</w:t>
      </w:r>
      <w:r w:rsidR="003455CA" w:rsidRPr="008E2D71">
        <w:t xml:space="preserve"> ISO </w:t>
      </w:r>
      <w:r w:rsidR="002D63A6" w:rsidRPr="008E2D71">
        <w:t>will revise</w:t>
      </w:r>
      <w:r w:rsidR="003455CA" w:rsidRPr="008E2D71">
        <w:t xml:space="preserve"> these documents</w:t>
      </w:r>
      <w:r w:rsidR="002D63A6" w:rsidRPr="008E2D71">
        <w:t xml:space="preserve"> to be consistent with changes in the planning process required by </w:t>
      </w:r>
      <w:r w:rsidR="00653DFB" w:rsidRPr="008E2D71">
        <w:t xml:space="preserve">the Federal Energy Regulatory </w:t>
      </w:r>
      <w:r w:rsidR="00F1378E" w:rsidRPr="008E2D71">
        <w:t xml:space="preserve">Commission’s (FERC) Order </w:t>
      </w:r>
      <w:r w:rsidR="005364C3" w:rsidRPr="008E2D71">
        <w:t xml:space="preserve">No. </w:t>
      </w:r>
      <w:r w:rsidR="00F1378E" w:rsidRPr="008E2D71">
        <w:t>1000</w:t>
      </w:r>
      <w:r w:rsidR="002D63A6" w:rsidRPr="008E2D71">
        <w:t xml:space="preserve"> (</w:t>
      </w:r>
      <w:r w:rsidR="00F1378E" w:rsidRPr="008E2D71">
        <w:t xml:space="preserve">see </w:t>
      </w:r>
      <w:r w:rsidR="0028427D" w:rsidRPr="008E2D71">
        <w:t xml:space="preserve">Sections </w:t>
      </w:r>
      <w:fldSimple w:instr=" REF _Ref388730544 \r \h  \* MERGEFORMAT ">
        <w:r w:rsidR="00284CE3">
          <w:t>7.2.1</w:t>
        </w:r>
      </w:fldSimple>
      <w:r w:rsidR="0028427D" w:rsidRPr="008E2D71">
        <w:t xml:space="preserve"> and </w:t>
      </w:r>
      <w:fldSimple w:instr=" REF _Ref365558373 \r \h  \* MERGEFORMAT ">
        <w:r w:rsidR="00284CE3">
          <w:t>7.4.3</w:t>
        </w:r>
      </w:fldSimple>
      <w:r w:rsidR="0028427D" w:rsidRPr="008E2D71">
        <w:t>).</w:t>
      </w:r>
      <w:r w:rsidR="0028427D" w:rsidRPr="008E2D71">
        <w:rPr>
          <w:rStyle w:val="FootnoteReference"/>
        </w:rPr>
        <w:footnoteReference w:id="76"/>
      </w:r>
    </w:p>
    <w:p w:rsidR="00C83366" w:rsidRPr="000D4AA2" w:rsidRDefault="00C83366" w:rsidP="00C83366">
      <w:pPr>
        <w:pStyle w:val="Heading3"/>
      </w:pPr>
      <w:bookmarkStart w:id="89" w:name="_Toc396807601"/>
      <w:r w:rsidRPr="000D4AA2">
        <w:t xml:space="preserve">Planning Studies Conducted </w:t>
      </w:r>
      <w:r w:rsidR="000C711A">
        <w:t xml:space="preserve">for </w:t>
      </w:r>
      <w:r w:rsidRPr="000D4AA2">
        <w:t>and Summarized in RSP</w:t>
      </w:r>
      <w:r w:rsidR="00A80BA0">
        <w:t>1</w:t>
      </w:r>
      <w:r w:rsidR="00EB2A0D">
        <w:t>4</w:t>
      </w:r>
      <w:bookmarkEnd w:id="89"/>
    </w:p>
    <w:p w:rsidR="00F0379A" w:rsidRPr="004070B4" w:rsidRDefault="00E64E45" w:rsidP="00F0379A">
      <w:r w:rsidRPr="000D4AA2">
        <w:t>The ISO conducts numerous regional</w:t>
      </w:r>
      <w:r w:rsidR="00D362C0" w:rsidRPr="000D4AA2">
        <w:t xml:space="preserve"> </w:t>
      </w:r>
      <w:r w:rsidRPr="000D4AA2">
        <w:t xml:space="preserve">and local-area studies throughout the year </w:t>
      </w:r>
      <w:r w:rsidR="0062212F" w:rsidRPr="000D4AA2">
        <w:t xml:space="preserve">during all </w:t>
      </w:r>
      <w:r w:rsidR="00B93552" w:rsidRPr="000D4AA2">
        <w:t>s</w:t>
      </w:r>
      <w:r w:rsidR="0062212F" w:rsidRPr="000D4AA2">
        <w:t xml:space="preserve">tages </w:t>
      </w:r>
      <w:r w:rsidR="00B93552" w:rsidRPr="000D4AA2">
        <w:t xml:space="preserve">of planning for ensuring </w:t>
      </w:r>
      <w:r w:rsidR="0062212F" w:rsidRPr="000D4AA2">
        <w:t xml:space="preserve">the reliability of </w:t>
      </w:r>
      <w:r w:rsidRPr="000D4AA2">
        <w:t>the power system</w:t>
      </w:r>
      <w:r w:rsidR="00A56386">
        <w:t xml:space="preserve">. </w:t>
      </w:r>
      <w:r w:rsidR="008F7A81" w:rsidRPr="008F7A81">
        <w:t>FERC, interregional entities, the states, and others, also sponsor planning initiatives for improving the power system and interregional coordination</w:t>
      </w:r>
      <w:r w:rsidR="00993828" w:rsidRPr="00561E9E">
        <w:t>.</w:t>
      </w:r>
      <w:r w:rsidR="004070B4" w:rsidRPr="00561E9E">
        <w:t xml:space="preserve"> </w:t>
      </w:r>
      <w:r w:rsidR="00993828" w:rsidRPr="004070B4">
        <w:t>RSP1</w:t>
      </w:r>
      <w:r w:rsidR="00EB2A0D">
        <w:t>4</w:t>
      </w:r>
      <w:r w:rsidR="00993828" w:rsidRPr="004070B4">
        <w:t xml:space="preserve"> summarizes</w:t>
      </w:r>
      <w:r w:rsidR="001C41D2" w:rsidRPr="004070B4">
        <w:t xml:space="preserve"> </w:t>
      </w:r>
      <w:r w:rsidR="000D4AA2" w:rsidRPr="004070B4">
        <w:t xml:space="preserve">the ISO’s </w:t>
      </w:r>
      <w:r w:rsidR="001C41D2" w:rsidRPr="004070B4">
        <w:t xml:space="preserve">major studies </w:t>
      </w:r>
      <w:r w:rsidR="00E2256F" w:rsidRPr="004070B4">
        <w:t>and initiatives</w:t>
      </w:r>
      <w:r w:rsidR="008B1384">
        <w:t>,</w:t>
      </w:r>
      <w:r w:rsidR="00E2256F" w:rsidRPr="004070B4">
        <w:t xml:space="preserve"> </w:t>
      </w:r>
      <w:r w:rsidR="004C7527" w:rsidRPr="004070B4">
        <w:t xml:space="preserve">as well as those </w:t>
      </w:r>
      <w:r w:rsidR="001C41D2" w:rsidRPr="004070B4">
        <w:t>conducted</w:t>
      </w:r>
      <w:r w:rsidR="00D362C0" w:rsidRPr="004070B4">
        <w:t xml:space="preserve"> by </w:t>
      </w:r>
      <w:r w:rsidR="00B7562C" w:rsidRPr="004070B4">
        <w:t>others</w:t>
      </w:r>
      <w:r w:rsidR="000D4AA2" w:rsidRPr="004070B4">
        <w:t>,</w:t>
      </w:r>
      <w:r w:rsidR="00B7562C" w:rsidRPr="004070B4">
        <w:t xml:space="preserve"> </w:t>
      </w:r>
      <w:r w:rsidR="000D4AA2" w:rsidRPr="004070B4">
        <w:t xml:space="preserve">both </w:t>
      </w:r>
      <w:r w:rsidR="00D362C0" w:rsidRPr="004070B4">
        <w:t>individual</w:t>
      </w:r>
      <w:r w:rsidR="00B7562C" w:rsidRPr="004070B4">
        <w:t>ly</w:t>
      </w:r>
      <w:r w:rsidR="00D362C0" w:rsidRPr="004070B4">
        <w:t xml:space="preserve"> and jointly with the ISO</w:t>
      </w:r>
      <w:r w:rsidR="0021412E" w:rsidRPr="004070B4">
        <w:t>, i</w:t>
      </w:r>
      <w:r w:rsidR="000D4AA2" w:rsidRPr="004070B4">
        <w:t>ncluding the following:</w:t>
      </w:r>
      <w:r w:rsidR="00E91397" w:rsidRPr="004070B4">
        <w:t xml:space="preserve"> </w:t>
      </w:r>
    </w:p>
    <w:p w:rsidR="00B93552" w:rsidRPr="008B1384" w:rsidRDefault="00B93552" w:rsidP="00E2256F">
      <w:pPr>
        <w:pStyle w:val="Bullet-Solid"/>
        <w:numPr>
          <w:ilvl w:val="0"/>
          <w:numId w:val="358"/>
        </w:numPr>
        <w:ind w:left="720"/>
      </w:pPr>
      <w:r w:rsidRPr="004070B4">
        <w:t>Ten</w:t>
      </w:r>
      <w:r w:rsidR="0021412E" w:rsidRPr="004070B4">
        <w:t>-</w:t>
      </w:r>
      <w:r w:rsidRPr="004070B4">
        <w:t xml:space="preserve">year </w:t>
      </w:r>
      <w:r w:rsidR="000D4AA2" w:rsidRPr="004070B4">
        <w:t>l</w:t>
      </w:r>
      <w:r w:rsidR="00F0379A" w:rsidRPr="004070B4">
        <w:t xml:space="preserve">oad forecasts </w:t>
      </w:r>
      <w:r w:rsidRPr="004070B4">
        <w:t>through 202</w:t>
      </w:r>
      <w:r w:rsidR="009B56D3">
        <w:t>3</w:t>
      </w:r>
      <w:r w:rsidRPr="004070B4">
        <w:t xml:space="preserve"> </w:t>
      </w:r>
      <w:r w:rsidR="000D4AA2" w:rsidRPr="004070B4">
        <w:t>of</w:t>
      </w:r>
      <w:r w:rsidR="00F0379A" w:rsidRPr="004070B4">
        <w:t xml:space="preserve"> peak demand and the average annual use of electric </w:t>
      </w:r>
      <w:r w:rsidR="00F0379A" w:rsidRPr="008B1384">
        <w:t>energy</w:t>
      </w:r>
      <w:r w:rsidR="000D4AA2" w:rsidRPr="008B1384">
        <w:t xml:space="preserve"> </w:t>
      </w:r>
      <w:r w:rsidR="00B500D9" w:rsidRPr="008B1384">
        <w:t xml:space="preserve">(Section </w:t>
      </w:r>
      <w:fldSimple w:instr=" REF _Ref325529643 \r \h  \* MERGEFORMAT ">
        <w:r w:rsidR="00284CE3">
          <w:t>3.1</w:t>
        </w:r>
      </w:fldSimple>
      <w:r w:rsidR="00B500D9" w:rsidRPr="008B1384">
        <w:t>)</w:t>
      </w:r>
    </w:p>
    <w:p w:rsidR="00F0379A" w:rsidRPr="008B1384" w:rsidRDefault="00B93552" w:rsidP="00E2256F">
      <w:pPr>
        <w:pStyle w:val="Bullet-Solid"/>
        <w:numPr>
          <w:ilvl w:val="0"/>
          <w:numId w:val="358"/>
        </w:numPr>
        <w:ind w:left="720"/>
      </w:pPr>
      <w:r w:rsidRPr="008B1384">
        <w:t>R</w:t>
      </w:r>
      <w:r w:rsidR="00633314" w:rsidRPr="008B1384">
        <w:t>egion</w:t>
      </w:r>
      <w:r w:rsidR="00F0379A" w:rsidRPr="008B1384">
        <w:t>al energy-efficiency (EE) forecast</w:t>
      </w:r>
      <w:r w:rsidR="00233137" w:rsidRPr="008B1384">
        <w:t xml:space="preserve"> </w:t>
      </w:r>
      <w:r w:rsidR="000D4AA2" w:rsidRPr="008B1384">
        <w:t>from 201</w:t>
      </w:r>
      <w:r w:rsidR="005C403D" w:rsidRPr="008B1384">
        <w:t>8</w:t>
      </w:r>
      <w:r w:rsidR="000D4AA2" w:rsidRPr="008B1384">
        <w:t xml:space="preserve"> to 202</w:t>
      </w:r>
      <w:r w:rsidR="009B56D3" w:rsidRPr="008B1384">
        <w:t>3</w:t>
      </w:r>
      <w:r w:rsidR="000D4AA2" w:rsidRPr="008B1384">
        <w:t xml:space="preserve"> </w:t>
      </w:r>
      <w:r w:rsidR="00B500D9" w:rsidRPr="008B1384">
        <w:t xml:space="preserve">(Section </w:t>
      </w:r>
      <w:fldSimple w:instr=" REF _Ref387327848 \r \h  \* MERGEFORMAT ">
        <w:r w:rsidR="00284CE3">
          <w:t>3.2</w:t>
        </w:r>
      </w:fldSimple>
      <w:r w:rsidR="00B500D9" w:rsidRPr="008B1384">
        <w:t>)</w:t>
      </w:r>
    </w:p>
    <w:p w:rsidR="00EB2A0D" w:rsidRPr="009B5E2C" w:rsidRDefault="00EB2A0D" w:rsidP="00E2256F">
      <w:pPr>
        <w:pStyle w:val="Bullet-Solid"/>
        <w:numPr>
          <w:ilvl w:val="0"/>
          <w:numId w:val="358"/>
        </w:numPr>
        <w:ind w:left="720"/>
      </w:pPr>
      <w:r w:rsidRPr="00D4220B">
        <w:t xml:space="preserve">A forecast of photovoltaic (PV) </w:t>
      </w:r>
      <w:r w:rsidR="003A6D75" w:rsidRPr="00D4220B">
        <w:t>(</w:t>
      </w:r>
      <w:r w:rsidR="00D4220B" w:rsidRPr="00D4220B">
        <w:t xml:space="preserve">i.e., </w:t>
      </w:r>
      <w:r w:rsidR="003A6D75" w:rsidRPr="00D4220B">
        <w:t xml:space="preserve">solar) </w:t>
      </w:r>
      <w:r w:rsidRPr="00D4220B">
        <w:t xml:space="preserve">development in the region and plans for </w:t>
      </w:r>
      <w:r w:rsidR="00231209">
        <w:t xml:space="preserve">the </w:t>
      </w:r>
      <w:r w:rsidRPr="009B5E2C">
        <w:t>develop</w:t>
      </w:r>
      <w:r w:rsidR="00231209">
        <w:t xml:space="preserve">ment of </w:t>
      </w:r>
      <w:r w:rsidRPr="009B5E2C">
        <w:t>a distributed</w:t>
      </w:r>
      <w:r w:rsidR="009B5E2C" w:rsidRPr="009B5E2C">
        <w:t xml:space="preserve"> </w:t>
      </w:r>
      <w:r w:rsidRPr="009B5E2C">
        <w:t>generation (DG) forecast</w:t>
      </w:r>
      <w:r w:rsidR="00231209">
        <w:t xml:space="preserve"> in general</w:t>
      </w:r>
      <w:r w:rsidR="00D403F3" w:rsidRPr="009B5E2C">
        <w:rPr>
          <w:rStyle w:val="FootnoteReference"/>
        </w:rPr>
        <w:footnoteReference w:id="77"/>
      </w:r>
      <w:r w:rsidRPr="009B5E2C">
        <w:t xml:space="preserve"> </w:t>
      </w:r>
      <w:r w:rsidR="00B500D9" w:rsidRPr="009B5E2C">
        <w:t xml:space="preserve">(Section </w:t>
      </w:r>
      <w:fldSimple w:instr=" REF _Ref387327878 \r \h  \* MERGEFORMAT ">
        <w:r w:rsidR="00284CE3">
          <w:t>3.4</w:t>
        </w:r>
      </w:fldSimple>
      <w:r w:rsidR="00B500D9" w:rsidRPr="009B5E2C">
        <w:t>)</w:t>
      </w:r>
    </w:p>
    <w:p w:rsidR="00F0379A" w:rsidRPr="008B1384" w:rsidRDefault="00F0379A" w:rsidP="00E2256F">
      <w:pPr>
        <w:pStyle w:val="Bullet-Solid"/>
        <w:numPr>
          <w:ilvl w:val="0"/>
          <w:numId w:val="358"/>
        </w:numPr>
        <w:ind w:left="720"/>
      </w:pPr>
      <w:r w:rsidRPr="004070B4">
        <w:t xml:space="preserve">Analyses of the amount, </w:t>
      </w:r>
      <w:r w:rsidR="00BA11D8" w:rsidRPr="004070B4">
        <w:t xml:space="preserve">operating </w:t>
      </w:r>
      <w:r w:rsidRPr="004070B4">
        <w:t xml:space="preserve">characteristics, and locations of needed capacity and </w:t>
      </w:r>
      <w:r w:rsidRPr="008B1384">
        <w:t>operating reserves</w:t>
      </w:r>
      <w:r w:rsidR="00233137" w:rsidRPr="008B1384">
        <w:t xml:space="preserve"> </w:t>
      </w:r>
      <w:r w:rsidR="00B500D9" w:rsidRPr="008B1384">
        <w:t>(</w:t>
      </w:r>
      <w:fldSimple w:instr=" REF _Ref328644077 \r \h  \* MERGEFORMAT ">
        <w:r w:rsidR="00284CE3">
          <w:t>Section 4</w:t>
        </w:r>
      </w:fldSimple>
      <w:r w:rsidR="00B500D9" w:rsidRPr="008B1384">
        <w:t>)</w:t>
      </w:r>
      <w:r w:rsidR="00031C75" w:rsidRPr="008B1384">
        <w:t xml:space="preserve"> </w:t>
      </w:r>
    </w:p>
    <w:p w:rsidR="00F0379A" w:rsidRPr="00E816BE" w:rsidRDefault="00EA2E47" w:rsidP="00E2256F">
      <w:pPr>
        <w:pStyle w:val="Bullet-Solid"/>
        <w:numPr>
          <w:ilvl w:val="0"/>
          <w:numId w:val="358"/>
        </w:numPr>
        <w:ind w:left="720"/>
      </w:pPr>
      <w:r w:rsidRPr="00EA2E47">
        <w:t xml:space="preserve">Assessments of </w:t>
      </w:r>
      <w:proofErr w:type="spellStart"/>
      <w:r w:rsidRPr="00EA2E47">
        <w:t>systemwide</w:t>
      </w:r>
      <w:proofErr w:type="spellEnd"/>
      <w:r w:rsidRPr="00EA2E47">
        <w:t xml:space="preserve"> and local-area needs (i.e., </w:t>
      </w:r>
      <w:r w:rsidRPr="00EA2E47">
        <w:rPr>
          <w:i/>
        </w:rPr>
        <w:t>needs assessments</w:t>
      </w:r>
      <w:r w:rsidRPr="00EA2E47">
        <w:t xml:space="preserve">) that include critical </w:t>
      </w:r>
      <w:r w:rsidRPr="008B1384">
        <w:t xml:space="preserve">load levels, and transmission solutions to meet these needs (i.e., </w:t>
      </w:r>
      <w:r w:rsidRPr="008B1384">
        <w:rPr>
          <w:i/>
        </w:rPr>
        <w:t>solution studies</w:t>
      </w:r>
      <w:r w:rsidRPr="008B1384">
        <w:t>)</w:t>
      </w:r>
      <w:r w:rsidRPr="008B1384">
        <w:rPr>
          <w:rStyle w:val="FootnoteReference"/>
        </w:rPr>
        <w:footnoteReference w:id="78"/>
      </w:r>
      <w:r w:rsidRPr="00EA2E47">
        <w:t xml:space="preserve"> </w:t>
      </w:r>
      <w:r w:rsidR="00742475" w:rsidRPr="008B1384">
        <w:t>(</w:t>
      </w:r>
      <w:fldSimple w:instr=" REF _Ref301345731 \r \h  \* MERGEFORMAT ">
        <w:r w:rsidR="00284CE3">
          <w:t>Section 5</w:t>
        </w:r>
      </w:fldSimple>
      <w:r w:rsidR="00742475" w:rsidRPr="008B1384">
        <w:t>)</w:t>
      </w:r>
    </w:p>
    <w:p w:rsidR="001C41D2" w:rsidRPr="000F41C2" w:rsidRDefault="00993828" w:rsidP="00E2256F">
      <w:pPr>
        <w:pStyle w:val="Bullet-Solid"/>
        <w:numPr>
          <w:ilvl w:val="0"/>
          <w:numId w:val="358"/>
        </w:numPr>
        <w:ind w:left="720"/>
      </w:pPr>
      <w:r w:rsidRPr="000F41C2">
        <w:t>Studies assessing</w:t>
      </w:r>
      <w:r w:rsidR="00BA11D8" w:rsidRPr="000F41C2">
        <w:t xml:space="preserve"> </w:t>
      </w:r>
      <w:r w:rsidRPr="000F41C2">
        <w:t>regional strategic planning needs and solutions</w:t>
      </w:r>
      <w:r w:rsidR="00DA4D6A" w:rsidRPr="000F41C2">
        <w:t>, includ</w:t>
      </w:r>
      <w:r w:rsidR="00B136EE" w:rsidRPr="000F41C2">
        <w:t>ing</w:t>
      </w:r>
      <w:r w:rsidR="00DA4D6A" w:rsidRPr="000F41C2">
        <w:t xml:space="preserve"> studies </w:t>
      </w:r>
      <w:r w:rsidR="00137627" w:rsidRPr="000F41C2">
        <w:t xml:space="preserve">in support of the ISO’s Strategic Planning </w:t>
      </w:r>
      <w:r w:rsidR="007E3CF5" w:rsidRPr="000F41C2">
        <w:t>I</w:t>
      </w:r>
      <w:r w:rsidR="00D362C0" w:rsidRPr="000F41C2">
        <w:t>nitiative</w:t>
      </w:r>
      <w:r w:rsidR="001160A1" w:rsidRPr="000F41C2">
        <w:t xml:space="preserve"> (SPI)</w:t>
      </w:r>
      <w:r w:rsidR="00137627" w:rsidRPr="000F41C2">
        <w:t xml:space="preserve">, </w:t>
      </w:r>
      <w:r w:rsidRPr="000F41C2">
        <w:t>which address the following topics:</w:t>
      </w:r>
      <w:r w:rsidR="002A7B8A" w:rsidRPr="000F41C2">
        <w:t xml:space="preserve"> </w:t>
      </w:r>
      <w:r w:rsidR="00B500D9" w:rsidRPr="000F41C2">
        <w:t>(</w:t>
      </w:r>
      <w:fldSimple w:instr=" REF _Ref359399517 \r \h  \* MERGEFORMAT ">
        <w:r w:rsidR="00284CE3">
          <w:t>Section 6</w:t>
        </w:r>
      </w:fldSimple>
      <w:r w:rsidR="00B500D9" w:rsidRPr="000F41C2">
        <w:t>)</w:t>
      </w:r>
    </w:p>
    <w:p w:rsidR="00573A22" w:rsidRPr="003E7202" w:rsidRDefault="00D50C72" w:rsidP="008B1384">
      <w:pPr>
        <w:pStyle w:val="Bullet-Solid"/>
        <w:numPr>
          <w:ilvl w:val="0"/>
          <w:numId w:val="527"/>
        </w:numPr>
      </w:pPr>
      <w:r w:rsidRPr="003E7202">
        <w:t xml:space="preserve">Resource performance and </w:t>
      </w:r>
      <w:r w:rsidR="005C403D">
        <w:t>fuel certainty</w:t>
      </w:r>
      <w:r w:rsidR="007E3CF5" w:rsidRPr="003E7202">
        <w:t xml:space="preserve">, including </w:t>
      </w:r>
      <w:r w:rsidR="00534B90" w:rsidRPr="003E7202">
        <w:t xml:space="preserve">power system </w:t>
      </w:r>
      <w:r w:rsidR="00100755" w:rsidRPr="003E7202">
        <w:t>operating experience</w:t>
      </w:r>
      <w:r w:rsidR="00534B90" w:rsidRPr="003E7202">
        <w:t xml:space="preserve"> </w:t>
      </w:r>
      <w:r w:rsidR="00F1378E" w:rsidRPr="00F1378E">
        <w:t>and the operation and infrastructure of the natural gas system</w:t>
      </w:r>
      <w:r w:rsidR="00B7562C" w:rsidRPr="003E7202">
        <w:t xml:space="preserve"> </w:t>
      </w:r>
    </w:p>
    <w:p w:rsidR="000D4AA2" w:rsidRPr="00573A22" w:rsidRDefault="004408C3" w:rsidP="008B1384">
      <w:pPr>
        <w:pStyle w:val="Bullet-Solid"/>
        <w:numPr>
          <w:ilvl w:val="0"/>
          <w:numId w:val="527"/>
        </w:numPr>
      </w:pPr>
      <w:r w:rsidRPr="00573A22">
        <w:t xml:space="preserve">Operating and planning for </w:t>
      </w:r>
      <w:r w:rsidR="009F6D5D" w:rsidRPr="00573A22">
        <w:t xml:space="preserve">expansion of </w:t>
      </w:r>
      <w:r w:rsidRPr="00573A22">
        <w:t>renewable resources, including the potential need for transmission development for wind generation</w:t>
      </w:r>
      <w:r w:rsidR="0035115F">
        <w:t xml:space="preserve"> and the identification of </w:t>
      </w:r>
      <w:r w:rsidR="0035115F" w:rsidRPr="00D403F3">
        <w:t xml:space="preserve">interconnection issues for </w:t>
      </w:r>
      <w:r w:rsidR="00D57DFB" w:rsidRPr="00D403F3">
        <w:t>distributed generation</w:t>
      </w:r>
      <w:r w:rsidRPr="00573A22">
        <w:t xml:space="preserve"> </w:t>
      </w:r>
    </w:p>
    <w:p w:rsidR="000D4AA2" w:rsidRDefault="00B7562C" w:rsidP="008B1384">
      <w:pPr>
        <w:pStyle w:val="Bullet-Solid"/>
        <w:numPr>
          <w:ilvl w:val="0"/>
          <w:numId w:val="527"/>
        </w:numPr>
      </w:pPr>
      <w:r>
        <w:t xml:space="preserve">Effect of </w:t>
      </w:r>
      <w:r w:rsidR="00031C75">
        <w:t xml:space="preserve">generator </w:t>
      </w:r>
      <w:r>
        <w:t xml:space="preserve">compliance with environmental regulations on </w:t>
      </w:r>
      <w:r w:rsidR="007E3CF5">
        <w:t>generator retirements</w:t>
      </w:r>
    </w:p>
    <w:p w:rsidR="00117C8D" w:rsidRDefault="00B7562C">
      <w:pPr>
        <w:pStyle w:val="Bullet-Solid"/>
        <w:numPr>
          <w:ilvl w:val="0"/>
          <w:numId w:val="527"/>
        </w:numPr>
        <w:spacing w:after="240"/>
      </w:pPr>
      <w:r>
        <w:t>Implications of generator retirements on transmission system requirements</w:t>
      </w:r>
      <w:r w:rsidR="009F6D5D">
        <w:t xml:space="preserve"> and potential locations for developing new resources</w:t>
      </w:r>
      <w:r>
        <w:t xml:space="preserve"> (i.e., the Strategic Transmission Analysis) </w:t>
      </w:r>
    </w:p>
    <w:p w:rsidR="000D4AA2" w:rsidRPr="000F41C2" w:rsidRDefault="00F946C9">
      <w:pPr>
        <w:pStyle w:val="Bullet-Solid"/>
        <w:numPr>
          <w:ilvl w:val="0"/>
          <w:numId w:val="358"/>
        </w:numPr>
        <w:ind w:left="720"/>
      </w:pPr>
      <w:r w:rsidRPr="00F946C9">
        <w:t xml:space="preserve">Simulations of the estimated economic and environmental performance of various </w:t>
      </w:r>
      <w:r w:rsidRPr="000F41C2">
        <w:t>future resource- and transmission-expansion scenarios</w:t>
      </w:r>
      <w:r w:rsidR="00CB0C1E" w:rsidRPr="000F41C2">
        <w:t xml:space="preserve"> </w:t>
      </w:r>
      <w:r w:rsidRPr="000F41C2">
        <w:t>(Section</w:t>
      </w:r>
      <w:r w:rsidR="00B61083" w:rsidRPr="000F41C2">
        <w:t xml:space="preserve"> </w:t>
      </w:r>
      <w:fldSimple w:instr=" REF _Ref388730879 \r \h  \* MERGEFORMAT ">
        <w:r w:rsidR="00284CE3">
          <w:t>6.8</w:t>
        </w:r>
      </w:fldSimple>
      <w:r w:rsidRPr="000F41C2">
        <w:t>)</w:t>
      </w:r>
    </w:p>
    <w:p w:rsidR="00D567C6" w:rsidRPr="003F23FD" w:rsidRDefault="004408C3" w:rsidP="008B1384">
      <w:pPr>
        <w:pStyle w:val="Bullet-Solid"/>
        <w:numPr>
          <w:ilvl w:val="0"/>
          <w:numId w:val="527"/>
        </w:numPr>
      </w:pPr>
      <w:r w:rsidRPr="003F23FD">
        <w:t>2011</w:t>
      </w:r>
      <w:r w:rsidR="0038620F">
        <w:t>,</w:t>
      </w:r>
      <w:r w:rsidR="005F32B6">
        <w:t xml:space="preserve"> 2012</w:t>
      </w:r>
      <w:r w:rsidR="0038620F">
        <w:t>, and 2013</w:t>
      </w:r>
      <w:r w:rsidR="005F32B6">
        <w:t xml:space="preserve"> </w:t>
      </w:r>
      <w:r w:rsidR="00B61083">
        <w:t>E</w:t>
      </w:r>
      <w:r w:rsidRPr="003F23FD">
        <w:t xml:space="preserve">conomic </w:t>
      </w:r>
      <w:r w:rsidR="00B61083">
        <w:t>S</w:t>
      </w:r>
      <w:r w:rsidRPr="003F23FD">
        <w:t>tudies</w:t>
      </w:r>
    </w:p>
    <w:p w:rsidR="000D4AA2" w:rsidRDefault="0038620F" w:rsidP="008B1384">
      <w:pPr>
        <w:pStyle w:val="Bullet-Solid"/>
        <w:numPr>
          <w:ilvl w:val="0"/>
          <w:numId w:val="527"/>
        </w:numPr>
        <w:spacing w:after="240"/>
      </w:pPr>
      <w:r>
        <w:t>Analysis of capacity and energy supply needs</w:t>
      </w:r>
    </w:p>
    <w:p w:rsidR="00B648E1" w:rsidRPr="000F41C2" w:rsidRDefault="004408C3" w:rsidP="00B648E1">
      <w:pPr>
        <w:pStyle w:val="Bullet-Solid"/>
        <w:numPr>
          <w:ilvl w:val="0"/>
          <w:numId w:val="358"/>
        </w:numPr>
        <w:ind w:left="720"/>
      </w:pPr>
      <w:r w:rsidRPr="000F41C2">
        <w:t xml:space="preserve">Planning coordination </w:t>
      </w:r>
      <w:r w:rsidR="00F1378E" w:rsidRPr="000F41C2">
        <w:t>studies and other activities</w:t>
      </w:r>
      <w:r w:rsidRPr="000F41C2">
        <w:t xml:space="preserve"> (</w:t>
      </w:r>
      <w:fldSimple w:instr=" REF _Ref356557380 \r \h  \* MERGEFORMAT ">
        <w:r w:rsidR="00284CE3">
          <w:t>Section 7</w:t>
        </w:r>
      </w:fldSimple>
      <w:r w:rsidRPr="000F41C2">
        <w:t>)</w:t>
      </w:r>
    </w:p>
    <w:p w:rsidR="00AB0258" w:rsidRPr="000F41C2" w:rsidRDefault="004408C3">
      <w:pPr>
        <w:pStyle w:val="Bullet-Solid"/>
        <w:numPr>
          <w:ilvl w:val="0"/>
          <w:numId w:val="527"/>
        </w:numPr>
      </w:pPr>
      <w:r w:rsidRPr="000F41C2">
        <w:t xml:space="preserve">Northeastern ISO/RTO </w:t>
      </w:r>
      <w:r w:rsidR="000F41C2" w:rsidRPr="000F41C2">
        <w:t>p</w:t>
      </w:r>
      <w:r w:rsidR="00D57DFB" w:rsidRPr="000F41C2">
        <w:t xml:space="preserve">lanning </w:t>
      </w:r>
      <w:r w:rsidR="000F41C2" w:rsidRPr="000F41C2">
        <w:t>c</w:t>
      </w:r>
      <w:r w:rsidR="00D57DFB" w:rsidRPr="000F41C2">
        <w:t>oordination</w:t>
      </w:r>
      <w:r w:rsidRPr="000F41C2">
        <w:t xml:space="preserve"> </w:t>
      </w:r>
      <w:r w:rsidR="00F1378E" w:rsidRPr="000F41C2">
        <w:t>studies</w:t>
      </w:r>
    </w:p>
    <w:p w:rsidR="00117C8D" w:rsidRDefault="004408C3">
      <w:pPr>
        <w:pStyle w:val="Bullet-Solid"/>
        <w:numPr>
          <w:ilvl w:val="0"/>
          <w:numId w:val="527"/>
        </w:numPr>
      </w:pPr>
      <w:r w:rsidRPr="00573A22">
        <w:t>Eastern Interconnection Planning Collaborative</w:t>
      </w:r>
      <w:r w:rsidR="003E7202">
        <w:t xml:space="preserve"> activities</w:t>
      </w:r>
    </w:p>
    <w:p w:rsidR="00117C8D" w:rsidRDefault="004408C3">
      <w:pPr>
        <w:pStyle w:val="Bullet-Solid"/>
        <w:numPr>
          <w:ilvl w:val="0"/>
          <w:numId w:val="527"/>
        </w:numPr>
      </w:pPr>
      <w:r w:rsidRPr="00573A22">
        <w:t>Other joint planning studies with neighboring regions</w:t>
      </w:r>
    </w:p>
    <w:p w:rsidR="00117C8D" w:rsidRDefault="006967DC">
      <w:pPr>
        <w:pStyle w:val="Bullet-Solid"/>
        <w:numPr>
          <w:ilvl w:val="0"/>
          <w:numId w:val="527"/>
        </w:numPr>
        <w:spacing w:after="240"/>
      </w:pPr>
      <w:r w:rsidRPr="003E7202">
        <w:t xml:space="preserve">ISO initiatives and </w:t>
      </w:r>
      <w:r w:rsidR="00993828" w:rsidRPr="00993828">
        <w:t>governmental activities and policies</w:t>
      </w:r>
      <w:r w:rsidRPr="003E7202">
        <w:t xml:space="preserve"> affecting the </w:t>
      </w:r>
      <w:r w:rsidR="004408C3" w:rsidRPr="003E7202">
        <w:t>planning the</w:t>
      </w:r>
      <w:r w:rsidR="004408C3" w:rsidRPr="00573A22">
        <w:t xml:space="preserve"> system </w:t>
      </w:r>
    </w:p>
    <w:p w:rsidR="00DE04AA" w:rsidRPr="00BA1AE4" w:rsidRDefault="00DE04AA" w:rsidP="00006A40">
      <w:pPr>
        <w:pStyle w:val="Heading3"/>
      </w:pPr>
      <w:bookmarkStart w:id="90" w:name="_Toc396807602"/>
      <w:r w:rsidRPr="00BA1AE4">
        <w:t>O</w:t>
      </w:r>
      <w:r w:rsidR="00F946C9" w:rsidRPr="00BA1AE4">
        <w:t>ther Planning Considerations</w:t>
      </w:r>
      <w:bookmarkEnd w:id="90"/>
    </w:p>
    <w:p w:rsidR="00AA4D34" w:rsidRPr="00E52B20" w:rsidRDefault="00855795" w:rsidP="00DE60FC">
      <w:r w:rsidRPr="008634E9">
        <w:t>The regional system planning process</w:t>
      </w:r>
      <w:r w:rsidR="00DE60FC" w:rsidRPr="008634E9">
        <w:t>, which complies with all requirements,</w:t>
      </w:r>
      <w:r w:rsidRPr="008634E9">
        <w:t xml:space="preserve"> involves working closely with stakeholders and exchanging </w:t>
      </w:r>
      <w:r w:rsidR="008634E9">
        <w:t>detailed</w:t>
      </w:r>
      <w:r w:rsidRPr="008634E9">
        <w:t xml:space="preserve"> information with them </w:t>
      </w:r>
      <w:r w:rsidR="008634E9" w:rsidRPr="008634E9">
        <w:t>about the system</w:t>
      </w:r>
      <w:r w:rsidR="00AA4D34" w:rsidRPr="00C36368">
        <w:t xml:space="preserve">. </w:t>
      </w:r>
      <w:r w:rsidR="009401E1" w:rsidRPr="00C36368">
        <w:t>Another consideration for planning the system</w:t>
      </w:r>
      <w:r w:rsidR="008634E9" w:rsidRPr="00C36368">
        <w:t xml:space="preserve"> </w:t>
      </w:r>
      <w:r w:rsidR="009401E1" w:rsidRPr="00C36368">
        <w:t xml:space="preserve">is making sure </w:t>
      </w:r>
      <w:r w:rsidRPr="00C36368">
        <w:t>ISO studies</w:t>
      </w:r>
      <w:r w:rsidR="009401E1" w:rsidRPr="00C36368">
        <w:t xml:space="preserve"> </w:t>
      </w:r>
      <w:r w:rsidR="008634E9" w:rsidRPr="00C36368">
        <w:t xml:space="preserve">and underlying assumptions </w:t>
      </w:r>
      <w:r w:rsidR="009401E1" w:rsidRPr="00C36368">
        <w:t xml:space="preserve">account for </w:t>
      </w:r>
      <w:r w:rsidR="008634E9" w:rsidRPr="00C36368">
        <w:t xml:space="preserve">the </w:t>
      </w:r>
      <w:r w:rsidR="009401E1" w:rsidRPr="00C36368">
        <w:t>ever-</w:t>
      </w:r>
      <w:r w:rsidR="008634E9" w:rsidRPr="00C36368">
        <w:t xml:space="preserve">changing </w:t>
      </w:r>
      <w:r w:rsidR="009401E1" w:rsidRPr="00C36368">
        <w:t>physical and market forces</w:t>
      </w:r>
      <w:r w:rsidR="008634E9" w:rsidRPr="00C36368">
        <w:t xml:space="preserve"> that can affect the system and system plans</w:t>
      </w:r>
      <w:r w:rsidR="00DE60FC" w:rsidRPr="00C36368">
        <w:t>.</w:t>
      </w:r>
    </w:p>
    <w:p w:rsidR="00E207B0" w:rsidRPr="00BA1AE4" w:rsidRDefault="00E207B0" w:rsidP="00C83366">
      <w:pPr>
        <w:pStyle w:val="Heading4"/>
      </w:pPr>
      <w:r w:rsidRPr="00BA1AE4">
        <w:t>Working with the Planning Advisory Committee and Other Committees</w:t>
      </w:r>
    </w:p>
    <w:p w:rsidR="00E207B0" w:rsidRPr="002C5A8A" w:rsidRDefault="00E207B0" w:rsidP="00E207B0">
      <w:r w:rsidRPr="0048401A">
        <w:t>To conduct the system planning process, the ISO holds an open and transparent stakeholder forum with the Planning Advisory Committee (PAC).</w:t>
      </w:r>
      <w:r w:rsidRPr="0048401A">
        <w:rPr>
          <w:rStyle w:val="FootnoteReference"/>
        </w:rPr>
        <w:footnoteReference w:id="79"/>
      </w:r>
      <w:r w:rsidRPr="0048401A">
        <w:t xml:space="preserve"> PAC membership is open to all and currently includes representatives from state and federal governmental agencies; participating transmission owners </w:t>
      </w:r>
      <w:r w:rsidR="00EA2E47" w:rsidRPr="00EA2E47">
        <w:t>(PTOs); ISO market participants; other New England Power Pool (NEPOOL) members; consulting</w:t>
      </w:r>
      <w:r w:rsidRPr="0048401A">
        <w:t xml:space="preserve"> companies; manufacturers; and other organizations, such as universities and environmental groups.</w:t>
      </w:r>
      <w:r w:rsidRPr="0048401A">
        <w:rPr>
          <w:rStyle w:val="FootnoteReference"/>
        </w:rPr>
        <w:footnoteReference w:id="80"/>
      </w:r>
      <w:r>
        <w:t xml:space="preserve"> </w:t>
      </w:r>
      <w:r w:rsidRPr="007B1EAA">
        <w:t xml:space="preserve">The PAC has met </w:t>
      </w:r>
      <w:r w:rsidR="00B06918">
        <w:t>15</w:t>
      </w:r>
      <w:r w:rsidRPr="007B1EAA">
        <w:t xml:space="preserve"> times from </w:t>
      </w:r>
      <w:r w:rsidR="004408C3" w:rsidRPr="007B1EAA">
        <w:t>fall 201</w:t>
      </w:r>
      <w:r w:rsidR="00ED25F0">
        <w:t>3</w:t>
      </w:r>
      <w:r w:rsidRPr="007B1EAA">
        <w:t xml:space="preserve"> to summer 201</w:t>
      </w:r>
      <w:r w:rsidR="00ED25F0">
        <w:t>4</w:t>
      </w:r>
      <w:r w:rsidRPr="007B1EAA">
        <w:t xml:space="preserve"> to discuss draft scopes of work, assumptions,</w:t>
      </w:r>
      <w:r w:rsidRPr="0048401A">
        <w:t xml:space="preserve"> and draft and final study results on a wide range of issues. In addition, subgroups of the PAC have </w:t>
      </w:r>
      <w:r w:rsidRPr="00273637">
        <w:t xml:space="preserve">discussed </w:t>
      </w:r>
      <w:r w:rsidR="004408C3" w:rsidRPr="00273637">
        <w:t>the energy-efficiency forecast</w:t>
      </w:r>
      <w:r w:rsidR="00ED25F0" w:rsidRPr="00273637">
        <w:t xml:space="preserve">, </w:t>
      </w:r>
      <w:r w:rsidR="004408C3" w:rsidRPr="00273637">
        <w:t>environmental issues</w:t>
      </w:r>
      <w:r w:rsidR="00ED25F0" w:rsidRPr="00273637">
        <w:t>, and the distributed</w:t>
      </w:r>
      <w:r w:rsidR="009A3ED6" w:rsidRPr="00273637">
        <w:t xml:space="preserve"> </w:t>
      </w:r>
      <w:r w:rsidR="00ED25F0" w:rsidRPr="00273637">
        <w:t>generation forecast</w:t>
      </w:r>
      <w:r w:rsidR="004408C3" w:rsidRPr="00273637">
        <w:t>.</w:t>
      </w:r>
      <w:r w:rsidRPr="00D018B5">
        <w:t xml:space="preserve"> </w:t>
      </w:r>
    </w:p>
    <w:p w:rsidR="00E207B0" w:rsidRPr="002C5A8A" w:rsidRDefault="00E207B0" w:rsidP="006F5E79">
      <w:r>
        <w:t xml:space="preserve">Other committees are involved in the system planning process. </w:t>
      </w:r>
      <w:r w:rsidRPr="0048401A">
        <w:t xml:space="preserve">The Reliability Committee </w:t>
      </w:r>
      <w:r w:rsidR="00461D71">
        <w:t xml:space="preserve">(RC) </w:t>
      </w:r>
      <w:r w:rsidR="001D1F48">
        <w:t>provides advisory input on</w:t>
      </w:r>
      <w:r w:rsidRPr="0048401A">
        <w:t xml:space="preserve"> planning procedures, final proposed plan applications, regional transmission cost </w:t>
      </w:r>
      <w:r w:rsidR="00EA2E47" w:rsidRPr="00EA2E47">
        <w:t>allocations, and other activities that affect the</w:t>
      </w:r>
      <w:r w:rsidR="002E7AC9">
        <w:t xml:space="preserve"> design and oversight of reliability standards for</w:t>
      </w:r>
      <w:r w:rsidR="00EA2E47" w:rsidRPr="00EA2E47">
        <w:t xml:space="preserve"> the power system. </w:t>
      </w:r>
      <w:r w:rsidR="00D45F77" w:rsidRPr="0056425E">
        <w:t xml:space="preserve">The Transmission Committee provides advisory input on the general tariff provisions of the OATT and </w:t>
      </w:r>
      <w:r w:rsidR="00D45F77" w:rsidRPr="00DF1A48">
        <w:t>amendments to the Transmission Owner Agreement.</w:t>
      </w:r>
      <w:r w:rsidR="0056425E" w:rsidRPr="00DF1A48">
        <w:rPr>
          <w:rStyle w:val="FootnoteReference"/>
        </w:rPr>
        <w:footnoteReference w:id="81"/>
      </w:r>
      <w:r w:rsidR="005D1F53" w:rsidRPr="00DF1A48">
        <w:t xml:space="preserve"> </w:t>
      </w:r>
      <w:r w:rsidR="00EA2E47" w:rsidRPr="00DF1A48">
        <w:t>The</w:t>
      </w:r>
      <w:r w:rsidRPr="00DF1A48">
        <w:t xml:space="preserve"> Markets Committee </w:t>
      </w:r>
      <w:r w:rsidR="001D1F48" w:rsidRPr="00DF1A48">
        <w:t>provides advisory input</w:t>
      </w:r>
      <w:r w:rsidR="001D1F48" w:rsidRPr="003F23FD">
        <w:t xml:space="preserve"> on</w:t>
      </w:r>
      <w:r w:rsidRPr="003F23FD">
        <w:t xml:space="preserve"> changes </w:t>
      </w:r>
      <w:r w:rsidR="004408C3" w:rsidRPr="003F23FD">
        <w:t>proposed by the ISO</w:t>
      </w:r>
      <w:r w:rsidR="006967DC" w:rsidRPr="003F23FD">
        <w:t xml:space="preserve"> </w:t>
      </w:r>
      <w:r w:rsidRPr="003F23FD">
        <w:t xml:space="preserve">to </w:t>
      </w:r>
      <w:r w:rsidRPr="003F23FD">
        <w:rPr>
          <w:i/>
        </w:rPr>
        <w:t>Market Rule 1</w:t>
      </w:r>
      <w:r w:rsidRPr="003F23FD">
        <w:t xml:space="preserve"> and market procedures.</w:t>
      </w:r>
      <w:r w:rsidRPr="003F23FD">
        <w:rPr>
          <w:rStyle w:val="FootnoteReference"/>
        </w:rPr>
        <w:footnoteReference w:id="82"/>
      </w:r>
      <w:r w:rsidR="007F0F3F" w:rsidRPr="003F23FD">
        <w:t xml:space="preserve"> </w:t>
      </w:r>
      <w:r w:rsidR="00595420" w:rsidRPr="003F23FD">
        <w:t xml:space="preserve">Stakeholders who advise ISO New England or its neighboring ISO/RTOs </w:t>
      </w:r>
      <w:r w:rsidR="004408C3" w:rsidRPr="003F23FD">
        <w:t>on system planning matters</w:t>
      </w:r>
      <w:r w:rsidR="006967DC" w:rsidRPr="003F23FD">
        <w:t xml:space="preserve"> </w:t>
      </w:r>
      <w:r w:rsidR="00595420" w:rsidRPr="003F23FD">
        <w:t xml:space="preserve">have </w:t>
      </w:r>
      <w:r w:rsidR="00A15C1D" w:rsidRPr="003F23FD">
        <w:t xml:space="preserve">the opportunity to meet as a unified group </w:t>
      </w:r>
      <w:r w:rsidR="00A92F59">
        <w:t xml:space="preserve">through </w:t>
      </w:r>
      <w:r w:rsidR="00A15C1D" w:rsidRPr="003F23FD">
        <w:t>the Interregional Planning</w:t>
      </w:r>
      <w:r w:rsidR="00A15C1D" w:rsidRPr="00B64ED6">
        <w:t xml:space="preserve"> Stakeholder Advisory Committee</w:t>
      </w:r>
      <w:r w:rsidR="00B64ED6" w:rsidRPr="003D348C">
        <w:t xml:space="preserve"> (IPSAC)</w:t>
      </w:r>
      <w:r w:rsidR="003D348C">
        <w:t>.</w:t>
      </w:r>
    </w:p>
    <w:p w:rsidR="00181557" w:rsidRPr="00AA4D34" w:rsidRDefault="0048401A" w:rsidP="00C83366">
      <w:pPr>
        <w:pStyle w:val="Heading4"/>
      </w:pPr>
      <w:bookmarkStart w:id="91" w:name="_Toc303086353"/>
      <w:r w:rsidRPr="00AA4D34">
        <w:t>Providing Information to Stakeholders</w:t>
      </w:r>
      <w:bookmarkEnd w:id="91"/>
    </w:p>
    <w:p w:rsidR="00141D5A" w:rsidRPr="003A1110" w:rsidRDefault="00AD2691" w:rsidP="00141D5A">
      <w:r w:rsidRPr="00AA4D34">
        <w:t xml:space="preserve">In addition to publishing the Regional System Plan </w:t>
      </w:r>
      <w:r w:rsidR="00AA4D34" w:rsidRPr="00AA4D34">
        <w:t>and specific needs assessments and solutions studies</w:t>
      </w:r>
      <w:r w:rsidR="00AA4D34">
        <w:t xml:space="preserve"> </w:t>
      </w:r>
      <w:r w:rsidRPr="00AA4D34">
        <w:t>t</w:t>
      </w:r>
      <w:r w:rsidR="0048401A" w:rsidRPr="00AA4D34">
        <w:t xml:space="preserve">o provide information to stakeholders, the ISO issues the </w:t>
      </w:r>
      <w:r w:rsidR="0048401A" w:rsidRPr="00AA4D34">
        <w:rPr>
          <w:i/>
        </w:rPr>
        <w:t>RSP Project List</w:t>
      </w:r>
      <w:r w:rsidR="007C6FCF">
        <w:t>,</w:t>
      </w:r>
      <w:r w:rsidR="007C6FCF" w:rsidRPr="007C6FCF">
        <w:t xml:space="preserve"> </w:t>
      </w:r>
      <w:r w:rsidR="007C6FCF">
        <w:t xml:space="preserve">which </w:t>
      </w:r>
      <w:r w:rsidR="007C6FCF" w:rsidRPr="00AA4D34">
        <w:t xml:space="preserve">includes the status of transmission upgrades during a project’s lifecycle and </w:t>
      </w:r>
      <w:proofErr w:type="gramStart"/>
      <w:r w:rsidR="007C6FCF" w:rsidRPr="00AA4D34">
        <w:t>is updated</w:t>
      </w:r>
      <w:proofErr w:type="gramEnd"/>
      <w:r w:rsidR="007C6FCF" w:rsidRPr="00AA4D34">
        <w:t xml:space="preserve"> </w:t>
      </w:r>
      <w:r w:rsidR="007C6FCF" w:rsidRPr="000F41C2">
        <w:t>several times per year</w:t>
      </w:r>
      <w:r w:rsidRPr="000F41C2">
        <w:rPr>
          <w:i/>
        </w:rPr>
        <w:t xml:space="preserve"> </w:t>
      </w:r>
      <w:r w:rsidRPr="000F41C2">
        <w:t xml:space="preserve">(see </w:t>
      </w:r>
      <w:r w:rsidR="00B500D9" w:rsidRPr="000F41C2">
        <w:t>Section </w:t>
      </w:r>
      <w:fldSimple w:instr=" REF _Ref296338350 \r \h  \* MERGEFORMAT ">
        <w:r w:rsidR="00284CE3">
          <w:t>5.3</w:t>
        </w:r>
      </w:fldSimple>
      <w:r w:rsidR="00B500D9" w:rsidRPr="000F41C2">
        <w:t>)</w:t>
      </w:r>
      <w:r w:rsidR="00AA4D34" w:rsidRPr="000F41C2">
        <w:t>.</w:t>
      </w:r>
      <w:r w:rsidRPr="000F41C2">
        <w:rPr>
          <w:rStyle w:val="FootnoteReference"/>
        </w:rPr>
        <w:footnoteReference w:id="83"/>
      </w:r>
      <w:r w:rsidR="0048401A" w:rsidRPr="000F41C2">
        <w:t xml:space="preserve"> </w:t>
      </w:r>
      <w:r w:rsidR="00AA4D34" w:rsidRPr="000F41C2">
        <w:t>RSP1</w:t>
      </w:r>
      <w:r w:rsidR="00ED25F0" w:rsidRPr="000F41C2">
        <w:t>4</w:t>
      </w:r>
      <w:r w:rsidR="00AA4D34" w:rsidRPr="000F41C2">
        <w:t xml:space="preserve"> incorporates information from the </w:t>
      </w:r>
      <w:r w:rsidR="0028427D" w:rsidRPr="000F41C2">
        <w:t>June</w:t>
      </w:r>
      <w:r w:rsidR="00F1378E" w:rsidRPr="000F41C2">
        <w:t xml:space="preserve"> 201</w:t>
      </w:r>
      <w:r w:rsidR="00ED25F0" w:rsidRPr="000F41C2">
        <w:t>4</w:t>
      </w:r>
      <w:r w:rsidR="00AA4D34" w:rsidRPr="000F41C2">
        <w:t xml:space="preserve"> list</w:t>
      </w:r>
      <w:r w:rsidR="00E9763C" w:rsidRPr="000F41C2">
        <w:t xml:space="preserve">. </w:t>
      </w:r>
      <w:r w:rsidRPr="000F41C2">
        <w:t>A</w:t>
      </w:r>
      <w:r w:rsidR="0048401A" w:rsidRPr="000F41C2">
        <w:t>ddition</w:t>
      </w:r>
      <w:r w:rsidRPr="000F41C2">
        <w:t>ally</w:t>
      </w:r>
      <w:r w:rsidR="0048401A" w:rsidRPr="000F41C2">
        <w:t>, the ISO posts on its website detailed information supplemental to the RSP</w:t>
      </w:r>
      <w:r w:rsidR="0048401A" w:rsidRPr="00AA4D34">
        <w:t xml:space="preserve"> process, such as the Annual Markets Report (AMR), Wholesale Markets Project Plan (WMPP), presentations, and other reports.</w:t>
      </w:r>
      <w:r w:rsidR="0048401A" w:rsidRPr="00AA4D34">
        <w:rPr>
          <w:rStyle w:val="FootnoteReference"/>
        </w:rPr>
        <w:footnoteReference w:id="84"/>
      </w:r>
      <w:r w:rsidR="0048401A" w:rsidRPr="00AA4D34">
        <w:t xml:space="preserve"> The ISO also makes available databases used in its analyses and related information required to perform simulations consistent with FERC policies and the ISO Information Policy requirements pertaining to both confidential information and critical energy infrastructure information (CEII) requirements.</w:t>
      </w:r>
      <w:r w:rsidR="0048401A" w:rsidRPr="00AA4D34">
        <w:rPr>
          <w:rStyle w:val="FootnoteReference"/>
        </w:rPr>
        <w:footnoteReference w:id="85"/>
      </w:r>
      <w:r w:rsidR="0048401A" w:rsidRPr="00AA4D34">
        <w:t xml:space="preserve"> </w:t>
      </w:r>
      <w:r w:rsidR="00F1378E" w:rsidRPr="00F1378E">
        <w:t xml:space="preserve">Stakeholders can use this information and data to conduct their own independent studies. </w:t>
      </w:r>
    </w:p>
    <w:p w:rsidR="00855795" w:rsidRPr="003A1110" w:rsidRDefault="00F1378E" w:rsidP="00855795">
      <w:pPr>
        <w:pStyle w:val="Heading4"/>
      </w:pPr>
      <w:bookmarkStart w:id="92" w:name="_Toc303086355"/>
      <w:r w:rsidRPr="00F1378E">
        <w:t>Accounting for Uncertainty</w:t>
      </w:r>
    </w:p>
    <w:p w:rsidR="00855795" w:rsidRDefault="00F1378E" w:rsidP="00855795">
      <w:r w:rsidRPr="00F1378E">
        <w:t>Regional system planning must account for the uncertainty in assumptions made about the next 10 years stemming from changing demand, fuel prices, technologies, market rules, planning processes, and environmental requirements; the development and retirement of resources; the physical conditions under which the system might be operating; and other relevant events. The following major factors may vary RSP1</w:t>
      </w:r>
      <w:r w:rsidR="00253771">
        <w:t>4</w:t>
      </w:r>
      <w:r w:rsidRPr="00F1378E">
        <w:t xml:space="preserve"> results and conclusions and ultimately affect the development and timing of needed transmission facilities and generation, demand, and market resources: </w:t>
      </w:r>
    </w:p>
    <w:p w:rsidR="00C36368" w:rsidRPr="00C653AF" w:rsidRDefault="002B5753" w:rsidP="00C36368">
      <w:pPr>
        <w:pStyle w:val="Bullet-Solid"/>
      </w:pPr>
      <w:r>
        <w:t>Forecasts of d</w:t>
      </w:r>
      <w:r w:rsidR="00F1378E" w:rsidRPr="00F1378E">
        <w:t>emand</w:t>
      </w:r>
      <w:r w:rsidR="00966377">
        <w:t>,</w:t>
      </w:r>
      <w:r w:rsidR="00754A89">
        <w:t xml:space="preserve"> </w:t>
      </w:r>
      <w:r w:rsidR="00F1378E" w:rsidRPr="00F1378E">
        <w:t>energy</w:t>
      </w:r>
      <w:r>
        <w:t xml:space="preserve"> </w:t>
      </w:r>
      <w:r w:rsidR="00F1378E" w:rsidRPr="00F1378E">
        <w:t>efficiency</w:t>
      </w:r>
      <w:r w:rsidR="00966377">
        <w:t xml:space="preserve">, and </w:t>
      </w:r>
      <w:r w:rsidR="00966377" w:rsidRPr="009B5E2C">
        <w:t>distributed generation</w:t>
      </w:r>
      <w:r w:rsidR="00F1378E" w:rsidRPr="00F1378E">
        <w:t xml:space="preserve">, which are dependent on the economy, new building and federal appliance-efficiency standards, state goals </w:t>
      </w:r>
      <w:r w:rsidR="00FD360B">
        <w:t xml:space="preserve">for </w:t>
      </w:r>
      <w:r w:rsidR="002B7D73">
        <w:t xml:space="preserve">the </w:t>
      </w:r>
      <w:r w:rsidR="002B7D73" w:rsidRPr="00384E48">
        <w:t xml:space="preserve">implementation of </w:t>
      </w:r>
      <w:r w:rsidR="00FD360B" w:rsidRPr="00384E48">
        <w:t>energy</w:t>
      </w:r>
      <w:r w:rsidR="002B7D73" w:rsidRPr="00384E48">
        <w:t>-</w:t>
      </w:r>
      <w:r w:rsidR="00FD360B" w:rsidRPr="00384E48">
        <w:t xml:space="preserve">efficiency </w:t>
      </w:r>
      <w:r w:rsidR="00F1378E" w:rsidRPr="00384E48">
        <w:t xml:space="preserve">and </w:t>
      </w:r>
      <w:r w:rsidR="00966377" w:rsidRPr="00384E48">
        <w:t>distributed</w:t>
      </w:r>
      <w:r w:rsidRPr="00384E48">
        <w:t>-</w:t>
      </w:r>
      <w:r w:rsidR="00966377" w:rsidRPr="00384E48">
        <w:t xml:space="preserve">generation </w:t>
      </w:r>
      <w:r w:rsidR="00F1378E" w:rsidRPr="00384E48">
        <w:t>program</w:t>
      </w:r>
      <w:r w:rsidR="002B7D73" w:rsidRPr="00384E48">
        <w:t>s</w:t>
      </w:r>
      <w:r w:rsidR="00F1378E" w:rsidRPr="00384E48">
        <w:t>, and other</w:t>
      </w:r>
      <w:r w:rsidR="00F1378E" w:rsidRPr="00F1378E">
        <w:t xml:space="preserve"> considerations</w:t>
      </w:r>
    </w:p>
    <w:p w:rsidR="00C36368" w:rsidRPr="00C653AF" w:rsidRDefault="00F1378E" w:rsidP="00C36368">
      <w:pPr>
        <w:pStyle w:val="Bullet-Solid"/>
      </w:pPr>
      <w:r w:rsidRPr="00F1378E">
        <w:t>Resource availability, which is dependent on physical and economic parameters that affect the performance, development, and retirement of resources</w:t>
      </w:r>
    </w:p>
    <w:p w:rsidR="00C36368" w:rsidRPr="00C653AF" w:rsidRDefault="00F1378E" w:rsidP="00C36368">
      <w:pPr>
        <w:pStyle w:val="Bullet-Solid"/>
      </w:pPr>
      <w:r w:rsidRPr="00F1378E">
        <w:t xml:space="preserve">Environmental regulations and compliance strategies, which can vary with changes in public policies, economic parameters, and technology development </w:t>
      </w:r>
    </w:p>
    <w:p w:rsidR="00C36368" w:rsidRPr="00C653AF" w:rsidRDefault="00F1378E" w:rsidP="00C36368">
      <w:pPr>
        <w:pStyle w:val="Bullet-Solid"/>
      </w:pPr>
      <w:r w:rsidRPr="00F1378E">
        <w:t xml:space="preserve">The deployment of new technologies, which may </w:t>
      </w:r>
      <w:r w:rsidR="00D705EC">
        <w:t>affect</w:t>
      </w:r>
      <w:r w:rsidRPr="00F1378E">
        <w:t xml:space="preserve"> the physical ability and the economic viability of new types of power system equipment and the efficiency of operating the power system</w:t>
      </w:r>
    </w:p>
    <w:p w:rsidR="00C36368" w:rsidRPr="00C653AF" w:rsidRDefault="00F1378E" w:rsidP="00C36368">
      <w:pPr>
        <w:pStyle w:val="Bullet-Solid"/>
      </w:pPr>
      <w:r w:rsidRPr="00F1378E">
        <w:t>Fuel price forecasts, which change with world markets and infrastructure development</w:t>
      </w:r>
    </w:p>
    <w:p w:rsidR="00C36368" w:rsidRPr="00C653AF" w:rsidRDefault="00F1378E" w:rsidP="00C36368">
      <w:pPr>
        <w:pStyle w:val="Bullet-Solid"/>
      </w:pPr>
      <w:r w:rsidRPr="00F1378E">
        <w:t>Market rules and public policies, which can alter the development of market resources</w:t>
      </w:r>
    </w:p>
    <w:p w:rsidR="00C36368" w:rsidRPr="00C653AF" w:rsidRDefault="00F1378E" w:rsidP="00C36368">
      <w:pPr>
        <w:pStyle w:val="Bullet-Solid"/>
        <w:spacing w:after="240"/>
      </w:pPr>
      <w:r w:rsidRPr="00F1378E">
        <w:t>T</w:t>
      </w:r>
      <w:r w:rsidR="00456082">
        <w:t>he t</w:t>
      </w:r>
      <w:r w:rsidRPr="00F1378E">
        <w:t xml:space="preserve">iming of planned system improvements, which can be subject to </w:t>
      </w:r>
      <w:proofErr w:type="spellStart"/>
      <w:r w:rsidRPr="00F1378E">
        <w:t>siting</w:t>
      </w:r>
      <w:proofErr w:type="spellEnd"/>
      <w:r w:rsidRPr="00F1378E">
        <w:t xml:space="preserve"> and construction delays, uncertainty due to the implementation of the competitive process for transmission development under FERC Order </w:t>
      </w:r>
      <w:r w:rsidR="005364C3">
        <w:t xml:space="preserve">No. </w:t>
      </w:r>
      <w:r w:rsidRPr="00F1378E">
        <w:t xml:space="preserve">1000, and changes to the system </w:t>
      </w:r>
    </w:p>
    <w:p w:rsidR="001A5C67" w:rsidRDefault="00F1378E">
      <w:r w:rsidRPr="00F1378E">
        <w:t xml:space="preserve">While each RSP represents a snapshot in time, the planning process is continuous, and the results </w:t>
      </w:r>
      <w:proofErr w:type="gramStart"/>
      <w:r w:rsidRPr="00F1378E">
        <w:t>are revisited</w:t>
      </w:r>
      <w:proofErr w:type="gramEnd"/>
      <w:r w:rsidRPr="00F1378E">
        <w:t xml:space="preserve"> as needed when new information becomes available.</w:t>
      </w:r>
    </w:p>
    <w:p w:rsidR="00181557" w:rsidRPr="00233137" w:rsidRDefault="001A6B75" w:rsidP="004C7527">
      <w:pPr>
        <w:pStyle w:val="Heading4"/>
      </w:pPr>
      <w:bookmarkStart w:id="93" w:name="_Ref365471084"/>
      <w:r w:rsidRPr="00233137">
        <w:t>Meeting All Requirements</w:t>
      </w:r>
      <w:bookmarkEnd w:id="92"/>
      <w:bookmarkEnd w:id="93"/>
    </w:p>
    <w:p w:rsidR="00181557" w:rsidRPr="00233137" w:rsidRDefault="001A6B75" w:rsidP="00181557">
      <w:r w:rsidRPr="003F23FD">
        <w:t>In addition to complying with the ISO tariff, which reflects the requirements of FERC orders</w:t>
      </w:r>
      <w:r w:rsidR="004408C3" w:rsidRPr="003F23FD">
        <w:t>,</w:t>
      </w:r>
      <w:r w:rsidRPr="00233137">
        <w:t xml:space="preserve"> RSP1</w:t>
      </w:r>
      <w:r w:rsidR="00966377">
        <w:t>4</w:t>
      </w:r>
      <w:r w:rsidRPr="00233137">
        <w:t xml:space="preserve"> complies with North American Electric Reliability Corporation (NERC) and Northeast Power Coordinating Council (NPCC) criteria and standards, as well as ISO planning and operating procedures.</w:t>
      </w:r>
      <w:r w:rsidRPr="00233137">
        <w:rPr>
          <w:rStyle w:val="FootnoteReference"/>
        </w:rPr>
        <w:footnoteReference w:id="86"/>
      </w:r>
      <w:r w:rsidRPr="00233137">
        <w:t xml:space="preserve"> RSP1</w:t>
      </w:r>
      <w:r w:rsidR="00966377">
        <w:t>4</w:t>
      </w:r>
      <w:r w:rsidRPr="00233137">
        <w:t xml:space="preserve"> also conforms to transmission owner criteria, rules, standards, guides, and policies consistent with NERC, NPCC, </w:t>
      </w:r>
      <w:r w:rsidR="00A956C8">
        <w:t xml:space="preserve">and </w:t>
      </w:r>
      <w:r w:rsidRPr="00233137">
        <w:t>ISO criteria, standards, and procedures.</w:t>
      </w:r>
      <w:r w:rsidR="00AF1F73">
        <w:rPr>
          <w:rStyle w:val="FootnoteReference"/>
        </w:rPr>
        <w:footnoteReference w:id="87"/>
      </w:r>
      <w:r w:rsidRPr="00233137">
        <w:t xml:space="preserve"> </w:t>
      </w:r>
      <w:r w:rsidRPr="00A80BA0">
        <w:t>RSP1</w:t>
      </w:r>
      <w:r w:rsidR="00966377">
        <w:t>4</w:t>
      </w:r>
      <w:r w:rsidRPr="00A80BA0">
        <w:t xml:space="preserve"> reflects the impacts that federal government and New England state policies have on system planning.</w:t>
      </w:r>
      <w:r w:rsidRPr="00233137">
        <w:t xml:space="preserve"> The </w:t>
      </w:r>
      <w:r w:rsidRPr="003F23FD">
        <w:t xml:space="preserve">region is </w:t>
      </w:r>
      <w:r w:rsidR="00966377">
        <w:t xml:space="preserve">awaiting a ruling on the </w:t>
      </w:r>
      <w:r w:rsidR="00F1378E" w:rsidRPr="00F1378E">
        <w:t xml:space="preserve">FERC Order </w:t>
      </w:r>
      <w:r w:rsidR="005364C3">
        <w:t xml:space="preserve">No. </w:t>
      </w:r>
      <w:r w:rsidR="00F1378E" w:rsidRPr="00F1378E">
        <w:t>1000</w:t>
      </w:r>
      <w:r w:rsidR="00966377">
        <w:t xml:space="preserve"> compliance filings</w:t>
      </w:r>
      <w:r w:rsidR="00F1378E" w:rsidRPr="00F1378E">
        <w:t>.</w:t>
      </w:r>
      <w:r w:rsidR="0000669E" w:rsidRPr="003E7202">
        <w:rPr>
          <w:rStyle w:val="FootnoteReference"/>
        </w:rPr>
        <w:footnoteReference w:id="88"/>
      </w:r>
    </w:p>
    <w:p w:rsidR="00E63D3A" w:rsidRDefault="00181557">
      <w:pPr>
        <w:pStyle w:val="Heading2"/>
      </w:pPr>
      <w:bookmarkStart w:id="94" w:name="_Ref173210348"/>
      <w:bookmarkStart w:id="95" w:name="_Toc176244985"/>
      <w:bookmarkStart w:id="96" w:name="_Toc201669902"/>
      <w:bookmarkStart w:id="97" w:name="_Toc207531802"/>
      <w:bookmarkStart w:id="98" w:name="_Toc239157046"/>
      <w:bookmarkStart w:id="99" w:name="_Toc271632205"/>
      <w:bookmarkStart w:id="100" w:name="_Toc303086356"/>
      <w:bookmarkStart w:id="101" w:name="_Toc396807603"/>
      <w:r w:rsidRPr="009E3456">
        <w:t xml:space="preserve">Overview of the New England </w:t>
      </w:r>
      <w:r>
        <w:t xml:space="preserve">Electric </w:t>
      </w:r>
      <w:r w:rsidRPr="009E3456">
        <w:t>Power System</w:t>
      </w:r>
      <w:bookmarkEnd w:id="94"/>
      <w:bookmarkEnd w:id="95"/>
      <w:bookmarkEnd w:id="96"/>
      <w:bookmarkEnd w:id="97"/>
      <w:bookmarkEnd w:id="98"/>
      <w:bookmarkEnd w:id="99"/>
      <w:bookmarkEnd w:id="100"/>
      <w:bookmarkEnd w:id="101"/>
    </w:p>
    <w:p w:rsidR="003D348C" w:rsidRDefault="00181557" w:rsidP="003D348C">
      <w:r w:rsidRPr="00D45F5F">
        <w:t xml:space="preserve">New England’s electric power grid </w:t>
      </w:r>
      <w:proofErr w:type="gramStart"/>
      <w:r w:rsidRPr="00D45F5F">
        <w:t>has been planned and operated as a unified system of its</w:t>
      </w:r>
      <w:r w:rsidR="00982C67">
        <w:t xml:space="preserve"> participating transmission owners and market </w:t>
      </w:r>
      <w:r w:rsidR="00E2610F" w:rsidRPr="00242F92">
        <w:t>participants</w:t>
      </w:r>
      <w:proofErr w:type="gramEnd"/>
      <w:r w:rsidR="00261F16" w:rsidRPr="00261F16">
        <w:t>.</w:t>
      </w:r>
      <w:r w:rsidR="00261F16" w:rsidRPr="00261F16">
        <w:rPr>
          <w:rStyle w:val="FootnoteReference"/>
        </w:rPr>
        <w:footnoteReference w:id="89"/>
      </w:r>
      <w:r w:rsidRPr="00242F92">
        <w:t xml:space="preserve"> The</w:t>
      </w:r>
      <w:r w:rsidRPr="00D45F5F">
        <w:t xml:space="preserve"> New England system integrates resources with the transmission system to serve all regional </w:t>
      </w:r>
      <w:proofErr w:type="gramStart"/>
      <w:r w:rsidRPr="00D45F5F">
        <w:t>load</w:t>
      </w:r>
      <w:proofErr w:type="gramEnd"/>
      <w:r w:rsidRPr="00D45F5F">
        <w:t xml:space="preserve"> regardless of state boundaries. Most of the transmission lines are relatively short and networked as a grid. Therefore, the electrical performance in one part of the system affects all areas of the system.</w:t>
      </w:r>
      <w:r w:rsidR="00D73FCC">
        <w:t xml:space="preserve"> </w:t>
      </w:r>
      <w:fldSimple w:instr=" REF _Ref173207023 \h  \* MERGEFORMAT ">
        <w:r w:rsidR="00284CE3" w:rsidRPr="00D525FD">
          <w:t xml:space="preserve">Figure </w:t>
        </w:r>
        <w:r w:rsidR="00284CE3">
          <w:rPr>
            <w:noProof/>
          </w:rPr>
          <w:t>2</w:t>
        </w:r>
        <w:r w:rsidR="00284CE3" w:rsidRPr="00D525FD">
          <w:rPr>
            <w:noProof/>
          </w:rPr>
          <w:noBreakHyphen/>
        </w:r>
        <w:r w:rsidR="00284CE3">
          <w:rPr>
            <w:noProof/>
          </w:rPr>
          <w:t>1</w:t>
        </w:r>
      </w:fldSimple>
      <w:r w:rsidR="00D73FCC">
        <w:t xml:space="preserve"> shows key facts about </w:t>
      </w:r>
      <w:r w:rsidRPr="00D45F5F">
        <w:t>the New England regional electric power system</w:t>
      </w:r>
      <w:r w:rsidR="00D73FCC">
        <w:t>.</w:t>
      </w:r>
    </w:p>
    <w:tbl>
      <w:tblPr>
        <w:tblpPr w:leftFromText="180" w:rightFromText="180" w:vertAnchor="text" w:tblpXSpec="center" w:tblpY="1"/>
        <w:tblOverlap w:val="never"/>
        <w:tblW w:w="8821" w:type="dxa"/>
        <w:tblBorders>
          <w:top w:val="single" w:sz="2" w:space="0" w:color="auto"/>
          <w:left w:val="single" w:sz="2" w:space="0" w:color="auto"/>
          <w:bottom w:val="single" w:sz="2" w:space="0" w:color="auto"/>
          <w:right w:val="single" w:sz="2" w:space="0" w:color="auto"/>
        </w:tblBorders>
        <w:tblLook w:val="01E0"/>
      </w:tblPr>
      <w:tblGrid>
        <w:gridCol w:w="5456"/>
        <w:gridCol w:w="3365"/>
      </w:tblGrid>
      <w:tr w:rsidR="00181557" w:rsidRPr="00D24E77" w:rsidTr="00B211AC">
        <w:trPr>
          <w:trHeight w:val="6280"/>
        </w:trPr>
        <w:tc>
          <w:tcPr>
            <w:tcW w:w="5456" w:type="dxa"/>
          </w:tcPr>
          <w:p w:rsidR="00573A22" w:rsidRDefault="00030CA1" w:rsidP="00030CA1">
            <w:pPr>
              <w:widowControl w:val="0"/>
              <w:spacing w:after="0" w:line="240" w:lineRule="auto"/>
            </w:pPr>
            <w:r w:rsidRPr="00982C67">
              <w:rPr>
                <w:noProof/>
              </w:rPr>
              <w:drawing>
                <wp:inline distT="0" distB="0" distL="0" distR="0">
                  <wp:extent cx="3025140" cy="3954780"/>
                  <wp:effectExtent l="19050" t="0" r="3810" b="0"/>
                  <wp:docPr id="6" name="Picture 1" descr="map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low_res"/>
                          <pic:cNvPicPr>
                            <a:picLocks noChangeAspect="1" noChangeArrowheads="1"/>
                          </pic:cNvPicPr>
                        </pic:nvPicPr>
                        <pic:blipFill>
                          <a:blip r:embed="rId19" cstate="print"/>
                          <a:srcRect/>
                          <a:stretch>
                            <a:fillRect/>
                          </a:stretch>
                        </pic:blipFill>
                        <pic:spPr bwMode="auto">
                          <a:xfrm>
                            <a:off x="0" y="0"/>
                            <a:ext cx="3025140" cy="3954780"/>
                          </a:xfrm>
                          <a:prstGeom prst="rect">
                            <a:avLst/>
                          </a:prstGeom>
                          <a:noFill/>
                          <a:ln w="9525">
                            <a:noFill/>
                            <a:miter lim="800000"/>
                            <a:headEnd/>
                            <a:tailEnd/>
                          </a:ln>
                        </pic:spPr>
                      </pic:pic>
                    </a:graphicData>
                  </a:graphic>
                </wp:inline>
              </w:drawing>
            </w:r>
            <w:r w:rsidR="00927965" w:rsidRPr="00982C67">
              <w:fldChar w:fldCharType="begin"/>
            </w:r>
            <w:r w:rsidR="00927965" w:rsidRPr="00982C67">
              <w:fldChar w:fldCharType="end"/>
            </w:r>
          </w:p>
        </w:tc>
        <w:tc>
          <w:tcPr>
            <w:tcW w:w="3365" w:type="dxa"/>
            <w:vAlign w:val="center"/>
          </w:tcPr>
          <w:p w:rsidR="00573A22" w:rsidRPr="00F13B14" w:rsidRDefault="00A15C1D" w:rsidP="00A61047">
            <w:pPr>
              <w:widowControl w:val="0"/>
              <w:numPr>
                <w:ilvl w:val="0"/>
                <w:numId w:val="27"/>
              </w:numPr>
              <w:spacing w:before="120" w:after="120" w:line="240" w:lineRule="auto"/>
              <w:ind w:left="360"/>
              <w:rPr>
                <w:rFonts w:asciiTheme="minorHAnsi" w:hAnsiTheme="minorHAnsi" w:cs="Arial"/>
                <w:sz w:val="16"/>
                <w:szCs w:val="16"/>
              </w:rPr>
            </w:pPr>
            <w:r w:rsidRPr="00F13B14">
              <w:rPr>
                <w:rFonts w:asciiTheme="minorHAnsi" w:hAnsiTheme="minorHAnsi" w:cs="Arial"/>
                <w:sz w:val="16"/>
                <w:szCs w:val="16"/>
              </w:rPr>
              <w:t>6.5 million households and businesses; population 14 million</w:t>
            </w:r>
          </w:p>
          <w:p w:rsidR="00573A22" w:rsidRPr="00F13B14" w:rsidRDefault="006C0E2A" w:rsidP="00A61047">
            <w:pPr>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 xml:space="preserve">Approximately </w:t>
            </w:r>
            <w:r w:rsidR="00A15C1D" w:rsidRPr="00F13B14">
              <w:rPr>
                <w:rFonts w:asciiTheme="minorHAnsi" w:hAnsiTheme="minorHAnsi" w:cs="Arial"/>
                <w:sz w:val="16"/>
                <w:szCs w:val="16"/>
              </w:rPr>
              <w:t xml:space="preserve">350 generators </w:t>
            </w:r>
          </w:p>
          <w:p w:rsidR="00573A22" w:rsidRPr="00F13B14" w:rsidRDefault="00852426" w:rsidP="00A61047">
            <w:pPr>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 xml:space="preserve">Approximately </w:t>
            </w:r>
            <w:r w:rsidR="006C0E2A" w:rsidRPr="00F13B14">
              <w:rPr>
                <w:rFonts w:asciiTheme="minorHAnsi" w:hAnsiTheme="minorHAnsi" w:cs="Arial"/>
                <w:sz w:val="16"/>
                <w:szCs w:val="16"/>
              </w:rPr>
              <w:t>3</w:t>
            </w:r>
            <w:r w:rsidR="00214A93" w:rsidRPr="00F13B14">
              <w:rPr>
                <w:rFonts w:asciiTheme="minorHAnsi" w:hAnsiTheme="minorHAnsi" w:cs="Arial"/>
                <w:sz w:val="16"/>
                <w:szCs w:val="16"/>
              </w:rPr>
              <w:t>1</w:t>
            </w:r>
            <w:r w:rsidRPr="00F13B14">
              <w:rPr>
                <w:rFonts w:asciiTheme="minorHAnsi" w:hAnsiTheme="minorHAnsi" w:cs="Arial"/>
                <w:sz w:val="16"/>
                <w:szCs w:val="16"/>
              </w:rPr>
              <w:t>,0</w:t>
            </w:r>
            <w:r w:rsidR="006C0E2A" w:rsidRPr="00F13B14">
              <w:rPr>
                <w:rFonts w:asciiTheme="minorHAnsi" w:hAnsiTheme="minorHAnsi" w:cs="Arial"/>
                <w:sz w:val="16"/>
                <w:szCs w:val="16"/>
              </w:rPr>
              <w:t>00</w:t>
            </w:r>
            <w:r w:rsidR="00A15C1D" w:rsidRPr="00F13B14">
              <w:rPr>
                <w:rFonts w:asciiTheme="minorHAnsi" w:hAnsiTheme="minorHAnsi" w:cs="Arial"/>
                <w:sz w:val="16"/>
                <w:szCs w:val="16"/>
              </w:rPr>
              <w:t xml:space="preserve"> MW of total generation </w:t>
            </w:r>
            <w:r w:rsidRPr="00F13B14">
              <w:rPr>
                <w:rFonts w:asciiTheme="minorHAnsi" w:hAnsiTheme="minorHAnsi" w:cs="Arial"/>
                <w:sz w:val="16"/>
                <w:szCs w:val="16"/>
              </w:rPr>
              <w:t>for 2014</w:t>
            </w:r>
          </w:p>
          <w:p w:rsidR="00573A22" w:rsidRPr="00F13B14" w:rsidRDefault="00A15C1D" w:rsidP="00A61047">
            <w:pPr>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Over 8,</w:t>
            </w:r>
            <w:r w:rsidR="00CB504A" w:rsidRPr="00F13B14">
              <w:rPr>
                <w:rFonts w:asciiTheme="minorHAnsi" w:hAnsiTheme="minorHAnsi" w:cs="Arial"/>
                <w:sz w:val="16"/>
                <w:szCs w:val="16"/>
              </w:rPr>
              <w:t xml:space="preserve">500 </w:t>
            </w:r>
            <w:r w:rsidRPr="00F13B14">
              <w:rPr>
                <w:rFonts w:asciiTheme="minorHAnsi" w:hAnsiTheme="minorHAnsi" w:cs="Arial"/>
                <w:sz w:val="16"/>
                <w:szCs w:val="16"/>
              </w:rPr>
              <w:t>miles of transmission lines</w:t>
            </w:r>
          </w:p>
          <w:p w:rsidR="00573A22" w:rsidRPr="00F13B14" w:rsidRDefault="00A15C1D" w:rsidP="00A61047">
            <w:pPr>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13 interconnections to electricity systems in New York and Canada</w:t>
            </w:r>
          </w:p>
          <w:p w:rsidR="00573A22" w:rsidRPr="00F13B14" w:rsidRDefault="00A15C1D" w:rsidP="00A61047">
            <w:pPr>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 xml:space="preserve">Approximately </w:t>
            </w:r>
            <w:r w:rsidR="006C0E2A" w:rsidRPr="00F13B14">
              <w:rPr>
                <w:rFonts w:asciiTheme="minorHAnsi" w:hAnsiTheme="minorHAnsi" w:cs="Arial"/>
                <w:sz w:val="16"/>
                <w:szCs w:val="16"/>
              </w:rPr>
              <w:t>2,</w:t>
            </w:r>
            <w:r w:rsidR="00214A93" w:rsidRPr="00F13B14">
              <w:rPr>
                <w:rFonts w:asciiTheme="minorHAnsi" w:hAnsiTheme="minorHAnsi" w:cs="Arial"/>
                <w:sz w:val="16"/>
                <w:szCs w:val="16"/>
              </w:rPr>
              <w:t>1</w:t>
            </w:r>
            <w:r w:rsidR="006C0E2A" w:rsidRPr="00F13B14">
              <w:rPr>
                <w:rFonts w:asciiTheme="minorHAnsi" w:hAnsiTheme="minorHAnsi" w:cs="Arial"/>
                <w:sz w:val="16"/>
                <w:szCs w:val="16"/>
              </w:rPr>
              <w:t>00</w:t>
            </w:r>
            <w:r w:rsidRPr="00F13B14">
              <w:rPr>
                <w:rFonts w:asciiTheme="minorHAnsi" w:hAnsiTheme="minorHAnsi" w:cs="Arial"/>
                <w:sz w:val="16"/>
                <w:szCs w:val="16"/>
              </w:rPr>
              <w:t> MW of demand resources for 201</w:t>
            </w:r>
            <w:r w:rsidR="00214A93" w:rsidRPr="00F13B14">
              <w:rPr>
                <w:rFonts w:asciiTheme="minorHAnsi" w:hAnsiTheme="minorHAnsi" w:cs="Arial"/>
                <w:sz w:val="16"/>
                <w:szCs w:val="16"/>
              </w:rPr>
              <w:t>4</w:t>
            </w:r>
          </w:p>
          <w:p w:rsidR="00573A22" w:rsidRPr="00F13B14" w:rsidRDefault="00A15C1D" w:rsidP="00A61047">
            <w:pPr>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All-time peak demand of 28,130 MW, set on August 2, 2006</w:t>
            </w:r>
          </w:p>
          <w:p w:rsidR="00573A22" w:rsidRPr="00F13B14" w:rsidRDefault="00A15C1D" w:rsidP="00A61047">
            <w:pPr>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Approximately 500 participants in the marketplace (those who generate, buy, sell, transport, and use wholesale electricity and implement demand resources)</w:t>
            </w:r>
          </w:p>
          <w:p w:rsidR="009D1788" w:rsidRPr="00F13B14" w:rsidRDefault="009D1788" w:rsidP="009D1788">
            <w:pPr>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M</w:t>
            </w:r>
            <w:r w:rsidR="00A15C1D" w:rsidRPr="00F13B14">
              <w:rPr>
                <w:rFonts w:asciiTheme="minorHAnsi" w:hAnsiTheme="minorHAnsi" w:cs="Arial"/>
                <w:sz w:val="16"/>
                <w:szCs w:val="16"/>
              </w:rPr>
              <w:t>arket value</w:t>
            </w:r>
            <w:r w:rsidR="00214A93" w:rsidRPr="00F13B14">
              <w:rPr>
                <w:rFonts w:asciiTheme="minorHAnsi" w:hAnsiTheme="minorHAnsi" w:cs="Arial"/>
                <w:sz w:val="16"/>
                <w:szCs w:val="16"/>
              </w:rPr>
              <w:t xml:space="preserve"> in 2013</w:t>
            </w:r>
            <w:r w:rsidR="00030CA1" w:rsidRPr="00F13B14">
              <w:rPr>
                <w:rFonts w:asciiTheme="minorHAnsi" w:hAnsiTheme="minorHAnsi" w:cs="Arial"/>
                <w:sz w:val="16"/>
                <w:szCs w:val="16"/>
              </w:rPr>
              <w:t>:</w:t>
            </w:r>
          </w:p>
          <w:p w:rsidR="00030CA1" w:rsidRPr="00F13B14" w:rsidRDefault="009D1788" w:rsidP="00030CA1">
            <w:pPr>
              <w:widowControl w:val="0"/>
              <w:numPr>
                <w:ilvl w:val="0"/>
                <w:numId w:val="531"/>
              </w:numPr>
              <w:spacing w:before="120" w:after="120" w:line="240" w:lineRule="auto"/>
              <w:ind w:left="576" w:hanging="216"/>
              <w:rPr>
                <w:rFonts w:asciiTheme="minorHAnsi" w:eastAsia="Times New Roman" w:hAnsiTheme="minorHAnsi" w:cs="Arial"/>
                <w:b/>
                <w:bCs/>
                <w:iCs/>
                <w:color w:val="000000" w:themeColor="text1"/>
                <w:sz w:val="16"/>
                <w:szCs w:val="16"/>
              </w:rPr>
            </w:pPr>
            <w:r w:rsidRPr="00F13B14">
              <w:rPr>
                <w:rFonts w:asciiTheme="minorHAnsi" w:hAnsiTheme="minorHAnsi" w:cs="Arial"/>
                <w:sz w:val="16"/>
                <w:szCs w:val="16"/>
              </w:rPr>
              <w:t>$</w:t>
            </w:r>
            <w:r w:rsidR="00B8119F" w:rsidRPr="00F13B14">
              <w:rPr>
                <w:rFonts w:asciiTheme="minorHAnsi" w:hAnsiTheme="minorHAnsi" w:cs="Arial"/>
                <w:sz w:val="16"/>
                <w:szCs w:val="16"/>
              </w:rPr>
              <w:t>8.82</w:t>
            </w:r>
            <w:r w:rsidRPr="00F13B14">
              <w:rPr>
                <w:rFonts w:asciiTheme="minorHAnsi" w:hAnsiTheme="minorHAnsi" w:cs="Arial"/>
                <w:sz w:val="16"/>
                <w:szCs w:val="16"/>
              </w:rPr>
              <w:t xml:space="preserve"> billion total</w:t>
            </w:r>
          </w:p>
          <w:p w:rsidR="00030CA1" w:rsidRPr="00F13B14" w:rsidRDefault="00A15C1D" w:rsidP="00030CA1">
            <w:pPr>
              <w:widowControl w:val="0"/>
              <w:numPr>
                <w:ilvl w:val="0"/>
                <w:numId w:val="531"/>
              </w:numPr>
              <w:spacing w:before="120" w:after="120" w:line="240" w:lineRule="auto"/>
              <w:ind w:left="576" w:hanging="216"/>
              <w:rPr>
                <w:rFonts w:asciiTheme="minorHAnsi" w:eastAsia="Times New Roman" w:hAnsiTheme="minorHAnsi" w:cs="Arial"/>
                <w:b/>
                <w:bCs/>
                <w:iCs/>
                <w:color w:val="000000" w:themeColor="text1"/>
                <w:sz w:val="16"/>
                <w:szCs w:val="16"/>
              </w:rPr>
            </w:pPr>
            <w:r w:rsidRPr="00F13B14">
              <w:rPr>
                <w:rFonts w:asciiTheme="minorHAnsi" w:hAnsiTheme="minorHAnsi" w:cs="Arial"/>
                <w:sz w:val="16"/>
                <w:szCs w:val="16"/>
              </w:rPr>
              <w:t>$</w:t>
            </w:r>
            <w:r w:rsidR="00B8119F" w:rsidRPr="00F13B14">
              <w:rPr>
                <w:rFonts w:asciiTheme="minorHAnsi" w:hAnsiTheme="minorHAnsi" w:cs="Arial"/>
                <w:sz w:val="16"/>
                <w:szCs w:val="16"/>
              </w:rPr>
              <w:t>7.49</w:t>
            </w:r>
            <w:r w:rsidRPr="00F13B14">
              <w:rPr>
                <w:rFonts w:asciiTheme="minorHAnsi" w:hAnsiTheme="minorHAnsi" w:cs="Arial"/>
                <w:sz w:val="16"/>
                <w:szCs w:val="16"/>
              </w:rPr>
              <w:t xml:space="preserve"> billion energy market</w:t>
            </w:r>
          </w:p>
          <w:p w:rsidR="00030CA1" w:rsidRPr="00F13B14" w:rsidRDefault="00A15C1D" w:rsidP="00030CA1">
            <w:pPr>
              <w:widowControl w:val="0"/>
              <w:numPr>
                <w:ilvl w:val="0"/>
                <w:numId w:val="531"/>
              </w:numPr>
              <w:spacing w:before="120" w:after="120" w:line="240" w:lineRule="auto"/>
              <w:ind w:left="576" w:hanging="216"/>
              <w:rPr>
                <w:rFonts w:asciiTheme="minorHAnsi" w:eastAsia="Times New Roman" w:hAnsiTheme="minorHAnsi" w:cs="Arial"/>
                <w:b/>
                <w:bCs/>
                <w:iCs/>
                <w:color w:val="000000" w:themeColor="text1"/>
                <w:sz w:val="16"/>
                <w:szCs w:val="16"/>
              </w:rPr>
            </w:pPr>
            <w:r w:rsidRPr="00F13B14">
              <w:rPr>
                <w:rFonts w:asciiTheme="minorHAnsi" w:hAnsiTheme="minorHAnsi" w:cs="Arial"/>
                <w:sz w:val="16"/>
                <w:szCs w:val="16"/>
              </w:rPr>
              <w:t>$1.</w:t>
            </w:r>
            <w:r w:rsidR="005210E3" w:rsidRPr="00F13B14">
              <w:rPr>
                <w:rFonts w:asciiTheme="minorHAnsi" w:hAnsiTheme="minorHAnsi" w:cs="Arial"/>
                <w:sz w:val="16"/>
                <w:szCs w:val="16"/>
              </w:rPr>
              <w:t>06</w:t>
            </w:r>
            <w:r w:rsidR="006C0E2A" w:rsidRPr="00F13B14">
              <w:rPr>
                <w:rFonts w:asciiTheme="minorHAnsi" w:hAnsiTheme="minorHAnsi" w:cs="Arial"/>
                <w:sz w:val="16"/>
                <w:szCs w:val="16"/>
              </w:rPr>
              <w:t xml:space="preserve"> </w:t>
            </w:r>
            <w:r w:rsidRPr="00F13B14">
              <w:rPr>
                <w:rFonts w:asciiTheme="minorHAnsi" w:hAnsiTheme="minorHAnsi" w:cs="Arial"/>
                <w:sz w:val="16"/>
                <w:szCs w:val="16"/>
              </w:rPr>
              <w:t>billion capacity</w:t>
            </w:r>
            <w:r w:rsidR="005210E3" w:rsidRPr="00F13B14">
              <w:rPr>
                <w:rFonts w:asciiTheme="minorHAnsi" w:hAnsiTheme="minorHAnsi" w:cs="Arial"/>
                <w:sz w:val="16"/>
                <w:szCs w:val="16"/>
              </w:rPr>
              <w:t xml:space="preserve"> market</w:t>
            </w:r>
          </w:p>
          <w:p w:rsidR="00C561D4" w:rsidRPr="00F13B14" w:rsidRDefault="005210E3" w:rsidP="00030CA1">
            <w:pPr>
              <w:widowControl w:val="0"/>
              <w:numPr>
                <w:ilvl w:val="0"/>
                <w:numId w:val="531"/>
              </w:numPr>
              <w:spacing w:before="120" w:after="120" w:line="240" w:lineRule="auto"/>
              <w:ind w:left="576" w:hanging="216"/>
              <w:rPr>
                <w:rFonts w:asciiTheme="minorHAnsi" w:eastAsia="Times New Roman" w:hAnsiTheme="minorHAnsi" w:cs="Arial"/>
                <w:b/>
                <w:bCs/>
                <w:iCs/>
                <w:color w:val="000000" w:themeColor="text1"/>
                <w:sz w:val="16"/>
                <w:szCs w:val="16"/>
              </w:rPr>
            </w:pPr>
            <w:r w:rsidRPr="00F13B14">
              <w:rPr>
                <w:rFonts w:asciiTheme="minorHAnsi" w:hAnsiTheme="minorHAnsi" w:cs="Arial"/>
                <w:sz w:val="16"/>
                <w:szCs w:val="16"/>
              </w:rPr>
              <w:t>$0.27 billion</w:t>
            </w:r>
            <w:r w:rsidR="006C0E2A" w:rsidRPr="00F13B14">
              <w:rPr>
                <w:rFonts w:asciiTheme="minorHAnsi" w:hAnsiTheme="minorHAnsi" w:cs="Arial"/>
                <w:sz w:val="16"/>
                <w:szCs w:val="16"/>
              </w:rPr>
              <w:t xml:space="preserve"> ancillary services </w:t>
            </w:r>
            <w:r w:rsidR="00A15C1D" w:rsidRPr="00F13B14">
              <w:rPr>
                <w:rFonts w:asciiTheme="minorHAnsi" w:hAnsiTheme="minorHAnsi" w:cs="Arial"/>
                <w:sz w:val="16"/>
                <w:szCs w:val="16"/>
              </w:rPr>
              <w:t xml:space="preserve">market </w:t>
            </w:r>
          </w:p>
          <w:p w:rsidR="00676243" w:rsidRPr="005210E3" w:rsidRDefault="00A15C1D" w:rsidP="00326D47">
            <w:pPr>
              <w:widowControl w:val="0"/>
              <w:numPr>
                <w:ilvl w:val="0"/>
                <w:numId w:val="27"/>
              </w:numPr>
              <w:spacing w:after="120" w:line="240" w:lineRule="auto"/>
              <w:ind w:left="360"/>
              <w:rPr>
                <w:rFonts w:ascii="Arial" w:hAnsi="Arial" w:cs="Arial"/>
                <w:sz w:val="16"/>
                <w:szCs w:val="16"/>
              </w:rPr>
            </w:pPr>
            <w:r w:rsidRPr="00F13B14">
              <w:rPr>
                <w:rFonts w:asciiTheme="minorHAnsi" w:hAnsiTheme="minorHAnsi" w:cs="Arial"/>
                <w:sz w:val="16"/>
                <w:szCs w:val="16"/>
              </w:rPr>
              <w:t xml:space="preserve">Approximately </w:t>
            </w:r>
            <w:r w:rsidR="00B500D9" w:rsidRPr="00F13B14">
              <w:rPr>
                <w:rFonts w:asciiTheme="minorHAnsi" w:hAnsiTheme="minorHAnsi" w:cs="Arial"/>
                <w:sz w:val="16"/>
                <w:szCs w:val="16"/>
              </w:rPr>
              <w:t>$6</w:t>
            </w:r>
            <w:r w:rsidR="00326D47" w:rsidRPr="00F13B14">
              <w:rPr>
                <w:rFonts w:asciiTheme="minorHAnsi" w:hAnsiTheme="minorHAnsi" w:cs="Arial"/>
                <w:sz w:val="16"/>
                <w:szCs w:val="16"/>
              </w:rPr>
              <w:t>.5</w:t>
            </w:r>
            <w:r w:rsidR="00B500D9" w:rsidRPr="00F13B14">
              <w:rPr>
                <w:rFonts w:asciiTheme="minorHAnsi" w:hAnsiTheme="minorHAnsi" w:cs="Arial"/>
                <w:sz w:val="16"/>
                <w:szCs w:val="16"/>
              </w:rPr>
              <w:t xml:space="preserve"> billion</w:t>
            </w:r>
            <w:r w:rsidRPr="00F13B14">
              <w:rPr>
                <w:rFonts w:asciiTheme="minorHAnsi" w:hAnsiTheme="minorHAnsi" w:cs="Arial"/>
                <w:sz w:val="16"/>
                <w:szCs w:val="16"/>
              </w:rPr>
              <w:t xml:space="preserve"> in transmission investment since 2002; approximately </w:t>
            </w:r>
            <w:r w:rsidR="00B500D9" w:rsidRPr="00F13B14">
              <w:rPr>
                <w:rFonts w:asciiTheme="minorHAnsi" w:hAnsiTheme="minorHAnsi" w:cs="Arial"/>
                <w:sz w:val="16"/>
                <w:szCs w:val="16"/>
              </w:rPr>
              <w:t>$</w:t>
            </w:r>
            <w:r w:rsidR="00326D47" w:rsidRPr="00F13B14">
              <w:rPr>
                <w:rFonts w:asciiTheme="minorHAnsi" w:hAnsiTheme="minorHAnsi" w:cs="Arial"/>
                <w:sz w:val="16"/>
                <w:szCs w:val="16"/>
              </w:rPr>
              <w:t>4.</w:t>
            </w:r>
            <w:r w:rsidR="00B500D9" w:rsidRPr="00F13B14">
              <w:rPr>
                <w:rFonts w:asciiTheme="minorHAnsi" w:hAnsiTheme="minorHAnsi" w:cs="Arial"/>
                <w:sz w:val="16"/>
                <w:szCs w:val="16"/>
              </w:rPr>
              <w:t>5</w:t>
            </w:r>
            <w:r w:rsidRPr="00F13B14">
              <w:rPr>
                <w:rFonts w:asciiTheme="minorHAnsi" w:hAnsiTheme="minorHAnsi" w:cs="Arial"/>
                <w:sz w:val="16"/>
                <w:szCs w:val="16"/>
              </w:rPr>
              <w:t xml:space="preserve"> billion planned</w:t>
            </w:r>
          </w:p>
        </w:tc>
      </w:tr>
    </w:tbl>
    <w:p w:rsidR="00C357F0" w:rsidRPr="00D525FD" w:rsidRDefault="00261F16" w:rsidP="00B211AC">
      <w:pPr>
        <w:pStyle w:val="Caption-Figure"/>
        <w:widowControl w:val="0"/>
        <w:tabs>
          <w:tab w:val="left" w:pos="0"/>
          <w:tab w:val="left" w:pos="8550"/>
          <w:tab w:val="left" w:pos="8640"/>
          <w:tab w:val="left" w:pos="9090"/>
        </w:tabs>
        <w:spacing w:before="80" w:after="80"/>
        <w:ind w:left="90" w:right="90"/>
        <w:rPr>
          <w:rStyle w:val="Caption-Figure-Text"/>
          <w:b/>
          <w:bCs w:val="0"/>
          <w:szCs w:val="20"/>
        </w:rPr>
      </w:pPr>
      <w:bookmarkStart w:id="102" w:name="_Ref173207023"/>
      <w:bookmarkStart w:id="103" w:name="_Toc176244955"/>
      <w:bookmarkStart w:id="104" w:name="_Toc200440095"/>
      <w:bookmarkStart w:id="105" w:name="_Toc207531926"/>
      <w:bookmarkStart w:id="106" w:name="_Toc239157181"/>
      <w:bookmarkStart w:id="107" w:name="_Toc271552366"/>
      <w:bookmarkStart w:id="108" w:name="_Toc303086720"/>
      <w:bookmarkStart w:id="109" w:name="_Toc391985562"/>
      <w:r w:rsidRPr="00D525FD">
        <w:rPr>
          <w:szCs w:val="20"/>
        </w:rPr>
        <w:t xml:space="preserve">Figure </w:t>
      </w:r>
      <w:r w:rsidR="00927965" w:rsidRPr="00D525FD">
        <w:rPr>
          <w:szCs w:val="20"/>
        </w:rPr>
        <w:fldChar w:fldCharType="begin"/>
      </w:r>
      <w:r w:rsidR="0011163E" w:rsidRPr="00D525FD">
        <w:rPr>
          <w:szCs w:val="20"/>
        </w:rPr>
        <w:instrText xml:space="preserve"> STYLEREF 1 \s </w:instrText>
      </w:r>
      <w:r w:rsidR="00927965" w:rsidRPr="00D525FD">
        <w:rPr>
          <w:szCs w:val="20"/>
        </w:rPr>
        <w:fldChar w:fldCharType="separate"/>
      </w:r>
      <w:r w:rsidR="00284CE3">
        <w:rPr>
          <w:noProof/>
          <w:szCs w:val="20"/>
        </w:rPr>
        <w:t>2</w:t>
      </w:r>
      <w:r w:rsidR="00927965" w:rsidRPr="00D525FD">
        <w:rPr>
          <w:szCs w:val="20"/>
        </w:rPr>
        <w:fldChar w:fldCharType="end"/>
      </w:r>
      <w:r w:rsidR="0011163E" w:rsidRPr="00D525FD">
        <w:rPr>
          <w:szCs w:val="20"/>
        </w:rPr>
        <w:noBreakHyphen/>
      </w:r>
      <w:r w:rsidR="00927965" w:rsidRPr="00D525FD">
        <w:rPr>
          <w:szCs w:val="20"/>
        </w:rPr>
        <w:fldChar w:fldCharType="begin"/>
      </w:r>
      <w:r w:rsidR="0011163E" w:rsidRPr="00D525FD">
        <w:rPr>
          <w:szCs w:val="20"/>
        </w:rPr>
        <w:instrText xml:space="preserve"> SEQ Figure \* ARABIC \s 1 </w:instrText>
      </w:r>
      <w:r w:rsidR="00927965" w:rsidRPr="00D525FD">
        <w:rPr>
          <w:szCs w:val="20"/>
        </w:rPr>
        <w:fldChar w:fldCharType="separate"/>
      </w:r>
      <w:r w:rsidR="00284CE3">
        <w:rPr>
          <w:noProof/>
          <w:szCs w:val="20"/>
        </w:rPr>
        <w:t>1</w:t>
      </w:r>
      <w:r w:rsidR="00927965" w:rsidRPr="00D525FD">
        <w:rPr>
          <w:szCs w:val="20"/>
        </w:rPr>
        <w:fldChar w:fldCharType="end"/>
      </w:r>
      <w:bookmarkEnd w:id="102"/>
      <w:r w:rsidR="003B676C" w:rsidRPr="00D525FD">
        <w:rPr>
          <w:szCs w:val="20"/>
        </w:rPr>
        <w:t>: Key facts about New England’s electric power system and wholesale electricity markets</w:t>
      </w:r>
      <w:bookmarkEnd w:id="103"/>
      <w:bookmarkEnd w:id="104"/>
      <w:bookmarkEnd w:id="105"/>
      <w:bookmarkEnd w:id="106"/>
      <w:r w:rsidR="003B676C" w:rsidRPr="00D525FD">
        <w:rPr>
          <w:szCs w:val="20"/>
        </w:rPr>
        <w:t>.</w:t>
      </w:r>
      <w:bookmarkEnd w:id="107"/>
      <w:bookmarkEnd w:id="108"/>
      <w:bookmarkEnd w:id="109"/>
    </w:p>
    <w:p w:rsidR="00A71D85" w:rsidRPr="00D525FD" w:rsidRDefault="00852426" w:rsidP="00B211AC">
      <w:pPr>
        <w:pStyle w:val="Default"/>
        <w:spacing w:after="80"/>
        <w:ind w:left="90" w:right="90"/>
        <w:rPr>
          <w:rFonts w:asciiTheme="minorHAnsi" w:hAnsiTheme="minorHAnsi" w:cs="Arial"/>
          <w:color w:val="auto"/>
          <w:sz w:val="16"/>
          <w:szCs w:val="16"/>
        </w:rPr>
      </w:pPr>
      <w:r w:rsidRPr="00D525FD">
        <w:rPr>
          <w:rFonts w:asciiTheme="minorHAnsi" w:hAnsiTheme="minorHAnsi" w:cs="Arial"/>
          <w:b/>
          <w:sz w:val="16"/>
          <w:szCs w:val="16"/>
        </w:rPr>
        <w:t xml:space="preserve">Source: </w:t>
      </w:r>
      <w:r w:rsidR="00030CA1" w:rsidRPr="00D525FD">
        <w:rPr>
          <w:rFonts w:asciiTheme="minorHAnsi" w:hAnsiTheme="minorHAnsi" w:cs="Arial"/>
          <w:sz w:val="16"/>
          <w:szCs w:val="16"/>
        </w:rPr>
        <w:t xml:space="preserve">The </w:t>
      </w:r>
      <w:r w:rsidR="00E14BF3" w:rsidRPr="00D525FD">
        <w:rPr>
          <w:rFonts w:asciiTheme="minorHAnsi" w:hAnsiTheme="minorHAnsi" w:cs="Arial"/>
          <w:i/>
          <w:sz w:val="16"/>
          <w:szCs w:val="16"/>
        </w:rPr>
        <w:t>2014–2022 Forecast Report of Capacity, Energy, Loads, and Transmission</w:t>
      </w:r>
      <w:r w:rsidR="00E14BF3" w:rsidRPr="00D525FD">
        <w:rPr>
          <w:rFonts w:asciiTheme="minorHAnsi" w:hAnsiTheme="minorHAnsi" w:cs="Arial"/>
          <w:sz w:val="16"/>
          <w:szCs w:val="16"/>
        </w:rPr>
        <w:t xml:space="preserve"> </w:t>
      </w:r>
      <w:r w:rsidR="00A71D85" w:rsidRPr="00D525FD">
        <w:rPr>
          <w:rFonts w:asciiTheme="minorHAnsi" w:hAnsiTheme="minorHAnsi" w:cs="Arial"/>
          <w:sz w:val="16"/>
          <w:szCs w:val="16"/>
        </w:rPr>
        <w:t>(CELT</w:t>
      </w:r>
      <w:r w:rsidR="004F558C" w:rsidRPr="00D525FD">
        <w:rPr>
          <w:rFonts w:asciiTheme="minorHAnsi" w:hAnsiTheme="minorHAnsi" w:cs="Arial"/>
          <w:sz w:val="16"/>
          <w:szCs w:val="16"/>
        </w:rPr>
        <w:t xml:space="preserve"> </w:t>
      </w:r>
      <w:r w:rsidR="00A71D85" w:rsidRPr="00D525FD">
        <w:rPr>
          <w:rFonts w:asciiTheme="minorHAnsi" w:hAnsiTheme="minorHAnsi" w:cs="Arial"/>
          <w:sz w:val="16"/>
          <w:szCs w:val="16"/>
        </w:rPr>
        <w:t xml:space="preserve">2014) </w:t>
      </w:r>
      <w:r w:rsidR="00E14BF3" w:rsidRPr="00D525FD">
        <w:rPr>
          <w:rFonts w:asciiTheme="minorHAnsi" w:hAnsiTheme="minorHAnsi" w:cs="Arial"/>
          <w:sz w:val="16"/>
          <w:szCs w:val="16"/>
        </w:rPr>
        <w:t xml:space="preserve">(May 2014), </w:t>
      </w:r>
      <w:hyperlink r:id="rId20" w:history="1">
        <w:r w:rsidR="00AC6904" w:rsidRPr="00D525FD">
          <w:rPr>
            <w:rStyle w:val="Hyperlink"/>
            <w:rFonts w:asciiTheme="minorHAnsi" w:hAnsiTheme="minorHAnsi" w:cs="Arial"/>
            <w:sz w:val="16"/>
            <w:szCs w:val="16"/>
          </w:rPr>
          <w:t>http://www.iso-ne.com/system-planning/system-plans-studies/celt</w:t>
        </w:r>
      </w:hyperlink>
      <w:r w:rsidR="00A71D85" w:rsidRPr="00D525FD">
        <w:rPr>
          <w:rFonts w:asciiTheme="minorHAnsi" w:hAnsiTheme="minorHAnsi" w:cs="Arial"/>
          <w:sz w:val="16"/>
          <w:szCs w:val="16"/>
        </w:rPr>
        <w:t xml:space="preserve">; </w:t>
      </w:r>
      <w:r w:rsidR="0072073D" w:rsidRPr="00D525FD">
        <w:rPr>
          <w:rFonts w:asciiTheme="minorHAnsi" w:hAnsiTheme="minorHAnsi" w:cs="Arial"/>
          <w:sz w:val="16"/>
          <w:szCs w:val="16"/>
        </w:rPr>
        <w:t xml:space="preserve">the </w:t>
      </w:r>
      <w:r w:rsidR="0072073D" w:rsidRPr="00D525FD">
        <w:rPr>
          <w:rFonts w:asciiTheme="minorHAnsi" w:hAnsiTheme="minorHAnsi" w:cs="Arial"/>
          <w:i/>
          <w:sz w:val="16"/>
          <w:szCs w:val="16"/>
        </w:rPr>
        <w:t>RSP Project List</w:t>
      </w:r>
      <w:r w:rsidR="0072073D" w:rsidRPr="00D525FD">
        <w:rPr>
          <w:rFonts w:asciiTheme="minorHAnsi" w:hAnsiTheme="minorHAnsi" w:cs="Arial"/>
          <w:sz w:val="16"/>
          <w:szCs w:val="16"/>
        </w:rPr>
        <w:t xml:space="preserve"> for June 2014</w:t>
      </w:r>
      <w:proofErr w:type="gramStart"/>
      <w:r w:rsidR="00A71D85" w:rsidRPr="00D525FD">
        <w:rPr>
          <w:rFonts w:asciiTheme="minorHAnsi" w:hAnsiTheme="minorHAnsi" w:cs="Arial"/>
          <w:sz w:val="16"/>
          <w:szCs w:val="16"/>
        </w:rPr>
        <w:t>;</w:t>
      </w:r>
      <w:proofErr w:type="gramEnd"/>
      <w:r w:rsidR="00A71D85" w:rsidRPr="00D525FD">
        <w:rPr>
          <w:rFonts w:asciiTheme="minorHAnsi" w:hAnsiTheme="minorHAnsi" w:cs="Arial"/>
          <w:sz w:val="16"/>
          <w:szCs w:val="16"/>
        </w:rPr>
        <w:t xml:space="preserve"> </w:t>
      </w:r>
      <w:r w:rsidR="0072073D" w:rsidRPr="00D525FD">
        <w:rPr>
          <w:rFonts w:asciiTheme="minorHAnsi" w:hAnsiTheme="minorHAnsi" w:cs="Arial"/>
          <w:sz w:val="16"/>
          <w:szCs w:val="16"/>
        </w:rPr>
        <w:t xml:space="preserve">and </w:t>
      </w:r>
      <w:r w:rsidRPr="00D525FD">
        <w:rPr>
          <w:rFonts w:asciiTheme="minorHAnsi" w:hAnsiTheme="minorHAnsi" w:cs="Arial"/>
          <w:sz w:val="16"/>
          <w:szCs w:val="16"/>
        </w:rPr>
        <w:t xml:space="preserve">the </w:t>
      </w:r>
      <w:r w:rsidR="00B500D9" w:rsidRPr="00D525FD">
        <w:rPr>
          <w:rFonts w:asciiTheme="minorHAnsi" w:hAnsiTheme="minorHAnsi" w:cs="Arial"/>
          <w:i/>
          <w:color w:val="auto"/>
          <w:sz w:val="16"/>
          <w:szCs w:val="16"/>
        </w:rPr>
        <w:t>2013 Annual Markets Report</w:t>
      </w:r>
      <w:r w:rsidRPr="00D525FD">
        <w:rPr>
          <w:rFonts w:asciiTheme="minorHAnsi" w:hAnsiTheme="minorHAnsi" w:cs="Arial"/>
          <w:color w:val="auto"/>
          <w:sz w:val="16"/>
          <w:szCs w:val="16"/>
        </w:rPr>
        <w:t>.</w:t>
      </w:r>
    </w:p>
    <w:p w:rsidR="00B500D9" w:rsidRPr="00D525FD" w:rsidRDefault="00A71D85" w:rsidP="00B211AC">
      <w:pPr>
        <w:pStyle w:val="Default"/>
        <w:spacing w:after="80"/>
        <w:ind w:left="90" w:right="90"/>
        <w:rPr>
          <w:rFonts w:asciiTheme="minorHAnsi" w:hAnsiTheme="minorHAnsi" w:cs="Arial"/>
          <w:sz w:val="16"/>
          <w:szCs w:val="16"/>
        </w:rPr>
      </w:pPr>
      <w:r w:rsidRPr="00D525FD">
        <w:rPr>
          <w:rFonts w:asciiTheme="minorHAnsi" w:hAnsiTheme="minorHAnsi" w:cs="Arial"/>
          <w:b/>
          <w:sz w:val="16"/>
          <w:szCs w:val="16"/>
        </w:rPr>
        <w:t xml:space="preserve"> </w:t>
      </w:r>
      <w:r w:rsidR="00030CA1" w:rsidRPr="00D525FD">
        <w:rPr>
          <w:rFonts w:asciiTheme="minorHAnsi" w:hAnsiTheme="minorHAnsi" w:cs="Arial"/>
          <w:b/>
          <w:color w:val="auto"/>
          <w:sz w:val="16"/>
          <w:szCs w:val="16"/>
        </w:rPr>
        <w:t>Notes:</w:t>
      </w:r>
      <w:r w:rsidR="00030CA1" w:rsidRPr="00D525FD">
        <w:rPr>
          <w:rFonts w:asciiTheme="minorHAnsi" w:hAnsiTheme="minorHAnsi" w:cs="Arial"/>
          <w:color w:val="auto"/>
          <w:sz w:val="16"/>
          <w:szCs w:val="16"/>
        </w:rPr>
        <w:t xml:space="preserve"> </w:t>
      </w:r>
      <w:r w:rsidR="00D00616" w:rsidRPr="00D525FD">
        <w:rPr>
          <w:rFonts w:asciiTheme="minorHAnsi" w:hAnsiTheme="minorHAnsi" w:cs="Arial"/>
          <w:sz w:val="16"/>
          <w:szCs w:val="16"/>
        </w:rPr>
        <w:t xml:space="preserve">The </w:t>
      </w:r>
      <w:r w:rsidR="004E50CD" w:rsidRPr="00D525FD">
        <w:rPr>
          <w:rFonts w:asciiTheme="minorHAnsi" w:hAnsiTheme="minorHAnsi" w:cs="Arial"/>
          <w:sz w:val="16"/>
          <w:szCs w:val="16"/>
        </w:rPr>
        <w:t>2,</w:t>
      </w:r>
      <w:r w:rsidR="00214A93" w:rsidRPr="00D525FD">
        <w:rPr>
          <w:rFonts w:asciiTheme="minorHAnsi" w:hAnsiTheme="minorHAnsi" w:cs="Arial"/>
          <w:sz w:val="16"/>
          <w:szCs w:val="16"/>
        </w:rPr>
        <w:t>1</w:t>
      </w:r>
      <w:r w:rsidR="004E50CD" w:rsidRPr="00D525FD">
        <w:rPr>
          <w:rFonts w:asciiTheme="minorHAnsi" w:hAnsiTheme="minorHAnsi" w:cs="Arial"/>
          <w:sz w:val="16"/>
          <w:szCs w:val="16"/>
        </w:rPr>
        <w:t>00</w:t>
      </w:r>
      <w:r w:rsidR="00D00616" w:rsidRPr="00D525FD">
        <w:rPr>
          <w:rFonts w:asciiTheme="minorHAnsi" w:hAnsiTheme="minorHAnsi" w:cs="Arial"/>
          <w:sz w:val="16"/>
          <w:szCs w:val="16"/>
        </w:rPr>
        <w:t xml:space="preserve"> MW of ISO demand resources do not include energy efficiency provided by other customer-based programs outside the ISO markets or are otherwise unknown to the ISO</w:t>
      </w:r>
      <w:r w:rsidR="00E9763C" w:rsidRPr="00D525FD">
        <w:rPr>
          <w:rFonts w:asciiTheme="minorHAnsi" w:hAnsiTheme="minorHAnsi" w:cs="Arial"/>
          <w:sz w:val="16"/>
          <w:szCs w:val="16"/>
        </w:rPr>
        <w:t xml:space="preserve">. </w:t>
      </w:r>
      <w:proofErr w:type="gramStart"/>
      <w:r w:rsidR="00E9552B" w:rsidRPr="00D525FD">
        <w:rPr>
          <w:rFonts w:asciiTheme="minorHAnsi" w:hAnsiTheme="minorHAnsi" w:cs="Arial"/>
          <w:sz w:val="16"/>
          <w:szCs w:val="16"/>
        </w:rPr>
        <w:t>The</w:t>
      </w:r>
      <w:r w:rsidR="006767A4" w:rsidRPr="00D525FD">
        <w:rPr>
          <w:rFonts w:asciiTheme="minorHAnsi" w:hAnsiTheme="minorHAnsi" w:cs="Arial"/>
          <w:sz w:val="16"/>
          <w:szCs w:val="16"/>
        </w:rPr>
        <w:t xml:space="preserve"> total load on August 2, 2006, would have been 28,770 MW had it not been reduced by approximately 640 MW, which included a 490 MW demand reduction in response to ISO Operating Procedure No. 4</w:t>
      </w:r>
      <w:r w:rsidR="004139D6" w:rsidRPr="00D525FD">
        <w:rPr>
          <w:rFonts w:asciiTheme="minorHAnsi" w:hAnsiTheme="minorHAnsi" w:cs="Arial"/>
          <w:sz w:val="16"/>
          <w:szCs w:val="16"/>
        </w:rPr>
        <w:t xml:space="preserve"> (OP 4)</w:t>
      </w:r>
      <w:r w:rsidR="006767A4" w:rsidRPr="00D525FD">
        <w:rPr>
          <w:rFonts w:asciiTheme="minorHAnsi" w:hAnsiTheme="minorHAnsi" w:cs="Arial"/>
          <w:sz w:val="16"/>
          <w:szCs w:val="16"/>
        </w:rPr>
        <w:t xml:space="preserve">, </w:t>
      </w:r>
      <w:r w:rsidR="006767A4" w:rsidRPr="00D525FD">
        <w:rPr>
          <w:rFonts w:asciiTheme="minorHAnsi" w:hAnsiTheme="minorHAnsi" w:cs="Arial"/>
          <w:i/>
          <w:sz w:val="16"/>
          <w:szCs w:val="16"/>
        </w:rPr>
        <w:t>Action during a Capacity Deficiency</w:t>
      </w:r>
      <w:r w:rsidR="006767A4" w:rsidRPr="00D525FD">
        <w:rPr>
          <w:rFonts w:asciiTheme="minorHAnsi" w:hAnsiTheme="minorHAnsi" w:cs="Arial"/>
          <w:sz w:val="16"/>
          <w:szCs w:val="16"/>
        </w:rPr>
        <w:t xml:space="preserve">; a </w:t>
      </w:r>
      <w:r w:rsidR="002B3028" w:rsidRPr="00D525FD">
        <w:rPr>
          <w:rFonts w:asciiTheme="minorHAnsi" w:hAnsiTheme="minorHAnsi" w:cs="Arial"/>
          <w:sz w:val="16"/>
          <w:szCs w:val="16"/>
        </w:rPr>
        <w:t>45 </w:t>
      </w:r>
      <w:r w:rsidR="006767A4" w:rsidRPr="00D525FD">
        <w:rPr>
          <w:rFonts w:asciiTheme="minorHAnsi" w:hAnsiTheme="minorHAnsi" w:cs="Arial"/>
          <w:sz w:val="16"/>
          <w:szCs w:val="16"/>
        </w:rPr>
        <w:t xml:space="preserve">MW reduction of other interruptible OP 4 loads; and a 107 MW reduction of load as a result of </w:t>
      </w:r>
      <w:r w:rsidR="00EA2E47" w:rsidRPr="00D525FD">
        <w:rPr>
          <w:rFonts w:asciiTheme="minorHAnsi" w:hAnsiTheme="minorHAnsi" w:cs="Arial"/>
          <w:sz w:val="16"/>
          <w:szCs w:val="16"/>
        </w:rPr>
        <w:t>price-response programs, which</w:t>
      </w:r>
      <w:r w:rsidR="006767A4" w:rsidRPr="00D525FD">
        <w:rPr>
          <w:rFonts w:asciiTheme="minorHAnsi" w:hAnsiTheme="minorHAnsi" w:cs="Arial"/>
          <w:sz w:val="16"/>
          <w:szCs w:val="16"/>
        </w:rPr>
        <w:t xml:space="preserve"> are outside of OP 4 actions.</w:t>
      </w:r>
      <w:proofErr w:type="gramEnd"/>
      <w:r w:rsidR="00D91C34" w:rsidRPr="00D525FD">
        <w:rPr>
          <w:sz w:val="16"/>
          <w:szCs w:val="16"/>
        </w:rPr>
        <w:t xml:space="preserve"> </w:t>
      </w:r>
      <w:r w:rsidR="00D91C34" w:rsidRPr="00D525FD">
        <w:rPr>
          <w:rFonts w:asciiTheme="minorHAnsi" w:hAnsiTheme="minorHAnsi" w:cs="Arial"/>
          <w:sz w:val="16"/>
          <w:szCs w:val="16"/>
        </w:rPr>
        <w:t>(</w:t>
      </w:r>
      <w:r w:rsidR="00691D76" w:rsidRPr="00D525FD">
        <w:rPr>
          <w:rFonts w:asciiTheme="minorHAnsi" w:hAnsiTheme="minorHAnsi" w:cs="Arial"/>
          <w:sz w:val="16"/>
          <w:szCs w:val="16"/>
        </w:rPr>
        <w:t xml:space="preserve">OP 4 guidelines contain 16 actions in total that </w:t>
      </w:r>
      <w:proofErr w:type="gramStart"/>
      <w:r w:rsidR="00691D76" w:rsidRPr="00D525FD">
        <w:rPr>
          <w:rFonts w:asciiTheme="minorHAnsi" w:hAnsiTheme="minorHAnsi" w:cs="Arial"/>
          <w:sz w:val="16"/>
          <w:szCs w:val="16"/>
        </w:rPr>
        <w:t>can be implemented</w:t>
      </w:r>
      <w:proofErr w:type="gramEnd"/>
      <w:r w:rsidR="00691D76" w:rsidRPr="00D525FD">
        <w:rPr>
          <w:rFonts w:asciiTheme="minorHAnsi" w:hAnsiTheme="minorHAnsi" w:cs="Arial"/>
          <w:sz w:val="16"/>
          <w:szCs w:val="16"/>
        </w:rPr>
        <w:t xml:space="preserve"> individually or in groups, depending on the severity of the situation.)</w:t>
      </w:r>
      <w:r w:rsidR="00D91C34" w:rsidRPr="00D525FD">
        <w:rPr>
          <w:rFonts w:asciiTheme="minorHAnsi" w:hAnsiTheme="minorHAnsi" w:cs="Arial"/>
          <w:sz w:val="16"/>
          <w:szCs w:val="16"/>
        </w:rPr>
        <w:t xml:space="preserve"> </w:t>
      </w:r>
      <w:r w:rsidR="006767A4" w:rsidRPr="00D525FD">
        <w:rPr>
          <w:rFonts w:asciiTheme="minorHAnsi" w:hAnsiTheme="minorHAnsi" w:cs="Arial"/>
          <w:sz w:val="16"/>
          <w:szCs w:val="16"/>
        </w:rPr>
        <w:t xml:space="preserve">More information on OP 4 is </w:t>
      </w:r>
      <w:r w:rsidR="006767A4" w:rsidRPr="00D525FD">
        <w:rPr>
          <w:rFonts w:asciiTheme="minorHAnsi" w:hAnsiTheme="minorHAnsi" w:cs="Arial"/>
          <w:color w:val="000000" w:themeColor="text1"/>
          <w:sz w:val="16"/>
          <w:szCs w:val="16"/>
        </w:rPr>
        <w:t xml:space="preserve">available at </w:t>
      </w:r>
      <w:hyperlink r:id="rId21" w:history="1">
        <w:r w:rsidR="00AC6904" w:rsidRPr="00D525FD">
          <w:rPr>
            <w:rStyle w:val="Hyperlink"/>
            <w:rFonts w:asciiTheme="minorHAnsi" w:hAnsiTheme="minorHAnsi"/>
            <w:sz w:val="16"/>
            <w:szCs w:val="16"/>
          </w:rPr>
          <w:t>http://www.iso-ne.com/static-assets/documents/rules_proceds/operating/isone/op4/op4_rto_final.pdf</w:t>
        </w:r>
      </w:hyperlink>
      <w:r w:rsidR="00181557" w:rsidRPr="00D525FD">
        <w:rPr>
          <w:rFonts w:asciiTheme="minorHAnsi" w:hAnsiTheme="minorHAnsi" w:cs="Arial"/>
          <w:color w:val="000000" w:themeColor="text1"/>
          <w:sz w:val="16"/>
          <w:szCs w:val="16"/>
        </w:rPr>
        <w:t>.</w:t>
      </w:r>
      <w:r w:rsidR="009401E1" w:rsidRPr="00D525FD">
        <w:rPr>
          <w:rFonts w:asciiTheme="minorHAnsi" w:hAnsiTheme="minorHAnsi"/>
          <w:sz w:val="16"/>
          <w:szCs w:val="16"/>
        </w:rPr>
        <w:t xml:space="preserve"> </w:t>
      </w:r>
    </w:p>
    <w:p w:rsidR="00E63D3A" w:rsidRDefault="00181557">
      <w:pPr>
        <w:pStyle w:val="Heading2"/>
      </w:pPr>
      <w:bookmarkStart w:id="110" w:name="_Ref234811928"/>
      <w:bookmarkStart w:id="111" w:name="_Toc239157047"/>
      <w:bookmarkStart w:id="112" w:name="_Toc271632206"/>
      <w:bookmarkStart w:id="113" w:name="_Toc303086357"/>
      <w:bookmarkStart w:id="114" w:name="_Toc396807604"/>
      <w:r>
        <w:t>Overview of t</w:t>
      </w:r>
      <w:r w:rsidRPr="00F33BD5">
        <w:t>he New England Wholesale Electricity Market Structure</w:t>
      </w:r>
      <w:bookmarkEnd w:id="110"/>
      <w:bookmarkEnd w:id="111"/>
      <w:bookmarkEnd w:id="112"/>
      <w:bookmarkEnd w:id="113"/>
      <w:bookmarkEnd w:id="114"/>
      <w:r w:rsidR="001E6FFD">
        <w:t xml:space="preserve"> </w:t>
      </w:r>
    </w:p>
    <w:p w:rsidR="00181557" w:rsidRPr="00D45F5F" w:rsidRDefault="00181557" w:rsidP="0013436A">
      <w:r w:rsidRPr="00D45F5F">
        <w:t xml:space="preserve">New England’s wholesale electricity 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506259">
        <w:t xml:space="preserve">opportunity to hedge against the costs associated with </w:t>
      </w:r>
      <w:r w:rsidR="001A6B75" w:rsidRPr="00506259">
        <w:t>transmission congestion.</w:t>
      </w:r>
      <w:r w:rsidRPr="00506259">
        <w:t xml:space="preserve"> As shown in </w:t>
      </w:r>
      <w:fldSimple w:instr=" REF _Ref173207023 \h  \* MERGEFORMAT ">
        <w:r w:rsidR="00284CE3" w:rsidRPr="00D525FD">
          <w:t xml:space="preserve">Figure </w:t>
        </w:r>
        <w:r w:rsidR="00284CE3">
          <w:rPr>
            <w:noProof/>
          </w:rPr>
          <w:t>2</w:t>
        </w:r>
        <w:r w:rsidR="00284CE3" w:rsidRPr="00D525FD">
          <w:rPr>
            <w:noProof/>
          </w:rPr>
          <w:noBreakHyphen/>
        </w:r>
        <w:r w:rsidR="00284CE3">
          <w:rPr>
            <w:noProof/>
          </w:rPr>
          <w:t>1</w:t>
        </w:r>
      </w:fldSimple>
      <w:r w:rsidRPr="00506259">
        <w:t>,</w:t>
      </w:r>
      <w:r w:rsidRPr="00D45F5F">
        <w:t xml:space="preserve"> </w:t>
      </w:r>
      <w:r w:rsidRPr="004E50CD">
        <w:t xml:space="preserve">in </w:t>
      </w:r>
      <w:r w:rsidR="008479C5" w:rsidRPr="004E50CD">
        <w:t>201</w:t>
      </w:r>
      <w:r w:rsidR="00966377" w:rsidRPr="004E50CD">
        <w:t>3</w:t>
      </w:r>
      <w:r w:rsidR="0055583B" w:rsidRPr="004E50CD">
        <w:t xml:space="preserve">, approximately </w:t>
      </w:r>
      <w:r w:rsidR="003B676C" w:rsidRPr="004E50CD">
        <w:t>500</w:t>
      </w:r>
      <w:r w:rsidRPr="004E50CD">
        <w:t xml:space="preserve"> market participants completed transactions in New England’s wholesale</w:t>
      </w:r>
      <w:r w:rsidRPr="00982C67">
        <w:t xml:space="preserve"> electricity markets totaling </w:t>
      </w:r>
      <w:r w:rsidR="0055583B" w:rsidRPr="00982C67">
        <w:t>$</w:t>
      </w:r>
      <w:r w:rsidR="007961F6">
        <w:t>8.82</w:t>
      </w:r>
      <w:r w:rsidR="0055583B" w:rsidRPr="00982C67">
        <w:t xml:space="preserve"> billion</w:t>
      </w:r>
      <w:r w:rsidRPr="00982C67">
        <w:t>. The wholesale electricity markets and market products in New England are as follows:</w:t>
      </w:r>
      <w:r w:rsidRPr="00982C67">
        <w:rPr>
          <w:color w:val="211D1E"/>
          <w:vertAlign w:val="superscript"/>
        </w:rPr>
        <w:footnoteReference w:id="90"/>
      </w:r>
    </w:p>
    <w:p w:rsidR="00B25301" w:rsidRDefault="00181557" w:rsidP="0013436A">
      <w:pPr>
        <w:pStyle w:val="Bullet-Solid"/>
        <w:numPr>
          <w:ilvl w:val="0"/>
          <w:numId w:val="360"/>
        </w:numPr>
        <w:ind w:left="720"/>
      </w:pPr>
      <w:r w:rsidRPr="00B46C4C">
        <w:rPr>
          <w:b/>
          <w:bCs/>
        </w:rPr>
        <w:t>Day-Ahead Energy Market</w:t>
      </w:r>
      <w:r w:rsidRPr="00B46C4C">
        <w:t>—allows market participants to secure prices for electric energy the day before the operating day and hedge against price fluctuations that can occur in real time.</w:t>
      </w:r>
    </w:p>
    <w:p w:rsidR="00B25301" w:rsidRPr="006B16BB" w:rsidRDefault="00181557">
      <w:pPr>
        <w:pStyle w:val="Bullet-Solid"/>
        <w:numPr>
          <w:ilvl w:val="0"/>
          <w:numId w:val="360"/>
        </w:numPr>
        <w:ind w:left="720"/>
      </w:pPr>
      <w:r w:rsidRPr="00B46C4C">
        <w:rPr>
          <w:b/>
          <w:bCs/>
        </w:rPr>
        <w:t>Real-Time Energy Market</w:t>
      </w:r>
      <w:r w:rsidRPr="00B46C4C">
        <w:t xml:space="preserve">—coordinates the dispatch of generation and demand resources to </w:t>
      </w:r>
      <w:r w:rsidRPr="006B16BB">
        <w:t>meet the instantaneous demand for electricity.</w:t>
      </w:r>
    </w:p>
    <w:p w:rsidR="00B25301" w:rsidRPr="006B16BB" w:rsidRDefault="00181557">
      <w:pPr>
        <w:pStyle w:val="Bullet-Solid"/>
        <w:numPr>
          <w:ilvl w:val="0"/>
          <w:numId w:val="360"/>
        </w:numPr>
        <w:ind w:left="720"/>
      </w:pPr>
      <w:r w:rsidRPr="006B16BB">
        <w:rPr>
          <w:b/>
          <w:bCs/>
        </w:rPr>
        <w:t>Forward Capacity Market (FCM)</w:t>
      </w:r>
      <w:r w:rsidRPr="006B16BB">
        <w:t xml:space="preserve">—ensures the sufficiency of installed capacity, which includes </w:t>
      </w:r>
      <w:r w:rsidR="00F946C9" w:rsidRPr="006B16BB">
        <w:t>demand resources</w:t>
      </w:r>
      <w:r w:rsidRPr="006B16BB">
        <w:t>, to meet the future demand for electricity by sending appropriate price signals to attract new investment</w:t>
      </w:r>
      <w:r w:rsidR="006B16BB" w:rsidRPr="006B16BB">
        <w:t>,</w:t>
      </w:r>
      <w:r w:rsidRPr="006B16BB">
        <w:t xml:space="preserve"> maintain existing investment</w:t>
      </w:r>
      <w:r w:rsidR="006B16BB" w:rsidRPr="006B16BB">
        <w:t>, and encourage capacity to perform</w:t>
      </w:r>
      <w:r w:rsidRPr="006B16BB">
        <w:t xml:space="preserve"> </w:t>
      </w:r>
      <w:r w:rsidR="006B16BB">
        <w:t xml:space="preserve">both </w:t>
      </w:r>
      <w:r w:rsidRPr="006B16BB">
        <w:t>where and when needed</w:t>
      </w:r>
      <w:r w:rsidR="0076470F" w:rsidRPr="006B16BB">
        <w:t xml:space="preserve">, </w:t>
      </w:r>
      <w:r w:rsidR="00274428" w:rsidRPr="006B16BB">
        <w:t>including during shortage events.</w:t>
      </w:r>
      <w:r w:rsidR="00274428" w:rsidRPr="006B16BB">
        <w:rPr>
          <w:rStyle w:val="FootnoteReference"/>
        </w:rPr>
        <w:footnoteReference w:id="91"/>
      </w:r>
    </w:p>
    <w:p w:rsidR="00B25301" w:rsidRDefault="00181557" w:rsidP="002803AF">
      <w:pPr>
        <w:pStyle w:val="Bullet-Solid"/>
        <w:numPr>
          <w:ilvl w:val="0"/>
          <w:numId w:val="360"/>
        </w:numPr>
        <w:ind w:left="720"/>
        <w:rPr>
          <w:color w:val="211D1E"/>
        </w:rPr>
      </w:pPr>
      <w:r w:rsidRPr="00B46C4C">
        <w:rPr>
          <w:b/>
          <w:bCs/>
          <w:color w:val="211D1E"/>
        </w:rPr>
        <w:t>Financial Transmission</w:t>
      </w:r>
      <w:r w:rsidRPr="00D45F5F">
        <w:rPr>
          <w:b/>
          <w:bCs/>
          <w:color w:val="211D1E"/>
        </w:rPr>
        <w:t xml:space="preserve"> Rights (FTRs)</w:t>
      </w:r>
      <w:r w:rsidRPr="00D45F5F">
        <w:rPr>
          <w:color w:val="211D1E"/>
        </w:rPr>
        <w:t xml:space="preserve">—allows participants </w:t>
      </w:r>
      <w:r w:rsidRPr="00D45F5F">
        <w:t xml:space="preserve">to hedge against the economic impacts associated </w:t>
      </w:r>
      <w:r w:rsidR="00F946C9" w:rsidRPr="00F946C9">
        <w:t>with transmission congestion and provides</w:t>
      </w:r>
      <w:r w:rsidRPr="00D45F5F">
        <w:t xml:space="preserve"> a financial instrument to arbitrage differences between expected and actual day-ahead congestion.</w:t>
      </w:r>
    </w:p>
    <w:p w:rsidR="00B25301" w:rsidRDefault="00227455">
      <w:pPr>
        <w:pStyle w:val="Bullet-Solid"/>
        <w:numPr>
          <w:ilvl w:val="0"/>
          <w:numId w:val="360"/>
        </w:numPr>
        <w:ind w:left="720"/>
        <w:rPr>
          <w:b/>
        </w:rPr>
      </w:pPr>
      <w:r w:rsidRPr="00227455">
        <w:rPr>
          <w:b/>
        </w:rPr>
        <w:t>Ancillary services</w:t>
      </w:r>
    </w:p>
    <w:p w:rsidR="00181557" w:rsidRPr="00D45F5F" w:rsidRDefault="00181557" w:rsidP="004B32A3">
      <w:pPr>
        <w:pStyle w:val="Bullet-Open"/>
        <w:numPr>
          <w:ilvl w:val="0"/>
          <w:numId w:val="325"/>
        </w:numPr>
        <w:ind w:left="1440"/>
      </w:pPr>
      <w:r w:rsidRPr="00D45F5F">
        <w:rPr>
          <w:b/>
          <w:bCs/>
        </w:rPr>
        <w:t>Regulation Market</w:t>
      </w:r>
      <w:r w:rsidRPr="00D45F5F">
        <w:t>—compensates resources that the ISO instructs to increase or decrease output moment by moment to balance the variations in demand and system frequency to meet industry standards.</w:t>
      </w:r>
      <w:r w:rsidRPr="00D45F5F">
        <w:rPr>
          <w:rStyle w:val="FootnoteReference"/>
          <w:color w:val="211D1E"/>
        </w:rPr>
        <w:footnoteReference w:id="92"/>
      </w:r>
    </w:p>
    <w:p w:rsidR="00181557" w:rsidRPr="009A5981" w:rsidRDefault="00181557" w:rsidP="004B32A3">
      <w:pPr>
        <w:pStyle w:val="Bullet-Open"/>
        <w:numPr>
          <w:ilvl w:val="0"/>
          <w:numId w:val="325"/>
        </w:numPr>
        <w:ind w:left="1440"/>
        <w:rPr>
          <w:color w:val="211D1E"/>
        </w:rPr>
      </w:pPr>
      <w:r w:rsidRPr="00D45F5F">
        <w:rPr>
          <w:b/>
          <w:bCs/>
          <w:color w:val="211D1E"/>
        </w:rPr>
        <w:t>Forward Reserve Market (FRM)</w:t>
      </w:r>
      <w:r w:rsidRPr="00D45F5F">
        <w:rPr>
          <w:color w:val="211D1E"/>
        </w:rPr>
        <w:t>—</w:t>
      </w:r>
      <w:r w:rsidRPr="00D45F5F">
        <w:t xml:space="preserve">compensates generators for the availability of their </w:t>
      </w:r>
      <w:r w:rsidR="004B7A7E" w:rsidRPr="004B7A7E">
        <w:t xml:space="preserve">operational capacity not generating electric energy but able to </w:t>
      </w:r>
      <w:r w:rsidRPr="00D45F5F">
        <w:t xml:space="preserve">be converted into electric energy within 10 or </w:t>
      </w:r>
      <w:r w:rsidR="004B32A3" w:rsidRPr="00D45F5F">
        <w:t>30</w:t>
      </w:r>
      <w:r w:rsidR="004B32A3">
        <w:t> </w:t>
      </w:r>
      <w:r w:rsidRPr="005D0659">
        <w:t xml:space="preserve">minutes when needed to respond to system </w:t>
      </w:r>
      <w:r w:rsidR="0053609E" w:rsidRPr="005D0659">
        <w:t>contingencies</w:t>
      </w:r>
      <w:r w:rsidRPr="005D0659">
        <w:t xml:space="preserve">, such </w:t>
      </w:r>
      <w:r w:rsidRPr="009A5981">
        <w:t>as unexpected outages.</w:t>
      </w:r>
      <w:r w:rsidRPr="009A5981">
        <w:rPr>
          <w:rStyle w:val="FootnoteReference"/>
        </w:rPr>
        <w:footnoteReference w:id="93"/>
      </w:r>
    </w:p>
    <w:p w:rsidR="00181557" w:rsidRPr="00D45F5F" w:rsidRDefault="00181557" w:rsidP="004B32A3">
      <w:pPr>
        <w:pStyle w:val="Bullet-Open"/>
        <w:numPr>
          <w:ilvl w:val="0"/>
          <w:numId w:val="325"/>
        </w:numPr>
        <w:ind w:left="1440"/>
      </w:pPr>
      <w:r w:rsidRPr="00D45F5F">
        <w:rPr>
          <w:b/>
          <w:bCs/>
        </w:rPr>
        <w:t>Real-time reserve pricing</w:t>
      </w:r>
      <w:r w:rsidRPr="00D45F5F">
        <w:t xml:space="preserve">—compensates </w:t>
      </w:r>
      <w:r w:rsidR="002A14EF">
        <w:t xml:space="preserve">participants with </w:t>
      </w:r>
      <w:r w:rsidRPr="00D45F5F">
        <w:t xml:space="preserve">on-line </w:t>
      </w:r>
      <w:r w:rsidR="002A14EF" w:rsidRPr="0062193D">
        <w:t>and fast-start</w:t>
      </w:r>
      <w:r w:rsidR="002A14EF">
        <w:t xml:space="preserve"> </w:t>
      </w:r>
      <w:r w:rsidRPr="00D45F5F">
        <w:t>generators</w:t>
      </w:r>
      <w:r w:rsidR="002A14EF">
        <w:t xml:space="preserve"> for the increased values of their electric </w:t>
      </w:r>
      <w:r w:rsidRPr="00D45F5F">
        <w:t>energy when the system or portions of the system are short of reserves.</w:t>
      </w:r>
      <w:r w:rsidR="003D348C">
        <w:rPr>
          <w:rStyle w:val="FootnoteReference"/>
        </w:rPr>
        <w:footnoteReference w:id="94"/>
      </w:r>
      <w:r w:rsidRPr="00D45F5F">
        <w:t xml:space="preserve"> It also provides efficient price signals to generators when </w:t>
      </w:r>
      <w:proofErr w:type="spellStart"/>
      <w:r w:rsidRPr="00D45F5F">
        <w:t>redispatch</w:t>
      </w:r>
      <w:proofErr w:type="spellEnd"/>
      <w:r w:rsidRPr="00D45F5F">
        <w:t xml:space="preserve"> </w:t>
      </w:r>
      <w:proofErr w:type="gramStart"/>
      <w:r w:rsidRPr="00D45F5F">
        <w:t>is needed</w:t>
      </w:r>
      <w:proofErr w:type="gramEnd"/>
      <w:r w:rsidRPr="00D45F5F">
        <w:t xml:space="preserve"> to provide additional reserves to meet requirements.</w:t>
      </w:r>
    </w:p>
    <w:p w:rsidR="00181557" w:rsidRPr="00D45F5F" w:rsidRDefault="00181557" w:rsidP="004B32A3">
      <w:pPr>
        <w:pStyle w:val="Bullet-Open"/>
        <w:numPr>
          <w:ilvl w:val="0"/>
          <w:numId w:val="325"/>
        </w:numPr>
        <w:ind w:left="1440"/>
      </w:pPr>
      <w:r w:rsidRPr="00D45F5F">
        <w:rPr>
          <w:b/>
          <w:bCs/>
        </w:rPr>
        <w:t>Voltage support</w:t>
      </w:r>
      <w:r w:rsidRPr="00D45F5F">
        <w:t>—compensates resources for maintaining voltage-control capability, which allows system operators to maintain transmission voltages within acceptable limits.</w:t>
      </w:r>
    </w:p>
    <w:p w:rsidR="00CA380E" w:rsidRPr="00506259" w:rsidRDefault="00CA380E" w:rsidP="00CA380E">
      <w:r w:rsidRPr="00506259">
        <w:t xml:space="preserve">One key feature of the region’s wholesale </w:t>
      </w:r>
      <w:r w:rsidR="008479C5">
        <w:t>electricity</w:t>
      </w:r>
      <w:r w:rsidR="008479C5" w:rsidRPr="00506259">
        <w:t xml:space="preserve"> </w:t>
      </w:r>
      <w:r w:rsidRPr="00506259">
        <w:t>market</w:t>
      </w:r>
      <w:r w:rsidR="008479C5">
        <w:t>s</w:t>
      </w:r>
      <w:r w:rsidRPr="00506259">
        <w:t xml:space="preserve"> is </w:t>
      </w:r>
      <w:proofErr w:type="spellStart"/>
      <w:r w:rsidRPr="00506259">
        <w:t>locational</w:t>
      </w:r>
      <w:proofErr w:type="spellEnd"/>
      <w:r w:rsidRPr="00506259">
        <w:t xml:space="preserve"> marginal pricing for electric energy, which r</w:t>
      </w:r>
      <w:r w:rsidRPr="00506259">
        <w:rPr>
          <w:bCs/>
        </w:rPr>
        <w:t>eflects</w:t>
      </w:r>
      <w:r w:rsidRPr="00506259">
        <w:t xml:space="preserve"> the variations in supply, demand, and transmission system limitations effectively at every location where electric energy enters or exits the wholesale power network. In New England, wholesale electricity prices are set at </w:t>
      </w:r>
      <w:r w:rsidR="004E50CD">
        <w:t>over 1,000</w:t>
      </w:r>
      <w:r w:rsidRPr="00506259">
        <w:t xml:space="preserve"> pricing points (i.e., </w:t>
      </w:r>
      <w:proofErr w:type="spellStart"/>
      <w:r w:rsidRPr="00506259">
        <w:rPr>
          <w:i/>
          <w:iCs/>
        </w:rPr>
        <w:t>pnodes</w:t>
      </w:r>
      <w:proofErr w:type="spellEnd"/>
      <w:r w:rsidRPr="00506259">
        <w:t xml:space="preserve">) on the power grid. If the system were entirely unconstrained and had no losses, all </w:t>
      </w:r>
      <w:proofErr w:type="spellStart"/>
      <w:r w:rsidRPr="00506259">
        <w:rPr>
          <w:i/>
        </w:rPr>
        <w:t>locational</w:t>
      </w:r>
      <w:proofErr w:type="spellEnd"/>
      <w:r w:rsidRPr="00506259">
        <w:rPr>
          <w:i/>
        </w:rPr>
        <w:t xml:space="preserve"> marginal prices</w:t>
      </w:r>
      <w:r w:rsidRPr="00506259">
        <w:t xml:space="preserve"> (LMPs) would be the same, reflecting only the cost of serving the next megawatt increment of load by the generator with the lowest-cost electric energy available, which would be able to flow to any point on the transmission system. LMPs would differ among the </w:t>
      </w:r>
      <w:proofErr w:type="spellStart"/>
      <w:r w:rsidRPr="00506259">
        <w:t>pnodes</w:t>
      </w:r>
      <w:proofErr w:type="spellEnd"/>
      <w:r w:rsidRPr="00506259">
        <w:t xml:space="preserve"> if each location’s marginal cost of congestion and marginal cost of line losses differed.</w:t>
      </w:r>
    </w:p>
    <w:p w:rsidR="00CA380E" w:rsidRPr="00506259" w:rsidRDefault="00CA380E" w:rsidP="00CA380E">
      <w:r w:rsidRPr="00506259">
        <w:t xml:space="preserve">Transmission system constraints, which limit the flow of the least-cost generation and create the need to dispatch more costly generation, give rise to the congestion component of an LMP. Line losses are caused by physical resistance </w:t>
      </w:r>
      <w:r w:rsidR="00AC6FFF">
        <w:t xml:space="preserve">and subsequent heat loss </w:t>
      </w:r>
      <w:r w:rsidRPr="00506259">
        <w:t>in the transmission system as electricity travels through transformers, reactors, and other types of equipment</w:t>
      </w:r>
      <w:r w:rsidR="00AC6FFF">
        <w:t xml:space="preserve">, </w:t>
      </w:r>
      <w:r w:rsidRPr="00506259">
        <w:t>result</w:t>
      </w:r>
      <w:r w:rsidR="00AC6FFF">
        <w:t>ing</w:t>
      </w:r>
      <w:r w:rsidRPr="00506259">
        <w:t xml:space="preserve">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w:t>
      </w:r>
      <w:proofErr w:type="gramStart"/>
      <w:r w:rsidRPr="00506259">
        <w:t>must be dispatched</w:t>
      </w:r>
      <w:proofErr w:type="gramEnd"/>
      <w:r w:rsidRPr="00506259">
        <w:t>. The ISO operates the system to minimize total system costs, while recognizing physical limitations of the system.</w:t>
      </w:r>
    </w:p>
    <w:p w:rsidR="00E63D3A" w:rsidRDefault="003225FA">
      <w:pPr>
        <w:pStyle w:val="Heading2"/>
      </w:pPr>
      <w:bookmarkStart w:id="115" w:name="_Ref356659320"/>
      <w:bookmarkStart w:id="116" w:name="_Toc396807605"/>
      <w:r>
        <w:t xml:space="preserve">Overview of </w:t>
      </w:r>
      <w:r w:rsidR="00525A59">
        <w:t>System</w:t>
      </w:r>
      <w:r w:rsidR="00536F61">
        <w:t xml:space="preserve"> Subdivisions Used for </w:t>
      </w:r>
      <w:r w:rsidR="00525A59">
        <w:t xml:space="preserve">Analyzing and </w:t>
      </w:r>
      <w:r>
        <w:t xml:space="preserve">Planning </w:t>
      </w:r>
      <w:r w:rsidR="00525A59">
        <w:t>the System</w:t>
      </w:r>
      <w:bookmarkEnd w:id="115"/>
      <w:bookmarkEnd w:id="116"/>
    </w:p>
    <w:p w:rsidR="005D1595" w:rsidRDefault="00E8035A" w:rsidP="003225FA">
      <w:r>
        <w:t xml:space="preserve">To assist in modeling, analyzing, and planning electricity resources in New England, </w:t>
      </w:r>
      <w:r w:rsidR="005D1595">
        <w:t xml:space="preserve">the region </w:t>
      </w:r>
      <w:r>
        <w:t xml:space="preserve">and the system </w:t>
      </w:r>
      <w:proofErr w:type="gramStart"/>
      <w:r w:rsidR="005D1595">
        <w:t>ha</w:t>
      </w:r>
      <w:r>
        <w:t>ve</w:t>
      </w:r>
      <w:r w:rsidR="005D1595">
        <w:t xml:space="preserve"> been subdivided</w:t>
      </w:r>
      <w:proofErr w:type="gramEnd"/>
      <w:r w:rsidR="005D1595">
        <w:t xml:space="preserve"> in various ways. These categories are included in the discussions throughout the RSP and </w:t>
      </w:r>
      <w:proofErr w:type="gramStart"/>
      <w:r w:rsidR="005D1595">
        <w:t>are</w:t>
      </w:r>
      <w:r w:rsidR="00295A44">
        <w:t xml:space="preserve"> </w:t>
      </w:r>
      <w:r w:rsidR="005D1595">
        <w:t>summarized</w:t>
      </w:r>
      <w:proofErr w:type="gramEnd"/>
      <w:r w:rsidR="005D1595">
        <w:t xml:space="preserve"> below.</w:t>
      </w:r>
    </w:p>
    <w:p w:rsidR="00E8035A" w:rsidRDefault="005D1595">
      <w:r>
        <w:t>T</w:t>
      </w:r>
      <w:r w:rsidR="00181557" w:rsidRPr="00D45F5F">
        <w:t>he system</w:t>
      </w:r>
      <w:r>
        <w:t>’s pricing points</w:t>
      </w:r>
      <w:r w:rsidR="00181557" w:rsidRPr="00D45F5F">
        <w:t xml:space="preserve"> include individual generating units, load nodes, </w:t>
      </w:r>
      <w:r w:rsidR="00F946C9" w:rsidRPr="00F946C9">
        <w:rPr>
          <w:i/>
          <w:iCs/>
        </w:rPr>
        <w:t>load zones</w:t>
      </w:r>
      <w:r w:rsidR="00F946C9" w:rsidRPr="00F946C9">
        <w:t xml:space="preserve"> (i.e., aggregations </w:t>
      </w:r>
      <w:r w:rsidR="00F946C9" w:rsidRPr="004E50CD">
        <w:t xml:space="preserve">of load </w:t>
      </w:r>
      <w:proofErr w:type="spellStart"/>
      <w:r w:rsidR="00F946C9" w:rsidRPr="004E50CD">
        <w:t>pnodes</w:t>
      </w:r>
      <w:proofErr w:type="spellEnd"/>
      <w:r w:rsidR="00F946C9" w:rsidRPr="004E50CD">
        <w:t xml:space="preserve"> within a specific area), and the Hub.</w:t>
      </w:r>
      <w:r w:rsidR="00181557" w:rsidRPr="004E50CD">
        <w:t xml:space="preserve"> The </w:t>
      </w:r>
      <w:r w:rsidR="00181557" w:rsidRPr="004E50CD">
        <w:rPr>
          <w:i/>
        </w:rPr>
        <w:t>Hub</w:t>
      </w:r>
      <w:r w:rsidR="00181557" w:rsidRPr="004E50CD">
        <w:t xml:space="preserve"> is a collection </w:t>
      </w:r>
      <w:r w:rsidR="00BF55BC" w:rsidRPr="004E50CD">
        <w:t xml:space="preserve">of </w:t>
      </w:r>
      <w:r w:rsidR="0013436A" w:rsidRPr="004E50CD">
        <w:t>32</w:t>
      </w:r>
      <w:r w:rsidR="0013436A">
        <w:t> </w:t>
      </w:r>
      <w:r w:rsidR="00BF55BC" w:rsidRPr="004E50CD">
        <w:t>locations in central New</w:t>
      </w:r>
      <w:r w:rsidR="00BF55BC" w:rsidRPr="000709CB">
        <w:t xml:space="preserve"> </w:t>
      </w:r>
      <w:r w:rsidR="00BF55BC" w:rsidRPr="009530CB">
        <w:t xml:space="preserve">England where little congestion is evident. It typically has a price intended to represent an uncongested price for electric energy, which </w:t>
      </w:r>
      <w:proofErr w:type="gramStart"/>
      <w:r w:rsidR="00BF55BC" w:rsidRPr="009530CB">
        <w:t>is used</w:t>
      </w:r>
      <w:proofErr w:type="gramEnd"/>
      <w:r w:rsidR="00BF55BC" w:rsidRPr="009530CB">
        <w:t xml:space="preserve"> as a price index and point of exchange for bilateral transactions in the energy market</w:t>
      </w:r>
      <w:r w:rsidR="00295A44" w:rsidRPr="009530CB">
        <w:t xml:space="preserve">. The Hub also </w:t>
      </w:r>
      <w:r w:rsidR="00BF55BC" w:rsidRPr="009530CB">
        <w:t>facilitates energy trading and enhances transparency and liquidity in the marketplace. In</w:t>
      </w:r>
      <w:r w:rsidR="00BF55BC" w:rsidRPr="000709CB">
        <w:t xml:space="preserve"> New England, generators </w:t>
      </w:r>
      <w:proofErr w:type="gramStart"/>
      <w:r w:rsidR="00BF55BC" w:rsidRPr="000709CB">
        <w:t>are paid</w:t>
      </w:r>
      <w:proofErr w:type="gramEnd"/>
      <w:r w:rsidR="00BF55BC" w:rsidRPr="000709CB">
        <w:t xml:space="preserve"> the LMP for</w:t>
      </w:r>
      <w:r w:rsidR="00181557" w:rsidRPr="000709CB">
        <w:t xml:space="preserve"> electric energy at their respective nodes, and participants serving demand pay the price at their respective load zones.</w:t>
      </w:r>
      <w:r w:rsidR="00181557" w:rsidRPr="000709CB">
        <w:rPr>
          <w:rStyle w:val="FootnoteReference"/>
        </w:rPr>
        <w:footnoteReference w:id="95"/>
      </w:r>
    </w:p>
    <w:p w:rsidR="00F469D5" w:rsidRDefault="00E8035A">
      <w:r w:rsidRPr="00CA380E">
        <w:t xml:space="preserve">New England </w:t>
      </w:r>
      <w:proofErr w:type="gramStart"/>
      <w:r w:rsidRPr="00CA380E">
        <w:t>is divided</w:t>
      </w:r>
      <w:proofErr w:type="gramEnd"/>
      <w:r w:rsidRPr="00CA380E">
        <w:t xml:space="preserve"> into eight </w:t>
      </w:r>
      <w:r w:rsidR="002A14EF">
        <w:t xml:space="preserve">electric </w:t>
      </w:r>
      <w:r w:rsidR="008479C5">
        <w:t xml:space="preserve">energy </w:t>
      </w:r>
      <w:r w:rsidRPr="00CA380E">
        <w:t xml:space="preserve">load zones used for wholesale </w:t>
      </w:r>
      <w:r w:rsidR="00C64AE5">
        <w:t xml:space="preserve">energy </w:t>
      </w:r>
      <w:r w:rsidRPr="00CA380E">
        <w:t xml:space="preserve">market </w:t>
      </w:r>
      <w:r w:rsidR="008479C5">
        <w:t>settlement</w:t>
      </w:r>
      <w:r w:rsidRPr="00CA380E">
        <w:t>: Maine (ME), New Hampshire (NH), Vermont (VT), Rhode Island (RI), Connecticut (CT), Western/Central Massachusetts (WCMA), Northeast Massachusetts and Boston (NEMA), and Southeast Massachusetts (SEMA).</w:t>
      </w:r>
      <w:r>
        <w:t xml:space="preserve"> </w:t>
      </w:r>
      <w:r w:rsidR="00181557" w:rsidRPr="00D45F5F">
        <w:rPr>
          <w:i/>
        </w:rPr>
        <w:t>Import-constrained</w:t>
      </w:r>
      <w:r w:rsidR="00181557" w:rsidRPr="00D45F5F">
        <w:t xml:space="preserve"> load zones are areas within New England that do not have enough local resources and transmission-import capability to serve local demand reliably or economically. </w:t>
      </w:r>
      <w:r w:rsidR="00181557" w:rsidRPr="00D45F5F">
        <w:rPr>
          <w:i/>
        </w:rPr>
        <w:t>Export-constrained</w:t>
      </w:r>
      <w:r w:rsidR="00181557" w:rsidRPr="00D45F5F">
        <w:t xml:space="preserve"> load zones are areas within New England where the available resources, after serving local load, exceed the areas’ transmission capability to export the excess electric energy. </w:t>
      </w:r>
      <w:r>
        <w:rPr>
          <w:i/>
        </w:rPr>
        <w:t>R</w:t>
      </w:r>
      <w:r w:rsidRPr="00132B2F">
        <w:rPr>
          <w:i/>
        </w:rPr>
        <w:t>eliability regions</w:t>
      </w:r>
      <w:r w:rsidRPr="00132B2F">
        <w:t>, which reflect the operating characteristics of, and the major constraints on, the New England transmission system</w:t>
      </w:r>
      <w:r>
        <w:t>, can have the same boundaries as l</w:t>
      </w:r>
      <w:r w:rsidRPr="00132B2F">
        <w:t>oad zones.</w:t>
      </w:r>
      <w:r w:rsidRPr="003F4150">
        <w:rPr>
          <w:rStyle w:val="FootnoteReference"/>
        </w:rPr>
        <w:footnoteReference w:id="96"/>
      </w:r>
      <w:r>
        <w:t xml:space="preserve"> </w:t>
      </w:r>
    </w:p>
    <w:p w:rsidR="00F469D5" w:rsidRDefault="00181557">
      <w:r w:rsidRPr="00D45F5F">
        <w:t xml:space="preserve">A </w:t>
      </w:r>
      <w:r w:rsidRPr="00D45F5F">
        <w:rPr>
          <w:i/>
        </w:rPr>
        <w:t>capacity zone</w:t>
      </w:r>
      <w:r w:rsidRPr="00D45F5F">
        <w:t xml:space="preserve"> is a geographic </w:t>
      </w:r>
      <w:proofErr w:type="spellStart"/>
      <w:r w:rsidRPr="00D45F5F">
        <w:t>subregion</w:t>
      </w:r>
      <w:proofErr w:type="spellEnd"/>
      <w:r w:rsidRPr="00D45F5F">
        <w:t xml:space="preserve"> of the New England Balancing Authority Area that may </w:t>
      </w:r>
      <w:r w:rsidRPr="00416D6C">
        <w:t>represent load zones that are export constrained, import constrained, or contiguous—neither export nor</w:t>
      </w:r>
      <w:r w:rsidRPr="00D45F5F">
        <w:t xml:space="preserve"> import </w:t>
      </w:r>
      <w:r w:rsidRPr="005253C6">
        <w:t xml:space="preserve">constrained. Capacity zones </w:t>
      </w:r>
      <w:proofErr w:type="gramStart"/>
      <w:r w:rsidRPr="005253C6">
        <w:t>are used</w:t>
      </w:r>
      <w:proofErr w:type="gramEnd"/>
      <w:r w:rsidRPr="005253C6">
        <w:t xml:space="preserve"> in the Forward Capacity Auctions (</w:t>
      </w:r>
      <w:r w:rsidRPr="008537EC">
        <w:t>FCAs)</w:t>
      </w:r>
      <w:r w:rsidR="004A2034">
        <w:t xml:space="preserve"> and are subject to </w:t>
      </w:r>
      <w:r w:rsidR="004A2034" w:rsidRPr="00835B4D">
        <w:t xml:space="preserve">annual review. </w:t>
      </w:r>
      <w:r w:rsidR="005F3C59" w:rsidRPr="00835B4D">
        <w:t>T</w:t>
      </w:r>
      <w:r w:rsidR="000C3CAF" w:rsidRPr="00835B4D">
        <w:t>he capacity zones</w:t>
      </w:r>
      <w:r w:rsidR="005F3C59" w:rsidRPr="00835B4D">
        <w:t xml:space="preserve"> </w:t>
      </w:r>
      <w:r w:rsidR="00BF38F4" w:rsidRPr="00835B4D">
        <w:t>for FCA #8 were</w:t>
      </w:r>
      <w:r w:rsidR="005F3C59" w:rsidRPr="00835B4D">
        <w:t xml:space="preserve"> M</w:t>
      </w:r>
      <w:r w:rsidR="000C3CAF" w:rsidRPr="00835B4D">
        <w:t>aine</w:t>
      </w:r>
      <w:r w:rsidR="005F3C59" w:rsidRPr="00835B4D">
        <w:t xml:space="preserve">, </w:t>
      </w:r>
      <w:r w:rsidR="000C3CAF" w:rsidRPr="00835B4D">
        <w:t>C</w:t>
      </w:r>
      <w:r w:rsidR="005F3C59" w:rsidRPr="00835B4D">
        <w:t xml:space="preserve">onnecticut, </w:t>
      </w:r>
      <w:r w:rsidR="000C3CAF" w:rsidRPr="00835B4D">
        <w:t>NEMA/Boston</w:t>
      </w:r>
      <w:r w:rsidR="004A2034" w:rsidRPr="00835B4D">
        <w:t xml:space="preserve">, and </w:t>
      </w:r>
      <w:r w:rsidR="00D24CD4" w:rsidRPr="00835B4D">
        <w:t>“Rest-of-Pool” (i.e., the area excluding the other zones)</w:t>
      </w:r>
      <w:r w:rsidR="004A2034" w:rsidRPr="00835B4D">
        <w:t xml:space="preserve"> </w:t>
      </w:r>
      <w:r w:rsidRPr="00835B4D">
        <w:t>(see Section</w:t>
      </w:r>
      <w:r w:rsidR="00151A8E" w:rsidRPr="00835B4D">
        <w:t>s</w:t>
      </w:r>
      <w:r w:rsidRPr="00835B4D">
        <w:t xml:space="preserve"> </w:t>
      </w:r>
      <w:fldSimple w:instr=" REF _Ref330138223 \r \h  \* MERGEFORMAT ">
        <w:r w:rsidR="00284CE3">
          <w:t>4.1.2</w:t>
        </w:r>
      </w:fldSimple>
      <w:r w:rsidR="00B500D9" w:rsidRPr="00835B4D">
        <w:t xml:space="preserve"> and </w:t>
      </w:r>
      <w:fldSimple w:instr=" REF _Ref293762973 \r \h  \* MERGEFORMAT ">
        <w:r w:rsidR="00284CE3">
          <w:t>4.1.3</w:t>
        </w:r>
      </w:fldSimple>
      <w:r w:rsidR="00B500D9" w:rsidRPr="00835B4D">
        <w:t>)</w:t>
      </w:r>
      <w:r w:rsidRPr="00835B4D">
        <w:t xml:space="preserve">. </w:t>
      </w:r>
      <w:r w:rsidR="00EE174D" w:rsidRPr="00835B4D">
        <w:t>On April 28, 2014, FERC approved a</w:t>
      </w:r>
      <w:r w:rsidR="000D47CB" w:rsidRPr="00835B4D">
        <w:t xml:space="preserve">n updated </w:t>
      </w:r>
      <w:r w:rsidR="00835B4D" w:rsidRPr="00835B4D">
        <w:t>methodology</w:t>
      </w:r>
      <w:r w:rsidR="000D47CB" w:rsidRPr="00835B4D">
        <w:t xml:space="preserve"> for evaluating and modeling capacity zones</w:t>
      </w:r>
      <w:r w:rsidR="00EE174D" w:rsidRPr="00835B4D">
        <w:t xml:space="preserve">, which </w:t>
      </w:r>
      <w:r w:rsidR="000D47CB" w:rsidRPr="00835B4D">
        <w:t xml:space="preserve">will be in place for </w:t>
      </w:r>
      <w:r w:rsidR="00EE174D" w:rsidRPr="00EC6E3A">
        <w:t>FCA #9</w:t>
      </w:r>
      <w:r w:rsidR="004A2034" w:rsidRPr="00EC6E3A">
        <w:t>,</w:t>
      </w:r>
      <w:r w:rsidR="000D47CB" w:rsidRPr="00EC6E3A">
        <w:t xml:space="preserve"> scheduled for February 2015.</w:t>
      </w:r>
      <w:r w:rsidR="00EE174D" w:rsidRPr="00EC6E3A">
        <w:rPr>
          <w:rStyle w:val="FootnoteReference"/>
        </w:rPr>
        <w:footnoteReference w:id="97"/>
      </w:r>
      <w:r w:rsidR="000D47CB" w:rsidRPr="00EC6E3A">
        <w:t xml:space="preserve"> </w:t>
      </w:r>
      <w:r w:rsidRPr="00EC6E3A">
        <w:t xml:space="preserve">The region also currently has four </w:t>
      </w:r>
      <w:r w:rsidRPr="00EC6E3A">
        <w:rPr>
          <w:i/>
        </w:rPr>
        <w:t>reserve zones</w:t>
      </w:r>
      <w:r w:rsidRPr="00EC6E3A">
        <w:t>—</w:t>
      </w:r>
      <w:r w:rsidR="006855A9" w:rsidRPr="006855A9">
        <w:t>Greater</w:t>
      </w:r>
      <w:r w:rsidR="006F7645" w:rsidRPr="00EC6E3A">
        <w:t xml:space="preserve"> </w:t>
      </w:r>
      <w:r w:rsidRPr="00EC6E3A">
        <w:t>Connecticut</w:t>
      </w:r>
      <w:r w:rsidR="004A2034" w:rsidRPr="00EC6E3A">
        <w:t>;</w:t>
      </w:r>
      <w:r w:rsidRPr="00EC6E3A">
        <w:t xml:space="preserve"> </w:t>
      </w:r>
      <w:r w:rsidR="006855A9" w:rsidRPr="006855A9">
        <w:t>Greater Southwest Connecticut</w:t>
      </w:r>
      <w:r w:rsidRPr="00EC6E3A">
        <w:t xml:space="preserve"> </w:t>
      </w:r>
      <w:r w:rsidR="006855A9" w:rsidRPr="006855A9">
        <w:t>(SWCT);</w:t>
      </w:r>
      <w:r w:rsidRPr="00EC6E3A">
        <w:t xml:space="preserve"> NEMA/Boston</w:t>
      </w:r>
      <w:r w:rsidR="004A2034" w:rsidRPr="00EC6E3A">
        <w:t>;</w:t>
      </w:r>
      <w:r w:rsidRPr="00EC6E3A">
        <w:t xml:space="preserve"> and the rest of the system</w:t>
      </w:r>
      <w:r w:rsidRPr="00835B4D">
        <w:t xml:space="preserve"> </w:t>
      </w:r>
      <w:r w:rsidR="00D24CD4" w:rsidRPr="00835B4D">
        <w:t>(Rest-of-System, ROS), which excludes the other, local reserve zones.</w:t>
      </w:r>
      <w:r w:rsidR="00356481">
        <w:t xml:space="preserve"> </w:t>
      </w:r>
    </w:p>
    <w:p w:rsidR="00F469D5" w:rsidRDefault="00181557">
      <w:r w:rsidRPr="00D45F5F">
        <w:t xml:space="preserve">Additionally, the region </w:t>
      </w:r>
      <w:proofErr w:type="gramStart"/>
      <w:r w:rsidRPr="00D45F5F">
        <w:t>is divided</w:t>
      </w:r>
      <w:proofErr w:type="gramEnd"/>
      <w:r w:rsidRPr="00D45F5F">
        <w:t xml:space="preserve"> into 19 </w:t>
      </w:r>
      <w:r w:rsidRPr="00D45F5F">
        <w:rPr>
          <w:i/>
        </w:rPr>
        <w:t>demand-resource dispatch zones</w:t>
      </w:r>
      <w:r w:rsidRPr="00D45F5F">
        <w:t xml:space="preserve">, which are groups of nodes </w:t>
      </w:r>
      <w:r w:rsidRPr="000C47D1">
        <w:t xml:space="preserve">used to dispatch </w:t>
      </w:r>
      <w:r w:rsidR="002C0753" w:rsidRPr="002C0753">
        <w:t>real-time demand-</w:t>
      </w:r>
      <w:r w:rsidR="00B500D9" w:rsidRPr="000C47D1">
        <w:t>response (RTDR)</w:t>
      </w:r>
      <w:r w:rsidR="00DC4E82" w:rsidRPr="000C47D1">
        <w:t xml:space="preserve"> </w:t>
      </w:r>
      <w:r w:rsidRPr="000C47D1">
        <w:t>resources or real-time emergency</w:t>
      </w:r>
      <w:r w:rsidR="006D4C96">
        <w:t xml:space="preserve"> </w:t>
      </w:r>
      <w:r w:rsidRPr="000C47D1">
        <w:t>generation</w:t>
      </w:r>
      <w:r w:rsidRPr="00D45F5F">
        <w:t xml:space="preserve"> (RTEG) resources</w:t>
      </w:r>
      <w:r w:rsidRPr="005253C6">
        <w:t>.</w:t>
      </w:r>
      <w:r w:rsidRPr="005253C6">
        <w:rPr>
          <w:rStyle w:val="FootnoteReference"/>
        </w:rPr>
        <w:footnoteReference w:id="98"/>
      </w:r>
      <w:r w:rsidRPr="005253C6">
        <w:t xml:space="preserve"> These allow for a more granular dispatch of </w:t>
      </w:r>
      <w:r w:rsidR="00EA2E47" w:rsidRPr="00EA2E47">
        <w:t>active demand</w:t>
      </w:r>
      <w:r w:rsidRPr="005253C6">
        <w:t xml:space="preserve"> resources at times, locations, and quantities needed to address potential system problems without unnecessarily calling on other active</w:t>
      </w:r>
      <w:r w:rsidRPr="00D45F5F">
        <w:t xml:space="preserve"> demand resources. </w:t>
      </w:r>
      <w:fldSimple w:instr=" REF _Ref234743321 \h  \* MERGEFORMAT ">
        <w:r w:rsidR="00284CE3" w:rsidRPr="00D93A06">
          <w:t xml:space="preserve">Figure </w:t>
        </w:r>
        <w:r w:rsidR="00284CE3">
          <w:rPr>
            <w:noProof/>
          </w:rPr>
          <w:t>2</w:t>
        </w:r>
        <w:r w:rsidR="00284CE3">
          <w:rPr>
            <w:noProof/>
          </w:rPr>
          <w:noBreakHyphen/>
          <w:t>2</w:t>
        </w:r>
      </w:fldSimple>
      <w:r w:rsidRPr="00D45F5F">
        <w:t xml:space="preserve"> shows the dispatch zones the ISO uses to dispatch FCM active demand resou</w:t>
      </w:r>
      <w:r w:rsidRPr="00951E71">
        <w:t>rces.</w:t>
      </w:r>
    </w:p>
    <w:p w:rsidR="00EE46C8" w:rsidRDefault="00EE46C8" w:rsidP="00CF4B90">
      <w:pPr>
        <w:spacing w:after="0" w:line="240" w:lineRule="auto"/>
        <w:jc w:val="center"/>
      </w:pPr>
      <w:r>
        <w:rPr>
          <w:noProof/>
        </w:rPr>
        <w:drawing>
          <wp:inline distT="0" distB="0" distL="0" distR="0">
            <wp:extent cx="3031902" cy="4062619"/>
            <wp:effectExtent l="19050" t="19050" r="16098" b="14081"/>
            <wp:docPr id="10" name="Picture 0" descr="dispatch_zone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_zone_map 2.JPG"/>
                    <pic:cNvPicPr/>
                  </pic:nvPicPr>
                  <pic:blipFill>
                    <a:blip r:embed="rId22" cstate="print"/>
                    <a:stretch>
                      <a:fillRect/>
                    </a:stretch>
                  </pic:blipFill>
                  <pic:spPr>
                    <a:xfrm>
                      <a:off x="0" y="0"/>
                      <a:ext cx="3035226" cy="4067073"/>
                    </a:xfrm>
                    <a:prstGeom prst="rect">
                      <a:avLst/>
                    </a:prstGeom>
                    <a:ln w="3175">
                      <a:solidFill>
                        <a:schemeClr val="tx1"/>
                      </a:solidFill>
                    </a:ln>
                  </pic:spPr>
                </pic:pic>
              </a:graphicData>
            </a:graphic>
          </wp:inline>
        </w:drawing>
      </w:r>
    </w:p>
    <w:p w:rsidR="00EE46C8" w:rsidRDefault="00181557" w:rsidP="00CA380E">
      <w:pPr>
        <w:pStyle w:val="Caption-Figure"/>
        <w:ind w:left="2070" w:right="2070"/>
      </w:pPr>
      <w:bookmarkStart w:id="117" w:name="_Ref234743321"/>
      <w:bookmarkStart w:id="118" w:name="_Toc239157199"/>
      <w:bookmarkStart w:id="119" w:name="_Toc271552389"/>
      <w:bookmarkStart w:id="120" w:name="_Toc303086721"/>
      <w:bookmarkStart w:id="121" w:name="_Toc391985563"/>
      <w:r w:rsidRPr="00D93A06">
        <w:t xml:space="preserve">Figure </w:t>
      </w:r>
      <w:r w:rsidR="00927965">
        <w:fldChar w:fldCharType="begin"/>
      </w:r>
      <w:r w:rsidR="0011163E">
        <w:instrText xml:space="preserve"> STYLEREF 1 \s </w:instrText>
      </w:r>
      <w:r w:rsidR="00927965">
        <w:fldChar w:fldCharType="separate"/>
      </w:r>
      <w:r w:rsidR="00284CE3">
        <w:rPr>
          <w:noProof/>
        </w:rPr>
        <w:t>2</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2</w:t>
      </w:r>
      <w:r w:rsidR="00927965">
        <w:fldChar w:fldCharType="end"/>
      </w:r>
      <w:bookmarkEnd w:id="117"/>
      <w:r w:rsidRPr="00D93A06">
        <w:t>:</w:t>
      </w:r>
      <w:r>
        <w:t xml:space="preserve"> Active-demand-resource dispatch zones in the ISO New England system</w:t>
      </w:r>
      <w:r w:rsidRPr="002E7A00">
        <w:t>.</w:t>
      </w:r>
      <w:bookmarkEnd w:id="118"/>
      <w:bookmarkEnd w:id="119"/>
      <w:bookmarkEnd w:id="120"/>
      <w:bookmarkEnd w:id="121"/>
    </w:p>
    <w:p w:rsidR="003F4150" w:rsidRDefault="003F4150" w:rsidP="00465818">
      <w:pPr>
        <w:spacing w:after="0"/>
      </w:pPr>
    </w:p>
    <w:p w:rsidR="00181557" w:rsidRDefault="00E8035A" w:rsidP="00181557">
      <w:r>
        <w:t>T</w:t>
      </w:r>
      <w:r w:rsidR="00181557">
        <w:t xml:space="preserve">he ISO </w:t>
      </w:r>
      <w:r>
        <w:t xml:space="preserve">also has </w:t>
      </w:r>
      <w:r w:rsidR="00181557">
        <w:t xml:space="preserve">established 13 </w:t>
      </w:r>
      <w:r w:rsidR="00181557" w:rsidRPr="00D809AD">
        <w:rPr>
          <w:i/>
        </w:rPr>
        <w:t>subareas</w:t>
      </w:r>
      <w:r w:rsidR="00181557">
        <w:t xml:space="preserve"> of the region’s electric power system. These subareas form a simplified model of load areas connected by the major transmission interfaces across the system. The simplified model illustrates possible physical limitations to the reliable </w:t>
      </w:r>
      <w:r w:rsidR="004266B7">
        <w:t xml:space="preserve">and economic </w:t>
      </w:r>
      <w:r w:rsidR="00181557">
        <w:t>flow of power that can evolve over time as the system changes.</w:t>
      </w:r>
    </w:p>
    <w:p w:rsidR="00181557" w:rsidRDefault="00927965" w:rsidP="00181557">
      <w:fldSimple w:instr=" REF _Ref229901815 \h  \* MERGEFORMAT ">
        <w:r w:rsidR="00284CE3">
          <w:t>Figure 2</w:t>
        </w:r>
        <w:r w:rsidR="00284CE3">
          <w:noBreakHyphen/>
          <w:t>3</w:t>
        </w:r>
      </w:fldSimple>
      <w:r w:rsidR="00181557">
        <w:t xml:space="preserve"> shows the ISO subareas and three external balancing authority areas. While transmission planning studies and the real-time operation of the system</w:t>
      </w:r>
      <w:r w:rsidR="00291104" w:rsidRPr="00291104">
        <w:t xml:space="preserve"> </w:t>
      </w:r>
      <w:r w:rsidR="00291104">
        <w:t xml:space="preserve">use </w:t>
      </w:r>
      <w:proofErr w:type="gramStart"/>
      <w:r w:rsidR="00291104">
        <w:t>more</w:t>
      </w:r>
      <w:r w:rsidR="00136127">
        <w:t xml:space="preserve"> </w:t>
      </w:r>
      <w:r w:rsidR="00291104">
        <w:t>detailed models</w:t>
      </w:r>
      <w:r w:rsidR="00181557">
        <w:t>,</w:t>
      </w:r>
      <w:proofErr w:type="gramEnd"/>
      <w:r w:rsidR="00181557">
        <w:t xml:space="preserve"> the </w:t>
      </w:r>
      <w:r w:rsidR="00181557" w:rsidRPr="009D35F9">
        <w:t xml:space="preserve">subarea representation shown in </w:t>
      </w:r>
      <w:fldSimple w:instr=" REF _Ref229901815 \h  \* MERGEFORMAT ">
        <w:r w:rsidR="00284CE3">
          <w:t>Figure 2</w:t>
        </w:r>
        <w:r w:rsidR="00284CE3">
          <w:noBreakHyphen/>
          <w:t>3</w:t>
        </w:r>
      </w:fldSimple>
      <w:r w:rsidR="00181557" w:rsidRPr="009D35F9">
        <w:t xml:space="preserve"> is suitable for </w:t>
      </w:r>
      <w:r w:rsidR="009215D3">
        <w:t xml:space="preserve">some </w:t>
      </w:r>
      <w:r w:rsidR="00181557" w:rsidRPr="009D35F9">
        <w:t>RSP1</w:t>
      </w:r>
      <w:r w:rsidR="00945FFF">
        <w:t>4</w:t>
      </w:r>
      <w:r w:rsidR="00181557" w:rsidRPr="009D35F9">
        <w:t xml:space="preserve"> studies of production cost and environmental emissions.</w:t>
      </w:r>
    </w:p>
    <w:tbl>
      <w:tblPr>
        <w:tblStyle w:val="20122tableformat"/>
        <w:tblW w:w="9076" w:type="dxa"/>
        <w:tblLayout w:type="fixed"/>
        <w:tblCellMar>
          <w:top w:w="14" w:type="dxa"/>
          <w:bottom w:w="14" w:type="dxa"/>
        </w:tblCellMar>
        <w:tblLook w:val="0000"/>
      </w:tblPr>
      <w:tblGrid>
        <w:gridCol w:w="4974"/>
        <w:gridCol w:w="1305"/>
        <w:gridCol w:w="2797"/>
      </w:tblGrid>
      <w:tr w:rsidR="00181557" w:rsidRPr="00F13B14" w:rsidTr="00D75D1E">
        <w:trPr>
          <w:cnfStyle w:val="000000100000"/>
          <w:trHeight w:val="438"/>
        </w:trPr>
        <w:tc>
          <w:tcPr>
            <w:tcW w:w="4974" w:type="dxa"/>
            <w:vMerge w:val="restart"/>
          </w:tcPr>
          <w:p w:rsidR="00181557" w:rsidRPr="00F13B14" w:rsidRDefault="00181557" w:rsidP="00CE5CB5">
            <w:pPr>
              <w:pStyle w:val="TablefontHeading"/>
              <w:rPr>
                <w:rFonts w:asciiTheme="minorHAnsi" w:hAnsiTheme="minorHAnsi"/>
              </w:rPr>
            </w:pPr>
            <w:r w:rsidRPr="00F13B14">
              <w:rPr>
                <w:rFonts w:asciiTheme="minorHAnsi" w:hAnsiTheme="minorHAnsi"/>
                <w:noProof/>
              </w:rPr>
              <w:drawing>
                <wp:inline distT="0" distB="0" distL="0" distR="0">
                  <wp:extent cx="3086964" cy="42858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tretch>
                            <a:fillRect/>
                          </a:stretch>
                        </pic:blipFill>
                        <pic:spPr bwMode="auto">
                          <a:xfrm>
                            <a:off x="0" y="0"/>
                            <a:ext cx="3086964" cy="4285877"/>
                          </a:xfrm>
                          <a:prstGeom prst="rect">
                            <a:avLst/>
                          </a:prstGeom>
                          <a:noFill/>
                          <a:ln w="9525">
                            <a:noFill/>
                            <a:miter lim="800000"/>
                            <a:headEnd/>
                            <a:tailEnd/>
                          </a:ln>
                        </pic:spPr>
                      </pic:pic>
                    </a:graphicData>
                  </a:graphic>
                </wp:inline>
              </w:drawing>
            </w:r>
          </w:p>
        </w:tc>
        <w:tc>
          <w:tcPr>
            <w:tcW w:w="1305" w:type="dxa"/>
            <w:shd w:val="clear" w:color="auto" w:fill="85AFF2" w:themeFill="text2" w:themeFillTint="66"/>
            <w:noWrap/>
          </w:tcPr>
          <w:p w:rsidR="00181557" w:rsidRPr="00F13B14" w:rsidRDefault="00181557" w:rsidP="00CE5CB5">
            <w:pPr>
              <w:pStyle w:val="TablefontHeading"/>
              <w:spacing w:before="0" w:after="0"/>
              <w:rPr>
                <w:rFonts w:asciiTheme="minorHAnsi" w:hAnsiTheme="minorHAnsi"/>
                <w:color w:val="FFFFFF" w:themeColor="background1"/>
                <w:sz w:val="18"/>
                <w:szCs w:val="18"/>
              </w:rPr>
            </w:pPr>
            <w:r w:rsidRPr="00F13B14">
              <w:rPr>
                <w:rFonts w:asciiTheme="minorHAnsi" w:hAnsiTheme="minorHAnsi"/>
                <w:color w:val="FFFFFF" w:themeColor="background1"/>
                <w:sz w:val="18"/>
                <w:szCs w:val="18"/>
              </w:rPr>
              <w:t>Subarea Designation</w:t>
            </w:r>
          </w:p>
        </w:tc>
        <w:tc>
          <w:tcPr>
            <w:tcW w:w="2797" w:type="dxa"/>
            <w:shd w:val="clear" w:color="auto" w:fill="85AFF2" w:themeFill="text2" w:themeFillTint="66"/>
          </w:tcPr>
          <w:p w:rsidR="00181557" w:rsidRPr="00F13B14" w:rsidRDefault="00181557" w:rsidP="00CE5CB5">
            <w:pPr>
              <w:pStyle w:val="TablefontHeading"/>
              <w:spacing w:before="0" w:after="0"/>
              <w:rPr>
                <w:rFonts w:asciiTheme="minorHAnsi" w:hAnsiTheme="minorHAnsi"/>
                <w:color w:val="FFFFFF" w:themeColor="background1"/>
                <w:sz w:val="18"/>
                <w:szCs w:val="18"/>
              </w:rPr>
            </w:pPr>
            <w:r w:rsidRPr="00F13B14">
              <w:rPr>
                <w:rFonts w:asciiTheme="minorHAnsi" w:hAnsiTheme="minorHAnsi"/>
                <w:color w:val="FFFFFF" w:themeColor="background1"/>
                <w:sz w:val="18"/>
                <w:szCs w:val="18"/>
              </w:rPr>
              <w:t>Region or State</w:t>
            </w:r>
          </w:p>
        </w:tc>
      </w:tr>
      <w:tr w:rsidR="00181557" w:rsidRPr="00F13B14" w:rsidTr="00CE5CB5">
        <w:trPr>
          <w:cnfStyle w:val="000000010000"/>
          <w:trHeight w:val="272"/>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BHE</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Northeastern Maine</w:t>
            </w:r>
          </w:p>
        </w:tc>
      </w:tr>
      <w:tr w:rsidR="00181557" w:rsidRPr="00F13B14" w:rsidTr="00CE5CB5">
        <w:trPr>
          <w:cnfStyle w:val="000000100000"/>
          <w:trHeight w:val="412"/>
        </w:trPr>
        <w:tc>
          <w:tcPr>
            <w:tcW w:w="4974" w:type="dxa"/>
            <w:vMerge/>
          </w:tcPr>
          <w:p w:rsidR="00181557" w:rsidRPr="00F13B14" w:rsidRDefault="00181557" w:rsidP="00CE5CB5">
            <w:pPr>
              <w:pStyle w:val="Tablefont"/>
              <w:rPr>
                <w:rFonts w:asciiTheme="minorHAnsi" w:hAnsiTheme="minorHAnsi"/>
              </w:rPr>
            </w:pPr>
          </w:p>
        </w:tc>
        <w:tc>
          <w:tcPr>
            <w:tcW w:w="1305" w:type="dxa"/>
            <w:tcBorders>
              <w:bottom w:val="single" w:sz="2" w:space="0" w:color="000000" w:themeColor="text1"/>
            </w:tcBorders>
            <w:shd w:val="clear" w:color="auto" w:fill="C2D7F8"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ME</w:t>
            </w:r>
          </w:p>
        </w:tc>
        <w:tc>
          <w:tcPr>
            <w:tcW w:w="2797" w:type="dxa"/>
            <w:tcBorders>
              <w:bottom w:val="single" w:sz="2" w:space="0" w:color="000000" w:themeColor="text1"/>
            </w:tcBorders>
            <w:shd w:val="clear" w:color="auto" w:fill="C2D7F8"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Western and central Maine/</w:t>
            </w:r>
            <w:r w:rsidRPr="00F13B14">
              <w:rPr>
                <w:rFonts w:asciiTheme="minorHAnsi" w:hAnsiTheme="minorHAnsi"/>
                <w:sz w:val="18"/>
                <w:szCs w:val="18"/>
              </w:rPr>
              <w:br/>
              <w:t>Saco Valley, New Hampshire</w:t>
            </w:r>
          </w:p>
        </w:tc>
      </w:tr>
      <w:tr w:rsidR="00181557" w:rsidRPr="00F13B14" w:rsidTr="00CE5CB5">
        <w:trPr>
          <w:cnfStyle w:val="000000010000"/>
          <w:trHeight w:val="371"/>
        </w:trPr>
        <w:tc>
          <w:tcPr>
            <w:tcW w:w="4974" w:type="dxa"/>
            <w:vMerge/>
          </w:tcPr>
          <w:p w:rsidR="00181557" w:rsidRPr="00F13B14" w:rsidRDefault="00181557" w:rsidP="00CE5CB5">
            <w:pPr>
              <w:pStyle w:val="Tablefont"/>
              <w:rPr>
                <w:rFonts w:asciiTheme="minorHAnsi" w:hAnsiTheme="minorHAnsi"/>
              </w:rPr>
            </w:pPr>
          </w:p>
        </w:tc>
        <w:tc>
          <w:tcPr>
            <w:tcW w:w="1305" w:type="dxa"/>
            <w:tcBorders>
              <w:bottom w:val="single" w:sz="4" w:space="0" w:color="auto"/>
            </w:tcBorders>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SME</w:t>
            </w:r>
          </w:p>
        </w:tc>
        <w:tc>
          <w:tcPr>
            <w:tcW w:w="2797" w:type="dxa"/>
            <w:tcBorders>
              <w:bottom w:val="single" w:sz="4" w:space="0" w:color="auto"/>
            </w:tcBorders>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Southeastern Maine</w:t>
            </w:r>
          </w:p>
        </w:tc>
      </w:tr>
      <w:tr w:rsidR="00181557" w:rsidRPr="00F13B14" w:rsidTr="00CE5CB5">
        <w:trPr>
          <w:cnfStyle w:val="000000100000"/>
          <w:trHeight w:val="659"/>
        </w:trPr>
        <w:tc>
          <w:tcPr>
            <w:tcW w:w="4974" w:type="dxa"/>
            <w:vMerge/>
          </w:tcPr>
          <w:p w:rsidR="00181557" w:rsidRPr="00F13B14" w:rsidRDefault="00181557" w:rsidP="00CE5CB5">
            <w:pPr>
              <w:pStyle w:val="Tablefont"/>
              <w:rPr>
                <w:rFonts w:asciiTheme="minorHAnsi" w:hAnsiTheme="minorHAnsi"/>
              </w:rPr>
            </w:pPr>
          </w:p>
        </w:tc>
        <w:tc>
          <w:tcPr>
            <w:tcW w:w="1305" w:type="dxa"/>
            <w:tcBorders>
              <w:top w:val="single" w:sz="4" w:space="0" w:color="auto"/>
            </w:tcBorders>
            <w:shd w:val="clear" w:color="auto" w:fill="C2D7F8"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NH</w:t>
            </w:r>
          </w:p>
        </w:tc>
        <w:tc>
          <w:tcPr>
            <w:tcW w:w="2797" w:type="dxa"/>
            <w:tcBorders>
              <w:top w:val="single" w:sz="4" w:space="0" w:color="auto"/>
            </w:tcBorders>
            <w:shd w:val="clear" w:color="auto" w:fill="C2D7F8"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Northern, eastern, and central </w:t>
            </w:r>
            <w:r w:rsidRPr="00F13B14">
              <w:rPr>
                <w:rFonts w:asciiTheme="minorHAnsi" w:hAnsiTheme="minorHAnsi"/>
                <w:sz w:val="18"/>
                <w:szCs w:val="18"/>
              </w:rPr>
              <w:br/>
              <w:t>New Hampshire/eastern Vermont and southwestern Maine</w:t>
            </w:r>
          </w:p>
        </w:tc>
      </w:tr>
      <w:tr w:rsidR="00181557" w:rsidRPr="00F13B14" w:rsidTr="00CE5CB5">
        <w:trPr>
          <w:cnfStyle w:val="000000010000"/>
          <w:trHeight w:val="46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VT</w:t>
            </w:r>
          </w:p>
        </w:tc>
        <w:tc>
          <w:tcPr>
            <w:tcW w:w="2797" w:type="dxa"/>
            <w:shd w:val="clear" w:color="auto" w:fill="FFFFFF" w:themeFill="background1"/>
          </w:tcPr>
          <w:p w:rsidR="00181557" w:rsidRPr="00F13B14" w:rsidRDefault="00181557" w:rsidP="004314AF">
            <w:pPr>
              <w:pStyle w:val="Tablefont"/>
              <w:spacing w:before="0" w:after="0"/>
              <w:rPr>
                <w:rFonts w:asciiTheme="minorHAnsi" w:hAnsiTheme="minorHAnsi"/>
                <w:sz w:val="18"/>
                <w:szCs w:val="18"/>
              </w:rPr>
            </w:pPr>
            <w:r w:rsidRPr="00F13B14">
              <w:rPr>
                <w:rFonts w:asciiTheme="minorHAnsi" w:hAnsiTheme="minorHAnsi"/>
                <w:sz w:val="18"/>
                <w:szCs w:val="18"/>
              </w:rPr>
              <w:t>Vermont/southwestern</w:t>
            </w:r>
            <w:r w:rsidR="004314AF" w:rsidRPr="00F13B14">
              <w:rPr>
                <w:rFonts w:asciiTheme="minorHAnsi" w:hAnsiTheme="minorHAnsi"/>
                <w:sz w:val="18"/>
                <w:szCs w:val="18"/>
              </w:rPr>
              <w:br/>
            </w:r>
            <w:r w:rsidRPr="00F13B14">
              <w:rPr>
                <w:rFonts w:asciiTheme="minorHAnsi" w:hAnsiTheme="minorHAnsi"/>
                <w:sz w:val="18"/>
                <w:szCs w:val="18"/>
              </w:rPr>
              <w:t>New Hampshire</w:t>
            </w:r>
          </w:p>
        </w:tc>
      </w:tr>
      <w:tr w:rsidR="00181557" w:rsidRPr="00F13B14" w:rsidTr="00CE5CB5">
        <w:trPr>
          <w:cnfStyle w:val="000000100000"/>
          <w:trHeight w:val="488"/>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2D7F8"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caps/>
                <w:sz w:val="18"/>
                <w:szCs w:val="18"/>
              </w:rPr>
              <w:t>Boston</w:t>
            </w:r>
            <w:r w:rsidRPr="00F13B14">
              <w:rPr>
                <w:rFonts w:asciiTheme="minorHAnsi" w:hAnsiTheme="minorHAnsi"/>
                <w:caps/>
                <w:sz w:val="18"/>
                <w:szCs w:val="18"/>
              </w:rPr>
              <w:br/>
            </w:r>
            <w:r w:rsidRPr="00F13B14">
              <w:rPr>
                <w:rFonts w:asciiTheme="minorHAnsi" w:hAnsiTheme="minorHAnsi"/>
                <w:sz w:val="18"/>
                <w:szCs w:val="18"/>
              </w:rPr>
              <w:t>(all capitalized)</w:t>
            </w:r>
          </w:p>
        </w:tc>
        <w:tc>
          <w:tcPr>
            <w:tcW w:w="2797" w:type="dxa"/>
            <w:shd w:val="clear" w:color="auto" w:fill="C2D7F8"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Greater Boston, including the North Shore</w:t>
            </w:r>
          </w:p>
        </w:tc>
      </w:tr>
      <w:tr w:rsidR="00181557" w:rsidRPr="00F13B14" w:rsidTr="00CE5CB5">
        <w:trPr>
          <w:cnfStyle w:val="00000001000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CMA/NEMA</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Central Massachusetts/ </w:t>
            </w:r>
            <w:r w:rsidRPr="00F13B14">
              <w:rPr>
                <w:rFonts w:asciiTheme="minorHAnsi" w:hAnsiTheme="minorHAnsi"/>
                <w:sz w:val="18"/>
                <w:szCs w:val="18"/>
              </w:rPr>
              <w:br/>
              <w:t>northeastern Massachusetts</w:t>
            </w:r>
          </w:p>
        </w:tc>
      </w:tr>
      <w:tr w:rsidR="00181557" w:rsidRPr="00F13B14" w:rsidTr="00CE5CB5">
        <w:trPr>
          <w:cnfStyle w:val="000000100000"/>
          <w:trHeight w:val="263"/>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2D7F8"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WMA</w:t>
            </w:r>
          </w:p>
        </w:tc>
        <w:tc>
          <w:tcPr>
            <w:tcW w:w="2797" w:type="dxa"/>
            <w:shd w:val="clear" w:color="auto" w:fill="C2D7F8"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Western Massachusetts</w:t>
            </w:r>
          </w:p>
        </w:tc>
      </w:tr>
      <w:tr w:rsidR="00181557" w:rsidRPr="00F13B14" w:rsidTr="00CE5CB5">
        <w:trPr>
          <w:cnfStyle w:val="00000001000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SEMA</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Southeastern Massachusetts/</w:t>
            </w:r>
            <w:r w:rsidRPr="00F13B14">
              <w:rPr>
                <w:rFonts w:asciiTheme="minorHAnsi" w:hAnsiTheme="minorHAnsi"/>
                <w:sz w:val="18"/>
                <w:szCs w:val="18"/>
              </w:rPr>
              <w:br/>
              <w:t>Newport, Rhode Island</w:t>
            </w:r>
          </w:p>
        </w:tc>
      </w:tr>
      <w:tr w:rsidR="00181557" w:rsidRPr="00F13B14" w:rsidTr="00CE5CB5">
        <w:trPr>
          <w:cnfStyle w:val="00000010000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2D7F8"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RI</w:t>
            </w:r>
          </w:p>
        </w:tc>
        <w:tc>
          <w:tcPr>
            <w:tcW w:w="2797" w:type="dxa"/>
            <w:shd w:val="clear" w:color="auto" w:fill="C2D7F8"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Rhode Island/bordering Massachusetts</w:t>
            </w:r>
          </w:p>
        </w:tc>
      </w:tr>
      <w:tr w:rsidR="00181557" w:rsidRPr="00F13B14" w:rsidTr="00CE5CB5">
        <w:trPr>
          <w:cnfStyle w:val="000000010000"/>
          <w:trHeight w:val="317"/>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CT</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Northern and eastern Connecticut</w:t>
            </w:r>
          </w:p>
        </w:tc>
      </w:tr>
      <w:tr w:rsidR="00181557" w:rsidRPr="00F13B14" w:rsidTr="00CE5CB5">
        <w:trPr>
          <w:cnfStyle w:val="000000100000"/>
          <w:trHeight w:val="29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2D7F8"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SWCT</w:t>
            </w:r>
          </w:p>
        </w:tc>
        <w:tc>
          <w:tcPr>
            <w:tcW w:w="2797" w:type="dxa"/>
            <w:shd w:val="clear" w:color="auto" w:fill="C2D7F8"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Southwestern Connecticut</w:t>
            </w:r>
          </w:p>
        </w:tc>
      </w:tr>
      <w:tr w:rsidR="00181557" w:rsidRPr="00F13B14" w:rsidTr="00CE5CB5">
        <w:trPr>
          <w:cnfStyle w:val="000000010000"/>
          <w:trHeight w:val="38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Norwalk/Stamford, Connecticut</w:t>
            </w:r>
          </w:p>
        </w:tc>
      </w:tr>
      <w:tr w:rsidR="00181557" w:rsidRPr="00F13B14" w:rsidTr="00CE5CB5">
        <w:trPr>
          <w:cnfStyle w:val="000000100000"/>
          <w:trHeight w:val="65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2D7F8"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NB, HQ,</w:t>
            </w:r>
            <w:r w:rsidRPr="00F13B14">
              <w:rPr>
                <w:rFonts w:asciiTheme="minorHAnsi" w:hAnsiTheme="minorHAnsi"/>
                <w:sz w:val="18"/>
                <w:szCs w:val="18"/>
              </w:rPr>
              <w:br/>
              <w:t>and NY</w:t>
            </w:r>
          </w:p>
        </w:tc>
        <w:tc>
          <w:tcPr>
            <w:tcW w:w="2797" w:type="dxa"/>
            <w:shd w:val="clear" w:color="auto" w:fill="C2D7F8"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New Brunswick (Maritimes), </w:t>
            </w:r>
            <w:proofErr w:type="spellStart"/>
            <w:r w:rsidRPr="00F13B14">
              <w:rPr>
                <w:rFonts w:asciiTheme="minorHAnsi" w:hAnsiTheme="minorHAnsi"/>
                <w:sz w:val="18"/>
                <w:szCs w:val="18"/>
              </w:rPr>
              <w:t>Hydro</w:t>
            </w:r>
            <w:r w:rsidRPr="00F13B14">
              <w:rPr>
                <w:rFonts w:asciiTheme="minorHAnsi" w:hAnsiTheme="minorHAnsi" w:cs="Arial"/>
                <w:sz w:val="18"/>
                <w:szCs w:val="18"/>
              </w:rPr>
              <w:t>­</w:t>
            </w:r>
            <w:r w:rsidRPr="00F13B14">
              <w:rPr>
                <w:rFonts w:asciiTheme="minorHAnsi" w:hAnsiTheme="minorHAnsi"/>
                <w:sz w:val="18"/>
                <w:szCs w:val="18"/>
              </w:rPr>
              <w:t>Québec</w:t>
            </w:r>
            <w:proofErr w:type="spellEnd"/>
            <w:r w:rsidRPr="00F13B14">
              <w:rPr>
                <w:rFonts w:asciiTheme="minorHAnsi" w:hAnsiTheme="minorHAnsi"/>
                <w:sz w:val="18"/>
                <w:szCs w:val="18"/>
              </w:rPr>
              <w:t>, and New York external balancing authority areas</w:t>
            </w:r>
          </w:p>
        </w:tc>
      </w:tr>
    </w:tbl>
    <w:p w:rsidR="00181557" w:rsidRDefault="00181557" w:rsidP="00BE6969">
      <w:pPr>
        <w:pStyle w:val="Caption-Figure"/>
        <w:spacing w:after="80"/>
      </w:pPr>
      <w:bookmarkStart w:id="122" w:name="_Ref229901815"/>
      <w:bookmarkStart w:id="123" w:name="_Toc239157182"/>
      <w:bookmarkStart w:id="124" w:name="_Toc271552367"/>
      <w:bookmarkStart w:id="125" w:name="_Toc303086722"/>
      <w:bookmarkStart w:id="126" w:name="_Toc391985564"/>
      <w:r>
        <w:t>Figure </w:t>
      </w:r>
      <w:r w:rsidR="00927965">
        <w:fldChar w:fldCharType="begin"/>
      </w:r>
      <w:r w:rsidR="0011163E">
        <w:instrText xml:space="preserve"> STYLEREF 1 \s </w:instrText>
      </w:r>
      <w:r w:rsidR="00927965">
        <w:fldChar w:fldCharType="separate"/>
      </w:r>
      <w:r w:rsidR="00284CE3">
        <w:rPr>
          <w:noProof/>
        </w:rPr>
        <w:t>2</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3</w:t>
      </w:r>
      <w:r w:rsidR="00927965">
        <w:fldChar w:fldCharType="end"/>
      </w:r>
      <w:bookmarkEnd w:id="122"/>
      <w:r>
        <w:t xml:space="preserve">: </w:t>
      </w:r>
      <w:r w:rsidRPr="00C70BA3">
        <w:t>RSP</w:t>
      </w:r>
      <w:r>
        <w:t>1</w:t>
      </w:r>
      <w:r w:rsidR="009E7BB6">
        <w:t>4</w:t>
      </w:r>
      <w:r w:rsidRPr="00C70BA3">
        <w:t xml:space="preserve"> geographic scope of the New England electric power system.</w:t>
      </w:r>
      <w:bookmarkEnd w:id="123"/>
      <w:bookmarkEnd w:id="124"/>
      <w:bookmarkEnd w:id="125"/>
      <w:bookmarkEnd w:id="126"/>
    </w:p>
    <w:p w:rsidR="00B36607" w:rsidRPr="007A437A" w:rsidRDefault="00181557" w:rsidP="004E50CD">
      <w:pPr>
        <w:spacing w:after="0" w:line="240" w:lineRule="auto"/>
        <w:rPr>
          <w:rFonts w:asciiTheme="minorHAnsi" w:hAnsiTheme="minorHAnsi"/>
          <w:sz w:val="16"/>
          <w:szCs w:val="16"/>
        </w:rPr>
      </w:pPr>
      <w:r w:rsidRPr="007A437A">
        <w:rPr>
          <w:rFonts w:asciiTheme="minorHAnsi" w:hAnsiTheme="minorHAnsi"/>
          <w:b/>
          <w:sz w:val="16"/>
          <w:szCs w:val="16"/>
        </w:rPr>
        <w:t>Notes</w:t>
      </w:r>
      <w:r w:rsidRPr="007A437A">
        <w:rPr>
          <w:rStyle w:val="StyleCaption-Figure-Text8ptNotBold"/>
          <w:rFonts w:asciiTheme="minorHAnsi" w:hAnsiTheme="minorHAnsi"/>
          <w:sz w:val="16"/>
          <w:szCs w:val="16"/>
        </w:rPr>
        <w:t>:</w:t>
      </w:r>
      <w:r w:rsidRPr="007A437A">
        <w:rPr>
          <w:rFonts w:asciiTheme="minorHAnsi" w:hAnsiTheme="minorHAnsi"/>
          <w:sz w:val="16"/>
          <w:szCs w:val="16"/>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w:t>
      </w:r>
      <w:proofErr w:type="gramStart"/>
      <w:r w:rsidRPr="007A437A">
        <w:rPr>
          <w:rFonts w:asciiTheme="minorHAnsi" w:hAnsiTheme="minorHAnsi"/>
          <w:sz w:val="16"/>
          <w:szCs w:val="16"/>
        </w:rPr>
        <w:t>provinces</w:t>
      </w:r>
      <w:proofErr w:type="gramEnd"/>
      <w:r w:rsidRPr="007A437A">
        <w:rPr>
          <w:rFonts w:asciiTheme="minorHAnsi" w:hAnsiTheme="minorHAnsi"/>
          <w:sz w:val="16"/>
          <w:szCs w:val="16"/>
        </w:rPr>
        <w:t>) plus the area served by the Northern Maine Independent System Administrator (USA)</w:t>
      </w:r>
      <w:bookmarkStart w:id="127" w:name="_Toc201669910"/>
      <w:bookmarkStart w:id="128" w:name="_Toc201670756"/>
      <w:bookmarkStart w:id="129" w:name="_Toc201671447"/>
      <w:bookmarkStart w:id="130" w:name="RANGE!A26"/>
      <w:bookmarkStart w:id="131" w:name="_Toc271552420"/>
      <w:bookmarkStart w:id="132" w:name="_Toc303086947"/>
      <w:bookmarkStart w:id="133" w:name="_Ref262120425"/>
      <w:bookmarkEnd w:id="127"/>
      <w:bookmarkEnd w:id="128"/>
      <w:bookmarkEnd w:id="129"/>
      <w:bookmarkEnd w:id="130"/>
      <w:bookmarkEnd w:id="131"/>
      <w:bookmarkEnd w:id="132"/>
      <w:bookmarkEnd w:id="133"/>
      <w:r w:rsidR="00E25111" w:rsidRPr="007A437A">
        <w:rPr>
          <w:rFonts w:asciiTheme="minorHAnsi" w:hAnsiTheme="minorHAnsi"/>
          <w:sz w:val="16"/>
          <w:szCs w:val="16"/>
        </w:rPr>
        <w:t>.</w:t>
      </w:r>
    </w:p>
    <w:p w:rsidR="00DD3B18" w:rsidRDefault="00DD3B18" w:rsidP="004E50CD">
      <w:pPr>
        <w:spacing w:after="0" w:line="240" w:lineRule="auto"/>
        <w:sectPr w:rsidR="00DD3B18" w:rsidSect="00DB025A">
          <w:headerReference w:type="default" r:id="rId24"/>
          <w:footerReference w:type="default" r:id="rId25"/>
          <w:pgSz w:w="12240" w:h="15840"/>
          <w:pgMar w:top="1440" w:right="1440" w:bottom="1440" w:left="1800" w:header="720" w:footer="720" w:gutter="0"/>
          <w:pgNumType w:start="1"/>
          <w:cols w:space="720"/>
          <w:docGrid w:linePitch="360"/>
        </w:sectPr>
      </w:pPr>
    </w:p>
    <w:p w:rsidR="00F27B97" w:rsidRDefault="00F27B97" w:rsidP="00F27B97">
      <w:pPr>
        <w:pStyle w:val="Heading1"/>
      </w:pPr>
      <w:bookmarkStart w:id="134" w:name="_Toc291754867"/>
      <w:r w:rsidRPr="006831AA">
        <w:br/>
      </w:r>
      <w:bookmarkStart w:id="135" w:name="_Ref297977027"/>
      <w:bookmarkStart w:id="136" w:name="_Toc303086359"/>
      <w:bookmarkStart w:id="137" w:name="_Toc334601013"/>
      <w:bookmarkStart w:id="138" w:name="_Toc365440982"/>
      <w:bookmarkStart w:id="139" w:name="_Ref387510633"/>
      <w:bookmarkStart w:id="140" w:name="_Toc396807606"/>
      <w:r w:rsidRPr="0065552E">
        <w:t xml:space="preserve">Forecasts of </w:t>
      </w:r>
      <w:r>
        <w:t xml:space="preserve">New England’s Peak Demand, </w:t>
      </w:r>
      <w:r w:rsidRPr="0065552E">
        <w:t>Annual Use</w:t>
      </w:r>
      <w:r>
        <w:t xml:space="preserve"> </w:t>
      </w:r>
      <w:r w:rsidRPr="0065552E">
        <w:t>of</w:t>
      </w:r>
      <w:r>
        <w:t xml:space="preserve"> </w:t>
      </w:r>
      <w:r w:rsidRPr="0065552E">
        <w:t>Electric</w:t>
      </w:r>
      <w:r>
        <w:t xml:space="preserve"> </w:t>
      </w:r>
      <w:r w:rsidRPr="0065552E">
        <w:t>Energy</w:t>
      </w:r>
      <w:r>
        <w:t>, Energy Efficiency</w:t>
      </w:r>
      <w:bookmarkEnd w:id="134"/>
      <w:bookmarkEnd w:id="135"/>
      <w:bookmarkEnd w:id="136"/>
      <w:bookmarkEnd w:id="137"/>
      <w:bookmarkEnd w:id="138"/>
      <w:r>
        <w:t>, and Distributed Generation</w:t>
      </w:r>
      <w:bookmarkEnd w:id="139"/>
      <w:bookmarkEnd w:id="140"/>
    </w:p>
    <w:p w:rsidR="00F27B97" w:rsidRDefault="00F27B97" w:rsidP="00F27B97">
      <w:r w:rsidRPr="00F6270C">
        <w:t xml:space="preserve">Load forecasts provide key inputs for evaluating the reliability and economic performance of the electric power system under various conditions and for determining whether and when improvements </w:t>
      </w:r>
      <w:proofErr w:type="gramStart"/>
      <w:r w:rsidRPr="00F6270C">
        <w:t>are needed</w:t>
      </w:r>
      <w:proofErr w:type="gramEnd"/>
      <w:r w:rsidRPr="00F6270C">
        <w:t xml:space="preserve">. This section summarizes the forecasts </w:t>
      </w:r>
      <w:r>
        <w:t>for</w:t>
      </w:r>
      <w:r w:rsidRPr="00F6270C">
        <w:t xml:space="preserve"> the annual use of electric energy and peak loads, New England-wide and in </w:t>
      </w:r>
      <w:r>
        <w:t xml:space="preserve">individual </w:t>
      </w:r>
      <w:r w:rsidRPr="00F6270C">
        <w:t xml:space="preserve">states and subareas. It also describes the economic and demographic factors that drive the forecasts and explains the forecasting methodology. </w:t>
      </w:r>
      <w:r>
        <w:t xml:space="preserve">For RSP14, </w:t>
      </w:r>
      <w:r w:rsidRPr="002A14EF">
        <w:t>the underlying methodology for forecasting annual energy use and peak loads</w:t>
      </w:r>
      <w:r>
        <w:t xml:space="preserve"> has not changed from RSP13</w:t>
      </w:r>
      <w:r w:rsidRPr="002A14EF">
        <w:t xml:space="preserve">. </w:t>
      </w:r>
    </w:p>
    <w:p w:rsidR="00F27B97" w:rsidRPr="00DF1A48" w:rsidRDefault="00F27B97" w:rsidP="00F27B97">
      <w:r>
        <w:t xml:space="preserve">Additionally, the </w:t>
      </w:r>
      <w:r w:rsidRPr="002A14EF">
        <w:t>section provides the results of</w:t>
      </w:r>
      <w:r>
        <w:t xml:space="preserve"> </w:t>
      </w:r>
      <w:r w:rsidRPr="002A14EF">
        <w:t xml:space="preserve">the ISO’s regional energy-efficiency (EE) </w:t>
      </w:r>
      <w:r>
        <w:t xml:space="preserve">forecast </w:t>
      </w:r>
      <w:r w:rsidRPr="002A14EF">
        <w:t xml:space="preserve">for the 10-year RSP planning </w:t>
      </w:r>
      <w:r w:rsidRPr="00EB2D21">
        <w:t xml:space="preserve">horizon. The </w:t>
      </w:r>
      <w:r w:rsidRPr="00B54FA4">
        <w:t xml:space="preserve">2014 </w:t>
      </w:r>
      <w:r w:rsidRPr="00EB2D21">
        <w:t>EE forecast</w:t>
      </w:r>
      <w:r>
        <w:t xml:space="preserve"> reduces the peak load and net energy consumption forecasts for New England. The region’s efforts to develop a </w:t>
      </w:r>
      <w:r w:rsidRPr="008A56EC">
        <w:t>distributed generation</w:t>
      </w:r>
      <w:r>
        <w:t xml:space="preserve"> forecast and the </w:t>
      </w:r>
      <w:r w:rsidRPr="00052582">
        <w:t>results o</w:t>
      </w:r>
      <w:r w:rsidR="00103518" w:rsidRPr="00052582">
        <w:t>f</w:t>
      </w:r>
      <w:r w:rsidRPr="00052582">
        <w:t xml:space="preserve"> </w:t>
      </w:r>
      <w:r w:rsidR="00C50436" w:rsidRPr="00052582">
        <w:t>a</w:t>
      </w:r>
      <w:r w:rsidR="00DF1A48" w:rsidRPr="00052582">
        <w:t xml:space="preserve"> </w:t>
      </w:r>
      <w:r w:rsidR="006C5780" w:rsidRPr="00052582">
        <w:t>forecast of regional and state</w:t>
      </w:r>
      <w:r w:rsidR="002E6460" w:rsidRPr="00052582">
        <w:t>-by-state</w:t>
      </w:r>
      <w:r w:rsidR="006C5780" w:rsidRPr="00052582">
        <w:t xml:space="preserve"> photovoltaic capability</w:t>
      </w:r>
      <w:r w:rsidR="000139C5" w:rsidRPr="00052582">
        <w:t xml:space="preserve"> </w:t>
      </w:r>
      <w:r w:rsidRPr="00052582">
        <w:t xml:space="preserve">also </w:t>
      </w:r>
      <w:proofErr w:type="gramStart"/>
      <w:r w:rsidR="000139C5" w:rsidRPr="00052582">
        <w:t xml:space="preserve">are </w:t>
      </w:r>
      <w:r w:rsidRPr="00052582">
        <w:t>discussed</w:t>
      </w:r>
      <w:proofErr w:type="gramEnd"/>
      <w:r w:rsidRPr="00052582">
        <w:t>.</w:t>
      </w:r>
      <w:r w:rsidR="003A6D75">
        <w:t xml:space="preserve"> </w:t>
      </w:r>
    </w:p>
    <w:p w:rsidR="00E63D3A" w:rsidRDefault="00F27B97">
      <w:pPr>
        <w:pStyle w:val="Heading2"/>
      </w:pPr>
      <w:bookmarkStart w:id="141" w:name="_Toc291754868"/>
      <w:bookmarkStart w:id="142" w:name="_Ref293769466"/>
      <w:bookmarkStart w:id="143" w:name="_Ref298241723"/>
      <w:bookmarkStart w:id="144" w:name="_Toc303086360"/>
      <w:r w:rsidRPr="003D257B">
        <w:t xml:space="preserve"> </w:t>
      </w:r>
      <w:bookmarkStart w:id="145" w:name="_Ref325529643"/>
      <w:bookmarkStart w:id="146" w:name="_Toc334601014"/>
      <w:bookmarkStart w:id="147" w:name="_Toc365440983"/>
      <w:bookmarkStart w:id="148" w:name="_Toc396807607"/>
      <w:r w:rsidRPr="003D257B">
        <w:t>ISO New England Load Forecasts</w:t>
      </w:r>
      <w:bookmarkEnd w:id="141"/>
      <w:bookmarkEnd w:id="142"/>
      <w:bookmarkEnd w:id="143"/>
      <w:bookmarkEnd w:id="144"/>
      <w:bookmarkEnd w:id="145"/>
      <w:bookmarkEnd w:id="146"/>
      <w:bookmarkEnd w:id="147"/>
      <w:bookmarkEnd w:id="148"/>
    </w:p>
    <w:p w:rsidR="00F27B97" w:rsidRPr="003F243A" w:rsidRDefault="00F27B97" w:rsidP="00F27B97">
      <w:r w:rsidRPr="003F243A">
        <w:t xml:space="preserve">The ISO </w:t>
      </w:r>
      <w:r>
        <w:t xml:space="preserve">load </w:t>
      </w:r>
      <w:r w:rsidRPr="003F243A">
        <w:t xml:space="preserve">forecasts are estimates of the amount of electric energy the New England states will </w:t>
      </w:r>
      <w:r>
        <w:t>n</w:t>
      </w:r>
      <w:r w:rsidRPr="003F243A">
        <w:t xml:space="preserve">eed annually and during seasonal peak hours. This </w:t>
      </w:r>
      <w:proofErr w:type="gramStart"/>
      <w:r w:rsidRPr="003F243A">
        <w:t>year’s</w:t>
      </w:r>
      <w:proofErr w:type="gramEnd"/>
      <w:r w:rsidRPr="003F243A">
        <w:t xml:space="preserve"> forecast horizon runs from 201</w:t>
      </w:r>
      <w:r>
        <w:t>4</w:t>
      </w:r>
      <w:r w:rsidRPr="003F243A">
        <w:t xml:space="preserve"> through winter 202</w:t>
      </w:r>
      <w:r>
        <w:t>3</w:t>
      </w:r>
      <w:r w:rsidRPr="003F243A">
        <w:t>/202</w:t>
      </w:r>
      <w:r>
        <w:t>4</w:t>
      </w:r>
      <w:r w:rsidRPr="003F243A">
        <w:t xml:space="preserve">. Each forecast cycle updates the data for the region’s historical annual use of electric energy and peak loads by </w:t>
      </w:r>
      <w:r>
        <w:t>add</w:t>
      </w:r>
      <w:r w:rsidRPr="003F243A">
        <w:t xml:space="preserve">ing </w:t>
      </w:r>
      <w:r>
        <w:t>another</w:t>
      </w:r>
      <w:r w:rsidRPr="003F243A">
        <w:t xml:space="preserve"> year of data</w:t>
      </w:r>
      <w:r>
        <w:t xml:space="preserve"> to the sample</w:t>
      </w:r>
      <w:r w:rsidRPr="003F243A">
        <w:t xml:space="preserve">, </w:t>
      </w:r>
      <w:r>
        <w:t xml:space="preserve">incorporating </w:t>
      </w:r>
      <w:r w:rsidRPr="003F243A">
        <w:t xml:space="preserve">the most recent economic and </w:t>
      </w:r>
      <w:r w:rsidRPr="00B46F37">
        <w:t xml:space="preserve">demographic forecasts, and </w:t>
      </w:r>
      <w:r>
        <w:t xml:space="preserve">making adjustments for </w:t>
      </w:r>
      <w:r w:rsidRPr="00B46F37">
        <w:t>resettlement that include meter corrections.</w:t>
      </w:r>
      <w:r w:rsidRPr="00B46F37">
        <w:rPr>
          <w:vertAlign w:val="superscript"/>
        </w:rPr>
        <w:footnoteReference w:id="99"/>
      </w:r>
    </w:p>
    <w:p w:rsidR="00F27B97" w:rsidRDefault="00927965" w:rsidP="00F27B97">
      <w:fldSimple w:instr=" REF _Ref302644950 \h  \* MERGEFORMAT ">
        <w:r w:rsidR="00284CE3" w:rsidRPr="00D637CF">
          <w:t xml:space="preserve">Table </w:t>
        </w:r>
        <w:r w:rsidR="00284CE3">
          <w:rPr>
            <w:noProof/>
          </w:rPr>
          <w:t>3</w:t>
        </w:r>
        <w:r w:rsidR="00284CE3">
          <w:rPr>
            <w:noProof/>
          </w:rPr>
          <w:noBreakHyphen/>
          <w:t>1</w:t>
        </w:r>
      </w:fldSimple>
      <w:r w:rsidR="00F27B97" w:rsidRPr="002600C8">
        <w:t xml:space="preserve"> summarizes the ISO’s forecasts of annual electric energy use and seasonal peak load</w:t>
      </w:r>
      <w:r w:rsidR="00F27B97" w:rsidRPr="00F02524">
        <w:t xml:space="preserve"> (50/50</w:t>
      </w:r>
      <w:r w:rsidR="00F27B97" w:rsidRPr="003F243A">
        <w:t xml:space="preserve"> and </w:t>
      </w:r>
      <w:r w:rsidR="00F27B97" w:rsidRPr="005253C6">
        <w:t>90/10) for New England overall and for each state.</w:t>
      </w:r>
      <w:r w:rsidR="00F27B97" w:rsidRPr="005253C6">
        <w:rPr>
          <w:rStyle w:val="FootnoteReference"/>
          <w:sz w:val="22"/>
        </w:rPr>
        <w:footnoteReference w:id="100"/>
      </w:r>
      <w:r w:rsidR="00F27B97" w:rsidRPr="005253C6">
        <w:t xml:space="preserve"> </w:t>
      </w:r>
      <w:r w:rsidR="00F27B97" w:rsidRPr="005F6778">
        <w:t>RSP1</w:t>
      </w:r>
      <w:r w:rsidR="00F27B97">
        <w:t>4</w:t>
      </w:r>
      <w:r w:rsidR="00F27B97" w:rsidRPr="005F6778">
        <w:t xml:space="preserve"> forecasts of annual energy use</w:t>
      </w:r>
      <w:r w:rsidR="00F27B97">
        <w:t>,</w:t>
      </w:r>
      <w:r w:rsidR="00F27B97" w:rsidRPr="005F6778">
        <w:t xml:space="preserve"> and </w:t>
      </w:r>
      <w:r w:rsidR="00F27B97">
        <w:t xml:space="preserve">both </w:t>
      </w:r>
      <w:r w:rsidR="00F27B97" w:rsidRPr="003E7202">
        <w:t xml:space="preserve">summer and </w:t>
      </w:r>
      <w:r w:rsidR="00F27B97" w:rsidRPr="00F1378E">
        <w:t>winter seasonal peak conditions</w:t>
      </w:r>
      <w:r w:rsidR="00F27B97" w:rsidRPr="003E7202">
        <w:t xml:space="preserve"> are </w:t>
      </w:r>
      <w:r w:rsidR="00F27B97">
        <w:t>similar</w:t>
      </w:r>
      <w:r w:rsidR="00F27B97" w:rsidRPr="003E7202">
        <w:t xml:space="preserve"> </w:t>
      </w:r>
      <w:r w:rsidR="00F27B97">
        <w:t>to</w:t>
      </w:r>
      <w:r w:rsidR="00F27B97" w:rsidRPr="003E7202">
        <w:t xml:space="preserve"> those</w:t>
      </w:r>
      <w:r w:rsidR="00F27B97" w:rsidRPr="005F6778">
        <w:t xml:space="preserve"> published in RSP1</w:t>
      </w:r>
      <w:r w:rsidR="00F27B97">
        <w:t>3.</w:t>
      </w:r>
      <w:r w:rsidR="00F27B97">
        <w:rPr>
          <w:rStyle w:val="FootnoteReference"/>
        </w:rPr>
        <w:footnoteReference w:id="101"/>
      </w:r>
      <w:r w:rsidR="00F27B97">
        <w:t xml:space="preserve"> </w:t>
      </w:r>
      <w:r w:rsidR="00F27B97" w:rsidRPr="00F1378E">
        <w:t>C</w:t>
      </w:r>
      <w:r w:rsidR="00F27B97">
        <w:t xml:space="preserve">ompared with the RSP13 forecast, the </w:t>
      </w:r>
      <w:r w:rsidR="00F27B97" w:rsidRPr="00D637CF">
        <w:t>RSP14 50/50 load forecast for summer peak demand is 125 MW lower in 2014 and 205 MW lower in 2022.</w:t>
      </w:r>
      <w:r w:rsidR="00F27B97">
        <w:t xml:space="preserve"> </w:t>
      </w:r>
    </w:p>
    <w:p w:rsidR="00F27B97" w:rsidRDefault="00F27B97" w:rsidP="00F27B97">
      <w:pPr>
        <w:pStyle w:val="Caption"/>
      </w:pPr>
      <w:bookmarkStart w:id="149" w:name="_Ref302644950"/>
      <w:bookmarkStart w:id="150" w:name="_Toc303086928"/>
      <w:bookmarkStart w:id="151" w:name="_Toc330401249"/>
      <w:bookmarkStart w:id="152" w:name="_Toc334541922"/>
      <w:bookmarkStart w:id="153" w:name="_Toc334541959"/>
      <w:bookmarkStart w:id="154" w:name="_Toc365440697"/>
      <w:bookmarkStart w:id="155" w:name="_Toc391985595"/>
      <w:r w:rsidRPr="00D637CF">
        <w:t xml:space="preserve">Table </w:t>
      </w:r>
      <w:r w:rsidR="00927965">
        <w:fldChar w:fldCharType="begin"/>
      </w:r>
      <w:r w:rsidR="00BD7584">
        <w:instrText xml:space="preserve"> STYLEREF 1 \s </w:instrText>
      </w:r>
      <w:r w:rsidR="00927965">
        <w:fldChar w:fldCharType="separate"/>
      </w:r>
      <w:r w:rsidR="00284CE3">
        <w:rPr>
          <w:noProof/>
        </w:rPr>
        <w:t>3</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1</w:t>
      </w:r>
      <w:r w:rsidR="00927965">
        <w:fldChar w:fldCharType="end"/>
      </w:r>
      <w:bookmarkEnd w:id="149"/>
      <w:r w:rsidRPr="00D637CF">
        <w:br/>
      </w:r>
      <w:r w:rsidRPr="00AA24C1">
        <w:t>Summary of Annual Electric Energy Use and Peak Demand Forecast for New England</w:t>
      </w:r>
      <w:r w:rsidRPr="00AA24C1">
        <w:br/>
        <w:t>and the States</w:t>
      </w:r>
      <w:bookmarkEnd w:id="150"/>
      <w:bookmarkEnd w:id="151"/>
      <w:bookmarkEnd w:id="152"/>
      <w:bookmarkEnd w:id="153"/>
      <w:bookmarkEnd w:id="154"/>
      <w:r w:rsidRPr="00AA24C1">
        <w:t>, 2014/2015 and 2023/2024</w:t>
      </w:r>
      <w:bookmarkEnd w:id="155"/>
    </w:p>
    <w:tbl>
      <w:tblPr>
        <w:tblW w:w="1055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tblPr>
      <w:tblGrid>
        <w:gridCol w:w="1080"/>
        <w:gridCol w:w="810"/>
        <w:gridCol w:w="748"/>
        <w:gridCol w:w="720"/>
        <w:gridCol w:w="720"/>
        <w:gridCol w:w="720"/>
        <w:gridCol w:w="720"/>
        <w:gridCol w:w="720"/>
        <w:gridCol w:w="720"/>
        <w:gridCol w:w="720"/>
        <w:gridCol w:w="720"/>
        <w:gridCol w:w="720"/>
        <w:gridCol w:w="720"/>
        <w:gridCol w:w="720"/>
      </w:tblGrid>
      <w:tr w:rsidR="00F27B97" w:rsidRPr="00043AC6" w:rsidTr="00B9134E">
        <w:trPr>
          <w:cantSplit/>
          <w:jc w:val="center"/>
        </w:trPr>
        <w:tc>
          <w:tcPr>
            <w:tcW w:w="1080" w:type="dxa"/>
            <w:vMerge w:val="restart"/>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Pr>
                <w:rFonts w:ascii="Calibri" w:hAnsi="Calibri" w:cs="Arial"/>
                <w:b/>
                <w:color w:val="FFFFFF"/>
                <w:sz w:val="16"/>
                <w:szCs w:val="16"/>
              </w:rPr>
              <w:t>State</w:t>
            </w:r>
            <w:r w:rsidRPr="00EE1EC5">
              <w:rPr>
                <w:rFonts w:ascii="Calibri" w:hAnsi="Calibri" w:cs="Arial"/>
                <w:b/>
                <w:color w:val="FFFFFF"/>
                <w:sz w:val="16"/>
                <w:szCs w:val="16"/>
                <w:vertAlign w:val="superscript"/>
              </w:rPr>
              <w:t>(a)</w:t>
            </w:r>
          </w:p>
        </w:tc>
        <w:tc>
          <w:tcPr>
            <w:tcW w:w="2278" w:type="dxa"/>
            <w:gridSpan w:val="3"/>
            <w:vMerge w:val="restart"/>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Net Energy for Load</w:t>
            </w:r>
            <w:r w:rsidRPr="00043AC6">
              <w:rPr>
                <w:rFonts w:ascii="Calibri" w:hAnsi="Calibri" w:cs="Arial"/>
                <w:b/>
                <w:color w:val="FFFFFF"/>
                <w:sz w:val="16"/>
                <w:szCs w:val="16"/>
              </w:rPr>
              <w:br/>
              <w:t>(1,000 </w:t>
            </w:r>
            <w:proofErr w:type="spellStart"/>
            <w:r w:rsidRPr="00043AC6">
              <w:rPr>
                <w:rFonts w:ascii="Calibri" w:hAnsi="Calibri" w:cs="Arial"/>
                <w:b/>
                <w:color w:val="FFFFFF"/>
                <w:sz w:val="16"/>
                <w:szCs w:val="16"/>
              </w:rPr>
              <w:t>MWh</w:t>
            </w:r>
            <w:proofErr w:type="spellEnd"/>
            <w:r w:rsidRPr="00043AC6">
              <w:rPr>
                <w:rFonts w:ascii="Calibri" w:hAnsi="Calibri" w:cs="Arial"/>
                <w:b/>
                <w:color w:val="FFFFFF"/>
                <w:sz w:val="16"/>
                <w:szCs w:val="16"/>
              </w:rPr>
              <w:t>)</w:t>
            </w:r>
          </w:p>
        </w:tc>
        <w:tc>
          <w:tcPr>
            <w:tcW w:w="3600" w:type="dxa"/>
            <w:gridSpan w:val="5"/>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Summer Peak Loads (MW)</w:t>
            </w:r>
          </w:p>
        </w:tc>
        <w:tc>
          <w:tcPr>
            <w:tcW w:w="3600" w:type="dxa"/>
            <w:gridSpan w:val="5"/>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Winter Peak Loads (MW)</w:t>
            </w:r>
          </w:p>
        </w:tc>
      </w:tr>
      <w:tr w:rsidR="00F27B97" w:rsidRPr="00043AC6" w:rsidTr="00B9134E">
        <w:trPr>
          <w:cantSplit/>
          <w:jc w:val="center"/>
        </w:trPr>
        <w:tc>
          <w:tcPr>
            <w:tcW w:w="1080" w:type="dxa"/>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p>
        </w:tc>
        <w:tc>
          <w:tcPr>
            <w:tcW w:w="2278" w:type="dxa"/>
            <w:gridSpan w:val="3"/>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p>
        </w:tc>
        <w:tc>
          <w:tcPr>
            <w:tcW w:w="1440" w:type="dxa"/>
            <w:gridSpan w:val="2"/>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50/50</w:t>
            </w:r>
          </w:p>
        </w:tc>
        <w:tc>
          <w:tcPr>
            <w:tcW w:w="1440" w:type="dxa"/>
            <w:gridSpan w:val="2"/>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90/10</w:t>
            </w:r>
          </w:p>
        </w:tc>
        <w:tc>
          <w:tcPr>
            <w:tcW w:w="720" w:type="dxa"/>
            <w:vMerge w:val="restart"/>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CAGR</w:t>
            </w:r>
            <w:r w:rsidRPr="00043AC6">
              <w:rPr>
                <w:rFonts w:ascii="Calibri" w:hAnsi="Calibri" w:cs="Arial"/>
                <w:b/>
                <w:color w:val="FFFFFF"/>
                <w:sz w:val="16"/>
                <w:szCs w:val="16"/>
                <w:vertAlign w:val="superscript"/>
              </w:rPr>
              <w:t>(b)</w:t>
            </w:r>
          </w:p>
        </w:tc>
        <w:tc>
          <w:tcPr>
            <w:tcW w:w="1440" w:type="dxa"/>
            <w:gridSpan w:val="2"/>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50/50</w:t>
            </w:r>
          </w:p>
        </w:tc>
        <w:tc>
          <w:tcPr>
            <w:tcW w:w="1440" w:type="dxa"/>
            <w:gridSpan w:val="2"/>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90/10</w:t>
            </w:r>
          </w:p>
        </w:tc>
        <w:tc>
          <w:tcPr>
            <w:tcW w:w="720" w:type="dxa"/>
            <w:vMerge w:val="restart"/>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CAGR</w:t>
            </w:r>
            <w:r w:rsidRPr="00043AC6">
              <w:rPr>
                <w:rFonts w:ascii="Calibri" w:hAnsi="Calibri" w:cs="Arial"/>
                <w:b/>
                <w:color w:val="FFFFFF"/>
                <w:sz w:val="16"/>
                <w:szCs w:val="16"/>
                <w:vertAlign w:val="superscript"/>
              </w:rPr>
              <w:t>(b)</w:t>
            </w:r>
          </w:p>
        </w:tc>
      </w:tr>
      <w:tr w:rsidR="00F27B97" w:rsidRPr="00043AC6" w:rsidTr="00B9134E">
        <w:trPr>
          <w:cantSplit/>
          <w:jc w:val="center"/>
        </w:trPr>
        <w:tc>
          <w:tcPr>
            <w:tcW w:w="1080" w:type="dxa"/>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p>
        </w:tc>
        <w:tc>
          <w:tcPr>
            <w:tcW w:w="81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w:t>
            </w:r>
          </w:p>
        </w:tc>
        <w:tc>
          <w:tcPr>
            <w:tcW w:w="748"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hAnsi="Calibri" w:cs="Arial"/>
                <w:b/>
                <w:color w:val="FFFFFF"/>
                <w:sz w:val="16"/>
                <w:szCs w:val="16"/>
              </w:rPr>
            </w:pPr>
            <w:r w:rsidRPr="00043AC6">
              <w:rPr>
                <w:rFonts w:ascii="Calibri" w:hAnsi="Calibri" w:cs="Arial"/>
                <w:b/>
                <w:color w:val="FFFFFF"/>
                <w:sz w:val="16"/>
                <w:szCs w:val="16"/>
              </w:rPr>
              <w:t>2023</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CAGR</w:t>
            </w:r>
            <w:r w:rsidRPr="00043AC6">
              <w:rPr>
                <w:rFonts w:ascii="Calibri" w:hAnsi="Calibri" w:cs="Arial"/>
                <w:b/>
                <w:color w:val="FFFFFF"/>
                <w:sz w:val="16"/>
                <w:szCs w:val="16"/>
                <w:vertAlign w:val="superscript"/>
              </w:rPr>
              <w:t>(b)</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2023</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2023</w:t>
            </w:r>
          </w:p>
        </w:tc>
        <w:tc>
          <w:tcPr>
            <w:tcW w:w="720" w:type="dxa"/>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2014/15</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2023/24</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2014/15</w:t>
            </w:r>
          </w:p>
        </w:tc>
        <w:tc>
          <w:tcPr>
            <w:tcW w:w="720" w:type="dxa"/>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r w:rsidRPr="00043AC6">
              <w:rPr>
                <w:rFonts w:ascii="Calibri" w:hAnsi="Calibri" w:cs="Arial"/>
                <w:b/>
                <w:color w:val="FFFFFF"/>
                <w:sz w:val="16"/>
                <w:szCs w:val="16"/>
              </w:rPr>
              <w:t>2023/24</w:t>
            </w:r>
          </w:p>
        </w:tc>
        <w:tc>
          <w:tcPr>
            <w:tcW w:w="720" w:type="dxa"/>
            <w:vMerge/>
            <w:shd w:val="clear" w:color="auto" w:fill="85AFF2"/>
            <w:noWrap/>
            <w:tcMar>
              <w:top w:w="58" w:type="dxa"/>
              <w:left w:w="0" w:type="dxa"/>
              <w:bottom w:w="58" w:type="dxa"/>
              <w:right w:w="0" w:type="dxa"/>
            </w:tcMar>
            <w:vAlign w:val="center"/>
          </w:tcPr>
          <w:p w:rsidR="00F27B97" w:rsidRPr="00043AC6" w:rsidRDefault="00F27B97" w:rsidP="008B1384">
            <w:pPr>
              <w:spacing w:after="0" w:line="240" w:lineRule="auto"/>
              <w:jc w:val="center"/>
              <w:rPr>
                <w:rFonts w:ascii="Calibri" w:eastAsia="Arial Unicode MS" w:hAnsi="Calibri" w:cs="Arial"/>
                <w:b/>
                <w:color w:val="FFFFFF"/>
                <w:sz w:val="16"/>
                <w:szCs w:val="16"/>
              </w:rPr>
            </w:pPr>
          </w:p>
        </w:tc>
      </w:tr>
      <w:tr w:rsidR="00F27B97" w:rsidRPr="00043AC6" w:rsidTr="00B9134E">
        <w:trPr>
          <w:cantSplit/>
          <w:trHeight w:val="255"/>
          <w:jc w:val="center"/>
        </w:trPr>
        <w:tc>
          <w:tcPr>
            <w:tcW w:w="1080" w:type="dxa"/>
            <w:shd w:val="clear" w:color="auto" w:fill="FFFFFF"/>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CT</w:t>
            </w:r>
          </w:p>
        </w:tc>
        <w:tc>
          <w:tcPr>
            <w:tcW w:w="81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34,390</w:t>
            </w:r>
          </w:p>
        </w:tc>
        <w:tc>
          <w:tcPr>
            <w:tcW w:w="748"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37,495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7,415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8,165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8,100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8,890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5,725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5,910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5,895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6,080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0.3</w:t>
            </w:r>
          </w:p>
        </w:tc>
      </w:tr>
      <w:tr w:rsidR="00F27B97" w:rsidRPr="00043AC6" w:rsidTr="00B9134E">
        <w:trPr>
          <w:cantSplit/>
          <w:trHeight w:val="255"/>
          <w:jc w:val="center"/>
        </w:trPr>
        <w:tc>
          <w:tcPr>
            <w:tcW w:w="1080" w:type="dxa"/>
            <w:shd w:val="clear" w:color="auto" w:fill="C2D7F8"/>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ME</w:t>
            </w:r>
          </w:p>
        </w:tc>
        <w:tc>
          <w:tcPr>
            <w:tcW w:w="81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12,265</w:t>
            </w:r>
          </w:p>
        </w:tc>
        <w:tc>
          <w:tcPr>
            <w:tcW w:w="748"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13,175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0.8</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2,110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2,315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2,240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2,465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1,930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1,985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2,020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2,080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0.3</w:t>
            </w:r>
          </w:p>
        </w:tc>
      </w:tr>
      <w:tr w:rsidR="00F27B97" w:rsidRPr="00043AC6" w:rsidTr="00B9134E">
        <w:trPr>
          <w:cantSplit/>
          <w:trHeight w:val="255"/>
          <w:jc w:val="center"/>
        </w:trPr>
        <w:tc>
          <w:tcPr>
            <w:tcW w:w="1080" w:type="dxa"/>
            <w:shd w:val="clear" w:color="auto" w:fill="FFFFFF"/>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MA</w:t>
            </w:r>
          </w:p>
        </w:tc>
        <w:tc>
          <w:tcPr>
            <w:tcW w:w="81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63,875</w:t>
            </w:r>
          </w:p>
        </w:tc>
        <w:tc>
          <w:tcPr>
            <w:tcW w:w="748"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70,525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13,060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14,860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14,070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16,000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10,380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11,040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10,645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11,305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0.7</w:t>
            </w:r>
          </w:p>
        </w:tc>
      </w:tr>
      <w:tr w:rsidR="00F27B97" w:rsidRPr="00043AC6" w:rsidTr="00B9134E">
        <w:trPr>
          <w:cantSplit/>
          <w:trHeight w:val="255"/>
          <w:jc w:val="center"/>
        </w:trPr>
        <w:tc>
          <w:tcPr>
            <w:tcW w:w="1080" w:type="dxa"/>
            <w:shd w:val="clear" w:color="auto" w:fill="C2D7F8"/>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NH</w:t>
            </w:r>
          </w:p>
        </w:tc>
        <w:tc>
          <w:tcPr>
            <w:tcW w:w="81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12,370</w:t>
            </w:r>
          </w:p>
        </w:tc>
        <w:tc>
          <w:tcPr>
            <w:tcW w:w="748"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13,700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2,555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2,940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2,745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3,170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1.6</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2,055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2,210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2,175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2,330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0.8</w:t>
            </w:r>
          </w:p>
        </w:tc>
      </w:tr>
      <w:tr w:rsidR="00F27B97" w:rsidRPr="00043AC6" w:rsidTr="00B9134E">
        <w:trPr>
          <w:cantSplit/>
          <w:trHeight w:val="255"/>
          <w:jc w:val="center"/>
        </w:trPr>
        <w:tc>
          <w:tcPr>
            <w:tcW w:w="1080" w:type="dxa"/>
            <w:shd w:val="clear" w:color="auto" w:fill="FFFFFF"/>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RI</w:t>
            </w:r>
          </w:p>
        </w:tc>
        <w:tc>
          <w:tcPr>
            <w:tcW w:w="81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8,755</w:t>
            </w:r>
          </w:p>
        </w:tc>
        <w:tc>
          <w:tcPr>
            <w:tcW w:w="748"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9,455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0.9</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1,920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2,150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2,165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2,430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1.3</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1,410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1,445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1,450</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1,485</w:t>
            </w:r>
          </w:p>
        </w:tc>
        <w:tc>
          <w:tcPr>
            <w:tcW w:w="720" w:type="dxa"/>
            <w:shd w:val="clear" w:color="auto" w:fill="FFFFFF"/>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0.3</w:t>
            </w:r>
          </w:p>
        </w:tc>
      </w:tr>
      <w:tr w:rsidR="00F27B97" w:rsidRPr="00043AC6" w:rsidTr="00B9134E">
        <w:trPr>
          <w:cantSplit/>
          <w:trHeight w:val="270"/>
          <w:jc w:val="center"/>
        </w:trPr>
        <w:tc>
          <w:tcPr>
            <w:tcW w:w="1080" w:type="dxa"/>
            <w:shd w:val="clear" w:color="auto" w:fill="C2D7F8"/>
            <w:noWrap/>
            <w:tcMar>
              <w:top w:w="58" w:type="dxa"/>
              <w:left w:w="115" w:type="dxa"/>
              <w:bottom w:w="58" w:type="dxa"/>
            </w:tcMar>
            <w:vAlign w:val="center"/>
          </w:tcPr>
          <w:p w:rsidR="00F27B97" w:rsidRPr="00043AC6" w:rsidRDefault="00F27B97" w:rsidP="008B1384">
            <w:pPr>
              <w:spacing w:after="0" w:line="240" w:lineRule="auto"/>
              <w:rPr>
                <w:rFonts w:ascii="Calibri" w:eastAsia="Arial Unicode MS" w:hAnsi="Calibri" w:cs="Arial"/>
                <w:b/>
                <w:sz w:val="16"/>
                <w:szCs w:val="16"/>
              </w:rPr>
            </w:pPr>
            <w:r w:rsidRPr="00043AC6">
              <w:rPr>
                <w:rFonts w:ascii="Calibri" w:hAnsi="Calibri" w:cs="Arial"/>
                <w:b/>
                <w:sz w:val="16"/>
                <w:szCs w:val="16"/>
              </w:rPr>
              <w:t>VT</w:t>
            </w:r>
          </w:p>
        </w:tc>
        <w:tc>
          <w:tcPr>
            <w:tcW w:w="81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6,730</w:t>
            </w:r>
          </w:p>
        </w:tc>
        <w:tc>
          <w:tcPr>
            <w:tcW w:w="748"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7,175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0.7</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1,100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1,190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1,145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1,240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0.9</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1,080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1,145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1,135</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1,200</w:t>
            </w:r>
          </w:p>
        </w:tc>
        <w:tc>
          <w:tcPr>
            <w:tcW w:w="720" w:type="dxa"/>
            <w:shd w:val="clear" w:color="auto" w:fill="C2D7F8"/>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color w:val="000000"/>
                <w:sz w:val="16"/>
                <w:szCs w:val="16"/>
              </w:rPr>
            </w:pPr>
            <w:r w:rsidRPr="00043AC6">
              <w:rPr>
                <w:rFonts w:ascii="Calibri" w:hAnsi="Calibri"/>
                <w:color w:val="000000"/>
                <w:sz w:val="16"/>
                <w:szCs w:val="16"/>
              </w:rPr>
              <w:t>0.6</w:t>
            </w:r>
          </w:p>
        </w:tc>
      </w:tr>
      <w:tr w:rsidR="00F27B97" w:rsidRPr="00043AC6" w:rsidTr="00B9134E">
        <w:trPr>
          <w:cantSplit/>
          <w:trHeight w:val="270"/>
          <w:jc w:val="center"/>
        </w:trPr>
        <w:tc>
          <w:tcPr>
            <w:tcW w:w="1080" w:type="dxa"/>
            <w:shd w:val="clear" w:color="auto" w:fill="85AFF2"/>
            <w:noWrap/>
            <w:tcMar>
              <w:top w:w="58" w:type="dxa"/>
              <w:left w:w="115" w:type="dxa"/>
              <w:bottom w:w="58" w:type="dxa"/>
            </w:tcMar>
            <w:vAlign w:val="center"/>
          </w:tcPr>
          <w:p w:rsidR="00F27B97" w:rsidRPr="00043AC6" w:rsidRDefault="00F27B97" w:rsidP="008B1384">
            <w:pPr>
              <w:spacing w:after="0" w:line="240" w:lineRule="auto"/>
              <w:rPr>
                <w:rFonts w:ascii="Calibri" w:hAnsi="Calibri" w:cs="Arial"/>
                <w:b/>
                <w:color w:val="FFFFFF"/>
                <w:sz w:val="16"/>
                <w:szCs w:val="16"/>
              </w:rPr>
            </w:pPr>
            <w:r w:rsidRPr="00043AC6">
              <w:rPr>
                <w:rFonts w:ascii="Calibri" w:hAnsi="Calibri" w:cs="Arial"/>
                <w:b/>
                <w:color w:val="FFFFFF"/>
                <w:sz w:val="16"/>
                <w:szCs w:val="16"/>
              </w:rPr>
              <w:t>New England</w:t>
            </w:r>
          </w:p>
        </w:tc>
        <w:tc>
          <w:tcPr>
            <w:tcW w:w="81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138,390</w:t>
            </w:r>
          </w:p>
        </w:tc>
        <w:tc>
          <w:tcPr>
            <w:tcW w:w="748"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151,525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1.0</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28,165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31,620</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30,470</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34,195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1.3</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22,575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23,735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23,325</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24,480</w:t>
            </w:r>
          </w:p>
        </w:tc>
        <w:tc>
          <w:tcPr>
            <w:tcW w:w="720" w:type="dxa"/>
            <w:shd w:val="clear" w:color="auto" w:fill="85AFF2"/>
            <w:noWrap/>
            <w:tcMar>
              <w:top w:w="58" w:type="dxa"/>
              <w:left w:w="0" w:type="dxa"/>
              <w:bottom w:w="58" w:type="dxa"/>
            </w:tcMar>
            <w:vAlign w:val="center"/>
          </w:tcPr>
          <w:p w:rsidR="00F27B97" w:rsidRPr="00043AC6" w:rsidRDefault="00F27B97" w:rsidP="008B1384">
            <w:pPr>
              <w:autoSpaceDE w:val="0"/>
              <w:autoSpaceDN w:val="0"/>
              <w:adjustRightInd w:val="0"/>
              <w:spacing w:after="0" w:line="240" w:lineRule="auto"/>
              <w:jc w:val="right"/>
              <w:rPr>
                <w:rFonts w:ascii="Calibri" w:hAnsi="Calibri" w:cs="Calibri"/>
                <w:b/>
                <w:color w:val="FFFFFF"/>
                <w:sz w:val="16"/>
                <w:szCs w:val="16"/>
              </w:rPr>
            </w:pPr>
            <w:r w:rsidRPr="00043AC6">
              <w:rPr>
                <w:rFonts w:ascii="Calibri" w:hAnsi="Calibri"/>
                <w:b/>
                <w:color w:val="FFFFFF"/>
                <w:sz w:val="16"/>
                <w:szCs w:val="16"/>
              </w:rPr>
              <w:t>0.6</w:t>
            </w:r>
          </w:p>
        </w:tc>
      </w:tr>
    </w:tbl>
    <w:p w:rsidR="00F27B97" w:rsidRPr="00D417E6" w:rsidRDefault="00F27B97" w:rsidP="00DF1A48">
      <w:pPr>
        <w:pStyle w:val="TableNote"/>
        <w:keepLines/>
        <w:numPr>
          <w:ilvl w:val="0"/>
          <w:numId w:val="23"/>
        </w:numPr>
        <w:tabs>
          <w:tab w:val="left" w:pos="-720"/>
        </w:tabs>
        <w:spacing w:before="120" w:after="80"/>
        <w:ind w:left="-450" w:right="-810" w:hanging="270"/>
        <w:rPr>
          <w:rFonts w:ascii="Calibri" w:hAnsi="Calibri"/>
          <w:szCs w:val="16"/>
        </w:rPr>
      </w:pPr>
      <w:r w:rsidRPr="00D417E6">
        <w:rPr>
          <w:rFonts w:ascii="Calibri" w:hAnsi="Calibri"/>
          <w:szCs w:val="16"/>
        </w:rPr>
        <w:t>A variety of factors cause state growth rates to differ from the overall growth rate for New England. For example, Connecticut has the fastest-growing economy in New England, and Maine has the slowest-growing economy in the region.</w:t>
      </w:r>
    </w:p>
    <w:p w:rsidR="00F27B97" w:rsidRPr="00D417E6" w:rsidRDefault="009F604E" w:rsidP="00DF1A48">
      <w:pPr>
        <w:pStyle w:val="TableNote"/>
        <w:keepLines/>
        <w:numPr>
          <w:ilvl w:val="0"/>
          <w:numId w:val="23"/>
        </w:numPr>
        <w:tabs>
          <w:tab w:val="left" w:pos="-720"/>
        </w:tabs>
        <w:spacing w:before="0" w:after="240"/>
        <w:ind w:left="-450" w:right="-810" w:hanging="270"/>
        <w:rPr>
          <w:rFonts w:ascii="Calibri" w:hAnsi="Calibri"/>
          <w:szCs w:val="16"/>
        </w:rPr>
      </w:pPr>
      <w:r w:rsidRPr="00D417E6">
        <w:rPr>
          <w:rFonts w:ascii="Calibri" w:hAnsi="Calibri"/>
          <w:szCs w:val="16"/>
        </w:rPr>
        <w:t>“</w:t>
      </w:r>
      <w:r w:rsidR="00F27B97" w:rsidRPr="00D417E6">
        <w:rPr>
          <w:rFonts w:ascii="Calibri" w:hAnsi="Calibri"/>
          <w:szCs w:val="16"/>
        </w:rPr>
        <w:t>CAGR</w:t>
      </w:r>
      <w:r w:rsidRPr="00D417E6">
        <w:rPr>
          <w:rFonts w:ascii="Calibri" w:hAnsi="Calibri"/>
          <w:szCs w:val="16"/>
        </w:rPr>
        <w:t>”</w:t>
      </w:r>
      <w:r w:rsidR="00F27B97" w:rsidRPr="00D417E6">
        <w:rPr>
          <w:rFonts w:ascii="Calibri" w:hAnsi="Calibri"/>
          <w:szCs w:val="16"/>
        </w:rPr>
        <w:t xml:space="preserve"> stands for compound annual growth rate.</w:t>
      </w:r>
    </w:p>
    <w:p w:rsidR="00F27B97" w:rsidRDefault="00F27B97" w:rsidP="00F27B97">
      <w:r w:rsidRPr="00FB05ED">
        <w:rPr>
          <w:i/>
        </w:rPr>
        <w:t>Net energy for load</w:t>
      </w:r>
      <w:r w:rsidRPr="005253C6">
        <w:t xml:space="preserve"> (NEL) is the generation output</w:t>
      </w:r>
      <w:r w:rsidRPr="00AA6B38">
        <w:t xml:space="preserve"> within an area, accounting for electric energy imports </w:t>
      </w:r>
      <w:r w:rsidRPr="00EA2E47">
        <w:t>from other areas and electric energy exports to other areas.</w:t>
      </w:r>
      <w:r>
        <w:rPr>
          <w:rStyle w:val="FootnoteReference"/>
        </w:rPr>
        <w:footnoteReference w:id="102"/>
      </w:r>
      <w:r w:rsidRPr="00EA2E47">
        <w:t xml:space="preserve"> It also accounts for system losses and excludes the electric energy </w:t>
      </w:r>
      <w:r>
        <w:t>used</w:t>
      </w:r>
      <w:r w:rsidRPr="00EA2E47">
        <w:t xml:space="preserve"> to operate pumped-</w:t>
      </w:r>
      <w:r w:rsidRPr="002A4DAA">
        <w:t>storage hydroelectric plants. The compound annual growth rate (CAGR) for the ISO’s electric energy use is 1.0% for 2014 through 2023, 1.3% for the summer peak, and 0.6% for</w:t>
      </w:r>
      <w:r w:rsidRPr="003F243A">
        <w:t xml:space="preserve"> the winter peak.</w:t>
      </w:r>
      <w:r w:rsidRPr="00A031E8">
        <w:rPr>
          <w:rStyle w:val="FootnoteReference"/>
          <w:sz w:val="22"/>
        </w:rPr>
        <w:footnoteReference w:id="103"/>
      </w:r>
      <w:r w:rsidRPr="003F243A">
        <w:t xml:space="preserve"> The </w:t>
      </w:r>
      <w:proofErr w:type="spellStart"/>
      <w:r w:rsidRPr="003F243A">
        <w:t>systemwide</w:t>
      </w:r>
      <w:proofErr w:type="spellEnd"/>
      <w:r w:rsidRPr="003F243A">
        <w:t xml:space="preserve"> </w:t>
      </w:r>
      <w:r w:rsidRPr="002600C8">
        <w:rPr>
          <w:i/>
        </w:rPr>
        <w:t>load factor</w:t>
      </w:r>
      <w:r w:rsidRPr="003F243A">
        <w:t xml:space="preserve"> (</w:t>
      </w:r>
      <w:r w:rsidRPr="003F243A">
        <w:rPr>
          <w:iCs/>
        </w:rPr>
        <w:t>i.e.</w:t>
      </w:r>
      <w:r w:rsidRPr="003F243A">
        <w:t xml:space="preserve">, the ratio of the average hourly load during a year to peak hourly load) </w:t>
      </w:r>
      <w:r>
        <w:t xml:space="preserve">declines </w:t>
      </w:r>
      <w:r w:rsidRPr="002A4DAA">
        <w:t>over the forecast horizon, from 56.1% in 2014 to 54.7% in 2023 and begins to flatten by the end of forecast.</w:t>
      </w:r>
      <w:r w:rsidRPr="002A4DAA">
        <w:rPr>
          <w:rStyle w:val="FootnoteReference"/>
          <w:sz w:val="22"/>
        </w:rPr>
        <w:footnoteReference w:id="104"/>
      </w:r>
    </w:p>
    <w:p w:rsidR="00F27B97" w:rsidRDefault="00927965" w:rsidP="00F27B97">
      <w:r>
        <w:rPr>
          <w:highlight w:val="green"/>
        </w:rPr>
        <w:fldChar w:fldCharType="begin"/>
      </w:r>
      <w:r w:rsidR="0046255D">
        <w:rPr>
          <w:highlight w:val="green"/>
        </w:rPr>
        <w:instrText xml:space="preserve"> REF _Ref387337830 \h </w:instrText>
      </w:r>
      <w:r>
        <w:rPr>
          <w:highlight w:val="green"/>
        </w:rPr>
      </w:r>
      <w:r>
        <w:rPr>
          <w:highlight w:val="green"/>
        </w:rPr>
        <w:fldChar w:fldCharType="separate"/>
      </w:r>
      <w:r w:rsidR="00284CE3" w:rsidRPr="00D637CF">
        <w:t xml:space="preserve">Figure </w:t>
      </w:r>
      <w:r w:rsidR="00284CE3">
        <w:rPr>
          <w:noProof/>
        </w:rPr>
        <w:t>3</w:t>
      </w:r>
      <w:r w:rsidR="00284CE3">
        <w:noBreakHyphen/>
      </w:r>
      <w:r w:rsidR="00284CE3">
        <w:rPr>
          <w:noProof/>
        </w:rPr>
        <w:t>1</w:t>
      </w:r>
      <w:r>
        <w:rPr>
          <w:highlight w:val="green"/>
        </w:rPr>
        <w:fldChar w:fldCharType="end"/>
      </w:r>
      <w:r w:rsidR="00F27B97" w:rsidRPr="00043AC6">
        <w:t xml:space="preserve"> shows a comparison of the ISO’s actual summer peak demand (i.e., the load reconstituted to</w:t>
      </w:r>
      <w:r w:rsidR="00F27B97" w:rsidRPr="00402FF1">
        <w:t xml:space="preserve"> include the </w:t>
      </w:r>
      <w:r w:rsidR="00F27B97">
        <w:t xml:space="preserve">megawatt reduction attributable </w:t>
      </w:r>
      <w:r w:rsidR="00F27B97" w:rsidRPr="00BB09FC">
        <w:t xml:space="preserve">to ISO New England Operating Procedure No. 4 [OP 4], </w:t>
      </w:r>
      <w:r w:rsidR="00F27B97" w:rsidRPr="00BB09FC">
        <w:rPr>
          <w:i/>
        </w:rPr>
        <w:t xml:space="preserve">Action </w:t>
      </w:r>
      <w:r w:rsidR="00F31D2D">
        <w:rPr>
          <w:i/>
        </w:rPr>
        <w:t>d</w:t>
      </w:r>
      <w:r w:rsidR="00F27B97" w:rsidRPr="00BB09FC">
        <w:rPr>
          <w:i/>
        </w:rPr>
        <w:t>uring a Capacity Deficiency</w:t>
      </w:r>
      <w:r w:rsidR="00F27B97" w:rsidRPr="00BB09FC">
        <w:t>, and FCM passive demand resources) with the 50/50 load forecast and with the 90/10 load forecast.</w:t>
      </w:r>
      <w:r w:rsidR="00F27B97" w:rsidRPr="00BB09FC">
        <w:rPr>
          <w:rStyle w:val="FootnoteReference"/>
        </w:rPr>
        <w:footnoteReference w:id="105"/>
      </w:r>
      <w:r w:rsidR="00F27B97" w:rsidRPr="00BB09FC">
        <w:t xml:space="preserve"> The actual load</w:t>
      </w:r>
      <w:r w:rsidR="00F27B97" w:rsidRPr="00402FF1">
        <w:t xml:space="preserve"> has</w:t>
      </w:r>
      <w:r w:rsidR="00F27B97" w:rsidRPr="003F243A">
        <w:t xml:space="preserve"> been near or has </w:t>
      </w:r>
      <w:r w:rsidR="00F27B97" w:rsidRPr="005F6778">
        <w:t>exceeded the 90/10 forecast</w:t>
      </w:r>
      <w:r w:rsidR="00F27B97">
        <w:t xml:space="preserve"> six</w:t>
      </w:r>
      <w:r w:rsidR="00F27B97" w:rsidRPr="005F6778">
        <w:t xml:space="preserve"> times over the </w:t>
      </w:r>
      <w:r w:rsidR="00F27B97" w:rsidRPr="002A4DAA">
        <w:t>last 2</w:t>
      </w:r>
      <w:r w:rsidR="00F27B97">
        <w:t>2</w:t>
      </w:r>
      <w:r w:rsidR="00F27B97" w:rsidRPr="002A4DAA">
        <w:t xml:space="preserve"> years because of hot and humid weather conditions, and it has been near or above the 50/50 forecast 11 times</w:t>
      </w:r>
      <w:r w:rsidR="00F27B97" w:rsidRPr="005F6778">
        <w:t xml:space="preserve"> during</w:t>
      </w:r>
      <w:r w:rsidR="00F27B97">
        <w:t xml:space="preserve"> the</w:t>
      </w:r>
      <w:r w:rsidR="00F27B97" w:rsidRPr="005F6778">
        <w:t xml:space="preserve"> same period.</w:t>
      </w:r>
      <w:r w:rsidR="00F27B97" w:rsidRPr="005F6778">
        <w:rPr>
          <w:rStyle w:val="FootnoteReference"/>
        </w:rPr>
        <w:footnoteReference w:id="106"/>
      </w:r>
      <w:r w:rsidR="00F27B97" w:rsidRPr="005F6778">
        <w:t xml:space="preserve"> </w:t>
      </w:r>
    </w:p>
    <w:p w:rsidR="0020772E" w:rsidRDefault="0020772E" w:rsidP="00F27B97">
      <w:pPr>
        <w:spacing w:after="0" w:line="240" w:lineRule="auto"/>
        <w:jc w:val="center"/>
      </w:pPr>
      <w:r w:rsidRPr="0020772E">
        <w:rPr>
          <w:noProof/>
        </w:rPr>
        <w:drawing>
          <wp:inline distT="0" distB="0" distL="0" distR="0">
            <wp:extent cx="4467625" cy="3818188"/>
            <wp:effectExtent l="19050" t="19050" r="28175" b="10862"/>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471104" cy="3821161"/>
                    </a:xfrm>
                    <a:prstGeom prst="rect">
                      <a:avLst/>
                    </a:prstGeom>
                    <a:noFill/>
                    <a:ln w="3175">
                      <a:solidFill>
                        <a:schemeClr val="tx1"/>
                      </a:solidFill>
                      <a:miter lim="800000"/>
                      <a:headEnd/>
                      <a:tailEnd/>
                    </a:ln>
                  </pic:spPr>
                </pic:pic>
              </a:graphicData>
            </a:graphic>
          </wp:inline>
        </w:drawing>
      </w:r>
    </w:p>
    <w:p w:rsidR="00F27B97" w:rsidRPr="00D637CF" w:rsidRDefault="00F27B97" w:rsidP="0020772E">
      <w:pPr>
        <w:pStyle w:val="Caption-Figure"/>
        <w:spacing w:after="80"/>
        <w:ind w:left="990" w:right="990"/>
      </w:pPr>
      <w:bookmarkStart w:id="156" w:name="_Ref387337830"/>
      <w:bookmarkStart w:id="157" w:name="_Toc334601482"/>
      <w:bookmarkStart w:id="158" w:name="_Toc365440676"/>
      <w:bookmarkStart w:id="159" w:name="_Toc391985565"/>
      <w:r w:rsidRPr="00D637CF">
        <w:t xml:space="preserve">Figure </w:t>
      </w:r>
      <w:r w:rsidR="00927965">
        <w:fldChar w:fldCharType="begin"/>
      </w:r>
      <w:r w:rsidR="0011163E">
        <w:instrText xml:space="preserve"> STYLEREF 1 \s </w:instrText>
      </w:r>
      <w:r w:rsidR="00927965">
        <w:fldChar w:fldCharType="separate"/>
      </w:r>
      <w:r w:rsidR="00284CE3">
        <w:rPr>
          <w:noProof/>
        </w:rPr>
        <w:t>3</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1</w:t>
      </w:r>
      <w:r w:rsidR="00927965">
        <w:fldChar w:fldCharType="end"/>
      </w:r>
      <w:bookmarkEnd w:id="156"/>
      <w:r w:rsidRPr="00D637CF">
        <w:t>: The ISO’s actual summer peak loads (i.e., reconstituted for OP 4 and FCM passive demand resources) and the 50/50 and 90/10 forecasts</w:t>
      </w:r>
      <w:r>
        <w:t>, 1992 to 2013</w:t>
      </w:r>
      <w:r w:rsidRPr="00D637CF">
        <w:t xml:space="preserve"> (MW).</w:t>
      </w:r>
      <w:bookmarkEnd w:id="157"/>
      <w:bookmarkEnd w:id="158"/>
      <w:bookmarkEnd w:id="159"/>
    </w:p>
    <w:p w:rsidR="00F27B97" w:rsidRPr="00C71ACC" w:rsidRDefault="00F27B97" w:rsidP="0020772E">
      <w:pPr>
        <w:pStyle w:val="Caption-Figure"/>
        <w:spacing w:before="0" w:after="240"/>
        <w:ind w:left="990" w:right="990"/>
        <w:rPr>
          <w:sz w:val="16"/>
          <w:szCs w:val="16"/>
        </w:rPr>
      </w:pPr>
      <w:r w:rsidRPr="00C71ACC">
        <w:rPr>
          <w:sz w:val="16"/>
          <w:szCs w:val="16"/>
        </w:rPr>
        <w:t xml:space="preserve">Note: </w:t>
      </w:r>
      <w:r w:rsidRPr="00C71ACC">
        <w:rPr>
          <w:b w:val="0"/>
          <w:sz w:val="16"/>
          <w:szCs w:val="16"/>
        </w:rPr>
        <w:t xml:space="preserve">The forecasted load values are the first-year values of the CELT forecast for each year. For example, the forecasted loads for 2013 are the loads for the first year of the 2013 CELT </w:t>
      </w:r>
      <w:r w:rsidR="00AC460A" w:rsidRPr="00C71ACC">
        <w:rPr>
          <w:b w:val="0"/>
          <w:sz w:val="16"/>
          <w:szCs w:val="16"/>
        </w:rPr>
        <w:t>R</w:t>
      </w:r>
      <w:r w:rsidRPr="00C71ACC">
        <w:rPr>
          <w:b w:val="0"/>
          <w:sz w:val="16"/>
          <w:szCs w:val="16"/>
        </w:rPr>
        <w:t>eport.</w:t>
      </w:r>
      <w:r w:rsidRPr="00C71ACC">
        <w:rPr>
          <w:sz w:val="16"/>
          <w:szCs w:val="16"/>
        </w:rPr>
        <w:t xml:space="preserve"> </w:t>
      </w:r>
    </w:p>
    <w:p w:rsidR="00F27B97" w:rsidRPr="00F4353A" w:rsidRDefault="00F27B97" w:rsidP="00F27B97">
      <w:pPr>
        <w:pStyle w:val="Heading3"/>
        <w:spacing w:before="120"/>
      </w:pPr>
      <w:bookmarkStart w:id="160" w:name="_Toc334601015"/>
      <w:bookmarkStart w:id="161" w:name="_Toc365440984"/>
      <w:bookmarkStart w:id="162" w:name="_Ref385689858"/>
      <w:bookmarkStart w:id="163" w:name="_Ref388101172"/>
      <w:bookmarkStart w:id="164" w:name="_Ref390423729"/>
      <w:bookmarkStart w:id="165" w:name="_Toc396807608"/>
      <w:r w:rsidRPr="00F4353A">
        <w:t>Economic and Demographic Factors and Electric Energy Use</w:t>
      </w:r>
      <w:bookmarkEnd w:id="160"/>
      <w:bookmarkEnd w:id="161"/>
      <w:bookmarkEnd w:id="162"/>
      <w:bookmarkEnd w:id="163"/>
      <w:bookmarkEnd w:id="164"/>
      <w:bookmarkEnd w:id="165"/>
    </w:p>
    <w:p w:rsidR="00F27B97" w:rsidRPr="002600C8" w:rsidRDefault="00F27B97" w:rsidP="00F27B97">
      <w:r w:rsidRPr="00F4353A">
        <w:t xml:space="preserve">The price of electricity and other economic and demographic factors drive the annual consumption of electric energy and the growth of the seasonal peak. In addition to net energy for load, the forecasts account for the effects of future federal long-term energy-efficiency goals, as well as the historical effects of energy efficiency, but they do not reflect the peak and electric energy savings attributable to passive demand resources in the FCM market and the future EE forecast (see Section </w:t>
      </w:r>
      <w:fldSimple w:instr=" REF _Ref323053560 \n \h  \* MERGEFORMAT ">
        <w:r w:rsidR="00284CE3">
          <w:t>3.1.2</w:t>
        </w:r>
      </w:fldSimple>
      <w:r w:rsidRPr="00F4353A">
        <w:t>).</w:t>
      </w:r>
      <w:r w:rsidR="007D5419" w:rsidRPr="00F4353A">
        <w:t xml:space="preserve"> Similarly, the forecast of annual consumption and growth of the seasonal peak considers existing distributed generation not otherwise counted as a resource.</w:t>
      </w:r>
      <w:r w:rsidR="007D5419">
        <w:rPr>
          <w:color w:val="FF0000"/>
        </w:rPr>
        <w:t xml:space="preserve"> </w:t>
      </w:r>
    </w:p>
    <w:p w:rsidR="00F27B97" w:rsidRDefault="00F27B97" w:rsidP="00F27B97">
      <w:r w:rsidRPr="00AA24C1">
        <w:t>The ISO’s forecasts of electric energy use in New England and each state are based on a total energy-use concept, which sums the amount of electric energy used residentially (about 39%), commercially (about 38%), and industrially (about 23%). Real gross state product (RGSP) serves as a proxy for overall</w:t>
      </w:r>
      <w:r>
        <w:t xml:space="preserve"> economic and demographic conditions. This variable</w:t>
      </w:r>
      <w:r w:rsidRPr="00D4331C">
        <w:t xml:space="preserve"> </w:t>
      </w:r>
      <w:r>
        <w:t xml:space="preserve">is the primary </w:t>
      </w:r>
      <w:r w:rsidRPr="00E96F00">
        <w:t xml:space="preserve">force driving the model of electric </w:t>
      </w:r>
      <w:r w:rsidRPr="00CC64FC">
        <w:t xml:space="preserve">energy use. </w:t>
      </w:r>
      <w:fldSimple w:instr=" REF _Ref229901942  \* MERGEFORMAT ">
        <w:r w:rsidR="00284CE3" w:rsidRPr="00D637CF">
          <w:t xml:space="preserve">Table </w:t>
        </w:r>
        <w:r w:rsidR="00284CE3">
          <w:rPr>
            <w:noProof/>
          </w:rPr>
          <w:t>3</w:t>
        </w:r>
        <w:r w:rsidR="00284CE3">
          <w:rPr>
            <w:noProof/>
          </w:rPr>
          <w:noBreakHyphen/>
          <w:t>2</w:t>
        </w:r>
      </w:fldSimple>
      <w:r w:rsidRPr="00CC64FC">
        <w:t xml:space="preserve"> summarizes these and other indicators of the New England economy.</w:t>
      </w:r>
    </w:p>
    <w:p w:rsidR="00F27B97" w:rsidRDefault="00F27B97" w:rsidP="00F27B97">
      <w:pPr>
        <w:pStyle w:val="Caption"/>
        <w:keepNext w:val="0"/>
        <w:keepLines w:val="0"/>
        <w:rPr>
          <w:szCs w:val="22"/>
        </w:rPr>
      </w:pPr>
      <w:bookmarkStart w:id="166" w:name="_Ref229901942"/>
      <w:bookmarkStart w:id="167" w:name="_Toc239157211"/>
      <w:bookmarkStart w:id="168" w:name="_Toc303086929"/>
      <w:bookmarkStart w:id="169" w:name="_Toc330401250"/>
      <w:bookmarkStart w:id="170" w:name="_Toc334541923"/>
      <w:bookmarkStart w:id="171" w:name="_Toc334541960"/>
      <w:bookmarkStart w:id="172" w:name="_Toc365440698"/>
      <w:bookmarkStart w:id="173" w:name="_Toc391985596"/>
      <w:r w:rsidRPr="00D637CF">
        <w:t xml:space="preserve">Table </w:t>
      </w:r>
      <w:r w:rsidR="00927965">
        <w:fldChar w:fldCharType="begin"/>
      </w:r>
      <w:r w:rsidR="00BD7584">
        <w:instrText xml:space="preserve"> STYLEREF 1 \s </w:instrText>
      </w:r>
      <w:r w:rsidR="00927965">
        <w:fldChar w:fldCharType="separate"/>
      </w:r>
      <w:r w:rsidR="00284CE3">
        <w:rPr>
          <w:noProof/>
        </w:rPr>
        <w:t>3</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2</w:t>
      </w:r>
      <w:r w:rsidR="00927965">
        <w:fldChar w:fldCharType="end"/>
      </w:r>
      <w:bookmarkEnd w:id="166"/>
      <w:r w:rsidRPr="00D637CF">
        <w:br/>
        <w:t>New England Economic and Demographic Forecast Summary</w:t>
      </w:r>
      <w:bookmarkEnd w:id="167"/>
      <w:bookmarkEnd w:id="168"/>
      <w:bookmarkEnd w:id="169"/>
      <w:bookmarkEnd w:id="170"/>
      <w:bookmarkEnd w:id="171"/>
      <w:bookmarkEnd w:id="172"/>
      <w:bookmarkEnd w:id="173"/>
    </w:p>
    <w:tbl>
      <w:tblPr>
        <w:tblW w:w="90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tblPr>
      <w:tblGrid>
        <w:gridCol w:w="2705"/>
        <w:gridCol w:w="1152"/>
        <w:gridCol w:w="1152"/>
        <w:gridCol w:w="864"/>
        <w:gridCol w:w="1152"/>
        <w:gridCol w:w="1152"/>
        <w:gridCol w:w="869"/>
      </w:tblGrid>
      <w:tr w:rsidR="00F27B97" w:rsidRPr="0037261F" w:rsidTr="008B1384">
        <w:trPr>
          <w:cantSplit/>
          <w:trHeight w:val="360"/>
          <w:jc w:val="center"/>
        </w:trPr>
        <w:tc>
          <w:tcPr>
            <w:tcW w:w="2705"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bCs/>
                <w:color w:val="FFFFFF"/>
                <w:sz w:val="18"/>
                <w:szCs w:val="18"/>
              </w:rPr>
            </w:pPr>
            <w:r w:rsidRPr="0037261F">
              <w:rPr>
                <w:rFonts w:asciiTheme="minorHAnsi" w:hAnsiTheme="minorHAnsi" w:cs="Arial"/>
                <w:b/>
                <w:color w:val="FFFFFF"/>
                <w:sz w:val="18"/>
                <w:szCs w:val="18"/>
              </w:rPr>
              <w:t>Factor</w:t>
            </w:r>
          </w:p>
        </w:tc>
        <w:tc>
          <w:tcPr>
            <w:tcW w:w="1152"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hAnsiTheme="minorHAnsi" w:cs="Arial"/>
                <w:b/>
                <w:color w:val="FFFFFF"/>
                <w:sz w:val="18"/>
                <w:szCs w:val="18"/>
              </w:rPr>
            </w:pPr>
            <w:r w:rsidRPr="0037261F">
              <w:rPr>
                <w:rFonts w:asciiTheme="minorHAnsi" w:hAnsiTheme="minorHAnsi" w:cs="Arial"/>
                <w:b/>
                <w:color w:val="FFFFFF"/>
                <w:sz w:val="18"/>
                <w:szCs w:val="18"/>
              </w:rPr>
              <w:t>1980</w:t>
            </w:r>
          </w:p>
        </w:tc>
        <w:tc>
          <w:tcPr>
            <w:tcW w:w="1152"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hAnsiTheme="minorHAnsi" w:cs="Arial"/>
                <w:b/>
                <w:color w:val="FFFFFF"/>
                <w:sz w:val="18"/>
                <w:szCs w:val="18"/>
              </w:rPr>
            </w:pPr>
            <w:r w:rsidRPr="0037261F">
              <w:rPr>
                <w:rFonts w:asciiTheme="minorHAnsi" w:hAnsiTheme="minorHAnsi" w:cs="Arial"/>
                <w:b/>
                <w:color w:val="FFFFFF"/>
                <w:sz w:val="18"/>
                <w:szCs w:val="18"/>
              </w:rPr>
              <w:t>2013</w:t>
            </w:r>
          </w:p>
        </w:tc>
        <w:tc>
          <w:tcPr>
            <w:tcW w:w="864"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color w:val="FFFFFF"/>
                <w:sz w:val="18"/>
                <w:szCs w:val="18"/>
              </w:rPr>
            </w:pPr>
            <w:r w:rsidRPr="0037261F">
              <w:rPr>
                <w:rFonts w:asciiTheme="minorHAnsi" w:hAnsiTheme="minorHAnsi" w:cs="Arial"/>
                <w:b/>
                <w:color w:val="FFFFFF"/>
                <w:sz w:val="18"/>
                <w:szCs w:val="18"/>
              </w:rPr>
              <w:t>CAGR</w:t>
            </w:r>
          </w:p>
        </w:tc>
        <w:tc>
          <w:tcPr>
            <w:tcW w:w="1152"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color w:val="FFFFFF"/>
                <w:sz w:val="18"/>
                <w:szCs w:val="18"/>
              </w:rPr>
            </w:pPr>
            <w:r w:rsidRPr="0037261F">
              <w:rPr>
                <w:rFonts w:asciiTheme="minorHAnsi" w:hAnsiTheme="minorHAnsi" w:cs="Arial"/>
                <w:b/>
                <w:color w:val="FFFFFF"/>
                <w:sz w:val="18"/>
                <w:szCs w:val="18"/>
              </w:rPr>
              <w:t>2014</w:t>
            </w:r>
          </w:p>
        </w:tc>
        <w:tc>
          <w:tcPr>
            <w:tcW w:w="1152"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color w:val="FFFFFF"/>
                <w:sz w:val="18"/>
                <w:szCs w:val="18"/>
              </w:rPr>
            </w:pPr>
            <w:r w:rsidRPr="0037261F">
              <w:rPr>
                <w:rFonts w:asciiTheme="minorHAnsi" w:hAnsiTheme="minorHAnsi" w:cs="Arial"/>
                <w:b/>
                <w:color w:val="FFFFFF"/>
                <w:sz w:val="18"/>
                <w:szCs w:val="18"/>
              </w:rPr>
              <w:t>2023</w:t>
            </w:r>
          </w:p>
        </w:tc>
        <w:tc>
          <w:tcPr>
            <w:tcW w:w="869" w:type="dxa"/>
            <w:shd w:val="clear" w:color="auto" w:fill="85AFF2"/>
            <w:noWrap/>
            <w:tcMar>
              <w:top w:w="0" w:type="dxa"/>
              <w:bottom w:w="0" w:type="dxa"/>
            </w:tcMar>
            <w:vAlign w:val="center"/>
          </w:tcPr>
          <w:p w:rsidR="00F27B97" w:rsidRPr="0037261F" w:rsidRDefault="00F27B97" w:rsidP="008B1384">
            <w:pPr>
              <w:spacing w:after="0" w:line="240" w:lineRule="auto"/>
              <w:jc w:val="center"/>
              <w:rPr>
                <w:rFonts w:asciiTheme="minorHAnsi" w:eastAsia="Arial Unicode MS" w:hAnsiTheme="minorHAnsi" w:cs="Arial"/>
                <w:b/>
                <w:color w:val="FFFFFF"/>
                <w:sz w:val="18"/>
                <w:szCs w:val="18"/>
              </w:rPr>
            </w:pPr>
            <w:r w:rsidRPr="0037261F">
              <w:rPr>
                <w:rFonts w:asciiTheme="minorHAnsi" w:hAnsiTheme="minorHAnsi" w:cs="Arial"/>
                <w:b/>
                <w:color w:val="FFFFFF"/>
                <w:sz w:val="18"/>
                <w:szCs w:val="18"/>
              </w:rPr>
              <w:t>CAGR</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hAnsiTheme="minorHAnsi" w:cs="Arial"/>
                <w:b/>
                <w:sz w:val="18"/>
                <w:szCs w:val="18"/>
              </w:rPr>
            </w:pPr>
            <w:r w:rsidRPr="0037261F">
              <w:rPr>
                <w:rFonts w:asciiTheme="minorHAnsi" w:hAnsiTheme="minorHAnsi" w:cs="Arial"/>
                <w:b/>
                <w:sz w:val="18"/>
                <w:szCs w:val="18"/>
              </w:rPr>
              <w:t>Summer peak (MW)</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14,539</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27,835</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28,165</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31,620</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1.3</w:t>
            </w:r>
          </w:p>
        </w:tc>
      </w:tr>
      <w:tr w:rsidR="00F27B97" w:rsidRPr="0037261F" w:rsidTr="008B1384">
        <w:trPr>
          <w:cantSplit/>
          <w:trHeight w:val="360"/>
          <w:jc w:val="center"/>
        </w:trPr>
        <w:tc>
          <w:tcPr>
            <w:tcW w:w="2705" w:type="dxa"/>
            <w:shd w:val="clear" w:color="auto" w:fill="C2D7F8"/>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Net energy for load (1,000 </w:t>
            </w:r>
            <w:proofErr w:type="spellStart"/>
            <w:r w:rsidRPr="0037261F">
              <w:rPr>
                <w:rFonts w:asciiTheme="minorHAnsi" w:hAnsiTheme="minorHAnsi" w:cs="Arial"/>
                <w:b/>
                <w:sz w:val="18"/>
                <w:szCs w:val="18"/>
              </w:rPr>
              <w:t>MWh</w:t>
            </w:r>
            <w:proofErr w:type="spellEnd"/>
            <w:r w:rsidRPr="0037261F">
              <w:rPr>
                <w:rFonts w:asciiTheme="minorHAnsi" w:hAnsiTheme="minorHAnsi" w:cs="Arial"/>
                <w:b/>
                <w:sz w:val="18"/>
                <w:szCs w:val="18"/>
              </w:rPr>
              <w:t>)</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82,927</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137,193</w:t>
            </w:r>
          </w:p>
        </w:tc>
        <w:tc>
          <w:tcPr>
            <w:tcW w:w="864"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1.5</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138,390</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151,525</w:t>
            </w:r>
          </w:p>
        </w:tc>
        <w:tc>
          <w:tcPr>
            <w:tcW w:w="869"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1.0</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Population (thousands)</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12,404</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14,616</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0.5</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14,659</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14,964</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0.2</w:t>
            </w:r>
          </w:p>
        </w:tc>
      </w:tr>
      <w:tr w:rsidR="00F27B97" w:rsidRPr="0037261F" w:rsidTr="008B1384">
        <w:trPr>
          <w:cantSplit/>
          <w:trHeight w:val="598"/>
          <w:jc w:val="center"/>
        </w:trPr>
        <w:tc>
          <w:tcPr>
            <w:tcW w:w="2705" w:type="dxa"/>
            <w:shd w:val="clear" w:color="auto" w:fill="C2D7F8"/>
            <w:noWrap/>
            <w:tcMar>
              <w:top w:w="0" w:type="dxa"/>
              <w:bottom w:w="0" w:type="dxa"/>
            </w:tcMar>
            <w:vAlign w:val="center"/>
          </w:tcPr>
          <w:p w:rsidR="00F27B97" w:rsidRPr="0037261F" w:rsidRDefault="00F27B97" w:rsidP="00290905">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Real price of electricity</w:t>
            </w:r>
            <w:r w:rsidRPr="0037261F">
              <w:rPr>
                <w:rFonts w:asciiTheme="minorHAnsi" w:hAnsiTheme="minorHAnsi" w:cs="Arial"/>
                <w:b/>
                <w:sz w:val="18"/>
                <w:szCs w:val="18"/>
              </w:rPr>
              <w:br/>
              <w:t>(¢/kWh, 2013$)</w:t>
            </w:r>
            <w:r w:rsidRPr="0037261F">
              <w:rPr>
                <w:rFonts w:asciiTheme="minorHAnsi" w:hAnsiTheme="minorHAnsi" w:cs="Arial"/>
                <w:b/>
                <w:sz w:val="18"/>
                <w:szCs w:val="18"/>
                <w:vertAlign w:val="superscript"/>
              </w:rPr>
              <w:t>(a)</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000000"/>
                <w:sz w:val="18"/>
                <w:szCs w:val="18"/>
              </w:rPr>
            </w:pPr>
            <w:r w:rsidRPr="0037261F">
              <w:rPr>
                <w:rFonts w:asciiTheme="minorHAnsi" w:hAnsiTheme="minorHAnsi"/>
                <w:color w:val="000000"/>
                <w:sz w:val="18"/>
                <w:szCs w:val="18"/>
              </w:rPr>
              <w:t>17.901</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14.431</w:t>
            </w:r>
          </w:p>
        </w:tc>
        <w:tc>
          <w:tcPr>
            <w:tcW w:w="864" w:type="dxa"/>
            <w:shd w:val="clear" w:color="auto" w:fill="C2D7F8"/>
            <w:noWrap/>
            <w:tcMar>
              <w:top w:w="0" w:type="dxa"/>
              <w:bottom w:w="0" w:type="dxa"/>
            </w:tcMar>
            <w:vAlign w:val="center"/>
          </w:tcPr>
          <w:p w:rsidR="00F27B97" w:rsidRPr="0037261F" w:rsidRDefault="009F604E" w:rsidP="009F604E">
            <w:pPr>
              <w:spacing w:after="0" w:line="240" w:lineRule="auto"/>
              <w:jc w:val="center"/>
              <w:rPr>
                <w:rFonts w:asciiTheme="minorHAnsi" w:hAnsiTheme="minorHAnsi" w:cs="Calibri"/>
                <w:color w:val="333333"/>
                <w:sz w:val="18"/>
                <w:szCs w:val="18"/>
              </w:rPr>
            </w:pPr>
            <w:r>
              <w:rPr>
                <w:rFonts w:asciiTheme="minorHAnsi" w:hAnsiTheme="minorHAnsi"/>
                <w:color w:val="000000"/>
                <w:sz w:val="18"/>
                <w:szCs w:val="18"/>
              </w:rPr>
              <w:t>−</w:t>
            </w:r>
            <w:r w:rsidR="00F27B97" w:rsidRPr="0037261F">
              <w:rPr>
                <w:rFonts w:asciiTheme="minorHAnsi" w:hAnsiTheme="minorHAnsi"/>
                <w:color w:val="000000"/>
                <w:sz w:val="18"/>
                <w:szCs w:val="18"/>
              </w:rPr>
              <w:t>0.7</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14.431</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14.431</w:t>
            </w:r>
          </w:p>
        </w:tc>
        <w:tc>
          <w:tcPr>
            <w:tcW w:w="869"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0.0</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Employment (thousands)</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5,483</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6,987</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0.7</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7,070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7,450</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0.6</w:t>
            </w:r>
          </w:p>
        </w:tc>
      </w:tr>
      <w:tr w:rsidR="00F27B97" w:rsidRPr="0037261F" w:rsidTr="008B1384">
        <w:trPr>
          <w:cantSplit/>
          <w:trHeight w:val="360"/>
          <w:jc w:val="center"/>
        </w:trPr>
        <w:tc>
          <w:tcPr>
            <w:tcW w:w="2705" w:type="dxa"/>
            <w:shd w:val="clear" w:color="auto" w:fill="C2D7F8"/>
            <w:noWrap/>
            <w:tcMar>
              <w:top w:w="0" w:type="dxa"/>
              <w:bottom w:w="0" w:type="dxa"/>
            </w:tcMar>
            <w:vAlign w:val="center"/>
          </w:tcPr>
          <w:p w:rsidR="00F27B97" w:rsidRPr="0037261F" w:rsidRDefault="00F27B97" w:rsidP="008B1384">
            <w:pPr>
              <w:spacing w:after="0" w:line="240" w:lineRule="auto"/>
              <w:rPr>
                <w:rFonts w:asciiTheme="minorHAnsi" w:hAnsiTheme="minorHAnsi" w:cs="Arial"/>
                <w:b/>
                <w:sz w:val="18"/>
                <w:szCs w:val="18"/>
              </w:rPr>
            </w:pPr>
            <w:r w:rsidRPr="0037261F">
              <w:rPr>
                <w:rFonts w:asciiTheme="minorHAnsi" w:hAnsiTheme="minorHAnsi" w:cs="Arial"/>
                <w:b/>
                <w:sz w:val="18"/>
                <w:szCs w:val="18"/>
              </w:rPr>
              <w:t>Real income (millions, 2005 $)</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298,071</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744,927</w:t>
            </w:r>
          </w:p>
        </w:tc>
        <w:tc>
          <w:tcPr>
            <w:tcW w:w="864"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2.8</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776,146</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963,640</w:t>
            </w:r>
          </w:p>
        </w:tc>
        <w:tc>
          <w:tcPr>
            <w:tcW w:w="869"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2.4</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 xml:space="preserve">Real gross state product </w:t>
            </w:r>
            <w:r w:rsidRPr="0037261F">
              <w:rPr>
                <w:rFonts w:asciiTheme="minorHAnsi" w:hAnsiTheme="minorHAnsi" w:cs="Arial"/>
                <w:b/>
                <w:sz w:val="18"/>
                <w:szCs w:val="18"/>
              </w:rPr>
              <w:br/>
              <w:t>(millions, 2005 $)</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310,370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737,680</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2.7</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759,890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933,624</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2.3</w:t>
            </w:r>
          </w:p>
        </w:tc>
      </w:tr>
      <w:tr w:rsidR="00F27B97" w:rsidRPr="0037261F" w:rsidTr="008B1384">
        <w:trPr>
          <w:cantSplit/>
          <w:trHeight w:val="360"/>
          <w:jc w:val="center"/>
        </w:trPr>
        <w:tc>
          <w:tcPr>
            <w:tcW w:w="2705" w:type="dxa"/>
            <w:shd w:val="clear" w:color="auto" w:fill="C2D7F8"/>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Energy per household (</w:t>
            </w:r>
            <w:proofErr w:type="spellStart"/>
            <w:r w:rsidRPr="0037261F">
              <w:rPr>
                <w:rFonts w:asciiTheme="minorHAnsi" w:hAnsiTheme="minorHAnsi" w:cs="Arial"/>
                <w:b/>
                <w:sz w:val="18"/>
                <w:szCs w:val="18"/>
              </w:rPr>
              <w:t>MWh</w:t>
            </w:r>
            <w:proofErr w:type="spellEnd"/>
            <w:r w:rsidRPr="0037261F">
              <w:rPr>
                <w:rFonts w:asciiTheme="minorHAnsi" w:hAnsiTheme="minorHAnsi" w:cs="Arial"/>
                <w:b/>
                <w:sz w:val="18"/>
                <w:szCs w:val="18"/>
              </w:rPr>
              <w:t>)</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18.860</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23.824</w:t>
            </w:r>
          </w:p>
        </w:tc>
        <w:tc>
          <w:tcPr>
            <w:tcW w:w="864"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0.7</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23.847</w:t>
            </w:r>
          </w:p>
        </w:tc>
        <w:tc>
          <w:tcPr>
            <w:tcW w:w="1152"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24.722</w:t>
            </w:r>
          </w:p>
        </w:tc>
        <w:tc>
          <w:tcPr>
            <w:tcW w:w="869" w:type="dxa"/>
            <w:shd w:val="clear" w:color="auto" w:fill="C2D7F8"/>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0.4</w:t>
            </w:r>
          </w:p>
        </w:tc>
      </w:tr>
      <w:tr w:rsidR="00F27B97" w:rsidRPr="0037261F" w:rsidTr="008B1384">
        <w:trPr>
          <w:cantSplit/>
          <w:trHeight w:val="360"/>
          <w:jc w:val="center"/>
        </w:trPr>
        <w:tc>
          <w:tcPr>
            <w:tcW w:w="2705" w:type="dxa"/>
            <w:shd w:val="clear" w:color="auto" w:fill="FFFFFF"/>
            <w:noWrap/>
            <w:tcMar>
              <w:top w:w="0" w:type="dxa"/>
              <w:bottom w:w="0" w:type="dxa"/>
            </w:tcMar>
            <w:vAlign w:val="center"/>
          </w:tcPr>
          <w:p w:rsidR="00F27B97" w:rsidRPr="0037261F" w:rsidRDefault="00F27B97" w:rsidP="008B1384">
            <w:pPr>
              <w:spacing w:after="0" w:line="240" w:lineRule="auto"/>
              <w:rPr>
                <w:rFonts w:asciiTheme="minorHAnsi" w:eastAsia="Arial Unicode MS" w:hAnsiTheme="minorHAnsi" w:cs="Arial"/>
                <w:b/>
                <w:sz w:val="18"/>
                <w:szCs w:val="18"/>
              </w:rPr>
            </w:pPr>
            <w:r w:rsidRPr="0037261F">
              <w:rPr>
                <w:rFonts w:asciiTheme="minorHAnsi" w:hAnsiTheme="minorHAnsi" w:cs="Arial"/>
                <w:b/>
                <w:sz w:val="18"/>
                <w:szCs w:val="18"/>
              </w:rPr>
              <w:t>Real income per household (thousands) (2005 base year)</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eastAsia="Times New Roman" w:hAnsiTheme="minorHAnsi" w:cs="Arial"/>
                <w:b/>
                <w:bCs/>
                <w:color w:val="11479D"/>
                <w:sz w:val="18"/>
                <w:szCs w:val="18"/>
              </w:rPr>
            </w:pPr>
            <w:r w:rsidRPr="0037261F">
              <w:rPr>
                <w:rFonts w:asciiTheme="minorHAnsi" w:hAnsiTheme="minorHAnsi"/>
                <w:color w:val="000000"/>
                <w:sz w:val="18"/>
                <w:szCs w:val="18"/>
              </w:rPr>
              <w:t>67.789</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129.356</w:t>
            </w:r>
          </w:p>
        </w:tc>
        <w:tc>
          <w:tcPr>
            <w:tcW w:w="864"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2.0</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133.745</w:t>
            </w:r>
          </w:p>
        </w:tc>
        <w:tc>
          <w:tcPr>
            <w:tcW w:w="1152"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157.221</w:t>
            </w:r>
          </w:p>
        </w:tc>
        <w:tc>
          <w:tcPr>
            <w:tcW w:w="869" w:type="dxa"/>
            <w:shd w:val="clear" w:color="auto" w:fill="FFFFFF"/>
            <w:noWrap/>
            <w:tcMar>
              <w:top w:w="0" w:type="dxa"/>
              <w:bottom w:w="0" w:type="dxa"/>
            </w:tcMar>
            <w:vAlign w:val="center"/>
          </w:tcPr>
          <w:p w:rsidR="00F27B97" w:rsidRPr="0037261F" w:rsidRDefault="00F27B97" w:rsidP="008B1384">
            <w:pPr>
              <w:spacing w:after="0" w:line="240" w:lineRule="auto"/>
              <w:jc w:val="center"/>
              <w:rPr>
                <w:rFonts w:asciiTheme="minorHAnsi" w:hAnsiTheme="minorHAnsi" w:cs="Calibri"/>
                <w:color w:val="333333"/>
                <w:sz w:val="18"/>
                <w:szCs w:val="18"/>
              </w:rPr>
            </w:pPr>
            <w:r w:rsidRPr="0037261F">
              <w:rPr>
                <w:rFonts w:asciiTheme="minorHAnsi" w:hAnsiTheme="minorHAnsi"/>
                <w:color w:val="000000"/>
                <w:sz w:val="18"/>
                <w:szCs w:val="18"/>
              </w:rPr>
              <w:t>1.8</w:t>
            </w:r>
          </w:p>
        </w:tc>
      </w:tr>
    </w:tbl>
    <w:p w:rsidR="00F27B97" w:rsidRPr="00C71ACC" w:rsidRDefault="0072577D" w:rsidP="00290905">
      <w:pPr>
        <w:numPr>
          <w:ilvl w:val="4"/>
          <w:numId w:val="532"/>
        </w:numPr>
        <w:spacing w:before="120" w:line="240" w:lineRule="auto"/>
        <w:ind w:left="270" w:hanging="270"/>
        <w:rPr>
          <w:rFonts w:ascii="Calibri" w:hAnsi="Calibri" w:cs="Arial"/>
          <w:sz w:val="16"/>
          <w:szCs w:val="16"/>
        </w:rPr>
      </w:pPr>
      <w:r w:rsidRPr="00C71ACC">
        <w:rPr>
          <w:rFonts w:ascii="Calibri" w:hAnsi="Calibri" w:cs="Arial"/>
          <w:sz w:val="16"/>
          <w:szCs w:val="16"/>
        </w:rPr>
        <w:t xml:space="preserve">The forecast of the retail electricity prices assumes that the nominal price of electricity will grow at the rate of inflation </w:t>
      </w:r>
      <w:r w:rsidR="00274428" w:rsidRPr="00C71ACC">
        <w:rPr>
          <w:rFonts w:ascii="Calibri" w:hAnsi="Calibri" w:cs="Arial"/>
          <w:sz w:val="16"/>
          <w:szCs w:val="16"/>
        </w:rPr>
        <w:t>(or with flat real prices from 2013 to 2023)</w:t>
      </w:r>
      <w:r w:rsidRPr="00C71ACC">
        <w:rPr>
          <w:rFonts w:ascii="Calibri" w:hAnsi="Calibri" w:cs="Arial"/>
          <w:sz w:val="16"/>
          <w:szCs w:val="16"/>
        </w:rPr>
        <w:t xml:space="preserve"> and fully incorporate the capacity costs from the Forward Capacity Market.</w:t>
      </w:r>
      <w:r w:rsidR="00290905" w:rsidRPr="00C71ACC">
        <w:rPr>
          <w:rFonts w:ascii="Calibri" w:hAnsi="Calibri" w:cs="Arial"/>
          <w:sz w:val="16"/>
          <w:szCs w:val="16"/>
        </w:rPr>
        <w:t xml:space="preserve"> </w:t>
      </w:r>
      <w:r w:rsidR="009F604E" w:rsidRPr="00C71ACC">
        <w:rPr>
          <w:rFonts w:ascii="Calibri" w:hAnsi="Calibri" w:cs="Arial"/>
          <w:sz w:val="16"/>
          <w:szCs w:val="16"/>
        </w:rPr>
        <w:t>“</w:t>
      </w:r>
      <w:proofErr w:type="gramStart"/>
      <w:r w:rsidR="00290905" w:rsidRPr="00C71ACC">
        <w:rPr>
          <w:rFonts w:ascii="Calibri" w:hAnsi="Calibri" w:cs="Arial"/>
          <w:sz w:val="16"/>
          <w:szCs w:val="16"/>
        </w:rPr>
        <w:t>kWh</w:t>
      </w:r>
      <w:proofErr w:type="gramEnd"/>
      <w:r w:rsidR="009F604E" w:rsidRPr="00C71ACC">
        <w:rPr>
          <w:rFonts w:ascii="Calibri" w:hAnsi="Calibri" w:cs="Arial"/>
          <w:sz w:val="16"/>
          <w:szCs w:val="16"/>
        </w:rPr>
        <w:t>”</w:t>
      </w:r>
      <w:r w:rsidR="00290905" w:rsidRPr="00C71ACC">
        <w:rPr>
          <w:rFonts w:ascii="Calibri" w:hAnsi="Calibri" w:cs="Arial"/>
          <w:sz w:val="16"/>
          <w:szCs w:val="16"/>
        </w:rPr>
        <w:t xml:space="preserve"> stands for kilowatt-hour.</w:t>
      </w:r>
    </w:p>
    <w:p w:rsidR="00F27B97" w:rsidRDefault="00F27B97" w:rsidP="00F27B97">
      <w:r>
        <w:t xml:space="preserve">The </w:t>
      </w:r>
      <w:r w:rsidRPr="00610D5E">
        <w:rPr>
          <w:i/>
        </w:rPr>
        <w:t>Economy.</w:t>
      </w:r>
      <w:r w:rsidRPr="002A4DAA">
        <w:rPr>
          <w:i/>
        </w:rPr>
        <w:t>com</w:t>
      </w:r>
      <w:r w:rsidRPr="002A4DAA">
        <w:t xml:space="preserve"> November 2013 economic forecast of real gross state product was used to represent </w:t>
      </w:r>
      <w:proofErr w:type="gramStart"/>
      <w:r w:rsidRPr="002A4DAA">
        <w:t>overall</w:t>
      </w:r>
      <w:proofErr w:type="gramEnd"/>
      <w:r w:rsidRPr="002A4DAA">
        <w:t xml:space="preserve"> economic activity in the RSP14 forecast models. Compared with the November 2012 </w:t>
      </w:r>
      <w:r w:rsidRPr="002A4DAA">
        <w:rPr>
          <w:i/>
        </w:rPr>
        <w:t>Economy.com</w:t>
      </w:r>
      <w:r w:rsidRPr="002A4DAA">
        <w:t xml:space="preserve"> economic forecast, the November 2013 </w:t>
      </w:r>
      <w:r w:rsidRPr="002A4DAA">
        <w:rPr>
          <w:i/>
        </w:rPr>
        <w:t>Economy</w:t>
      </w:r>
      <w:r w:rsidRPr="003F243A">
        <w:rPr>
          <w:i/>
        </w:rPr>
        <w:t>.com</w:t>
      </w:r>
      <w:r w:rsidRPr="003F243A">
        <w:t xml:space="preserve"> forecast of real </w:t>
      </w:r>
      <w:r>
        <w:t xml:space="preserve">gross state product </w:t>
      </w:r>
      <w:r w:rsidRPr="003F243A">
        <w:t xml:space="preserve">shows </w:t>
      </w:r>
      <w:r w:rsidRPr="002A4DAA">
        <w:t xml:space="preserve">slower growth from 2011 through 2014, higher growth in 2015, and similar growth for the remaining </w:t>
      </w:r>
      <w:r w:rsidRPr="00CC64FC">
        <w:t>years.</w:t>
      </w:r>
      <w:r w:rsidRPr="00CC64FC">
        <w:rPr>
          <w:rStyle w:val="FootnoteReference"/>
        </w:rPr>
        <w:footnoteReference w:id="107"/>
      </w:r>
      <w:r w:rsidRPr="00CC64FC" w:rsidDel="003945AC">
        <w:rPr>
          <w:rStyle w:val="FootnoteReference"/>
        </w:rPr>
        <w:t xml:space="preserve"> </w:t>
      </w:r>
      <w:r>
        <w:t xml:space="preserve">Both forecasts show a slow recovery from the recession, which affects the load forecast. </w:t>
      </w:r>
      <w:fldSimple w:instr=" REF _Ref235937451 \h  \* MERGEFORMAT ">
        <w:r w:rsidR="00284CE3" w:rsidRPr="002A4DAA">
          <w:t>Figure </w:t>
        </w:r>
        <w:r w:rsidR="00284CE3">
          <w:t>3</w:t>
        </w:r>
        <w:r w:rsidR="00284CE3">
          <w:noBreakHyphen/>
          <w:t>2</w:t>
        </w:r>
      </w:fldSimple>
      <w:r w:rsidRPr="00CC64FC">
        <w:t xml:space="preserve"> compares</w:t>
      </w:r>
      <w:r w:rsidRPr="00BA275D">
        <w:t xml:space="preserve"> the </w:t>
      </w:r>
      <w:r w:rsidRPr="005D548D">
        <w:t>RGSP forecasts from November 2013 with those from November 2012.</w:t>
      </w:r>
      <w:r w:rsidRPr="005D548D">
        <w:rPr>
          <w:rStyle w:val="FootnoteReference"/>
          <w:sz w:val="22"/>
        </w:rPr>
        <w:footnoteReference w:id="108"/>
      </w:r>
      <w:r>
        <w:t xml:space="preserve"> </w:t>
      </w:r>
    </w:p>
    <w:p w:rsidR="00F27B97" w:rsidRDefault="00F27B97" w:rsidP="00F27B97">
      <w:pPr>
        <w:spacing w:after="0" w:line="240" w:lineRule="auto"/>
        <w:jc w:val="center"/>
      </w:pPr>
      <w:r w:rsidRPr="0037261F">
        <w:rPr>
          <w:noProof/>
        </w:rPr>
        <w:drawing>
          <wp:inline distT="0" distB="0" distL="0" distR="0">
            <wp:extent cx="4521076" cy="3402037"/>
            <wp:effectExtent l="19050" t="19050" r="12824" b="269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527268" cy="3406696"/>
                    </a:xfrm>
                    <a:prstGeom prst="rect">
                      <a:avLst/>
                    </a:prstGeom>
                    <a:noFill/>
                    <a:ln w="3175">
                      <a:solidFill>
                        <a:schemeClr val="tx1"/>
                      </a:solidFill>
                      <a:miter lim="800000"/>
                      <a:headEnd/>
                      <a:tailEnd/>
                    </a:ln>
                  </pic:spPr>
                </pic:pic>
              </a:graphicData>
            </a:graphic>
          </wp:inline>
        </w:drawing>
      </w:r>
    </w:p>
    <w:p w:rsidR="00F27B97" w:rsidRPr="005D548D" w:rsidRDefault="00F27B97" w:rsidP="00F27B97">
      <w:pPr>
        <w:pStyle w:val="Caption-Figure"/>
        <w:spacing w:after="80"/>
        <w:ind w:left="907" w:right="907"/>
        <w:rPr>
          <w:rFonts w:cs="Arial"/>
          <w:color w:val="000000" w:themeColor="text1"/>
          <w:sz w:val="16"/>
          <w:szCs w:val="16"/>
        </w:rPr>
      </w:pPr>
      <w:bookmarkStart w:id="174" w:name="_Ref235937451"/>
      <w:bookmarkStart w:id="175" w:name="_Toc239157183"/>
      <w:bookmarkStart w:id="176" w:name="_Toc291754850"/>
      <w:bookmarkStart w:id="177" w:name="_Toc303086723"/>
      <w:bookmarkStart w:id="178" w:name="_Toc334601483"/>
      <w:bookmarkStart w:id="179" w:name="_Toc365440677"/>
      <w:bookmarkStart w:id="180" w:name="_Toc391985566"/>
      <w:r w:rsidRPr="002A4DAA">
        <w:t>Figure </w:t>
      </w:r>
      <w:r w:rsidR="00927965">
        <w:fldChar w:fldCharType="begin"/>
      </w:r>
      <w:r w:rsidR="0011163E">
        <w:instrText xml:space="preserve"> STYLEREF 1 \s </w:instrText>
      </w:r>
      <w:r w:rsidR="00927965">
        <w:fldChar w:fldCharType="separate"/>
      </w:r>
      <w:r w:rsidR="00284CE3">
        <w:rPr>
          <w:noProof/>
        </w:rPr>
        <w:t>3</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2</w:t>
      </w:r>
      <w:r w:rsidR="00927965">
        <w:fldChar w:fldCharType="end"/>
      </w:r>
      <w:bookmarkEnd w:id="174"/>
      <w:r w:rsidRPr="002A4DAA">
        <w:t xml:space="preserve">: </w:t>
      </w:r>
      <w:bookmarkStart w:id="181" w:name="_Ref325398567"/>
      <w:r w:rsidRPr="002A4DAA">
        <w:t xml:space="preserve">“Economy.com” forecasts of New England gross state product from </w:t>
      </w:r>
      <w:r w:rsidRPr="005D548D">
        <w:rPr>
          <w:color w:val="000000" w:themeColor="text1"/>
        </w:rPr>
        <w:t>November 2013 and November 2012 forecasts.</w:t>
      </w:r>
      <w:bookmarkEnd w:id="175"/>
      <w:bookmarkEnd w:id="176"/>
      <w:bookmarkEnd w:id="177"/>
      <w:bookmarkEnd w:id="178"/>
      <w:bookmarkEnd w:id="179"/>
      <w:bookmarkEnd w:id="180"/>
      <w:bookmarkEnd w:id="181"/>
    </w:p>
    <w:p w:rsidR="00F27B97" w:rsidRPr="00284EAD" w:rsidRDefault="00F27B97" w:rsidP="00F27B97">
      <w:pPr>
        <w:pStyle w:val="Caption-Figure"/>
        <w:spacing w:before="0"/>
        <w:ind w:left="900" w:right="900"/>
        <w:rPr>
          <w:rFonts w:cs="Arial"/>
          <w:sz w:val="16"/>
          <w:szCs w:val="16"/>
        </w:rPr>
      </w:pPr>
      <w:proofErr w:type="gramStart"/>
      <w:r w:rsidRPr="00284EAD">
        <w:rPr>
          <w:rFonts w:cs="Arial"/>
          <w:sz w:val="16"/>
          <w:szCs w:val="16"/>
        </w:rPr>
        <w:t xml:space="preserve">Source: </w:t>
      </w:r>
      <w:r w:rsidRPr="00284EAD">
        <w:rPr>
          <w:rFonts w:cs="Arial"/>
          <w:b w:val="0"/>
          <w:sz w:val="16"/>
          <w:szCs w:val="16"/>
        </w:rPr>
        <w:t>Moody’s Analytics, Economy.com.</w:t>
      </w:r>
      <w:proofErr w:type="gramEnd"/>
    </w:p>
    <w:p w:rsidR="00F27B97" w:rsidRPr="00284EAD" w:rsidRDefault="00F27B97" w:rsidP="00F27B97">
      <w:pPr>
        <w:spacing w:line="240" w:lineRule="auto"/>
        <w:ind w:left="907" w:right="907"/>
        <w:rPr>
          <w:rFonts w:ascii="Calibri" w:hAnsi="Calibri" w:cs="Arial"/>
          <w:b/>
          <w:sz w:val="16"/>
          <w:szCs w:val="16"/>
        </w:rPr>
      </w:pPr>
      <w:r w:rsidRPr="00284EAD">
        <w:rPr>
          <w:rFonts w:ascii="Calibri" w:hAnsi="Calibri" w:cs="Arial"/>
          <w:b/>
          <w:sz w:val="16"/>
          <w:szCs w:val="16"/>
        </w:rPr>
        <w:t xml:space="preserve">Notes: </w:t>
      </w:r>
      <w:r w:rsidRPr="00284EAD">
        <w:rPr>
          <w:rFonts w:ascii="Calibri" w:hAnsi="Calibri" w:cs="Arial"/>
          <w:sz w:val="16"/>
          <w:szCs w:val="16"/>
        </w:rPr>
        <w:t>Years 1981 to 2013 reflect actual gross state product.</w:t>
      </w:r>
      <w:r w:rsidRPr="00284EAD">
        <w:rPr>
          <w:rFonts w:ascii="Calibri" w:hAnsi="Calibri" w:cs="Arial"/>
          <w:b/>
          <w:sz w:val="16"/>
          <w:szCs w:val="16"/>
        </w:rPr>
        <w:t xml:space="preserve"> </w:t>
      </w:r>
      <w:r w:rsidRPr="00284EAD">
        <w:rPr>
          <w:rFonts w:ascii="Calibri" w:hAnsi="Calibri" w:cs="Arial"/>
          <w:sz w:val="16"/>
          <w:szCs w:val="16"/>
        </w:rPr>
        <w:t xml:space="preserve">Note the Bureau of Economic Analysis </w:t>
      </w:r>
      <w:r w:rsidR="00BB2123" w:rsidRPr="00284EAD">
        <w:rPr>
          <w:rFonts w:ascii="Calibri" w:hAnsi="Calibri" w:cs="Arial"/>
          <w:sz w:val="16"/>
          <w:szCs w:val="16"/>
        </w:rPr>
        <w:t xml:space="preserve">(of the US Department of Commerce) </w:t>
      </w:r>
      <w:r w:rsidRPr="00284EAD">
        <w:rPr>
          <w:rFonts w:ascii="Calibri" w:hAnsi="Calibri" w:cs="Arial"/>
          <w:sz w:val="16"/>
          <w:szCs w:val="16"/>
        </w:rPr>
        <w:t>revisions to the historical data for 2007 to 2013.</w:t>
      </w:r>
    </w:p>
    <w:p w:rsidR="00F27B97" w:rsidRPr="00A031E8" w:rsidRDefault="00F27B97" w:rsidP="00F27B97">
      <w:pPr>
        <w:pStyle w:val="Heading3"/>
        <w:spacing w:before="120"/>
      </w:pPr>
      <w:bookmarkStart w:id="182" w:name="_Ref323053560"/>
      <w:bookmarkStart w:id="183" w:name="_Toc334601016"/>
      <w:bookmarkStart w:id="184" w:name="_Toc365440985"/>
      <w:bookmarkStart w:id="185" w:name="_Toc396807609"/>
      <w:r w:rsidRPr="00A031E8">
        <w:t>The CELT Forecast and Passive Demand Resources</w:t>
      </w:r>
      <w:bookmarkEnd w:id="182"/>
      <w:bookmarkEnd w:id="183"/>
      <w:bookmarkEnd w:id="184"/>
      <w:bookmarkEnd w:id="185"/>
    </w:p>
    <w:p w:rsidR="00F27B97" w:rsidRPr="00F12F2E" w:rsidRDefault="00F27B97" w:rsidP="00F27B97">
      <w:r w:rsidRPr="00A031E8">
        <w:t xml:space="preserve">The seasonal peak load and energy-use forecast, as published in </w:t>
      </w:r>
      <w:r>
        <w:t xml:space="preserve">the </w:t>
      </w:r>
      <w:r w:rsidRPr="00610D5E">
        <w:rPr>
          <w:i/>
        </w:rPr>
        <w:t>201</w:t>
      </w:r>
      <w:r>
        <w:rPr>
          <w:i/>
        </w:rPr>
        <w:t>4</w:t>
      </w:r>
      <w:r w:rsidRPr="00610D5E">
        <w:rPr>
          <w:i/>
        </w:rPr>
        <w:t>–202</w:t>
      </w:r>
      <w:r>
        <w:rPr>
          <w:i/>
        </w:rPr>
        <w:t>3</w:t>
      </w:r>
      <w:r w:rsidRPr="00610D5E">
        <w:rPr>
          <w:i/>
        </w:rPr>
        <w:t xml:space="preserve"> Forecast Report of Capacity, Energy, Loads, and Transmission</w:t>
      </w:r>
      <w:r w:rsidRPr="00610D5E">
        <w:t xml:space="preserve"> (201</w:t>
      </w:r>
      <w:r>
        <w:t>4</w:t>
      </w:r>
      <w:r w:rsidRPr="00610D5E">
        <w:t xml:space="preserve"> CELT Report) and used for calculating the Installed</w:t>
      </w:r>
      <w:r w:rsidRPr="00A031E8">
        <w:t xml:space="preserve"> Capacity Requirement (ICR), fully accounts for historical energy efficiency, passive demand resources, and future federal appliance standards.</w:t>
      </w:r>
      <w:r>
        <w:rPr>
          <w:rStyle w:val="FootnoteReference"/>
        </w:rPr>
        <w:footnoteReference w:id="109"/>
      </w:r>
      <w:r w:rsidRPr="00A031E8">
        <w:t xml:space="preserve"> The forecast does not expressly reflect the future reduction in </w:t>
      </w:r>
      <w:r w:rsidRPr="00823B7D">
        <w:t>peak demand and energy use that will result from</w:t>
      </w:r>
      <w:r>
        <w:t xml:space="preserve"> </w:t>
      </w:r>
      <w:r w:rsidRPr="00823B7D">
        <w:t>the passive demand</w:t>
      </w:r>
      <w:r>
        <w:t xml:space="preserve"> r</w:t>
      </w:r>
      <w:r w:rsidRPr="00823B7D">
        <w:t>esources that clear the Forward</w:t>
      </w:r>
      <w:r w:rsidRPr="00A031E8">
        <w:t xml:space="preserve"> </w:t>
      </w:r>
      <w:r>
        <w:t xml:space="preserve">Capacity Auctions. Similarly, the energy-efficiency forecast (described in Section </w:t>
      </w:r>
      <w:r w:rsidR="00927965">
        <w:fldChar w:fldCharType="begin"/>
      </w:r>
      <w:r w:rsidR="00252C5C">
        <w:instrText xml:space="preserve"> REF _Ref387327848 \r \h </w:instrText>
      </w:r>
      <w:r w:rsidR="00927965">
        <w:fldChar w:fldCharType="separate"/>
      </w:r>
      <w:r w:rsidR="00284CE3">
        <w:t>3.2</w:t>
      </w:r>
      <w:r w:rsidR="00927965">
        <w:fldChar w:fldCharType="end"/>
      </w:r>
      <w:r>
        <w:t>) is a separate forecast that is not included as part of the peak load and energy-use forecast</w:t>
      </w:r>
      <w:r w:rsidRPr="00A031E8">
        <w:t xml:space="preserve">. Historical reductions in load </w:t>
      </w:r>
      <w:r w:rsidRPr="00252C5C">
        <w:t>from “other demand resources” (ODRs) in the transition period leading up to the FCM and from the</w:t>
      </w:r>
      <w:r w:rsidRPr="00A031E8">
        <w:t xml:space="preserve"> passive demand resources in the FCM have </w:t>
      </w:r>
      <w:r w:rsidRPr="003666C4">
        <w:t>been added back into the</w:t>
      </w:r>
      <w:r w:rsidRPr="00A031E8">
        <w:t xml:space="preserve"> historical loads used for load forecasting.</w:t>
      </w:r>
      <w:r>
        <w:rPr>
          <w:rStyle w:val="FootnoteReference"/>
        </w:rPr>
        <w:footnoteReference w:id="110"/>
      </w:r>
    </w:p>
    <w:p w:rsidR="00F27B97" w:rsidRPr="003D191A" w:rsidRDefault="00F27B97" w:rsidP="00F27B97">
      <w:pPr>
        <w:pStyle w:val="Heading3"/>
        <w:spacing w:before="120"/>
      </w:pPr>
      <w:bookmarkStart w:id="186" w:name="_Toc176244992"/>
      <w:bookmarkStart w:id="187" w:name="_Toc201669909"/>
      <w:bookmarkStart w:id="188" w:name="_Toc207531810"/>
      <w:bookmarkStart w:id="189" w:name="_Toc239157054"/>
      <w:bookmarkStart w:id="190" w:name="_Toc291754872"/>
      <w:bookmarkStart w:id="191" w:name="_Toc303086364"/>
      <w:bookmarkStart w:id="192" w:name="_Toc334601017"/>
      <w:bookmarkStart w:id="193" w:name="_Toc365440986"/>
      <w:bookmarkStart w:id="194" w:name="_Toc396807610"/>
      <w:r w:rsidRPr="003D191A">
        <w:t>Subarea Use of Electric Energy</w:t>
      </w:r>
      <w:bookmarkEnd w:id="186"/>
      <w:bookmarkEnd w:id="187"/>
      <w:bookmarkEnd w:id="188"/>
      <w:bookmarkEnd w:id="189"/>
      <w:bookmarkEnd w:id="190"/>
      <w:bookmarkEnd w:id="191"/>
      <w:bookmarkEnd w:id="192"/>
      <w:bookmarkEnd w:id="193"/>
      <w:bookmarkEnd w:id="194"/>
    </w:p>
    <w:p w:rsidR="00F27B97" w:rsidRPr="00850A45" w:rsidRDefault="00F27B97" w:rsidP="00F27B97">
      <w:r w:rsidRPr="003D191A">
        <w:t xml:space="preserve">Much of the RSP14 reliability and production cost analysis depends on the forecasts of annual electric energy use and peak demand in the subareas. </w:t>
      </w:r>
      <w:fldSimple w:instr=" REF _Ref173325878 \h  \* MERGEFORMAT ">
        <w:r w:rsidR="00284CE3" w:rsidRPr="005F7D53">
          <w:t xml:space="preserve">Table </w:t>
        </w:r>
        <w:r w:rsidR="00284CE3">
          <w:rPr>
            <w:noProof/>
          </w:rPr>
          <w:t>3</w:t>
        </w:r>
        <w:r w:rsidR="00284CE3">
          <w:rPr>
            <w:noProof/>
          </w:rPr>
          <w:noBreakHyphen/>
          <w:t>3</w:t>
        </w:r>
      </w:fldSimple>
      <w:r w:rsidRPr="003D191A">
        <w:t xml:space="preserve"> summarizes these forecasts and provides important market information to stakeholders.</w:t>
      </w:r>
      <w:r w:rsidRPr="003D191A">
        <w:rPr>
          <w:vertAlign w:val="superscript"/>
        </w:rPr>
        <w:footnoteReference w:id="111"/>
      </w:r>
      <w:r w:rsidRPr="003D191A">
        <w:t xml:space="preserve"> </w:t>
      </w:r>
      <w:fldSimple w:instr=" REF _Ref201978189 \h  \* MERGEFORMAT ">
        <w:r w:rsidR="00284CE3" w:rsidRPr="005F7D53">
          <w:t>Table </w:t>
        </w:r>
        <w:r w:rsidR="00284CE3">
          <w:t>3</w:t>
        </w:r>
        <w:r w:rsidR="00284CE3">
          <w:noBreakHyphen/>
          <w:t>4</w:t>
        </w:r>
      </w:fldSimple>
      <w:r w:rsidRPr="003D191A">
        <w:t xml:space="preserve"> shows the forecast for the RSP subareas and their relationship to the load zones and states.</w:t>
      </w:r>
      <w:r w:rsidRPr="003D191A">
        <w:rPr>
          <w:vertAlign w:val="superscript"/>
        </w:rPr>
        <w:footnoteReference w:id="112"/>
      </w:r>
      <w:r w:rsidRPr="003D191A">
        <w:t xml:space="preserve"> The forecasts for the peak demand and annual energy use in the subareas are derived by first allocating the ISO’s state forecasts to distribution companies within the states on the basis of historical shares; second, allocating the distribution company forecasts to busses using the ISO model of the transmission network; and finally, aggregating the busses for each of the subareas.</w:t>
      </w:r>
    </w:p>
    <w:p w:rsidR="00F27B97" w:rsidRDefault="00F27B97" w:rsidP="00F27B97">
      <w:pPr>
        <w:pStyle w:val="Caption"/>
      </w:pPr>
      <w:bookmarkStart w:id="195" w:name="_Ref173325878"/>
      <w:bookmarkStart w:id="196" w:name="_Toc176244938"/>
      <w:bookmarkStart w:id="197" w:name="_Toc200169057"/>
      <w:bookmarkStart w:id="198" w:name="_Toc200440144"/>
      <w:bookmarkStart w:id="199" w:name="_Toc207531964"/>
      <w:bookmarkStart w:id="200" w:name="_Toc239157212"/>
      <w:bookmarkStart w:id="201" w:name="_Toc291754835"/>
      <w:bookmarkStart w:id="202" w:name="_Toc303086930"/>
      <w:bookmarkStart w:id="203" w:name="_Toc330401251"/>
      <w:bookmarkStart w:id="204" w:name="_Toc334541924"/>
      <w:bookmarkStart w:id="205" w:name="_Toc334541961"/>
      <w:bookmarkStart w:id="206" w:name="_Toc365440699"/>
      <w:bookmarkStart w:id="207" w:name="_Toc391985597"/>
      <w:r w:rsidRPr="005F7D53">
        <w:t xml:space="preserve">Table </w:t>
      </w:r>
      <w:r w:rsidR="00927965">
        <w:fldChar w:fldCharType="begin"/>
      </w:r>
      <w:r w:rsidR="00BD7584">
        <w:instrText xml:space="preserve"> STYLEREF 1 \s </w:instrText>
      </w:r>
      <w:r w:rsidR="00927965">
        <w:fldChar w:fldCharType="separate"/>
      </w:r>
      <w:r w:rsidR="00284CE3">
        <w:rPr>
          <w:noProof/>
        </w:rPr>
        <w:t>3</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3</w:t>
      </w:r>
      <w:r w:rsidR="00927965">
        <w:fldChar w:fldCharType="end"/>
      </w:r>
      <w:bookmarkEnd w:id="195"/>
      <w:r w:rsidRPr="005F7D53">
        <w:br/>
        <w:t>Forecasts of Annual Use of Electric Energy and Peak Demand in RSP Subareas, 2014 and 202</w:t>
      </w:r>
      <w:bookmarkEnd w:id="196"/>
      <w:bookmarkEnd w:id="197"/>
      <w:bookmarkEnd w:id="198"/>
      <w:bookmarkEnd w:id="199"/>
      <w:bookmarkEnd w:id="200"/>
      <w:bookmarkEnd w:id="201"/>
      <w:bookmarkEnd w:id="202"/>
      <w:bookmarkEnd w:id="203"/>
      <w:bookmarkEnd w:id="204"/>
      <w:bookmarkEnd w:id="205"/>
      <w:bookmarkEnd w:id="206"/>
      <w:r w:rsidRPr="005F7D53">
        <w:t>3</w:t>
      </w:r>
      <w:bookmarkEnd w:id="207"/>
    </w:p>
    <w:tbl>
      <w:tblPr>
        <w:tblW w:w="101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tblPr>
      <w:tblGrid>
        <w:gridCol w:w="1112"/>
        <w:gridCol w:w="720"/>
        <w:gridCol w:w="740"/>
        <w:gridCol w:w="610"/>
        <w:gridCol w:w="646"/>
        <w:gridCol w:w="652"/>
        <w:gridCol w:w="652"/>
        <w:gridCol w:w="660"/>
        <w:gridCol w:w="540"/>
        <w:gridCol w:w="810"/>
        <w:gridCol w:w="842"/>
        <w:gridCol w:w="810"/>
        <w:gridCol w:w="778"/>
        <w:gridCol w:w="572"/>
      </w:tblGrid>
      <w:tr w:rsidR="00F27B97" w:rsidRPr="00226A4D" w:rsidTr="002F22C9">
        <w:trPr>
          <w:cantSplit/>
          <w:jc w:val="center"/>
        </w:trPr>
        <w:tc>
          <w:tcPr>
            <w:tcW w:w="1112" w:type="dxa"/>
            <w:vMerge w:val="restart"/>
            <w:shd w:val="clear" w:color="auto" w:fill="85AFF2"/>
            <w:noWrap/>
            <w:vAlign w:val="center"/>
          </w:tcPr>
          <w:p w:rsidR="00F27B97" w:rsidRPr="00226A4D" w:rsidRDefault="00F27B97" w:rsidP="008B1384">
            <w:pPr>
              <w:pStyle w:val="Tablefont"/>
              <w:spacing w:before="0" w:after="0"/>
              <w:jc w:val="center"/>
              <w:rPr>
                <w:rFonts w:ascii="Calibri" w:hAnsi="Calibri" w:cs="Arial"/>
                <w:b/>
                <w:color w:val="FFFFFF"/>
                <w:szCs w:val="16"/>
              </w:rPr>
            </w:pPr>
            <w:r w:rsidRPr="00226A4D">
              <w:rPr>
                <w:rFonts w:ascii="Calibri" w:hAnsi="Calibri" w:cs="Arial"/>
                <w:b/>
                <w:color w:val="FFFFFF"/>
                <w:szCs w:val="16"/>
              </w:rPr>
              <w:t>Area</w:t>
            </w:r>
          </w:p>
        </w:tc>
        <w:tc>
          <w:tcPr>
            <w:tcW w:w="2070" w:type="dxa"/>
            <w:gridSpan w:val="3"/>
            <w:vMerge w:val="restart"/>
            <w:shd w:val="clear" w:color="auto" w:fill="85AFF2"/>
            <w:noWrap/>
            <w:vAlign w:val="center"/>
          </w:tcPr>
          <w:p w:rsidR="00F27B97" w:rsidRPr="00226A4D" w:rsidRDefault="00F27B97" w:rsidP="008B1384">
            <w:pPr>
              <w:keepNext/>
              <w:keepLines/>
              <w:spacing w:after="0" w:line="240" w:lineRule="auto"/>
              <w:jc w:val="center"/>
              <w:rPr>
                <w:rFonts w:ascii="Calibri" w:hAnsi="Calibri" w:cs="Arial"/>
                <w:b/>
                <w:color w:val="FFFFFF"/>
                <w:sz w:val="16"/>
                <w:szCs w:val="16"/>
              </w:rPr>
            </w:pPr>
            <w:r w:rsidRPr="00226A4D">
              <w:rPr>
                <w:rFonts w:ascii="Calibri" w:hAnsi="Calibri" w:cs="Arial"/>
                <w:b/>
                <w:color w:val="FFFFFF"/>
                <w:sz w:val="16"/>
                <w:szCs w:val="16"/>
              </w:rPr>
              <w:t>Net Energy for Load</w:t>
            </w:r>
          </w:p>
          <w:p w:rsidR="00F27B97" w:rsidRPr="00226A4D" w:rsidRDefault="00F27B97" w:rsidP="008B1384">
            <w:pPr>
              <w:keepNext/>
              <w:keepLines/>
              <w:spacing w:after="0" w:line="240" w:lineRule="auto"/>
              <w:jc w:val="center"/>
              <w:rPr>
                <w:rFonts w:ascii="Calibri" w:hAnsi="Calibri" w:cs="Arial"/>
                <w:b/>
                <w:color w:val="FFFFFF"/>
                <w:sz w:val="16"/>
                <w:szCs w:val="16"/>
              </w:rPr>
            </w:pPr>
            <w:r w:rsidRPr="00226A4D">
              <w:rPr>
                <w:rFonts w:ascii="Calibri" w:hAnsi="Calibri" w:cs="Arial"/>
                <w:b/>
                <w:color w:val="FFFFFF"/>
                <w:sz w:val="16"/>
                <w:szCs w:val="16"/>
              </w:rPr>
              <w:t>(1,000 </w:t>
            </w:r>
            <w:proofErr w:type="spellStart"/>
            <w:r w:rsidRPr="00226A4D">
              <w:rPr>
                <w:rFonts w:ascii="Calibri" w:hAnsi="Calibri" w:cs="Arial"/>
                <w:b/>
                <w:color w:val="FFFFFF"/>
                <w:sz w:val="16"/>
                <w:szCs w:val="16"/>
              </w:rPr>
              <w:t>MWh</w:t>
            </w:r>
            <w:proofErr w:type="spellEnd"/>
            <w:r w:rsidRPr="00226A4D">
              <w:rPr>
                <w:rFonts w:ascii="Calibri" w:hAnsi="Calibri" w:cs="Arial"/>
                <w:b/>
                <w:color w:val="FFFFFF"/>
                <w:sz w:val="16"/>
                <w:szCs w:val="16"/>
              </w:rPr>
              <w:t>)</w:t>
            </w:r>
          </w:p>
        </w:tc>
        <w:tc>
          <w:tcPr>
            <w:tcW w:w="3150" w:type="dxa"/>
            <w:gridSpan w:val="5"/>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Summer Peak Loads (MW)</w:t>
            </w:r>
          </w:p>
        </w:tc>
        <w:tc>
          <w:tcPr>
            <w:tcW w:w="3812" w:type="dxa"/>
            <w:gridSpan w:val="5"/>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Winter Peak Loads (MW)</w:t>
            </w:r>
          </w:p>
        </w:tc>
      </w:tr>
      <w:tr w:rsidR="00F27B97" w:rsidRPr="00226A4D" w:rsidTr="002F22C9">
        <w:trPr>
          <w:cantSplit/>
          <w:jc w:val="center"/>
        </w:trPr>
        <w:tc>
          <w:tcPr>
            <w:tcW w:w="1112" w:type="dxa"/>
            <w:vMerge/>
            <w:shd w:val="clear" w:color="auto" w:fill="85AFF2"/>
            <w:noWrap/>
            <w:vAlign w:val="center"/>
          </w:tcPr>
          <w:p w:rsidR="00F27B97" w:rsidRPr="00226A4D" w:rsidRDefault="00F27B97" w:rsidP="008B1384">
            <w:pPr>
              <w:pStyle w:val="Tablefont"/>
              <w:spacing w:before="0" w:after="0"/>
              <w:jc w:val="center"/>
              <w:rPr>
                <w:rFonts w:ascii="Calibri" w:hAnsi="Calibri" w:cs="Arial"/>
                <w:b/>
                <w:color w:val="FFFFFF"/>
                <w:szCs w:val="16"/>
              </w:rPr>
            </w:pPr>
          </w:p>
        </w:tc>
        <w:tc>
          <w:tcPr>
            <w:tcW w:w="2070" w:type="dxa"/>
            <w:gridSpan w:val="3"/>
            <w:vMerge/>
            <w:shd w:val="clear" w:color="auto" w:fill="85AFF2"/>
            <w:noWrap/>
            <w:vAlign w:val="center"/>
          </w:tcPr>
          <w:p w:rsidR="00F27B97" w:rsidRPr="00226A4D" w:rsidRDefault="00F27B97" w:rsidP="008B1384">
            <w:pPr>
              <w:keepNext/>
              <w:keepLines/>
              <w:spacing w:after="0" w:line="240" w:lineRule="auto"/>
              <w:jc w:val="center"/>
              <w:rPr>
                <w:rFonts w:ascii="Calibri" w:hAnsi="Calibri" w:cs="Arial"/>
                <w:b/>
                <w:color w:val="FFFFFF"/>
                <w:sz w:val="16"/>
                <w:szCs w:val="16"/>
              </w:rPr>
            </w:pPr>
          </w:p>
        </w:tc>
        <w:tc>
          <w:tcPr>
            <w:tcW w:w="1298" w:type="dxa"/>
            <w:gridSpan w:val="2"/>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50/50 Load</w:t>
            </w:r>
          </w:p>
        </w:tc>
        <w:tc>
          <w:tcPr>
            <w:tcW w:w="1312" w:type="dxa"/>
            <w:gridSpan w:val="2"/>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90/10 Load</w:t>
            </w:r>
          </w:p>
        </w:tc>
        <w:tc>
          <w:tcPr>
            <w:tcW w:w="540" w:type="dxa"/>
            <w:shd w:val="clear" w:color="auto" w:fill="85AFF2"/>
            <w:noWrap/>
            <w:vAlign w:val="center"/>
          </w:tcPr>
          <w:p w:rsidR="00F27B97" w:rsidRPr="00226A4D" w:rsidRDefault="00F27B97" w:rsidP="008B1384">
            <w:pPr>
              <w:keepNext/>
              <w:keepLines/>
              <w:spacing w:after="0" w:line="240" w:lineRule="auto"/>
              <w:jc w:val="center"/>
              <w:rPr>
                <w:rFonts w:ascii="Calibri" w:hAnsi="Calibri" w:cs="Arial"/>
                <w:b/>
                <w:color w:val="FFFFFF"/>
                <w:sz w:val="16"/>
                <w:szCs w:val="16"/>
              </w:rPr>
            </w:pPr>
          </w:p>
        </w:tc>
        <w:tc>
          <w:tcPr>
            <w:tcW w:w="1652" w:type="dxa"/>
            <w:gridSpan w:val="2"/>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50/50 Load</w:t>
            </w:r>
          </w:p>
        </w:tc>
        <w:tc>
          <w:tcPr>
            <w:tcW w:w="1588" w:type="dxa"/>
            <w:gridSpan w:val="2"/>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90/10 Load</w:t>
            </w:r>
          </w:p>
        </w:tc>
        <w:tc>
          <w:tcPr>
            <w:tcW w:w="572" w:type="dxa"/>
            <w:shd w:val="clear" w:color="auto" w:fill="85AFF2"/>
            <w:noWrap/>
            <w:vAlign w:val="center"/>
          </w:tcPr>
          <w:p w:rsidR="00F27B97" w:rsidRPr="00226A4D" w:rsidRDefault="00F27B97" w:rsidP="008B1384">
            <w:pPr>
              <w:keepNext/>
              <w:keepLines/>
              <w:spacing w:after="0" w:line="240" w:lineRule="auto"/>
              <w:jc w:val="center"/>
              <w:rPr>
                <w:rFonts w:ascii="Calibri" w:hAnsi="Calibri" w:cs="Arial"/>
                <w:b/>
                <w:color w:val="FFFFFF"/>
                <w:sz w:val="16"/>
                <w:szCs w:val="16"/>
              </w:rPr>
            </w:pPr>
          </w:p>
        </w:tc>
      </w:tr>
      <w:tr w:rsidR="00F27B97" w:rsidRPr="00226A4D" w:rsidTr="002F22C9">
        <w:trPr>
          <w:cantSplit/>
          <w:jc w:val="center"/>
        </w:trPr>
        <w:tc>
          <w:tcPr>
            <w:tcW w:w="1112" w:type="dxa"/>
            <w:vMerge/>
            <w:shd w:val="clear" w:color="auto" w:fill="85AFF2"/>
            <w:noWrap/>
            <w:vAlign w:val="center"/>
          </w:tcPr>
          <w:p w:rsidR="00F27B97" w:rsidRPr="00226A4D" w:rsidRDefault="00F27B97" w:rsidP="008B1384">
            <w:pPr>
              <w:keepNext/>
              <w:keepLines/>
              <w:spacing w:after="0" w:line="240" w:lineRule="auto"/>
              <w:rPr>
                <w:rFonts w:ascii="Calibri" w:eastAsia="Arial Unicode MS" w:hAnsi="Calibri" w:cs="Arial"/>
                <w:b/>
                <w:color w:val="FFFFFF"/>
                <w:sz w:val="16"/>
                <w:szCs w:val="16"/>
              </w:rPr>
            </w:pPr>
          </w:p>
        </w:tc>
        <w:tc>
          <w:tcPr>
            <w:tcW w:w="72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w:t>
            </w:r>
          </w:p>
        </w:tc>
        <w:tc>
          <w:tcPr>
            <w:tcW w:w="74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w:t>
            </w:r>
          </w:p>
        </w:tc>
        <w:tc>
          <w:tcPr>
            <w:tcW w:w="61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CAGR</w:t>
            </w:r>
          </w:p>
        </w:tc>
        <w:tc>
          <w:tcPr>
            <w:tcW w:w="646"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w:t>
            </w:r>
          </w:p>
        </w:tc>
        <w:tc>
          <w:tcPr>
            <w:tcW w:w="652"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w:t>
            </w:r>
          </w:p>
        </w:tc>
        <w:tc>
          <w:tcPr>
            <w:tcW w:w="652"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w:t>
            </w:r>
          </w:p>
        </w:tc>
        <w:tc>
          <w:tcPr>
            <w:tcW w:w="66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w:t>
            </w:r>
          </w:p>
        </w:tc>
        <w:tc>
          <w:tcPr>
            <w:tcW w:w="54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CAGR</w:t>
            </w:r>
          </w:p>
        </w:tc>
        <w:tc>
          <w:tcPr>
            <w:tcW w:w="81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2014/15</w:t>
            </w:r>
          </w:p>
        </w:tc>
        <w:tc>
          <w:tcPr>
            <w:tcW w:w="842"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2023/24</w:t>
            </w:r>
          </w:p>
        </w:tc>
        <w:tc>
          <w:tcPr>
            <w:tcW w:w="810"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2014/15</w:t>
            </w:r>
          </w:p>
        </w:tc>
        <w:tc>
          <w:tcPr>
            <w:tcW w:w="778"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2023/24</w:t>
            </w:r>
          </w:p>
        </w:tc>
        <w:tc>
          <w:tcPr>
            <w:tcW w:w="572" w:type="dxa"/>
            <w:shd w:val="clear" w:color="auto" w:fill="85AFF2"/>
            <w:noWrap/>
            <w:vAlign w:val="center"/>
          </w:tcPr>
          <w:p w:rsidR="00F27B97" w:rsidRPr="00226A4D" w:rsidRDefault="00F27B97" w:rsidP="008B1384">
            <w:pPr>
              <w:keepNext/>
              <w:keepLines/>
              <w:spacing w:after="0" w:line="240" w:lineRule="auto"/>
              <w:jc w:val="center"/>
              <w:rPr>
                <w:rFonts w:ascii="Calibri" w:eastAsia="Arial Unicode MS" w:hAnsi="Calibri" w:cs="Arial"/>
                <w:b/>
                <w:color w:val="FFFFFF"/>
                <w:sz w:val="16"/>
                <w:szCs w:val="16"/>
              </w:rPr>
            </w:pPr>
            <w:r w:rsidRPr="00226A4D">
              <w:rPr>
                <w:rFonts w:ascii="Calibri" w:hAnsi="Calibri" w:cs="Arial"/>
                <w:b/>
                <w:color w:val="FFFFFF"/>
                <w:sz w:val="16"/>
                <w:szCs w:val="16"/>
              </w:rPr>
              <w:t>CAGR</w:t>
            </w:r>
          </w:p>
        </w:tc>
      </w:tr>
      <w:tr w:rsidR="00F27B97" w:rsidRPr="00226A4D" w:rsidTr="002F22C9">
        <w:trPr>
          <w:cantSplit/>
          <w:trHeight w:val="255"/>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BHE</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1,785</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1,915</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305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335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325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360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280</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295</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305</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0.4</w:t>
            </w:r>
          </w:p>
        </w:tc>
      </w:tr>
      <w:tr w:rsidR="00F27B97" w:rsidRPr="00226A4D" w:rsidTr="002F22C9">
        <w:trPr>
          <w:cantSplit/>
          <w:trHeight w:val="255"/>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ME</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5,775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6,210</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950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1,040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1,010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1,110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950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975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995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1,025</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0.3</w:t>
            </w:r>
          </w:p>
        </w:tc>
      </w:tr>
      <w:tr w:rsidR="00F27B97" w:rsidRPr="00226A4D" w:rsidTr="002F22C9">
        <w:trPr>
          <w:cantSplit/>
          <w:trHeight w:val="255"/>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SME</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4,380</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4,710</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785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865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830</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920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660</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680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690</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710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0.3</w:t>
            </w:r>
          </w:p>
        </w:tc>
      </w:tr>
      <w:tr w:rsidR="00F27B97" w:rsidRPr="00226A4D" w:rsidTr="002F22C9">
        <w:trPr>
          <w:cantSplit/>
          <w:trHeight w:val="255"/>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NH</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10,595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11,625</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2,170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2,470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2,330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2,665</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1,750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1,865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1,850</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1,970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0.7</w:t>
            </w:r>
          </w:p>
        </w:tc>
      </w:tr>
      <w:tr w:rsidR="00F27B97" w:rsidRPr="00226A4D" w:rsidTr="002F22C9">
        <w:trPr>
          <w:cantSplit/>
          <w:trHeight w:val="255"/>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VT</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7,850</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8,520</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0.9</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1,355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1,505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1,425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1,585</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1,270</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1,360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1,335</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1,430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r>
      <w:tr w:rsidR="00F27B97" w:rsidRPr="00226A4D" w:rsidTr="002F22C9">
        <w:trPr>
          <w:cantSplit/>
          <w:trHeight w:val="270"/>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BOSTON</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28,845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31,960</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5,905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olor w:val="000000"/>
                <w:sz w:val="16"/>
                <w:szCs w:val="16"/>
              </w:rPr>
            </w:pPr>
            <w:r w:rsidRPr="00226A4D">
              <w:rPr>
                <w:rFonts w:ascii="Calibri" w:hAnsi="Calibri"/>
                <w:color w:val="000000"/>
                <w:sz w:val="16"/>
                <w:szCs w:val="16"/>
              </w:rPr>
              <w:t>6,745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6,360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7,260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4,685</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5,000</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4,805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5,120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0.7</w:t>
            </w:r>
          </w:p>
        </w:tc>
      </w:tr>
      <w:tr w:rsidR="00F27B97" w:rsidRPr="00226A4D" w:rsidTr="002F22C9">
        <w:trPr>
          <w:cantSplit/>
          <w:trHeight w:val="270"/>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CMA/NEMA</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8,445</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9,095</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1,710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1,895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1,840</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2,040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1,385</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1,445</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1,420</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1,480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0.5</w:t>
            </w:r>
          </w:p>
        </w:tc>
      </w:tr>
      <w:tr w:rsidR="00F27B97" w:rsidRPr="00226A4D" w:rsidTr="002F22C9">
        <w:trPr>
          <w:cantSplit/>
          <w:trHeight w:val="270"/>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WMA</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10,850</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11,890</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2,155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2,440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2,320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2,630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1,810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1,905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1,855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1,950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0.6</w:t>
            </w:r>
          </w:p>
        </w:tc>
      </w:tr>
      <w:tr w:rsidR="00F27B97" w:rsidRPr="00226A4D" w:rsidTr="002F22C9">
        <w:trPr>
          <w:cantSplit/>
          <w:trHeight w:val="270"/>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SEMA</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14,225</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15,495</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2,975</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3,360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3,215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3,630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2,260</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2,360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2,320</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2,420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0.5</w:t>
            </w:r>
          </w:p>
        </w:tc>
      </w:tr>
      <w:tr w:rsidR="00F27B97" w:rsidRPr="00226A4D" w:rsidTr="002F22C9">
        <w:trPr>
          <w:cantSplit/>
          <w:trHeight w:val="270"/>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RI</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11,705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13,130</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2,535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2,910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2,815</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3,240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1.6</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1,880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2,025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1,935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2,080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0.8</w:t>
            </w:r>
          </w:p>
        </w:tc>
      </w:tr>
      <w:tr w:rsidR="00F27B97" w:rsidRPr="00226A4D" w:rsidTr="002F22C9">
        <w:trPr>
          <w:cantSplit/>
          <w:trHeight w:val="270"/>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CT</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16,410</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18,215</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3,540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3,970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3,865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4,320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2,735</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2,870</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2,820</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2,950</w:t>
            </w:r>
          </w:p>
        </w:tc>
        <w:tc>
          <w:tcPr>
            <w:tcW w:w="57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0.5</w:t>
            </w:r>
          </w:p>
        </w:tc>
      </w:tr>
      <w:tr w:rsidR="00F27B97" w:rsidRPr="00226A4D" w:rsidTr="002F22C9">
        <w:trPr>
          <w:cantSplit/>
          <w:trHeight w:val="270"/>
          <w:jc w:val="center"/>
        </w:trPr>
        <w:tc>
          <w:tcPr>
            <w:tcW w:w="1112" w:type="dxa"/>
            <w:shd w:val="clear" w:color="auto" w:fill="C2D7F8"/>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SWCT</w:t>
            </w:r>
          </w:p>
        </w:tc>
        <w:tc>
          <w:tcPr>
            <w:tcW w:w="72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11,085</w:t>
            </w:r>
          </w:p>
        </w:tc>
        <w:tc>
          <w:tcPr>
            <w:tcW w:w="7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12,195</w:t>
            </w:r>
          </w:p>
        </w:tc>
        <w:tc>
          <w:tcPr>
            <w:tcW w:w="6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646"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2,390</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2,655</w:t>
            </w:r>
          </w:p>
        </w:tc>
        <w:tc>
          <w:tcPr>
            <w:tcW w:w="65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2,610</w:t>
            </w:r>
          </w:p>
        </w:tc>
        <w:tc>
          <w:tcPr>
            <w:tcW w:w="66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2,890</w:t>
            </w:r>
          </w:p>
        </w:tc>
        <w:tc>
          <w:tcPr>
            <w:tcW w:w="54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1.1</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1,850</w:t>
            </w:r>
          </w:p>
        </w:tc>
        <w:tc>
          <w:tcPr>
            <w:tcW w:w="84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1,925</w:t>
            </w:r>
          </w:p>
        </w:tc>
        <w:tc>
          <w:tcPr>
            <w:tcW w:w="810"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1,905</w:t>
            </w:r>
          </w:p>
        </w:tc>
        <w:tc>
          <w:tcPr>
            <w:tcW w:w="778"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1,980</w:t>
            </w:r>
          </w:p>
        </w:tc>
        <w:tc>
          <w:tcPr>
            <w:tcW w:w="572" w:type="dxa"/>
            <w:shd w:val="clear" w:color="auto" w:fill="C2D7F8"/>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0.4</w:t>
            </w:r>
          </w:p>
        </w:tc>
      </w:tr>
      <w:tr w:rsidR="00F27B97" w:rsidRPr="00226A4D" w:rsidTr="002F22C9">
        <w:trPr>
          <w:cantSplit/>
          <w:trHeight w:val="270"/>
          <w:jc w:val="center"/>
        </w:trPr>
        <w:tc>
          <w:tcPr>
            <w:tcW w:w="1112" w:type="dxa"/>
            <w:shd w:val="clear" w:color="auto" w:fill="FFFFFF"/>
            <w:noWrap/>
            <w:vAlign w:val="center"/>
          </w:tcPr>
          <w:p w:rsidR="00F27B97" w:rsidRPr="00226A4D" w:rsidRDefault="00F27B97" w:rsidP="008B1384">
            <w:pPr>
              <w:pStyle w:val="Tablefont"/>
              <w:spacing w:before="0" w:after="0"/>
              <w:rPr>
                <w:rFonts w:ascii="Calibri" w:eastAsia="Arial Unicode MS" w:hAnsi="Calibri" w:cs="Arial"/>
                <w:b/>
                <w:szCs w:val="16"/>
              </w:rPr>
            </w:pPr>
            <w:r w:rsidRPr="00226A4D">
              <w:rPr>
                <w:rFonts w:ascii="Calibri" w:hAnsi="Calibri" w:cs="Arial"/>
                <w:b/>
                <w:szCs w:val="16"/>
              </w:rPr>
              <w:t>NOR</w:t>
            </w:r>
          </w:p>
        </w:tc>
        <w:tc>
          <w:tcPr>
            <w:tcW w:w="72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6,440</w:t>
            </w:r>
          </w:p>
        </w:tc>
        <w:tc>
          <w:tcPr>
            <w:tcW w:w="7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6,570</w:t>
            </w:r>
          </w:p>
        </w:tc>
        <w:tc>
          <w:tcPr>
            <w:tcW w:w="6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0.2</w:t>
            </w:r>
          </w:p>
        </w:tc>
        <w:tc>
          <w:tcPr>
            <w:tcW w:w="646"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1,390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1,430</w:t>
            </w:r>
          </w:p>
        </w:tc>
        <w:tc>
          <w:tcPr>
            <w:tcW w:w="65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1,515</w:t>
            </w:r>
          </w:p>
        </w:tc>
        <w:tc>
          <w:tcPr>
            <w:tcW w:w="66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1,560</w:t>
            </w:r>
          </w:p>
        </w:tc>
        <w:tc>
          <w:tcPr>
            <w:tcW w:w="54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0.3</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1,065</w:t>
            </w:r>
          </w:p>
        </w:tc>
        <w:tc>
          <w:tcPr>
            <w:tcW w:w="842"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1,035</w:t>
            </w:r>
          </w:p>
        </w:tc>
        <w:tc>
          <w:tcPr>
            <w:tcW w:w="810"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1,095</w:t>
            </w:r>
          </w:p>
        </w:tc>
        <w:tc>
          <w:tcPr>
            <w:tcW w:w="778" w:type="dxa"/>
            <w:shd w:val="clear" w:color="auto" w:fill="FFFFFF"/>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color w:val="333333"/>
                <w:sz w:val="16"/>
                <w:szCs w:val="16"/>
              </w:rPr>
            </w:pPr>
            <w:r w:rsidRPr="00226A4D">
              <w:rPr>
                <w:rFonts w:ascii="Calibri" w:hAnsi="Calibri"/>
                <w:color w:val="000000"/>
                <w:sz w:val="16"/>
                <w:szCs w:val="16"/>
              </w:rPr>
              <w:t>1,065</w:t>
            </w:r>
          </w:p>
        </w:tc>
        <w:tc>
          <w:tcPr>
            <w:tcW w:w="572" w:type="dxa"/>
            <w:shd w:val="clear" w:color="auto" w:fill="FFFFFF"/>
            <w:noWrap/>
            <w:tcMar>
              <w:left w:w="0" w:type="dxa"/>
              <w:right w:w="72" w:type="dxa"/>
            </w:tcMar>
            <w:vAlign w:val="center"/>
          </w:tcPr>
          <w:p w:rsidR="00F27B97" w:rsidRPr="00226A4D" w:rsidRDefault="00083705" w:rsidP="00083705">
            <w:pPr>
              <w:keepNext/>
              <w:keepLines/>
              <w:autoSpaceDE w:val="0"/>
              <w:autoSpaceDN w:val="0"/>
              <w:adjustRightInd w:val="0"/>
              <w:spacing w:after="0" w:line="240" w:lineRule="auto"/>
              <w:jc w:val="right"/>
              <w:rPr>
                <w:rFonts w:ascii="Calibri" w:hAnsi="Calibri" w:cs="Calibri"/>
                <w:color w:val="333333"/>
                <w:sz w:val="16"/>
                <w:szCs w:val="16"/>
              </w:rPr>
            </w:pPr>
            <w:r>
              <w:rPr>
                <w:rFonts w:ascii="Calibri" w:hAnsi="Calibri"/>
                <w:color w:val="000000"/>
                <w:sz w:val="16"/>
                <w:szCs w:val="16"/>
              </w:rPr>
              <w:t>−</w:t>
            </w:r>
            <w:r w:rsidR="00F27B97" w:rsidRPr="00226A4D">
              <w:rPr>
                <w:rFonts w:ascii="Calibri" w:hAnsi="Calibri"/>
                <w:color w:val="000000"/>
                <w:sz w:val="16"/>
                <w:szCs w:val="16"/>
              </w:rPr>
              <w:t>0.3</w:t>
            </w:r>
          </w:p>
        </w:tc>
      </w:tr>
      <w:tr w:rsidR="00F27B97" w:rsidRPr="00226A4D" w:rsidTr="002F22C9">
        <w:trPr>
          <w:cantSplit/>
          <w:trHeight w:val="270"/>
          <w:jc w:val="center"/>
        </w:trPr>
        <w:tc>
          <w:tcPr>
            <w:tcW w:w="1112" w:type="dxa"/>
            <w:shd w:val="clear" w:color="auto" w:fill="85AFF2"/>
            <w:noWrap/>
            <w:vAlign w:val="center"/>
          </w:tcPr>
          <w:p w:rsidR="00F27B97" w:rsidRPr="00226A4D" w:rsidRDefault="00F27B97" w:rsidP="008B1384">
            <w:pPr>
              <w:pStyle w:val="Tablefont"/>
              <w:spacing w:before="0" w:after="0"/>
              <w:rPr>
                <w:rFonts w:ascii="Calibri" w:hAnsi="Calibri" w:cs="Arial"/>
                <w:b/>
                <w:color w:val="FFFFFF"/>
                <w:szCs w:val="16"/>
              </w:rPr>
            </w:pPr>
            <w:r w:rsidRPr="00226A4D">
              <w:rPr>
                <w:rFonts w:ascii="Calibri" w:hAnsi="Calibri" w:cs="Arial"/>
                <w:b/>
                <w:color w:val="FFFFFF"/>
                <w:szCs w:val="16"/>
              </w:rPr>
              <w:t>ISO total</w:t>
            </w:r>
            <w:r w:rsidRPr="00226A4D">
              <w:rPr>
                <w:rFonts w:ascii="Calibri" w:hAnsi="Calibri" w:cs="Arial"/>
                <w:b/>
                <w:color w:val="FFFFFF"/>
                <w:szCs w:val="16"/>
                <w:vertAlign w:val="superscript"/>
              </w:rPr>
              <w:t>(a, b)</w:t>
            </w:r>
          </w:p>
        </w:tc>
        <w:tc>
          <w:tcPr>
            <w:tcW w:w="72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138,390</w:t>
            </w:r>
          </w:p>
        </w:tc>
        <w:tc>
          <w:tcPr>
            <w:tcW w:w="74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151,525</w:t>
            </w:r>
          </w:p>
        </w:tc>
        <w:tc>
          <w:tcPr>
            <w:tcW w:w="61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1.0</w:t>
            </w:r>
          </w:p>
        </w:tc>
        <w:tc>
          <w:tcPr>
            <w:tcW w:w="646"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28,165</w:t>
            </w:r>
          </w:p>
        </w:tc>
        <w:tc>
          <w:tcPr>
            <w:tcW w:w="652"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31,620</w:t>
            </w:r>
          </w:p>
        </w:tc>
        <w:tc>
          <w:tcPr>
            <w:tcW w:w="652"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30,470</w:t>
            </w:r>
          </w:p>
        </w:tc>
        <w:tc>
          <w:tcPr>
            <w:tcW w:w="66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34,195</w:t>
            </w:r>
          </w:p>
        </w:tc>
        <w:tc>
          <w:tcPr>
            <w:tcW w:w="54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1.3</w:t>
            </w:r>
          </w:p>
        </w:tc>
        <w:tc>
          <w:tcPr>
            <w:tcW w:w="81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22,575</w:t>
            </w:r>
          </w:p>
        </w:tc>
        <w:tc>
          <w:tcPr>
            <w:tcW w:w="842"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23,735</w:t>
            </w:r>
          </w:p>
        </w:tc>
        <w:tc>
          <w:tcPr>
            <w:tcW w:w="810"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23,325</w:t>
            </w:r>
          </w:p>
        </w:tc>
        <w:tc>
          <w:tcPr>
            <w:tcW w:w="778"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24,480</w:t>
            </w:r>
          </w:p>
        </w:tc>
        <w:tc>
          <w:tcPr>
            <w:tcW w:w="572" w:type="dxa"/>
            <w:shd w:val="clear" w:color="auto" w:fill="85AFF2"/>
            <w:noWrap/>
            <w:tcMar>
              <w:left w:w="0" w:type="dxa"/>
              <w:right w:w="72" w:type="dxa"/>
            </w:tcMar>
            <w:vAlign w:val="center"/>
          </w:tcPr>
          <w:p w:rsidR="00F27B97" w:rsidRPr="00226A4D" w:rsidRDefault="00F27B97" w:rsidP="008B1384">
            <w:pPr>
              <w:keepNext/>
              <w:keepLines/>
              <w:autoSpaceDE w:val="0"/>
              <w:autoSpaceDN w:val="0"/>
              <w:adjustRightInd w:val="0"/>
              <w:spacing w:after="0" w:line="240" w:lineRule="auto"/>
              <w:jc w:val="right"/>
              <w:rPr>
                <w:rFonts w:ascii="Calibri" w:hAnsi="Calibri" w:cs="Calibri"/>
                <w:b/>
                <w:color w:val="FFFFFF"/>
                <w:sz w:val="16"/>
                <w:szCs w:val="16"/>
              </w:rPr>
            </w:pPr>
            <w:r w:rsidRPr="00226A4D">
              <w:rPr>
                <w:rFonts w:ascii="Calibri" w:hAnsi="Calibri"/>
                <w:b/>
                <w:color w:val="FFFFFF"/>
                <w:sz w:val="16"/>
                <w:szCs w:val="16"/>
              </w:rPr>
              <w:t>0.6</w:t>
            </w:r>
          </w:p>
        </w:tc>
      </w:tr>
    </w:tbl>
    <w:p w:rsidR="00F27B97" w:rsidRPr="008608E7" w:rsidRDefault="00F27B97" w:rsidP="00F27B97">
      <w:pPr>
        <w:keepNext/>
        <w:keepLines/>
        <w:spacing w:before="120" w:after="80" w:line="240" w:lineRule="auto"/>
        <w:ind w:left="-273" w:right="-547" w:hanging="274"/>
        <w:rPr>
          <w:rFonts w:asciiTheme="minorHAnsi" w:hAnsiTheme="minorHAnsi" w:cs="Arial"/>
          <w:bCs/>
          <w:sz w:val="16"/>
          <w:szCs w:val="16"/>
        </w:rPr>
      </w:pPr>
      <w:r w:rsidRPr="008608E7">
        <w:rPr>
          <w:rFonts w:asciiTheme="minorHAnsi" w:hAnsiTheme="minorHAnsi" w:cs="Arial"/>
          <w:sz w:val="16"/>
          <w:szCs w:val="16"/>
        </w:rPr>
        <w:t xml:space="preserve">(a) </w:t>
      </w:r>
      <w:r w:rsidRPr="008608E7">
        <w:rPr>
          <w:rFonts w:asciiTheme="minorHAnsi" w:hAnsiTheme="minorHAnsi" w:cs="Arial"/>
          <w:sz w:val="16"/>
          <w:szCs w:val="16"/>
        </w:rPr>
        <w:tab/>
        <w:t xml:space="preserve">The total load-zone projections are similar to the state load projections and are available at the ISO’s “2014 Forecast Data File,” </w:t>
      </w:r>
      <w:hyperlink r:id="rId28" w:history="1">
        <w:r w:rsidR="00366DDE" w:rsidRPr="008608E7">
          <w:rPr>
            <w:rStyle w:val="Hyperlink"/>
            <w:rFonts w:asciiTheme="minorHAnsi" w:hAnsiTheme="minorHAnsi"/>
            <w:sz w:val="16"/>
            <w:szCs w:val="16"/>
          </w:rPr>
          <w:t>http://www.iso-ne.com/static-assets/documents/trans/celt/fsct_detail/2014/isone_fcst_data_2014.xls</w:t>
        </w:r>
      </w:hyperlink>
      <w:r w:rsidRPr="008608E7">
        <w:rPr>
          <w:rFonts w:asciiTheme="minorHAnsi" w:hAnsiTheme="minorHAnsi" w:cs="Arial"/>
          <w:color w:val="000000"/>
          <w:sz w:val="16"/>
          <w:szCs w:val="16"/>
        </w:rPr>
        <w:t>;</w:t>
      </w:r>
      <w:r w:rsidRPr="008608E7">
        <w:rPr>
          <w:rFonts w:asciiTheme="minorHAnsi" w:hAnsiTheme="minorHAnsi" w:cs="Arial"/>
          <w:sz w:val="16"/>
          <w:szCs w:val="16"/>
        </w:rPr>
        <w:t xml:space="preserve"> tab #2, “</w:t>
      </w:r>
      <w:r w:rsidRPr="008608E7">
        <w:rPr>
          <w:rFonts w:asciiTheme="minorHAnsi" w:hAnsiTheme="minorHAnsi" w:cs="Arial"/>
          <w:bCs/>
          <w:sz w:val="16"/>
          <w:szCs w:val="16"/>
        </w:rPr>
        <w:t xml:space="preserve">ISO-NE Control Area, States, Regional System Plan (RSP14) Subareas, and SMD </w:t>
      </w:r>
      <w:r w:rsidR="004E1FD7">
        <w:rPr>
          <w:rFonts w:asciiTheme="minorHAnsi" w:hAnsiTheme="minorHAnsi" w:cs="Arial"/>
          <w:bCs/>
          <w:sz w:val="16"/>
          <w:szCs w:val="16"/>
        </w:rPr>
        <w:t>(</w:t>
      </w:r>
      <w:r w:rsidRPr="008608E7">
        <w:rPr>
          <w:rFonts w:asciiTheme="minorHAnsi" w:hAnsiTheme="minorHAnsi" w:cs="Arial"/>
          <w:bCs/>
          <w:sz w:val="16"/>
          <w:szCs w:val="16"/>
        </w:rPr>
        <w:t>Standard Market Design</w:t>
      </w:r>
      <w:r w:rsidR="004E1FD7">
        <w:rPr>
          <w:rFonts w:asciiTheme="minorHAnsi" w:hAnsiTheme="minorHAnsi" w:cs="Arial"/>
          <w:bCs/>
          <w:sz w:val="16"/>
          <w:szCs w:val="16"/>
        </w:rPr>
        <w:t>)</w:t>
      </w:r>
      <w:r w:rsidRPr="008608E7">
        <w:rPr>
          <w:rFonts w:asciiTheme="minorHAnsi" w:hAnsiTheme="minorHAnsi" w:cs="Arial"/>
          <w:bCs/>
          <w:sz w:val="16"/>
          <w:szCs w:val="16"/>
        </w:rPr>
        <w:t xml:space="preserve"> Load Zones Energy and Seasonal Peak-Load Forecast.”</w:t>
      </w:r>
    </w:p>
    <w:p w:rsidR="00F27B97" w:rsidRPr="008608E7" w:rsidRDefault="00F27B97" w:rsidP="00F27B97">
      <w:pPr>
        <w:spacing w:line="240" w:lineRule="auto"/>
        <w:ind w:left="-273" w:right="-547" w:hanging="274"/>
        <w:rPr>
          <w:rFonts w:asciiTheme="minorHAnsi" w:hAnsiTheme="minorHAnsi" w:cs="Arial"/>
          <w:bCs/>
          <w:sz w:val="16"/>
          <w:szCs w:val="16"/>
        </w:rPr>
      </w:pPr>
      <w:r w:rsidRPr="008608E7">
        <w:rPr>
          <w:rFonts w:asciiTheme="minorHAnsi" w:hAnsiTheme="minorHAnsi" w:cs="Arial"/>
          <w:bCs/>
          <w:sz w:val="16"/>
          <w:szCs w:val="16"/>
        </w:rPr>
        <w:t xml:space="preserve">(b) </w:t>
      </w:r>
      <w:r w:rsidRPr="008608E7">
        <w:rPr>
          <w:rFonts w:asciiTheme="minorHAnsi" w:hAnsiTheme="minorHAnsi" w:cs="Arial"/>
          <w:bCs/>
          <w:sz w:val="16"/>
          <w:szCs w:val="16"/>
        </w:rPr>
        <w:tab/>
        <w:t>Totals may not equal the sum because of rounding and may not exactly match the results for other tables in this section.</w:t>
      </w:r>
    </w:p>
    <w:p w:rsidR="00F27B97" w:rsidRPr="00502F1C" w:rsidRDefault="00F27B97" w:rsidP="00F27B97">
      <w:pPr>
        <w:pStyle w:val="Caption"/>
      </w:pPr>
      <w:bookmarkStart w:id="208" w:name="_Ref201978189"/>
      <w:bookmarkStart w:id="209" w:name="_Toc207531966"/>
      <w:bookmarkStart w:id="210" w:name="_Toc239157214"/>
      <w:bookmarkStart w:id="211" w:name="_Toc291754836"/>
      <w:bookmarkStart w:id="212" w:name="_Toc303086931"/>
      <w:bookmarkStart w:id="213" w:name="_Toc330401252"/>
      <w:bookmarkStart w:id="214" w:name="_Toc334541925"/>
      <w:bookmarkStart w:id="215" w:name="_Toc334541962"/>
      <w:bookmarkStart w:id="216" w:name="_Toc365440700"/>
      <w:bookmarkStart w:id="217" w:name="_Toc391985598"/>
      <w:r w:rsidRPr="005F7D53">
        <w:t>Table </w:t>
      </w:r>
      <w:r w:rsidR="00927965">
        <w:fldChar w:fldCharType="begin"/>
      </w:r>
      <w:r w:rsidR="00BD7584">
        <w:instrText xml:space="preserve"> STYLEREF 1 \s </w:instrText>
      </w:r>
      <w:r w:rsidR="00927965">
        <w:fldChar w:fldCharType="separate"/>
      </w:r>
      <w:r w:rsidR="00284CE3">
        <w:rPr>
          <w:noProof/>
        </w:rPr>
        <w:t>3</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4</w:t>
      </w:r>
      <w:r w:rsidR="00927965">
        <w:fldChar w:fldCharType="end"/>
      </w:r>
      <w:bookmarkEnd w:id="208"/>
      <w:r w:rsidRPr="005F7D53">
        <w:t xml:space="preserve"> </w:t>
      </w:r>
      <w:r w:rsidRPr="005F7D53">
        <w:br/>
        <w:t>Forecasts of RSP Subarea Peak Demand, 2014</w:t>
      </w:r>
      <w:r w:rsidRPr="005F7D53">
        <w:rPr>
          <w:vertAlign w:val="superscript"/>
        </w:rPr>
        <w:t>(a)</w:t>
      </w:r>
      <w:bookmarkEnd w:id="209"/>
      <w:bookmarkEnd w:id="210"/>
      <w:bookmarkEnd w:id="211"/>
      <w:bookmarkEnd w:id="212"/>
      <w:bookmarkEnd w:id="213"/>
      <w:bookmarkEnd w:id="214"/>
      <w:bookmarkEnd w:id="215"/>
      <w:bookmarkEnd w:id="216"/>
      <w:bookmarkEnd w:id="217"/>
    </w:p>
    <w:tbl>
      <w:tblPr>
        <w:tblW w:w="101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8" w:type="dxa"/>
          <w:right w:w="58" w:type="dxa"/>
        </w:tblCellMar>
        <w:tblLook w:val="0080"/>
      </w:tblPr>
      <w:tblGrid>
        <w:gridCol w:w="1110"/>
        <w:gridCol w:w="1081"/>
        <w:gridCol w:w="1582"/>
        <w:gridCol w:w="1193"/>
        <w:gridCol w:w="1073"/>
        <w:gridCol w:w="915"/>
        <w:gridCol w:w="1193"/>
        <w:gridCol w:w="1027"/>
        <w:gridCol w:w="994"/>
      </w:tblGrid>
      <w:tr w:rsidR="00F27B97" w:rsidRPr="00226A4D" w:rsidTr="00775B38">
        <w:trPr>
          <w:cantSplit/>
          <w:trHeight w:val="331"/>
          <w:jc w:val="center"/>
        </w:trPr>
        <w:tc>
          <w:tcPr>
            <w:tcW w:w="1082" w:type="dxa"/>
            <w:vMerge w:val="restart"/>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bCs/>
                <w:color w:val="FFFFFF"/>
                <w:sz w:val="18"/>
                <w:szCs w:val="18"/>
              </w:rPr>
            </w:pPr>
            <w:r w:rsidRPr="00226A4D">
              <w:rPr>
                <w:rFonts w:asciiTheme="minorHAnsi" w:hAnsiTheme="minorHAnsi" w:cs="Calibri"/>
                <w:b/>
                <w:bCs/>
                <w:color w:val="FFFFFF"/>
                <w:sz w:val="18"/>
                <w:szCs w:val="18"/>
              </w:rPr>
              <w:t>RSP Subarea</w:t>
            </w:r>
          </w:p>
        </w:tc>
        <w:tc>
          <w:tcPr>
            <w:tcW w:w="1081" w:type="dxa"/>
            <w:vMerge w:val="restart"/>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Load Zone</w:t>
            </w:r>
          </w:p>
        </w:tc>
        <w:tc>
          <w:tcPr>
            <w:tcW w:w="1582" w:type="dxa"/>
            <w:vMerge w:val="restart"/>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State</w:t>
            </w:r>
          </w:p>
        </w:tc>
        <w:tc>
          <w:tcPr>
            <w:tcW w:w="3181" w:type="dxa"/>
            <w:gridSpan w:val="3"/>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50/50 Summer Peak Load</w:t>
            </w:r>
          </w:p>
        </w:tc>
        <w:tc>
          <w:tcPr>
            <w:tcW w:w="3214" w:type="dxa"/>
            <w:gridSpan w:val="3"/>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90/10 Summer Peak Load</w:t>
            </w:r>
          </w:p>
        </w:tc>
      </w:tr>
      <w:tr w:rsidR="00F27B97" w:rsidRPr="00226A4D" w:rsidTr="00775B38">
        <w:trPr>
          <w:cantSplit/>
          <w:trHeight w:val="331"/>
          <w:jc w:val="center"/>
        </w:trPr>
        <w:tc>
          <w:tcPr>
            <w:tcW w:w="1082" w:type="dxa"/>
            <w:vMerge/>
            <w:tcBorders>
              <w:top w:val="nil"/>
            </w:tcBorders>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bCs/>
                <w:color w:val="FFFFFF"/>
                <w:sz w:val="18"/>
                <w:szCs w:val="18"/>
              </w:rPr>
            </w:pPr>
          </w:p>
        </w:tc>
        <w:tc>
          <w:tcPr>
            <w:tcW w:w="1081" w:type="dxa"/>
            <w:vMerge/>
            <w:tcBorders>
              <w:top w:val="nil"/>
            </w:tcBorders>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p>
        </w:tc>
        <w:tc>
          <w:tcPr>
            <w:tcW w:w="1582" w:type="dxa"/>
            <w:vMerge/>
            <w:tcBorders>
              <w:top w:val="nil"/>
            </w:tcBorders>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p>
        </w:tc>
        <w:tc>
          <w:tcPr>
            <w:tcW w:w="1193"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MW</w:t>
            </w:r>
          </w:p>
        </w:tc>
        <w:tc>
          <w:tcPr>
            <w:tcW w:w="1073"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 of RSP Subarea</w:t>
            </w:r>
          </w:p>
        </w:tc>
        <w:tc>
          <w:tcPr>
            <w:tcW w:w="915"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 of State</w:t>
            </w:r>
          </w:p>
        </w:tc>
        <w:tc>
          <w:tcPr>
            <w:tcW w:w="1193"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MW</w:t>
            </w:r>
          </w:p>
        </w:tc>
        <w:tc>
          <w:tcPr>
            <w:tcW w:w="1027"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 of RSP Subarea</w:t>
            </w:r>
          </w:p>
        </w:tc>
        <w:tc>
          <w:tcPr>
            <w:tcW w:w="994" w:type="dxa"/>
            <w:shd w:val="clear" w:color="auto" w:fill="85AFF2"/>
            <w:noWrap/>
            <w:vAlign w:val="center"/>
            <w:hideMark/>
          </w:tcPr>
          <w:p w:rsidR="00F27B97" w:rsidRPr="00226A4D" w:rsidRDefault="00F27B97" w:rsidP="008B1384">
            <w:pPr>
              <w:keepNext/>
              <w:keepLines/>
              <w:spacing w:after="0" w:line="240" w:lineRule="auto"/>
              <w:jc w:val="center"/>
              <w:rPr>
                <w:rFonts w:asciiTheme="minorHAnsi" w:hAnsiTheme="minorHAnsi" w:cs="Calibri"/>
                <w:b/>
                <w:color w:val="FFFFFF"/>
                <w:sz w:val="18"/>
                <w:szCs w:val="18"/>
              </w:rPr>
            </w:pPr>
            <w:r w:rsidRPr="00226A4D">
              <w:rPr>
                <w:rFonts w:asciiTheme="minorHAnsi" w:hAnsiTheme="minorHAnsi" w:cs="Calibri"/>
                <w:b/>
                <w:color w:val="FFFFFF"/>
                <w:sz w:val="18"/>
                <w:szCs w:val="18"/>
              </w:rPr>
              <w:t>% of State</w:t>
            </w:r>
          </w:p>
        </w:tc>
      </w:tr>
      <w:tr w:rsidR="00F27B97" w:rsidRPr="00226A4D" w:rsidTr="00775B38">
        <w:trPr>
          <w:cantSplit/>
          <w:trHeight w:val="331"/>
          <w:jc w:val="center"/>
        </w:trPr>
        <w:tc>
          <w:tcPr>
            <w:tcW w:w="1082" w:type="dxa"/>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BHE</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ME</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Maine</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305.0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99.7</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14.5</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325.0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100.1</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14.5</w:t>
            </w:r>
          </w:p>
        </w:tc>
      </w:tr>
      <w:tr w:rsidR="00F27B97" w:rsidRPr="00226A4D" w:rsidTr="00775B38">
        <w:trPr>
          <w:cantSplit/>
          <w:trHeight w:val="331"/>
          <w:jc w:val="center"/>
        </w:trPr>
        <w:tc>
          <w:tcPr>
            <w:tcW w:w="1082" w:type="dxa"/>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ME </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ME</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Maine</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950.0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99.9</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45.0</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1,010.0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100.1</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45.1</w:t>
            </w:r>
          </w:p>
        </w:tc>
      </w:tr>
      <w:tr w:rsidR="00F27B97" w:rsidRPr="00226A4D" w:rsidTr="00775B38">
        <w:trPr>
          <w:cantSplit/>
          <w:trHeight w:val="331"/>
          <w:jc w:val="center"/>
        </w:trPr>
        <w:tc>
          <w:tcPr>
            <w:tcW w:w="1082" w:type="dxa"/>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SME</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ME</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Maine</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785.0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100.1</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37.2</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830.0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99.7</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37.1</w:t>
            </w:r>
          </w:p>
        </w:tc>
      </w:tr>
      <w:tr w:rsidR="00F27B97" w:rsidRPr="00226A4D" w:rsidTr="00775B38">
        <w:trPr>
          <w:cantSplit/>
          <w:trHeight w:val="331"/>
          <w:jc w:val="center"/>
        </w:trPr>
        <w:tc>
          <w:tcPr>
            <w:tcW w:w="1082" w:type="dxa"/>
            <w:vMerge w:val="restart"/>
            <w:shd w:val="clear" w:color="auto" w:fill="C2D7F8"/>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NH</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ME</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Maine</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3.3</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3.3</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NH</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New Hampshire</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2,060.0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94.9</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80.6</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2,215.0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95.1</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80.7</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VT</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Vermont</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1.8</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3.6</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1.9</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3.9</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2,170</w:t>
            </w:r>
          </w:p>
        </w:tc>
        <w:tc>
          <w:tcPr>
            <w:tcW w:w="1988"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2,330</w:t>
            </w:r>
          </w:p>
        </w:tc>
        <w:tc>
          <w:tcPr>
            <w:tcW w:w="2021"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775B38">
        <w:trPr>
          <w:cantSplit/>
          <w:trHeight w:val="331"/>
          <w:jc w:val="center"/>
        </w:trPr>
        <w:tc>
          <w:tcPr>
            <w:tcW w:w="1082" w:type="dxa"/>
            <w:vMerge w:val="restart"/>
            <w:shd w:val="clear" w:color="auto" w:fill="FFFFFF"/>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VT</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NH</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New Hampshire</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340.0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25.1</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13.3</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365.0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25.6</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13.3</w:t>
            </w:r>
          </w:p>
        </w:tc>
      </w:tr>
      <w:tr w:rsidR="00F27B97" w:rsidRPr="00226A4D" w:rsidTr="00775B38">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VT</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Vermont</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1,020.0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75.2</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92.7</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1,060.0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74.4</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92.6</w:t>
            </w:r>
          </w:p>
        </w:tc>
      </w:tr>
      <w:tr w:rsidR="00F27B97" w:rsidRPr="00226A4D" w:rsidTr="00775B38">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olor w:val="000000"/>
                <w:sz w:val="18"/>
                <w:szCs w:val="18"/>
              </w:rPr>
              <w:t>1,360</w:t>
            </w:r>
          </w:p>
        </w:tc>
        <w:tc>
          <w:tcPr>
            <w:tcW w:w="1988"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1,425</w:t>
            </w:r>
          </w:p>
        </w:tc>
        <w:tc>
          <w:tcPr>
            <w:tcW w:w="2021"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775B38">
        <w:trPr>
          <w:cantSplit/>
          <w:trHeight w:val="331"/>
          <w:jc w:val="center"/>
        </w:trPr>
        <w:tc>
          <w:tcPr>
            <w:tcW w:w="1082" w:type="dxa"/>
            <w:vMerge w:val="restart"/>
            <w:shd w:val="clear" w:color="auto" w:fill="C2D7F8"/>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BOSTON</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NH</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New Hampshire</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1.4</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3.3</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1.4</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3.3</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WCMA</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105.0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1.8</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0.8</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110.0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1.7</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sz w:val="18"/>
                <w:szCs w:val="18"/>
              </w:rPr>
            </w:pPr>
            <w:r w:rsidRPr="00226A4D">
              <w:rPr>
                <w:rFonts w:asciiTheme="minorHAnsi" w:hAnsiTheme="minorHAnsi"/>
                <w:sz w:val="18"/>
                <w:szCs w:val="18"/>
              </w:rPr>
              <w:t>0.8</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NEMA/</w:t>
            </w:r>
            <w:r w:rsidRPr="00226A4D">
              <w:rPr>
                <w:rFonts w:asciiTheme="minorHAnsi" w:hAnsiTheme="minorHAnsi" w:cs="Calibri"/>
                <w:sz w:val="18"/>
                <w:szCs w:val="18"/>
              </w:rPr>
              <w:br/>
              <w:t>Boston</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5,715.0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96.8</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43.8</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6,160.0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96.9</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43.8</w:t>
            </w:r>
          </w:p>
        </w:tc>
      </w:tr>
      <w:tr w:rsidR="00F27B97" w:rsidRPr="00226A4D" w:rsidTr="00775B38">
        <w:trPr>
          <w:cantSplit/>
          <w:trHeight w:val="328"/>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C2D7F8"/>
            <w:noWrap/>
            <w:tcMar>
              <w:left w:w="0" w:type="dxa"/>
              <w:right w:w="115" w:type="dxa"/>
            </w:tcMar>
            <w:vAlign w:val="center"/>
            <w:hideMark/>
          </w:tcPr>
          <w:p w:rsidR="00F27B97" w:rsidRPr="00226A4D" w:rsidRDefault="00F27B97" w:rsidP="00775B38">
            <w:pPr>
              <w:spacing w:after="0"/>
              <w:jc w:val="right"/>
              <w:rPr>
                <w:rFonts w:asciiTheme="minorHAnsi" w:hAnsiTheme="minorHAnsi"/>
                <w:color w:val="000000"/>
                <w:sz w:val="18"/>
                <w:szCs w:val="18"/>
              </w:rPr>
            </w:pPr>
            <w:r w:rsidRPr="00226A4D">
              <w:rPr>
                <w:rFonts w:asciiTheme="minorHAnsi" w:hAnsiTheme="minorHAnsi"/>
                <w:color w:val="000000"/>
                <w:sz w:val="18"/>
                <w:szCs w:val="18"/>
              </w:rPr>
              <w:t>5,905.0</w:t>
            </w:r>
          </w:p>
        </w:tc>
        <w:tc>
          <w:tcPr>
            <w:tcW w:w="1988" w:type="dxa"/>
            <w:gridSpan w:val="2"/>
            <w:shd w:val="clear" w:color="auto" w:fill="C2D7F8"/>
            <w:noWrap/>
            <w:tcMar>
              <w:left w:w="0" w:type="dxa"/>
              <w:right w:w="115" w:type="dxa"/>
            </w:tcMar>
            <w:vAlign w:val="center"/>
            <w:hideMark/>
          </w:tcPr>
          <w:p w:rsidR="00F27B97" w:rsidRPr="00226A4D" w:rsidRDefault="00F27B97" w:rsidP="00775B38">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C2D7F8"/>
            <w:noWrap/>
            <w:tcMar>
              <w:left w:w="0" w:type="dxa"/>
              <w:right w:w="115" w:type="dxa"/>
            </w:tcMar>
            <w:vAlign w:val="center"/>
            <w:hideMark/>
          </w:tcPr>
          <w:p w:rsidR="00F27B97" w:rsidRPr="00226A4D" w:rsidRDefault="00F27B97" w:rsidP="00775B38">
            <w:pPr>
              <w:spacing w:after="0"/>
              <w:jc w:val="right"/>
              <w:rPr>
                <w:rFonts w:asciiTheme="minorHAnsi" w:hAnsiTheme="minorHAnsi"/>
                <w:color w:val="000000"/>
                <w:sz w:val="18"/>
                <w:szCs w:val="18"/>
              </w:rPr>
            </w:pPr>
            <w:r w:rsidRPr="00226A4D">
              <w:rPr>
                <w:rFonts w:asciiTheme="minorHAnsi" w:hAnsiTheme="minorHAnsi"/>
                <w:color w:val="000000"/>
                <w:sz w:val="18"/>
                <w:szCs w:val="18"/>
              </w:rPr>
              <w:t>6,360.0</w:t>
            </w:r>
          </w:p>
        </w:tc>
        <w:tc>
          <w:tcPr>
            <w:tcW w:w="2021"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775B38">
        <w:trPr>
          <w:cantSplit/>
          <w:trHeight w:val="331"/>
          <w:jc w:val="center"/>
        </w:trPr>
        <w:tc>
          <w:tcPr>
            <w:tcW w:w="1082" w:type="dxa"/>
            <w:vMerge w:val="restart"/>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CMA/NEMA </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NH</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New Hampshire</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70.0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4.1</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2.7</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80.0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4.3</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2.9</w:t>
            </w:r>
          </w:p>
        </w:tc>
      </w:tr>
      <w:tr w:rsidR="00F27B97" w:rsidRPr="00226A4D" w:rsidTr="00775B38">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WCMA</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1,640.0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95.9</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12.6</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1,765.0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95.8</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12.5</w:t>
            </w:r>
          </w:p>
        </w:tc>
      </w:tr>
      <w:tr w:rsidR="00F27B97" w:rsidRPr="00226A4D" w:rsidTr="00775B38">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1,710</w:t>
            </w:r>
          </w:p>
        </w:tc>
        <w:tc>
          <w:tcPr>
            <w:tcW w:w="1988"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1,845</w:t>
            </w:r>
          </w:p>
        </w:tc>
        <w:tc>
          <w:tcPr>
            <w:tcW w:w="2021"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775B38">
        <w:trPr>
          <w:cantSplit/>
          <w:trHeight w:val="331"/>
          <w:jc w:val="center"/>
        </w:trPr>
        <w:tc>
          <w:tcPr>
            <w:tcW w:w="1082" w:type="dxa"/>
            <w:vMerge w:val="restart"/>
            <w:shd w:val="clear" w:color="auto" w:fill="C2D7F8"/>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WMA</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VT</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Vermont</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1.9</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3.6</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1.9</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3.9</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CT</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Connecticut</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4.6</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4.5</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WCMA</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2,015.0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93.6</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15.4</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2,170.0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93.5</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15.4</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2,155</w:t>
            </w:r>
          </w:p>
        </w:tc>
        <w:tc>
          <w:tcPr>
            <w:tcW w:w="1988"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2,320</w:t>
            </w:r>
          </w:p>
        </w:tc>
        <w:tc>
          <w:tcPr>
            <w:tcW w:w="2021"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775B38">
        <w:trPr>
          <w:cantSplit/>
          <w:trHeight w:val="331"/>
          <w:jc w:val="center"/>
        </w:trPr>
        <w:tc>
          <w:tcPr>
            <w:tcW w:w="1082" w:type="dxa"/>
            <w:vMerge w:val="restart"/>
            <w:shd w:val="clear" w:color="auto" w:fill="FFFFFF"/>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SEMA</w:t>
            </w: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RI</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Rhode Island</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185.0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6.2</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9.6</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210.0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6.5</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9.7</w:t>
            </w:r>
          </w:p>
        </w:tc>
      </w:tr>
      <w:tr w:rsidR="00F27B97" w:rsidRPr="00226A4D" w:rsidTr="00775B38">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SEMA</w:t>
            </w:r>
          </w:p>
        </w:tc>
        <w:tc>
          <w:tcPr>
            <w:tcW w:w="1582" w:type="dxa"/>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2,790.0</w:t>
            </w:r>
          </w:p>
        </w:tc>
        <w:tc>
          <w:tcPr>
            <w:tcW w:w="107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93.8</w:t>
            </w:r>
          </w:p>
        </w:tc>
        <w:tc>
          <w:tcPr>
            <w:tcW w:w="915"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21.4</w:t>
            </w:r>
          </w:p>
        </w:tc>
        <w:tc>
          <w:tcPr>
            <w:tcW w:w="1193"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3,005.0</w:t>
            </w:r>
          </w:p>
        </w:tc>
        <w:tc>
          <w:tcPr>
            <w:tcW w:w="1027"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93.5</w:t>
            </w:r>
          </w:p>
        </w:tc>
        <w:tc>
          <w:tcPr>
            <w:tcW w:w="994" w:type="dxa"/>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21.4</w:t>
            </w:r>
          </w:p>
        </w:tc>
      </w:tr>
      <w:tr w:rsidR="00F27B97" w:rsidRPr="00226A4D" w:rsidTr="00775B38">
        <w:trPr>
          <w:cantSplit/>
          <w:trHeight w:val="331"/>
          <w:jc w:val="center"/>
        </w:trPr>
        <w:tc>
          <w:tcPr>
            <w:tcW w:w="1082" w:type="dxa"/>
            <w:vMerge/>
            <w:shd w:val="clear" w:color="auto" w:fill="FFFFFF"/>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FFFFFF"/>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2,975</w:t>
            </w:r>
          </w:p>
        </w:tc>
        <w:tc>
          <w:tcPr>
            <w:tcW w:w="1988"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FFFFFF"/>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3,215</w:t>
            </w:r>
          </w:p>
        </w:tc>
        <w:tc>
          <w:tcPr>
            <w:tcW w:w="2021" w:type="dxa"/>
            <w:gridSpan w:val="2"/>
            <w:shd w:val="clear" w:color="auto" w:fill="FFFFFF"/>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775B38">
        <w:trPr>
          <w:cantSplit/>
          <w:trHeight w:val="331"/>
          <w:jc w:val="center"/>
        </w:trPr>
        <w:tc>
          <w:tcPr>
            <w:tcW w:w="1082" w:type="dxa"/>
            <w:vMerge w:val="restart"/>
            <w:shd w:val="clear" w:color="auto" w:fill="C2D7F8"/>
            <w:noWrap/>
            <w:vAlign w:val="center"/>
            <w:hideMark/>
          </w:tcPr>
          <w:p w:rsidR="00F27B97" w:rsidRPr="00226A4D" w:rsidRDefault="00F27B97" w:rsidP="00D43C82">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 RI</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RI</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Rhode Island</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1,735.0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68.5</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90.4</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1,955.0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69.4</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90.3</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SEMA</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Massachusetts</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800.0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31.6</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6.1</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860.0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30.5</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6.1</w:t>
            </w:r>
          </w:p>
        </w:tc>
      </w:tr>
      <w:tr w:rsidR="00F27B97" w:rsidRPr="00226A4D" w:rsidTr="00775B38">
        <w:trPr>
          <w:cantSplit/>
          <w:trHeight w:val="331"/>
          <w:jc w:val="center"/>
        </w:trPr>
        <w:tc>
          <w:tcPr>
            <w:tcW w:w="1082" w:type="dxa"/>
            <w:vMerge/>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p>
        </w:tc>
        <w:tc>
          <w:tcPr>
            <w:tcW w:w="2663" w:type="dxa"/>
            <w:gridSpan w:val="2"/>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2,535</w:t>
            </w:r>
          </w:p>
        </w:tc>
        <w:tc>
          <w:tcPr>
            <w:tcW w:w="1988"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c>
          <w:tcPr>
            <w:tcW w:w="119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s="Calibri"/>
                <w:sz w:val="18"/>
                <w:szCs w:val="18"/>
              </w:rPr>
              <w:t>2,815</w:t>
            </w:r>
          </w:p>
        </w:tc>
        <w:tc>
          <w:tcPr>
            <w:tcW w:w="2021" w:type="dxa"/>
            <w:gridSpan w:val="2"/>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p>
        </w:tc>
      </w:tr>
      <w:tr w:rsidR="00F27B97" w:rsidRPr="00226A4D" w:rsidTr="00775B38">
        <w:trPr>
          <w:cantSplit/>
          <w:trHeight w:val="331"/>
          <w:jc w:val="center"/>
        </w:trPr>
        <w:tc>
          <w:tcPr>
            <w:tcW w:w="1082" w:type="dxa"/>
            <w:shd w:val="clear" w:color="auto" w:fill="auto"/>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CT</w:t>
            </w:r>
          </w:p>
        </w:tc>
        <w:tc>
          <w:tcPr>
            <w:tcW w:w="1081" w:type="dxa"/>
            <w:shd w:val="clear" w:color="auto" w:fill="auto"/>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CT</w:t>
            </w:r>
          </w:p>
        </w:tc>
        <w:tc>
          <w:tcPr>
            <w:tcW w:w="1582" w:type="dxa"/>
            <w:shd w:val="clear" w:color="auto" w:fill="auto"/>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Connecticut</w:t>
            </w:r>
          </w:p>
        </w:tc>
        <w:tc>
          <w:tcPr>
            <w:tcW w:w="1193"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3,540.0</w:t>
            </w:r>
          </w:p>
        </w:tc>
        <w:tc>
          <w:tcPr>
            <w:tcW w:w="1073" w:type="dxa"/>
            <w:shd w:val="clear" w:color="auto" w:fill="auto"/>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olor w:val="000000"/>
                <w:sz w:val="18"/>
                <w:szCs w:val="18"/>
              </w:rPr>
              <w:t>100.0</w:t>
            </w:r>
          </w:p>
        </w:tc>
        <w:tc>
          <w:tcPr>
            <w:tcW w:w="915"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47.7</w:t>
            </w:r>
          </w:p>
        </w:tc>
        <w:tc>
          <w:tcPr>
            <w:tcW w:w="1193"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3,865.0</w:t>
            </w:r>
          </w:p>
        </w:tc>
        <w:tc>
          <w:tcPr>
            <w:tcW w:w="1027"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100.0</w:t>
            </w:r>
          </w:p>
        </w:tc>
        <w:tc>
          <w:tcPr>
            <w:tcW w:w="994"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47.7</w:t>
            </w:r>
          </w:p>
        </w:tc>
      </w:tr>
      <w:tr w:rsidR="00F27B97" w:rsidRPr="00226A4D" w:rsidTr="00775B38">
        <w:trPr>
          <w:cantSplit/>
          <w:trHeight w:val="331"/>
          <w:jc w:val="center"/>
        </w:trPr>
        <w:tc>
          <w:tcPr>
            <w:tcW w:w="1082" w:type="dxa"/>
            <w:shd w:val="clear" w:color="auto" w:fill="C2D7F8"/>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SWCT</w:t>
            </w:r>
          </w:p>
        </w:tc>
        <w:tc>
          <w:tcPr>
            <w:tcW w:w="1081"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CT</w:t>
            </w:r>
          </w:p>
        </w:tc>
        <w:tc>
          <w:tcPr>
            <w:tcW w:w="1582" w:type="dxa"/>
            <w:shd w:val="clear" w:color="auto" w:fill="C2D7F8"/>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Connecticut</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2,390.0</w:t>
            </w:r>
          </w:p>
        </w:tc>
        <w:tc>
          <w:tcPr>
            <w:tcW w:w="1073" w:type="dxa"/>
            <w:shd w:val="clear" w:color="auto" w:fill="C2D7F8"/>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olor w:val="000000"/>
                <w:sz w:val="18"/>
                <w:szCs w:val="18"/>
              </w:rPr>
              <w:t>100.0</w:t>
            </w:r>
          </w:p>
        </w:tc>
        <w:tc>
          <w:tcPr>
            <w:tcW w:w="915"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32.2</w:t>
            </w:r>
          </w:p>
        </w:tc>
        <w:tc>
          <w:tcPr>
            <w:tcW w:w="1193"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2,610.0</w:t>
            </w:r>
          </w:p>
        </w:tc>
        <w:tc>
          <w:tcPr>
            <w:tcW w:w="1027"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100.0</w:t>
            </w:r>
          </w:p>
        </w:tc>
        <w:tc>
          <w:tcPr>
            <w:tcW w:w="994" w:type="dxa"/>
            <w:shd w:val="clear" w:color="auto" w:fill="C2D7F8"/>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32.2</w:t>
            </w:r>
          </w:p>
        </w:tc>
      </w:tr>
      <w:tr w:rsidR="00F27B97" w:rsidRPr="00226A4D" w:rsidTr="00775B38">
        <w:trPr>
          <w:cantSplit/>
          <w:trHeight w:val="331"/>
          <w:jc w:val="center"/>
        </w:trPr>
        <w:tc>
          <w:tcPr>
            <w:tcW w:w="1082" w:type="dxa"/>
            <w:shd w:val="clear" w:color="auto" w:fill="auto"/>
            <w:noWrap/>
            <w:vAlign w:val="center"/>
            <w:hideMark/>
          </w:tcPr>
          <w:p w:rsidR="00F27B97" w:rsidRPr="00226A4D" w:rsidRDefault="00F27B97" w:rsidP="008B1384">
            <w:pPr>
              <w:keepNext/>
              <w:keepLines/>
              <w:spacing w:after="0" w:line="240" w:lineRule="auto"/>
              <w:rPr>
                <w:rFonts w:asciiTheme="minorHAnsi" w:hAnsiTheme="minorHAnsi" w:cs="Calibri"/>
                <w:b/>
                <w:bCs/>
                <w:sz w:val="18"/>
                <w:szCs w:val="18"/>
              </w:rPr>
            </w:pPr>
            <w:r w:rsidRPr="00226A4D">
              <w:rPr>
                <w:rFonts w:asciiTheme="minorHAnsi" w:hAnsiTheme="minorHAnsi" w:cs="Calibri"/>
                <w:b/>
                <w:bCs/>
                <w:sz w:val="18"/>
                <w:szCs w:val="18"/>
              </w:rPr>
              <w:t>NOR</w:t>
            </w:r>
          </w:p>
        </w:tc>
        <w:tc>
          <w:tcPr>
            <w:tcW w:w="1081" w:type="dxa"/>
            <w:shd w:val="clear" w:color="auto" w:fill="auto"/>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CT</w:t>
            </w:r>
          </w:p>
        </w:tc>
        <w:tc>
          <w:tcPr>
            <w:tcW w:w="1582" w:type="dxa"/>
            <w:shd w:val="clear" w:color="auto" w:fill="auto"/>
            <w:noWrap/>
            <w:vAlign w:val="center"/>
            <w:hideMark/>
          </w:tcPr>
          <w:p w:rsidR="00F27B97" w:rsidRPr="00226A4D" w:rsidRDefault="00F27B97" w:rsidP="008B1384">
            <w:pPr>
              <w:keepNext/>
              <w:keepLines/>
              <w:spacing w:after="0" w:line="240" w:lineRule="auto"/>
              <w:jc w:val="center"/>
              <w:rPr>
                <w:rFonts w:asciiTheme="minorHAnsi" w:hAnsiTheme="minorHAnsi" w:cs="Calibri"/>
                <w:sz w:val="18"/>
                <w:szCs w:val="18"/>
              </w:rPr>
            </w:pPr>
            <w:r w:rsidRPr="00226A4D">
              <w:rPr>
                <w:rFonts w:asciiTheme="minorHAnsi" w:hAnsiTheme="minorHAnsi" w:cs="Calibri"/>
                <w:sz w:val="18"/>
                <w:szCs w:val="18"/>
              </w:rPr>
              <w:t>Connecticut</w:t>
            </w:r>
          </w:p>
        </w:tc>
        <w:tc>
          <w:tcPr>
            <w:tcW w:w="1193"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1,390.0</w:t>
            </w:r>
          </w:p>
        </w:tc>
        <w:tc>
          <w:tcPr>
            <w:tcW w:w="1073" w:type="dxa"/>
            <w:shd w:val="clear" w:color="auto" w:fill="auto"/>
            <w:noWrap/>
            <w:tcMar>
              <w:left w:w="0" w:type="dxa"/>
              <w:right w:w="115" w:type="dxa"/>
            </w:tcMar>
            <w:vAlign w:val="center"/>
            <w:hideMark/>
          </w:tcPr>
          <w:p w:rsidR="00F27B97" w:rsidRPr="00226A4D" w:rsidRDefault="00F27B97" w:rsidP="008B1384">
            <w:pPr>
              <w:keepNext/>
              <w:keepLines/>
              <w:spacing w:after="0" w:line="240" w:lineRule="auto"/>
              <w:jc w:val="right"/>
              <w:rPr>
                <w:rFonts w:asciiTheme="minorHAnsi" w:hAnsiTheme="minorHAnsi" w:cs="Calibri"/>
                <w:sz w:val="18"/>
                <w:szCs w:val="18"/>
              </w:rPr>
            </w:pPr>
            <w:r w:rsidRPr="00226A4D">
              <w:rPr>
                <w:rFonts w:asciiTheme="minorHAnsi" w:hAnsiTheme="minorHAnsi"/>
                <w:color w:val="000000"/>
                <w:sz w:val="18"/>
                <w:szCs w:val="18"/>
              </w:rPr>
              <w:t>100.1</w:t>
            </w:r>
          </w:p>
        </w:tc>
        <w:tc>
          <w:tcPr>
            <w:tcW w:w="915"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18.7</w:t>
            </w:r>
          </w:p>
        </w:tc>
        <w:tc>
          <w:tcPr>
            <w:tcW w:w="1193"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1,515.0</w:t>
            </w:r>
          </w:p>
        </w:tc>
        <w:tc>
          <w:tcPr>
            <w:tcW w:w="1027"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99.9</w:t>
            </w:r>
          </w:p>
        </w:tc>
        <w:tc>
          <w:tcPr>
            <w:tcW w:w="994" w:type="dxa"/>
            <w:shd w:val="clear" w:color="auto" w:fill="auto"/>
            <w:noWrap/>
            <w:tcMar>
              <w:left w:w="0" w:type="dxa"/>
              <w:right w:w="115" w:type="dxa"/>
            </w:tcMar>
            <w:vAlign w:val="center"/>
            <w:hideMark/>
          </w:tcPr>
          <w:p w:rsidR="00F27B97" w:rsidRPr="00226A4D" w:rsidRDefault="00F27B97" w:rsidP="008B1384">
            <w:pPr>
              <w:keepNext/>
              <w:keepLines/>
              <w:autoSpaceDE w:val="0"/>
              <w:autoSpaceDN w:val="0"/>
              <w:adjustRightInd w:val="0"/>
              <w:spacing w:after="0" w:line="240" w:lineRule="auto"/>
              <w:jc w:val="right"/>
              <w:rPr>
                <w:rFonts w:asciiTheme="minorHAnsi" w:hAnsiTheme="minorHAnsi" w:cs="Calibri"/>
                <w:color w:val="333333"/>
                <w:sz w:val="18"/>
                <w:szCs w:val="18"/>
              </w:rPr>
            </w:pPr>
            <w:r w:rsidRPr="00226A4D">
              <w:rPr>
                <w:rFonts w:asciiTheme="minorHAnsi" w:hAnsiTheme="minorHAnsi"/>
                <w:color w:val="000000"/>
                <w:sz w:val="18"/>
                <w:szCs w:val="18"/>
              </w:rPr>
              <w:t>18.7</w:t>
            </w:r>
          </w:p>
        </w:tc>
      </w:tr>
    </w:tbl>
    <w:p w:rsidR="00F27B97" w:rsidRPr="006F0524" w:rsidRDefault="00F27B97" w:rsidP="00D43C82">
      <w:pPr>
        <w:spacing w:before="120" w:line="240" w:lineRule="auto"/>
        <w:ind w:left="-540" w:right="-187"/>
        <w:rPr>
          <w:rFonts w:ascii="Calibri" w:hAnsi="Calibri" w:cs="Arial"/>
          <w:bCs/>
          <w:sz w:val="16"/>
          <w:szCs w:val="16"/>
        </w:rPr>
      </w:pPr>
      <w:r w:rsidRPr="006F0524">
        <w:rPr>
          <w:rFonts w:ascii="Calibri" w:hAnsi="Calibri" w:cs="Arial"/>
          <w:sz w:val="16"/>
          <w:szCs w:val="16"/>
        </w:rPr>
        <w:t xml:space="preserve">(a) Totals may not equal the sum because of rounding </w:t>
      </w:r>
      <w:r w:rsidRPr="006F0524">
        <w:rPr>
          <w:rFonts w:ascii="Calibri" w:hAnsi="Calibri" w:cs="Arial"/>
          <w:bCs/>
          <w:sz w:val="16"/>
          <w:szCs w:val="16"/>
        </w:rPr>
        <w:t>and may not exactly match the results for other tables in this section.</w:t>
      </w:r>
    </w:p>
    <w:p w:rsidR="00E63D3A" w:rsidRDefault="00D57DFB">
      <w:pPr>
        <w:pStyle w:val="Heading2"/>
      </w:pPr>
      <w:bookmarkStart w:id="218" w:name="_Ref387327848"/>
      <w:bookmarkStart w:id="219" w:name="_Toc396807611"/>
      <w:r w:rsidRPr="00D57DFB">
        <w:t>Energy-Efficiency Forecast for New England</w:t>
      </w:r>
      <w:bookmarkEnd w:id="218"/>
      <w:bookmarkEnd w:id="219"/>
    </w:p>
    <w:p w:rsidR="00F27B97" w:rsidRPr="00C83D85" w:rsidRDefault="00F27B97" w:rsidP="00D43C82">
      <w:pPr>
        <w:keepNext/>
        <w:keepLines/>
      </w:pPr>
      <w:r w:rsidRPr="00A229BE">
        <w:t>The FCM provides the ISO with a</w:t>
      </w:r>
      <w:r>
        <w:t xml:space="preserve"> </w:t>
      </w:r>
      <w:r w:rsidRPr="00B70E53">
        <w:t>comprehensive understanding of the savings in energy use over the FCM horizon. Since 2009, the</w:t>
      </w:r>
      <w:r>
        <w:t xml:space="preserve"> ISO also has been analyzing energy-efficiency programs and studying how to model incremental, future EE savings for periods five to 10 years beyond the FCM horizon. This deliberate and analytic effort advanced the ISO’s understanding of energy efficiency from anecdotal to empirical. The result was the nation’s first regional (multistate) long-term forecast of e</w:t>
      </w:r>
      <w:r w:rsidRPr="003058F1">
        <w:t>nergy efficiency. The ISO’s regional energy-efficiency forecast, as summarized in this section for 201</w:t>
      </w:r>
      <w:r>
        <w:t>8</w:t>
      </w:r>
      <w:r w:rsidRPr="003058F1">
        <w:t xml:space="preserve"> through 202</w:t>
      </w:r>
      <w:r>
        <w:t>3</w:t>
      </w:r>
      <w:r w:rsidRPr="003058F1">
        <w:t>, is part of ongoing efforts to</w:t>
      </w:r>
      <w:r>
        <w:t xml:space="preserve"> collect and</w:t>
      </w:r>
      <w:r w:rsidRPr="003058F1">
        <w:t xml:space="preserve"> analyze</w:t>
      </w:r>
      <w:r>
        <w:t xml:space="preserve"> data in support of</w:t>
      </w:r>
      <w:r w:rsidRPr="003058F1">
        <w:t xml:space="preserve"> the long-term impacts of state-sponsored energy-efficiency programs on future demand.</w:t>
      </w:r>
      <w:r w:rsidRPr="003058F1">
        <w:rPr>
          <w:rStyle w:val="FootnoteReference"/>
        </w:rPr>
        <w:footnoteReference w:id="113"/>
      </w:r>
    </w:p>
    <w:p w:rsidR="00F27B97" w:rsidRDefault="00F27B97" w:rsidP="00F27B97">
      <w:r w:rsidRPr="00765A9B">
        <w:t>The final EE forecast for 201</w:t>
      </w:r>
      <w:r>
        <w:t>8</w:t>
      </w:r>
      <w:r w:rsidRPr="00765A9B">
        <w:t xml:space="preserve"> to 202</w:t>
      </w:r>
      <w:r>
        <w:t>3</w:t>
      </w:r>
      <w:r w:rsidRPr="00765A9B">
        <w:t xml:space="preserve"> projects savings in the average, total, and peak energy use for the</w:t>
      </w:r>
      <w:r w:rsidRPr="00C3584E">
        <w:t xml:space="preserve"> region and each state.</w:t>
      </w:r>
      <w:r>
        <w:t xml:space="preserve"> </w:t>
      </w:r>
      <w:r w:rsidRPr="00C3584E">
        <w:t xml:space="preserve">The results, which are based on an average annual </w:t>
      </w:r>
      <w:r>
        <w:t xml:space="preserve">program </w:t>
      </w:r>
      <w:r w:rsidRPr="00C3584E">
        <w:t xml:space="preserve">spending rate among the six states of </w:t>
      </w:r>
      <w:r>
        <w:t>more than</w:t>
      </w:r>
      <w:r w:rsidRPr="00C3584E">
        <w:t xml:space="preserve"> $</w:t>
      </w:r>
      <w:r>
        <w:t>9</w:t>
      </w:r>
      <w:r w:rsidRPr="00C3584E">
        <w:t xml:space="preserve">00 million per year, show </w:t>
      </w:r>
      <w:r w:rsidR="00B85401">
        <w:t xml:space="preserve">that the regional annual average </w:t>
      </w:r>
      <w:r w:rsidR="00847ED4">
        <w:t xml:space="preserve">savings in </w:t>
      </w:r>
      <w:r w:rsidR="00B85401">
        <w:t xml:space="preserve">energy </w:t>
      </w:r>
      <w:r w:rsidR="00B85401" w:rsidRPr="00835B4D">
        <w:t xml:space="preserve">use attributable to </w:t>
      </w:r>
      <w:r w:rsidR="00D24CD4" w:rsidRPr="00835B4D">
        <w:t>new energy</w:t>
      </w:r>
      <w:r w:rsidR="000E064A" w:rsidRPr="00835B4D">
        <w:t>-</w:t>
      </w:r>
      <w:r w:rsidR="00D24CD4" w:rsidRPr="00835B4D">
        <w:t>efficiency measures (i.e., not cumulative from EE savings</w:t>
      </w:r>
      <w:r w:rsidR="000E064A" w:rsidRPr="00835B4D">
        <w:t xml:space="preserve"> before 2018</w:t>
      </w:r>
      <w:r w:rsidR="00D24CD4" w:rsidRPr="00835B4D">
        <w:t>)</w:t>
      </w:r>
      <w:r w:rsidR="00B85401" w:rsidRPr="00835B4D">
        <w:t xml:space="preserve"> is </w:t>
      </w:r>
      <w:r w:rsidRPr="00835B4D">
        <w:t>1,518 </w:t>
      </w:r>
      <w:proofErr w:type="spellStart"/>
      <w:r w:rsidRPr="00835B4D">
        <w:t>gigawatt</w:t>
      </w:r>
      <w:proofErr w:type="spellEnd"/>
      <w:r w:rsidRPr="00835B4D">
        <w:t>-hours (</w:t>
      </w:r>
      <w:proofErr w:type="spellStart"/>
      <w:r w:rsidRPr="00835B4D">
        <w:t>GWh</w:t>
      </w:r>
      <w:proofErr w:type="spellEnd"/>
      <w:r w:rsidRPr="00835B4D">
        <w:t xml:space="preserve">). The forecast for </w:t>
      </w:r>
      <w:r w:rsidR="00847ED4" w:rsidRPr="00835B4D">
        <w:t xml:space="preserve">the </w:t>
      </w:r>
      <w:r w:rsidRPr="00835B4D">
        <w:t xml:space="preserve">total </w:t>
      </w:r>
      <w:r w:rsidR="00847ED4" w:rsidRPr="00835B4D">
        <w:t xml:space="preserve">savings in </w:t>
      </w:r>
      <w:r w:rsidRPr="00835B4D">
        <w:t xml:space="preserve">energy </w:t>
      </w:r>
      <w:r w:rsidR="00B85401" w:rsidRPr="00835B4D">
        <w:t xml:space="preserve">use </w:t>
      </w:r>
      <w:r w:rsidR="00847ED4" w:rsidRPr="00835B4D">
        <w:t>from the EE</w:t>
      </w:r>
      <w:r w:rsidR="00847ED4">
        <w:t xml:space="preserve"> projected </w:t>
      </w:r>
      <w:r w:rsidRPr="004D4DB0">
        <w:t>fo</w:t>
      </w:r>
      <w:r w:rsidR="00847ED4">
        <w:t>r</w:t>
      </w:r>
      <w:r w:rsidRPr="004D4DB0">
        <w:t xml:space="preserve"> 201</w:t>
      </w:r>
      <w:r>
        <w:t>8</w:t>
      </w:r>
      <w:r w:rsidRPr="004D4DB0">
        <w:t xml:space="preserve"> to 202</w:t>
      </w:r>
      <w:r>
        <w:t>3</w:t>
      </w:r>
      <w:r w:rsidR="00847ED4">
        <w:t xml:space="preserve"> </w:t>
      </w:r>
      <w:r w:rsidRPr="004D4DB0">
        <w:t>is 9,</w:t>
      </w:r>
      <w:r>
        <w:t>10</w:t>
      </w:r>
      <w:r w:rsidRPr="004D4DB0">
        <w:t xml:space="preserve">5 </w:t>
      </w:r>
      <w:proofErr w:type="spellStart"/>
      <w:r w:rsidRPr="004D4DB0">
        <w:t>GWh</w:t>
      </w:r>
      <w:proofErr w:type="spellEnd"/>
      <w:r w:rsidRPr="004D4DB0">
        <w:t>.</w:t>
      </w:r>
      <w:r w:rsidRPr="00DE1967">
        <w:t xml:space="preserve"> The</w:t>
      </w:r>
      <w:r>
        <w:t xml:space="preserve"> states’ annual average </w:t>
      </w:r>
      <w:r w:rsidR="00847ED4">
        <w:t xml:space="preserve">savings in </w:t>
      </w:r>
      <w:r>
        <w:t xml:space="preserve">energy </w:t>
      </w:r>
      <w:r w:rsidR="00847ED4">
        <w:t xml:space="preserve">use </w:t>
      </w:r>
      <w:r>
        <w:t xml:space="preserve">ranges from a low of </w:t>
      </w:r>
      <w:r w:rsidR="002657BD">
        <w:t>68 </w:t>
      </w:r>
      <w:proofErr w:type="spellStart"/>
      <w:r>
        <w:t>GWh</w:t>
      </w:r>
      <w:proofErr w:type="spellEnd"/>
      <w:r>
        <w:t xml:space="preserve"> in New Hampshire to a high of 749 </w:t>
      </w:r>
      <w:proofErr w:type="spellStart"/>
      <w:r>
        <w:t>GWh</w:t>
      </w:r>
      <w:proofErr w:type="spellEnd"/>
      <w:r>
        <w:t xml:space="preserve"> in Massachusetts.</w:t>
      </w:r>
    </w:p>
    <w:p w:rsidR="00F27B97" w:rsidRDefault="00927965" w:rsidP="00F27B97">
      <w:fldSimple w:instr=" REF _Ref325398910 \h  \* MERGEFORMAT ">
        <w:r w:rsidR="00284CE3" w:rsidRPr="00681047">
          <w:t xml:space="preserve">Table </w:t>
        </w:r>
        <w:r w:rsidR="00284CE3">
          <w:rPr>
            <w:noProof/>
          </w:rPr>
          <w:t>3</w:t>
        </w:r>
        <w:r w:rsidR="00284CE3">
          <w:rPr>
            <w:noProof/>
          </w:rPr>
          <w:noBreakHyphen/>
          <w:t>5</w:t>
        </w:r>
      </w:fldSimple>
      <w:r w:rsidR="00877FD9" w:rsidRPr="003143E4">
        <w:t xml:space="preserve"> shows the results of ISO’s final EE forecast for 201</w:t>
      </w:r>
      <w:r w:rsidR="00877FD9">
        <w:t>8</w:t>
      </w:r>
      <w:r w:rsidR="00877FD9" w:rsidRPr="003143E4">
        <w:t xml:space="preserve"> to 202</w:t>
      </w:r>
      <w:r w:rsidR="00877FD9">
        <w:t>3</w:t>
      </w:r>
      <w:r w:rsidR="00877FD9" w:rsidRPr="003143E4">
        <w:t>.</w:t>
      </w:r>
      <w:r w:rsidR="006B16BB">
        <w:t xml:space="preserve"> </w:t>
      </w:r>
      <w:r w:rsidR="00F27B97" w:rsidRPr="00287D45">
        <w:t xml:space="preserve">The regional average </w:t>
      </w:r>
      <w:r w:rsidR="00F27B97">
        <w:t xml:space="preserve">savings in </w:t>
      </w:r>
      <w:r w:rsidR="00F27B97" w:rsidRPr="00287D45">
        <w:t xml:space="preserve">peak demand </w:t>
      </w:r>
      <w:r w:rsidR="00F27B97">
        <w:t>grows by 205</w:t>
      </w:r>
      <w:r w:rsidR="00F27B97" w:rsidRPr="00287D45">
        <w:t xml:space="preserve"> MW</w:t>
      </w:r>
      <w:r w:rsidR="00F27B97">
        <w:t xml:space="preserve"> annually</w:t>
      </w:r>
      <w:r w:rsidR="00F27B97" w:rsidRPr="00287D45">
        <w:t xml:space="preserve">. The forecast for total </w:t>
      </w:r>
      <w:r w:rsidR="00847ED4">
        <w:t xml:space="preserve">savings in </w:t>
      </w:r>
      <w:r w:rsidR="00F27B97" w:rsidRPr="00287D45">
        <w:t xml:space="preserve">peak </w:t>
      </w:r>
      <w:r w:rsidR="00847ED4">
        <w:t xml:space="preserve">demand </w:t>
      </w:r>
      <w:r w:rsidR="00F27B97">
        <w:t>grows by</w:t>
      </w:r>
      <w:r w:rsidR="00F27B97" w:rsidRPr="00287D45">
        <w:t xml:space="preserve"> 1,</w:t>
      </w:r>
      <w:r w:rsidR="00F27B97">
        <w:t>23</w:t>
      </w:r>
      <w:r w:rsidR="00F27B97" w:rsidRPr="00287D45">
        <w:t>3 MW</w:t>
      </w:r>
      <w:r w:rsidR="00F27B97">
        <w:t xml:space="preserve"> from 2018 to 2023. The states’ annual average peak savings ranges from a low of 11 MW in New Hampshire to a high of 101 MW in Massachusetts. </w:t>
      </w:r>
    </w:p>
    <w:p w:rsidR="00F27B97" w:rsidRDefault="00F27B97" w:rsidP="00F27B97">
      <w:pPr>
        <w:pStyle w:val="Caption"/>
        <w:rPr>
          <w:szCs w:val="20"/>
        </w:rPr>
      </w:pPr>
      <w:bookmarkStart w:id="220" w:name="_Ref325398910"/>
      <w:bookmarkStart w:id="221" w:name="_Toc330401253"/>
      <w:bookmarkStart w:id="222" w:name="_Toc334541926"/>
      <w:bookmarkStart w:id="223" w:name="_Toc334541963"/>
      <w:bookmarkStart w:id="224" w:name="_Toc365440701"/>
      <w:bookmarkStart w:id="225" w:name="_Toc391985599"/>
      <w:r w:rsidRPr="00681047">
        <w:t xml:space="preserve">Table </w:t>
      </w:r>
      <w:r w:rsidR="00927965">
        <w:fldChar w:fldCharType="begin"/>
      </w:r>
      <w:r w:rsidR="00BD7584">
        <w:instrText xml:space="preserve"> STYLEREF 1 \s </w:instrText>
      </w:r>
      <w:r w:rsidR="00927965">
        <w:fldChar w:fldCharType="separate"/>
      </w:r>
      <w:r w:rsidR="00284CE3">
        <w:rPr>
          <w:noProof/>
        </w:rPr>
        <w:t>3</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5</w:t>
      </w:r>
      <w:r w:rsidR="00927965">
        <w:fldChar w:fldCharType="end"/>
      </w:r>
      <w:bookmarkEnd w:id="220"/>
      <w:r w:rsidRPr="00681047">
        <w:br/>
      </w:r>
      <w:r w:rsidRPr="00681047">
        <w:rPr>
          <w:szCs w:val="20"/>
        </w:rPr>
        <w:t xml:space="preserve"> </w:t>
      </w:r>
      <w:r w:rsidRPr="00765A9B">
        <w:rPr>
          <w:szCs w:val="20"/>
        </w:rPr>
        <w:t>ISO New England’s Final Energy-Efficiency Forecast for 201</w:t>
      </w:r>
      <w:r>
        <w:rPr>
          <w:szCs w:val="20"/>
        </w:rPr>
        <w:t>8</w:t>
      </w:r>
      <w:r w:rsidRPr="00765A9B">
        <w:rPr>
          <w:szCs w:val="20"/>
        </w:rPr>
        <w:t xml:space="preserve"> to 202</w:t>
      </w:r>
      <w:r>
        <w:rPr>
          <w:szCs w:val="20"/>
        </w:rPr>
        <w:t>3</w:t>
      </w:r>
      <w:r w:rsidRPr="00765A9B">
        <w:rPr>
          <w:szCs w:val="20"/>
        </w:rPr>
        <w:t xml:space="preserve"> (</w:t>
      </w:r>
      <w:proofErr w:type="spellStart"/>
      <w:r w:rsidRPr="00765A9B">
        <w:rPr>
          <w:szCs w:val="20"/>
        </w:rPr>
        <w:t>GWh</w:t>
      </w:r>
      <w:proofErr w:type="spellEnd"/>
      <w:r w:rsidRPr="00765A9B">
        <w:rPr>
          <w:szCs w:val="20"/>
        </w:rPr>
        <w:t>, MW</w:t>
      </w:r>
      <w:proofErr w:type="gramStart"/>
      <w:r w:rsidRPr="00765A9B">
        <w:rPr>
          <w:szCs w:val="20"/>
        </w:rPr>
        <w:t>)</w:t>
      </w:r>
      <w:r w:rsidRPr="00765A9B">
        <w:rPr>
          <w:szCs w:val="20"/>
          <w:vertAlign w:val="superscript"/>
        </w:rPr>
        <w:t>(</w:t>
      </w:r>
      <w:proofErr w:type="gramEnd"/>
      <w:r w:rsidRPr="00765A9B">
        <w:rPr>
          <w:szCs w:val="20"/>
          <w:vertAlign w:val="superscript"/>
        </w:rPr>
        <w:t>a)</w:t>
      </w:r>
      <w:bookmarkEnd w:id="221"/>
      <w:bookmarkEnd w:id="222"/>
      <w:bookmarkEnd w:id="223"/>
      <w:bookmarkEnd w:id="224"/>
      <w:bookmarkEnd w:id="225"/>
    </w:p>
    <w:tbl>
      <w:tblPr>
        <w:tblW w:w="7457" w:type="dxa"/>
        <w:jc w:val="center"/>
        <w:tblInd w:w="6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02"/>
        <w:gridCol w:w="936"/>
        <w:gridCol w:w="899"/>
        <w:gridCol w:w="899"/>
        <w:gridCol w:w="820"/>
        <w:gridCol w:w="981"/>
        <w:gridCol w:w="899"/>
        <w:gridCol w:w="1021"/>
      </w:tblGrid>
      <w:tr w:rsidR="00F27B97" w:rsidRPr="00AD3D6A" w:rsidTr="002657BD">
        <w:trPr>
          <w:trHeight w:val="267"/>
          <w:jc w:val="center"/>
        </w:trPr>
        <w:tc>
          <w:tcPr>
            <w:tcW w:w="7457" w:type="dxa"/>
            <w:gridSpan w:val="8"/>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Forecast of Electric Energy Savings (</w:t>
            </w:r>
            <w:proofErr w:type="spellStart"/>
            <w:r w:rsidRPr="00AD3D6A">
              <w:rPr>
                <w:rFonts w:asciiTheme="minorHAnsi" w:eastAsia="Times New Roman" w:hAnsiTheme="minorHAnsi" w:cs="Arial"/>
                <w:b/>
                <w:color w:val="FFFFFF"/>
                <w:sz w:val="18"/>
                <w:szCs w:val="18"/>
              </w:rPr>
              <w:t>GWh</w:t>
            </w:r>
            <w:proofErr w:type="spellEnd"/>
            <w:r w:rsidRPr="00AD3D6A">
              <w:rPr>
                <w:rFonts w:asciiTheme="minorHAnsi" w:eastAsia="Times New Roman" w:hAnsiTheme="minorHAnsi" w:cs="Arial"/>
                <w:b/>
                <w:color w:val="FFFFFF"/>
                <w:sz w:val="18"/>
                <w:szCs w:val="18"/>
              </w:rPr>
              <w:t>)</w:t>
            </w:r>
          </w:p>
        </w:tc>
      </w:tr>
      <w:tr w:rsidR="00F27B97" w:rsidRPr="00AD3D6A" w:rsidTr="002657BD">
        <w:trPr>
          <w:trHeight w:val="267"/>
          <w:jc w:val="center"/>
        </w:trPr>
        <w:tc>
          <w:tcPr>
            <w:tcW w:w="1002" w:type="dxa"/>
            <w:vMerge w:val="restart"/>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bCs/>
                <w:color w:val="FFFFFF"/>
                <w:sz w:val="18"/>
                <w:szCs w:val="18"/>
              </w:rPr>
            </w:pPr>
            <w:r w:rsidRPr="00AD3D6A">
              <w:rPr>
                <w:rFonts w:asciiTheme="minorHAnsi" w:eastAsia="Times New Roman" w:hAnsiTheme="minorHAnsi" w:cs="Arial"/>
                <w:b/>
                <w:bCs/>
                <w:color w:val="FFFFFF"/>
                <w:sz w:val="18"/>
                <w:szCs w:val="18"/>
              </w:rPr>
              <w:t>Year</w:t>
            </w:r>
          </w:p>
        </w:tc>
        <w:tc>
          <w:tcPr>
            <w:tcW w:w="936" w:type="dxa"/>
            <w:vMerge w:val="restart"/>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Sum of States</w:t>
            </w:r>
          </w:p>
        </w:tc>
        <w:tc>
          <w:tcPr>
            <w:tcW w:w="5519" w:type="dxa"/>
            <w:gridSpan w:val="6"/>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States</w:t>
            </w:r>
          </w:p>
        </w:tc>
      </w:tr>
      <w:tr w:rsidR="00F27B97" w:rsidRPr="00AD3D6A" w:rsidTr="002657BD">
        <w:trPr>
          <w:trHeight w:val="267"/>
          <w:jc w:val="center"/>
        </w:trPr>
        <w:tc>
          <w:tcPr>
            <w:tcW w:w="1002" w:type="dxa"/>
            <w:vMerge/>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color w:val="FFFFFF"/>
                <w:sz w:val="18"/>
                <w:szCs w:val="18"/>
              </w:rPr>
            </w:pPr>
          </w:p>
        </w:tc>
        <w:tc>
          <w:tcPr>
            <w:tcW w:w="936" w:type="dxa"/>
            <w:vMerge/>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color w:val="FFFFFF"/>
                <w:sz w:val="18"/>
                <w:szCs w:val="18"/>
              </w:rPr>
            </w:pP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ME</w:t>
            </w: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NH</w:t>
            </w:r>
          </w:p>
        </w:tc>
        <w:tc>
          <w:tcPr>
            <w:tcW w:w="820"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VT</w:t>
            </w:r>
          </w:p>
        </w:tc>
        <w:tc>
          <w:tcPr>
            <w:tcW w:w="981"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CT</w:t>
            </w: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RI</w:t>
            </w:r>
          </w:p>
        </w:tc>
        <w:tc>
          <w:tcPr>
            <w:tcW w:w="1021"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MA</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2018</w:t>
            </w:r>
          </w:p>
        </w:tc>
        <w:tc>
          <w:tcPr>
            <w:tcW w:w="936"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1,764</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142</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76</w:t>
            </w:r>
          </w:p>
        </w:tc>
        <w:tc>
          <w:tcPr>
            <w:tcW w:w="820"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125</w:t>
            </w:r>
          </w:p>
        </w:tc>
        <w:tc>
          <w:tcPr>
            <w:tcW w:w="98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401</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141</w:t>
            </w:r>
          </w:p>
        </w:tc>
        <w:tc>
          <w:tcPr>
            <w:tcW w:w="102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880</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2019</w:t>
            </w:r>
          </w:p>
        </w:tc>
        <w:tc>
          <w:tcPr>
            <w:tcW w:w="936"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1,658</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132</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73</w:t>
            </w:r>
          </w:p>
        </w:tc>
        <w:tc>
          <w:tcPr>
            <w:tcW w:w="820"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120</w:t>
            </w:r>
          </w:p>
        </w:tc>
        <w:tc>
          <w:tcPr>
            <w:tcW w:w="98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379</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132</w:t>
            </w:r>
          </w:p>
        </w:tc>
        <w:tc>
          <w:tcPr>
            <w:tcW w:w="102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823</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2020</w:t>
            </w:r>
          </w:p>
        </w:tc>
        <w:tc>
          <w:tcPr>
            <w:tcW w:w="936"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1,560</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122</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69</w:t>
            </w:r>
          </w:p>
        </w:tc>
        <w:tc>
          <w:tcPr>
            <w:tcW w:w="820"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117</w:t>
            </w:r>
          </w:p>
        </w:tc>
        <w:tc>
          <w:tcPr>
            <w:tcW w:w="98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358</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123</w:t>
            </w:r>
          </w:p>
        </w:tc>
        <w:tc>
          <w:tcPr>
            <w:tcW w:w="102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769</w:t>
            </w:r>
          </w:p>
        </w:tc>
      </w:tr>
      <w:tr w:rsidR="00F27B97" w:rsidRPr="00AD3D6A" w:rsidTr="002657BD">
        <w:trPr>
          <w:trHeight w:val="65"/>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2021</w:t>
            </w:r>
          </w:p>
        </w:tc>
        <w:tc>
          <w:tcPr>
            <w:tcW w:w="936"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1,462</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114</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66</w:t>
            </w:r>
          </w:p>
        </w:tc>
        <w:tc>
          <w:tcPr>
            <w:tcW w:w="820"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110</w:t>
            </w:r>
          </w:p>
        </w:tc>
        <w:tc>
          <w:tcPr>
            <w:tcW w:w="98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338</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114</w:t>
            </w:r>
          </w:p>
        </w:tc>
        <w:tc>
          <w:tcPr>
            <w:tcW w:w="102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719</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2022</w:t>
            </w:r>
          </w:p>
        </w:tc>
        <w:tc>
          <w:tcPr>
            <w:tcW w:w="936"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1,373</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106</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63</w:t>
            </w:r>
          </w:p>
        </w:tc>
        <w:tc>
          <w:tcPr>
            <w:tcW w:w="820"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106</w:t>
            </w:r>
          </w:p>
        </w:tc>
        <w:tc>
          <w:tcPr>
            <w:tcW w:w="98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319</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106</w:t>
            </w:r>
          </w:p>
        </w:tc>
        <w:tc>
          <w:tcPr>
            <w:tcW w:w="102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672</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2023</w:t>
            </w:r>
          </w:p>
        </w:tc>
        <w:tc>
          <w:tcPr>
            <w:tcW w:w="936"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1,288</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99</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60</w:t>
            </w:r>
          </w:p>
        </w:tc>
        <w:tc>
          <w:tcPr>
            <w:tcW w:w="820"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102</w:t>
            </w:r>
          </w:p>
        </w:tc>
        <w:tc>
          <w:tcPr>
            <w:tcW w:w="98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300</w:t>
            </w:r>
          </w:p>
        </w:tc>
        <w:tc>
          <w:tcPr>
            <w:tcW w:w="899"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99</w:t>
            </w:r>
          </w:p>
        </w:tc>
        <w:tc>
          <w:tcPr>
            <w:tcW w:w="1021" w:type="dxa"/>
            <w:shd w:val="clear" w:color="auto" w:fill="auto"/>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628</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Total</w:t>
            </w:r>
          </w:p>
        </w:tc>
        <w:tc>
          <w:tcPr>
            <w:tcW w:w="936"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9,105</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714</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408</w:t>
            </w:r>
          </w:p>
        </w:tc>
        <w:tc>
          <w:tcPr>
            <w:tcW w:w="820"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681</w:t>
            </w:r>
          </w:p>
        </w:tc>
        <w:tc>
          <w:tcPr>
            <w:tcW w:w="98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2,096</w:t>
            </w:r>
          </w:p>
        </w:tc>
        <w:tc>
          <w:tcPr>
            <w:tcW w:w="899"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715</w:t>
            </w:r>
          </w:p>
        </w:tc>
        <w:tc>
          <w:tcPr>
            <w:tcW w:w="1021" w:type="dxa"/>
            <w:shd w:val="clear" w:color="auto" w:fill="C2D7F8"/>
            <w:noWrap/>
            <w:vAlign w:val="center"/>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4,491</w:t>
            </w:r>
          </w:p>
        </w:tc>
      </w:tr>
      <w:tr w:rsidR="00F27B97" w:rsidRPr="002657BD" w:rsidTr="002657BD">
        <w:trPr>
          <w:trHeight w:val="267"/>
          <w:jc w:val="center"/>
        </w:trPr>
        <w:tc>
          <w:tcPr>
            <w:tcW w:w="1002" w:type="dxa"/>
            <w:shd w:val="clear" w:color="auto" w:fill="85AFF2"/>
            <w:noWrap/>
            <w:vAlign w:val="center"/>
            <w:hideMark/>
          </w:tcPr>
          <w:p w:rsidR="00F27B97" w:rsidRPr="002657BD" w:rsidRDefault="00F27B97" w:rsidP="008B1384">
            <w:pPr>
              <w:keepNext/>
              <w:keepLines/>
              <w:spacing w:after="0" w:line="240" w:lineRule="auto"/>
              <w:rPr>
                <w:rFonts w:asciiTheme="minorHAnsi" w:hAnsiTheme="minorHAnsi"/>
                <w:b/>
                <w:color w:val="FFFFFF"/>
                <w:kern w:val="24"/>
                <w:sz w:val="18"/>
                <w:szCs w:val="18"/>
              </w:rPr>
            </w:pPr>
            <w:r w:rsidRPr="002657BD">
              <w:rPr>
                <w:rFonts w:asciiTheme="minorHAnsi" w:hAnsiTheme="minorHAnsi"/>
                <w:b/>
                <w:color w:val="FFFFFF"/>
                <w:kern w:val="24"/>
                <w:sz w:val="18"/>
                <w:szCs w:val="18"/>
              </w:rPr>
              <w:t>Average</w:t>
            </w:r>
          </w:p>
        </w:tc>
        <w:tc>
          <w:tcPr>
            <w:tcW w:w="936"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1,518</w:t>
            </w:r>
          </w:p>
        </w:tc>
        <w:tc>
          <w:tcPr>
            <w:tcW w:w="899"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119</w:t>
            </w:r>
          </w:p>
        </w:tc>
        <w:tc>
          <w:tcPr>
            <w:tcW w:w="899"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68</w:t>
            </w:r>
          </w:p>
        </w:tc>
        <w:tc>
          <w:tcPr>
            <w:tcW w:w="820"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113</w:t>
            </w:r>
          </w:p>
        </w:tc>
        <w:tc>
          <w:tcPr>
            <w:tcW w:w="981"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349</w:t>
            </w:r>
          </w:p>
        </w:tc>
        <w:tc>
          <w:tcPr>
            <w:tcW w:w="899"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119</w:t>
            </w:r>
          </w:p>
        </w:tc>
        <w:tc>
          <w:tcPr>
            <w:tcW w:w="1021" w:type="dxa"/>
            <w:shd w:val="clear" w:color="auto" w:fill="85AFF2"/>
            <w:noWrap/>
            <w:vAlign w:val="center"/>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749</w:t>
            </w:r>
          </w:p>
        </w:tc>
      </w:tr>
      <w:tr w:rsidR="00F27B97" w:rsidRPr="00AD3D6A" w:rsidTr="002657BD">
        <w:trPr>
          <w:trHeight w:val="63"/>
          <w:jc w:val="center"/>
        </w:trPr>
        <w:tc>
          <w:tcPr>
            <w:tcW w:w="7457" w:type="dxa"/>
            <w:gridSpan w:val="8"/>
            <w:shd w:val="clear" w:color="auto" w:fill="auto"/>
            <w:noWrap/>
            <w:vAlign w:val="center"/>
            <w:hideMark/>
          </w:tcPr>
          <w:p w:rsidR="00F27B97" w:rsidRPr="00AD3D6A" w:rsidRDefault="00F27B97" w:rsidP="008B1384">
            <w:pPr>
              <w:keepNext/>
              <w:keepLines/>
              <w:spacing w:after="0" w:line="240" w:lineRule="auto"/>
              <w:rPr>
                <w:rFonts w:asciiTheme="minorHAnsi" w:eastAsia="Times New Roman" w:hAnsiTheme="minorHAnsi" w:cs="Arial"/>
                <w:sz w:val="18"/>
                <w:szCs w:val="18"/>
              </w:rPr>
            </w:pPr>
          </w:p>
        </w:tc>
      </w:tr>
      <w:tr w:rsidR="00F27B97" w:rsidRPr="00AD3D6A" w:rsidTr="002657BD">
        <w:trPr>
          <w:trHeight w:val="267"/>
          <w:jc w:val="center"/>
        </w:trPr>
        <w:tc>
          <w:tcPr>
            <w:tcW w:w="7457" w:type="dxa"/>
            <w:gridSpan w:val="8"/>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Forecast of Peak Demand Savings (MW)</w:t>
            </w:r>
          </w:p>
        </w:tc>
      </w:tr>
      <w:tr w:rsidR="00F27B97" w:rsidRPr="00AD3D6A" w:rsidTr="002657BD">
        <w:trPr>
          <w:trHeight w:val="267"/>
          <w:jc w:val="center"/>
        </w:trPr>
        <w:tc>
          <w:tcPr>
            <w:tcW w:w="1002" w:type="dxa"/>
            <w:vMerge w:val="restart"/>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bCs/>
                <w:color w:val="FFFFFF"/>
                <w:sz w:val="18"/>
                <w:szCs w:val="18"/>
              </w:rPr>
            </w:pPr>
            <w:r w:rsidRPr="00AD3D6A">
              <w:rPr>
                <w:rFonts w:asciiTheme="minorHAnsi" w:eastAsia="Times New Roman" w:hAnsiTheme="minorHAnsi" w:cs="Arial"/>
                <w:b/>
                <w:bCs/>
                <w:color w:val="FFFFFF"/>
                <w:sz w:val="18"/>
                <w:szCs w:val="18"/>
              </w:rPr>
              <w:t>Year</w:t>
            </w:r>
          </w:p>
        </w:tc>
        <w:tc>
          <w:tcPr>
            <w:tcW w:w="936" w:type="dxa"/>
            <w:vMerge w:val="restart"/>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Sum of States</w:t>
            </w:r>
          </w:p>
        </w:tc>
        <w:tc>
          <w:tcPr>
            <w:tcW w:w="5519" w:type="dxa"/>
            <w:gridSpan w:val="6"/>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States</w:t>
            </w:r>
          </w:p>
        </w:tc>
      </w:tr>
      <w:tr w:rsidR="00F27B97" w:rsidRPr="00AD3D6A" w:rsidTr="002657BD">
        <w:trPr>
          <w:trHeight w:val="267"/>
          <w:jc w:val="center"/>
        </w:trPr>
        <w:tc>
          <w:tcPr>
            <w:tcW w:w="1002" w:type="dxa"/>
            <w:vMerge/>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bCs/>
                <w:color w:val="FFFFFF"/>
                <w:sz w:val="18"/>
                <w:szCs w:val="18"/>
              </w:rPr>
            </w:pPr>
          </w:p>
        </w:tc>
        <w:tc>
          <w:tcPr>
            <w:tcW w:w="936" w:type="dxa"/>
            <w:vMerge/>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ME</w:t>
            </w: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NH</w:t>
            </w:r>
          </w:p>
        </w:tc>
        <w:tc>
          <w:tcPr>
            <w:tcW w:w="820"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VT</w:t>
            </w:r>
          </w:p>
        </w:tc>
        <w:tc>
          <w:tcPr>
            <w:tcW w:w="981"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CT</w:t>
            </w:r>
          </w:p>
        </w:tc>
        <w:tc>
          <w:tcPr>
            <w:tcW w:w="899"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RI</w:t>
            </w:r>
          </w:p>
        </w:tc>
        <w:tc>
          <w:tcPr>
            <w:tcW w:w="1021" w:type="dxa"/>
            <w:shd w:val="clear" w:color="auto" w:fill="85AFF2"/>
            <w:noWrap/>
            <w:vAlign w:val="center"/>
            <w:hideMark/>
          </w:tcPr>
          <w:p w:rsidR="00F27B97" w:rsidRPr="00AD3D6A" w:rsidRDefault="00F27B97" w:rsidP="008B1384">
            <w:pPr>
              <w:keepNext/>
              <w:keepLines/>
              <w:spacing w:after="0" w:line="240" w:lineRule="auto"/>
              <w:jc w:val="center"/>
              <w:rPr>
                <w:rFonts w:asciiTheme="minorHAnsi" w:eastAsia="Times New Roman" w:hAnsiTheme="minorHAnsi" w:cs="Arial"/>
                <w:b/>
                <w:color w:val="FFFFFF"/>
                <w:sz w:val="18"/>
                <w:szCs w:val="18"/>
              </w:rPr>
            </w:pPr>
            <w:r w:rsidRPr="00AD3D6A">
              <w:rPr>
                <w:rFonts w:asciiTheme="minorHAnsi" w:eastAsia="Times New Roman" w:hAnsiTheme="minorHAnsi" w:cs="Arial"/>
                <w:b/>
                <w:color w:val="FFFFFF"/>
                <w:sz w:val="18"/>
                <w:szCs w:val="18"/>
              </w:rPr>
              <w:t>MA</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2018</w:t>
            </w:r>
          </w:p>
        </w:tc>
        <w:tc>
          <w:tcPr>
            <w:tcW w:w="936"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239</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20</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w:t>
            </w:r>
          </w:p>
        </w:tc>
        <w:tc>
          <w:tcPr>
            <w:tcW w:w="820"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18</w:t>
            </w:r>
          </w:p>
        </w:tc>
        <w:tc>
          <w:tcPr>
            <w:tcW w:w="98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49</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22</w:t>
            </w:r>
          </w:p>
        </w:tc>
        <w:tc>
          <w:tcPr>
            <w:tcW w:w="102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118</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2019</w:t>
            </w:r>
          </w:p>
        </w:tc>
        <w:tc>
          <w:tcPr>
            <w:tcW w:w="936"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225</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19</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w:t>
            </w:r>
          </w:p>
        </w:tc>
        <w:tc>
          <w:tcPr>
            <w:tcW w:w="820"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w:t>
            </w:r>
          </w:p>
        </w:tc>
        <w:tc>
          <w:tcPr>
            <w:tcW w:w="98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46</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20</w:t>
            </w:r>
          </w:p>
        </w:tc>
        <w:tc>
          <w:tcPr>
            <w:tcW w:w="102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111</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2020</w:t>
            </w:r>
          </w:p>
        </w:tc>
        <w:tc>
          <w:tcPr>
            <w:tcW w:w="936"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211</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w:t>
            </w:r>
          </w:p>
        </w:tc>
        <w:tc>
          <w:tcPr>
            <w:tcW w:w="820"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w:t>
            </w:r>
          </w:p>
        </w:tc>
        <w:tc>
          <w:tcPr>
            <w:tcW w:w="98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44</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19</w:t>
            </w:r>
          </w:p>
        </w:tc>
        <w:tc>
          <w:tcPr>
            <w:tcW w:w="102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104</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2021</w:t>
            </w:r>
          </w:p>
        </w:tc>
        <w:tc>
          <w:tcPr>
            <w:tcW w:w="936"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198</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16</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w:t>
            </w:r>
          </w:p>
        </w:tc>
        <w:tc>
          <w:tcPr>
            <w:tcW w:w="820"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16</w:t>
            </w:r>
          </w:p>
        </w:tc>
        <w:tc>
          <w:tcPr>
            <w:tcW w:w="98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41</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18</w:t>
            </w:r>
          </w:p>
        </w:tc>
        <w:tc>
          <w:tcPr>
            <w:tcW w:w="102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97</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2022</w:t>
            </w:r>
          </w:p>
        </w:tc>
        <w:tc>
          <w:tcPr>
            <w:tcW w:w="936"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186</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15</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w:t>
            </w:r>
          </w:p>
        </w:tc>
        <w:tc>
          <w:tcPr>
            <w:tcW w:w="820"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15</w:t>
            </w:r>
          </w:p>
        </w:tc>
        <w:tc>
          <w:tcPr>
            <w:tcW w:w="98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39</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16</w:t>
            </w:r>
          </w:p>
        </w:tc>
        <w:tc>
          <w:tcPr>
            <w:tcW w:w="102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90</w:t>
            </w:r>
          </w:p>
        </w:tc>
      </w:tr>
      <w:tr w:rsidR="00F27B97" w:rsidRPr="00AD3D6A" w:rsidTr="002657BD">
        <w:trPr>
          <w:trHeight w:val="267"/>
          <w:jc w:val="center"/>
        </w:trPr>
        <w:tc>
          <w:tcPr>
            <w:tcW w:w="1002" w:type="dxa"/>
            <w:shd w:val="clear" w:color="auto" w:fill="auto"/>
            <w:noWrap/>
            <w:vAlign w:val="center"/>
            <w:hideMark/>
          </w:tcPr>
          <w:p w:rsidR="00F27B97" w:rsidRPr="00AD3D6A" w:rsidRDefault="00F27B97" w:rsidP="008B1384">
            <w:pPr>
              <w:keepNext/>
              <w:keepLines/>
              <w:spacing w:after="0" w:line="240" w:lineRule="auto"/>
              <w:rPr>
                <w:rFonts w:asciiTheme="minorHAnsi" w:hAnsiTheme="minorHAnsi"/>
                <w:b/>
                <w:color w:val="000000"/>
                <w:kern w:val="24"/>
                <w:sz w:val="18"/>
                <w:szCs w:val="18"/>
              </w:rPr>
            </w:pPr>
            <w:r w:rsidRPr="00AD3D6A">
              <w:rPr>
                <w:rFonts w:asciiTheme="minorHAnsi" w:hAnsiTheme="minorHAnsi"/>
                <w:b/>
                <w:color w:val="000000"/>
                <w:kern w:val="24"/>
                <w:sz w:val="18"/>
                <w:szCs w:val="18"/>
              </w:rPr>
              <w:t>2023</w:t>
            </w:r>
          </w:p>
        </w:tc>
        <w:tc>
          <w:tcPr>
            <w:tcW w:w="936"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174</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w:t>
            </w:r>
          </w:p>
        </w:tc>
        <w:tc>
          <w:tcPr>
            <w:tcW w:w="820"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14</w:t>
            </w:r>
          </w:p>
        </w:tc>
        <w:tc>
          <w:tcPr>
            <w:tcW w:w="98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37</w:t>
            </w:r>
          </w:p>
        </w:tc>
        <w:tc>
          <w:tcPr>
            <w:tcW w:w="899"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15</w:t>
            </w:r>
          </w:p>
        </w:tc>
        <w:tc>
          <w:tcPr>
            <w:tcW w:w="1021" w:type="dxa"/>
            <w:shd w:val="clear" w:color="auto" w:fill="auto"/>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85</w:t>
            </w:r>
          </w:p>
        </w:tc>
      </w:tr>
      <w:tr w:rsidR="00F27B97" w:rsidRPr="00AD3D6A" w:rsidTr="002657BD">
        <w:trPr>
          <w:trHeight w:val="267"/>
          <w:jc w:val="center"/>
        </w:trPr>
        <w:tc>
          <w:tcPr>
            <w:tcW w:w="1002" w:type="dxa"/>
            <w:shd w:val="clear" w:color="auto" w:fill="C2D7F8"/>
            <w:noWrap/>
            <w:vAlign w:val="center"/>
            <w:hideMark/>
          </w:tcPr>
          <w:p w:rsidR="00F27B97" w:rsidRPr="00AD3D6A" w:rsidRDefault="00F27B97" w:rsidP="008B1384">
            <w:pPr>
              <w:keepNext/>
              <w:keepLines/>
              <w:spacing w:after="0" w:line="240" w:lineRule="auto"/>
              <w:rPr>
                <w:rFonts w:asciiTheme="minorHAnsi" w:eastAsia="Times New Roman" w:hAnsiTheme="minorHAnsi" w:cs="Arial"/>
                <w:b/>
                <w:sz w:val="18"/>
                <w:szCs w:val="18"/>
              </w:rPr>
            </w:pPr>
            <w:r w:rsidRPr="00AD3D6A">
              <w:rPr>
                <w:rFonts w:asciiTheme="minorHAnsi" w:hAnsiTheme="minorHAnsi"/>
                <w:b/>
                <w:color w:val="000000"/>
                <w:kern w:val="24"/>
                <w:sz w:val="18"/>
                <w:szCs w:val="18"/>
              </w:rPr>
              <w:t>Total</w:t>
            </w:r>
          </w:p>
        </w:tc>
        <w:tc>
          <w:tcPr>
            <w:tcW w:w="936"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1,233</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101</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66</w:t>
            </w:r>
          </w:p>
        </w:tc>
        <w:tc>
          <w:tcPr>
            <w:tcW w:w="820"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96</w:t>
            </w:r>
          </w:p>
        </w:tc>
        <w:tc>
          <w:tcPr>
            <w:tcW w:w="98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255</w:t>
            </w:r>
          </w:p>
        </w:tc>
        <w:tc>
          <w:tcPr>
            <w:tcW w:w="899"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111</w:t>
            </w:r>
          </w:p>
        </w:tc>
        <w:tc>
          <w:tcPr>
            <w:tcW w:w="1021" w:type="dxa"/>
            <w:shd w:val="clear" w:color="auto" w:fill="C2D7F8"/>
            <w:noWrap/>
            <w:vAlign w:val="bottom"/>
            <w:hideMark/>
          </w:tcPr>
          <w:p w:rsidR="00F27B97" w:rsidRPr="00AD3D6A" w:rsidRDefault="00F27B97" w:rsidP="008B1384">
            <w:pPr>
              <w:spacing w:before="40" w:after="40" w:line="240" w:lineRule="auto"/>
              <w:jc w:val="right"/>
              <w:rPr>
                <w:rFonts w:asciiTheme="minorHAnsi" w:hAnsiTheme="minorHAnsi" w:cs="Arial"/>
                <w:color w:val="000000"/>
                <w:sz w:val="18"/>
                <w:szCs w:val="18"/>
              </w:rPr>
            </w:pPr>
            <w:r w:rsidRPr="00AD3D6A">
              <w:rPr>
                <w:rFonts w:asciiTheme="minorHAnsi" w:hAnsiTheme="minorHAnsi" w:cs="Arial"/>
                <w:color w:val="000000"/>
                <w:sz w:val="18"/>
                <w:szCs w:val="18"/>
              </w:rPr>
              <w:t>605</w:t>
            </w:r>
          </w:p>
        </w:tc>
      </w:tr>
      <w:tr w:rsidR="00F27B97" w:rsidRPr="002657BD" w:rsidTr="002657BD">
        <w:trPr>
          <w:trHeight w:val="267"/>
          <w:jc w:val="center"/>
        </w:trPr>
        <w:tc>
          <w:tcPr>
            <w:tcW w:w="1002" w:type="dxa"/>
            <w:shd w:val="clear" w:color="auto" w:fill="85AFF2"/>
            <w:noWrap/>
            <w:vAlign w:val="center"/>
            <w:hideMark/>
          </w:tcPr>
          <w:p w:rsidR="00F27B97" w:rsidRPr="002657BD" w:rsidRDefault="00F27B97" w:rsidP="008B1384">
            <w:pPr>
              <w:keepNext/>
              <w:keepLines/>
              <w:spacing w:after="0" w:line="240" w:lineRule="auto"/>
              <w:rPr>
                <w:rFonts w:asciiTheme="minorHAnsi" w:eastAsia="Times New Roman" w:hAnsiTheme="minorHAnsi" w:cs="Arial"/>
                <w:b/>
                <w:color w:val="FFFFFF"/>
                <w:sz w:val="18"/>
                <w:szCs w:val="18"/>
              </w:rPr>
            </w:pPr>
            <w:r w:rsidRPr="002657BD">
              <w:rPr>
                <w:rFonts w:asciiTheme="minorHAnsi" w:hAnsiTheme="minorHAnsi"/>
                <w:b/>
                <w:color w:val="FFFFFF"/>
                <w:kern w:val="24"/>
                <w:sz w:val="18"/>
                <w:szCs w:val="18"/>
              </w:rPr>
              <w:t>Average</w:t>
            </w:r>
          </w:p>
        </w:tc>
        <w:tc>
          <w:tcPr>
            <w:tcW w:w="936"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205</w:t>
            </w:r>
          </w:p>
        </w:tc>
        <w:tc>
          <w:tcPr>
            <w:tcW w:w="899"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17</w:t>
            </w:r>
          </w:p>
        </w:tc>
        <w:tc>
          <w:tcPr>
            <w:tcW w:w="899"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11</w:t>
            </w:r>
          </w:p>
        </w:tc>
        <w:tc>
          <w:tcPr>
            <w:tcW w:w="820"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16</w:t>
            </w:r>
          </w:p>
        </w:tc>
        <w:tc>
          <w:tcPr>
            <w:tcW w:w="981"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42</w:t>
            </w:r>
          </w:p>
        </w:tc>
        <w:tc>
          <w:tcPr>
            <w:tcW w:w="899"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18</w:t>
            </w:r>
          </w:p>
        </w:tc>
        <w:tc>
          <w:tcPr>
            <w:tcW w:w="1021" w:type="dxa"/>
            <w:shd w:val="clear" w:color="auto" w:fill="85AFF2"/>
            <w:noWrap/>
            <w:vAlign w:val="bottom"/>
            <w:hideMark/>
          </w:tcPr>
          <w:p w:rsidR="00F27B97" w:rsidRPr="002657BD" w:rsidRDefault="00F27B97" w:rsidP="008B1384">
            <w:pPr>
              <w:spacing w:before="40" w:after="40" w:line="240" w:lineRule="auto"/>
              <w:jc w:val="right"/>
              <w:rPr>
                <w:rFonts w:asciiTheme="minorHAnsi" w:hAnsiTheme="minorHAnsi" w:cs="Arial"/>
                <w:b/>
                <w:color w:val="FFFFFF"/>
                <w:sz w:val="18"/>
                <w:szCs w:val="18"/>
              </w:rPr>
            </w:pPr>
            <w:r w:rsidRPr="002657BD">
              <w:rPr>
                <w:rFonts w:asciiTheme="minorHAnsi" w:hAnsiTheme="minorHAnsi" w:cs="Arial"/>
                <w:b/>
                <w:color w:val="FFFFFF"/>
                <w:sz w:val="18"/>
                <w:szCs w:val="18"/>
              </w:rPr>
              <w:t>101</w:t>
            </w:r>
          </w:p>
        </w:tc>
      </w:tr>
    </w:tbl>
    <w:p w:rsidR="00F27B97" w:rsidRPr="006B231A" w:rsidRDefault="00F27B97" w:rsidP="002657BD">
      <w:pPr>
        <w:spacing w:before="120" w:line="240" w:lineRule="auto"/>
        <w:ind w:left="810"/>
        <w:rPr>
          <w:rFonts w:ascii="Calibri" w:hAnsi="Calibri"/>
          <w:sz w:val="16"/>
          <w:szCs w:val="16"/>
        </w:rPr>
      </w:pPr>
      <w:r w:rsidRPr="006B231A">
        <w:rPr>
          <w:rFonts w:ascii="Calibri" w:hAnsi="Calibri"/>
          <w:sz w:val="16"/>
          <w:szCs w:val="16"/>
        </w:rPr>
        <w:t xml:space="preserve">(a) The forecast results are available at </w:t>
      </w:r>
      <w:hyperlink r:id="rId29" w:history="1">
        <w:r w:rsidRPr="006B231A">
          <w:rPr>
            <w:rStyle w:val="Hyperlink"/>
            <w:rFonts w:ascii="Calibri" w:hAnsi="Calibri"/>
            <w:sz w:val="16"/>
            <w:szCs w:val="16"/>
          </w:rPr>
          <w:t>www.iso-ne.com/eefwg</w:t>
        </w:r>
      </w:hyperlink>
      <w:r w:rsidRPr="006B231A">
        <w:rPr>
          <w:rFonts w:ascii="Calibri" w:hAnsi="Calibri"/>
          <w:sz w:val="16"/>
          <w:szCs w:val="16"/>
        </w:rPr>
        <w:t>.</w:t>
      </w:r>
    </w:p>
    <w:p w:rsidR="00F27B97" w:rsidRDefault="00F27B97" w:rsidP="00F27B97">
      <w:r w:rsidRPr="00704B11">
        <w:t>Individual program administrators and state regulatory agencies provide the ISO with the EE program</w:t>
      </w:r>
      <w:r>
        <w:t xml:space="preserve"> performance and budget d</w:t>
      </w:r>
      <w:r w:rsidRPr="00DA032C">
        <w:t>ata used to create the forecast</w:t>
      </w:r>
      <w:r>
        <w:t xml:space="preserve">. </w:t>
      </w:r>
      <w:r w:rsidRPr="00DA032C">
        <w:t xml:space="preserve">ISO New England’s Energy-Efficiency Forecast Working Group </w:t>
      </w:r>
      <w:r>
        <w:t>assesses t</w:t>
      </w:r>
      <w:r w:rsidRPr="00DA032C">
        <w:t xml:space="preserve">he forecast </w:t>
      </w:r>
      <w:r>
        <w:t>assumptions and offers input.</w:t>
      </w:r>
    </w:p>
    <w:p w:rsidR="00E63D3A" w:rsidRDefault="00F27B97">
      <w:pPr>
        <w:pStyle w:val="Heading2"/>
      </w:pPr>
      <w:bookmarkStart w:id="226" w:name="_Ref360783069"/>
      <w:bookmarkStart w:id="227" w:name="_Toc365440989"/>
      <w:bookmarkStart w:id="228" w:name="_Toc396807612"/>
      <w:r w:rsidRPr="00E827BA">
        <w:t xml:space="preserve">Load Forecast Incorporating </w:t>
      </w:r>
      <w:r w:rsidR="00DB789F">
        <w:t xml:space="preserve">Results for </w:t>
      </w:r>
      <w:r w:rsidRPr="00E827BA">
        <w:t>FCA #</w:t>
      </w:r>
      <w:r>
        <w:t>8</w:t>
      </w:r>
      <w:r w:rsidRPr="00E827BA">
        <w:t xml:space="preserve"> and </w:t>
      </w:r>
      <w:r w:rsidR="00DB789F">
        <w:t xml:space="preserve">the </w:t>
      </w:r>
      <w:r w:rsidRPr="00E827BA">
        <w:t>201</w:t>
      </w:r>
      <w:r>
        <w:t>4</w:t>
      </w:r>
      <w:r w:rsidRPr="00E827BA">
        <w:t xml:space="preserve"> Energy-Efficiency Forecast</w:t>
      </w:r>
      <w:bookmarkEnd w:id="226"/>
      <w:bookmarkEnd w:id="227"/>
      <w:bookmarkEnd w:id="228"/>
    </w:p>
    <w:p w:rsidR="00F27B97" w:rsidRDefault="00F27B97" w:rsidP="00F27B97">
      <w:r w:rsidRPr="00146DAF">
        <w:t xml:space="preserve">The </w:t>
      </w:r>
      <w:r>
        <w:t xml:space="preserve">section presents the load </w:t>
      </w:r>
      <w:r w:rsidRPr="00146DAF">
        <w:t>forecast reflect</w:t>
      </w:r>
      <w:r>
        <w:t>ing</w:t>
      </w:r>
      <w:r w:rsidRPr="00146DAF">
        <w:t xml:space="preserve"> FCM passive</w:t>
      </w:r>
      <w:r>
        <w:t xml:space="preserve"> </w:t>
      </w:r>
      <w:r w:rsidRPr="00146DAF">
        <w:t>demand resources</w:t>
      </w:r>
      <w:r>
        <w:t>,</w:t>
      </w:r>
      <w:r w:rsidRPr="00146DAF">
        <w:t xml:space="preserve"> </w:t>
      </w:r>
      <w:r>
        <w:t xml:space="preserve">including the results of the eighth Forward Capacity </w:t>
      </w:r>
      <w:r w:rsidRPr="00E827BA">
        <w:t>Auction (FCA #</w:t>
      </w:r>
      <w:r>
        <w:t>8</w:t>
      </w:r>
      <w:r w:rsidRPr="00E827BA">
        <w:t>) for</w:t>
      </w:r>
      <w:r>
        <w:t xml:space="preserve"> the 2017/</w:t>
      </w:r>
      <w:r w:rsidRPr="00E827BA">
        <w:t>201</w:t>
      </w:r>
      <w:r>
        <w:t>8</w:t>
      </w:r>
      <w:r w:rsidRPr="00E827BA">
        <w:t xml:space="preserve"> capacity commitment period (CCP</w:t>
      </w:r>
      <w:r>
        <w:t xml:space="preserve">) and </w:t>
      </w:r>
      <w:r w:rsidRPr="00B54FA4">
        <w:t>the 2014 energy-efficiency forecast for 2018</w:t>
      </w:r>
      <w:r w:rsidRPr="00B54FA4">
        <w:rPr>
          <w:rFonts w:cs="Arial"/>
          <w:bCs/>
        </w:rPr>
        <w:t>–2</w:t>
      </w:r>
      <w:r w:rsidRPr="00B54FA4">
        <w:t xml:space="preserve">023. </w:t>
      </w:r>
      <w:fldSimple w:instr=" REF _Ref325399011 \h  \* MERGEFORMAT ">
        <w:r w:rsidR="00284CE3" w:rsidRPr="0064179A">
          <w:t xml:space="preserve">Figure </w:t>
        </w:r>
        <w:r w:rsidR="00284CE3">
          <w:rPr>
            <w:noProof/>
          </w:rPr>
          <w:t>3</w:t>
        </w:r>
        <w:r w:rsidR="00284CE3">
          <w:rPr>
            <w:noProof/>
          </w:rPr>
          <w:noBreakHyphen/>
          <w:t>3</w:t>
        </w:r>
      </w:fldSimple>
      <w:r w:rsidRPr="006C2003">
        <w:t xml:space="preserve"> and </w:t>
      </w:r>
      <w:fldSimple w:instr=" REF _Ref325399017 \h  \* MERGEFORMAT ">
        <w:r w:rsidR="00284CE3" w:rsidRPr="00B75B4E">
          <w:t xml:space="preserve">Figure </w:t>
        </w:r>
        <w:r w:rsidR="00284CE3">
          <w:rPr>
            <w:noProof/>
          </w:rPr>
          <w:t>3</w:t>
        </w:r>
        <w:r w:rsidR="00284CE3">
          <w:rPr>
            <w:noProof/>
          </w:rPr>
          <w:noBreakHyphen/>
          <w:t>4</w:t>
        </w:r>
      </w:fldSimple>
      <w:r w:rsidRPr="00B54FA4">
        <w:t xml:space="preserve"> show </w:t>
      </w:r>
      <w:r w:rsidR="006B231A">
        <w:t>the</w:t>
      </w:r>
      <w:r w:rsidRPr="00B54FA4">
        <w:t xml:space="preserve"> forecast</w:t>
      </w:r>
      <w:r w:rsidR="006B231A">
        <w:t>s</w:t>
      </w:r>
      <w:r w:rsidRPr="00B54FA4">
        <w:t xml:space="preserve"> of</w:t>
      </w:r>
      <w:r>
        <w:t xml:space="preserve"> annual energy use and summer peak loads, </w:t>
      </w:r>
      <w:r w:rsidRPr="0064179A">
        <w:t>incorporating FCM</w:t>
      </w:r>
      <w:r w:rsidR="000B786F">
        <w:t>-</w:t>
      </w:r>
      <w:r w:rsidR="000B786F" w:rsidRPr="0042794A">
        <w:t>qualified</w:t>
      </w:r>
      <w:r w:rsidRPr="0042794A">
        <w:t xml:space="preserve"> </w:t>
      </w:r>
      <w:r w:rsidR="003B0A2B" w:rsidRPr="0042794A">
        <w:t>PDRs</w:t>
      </w:r>
      <w:r w:rsidRPr="0042794A">
        <w:t xml:space="preserve"> through 2017 and the EE forecast data for 2018 to 2023.</w:t>
      </w:r>
    </w:p>
    <w:p w:rsidR="00F27B97" w:rsidRDefault="00DD274A" w:rsidP="00F27B97">
      <w:pPr>
        <w:keepNext/>
        <w:keepLines/>
        <w:spacing w:after="0" w:line="240" w:lineRule="auto"/>
        <w:jc w:val="center"/>
      </w:pPr>
      <w:r w:rsidRPr="00DD274A">
        <w:rPr>
          <w:noProof/>
        </w:rPr>
        <w:drawing>
          <wp:inline distT="0" distB="0" distL="0" distR="0">
            <wp:extent cx="4249779" cy="3342748"/>
            <wp:effectExtent l="19050" t="19050" r="17421" b="10052"/>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245786" cy="3339607"/>
                    </a:xfrm>
                    <a:prstGeom prst="rect">
                      <a:avLst/>
                    </a:prstGeom>
                    <a:noFill/>
                    <a:ln w="3175">
                      <a:solidFill>
                        <a:schemeClr val="tx1"/>
                      </a:solidFill>
                      <a:miter lim="800000"/>
                      <a:headEnd/>
                      <a:tailEnd/>
                    </a:ln>
                  </pic:spPr>
                </pic:pic>
              </a:graphicData>
            </a:graphic>
          </wp:inline>
        </w:drawing>
      </w:r>
    </w:p>
    <w:p w:rsidR="00F27B97" w:rsidRDefault="00F27B97" w:rsidP="00DD274A">
      <w:pPr>
        <w:pStyle w:val="Caption"/>
        <w:keepNext w:val="0"/>
        <w:keepLines w:val="0"/>
        <w:spacing w:before="80" w:after="360"/>
        <w:ind w:left="1170" w:right="990"/>
        <w:jc w:val="left"/>
      </w:pPr>
      <w:bookmarkStart w:id="229" w:name="_Ref325399011"/>
      <w:bookmarkStart w:id="230" w:name="_Toc334601484"/>
      <w:bookmarkStart w:id="231" w:name="_Toc365440678"/>
      <w:bookmarkStart w:id="232" w:name="_Toc391985567"/>
      <w:r w:rsidRPr="0064179A">
        <w:t xml:space="preserve">Figure </w:t>
      </w:r>
      <w:r w:rsidR="00927965">
        <w:fldChar w:fldCharType="begin"/>
      </w:r>
      <w:r w:rsidR="0011163E">
        <w:instrText xml:space="preserve"> STYLEREF 1 \s </w:instrText>
      </w:r>
      <w:r w:rsidR="00927965">
        <w:fldChar w:fldCharType="separate"/>
      </w:r>
      <w:r w:rsidR="00284CE3">
        <w:rPr>
          <w:noProof/>
        </w:rPr>
        <w:t>3</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3</w:t>
      </w:r>
      <w:r w:rsidR="00927965">
        <w:fldChar w:fldCharType="end"/>
      </w:r>
      <w:bookmarkEnd w:id="229"/>
      <w:r w:rsidRPr="0064179A">
        <w:t>: RSP1</w:t>
      </w:r>
      <w:r>
        <w:t>4</w:t>
      </w:r>
      <w:r w:rsidRPr="0064179A">
        <w:t xml:space="preserve"> annual energy-use forecast (diamond), </w:t>
      </w:r>
      <w:r w:rsidR="006B231A">
        <w:t xml:space="preserve">energy-use </w:t>
      </w:r>
      <w:r w:rsidRPr="0064179A">
        <w:t xml:space="preserve">forecast minus FCM </w:t>
      </w:r>
      <w:r w:rsidRPr="00F1378E">
        <w:t>#</w:t>
      </w:r>
      <w:r>
        <w:t>8</w:t>
      </w:r>
      <w:r w:rsidRPr="0064179A">
        <w:t xml:space="preserve"> </w:t>
      </w:r>
      <w:r w:rsidR="003B0A2B">
        <w:t>PDRs</w:t>
      </w:r>
      <w:r w:rsidRPr="00F1378E">
        <w:t xml:space="preserve"> through 201</w:t>
      </w:r>
      <w:r>
        <w:t>7</w:t>
      </w:r>
      <w:r w:rsidRPr="0064179A">
        <w:t xml:space="preserve"> (square), and </w:t>
      </w:r>
      <w:r w:rsidR="006B231A">
        <w:t xml:space="preserve">energy-use </w:t>
      </w:r>
      <w:r w:rsidRPr="0064179A">
        <w:t xml:space="preserve">forecast </w:t>
      </w:r>
      <w:r w:rsidRPr="00F1378E">
        <w:t xml:space="preserve">minus </w:t>
      </w:r>
      <w:r w:rsidRPr="0064179A">
        <w:t xml:space="preserve">FCM </w:t>
      </w:r>
      <w:r w:rsidR="003B0A2B">
        <w:t>PDRs</w:t>
      </w:r>
      <w:r w:rsidRPr="0064179A">
        <w:t xml:space="preserve"> and minus the energy-efficiency forecast (triangle) </w:t>
      </w:r>
      <w:r w:rsidRPr="00F1378E">
        <w:t>for 201</w:t>
      </w:r>
      <w:r>
        <w:t>8</w:t>
      </w:r>
      <w:r w:rsidRPr="00F1378E">
        <w:t xml:space="preserve"> to </w:t>
      </w:r>
      <w:r w:rsidRPr="00005CA4">
        <w:t>202</w:t>
      </w:r>
      <w:r>
        <w:t>3</w:t>
      </w:r>
      <w:r w:rsidRPr="00005CA4">
        <w:t xml:space="preserve"> (</w:t>
      </w:r>
      <w:proofErr w:type="spellStart"/>
      <w:r w:rsidRPr="00005CA4">
        <w:t>GWh</w:t>
      </w:r>
      <w:proofErr w:type="spellEnd"/>
      <w:r w:rsidRPr="00005CA4">
        <w:t>).</w:t>
      </w:r>
      <w:bookmarkEnd w:id="230"/>
      <w:bookmarkEnd w:id="231"/>
      <w:bookmarkEnd w:id="232"/>
    </w:p>
    <w:p w:rsidR="00F27B97" w:rsidRPr="00E32C4A" w:rsidRDefault="00DD274A" w:rsidP="00B75B4E">
      <w:pPr>
        <w:keepNext/>
        <w:keepLines/>
        <w:spacing w:after="0" w:line="240" w:lineRule="auto"/>
        <w:jc w:val="center"/>
      </w:pPr>
      <w:r w:rsidRPr="00DD274A">
        <w:rPr>
          <w:noProof/>
        </w:rPr>
        <w:drawing>
          <wp:inline distT="0" distB="0" distL="0" distR="0">
            <wp:extent cx="4246632" cy="3244804"/>
            <wp:effectExtent l="19050" t="19050" r="20568" b="12746"/>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246632" cy="3244804"/>
                    </a:xfrm>
                    <a:prstGeom prst="rect">
                      <a:avLst/>
                    </a:prstGeom>
                    <a:noFill/>
                    <a:ln w="3175">
                      <a:solidFill>
                        <a:schemeClr val="tx1"/>
                      </a:solidFill>
                      <a:miter lim="800000"/>
                      <a:headEnd/>
                      <a:tailEnd/>
                    </a:ln>
                  </pic:spPr>
                </pic:pic>
              </a:graphicData>
            </a:graphic>
          </wp:inline>
        </w:drawing>
      </w:r>
    </w:p>
    <w:p w:rsidR="00F27B97" w:rsidRDefault="00F27B97" w:rsidP="002B7F5D">
      <w:pPr>
        <w:pStyle w:val="Caption"/>
        <w:tabs>
          <w:tab w:val="left" w:pos="8100"/>
          <w:tab w:val="left" w:pos="8190"/>
        </w:tabs>
        <w:spacing w:before="80" w:after="0"/>
        <w:ind w:left="1170" w:right="900"/>
        <w:jc w:val="left"/>
      </w:pPr>
      <w:bookmarkStart w:id="233" w:name="_Ref325399017"/>
      <w:bookmarkStart w:id="234" w:name="_Toc334601485"/>
      <w:bookmarkStart w:id="235" w:name="_Toc365440679"/>
      <w:bookmarkStart w:id="236" w:name="_Toc391985568"/>
      <w:r w:rsidRPr="00B75B4E">
        <w:t xml:space="preserve">Figure </w:t>
      </w:r>
      <w:r w:rsidR="00927965">
        <w:fldChar w:fldCharType="begin"/>
      </w:r>
      <w:r w:rsidR="0011163E">
        <w:instrText xml:space="preserve"> STYLEREF 1 \s </w:instrText>
      </w:r>
      <w:r w:rsidR="00927965">
        <w:fldChar w:fldCharType="separate"/>
      </w:r>
      <w:r w:rsidR="00284CE3">
        <w:rPr>
          <w:noProof/>
        </w:rPr>
        <w:t>3</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4</w:t>
      </w:r>
      <w:r w:rsidR="00927965">
        <w:fldChar w:fldCharType="end"/>
      </w:r>
      <w:bookmarkEnd w:id="233"/>
      <w:r w:rsidRPr="00B75B4E">
        <w:t xml:space="preserve">: RSP14 summer peak demand forecast (90/10) (diamond), </w:t>
      </w:r>
      <w:r w:rsidR="006B231A">
        <w:t>demand</w:t>
      </w:r>
      <w:r w:rsidRPr="00B75B4E">
        <w:t xml:space="preserve"> forecast minus FCM #8 </w:t>
      </w:r>
      <w:r w:rsidR="003B0A2B">
        <w:t>PDRs</w:t>
      </w:r>
      <w:r w:rsidRPr="00B75B4E">
        <w:t xml:space="preserve"> through 2017 (square), and </w:t>
      </w:r>
      <w:r w:rsidR="006B231A">
        <w:t>demand</w:t>
      </w:r>
      <w:r w:rsidRPr="00B75B4E">
        <w:t xml:space="preserve"> forecast minus FCM </w:t>
      </w:r>
      <w:r w:rsidR="003B0A2B">
        <w:t>PDRs</w:t>
      </w:r>
      <w:r w:rsidRPr="00B75B4E">
        <w:t xml:space="preserve"> and minus the energy-efficiency forecast (triangle) for 2018 to 2023 (MW).</w:t>
      </w:r>
      <w:bookmarkEnd w:id="234"/>
      <w:bookmarkEnd w:id="235"/>
      <w:bookmarkEnd w:id="236"/>
    </w:p>
    <w:p w:rsidR="00F27B97" w:rsidRPr="00915FEC" w:rsidRDefault="00F27B97" w:rsidP="00F27B97"/>
    <w:p w:rsidR="00F27B97" w:rsidRPr="008E2D71" w:rsidRDefault="00F27B97" w:rsidP="00F27B97">
      <w:pPr>
        <w:rPr>
          <w:color w:val="000000" w:themeColor="text1"/>
        </w:rPr>
      </w:pPr>
      <w:r w:rsidRPr="00E70888">
        <w:rPr>
          <w:rFonts w:cs="Arial"/>
          <w:bCs/>
        </w:rPr>
        <w:t xml:space="preserve">As shown in </w:t>
      </w:r>
      <w:fldSimple w:instr=" REF _Ref359240292 \h  \* MERGEFORMAT ">
        <w:r w:rsidR="00284CE3" w:rsidRPr="0064179A">
          <w:t xml:space="preserve">Table </w:t>
        </w:r>
        <w:r w:rsidR="00284CE3">
          <w:rPr>
            <w:noProof/>
          </w:rPr>
          <w:t>3</w:t>
        </w:r>
        <w:r w:rsidR="00284CE3">
          <w:rPr>
            <w:noProof/>
          </w:rPr>
          <w:noBreakHyphen/>
          <w:t>6</w:t>
        </w:r>
      </w:fldSimple>
      <w:r w:rsidRPr="00E70888">
        <w:rPr>
          <w:rFonts w:cs="Arial"/>
          <w:bCs/>
        </w:rPr>
        <w:t>, the annual energy</w:t>
      </w:r>
      <w:r w:rsidR="006B231A" w:rsidRPr="00E70888">
        <w:rPr>
          <w:rFonts w:cs="Arial"/>
          <w:bCs/>
        </w:rPr>
        <w:t>-</w:t>
      </w:r>
      <w:r w:rsidRPr="00E70888">
        <w:rPr>
          <w:rFonts w:cs="Arial"/>
          <w:bCs/>
        </w:rPr>
        <w:t>use forecast, minus both the FCM</w:t>
      </w:r>
      <w:r w:rsidR="005E0A78" w:rsidRPr="00E70888">
        <w:rPr>
          <w:rFonts w:cs="Arial"/>
          <w:bCs/>
        </w:rPr>
        <w:t>-qualified</w:t>
      </w:r>
      <w:r w:rsidRPr="00E70888">
        <w:rPr>
          <w:rFonts w:cs="Arial"/>
          <w:bCs/>
        </w:rPr>
        <w:t xml:space="preserve"> passive </w:t>
      </w:r>
      <w:r w:rsidR="005E0A78" w:rsidRPr="00E70888">
        <w:rPr>
          <w:rFonts w:cs="Arial"/>
          <w:bCs/>
        </w:rPr>
        <w:t>demand</w:t>
      </w:r>
      <w:r w:rsidR="005E0A78">
        <w:rPr>
          <w:rFonts w:cs="Arial"/>
          <w:bCs/>
        </w:rPr>
        <w:t xml:space="preserve"> </w:t>
      </w:r>
      <w:r w:rsidRPr="00465442">
        <w:rPr>
          <w:rFonts w:cs="Arial"/>
          <w:bCs/>
        </w:rPr>
        <w:t>resources</w:t>
      </w:r>
      <w:r w:rsidRPr="00EB05DD">
        <w:rPr>
          <w:rFonts w:cs="Arial"/>
          <w:bCs/>
        </w:rPr>
        <w:t xml:space="preserve"> projected for </w:t>
      </w:r>
      <w:r w:rsidRPr="00F1378E">
        <w:rPr>
          <w:rFonts w:cs="Arial"/>
          <w:bCs/>
        </w:rPr>
        <w:t>201</w:t>
      </w:r>
      <w:r>
        <w:rPr>
          <w:rFonts w:cs="Arial"/>
          <w:bCs/>
        </w:rPr>
        <w:t>4</w:t>
      </w:r>
      <w:r w:rsidRPr="00F1378E">
        <w:rPr>
          <w:rFonts w:cs="Arial"/>
          <w:bCs/>
        </w:rPr>
        <w:t>–201</w:t>
      </w:r>
      <w:r>
        <w:rPr>
          <w:rFonts w:cs="Arial"/>
          <w:bCs/>
        </w:rPr>
        <w:t>7</w:t>
      </w:r>
      <w:r w:rsidRPr="00F1378E">
        <w:rPr>
          <w:rFonts w:cs="Arial"/>
          <w:bCs/>
        </w:rPr>
        <w:t xml:space="preserve"> and</w:t>
      </w:r>
      <w:r w:rsidRPr="00EB05DD">
        <w:rPr>
          <w:rFonts w:cs="Arial"/>
          <w:bCs/>
        </w:rPr>
        <w:t xml:space="preserve"> the</w:t>
      </w:r>
      <w:r w:rsidRPr="00A07B5A">
        <w:rPr>
          <w:rFonts w:cs="Arial"/>
          <w:bCs/>
        </w:rPr>
        <w:t xml:space="preserve"> </w:t>
      </w:r>
      <w:r>
        <w:rPr>
          <w:rFonts w:cs="Arial"/>
          <w:bCs/>
        </w:rPr>
        <w:t xml:space="preserve">results of the </w:t>
      </w:r>
      <w:r w:rsidRPr="00F1378E">
        <w:rPr>
          <w:rFonts w:cs="Arial"/>
          <w:bCs/>
        </w:rPr>
        <w:t>201</w:t>
      </w:r>
      <w:r>
        <w:rPr>
          <w:rFonts w:cs="Arial"/>
          <w:bCs/>
        </w:rPr>
        <w:t>8</w:t>
      </w:r>
      <w:r w:rsidRPr="00F1378E">
        <w:rPr>
          <w:rFonts w:cs="Arial"/>
          <w:bCs/>
        </w:rPr>
        <w:t>–202</w:t>
      </w:r>
      <w:r>
        <w:rPr>
          <w:rFonts w:cs="Arial"/>
          <w:bCs/>
        </w:rPr>
        <w:t>3</w:t>
      </w:r>
      <w:r w:rsidRPr="00F1378E">
        <w:rPr>
          <w:rFonts w:cs="Arial"/>
          <w:bCs/>
        </w:rPr>
        <w:t xml:space="preserve"> energy</w:t>
      </w:r>
      <w:r w:rsidRPr="00A07B5A">
        <w:rPr>
          <w:rFonts w:cs="Arial"/>
          <w:bCs/>
        </w:rPr>
        <w:t xml:space="preserve">-efficiency forecast, </w:t>
      </w:r>
      <w:r w:rsidR="000F7A95" w:rsidRPr="000F7A95">
        <w:rPr>
          <w:rFonts w:cs="Arial"/>
          <w:bCs/>
        </w:rPr>
        <w:t>indicates</w:t>
      </w:r>
      <w:r w:rsidRPr="000F7A95">
        <w:rPr>
          <w:rFonts w:cs="Arial"/>
          <w:bCs/>
        </w:rPr>
        <w:t xml:space="preserve"> essentially no long-run growth in electric energy use. The summer peak 90/10 forecast,</w:t>
      </w:r>
      <w:r w:rsidRPr="00A07B5A">
        <w:rPr>
          <w:rFonts w:cs="Arial"/>
          <w:bCs/>
        </w:rPr>
        <w:t xml:space="preserve"> </w:t>
      </w:r>
      <w:r>
        <w:rPr>
          <w:rFonts w:cs="Arial"/>
          <w:bCs/>
        </w:rPr>
        <w:t xml:space="preserve">when adjusted for both </w:t>
      </w:r>
      <w:r w:rsidRPr="00A07B5A">
        <w:rPr>
          <w:rFonts w:cs="Arial"/>
          <w:bCs/>
        </w:rPr>
        <w:t xml:space="preserve">the </w:t>
      </w:r>
      <w:r w:rsidRPr="0042794A">
        <w:rPr>
          <w:rFonts w:cs="Arial"/>
          <w:bCs/>
        </w:rPr>
        <w:t>existing FCM</w:t>
      </w:r>
      <w:r w:rsidR="005E0A78" w:rsidRPr="0042794A">
        <w:rPr>
          <w:rFonts w:cs="Arial"/>
          <w:bCs/>
        </w:rPr>
        <w:t>-qualified</w:t>
      </w:r>
      <w:r w:rsidRPr="0042794A">
        <w:rPr>
          <w:rFonts w:cs="Arial"/>
          <w:bCs/>
        </w:rPr>
        <w:t xml:space="preserve"> </w:t>
      </w:r>
      <w:r w:rsidR="0042794A" w:rsidRPr="0042794A">
        <w:rPr>
          <w:rFonts w:cs="Arial"/>
          <w:bCs/>
        </w:rPr>
        <w:t>PDRs</w:t>
      </w:r>
      <w:r w:rsidRPr="0042794A">
        <w:rPr>
          <w:rFonts w:cs="Arial"/>
          <w:bCs/>
        </w:rPr>
        <w:t xml:space="preserve"> projected</w:t>
      </w:r>
      <w:r w:rsidRPr="00A07B5A">
        <w:rPr>
          <w:rFonts w:cs="Arial"/>
          <w:bCs/>
        </w:rPr>
        <w:t xml:space="preserve"> for 201</w:t>
      </w:r>
      <w:r>
        <w:rPr>
          <w:rFonts w:cs="Arial"/>
          <w:bCs/>
        </w:rPr>
        <w:t>4</w:t>
      </w:r>
      <w:r w:rsidRPr="00A07B5A">
        <w:rPr>
          <w:rFonts w:cs="Arial"/>
          <w:bCs/>
        </w:rPr>
        <w:t>–201</w:t>
      </w:r>
      <w:r>
        <w:rPr>
          <w:rFonts w:cs="Arial"/>
          <w:bCs/>
        </w:rPr>
        <w:t>7</w:t>
      </w:r>
      <w:r w:rsidRPr="00A07B5A">
        <w:rPr>
          <w:rFonts w:cs="Arial"/>
          <w:bCs/>
        </w:rPr>
        <w:t xml:space="preserve"> and the 201</w:t>
      </w:r>
      <w:r>
        <w:rPr>
          <w:rFonts w:cs="Arial"/>
          <w:bCs/>
        </w:rPr>
        <w:t>8</w:t>
      </w:r>
      <w:r w:rsidRPr="00A07B5A">
        <w:rPr>
          <w:rFonts w:cs="Arial"/>
          <w:bCs/>
        </w:rPr>
        <w:t>–202</w:t>
      </w:r>
      <w:r>
        <w:rPr>
          <w:rFonts w:cs="Arial"/>
          <w:bCs/>
        </w:rPr>
        <w:t>3</w:t>
      </w:r>
      <w:r w:rsidRPr="00A07B5A">
        <w:rPr>
          <w:rFonts w:cs="Arial"/>
          <w:bCs/>
        </w:rPr>
        <w:t xml:space="preserve"> energy-efficiency forecast, is projected to increase at a more modest rate, approximately half the projected growth rate of the forecast</w:t>
      </w:r>
      <w:r>
        <w:rPr>
          <w:rFonts w:cs="Arial"/>
          <w:bCs/>
        </w:rPr>
        <w:t>.</w:t>
      </w:r>
      <w:r w:rsidR="00F42EC1">
        <w:rPr>
          <w:rFonts w:cs="Arial"/>
          <w:bCs/>
        </w:rPr>
        <w:t xml:space="preserve"> </w:t>
      </w:r>
      <w:r w:rsidR="00F42EC1" w:rsidRPr="008E2D71">
        <w:rPr>
          <w:color w:val="000000" w:themeColor="text1"/>
        </w:rPr>
        <w:t>The net winter peak is flat (i.e., negative 0.1%) over the 10-year forecast.</w:t>
      </w:r>
    </w:p>
    <w:p w:rsidR="00F27B97" w:rsidRDefault="00F27B97" w:rsidP="00F27B97">
      <w:pPr>
        <w:pStyle w:val="Caption"/>
      </w:pPr>
      <w:bookmarkStart w:id="237" w:name="_Ref359240292"/>
      <w:bookmarkStart w:id="238" w:name="_Toc365440702"/>
      <w:bookmarkStart w:id="239" w:name="_Toc391985600"/>
      <w:r w:rsidRPr="0064179A">
        <w:t xml:space="preserve">Table </w:t>
      </w:r>
      <w:r w:rsidR="00927965">
        <w:fldChar w:fldCharType="begin"/>
      </w:r>
      <w:r w:rsidR="00BD7584">
        <w:instrText xml:space="preserve"> STYLEREF 1 \s </w:instrText>
      </w:r>
      <w:r w:rsidR="00927965">
        <w:fldChar w:fldCharType="separate"/>
      </w:r>
      <w:r w:rsidR="00284CE3">
        <w:rPr>
          <w:noProof/>
        </w:rPr>
        <w:t>3</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6</w:t>
      </w:r>
      <w:r w:rsidR="00927965">
        <w:fldChar w:fldCharType="end"/>
      </w:r>
      <w:bookmarkEnd w:id="237"/>
      <w:r w:rsidRPr="0064179A">
        <w:t xml:space="preserve"> </w:t>
      </w:r>
      <w:r w:rsidRPr="00F1378E">
        <w:br/>
        <w:t>201</w:t>
      </w:r>
      <w:r>
        <w:t>4</w:t>
      </w:r>
      <w:r w:rsidRPr="00F1378E">
        <w:t xml:space="preserve"> Forecasts of Annual and Peak Electric Energy Use</w:t>
      </w:r>
      <w:r w:rsidR="00C37075">
        <w:br/>
      </w:r>
      <w:r w:rsidRPr="00F1378E">
        <w:t>Compared with the Forecast Minus</w:t>
      </w:r>
      <w:r w:rsidR="00C37075">
        <w:t xml:space="preserve"> </w:t>
      </w:r>
      <w:r w:rsidRPr="00F1378E">
        <w:t>FCM</w:t>
      </w:r>
      <w:r w:rsidR="005E0A78">
        <w:t>-Qualified</w:t>
      </w:r>
      <w:r w:rsidRPr="00F1378E">
        <w:t xml:space="preserve"> Passive </w:t>
      </w:r>
      <w:r w:rsidR="005E0A78">
        <w:t xml:space="preserve">Demand </w:t>
      </w:r>
      <w:r w:rsidRPr="00F1378E">
        <w:t>Resources (201</w:t>
      </w:r>
      <w:r>
        <w:t>4</w:t>
      </w:r>
      <w:r w:rsidRPr="00F1378E">
        <w:t xml:space="preserve"> to 201</w:t>
      </w:r>
      <w:r>
        <w:t>7</w:t>
      </w:r>
      <w:r w:rsidRPr="00F1378E">
        <w:t>)</w:t>
      </w:r>
      <w:r w:rsidR="00C37075">
        <w:br/>
      </w:r>
      <w:r w:rsidRPr="00F1378E">
        <w:t>and Energy-Efficiency Forecast Results (201</w:t>
      </w:r>
      <w:r>
        <w:t>8</w:t>
      </w:r>
      <w:r w:rsidRPr="00F1378E">
        <w:t xml:space="preserve"> to 202</w:t>
      </w:r>
      <w:r>
        <w:t>3</w:t>
      </w:r>
      <w:r w:rsidRPr="00F1378E">
        <w:t>)</w:t>
      </w:r>
      <w:bookmarkEnd w:id="238"/>
      <w:bookmarkEnd w:id="239"/>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4A0"/>
      </w:tblPr>
      <w:tblGrid>
        <w:gridCol w:w="2093"/>
        <w:gridCol w:w="720"/>
        <w:gridCol w:w="1584"/>
      </w:tblGrid>
      <w:tr w:rsidR="00F27B97" w:rsidRPr="003E450A" w:rsidTr="008B1384">
        <w:trPr>
          <w:cantSplit/>
          <w:trHeight w:val="500"/>
          <w:jc w:val="center"/>
        </w:trPr>
        <w:tc>
          <w:tcPr>
            <w:tcW w:w="2093" w:type="dxa"/>
            <w:tcBorders>
              <w:top w:val="single" w:sz="2" w:space="0" w:color="auto"/>
              <w:left w:val="single" w:sz="2" w:space="0" w:color="auto"/>
              <w:bottom w:val="single" w:sz="2" w:space="0" w:color="auto"/>
              <w:right w:val="single" w:sz="2" w:space="0" w:color="auto"/>
              <w:tl2br w:val="nil"/>
              <w:tr2bl w:val="nil"/>
            </w:tcBorders>
            <w:shd w:val="clear" w:color="auto" w:fill="85AFF2"/>
            <w:tcMar>
              <w:left w:w="58" w:type="dxa"/>
              <w:right w:w="58" w:type="dxa"/>
            </w:tcMar>
            <w:vAlign w:val="center"/>
          </w:tcPr>
          <w:p w:rsidR="00F27B97" w:rsidRPr="003E450A" w:rsidRDefault="00F27B97" w:rsidP="008B1384">
            <w:pPr>
              <w:spacing w:before="40" w:after="40" w:line="240" w:lineRule="auto"/>
              <w:rPr>
                <w:rFonts w:ascii="Calibri" w:eastAsia="Times New Roman" w:hAnsi="Calibri"/>
                <w:b/>
                <w:bCs/>
                <w:sz w:val="18"/>
                <w:szCs w:val="18"/>
              </w:rPr>
            </w:pP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85AFF2"/>
            <w:tcMar>
              <w:left w:w="58" w:type="dxa"/>
              <w:right w:w="58" w:type="dxa"/>
            </w:tcMar>
            <w:vAlign w:val="center"/>
          </w:tcPr>
          <w:p w:rsidR="00F27B97" w:rsidRPr="003E450A" w:rsidRDefault="00F27B97" w:rsidP="008B1384">
            <w:pPr>
              <w:spacing w:before="40" w:after="40" w:line="240" w:lineRule="auto"/>
              <w:jc w:val="center"/>
              <w:rPr>
                <w:rFonts w:ascii="Calibri" w:hAnsi="Calibri"/>
                <w:b/>
                <w:bCs/>
                <w:sz w:val="18"/>
                <w:szCs w:val="18"/>
              </w:rPr>
            </w:pPr>
            <w:r w:rsidRPr="003E450A">
              <w:rPr>
                <w:rFonts w:ascii="Calibri" w:hAnsi="Calibri"/>
                <w:b/>
                <w:bCs/>
                <w:color w:val="FFFFFF"/>
                <w:sz w:val="18"/>
                <w:szCs w:val="18"/>
              </w:rPr>
              <w:t>Gross</w:t>
            </w:r>
          </w:p>
        </w:tc>
        <w:tc>
          <w:tcPr>
            <w:tcW w:w="1584" w:type="dxa"/>
            <w:tcBorders>
              <w:top w:val="single" w:sz="2" w:space="0" w:color="auto"/>
              <w:left w:val="single" w:sz="2" w:space="0" w:color="auto"/>
              <w:bottom w:val="single" w:sz="2" w:space="0" w:color="auto"/>
              <w:right w:val="single" w:sz="2" w:space="0" w:color="auto"/>
              <w:tl2br w:val="nil"/>
              <w:tr2bl w:val="nil"/>
            </w:tcBorders>
            <w:shd w:val="clear" w:color="auto" w:fill="85AFF2"/>
            <w:tcMar>
              <w:left w:w="58" w:type="dxa"/>
              <w:right w:w="58" w:type="dxa"/>
            </w:tcMar>
            <w:vAlign w:val="center"/>
          </w:tcPr>
          <w:p w:rsidR="00F27B97" w:rsidRPr="003E450A" w:rsidRDefault="00F27B97" w:rsidP="008B1384">
            <w:pPr>
              <w:spacing w:before="40" w:after="40" w:line="240" w:lineRule="auto"/>
              <w:jc w:val="center"/>
              <w:rPr>
                <w:rFonts w:ascii="Calibri" w:hAnsi="Calibri"/>
                <w:b/>
                <w:bCs/>
                <w:sz w:val="18"/>
                <w:szCs w:val="18"/>
              </w:rPr>
            </w:pPr>
            <w:r w:rsidRPr="003E450A">
              <w:rPr>
                <w:rFonts w:ascii="Calibri" w:hAnsi="Calibri"/>
                <w:b/>
                <w:bCs/>
                <w:color w:val="FFFFFF"/>
                <w:sz w:val="18"/>
                <w:szCs w:val="18"/>
              </w:rPr>
              <w:t>Gross − (FCM + EEF)</w:t>
            </w:r>
          </w:p>
        </w:tc>
      </w:tr>
      <w:tr w:rsidR="00F27B97" w:rsidRPr="003E450A" w:rsidTr="008B1384">
        <w:trPr>
          <w:cantSplit/>
          <w:trHeight w:val="20"/>
          <w:jc w:val="center"/>
        </w:trPr>
        <w:tc>
          <w:tcPr>
            <w:tcW w:w="2093"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58" w:type="dxa"/>
            </w:tcMar>
            <w:vAlign w:val="center"/>
          </w:tcPr>
          <w:p w:rsidR="00F27B97" w:rsidRPr="003E450A" w:rsidRDefault="00F27B97" w:rsidP="008B1384">
            <w:pPr>
              <w:spacing w:before="40" w:after="40" w:line="240" w:lineRule="auto"/>
              <w:rPr>
                <w:rFonts w:ascii="Calibri" w:hAnsi="Calibri"/>
                <w:b/>
                <w:bCs/>
                <w:sz w:val="18"/>
                <w:szCs w:val="18"/>
              </w:rPr>
            </w:pPr>
            <w:r w:rsidRPr="003E450A">
              <w:rPr>
                <w:rFonts w:ascii="Calibri" w:hAnsi="Calibri"/>
                <w:b/>
                <w:bCs/>
                <w:color w:val="000000"/>
                <w:sz w:val="18"/>
                <w:szCs w:val="18"/>
              </w:rPr>
              <w:t>NEL</w:t>
            </w: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58" w:type="dxa"/>
            </w:tcMar>
            <w:vAlign w:val="center"/>
          </w:tcPr>
          <w:p w:rsidR="00F27B97" w:rsidRPr="003E450A" w:rsidRDefault="00F27B97" w:rsidP="008B1384">
            <w:pPr>
              <w:spacing w:before="40" w:after="40" w:line="240" w:lineRule="auto"/>
              <w:jc w:val="center"/>
              <w:rPr>
                <w:rFonts w:ascii="Calibri" w:hAnsi="Calibri"/>
                <w:sz w:val="18"/>
                <w:szCs w:val="18"/>
              </w:rPr>
            </w:pPr>
            <w:r w:rsidRPr="003E450A">
              <w:rPr>
                <w:rFonts w:ascii="Calibri" w:hAnsi="Calibri"/>
                <w:color w:val="000000"/>
                <w:sz w:val="18"/>
                <w:szCs w:val="18"/>
              </w:rPr>
              <w:t>1.0</w:t>
            </w:r>
          </w:p>
        </w:tc>
        <w:tc>
          <w:tcPr>
            <w:tcW w:w="1584"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720" w:type="dxa"/>
            </w:tcMar>
            <w:vAlign w:val="center"/>
          </w:tcPr>
          <w:p w:rsidR="00F27B97" w:rsidRPr="003E450A" w:rsidRDefault="00F27B97" w:rsidP="008B1384">
            <w:pPr>
              <w:spacing w:before="40" w:after="40" w:line="240" w:lineRule="auto"/>
              <w:jc w:val="right"/>
              <w:rPr>
                <w:rFonts w:ascii="Calibri" w:hAnsi="Calibri"/>
                <w:sz w:val="18"/>
                <w:szCs w:val="18"/>
              </w:rPr>
            </w:pPr>
            <w:r w:rsidRPr="003E450A">
              <w:rPr>
                <w:rFonts w:ascii="Calibri" w:hAnsi="Calibri"/>
                <w:color w:val="000000"/>
                <w:sz w:val="18"/>
                <w:szCs w:val="18"/>
              </w:rPr>
              <w:t>0.1</w:t>
            </w:r>
          </w:p>
        </w:tc>
      </w:tr>
      <w:tr w:rsidR="00F27B97" w:rsidRPr="003E450A" w:rsidTr="008B1384">
        <w:trPr>
          <w:cantSplit/>
          <w:trHeight w:val="20"/>
          <w:jc w:val="center"/>
        </w:trPr>
        <w:tc>
          <w:tcPr>
            <w:tcW w:w="2093" w:type="dxa"/>
            <w:shd w:val="clear" w:color="auto" w:fill="C2D7F8"/>
            <w:tcMar>
              <w:left w:w="58" w:type="dxa"/>
              <w:right w:w="58" w:type="dxa"/>
            </w:tcMar>
            <w:vAlign w:val="center"/>
          </w:tcPr>
          <w:p w:rsidR="00F27B97" w:rsidRPr="003E450A" w:rsidRDefault="00F27B97" w:rsidP="008B1384">
            <w:pPr>
              <w:spacing w:before="40" w:after="40" w:line="240" w:lineRule="auto"/>
              <w:rPr>
                <w:rFonts w:ascii="Calibri" w:hAnsi="Calibri"/>
                <w:b/>
                <w:bCs/>
                <w:sz w:val="18"/>
                <w:szCs w:val="18"/>
              </w:rPr>
            </w:pPr>
            <w:r w:rsidRPr="003E450A">
              <w:rPr>
                <w:rFonts w:ascii="Calibri" w:hAnsi="Calibri"/>
                <w:b/>
                <w:bCs/>
                <w:color w:val="000000"/>
                <w:sz w:val="18"/>
                <w:szCs w:val="18"/>
              </w:rPr>
              <w:t>50/50 and 90/10 Summer</w:t>
            </w:r>
          </w:p>
        </w:tc>
        <w:tc>
          <w:tcPr>
            <w:tcW w:w="720" w:type="dxa"/>
            <w:shd w:val="clear" w:color="auto" w:fill="C2D7F8"/>
            <w:tcMar>
              <w:left w:w="58" w:type="dxa"/>
              <w:right w:w="58" w:type="dxa"/>
            </w:tcMar>
            <w:vAlign w:val="center"/>
          </w:tcPr>
          <w:p w:rsidR="00F27B97" w:rsidRPr="003E450A" w:rsidRDefault="00F27B97" w:rsidP="008B1384">
            <w:pPr>
              <w:spacing w:before="40" w:after="40" w:line="240" w:lineRule="auto"/>
              <w:jc w:val="center"/>
              <w:rPr>
                <w:rFonts w:ascii="Calibri" w:hAnsi="Calibri"/>
                <w:sz w:val="18"/>
                <w:szCs w:val="18"/>
              </w:rPr>
            </w:pPr>
            <w:r w:rsidRPr="003E450A">
              <w:rPr>
                <w:rFonts w:ascii="Calibri" w:hAnsi="Calibri"/>
                <w:color w:val="000000"/>
                <w:sz w:val="18"/>
                <w:szCs w:val="18"/>
              </w:rPr>
              <w:t>1.3</w:t>
            </w:r>
          </w:p>
        </w:tc>
        <w:tc>
          <w:tcPr>
            <w:tcW w:w="1584" w:type="dxa"/>
            <w:shd w:val="clear" w:color="auto" w:fill="C2D7F8"/>
            <w:tcMar>
              <w:left w:w="58" w:type="dxa"/>
              <w:right w:w="720" w:type="dxa"/>
            </w:tcMar>
            <w:vAlign w:val="center"/>
          </w:tcPr>
          <w:p w:rsidR="00F27B97" w:rsidRPr="003E450A" w:rsidRDefault="00F27B97" w:rsidP="008B1384">
            <w:pPr>
              <w:spacing w:before="40" w:after="40" w:line="240" w:lineRule="auto"/>
              <w:jc w:val="right"/>
              <w:rPr>
                <w:rFonts w:ascii="Calibri" w:hAnsi="Calibri"/>
                <w:sz w:val="18"/>
                <w:szCs w:val="18"/>
              </w:rPr>
            </w:pPr>
            <w:r w:rsidRPr="003E450A">
              <w:rPr>
                <w:rFonts w:ascii="Calibri" w:hAnsi="Calibri"/>
                <w:color w:val="000000"/>
                <w:sz w:val="18"/>
                <w:szCs w:val="18"/>
              </w:rPr>
              <w:t>0.7</w:t>
            </w:r>
          </w:p>
        </w:tc>
      </w:tr>
      <w:tr w:rsidR="00F27B97" w:rsidRPr="003E450A" w:rsidTr="008B1384">
        <w:trPr>
          <w:cantSplit/>
          <w:trHeight w:val="288"/>
          <w:jc w:val="center"/>
        </w:trPr>
        <w:tc>
          <w:tcPr>
            <w:tcW w:w="2093"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58" w:type="dxa"/>
            </w:tcMar>
            <w:vAlign w:val="center"/>
          </w:tcPr>
          <w:p w:rsidR="00F27B97" w:rsidRPr="003E450A" w:rsidRDefault="00F27B97" w:rsidP="008B1384">
            <w:pPr>
              <w:spacing w:before="40" w:after="40" w:line="240" w:lineRule="auto"/>
              <w:rPr>
                <w:rFonts w:ascii="Calibri" w:hAnsi="Calibri"/>
                <w:b/>
                <w:bCs/>
                <w:sz w:val="18"/>
                <w:szCs w:val="18"/>
              </w:rPr>
            </w:pPr>
            <w:r w:rsidRPr="003E450A">
              <w:rPr>
                <w:rFonts w:ascii="Calibri" w:hAnsi="Calibri"/>
                <w:b/>
                <w:bCs/>
                <w:color w:val="000000"/>
                <w:sz w:val="18"/>
                <w:szCs w:val="18"/>
              </w:rPr>
              <w:t>50/50 and 90/10 Winter</w:t>
            </w: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58" w:type="dxa"/>
            </w:tcMar>
            <w:vAlign w:val="center"/>
          </w:tcPr>
          <w:p w:rsidR="00F27B97" w:rsidRPr="003E450A" w:rsidRDefault="00F27B97" w:rsidP="008B1384">
            <w:pPr>
              <w:spacing w:before="40" w:after="40" w:line="240" w:lineRule="auto"/>
              <w:jc w:val="center"/>
              <w:rPr>
                <w:rFonts w:ascii="Calibri" w:hAnsi="Calibri"/>
                <w:sz w:val="18"/>
                <w:szCs w:val="18"/>
              </w:rPr>
            </w:pPr>
            <w:r w:rsidRPr="003E450A">
              <w:rPr>
                <w:rFonts w:ascii="Calibri" w:hAnsi="Calibri"/>
                <w:color w:val="000000"/>
                <w:sz w:val="18"/>
                <w:szCs w:val="18"/>
              </w:rPr>
              <w:t>0.6</w:t>
            </w:r>
          </w:p>
        </w:tc>
        <w:tc>
          <w:tcPr>
            <w:tcW w:w="1584" w:type="dxa"/>
            <w:tcBorders>
              <w:top w:val="single" w:sz="2" w:space="0" w:color="auto"/>
              <w:left w:val="single" w:sz="2" w:space="0" w:color="auto"/>
              <w:bottom w:val="single" w:sz="2" w:space="0" w:color="auto"/>
              <w:right w:val="single" w:sz="2" w:space="0" w:color="auto"/>
              <w:tl2br w:val="nil"/>
              <w:tr2bl w:val="nil"/>
            </w:tcBorders>
            <w:shd w:val="clear" w:color="auto" w:fill="FFFFFF"/>
            <w:tcMar>
              <w:left w:w="58" w:type="dxa"/>
              <w:right w:w="720" w:type="dxa"/>
            </w:tcMar>
            <w:vAlign w:val="center"/>
          </w:tcPr>
          <w:p w:rsidR="00F27B97" w:rsidRPr="003E450A" w:rsidRDefault="00F27B97" w:rsidP="008B1384">
            <w:pPr>
              <w:spacing w:before="40" w:after="40" w:line="240" w:lineRule="auto"/>
              <w:jc w:val="right"/>
              <w:rPr>
                <w:rFonts w:ascii="Calibri" w:hAnsi="Calibri"/>
                <w:sz w:val="18"/>
                <w:szCs w:val="18"/>
              </w:rPr>
            </w:pPr>
            <w:r w:rsidRPr="003E450A">
              <w:rPr>
                <w:rFonts w:ascii="Calibri" w:hAnsi="Calibri"/>
                <w:color w:val="000000"/>
                <w:sz w:val="18"/>
                <w:szCs w:val="18"/>
              </w:rPr>
              <w:t>−0.1</w:t>
            </w:r>
          </w:p>
        </w:tc>
      </w:tr>
    </w:tbl>
    <w:p w:rsidR="00F27B97" w:rsidRPr="00CD1279" w:rsidRDefault="00F27B97" w:rsidP="00F27B97">
      <w:pPr>
        <w:rPr>
          <w:rFonts w:eastAsia="Times New Roman"/>
        </w:rPr>
      </w:pPr>
    </w:p>
    <w:p w:rsidR="00E63D3A" w:rsidRDefault="00F27B97">
      <w:pPr>
        <w:pStyle w:val="Heading2"/>
      </w:pPr>
      <w:bookmarkStart w:id="240" w:name="_Ref387327878"/>
      <w:bookmarkStart w:id="241" w:name="_Toc396807613"/>
      <w:bookmarkStart w:id="242" w:name="_Toc365440990"/>
      <w:r w:rsidRPr="009C41CB">
        <w:t xml:space="preserve">Distributed </w:t>
      </w:r>
      <w:r w:rsidRPr="00B54FA4">
        <w:rPr>
          <w:szCs w:val="24"/>
        </w:rPr>
        <w:t>Generation</w:t>
      </w:r>
      <w:r w:rsidRPr="009C41CB">
        <w:t xml:space="preserve"> Forecast</w:t>
      </w:r>
      <w:bookmarkEnd w:id="240"/>
      <w:bookmarkEnd w:id="241"/>
      <w:r w:rsidRPr="009C41CB">
        <w:t xml:space="preserve"> </w:t>
      </w:r>
    </w:p>
    <w:p w:rsidR="00F27B97" w:rsidRPr="002E0543" w:rsidRDefault="00F27B97" w:rsidP="00F27B97">
      <w:r w:rsidRPr="002E0543">
        <w:t>Following the success of its energy-efficiency forecast</w:t>
      </w:r>
      <w:r w:rsidRPr="0052290F">
        <w:t>,</w:t>
      </w:r>
      <w:r w:rsidRPr="002E0543">
        <w:t xml:space="preserve"> in 2013 the ISO began to </w:t>
      </w:r>
      <w:r>
        <w:t xml:space="preserve">develop a methodology for </w:t>
      </w:r>
      <w:r w:rsidRPr="002E0543">
        <w:t>forecast</w:t>
      </w:r>
      <w:r>
        <w:t>ing</w:t>
      </w:r>
      <w:r w:rsidRPr="002E0543">
        <w:t xml:space="preserve"> the long-term impacts of distributed</w:t>
      </w:r>
      <w:r w:rsidR="004732CA">
        <w:t xml:space="preserve"> </w:t>
      </w:r>
      <w:r w:rsidRPr="002E0543">
        <w:t>generation resources in New England. After researching other grid operators</w:t>
      </w:r>
      <w:r>
        <w:t>’</w:t>
      </w:r>
      <w:r w:rsidRPr="002E0543">
        <w:t xml:space="preserve"> approaches and establishing an open stakeholder process, the ISO develop</w:t>
      </w:r>
      <w:r>
        <w:t>ed</w:t>
      </w:r>
      <w:r w:rsidRPr="002E0543">
        <w:t xml:space="preserve"> the nation’s first multistate forecast</w:t>
      </w:r>
      <w:r w:rsidRPr="008A5831">
        <w:t xml:space="preserve"> </w:t>
      </w:r>
      <w:r w:rsidRPr="002E0543">
        <w:t xml:space="preserve">of DG </w:t>
      </w:r>
      <w:r>
        <w:t xml:space="preserve">resources </w:t>
      </w:r>
      <w:r w:rsidR="00C37075">
        <w:t>10 </w:t>
      </w:r>
      <w:r w:rsidRPr="002E0543">
        <w:t xml:space="preserve">years into the future. This section describes the creation and scope of </w:t>
      </w:r>
      <w:r w:rsidRPr="0009099A">
        <w:t>this DG</w:t>
      </w:r>
      <w:r w:rsidRPr="002E0543">
        <w:t xml:space="preserve"> forecast. The section also highlights next steps that may </w:t>
      </w:r>
      <w:r w:rsidRPr="00A242E3">
        <w:t>broaden</w:t>
      </w:r>
      <w:r w:rsidRPr="002E0543">
        <w:t xml:space="preserve"> the focus of the DG forecast.</w:t>
      </w:r>
    </w:p>
    <w:p w:rsidR="00F27B97" w:rsidRPr="00B83FC6" w:rsidRDefault="00F27B97" w:rsidP="00F27B97">
      <w:pPr>
        <w:pStyle w:val="Heading3"/>
        <w:rPr>
          <w:rFonts w:asciiTheme="minorHAnsi" w:hAnsiTheme="minorHAnsi"/>
        </w:rPr>
      </w:pPr>
      <w:bookmarkStart w:id="243" w:name="_Toc396807614"/>
      <w:r w:rsidRPr="00B54FA4">
        <w:rPr>
          <w:rFonts w:asciiTheme="minorHAnsi" w:hAnsiTheme="minorHAnsi"/>
        </w:rPr>
        <w:t>Background</w:t>
      </w:r>
      <w:bookmarkEnd w:id="243"/>
    </w:p>
    <w:p w:rsidR="00F27B97" w:rsidRDefault="00F27B97" w:rsidP="00F27B97">
      <w:r w:rsidRPr="002E0543">
        <w:t>DG resources are growing significantly in New England</w:t>
      </w:r>
      <w:r>
        <w:t>.</w:t>
      </w:r>
      <w:r>
        <w:rPr>
          <w:rStyle w:val="FootnoteReference"/>
          <w:szCs w:val="22"/>
        </w:rPr>
        <w:footnoteReference w:id="114"/>
      </w:r>
      <w:r>
        <w:t xml:space="preserve"> Because </w:t>
      </w:r>
      <w:r w:rsidRPr="00130C0C">
        <w:t>PV</w:t>
      </w:r>
      <w:r>
        <w:t xml:space="preserve"> </w:t>
      </w:r>
      <w:r w:rsidRPr="002E0543">
        <w:t>resources constitute the largest segment of DG resources</w:t>
      </w:r>
      <w:r>
        <w:t xml:space="preserve"> throughout New England, </w:t>
      </w:r>
      <w:r w:rsidRPr="002E0543">
        <w:t xml:space="preserve">the ISO’s analysis of DG and the creation of the first DG forecast focus exclusively on </w:t>
      </w:r>
      <w:r>
        <w:t xml:space="preserve">the impact of anticipated DG </w:t>
      </w:r>
      <w:proofErr w:type="spellStart"/>
      <w:r w:rsidR="00406B7F">
        <w:t>photovoltaics</w:t>
      </w:r>
      <w:proofErr w:type="spellEnd"/>
      <w:r w:rsidRPr="002E0543">
        <w:t>.</w:t>
      </w:r>
      <w:r>
        <w:rPr>
          <w:rStyle w:val="FootnoteReference"/>
          <w:szCs w:val="22"/>
        </w:rPr>
        <w:footnoteReference w:id="115"/>
      </w:r>
    </w:p>
    <w:p w:rsidR="00F27B97" w:rsidRDefault="00F27B97" w:rsidP="00F27B97">
      <w:r>
        <w:t>A</w:t>
      </w:r>
      <w:r w:rsidRPr="002E0543">
        <w:t>cross the region</w:t>
      </w:r>
      <w:r>
        <w:t>,</w:t>
      </w:r>
      <w:r w:rsidRPr="002E0543">
        <w:t xml:space="preserve"> PV </w:t>
      </w:r>
      <w:proofErr w:type="gramStart"/>
      <w:r w:rsidRPr="002E0543">
        <w:t>is being installed</w:t>
      </w:r>
      <w:proofErr w:type="gramEnd"/>
      <w:r w:rsidRPr="002E0543">
        <w:t xml:space="preserve"> </w:t>
      </w:r>
      <w:r>
        <w:t>at rapidly increasing rates</w:t>
      </w:r>
      <w:r w:rsidRPr="002E0543">
        <w:t>. Data gather</w:t>
      </w:r>
      <w:r>
        <w:t xml:space="preserve">ed </w:t>
      </w:r>
      <w:r w:rsidRPr="002E0543">
        <w:t>by the ISO indicate that</w:t>
      </w:r>
      <w:r>
        <w:t>,</w:t>
      </w:r>
      <w:r w:rsidRPr="002E0543">
        <w:t xml:space="preserve"> starting at relatively low levels in recent years</w:t>
      </w:r>
      <w:r>
        <w:t>,</w:t>
      </w:r>
      <w:r w:rsidRPr="002E0543">
        <w:t xml:space="preserve"> about 250 MW</w:t>
      </w:r>
      <w:r>
        <w:rPr>
          <w:vertAlign w:val="subscript"/>
        </w:rPr>
        <w:t>A</w:t>
      </w:r>
      <w:r w:rsidRPr="00D60AD5">
        <w:rPr>
          <w:vertAlign w:val="subscript"/>
        </w:rPr>
        <w:t>C</w:t>
      </w:r>
      <w:r w:rsidRPr="002E0543">
        <w:t xml:space="preserve"> of PV </w:t>
      </w:r>
      <w:proofErr w:type="gramStart"/>
      <w:r>
        <w:t xml:space="preserve">was </w:t>
      </w:r>
      <w:r w:rsidRPr="002E0543">
        <w:t>installed</w:t>
      </w:r>
      <w:proofErr w:type="gramEnd"/>
      <w:r w:rsidRPr="002E0543">
        <w:t xml:space="preserve"> in the region by the end of 2012.</w:t>
      </w:r>
      <w:r>
        <w:rPr>
          <w:rStyle w:val="FootnoteReference"/>
          <w:szCs w:val="22"/>
        </w:rPr>
        <w:footnoteReference w:id="116"/>
      </w:r>
      <w:r w:rsidRPr="002E0543">
        <w:t xml:space="preserve"> By the end of 2013, </w:t>
      </w:r>
      <w:r w:rsidRPr="008F014D">
        <w:t xml:space="preserve">installed </w:t>
      </w:r>
      <w:r w:rsidR="00C50436" w:rsidRPr="008F014D">
        <w:t>nameplate</w:t>
      </w:r>
      <w:r w:rsidRPr="002E0543">
        <w:t xml:space="preserve"> PV jumped to </w:t>
      </w:r>
      <w:r>
        <w:t xml:space="preserve">almost </w:t>
      </w:r>
      <w:r w:rsidRPr="002E0543">
        <w:t>500 MW</w:t>
      </w:r>
      <w:r>
        <w:rPr>
          <w:vertAlign w:val="subscript"/>
        </w:rPr>
        <w:t>A</w:t>
      </w:r>
      <w:r w:rsidRPr="00D60AD5">
        <w:rPr>
          <w:vertAlign w:val="subscript"/>
        </w:rPr>
        <w:t>C</w:t>
      </w:r>
      <w:r>
        <w:t>.</w:t>
      </w:r>
      <w:r w:rsidR="007117AB">
        <w:rPr>
          <w:rStyle w:val="FootnoteReference"/>
        </w:rPr>
        <w:footnoteReference w:id="117"/>
      </w:r>
      <w:r>
        <w:t xml:space="preserve"> </w:t>
      </w:r>
      <w:r w:rsidRPr="002E0543">
        <w:t>State policy drives much of this development. For example, Massachusetts reached its 250</w:t>
      </w:r>
      <w:r>
        <w:t> </w:t>
      </w:r>
      <w:r w:rsidRPr="002E0543">
        <w:t>MW</w:t>
      </w:r>
      <w:r w:rsidRPr="00D60AD5">
        <w:rPr>
          <w:vertAlign w:val="subscript"/>
        </w:rPr>
        <w:t>DC</w:t>
      </w:r>
      <w:r w:rsidRPr="002E0543">
        <w:t xml:space="preserve"> PV goal </w:t>
      </w:r>
      <w:r>
        <w:t>four</w:t>
      </w:r>
      <w:r w:rsidRPr="002E0543">
        <w:t xml:space="preserve"> years early </w:t>
      </w:r>
      <w:r>
        <w:t xml:space="preserve">in 2013, </w:t>
      </w:r>
      <w:r w:rsidRPr="002E0543">
        <w:t xml:space="preserve">and in May 2013, the commonwealth announced an expanded in-state PV goal of </w:t>
      </w:r>
      <w:r w:rsidRPr="008F014D">
        <w:t>developing 1,600 MW</w:t>
      </w:r>
      <w:r w:rsidRPr="008F014D">
        <w:rPr>
          <w:vertAlign w:val="subscript"/>
        </w:rPr>
        <w:t>DC</w:t>
      </w:r>
      <w:r w:rsidRPr="008F014D">
        <w:t xml:space="preserve"> by 2020.</w:t>
      </w:r>
      <w:r w:rsidR="00C50436" w:rsidRPr="008F014D">
        <w:rPr>
          <w:rStyle w:val="FootnoteReference"/>
        </w:rPr>
        <w:footnoteReference w:id="118"/>
      </w:r>
    </w:p>
    <w:p w:rsidR="00F27B97" w:rsidRDefault="00F27B97" w:rsidP="00F27B97">
      <w:r>
        <w:t>Almost all PV systems interconnect to the distribution system pursuant to state-jurisdictional interconnection standards.</w:t>
      </w:r>
      <w:r>
        <w:rPr>
          <w:rStyle w:val="FootnoteReference"/>
          <w:szCs w:val="22"/>
        </w:rPr>
        <w:footnoteReference w:id="119"/>
      </w:r>
      <w:r>
        <w:t xml:space="preserve"> Because the ISO is not directly involved in the interconnection of most of these resources, it has not traditionally been aware of when and where they </w:t>
      </w:r>
      <w:proofErr w:type="gramStart"/>
      <w:r>
        <w:t>are installed</w:t>
      </w:r>
      <w:proofErr w:type="gramEnd"/>
      <w:r>
        <w:t>.</w:t>
      </w:r>
    </w:p>
    <w:p w:rsidR="00F27B97" w:rsidRPr="002E0543" w:rsidRDefault="00F27B97" w:rsidP="00F27B97">
      <w:proofErr w:type="gramStart"/>
      <w:r w:rsidRPr="00653913">
        <w:t xml:space="preserve">To help address the interrelated </w:t>
      </w:r>
      <w:r w:rsidRPr="00AE5C98">
        <w:t>questions</w:t>
      </w:r>
      <w:r w:rsidRPr="00653913">
        <w:t xml:space="preserve"> of exactly how much additional PV is anticipated in the ISO’s</w:t>
      </w:r>
      <w:r>
        <w:t xml:space="preserve"> 10-year planning horizon and what impacts this future PV could have on the regional power grid, the ISO, in conjunction with stakeholders, endeavored to create a forecast of all future PV resources—those that participate in the ISO New England markets as well as those that do not.</w:t>
      </w:r>
      <w:proofErr w:type="gramEnd"/>
      <w:r>
        <w:t xml:space="preserve"> T</w:t>
      </w:r>
      <w:r w:rsidRPr="002E0543">
        <w:t xml:space="preserve">o assist </w:t>
      </w:r>
      <w:r>
        <w:t xml:space="preserve">its </w:t>
      </w:r>
      <w:r w:rsidRPr="002E0543">
        <w:t xml:space="preserve">development of a DG forecast and provide a </w:t>
      </w:r>
      <w:r w:rsidRPr="00653913">
        <w:t xml:space="preserve">forum to discuss DG integration </w:t>
      </w:r>
      <w:r w:rsidRPr="00AE5C98">
        <w:t>issues</w:t>
      </w:r>
      <w:r w:rsidRPr="00653913">
        <w:t>, the ISO established the Distributed Generation Forecast Working Group (DGFWG) open to all interested parties.</w:t>
      </w:r>
      <w:r w:rsidRPr="00653913">
        <w:rPr>
          <w:rStyle w:val="FootnoteReference"/>
        </w:rPr>
        <w:footnoteReference w:id="120"/>
      </w:r>
      <w:r w:rsidRPr="00653913">
        <w:t xml:space="preserve"> State agency representatives with strong knowledge of DG programs, as well as electric power distribution companies and DG program administrators, play a key role in the DGFWG.</w:t>
      </w:r>
      <w:r w:rsidRPr="00653913">
        <w:rPr>
          <w:rStyle w:val="FootnoteReference"/>
        </w:rPr>
        <w:footnoteReference w:id="121"/>
      </w:r>
      <w:r w:rsidRPr="00653913">
        <w:t xml:space="preserve"> The DGFWG’s work and other stakeholder group contributions will build on and contribute to other ISO efforts </w:t>
      </w:r>
      <w:r w:rsidRPr="00AE5C98">
        <w:t xml:space="preserve">to address these </w:t>
      </w:r>
      <w:r w:rsidRPr="00653913">
        <w:t xml:space="preserve">challenges. </w:t>
      </w:r>
    </w:p>
    <w:p w:rsidR="00F27B97" w:rsidRPr="00F85C18" w:rsidRDefault="00F27B97" w:rsidP="00F27B97">
      <w:pPr>
        <w:pStyle w:val="Heading3"/>
        <w:rPr>
          <w:rFonts w:asciiTheme="minorHAnsi" w:hAnsiTheme="minorHAnsi"/>
        </w:rPr>
      </w:pPr>
      <w:bookmarkStart w:id="244" w:name="_Toc396807615"/>
      <w:r w:rsidRPr="00B54FA4">
        <w:rPr>
          <w:rFonts w:asciiTheme="minorHAnsi" w:hAnsiTheme="minorHAnsi"/>
        </w:rPr>
        <w:t>Development of a PV Forecast Methodology</w:t>
      </w:r>
      <w:bookmarkEnd w:id="244"/>
    </w:p>
    <w:p w:rsidR="00F27B97" w:rsidRDefault="00F27B97" w:rsidP="00F27B97">
      <w:pPr>
        <w:rPr>
          <w:rFonts w:asciiTheme="majorHAnsi" w:hAnsiTheme="majorHAnsi"/>
          <w:szCs w:val="22"/>
        </w:rPr>
      </w:pPr>
      <w:r>
        <w:t xml:space="preserve">The creation of a </w:t>
      </w:r>
      <w:r w:rsidRPr="002E0543">
        <w:t xml:space="preserve">PV forecast is exceptionally complicated. The viability of </w:t>
      </w:r>
      <w:r>
        <w:t xml:space="preserve">PV </w:t>
      </w:r>
      <w:r w:rsidRPr="002E0543">
        <w:t xml:space="preserve">development depends on a complex interaction between both public </w:t>
      </w:r>
      <w:r>
        <w:t xml:space="preserve">policy </w:t>
      </w:r>
      <w:r w:rsidRPr="002E0543">
        <w:t xml:space="preserve">and private investment. The </w:t>
      </w:r>
      <w:r>
        <w:t>unknown future costs</w:t>
      </w:r>
      <w:r w:rsidRPr="002E0543">
        <w:t xml:space="preserve"> of PV and advances in its technology create additional uncertainties affecting the potential and realizable </w:t>
      </w:r>
      <w:r w:rsidRPr="00A90D75">
        <w:t xml:space="preserve">amounts of PV development. </w:t>
      </w:r>
      <w:r w:rsidR="00113C54" w:rsidRPr="00A90D75">
        <w:t>Further, as an intermittent resource (i.e., subject to variations in “fuel” determined by weather), the seasonal and diurnal fluctuations of the solar resource are important considerations</w:t>
      </w:r>
      <w:r w:rsidRPr="00A90D75">
        <w:t>. Therefore, the amounts, timing, performance characteristics, and geographic distribution</w:t>
      </w:r>
      <w:r w:rsidRPr="002E0543">
        <w:t xml:space="preserve"> of future PV development are all factors that </w:t>
      </w:r>
      <w:proofErr w:type="gramStart"/>
      <w:r w:rsidRPr="002E0543">
        <w:t xml:space="preserve">must be </w:t>
      </w:r>
      <w:r>
        <w:t>considered</w:t>
      </w:r>
      <w:proofErr w:type="gramEnd"/>
      <w:r>
        <w:t xml:space="preserve"> in a PV forecast. Working through the DGFWG, the ISO determined that its first step would be </w:t>
      </w:r>
      <w:r w:rsidRPr="008F014D">
        <w:t>to develop a</w:t>
      </w:r>
      <w:r w:rsidR="00C50436" w:rsidRPr="008F014D">
        <w:t xml:space="preserve"> q</w:t>
      </w:r>
      <w:r w:rsidRPr="008F014D">
        <w:t>ualitative DG forecast focusing exclusively on PV. Moreover, because of the noted</w:t>
      </w:r>
      <w:r>
        <w:t xml:space="preserve"> complexities, the PV forecast would be limited to PV that results from New England state policies.</w:t>
      </w:r>
    </w:p>
    <w:p w:rsidR="00F27B97" w:rsidRPr="00F85C18" w:rsidRDefault="00F27B97" w:rsidP="00F27B97">
      <w:pPr>
        <w:pStyle w:val="Heading3"/>
      </w:pPr>
      <w:bookmarkStart w:id="245" w:name="_Toc396807616"/>
      <w:r w:rsidRPr="00F85C18">
        <w:t>Data Collection</w:t>
      </w:r>
      <w:bookmarkEnd w:id="245"/>
    </w:p>
    <w:p w:rsidR="00F27B97" w:rsidRDefault="00F27B97" w:rsidP="00F27B97">
      <w:r w:rsidRPr="00FC0E91">
        <w:t>The first step in develop</w:t>
      </w:r>
      <w:r>
        <w:t>ing</w:t>
      </w:r>
      <w:r w:rsidRPr="00FC0E91">
        <w:t xml:space="preserve"> </w:t>
      </w:r>
      <w:r>
        <w:t>the</w:t>
      </w:r>
      <w:r w:rsidRPr="00FC0E91">
        <w:t xml:space="preserve"> PV forecast was the compilation of information on state PV policy </w:t>
      </w:r>
      <w:r w:rsidR="00727AF2">
        <w:t>goals</w:t>
      </w:r>
      <w:r w:rsidR="00622ABD">
        <w:t xml:space="preserve"> </w:t>
      </w:r>
      <w:r w:rsidR="00727AF2">
        <w:t>as a part of the</w:t>
      </w:r>
      <w:r w:rsidR="00406B7F">
        <w:t xml:space="preserve"> states’</w:t>
      </w:r>
      <w:r w:rsidR="00727AF2">
        <w:t xml:space="preserve"> objectives </w:t>
      </w:r>
      <w:r w:rsidR="00727AF2" w:rsidRPr="008F014D">
        <w:t xml:space="preserve">for developing </w:t>
      </w:r>
      <w:r w:rsidR="00C50436" w:rsidRPr="008F014D">
        <w:t>renewable resources</w:t>
      </w:r>
      <w:r w:rsidR="008F014D" w:rsidRPr="008F014D">
        <w:t>.</w:t>
      </w:r>
      <w:r w:rsidRPr="008F014D">
        <w:t xml:space="preserve"> To</w:t>
      </w:r>
      <w:r w:rsidRPr="00FC0E91">
        <w:t xml:space="preserve"> this end, the ISO </w:t>
      </w:r>
      <w:r w:rsidRPr="00625E84">
        <w:t xml:space="preserve">surveyed states for details on their specific PV policies, as well as distribution utilities to identify existing </w:t>
      </w:r>
      <w:r w:rsidR="00274428" w:rsidRPr="00625E84">
        <w:t>amounts of PV resources and those in the ISO Generator Interconnection Queue</w:t>
      </w:r>
      <w:r w:rsidR="004C7535" w:rsidRPr="00625E84">
        <w:t xml:space="preserve"> (the queue)</w:t>
      </w:r>
      <w:r w:rsidR="00274428" w:rsidRPr="00625E84">
        <w:t>.</w:t>
      </w:r>
      <w:r w:rsidR="00274428" w:rsidRPr="009469AB">
        <w:rPr>
          <w:rStyle w:val="FootnoteReference"/>
          <w:rFonts w:asciiTheme="minorHAnsi" w:hAnsiTheme="minorHAnsi"/>
        </w:rPr>
        <w:footnoteReference w:id="122"/>
      </w:r>
      <w:r w:rsidRPr="00FC0E91">
        <w:t xml:space="preserve"> </w:t>
      </w:r>
    </w:p>
    <w:p w:rsidR="00F27B97" w:rsidRDefault="00F27B97" w:rsidP="00F27B97">
      <w:pPr>
        <w:pStyle w:val="Heading3"/>
      </w:pPr>
      <w:bookmarkStart w:id="246" w:name="_Toc396807617"/>
      <w:r w:rsidRPr="00B54FA4">
        <w:t>PV Forecast</w:t>
      </w:r>
      <w:bookmarkEnd w:id="246"/>
    </w:p>
    <w:p w:rsidR="00F27B97" w:rsidRPr="002E0543" w:rsidRDefault="00F27B97" w:rsidP="00F27B97">
      <w:r w:rsidRPr="002E0543">
        <w:t xml:space="preserve">The ISO </w:t>
      </w:r>
      <w:r>
        <w:t xml:space="preserve">based its PV </w:t>
      </w:r>
      <w:r w:rsidRPr="002E0543">
        <w:t>estimate</w:t>
      </w:r>
      <w:r>
        <w:t xml:space="preserve">s </w:t>
      </w:r>
      <w:r w:rsidRPr="00C234FD">
        <w:t>on</w:t>
      </w:r>
      <w:r w:rsidRPr="002E0543">
        <w:t xml:space="preserve"> </w:t>
      </w:r>
      <w:r>
        <w:t xml:space="preserve">the states’ </w:t>
      </w:r>
      <w:r w:rsidRPr="002E0543">
        <w:t xml:space="preserve">policy goals and adjusted the </w:t>
      </w:r>
      <w:r>
        <w:t>megawatt</w:t>
      </w:r>
      <w:r w:rsidRPr="002E0543">
        <w:t xml:space="preserve"> amounts for various factors</w:t>
      </w:r>
      <w:r>
        <w:t>,</w:t>
      </w:r>
      <w:r w:rsidRPr="002E0543">
        <w:t xml:space="preserve"> including a DC</w:t>
      </w:r>
      <w:r>
        <w:t>-</w:t>
      </w:r>
      <w:r w:rsidRPr="002E0543">
        <w:t>to</w:t>
      </w:r>
      <w:r>
        <w:t>-</w:t>
      </w:r>
      <w:r w:rsidRPr="002E0543">
        <w:t xml:space="preserve">AC </w:t>
      </w:r>
      <w:r>
        <w:t xml:space="preserve">nameplate </w:t>
      </w:r>
      <w:r w:rsidRPr="002E0543">
        <w:t xml:space="preserve">conversion </w:t>
      </w:r>
      <w:r w:rsidRPr="00B54FA4">
        <w:t xml:space="preserve">rate (where appropriate) and the application of the </w:t>
      </w:r>
      <w:r w:rsidRPr="00835B4D">
        <w:t xml:space="preserve">tariff-driven summer seasonal claimed capability </w:t>
      </w:r>
      <w:r w:rsidR="00D57DFB" w:rsidRPr="00D57DFB">
        <w:t>(SSCC)</w:t>
      </w:r>
      <w:r w:rsidRPr="00835B4D">
        <w:t xml:space="preserve"> factor</w:t>
      </w:r>
      <w:r w:rsidR="00D57DFB" w:rsidRPr="00D57DFB">
        <w:t>.</w:t>
      </w:r>
      <w:r w:rsidR="00D24CD4" w:rsidRPr="00835B4D">
        <w:rPr>
          <w:rStyle w:val="FootnoteReference"/>
        </w:rPr>
        <w:footnoteReference w:id="123"/>
      </w:r>
      <w:r w:rsidRPr="00835B4D">
        <w:t xml:space="preserve"> Importantly, because most states do not</w:t>
      </w:r>
      <w:r w:rsidRPr="002E0543">
        <w:t xml:space="preserve"> have PV-focused policies that extend through the ISO’s </w:t>
      </w:r>
      <w:r>
        <w:t>10</w:t>
      </w:r>
      <w:r w:rsidRPr="002E0543">
        <w:t xml:space="preserve">-year forecast horizon, the ISO assumed that PV would be installed at a constant rate equal to the last available policy year. However, because </w:t>
      </w:r>
      <w:r>
        <w:t xml:space="preserve">of </w:t>
      </w:r>
      <w:r w:rsidRPr="002E0543">
        <w:t xml:space="preserve">significant uncertainty </w:t>
      </w:r>
      <w:r>
        <w:t xml:space="preserve">regarding how much PV existing and </w:t>
      </w:r>
      <w:r w:rsidRPr="002E0543">
        <w:t>future PV polic</w:t>
      </w:r>
      <w:r>
        <w:t>ies will ultimately support</w:t>
      </w:r>
      <w:r w:rsidRPr="002E0543">
        <w:t xml:space="preserve">, </w:t>
      </w:r>
      <w:r>
        <w:t xml:space="preserve">the ISO-applied </w:t>
      </w:r>
      <w:r w:rsidRPr="002E0543">
        <w:t xml:space="preserve">discount </w:t>
      </w:r>
      <w:r w:rsidRPr="00F20745">
        <w:t>factors to the PV estimates. The</w:t>
      </w:r>
      <w:r>
        <w:t xml:space="preserve"> discount factors are in addition to the </w:t>
      </w:r>
      <w:r w:rsidRPr="00B54FA4">
        <w:t>above-noted</w:t>
      </w:r>
      <w:r w:rsidRPr="00BD0810">
        <w:t xml:space="preserve"> adjustment factors.</w:t>
      </w:r>
      <w:r w:rsidRPr="00BD0810">
        <w:rPr>
          <w:rStyle w:val="FootnoteReference"/>
        </w:rPr>
        <w:footnoteReference w:id="124"/>
      </w:r>
      <w:r>
        <w:t xml:space="preserve"> </w:t>
      </w:r>
    </w:p>
    <w:p w:rsidR="00F27B97" w:rsidRPr="00C0405B" w:rsidRDefault="00F27B97" w:rsidP="00F27B97">
      <w:r w:rsidRPr="00C0405B">
        <w:t xml:space="preserve">In general, discount factors </w:t>
      </w:r>
      <w:proofErr w:type="gramStart"/>
      <w:r w:rsidRPr="00C0405B">
        <w:t>are applied</w:t>
      </w:r>
      <w:proofErr w:type="gramEnd"/>
      <w:r w:rsidRPr="00C0405B">
        <w:t xml:space="preserve"> to forecast values of policy-supported </w:t>
      </w:r>
      <w:r>
        <w:t>megawatts</w:t>
      </w:r>
      <w:r w:rsidRPr="00C0405B">
        <w:t xml:space="preserve"> of PV, are applied equally in all states, </w:t>
      </w:r>
      <w:r w:rsidRPr="00BD0810">
        <w:t xml:space="preserve">and </w:t>
      </w:r>
      <w:r>
        <w:t xml:space="preserve">increase </w:t>
      </w:r>
      <w:r w:rsidRPr="00BD0810">
        <w:t>annually</w:t>
      </w:r>
      <w:r>
        <w:t>—</w:t>
      </w:r>
      <w:r w:rsidRPr="00BD0810">
        <w:t>over time</w:t>
      </w:r>
      <w:r w:rsidRPr="0060097F">
        <w:t xml:space="preserve">, </w:t>
      </w:r>
      <w:r w:rsidR="00D57DFB" w:rsidRPr="00D57DFB">
        <w:t>as much as</w:t>
      </w:r>
      <w:r w:rsidRPr="00C0405B">
        <w:t xml:space="preserve"> 25%. PV forecast</w:t>
      </w:r>
      <w:r>
        <w:t>ed</w:t>
      </w:r>
      <w:r w:rsidRPr="00C0405B">
        <w:t xml:space="preserve"> beyond the existing state program duration is more heavily discounted (75%)</w:t>
      </w:r>
      <w:r>
        <w:t xml:space="preserve"> because of </w:t>
      </w:r>
      <w:r w:rsidRPr="00C0405B">
        <w:t xml:space="preserve">a much higher degree of </w:t>
      </w:r>
      <w:r w:rsidRPr="00810E22">
        <w:t xml:space="preserve">uncertainty in forecasting future policy and market/price conditions necessary to support the continued development of PV. </w:t>
      </w:r>
      <w:fldSimple w:instr=" REF _Ref385688641 \h  \* MERGEFORMAT ">
        <w:r w:rsidR="00284CE3">
          <w:t xml:space="preserve">Table </w:t>
        </w:r>
        <w:r w:rsidR="00284CE3">
          <w:rPr>
            <w:noProof/>
          </w:rPr>
          <w:t>3</w:t>
        </w:r>
        <w:r w:rsidR="00284CE3">
          <w:rPr>
            <w:noProof/>
          </w:rPr>
          <w:noBreakHyphen/>
          <w:t>7</w:t>
        </w:r>
      </w:fldSimple>
      <w:r w:rsidRPr="00810E22">
        <w:t xml:space="preserve"> shows the discount </w:t>
      </w:r>
      <w:r w:rsidRPr="004F6CEE">
        <w:t>factor percentages for state policy-supported megawatts of PV from 2013 to 2023 and for post-policy years for the known policy years.</w:t>
      </w:r>
      <w:r w:rsidRPr="004F6CEE">
        <w:rPr>
          <w:rStyle w:val="FootnoteReference"/>
        </w:rPr>
        <w:footnoteReference w:id="125"/>
      </w:r>
      <w:r>
        <w:t xml:space="preserve"> </w:t>
      </w:r>
      <w:r w:rsidRPr="004F6CEE">
        <w:t>The ISO applied these discount rates to the future projections of PV growth in New England.</w:t>
      </w:r>
    </w:p>
    <w:p w:rsidR="00F27B97" w:rsidRDefault="00F27B97" w:rsidP="00F27B97">
      <w:pPr>
        <w:pStyle w:val="Caption"/>
        <w:rPr>
          <w:rFonts w:asciiTheme="majorHAnsi" w:hAnsiTheme="majorHAnsi"/>
          <w:color w:val="FF0000"/>
          <w:szCs w:val="22"/>
        </w:rPr>
      </w:pPr>
      <w:bookmarkStart w:id="247" w:name="_Ref385688641"/>
      <w:bookmarkStart w:id="248" w:name="_Toc391985601"/>
      <w:r>
        <w:t xml:space="preserve">Table </w:t>
      </w:r>
      <w:r w:rsidR="00927965">
        <w:fldChar w:fldCharType="begin"/>
      </w:r>
      <w:r w:rsidR="00BD7584">
        <w:instrText xml:space="preserve"> STYLEREF 1 \s </w:instrText>
      </w:r>
      <w:r w:rsidR="00927965">
        <w:fldChar w:fldCharType="separate"/>
      </w:r>
      <w:r w:rsidR="00284CE3">
        <w:rPr>
          <w:noProof/>
        </w:rPr>
        <w:t>3</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7</w:t>
      </w:r>
      <w:r w:rsidR="00927965">
        <w:fldChar w:fldCharType="end"/>
      </w:r>
      <w:bookmarkEnd w:id="247"/>
      <w:r>
        <w:br/>
      </w:r>
      <w:r w:rsidRPr="00B54FA4">
        <w:t>Discount Factor Percentages for New England State Policy-Supported Megawatts of PV</w:t>
      </w:r>
      <w:proofErr w:type="gramStart"/>
      <w:r w:rsidRPr="00B54FA4">
        <w:t>,</w:t>
      </w:r>
      <w:proofErr w:type="gramEnd"/>
      <w:r w:rsidRPr="00B54FA4">
        <w:br/>
        <w:t>2013 to 2023 and Post-</w:t>
      </w:r>
      <w:r w:rsidR="000364A7">
        <w:t>P</w:t>
      </w:r>
      <w:r w:rsidRPr="00B54FA4">
        <w:t xml:space="preserve">olicy </w:t>
      </w:r>
      <w:r w:rsidR="000364A7">
        <w:t>Y</w:t>
      </w:r>
      <w:r w:rsidRPr="00B54FA4">
        <w:t>ears</w:t>
      </w:r>
      <w:bookmarkEnd w:id="248"/>
      <w:r>
        <w:t xml:space="preserve"> </w:t>
      </w:r>
    </w:p>
    <w:tbl>
      <w:tblPr>
        <w:tblStyle w:val="TableGrid"/>
        <w:tblW w:w="9814" w:type="dxa"/>
        <w:jc w:val="center"/>
        <w:tblInd w:w="-265" w:type="dxa"/>
        <w:tblLook w:val="04A0"/>
      </w:tblPr>
      <w:tblGrid>
        <w:gridCol w:w="1323"/>
        <w:gridCol w:w="794"/>
        <w:gridCol w:w="794"/>
        <w:gridCol w:w="794"/>
        <w:gridCol w:w="794"/>
        <w:gridCol w:w="794"/>
        <w:gridCol w:w="794"/>
        <w:gridCol w:w="794"/>
        <w:gridCol w:w="794"/>
        <w:gridCol w:w="659"/>
        <w:gridCol w:w="659"/>
        <w:gridCol w:w="821"/>
      </w:tblGrid>
      <w:tr w:rsidR="00F27B97" w:rsidRPr="00F723C5" w:rsidTr="00BC444C">
        <w:trPr>
          <w:trHeight w:val="359"/>
          <w:jc w:val="center"/>
        </w:trPr>
        <w:tc>
          <w:tcPr>
            <w:tcW w:w="8993" w:type="dxa"/>
            <w:gridSpan w:val="11"/>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Policy-Based MW Percentage</w:t>
            </w:r>
          </w:p>
        </w:tc>
        <w:tc>
          <w:tcPr>
            <w:tcW w:w="821" w:type="dxa"/>
            <w:vMerge w:val="restart"/>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Post-Policy MW %</w:t>
            </w:r>
          </w:p>
        </w:tc>
      </w:tr>
      <w:tr w:rsidR="00F27B97" w:rsidRPr="00F723C5" w:rsidTr="00BC444C">
        <w:trPr>
          <w:trHeight w:val="341"/>
          <w:jc w:val="center"/>
        </w:trPr>
        <w:tc>
          <w:tcPr>
            <w:tcW w:w="1323"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Through 2013</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2014</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2015</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2016</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2017</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2018</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2019</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2020</w:t>
            </w:r>
          </w:p>
        </w:tc>
        <w:tc>
          <w:tcPr>
            <w:tcW w:w="794"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2021</w:t>
            </w:r>
          </w:p>
        </w:tc>
        <w:tc>
          <w:tcPr>
            <w:tcW w:w="659"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2022</w:t>
            </w:r>
          </w:p>
        </w:tc>
        <w:tc>
          <w:tcPr>
            <w:tcW w:w="659" w:type="dxa"/>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b/>
                <w:color w:val="FFFFFF" w:themeColor="background1"/>
                <w:sz w:val="18"/>
                <w:szCs w:val="18"/>
              </w:rPr>
            </w:pPr>
            <w:r w:rsidRPr="00F723C5">
              <w:rPr>
                <w:rFonts w:asciiTheme="minorHAnsi" w:hAnsiTheme="minorHAnsi"/>
                <w:b/>
                <w:color w:val="FFFFFF" w:themeColor="background1"/>
                <w:sz w:val="18"/>
                <w:szCs w:val="18"/>
              </w:rPr>
              <w:t>2023</w:t>
            </w:r>
          </w:p>
        </w:tc>
        <w:tc>
          <w:tcPr>
            <w:tcW w:w="821" w:type="dxa"/>
            <w:vMerge/>
            <w:shd w:val="clear" w:color="auto" w:fill="85AFF2" w:themeFill="text2" w:themeFillTint="66"/>
            <w:vAlign w:val="center"/>
          </w:tcPr>
          <w:p w:rsidR="00F27B97" w:rsidRPr="00F723C5" w:rsidRDefault="00F27B97" w:rsidP="008B1384">
            <w:pPr>
              <w:spacing w:before="20" w:after="20" w:line="240" w:lineRule="auto"/>
              <w:jc w:val="center"/>
              <w:rPr>
                <w:rFonts w:asciiTheme="minorHAnsi" w:hAnsiTheme="minorHAnsi"/>
                <w:color w:val="FFFFFF" w:themeColor="background1"/>
                <w:sz w:val="18"/>
                <w:szCs w:val="18"/>
              </w:rPr>
            </w:pPr>
          </w:p>
        </w:tc>
      </w:tr>
      <w:tr w:rsidR="00F27B97" w:rsidRPr="004B19F6" w:rsidTr="00BC444C">
        <w:trPr>
          <w:jc w:val="center"/>
        </w:trPr>
        <w:tc>
          <w:tcPr>
            <w:tcW w:w="1323" w:type="dxa"/>
            <w:vAlign w:val="center"/>
          </w:tcPr>
          <w:p w:rsidR="00F27B97" w:rsidRPr="004B19F6" w:rsidRDefault="00F27B97" w:rsidP="008B1384">
            <w:pPr>
              <w:spacing w:before="20" w:after="20" w:line="240" w:lineRule="auto"/>
              <w:rPr>
                <w:rFonts w:asciiTheme="minorHAnsi" w:hAnsiTheme="minorHAnsi"/>
                <w:color w:val="000000" w:themeColor="text1"/>
                <w:sz w:val="18"/>
                <w:szCs w:val="18"/>
              </w:rPr>
            </w:pPr>
            <w:r w:rsidRPr="004B19F6">
              <w:rPr>
                <w:rFonts w:asciiTheme="minorHAnsi" w:hAnsiTheme="minorHAnsi"/>
                <w:color w:val="000000" w:themeColor="text1"/>
                <w:sz w:val="18"/>
                <w:szCs w:val="18"/>
              </w:rPr>
              <w:t>0%, but utility data must confirm</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10%</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15%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20%</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794"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659"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659"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25%</w:t>
            </w:r>
          </w:p>
        </w:tc>
        <w:tc>
          <w:tcPr>
            <w:tcW w:w="821" w:type="dxa"/>
            <w:vAlign w:val="center"/>
          </w:tcPr>
          <w:p w:rsidR="00F27B97" w:rsidRPr="004B19F6" w:rsidRDefault="00F27B97" w:rsidP="008B1384">
            <w:pPr>
              <w:spacing w:before="20" w:after="20" w:line="240" w:lineRule="auto"/>
              <w:jc w:val="center"/>
              <w:rPr>
                <w:rFonts w:asciiTheme="minorHAnsi" w:eastAsia="Calibri" w:hAnsiTheme="minorHAnsi"/>
                <w:color w:val="000000" w:themeColor="text1"/>
                <w:sz w:val="18"/>
                <w:szCs w:val="18"/>
              </w:rPr>
            </w:pPr>
            <w:r w:rsidRPr="004B19F6">
              <w:rPr>
                <w:rFonts w:asciiTheme="minorHAnsi" w:hAnsiTheme="minorHAnsi"/>
                <w:color w:val="000000" w:themeColor="text1"/>
                <w:sz w:val="18"/>
                <w:szCs w:val="18"/>
              </w:rPr>
              <w:t>75%</w:t>
            </w:r>
          </w:p>
        </w:tc>
      </w:tr>
    </w:tbl>
    <w:p w:rsidR="00F27B97" w:rsidRDefault="00F27B97" w:rsidP="00F27B97"/>
    <w:p w:rsidR="00F27B97" w:rsidRDefault="00927965" w:rsidP="00F27B97">
      <w:r>
        <w:fldChar w:fldCharType="begin"/>
      </w:r>
      <w:r w:rsidR="00F27B97">
        <w:instrText xml:space="preserve"> REF _Ref385688749 \h </w:instrText>
      </w:r>
      <w:r>
        <w:fldChar w:fldCharType="separate"/>
      </w:r>
      <w:r w:rsidR="00284CE3">
        <w:t xml:space="preserve">Table </w:t>
      </w:r>
      <w:r w:rsidR="00284CE3">
        <w:rPr>
          <w:noProof/>
        </w:rPr>
        <w:t>3</w:t>
      </w:r>
      <w:r w:rsidR="00284CE3">
        <w:noBreakHyphen/>
      </w:r>
      <w:r w:rsidR="00284CE3">
        <w:rPr>
          <w:noProof/>
        </w:rPr>
        <w:t>8</w:t>
      </w:r>
      <w:r>
        <w:fldChar w:fldCharType="end"/>
      </w:r>
      <w:r w:rsidR="00F27B97">
        <w:t xml:space="preserve"> lists the state-by-state annual and cumulative PV nameplate capacities, after applying discount factors, forecast through the 10-year planning horizon. These </w:t>
      </w:r>
      <w:r w:rsidR="00F27B97" w:rsidRPr="00113530">
        <w:t xml:space="preserve">projections </w:t>
      </w:r>
      <w:r w:rsidR="00F27B97">
        <w:t xml:space="preserve">include all existing and future PV in the FCM, as well as PV that does </w:t>
      </w:r>
      <w:r w:rsidR="00F27B97" w:rsidRPr="00113530">
        <w:t xml:space="preserve">and </w:t>
      </w:r>
      <w:r w:rsidR="00F27B97" w:rsidRPr="00B54FA4">
        <w:t>does</w:t>
      </w:r>
      <w:r w:rsidR="00F27B97">
        <w:t xml:space="preserve"> not participate in the ISO’s wholesale energy markets </w:t>
      </w:r>
      <w:r w:rsidR="00F27B97" w:rsidRPr="00113530">
        <w:t>and th</w:t>
      </w:r>
      <w:r w:rsidR="00F27B97">
        <w:t xml:space="preserve">at reduces the load the ISO </w:t>
      </w:r>
      <w:r w:rsidR="00F27B97" w:rsidRPr="00113530">
        <w:t>observes</w:t>
      </w:r>
      <w:r w:rsidR="00F27B97">
        <w:t xml:space="preserve">. </w:t>
      </w:r>
      <w:r w:rsidR="002B7F5D">
        <w:t>The table also lists t</w:t>
      </w:r>
      <w:r w:rsidR="00F27B97" w:rsidRPr="00113530">
        <w:t>he</w:t>
      </w:r>
      <w:r w:rsidR="00F27B97">
        <w:t xml:space="preserve"> corresponding total estimated </w:t>
      </w:r>
      <w:r w:rsidR="00F27B97" w:rsidRPr="00B54FA4">
        <w:t>summer seasonal claimed capability</w:t>
      </w:r>
      <w:r w:rsidR="00F27B97">
        <w:t xml:space="preserve"> of the annual and cumulative capacities</w:t>
      </w:r>
      <w:r w:rsidR="002B7F5D">
        <w:t xml:space="preserve">, which </w:t>
      </w:r>
      <w:r w:rsidR="00F27B97">
        <w:t>assume a 35</w:t>
      </w:r>
      <w:r w:rsidR="00F27B97" w:rsidRPr="00333123">
        <w:t xml:space="preserve">% </w:t>
      </w:r>
      <w:r w:rsidR="00963B34" w:rsidRPr="00333123">
        <w:t>AC</w:t>
      </w:r>
      <w:r w:rsidR="00F27B97" w:rsidRPr="00333123">
        <w:t xml:space="preserve"> nameplate</w:t>
      </w:r>
      <w:r w:rsidR="00F27B97">
        <w:t>-to-</w:t>
      </w:r>
      <w:r w:rsidR="00F27B97" w:rsidRPr="00B54FA4">
        <w:t>SSCC</w:t>
      </w:r>
      <w:r w:rsidR="00F27B97">
        <w:t xml:space="preserve"> ratio</w:t>
      </w:r>
      <w:r w:rsidR="00F27B97" w:rsidRPr="00113530">
        <w:t>.</w:t>
      </w:r>
      <w:r w:rsidR="00F27B97">
        <w:rPr>
          <w:rStyle w:val="FootnoteReference"/>
        </w:rPr>
        <w:footnoteReference w:id="126"/>
      </w:r>
      <w:r w:rsidR="00F27B97" w:rsidRPr="008E575A">
        <w:t xml:space="preserve"> </w:t>
      </w:r>
      <w:r w:rsidR="00F27B97">
        <w:t xml:space="preserve">Solar typically has a zero or negligible winter SCC. </w:t>
      </w:r>
    </w:p>
    <w:p w:rsidR="00B4202D" w:rsidRDefault="00F27B97">
      <w:pPr>
        <w:pStyle w:val="Caption"/>
        <w:widowControl w:val="0"/>
        <w:ind w:left="0" w:right="0"/>
        <w:rPr>
          <w:rFonts w:asciiTheme="majorHAnsi" w:hAnsiTheme="majorHAnsi"/>
          <w:color w:val="FF0000"/>
          <w:szCs w:val="22"/>
        </w:rPr>
      </w:pPr>
      <w:bookmarkStart w:id="249" w:name="_Ref385688749"/>
      <w:bookmarkStart w:id="250" w:name="_Toc391985602"/>
      <w:r>
        <w:t xml:space="preserve">Table </w:t>
      </w:r>
      <w:r w:rsidR="00927965">
        <w:fldChar w:fldCharType="begin"/>
      </w:r>
      <w:r w:rsidR="00BD7584">
        <w:instrText xml:space="preserve"> STYLEREF 1 \s </w:instrText>
      </w:r>
      <w:r w:rsidR="00927965">
        <w:fldChar w:fldCharType="separate"/>
      </w:r>
      <w:r w:rsidR="00284CE3">
        <w:rPr>
          <w:noProof/>
        </w:rPr>
        <w:t>3</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8</w:t>
      </w:r>
      <w:r w:rsidR="00927965">
        <w:fldChar w:fldCharType="end"/>
      </w:r>
      <w:bookmarkEnd w:id="249"/>
      <w:r>
        <w:br/>
        <w:t>State-by-State Annual and Cumulative PV Nameplate Capacity Forecast</w:t>
      </w:r>
      <w:r>
        <w:br/>
        <w:t>after Applying Discount Factors, 2013 to 2023 (MW</w:t>
      </w:r>
      <w:r w:rsidRPr="00B54FA4">
        <w:rPr>
          <w:vertAlign w:val="subscript"/>
        </w:rPr>
        <w:t>AC</w:t>
      </w:r>
      <w:r>
        <w:t>)</w:t>
      </w:r>
      <w:bookmarkEnd w:id="250"/>
    </w:p>
    <w:tbl>
      <w:tblPr>
        <w:tblW w:w="10510" w:type="dxa"/>
        <w:jc w:val="center"/>
        <w:tblInd w:w="2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16" w:type="dxa"/>
          <w:right w:w="115" w:type="dxa"/>
        </w:tblCellMar>
        <w:tblLook w:val="04A0"/>
      </w:tblPr>
      <w:tblGrid>
        <w:gridCol w:w="986"/>
        <w:gridCol w:w="887"/>
        <w:gridCol w:w="747"/>
        <w:gridCol w:w="780"/>
        <w:gridCol w:w="821"/>
        <w:gridCol w:w="850"/>
        <w:gridCol w:w="821"/>
        <w:gridCol w:w="821"/>
        <w:gridCol w:w="821"/>
        <w:gridCol w:w="821"/>
        <w:gridCol w:w="821"/>
        <w:gridCol w:w="821"/>
        <w:gridCol w:w="821"/>
      </w:tblGrid>
      <w:tr w:rsidR="00270876" w:rsidRPr="00270876" w:rsidTr="00715A4B">
        <w:trPr>
          <w:trHeight w:val="288"/>
          <w:jc w:val="center"/>
        </w:trPr>
        <w:tc>
          <w:tcPr>
            <w:tcW w:w="915" w:type="dxa"/>
            <w:vMerge w:val="restart"/>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States</w:t>
            </w:r>
          </w:p>
        </w:tc>
        <w:tc>
          <w:tcPr>
            <w:tcW w:w="8774" w:type="dxa"/>
            <w:gridSpan w:val="11"/>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Annual Total MW (MW, AC nameplate rating)</w:t>
            </w:r>
          </w:p>
        </w:tc>
        <w:tc>
          <w:tcPr>
            <w:tcW w:w="821" w:type="dxa"/>
            <w:vMerge w:val="restart"/>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Totals</w:t>
            </w:r>
          </w:p>
        </w:tc>
      </w:tr>
      <w:tr w:rsidR="00270876" w:rsidRPr="00270876" w:rsidTr="00715A4B">
        <w:trPr>
          <w:trHeight w:val="420"/>
          <w:jc w:val="center"/>
        </w:trPr>
        <w:tc>
          <w:tcPr>
            <w:tcW w:w="915" w:type="dxa"/>
            <w:vMerge/>
            <w:shd w:val="clear" w:color="auto" w:fill="85AFF2" w:themeFill="text2" w:themeFillTint="66"/>
            <w:vAlign w:val="center"/>
            <w:hideMark/>
          </w:tcPr>
          <w:p w:rsidR="00B4202D" w:rsidRDefault="00B4202D">
            <w:pPr>
              <w:keepNext/>
              <w:keepLines/>
              <w:widowControl w:val="0"/>
              <w:spacing w:before="20" w:after="20" w:line="240" w:lineRule="auto"/>
              <w:rPr>
                <w:rFonts w:asciiTheme="minorHAnsi" w:eastAsia="Times New Roman" w:hAnsiTheme="minorHAnsi" w:cs="Arial"/>
                <w:b/>
                <w:bCs/>
                <w:sz w:val="16"/>
                <w:szCs w:val="16"/>
              </w:rPr>
            </w:pPr>
          </w:p>
        </w:tc>
        <w:tc>
          <w:tcPr>
            <w:tcW w:w="887" w:type="dxa"/>
            <w:shd w:val="clear" w:color="auto" w:fill="85AFF2" w:themeFill="text2" w:themeFillTint="66"/>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Through 2013</w:t>
            </w:r>
          </w:p>
        </w:tc>
        <w:tc>
          <w:tcPr>
            <w:tcW w:w="747"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2014</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2015</w:t>
            </w:r>
          </w:p>
        </w:tc>
        <w:tc>
          <w:tcPr>
            <w:tcW w:w="81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2016</w:t>
            </w:r>
          </w:p>
        </w:tc>
        <w:tc>
          <w:tcPr>
            <w:tcW w:w="85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2017</w:t>
            </w:r>
          </w:p>
        </w:tc>
        <w:tc>
          <w:tcPr>
            <w:tcW w:w="80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2018</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2019</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2020</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2021</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2022</w:t>
            </w:r>
          </w:p>
        </w:tc>
        <w:tc>
          <w:tcPr>
            <w:tcW w:w="780" w:type="dxa"/>
            <w:shd w:val="clear" w:color="auto" w:fill="85AFF2" w:themeFill="text2" w:themeFillTint="66"/>
            <w:noWrap/>
            <w:vAlign w:val="center"/>
            <w:hideMark/>
          </w:tcPr>
          <w:p w:rsidR="00B4202D" w:rsidRDefault="00703654">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2023</w:t>
            </w:r>
          </w:p>
        </w:tc>
        <w:tc>
          <w:tcPr>
            <w:tcW w:w="821" w:type="dxa"/>
            <w:vMerge/>
            <w:shd w:val="clear" w:color="auto" w:fill="85AFF2" w:themeFill="text2" w:themeFillTint="66"/>
            <w:vAlign w:val="center"/>
            <w:hideMark/>
          </w:tcPr>
          <w:p w:rsidR="00B4202D" w:rsidRDefault="00B4202D">
            <w:pPr>
              <w:keepNext/>
              <w:keepLines/>
              <w:widowControl w:val="0"/>
              <w:spacing w:before="20" w:after="20" w:line="240" w:lineRule="auto"/>
              <w:rPr>
                <w:rFonts w:asciiTheme="minorHAnsi" w:eastAsia="Times New Roman" w:hAnsiTheme="minorHAnsi" w:cs="Arial"/>
                <w:b/>
                <w:bCs/>
                <w:sz w:val="16"/>
                <w:szCs w:val="16"/>
              </w:rPr>
            </w:pP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CT</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73.8</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46.2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39.3</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53.0</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34.7</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34.7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11.6</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345.4</w:t>
            </w: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MA</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361.6</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168.5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117.4</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110.5</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103.6</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98.7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98.7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98.7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32.9</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32.9</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32.9</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1,256.4</w:t>
            </w: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ME</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8.1</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1.9</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1.8</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1.6</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25.2</w:t>
            </w: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NH</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8.2</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2.3</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2.2</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0.7</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0.7</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26.7</w:t>
            </w:r>
          </w:p>
        </w:tc>
      </w:tr>
      <w:tr w:rsidR="00270876" w:rsidRPr="00270876" w:rsidTr="00715A4B">
        <w:trPr>
          <w:trHeight w:val="288"/>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RI</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10.9</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7.3</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5.4</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3.7</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1.2</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35.5</w:t>
            </w:r>
          </w:p>
        </w:tc>
      </w:tr>
      <w:tr w:rsidR="00270876" w:rsidRPr="00270876" w:rsidTr="00715A4B">
        <w:trPr>
          <w:trHeight w:val="300"/>
          <w:jc w:val="center"/>
        </w:trPr>
        <w:tc>
          <w:tcPr>
            <w:tcW w:w="915" w:type="dxa"/>
            <w:shd w:val="clear" w:color="auto" w:fill="auto"/>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VT</w:t>
            </w:r>
          </w:p>
        </w:tc>
        <w:tc>
          <w:tcPr>
            <w:tcW w:w="88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36.1</w:t>
            </w:r>
          </w:p>
        </w:tc>
        <w:tc>
          <w:tcPr>
            <w:tcW w:w="747"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20.1</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13.4</w:t>
            </w:r>
          </w:p>
        </w:tc>
        <w:tc>
          <w:tcPr>
            <w:tcW w:w="81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7.0</w:t>
            </w:r>
          </w:p>
        </w:tc>
        <w:tc>
          <w:tcPr>
            <w:tcW w:w="85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80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6.5</w:t>
            </w:r>
          </w:p>
        </w:tc>
        <w:tc>
          <w:tcPr>
            <w:tcW w:w="780"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sz w:val="16"/>
                <w:szCs w:val="16"/>
              </w:rPr>
            </w:pPr>
            <w:r w:rsidRPr="00270876">
              <w:rPr>
                <w:rFonts w:asciiTheme="minorHAnsi" w:eastAsia="Times New Roman" w:hAnsiTheme="minorHAnsi" w:cs="Arial"/>
                <w:sz w:val="16"/>
                <w:szCs w:val="16"/>
              </w:rPr>
              <w:t>1.7</w:t>
            </w:r>
          </w:p>
        </w:tc>
        <w:tc>
          <w:tcPr>
            <w:tcW w:w="821" w:type="dxa"/>
            <w:shd w:val="clear" w:color="auto" w:fill="auto"/>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117.3</w:t>
            </w:r>
          </w:p>
        </w:tc>
      </w:tr>
      <w:tr w:rsidR="00270876" w:rsidRPr="00270876" w:rsidTr="00715A4B">
        <w:trPr>
          <w:trHeight w:val="300"/>
          <w:jc w:val="center"/>
        </w:trPr>
        <w:tc>
          <w:tcPr>
            <w:tcW w:w="915" w:type="dxa"/>
            <w:shd w:val="clear" w:color="auto" w:fill="C2D7F8" w:themeFill="text2" w:themeFillTint="33"/>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Annual</w:t>
            </w:r>
          </w:p>
        </w:tc>
        <w:tc>
          <w:tcPr>
            <w:tcW w:w="88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498.7</w:t>
            </w:r>
          </w:p>
        </w:tc>
        <w:tc>
          <w:tcPr>
            <w:tcW w:w="74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246.5</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179.6</w:t>
            </w:r>
          </w:p>
        </w:tc>
        <w:tc>
          <w:tcPr>
            <w:tcW w:w="81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178.1</w:t>
            </w:r>
          </w:p>
        </w:tc>
        <w:tc>
          <w:tcPr>
            <w:tcW w:w="85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149.6</w:t>
            </w:r>
          </w:p>
        </w:tc>
        <w:tc>
          <w:tcPr>
            <w:tcW w:w="80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144.8</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123.1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123.1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57.3</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56.0</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49.7</w:t>
            </w:r>
          </w:p>
        </w:tc>
        <w:tc>
          <w:tcPr>
            <w:tcW w:w="821"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1,806.5</w:t>
            </w:r>
          </w:p>
        </w:tc>
      </w:tr>
      <w:tr w:rsidR="00270876" w:rsidRPr="00270876" w:rsidTr="00715A4B">
        <w:trPr>
          <w:trHeight w:val="300"/>
          <w:jc w:val="center"/>
        </w:trPr>
        <w:tc>
          <w:tcPr>
            <w:tcW w:w="915" w:type="dxa"/>
            <w:shd w:val="clear" w:color="auto" w:fill="C2D7F8" w:themeFill="text2" w:themeFillTint="33"/>
            <w:noWrap/>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Cumulative</w:t>
            </w:r>
          </w:p>
        </w:tc>
        <w:tc>
          <w:tcPr>
            <w:tcW w:w="88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498.7</w:t>
            </w:r>
          </w:p>
        </w:tc>
        <w:tc>
          <w:tcPr>
            <w:tcW w:w="74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745.2</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924.8</w:t>
            </w:r>
          </w:p>
        </w:tc>
        <w:tc>
          <w:tcPr>
            <w:tcW w:w="81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102.9</w:t>
            </w:r>
          </w:p>
        </w:tc>
        <w:tc>
          <w:tcPr>
            <w:tcW w:w="85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252.5</w:t>
            </w:r>
          </w:p>
        </w:tc>
        <w:tc>
          <w:tcPr>
            <w:tcW w:w="80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397.3</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520.4</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643.6</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700.9</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756.9</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w:t>
            </w:r>
            <w:r w:rsidR="000139C5">
              <w:rPr>
                <w:rFonts w:asciiTheme="minorHAnsi" w:eastAsia="Times New Roman" w:hAnsiTheme="minorHAnsi" w:cs="Arial"/>
                <w:b/>
                <w:bCs/>
                <w:sz w:val="16"/>
                <w:szCs w:val="16"/>
              </w:rPr>
              <w:t>,</w:t>
            </w:r>
            <w:r w:rsidRPr="00270876">
              <w:rPr>
                <w:rFonts w:asciiTheme="minorHAnsi" w:eastAsia="Times New Roman" w:hAnsiTheme="minorHAnsi" w:cs="Arial"/>
                <w:b/>
                <w:bCs/>
                <w:sz w:val="16"/>
                <w:szCs w:val="16"/>
              </w:rPr>
              <w:t>806.5</w:t>
            </w:r>
          </w:p>
        </w:tc>
        <w:tc>
          <w:tcPr>
            <w:tcW w:w="821"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1,806.5</w:t>
            </w:r>
          </w:p>
        </w:tc>
      </w:tr>
      <w:tr w:rsidR="00270876" w:rsidRPr="00270876" w:rsidTr="00715A4B">
        <w:trPr>
          <w:trHeight w:val="184"/>
          <w:jc w:val="center"/>
        </w:trPr>
        <w:tc>
          <w:tcPr>
            <w:tcW w:w="10510" w:type="dxa"/>
            <w:gridSpan w:val="13"/>
            <w:shd w:val="clear" w:color="auto" w:fill="auto"/>
            <w:noWrap/>
            <w:vAlign w:val="center"/>
            <w:hideMark/>
          </w:tcPr>
          <w:p w:rsidR="00B4202D" w:rsidRDefault="00B4202D">
            <w:pPr>
              <w:keepNext/>
              <w:keepLines/>
              <w:widowControl w:val="0"/>
              <w:spacing w:before="20" w:after="20" w:line="240" w:lineRule="auto"/>
              <w:rPr>
                <w:rFonts w:asciiTheme="minorHAnsi" w:eastAsia="Times New Roman" w:hAnsiTheme="minorHAnsi" w:cs="Arial"/>
                <w:sz w:val="16"/>
                <w:szCs w:val="16"/>
              </w:rPr>
            </w:pPr>
          </w:p>
        </w:tc>
      </w:tr>
      <w:tr w:rsidR="00270876" w:rsidRPr="00270876" w:rsidTr="00715A4B">
        <w:trPr>
          <w:trHeight w:val="300"/>
          <w:jc w:val="center"/>
        </w:trPr>
        <w:tc>
          <w:tcPr>
            <w:tcW w:w="10510" w:type="dxa"/>
            <w:gridSpan w:val="13"/>
            <w:shd w:val="clear" w:color="auto" w:fill="85AFF2" w:themeFill="text2" w:themeFillTint="66"/>
            <w:noWrap/>
            <w:vAlign w:val="center"/>
            <w:hideMark/>
          </w:tcPr>
          <w:p w:rsidR="00B4202D" w:rsidRDefault="00DE6EC2">
            <w:pPr>
              <w:keepNext/>
              <w:keepLines/>
              <w:widowControl w:val="0"/>
              <w:spacing w:before="20" w:after="20" w:line="240" w:lineRule="auto"/>
              <w:jc w:val="center"/>
              <w:rPr>
                <w:rFonts w:asciiTheme="minorHAnsi" w:eastAsia="Times New Roman" w:hAnsiTheme="minorHAnsi" w:cs="Arial"/>
                <w:b/>
                <w:bCs/>
                <w:color w:val="FFFFFF" w:themeColor="background1"/>
                <w:sz w:val="16"/>
                <w:szCs w:val="16"/>
              </w:rPr>
            </w:pPr>
            <w:r w:rsidRPr="00270876">
              <w:rPr>
                <w:rFonts w:asciiTheme="minorHAnsi" w:eastAsia="Times New Roman" w:hAnsiTheme="minorHAnsi" w:cs="Arial"/>
                <w:b/>
                <w:bCs/>
                <w:color w:val="FFFFFF" w:themeColor="background1"/>
                <w:sz w:val="16"/>
                <w:szCs w:val="16"/>
              </w:rPr>
              <w:t>Estimated Summer Seasonal Claimed Capability (MW, based on 35% of AC nameplate rating and assuming winter SCC equals zero)</w:t>
            </w:r>
          </w:p>
        </w:tc>
      </w:tr>
      <w:tr w:rsidR="00270876" w:rsidRPr="00270876" w:rsidTr="00715A4B">
        <w:trPr>
          <w:trHeight w:val="288"/>
          <w:jc w:val="center"/>
        </w:trPr>
        <w:tc>
          <w:tcPr>
            <w:tcW w:w="915" w:type="dxa"/>
            <w:shd w:val="clear" w:color="auto" w:fill="C2D7F8" w:themeFill="text2" w:themeFillTint="33"/>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Annual Summer SCC</w:t>
            </w:r>
          </w:p>
        </w:tc>
        <w:tc>
          <w:tcPr>
            <w:tcW w:w="88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174.5</w:t>
            </w:r>
          </w:p>
        </w:tc>
        <w:tc>
          <w:tcPr>
            <w:tcW w:w="74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86.3</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62.9</w:t>
            </w:r>
          </w:p>
        </w:tc>
        <w:tc>
          <w:tcPr>
            <w:tcW w:w="81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62.3</w:t>
            </w:r>
          </w:p>
        </w:tc>
        <w:tc>
          <w:tcPr>
            <w:tcW w:w="85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52.4</w:t>
            </w:r>
          </w:p>
        </w:tc>
        <w:tc>
          <w:tcPr>
            <w:tcW w:w="80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50.7</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43.1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43.1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20.1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19.6</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17.4</w:t>
            </w:r>
          </w:p>
        </w:tc>
        <w:tc>
          <w:tcPr>
            <w:tcW w:w="821"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632.3</w:t>
            </w:r>
          </w:p>
        </w:tc>
      </w:tr>
      <w:tr w:rsidR="00270876" w:rsidRPr="00270876" w:rsidTr="00715A4B">
        <w:trPr>
          <w:trHeight w:val="300"/>
          <w:jc w:val="center"/>
        </w:trPr>
        <w:tc>
          <w:tcPr>
            <w:tcW w:w="915" w:type="dxa"/>
            <w:shd w:val="clear" w:color="auto" w:fill="C2D7F8" w:themeFill="text2" w:themeFillTint="33"/>
            <w:tcMar>
              <w:left w:w="115" w:type="dxa"/>
            </w:tcMar>
            <w:vAlign w:val="center"/>
            <w:hideMark/>
          </w:tcPr>
          <w:p w:rsidR="00B4202D" w:rsidRDefault="00703654">
            <w:pPr>
              <w:keepNext/>
              <w:keepLines/>
              <w:widowControl w:val="0"/>
              <w:spacing w:before="20" w:after="20" w:line="240" w:lineRule="auto"/>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Cumulative Summer SCC</w:t>
            </w:r>
          </w:p>
        </w:tc>
        <w:tc>
          <w:tcPr>
            <w:tcW w:w="88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174.5</w:t>
            </w:r>
          </w:p>
        </w:tc>
        <w:tc>
          <w:tcPr>
            <w:tcW w:w="747"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260.8</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323.7</w:t>
            </w:r>
          </w:p>
        </w:tc>
        <w:tc>
          <w:tcPr>
            <w:tcW w:w="81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386.0</w:t>
            </w:r>
          </w:p>
        </w:tc>
        <w:tc>
          <w:tcPr>
            <w:tcW w:w="85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438.4</w:t>
            </w:r>
          </w:p>
        </w:tc>
        <w:tc>
          <w:tcPr>
            <w:tcW w:w="80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489.0</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532.1</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575.2</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595.3</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614.9</w:t>
            </w:r>
          </w:p>
        </w:tc>
        <w:tc>
          <w:tcPr>
            <w:tcW w:w="780"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632.3</w:t>
            </w:r>
          </w:p>
        </w:tc>
        <w:tc>
          <w:tcPr>
            <w:tcW w:w="821" w:type="dxa"/>
            <w:shd w:val="clear" w:color="auto" w:fill="C2D7F8" w:themeFill="text2" w:themeFillTint="33"/>
            <w:noWrap/>
            <w:vAlign w:val="center"/>
            <w:hideMark/>
          </w:tcPr>
          <w:p w:rsidR="00B4202D" w:rsidRDefault="00703654">
            <w:pPr>
              <w:keepNext/>
              <w:keepLines/>
              <w:widowControl w:val="0"/>
              <w:spacing w:before="20" w:after="20" w:line="240" w:lineRule="auto"/>
              <w:jc w:val="right"/>
              <w:rPr>
                <w:rFonts w:asciiTheme="minorHAnsi" w:eastAsia="Times New Roman" w:hAnsiTheme="minorHAnsi" w:cs="Arial"/>
                <w:b/>
                <w:bCs/>
                <w:sz w:val="16"/>
                <w:szCs w:val="16"/>
              </w:rPr>
            </w:pPr>
            <w:r w:rsidRPr="00270876">
              <w:rPr>
                <w:rFonts w:asciiTheme="minorHAnsi" w:eastAsia="Times New Roman" w:hAnsiTheme="minorHAnsi" w:cs="Arial"/>
                <w:b/>
                <w:bCs/>
                <w:sz w:val="16"/>
                <w:szCs w:val="16"/>
              </w:rPr>
              <w:t>632.3</w:t>
            </w:r>
          </w:p>
        </w:tc>
      </w:tr>
    </w:tbl>
    <w:p w:rsidR="00703654" w:rsidRDefault="00703654" w:rsidP="00703654">
      <w:pPr>
        <w:spacing w:after="0"/>
      </w:pPr>
    </w:p>
    <w:p w:rsidR="00C94FA0" w:rsidRDefault="00662DB0" w:rsidP="005F1566">
      <w:r w:rsidRPr="00662DB0">
        <w:t>The ISO is participating in several DOE projects and conducting independent work to develop a forecast of PV energy production.</w:t>
      </w:r>
      <w:r w:rsidRPr="00662DB0">
        <w:rPr>
          <w:rFonts w:ascii="Arial Narrow" w:hAnsi="Arial Narrow"/>
        </w:rPr>
        <w:t xml:space="preserve"> </w:t>
      </w:r>
      <w:r w:rsidRPr="00662DB0">
        <w:t xml:space="preserve">Projecting PV energy production is exceedingly complex and must account for advanced technical </w:t>
      </w:r>
      <w:r w:rsidRPr="003B4161">
        <w:t>issues, including the anticipated</w:t>
      </w:r>
      <w:r w:rsidR="008A433C" w:rsidRPr="003B4161">
        <w:t xml:space="preserve"> </w:t>
      </w:r>
      <w:r w:rsidRPr="003B4161">
        <w:t xml:space="preserve">fluctuations of the electric energy output attributable to </w:t>
      </w:r>
      <w:r w:rsidR="008A56EC" w:rsidRPr="003B4161">
        <w:t>the</w:t>
      </w:r>
      <w:r w:rsidRPr="003B4161">
        <w:t xml:space="preserve"> weather</w:t>
      </w:r>
      <w:r w:rsidRPr="00662DB0">
        <w:t xml:space="preserve"> and the future performance of these resources due to factors such as actual </w:t>
      </w:r>
      <w:proofErr w:type="spellStart"/>
      <w:r w:rsidRPr="00662DB0">
        <w:t>siting</w:t>
      </w:r>
      <w:proofErr w:type="spellEnd"/>
      <w:r w:rsidRPr="00662DB0">
        <w:t xml:space="preserve"> characteristics and the reliability of </w:t>
      </w:r>
      <w:r w:rsidRPr="003B4161">
        <w:t>future system components</w:t>
      </w:r>
      <w:r w:rsidRPr="00662DB0">
        <w:t xml:space="preserve"> (e.g., inverters, </w:t>
      </w:r>
      <w:r w:rsidRPr="003B4161">
        <w:t>modules). The ISO plans to review and analyze the actual performance of PV resources and other types of data before generating a PV energy forecast</w:t>
      </w:r>
      <w:r w:rsidR="00040842">
        <w:t>.</w:t>
      </w:r>
      <w:r w:rsidR="00F02E15" w:rsidRPr="003B4161">
        <w:t xml:space="preserve"> </w:t>
      </w:r>
      <w:r w:rsidRPr="003B4161">
        <w:t>Plans call for continuing discussions on the PV energy forecast with the DGFWG and releasing an ISO forecast in RSP15.</w:t>
      </w:r>
    </w:p>
    <w:p w:rsidR="00F27B97" w:rsidRDefault="003B4161" w:rsidP="00F27B97">
      <w:r>
        <w:t xml:space="preserve">To gain insights into the process for conducting a full PV energy forecast, the ISO analyzed PV’s potential annual energy production for the region using a number of gross assumptions and a weather pattern for 2006. The results showed that </w:t>
      </w:r>
      <w:r w:rsidR="00F27B97">
        <w:t xml:space="preserve">a future fleet of 1,800 MW of PV </w:t>
      </w:r>
      <w:r>
        <w:t>c</w:t>
      </w:r>
      <w:r w:rsidR="00F27B97">
        <w:t>ould produce approximately 2,</w:t>
      </w:r>
      <w:r w:rsidR="00835B4D">
        <w:t>435</w:t>
      </w:r>
      <w:r w:rsidR="00F27B97">
        <w:t xml:space="preserve"> </w:t>
      </w:r>
      <w:proofErr w:type="spellStart"/>
      <w:r w:rsidR="00F27B97">
        <w:t>GWh</w:t>
      </w:r>
      <w:proofErr w:type="spellEnd"/>
      <w:r w:rsidR="00F27B97">
        <w:t xml:space="preserve"> in 2023</w:t>
      </w:r>
      <w:r>
        <w:t>,</w:t>
      </w:r>
      <w:r w:rsidR="00F27B97">
        <w:t xml:space="preserve"> but </w:t>
      </w:r>
      <w:r>
        <w:t xml:space="preserve">the amount of energy production would likely vary </w:t>
      </w:r>
      <w:r w:rsidR="00F27B97">
        <w:t xml:space="preserve">because </w:t>
      </w:r>
      <w:r w:rsidR="00F27B97" w:rsidRPr="008E575A">
        <w:t>of annual</w:t>
      </w:r>
      <w:r w:rsidR="00F27B97">
        <w:t xml:space="preserve"> fluctuations of prevailing weather.</w:t>
      </w:r>
      <w:r w:rsidR="00F27B97">
        <w:rPr>
          <w:rStyle w:val="FootnoteReference"/>
          <w:szCs w:val="22"/>
        </w:rPr>
        <w:footnoteReference w:id="127"/>
      </w:r>
      <w:r w:rsidR="00F27B97">
        <w:t xml:space="preserve"> This estimated annual energy production</w:t>
      </w:r>
      <w:r w:rsidR="00A45C61">
        <w:t xml:space="preserve"> of </w:t>
      </w:r>
      <w:r w:rsidR="00F27B97">
        <w:t xml:space="preserve">approximately 1.6% of the NEL in 2023 </w:t>
      </w:r>
      <w:proofErr w:type="gramStart"/>
      <w:r w:rsidR="00A45C61">
        <w:t xml:space="preserve">is </w:t>
      </w:r>
      <w:r w:rsidR="00D24CD4" w:rsidRPr="00D24CD4">
        <w:t>based</w:t>
      </w:r>
      <w:proofErr w:type="gramEnd"/>
      <w:r w:rsidR="00D24CD4" w:rsidRPr="00D24CD4">
        <w:t xml:space="preserve"> on the 151,525 </w:t>
      </w:r>
      <w:proofErr w:type="spellStart"/>
      <w:r w:rsidR="00D24CD4" w:rsidRPr="00D24CD4">
        <w:t>GWh</w:t>
      </w:r>
      <w:proofErr w:type="spellEnd"/>
      <w:r w:rsidR="00D24CD4" w:rsidRPr="00D24CD4">
        <w:t xml:space="preserve"> net energy for </w:t>
      </w:r>
      <w:r w:rsidR="00F27B97" w:rsidRPr="00A45C61">
        <w:t xml:space="preserve">load indicated in </w:t>
      </w:r>
      <w:fldSimple w:instr=" REF _Ref229901942 \h  \* MERGEFORMAT ">
        <w:r w:rsidR="00284CE3" w:rsidRPr="00D637CF">
          <w:t xml:space="preserve">Table </w:t>
        </w:r>
        <w:r w:rsidR="00284CE3">
          <w:rPr>
            <w:noProof/>
          </w:rPr>
          <w:t>3</w:t>
        </w:r>
        <w:r w:rsidR="00284CE3">
          <w:rPr>
            <w:noProof/>
          </w:rPr>
          <w:noBreakHyphen/>
          <w:t>2</w:t>
        </w:r>
      </w:fldSimple>
      <w:r w:rsidR="00F27B97" w:rsidRPr="00A45C61">
        <w:t xml:space="preserve"> (Section </w:t>
      </w:r>
      <w:fldSimple w:instr=" REF _Ref385689858 \r \h  \* MERGEFORMAT ">
        <w:r w:rsidR="00284CE3">
          <w:t>3.1.1</w:t>
        </w:r>
      </w:fldSimple>
      <w:r w:rsidR="00F27B97" w:rsidRPr="00A45C61">
        <w:t>) for that year. Monthly and daily PV energy output will vary more significantly due to weather.</w:t>
      </w:r>
      <w:r w:rsidR="00F27B97">
        <w:t xml:space="preserve"> </w:t>
      </w:r>
    </w:p>
    <w:p w:rsidR="00F27B97" w:rsidRDefault="00F27B97" w:rsidP="00F27B97">
      <w:r>
        <w:t>Results of the forecast will inform various ISO system planning functions. For example, the ISO intends to use data from the DG forecast in the following types of analyses:</w:t>
      </w:r>
    </w:p>
    <w:p w:rsidR="00F27B97" w:rsidRDefault="00F27B97" w:rsidP="00F27B97">
      <w:pPr>
        <w:pStyle w:val="Bullet-Solid"/>
      </w:pPr>
      <w:r>
        <w:t>Transmission needs assessments</w:t>
      </w:r>
    </w:p>
    <w:p w:rsidR="00F27B97" w:rsidRDefault="00F27B97" w:rsidP="00F27B97">
      <w:pPr>
        <w:pStyle w:val="Bullet-Solid"/>
      </w:pPr>
      <w:r>
        <w:t>Transmission solutions studies</w:t>
      </w:r>
    </w:p>
    <w:p w:rsidR="00F27B97" w:rsidRPr="00EC1963" w:rsidRDefault="00F27B97" w:rsidP="00F27B97">
      <w:pPr>
        <w:pStyle w:val="Bullet-Solid"/>
      </w:pPr>
      <w:r w:rsidRPr="00EC1963">
        <w:t>Proposed plan application studies</w:t>
      </w:r>
    </w:p>
    <w:p w:rsidR="00F27B97" w:rsidRDefault="00F27B97" w:rsidP="00F27B97">
      <w:pPr>
        <w:pStyle w:val="Bullet-Solid"/>
      </w:pPr>
      <w:r>
        <w:t>System impact studies</w:t>
      </w:r>
    </w:p>
    <w:p w:rsidR="00F27B97" w:rsidRDefault="00F27B97" w:rsidP="00F27B97">
      <w:pPr>
        <w:pStyle w:val="Bullet-Solid"/>
        <w:spacing w:after="240"/>
      </w:pPr>
      <w:r>
        <w:t>Economic studies</w:t>
      </w:r>
    </w:p>
    <w:p w:rsidR="00F27B97" w:rsidRDefault="00F27B97" w:rsidP="00F27B97">
      <w:r>
        <w:t xml:space="preserve">The ISO will work with stakeholders to explore how </w:t>
      </w:r>
      <w:r w:rsidR="002B7F5D">
        <w:t xml:space="preserve">to use </w:t>
      </w:r>
      <w:r>
        <w:t xml:space="preserve">the DG forecast in the above planning analyses and </w:t>
      </w:r>
      <w:r w:rsidR="00F4353A">
        <w:t>possibly appl</w:t>
      </w:r>
      <w:r w:rsidR="002B7F5D">
        <w:t xml:space="preserve">y it </w:t>
      </w:r>
      <w:r w:rsidR="00F4353A">
        <w:t xml:space="preserve">to </w:t>
      </w:r>
      <w:r>
        <w:t>other market-related assessments.</w:t>
      </w:r>
      <w:r>
        <w:rPr>
          <w:rStyle w:val="FootnoteReference"/>
        </w:rPr>
        <w:footnoteReference w:id="128"/>
      </w:r>
      <w:r>
        <w:t xml:space="preserve"> </w:t>
      </w:r>
      <w:r w:rsidRPr="00E961CA">
        <w:t>These</w:t>
      </w:r>
      <w:r>
        <w:t xml:space="preserve"> may include such tasks as the development of the Installed Capacity Requirement. The ISO will require guidance from FERC on a number of ongoing market changes addressing resource adequacy issues (e.g., the demand curve, capacity zones, and pay for performance) </w:t>
      </w:r>
      <w:r w:rsidRPr="00E961CA">
        <w:t xml:space="preserve">before </w:t>
      </w:r>
      <w:r w:rsidRPr="00B54FA4">
        <w:t>being able to</w:t>
      </w:r>
      <w:r>
        <w:t xml:space="preserve"> determine the best methods for potentially incorporating the DG forecast into the resource adequacy process. As part of these processes, the ISO will consider the amounts of PV that participate in the FCM and the wholesale energy markets to ensure that each category is treated in accordance with market rules and that resources are not counted more than once.</w:t>
      </w:r>
    </w:p>
    <w:p w:rsidR="00F27B97" w:rsidRPr="00EC1963" w:rsidRDefault="00F27B97" w:rsidP="00F27B97">
      <w:pPr>
        <w:pStyle w:val="Heading3"/>
      </w:pPr>
      <w:bookmarkStart w:id="251" w:name="_Toc396807618"/>
      <w:r w:rsidRPr="00B54FA4">
        <w:t>Next Steps</w:t>
      </w:r>
      <w:bookmarkEnd w:id="251"/>
    </w:p>
    <w:p w:rsidR="00F27B97" w:rsidRDefault="00A5510E" w:rsidP="00F27B97">
      <w:r>
        <w:t>T</w:t>
      </w:r>
      <w:r w:rsidR="00F27B97" w:rsidRPr="00E961CA">
        <w:t xml:space="preserve">he ISO </w:t>
      </w:r>
      <w:r w:rsidR="00047340">
        <w:t xml:space="preserve">will consider how to </w:t>
      </w:r>
      <w:r w:rsidR="00F27B97" w:rsidRPr="00E961CA">
        <w:t>build on the PV</w:t>
      </w:r>
      <w:r w:rsidR="00F27B97">
        <w:t xml:space="preserve"> forecast</w:t>
      </w:r>
      <w:r w:rsidR="00047340">
        <w:t>, including</w:t>
      </w:r>
      <w:r w:rsidR="00D07186">
        <w:t xml:space="preserve"> the potential of</w:t>
      </w:r>
      <w:r w:rsidR="00F27B97">
        <w:t xml:space="preserve"> additional DG resources, such as combined heat and power resources.</w:t>
      </w:r>
    </w:p>
    <w:p w:rsidR="00F27B97" w:rsidRDefault="00F27B97" w:rsidP="00F27B97">
      <w:r w:rsidRPr="00596FE4">
        <w:t>To conduct planning studies at various geographical levels (e.g., state and load zone levels, dispatch zone</w:t>
      </w:r>
      <w:r>
        <w:t>s,</w:t>
      </w:r>
      <w:r w:rsidRPr="00596FE4">
        <w:t xml:space="preserve"> and nodes) that account for existing PV re</w:t>
      </w:r>
      <w:r>
        <w:t>s</w:t>
      </w:r>
      <w:r w:rsidRPr="00596FE4">
        <w:t>our</w:t>
      </w:r>
      <w:r>
        <w:t>c</w:t>
      </w:r>
      <w:r w:rsidRPr="00596FE4">
        <w:t>es</w:t>
      </w:r>
      <w:r>
        <w:t>,</w:t>
      </w:r>
      <w:r w:rsidRPr="00596FE4">
        <w:t xml:space="preserve"> the ISO will need to collect data. Specifically, the ISO will need data on the cumulative installed nameplate capacity over time; </w:t>
      </w:r>
      <w:r>
        <w:t>cumulative</w:t>
      </w:r>
      <w:r w:rsidRPr="00596FE4">
        <w:t xml:space="preserve"> energy production</w:t>
      </w:r>
      <w:r>
        <w:t>;</w:t>
      </w:r>
      <w:r w:rsidRPr="00596FE4">
        <w:t xml:space="preserve"> and an accurate breakdown of total PV that participates in </w:t>
      </w:r>
      <w:r>
        <w:t>the FCM and wholesale energy markets</w:t>
      </w:r>
      <w:r w:rsidRPr="00596FE4">
        <w:t xml:space="preserve"> </w:t>
      </w:r>
      <w:r>
        <w:t xml:space="preserve">compared </w:t>
      </w:r>
      <w:r w:rsidRPr="00A300B3">
        <w:t xml:space="preserve">with </w:t>
      </w:r>
      <w:r w:rsidRPr="00596FE4">
        <w:t xml:space="preserve">PV that does not </w:t>
      </w:r>
      <w:r>
        <w:t xml:space="preserve">participate in the markets </w:t>
      </w:r>
      <w:r w:rsidRPr="00596FE4">
        <w:t xml:space="preserve">(and serves to reduce load). </w:t>
      </w:r>
      <w:proofErr w:type="gramStart"/>
      <w:r>
        <w:t xml:space="preserve">The ISO has </w:t>
      </w:r>
      <w:r w:rsidR="00EC6B46">
        <w:t xml:space="preserve">begun </w:t>
      </w:r>
      <w:r w:rsidR="00A56F1F">
        <w:t xml:space="preserve">to </w:t>
      </w:r>
      <w:r>
        <w:t>work</w:t>
      </w:r>
      <w:r w:rsidR="00EC6B46">
        <w:t xml:space="preserve"> </w:t>
      </w:r>
      <w:r>
        <w:t xml:space="preserve">with the region’s distribution utilities to collect this type of data and will continue </w:t>
      </w:r>
      <w:r w:rsidR="00A56F1F">
        <w:t>this effort</w:t>
      </w:r>
      <w:r w:rsidRPr="00596FE4">
        <w:t>.</w:t>
      </w:r>
      <w:proofErr w:type="gramEnd"/>
      <w:r>
        <w:rPr>
          <w:rStyle w:val="FootnoteReference"/>
        </w:rPr>
        <w:footnoteReference w:id="129"/>
      </w:r>
      <w:r>
        <w:t xml:space="preserve"> </w:t>
      </w:r>
    </w:p>
    <w:p w:rsidR="00F27B97" w:rsidRDefault="00F27B97" w:rsidP="00F27B97">
      <w:r w:rsidRPr="002E0543">
        <w:t>The growth in DG presents some challenges for grid operators and planners. Challenges for the ISO include</w:t>
      </w:r>
      <w:r>
        <w:t xml:space="preserve"> the following</w:t>
      </w:r>
      <w:r w:rsidRPr="002E0543">
        <w:t>:</w:t>
      </w:r>
    </w:p>
    <w:p w:rsidR="00F27B97" w:rsidRDefault="00F27B97" w:rsidP="00F27B97">
      <w:pPr>
        <w:pStyle w:val="Bullet-Solid"/>
      </w:pPr>
      <w:r w:rsidRPr="002E0543">
        <w:t>A limited amount of data concerning DG resources</w:t>
      </w:r>
      <w:r>
        <w:t>,</w:t>
      </w:r>
      <w:r w:rsidRPr="002E0543">
        <w:t xml:space="preserve"> including their size, location</w:t>
      </w:r>
      <w:r>
        <w:t>,</w:t>
      </w:r>
      <w:r w:rsidRPr="002E0543">
        <w:t xml:space="preserve"> and operational characteristics</w:t>
      </w:r>
    </w:p>
    <w:p w:rsidR="00F27B97" w:rsidRDefault="00F27B97" w:rsidP="00F27B97">
      <w:pPr>
        <w:pStyle w:val="Bullet-Solid"/>
      </w:pPr>
      <w:r w:rsidRPr="002E0543">
        <w:t>A current inability to observe and control DG resources in real</w:t>
      </w:r>
      <w:r>
        <w:t xml:space="preserve"> </w:t>
      </w:r>
      <w:r w:rsidRPr="002E0543">
        <w:t xml:space="preserve">time </w:t>
      </w:r>
    </w:p>
    <w:p w:rsidR="00F27B97" w:rsidRDefault="00F27B97" w:rsidP="00F27B97">
      <w:pPr>
        <w:pStyle w:val="Bullet-Solid"/>
      </w:pPr>
      <w:r w:rsidRPr="002E0543">
        <w:t xml:space="preserve">A need to better understand the impacts </w:t>
      </w:r>
      <w:r w:rsidR="00EC6B46">
        <w:t xml:space="preserve">on system operations </w:t>
      </w:r>
      <w:r w:rsidRPr="002E0543">
        <w:t xml:space="preserve">of </w:t>
      </w:r>
      <w:r w:rsidR="00EC6B46">
        <w:t xml:space="preserve">the increasing amounts of </w:t>
      </w:r>
      <w:r w:rsidRPr="002E0543">
        <w:t>DG</w:t>
      </w:r>
      <w:r>
        <w:t>,</w:t>
      </w:r>
      <w:r w:rsidRPr="002E0543">
        <w:t xml:space="preserve"> including ramping</w:t>
      </w:r>
      <w:r w:rsidR="00EE6C88">
        <w:t xml:space="preserve"> </w:t>
      </w:r>
      <w:r w:rsidR="00D57DFB" w:rsidRPr="00D57DFB">
        <w:t>(i.e., rate of starting and stopping),</w:t>
      </w:r>
      <w:r w:rsidRPr="002E0543">
        <w:t xml:space="preserve"> reserve, and regulation requirements</w:t>
      </w:r>
    </w:p>
    <w:p w:rsidR="00F27B97" w:rsidRDefault="00F27B97" w:rsidP="00F27B97">
      <w:pPr>
        <w:pStyle w:val="Bullet-Solid"/>
        <w:spacing w:after="240"/>
      </w:pPr>
      <w:r>
        <w:t>P</w:t>
      </w:r>
      <w:r w:rsidRPr="002E0543">
        <w:t xml:space="preserve">otential impacts to the </w:t>
      </w:r>
      <w:r w:rsidR="00505DCC" w:rsidRPr="002E0543">
        <w:t>reliability</w:t>
      </w:r>
      <w:r w:rsidR="00505DCC">
        <w:t xml:space="preserve"> of the </w:t>
      </w:r>
      <w:r w:rsidRPr="002E0543">
        <w:t>regional power system posed by future amounts of DG resulting from existing state interconnection standards</w:t>
      </w:r>
    </w:p>
    <w:p w:rsidR="00F27B97" w:rsidRDefault="00F27B97" w:rsidP="00F27B97">
      <w:r>
        <w:t xml:space="preserve">The ISO’s work with the DGFWG will help position the region to best integrate rapidly growing DG resources in a way that maintains reliability and allows the states to realize the public policy benefits </w:t>
      </w:r>
      <w:r w:rsidRPr="000E064A">
        <w:t xml:space="preserve">they have identified as the basis for their DG programs. Section </w:t>
      </w:r>
      <w:r w:rsidR="00927965">
        <w:fldChar w:fldCharType="begin"/>
      </w:r>
      <w:r w:rsidR="00505DCC">
        <w:instrText xml:space="preserve"> REF _Ref388776132 \r \h </w:instrText>
      </w:r>
      <w:r w:rsidR="00927965">
        <w:fldChar w:fldCharType="separate"/>
      </w:r>
      <w:r w:rsidR="00284CE3">
        <w:t>6.6</w:t>
      </w:r>
      <w:r w:rsidR="00927965">
        <w:fldChar w:fldCharType="end"/>
      </w:r>
      <w:r w:rsidR="000E064A" w:rsidRPr="000E064A">
        <w:t xml:space="preserve"> </w:t>
      </w:r>
      <w:r w:rsidRPr="000E064A">
        <w:t>discusses other outstanding issues,</w:t>
      </w:r>
      <w:r>
        <w:t xml:space="preserve"> </w:t>
      </w:r>
      <w:r w:rsidRPr="00BF4F5F">
        <w:t xml:space="preserve">including DG interconnection requirements and </w:t>
      </w:r>
      <w:r w:rsidRPr="00B54FA4">
        <w:t>a short-term operations</w:t>
      </w:r>
      <w:r w:rsidRPr="00BF4F5F">
        <w:t xml:space="preserve"> forecast.</w:t>
      </w:r>
    </w:p>
    <w:p w:rsidR="00E63D3A" w:rsidRDefault="00F27B97">
      <w:pPr>
        <w:pStyle w:val="Heading2"/>
      </w:pPr>
      <w:bookmarkStart w:id="252" w:name="_Toc396807619"/>
      <w:r w:rsidRPr="00653913">
        <w:t>Summary of Key Findings of the Load, Energy-Efficiency, and PV Forecasts</w:t>
      </w:r>
      <w:bookmarkEnd w:id="242"/>
      <w:bookmarkEnd w:id="252"/>
      <w:r w:rsidRPr="00653913">
        <w:t xml:space="preserve"> </w:t>
      </w:r>
    </w:p>
    <w:p w:rsidR="00F27B97" w:rsidRDefault="00F27B97" w:rsidP="00F27B97">
      <w:pPr>
        <w:keepNext/>
        <w:keepLines/>
      </w:pPr>
      <w:r w:rsidRPr="00B8718F">
        <w:t>The RSP</w:t>
      </w:r>
      <w:r>
        <w:t>14</w:t>
      </w:r>
      <w:r w:rsidRPr="00B8718F">
        <w:t xml:space="preserve"> forecasts of annual </w:t>
      </w:r>
      <w:r>
        <w:t xml:space="preserve">net energy use </w:t>
      </w:r>
      <w:r w:rsidRPr="00B8718F">
        <w:t xml:space="preserve">and peak </w:t>
      </w:r>
      <w:r>
        <w:t>loads</w:t>
      </w:r>
      <w:r w:rsidRPr="00B8718F">
        <w:t xml:space="preserve"> are </w:t>
      </w:r>
      <w:r>
        <w:t xml:space="preserve">key inputs in establishing the system </w:t>
      </w:r>
      <w:r w:rsidRPr="000E064A">
        <w:t xml:space="preserve">needs discussed in </w:t>
      </w:r>
      <w:fldSimple w:instr=" REF _Ref328644077 \r \h  \* MERGEFORMAT ">
        <w:r w:rsidR="00284CE3">
          <w:t>Section 4</w:t>
        </w:r>
      </w:fldSimple>
      <w:r w:rsidRPr="000E064A">
        <w:t xml:space="preserve"> through </w:t>
      </w:r>
      <w:fldSimple w:instr=" REF _Ref359250204 \r \h  \* MERGEFORMAT ">
        <w:r w:rsidR="00284CE3">
          <w:t>Section 6</w:t>
        </w:r>
      </w:fldSimple>
      <w:r w:rsidRPr="000E064A">
        <w:t>. The RSP14 forecasts for the annual use</w:t>
      </w:r>
      <w:r>
        <w:t xml:space="preserve"> of electric energy and summer and winter peak are essentially the same as in RSP13. The key points of the forecast are as </w:t>
      </w:r>
      <w:r w:rsidRPr="00575BDD">
        <w:t>follows:</w:t>
      </w:r>
    </w:p>
    <w:p w:rsidR="00F27B97" w:rsidRDefault="00F27B97" w:rsidP="00F27B97">
      <w:pPr>
        <w:pStyle w:val="Bullet-Solid"/>
        <w:numPr>
          <w:ilvl w:val="0"/>
          <w:numId w:val="326"/>
        </w:numPr>
      </w:pPr>
      <w:r>
        <w:t>T</w:t>
      </w:r>
      <w:r w:rsidRPr="00575BDD">
        <w:t xml:space="preserve">he </w:t>
      </w:r>
      <w:r>
        <w:t xml:space="preserve">forecasts for annual energy use and the summer and </w:t>
      </w:r>
      <w:r w:rsidRPr="00575BDD">
        <w:t>winter peak</w:t>
      </w:r>
      <w:r>
        <w:t>s</w:t>
      </w:r>
      <w:r w:rsidRPr="00575BDD">
        <w:t xml:space="preserve"> are not materially different from the RSP1</w:t>
      </w:r>
      <w:r>
        <w:t>3</w:t>
      </w:r>
      <w:r w:rsidRPr="00575BDD">
        <w:t xml:space="preserve"> forecast.</w:t>
      </w:r>
    </w:p>
    <w:p w:rsidR="00F27B97" w:rsidRDefault="00F27B97" w:rsidP="00F27B97">
      <w:pPr>
        <w:pStyle w:val="Bullet-Solid"/>
        <w:numPr>
          <w:ilvl w:val="0"/>
          <w:numId w:val="327"/>
        </w:numPr>
      </w:pPr>
      <w:r>
        <w:t>T</w:t>
      </w:r>
      <w:r w:rsidRPr="00575BDD">
        <w:t>he ISO will continue examin</w:t>
      </w:r>
      <w:r>
        <w:t>ing</w:t>
      </w:r>
      <w:r w:rsidRPr="00575BDD">
        <w:t xml:space="preserve"> ways </w:t>
      </w:r>
      <w:r>
        <w:t xml:space="preserve">to </w:t>
      </w:r>
      <w:r w:rsidRPr="00575BDD">
        <w:t>improve</w:t>
      </w:r>
      <w:r>
        <w:t xml:space="preserve"> the load forecast and the energy efficiency forecast</w:t>
      </w:r>
      <w:r w:rsidRPr="00575BDD">
        <w:t>.</w:t>
      </w:r>
    </w:p>
    <w:p w:rsidR="00F27B97" w:rsidRDefault="00F27B97" w:rsidP="00F27B97">
      <w:pPr>
        <w:pStyle w:val="Bullet-Solid"/>
        <w:numPr>
          <w:ilvl w:val="0"/>
          <w:numId w:val="327"/>
        </w:numPr>
      </w:pPr>
      <w:r>
        <w:t>The gross compound annual growth rate for the</w:t>
      </w:r>
      <w:r w:rsidRPr="00575BDD">
        <w:t xml:space="preserve"> ISO’s electric energy use is </w:t>
      </w:r>
      <w:r>
        <w:t>1.0</w:t>
      </w:r>
      <w:r w:rsidRPr="00575BDD">
        <w:t>% for 201</w:t>
      </w:r>
      <w:r>
        <w:t>4</w:t>
      </w:r>
      <w:r w:rsidRPr="00575BDD">
        <w:t xml:space="preserve"> through 202</w:t>
      </w:r>
      <w:r>
        <w:t>3</w:t>
      </w:r>
      <w:r w:rsidRPr="00575BDD">
        <w:t xml:space="preserve">, </w:t>
      </w:r>
      <w:r>
        <w:t>1.3</w:t>
      </w:r>
      <w:r w:rsidRPr="00575BDD">
        <w:t>% for the summer peak</w:t>
      </w:r>
      <w:r>
        <w:t>, and 0.6% for the winter peak.</w:t>
      </w:r>
    </w:p>
    <w:p w:rsidR="00F27B97" w:rsidRPr="00B64D00" w:rsidRDefault="00F27B97" w:rsidP="00F27B97">
      <w:pPr>
        <w:pStyle w:val="Bullet-Solid"/>
        <w:numPr>
          <w:ilvl w:val="0"/>
          <w:numId w:val="327"/>
        </w:numPr>
        <w:spacing w:after="240"/>
      </w:pPr>
      <w:r w:rsidRPr="00EA2E47">
        <w:t xml:space="preserve">The annual load forecast minus both the FCM passive </w:t>
      </w:r>
      <w:r w:rsidR="0042794A">
        <w:t xml:space="preserve">demand </w:t>
      </w:r>
      <w:r w:rsidRPr="00EA2E47">
        <w:t xml:space="preserve">resources and the ISO EE forecast </w:t>
      </w:r>
      <w:proofErr w:type="gramStart"/>
      <w:r w:rsidRPr="00EA2E47">
        <w:t>shows</w:t>
      </w:r>
      <w:proofErr w:type="gramEnd"/>
      <w:r w:rsidRPr="00EA2E47">
        <w:t xml:space="preserve"> essentially </w:t>
      </w:r>
      <w:r>
        <w:t>a 0.1%</w:t>
      </w:r>
      <w:r w:rsidRPr="00EA2E47">
        <w:t xml:space="preserve"> </w:t>
      </w:r>
      <w:r>
        <w:t>compound annual</w:t>
      </w:r>
      <w:r w:rsidRPr="00EA2E47">
        <w:t xml:space="preserve"> growth in energy consumption</w:t>
      </w:r>
      <w:r>
        <w:t xml:space="preserve">, 0.7% increases in the summer peak load, </w:t>
      </w:r>
      <w:r w:rsidRPr="00EA2E47">
        <w:t xml:space="preserve">and </w:t>
      </w:r>
      <w:r>
        <w:t xml:space="preserve">0.1% </w:t>
      </w:r>
      <w:r w:rsidRPr="00EA2E47">
        <w:t xml:space="preserve">reductions in the </w:t>
      </w:r>
      <w:r>
        <w:t xml:space="preserve">winter </w:t>
      </w:r>
      <w:r w:rsidRPr="00EA2E47">
        <w:t xml:space="preserve">peak load. </w:t>
      </w:r>
    </w:p>
    <w:p w:rsidR="00C561D4" w:rsidRDefault="00F27B97" w:rsidP="00CA3F25">
      <w:r w:rsidRPr="000E4A53">
        <w:t xml:space="preserve">Through the Distributed Generation Forecast Working Group, the ISO and interested stakeholders have developed a methodology for forecasting New England state policy-supported photovoltaic megawatts </w:t>
      </w:r>
      <w:r w:rsidRPr="008F014D">
        <w:t xml:space="preserve">and </w:t>
      </w:r>
      <w:r w:rsidR="00C50436" w:rsidRPr="008F014D">
        <w:t>a</w:t>
      </w:r>
      <w:r w:rsidRPr="008F014D">
        <w:t xml:space="preserve"> PV forecast for 2014 to 2023. Ongoing efforts are assessing the potential for broadening</w:t>
      </w:r>
      <w:r w:rsidRPr="000E4A53">
        <w:t xml:space="preserve"> the forecast to include other </w:t>
      </w:r>
      <w:r w:rsidR="00047340">
        <w:t>drivers</w:t>
      </w:r>
      <w:r w:rsidRPr="000E4A53">
        <w:t xml:space="preserve"> of PV as well as other types of DG resources.</w:t>
      </w:r>
    </w:p>
    <w:p w:rsidR="00C561D4" w:rsidRDefault="00C561D4" w:rsidP="004E50CD">
      <w:pPr>
        <w:spacing w:after="0" w:line="240" w:lineRule="auto"/>
        <w:sectPr w:rsidR="00C561D4" w:rsidSect="00E24A7B">
          <w:pgSz w:w="12240" w:h="15840"/>
          <w:pgMar w:top="1440" w:right="1440" w:bottom="1440" w:left="1800" w:header="720" w:footer="720" w:gutter="0"/>
          <w:cols w:space="720"/>
          <w:docGrid w:linePitch="360"/>
        </w:sectPr>
      </w:pPr>
    </w:p>
    <w:p w:rsidR="008A621B" w:rsidRDefault="008A621B" w:rsidP="008A621B">
      <w:pPr>
        <w:pStyle w:val="Heading1"/>
      </w:pPr>
      <w:bookmarkStart w:id="253" w:name="_Ref387327898"/>
      <w:r w:rsidRPr="0030548F">
        <w:br/>
      </w:r>
      <w:bookmarkStart w:id="254" w:name="_Toc176244994"/>
      <w:bookmarkStart w:id="255" w:name="_Ref230857005"/>
      <w:bookmarkStart w:id="256" w:name="_Ref230967163"/>
      <w:bookmarkStart w:id="257" w:name="_Ref230970810"/>
      <w:bookmarkStart w:id="258" w:name="_Ref231138253"/>
      <w:bookmarkStart w:id="259" w:name="_Ref235964658"/>
      <w:bookmarkStart w:id="260" w:name="_Ref235964676"/>
      <w:bookmarkStart w:id="261" w:name="_Toc239157056"/>
      <w:bookmarkStart w:id="262" w:name="_Ref262722844"/>
      <w:bookmarkStart w:id="263" w:name="_Ref262722881"/>
      <w:bookmarkStart w:id="264" w:name="_Ref262722902"/>
      <w:bookmarkStart w:id="265" w:name="_Ref262722915"/>
      <w:bookmarkStart w:id="266" w:name="_Ref262722930"/>
      <w:bookmarkStart w:id="267" w:name="_Ref265051943"/>
      <w:bookmarkStart w:id="268" w:name="_Ref266550660"/>
      <w:bookmarkStart w:id="269" w:name="_Ref267384552"/>
      <w:bookmarkStart w:id="270" w:name="_Ref267385154"/>
      <w:bookmarkStart w:id="271" w:name="_Toc271632215"/>
      <w:bookmarkStart w:id="272" w:name="_Ref301345660"/>
      <w:bookmarkStart w:id="273" w:name="_Ref301345677"/>
      <w:bookmarkStart w:id="274" w:name="_Ref302479580"/>
      <w:bookmarkStart w:id="275" w:name="_Ref302575813"/>
      <w:bookmarkStart w:id="276" w:name="_Toc303086373"/>
      <w:bookmarkStart w:id="277" w:name="_Ref328644077"/>
      <w:bookmarkStart w:id="278" w:name="_Toc334601024"/>
      <w:bookmarkStart w:id="279" w:name="_Toc365440991"/>
      <w:bookmarkStart w:id="280" w:name="_Toc396807620"/>
      <w:r w:rsidRPr="0030548F">
        <w:t>Resource</w:t>
      </w:r>
      <w:r>
        <w:t>s—</w:t>
      </w:r>
      <w:r w:rsidRPr="0030548F">
        <w:t>Adequacy</w:t>
      </w:r>
      <w:r>
        <w:t xml:space="preserve">, </w:t>
      </w:r>
      <w:r w:rsidRPr="0030548F">
        <w:t>Capacity</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t>, and Reserves</w:t>
      </w:r>
      <w:bookmarkEnd w:id="277"/>
      <w:bookmarkEnd w:id="278"/>
      <w:bookmarkEnd w:id="279"/>
      <w:bookmarkEnd w:id="280"/>
    </w:p>
    <w:p w:rsidR="008A621B" w:rsidRDefault="008A621B" w:rsidP="008A621B">
      <w:r>
        <w:t xml:space="preserve">The ISO’s system planning process identifies the amounts, locations, and types of resources the system </w:t>
      </w:r>
      <w:r w:rsidRPr="00BF4E44">
        <w:t xml:space="preserve">needs to ensure </w:t>
      </w:r>
      <w:proofErr w:type="gramStart"/>
      <w:r w:rsidRPr="00BF4E44">
        <w:t>resource adequacy and how the region is meeting these needs in the short term through</w:t>
      </w:r>
      <w:r>
        <w:t xml:space="preserve"> the Forward Capacity Market and the </w:t>
      </w:r>
      <w:proofErr w:type="spellStart"/>
      <w:r>
        <w:t>locational</w:t>
      </w:r>
      <w:proofErr w:type="spellEnd"/>
      <w:r>
        <w:t xml:space="preserve"> Forward Reserve Market (FRM)</w:t>
      </w:r>
      <w:proofErr w:type="gramEnd"/>
      <w:r>
        <w:t>. T</w:t>
      </w:r>
      <w:r w:rsidRPr="00496421">
        <w:t xml:space="preserve">he amount of capacity the system </w:t>
      </w:r>
      <w:r w:rsidRPr="007C5478">
        <w:t>requires in a given year is</w:t>
      </w:r>
      <w:r w:rsidRPr="00496421">
        <w:t xml:space="preserve"> </w:t>
      </w:r>
      <w:r w:rsidRPr="005201AE">
        <w:t>determined through the Installed Capacity Requirement calculation, which accounts for</w:t>
      </w:r>
      <w:r w:rsidRPr="00496421">
        <w:t xml:space="preserve"> uncertainties, contingencies, and resource performance under a wide range of existing and future system conditions. </w:t>
      </w:r>
      <w:r>
        <w:t>T</w:t>
      </w:r>
      <w:r w:rsidRPr="00CE1507">
        <w:t xml:space="preserve">he procurement of operating reserves for the system </w:t>
      </w:r>
      <w:r w:rsidRPr="00F1378E">
        <w:t>and local areas</w:t>
      </w:r>
      <w:r w:rsidRPr="007C5478">
        <w:t xml:space="preserve"> </w:t>
      </w:r>
      <w:r>
        <w:t>address c</w:t>
      </w:r>
      <w:r w:rsidRPr="007C5478">
        <w:t>ontingencies, such as unplanned outages</w:t>
      </w:r>
      <w:r w:rsidRPr="00F1378E">
        <w:t>.</w:t>
      </w:r>
      <w:r w:rsidRPr="00CE1507">
        <w:t xml:space="preserve"> Collectively,</w:t>
      </w:r>
      <w:r w:rsidRPr="007C5478">
        <w:t xml:space="preserve"> the forecasts of future electricity demand (as discussed in </w:t>
      </w:r>
      <w:r w:rsidR="00927965">
        <w:fldChar w:fldCharType="begin"/>
      </w:r>
      <w:r w:rsidR="004C7535">
        <w:instrText xml:space="preserve"> REF _Ref387510633 \r \h </w:instrText>
      </w:r>
      <w:r w:rsidR="00927965">
        <w:fldChar w:fldCharType="separate"/>
      </w:r>
      <w:r w:rsidR="00284CE3">
        <w:t>Section 3</w:t>
      </w:r>
      <w:r w:rsidR="00927965">
        <w:fldChar w:fldCharType="end"/>
      </w:r>
      <w:r w:rsidRPr="007C5478">
        <w:t>), the ICR calculation, the procurement of capacity and reserves, and the operable capacity analyses that consider future scenarios of load forecasts and operating conditions are referred to as the resource adequacy process.</w:t>
      </w:r>
      <w:r>
        <w:t xml:space="preserve"> Projects proposed through the ISO’s Generator </w:t>
      </w:r>
      <w:r w:rsidRPr="004C7535">
        <w:t xml:space="preserve">Interconnection </w:t>
      </w:r>
      <w:r w:rsidR="001A58F7" w:rsidRPr="001A58F7">
        <w:t>Queue,</w:t>
      </w:r>
      <w:r w:rsidRPr="004C7535">
        <w:t xml:space="preserve"> energy-efficiency resources reflected in the ISO’s EE forecast,</w:t>
      </w:r>
      <w:r w:rsidRPr="00DE0DF5">
        <w:t xml:space="preserve"> imports from neighboring systems, and the development of</w:t>
      </w:r>
      <w:r>
        <w:t xml:space="preserve"> other </w:t>
      </w:r>
      <w:r w:rsidRPr="00BF4E44">
        <w:t xml:space="preserve">resources </w:t>
      </w:r>
      <w:proofErr w:type="gramStart"/>
      <w:r w:rsidRPr="00BF4E44">
        <w:t>can be used</w:t>
      </w:r>
      <w:proofErr w:type="gramEnd"/>
      <w:r w:rsidRPr="00BF4E44">
        <w:t xml:space="preserve"> to meet the long-term needs of the system.</w:t>
      </w:r>
    </w:p>
    <w:p w:rsidR="008A621B" w:rsidRPr="0070493C" w:rsidRDefault="008A621B" w:rsidP="008A621B">
      <w:r w:rsidRPr="007C5478">
        <w:t xml:space="preserve">This section describes the requirements for resource adequacy over the planning period; the analyses conducted to determine the </w:t>
      </w:r>
      <w:proofErr w:type="spellStart"/>
      <w:r w:rsidRPr="007C5478">
        <w:t>systemwide</w:t>
      </w:r>
      <w:proofErr w:type="spellEnd"/>
      <w:r w:rsidRPr="007C5478">
        <w:t xml:space="preserve"> and local-area needs for resource adequacy; and the region’s efforts to meet the need for resources through the FCM, the FRM, the queue, and energy-efficiency resources </w:t>
      </w:r>
      <w:r w:rsidR="00047340">
        <w:t>supported</w:t>
      </w:r>
      <w:r w:rsidRPr="007C5478">
        <w:t xml:space="preserve"> by the states. This section also discusses the results of the net operable capa</w:t>
      </w:r>
      <w:r w:rsidR="00103518">
        <w:t>city</w:t>
      </w:r>
      <w:r w:rsidRPr="007C5478">
        <w:t xml:space="preserve"> assessments of the system under a variety of deterministic, stressed-system conditions.</w:t>
      </w:r>
      <w:r w:rsidRPr="007C5478">
        <w:rPr>
          <w:rStyle w:val="FootnoteReference"/>
        </w:rPr>
        <w:footnoteReference w:id="130"/>
      </w:r>
      <w:r w:rsidRPr="007C5478">
        <w:t xml:space="preserve"> </w:t>
      </w:r>
      <w:r>
        <w:t>T</w:t>
      </w:r>
      <w:r w:rsidRPr="007C5478">
        <w:t xml:space="preserve">he </w:t>
      </w:r>
      <w:r>
        <w:t>studies and other actions supporting the strategic planning of the region</w:t>
      </w:r>
      <w:r w:rsidRPr="007C5478">
        <w:t xml:space="preserve"> (see</w:t>
      </w:r>
      <w:r>
        <w:t xml:space="preserve"> </w:t>
      </w:r>
      <w:r w:rsidR="00927965">
        <w:fldChar w:fldCharType="begin"/>
      </w:r>
      <w:r w:rsidR="0061064C">
        <w:instrText xml:space="preserve"> REF _Ref387650525 \r \h </w:instrText>
      </w:r>
      <w:r w:rsidR="00927965">
        <w:fldChar w:fldCharType="separate"/>
      </w:r>
      <w:proofErr w:type="gramStart"/>
      <w:r w:rsidR="00284CE3">
        <w:t>Section 6</w:t>
      </w:r>
      <w:r w:rsidR="00927965">
        <w:fldChar w:fldCharType="end"/>
      </w:r>
      <w:r w:rsidRPr="007C5478">
        <w:t xml:space="preserve">) and </w:t>
      </w:r>
      <w:r w:rsidR="0061064C">
        <w:t xml:space="preserve">other </w:t>
      </w:r>
      <w:r>
        <w:t xml:space="preserve">planning coordination, studies, and initiatives </w:t>
      </w:r>
      <w:r w:rsidR="0061064C">
        <w:t>(</w:t>
      </w:r>
      <w:r w:rsidR="00927965">
        <w:fldChar w:fldCharType="begin"/>
      </w:r>
      <w:r w:rsidR="0061064C">
        <w:instrText xml:space="preserve"> REF _Ref356557380 \r \h </w:instrText>
      </w:r>
      <w:r w:rsidR="00927965">
        <w:fldChar w:fldCharType="separate"/>
      </w:r>
      <w:r w:rsidR="00284CE3">
        <w:t>Section 7</w:t>
      </w:r>
      <w:r w:rsidR="00927965">
        <w:fldChar w:fldCharType="end"/>
      </w:r>
      <w:r w:rsidRPr="002B2200">
        <w:t>)</w:t>
      </w:r>
      <w:r>
        <w:t xml:space="preserve"> are addressing c</w:t>
      </w:r>
      <w:r w:rsidRPr="007C5478">
        <w:t>urrent issues and challenges in meeting short-</w:t>
      </w:r>
      <w:r>
        <w:t>term</w:t>
      </w:r>
      <w:proofErr w:type="gramEnd"/>
      <w:r w:rsidRPr="007C5478">
        <w:t xml:space="preserve"> and long-term resource needs.</w:t>
      </w:r>
    </w:p>
    <w:p w:rsidR="00E63D3A" w:rsidRDefault="008A621B">
      <w:pPr>
        <w:pStyle w:val="Heading2"/>
      </w:pPr>
      <w:bookmarkStart w:id="281" w:name="_Ref327866184"/>
      <w:bookmarkStart w:id="282" w:name="_Toc334601025"/>
      <w:bookmarkStart w:id="283" w:name="_Toc365440992"/>
      <w:bookmarkStart w:id="284" w:name="_Toc396807621"/>
      <w:r w:rsidRPr="00274694">
        <w:t xml:space="preserve">Determining </w:t>
      </w:r>
      <w:proofErr w:type="spellStart"/>
      <w:r>
        <w:t>Systemwide</w:t>
      </w:r>
      <w:proofErr w:type="spellEnd"/>
      <w:r>
        <w:t xml:space="preserve"> and Local-Area Capacity </w:t>
      </w:r>
      <w:r w:rsidRPr="00274694">
        <w:t>Needs</w:t>
      </w:r>
      <w:bookmarkEnd w:id="281"/>
      <w:bookmarkEnd w:id="282"/>
      <w:bookmarkEnd w:id="283"/>
      <w:bookmarkEnd w:id="284"/>
      <w:r>
        <w:t xml:space="preserve"> </w:t>
      </w:r>
    </w:p>
    <w:p w:rsidR="008A621B" w:rsidRDefault="008A621B" w:rsidP="008A621B">
      <w:r w:rsidRPr="007C5478">
        <w:t xml:space="preserve">The Installed Capacity Requirement forms the basis for determining the </w:t>
      </w:r>
      <w:proofErr w:type="spellStart"/>
      <w:r w:rsidRPr="007C5478">
        <w:t>systemwide</w:t>
      </w:r>
      <w:proofErr w:type="spellEnd"/>
      <w:r w:rsidRPr="007C5478">
        <w:t xml:space="preserve"> capacity needs. The planning process also determines the need for capacity in local capacity zones, accounting </w:t>
      </w:r>
      <w:r>
        <w:t xml:space="preserve">for </w:t>
      </w:r>
      <w:r w:rsidRPr="007C5478">
        <w:t>export and import capabilities (or limitations) of these local zones. The annual Forward Capacity Auctions</w:t>
      </w:r>
      <w:r>
        <w:t xml:space="preserve"> are intended to</w:t>
      </w:r>
      <w:r w:rsidRPr="007C5478">
        <w:t xml:space="preserve"> procure the needed capacity, </w:t>
      </w:r>
      <w:proofErr w:type="spellStart"/>
      <w:r w:rsidRPr="007C5478">
        <w:t>systemwide</w:t>
      </w:r>
      <w:proofErr w:type="spellEnd"/>
      <w:r w:rsidRPr="007C5478">
        <w:t xml:space="preserve"> and for capacity zones. The section provides the results of the </w:t>
      </w:r>
      <w:proofErr w:type="spellStart"/>
      <w:r>
        <w:t>systemwide</w:t>
      </w:r>
      <w:proofErr w:type="spellEnd"/>
      <w:r>
        <w:t xml:space="preserve"> and local-area </w:t>
      </w:r>
      <w:r w:rsidRPr="007C5478">
        <w:t>capacity analyses for the planning period.</w:t>
      </w:r>
    </w:p>
    <w:p w:rsidR="008A621B" w:rsidRDefault="008A621B" w:rsidP="008A621B">
      <w:pPr>
        <w:pStyle w:val="Heading3"/>
        <w:spacing w:before="120"/>
      </w:pPr>
      <w:bookmarkStart w:id="285" w:name="_Ref387673339"/>
      <w:bookmarkStart w:id="286" w:name="_Toc396807622"/>
      <w:proofErr w:type="spellStart"/>
      <w:r w:rsidRPr="00DC14F1">
        <w:t>Systemwide</w:t>
      </w:r>
      <w:proofErr w:type="spellEnd"/>
      <w:r w:rsidRPr="00DC14F1">
        <w:t xml:space="preserve"> </w:t>
      </w:r>
      <w:r>
        <w:t>Installed Capacity Requirements</w:t>
      </w:r>
      <w:bookmarkEnd w:id="285"/>
      <w:bookmarkEnd w:id="286"/>
    </w:p>
    <w:p w:rsidR="008A621B" w:rsidRDefault="008A621B" w:rsidP="008A621B">
      <w:r>
        <w:t xml:space="preserve">RSP14 discusses </w:t>
      </w:r>
      <w:r w:rsidRPr="00AB4455">
        <w:t>the established ICR values for the 201</w:t>
      </w:r>
      <w:r>
        <w:t>4</w:t>
      </w:r>
      <w:r w:rsidRPr="00F1378E">
        <w:t>/201</w:t>
      </w:r>
      <w:r>
        <w:t>5</w:t>
      </w:r>
      <w:r w:rsidRPr="00AB4455">
        <w:t xml:space="preserve"> through 201</w:t>
      </w:r>
      <w:r>
        <w:t>7</w:t>
      </w:r>
      <w:r w:rsidRPr="00AB4455">
        <w:t>/201</w:t>
      </w:r>
      <w:r>
        <w:t>8</w:t>
      </w:r>
      <w:r w:rsidRPr="00AB4455">
        <w:t xml:space="preserve"> capacity commitment periods and illustrates</w:t>
      </w:r>
      <w:r>
        <w:t xml:space="preserve"> </w:t>
      </w:r>
      <w:r w:rsidRPr="00AB4455">
        <w:t>representative net ICR values for the 201</w:t>
      </w:r>
      <w:r>
        <w:t>9</w:t>
      </w:r>
      <w:r w:rsidRPr="00F1378E">
        <w:t>/20</w:t>
      </w:r>
      <w:r>
        <w:t>20</w:t>
      </w:r>
      <w:r w:rsidRPr="00AB4455">
        <w:t xml:space="preserve"> through 202</w:t>
      </w:r>
      <w:r>
        <w:t>3</w:t>
      </w:r>
      <w:r w:rsidRPr="00F1378E">
        <w:t>/202</w:t>
      </w:r>
      <w:r>
        <w:t>4</w:t>
      </w:r>
      <w:r w:rsidRPr="00AB4455">
        <w:t xml:space="preserve"> periods.</w:t>
      </w:r>
      <w:r w:rsidRPr="00AB4455">
        <w:rPr>
          <w:rStyle w:val="FootnoteReference"/>
        </w:rPr>
        <w:footnoteReference w:id="131"/>
      </w:r>
      <w:r w:rsidRPr="00AB4455">
        <w:t xml:space="preserve"> The actual net ICR values</w:t>
      </w:r>
      <w:r>
        <w:t xml:space="preserve"> </w:t>
      </w:r>
      <w:r w:rsidRPr="00AB4455">
        <w:t>for the 201</w:t>
      </w:r>
      <w:r>
        <w:t>4</w:t>
      </w:r>
      <w:r w:rsidRPr="00AB4455">
        <w:t>/201</w:t>
      </w:r>
      <w:r>
        <w:t>5</w:t>
      </w:r>
      <w:r w:rsidRPr="00AB4455">
        <w:t xml:space="preserve"> through 201</w:t>
      </w:r>
      <w:r>
        <w:t>7</w:t>
      </w:r>
      <w:r w:rsidRPr="00AB4455">
        <w:t>/201</w:t>
      </w:r>
      <w:r>
        <w:t>8</w:t>
      </w:r>
      <w:r w:rsidRPr="00AB4455">
        <w:t xml:space="preserve"> capacity commitment periods reflect the latest ICR values </w:t>
      </w:r>
      <w:r>
        <w:t xml:space="preserve">approved by FERC and </w:t>
      </w:r>
      <w:proofErr w:type="gramStart"/>
      <w:r>
        <w:t>are based</w:t>
      </w:r>
      <w:proofErr w:type="gramEnd"/>
      <w:r>
        <w:t xml:space="preserve"> on the 2013 CELT Report</w:t>
      </w:r>
      <w:r w:rsidRPr="00AB4455">
        <w:t>.</w:t>
      </w:r>
      <w:r w:rsidRPr="00AB4455">
        <w:rPr>
          <w:rStyle w:val="FootnoteReference"/>
        </w:rPr>
        <w:footnoteReference w:id="132"/>
      </w:r>
      <w:r w:rsidRPr="00AB4455">
        <w:t xml:space="preserve"> The representative net ICR values do not indicate the definitive am</w:t>
      </w:r>
      <w:r>
        <w:t>ount of capacity the region will</w:t>
      </w:r>
      <w:r w:rsidRPr="00AB4455">
        <w:t xml:space="preserve"> purchase for that period but provide stakeholders with a general forecast of the likely resource needs of the region. </w:t>
      </w:r>
    </w:p>
    <w:p w:rsidR="008A621B" w:rsidRDefault="00927965" w:rsidP="008A621B">
      <w:fldSimple w:instr=" REF _Ref385696452 \h  \* MERGEFORMAT ">
        <w:r w:rsidR="00284CE3" w:rsidRPr="00B30463">
          <w:t>Table </w:t>
        </w:r>
        <w:r w:rsidR="00284CE3">
          <w:t>4</w:t>
        </w:r>
        <w:r w:rsidR="00284CE3">
          <w:noBreakHyphen/>
          <w:t>1</w:t>
        </w:r>
      </w:fldSimple>
      <w:r w:rsidR="00D837D8" w:rsidRPr="00D837D8">
        <w:t xml:space="preserve"> shows the actual and representative New England net Installed Capacity Requirements for </w:t>
      </w:r>
      <w:r w:rsidR="008A621B" w:rsidRPr="00AD495E">
        <w:t xml:space="preserve">2014 to 2023. FERC approved the ICR and Hydro-Québec Interconnection Capability Credit (HQICC) </w:t>
      </w:r>
      <w:r w:rsidR="008A621B" w:rsidRPr="00410227">
        <w:t>values for the 2014/2015 through 2017/2018 commitment periods.</w:t>
      </w:r>
      <w:r w:rsidR="00274428" w:rsidRPr="00410227">
        <w:rPr>
          <w:rStyle w:val="FootnoteReference"/>
        </w:rPr>
        <w:footnoteReference w:id="133"/>
      </w:r>
      <w:r w:rsidR="008A621B" w:rsidRPr="00410227">
        <w:t xml:space="preserve"> </w:t>
      </w:r>
      <w:r w:rsidR="00D837D8" w:rsidRPr="00410227">
        <w:t xml:space="preserve">The representative net ICR values for 2019/2020 through 2023/2024 </w:t>
      </w:r>
      <w:proofErr w:type="gramStart"/>
      <w:r w:rsidR="00D837D8" w:rsidRPr="00410227">
        <w:t>are calculated</w:t>
      </w:r>
      <w:proofErr w:type="gramEnd"/>
      <w:r w:rsidR="00D837D8" w:rsidRPr="00410227">
        <w:t xml:space="preserve"> deterministically but are assumed to meet the probabilistic resource adequacy criteria. The table also shows the resulting reserves</w:t>
      </w:r>
      <w:r w:rsidR="00F67C7C" w:rsidRPr="00410227">
        <w:t xml:space="preserve"> using the 2014 CELT</w:t>
      </w:r>
      <w:r w:rsidR="00410227" w:rsidRPr="00410227">
        <w:t xml:space="preserve"> Report</w:t>
      </w:r>
      <w:r w:rsidR="00D837D8" w:rsidRPr="00410227">
        <w:t>, which are different for every period</w:t>
      </w:r>
      <w:r w:rsidR="008A621B" w:rsidRPr="00410227">
        <w:t xml:space="preserve"> of </w:t>
      </w:r>
      <w:r w:rsidR="00251C4B" w:rsidRPr="00410227">
        <w:t xml:space="preserve">the </w:t>
      </w:r>
      <w:r w:rsidR="008A621B" w:rsidRPr="00410227">
        <w:t>FERC</w:t>
      </w:r>
      <w:r w:rsidR="00251C4B" w:rsidRPr="00410227">
        <w:t>-</w:t>
      </w:r>
      <w:r w:rsidR="008A621B" w:rsidRPr="00410227">
        <w:t>a</w:t>
      </w:r>
      <w:r w:rsidR="00251C4B" w:rsidRPr="00410227">
        <w:t>p</w:t>
      </w:r>
      <w:r w:rsidR="008A621B" w:rsidRPr="00410227">
        <w:t>proved ICR because of assumed changes in tie benefits and other system conditions</w:t>
      </w:r>
      <w:r w:rsidR="00D837D8" w:rsidRPr="00410227">
        <w:t>.</w:t>
      </w:r>
      <w:r w:rsidR="00D837D8" w:rsidRPr="00410227">
        <w:rPr>
          <w:rStyle w:val="FootnoteReference"/>
        </w:rPr>
        <w:footnoteReference w:id="134"/>
      </w:r>
      <w:r w:rsidR="00D837D8" w:rsidRPr="00410227">
        <w:t xml:space="preserve"> In the table, the calculated future net ICR </w:t>
      </w:r>
      <w:r w:rsidR="00410227" w:rsidRPr="00410227">
        <w:t>for 2019/2020 to 2023/2024</w:t>
      </w:r>
      <w:r w:rsidR="00F67C7C" w:rsidRPr="00410227">
        <w:t xml:space="preserve">, </w:t>
      </w:r>
      <w:r w:rsidR="00D837D8" w:rsidRPr="00410227">
        <w:t>rounded to the nearest 100 MW, is based on a representative value of 14.2% for resulting reserves for all years</w:t>
      </w:r>
      <w:r w:rsidR="008A621B" w:rsidRPr="00410227">
        <w:t xml:space="preserve">. </w:t>
      </w:r>
      <w:r w:rsidR="001F4192" w:rsidRPr="00410227">
        <w:t>As shown in Table 4-1, t</w:t>
      </w:r>
      <w:r w:rsidR="00C50436" w:rsidRPr="00410227">
        <w:t xml:space="preserve">he region’s net ICR </w:t>
      </w:r>
      <w:proofErr w:type="gramStart"/>
      <w:r w:rsidR="00C50436" w:rsidRPr="00410227">
        <w:t>is expected</w:t>
      </w:r>
      <w:proofErr w:type="gramEnd"/>
      <w:r w:rsidR="00C50436" w:rsidRPr="00410227">
        <w:t xml:space="preserve"> to grow from 32,588 MW in 2014 to a representative value of 36,100 MW by 2023. This represents a growth of approximately 390</w:t>
      </w:r>
      <w:r w:rsidR="00C04680">
        <w:t> </w:t>
      </w:r>
      <w:r w:rsidR="00C50436" w:rsidRPr="00410227">
        <w:t>MW per year, which is equivalent to 1.14% per year.</w:t>
      </w:r>
      <w:r w:rsidR="00AD495E">
        <w:t xml:space="preserve"> </w:t>
      </w:r>
    </w:p>
    <w:p w:rsidR="008A621B" w:rsidRPr="004C3068" w:rsidRDefault="008A621B" w:rsidP="00EF79FB">
      <w:pPr>
        <w:pStyle w:val="Caption"/>
        <w:spacing w:after="80"/>
      </w:pPr>
      <w:bookmarkStart w:id="287" w:name="_Ref385696452"/>
      <w:bookmarkStart w:id="288" w:name="_Toc391985603"/>
      <w:r w:rsidRPr="00B30463">
        <w:t>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1</w:t>
      </w:r>
      <w:r w:rsidR="00927965">
        <w:fldChar w:fldCharType="end"/>
      </w:r>
      <w:bookmarkEnd w:id="287"/>
      <w:r w:rsidRPr="00B30463">
        <w:t xml:space="preserve"> </w:t>
      </w:r>
      <w:r w:rsidRPr="00B30463">
        <w:br/>
        <w:t>Actual and Representative New England Net Installed Capacity Requirements</w:t>
      </w:r>
      <w:r w:rsidRPr="00B30463">
        <w:br/>
        <w:t>and Resulting Reserves, 2014 to 2023 (MW, %)</w:t>
      </w:r>
      <w:bookmarkEnd w:id="288"/>
      <w:r w:rsidRPr="00B30463">
        <w:t xml:space="preserve"> </w:t>
      </w:r>
    </w:p>
    <w:tbl>
      <w:tblPr>
        <w:tblW w:w="0" w:type="auto"/>
        <w:jc w:val="center"/>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tblPr>
      <w:tblGrid>
        <w:gridCol w:w="1495"/>
        <w:gridCol w:w="2020"/>
        <w:gridCol w:w="2019"/>
        <w:gridCol w:w="2020"/>
      </w:tblGrid>
      <w:tr w:rsidR="008A621B" w:rsidRPr="00F67C7C" w:rsidTr="008A621B">
        <w:trPr>
          <w:cantSplit/>
          <w:tblHeader/>
          <w:jc w:val="center"/>
        </w:trPr>
        <w:tc>
          <w:tcPr>
            <w:tcW w:w="1495" w:type="dxa"/>
            <w:shd w:val="clear" w:color="auto" w:fill="85AFF2" w:themeFill="text2" w:themeFillTint="66"/>
            <w:vAlign w:val="center"/>
          </w:tcPr>
          <w:p w:rsidR="008A621B" w:rsidRPr="00F67C7C" w:rsidRDefault="008A621B" w:rsidP="00EF79FB">
            <w:pPr>
              <w:keepNext/>
              <w:keepLines/>
              <w:spacing w:before="20" w:after="20" w:line="240" w:lineRule="auto"/>
              <w:jc w:val="center"/>
              <w:rPr>
                <w:rFonts w:asciiTheme="minorHAnsi" w:hAnsiTheme="minorHAnsi"/>
                <w:b/>
                <w:bCs/>
                <w:color w:val="FFFFFF" w:themeColor="background1"/>
                <w:sz w:val="18"/>
                <w:szCs w:val="18"/>
              </w:rPr>
            </w:pPr>
            <w:bookmarkStart w:id="289" w:name="_Toc387926373"/>
            <w:r w:rsidRPr="00F67C7C">
              <w:rPr>
                <w:rFonts w:asciiTheme="minorHAnsi" w:hAnsiTheme="minorHAnsi"/>
                <w:b/>
                <w:color w:val="FFFFFF" w:themeColor="background1"/>
                <w:sz w:val="18"/>
                <w:szCs w:val="18"/>
              </w:rPr>
              <w:t>Years</w:t>
            </w:r>
            <w:bookmarkEnd w:id="289"/>
          </w:p>
        </w:tc>
        <w:tc>
          <w:tcPr>
            <w:tcW w:w="2020" w:type="dxa"/>
            <w:shd w:val="clear" w:color="auto" w:fill="85AFF2" w:themeFill="text2" w:themeFillTint="66"/>
            <w:vAlign w:val="center"/>
          </w:tcPr>
          <w:p w:rsidR="008A621B" w:rsidRPr="00F67C7C" w:rsidRDefault="008A621B" w:rsidP="00EF79FB">
            <w:pPr>
              <w:keepNext/>
              <w:keepLines/>
              <w:spacing w:before="20" w:after="20" w:line="240" w:lineRule="auto"/>
              <w:jc w:val="center"/>
              <w:rPr>
                <w:rFonts w:asciiTheme="minorHAnsi" w:hAnsiTheme="minorHAnsi"/>
                <w:b/>
                <w:bCs/>
                <w:color w:val="FFFFFF" w:themeColor="background1"/>
                <w:sz w:val="18"/>
                <w:szCs w:val="18"/>
              </w:rPr>
            </w:pPr>
            <w:bookmarkStart w:id="290" w:name="_Toc387926374"/>
            <w:r w:rsidRPr="00F67C7C">
              <w:rPr>
                <w:rFonts w:asciiTheme="minorHAnsi" w:hAnsiTheme="minorHAnsi"/>
                <w:b/>
                <w:color w:val="FFFFFF" w:themeColor="background1"/>
                <w:sz w:val="18"/>
                <w:szCs w:val="18"/>
              </w:rPr>
              <w:t>2014 CELT Forecast</w:t>
            </w:r>
            <w:r w:rsidRPr="00F67C7C">
              <w:rPr>
                <w:rFonts w:asciiTheme="minorHAnsi" w:hAnsiTheme="minorHAnsi"/>
                <w:b/>
                <w:color w:val="FFFFFF" w:themeColor="background1"/>
                <w:sz w:val="18"/>
                <w:szCs w:val="18"/>
              </w:rPr>
              <w:br/>
              <w:t>50/50 Peak (MW)</w:t>
            </w:r>
            <w:bookmarkEnd w:id="290"/>
          </w:p>
        </w:tc>
        <w:tc>
          <w:tcPr>
            <w:tcW w:w="2019" w:type="dxa"/>
            <w:shd w:val="clear" w:color="auto" w:fill="85AFF2" w:themeFill="text2" w:themeFillTint="66"/>
            <w:vAlign w:val="center"/>
          </w:tcPr>
          <w:p w:rsidR="008A621B" w:rsidRPr="00F67C7C" w:rsidRDefault="008A621B" w:rsidP="00EF79FB">
            <w:pPr>
              <w:keepNext/>
              <w:keepLines/>
              <w:spacing w:before="20" w:after="20" w:line="240" w:lineRule="auto"/>
              <w:jc w:val="center"/>
              <w:rPr>
                <w:rFonts w:asciiTheme="minorHAnsi" w:eastAsiaTheme="majorEastAsia" w:hAnsiTheme="minorHAnsi" w:cstheme="majorBidi"/>
                <w:b/>
                <w:bCs/>
                <w:color w:val="FFFFFF" w:themeColor="background1"/>
                <w:sz w:val="18"/>
                <w:szCs w:val="18"/>
              </w:rPr>
            </w:pPr>
            <w:bookmarkStart w:id="291" w:name="_Toc387926375"/>
            <w:r w:rsidRPr="00F67C7C">
              <w:rPr>
                <w:rFonts w:asciiTheme="minorHAnsi" w:hAnsiTheme="minorHAnsi"/>
                <w:b/>
                <w:color w:val="FFFFFF" w:themeColor="background1"/>
                <w:sz w:val="18"/>
                <w:szCs w:val="18"/>
              </w:rPr>
              <w:t>Actual and Representative</w:t>
            </w:r>
            <w:r w:rsidRPr="00F67C7C">
              <w:rPr>
                <w:rFonts w:asciiTheme="minorHAnsi" w:hAnsiTheme="minorHAnsi"/>
                <w:b/>
                <w:color w:val="FFFFFF" w:themeColor="background1"/>
                <w:sz w:val="18"/>
                <w:szCs w:val="18"/>
              </w:rPr>
              <w:br/>
              <w:t>Future Net ICR</w:t>
            </w:r>
            <w:r w:rsidRPr="00F67C7C">
              <w:rPr>
                <w:rFonts w:asciiTheme="minorHAnsi" w:hAnsiTheme="minorHAnsi"/>
                <w:b/>
                <w:color w:val="FFFFFF" w:themeColor="background1"/>
                <w:sz w:val="18"/>
                <w:szCs w:val="18"/>
                <w:vertAlign w:val="superscript"/>
              </w:rPr>
              <w:t xml:space="preserve">(a) </w:t>
            </w:r>
            <w:r w:rsidRPr="00F67C7C">
              <w:rPr>
                <w:rFonts w:asciiTheme="minorHAnsi" w:hAnsiTheme="minorHAnsi"/>
                <w:b/>
                <w:bCs/>
                <w:color w:val="FFFFFF" w:themeColor="background1"/>
                <w:sz w:val="18"/>
                <w:szCs w:val="18"/>
              </w:rPr>
              <w:t>(MW)</w:t>
            </w:r>
            <w:bookmarkEnd w:id="291"/>
          </w:p>
        </w:tc>
        <w:tc>
          <w:tcPr>
            <w:tcW w:w="2020" w:type="dxa"/>
            <w:shd w:val="clear" w:color="auto" w:fill="85AFF2" w:themeFill="text2" w:themeFillTint="66"/>
            <w:vAlign w:val="center"/>
          </w:tcPr>
          <w:p w:rsidR="008A621B" w:rsidRPr="00F67C7C" w:rsidRDefault="008A621B" w:rsidP="00EF79FB">
            <w:pPr>
              <w:keepNext/>
              <w:keepLines/>
              <w:spacing w:before="20" w:after="20" w:line="240" w:lineRule="auto"/>
              <w:jc w:val="center"/>
              <w:rPr>
                <w:rFonts w:asciiTheme="minorHAnsi" w:hAnsiTheme="minorHAnsi"/>
                <w:b/>
                <w:bCs/>
                <w:color w:val="FFFFFF" w:themeColor="background1"/>
                <w:sz w:val="18"/>
                <w:szCs w:val="18"/>
              </w:rPr>
            </w:pPr>
            <w:bookmarkStart w:id="292" w:name="_Toc387926376"/>
            <w:r w:rsidRPr="00F67C7C">
              <w:rPr>
                <w:rFonts w:asciiTheme="minorHAnsi" w:hAnsiTheme="minorHAnsi"/>
                <w:b/>
                <w:color w:val="FFFFFF" w:themeColor="background1"/>
                <w:sz w:val="18"/>
                <w:szCs w:val="18"/>
              </w:rPr>
              <w:t xml:space="preserve">Resulting </w:t>
            </w:r>
            <w:proofErr w:type="gramStart"/>
            <w:r w:rsidRPr="00F67C7C">
              <w:rPr>
                <w:rFonts w:asciiTheme="minorHAnsi" w:hAnsiTheme="minorHAnsi"/>
                <w:b/>
                <w:color w:val="FFFFFF" w:themeColor="background1"/>
                <w:sz w:val="18"/>
                <w:szCs w:val="18"/>
              </w:rPr>
              <w:t>Reserves</w:t>
            </w:r>
            <w:r w:rsidRPr="00F67C7C">
              <w:rPr>
                <w:rFonts w:asciiTheme="minorHAnsi" w:hAnsiTheme="minorHAnsi"/>
                <w:b/>
                <w:color w:val="FFFFFF" w:themeColor="background1"/>
                <w:sz w:val="18"/>
                <w:szCs w:val="18"/>
                <w:vertAlign w:val="superscript"/>
              </w:rPr>
              <w:t>(</w:t>
            </w:r>
            <w:proofErr w:type="gramEnd"/>
            <w:r w:rsidRPr="00F67C7C">
              <w:rPr>
                <w:rFonts w:asciiTheme="minorHAnsi" w:hAnsiTheme="minorHAnsi"/>
                <w:b/>
                <w:color w:val="FFFFFF" w:themeColor="background1"/>
                <w:sz w:val="18"/>
                <w:szCs w:val="18"/>
                <w:vertAlign w:val="superscript"/>
              </w:rPr>
              <w:t xml:space="preserve">b) </w:t>
            </w:r>
            <w:r w:rsidRPr="00F67C7C">
              <w:rPr>
                <w:rFonts w:asciiTheme="minorHAnsi" w:hAnsiTheme="minorHAnsi"/>
                <w:b/>
                <w:color w:val="FFFFFF" w:themeColor="background1"/>
                <w:sz w:val="18"/>
                <w:szCs w:val="18"/>
                <w:vertAlign w:val="superscript"/>
              </w:rPr>
              <w:br/>
            </w:r>
            <w:r w:rsidRPr="00F67C7C">
              <w:rPr>
                <w:rFonts w:asciiTheme="minorHAnsi" w:hAnsiTheme="minorHAnsi"/>
                <w:b/>
                <w:color w:val="FFFFFF" w:themeColor="background1"/>
                <w:sz w:val="18"/>
                <w:szCs w:val="18"/>
              </w:rPr>
              <w:t>(%)</w:t>
            </w:r>
            <w:bookmarkEnd w:id="292"/>
          </w:p>
        </w:tc>
      </w:tr>
      <w:tr w:rsidR="008A621B" w:rsidRPr="00F67C7C" w:rsidTr="00BD4A46">
        <w:trPr>
          <w:cantSplit/>
          <w:trHeight w:val="331"/>
          <w:jc w:val="center"/>
        </w:trPr>
        <w:tc>
          <w:tcPr>
            <w:tcW w:w="1495" w:type="dxa"/>
            <w:shd w:val="clear" w:color="auto" w:fill="auto"/>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sz w:val="18"/>
                <w:szCs w:val="18"/>
              </w:rPr>
              <w:t>2014/2015</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28,165</w:t>
            </w:r>
          </w:p>
        </w:tc>
        <w:tc>
          <w:tcPr>
            <w:tcW w:w="2019"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32,588</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15.7</w:t>
            </w:r>
          </w:p>
        </w:tc>
      </w:tr>
      <w:tr w:rsidR="008A621B" w:rsidRPr="00F67C7C"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sz w:val="18"/>
                <w:szCs w:val="18"/>
              </w:rPr>
              <w:t>2015/2016</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28,615</w:t>
            </w:r>
          </w:p>
        </w:tc>
        <w:tc>
          <w:tcPr>
            <w:tcW w:w="2019"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33,114</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15.7</w:t>
            </w:r>
          </w:p>
        </w:tc>
      </w:tr>
      <w:tr w:rsidR="008A621B" w:rsidRPr="00F67C7C" w:rsidTr="00BD4A46">
        <w:trPr>
          <w:cantSplit/>
          <w:trHeight w:val="331"/>
          <w:jc w:val="center"/>
        </w:trPr>
        <w:tc>
          <w:tcPr>
            <w:tcW w:w="1495" w:type="dxa"/>
            <w:shd w:val="clear" w:color="auto" w:fill="auto"/>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sz w:val="18"/>
                <w:szCs w:val="18"/>
              </w:rPr>
              <w:t>2016/2017</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29,130</w:t>
            </w:r>
          </w:p>
        </w:tc>
        <w:tc>
          <w:tcPr>
            <w:tcW w:w="2019"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33,529</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bookmarkStart w:id="293" w:name="_Toc387926377"/>
            <w:r w:rsidRPr="00F67C7C">
              <w:rPr>
                <w:rFonts w:asciiTheme="minorHAnsi" w:hAnsiTheme="minorHAnsi" w:cs="Arial"/>
                <w:bCs/>
                <w:sz w:val="18"/>
                <w:szCs w:val="18"/>
              </w:rPr>
              <w:t>15.1</w:t>
            </w:r>
            <w:bookmarkEnd w:id="293"/>
          </w:p>
        </w:tc>
      </w:tr>
      <w:tr w:rsidR="008A621B" w:rsidRPr="00F67C7C"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sz w:val="18"/>
                <w:szCs w:val="18"/>
              </w:rPr>
              <w:t>2017/2018</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29,610</w:t>
            </w:r>
          </w:p>
        </w:tc>
        <w:tc>
          <w:tcPr>
            <w:tcW w:w="2019"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33,855</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14.3</w:t>
            </w:r>
          </w:p>
        </w:tc>
      </w:tr>
      <w:tr w:rsidR="008A621B" w:rsidRPr="00F67C7C" w:rsidTr="00BD4A46">
        <w:trPr>
          <w:cantSplit/>
          <w:trHeight w:val="331"/>
          <w:jc w:val="center"/>
        </w:trPr>
        <w:tc>
          <w:tcPr>
            <w:tcW w:w="1495" w:type="dxa"/>
            <w:shd w:val="clear" w:color="auto" w:fill="auto"/>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sz w:val="18"/>
                <w:szCs w:val="18"/>
              </w:rPr>
              <w:t>2018/2019</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30,005</w:t>
            </w:r>
          </w:p>
        </w:tc>
        <w:tc>
          <w:tcPr>
            <w:tcW w:w="2019"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TBD</w:t>
            </w:r>
            <w:r w:rsidRPr="00F67C7C">
              <w:rPr>
                <w:rFonts w:asciiTheme="minorHAnsi" w:hAnsiTheme="minorHAnsi"/>
                <w:b/>
                <w:sz w:val="18"/>
                <w:szCs w:val="18"/>
                <w:vertAlign w:val="superscript"/>
              </w:rPr>
              <w:t>(c)</w:t>
            </w:r>
          </w:p>
        </w:tc>
        <w:tc>
          <w:tcPr>
            <w:tcW w:w="2020" w:type="dxa"/>
            <w:shd w:val="clear" w:color="auto" w:fill="auto"/>
            <w:noWrap/>
            <w:vAlign w:val="center"/>
          </w:tcPr>
          <w:p w:rsidR="008A621B" w:rsidRPr="00F67C7C" w:rsidRDefault="00BF1391"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w:t>
            </w:r>
          </w:p>
        </w:tc>
      </w:tr>
      <w:tr w:rsidR="008A621B" w:rsidRPr="00F67C7C"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sz w:val="18"/>
                <w:szCs w:val="18"/>
              </w:rPr>
              <w:t>2019/2020</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30,335</w:t>
            </w:r>
          </w:p>
        </w:tc>
        <w:tc>
          <w:tcPr>
            <w:tcW w:w="2019"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34,600</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14.1</w:t>
            </w:r>
          </w:p>
        </w:tc>
      </w:tr>
      <w:tr w:rsidR="008A621B" w:rsidRPr="00F67C7C" w:rsidTr="00BD4A46">
        <w:trPr>
          <w:cantSplit/>
          <w:trHeight w:val="331"/>
          <w:jc w:val="center"/>
        </w:trPr>
        <w:tc>
          <w:tcPr>
            <w:tcW w:w="1495" w:type="dxa"/>
            <w:shd w:val="clear" w:color="auto" w:fill="auto"/>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bCs/>
                <w:sz w:val="18"/>
                <w:szCs w:val="18"/>
              </w:rPr>
              <w:t>2020/2021</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30,675</w:t>
            </w:r>
          </w:p>
        </w:tc>
        <w:tc>
          <w:tcPr>
            <w:tcW w:w="2019"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sz w:val="18"/>
                <w:szCs w:val="18"/>
              </w:rPr>
              <w:t>35,000</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14.1</w:t>
            </w:r>
          </w:p>
        </w:tc>
      </w:tr>
      <w:tr w:rsidR="008A621B" w:rsidRPr="00F67C7C"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bCs/>
                <w:sz w:val="18"/>
                <w:szCs w:val="18"/>
              </w:rPr>
              <w:t>2021/2022</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bCs/>
                <w:sz w:val="18"/>
                <w:szCs w:val="18"/>
              </w:rPr>
              <w:t>30,990</w:t>
            </w:r>
          </w:p>
        </w:tc>
        <w:tc>
          <w:tcPr>
            <w:tcW w:w="2019"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sz w:val="18"/>
                <w:szCs w:val="18"/>
              </w:rPr>
            </w:pPr>
            <w:r w:rsidRPr="00F67C7C">
              <w:rPr>
                <w:rFonts w:asciiTheme="minorHAnsi" w:hAnsiTheme="minorHAnsi" w:cs="Arial"/>
                <w:bCs/>
                <w:sz w:val="18"/>
                <w:szCs w:val="18"/>
              </w:rPr>
              <w:t>35,400</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14.2</w:t>
            </w:r>
          </w:p>
        </w:tc>
      </w:tr>
      <w:tr w:rsidR="008A621B" w:rsidRPr="00F67C7C" w:rsidTr="00BD4A46">
        <w:trPr>
          <w:cantSplit/>
          <w:trHeight w:val="331"/>
          <w:jc w:val="center"/>
        </w:trPr>
        <w:tc>
          <w:tcPr>
            <w:tcW w:w="1495" w:type="dxa"/>
            <w:shd w:val="clear" w:color="auto" w:fill="auto"/>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bCs/>
                <w:sz w:val="18"/>
                <w:szCs w:val="18"/>
              </w:rPr>
              <w:t>2022/2023</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b/>
                <w:sz w:val="18"/>
                <w:szCs w:val="18"/>
              </w:rPr>
            </w:pPr>
            <w:r w:rsidRPr="00F67C7C">
              <w:rPr>
                <w:rFonts w:asciiTheme="minorHAnsi" w:hAnsiTheme="minorHAnsi" w:cs="Arial"/>
                <w:bCs/>
                <w:sz w:val="18"/>
                <w:szCs w:val="18"/>
              </w:rPr>
              <w:t>31,315</w:t>
            </w:r>
          </w:p>
        </w:tc>
        <w:tc>
          <w:tcPr>
            <w:tcW w:w="2019"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b/>
                <w:sz w:val="18"/>
                <w:szCs w:val="18"/>
              </w:rPr>
            </w:pPr>
            <w:r w:rsidRPr="00F67C7C">
              <w:rPr>
                <w:rFonts w:asciiTheme="minorHAnsi" w:hAnsiTheme="minorHAnsi" w:cs="Arial"/>
                <w:bCs/>
                <w:sz w:val="18"/>
                <w:szCs w:val="18"/>
              </w:rPr>
              <w:t>35,800</w:t>
            </w:r>
          </w:p>
        </w:tc>
        <w:tc>
          <w:tcPr>
            <w:tcW w:w="2020" w:type="dxa"/>
            <w:shd w:val="clear" w:color="auto" w:fill="auto"/>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14.3</w:t>
            </w:r>
          </w:p>
        </w:tc>
      </w:tr>
      <w:tr w:rsidR="008A621B" w:rsidRPr="00DE6EC2" w:rsidTr="00BD4A46">
        <w:trPr>
          <w:cantSplit/>
          <w:trHeight w:val="331"/>
          <w:jc w:val="center"/>
        </w:trPr>
        <w:tc>
          <w:tcPr>
            <w:tcW w:w="1495" w:type="dxa"/>
            <w:shd w:val="clear" w:color="auto" w:fill="C2D7F8" w:themeFill="text2" w:themeFillTint="33"/>
            <w:noWrap/>
            <w:tcMar>
              <w:left w:w="115" w:type="dxa"/>
              <w:right w:w="0" w:type="dxa"/>
            </w:tcMar>
            <w:vAlign w:val="center"/>
          </w:tcPr>
          <w:p w:rsidR="008A621B" w:rsidRPr="00F67C7C" w:rsidRDefault="008A621B" w:rsidP="00EF79FB">
            <w:pPr>
              <w:keepNext/>
              <w:keepLines/>
              <w:spacing w:before="20" w:after="20" w:line="240" w:lineRule="auto"/>
              <w:rPr>
                <w:rFonts w:asciiTheme="minorHAnsi" w:hAnsiTheme="minorHAnsi"/>
                <w:b/>
                <w:bCs/>
                <w:sz w:val="18"/>
                <w:szCs w:val="18"/>
              </w:rPr>
            </w:pPr>
            <w:r w:rsidRPr="00F67C7C">
              <w:rPr>
                <w:rFonts w:asciiTheme="minorHAnsi" w:hAnsiTheme="minorHAnsi"/>
                <w:b/>
                <w:bCs/>
                <w:sz w:val="18"/>
                <w:szCs w:val="18"/>
              </w:rPr>
              <w:t>2023/2024</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31,620</w:t>
            </w:r>
          </w:p>
        </w:tc>
        <w:tc>
          <w:tcPr>
            <w:tcW w:w="2019"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36,100</w:t>
            </w:r>
          </w:p>
        </w:tc>
        <w:tc>
          <w:tcPr>
            <w:tcW w:w="2020" w:type="dxa"/>
            <w:shd w:val="clear" w:color="auto" w:fill="C2D7F8" w:themeFill="text2" w:themeFillTint="33"/>
            <w:noWrap/>
            <w:vAlign w:val="center"/>
          </w:tcPr>
          <w:p w:rsidR="008A621B" w:rsidRPr="00F67C7C" w:rsidRDefault="008A621B" w:rsidP="00EF79FB">
            <w:pPr>
              <w:keepNext/>
              <w:keepLines/>
              <w:spacing w:before="20" w:after="20" w:line="240" w:lineRule="auto"/>
              <w:jc w:val="center"/>
              <w:rPr>
                <w:rFonts w:asciiTheme="minorHAnsi" w:hAnsiTheme="minorHAnsi" w:cs="Arial"/>
                <w:bCs/>
                <w:sz w:val="18"/>
                <w:szCs w:val="18"/>
              </w:rPr>
            </w:pPr>
            <w:r w:rsidRPr="00F67C7C">
              <w:rPr>
                <w:rFonts w:asciiTheme="minorHAnsi" w:hAnsiTheme="minorHAnsi" w:cs="Arial"/>
                <w:bCs/>
                <w:sz w:val="18"/>
                <w:szCs w:val="18"/>
              </w:rPr>
              <w:t>14.2</w:t>
            </w:r>
          </w:p>
        </w:tc>
      </w:tr>
    </w:tbl>
    <w:p w:rsidR="008A621B" w:rsidRPr="00371DF7" w:rsidRDefault="008A621B" w:rsidP="00EF79FB">
      <w:pPr>
        <w:pStyle w:val="Default"/>
        <w:keepNext/>
        <w:keepLines/>
        <w:numPr>
          <w:ilvl w:val="0"/>
          <w:numId w:val="47"/>
        </w:numPr>
        <w:tabs>
          <w:tab w:val="clear" w:pos="720"/>
          <w:tab w:val="num" w:pos="990"/>
        </w:tabs>
        <w:spacing w:before="120" w:after="80"/>
        <w:ind w:left="994" w:right="720" w:hanging="274"/>
        <w:rPr>
          <w:rFonts w:asciiTheme="minorHAnsi" w:hAnsiTheme="minorHAnsi" w:cs="Arial"/>
          <w:sz w:val="16"/>
          <w:szCs w:val="16"/>
        </w:rPr>
      </w:pPr>
      <w:r w:rsidRPr="00A955C8">
        <w:rPr>
          <w:rFonts w:asciiTheme="minorHAnsi" w:hAnsiTheme="minorHAnsi" w:cs="Arial"/>
          <w:sz w:val="16"/>
          <w:szCs w:val="16"/>
        </w:rPr>
        <w:t xml:space="preserve">Net ICR values for 2014/2015 to 2017/2018 are the latest values approved by FERC. These net ICR values </w:t>
      </w:r>
      <w:proofErr w:type="gramStart"/>
      <w:r w:rsidRPr="00A955C8">
        <w:rPr>
          <w:rFonts w:asciiTheme="minorHAnsi" w:hAnsiTheme="minorHAnsi" w:cs="Arial"/>
          <w:sz w:val="16"/>
          <w:szCs w:val="16"/>
        </w:rPr>
        <w:t xml:space="preserve">were </w:t>
      </w:r>
      <w:r w:rsidRPr="00371DF7">
        <w:rPr>
          <w:rFonts w:asciiTheme="minorHAnsi" w:hAnsiTheme="minorHAnsi" w:cs="Arial"/>
          <w:sz w:val="16"/>
          <w:szCs w:val="16"/>
        </w:rPr>
        <w:t>developed</w:t>
      </w:r>
      <w:proofErr w:type="gramEnd"/>
      <w:r w:rsidRPr="00371DF7">
        <w:rPr>
          <w:rFonts w:asciiTheme="minorHAnsi" w:hAnsiTheme="minorHAnsi" w:cs="Arial"/>
          <w:sz w:val="16"/>
          <w:szCs w:val="16"/>
        </w:rPr>
        <w:t xml:space="preserve"> using 2013 CELT Report loads.</w:t>
      </w:r>
    </w:p>
    <w:p w:rsidR="008A621B" w:rsidRPr="00371DF7" w:rsidRDefault="008A621B" w:rsidP="00EF79FB">
      <w:pPr>
        <w:pStyle w:val="Default"/>
        <w:keepNext/>
        <w:keepLines/>
        <w:numPr>
          <w:ilvl w:val="0"/>
          <w:numId w:val="47"/>
        </w:numPr>
        <w:tabs>
          <w:tab w:val="clear" w:pos="720"/>
          <w:tab w:val="num" w:pos="990"/>
        </w:tabs>
        <w:spacing w:after="80"/>
        <w:ind w:left="990" w:right="720" w:hanging="270"/>
        <w:rPr>
          <w:rFonts w:asciiTheme="minorHAnsi" w:hAnsiTheme="minorHAnsi" w:cs="Arial"/>
          <w:sz w:val="16"/>
          <w:szCs w:val="16"/>
        </w:rPr>
      </w:pPr>
      <w:r w:rsidRPr="00371DF7">
        <w:rPr>
          <w:rFonts w:asciiTheme="minorHAnsi" w:hAnsiTheme="minorHAnsi" w:cs="Arial"/>
          <w:sz w:val="16"/>
          <w:szCs w:val="16"/>
        </w:rPr>
        <w:t>The resulting reserves percentage for 2014/2015 to 2017/2018, when calculated using their respective 2013</w:t>
      </w:r>
      <w:r w:rsidR="005D2BE0" w:rsidRPr="00371DF7">
        <w:rPr>
          <w:rFonts w:asciiTheme="minorHAnsi" w:hAnsiTheme="minorHAnsi" w:cs="Arial"/>
          <w:sz w:val="16"/>
          <w:szCs w:val="16"/>
        </w:rPr>
        <w:t xml:space="preserve"> </w:t>
      </w:r>
      <w:r w:rsidRPr="00371DF7">
        <w:rPr>
          <w:rFonts w:asciiTheme="minorHAnsi" w:hAnsiTheme="minorHAnsi" w:cs="Arial"/>
          <w:sz w:val="16"/>
          <w:szCs w:val="16"/>
        </w:rPr>
        <w:t xml:space="preserve">CELT Report loads, ranged </w:t>
      </w:r>
      <w:r w:rsidR="00D74DF0" w:rsidRPr="00371DF7">
        <w:rPr>
          <w:rFonts w:asciiTheme="minorHAnsi" w:hAnsiTheme="minorHAnsi" w:cs="Arial"/>
          <w:sz w:val="16"/>
          <w:szCs w:val="16"/>
        </w:rPr>
        <w:t xml:space="preserve">from </w:t>
      </w:r>
      <w:r w:rsidRPr="00371DF7">
        <w:rPr>
          <w:rFonts w:asciiTheme="minorHAnsi" w:hAnsiTheme="minorHAnsi" w:cs="Arial"/>
          <w:sz w:val="16"/>
          <w:szCs w:val="16"/>
        </w:rPr>
        <w:t xml:space="preserve">13.6% to 15.2% (These values </w:t>
      </w:r>
      <w:proofErr w:type="gramStart"/>
      <w:r w:rsidRPr="00371DF7">
        <w:rPr>
          <w:rFonts w:asciiTheme="minorHAnsi" w:hAnsiTheme="minorHAnsi" w:cs="Arial"/>
          <w:sz w:val="16"/>
          <w:szCs w:val="16"/>
        </w:rPr>
        <w:t>are not shown</w:t>
      </w:r>
      <w:proofErr w:type="gramEnd"/>
      <w:r w:rsidRPr="00371DF7">
        <w:rPr>
          <w:rFonts w:asciiTheme="minorHAnsi" w:hAnsiTheme="minorHAnsi" w:cs="Arial"/>
          <w:sz w:val="16"/>
          <w:szCs w:val="16"/>
        </w:rPr>
        <w:t xml:space="preserve"> in the above table). </w:t>
      </w:r>
      <w:fldSimple w:instr=" REF _Ref385696452 \h  \* MERGEFORMAT ">
        <w:r w:rsidR="00284CE3" w:rsidRPr="00284CE3">
          <w:rPr>
            <w:rFonts w:asciiTheme="minorHAnsi" w:hAnsiTheme="minorHAnsi"/>
            <w:sz w:val="16"/>
            <w:szCs w:val="16"/>
          </w:rPr>
          <w:t>Table 4</w:t>
        </w:r>
        <w:r w:rsidR="00284CE3" w:rsidRPr="00284CE3">
          <w:rPr>
            <w:rFonts w:asciiTheme="minorHAnsi" w:hAnsiTheme="minorHAnsi"/>
            <w:sz w:val="16"/>
            <w:szCs w:val="16"/>
          </w:rPr>
          <w:noBreakHyphen/>
          <w:t>1</w:t>
        </w:r>
      </w:fldSimple>
      <w:r w:rsidRPr="00371DF7">
        <w:rPr>
          <w:rFonts w:asciiTheme="minorHAnsi" w:hAnsiTheme="minorHAnsi" w:cs="Arial"/>
          <w:sz w:val="16"/>
          <w:szCs w:val="16"/>
        </w:rPr>
        <w:t xml:space="preserve"> shows the resulting reserves percentage calculated using the 2014 CELT Report loads. The resulting reserves are 1% to 2% higher </w:t>
      </w:r>
      <w:r w:rsidR="00251CDD" w:rsidRPr="00371DF7">
        <w:rPr>
          <w:rFonts w:asciiTheme="minorHAnsi" w:hAnsiTheme="minorHAnsi" w:cs="Arial"/>
          <w:sz w:val="16"/>
          <w:szCs w:val="16"/>
        </w:rPr>
        <w:t>than the percentages</w:t>
      </w:r>
      <w:r w:rsidR="00371DF7" w:rsidRPr="00371DF7">
        <w:rPr>
          <w:rFonts w:asciiTheme="minorHAnsi" w:hAnsiTheme="minorHAnsi" w:cs="Arial"/>
          <w:sz w:val="16"/>
          <w:szCs w:val="16"/>
        </w:rPr>
        <w:t xml:space="preserve"> b</w:t>
      </w:r>
      <w:r w:rsidR="003452F8">
        <w:rPr>
          <w:rFonts w:asciiTheme="minorHAnsi" w:hAnsiTheme="minorHAnsi" w:cs="Arial"/>
          <w:sz w:val="16"/>
          <w:szCs w:val="16"/>
        </w:rPr>
        <w:t>a</w:t>
      </w:r>
      <w:r w:rsidR="00371DF7" w:rsidRPr="00371DF7">
        <w:rPr>
          <w:rFonts w:asciiTheme="minorHAnsi" w:hAnsiTheme="minorHAnsi" w:cs="Arial"/>
          <w:sz w:val="16"/>
          <w:szCs w:val="16"/>
        </w:rPr>
        <w:t>sed on the 2013 CELT loads</w:t>
      </w:r>
      <w:r w:rsidR="00251CDD" w:rsidRPr="00371DF7">
        <w:rPr>
          <w:rFonts w:asciiTheme="minorHAnsi" w:hAnsiTheme="minorHAnsi" w:cs="Arial"/>
          <w:sz w:val="16"/>
          <w:szCs w:val="16"/>
        </w:rPr>
        <w:t xml:space="preserve"> </w:t>
      </w:r>
      <w:r w:rsidRPr="00371DF7">
        <w:rPr>
          <w:rFonts w:asciiTheme="minorHAnsi" w:hAnsiTheme="minorHAnsi" w:cs="Arial"/>
          <w:sz w:val="16"/>
          <w:szCs w:val="16"/>
        </w:rPr>
        <w:t>because the 2013 load forecasts for these years are slightly higher than the 2014 load forecasts.</w:t>
      </w:r>
    </w:p>
    <w:p w:rsidR="008A621B" w:rsidRPr="00A955C8" w:rsidRDefault="008A621B" w:rsidP="003B6688">
      <w:pPr>
        <w:pStyle w:val="Default"/>
        <w:numPr>
          <w:ilvl w:val="0"/>
          <w:numId w:val="47"/>
        </w:numPr>
        <w:tabs>
          <w:tab w:val="clear" w:pos="720"/>
          <w:tab w:val="num" w:pos="990"/>
        </w:tabs>
        <w:spacing w:after="240"/>
        <w:ind w:left="994" w:right="720" w:hanging="274"/>
        <w:rPr>
          <w:rFonts w:asciiTheme="minorHAnsi" w:hAnsiTheme="minorHAnsi" w:cs="Arial"/>
          <w:sz w:val="16"/>
          <w:szCs w:val="16"/>
        </w:rPr>
      </w:pPr>
      <w:r w:rsidRPr="00A955C8">
        <w:rPr>
          <w:rFonts w:asciiTheme="minorHAnsi" w:hAnsiTheme="minorHAnsi" w:cs="Arial"/>
          <w:sz w:val="16"/>
          <w:szCs w:val="16"/>
        </w:rPr>
        <w:t>In November 2014, the ISO will file with FERC the ICR and net ICR for 2018/2019.</w:t>
      </w:r>
    </w:p>
    <w:p w:rsidR="008A621B" w:rsidRDefault="008A621B" w:rsidP="003B6688">
      <w:r w:rsidRPr="002B2200">
        <w:t xml:space="preserve">As of the RSP14 publication date, the net ICR for 2018/2019 was under development and scheduled to </w:t>
      </w:r>
      <w:proofErr w:type="gramStart"/>
      <w:r w:rsidRPr="002B2200">
        <w:t>be filed</w:t>
      </w:r>
      <w:proofErr w:type="gramEnd"/>
      <w:r w:rsidRPr="002B2200">
        <w:t xml:space="preserve"> with FERC in November 2014. In December 2014 or early 2015, the ISO plans to provide </w:t>
      </w:r>
      <w:r>
        <w:t xml:space="preserve">the </w:t>
      </w:r>
      <w:r w:rsidRPr="002B2200">
        <w:t>PAC with the representative net ICR values for 2019/2020 through 2023/2024 using the same probabilistic calculation techniques and assumptions used to determine the 2018/2019 net ICR values.</w:t>
      </w:r>
    </w:p>
    <w:p w:rsidR="008A621B" w:rsidRPr="00E4742F" w:rsidRDefault="008A621B" w:rsidP="008A621B">
      <w:pPr>
        <w:pStyle w:val="Heading3"/>
        <w:spacing w:before="120"/>
      </w:pPr>
      <w:bookmarkStart w:id="294" w:name="_Toc176244998"/>
      <w:bookmarkStart w:id="295" w:name="_Toc201669921"/>
      <w:bookmarkStart w:id="296" w:name="_Ref201985943"/>
      <w:bookmarkStart w:id="297" w:name="_Toc207531821"/>
      <w:bookmarkStart w:id="298" w:name="_Ref231194169"/>
      <w:bookmarkStart w:id="299" w:name="_Toc239157060"/>
      <w:bookmarkStart w:id="300" w:name="_Toc271632218"/>
      <w:bookmarkStart w:id="301" w:name="_Ref293769740"/>
      <w:bookmarkStart w:id="302" w:name="_Toc303086376"/>
      <w:bookmarkStart w:id="303" w:name="_Ref330138223"/>
      <w:bookmarkStart w:id="304" w:name="_Toc334601027"/>
      <w:bookmarkStart w:id="305" w:name="_Toc365440994"/>
      <w:bookmarkStart w:id="306" w:name="_Toc396807623"/>
      <w:r w:rsidRPr="00E4742F">
        <w:t>Local Resource Requirements and Limits</w:t>
      </w:r>
      <w:bookmarkEnd w:id="294"/>
      <w:bookmarkEnd w:id="295"/>
      <w:bookmarkEnd w:id="296"/>
      <w:bookmarkEnd w:id="297"/>
      <w:bookmarkEnd w:id="298"/>
      <w:bookmarkEnd w:id="299"/>
      <w:bookmarkEnd w:id="300"/>
      <w:bookmarkEnd w:id="301"/>
      <w:bookmarkEnd w:id="302"/>
      <w:bookmarkEnd w:id="303"/>
      <w:bookmarkEnd w:id="304"/>
      <w:bookmarkEnd w:id="305"/>
      <w:bookmarkEnd w:id="306"/>
      <w:r>
        <w:t xml:space="preserve"> </w:t>
      </w:r>
    </w:p>
    <w:p w:rsidR="008A621B" w:rsidRDefault="008A621B" w:rsidP="008A621B">
      <w:r w:rsidRPr="003F243A">
        <w:t>While the ICR addresses New England’s total capacity requirement assuming the system overall has no transmission constraints, certain subareas are limit</w:t>
      </w:r>
      <w:r>
        <w:t>ed</w:t>
      </w:r>
      <w:r w:rsidRPr="003F243A">
        <w:t xml:space="preserve"> in the</w:t>
      </w:r>
      <w:r>
        <w:t>ir</w:t>
      </w:r>
      <w:r w:rsidRPr="003F243A">
        <w:t xml:space="preserve"> ability to export or import power</w:t>
      </w:r>
      <w:r w:rsidRPr="00EC039A">
        <w:t xml:space="preserve">. </w:t>
      </w:r>
      <w:r w:rsidRPr="00F1378E">
        <w:t xml:space="preserve">To address the impacts of these constraints on subarea reliability, before each FCA, the ISO determines the </w:t>
      </w:r>
      <w:r w:rsidRPr="007F7545">
        <w:rPr>
          <w:i/>
        </w:rPr>
        <w:t>local sourcing requirement</w:t>
      </w:r>
      <w:r w:rsidRPr="00F1378E">
        <w:t xml:space="preserve"> (LSR)</w:t>
      </w:r>
      <w:r>
        <w:t xml:space="preserve"> and </w:t>
      </w:r>
      <w:r w:rsidRPr="007F7545">
        <w:rPr>
          <w:i/>
        </w:rPr>
        <w:t>maximum capacity limit</w:t>
      </w:r>
      <w:r w:rsidRPr="00F1378E">
        <w:t xml:space="preserve"> (MCL</w:t>
      </w:r>
      <w:proofErr w:type="gramStart"/>
      <w:r w:rsidRPr="00F1378E">
        <w:t>) for certain</w:t>
      </w:r>
      <w:proofErr w:type="gramEnd"/>
      <w:r w:rsidRPr="00F1378E">
        <w:t xml:space="preserve"> subareas within New England.</w:t>
      </w:r>
      <w:r w:rsidRPr="001B6391" w:rsidDel="00084843">
        <w:rPr>
          <w:rStyle w:val="FootnoteReference"/>
          <w:vertAlign w:val="baseline"/>
        </w:rPr>
        <w:t xml:space="preserve"> </w:t>
      </w:r>
      <w:r w:rsidRPr="00EC039A">
        <w:t>An LSR is the minimum amount of capacity</w:t>
      </w:r>
      <w:r w:rsidRPr="003F243A">
        <w:t xml:space="preserve"> that must be electrically located within an import-constrained load zone to meet the ICR. </w:t>
      </w:r>
      <w:r w:rsidRPr="00EC039A">
        <w:t xml:space="preserve">An MCL is the maximum amount of capacity that </w:t>
      </w:r>
      <w:proofErr w:type="gramStart"/>
      <w:r w:rsidRPr="00EC039A">
        <w:t>can be procured</w:t>
      </w:r>
      <w:proofErr w:type="gramEnd"/>
      <w:r w:rsidRPr="00EC039A">
        <w:t xml:space="preserve"> in an export-constrained load zone to meet the total ICR for the New England region.</w:t>
      </w:r>
      <w:r>
        <w:t xml:space="preserve"> </w:t>
      </w:r>
      <w:r w:rsidRPr="003F243A">
        <w:t xml:space="preserve">Areas that have either an LSR or an MCL and that meet other tests in the market </w:t>
      </w:r>
      <w:proofErr w:type="gramStart"/>
      <w:r w:rsidRPr="003F243A">
        <w:t>are designated</w:t>
      </w:r>
      <w:proofErr w:type="gramEnd"/>
      <w:r w:rsidRPr="003F243A">
        <w:t xml:space="preserve"> </w:t>
      </w:r>
      <w:r>
        <w:t xml:space="preserve">in the Forward Capacity Auction </w:t>
      </w:r>
      <w:r w:rsidRPr="003F243A">
        <w:t>as capacity zones</w:t>
      </w:r>
      <w:r w:rsidRPr="00EC039A">
        <w:t>.</w:t>
      </w:r>
      <w:r w:rsidRPr="00EC039A">
        <w:rPr>
          <w:rStyle w:val="FootnoteReference"/>
        </w:rPr>
        <w:footnoteReference w:id="135"/>
      </w:r>
      <w:r w:rsidRPr="00EC039A">
        <w:t xml:space="preserve"> </w:t>
      </w:r>
      <w:r w:rsidRPr="00993828">
        <w:t xml:space="preserve">These designations help ensure that the appropriate amount of capacity </w:t>
      </w:r>
      <w:proofErr w:type="gramStart"/>
      <w:r w:rsidRPr="00993828">
        <w:t xml:space="preserve">is </w:t>
      </w:r>
      <w:r w:rsidRPr="00B12ABA">
        <w:t>procured</w:t>
      </w:r>
      <w:proofErr w:type="gramEnd"/>
      <w:r w:rsidRPr="00B12ABA">
        <w:t xml:space="preserve"> within these capacity zones to satisfy the ICR</w:t>
      </w:r>
      <w:r w:rsidRPr="00993828">
        <w:t xml:space="preserve"> </w:t>
      </w:r>
      <w:r w:rsidRPr="00F1378E">
        <w:t xml:space="preserve">and contribute effectively to total system </w:t>
      </w:r>
      <w:r w:rsidRPr="004C2F17">
        <w:t>reliability.</w:t>
      </w:r>
      <w:r w:rsidR="00274428" w:rsidRPr="00274428">
        <w:t xml:space="preserve"> (See Section </w:t>
      </w:r>
      <w:fldSimple w:instr=" REF _Ref327800630 \r \h  \* MERGEFORMAT ">
        <w:r w:rsidR="00284CE3">
          <w:t>4.1.3.2</w:t>
        </w:r>
      </w:fldSimple>
      <w:r w:rsidR="008B2BA4" w:rsidRPr="004C2F17">
        <w:t xml:space="preserve"> and </w:t>
      </w:r>
      <w:fldSimple w:instr=" REF _Ref387671423 \r \h  \* MERGEFORMAT ">
        <w:r w:rsidR="00284CE3">
          <w:t>4.2</w:t>
        </w:r>
      </w:fldSimple>
      <w:r w:rsidR="008B2BA4" w:rsidRPr="004C2F17">
        <w:t xml:space="preserve"> </w:t>
      </w:r>
      <w:r w:rsidR="008A0930" w:rsidRPr="004C2F17">
        <w:t>for further discussion of capacity zones.)</w:t>
      </w:r>
    </w:p>
    <w:p w:rsidR="008A621B" w:rsidRDefault="008A621B" w:rsidP="008A621B">
      <w:pPr>
        <w:autoSpaceDE w:val="0"/>
        <w:autoSpaceDN w:val="0"/>
        <w:adjustRightInd w:val="0"/>
      </w:pPr>
      <w:r w:rsidRPr="00E4742F">
        <w:t>The LSR and MCL values</w:t>
      </w:r>
      <w:r>
        <w:t>,</w:t>
      </w:r>
      <w:r w:rsidRPr="00E4742F">
        <w:t xml:space="preserve"> </w:t>
      </w:r>
      <w:r>
        <w:t xml:space="preserve">associated with the respective capacity commitment period’s FCA, </w:t>
      </w:r>
      <w:r w:rsidRPr="00E4742F">
        <w:t xml:space="preserve">are included in </w:t>
      </w:r>
      <w:fldSimple w:instr=" REF _Ref262586560 \h  \* MERGEFORMAT ">
        <w:r w:rsidR="00284CE3" w:rsidRPr="00D77BBA">
          <w:t xml:space="preserve">Table </w:t>
        </w:r>
        <w:r w:rsidR="00284CE3">
          <w:rPr>
            <w:noProof/>
          </w:rPr>
          <w:t>4</w:t>
        </w:r>
        <w:r w:rsidR="00284CE3">
          <w:rPr>
            <w:noProof/>
          </w:rPr>
          <w:noBreakHyphen/>
          <w:t>2</w:t>
        </w:r>
      </w:fldSimple>
      <w:r w:rsidRPr="00E4742F">
        <w:t xml:space="preserve"> for </w:t>
      </w:r>
      <w:r w:rsidRPr="00A73917">
        <w:t>the 201</w:t>
      </w:r>
      <w:r>
        <w:t>4</w:t>
      </w:r>
      <w:r w:rsidRPr="00A73917">
        <w:t>/201</w:t>
      </w:r>
      <w:r>
        <w:t>5</w:t>
      </w:r>
      <w:r w:rsidRPr="00A73917">
        <w:t xml:space="preserve"> through</w:t>
      </w:r>
      <w:r>
        <w:t xml:space="preserve"> the 2017/2018</w:t>
      </w:r>
      <w:r w:rsidRPr="003F243A">
        <w:t xml:space="preserve"> capacity commitment periods.</w:t>
      </w:r>
      <w:bookmarkStart w:id="307" w:name="_Toc176244999"/>
      <w:r w:rsidRPr="003F243A">
        <w:rPr>
          <w:vertAlign w:val="superscript"/>
        </w:rPr>
        <w:footnoteReference w:id="136"/>
      </w:r>
      <w:r>
        <w:t xml:space="preserve"> Like the net ICR, the LSR and MCL capacity zones and values for FCA #9 were under development at the time of the RSP14 publication and will be filed with FERC in November </w:t>
      </w:r>
      <w:r w:rsidRPr="008A0930">
        <w:t>2014. In Decem</w:t>
      </w:r>
      <w:r>
        <w:t>ber 2014 or early 2015, the ISO plans to present to the PAC the</w:t>
      </w:r>
      <w:r w:rsidRPr="00484D78">
        <w:t xml:space="preserve"> representative LSR and MCL values for 201</w:t>
      </w:r>
      <w:r>
        <w:t>9</w:t>
      </w:r>
      <w:r w:rsidRPr="00484D78">
        <w:t>/20</w:t>
      </w:r>
      <w:r>
        <w:t>20</w:t>
      </w:r>
      <w:r w:rsidRPr="00484D78">
        <w:t xml:space="preserve"> through 202</w:t>
      </w:r>
      <w:r>
        <w:t>3</w:t>
      </w:r>
      <w:r w:rsidRPr="00484D78">
        <w:t>/202</w:t>
      </w:r>
      <w:r>
        <w:t>4</w:t>
      </w:r>
      <w:r w:rsidRPr="00484D78">
        <w:t xml:space="preserve"> using the same probabilistic calculation techniques and assumptions used for determining the 201</w:t>
      </w:r>
      <w:r>
        <w:t>8</w:t>
      </w:r>
      <w:r w:rsidRPr="00484D78">
        <w:t>/201</w:t>
      </w:r>
      <w:r>
        <w:t>9</w:t>
      </w:r>
      <w:r w:rsidRPr="00484D78">
        <w:t xml:space="preserve"> LSR and MCL values.</w:t>
      </w:r>
    </w:p>
    <w:p w:rsidR="008A621B" w:rsidRDefault="008A621B" w:rsidP="008A621B">
      <w:pPr>
        <w:pStyle w:val="Caption"/>
      </w:pPr>
      <w:bookmarkStart w:id="308" w:name="_Ref262586560"/>
      <w:bookmarkStart w:id="309" w:name="_Toc271552403"/>
      <w:bookmarkStart w:id="310" w:name="_Toc303086933"/>
      <w:bookmarkStart w:id="311" w:name="_Toc330401255"/>
      <w:bookmarkStart w:id="312" w:name="_Toc334541928"/>
      <w:bookmarkStart w:id="313" w:name="_Toc334541965"/>
      <w:bookmarkStart w:id="314" w:name="_Toc365440704"/>
      <w:bookmarkStart w:id="315" w:name="_Toc391985604"/>
      <w:r w:rsidRPr="00D77BBA">
        <w:t xml:space="preserve">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2</w:t>
      </w:r>
      <w:r w:rsidR="00927965">
        <w:fldChar w:fldCharType="end"/>
      </w:r>
      <w:bookmarkEnd w:id="308"/>
      <w:r w:rsidRPr="00D77BBA">
        <w:br/>
        <w:t>Actual LSRs and MCLs for the 2014/2015 to 2017/2018</w:t>
      </w:r>
      <w:r w:rsidR="00BD4A46">
        <w:br/>
      </w:r>
      <w:r w:rsidRPr="00D77BBA">
        <w:t xml:space="preserve">Capacity Commitment </w:t>
      </w:r>
      <w:proofErr w:type="gramStart"/>
      <w:r w:rsidRPr="00D77BBA">
        <w:t>Periods</w:t>
      </w:r>
      <w:r w:rsidRPr="00D77BBA">
        <w:rPr>
          <w:vertAlign w:val="superscript"/>
        </w:rPr>
        <w:t>(</w:t>
      </w:r>
      <w:proofErr w:type="gramEnd"/>
      <w:r w:rsidRPr="00D77BBA">
        <w:rPr>
          <w:vertAlign w:val="superscript"/>
        </w:rPr>
        <w:t>a)</w:t>
      </w:r>
      <w:bookmarkEnd w:id="309"/>
      <w:bookmarkEnd w:id="310"/>
      <w:bookmarkEnd w:id="311"/>
      <w:bookmarkEnd w:id="312"/>
      <w:bookmarkEnd w:id="313"/>
      <w:bookmarkEnd w:id="314"/>
      <w:bookmarkEnd w:id="315"/>
    </w:p>
    <w:tbl>
      <w:tblPr>
        <w:tblW w:w="0" w:type="auto"/>
        <w:jc w:val="center"/>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1260"/>
        <w:gridCol w:w="1170"/>
        <w:gridCol w:w="1218"/>
        <w:gridCol w:w="1430"/>
        <w:gridCol w:w="1387"/>
      </w:tblGrid>
      <w:tr w:rsidR="008A621B" w:rsidRPr="009D5A6E" w:rsidTr="008A621B">
        <w:trPr>
          <w:cantSplit/>
          <w:jc w:val="center"/>
        </w:trPr>
        <w:tc>
          <w:tcPr>
            <w:tcW w:w="2430" w:type="dxa"/>
            <w:gridSpan w:val="2"/>
            <w:vMerge w:val="restart"/>
            <w:shd w:val="clear" w:color="auto" w:fill="85AFF2" w:themeFill="text2" w:themeFillTint="66"/>
            <w:tcMar>
              <w:top w:w="43" w:type="dxa"/>
              <w:left w:w="115" w:type="dxa"/>
              <w:bottom w:w="43" w:type="dxa"/>
              <w:right w:w="115" w:type="dxa"/>
            </w:tcMar>
          </w:tcPr>
          <w:p w:rsidR="008A621B" w:rsidRPr="00AE0AEE" w:rsidRDefault="008A621B" w:rsidP="008A621B">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 xml:space="preserve">Capacity Commitment </w:t>
            </w:r>
            <w:r w:rsidRPr="0053609E">
              <w:rPr>
                <w:rFonts w:asciiTheme="minorHAnsi" w:hAnsiTheme="minorHAnsi" w:cs="Arial"/>
                <w:b/>
                <w:color w:val="FFFFFF" w:themeColor="background1"/>
                <w:sz w:val="18"/>
                <w:szCs w:val="18"/>
              </w:rPr>
              <w:br/>
              <w:t>Period</w:t>
            </w:r>
          </w:p>
        </w:tc>
        <w:tc>
          <w:tcPr>
            <w:tcW w:w="2648" w:type="dxa"/>
            <w:gridSpan w:val="2"/>
            <w:shd w:val="clear" w:color="auto" w:fill="85AFF2" w:themeFill="text2" w:themeFillTint="66"/>
            <w:tcMar>
              <w:top w:w="43" w:type="dxa"/>
              <w:left w:w="115" w:type="dxa"/>
              <w:bottom w:w="43" w:type="dxa"/>
              <w:right w:w="115" w:type="dxa"/>
            </w:tcMar>
          </w:tcPr>
          <w:p w:rsidR="008A621B" w:rsidRPr="00AE0AEE" w:rsidRDefault="008A621B" w:rsidP="008A621B">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LSR (MW)</w:t>
            </w:r>
          </w:p>
        </w:tc>
        <w:tc>
          <w:tcPr>
            <w:tcW w:w="1387" w:type="dxa"/>
            <w:shd w:val="clear" w:color="auto" w:fill="85AFF2" w:themeFill="text2" w:themeFillTint="66"/>
            <w:tcMar>
              <w:top w:w="43" w:type="dxa"/>
              <w:left w:w="115" w:type="dxa"/>
              <w:bottom w:w="43" w:type="dxa"/>
              <w:right w:w="115" w:type="dxa"/>
            </w:tcMar>
            <w:vAlign w:val="center"/>
          </w:tcPr>
          <w:p w:rsidR="008A621B" w:rsidRPr="00AE0AEE" w:rsidRDefault="008A621B" w:rsidP="008A621B">
            <w:pPr>
              <w:keepNext/>
              <w:keepLines/>
              <w:spacing w:after="0" w:line="240" w:lineRule="auto"/>
              <w:jc w:val="center"/>
              <w:rPr>
                <w:rFonts w:asciiTheme="minorHAnsi" w:eastAsia="Times New Roman" w:hAnsiTheme="minorHAnsi"/>
                <w:b/>
                <w:bCs/>
                <w:iCs/>
                <w:color w:val="FFFFFF" w:themeColor="background1"/>
                <w:sz w:val="18"/>
                <w:szCs w:val="18"/>
              </w:rPr>
            </w:pPr>
            <w:r w:rsidRPr="0053609E">
              <w:rPr>
                <w:rFonts w:asciiTheme="minorHAnsi" w:hAnsiTheme="minorHAnsi" w:cs="Arial"/>
                <w:b/>
                <w:color w:val="FFFFFF" w:themeColor="background1"/>
                <w:sz w:val="18"/>
                <w:szCs w:val="18"/>
              </w:rPr>
              <w:t>MCL (MW)</w:t>
            </w:r>
          </w:p>
        </w:tc>
      </w:tr>
      <w:tr w:rsidR="008A621B" w:rsidRPr="009D5A6E" w:rsidTr="008A621B">
        <w:trPr>
          <w:cantSplit/>
          <w:jc w:val="center"/>
        </w:trPr>
        <w:tc>
          <w:tcPr>
            <w:tcW w:w="2430" w:type="dxa"/>
            <w:gridSpan w:val="2"/>
            <w:vMerge/>
            <w:shd w:val="clear" w:color="auto" w:fill="85AFF2" w:themeFill="text2" w:themeFillTint="66"/>
            <w:tcMar>
              <w:top w:w="43" w:type="dxa"/>
              <w:left w:w="115" w:type="dxa"/>
              <w:bottom w:w="43" w:type="dxa"/>
              <w:right w:w="115" w:type="dxa"/>
            </w:tcMar>
          </w:tcPr>
          <w:p w:rsidR="008A621B" w:rsidRPr="00AE0AEE" w:rsidRDefault="008A621B" w:rsidP="008A621B">
            <w:pPr>
              <w:keepNext/>
              <w:keepLines/>
              <w:spacing w:after="0" w:line="240" w:lineRule="auto"/>
              <w:jc w:val="center"/>
              <w:rPr>
                <w:rFonts w:asciiTheme="minorHAnsi" w:hAnsiTheme="minorHAnsi"/>
                <w:color w:val="FFFFFF" w:themeColor="background1"/>
                <w:sz w:val="18"/>
                <w:szCs w:val="18"/>
              </w:rPr>
            </w:pPr>
          </w:p>
        </w:tc>
        <w:tc>
          <w:tcPr>
            <w:tcW w:w="1218" w:type="dxa"/>
            <w:shd w:val="clear" w:color="auto" w:fill="85AFF2" w:themeFill="text2" w:themeFillTint="66"/>
            <w:tcMar>
              <w:top w:w="43" w:type="dxa"/>
              <w:left w:w="115" w:type="dxa"/>
              <w:bottom w:w="43" w:type="dxa"/>
              <w:right w:w="115" w:type="dxa"/>
            </w:tcMar>
            <w:vAlign w:val="center"/>
          </w:tcPr>
          <w:p w:rsidR="008A621B" w:rsidRPr="00AE0AEE" w:rsidRDefault="008A621B" w:rsidP="008A621B">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CT</w:t>
            </w:r>
          </w:p>
        </w:tc>
        <w:tc>
          <w:tcPr>
            <w:tcW w:w="1430" w:type="dxa"/>
            <w:shd w:val="clear" w:color="auto" w:fill="85AFF2" w:themeFill="text2" w:themeFillTint="66"/>
            <w:tcMar>
              <w:top w:w="43" w:type="dxa"/>
              <w:left w:w="115" w:type="dxa"/>
              <w:bottom w:w="43" w:type="dxa"/>
              <w:right w:w="115" w:type="dxa"/>
            </w:tcMar>
            <w:vAlign w:val="center"/>
          </w:tcPr>
          <w:p w:rsidR="008A621B" w:rsidRPr="00AE0AEE" w:rsidRDefault="008A621B" w:rsidP="008A621B">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NEMA/Boston</w:t>
            </w:r>
          </w:p>
        </w:tc>
        <w:tc>
          <w:tcPr>
            <w:tcW w:w="1387" w:type="dxa"/>
            <w:shd w:val="clear" w:color="auto" w:fill="85AFF2" w:themeFill="text2" w:themeFillTint="66"/>
            <w:tcMar>
              <w:top w:w="43" w:type="dxa"/>
              <w:left w:w="115" w:type="dxa"/>
              <w:bottom w:w="43" w:type="dxa"/>
              <w:right w:w="115" w:type="dxa"/>
            </w:tcMar>
            <w:vAlign w:val="center"/>
          </w:tcPr>
          <w:p w:rsidR="008A621B" w:rsidRPr="00AE0AEE" w:rsidRDefault="008A621B" w:rsidP="008A621B">
            <w:pPr>
              <w:keepNext/>
              <w:keepLines/>
              <w:spacing w:after="0" w:line="240" w:lineRule="auto"/>
              <w:jc w:val="center"/>
              <w:rPr>
                <w:rFonts w:asciiTheme="minorHAnsi" w:hAnsiTheme="minorHAnsi"/>
                <w:color w:val="FFFFFF" w:themeColor="background1"/>
                <w:sz w:val="18"/>
                <w:szCs w:val="18"/>
              </w:rPr>
            </w:pPr>
            <w:r w:rsidRPr="0053609E">
              <w:rPr>
                <w:rFonts w:asciiTheme="minorHAnsi" w:hAnsiTheme="minorHAnsi" w:cs="Arial"/>
                <w:b/>
                <w:color w:val="FFFFFF" w:themeColor="background1"/>
                <w:sz w:val="18"/>
                <w:szCs w:val="18"/>
              </w:rPr>
              <w:t>Maine</w:t>
            </w:r>
          </w:p>
        </w:tc>
      </w:tr>
      <w:tr w:rsidR="008A621B" w:rsidRPr="009D5A6E" w:rsidTr="003B6688">
        <w:trPr>
          <w:cantSplit/>
          <w:jc w:val="center"/>
        </w:trPr>
        <w:tc>
          <w:tcPr>
            <w:tcW w:w="1260" w:type="dxa"/>
            <w:shd w:val="clear" w:color="auto" w:fill="auto"/>
            <w:tcMar>
              <w:top w:w="43" w:type="dxa"/>
              <w:left w:w="115" w:type="dxa"/>
              <w:bottom w:w="43" w:type="dxa"/>
              <w:right w:w="115" w:type="dxa"/>
            </w:tcMar>
            <w:vAlign w:val="center"/>
          </w:tcPr>
          <w:p w:rsidR="008A621B" w:rsidRPr="009D5A6E" w:rsidRDefault="008A621B" w:rsidP="008A621B">
            <w:pPr>
              <w:keepNext/>
              <w:keepLines/>
              <w:spacing w:after="0" w:line="240" w:lineRule="auto"/>
              <w:rPr>
                <w:rFonts w:asciiTheme="minorHAnsi" w:hAnsiTheme="minorHAnsi"/>
                <w:sz w:val="18"/>
                <w:szCs w:val="18"/>
              </w:rPr>
            </w:pPr>
            <w:r w:rsidRPr="009D5A6E">
              <w:rPr>
                <w:rFonts w:asciiTheme="minorHAnsi" w:hAnsiTheme="minorHAnsi" w:cs="Arial"/>
                <w:b/>
                <w:sz w:val="18"/>
                <w:szCs w:val="18"/>
              </w:rPr>
              <w:t>2014/2015</w:t>
            </w:r>
          </w:p>
        </w:tc>
        <w:tc>
          <w:tcPr>
            <w:tcW w:w="1170" w:type="dxa"/>
            <w:shd w:val="clear" w:color="auto" w:fill="auto"/>
            <w:tcMar>
              <w:top w:w="43" w:type="dxa"/>
              <w:left w:w="115" w:type="dxa"/>
              <w:bottom w:w="43" w:type="dxa"/>
              <w:right w:w="115" w:type="dxa"/>
            </w:tcMar>
            <w:vAlign w:val="center"/>
          </w:tcPr>
          <w:p w:rsidR="008A621B" w:rsidRPr="009D5A6E" w:rsidRDefault="008A621B" w:rsidP="008A621B">
            <w:pPr>
              <w:keepNext/>
              <w:keepLines/>
              <w:spacing w:after="0" w:line="240" w:lineRule="auto"/>
              <w:jc w:val="center"/>
              <w:rPr>
                <w:rFonts w:asciiTheme="minorHAnsi" w:hAnsiTheme="minorHAnsi"/>
                <w:sz w:val="18"/>
                <w:szCs w:val="18"/>
              </w:rPr>
            </w:pPr>
            <w:r w:rsidRPr="009D5A6E">
              <w:rPr>
                <w:rFonts w:asciiTheme="minorHAnsi" w:hAnsiTheme="minorHAnsi" w:cs="Arial"/>
                <w:sz w:val="18"/>
                <w:szCs w:val="18"/>
              </w:rPr>
              <w:t>FCA #5</w:t>
            </w:r>
          </w:p>
        </w:tc>
        <w:tc>
          <w:tcPr>
            <w:tcW w:w="1218"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sz w:val="18"/>
                <w:szCs w:val="18"/>
              </w:rPr>
            </w:pPr>
            <w:r>
              <w:rPr>
                <w:rFonts w:asciiTheme="minorHAnsi" w:hAnsiTheme="minorHAnsi"/>
                <w:sz w:val="18"/>
                <w:szCs w:val="18"/>
              </w:rPr>
              <w:t>6,682</w:t>
            </w:r>
          </w:p>
        </w:tc>
        <w:tc>
          <w:tcPr>
            <w:tcW w:w="1430"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sz w:val="18"/>
                <w:szCs w:val="18"/>
              </w:rPr>
            </w:pPr>
            <w:r>
              <w:rPr>
                <w:rFonts w:asciiTheme="minorHAnsi" w:hAnsiTheme="minorHAnsi"/>
                <w:sz w:val="18"/>
                <w:szCs w:val="18"/>
              </w:rPr>
              <w:t>3,120</w:t>
            </w:r>
          </w:p>
        </w:tc>
        <w:tc>
          <w:tcPr>
            <w:tcW w:w="1387"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sz w:val="18"/>
                <w:szCs w:val="18"/>
              </w:rPr>
            </w:pPr>
            <w:r>
              <w:rPr>
                <w:rFonts w:asciiTheme="minorHAnsi" w:hAnsiTheme="minorHAnsi"/>
                <w:sz w:val="18"/>
                <w:szCs w:val="18"/>
              </w:rPr>
              <w:t>3,614</w:t>
            </w:r>
          </w:p>
        </w:tc>
      </w:tr>
      <w:tr w:rsidR="008A621B" w:rsidRPr="009D5A6E" w:rsidTr="003B6688">
        <w:trPr>
          <w:cantSplit/>
          <w:jc w:val="center"/>
        </w:trPr>
        <w:tc>
          <w:tcPr>
            <w:tcW w:w="1260"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rPr>
                <w:rFonts w:asciiTheme="minorHAnsi" w:hAnsiTheme="minorHAnsi" w:cs="Arial"/>
                <w:b/>
                <w:sz w:val="18"/>
                <w:szCs w:val="18"/>
              </w:rPr>
            </w:pPr>
            <w:r w:rsidRPr="009D5A6E">
              <w:rPr>
                <w:rFonts w:asciiTheme="minorHAnsi" w:hAnsiTheme="minorHAnsi" w:cs="Arial"/>
                <w:b/>
                <w:sz w:val="18"/>
                <w:szCs w:val="18"/>
              </w:rPr>
              <w:t>2015/2016</w:t>
            </w:r>
          </w:p>
        </w:tc>
        <w:tc>
          <w:tcPr>
            <w:tcW w:w="1170"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jc w:val="center"/>
              <w:rPr>
                <w:rFonts w:asciiTheme="minorHAnsi" w:hAnsiTheme="minorHAnsi" w:cs="Arial"/>
                <w:sz w:val="18"/>
                <w:szCs w:val="18"/>
              </w:rPr>
            </w:pPr>
            <w:r w:rsidRPr="009D5A6E">
              <w:rPr>
                <w:rFonts w:asciiTheme="minorHAnsi" w:hAnsiTheme="minorHAnsi" w:cs="Arial"/>
                <w:sz w:val="18"/>
                <w:szCs w:val="18"/>
              </w:rPr>
              <w:t>FCA #6</w:t>
            </w:r>
          </w:p>
        </w:tc>
        <w:tc>
          <w:tcPr>
            <w:tcW w:w="1218"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6,806</w:t>
            </w:r>
          </w:p>
        </w:tc>
        <w:tc>
          <w:tcPr>
            <w:tcW w:w="1430"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3,238</w:t>
            </w:r>
          </w:p>
        </w:tc>
        <w:tc>
          <w:tcPr>
            <w:tcW w:w="1387" w:type="dxa"/>
            <w:shd w:val="clear" w:color="auto" w:fill="C2D7F8" w:themeFill="text2" w:themeFillTint="33"/>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4,139</w:t>
            </w:r>
          </w:p>
        </w:tc>
      </w:tr>
      <w:tr w:rsidR="008A621B" w:rsidRPr="009D5A6E" w:rsidTr="003B6688">
        <w:trPr>
          <w:cantSplit/>
          <w:jc w:val="center"/>
        </w:trPr>
        <w:tc>
          <w:tcPr>
            <w:tcW w:w="1260"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rPr>
                <w:rFonts w:asciiTheme="minorHAnsi" w:hAnsiTheme="minorHAnsi" w:cs="Arial"/>
                <w:b/>
                <w:sz w:val="18"/>
                <w:szCs w:val="18"/>
              </w:rPr>
            </w:pPr>
            <w:r>
              <w:rPr>
                <w:rFonts w:asciiTheme="minorHAnsi" w:hAnsiTheme="minorHAnsi" w:cs="Arial"/>
                <w:b/>
                <w:sz w:val="18"/>
                <w:szCs w:val="18"/>
              </w:rPr>
              <w:t>2016/2017</w:t>
            </w:r>
          </w:p>
        </w:tc>
        <w:tc>
          <w:tcPr>
            <w:tcW w:w="1170"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center"/>
              <w:rPr>
                <w:rFonts w:asciiTheme="minorHAnsi" w:hAnsiTheme="minorHAnsi" w:cs="Arial"/>
                <w:sz w:val="18"/>
                <w:szCs w:val="18"/>
              </w:rPr>
            </w:pPr>
            <w:r>
              <w:rPr>
                <w:rFonts w:asciiTheme="minorHAnsi" w:hAnsiTheme="minorHAnsi" w:cs="Arial"/>
                <w:sz w:val="18"/>
                <w:szCs w:val="18"/>
              </w:rPr>
              <w:t>FCA #7</w:t>
            </w:r>
          </w:p>
        </w:tc>
        <w:tc>
          <w:tcPr>
            <w:tcW w:w="1218"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6,990</w:t>
            </w:r>
          </w:p>
        </w:tc>
        <w:tc>
          <w:tcPr>
            <w:tcW w:w="1430"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3,342</w:t>
            </w:r>
          </w:p>
        </w:tc>
        <w:tc>
          <w:tcPr>
            <w:tcW w:w="1387" w:type="dxa"/>
            <w:shd w:val="clear" w:color="auto" w:fill="auto"/>
            <w:tcMar>
              <w:top w:w="43" w:type="dxa"/>
              <w:left w:w="115" w:type="dxa"/>
              <w:bottom w:w="43" w:type="dxa"/>
              <w:right w:w="115" w:type="dxa"/>
            </w:tcMar>
          </w:tcPr>
          <w:p w:rsidR="008A621B" w:rsidRPr="009D5A6E"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4,164</w:t>
            </w:r>
          </w:p>
        </w:tc>
      </w:tr>
      <w:tr w:rsidR="008A621B" w:rsidRPr="009D5A6E" w:rsidTr="003B6688">
        <w:trPr>
          <w:cantSplit/>
          <w:jc w:val="center"/>
        </w:trPr>
        <w:tc>
          <w:tcPr>
            <w:tcW w:w="1260"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rPr>
                <w:rFonts w:asciiTheme="minorHAnsi" w:hAnsiTheme="minorHAnsi" w:cs="Arial"/>
                <w:b/>
                <w:sz w:val="18"/>
                <w:szCs w:val="18"/>
              </w:rPr>
            </w:pPr>
            <w:r>
              <w:rPr>
                <w:rFonts w:asciiTheme="minorHAnsi" w:hAnsiTheme="minorHAnsi" w:cs="Arial"/>
                <w:b/>
                <w:sz w:val="18"/>
                <w:szCs w:val="18"/>
              </w:rPr>
              <w:t>2017/2018</w:t>
            </w:r>
          </w:p>
        </w:tc>
        <w:tc>
          <w:tcPr>
            <w:tcW w:w="1170"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jc w:val="center"/>
              <w:rPr>
                <w:rFonts w:asciiTheme="minorHAnsi" w:hAnsiTheme="minorHAnsi" w:cs="Arial"/>
                <w:sz w:val="18"/>
                <w:szCs w:val="18"/>
              </w:rPr>
            </w:pPr>
            <w:r>
              <w:rPr>
                <w:rFonts w:asciiTheme="minorHAnsi" w:hAnsiTheme="minorHAnsi" w:cs="Arial"/>
                <w:sz w:val="18"/>
                <w:szCs w:val="18"/>
              </w:rPr>
              <w:t>FCA #8</w:t>
            </w:r>
          </w:p>
        </w:tc>
        <w:tc>
          <w:tcPr>
            <w:tcW w:w="1218"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7,319</w:t>
            </w:r>
          </w:p>
        </w:tc>
        <w:tc>
          <w:tcPr>
            <w:tcW w:w="1430"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3,428</w:t>
            </w:r>
          </w:p>
        </w:tc>
        <w:tc>
          <w:tcPr>
            <w:tcW w:w="1387" w:type="dxa"/>
            <w:shd w:val="clear" w:color="auto" w:fill="C2D7F8" w:themeFill="text2" w:themeFillTint="33"/>
            <w:tcMar>
              <w:top w:w="43" w:type="dxa"/>
              <w:left w:w="115" w:type="dxa"/>
              <w:bottom w:w="43" w:type="dxa"/>
              <w:right w:w="115" w:type="dxa"/>
            </w:tcMar>
          </w:tcPr>
          <w:p w:rsidR="008A621B" w:rsidRDefault="008A621B" w:rsidP="008A621B">
            <w:pPr>
              <w:keepNext/>
              <w:keepLines/>
              <w:spacing w:after="0" w:line="240" w:lineRule="auto"/>
              <w:jc w:val="right"/>
              <w:rPr>
                <w:rFonts w:asciiTheme="minorHAnsi" w:hAnsiTheme="minorHAnsi" w:cs="Arial"/>
                <w:sz w:val="18"/>
                <w:szCs w:val="18"/>
              </w:rPr>
            </w:pPr>
            <w:r>
              <w:rPr>
                <w:rFonts w:asciiTheme="minorHAnsi" w:hAnsiTheme="minorHAnsi" w:cs="Arial"/>
                <w:sz w:val="18"/>
                <w:szCs w:val="18"/>
              </w:rPr>
              <w:t>3,960</w:t>
            </w:r>
          </w:p>
        </w:tc>
      </w:tr>
    </w:tbl>
    <w:p w:rsidR="008A621B" w:rsidRPr="00BD13E8" w:rsidRDefault="008A621B" w:rsidP="008A621B">
      <w:pPr>
        <w:keepNext/>
        <w:keepLines/>
        <w:tabs>
          <w:tab w:val="left" w:pos="8010"/>
          <w:tab w:val="left" w:pos="9090"/>
          <w:tab w:val="left" w:pos="9810"/>
        </w:tabs>
        <w:autoSpaceDE w:val="0"/>
        <w:autoSpaceDN w:val="0"/>
        <w:adjustRightInd w:val="0"/>
        <w:spacing w:before="120" w:line="240" w:lineRule="auto"/>
        <w:ind w:left="1530" w:right="1170" w:hanging="270"/>
        <w:rPr>
          <w:rFonts w:asciiTheme="minorHAnsi" w:hAnsiTheme="minorHAnsi" w:cs="Arial"/>
          <w:sz w:val="16"/>
          <w:szCs w:val="16"/>
        </w:rPr>
      </w:pPr>
      <w:r w:rsidRPr="00BD13E8">
        <w:rPr>
          <w:rFonts w:asciiTheme="minorHAnsi" w:hAnsiTheme="minorHAnsi" w:cs="Arial"/>
          <w:sz w:val="16"/>
          <w:szCs w:val="16"/>
        </w:rPr>
        <w:t xml:space="preserve">(a) </w:t>
      </w:r>
      <w:r w:rsidRPr="007D3430">
        <w:rPr>
          <w:rFonts w:asciiTheme="minorHAnsi" w:hAnsiTheme="minorHAnsi" w:cs="Arial"/>
          <w:sz w:val="16"/>
          <w:szCs w:val="16"/>
        </w:rPr>
        <w:tab/>
      </w:r>
      <w:r w:rsidRPr="007D3430">
        <w:rPr>
          <w:rFonts w:asciiTheme="minorHAnsi" w:hAnsiTheme="minorHAnsi" w:cs="Arial"/>
          <w:b/>
          <w:sz w:val="16"/>
          <w:szCs w:val="16"/>
        </w:rPr>
        <w:t>Source:</w:t>
      </w:r>
      <w:r w:rsidRPr="007D3430">
        <w:rPr>
          <w:rFonts w:asciiTheme="minorHAnsi" w:hAnsiTheme="minorHAnsi" w:cs="Arial"/>
          <w:sz w:val="16"/>
          <w:szCs w:val="16"/>
        </w:rPr>
        <w:t xml:space="preserve"> “Summary of ICR, LSR, and MCL for FCM and the Transition Period,” table, in </w:t>
      </w:r>
      <w:r w:rsidRPr="007D3430">
        <w:rPr>
          <w:rFonts w:asciiTheme="minorHAnsi" w:hAnsiTheme="minorHAnsi" w:cs="Arial"/>
          <w:i/>
          <w:sz w:val="16"/>
          <w:szCs w:val="16"/>
        </w:rPr>
        <w:t xml:space="preserve">Summary of </w:t>
      </w:r>
      <w:r w:rsidR="003B6688" w:rsidRPr="007D3430">
        <w:rPr>
          <w:rFonts w:asciiTheme="minorHAnsi" w:hAnsiTheme="minorHAnsi" w:cs="Arial"/>
          <w:i/>
          <w:sz w:val="16"/>
          <w:szCs w:val="16"/>
        </w:rPr>
        <w:t xml:space="preserve">Historical </w:t>
      </w:r>
      <w:r w:rsidRPr="007D3430">
        <w:rPr>
          <w:rFonts w:asciiTheme="minorHAnsi" w:hAnsiTheme="minorHAnsi" w:cs="Arial"/>
          <w:i/>
          <w:sz w:val="16"/>
          <w:szCs w:val="16"/>
        </w:rPr>
        <w:t>ICR Values</w:t>
      </w:r>
      <w:r w:rsidRPr="007D3430">
        <w:rPr>
          <w:rFonts w:asciiTheme="minorHAnsi" w:hAnsiTheme="minorHAnsi" w:cs="Arial"/>
          <w:sz w:val="16"/>
          <w:szCs w:val="16"/>
        </w:rPr>
        <w:t xml:space="preserve"> </w:t>
      </w:r>
      <w:r w:rsidR="003B6688" w:rsidRPr="007D3430">
        <w:rPr>
          <w:rFonts w:asciiTheme="minorHAnsi" w:hAnsiTheme="minorHAnsi" w:cs="Arial"/>
          <w:sz w:val="16"/>
          <w:szCs w:val="16"/>
        </w:rPr>
        <w:t>spreadsheet (November 20, 2013</w:t>
      </w:r>
      <w:r w:rsidR="004A1469" w:rsidRPr="007D3430">
        <w:rPr>
          <w:rFonts w:asciiTheme="minorHAnsi" w:hAnsiTheme="minorHAnsi" w:cs="Arial"/>
          <w:sz w:val="16"/>
          <w:szCs w:val="16"/>
        </w:rPr>
        <w:t xml:space="preserve">), </w:t>
      </w:r>
      <w:hyperlink r:id="rId32" w:history="1">
        <w:r w:rsidR="007D3430" w:rsidRPr="007D3430">
          <w:rPr>
            <w:rStyle w:val="Hyperlink"/>
            <w:rFonts w:asciiTheme="minorHAnsi" w:hAnsiTheme="minorHAnsi"/>
            <w:sz w:val="16"/>
            <w:szCs w:val="16"/>
          </w:rPr>
          <w:t>http://www.iso-ne.com/static-assets/documents/markets/othrmkts_data/fcm/doc/summary_of_icr_values_expanded.xls</w:t>
        </w:r>
      </w:hyperlink>
      <w:r w:rsidRPr="007D3430">
        <w:rPr>
          <w:rFonts w:asciiTheme="minorHAnsi" w:hAnsiTheme="minorHAnsi" w:cs="Arial"/>
          <w:sz w:val="16"/>
          <w:szCs w:val="16"/>
        </w:rPr>
        <w:t>. These are the latest values filed with FERC.</w:t>
      </w:r>
    </w:p>
    <w:p w:rsidR="008A621B" w:rsidRPr="00CA14AF" w:rsidRDefault="008A621B" w:rsidP="008A621B">
      <w:pPr>
        <w:pStyle w:val="Heading3"/>
        <w:spacing w:before="120"/>
      </w:pPr>
      <w:bookmarkStart w:id="316" w:name="_Ref173230243"/>
      <w:bookmarkStart w:id="317" w:name="_Toc176245001"/>
      <w:bookmarkStart w:id="318" w:name="_Toc201669924"/>
      <w:bookmarkStart w:id="319" w:name="_Ref201977716"/>
      <w:bookmarkStart w:id="320" w:name="_Ref201977766"/>
      <w:bookmarkStart w:id="321" w:name="_Ref202091737"/>
      <w:bookmarkStart w:id="322" w:name="_Ref204270095"/>
      <w:bookmarkStart w:id="323" w:name="_Toc207531824"/>
      <w:bookmarkStart w:id="324" w:name="_Ref231035150"/>
      <w:bookmarkStart w:id="325" w:name="_Ref231139658"/>
      <w:bookmarkStart w:id="326" w:name="_Ref231186544"/>
      <w:bookmarkStart w:id="327" w:name="_Toc239157061"/>
      <w:bookmarkStart w:id="328" w:name="_Ref266110745"/>
      <w:bookmarkStart w:id="329" w:name="_Ref266616294"/>
      <w:bookmarkStart w:id="330" w:name="_Ref266712567"/>
      <w:bookmarkStart w:id="331" w:name="_Toc271632219"/>
      <w:bookmarkStart w:id="332" w:name="_Ref293762973"/>
      <w:bookmarkStart w:id="333" w:name="_Ref296343987"/>
      <w:bookmarkStart w:id="334" w:name="_Ref296345985"/>
      <w:bookmarkStart w:id="335" w:name="_Ref296346661"/>
      <w:bookmarkStart w:id="336" w:name="_Ref297196157"/>
      <w:bookmarkStart w:id="337" w:name="_Ref297214066"/>
      <w:bookmarkStart w:id="338" w:name="_Ref297231757"/>
      <w:bookmarkStart w:id="339" w:name="_Ref298081054"/>
      <w:bookmarkStart w:id="340" w:name="_Toc303086377"/>
      <w:bookmarkStart w:id="341" w:name="_Toc334601028"/>
      <w:bookmarkStart w:id="342" w:name="_Toc365440995"/>
      <w:bookmarkStart w:id="343" w:name="_Ref354577349"/>
      <w:bookmarkStart w:id="344" w:name="_Ref388452282"/>
      <w:bookmarkStart w:id="345" w:name="_Ref388801529"/>
      <w:bookmarkStart w:id="346" w:name="_Ref388869264"/>
      <w:bookmarkStart w:id="347" w:name="_Toc396807624"/>
      <w:bookmarkEnd w:id="307"/>
      <w:r w:rsidRPr="00CA14AF">
        <w:t xml:space="preserve">Capacity Supply </w:t>
      </w:r>
      <w:r w:rsidRPr="005D2BE0">
        <w:t>Obligations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5D2BE0">
        <w:t xml:space="preserve"> </w:t>
      </w:r>
      <w:bookmarkEnd w:id="343"/>
      <w:r w:rsidRPr="005D2BE0">
        <w:t xml:space="preserve">from </w:t>
      </w:r>
      <w:r w:rsidR="005D2BE0" w:rsidRPr="005D2BE0">
        <w:t xml:space="preserve">the </w:t>
      </w:r>
      <w:r w:rsidRPr="005D2BE0">
        <w:t>F</w:t>
      </w:r>
      <w:r w:rsidR="005D2BE0" w:rsidRPr="005D2BE0">
        <w:t xml:space="preserve">orward </w:t>
      </w:r>
      <w:r w:rsidRPr="005D2BE0">
        <w:t>C</w:t>
      </w:r>
      <w:r w:rsidR="005D2BE0" w:rsidRPr="005D2BE0">
        <w:t xml:space="preserve">apacity </w:t>
      </w:r>
      <w:r w:rsidRPr="005D2BE0">
        <w:t>A</w:t>
      </w:r>
      <w:r w:rsidR="005D2BE0" w:rsidRPr="005D2BE0">
        <w:t>uction</w:t>
      </w:r>
      <w:r w:rsidRPr="005D2BE0">
        <w:t>s</w:t>
      </w:r>
      <w:bookmarkEnd w:id="344"/>
      <w:bookmarkEnd w:id="345"/>
      <w:bookmarkEnd w:id="346"/>
      <w:bookmarkEnd w:id="347"/>
    </w:p>
    <w:p w:rsidR="008A621B" w:rsidRPr="00D90D76" w:rsidRDefault="008A621B" w:rsidP="008A621B">
      <w:r w:rsidRPr="003F243A">
        <w:t xml:space="preserve">This section </w:t>
      </w:r>
      <w:r w:rsidRPr="00EC4F69">
        <w:t>presents</w:t>
      </w:r>
      <w:r w:rsidRPr="003F243A">
        <w:t xml:space="preserve"> the results of the first </w:t>
      </w:r>
      <w:r>
        <w:t>eight</w:t>
      </w:r>
      <w:r w:rsidRPr="003F243A">
        <w:t xml:space="preserve"> Forward Capacity Auctions</w:t>
      </w:r>
      <w:r>
        <w:t>,</w:t>
      </w:r>
      <w:r w:rsidRPr="003F243A">
        <w:t xml:space="preserve"> </w:t>
      </w:r>
      <w:r>
        <w:t>including</w:t>
      </w:r>
      <w:r w:rsidRPr="003F243A">
        <w:t xml:space="preserve"> the amount of capacity that </w:t>
      </w:r>
      <w:r>
        <w:t>generation</w:t>
      </w:r>
      <w:r w:rsidRPr="003F243A">
        <w:t>, import, and demand resources</w:t>
      </w:r>
      <w:r w:rsidRPr="00D90D76">
        <w:t xml:space="preserve"> in the region</w:t>
      </w:r>
      <w:r w:rsidRPr="00206B43">
        <w:t xml:space="preserve"> </w:t>
      </w:r>
      <w:r w:rsidRPr="003F243A">
        <w:t>will supp</w:t>
      </w:r>
      <w:r>
        <w:t>ly</w:t>
      </w:r>
      <w:r w:rsidRPr="00D90D76">
        <w:t>.</w:t>
      </w:r>
      <w:bookmarkStart w:id="348" w:name="_Toc201669927"/>
      <w:bookmarkStart w:id="349" w:name="_Ref202089312"/>
      <w:bookmarkStart w:id="350" w:name="_Toc207531827"/>
    </w:p>
    <w:p w:rsidR="008A621B" w:rsidRPr="00D90D76" w:rsidRDefault="008A621B" w:rsidP="008A621B">
      <w:pPr>
        <w:pStyle w:val="Heading4"/>
      </w:pPr>
      <w:bookmarkStart w:id="351" w:name="_Ref327800904"/>
      <w:r w:rsidRPr="00D90D76">
        <w:t xml:space="preserve">Capacity Supply Obligations for the First </w:t>
      </w:r>
      <w:r>
        <w:t xml:space="preserve">Eight </w:t>
      </w:r>
      <w:r w:rsidRPr="00D90D76">
        <w:t>FCAs</w:t>
      </w:r>
      <w:bookmarkEnd w:id="351"/>
      <w:r>
        <w:t xml:space="preserve"> </w:t>
      </w:r>
    </w:p>
    <w:p w:rsidR="008A621B" w:rsidRPr="0010265F" w:rsidRDefault="00927965" w:rsidP="008A621B">
      <w:fldSimple w:instr=" REF _Ref229902195 \h  \* MERGEFORMAT ">
        <w:r w:rsidR="00284CE3" w:rsidRPr="002B2200">
          <w:t>Table </w:t>
        </w:r>
        <w:r w:rsidR="00284CE3">
          <w:t>4</w:t>
        </w:r>
        <w:r w:rsidR="00284CE3">
          <w:noBreakHyphen/>
          <w:t>3</w:t>
        </w:r>
      </w:fldSimple>
      <w:bookmarkStart w:id="352" w:name="_Ref234901296"/>
      <w:bookmarkStart w:id="353" w:name="_Toc239157064"/>
      <w:r w:rsidR="008A621B">
        <w:t xml:space="preserve"> </w:t>
      </w:r>
      <w:r w:rsidR="008A621B" w:rsidRPr="00525A8A">
        <w:t xml:space="preserve">shows the results of the </w:t>
      </w:r>
      <w:r w:rsidR="008A621B">
        <w:t xml:space="preserve">eight </w:t>
      </w:r>
      <w:r w:rsidR="008A621B" w:rsidRPr="00525A8A">
        <w:t>FCA</w:t>
      </w:r>
      <w:r w:rsidR="008A621B">
        <w:t>s held so far</w:t>
      </w:r>
      <w:r w:rsidR="008A621B" w:rsidRPr="00525A8A">
        <w:t xml:space="preserve"> for 2010/2011</w:t>
      </w:r>
      <w:r w:rsidR="008A621B">
        <w:t xml:space="preserve"> through </w:t>
      </w:r>
      <w:bookmarkEnd w:id="348"/>
      <w:bookmarkEnd w:id="349"/>
      <w:bookmarkEnd w:id="350"/>
      <w:bookmarkEnd w:id="352"/>
      <w:bookmarkEnd w:id="353"/>
      <w:r w:rsidR="008A621B">
        <w:t xml:space="preserve">2017/2018 </w:t>
      </w:r>
      <w:r w:rsidR="008A621B" w:rsidRPr="00787DA8">
        <w:t xml:space="preserve">and </w:t>
      </w:r>
      <w:r w:rsidR="008A621B" w:rsidRPr="005D2BE0">
        <w:t xml:space="preserve">provides the </w:t>
      </w:r>
      <w:r w:rsidR="00274428" w:rsidRPr="00274428">
        <w:t>capacity supply obligation (CSO)</w:t>
      </w:r>
      <w:r w:rsidR="008A621B" w:rsidRPr="005D2BE0">
        <w:t xml:space="preserve"> totals procured for FCA #1 thru FCA #8 at the conclusion of</w:t>
      </w:r>
      <w:r w:rsidR="008A621B" w:rsidRPr="00402FF1">
        <w:t xml:space="preserve"> </w:t>
      </w:r>
      <w:r w:rsidR="008A621B" w:rsidRPr="00625E84">
        <w:t>each auction.</w:t>
      </w:r>
      <w:r w:rsidR="00274428" w:rsidRPr="00625E84">
        <w:rPr>
          <w:rStyle w:val="FootnoteReference"/>
        </w:rPr>
        <w:footnoteReference w:id="137"/>
      </w:r>
      <w:r w:rsidR="008A621B" w:rsidRPr="00625E84">
        <w:t xml:space="preserve"> This table also includes some details on the types of CSOs procured, including the total</w:t>
      </w:r>
      <w:r w:rsidR="008A621B" w:rsidRPr="00402FF1">
        <w:t xml:space="preserve"> </w:t>
      </w:r>
      <w:r w:rsidR="008A621B" w:rsidRPr="005D2BE0">
        <w:t>real-time emergency generation (see Section</w:t>
      </w:r>
      <w:r w:rsidR="005D2BE0" w:rsidRPr="005D2BE0">
        <w:t xml:space="preserve"> </w:t>
      </w:r>
      <w:fldSimple w:instr=" REF _Ref356659320 \r \h  \* MERGEFORMAT ">
        <w:r w:rsidR="00284CE3">
          <w:t>2.4</w:t>
        </w:r>
      </w:fldSimple>
      <w:r w:rsidR="008A621B" w:rsidRPr="005D2BE0">
        <w:t>), self-supply obligation values that reflect bilateral</w:t>
      </w:r>
      <w:r w:rsidR="008A621B">
        <w:t xml:space="preserve"> capacity arrangements, and import capacity supply obligations from </w:t>
      </w:r>
      <w:r w:rsidR="008A621B" w:rsidRPr="0023239B">
        <w:t xml:space="preserve">neighboring </w:t>
      </w:r>
      <w:r w:rsidR="008A621B">
        <w:t>b</w:t>
      </w:r>
      <w:r w:rsidR="008A621B" w:rsidRPr="0023239B">
        <w:t xml:space="preserve">alancing </w:t>
      </w:r>
      <w:r w:rsidR="008A621B">
        <w:t>a</w:t>
      </w:r>
      <w:r w:rsidR="008A621B" w:rsidRPr="0023239B">
        <w:t xml:space="preserve">uthority </w:t>
      </w:r>
      <w:r w:rsidR="008A621B">
        <w:t>a</w:t>
      </w:r>
      <w:r w:rsidR="008A621B" w:rsidRPr="0023239B">
        <w:t>reas</w:t>
      </w:r>
      <w:r w:rsidR="008A621B" w:rsidRPr="00194CAE">
        <w:t>.</w:t>
      </w:r>
    </w:p>
    <w:p w:rsidR="008A621B" w:rsidRPr="002B2200" w:rsidRDefault="008A621B" w:rsidP="008A621B">
      <w:pPr>
        <w:pStyle w:val="Caption"/>
      </w:pPr>
      <w:bookmarkStart w:id="354" w:name="_Ref229902195"/>
      <w:bookmarkStart w:id="355" w:name="_Toc200440151"/>
      <w:bookmarkStart w:id="356" w:name="_Toc207531972"/>
      <w:bookmarkStart w:id="357" w:name="_Toc239157218"/>
      <w:bookmarkStart w:id="358" w:name="_Toc271552405"/>
      <w:bookmarkStart w:id="359" w:name="_Toc303086934"/>
      <w:bookmarkStart w:id="360" w:name="_Toc330401256"/>
      <w:bookmarkStart w:id="361" w:name="_Toc334541929"/>
      <w:bookmarkStart w:id="362" w:name="_Toc334541966"/>
      <w:bookmarkStart w:id="363" w:name="_Toc365440705"/>
      <w:bookmarkStart w:id="364" w:name="_Toc391985605"/>
      <w:r w:rsidRPr="002B2200">
        <w:t>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3</w:t>
      </w:r>
      <w:r w:rsidR="00927965">
        <w:fldChar w:fldCharType="end"/>
      </w:r>
      <w:bookmarkEnd w:id="354"/>
      <w:r w:rsidRPr="002B2200">
        <w:br/>
      </w:r>
      <w:r w:rsidRPr="002B2200">
        <w:rPr>
          <w:rFonts w:cs="Arial"/>
        </w:rPr>
        <w:t>Summary of the FCA Obligations at the Conclusion of Each Auction (MW</w:t>
      </w:r>
      <w:proofErr w:type="gramStart"/>
      <w:r w:rsidRPr="002B2200">
        <w:rPr>
          <w:rFonts w:cs="Arial"/>
        </w:rPr>
        <w:t>)</w:t>
      </w:r>
      <w:r w:rsidRPr="002B2200">
        <w:rPr>
          <w:rFonts w:cs="Arial"/>
          <w:vertAlign w:val="superscript"/>
        </w:rPr>
        <w:t>(</w:t>
      </w:r>
      <w:proofErr w:type="gramEnd"/>
      <w:r w:rsidRPr="002B2200">
        <w:rPr>
          <w:rFonts w:cs="Arial"/>
          <w:vertAlign w:val="superscript"/>
        </w:rPr>
        <w:t>a)</w:t>
      </w:r>
      <w:bookmarkEnd w:id="355"/>
      <w:bookmarkEnd w:id="356"/>
      <w:bookmarkEnd w:id="357"/>
      <w:bookmarkEnd w:id="358"/>
      <w:bookmarkEnd w:id="359"/>
      <w:bookmarkEnd w:id="360"/>
      <w:bookmarkEnd w:id="361"/>
      <w:bookmarkEnd w:id="362"/>
      <w:bookmarkEnd w:id="363"/>
      <w:bookmarkEnd w:id="364"/>
    </w:p>
    <w:tbl>
      <w:tblPr>
        <w:tblW w:w="9877" w:type="dxa"/>
        <w:jc w:val="center"/>
        <w:tblInd w:w="-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tblPr>
      <w:tblGrid>
        <w:gridCol w:w="1260"/>
        <w:gridCol w:w="1080"/>
        <w:gridCol w:w="997"/>
        <w:gridCol w:w="1090"/>
        <w:gridCol w:w="1090"/>
        <w:gridCol w:w="1090"/>
        <w:gridCol w:w="1090"/>
        <w:gridCol w:w="1090"/>
        <w:gridCol w:w="1090"/>
      </w:tblGrid>
      <w:tr w:rsidR="008A621B" w:rsidRPr="002B2200" w:rsidTr="008A621B">
        <w:trPr>
          <w:cantSplit/>
          <w:trHeight w:val="720"/>
          <w:tblHeader/>
          <w:jc w:val="center"/>
        </w:trPr>
        <w:tc>
          <w:tcPr>
            <w:tcW w:w="126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Commitment Period</w:t>
            </w:r>
          </w:p>
        </w:tc>
        <w:tc>
          <w:tcPr>
            <w:tcW w:w="108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ICR</w:t>
            </w:r>
          </w:p>
        </w:tc>
        <w:tc>
          <w:tcPr>
            <w:tcW w:w="997"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HQICC</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Net ICR</w:t>
            </w:r>
            <w:r w:rsidRPr="002B2200">
              <w:rPr>
                <w:rFonts w:asciiTheme="minorHAnsi" w:hAnsiTheme="minorHAnsi" w:cs="Arial"/>
                <w:b/>
                <w:color w:val="FFFFFF" w:themeColor="background1"/>
                <w:sz w:val="18"/>
                <w:szCs w:val="18"/>
                <w:vertAlign w:val="superscript"/>
              </w:rPr>
              <w:t>(b)</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Capacity Supply Obligation</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bCs/>
                <w:color w:val="FFFFFF" w:themeColor="background1"/>
                <w:sz w:val="18"/>
                <w:szCs w:val="18"/>
              </w:rPr>
              <w:t>RTEG</w:t>
            </w:r>
            <w:r w:rsidRPr="002B2200">
              <w:rPr>
                <w:rFonts w:asciiTheme="minorHAnsi" w:hAnsiTheme="minorHAnsi" w:cs="Arial"/>
                <w:b/>
                <w:color w:val="FFFFFF" w:themeColor="background1"/>
                <w:sz w:val="18"/>
                <w:szCs w:val="18"/>
              </w:rPr>
              <w:t xml:space="preserve"> Capacity Supply Obligation</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RTEG Utilization Ratio</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Self-Supply Obligation</w:t>
            </w:r>
          </w:p>
        </w:tc>
        <w:tc>
          <w:tcPr>
            <w:tcW w:w="1090" w:type="dxa"/>
            <w:shd w:val="clear" w:color="auto" w:fill="85AFF2" w:themeFill="text2" w:themeFillTint="66"/>
            <w:tcMar>
              <w:top w:w="0" w:type="dxa"/>
              <w:bottom w:w="0" w:type="dxa"/>
            </w:tcMar>
            <w:vAlign w:val="center"/>
          </w:tcPr>
          <w:p w:rsidR="008A621B" w:rsidRPr="002B2200" w:rsidRDefault="008A621B" w:rsidP="008A621B">
            <w:pPr>
              <w:keepNext/>
              <w:keepLines/>
              <w:spacing w:before="20" w:after="20" w:line="240" w:lineRule="auto"/>
              <w:jc w:val="center"/>
              <w:rPr>
                <w:rFonts w:asciiTheme="minorHAnsi" w:hAnsiTheme="minorHAnsi" w:cs="Arial"/>
                <w:b/>
                <w:bCs/>
                <w:color w:val="FFFFFF" w:themeColor="background1"/>
                <w:sz w:val="18"/>
                <w:szCs w:val="18"/>
              </w:rPr>
            </w:pPr>
            <w:r w:rsidRPr="002B2200">
              <w:rPr>
                <w:rFonts w:asciiTheme="minorHAnsi" w:hAnsiTheme="minorHAnsi" w:cs="Arial"/>
                <w:b/>
                <w:color w:val="FFFFFF" w:themeColor="background1"/>
                <w:sz w:val="18"/>
                <w:szCs w:val="18"/>
              </w:rPr>
              <w:t>Import Capacity Supply Obligation</w:t>
            </w:r>
          </w:p>
        </w:tc>
      </w:tr>
      <w:tr w:rsidR="008A621B" w:rsidRPr="002B2200" w:rsidTr="008A621B">
        <w:trPr>
          <w:cantSplit/>
          <w:trHeight w:val="253"/>
          <w:jc w:val="center"/>
        </w:trPr>
        <w:tc>
          <w:tcPr>
            <w:tcW w:w="1260" w:type="dxa"/>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2010/2011</w:t>
            </w:r>
          </w:p>
        </w:tc>
        <w:tc>
          <w:tcPr>
            <w:tcW w:w="1080" w:type="dxa"/>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33,705</w:t>
            </w:r>
          </w:p>
        </w:tc>
        <w:tc>
          <w:tcPr>
            <w:tcW w:w="997"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1,400</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32,305</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34,077</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875</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0.686</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1,593</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934</w:t>
            </w:r>
          </w:p>
        </w:tc>
      </w:tr>
      <w:tr w:rsidR="008A621B" w:rsidRPr="002B2200" w:rsidTr="008A621B">
        <w:trPr>
          <w:cantSplit/>
          <w:trHeight w:val="253"/>
          <w:jc w:val="center"/>
        </w:trPr>
        <w:tc>
          <w:tcPr>
            <w:tcW w:w="126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2011/2012</w:t>
            </w:r>
          </w:p>
        </w:tc>
        <w:tc>
          <w:tcPr>
            <w:tcW w:w="1080" w:type="dxa"/>
            <w:shd w:val="clear" w:color="auto" w:fill="C2D7F8" w:themeFill="text2" w:themeFillTint="33"/>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vertAlign w:val="superscript"/>
              </w:rPr>
            </w:pPr>
            <w:r w:rsidRPr="002B2200">
              <w:rPr>
                <w:rFonts w:asciiTheme="minorHAnsi" w:hAnsiTheme="minorHAnsi" w:cs="Arial"/>
                <w:sz w:val="18"/>
                <w:szCs w:val="18"/>
              </w:rPr>
              <w:t>33,439</w:t>
            </w:r>
          </w:p>
        </w:tc>
        <w:tc>
          <w:tcPr>
            <w:tcW w:w="997"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911</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32,528</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37,283</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759</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0.791</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1,696</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2,298</w:t>
            </w:r>
          </w:p>
        </w:tc>
      </w:tr>
      <w:tr w:rsidR="008A621B" w:rsidRPr="002B2200" w:rsidTr="008A621B">
        <w:trPr>
          <w:cantSplit/>
          <w:trHeight w:val="253"/>
          <w:jc w:val="center"/>
        </w:trPr>
        <w:tc>
          <w:tcPr>
            <w:tcW w:w="1260" w:type="dxa"/>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2012/2013</w:t>
            </w:r>
          </w:p>
        </w:tc>
        <w:tc>
          <w:tcPr>
            <w:tcW w:w="1080" w:type="dxa"/>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32,879</w:t>
            </w:r>
          </w:p>
        </w:tc>
        <w:tc>
          <w:tcPr>
            <w:tcW w:w="997"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914</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31,965</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36,996</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630</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0.952</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1,935</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1,900</w:t>
            </w:r>
          </w:p>
        </w:tc>
      </w:tr>
      <w:tr w:rsidR="008A621B" w:rsidRPr="00491A86" w:rsidTr="008A621B">
        <w:trPr>
          <w:cantSplit/>
          <w:trHeight w:val="253"/>
          <w:jc w:val="center"/>
        </w:trPr>
        <w:tc>
          <w:tcPr>
            <w:tcW w:w="126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2013/2014</w:t>
            </w:r>
          </w:p>
        </w:tc>
        <w:tc>
          <w:tcPr>
            <w:tcW w:w="1080" w:type="dxa"/>
            <w:shd w:val="clear" w:color="auto" w:fill="C2D7F8" w:themeFill="text2" w:themeFillTint="33"/>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33,043</w:t>
            </w:r>
          </w:p>
        </w:tc>
        <w:tc>
          <w:tcPr>
            <w:tcW w:w="997"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916</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32,127</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37,501</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688</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0.872</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2.698</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1,993</w:t>
            </w:r>
          </w:p>
        </w:tc>
      </w:tr>
      <w:tr w:rsidR="008A621B" w:rsidRPr="002B2200" w:rsidTr="008A621B">
        <w:trPr>
          <w:cantSplit/>
          <w:trHeight w:val="253"/>
          <w:jc w:val="center"/>
        </w:trPr>
        <w:tc>
          <w:tcPr>
            <w:tcW w:w="1260" w:type="dxa"/>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2014/2015</w:t>
            </w:r>
          </w:p>
        </w:tc>
        <w:tc>
          <w:tcPr>
            <w:tcW w:w="1080" w:type="dxa"/>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34,154</w:t>
            </w:r>
          </w:p>
        </w:tc>
        <w:tc>
          <w:tcPr>
            <w:tcW w:w="997"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954</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33,200</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36,918</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722</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0.831</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3,176</w:t>
            </w:r>
          </w:p>
        </w:tc>
        <w:tc>
          <w:tcPr>
            <w:tcW w:w="1090" w:type="dxa"/>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sz w:val="18"/>
                <w:szCs w:val="18"/>
              </w:rPr>
            </w:pPr>
            <w:r w:rsidRPr="002B2200">
              <w:rPr>
                <w:rFonts w:asciiTheme="minorHAnsi" w:hAnsiTheme="minorHAnsi" w:cs="Arial"/>
                <w:sz w:val="18"/>
                <w:szCs w:val="18"/>
              </w:rPr>
              <w:t>2,011</w:t>
            </w:r>
          </w:p>
        </w:tc>
      </w:tr>
      <w:tr w:rsidR="008A621B" w:rsidRPr="002B2200" w:rsidTr="008A621B">
        <w:trPr>
          <w:cantSplit/>
          <w:trHeight w:val="253"/>
          <w:jc w:val="center"/>
        </w:trPr>
        <w:tc>
          <w:tcPr>
            <w:tcW w:w="126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2015/2016</w:t>
            </w:r>
          </w:p>
        </w:tc>
        <w:tc>
          <w:tcPr>
            <w:tcW w:w="1080" w:type="dxa"/>
            <w:shd w:val="clear" w:color="auto" w:fill="C2D7F8" w:themeFill="text2" w:themeFillTint="33"/>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34,498</w:t>
            </w:r>
          </w:p>
        </w:tc>
        <w:tc>
          <w:tcPr>
            <w:tcW w:w="997"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1,042</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33,456</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36,309</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617</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0.972</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4,164</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eastAsia="Times New Roman" w:hAnsiTheme="minorHAnsi" w:cs="Arial"/>
                <w:bCs/>
                <w:sz w:val="18"/>
                <w:szCs w:val="18"/>
              </w:rPr>
            </w:pPr>
            <w:r w:rsidRPr="002B2200">
              <w:rPr>
                <w:rFonts w:asciiTheme="minorHAnsi" w:hAnsiTheme="minorHAnsi" w:cs="Arial"/>
                <w:bCs/>
                <w:sz w:val="18"/>
                <w:szCs w:val="18"/>
              </w:rPr>
              <w:t>1,924</w:t>
            </w:r>
          </w:p>
        </w:tc>
      </w:tr>
      <w:tr w:rsidR="008A621B" w:rsidRPr="002B2200" w:rsidTr="008A621B">
        <w:trPr>
          <w:cantSplit/>
          <w:trHeight w:val="253"/>
          <w:jc w:val="center"/>
        </w:trPr>
        <w:tc>
          <w:tcPr>
            <w:tcW w:w="126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2016/2017</w:t>
            </w:r>
          </w:p>
        </w:tc>
        <w:tc>
          <w:tcPr>
            <w:tcW w:w="1080" w:type="dxa"/>
            <w:shd w:val="clear" w:color="auto" w:fill="auto"/>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34,023</w:t>
            </w:r>
          </w:p>
        </w:tc>
        <w:tc>
          <w:tcPr>
            <w:tcW w:w="997"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1,055</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32,968</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36,220</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262</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1.000</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4,662</w:t>
            </w:r>
          </w:p>
        </w:tc>
        <w:tc>
          <w:tcPr>
            <w:tcW w:w="1090" w:type="dxa"/>
            <w:shd w:val="clear" w:color="auto" w:fill="auto"/>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1,830</w:t>
            </w:r>
          </w:p>
        </w:tc>
      </w:tr>
      <w:tr w:rsidR="008A621B" w:rsidRPr="002B2200" w:rsidTr="003B6688">
        <w:trPr>
          <w:cantSplit/>
          <w:trHeight w:val="253"/>
          <w:jc w:val="center"/>
        </w:trPr>
        <w:tc>
          <w:tcPr>
            <w:tcW w:w="126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rPr>
                <w:rFonts w:asciiTheme="minorHAnsi" w:hAnsiTheme="minorHAnsi" w:cs="Arial"/>
                <w:b/>
                <w:bCs/>
                <w:sz w:val="18"/>
                <w:szCs w:val="18"/>
              </w:rPr>
            </w:pPr>
            <w:r w:rsidRPr="002B2200">
              <w:rPr>
                <w:rFonts w:asciiTheme="minorHAnsi" w:hAnsiTheme="minorHAnsi" w:cs="Arial"/>
                <w:b/>
                <w:bCs/>
                <w:sz w:val="18"/>
                <w:szCs w:val="18"/>
              </w:rPr>
              <w:t>2017/2018</w:t>
            </w:r>
          </w:p>
        </w:tc>
        <w:tc>
          <w:tcPr>
            <w:tcW w:w="1080" w:type="dxa"/>
            <w:shd w:val="clear" w:color="auto" w:fill="C2D7F8" w:themeFill="text2" w:themeFillTint="33"/>
            <w:noWrap/>
            <w:tcMar>
              <w:top w:w="58" w:type="dxa"/>
              <w:bottom w:w="58"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34,923</w:t>
            </w:r>
          </w:p>
        </w:tc>
        <w:tc>
          <w:tcPr>
            <w:tcW w:w="997"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1,068</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33,855</w:t>
            </w:r>
            <w:r w:rsidRPr="00CB3685">
              <w:rPr>
                <w:rFonts w:asciiTheme="minorHAnsi" w:hAnsiTheme="minorHAnsi" w:cs="Arial"/>
                <w:bCs/>
                <w:sz w:val="18"/>
                <w:szCs w:val="18"/>
                <w:vertAlign w:val="superscript"/>
              </w:rPr>
              <w:t>(</w:t>
            </w:r>
            <w:r>
              <w:rPr>
                <w:rFonts w:asciiTheme="minorHAnsi" w:hAnsiTheme="minorHAnsi" w:cs="Arial"/>
                <w:bCs/>
                <w:sz w:val="18"/>
                <w:szCs w:val="18"/>
                <w:vertAlign w:val="superscript"/>
              </w:rPr>
              <w:t>c</w:t>
            </w:r>
            <w:r w:rsidRPr="00CB3685">
              <w:rPr>
                <w:rFonts w:asciiTheme="minorHAnsi" w:hAnsiTheme="minorHAnsi" w:cs="Arial"/>
                <w:bCs/>
                <w:sz w:val="18"/>
                <w:szCs w:val="18"/>
                <w:vertAlign w:val="superscript"/>
              </w:rPr>
              <w:t>)</w:t>
            </w:r>
          </w:p>
        </w:tc>
        <w:tc>
          <w:tcPr>
            <w:tcW w:w="1090" w:type="dxa"/>
            <w:shd w:val="clear" w:color="auto" w:fill="C2D7F8" w:themeFill="text2" w:themeFillTint="33"/>
            <w:noWrap/>
            <w:tcMar>
              <w:top w:w="43" w:type="dxa"/>
              <w:bottom w:w="43" w:type="dxa"/>
            </w:tcMar>
            <w:vAlign w:val="center"/>
          </w:tcPr>
          <w:p w:rsidR="008A621B" w:rsidRPr="002B2200" w:rsidRDefault="008A621B" w:rsidP="004E6DD8">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33,702</w:t>
            </w:r>
            <w:r>
              <w:rPr>
                <w:rFonts w:asciiTheme="minorHAnsi" w:hAnsiTheme="minorHAnsi" w:cs="Arial"/>
                <w:bCs/>
                <w:sz w:val="18"/>
                <w:szCs w:val="18"/>
                <w:vertAlign w:val="superscript"/>
              </w:rPr>
              <w:t>(d</w:t>
            </w:r>
            <w:r w:rsidRPr="00CB3685">
              <w:rPr>
                <w:rFonts w:asciiTheme="minorHAnsi" w:hAnsiTheme="minorHAnsi" w:cs="Arial"/>
                <w:bCs/>
                <w:sz w:val="18"/>
                <w:szCs w:val="18"/>
                <w:vertAlign w:val="superscript"/>
              </w:rPr>
              <w:t>)</w:t>
            </w:r>
            <w:r>
              <w:rPr>
                <w:rFonts w:asciiTheme="minorHAnsi" w:hAnsiTheme="minorHAnsi" w:cs="Arial"/>
                <w:bCs/>
                <w:sz w:val="18"/>
                <w:szCs w:val="18"/>
              </w:rPr>
              <w:t xml:space="preserve"> </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270</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1.000</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3,330</w:t>
            </w:r>
          </w:p>
        </w:tc>
        <w:tc>
          <w:tcPr>
            <w:tcW w:w="1090" w:type="dxa"/>
            <w:shd w:val="clear" w:color="auto" w:fill="C2D7F8" w:themeFill="text2" w:themeFillTint="33"/>
            <w:noWrap/>
            <w:tcMar>
              <w:top w:w="43" w:type="dxa"/>
              <w:bottom w:w="43" w:type="dxa"/>
            </w:tcMar>
            <w:vAlign w:val="center"/>
          </w:tcPr>
          <w:p w:rsidR="008A621B" w:rsidRPr="002B2200" w:rsidRDefault="008A621B" w:rsidP="008A621B">
            <w:pPr>
              <w:keepNext/>
              <w:keepLines/>
              <w:spacing w:before="20" w:after="20" w:line="240" w:lineRule="auto"/>
              <w:ind w:right="144"/>
              <w:jc w:val="right"/>
              <w:rPr>
                <w:rFonts w:asciiTheme="minorHAnsi" w:hAnsiTheme="minorHAnsi" w:cs="Arial"/>
                <w:bCs/>
                <w:sz w:val="18"/>
                <w:szCs w:val="18"/>
              </w:rPr>
            </w:pPr>
            <w:r w:rsidRPr="002B2200">
              <w:rPr>
                <w:rFonts w:asciiTheme="minorHAnsi" w:hAnsiTheme="minorHAnsi" w:cs="Arial"/>
                <w:bCs/>
                <w:sz w:val="18"/>
                <w:szCs w:val="18"/>
              </w:rPr>
              <w:t>1,237</w:t>
            </w:r>
          </w:p>
        </w:tc>
      </w:tr>
    </w:tbl>
    <w:p w:rsidR="008A621B" w:rsidRPr="00A955C8" w:rsidRDefault="008A621B" w:rsidP="008A621B">
      <w:pPr>
        <w:keepNext/>
        <w:keepLines/>
        <w:numPr>
          <w:ilvl w:val="1"/>
          <w:numId w:val="30"/>
        </w:numPr>
        <w:tabs>
          <w:tab w:val="left" w:pos="-180"/>
        </w:tabs>
        <w:spacing w:before="120" w:after="80" w:line="240" w:lineRule="auto"/>
        <w:ind w:left="-180" w:right="-540" w:hanging="270"/>
        <w:rPr>
          <w:rFonts w:cs="Arial"/>
          <w:bCs/>
          <w:color w:val="000000"/>
          <w:sz w:val="16"/>
          <w:szCs w:val="16"/>
        </w:rPr>
      </w:pPr>
      <w:r w:rsidRPr="00A955C8">
        <w:rPr>
          <w:rFonts w:cs="Arial"/>
          <w:sz w:val="16"/>
          <w:szCs w:val="16"/>
        </w:rPr>
        <w:t xml:space="preserve">Information regarding the results of annual reconfiguration auctions is available </w:t>
      </w:r>
      <w:r w:rsidRPr="00A955C8">
        <w:rPr>
          <w:rFonts w:cs="Arial"/>
          <w:color w:val="000000"/>
          <w:sz w:val="16"/>
          <w:szCs w:val="16"/>
        </w:rPr>
        <w:t>at</w:t>
      </w:r>
      <w:r w:rsidRPr="00A955C8">
        <w:rPr>
          <w:rFonts w:cs="Arial"/>
          <w:color w:val="000000" w:themeColor="text1"/>
          <w:sz w:val="16"/>
          <w:szCs w:val="16"/>
        </w:rPr>
        <w:t xml:space="preserve"> </w:t>
      </w:r>
      <w:hyperlink r:id="rId33" w:history="1">
        <w:r w:rsidRPr="00A955C8">
          <w:rPr>
            <w:rStyle w:val="Hyperlink"/>
            <w:rFonts w:cs="Arial"/>
            <w:sz w:val="16"/>
            <w:szCs w:val="16"/>
          </w:rPr>
          <w:t>http://www.iso-ne.com/markets/othrmkts_data/fcm/cal_results/index.html</w:t>
        </w:r>
      </w:hyperlink>
      <w:r w:rsidRPr="00A955C8">
        <w:rPr>
          <w:rFonts w:cs="Arial"/>
          <w:color w:val="000000" w:themeColor="text1"/>
          <w:sz w:val="16"/>
          <w:szCs w:val="16"/>
        </w:rPr>
        <w:t>.</w:t>
      </w:r>
      <w:r w:rsidR="00B511B0" w:rsidRPr="00A955C8">
        <w:rPr>
          <w:rFonts w:cs="Arial"/>
          <w:color w:val="000000" w:themeColor="text1"/>
          <w:sz w:val="16"/>
          <w:szCs w:val="16"/>
        </w:rPr>
        <w:t xml:space="preserve"> </w:t>
      </w:r>
    </w:p>
    <w:p w:rsidR="008A621B" w:rsidRPr="00A955C8" w:rsidRDefault="008A621B" w:rsidP="008A621B">
      <w:pPr>
        <w:numPr>
          <w:ilvl w:val="1"/>
          <w:numId w:val="30"/>
        </w:numPr>
        <w:tabs>
          <w:tab w:val="left" w:pos="-180"/>
        </w:tabs>
        <w:spacing w:after="80" w:line="240" w:lineRule="auto"/>
        <w:ind w:left="-172" w:right="-547" w:hanging="274"/>
        <w:rPr>
          <w:rFonts w:cs="Arial"/>
          <w:bCs/>
          <w:sz w:val="16"/>
          <w:szCs w:val="16"/>
        </w:rPr>
      </w:pPr>
      <w:r w:rsidRPr="00A955C8">
        <w:rPr>
          <w:rFonts w:cs="Arial"/>
          <w:bCs/>
          <w:sz w:val="16"/>
          <w:szCs w:val="16"/>
        </w:rPr>
        <w:t>The net ICR equals the ICR minus the Hydro-Québec Interconnection Capability Credits</w:t>
      </w:r>
      <w:bookmarkStart w:id="365" w:name="_Ref200276509"/>
      <w:r w:rsidRPr="00A955C8">
        <w:rPr>
          <w:rFonts w:cs="Arial"/>
          <w:bCs/>
          <w:sz w:val="16"/>
          <w:szCs w:val="16"/>
        </w:rPr>
        <w:t>. The ICR applies to the FCA, not the reconfiguration auction.</w:t>
      </w:r>
    </w:p>
    <w:p w:rsidR="008A621B" w:rsidRPr="00A955C8" w:rsidRDefault="008A621B" w:rsidP="008A621B">
      <w:pPr>
        <w:numPr>
          <w:ilvl w:val="1"/>
          <w:numId w:val="30"/>
        </w:numPr>
        <w:tabs>
          <w:tab w:val="left" w:pos="-180"/>
        </w:tabs>
        <w:autoSpaceDE w:val="0"/>
        <w:autoSpaceDN w:val="0"/>
        <w:adjustRightInd w:val="0"/>
        <w:spacing w:after="80" w:line="240" w:lineRule="auto"/>
        <w:ind w:left="-172" w:right="-547" w:hanging="274"/>
        <w:rPr>
          <w:color w:val="000000" w:themeColor="text1"/>
          <w:sz w:val="16"/>
          <w:szCs w:val="16"/>
        </w:rPr>
      </w:pPr>
      <w:r w:rsidRPr="00A955C8">
        <w:rPr>
          <w:rFonts w:cs="Arial"/>
          <w:bCs/>
          <w:sz w:val="16"/>
          <w:szCs w:val="16"/>
        </w:rPr>
        <w:t xml:space="preserve">The ICR requirement for 2017/2018 </w:t>
      </w:r>
      <w:proofErr w:type="gramStart"/>
      <w:r w:rsidRPr="00A955C8">
        <w:rPr>
          <w:rFonts w:cs="Arial"/>
          <w:bCs/>
          <w:sz w:val="16"/>
          <w:szCs w:val="16"/>
        </w:rPr>
        <w:t>will be met</w:t>
      </w:r>
      <w:proofErr w:type="gramEnd"/>
      <w:r w:rsidRPr="00A955C8">
        <w:rPr>
          <w:rFonts w:cs="Arial"/>
          <w:bCs/>
          <w:sz w:val="16"/>
          <w:szCs w:val="16"/>
        </w:rPr>
        <w:t xml:space="preserve"> by procuring additional resources, if deemed necessary, in </w:t>
      </w:r>
      <w:r w:rsidR="004A1469" w:rsidRPr="00A955C8">
        <w:rPr>
          <w:rFonts w:cs="Arial"/>
          <w:bCs/>
          <w:sz w:val="16"/>
          <w:szCs w:val="16"/>
        </w:rPr>
        <w:t>a</w:t>
      </w:r>
      <w:r w:rsidRPr="00A955C8">
        <w:rPr>
          <w:rFonts w:cs="Arial"/>
          <w:bCs/>
          <w:sz w:val="16"/>
          <w:szCs w:val="16"/>
        </w:rPr>
        <w:t xml:space="preserve">nnual </w:t>
      </w:r>
      <w:r w:rsidR="004A1469" w:rsidRPr="00A955C8">
        <w:rPr>
          <w:rFonts w:cs="Arial"/>
          <w:bCs/>
          <w:sz w:val="16"/>
          <w:szCs w:val="16"/>
        </w:rPr>
        <w:t>r</w:t>
      </w:r>
      <w:r w:rsidR="005D2BE0" w:rsidRPr="00A955C8">
        <w:rPr>
          <w:rFonts w:cs="Arial"/>
          <w:bCs/>
          <w:sz w:val="16"/>
          <w:szCs w:val="16"/>
        </w:rPr>
        <w:t>econfiguration</w:t>
      </w:r>
      <w:r w:rsidRPr="00A955C8">
        <w:rPr>
          <w:rFonts w:cs="Arial"/>
          <w:bCs/>
          <w:sz w:val="16"/>
          <w:szCs w:val="16"/>
        </w:rPr>
        <w:t xml:space="preserve"> </w:t>
      </w:r>
      <w:r w:rsidR="004A1469" w:rsidRPr="00A955C8">
        <w:rPr>
          <w:rFonts w:cs="Arial"/>
          <w:bCs/>
          <w:sz w:val="16"/>
          <w:szCs w:val="16"/>
        </w:rPr>
        <w:t>a</w:t>
      </w:r>
      <w:r w:rsidRPr="00A955C8">
        <w:rPr>
          <w:rFonts w:cs="Arial"/>
          <w:bCs/>
          <w:sz w:val="16"/>
          <w:szCs w:val="16"/>
        </w:rPr>
        <w:t>uctions, in accordance with the market rules</w:t>
      </w:r>
      <w:r w:rsidRPr="00A955C8">
        <w:rPr>
          <w:color w:val="000000" w:themeColor="text1"/>
          <w:sz w:val="16"/>
          <w:szCs w:val="16"/>
        </w:rPr>
        <w:t>.</w:t>
      </w:r>
    </w:p>
    <w:p w:rsidR="00B511B0" w:rsidRPr="00A955C8" w:rsidRDefault="008A621B" w:rsidP="00B511B0">
      <w:pPr>
        <w:numPr>
          <w:ilvl w:val="1"/>
          <w:numId w:val="30"/>
        </w:numPr>
        <w:tabs>
          <w:tab w:val="left" w:pos="-180"/>
        </w:tabs>
        <w:autoSpaceDE w:val="0"/>
        <w:autoSpaceDN w:val="0"/>
        <w:adjustRightInd w:val="0"/>
        <w:spacing w:line="240" w:lineRule="auto"/>
        <w:ind w:left="-172" w:right="-547" w:hanging="274"/>
        <w:rPr>
          <w:color w:val="000000" w:themeColor="text1"/>
          <w:sz w:val="16"/>
          <w:szCs w:val="16"/>
        </w:rPr>
      </w:pPr>
      <w:r w:rsidRPr="00A955C8">
        <w:rPr>
          <w:rFonts w:cs="Arial"/>
          <w:bCs/>
          <w:sz w:val="16"/>
          <w:szCs w:val="16"/>
        </w:rPr>
        <w:t xml:space="preserve">Subsequent to the end of FCA #8 but </w:t>
      </w:r>
      <w:proofErr w:type="gramStart"/>
      <w:r w:rsidRPr="00A955C8">
        <w:rPr>
          <w:rFonts w:cs="Arial"/>
          <w:bCs/>
          <w:sz w:val="16"/>
          <w:szCs w:val="16"/>
        </w:rPr>
        <w:t>before</w:t>
      </w:r>
      <w:proofErr w:type="gramEnd"/>
      <w:r w:rsidRPr="00A955C8">
        <w:rPr>
          <w:rFonts w:cs="Arial"/>
          <w:bCs/>
          <w:sz w:val="16"/>
          <w:szCs w:val="16"/>
        </w:rPr>
        <w:t xml:space="preserve"> the ISO filed the results with FERC, an out-of-market resource from FCA #6 was deemed to have cleared and was assigned a 10 MW capacity supply obligation, increasing the total capacity supply obligation to 33,712 MW. </w:t>
      </w:r>
    </w:p>
    <w:p w:rsidR="008A621B" w:rsidRPr="001A4394" w:rsidRDefault="008A621B" w:rsidP="008A621B">
      <w:pPr>
        <w:pStyle w:val="Heading4"/>
      </w:pPr>
      <w:bookmarkStart w:id="366" w:name="_Ref327800630"/>
      <w:r w:rsidRPr="001A4394">
        <w:t>FCA Results for Capacity Zones</w:t>
      </w:r>
      <w:bookmarkEnd w:id="366"/>
      <w:r w:rsidRPr="001A4394">
        <w:t xml:space="preserve"> </w:t>
      </w:r>
    </w:p>
    <w:p w:rsidR="008A621B" w:rsidRPr="00B95CEE" w:rsidRDefault="00927965" w:rsidP="008A621B">
      <w:pPr>
        <w:pStyle w:val="CommentText"/>
        <w:spacing w:line="260" w:lineRule="atLeast"/>
      </w:pPr>
      <w:fldSimple w:instr=" REF _Ref229902213 \h  \* MERGEFORMAT ">
        <w:r w:rsidR="00284CE3" w:rsidRPr="002B2200">
          <w:t xml:space="preserve">Table </w:t>
        </w:r>
        <w:r w:rsidR="00284CE3">
          <w:t>4</w:t>
        </w:r>
        <w:r w:rsidR="00284CE3">
          <w:noBreakHyphen/>
          <w:t>4</w:t>
        </w:r>
      </w:fldSimple>
      <w:r w:rsidR="008A621B" w:rsidRPr="000044AB">
        <w:t xml:space="preserve"> summarizes the detailed CSOs for </w:t>
      </w:r>
      <w:r w:rsidR="008A621B">
        <w:t xml:space="preserve">the </w:t>
      </w:r>
      <w:r w:rsidR="008A621B" w:rsidRPr="000044AB">
        <w:t>capacity zone</w:t>
      </w:r>
      <w:r w:rsidR="008A621B">
        <w:t>s modeled</w:t>
      </w:r>
      <w:r w:rsidR="008A621B" w:rsidRPr="000044AB">
        <w:t xml:space="preserve"> for each capacity commitment</w:t>
      </w:r>
      <w:r w:rsidR="008A621B" w:rsidRPr="003F243A">
        <w:t xml:space="preserve"> period, which </w:t>
      </w:r>
      <w:proofErr w:type="gramStart"/>
      <w:r w:rsidR="008A621B" w:rsidRPr="003F243A">
        <w:t>are published</w:t>
      </w:r>
      <w:proofErr w:type="gramEnd"/>
      <w:r w:rsidR="008A621B" w:rsidRPr="003F243A">
        <w:t xml:space="preserve"> in the 201</w:t>
      </w:r>
      <w:r w:rsidR="008A621B">
        <w:t>4</w:t>
      </w:r>
      <w:r w:rsidR="008A621B" w:rsidRPr="003F243A">
        <w:t xml:space="preserve"> CELT Report.</w:t>
      </w:r>
      <w:r w:rsidR="008A621B" w:rsidRPr="003F243A">
        <w:rPr>
          <w:rStyle w:val="FootnoteReference"/>
        </w:rPr>
        <w:footnoteReference w:id="138"/>
      </w:r>
      <w:r w:rsidR="008A621B" w:rsidRPr="003F243A">
        <w:t xml:space="preserve"> The CSOs have been adjusted to reflect the </w:t>
      </w:r>
      <w:r w:rsidR="00EF79FB">
        <w:t xml:space="preserve">600 MW limit in the </w:t>
      </w:r>
      <w:r w:rsidR="008A621B" w:rsidRPr="003F243A">
        <w:t>market rule</w:t>
      </w:r>
      <w:r w:rsidR="00EF79FB">
        <w:t xml:space="preserve"> </w:t>
      </w:r>
      <w:r w:rsidR="008A621B">
        <w:t xml:space="preserve">for </w:t>
      </w:r>
      <w:r w:rsidR="008A621B" w:rsidRPr="003F243A">
        <w:t>real-time emergency</w:t>
      </w:r>
      <w:r w:rsidR="006D4C96">
        <w:t xml:space="preserve"> </w:t>
      </w:r>
      <w:r w:rsidR="008A621B" w:rsidRPr="003F243A">
        <w:t xml:space="preserve">generation </w:t>
      </w:r>
      <w:r w:rsidR="008A621B">
        <w:t>resources</w:t>
      </w:r>
      <w:r w:rsidR="008A621B" w:rsidRPr="003F243A">
        <w:t xml:space="preserve">, which is the maximum quantity of this </w:t>
      </w:r>
      <w:r w:rsidR="008A621B" w:rsidRPr="00B6386D">
        <w:t xml:space="preserve">resource type that can be counted toward the ICR. </w:t>
      </w:r>
    </w:p>
    <w:p w:rsidR="008A621B" w:rsidRPr="00155624" w:rsidRDefault="008A621B" w:rsidP="008A621B">
      <w:pPr>
        <w:pStyle w:val="Caption"/>
        <w:rPr>
          <w:rFonts w:cs="Arial"/>
        </w:rPr>
      </w:pPr>
      <w:bookmarkStart w:id="367" w:name="_Ref229902213"/>
      <w:bookmarkStart w:id="368" w:name="_Toc200440152"/>
      <w:bookmarkStart w:id="369" w:name="_Toc207531973"/>
      <w:bookmarkStart w:id="370" w:name="_Toc239157219"/>
      <w:bookmarkStart w:id="371" w:name="_Toc271552406"/>
      <w:bookmarkStart w:id="372" w:name="_Toc303086935"/>
      <w:bookmarkStart w:id="373" w:name="_Toc330401257"/>
      <w:bookmarkStart w:id="374" w:name="_Toc334541930"/>
      <w:bookmarkStart w:id="375" w:name="_Toc334541967"/>
      <w:bookmarkStart w:id="376" w:name="_Toc365440706"/>
      <w:bookmarkStart w:id="377" w:name="_Toc391985606"/>
      <w:bookmarkEnd w:id="365"/>
      <w:r w:rsidRPr="002B2200">
        <w:t xml:space="preserve">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4</w:t>
      </w:r>
      <w:r w:rsidR="00927965">
        <w:fldChar w:fldCharType="end"/>
      </w:r>
      <w:bookmarkEnd w:id="367"/>
      <w:r w:rsidRPr="002B2200">
        <w:br/>
      </w:r>
      <w:r w:rsidRPr="002B2200">
        <w:rPr>
          <w:rFonts w:cs="Arial"/>
        </w:rPr>
        <w:t>Results of the FCA by Capacity Zone at the Conclusion of Each Auction (MW, </w:t>
      </w:r>
      <w:r w:rsidRPr="002B2200">
        <w:t>$/kW</w:t>
      </w:r>
      <w:r w:rsidRPr="002B2200">
        <w:noBreakHyphen/>
      </w:r>
      <w:proofErr w:type="spellStart"/>
      <w:r w:rsidRPr="002B2200">
        <w:t>month</w:t>
      </w:r>
      <w:proofErr w:type="spellEnd"/>
      <w:proofErr w:type="gramStart"/>
      <w:r w:rsidRPr="002B2200">
        <w:rPr>
          <w:rFonts w:cs="Arial"/>
        </w:rPr>
        <w:t>)</w:t>
      </w:r>
      <w:bookmarkEnd w:id="368"/>
      <w:bookmarkEnd w:id="369"/>
      <w:r w:rsidRPr="002B2200">
        <w:rPr>
          <w:rFonts w:cs="Arial"/>
          <w:vertAlign w:val="superscript"/>
        </w:rPr>
        <w:t>(</w:t>
      </w:r>
      <w:proofErr w:type="gramEnd"/>
      <w:r w:rsidRPr="002B2200">
        <w:rPr>
          <w:rFonts w:cs="Arial"/>
          <w:vertAlign w:val="superscript"/>
        </w:rPr>
        <w:t>a)</w:t>
      </w:r>
      <w:bookmarkEnd w:id="370"/>
      <w:bookmarkEnd w:id="371"/>
      <w:bookmarkEnd w:id="372"/>
      <w:bookmarkEnd w:id="373"/>
      <w:bookmarkEnd w:id="374"/>
      <w:bookmarkEnd w:id="375"/>
      <w:bookmarkEnd w:id="376"/>
      <w:bookmarkEnd w:id="377"/>
      <w:r>
        <w:rPr>
          <w:rFonts w:cs="Arial"/>
        </w:rPr>
        <w:t xml:space="preserve"> </w:t>
      </w:r>
    </w:p>
    <w:tbl>
      <w:tblPr>
        <w:tblW w:w="10053" w:type="dxa"/>
        <w:jc w:val="center"/>
        <w:tblInd w:w="1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9" w:type="dxa"/>
          <w:left w:w="29" w:type="dxa"/>
          <w:bottom w:w="29" w:type="dxa"/>
          <w:right w:w="58" w:type="dxa"/>
        </w:tblCellMar>
        <w:tblLook w:val="04A0"/>
      </w:tblPr>
      <w:tblGrid>
        <w:gridCol w:w="1170"/>
        <w:gridCol w:w="1286"/>
        <w:gridCol w:w="720"/>
        <w:gridCol w:w="720"/>
        <w:gridCol w:w="951"/>
        <w:gridCol w:w="810"/>
        <w:gridCol w:w="1066"/>
        <w:gridCol w:w="1170"/>
        <w:gridCol w:w="1170"/>
        <w:gridCol w:w="990"/>
      </w:tblGrid>
      <w:tr w:rsidR="00B61122" w:rsidRPr="00333123" w:rsidTr="00B61122">
        <w:trPr>
          <w:cantSplit/>
          <w:trHeight w:val="570"/>
          <w:tblHeader/>
          <w:jc w:val="center"/>
        </w:trPr>
        <w:tc>
          <w:tcPr>
            <w:tcW w:w="1170" w:type="dxa"/>
            <w:vMerge w:val="restart"/>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Commitment Period</w:t>
            </w:r>
          </w:p>
        </w:tc>
        <w:tc>
          <w:tcPr>
            <w:tcW w:w="1286" w:type="dxa"/>
            <w:vMerge w:val="restart"/>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Modeled</w:t>
            </w:r>
            <w:r w:rsidR="000E509A" w:rsidRPr="00333123">
              <w:rPr>
                <w:rFonts w:asciiTheme="minorHAnsi" w:hAnsiTheme="minorHAnsi" w:cs="Arial"/>
                <w:b/>
                <w:color w:val="FFFFFF" w:themeColor="background1"/>
                <w:sz w:val="18"/>
                <w:szCs w:val="18"/>
              </w:rPr>
              <w:br/>
            </w:r>
            <w:r w:rsidRPr="00333123">
              <w:rPr>
                <w:rFonts w:asciiTheme="minorHAnsi" w:hAnsiTheme="minorHAnsi" w:cs="Arial"/>
                <w:b/>
                <w:color w:val="FFFFFF" w:themeColor="background1"/>
                <w:sz w:val="18"/>
                <w:szCs w:val="18"/>
              </w:rPr>
              <w:t>Capacity Zone</w:t>
            </w:r>
          </w:p>
        </w:tc>
        <w:tc>
          <w:tcPr>
            <w:tcW w:w="720" w:type="dxa"/>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M</w:t>
            </w:r>
            <w:r w:rsidR="000E509A" w:rsidRPr="00333123">
              <w:rPr>
                <w:rFonts w:asciiTheme="minorHAnsi" w:hAnsiTheme="minorHAnsi" w:cs="Arial"/>
                <w:b/>
                <w:color w:val="FFFFFF" w:themeColor="background1"/>
                <w:sz w:val="18"/>
                <w:szCs w:val="18"/>
              </w:rPr>
              <w:t>CL</w:t>
            </w:r>
          </w:p>
        </w:tc>
        <w:tc>
          <w:tcPr>
            <w:tcW w:w="720" w:type="dxa"/>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color w:val="FFFFFF" w:themeColor="background1"/>
                <w:sz w:val="18"/>
                <w:szCs w:val="18"/>
              </w:rPr>
            </w:pPr>
            <w:r w:rsidRPr="00333123">
              <w:rPr>
                <w:rFonts w:asciiTheme="minorHAnsi" w:hAnsiTheme="minorHAnsi" w:cs="Arial"/>
                <w:b/>
                <w:color w:val="FFFFFF" w:themeColor="background1"/>
                <w:sz w:val="18"/>
                <w:szCs w:val="18"/>
              </w:rPr>
              <w:t>L</w:t>
            </w:r>
            <w:r w:rsidR="000E509A" w:rsidRPr="00333123">
              <w:rPr>
                <w:rFonts w:asciiTheme="minorHAnsi" w:hAnsiTheme="minorHAnsi" w:cs="Arial"/>
                <w:b/>
                <w:color w:val="FFFFFF" w:themeColor="background1"/>
                <w:sz w:val="18"/>
                <w:szCs w:val="18"/>
              </w:rPr>
              <w:t>SR</w:t>
            </w:r>
          </w:p>
        </w:tc>
        <w:tc>
          <w:tcPr>
            <w:tcW w:w="951" w:type="dxa"/>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C</w:t>
            </w:r>
            <w:r w:rsidR="000E509A" w:rsidRPr="00333123">
              <w:rPr>
                <w:rFonts w:asciiTheme="minorHAnsi" w:hAnsiTheme="minorHAnsi" w:cs="Arial"/>
                <w:b/>
                <w:color w:val="FFFFFF" w:themeColor="background1"/>
                <w:sz w:val="18"/>
                <w:szCs w:val="18"/>
              </w:rPr>
              <w:t>SO</w:t>
            </w:r>
          </w:p>
        </w:tc>
        <w:tc>
          <w:tcPr>
            <w:tcW w:w="810" w:type="dxa"/>
            <w:shd w:val="clear" w:color="auto" w:fill="85AFF2" w:themeFill="text2" w:themeFillTint="66"/>
            <w:tcMar>
              <w:top w:w="0" w:type="dxa"/>
              <w:bottom w:w="0" w:type="dxa"/>
            </w:tcMar>
            <w:vAlign w:val="center"/>
          </w:tcPr>
          <w:p w:rsidR="008A621B" w:rsidRPr="00333123" w:rsidRDefault="008A621B" w:rsidP="000E509A">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RTEG</w:t>
            </w:r>
            <w:r w:rsidR="000E509A" w:rsidRPr="00333123">
              <w:rPr>
                <w:rFonts w:asciiTheme="minorHAnsi" w:hAnsiTheme="minorHAnsi" w:cs="Arial"/>
                <w:b/>
                <w:color w:val="FFFFFF" w:themeColor="background1"/>
                <w:sz w:val="18"/>
                <w:szCs w:val="18"/>
              </w:rPr>
              <w:br/>
            </w:r>
            <w:r w:rsidRPr="00333123">
              <w:rPr>
                <w:rFonts w:asciiTheme="minorHAnsi" w:hAnsiTheme="minorHAnsi" w:cs="Arial"/>
                <w:b/>
                <w:color w:val="FFFFFF" w:themeColor="background1"/>
                <w:sz w:val="18"/>
                <w:szCs w:val="18"/>
              </w:rPr>
              <w:t>C</w:t>
            </w:r>
            <w:r w:rsidR="000E509A" w:rsidRPr="00333123">
              <w:rPr>
                <w:rFonts w:asciiTheme="minorHAnsi" w:hAnsiTheme="minorHAnsi" w:cs="Arial"/>
                <w:b/>
                <w:color w:val="FFFFFF" w:themeColor="background1"/>
                <w:sz w:val="18"/>
                <w:szCs w:val="18"/>
              </w:rPr>
              <w:t>SO</w:t>
            </w:r>
          </w:p>
        </w:tc>
        <w:tc>
          <w:tcPr>
            <w:tcW w:w="1066" w:type="dxa"/>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Self-Supply Obligation</w:t>
            </w:r>
          </w:p>
        </w:tc>
        <w:tc>
          <w:tcPr>
            <w:tcW w:w="1170" w:type="dxa"/>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Capacity Clearing Price</w:t>
            </w:r>
          </w:p>
        </w:tc>
        <w:tc>
          <w:tcPr>
            <w:tcW w:w="1170" w:type="dxa"/>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Payment Rate</w:t>
            </w:r>
          </w:p>
        </w:tc>
        <w:tc>
          <w:tcPr>
            <w:tcW w:w="990" w:type="dxa"/>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RTEG Payment Rate</w:t>
            </w:r>
          </w:p>
        </w:tc>
      </w:tr>
      <w:tr w:rsidR="00B61122" w:rsidRPr="00333123" w:rsidTr="00B61122">
        <w:trPr>
          <w:cantSplit/>
          <w:trHeight w:val="344"/>
          <w:jc w:val="center"/>
        </w:trPr>
        <w:tc>
          <w:tcPr>
            <w:tcW w:w="1170" w:type="dxa"/>
            <w:vMerge/>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p>
        </w:tc>
        <w:tc>
          <w:tcPr>
            <w:tcW w:w="1286" w:type="dxa"/>
            <w:vMerge/>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Cs/>
                <w:color w:val="FFFFFF" w:themeColor="background1"/>
                <w:sz w:val="18"/>
                <w:szCs w:val="18"/>
              </w:rPr>
            </w:pPr>
          </w:p>
        </w:tc>
        <w:tc>
          <w:tcPr>
            <w:tcW w:w="4267" w:type="dxa"/>
            <w:gridSpan w:val="5"/>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(MW)</w:t>
            </w:r>
          </w:p>
        </w:tc>
        <w:tc>
          <w:tcPr>
            <w:tcW w:w="3330" w:type="dxa"/>
            <w:gridSpan w:val="3"/>
            <w:shd w:val="clear" w:color="auto" w:fill="85AFF2" w:themeFill="text2" w:themeFillTint="66"/>
            <w:tcMar>
              <w:top w:w="0" w:type="dxa"/>
              <w:bottom w:w="0" w:type="dxa"/>
            </w:tcMar>
            <w:vAlign w:val="center"/>
          </w:tcPr>
          <w:p w:rsidR="008A621B" w:rsidRPr="00333123"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333123">
              <w:rPr>
                <w:rFonts w:asciiTheme="minorHAnsi" w:hAnsiTheme="minorHAnsi" w:cs="Arial"/>
                <w:b/>
                <w:color w:val="FFFFFF" w:themeColor="background1"/>
                <w:sz w:val="18"/>
                <w:szCs w:val="18"/>
              </w:rPr>
              <w:t>($/kW-month)</w:t>
            </w:r>
          </w:p>
        </w:tc>
      </w:tr>
      <w:tr w:rsidR="00B61122" w:rsidRPr="00333123" w:rsidTr="00B61122">
        <w:trPr>
          <w:cantSplit/>
          <w:trHeight w:val="300"/>
          <w:jc w:val="center"/>
        </w:trPr>
        <w:tc>
          <w:tcPr>
            <w:tcW w:w="1170" w:type="dxa"/>
            <w:vMerge w:val="restart"/>
            <w:shd w:val="clear" w:color="auto" w:fill="FFFFFF"/>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2010/2011</w:t>
            </w:r>
          </w:p>
        </w:tc>
        <w:tc>
          <w:tcPr>
            <w:tcW w:w="1286" w:type="dxa"/>
            <w:shd w:val="clear" w:color="auto" w:fill="FFFFFF"/>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FFFFFF"/>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30,572</w:t>
            </w:r>
          </w:p>
        </w:tc>
        <w:tc>
          <w:tcPr>
            <w:tcW w:w="81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838</w:t>
            </w:r>
          </w:p>
        </w:tc>
        <w:tc>
          <w:tcPr>
            <w:tcW w:w="1066"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1,584</w:t>
            </w:r>
          </w:p>
        </w:tc>
        <w:tc>
          <w:tcPr>
            <w:tcW w:w="117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4.500</w:t>
            </w:r>
          </w:p>
        </w:tc>
        <w:tc>
          <w:tcPr>
            <w:tcW w:w="117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4.254</w:t>
            </w:r>
          </w:p>
        </w:tc>
        <w:tc>
          <w:tcPr>
            <w:tcW w:w="99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2.918</w:t>
            </w:r>
          </w:p>
        </w:tc>
      </w:tr>
      <w:tr w:rsidR="00B61122" w:rsidRPr="00333123" w:rsidTr="00B61122">
        <w:trPr>
          <w:cantSplit/>
          <w:trHeight w:val="300"/>
          <w:jc w:val="center"/>
        </w:trPr>
        <w:tc>
          <w:tcPr>
            <w:tcW w:w="1170" w:type="dxa"/>
            <w:vMerge/>
            <w:shd w:val="clear" w:color="auto" w:fill="FDEED1"/>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3,855</w:t>
            </w:r>
          </w:p>
        </w:tc>
        <w:tc>
          <w:tcPr>
            <w:tcW w:w="720" w:type="dxa"/>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3,505</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37</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4.500</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4.254</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2.918</w:t>
            </w:r>
          </w:p>
        </w:tc>
      </w:tr>
      <w:tr w:rsidR="00B61122" w:rsidRPr="00333123" w:rsidTr="00B61122">
        <w:trPr>
          <w:cantSplit/>
          <w:trHeight w:val="300"/>
          <w:jc w:val="center"/>
        </w:trPr>
        <w:tc>
          <w:tcPr>
            <w:tcW w:w="1170" w:type="dxa"/>
            <w:vMerge w:val="restart"/>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2011/2012</w:t>
            </w: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heme="majorEastAsia" w:hAnsiTheme="minorHAnsi" w:cs="Arial"/>
                <w:b/>
                <w:bCs/>
                <w:color w:val="0070C0"/>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33,468</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727</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1,687</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3.600</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3.119</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2.467</w:t>
            </w:r>
          </w:p>
        </w:tc>
      </w:tr>
      <w:tr w:rsidR="00B61122" w:rsidRPr="00333123" w:rsidTr="00B61122">
        <w:trPr>
          <w:cantSplit/>
          <w:trHeight w:val="300"/>
          <w:jc w:val="center"/>
        </w:trPr>
        <w:tc>
          <w:tcPr>
            <w:tcW w:w="1170" w:type="dxa"/>
            <w:vMerge/>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3,395</w:t>
            </w: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3,815</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9</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3.600</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3.119</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2.467</w:t>
            </w:r>
          </w:p>
        </w:tc>
      </w:tr>
      <w:tr w:rsidR="00B61122" w:rsidRPr="00333123" w:rsidTr="00B61122">
        <w:trPr>
          <w:cantSplit/>
          <w:trHeight w:val="300"/>
          <w:jc w:val="center"/>
        </w:trPr>
        <w:tc>
          <w:tcPr>
            <w:tcW w:w="1170" w:type="dxa"/>
            <w:vMerge w:val="restart"/>
            <w:shd w:val="clear" w:color="auto" w:fill="FFFFFF"/>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2012/2013</w:t>
            </w:r>
          </w:p>
        </w:tc>
        <w:tc>
          <w:tcPr>
            <w:tcW w:w="1286" w:type="dxa"/>
            <w:shd w:val="clear" w:color="auto" w:fill="FFFFFF"/>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FFFFFF"/>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33,099</w:t>
            </w:r>
          </w:p>
        </w:tc>
        <w:tc>
          <w:tcPr>
            <w:tcW w:w="81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597</w:t>
            </w:r>
          </w:p>
        </w:tc>
        <w:tc>
          <w:tcPr>
            <w:tcW w:w="1066"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1,925</w:t>
            </w:r>
          </w:p>
        </w:tc>
        <w:tc>
          <w:tcPr>
            <w:tcW w:w="117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2.951</w:t>
            </w:r>
          </w:p>
        </w:tc>
        <w:tc>
          <w:tcPr>
            <w:tcW w:w="117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2.535</w:t>
            </w:r>
          </w:p>
        </w:tc>
        <w:tc>
          <w:tcPr>
            <w:tcW w:w="990" w:type="dxa"/>
            <w:shd w:val="clear" w:color="auto" w:fill="FFFFFF"/>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2.413</w:t>
            </w:r>
          </w:p>
        </w:tc>
      </w:tr>
      <w:tr w:rsidR="00B61122" w:rsidRPr="00333123" w:rsidTr="00B61122">
        <w:trPr>
          <w:cantSplit/>
          <w:trHeight w:val="300"/>
          <w:jc w:val="center"/>
        </w:trPr>
        <w:tc>
          <w:tcPr>
            <w:tcW w:w="1170" w:type="dxa"/>
            <w:vMerge/>
            <w:shd w:val="clear" w:color="auto" w:fill="FDEED1"/>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3,275</w:t>
            </w:r>
          </w:p>
        </w:tc>
        <w:tc>
          <w:tcPr>
            <w:tcW w:w="720" w:type="dxa"/>
            <w:shd w:val="clear" w:color="auto" w:fill="FFFFFF" w:themeFill="background1"/>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3,897</w:t>
            </w:r>
          </w:p>
        </w:tc>
        <w:tc>
          <w:tcPr>
            <w:tcW w:w="81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w:t>
            </w:r>
          </w:p>
        </w:tc>
        <w:tc>
          <w:tcPr>
            <w:tcW w:w="1066"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9</w:t>
            </w:r>
          </w:p>
        </w:tc>
        <w:tc>
          <w:tcPr>
            <w:tcW w:w="117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2.951</w:t>
            </w:r>
          </w:p>
        </w:tc>
        <w:tc>
          <w:tcPr>
            <w:tcW w:w="117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2.465</w:t>
            </w:r>
          </w:p>
        </w:tc>
        <w:tc>
          <w:tcPr>
            <w:tcW w:w="990" w:type="dxa"/>
            <w:shd w:val="clear" w:color="auto" w:fill="FFFFFF" w:themeFill="background1"/>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2.347</w:t>
            </w:r>
          </w:p>
        </w:tc>
      </w:tr>
      <w:tr w:rsidR="00B61122" w:rsidRPr="00333123" w:rsidTr="00B61122">
        <w:trPr>
          <w:cantSplit/>
          <w:trHeight w:val="300"/>
          <w:jc w:val="center"/>
        </w:trPr>
        <w:tc>
          <w:tcPr>
            <w:tcW w:w="1170" w:type="dxa"/>
            <w:vMerge w:val="restart"/>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2013/2014</w:t>
            </w: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33,476</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655</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2,693</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2.951</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2.516</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2.194</w:t>
            </w:r>
          </w:p>
        </w:tc>
      </w:tr>
      <w:tr w:rsidR="00B61122" w:rsidRPr="00333123" w:rsidTr="00B61122">
        <w:trPr>
          <w:cantSplit/>
          <w:trHeight w:val="300"/>
          <w:jc w:val="center"/>
        </w:trPr>
        <w:tc>
          <w:tcPr>
            <w:tcW w:w="1170" w:type="dxa"/>
            <w:vMerge/>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3,187</w:t>
            </w: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4,025</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33</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6</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2.951</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2.336</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2.036</w:t>
            </w:r>
          </w:p>
        </w:tc>
      </w:tr>
      <w:tr w:rsidR="00B61122" w:rsidRPr="00333123" w:rsidTr="00B61122">
        <w:trPr>
          <w:cantSplit/>
          <w:trHeight w:val="300"/>
          <w:jc w:val="center"/>
        </w:trPr>
        <w:tc>
          <w:tcPr>
            <w:tcW w:w="1170" w:type="dxa"/>
            <w:vMerge w:val="restart"/>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2014/2015</w:t>
            </w: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32,960</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691</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3,171</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3.209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2.855</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2.374</w:t>
            </w:r>
          </w:p>
        </w:tc>
      </w:tr>
      <w:tr w:rsidR="00B61122" w:rsidRPr="00333123" w:rsidTr="00B61122">
        <w:trPr>
          <w:cantSplit/>
          <w:trHeight w:val="345"/>
          <w:jc w:val="center"/>
        </w:trPr>
        <w:tc>
          <w:tcPr>
            <w:tcW w:w="1170" w:type="dxa"/>
            <w:vMerge/>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3,702</w:t>
            </w:r>
          </w:p>
        </w:tc>
        <w:tc>
          <w:tcPr>
            <w:tcW w:w="720" w:type="dxa"/>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3,958</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5</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3.209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2.885</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2.374</w:t>
            </w:r>
          </w:p>
        </w:tc>
      </w:tr>
      <w:tr w:rsidR="00B61122" w:rsidRPr="00333123" w:rsidTr="00B61122">
        <w:trPr>
          <w:cantSplit/>
          <w:trHeight w:val="345"/>
          <w:jc w:val="center"/>
        </w:trPr>
        <w:tc>
          <w:tcPr>
            <w:tcW w:w="1170" w:type="dxa"/>
            <w:vMerge w:val="restart"/>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2015/2016</w:t>
            </w: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32,374</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582</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4,157</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3.434</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3.129</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3.044</w:t>
            </w:r>
          </w:p>
        </w:tc>
      </w:tr>
      <w:tr w:rsidR="00B61122" w:rsidRPr="00333123" w:rsidTr="00B61122">
        <w:trPr>
          <w:cantSplit/>
          <w:trHeight w:val="345"/>
          <w:jc w:val="center"/>
        </w:trPr>
        <w:tc>
          <w:tcPr>
            <w:tcW w:w="1170" w:type="dxa"/>
            <w:vMerge/>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3,888</w:t>
            </w: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3,935</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35</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7</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3.434</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3.129</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3.044</w:t>
            </w:r>
          </w:p>
        </w:tc>
      </w:tr>
      <w:tr w:rsidR="00B61122" w:rsidRPr="00333123" w:rsidTr="00B61122">
        <w:trPr>
          <w:cantSplit/>
          <w:trHeight w:val="345"/>
          <w:jc w:val="center"/>
        </w:trPr>
        <w:tc>
          <w:tcPr>
            <w:tcW w:w="1170" w:type="dxa"/>
            <w:vMerge w:val="restart"/>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2016/2017</w:t>
            </w: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auto"/>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20,182</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80</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4076</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3.150</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2.744</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2.744</w:t>
            </w:r>
          </w:p>
        </w:tc>
      </w:tr>
      <w:tr w:rsidR="00B61122" w:rsidRPr="00333123" w:rsidTr="00B61122">
        <w:trPr>
          <w:cantSplit/>
          <w:trHeight w:val="345"/>
          <w:jc w:val="center"/>
        </w:trPr>
        <w:tc>
          <w:tcPr>
            <w:tcW w:w="1170" w:type="dxa"/>
            <w:vMerge/>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3,709</w:t>
            </w:r>
          </w:p>
        </w:tc>
        <w:tc>
          <w:tcPr>
            <w:tcW w:w="720" w:type="dxa"/>
            <w:shd w:val="clear" w:color="auto" w:fill="auto"/>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3,950</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12</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26</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3.150</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2.744</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eastAsia="Times New Roman" w:hAnsiTheme="minorHAnsi"/>
                <w:color w:val="000000"/>
                <w:sz w:val="18"/>
                <w:szCs w:val="18"/>
              </w:rPr>
              <w:t>2.744</w:t>
            </w:r>
          </w:p>
        </w:tc>
      </w:tr>
      <w:tr w:rsidR="00B61122" w:rsidRPr="00333123" w:rsidTr="00B61122">
        <w:trPr>
          <w:cantSplit/>
          <w:trHeight w:val="345"/>
          <w:jc w:val="center"/>
        </w:trPr>
        <w:tc>
          <w:tcPr>
            <w:tcW w:w="1170" w:type="dxa"/>
            <w:vMerge/>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Connecticut</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auto"/>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7,603</w:t>
            </w: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8,372</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143</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499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3.150</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2.883</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2.883</w:t>
            </w:r>
          </w:p>
        </w:tc>
      </w:tr>
      <w:tr w:rsidR="00B61122" w:rsidRPr="00333123" w:rsidTr="00B61122">
        <w:trPr>
          <w:cantSplit/>
          <w:trHeight w:val="679"/>
          <w:jc w:val="center"/>
        </w:trPr>
        <w:tc>
          <w:tcPr>
            <w:tcW w:w="1170" w:type="dxa"/>
            <w:vMerge/>
            <w:shd w:val="clear" w:color="auto" w:fill="auto"/>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auto"/>
            <w:noWrap/>
            <w:tcMar>
              <w:top w:w="0" w:type="dxa"/>
              <w:bottom w:w="0" w:type="dxa"/>
            </w:tcMar>
            <w:vAlign w:val="center"/>
          </w:tcPr>
          <w:p w:rsidR="008A621B" w:rsidRPr="00333123" w:rsidRDefault="008A621B" w:rsidP="00B61122">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NEMA/Boston</w:t>
            </w:r>
            <w:r w:rsidRPr="00333123">
              <w:rPr>
                <w:rFonts w:asciiTheme="minorHAnsi" w:hAnsiTheme="minorHAnsi" w:cs="Arial"/>
                <w:sz w:val="18"/>
                <w:szCs w:val="18"/>
                <w:vertAlign w:val="superscript"/>
              </w:rPr>
              <w:t>(b)</w:t>
            </w:r>
          </w:p>
        </w:tc>
        <w:tc>
          <w:tcPr>
            <w:tcW w:w="72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auto"/>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3,209</w:t>
            </w:r>
          </w:p>
        </w:tc>
        <w:tc>
          <w:tcPr>
            <w:tcW w:w="951"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3,716</w:t>
            </w:r>
          </w:p>
        </w:tc>
        <w:tc>
          <w:tcPr>
            <w:tcW w:w="81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28</w:t>
            </w:r>
          </w:p>
        </w:tc>
        <w:tc>
          <w:tcPr>
            <w:tcW w:w="1066"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61</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14.999</w:t>
            </w:r>
          </w:p>
        </w:tc>
        <w:tc>
          <w:tcPr>
            <w:tcW w:w="117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New: 14.999</w:t>
            </w:r>
          </w:p>
          <w:p w:rsidR="008A621B" w:rsidRPr="00333123" w:rsidRDefault="004E6DD8"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Existing</w:t>
            </w:r>
            <w:r w:rsidR="008A621B" w:rsidRPr="00333123">
              <w:rPr>
                <w:rFonts w:asciiTheme="minorHAnsi" w:eastAsia="Times New Roman" w:hAnsiTheme="minorHAnsi"/>
                <w:color w:val="000000"/>
                <w:sz w:val="18"/>
                <w:szCs w:val="18"/>
              </w:rPr>
              <w:t>: 6.661</w:t>
            </w:r>
          </w:p>
        </w:tc>
        <w:tc>
          <w:tcPr>
            <w:tcW w:w="990" w:type="dxa"/>
            <w:shd w:val="clear" w:color="auto" w:fill="auto"/>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6.661</w:t>
            </w:r>
          </w:p>
        </w:tc>
      </w:tr>
      <w:tr w:rsidR="00B61122" w:rsidRPr="00333123" w:rsidTr="00B61122">
        <w:trPr>
          <w:cantSplit/>
          <w:trHeight w:val="579"/>
          <w:jc w:val="center"/>
        </w:trPr>
        <w:tc>
          <w:tcPr>
            <w:tcW w:w="1170" w:type="dxa"/>
            <w:vMerge w:val="restart"/>
            <w:shd w:val="clear" w:color="auto" w:fill="C2D7F8" w:themeFill="text2" w:themeFillTint="33"/>
            <w:noWrap/>
            <w:tcMar>
              <w:top w:w="0" w:type="dxa"/>
              <w:left w:w="58"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r w:rsidRPr="00333123">
              <w:rPr>
                <w:rFonts w:asciiTheme="minorHAnsi" w:hAnsiTheme="minorHAnsi" w:cs="Arial"/>
                <w:b/>
                <w:bCs/>
                <w:sz w:val="18"/>
                <w:szCs w:val="18"/>
              </w:rPr>
              <w:t>2017/2018</w:t>
            </w: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Rest-of-Pool</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15,901</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2,238</w:t>
            </w:r>
          </w:p>
        </w:tc>
        <w:tc>
          <w:tcPr>
            <w:tcW w:w="1170" w:type="dxa"/>
            <w:shd w:val="clear" w:color="auto" w:fill="C2D7F8" w:themeFill="text2" w:themeFillTint="33"/>
            <w:noWrap/>
            <w:tcMar>
              <w:top w:w="0" w:type="dxa"/>
              <w:left w:w="0" w:type="dxa"/>
              <w:bottom w:w="0" w:type="dxa"/>
              <w:right w:w="58"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New: 15.000</w:t>
            </w:r>
          </w:p>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Existing: 7.025</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N/A</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7.025</w:t>
            </w:r>
          </w:p>
        </w:tc>
      </w:tr>
      <w:tr w:rsidR="00B61122" w:rsidRPr="00333123" w:rsidTr="00B61122">
        <w:trPr>
          <w:cantSplit/>
          <w:trHeight w:val="579"/>
          <w:jc w:val="center"/>
        </w:trPr>
        <w:tc>
          <w:tcPr>
            <w:tcW w:w="1170" w:type="dxa"/>
            <w:vMerge/>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Maine</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r w:rsidRPr="00333123">
              <w:rPr>
                <w:rFonts w:asciiTheme="minorHAnsi" w:hAnsiTheme="minorHAnsi" w:cs="Arial"/>
                <w:sz w:val="18"/>
                <w:szCs w:val="18"/>
              </w:rPr>
              <w:t>3,960</w:t>
            </w: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3,553</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12</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14</w:t>
            </w:r>
          </w:p>
        </w:tc>
        <w:tc>
          <w:tcPr>
            <w:tcW w:w="1170" w:type="dxa"/>
            <w:shd w:val="clear" w:color="auto" w:fill="C2D7F8" w:themeFill="text2" w:themeFillTint="33"/>
            <w:noWrap/>
            <w:tcMar>
              <w:top w:w="0" w:type="dxa"/>
              <w:left w:w="0" w:type="dxa"/>
              <w:bottom w:w="0" w:type="dxa"/>
              <w:right w:w="58"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 xml:space="preserve">New: 15.000 </w:t>
            </w:r>
          </w:p>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Existing: 7.025</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N/A</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7.025</w:t>
            </w:r>
          </w:p>
        </w:tc>
      </w:tr>
      <w:tr w:rsidR="00B61122" w:rsidRPr="00333123" w:rsidTr="00B61122">
        <w:trPr>
          <w:cantSplit/>
          <w:trHeight w:val="579"/>
          <w:jc w:val="center"/>
        </w:trPr>
        <w:tc>
          <w:tcPr>
            <w:tcW w:w="1170" w:type="dxa"/>
            <w:vMerge/>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Connecticut</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7,319</w:t>
            </w: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9,191</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138</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1,017</w:t>
            </w:r>
          </w:p>
        </w:tc>
        <w:tc>
          <w:tcPr>
            <w:tcW w:w="1170" w:type="dxa"/>
            <w:shd w:val="clear" w:color="auto" w:fill="C2D7F8" w:themeFill="text2" w:themeFillTint="33"/>
            <w:noWrap/>
            <w:tcMar>
              <w:top w:w="0" w:type="dxa"/>
              <w:left w:w="0" w:type="dxa"/>
              <w:bottom w:w="0" w:type="dxa"/>
              <w:right w:w="58"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New: 15.000</w:t>
            </w:r>
          </w:p>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Existing: 7.025</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N/A</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7.025</w:t>
            </w:r>
          </w:p>
        </w:tc>
      </w:tr>
      <w:tr w:rsidR="00B61122" w:rsidRPr="00333123" w:rsidTr="00B61122">
        <w:trPr>
          <w:cantSplit/>
          <w:trHeight w:val="345"/>
          <w:jc w:val="center"/>
        </w:trPr>
        <w:tc>
          <w:tcPr>
            <w:tcW w:w="1170" w:type="dxa"/>
            <w:vMerge/>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rPr>
                <w:rFonts w:asciiTheme="minorHAnsi" w:hAnsiTheme="minorHAnsi" w:cs="Arial"/>
                <w:b/>
                <w:bCs/>
                <w:sz w:val="18"/>
                <w:szCs w:val="18"/>
              </w:rPr>
            </w:pPr>
          </w:p>
        </w:tc>
        <w:tc>
          <w:tcPr>
            <w:tcW w:w="1286" w:type="dxa"/>
            <w:shd w:val="clear" w:color="auto" w:fill="C2D7F8" w:themeFill="text2" w:themeFillTint="33"/>
            <w:noWrap/>
            <w:tcMar>
              <w:top w:w="0" w:type="dxa"/>
              <w:bottom w:w="0" w:type="dxa"/>
            </w:tcMar>
            <w:vAlign w:val="center"/>
          </w:tcPr>
          <w:p w:rsidR="008A621B" w:rsidRPr="00333123" w:rsidRDefault="008A621B" w:rsidP="00B61122">
            <w:pPr>
              <w:keepNext/>
              <w:keepLines/>
              <w:spacing w:after="0" w:line="240" w:lineRule="auto"/>
              <w:rPr>
                <w:rFonts w:asciiTheme="minorHAnsi" w:hAnsiTheme="minorHAnsi" w:cs="Arial"/>
                <w:sz w:val="18"/>
                <w:szCs w:val="18"/>
              </w:rPr>
            </w:pPr>
            <w:r w:rsidRPr="00333123">
              <w:rPr>
                <w:rFonts w:asciiTheme="minorHAnsi" w:hAnsiTheme="minorHAnsi" w:cs="Arial"/>
                <w:sz w:val="18"/>
                <w:szCs w:val="18"/>
              </w:rPr>
              <w:t>NEMA/Boston</w:t>
            </w:r>
            <w:r w:rsidRPr="00333123">
              <w:rPr>
                <w:rFonts w:asciiTheme="minorHAnsi" w:hAnsiTheme="minorHAnsi" w:cs="Arial"/>
                <w:sz w:val="18"/>
                <w:szCs w:val="18"/>
                <w:vertAlign w:val="superscript"/>
              </w:rPr>
              <w:t>(c)</w:t>
            </w:r>
          </w:p>
        </w:tc>
        <w:tc>
          <w:tcPr>
            <w:tcW w:w="72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hAnsiTheme="minorHAnsi" w:cs="Arial"/>
                <w:sz w:val="18"/>
                <w:szCs w:val="18"/>
              </w:rPr>
            </w:pPr>
          </w:p>
        </w:tc>
        <w:tc>
          <w:tcPr>
            <w:tcW w:w="720" w:type="dxa"/>
            <w:shd w:val="clear" w:color="auto" w:fill="C2D7F8" w:themeFill="text2" w:themeFillTint="33"/>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3,428</w:t>
            </w:r>
          </w:p>
        </w:tc>
        <w:tc>
          <w:tcPr>
            <w:tcW w:w="951"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3,821</w:t>
            </w:r>
          </w:p>
        </w:tc>
        <w:tc>
          <w:tcPr>
            <w:tcW w:w="81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26</w:t>
            </w:r>
          </w:p>
        </w:tc>
        <w:tc>
          <w:tcPr>
            <w:tcW w:w="1066"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61</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15.000</w:t>
            </w:r>
          </w:p>
        </w:tc>
        <w:tc>
          <w:tcPr>
            <w:tcW w:w="117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N/A</w:t>
            </w:r>
          </w:p>
        </w:tc>
        <w:tc>
          <w:tcPr>
            <w:tcW w:w="990" w:type="dxa"/>
            <w:shd w:val="clear" w:color="auto" w:fill="C2D7F8" w:themeFill="text2" w:themeFillTint="33"/>
            <w:noWrap/>
            <w:tcMar>
              <w:top w:w="0" w:type="dxa"/>
              <w:bottom w:w="0" w:type="dxa"/>
            </w:tcMar>
            <w:vAlign w:val="center"/>
          </w:tcPr>
          <w:p w:rsidR="008A621B" w:rsidRPr="00333123" w:rsidRDefault="008A621B" w:rsidP="008A621B">
            <w:pPr>
              <w:keepNext/>
              <w:keepLines/>
              <w:spacing w:after="0" w:line="240" w:lineRule="auto"/>
              <w:jc w:val="right"/>
              <w:rPr>
                <w:rFonts w:asciiTheme="minorHAnsi" w:eastAsia="Times New Roman" w:hAnsiTheme="minorHAnsi"/>
                <w:color w:val="000000"/>
                <w:sz w:val="18"/>
                <w:szCs w:val="18"/>
              </w:rPr>
            </w:pPr>
            <w:r w:rsidRPr="00333123">
              <w:rPr>
                <w:rFonts w:asciiTheme="minorHAnsi" w:eastAsia="Times New Roman" w:hAnsiTheme="minorHAnsi"/>
                <w:color w:val="000000"/>
                <w:sz w:val="18"/>
                <w:szCs w:val="18"/>
              </w:rPr>
              <w:t>15.000</w:t>
            </w:r>
          </w:p>
        </w:tc>
      </w:tr>
    </w:tbl>
    <w:p w:rsidR="008A621B" w:rsidRPr="006D4C96" w:rsidRDefault="008A621B" w:rsidP="00B61122">
      <w:pPr>
        <w:keepNext/>
        <w:keepLines/>
        <w:numPr>
          <w:ilvl w:val="2"/>
          <w:numId w:val="30"/>
        </w:numPr>
        <w:spacing w:before="120" w:after="80" w:line="240" w:lineRule="auto"/>
        <w:ind w:left="-270" w:right="-540" w:hanging="270"/>
        <w:rPr>
          <w:rFonts w:asciiTheme="minorHAnsi" w:hAnsiTheme="minorHAnsi" w:cs="Arial"/>
          <w:sz w:val="16"/>
          <w:szCs w:val="16"/>
        </w:rPr>
      </w:pPr>
      <w:r w:rsidRPr="006D4C96">
        <w:rPr>
          <w:rFonts w:asciiTheme="minorHAnsi" w:hAnsiTheme="minorHAnsi" w:cs="Arial"/>
          <w:sz w:val="16"/>
          <w:szCs w:val="16"/>
        </w:rPr>
        <w:t>Values are rounded and do not reflect proration.</w:t>
      </w:r>
    </w:p>
    <w:p w:rsidR="008A621B" w:rsidRPr="006D4C96" w:rsidRDefault="008A621B" w:rsidP="00B61122">
      <w:pPr>
        <w:numPr>
          <w:ilvl w:val="2"/>
          <w:numId w:val="30"/>
        </w:numPr>
        <w:spacing w:after="80" w:line="240" w:lineRule="auto"/>
        <w:ind w:left="-270" w:right="-540" w:hanging="270"/>
        <w:rPr>
          <w:rFonts w:asciiTheme="minorHAnsi" w:hAnsiTheme="minorHAnsi" w:cs="Arial"/>
          <w:sz w:val="16"/>
          <w:szCs w:val="16"/>
        </w:rPr>
      </w:pPr>
      <w:r w:rsidRPr="006D4C96">
        <w:rPr>
          <w:rFonts w:asciiTheme="minorHAnsi" w:hAnsiTheme="minorHAnsi" w:cs="Arial"/>
          <w:sz w:val="16"/>
          <w:szCs w:val="16"/>
        </w:rPr>
        <w:t>Insufficient competition triggered in NEMA/Boston for 2016/2017.</w:t>
      </w:r>
    </w:p>
    <w:p w:rsidR="008A621B" w:rsidRPr="006D4C96" w:rsidRDefault="008A621B" w:rsidP="00B61122">
      <w:pPr>
        <w:numPr>
          <w:ilvl w:val="2"/>
          <w:numId w:val="30"/>
        </w:numPr>
        <w:spacing w:line="240" w:lineRule="auto"/>
        <w:ind w:left="-270" w:right="-540" w:hanging="270"/>
        <w:rPr>
          <w:rFonts w:asciiTheme="minorHAnsi" w:hAnsiTheme="minorHAnsi" w:cs="Arial"/>
          <w:sz w:val="16"/>
          <w:szCs w:val="16"/>
        </w:rPr>
      </w:pPr>
      <w:r w:rsidRPr="006D4C96">
        <w:rPr>
          <w:rFonts w:asciiTheme="minorHAnsi" w:hAnsiTheme="minorHAnsi" w:cs="Arial"/>
          <w:sz w:val="16"/>
          <w:szCs w:val="16"/>
        </w:rPr>
        <w:t xml:space="preserve">The Capacity Carry Forward Rule </w:t>
      </w:r>
      <w:proofErr w:type="gramStart"/>
      <w:r w:rsidRPr="006D4C96">
        <w:rPr>
          <w:rFonts w:asciiTheme="minorHAnsi" w:hAnsiTheme="minorHAnsi" w:cs="Arial"/>
          <w:sz w:val="16"/>
          <w:szCs w:val="16"/>
        </w:rPr>
        <w:t>was triggered</w:t>
      </w:r>
      <w:proofErr w:type="gramEnd"/>
      <w:r w:rsidRPr="006D4C96">
        <w:rPr>
          <w:rFonts w:asciiTheme="minorHAnsi" w:hAnsiTheme="minorHAnsi" w:cs="Arial"/>
          <w:sz w:val="16"/>
          <w:szCs w:val="16"/>
        </w:rPr>
        <w:t xml:space="preserve"> in NEMA/Boston.</w:t>
      </w:r>
      <w:r w:rsidRPr="006D4C96">
        <w:rPr>
          <w:sz w:val="16"/>
          <w:szCs w:val="16"/>
        </w:rPr>
        <w:t xml:space="preserve"> </w:t>
      </w:r>
      <w:r w:rsidRPr="006D4C96">
        <w:rPr>
          <w:rFonts w:asciiTheme="minorHAnsi" w:hAnsiTheme="minorHAnsi" w:cs="Arial"/>
          <w:sz w:val="16"/>
          <w:szCs w:val="16"/>
        </w:rPr>
        <w:t xml:space="preserve">This rule addresses situations where a large resource meets a zonal need but eliminates any need for new resources in the subsequent auction </w:t>
      </w:r>
      <w:r w:rsidRPr="006D4C96">
        <w:rPr>
          <w:rFonts w:asciiTheme="majorHAnsi" w:hAnsiTheme="majorHAnsi" w:cs="Arial"/>
          <w:sz w:val="16"/>
          <w:szCs w:val="16"/>
        </w:rPr>
        <w:t>(</w:t>
      </w:r>
      <w:r w:rsidRPr="006D4C96">
        <w:rPr>
          <w:rFonts w:asciiTheme="majorHAnsi" w:hAnsiTheme="majorHAnsi" w:cs="Arial"/>
          <w:i/>
          <w:sz w:val="16"/>
          <w:szCs w:val="16"/>
        </w:rPr>
        <w:t>Market Rule 1</w:t>
      </w:r>
      <w:r w:rsidRPr="006D4C96">
        <w:rPr>
          <w:rFonts w:asciiTheme="majorHAnsi" w:hAnsiTheme="majorHAnsi" w:cs="Arial"/>
          <w:sz w:val="16"/>
          <w:szCs w:val="16"/>
        </w:rPr>
        <w:t xml:space="preserve">, Section </w:t>
      </w:r>
      <w:r w:rsidRPr="006D4C96">
        <w:rPr>
          <w:rFonts w:asciiTheme="majorHAnsi" w:hAnsiTheme="majorHAnsi"/>
          <w:sz w:val="16"/>
          <w:szCs w:val="16"/>
        </w:rPr>
        <w:t>III.13.2.7.9).</w:t>
      </w:r>
    </w:p>
    <w:p w:rsidR="008A621B" w:rsidRPr="00B95CEE" w:rsidRDefault="008A621B" w:rsidP="008A621B">
      <w:pPr>
        <w:pStyle w:val="CommentText"/>
        <w:spacing w:line="260" w:lineRule="atLeast"/>
      </w:pPr>
      <w:r>
        <w:t xml:space="preserve">Two capacity zones, Maine and the Rest-of-Pool, </w:t>
      </w:r>
      <w:proofErr w:type="gramStart"/>
      <w:r>
        <w:t>were used</w:t>
      </w:r>
      <w:proofErr w:type="gramEnd"/>
      <w:r>
        <w:t xml:space="preserve"> in FCA #1 through FCA #6 to address Maine’s </w:t>
      </w:r>
      <w:r w:rsidRPr="002104A5">
        <w:t>designation as an export-</w:t>
      </w:r>
      <w:r w:rsidR="00D837D8" w:rsidRPr="002104A5">
        <w:t>constrained</w:t>
      </w:r>
      <w:r w:rsidRPr="002104A5">
        <w:t xml:space="preserve"> capacity zone. The potential import-constrained capacity</w:t>
      </w:r>
      <w:r>
        <w:t xml:space="preserve"> zones were determined to have sufficient existing capacity to meet the local-sourcing requirements for FCA #1 through FCA #6. In its March 30, 2012, order on tariff revisions to the FCM, FERC accepted the ISO’s proposal to model four capacity zones for FCA #7.</w:t>
      </w:r>
      <w:r>
        <w:rPr>
          <w:rStyle w:val="FootnoteReference"/>
        </w:rPr>
        <w:footnoteReference w:id="139"/>
      </w:r>
      <w:r w:rsidRPr="00CB3685">
        <w:t xml:space="preserve"> These capacity zones were Maine, which </w:t>
      </w:r>
      <w:proofErr w:type="gramStart"/>
      <w:r w:rsidRPr="00CB3685">
        <w:t>was designated</w:t>
      </w:r>
      <w:proofErr w:type="gramEnd"/>
      <w:r w:rsidRPr="00CB3685">
        <w:t xml:space="preserve"> as an export-constrained capacity zone; NEMA/Boston and Connecticut, which were designated as import-constrained capacity zones; and the Rest-of-Pool, which combined the other four capacity zones. FCA #8 used the same four capacity zones as FCA #7.</w:t>
      </w:r>
    </w:p>
    <w:p w:rsidR="008A621B" w:rsidRDefault="008A621B" w:rsidP="008A621B">
      <w:pPr>
        <w:rPr>
          <w:rFonts w:asciiTheme="majorHAnsi" w:hAnsiTheme="majorHAnsi"/>
        </w:rPr>
      </w:pPr>
      <w:r w:rsidRPr="00EF37D3">
        <w:rPr>
          <w:rFonts w:asciiTheme="majorHAnsi" w:hAnsiTheme="majorHAnsi"/>
        </w:rPr>
        <w:t>For FCA #8, the ISO submitted a filing to FERC proposing to continue to model the same four zones used in FCA</w:t>
      </w:r>
      <w:r>
        <w:rPr>
          <w:rFonts w:asciiTheme="majorHAnsi" w:hAnsiTheme="majorHAnsi"/>
        </w:rPr>
        <w:t xml:space="preserve"> </w:t>
      </w:r>
      <w:r w:rsidRPr="00EF37D3">
        <w:rPr>
          <w:rFonts w:asciiTheme="majorHAnsi" w:hAnsiTheme="majorHAnsi"/>
        </w:rPr>
        <w:t>#7 but then initiating a stakeholder process to develop a zonal structure for the market that better reflects reliability needs o</w:t>
      </w:r>
      <w:r>
        <w:rPr>
          <w:rFonts w:asciiTheme="majorHAnsi" w:hAnsiTheme="majorHAnsi"/>
        </w:rPr>
        <w:t>f</w:t>
      </w:r>
      <w:r w:rsidRPr="00EF37D3">
        <w:rPr>
          <w:rFonts w:asciiTheme="majorHAnsi" w:hAnsiTheme="majorHAnsi"/>
        </w:rPr>
        <w:t xml:space="preserve"> the system.</w:t>
      </w:r>
      <w:r w:rsidRPr="00EF37D3">
        <w:rPr>
          <w:rStyle w:val="FootnoteReference"/>
        </w:rPr>
        <w:footnoteReference w:id="140"/>
      </w:r>
      <w:r w:rsidR="005F548A">
        <w:rPr>
          <w:rFonts w:asciiTheme="majorHAnsi" w:hAnsiTheme="majorHAnsi"/>
        </w:rPr>
        <w:t xml:space="preserve"> </w:t>
      </w:r>
      <w:r w:rsidRPr="00CB3685">
        <w:rPr>
          <w:rFonts w:asciiTheme="majorHAnsi" w:hAnsiTheme="majorHAnsi"/>
        </w:rPr>
        <w:t>A</w:t>
      </w:r>
      <w:r w:rsidRPr="00263869">
        <w:rPr>
          <w:rFonts w:asciiTheme="majorHAnsi" w:hAnsiTheme="majorHAnsi"/>
        </w:rPr>
        <w:t xml:space="preserve">fter the ISO provided </w:t>
      </w:r>
      <w:r w:rsidRPr="00CB3685">
        <w:rPr>
          <w:rFonts w:asciiTheme="majorHAnsi" w:hAnsiTheme="majorHAnsi"/>
        </w:rPr>
        <w:t xml:space="preserve">FERC with </w:t>
      </w:r>
      <w:r w:rsidRPr="00263869">
        <w:rPr>
          <w:rFonts w:asciiTheme="majorHAnsi" w:hAnsiTheme="majorHAnsi"/>
        </w:rPr>
        <w:t xml:space="preserve">additional </w:t>
      </w:r>
      <w:r w:rsidRPr="00CB3685">
        <w:rPr>
          <w:rFonts w:asciiTheme="majorHAnsi" w:hAnsiTheme="majorHAnsi"/>
        </w:rPr>
        <w:t xml:space="preserve">requested </w:t>
      </w:r>
      <w:r w:rsidRPr="00263869">
        <w:rPr>
          <w:rFonts w:asciiTheme="majorHAnsi" w:hAnsiTheme="majorHAnsi"/>
        </w:rPr>
        <w:t>information</w:t>
      </w:r>
      <w:r>
        <w:rPr>
          <w:rFonts w:asciiTheme="majorHAnsi" w:hAnsiTheme="majorHAnsi"/>
        </w:rPr>
        <w:t xml:space="preserve">, </w:t>
      </w:r>
      <w:r w:rsidRPr="00263869">
        <w:rPr>
          <w:rFonts w:asciiTheme="majorHAnsi" w:hAnsiTheme="majorHAnsi"/>
        </w:rPr>
        <w:t xml:space="preserve">FERC </w:t>
      </w:r>
      <w:r w:rsidRPr="00EF37D3">
        <w:rPr>
          <w:rFonts w:asciiTheme="majorHAnsi" w:hAnsiTheme="majorHAnsi"/>
        </w:rPr>
        <w:t xml:space="preserve">accepted </w:t>
      </w:r>
      <w:r>
        <w:rPr>
          <w:rFonts w:asciiTheme="majorHAnsi" w:hAnsiTheme="majorHAnsi"/>
        </w:rPr>
        <w:t xml:space="preserve">the </w:t>
      </w:r>
      <w:r w:rsidRPr="00EF37D3">
        <w:rPr>
          <w:rFonts w:asciiTheme="majorHAnsi" w:hAnsiTheme="majorHAnsi"/>
        </w:rPr>
        <w:t>us</w:t>
      </w:r>
      <w:r>
        <w:rPr>
          <w:rFonts w:asciiTheme="majorHAnsi" w:hAnsiTheme="majorHAnsi"/>
        </w:rPr>
        <w:t>e of</w:t>
      </w:r>
      <w:r w:rsidRPr="00EF37D3">
        <w:rPr>
          <w:rFonts w:asciiTheme="majorHAnsi" w:hAnsiTheme="majorHAnsi"/>
        </w:rPr>
        <w:t xml:space="preserve"> the existing four capacity </w:t>
      </w:r>
      <w:r w:rsidRPr="00CB3685">
        <w:rPr>
          <w:rFonts w:asciiTheme="majorHAnsi" w:hAnsiTheme="majorHAnsi"/>
        </w:rPr>
        <w:t xml:space="preserve">zones </w:t>
      </w:r>
      <w:r>
        <w:rPr>
          <w:rFonts w:asciiTheme="majorHAnsi" w:hAnsiTheme="majorHAnsi"/>
        </w:rPr>
        <w:t xml:space="preserve">and </w:t>
      </w:r>
      <w:r w:rsidRPr="00F1378E">
        <w:rPr>
          <w:rFonts w:asciiTheme="majorHAnsi" w:hAnsiTheme="majorHAnsi"/>
        </w:rPr>
        <w:t>is requiring the ISO to pursue the stakeholder process for determining future zones as originally proposed</w:t>
      </w:r>
      <w:r w:rsidR="00C17F8F">
        <w:rPr>
          <w:rFonts w:asciiTheme="majorHAnsi" w:hAnsiTheme="majorHAnsi"/>
        </w:rPr>
        <w:t xml:space="preserve"> (see Section </w:t>
      </w:r>
      <w:r w:rsidR="00927965">
        <w:rPr>
          <w:rFonts w:asciiTheme="majorHAnsi" w:hAnsiTheme="majorHAnsi"/>
        </w:rPr>
        <w:fldChar w:fldCharType="begin"/>
      </w:r>
      <w:r w:rsidR="00C17F8F">
        <w:rPr>
          <w:rFonts w:asciiTheme="majorHAnsi" w:hAnsiTheme="majorHAnsi"/>
        </w:rPr>
        <w:instrText xml:space="preserve"> REF _Ref387671423 \r \h </w:instrText>
      </w:r>
      <w:r w:rsidR="00927965">
        <w:rPr>
          <w:rFonts w:asciiTheme="majorHAnsi" w:hAnsiTheme="majorHAnsi"/>
        </w:rPr>
      </w:r>
      <w:r w:rsidR="00927965">
        <w:rPr>
          <w:rFonts w:asciiTheme="majorHAnsi" w:hAnsiTheme="majorHAnsi"/>
        </w:rPr>
        <w:fldChar w:fldCharType="separate"/>
      </w:r>
      <w:r w:rsidR="00284CE3">
        <w:rPr>
          <w:rFonts w:asciiTheme="majorHAnsi" w:hAnsiTheme="majorHAnsi"/>
        </w:rPr>
        <w:t>4.2</w:t>
      </w:r>
      <w:r w:rsidR="00927965">
        <w:rPr>
          <w:rFonts w:asciiTheme="majorHAnsi" w:hAnsiTheme="majorHAnsi"/>
        </w:rPr>
        <w:fldChar w:fldCharType="end"/>
      </w:r>
      <w:r w:rsidR="00C17F8F">
        <w:rPr>
          <w:rFonts w:asciiTheme="majorHAnsi" w:hAnsiTheme="majorHAnsi"/>
        </w:rPr>
        <w:t>)</w:t>
      </w:r>
      <w:r>
        <w:rPr>
          <w:rFonts w:asciiTheme="majorHAnsi" w:hAnsiTheme="majorHAnsi"/>
        </w:rPr>
        <w:t>.</w:t>
      </w:r>
      <w:r w:rsidRPr="00EF37D3">
        <w:rPr>
          <w:rStyle w:val="FootnoteReference"/>
        </w:rPr>
        <w:footnoteReference w:id="141"/>
      </w:r>
      <w:r w:rsidRPr="00F1378E">
        <w:rPr>
          <w:rFonts w:asciiTheme="majorHAnsi" w:hAnsiTheme="majorHAnsi"/>
        </w:rPr>
        <w:t xml:space="preserve"> This process </w:t>
      </w:r>
      <w:proofErr w:type="gramStart"/>
      <w:r w:rsidRPr="00EC039A">
        <w:rPr>
          <w:rFonts w:asciiTheme="majorHAnsi" w:hAnsiTheme="majorHAnsi"/>
        </w:rPr>
        <w:t>was initiated</w:t>
      </w:r>
      <w:proofErr w:type="gramEnd"/>
      <w:r w:rsidRPr="00EC039A">
        <w:rPr>
          <w:rFonts w:asciiTheme="majorHAnsi" w:hAnsiTheme="majorHAnsi"/>
        </w:rPr>
        <w:t xml:space="preserve"> </w:t>
      </w:r>
      <w:r w:rsidRPr="00F1378E">
        <w:rPr>
          <w:rFonts w:asciiTheme="majorHAnsi" w:hAnsiTheme="majorHAnsi"/>
        </w:rPr>
        <w:t>over the summer 2013 and will develop</w:t>
      </w:r>
      <w:r w:rsidRPr="00EC039A">
        <w:rPr>
          <w:rFonts w:asciiTheme="majorHAnsi" w:hAnsiTheme="majorHAnsi"/>
        </w:rPr>
        <w:t xml:space="preserve"> criterion and processes for creating, modifying, or collapsing capacity zones, as </w:t>
      </w:r>
      <w:r w:rsidRPr="00A84AE4">
        <w:rPr>
          <w:rFonts w:asciiTheme="majorHAnsi" w:hAnsiTheme="majorHAnsi"/>
        </w:rPr>
        <w:t xml:space="preserve">appropriate. </w:t>
      </w:r>
      <w:r w:rsidRPr="00CB3685">
        <w:rPr>
          <w:rFonts w:asciiTheme="majorHAnsi" w:hAnsiTheme="majorHAnsi"/>
        </w:rPr>
        <w:t xml:space="preserve">(Section </w:t>
      </w:r>
      <w:r w:rsidR="00927965">
        <w:rPr>
          <w:rFonts w:asciiTheme="majorHAnsi" w:hAnsiTheme="majorHAnsi"/>
        </w:rPr>
        <w:fldChar w:fldCharType="begin"/>
      </w:r>
      <w:r w:rsidR="004C2F17">
        <w:rPr>
          <w:rFonts w:asciiTheme="majorHAnsi" w:hAnsiTheme="majorHAnsi"/>
        </w:rPr>
        <w:instrText xml:space="preserve"> REF _Ref387671423 \r \h </w:instrText>
      </w:r>
      <w:r w:rsidR="00927965">
        <w:rPr>
          <w:rFonts w:asciiTheme="majorHAnsi" w:hAnsiTheme="majorHAnsi"/>
        </w:rPr>
      </w:r>
      <w:r w:rsidR="00927965">
        <w:rPr>
          <w:rFonts w:asciiTheme="majorHAnsi" w:hAnsiTheme="majorHAnsi"/>
        </w:rPr>
        <w:fldChar w:fldCharType="separate"/>
      </w:r>
      <w:r w:rsidR="00284CE3">
        <w:rPr>
          <w:rFonts w:asciiTheme="majorHAnsi" w:hAnsiTheme="majorHAnsi"/>
        </w:rPr>
        <w:t>4.2</w:t>
      </w:r>
      <w:r w:rsidR="00927965">
        <w:rPr>
          <w:rFonts w:asciiTheme="majorHAnsi" w:hAnsiTheme="majorHAnsi"/>
        </w:rPr>
        <w:fldChar w:fldCharType="end"/>
      </w:r>
      <w:r w:rsidR="004C2F17">
        <w:rPr>
          <w:rFonts w:asciiTheme="majorHAnsi" w:hAnsiTheme="majorHAnsi"/>
        </w:rPr>
        <w:t xml:space="preserve"> </w:t>
      </w:r>
      <w:r w:rsidRPr="00CB3685">
        <w:t>contains additional information on FCM capacity zones.</w:t>
      </w:r>
      <w:r w:rsidRPr="00A84AE4">
        <w:t>)</w:t>
      </w:r>
    </w:p>
    <w:p w:rsidR="008A621B" w:rsidRDefault="008A621B" w:rsidP="008A621B">
      <w:r w:rsidRPr="00773009">
        <w:t>After FCA #8</w:t>
      </w:r>
      <w:r>
        <w:t>,</w:t>
      </w:r>
      <w:r w:rsidRPr="00773009">
        <w:t xml:space="preserve"> </w:t>
      </w:r>
      <w:r>
        <w:t>a</w:t>
      </w:r>
      <w:r w:rsidRPr="00773009">
        <w:t>vailable capacity resources in the Connecticut capacity zone exceed</w:t>
      </w:r>
      <w:r>
        <w:t>ed</w:t>
      </w:r>
      <w:r w:rsidRPr="00773009">
        <w:t xml:space="preserve"> the resource adequacy</w:t>
      </w:r>
      <w:r>
        <w:t xml:space="preserve"> </w:t>
      </w:r>
      <w:r w:rsidRPr="00773009">
        <w:t xml:space="preserve">requirements for the area by 1,872 MW. This is an increase of </w:t>
      </w:r>
      <w:r>
        <w:t xml:space="preserve">approximately </w:t>
      </w:r>
      <w:r w:rsidRPr="00773009">
        <w:t>1,</w:t>
      </w:r>
      <w:r>
        <w:t>1</w:t>
      </w:r>
      <w:r w:rsidRPr="00773009">
        <w:t>00 MW over</w:t>
      </w:r>
      <w:r w:rsidR="00E267EE">
        <w:t xml:space="preserve"> </w:t>
      </w:r>
      <w:r w:rsidRPr="00773009">
        <w:t>the FCA #7 excess of 769 MW.</w:t>
      </w:r>
      <w:r>
        <w:rPr>
          <w:rStyle w:val="FootnoteReference"/>
        </w:rPr>
        <w:footnoteReference w:id="142"/>
      </w:r>
      <w:r w:rsidRPr="00773009">
        <w:t xml:space="preserve"> In this zone for the 2017/2018 capacity commitment period, 9,191 MW of capacity resources </w:t>
      </w:r>
      <w:proofErr w:type="gramStart"/>
      <w:r w:rsidRPr="00773009">
        <w:t>will be used</w:t>
      </w:r>
      <w:proofErr w:type="gramEnd"/>
      <w:r w:rsidRPr="00773009">
        <w:t xml:space="preserve"> to meet the local sourcing requirement of 7,319 MW. An additional </w:t>
      </w:r>
      <w:r w:rsidR="008B2BA4" w:rsidRPr="00773009">
        <w:t>100</w:t>
      </w:r>
      <w:r w:rsidR="008B2BA4">
        <w:t> </w:t>
      </w:r>
      <w:r w:rsidRPr="00773009">
        <w:t>MW of capacity also was procured in Connecticut to support an administrative export delist bid through that capacity zone.</w:t>
      </w:r>
      <w:r>
        <w:rPr>
          <w:vertAlign w:val="superscript"/>
        </w:rPr>
        <w:footnoteReference w:id="143"/>
      </w:r>
      <w:r w:rsidRPr="00773009">
        <w:t xml:space="preserve"> </w:t>
      </w:r>
    </w:p>
    <w:p w:rsidR="008A621B" w:rsidRDefault="008A621B" w:rsidP="009B30A4">
      <w:r w:rsidRPr="002104A5">
        <w:t xml:space="preserve">In the NEMA/Boston capacity zone, the Capacity Carry Forward Rule </w:t>
      </w:r>
      <w:proofErr w:type="gramStart"/>
      <w:r w:rsidRPr="002104A5">
        <w:t>was triggered</w:t>
      </w:r>
      <w:proofErr w:type="gramEnd"/>
      <w:r w:rsidRPr="002104A5">
        <w:t xml:space="preserve"> </w:t>
      </w:r>
      <w:r w:rsidR="006D4C96" w:rsidRPr="002104A5">
        <w:t xml:space="preserve">because </w:t>
      </w:r>
      <w:r w:rsidRPr="002104A5">
        <w:t>a new resource that cleared in FCA #7</w:t>
      </w:r>
      <w:r w:rsidR="00636EE8" w:rsidRPr="002104A5">
        <w:t xml:space="preserve"> </w:t>
      </w:r>
      <w:r w:rsidR="00D837D8" w:rsidRPr="002104A5">
        <w:t>precluded the need for new resources in the subsequent auction</w:t>
      </w:r>
      <w:r w:rsidRPr="002104A5">
        <w:t>. The intent of the Carry Forward Rule is to reset the clearing price</w:t>
      </w:r>
      <w:r w:rsidRPr="00773009">
        <w:t xml:space="preserve"> administratively when new additional capacity </w:t>
      </w:r>
      <w:proofErr w:type="gramStart"/>
      <w:r w:rsidRPr="00773009">
        <w:t>would have been needed</w:t>
      </w:r>
      <w:proofErr w:type="gramEnd"/>
      <w:r w:rsidRPr="00773009">
        <w:t xml:space="preserve"> and consequently would have set the clearing price, but did not</w:t>
      </w:r>
      <w:r>
        <w:t>,</w:t>
      </w:r>
      <w:r w:rsidRPr="00773009">
        <w:t xml:space="preserve"> because of an excess amount of additional new capacity procured in the prior auction. </w:t>
      </w:r>
      <w:fldSimple w:instr=" REF _Ref297975965 \h  \* MERGEFORMAT ">
        <w:r w:rsidR="00284CE3" w:rsidRPr="002B2200">
          <w:t xml:space="preserve">Table </w:t>
        </w:r>
        <w:r w:rsidR="00284CE3">
          <w:rPr>
            <w:noProof/>
          </w:rPr>
          <w:t>4</w:t>
        </w:r>
        <w:r w:rsidR="00284CE3">
          <w:rPr>
            <w:noProof/>
          </w:rPr>
          <w:noBreakHyphen/>
          <w:t>5</w:t>
        </w:r>
      </w:fldSimple>
      <w:r w:rsidRPr="00773009">
        <w:t xml:space="preserve"> shows, by resource type, the amounts of new capacity procured during all the FCAs.</w:t>
      </w:r>
    </w:p>
    <w:p w:rsidR="008A621B" w:rsidRPr="00773009" w:rsidRDefault="008A621B" w:rsidP="008A621B">
      <w:pPr>
        <w:autoSpaceDE w:val="0"/>
        <w:autoSpaceDN w:val="0"/>
        <w:adjustRightInd w:val="0"/>
        <w:spacing w:after="0" w:line="240" w:lineRule="auto"/>
        <w:rPr>
          <w:rFonts w:asciiTheme="majorHAnsi" w:eastAsia="Times New Roman" w:hAnsiTheme="majorHAnsi"/>
        </w:rPr>
      </w:pPr>
    </w:p>
    <w:p w:rsidR="008A621B" w:rsidRPr="008B0EAC" w:rsidRDefault="008A621B" w:rsidP="008A621B">
      <w:pPr>
        <w:pStyle w:val="Caption"/>
        <w:rPr>
          <w:lang w:eastAsia="ar-SA"/>
        </w:rPr>
      </w:pPr>
      <w:bookmarkStart w:id="378" w:name="_Ref297975965"/>
      <w:bookmarkStart w:id="379" w:name="_Toc303086936"/>
      <w:bookmarkStart w:id="380" w:name="_Toc330401258"/>
      <w:bookmarkStart w:id="381" w:name="_Toc334541931"/>
      <w:bookmarkStart w:id="382" w:name="_Toc334541968"/>
      <w:bookmarkStart w:id="383" w:name="_Toc365440707"/>
      <w:bookmarkStart w:id="384" w:name="_Toc391985607"/>
      <w:r w:rsidRPr="002B2200">
        <w:t xml:space="preserve">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5</w:t>
      </w:r>
      <w:r w:rsidR="00927965">
        <w:fldChar w:fldCharType="end"/>
      </w:r>
      <w:bookmarkEnd w:id="378"/>
      <w:r w:rsidRPr="002B2200">
        <w:rPr>
          <w:b w:val="0"/>
          <w:bCs w:val="0"/>
          <w:color w:val="000000" w:themeColor="text1"/>
        </w:rPr>
        <w:br/>
      </w:r>
      <w:r w:rsidRPr="002B2200">
        <w:rPr>
          <w:rFonts w:cs="Arial"/>
        </w:rPr>
        <w:t>Capacity Supply Obligation for New Capacity</w:t>
      </w:r>
      <w:r w:rsidRPr="002B2200">
        <w:rPr>
          <w:rFonts w:cs="Arial"/>
        </w:rPr>
        <w:br/>
        <w:t>Procured during the Forward Capacity Auctions (MW</w:t>
      </w:r>
      <w:proofErr w:type="gramStart"/>
      <w:r w:rsidRPr="002B2200">
        <w:rPr>
          <w:rFonts w:cs="Arial"/>
        </w:rPr>
        <w:t>)</w:t>
      </w:r>
      <w:r w:rsidRPr="002B2200">
        <w:rPr>
          <w:rFonts w:cs="Arial"/>
          <w:vertAlign w:val="superscript"/>
        </w:rPr>
        <w:t>(</w:t>
      </w:r>
      <w:proofErr w:type="gramEnd"/>
      <w:r w:rsidRPr="002B2200">
        <w:rPr>
          <w:rFonts w:cs="Arial"/>
          <w:vertAlign w:val="superscript"/>
        </w:rPr>
        <w:t>a)</w:t>
      </w:r>
      <w:bookmarkEnd w:id="379"/>
      <w:bookmarkEnd w:id="380"/>
      <w:bookmarkEnd w:id="381"/>
      <w:bookmarkEnd w:id="382"/>
      <w:bookmarkEnd w:id="383"/>
      <w:bookmarkEnd w:id="384"/>
    </w:p>
    <w:tbl>
      <w:tblPr>
        <w:tblW w:w="95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356"/>
        <w:gridCol w:w="900"/>
        <w:gridCol w:w="900"/>
        <w:gridCol w:w="900"/>
        <w:gridCol w:w="900"/>
        <w:gridCol w:w="900"/>
        <w:gridCol w:w="900"/>
        <w:gridCol w:w="900"/>
        <w:gridCol w:w="900"/>
      </w:tblGrid>
      <w:tr w:rsidR="00B61122" w:rsidRPr="00497B45" w:rsidTr="00B61122">
        <w:trPr>
          <w:cantSplit/>
          <w:trHeight w:val="360"/>
          <w:jc w:val="center"/>
        </w:trPr>
        <w:tc>
          <w:tcPr>
            <w:tcW w:w="2356"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Capacity Resource</w:t>
            </w:r>
          </w:p>
        </w:tc>
        <w:tc>
          <w:tcPr>
            <w:tcW w:w="900"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#1</w:t>
            </w:r>
          </w:p>
        </w:tc>
        <w:tc>
          <w:tcPr>
            <w:tcW w:w="900"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#2</w:t>
            </w:r>
          </w:p>
        </w:tc>
        <w:tc>
          <w:tcPr>
            <w:tcW w:w="900"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#3</w:t>
            </w:r>
          </w:p>
        </w:tc>
        <w:tc>
          <w:tcPr>
            <w:tcW w:w="900" w:type="dxa"/>
            <w:shd w:val="clear" w:color="auto" w:fill="85AFF2" w:themeFill="text2" w:themeFillTint="66"/>
            <w:noWrap/>
            <w:vAlign w:val="center"/>
            <w:hideMark/>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#4</w:t>
            </w:r>
          </w:p>
        </w:tc>
        <w:tc>
          <w:tcPr>
            <w:tcW w:w="900" w:type="dxa"/>
            <w:shd w:val="clear" w:color="auto" w:fill="85AFF2" w:themeFill="text2" w:themeFillTint="66"/>
            <w:vAlign w:val="center"/>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#5</w:t>
            </w:r>
          </w:p>
        </w:tc>
        <w:tc>
          <w:tcPr>
            <w:tcW w:w="900" w:type="dxa"/>
            <w:shd w:val="clear" w:color="auto" w:fill="85AFF2" w:themeFill="text2" w:themeFillTint="66"/>
            <w:vAlign w:val="center"/>
          </w:tcPr>
          <w:p w:rsidR="008A621B" w:rsidRPr="00A14689" w:rsidRDefault="008A621B" w:rsidP="008A621B">
            <w:pPr>
              <w:keepNext/>
              <w:keepLines/>
              <w:spacing w:after="0" w:line="240" w:lineRule="auto"/>
              <w:jc w:val="center"/>
              <w:rPr>
                <w:rFonts w:asciiTheme="minorHAnsi" w:hAnsiTheme="minorHAnsi" w:cs="Arial"/>
                <w:b/>
                <w:bCs/>
                <w:color w:val="FFFFFF" w:themeColor="background1"/>
                <w:sz w:val="18"/>
                <w:szCs w:val="18"/>
              </w:rPr>
            </w:pPr>
            <w:r w:rsidRPr="0053609E">
              <w:rPr>
                <w:rFonts w:asciiTheme="minorHAnsi" w:hAnsiTheme="minorHAnsi" w:cs="Arial"/>
                <w:b/>
                <w:bCs/>
                <w:color w:val="FFFFFF" w:themeColor="background1"/>
                <w:sz w:val="18"/>
                <w:szCs w:val="18"/>
              </w:rPr>
              <w:t>FCA #6</w:t>
            </w:r>
          </w:p>
        </w:tc>
        <w:tc>
          <w:tcPr>
            <w:tcW w:w="900" w:type="dxa"/>
            <w:shd w:val="clear" w:color="auto" w:fill="85AFF2" w:themeFill="text2" w:themeFillTint="66"/>
            <w:vAlign w:val="center"/>
          </w:tcPr>
          <w:p w:rsidR="008A621B" w:rsidRPr="0053609E" w:rsidRDefault="008A621B" w:rsidP="008A621B">
            <w:pPr>
              <w:keepNext/>
              <w:keepLines/>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FCA #7</w:t>
            </w:r>
          </w:p>
        </w:tc>
        <w:tc>
          <w:tcPr>
            <w:tcW w:w="900" w:type="dxa"/>
            <w:shd w:val="clear" w:color="auto" w:fill="85AFF2" w:themeFill="text2" w:themeFillTint="66"/>
            <w:vAlign w:val="center"/>
          </w:tcPr>
          <w:p w:rsidR="008A621B" w:rsidRDefault="008A621B" w:rsidP="008A621B">
            <w:pPr>
              <w:keepNext/>
              <w:keepLines/>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FCA #8</w:t>
            </w:r>
          </w:p>
        </w:tc>
      </w:tr>
      <w:tr w:rsidR="00B61122" w:rsidRPr="009E52E9" w:rsidTr="00B61122">
        <w:trPr>
          <w:cantSplit/>
          <w:trHeight w:val="360"/>
          <w:jc w:val="center"/>
        </w:trPr>
        <w:tc>
          <w:tcPr>
            <w:tcW w:w="2356" w:type="dxa"/>
            <w:shd w:val="clear" w:color="auto" w:fill="auto"/>
            <w:noWrap/>
            <w:vAlign w:val="center"/>
            <w:hideMark/>
          </w:tcPr>
          <w:p w:rsidR="008A621B" w:rsidRPr="009E52E9" w:rsidRDefault="008A621B" w:rsidP="008A621B">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Generation resources</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40</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1,157</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199</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114</w:t>
            </w:r>
          </w:p>
        </w:tc>
        <w:tc>
          <w:tcPr>
            <w:tcW w:w="900" w:type="dxa"/>
            <w:tcMar>
              <w:left w:w="0" w:type="dxa"/>
              <w:right w:w="288" w:type="dxa"/>
            </w:tcMar>
            <w:vAlign w:val="center"/>
          </w:tcPr>
          <w:p w:rsidR="008A621B" w:rsidRPr="009E52E9" w:rsidRDefault="008A621B" w:rsidP="008A621B">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42</w:t>
            </w:r>
          </w:p>
        </w:tc>
        <w:tc>
          <w:tcPr>
            <w:tcW w:w="900" w:type="dxa"/>
            <w:vAlign w:val="center"/>
          </w:tcPr>
          <w:p w:rsidR="008A621B" w:rsidRPr="00D2243F"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79</w:t>
            </w:r>
          </w:p>
        </w:tc>
        <w:tc>
          <w:tcPr>
            <w:tcW w:w="900" w:type="dxa"/>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800</w:t>
            </w:r>
          </w:p>
        </w:tc>
        <w:tc>
          <w:tcPr>
            <w:tcW w:w="900" w:type="dxa"/>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27</w:t>
            </w:r>
          </w:p>
        </w:tc>
      </w:tr>
      <w:tr w:rsidR="00B61122" w:rsidRPr="009E52E9" w:rsidTr="00B61122">
        <w:trPr>
          <w:cantSplit/>
          <w:trHeight w:val="360"/>
          <w:jc w:val="center"/>
        </w:trPr>
        <w:tc>
          <w:tcPr>
            <w:tcW w:w="2356" w:type="dxa"/>
            <w:shd w:val="clear" w:color="auto" w:fill="C2D7F8" w:themeFill="text2" w:themeFillTint="33"/>
            <w:noWrap/>
            <w:vAlign w:val="center"/>
            <w:hideMark/>
          </w:tcPr>
          <w:p w:rsidR="008A621B" w:rsidRPr="009E52E9" w:rsidRDefault="008A621B" w:rsidP="008A621B">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Demand-resource total</w:t>
            </w:r>
          </w:p>
        </w:tc>
        <w:tc>
          <w:tcPr>
            <w:tcW w:w="900" w:type="dxa"/>
            <w:shd w:val="clear" w:color="auto" w:fill="C2D7F8" w:themeFill="text2" w:themeFillTint="33"/>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860</w:t>
            </w:r>
          </w:p>
        </w:tc>
        <w:tc>
          <w:tcPr>
            <w:tcW w:w="900" w:type="dxa"/>
            <w:shd w:val="clear" w:color="auto" w:fill="C2D7F8" w:themeFill="text2" w:themeFillTint="33"/>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447</w:t>
            </w:r>
          </w:p>
        </w:tc>
        <w:tc>
          <w:tcPr>
            <w:tcW w:w="900" w:type="dxa"/>
            <w:shd w:val="clear" w:color="auto" w:fill="C2D7F8" w:themeFill="text2" w:themeFillTint="33"/>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309</w:t>
            </w:r>
          </w:p>
        </w:tc>
        <w:tc>
          <w:tcPr>
            <w:tcW w:w="900" w:type="dxa"/>
            <w:shd w:val="clear" w:color="auto" w:fill="C2D7F8" w:themeFill="text2" w:themeFillTint="33"/>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515</w:t>
            </w:r>
          </w:p>
        </w:tc>
        <w:tc>
          <w:tcPr>
            <w:tcW w:w="900" w:type="dxa"/>
            <w:shd w:val="clear" w:color="auto" w:fill="C2D7F8" w:themeFill="text2" w:themeFillTint="33"/>
            <w:tcMar>
              <w:left w:w="0" w:type="dxa"/>
              <w:right w:w="288" w:type="dxa"/>
            </w:tcMar>
            <w:vAlign w:val="center"/>
          </w:tcPr>
          <w:p w:rsidR="008A621B" w:rsidRPr="009E52E9" w:rsidRDefault="008A621B" w:rsidP="008A621B">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263</w:t>
            </w:r>
          </w:p>
        </w:tc>
        <w:tc>
          <w:tcPr>
            <w:tcW w:w="900" w:type="dxa"/>
            <w:shd w:val="clear" w:color="auto" w:fill="C2D7F8" w:themeFill="text2" w:themeFillTint="33"/>
            <w:vAlign w:val="center"/>
          </w:tcPr>
          <w:p w:rsidR="008A621B" w:rsidRPr="00D2243F"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313</w:t>
            </w:r>
          </w:p>
        </w:tc>
        <w:tc>
          <w:tcPr>
            <w:tcW w:w="900" w:type="dxa"/>
            <w:shd w:val="clear" w:color="auto" w:fill="C2D7F8" w:themeFill="text2" w:themeFillTint="33"/>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245</w:t>
            </w:r>
          </w:p>
        </w:tc>
        <w:tc>
          <w:tcPr>
            <w:tcW w:w="900" w:type="dxa"/>
            <w:shd w:val="clear" w:color="auto" w:fill="C2D7F8" w:themeFill="text2" w:themeFillTint="33"/>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355</w:t>
            </w:r>
          </w:p>
        </w:tc>
      </w:tr>
      <w:tr w:rsidR="00B61122" w:rsidRPr="00C75214" w:rsidTr="00B61122">
        <w:trPr>
          <w:cantSplit/>
          <w:trHeight w:val="360"/>
          <w:jc w:val="center"/>
        </w:trPr>
        <w:tc>
          <w:tcPr>
            <w:tcW w:w="2356" w:type="dxa"/>
            <w:shd w:val="clear" w:color="auto" w:fill="C2D7F8" w:themeFill="text2" w:themeFillTint="33"/>
            <w:noWrap/>
            <w:vAlign w:val="center"/>
            <w:hideMark/>
          </w:tcPr>
          <w:p w:rsidR="008A621B" w:rsidRPr="00D05182" w:rsidRDefault="008A621B" w:rsidP="008A621B">
            <w:pPr>
              <w:keepNext/>
              <w:keepLines/>
              <w:spacing w:after="0" w:line="240" w:lineRule="auto"/>
              <w:rPr>
                <w:rFonts w:asciiTheme="minorHAnsi" w:hAnsiTheme="minorHAnsi" w:cs="Arial"/>
                <w:b/>
                <w:i/>
                <w:iCs/>
                <w:color w:val="000000"/>
                <w:sz w:val="18"/>
                <w:szCs w:val="18"/>
              </w:rPr>
            </w:pPr>
            <w:r>
              <w:rPr>
                <w:rFonts w:asciiTheme="minorHAnsi" w:hAnsiTheme="minorHAnsi" w:cs="Arial"/>
                <w:b/>
                <w:i/>
                <w:iCs/>
                <w:color w:val="000000"/>
                <w:sz w:val="18"/>
                <w:szCs w:val="18"/>
              </w:rPr>
              <w:t xml:space="preserve">   </w:t>
            </w:r>
            <w:r w:rsidRPr="00D05182">
              <w:rPr>
                <w:rFonts w:asciiTheme="minorHAnsi" w:hAnsiTheme="minorHAnsi" w:cs="Arial"/>
                <w:b/>
                <w:i/>
                <w:iCs/>
                <w:color w:val="000000"/>
                <w:sz w:val="18"/>
                <w:szCs w:val="18"/>
              </w:rPr>
              <w:t>Active demand resources</w:t>
            </w:r>
          </w:p>
        </w:tc>
        <w:tc>
          <w:tcPr>
            <w:tcW w:w="900" w:type="dxa"/>
            <w:shd w:val="clear" w:color="auto" w:fill="C2D7F8" w:themeFill="text2" w:themeFillTint="33"/>
            <w:noWrap/>
            <w:tcMar>
              <w:left w:w="0" w:type="dxa"/>
              <w:right w:w="288" w:type="dxa"/>
            </w:tcMar>
            <w:vAlign w:val="center"/>
            <w:hideMark/>
          </w:tcPr>
          <w:p w:rsidR="008A621B" w:rsidRPr="00645479" w:rsidRDefault="008A621B" w:rsidP="008A621B">
            <w:pPr>
              <w:keepNext/>
              <w:keepLines/>
              <w:spacing w:after="0" w:line="240" w:lineRule="auto"/>
              <w:jc w:val="right"/>
              <w:rPr>
                <w:rFonts w:asciiTheme="minorHAnsi" w:hAnsiTheme="minorHAnsi" w:cs="Arial"/>
                <w:i/>
                <w:iCs/>
                <w:color w:val="000000"/>
                <w:sz w:val="18"/>
                <w:szCs w:val="18"/>
              </w:rPr>
            </w:pPr>
            <w:r w:rsidRPr="00645479">
              <w:rPr>
                <w:rFonts w:asciiTheme="minorHAnsi" w:hAnsiTheme="minorHAnsi" w:cs="Arial"/>
                <w:i/>
                <w:iCs/>
                <w:color w:val="000000"/>
                <w:sz w:val="18"/>
                <w:szCs w:val="18"/>
              </w:rPr>
              <w:t>576</w:t>
            </w:r>
          </w:p>
        </w:tc>
        <w:tc>
          <w:tcPr>
            <w:tcW w:w="900" w:type="dxa"/>
            <w:shd w:val="clear" w:color="auto" w:fill="C2D7F8" w:themeFill="text2" w:themeFillTint="33"/>
            <w:noWrap/>
            <w:tcMar>
              <w:left w:w="0" w:type="dxa"/>
              <w:right w:w="288" w:type="dxa"/>
            </w:tcMar>
            <w:vAlign w:val="center"/>
            <w:hideMark/>
          </w:tcPr>
          <w:p w:rsidR="008A621B" w:rsidRPr="00645479" w:rsidRDefault="008A621B" w:rsidP="008A621B">
            <w:pPr>
              <w:keepNext/>
              <w:keepLines/>
              <w:spacing w:after="0" w:line="240" w:lineRule="auto"/>
              <w:jc w:val="right"/>
              <w:rPr>
                <w:rFonts w:asciiTheme="minorHAnsi" w:hAnsiTheme="minorHAnsi" w:cs="Arial"/>
                <w:i/>
                <w:iCs/>
                <w:color w:val="000000"/>
                <w:sz w:val="18"/>
                <w:szCs w:val="18"/>
              </w:rPr>
            </w:pPr>
            <w:r w:rsidRPr="00645479">
              <w:rPr>
                <w:rFonts w:asciiTheme="minorHAnsi" w:hAnsiTheme="minorHAnsi" w:cs="Arial"/>
                <w:i/>
                <w:iCs/>
                <w:color w:val="000000"/>
                <w:sz w:val="18"/>
                <w:szCs w:val="18"/>
              </w:rPr>
              <w:t>185</w:t>
            </w:r>
          </w:p>
        </w:tc>
        <w:tc>
          <w:tcPr>
            <w:tcW w:w="900" w:type="dxa"/>
            <w:shd w:val="clear" w:color="auto" w:fill="C2D7F8" w:themeFill="text2" w:themeFillTint="33"/>
            <w:noWrap/>
            <w:tcMar>
              <w:left w:w="0" w:type="dxa"/>
              <w:right w:w="288" w:type="dxa"/>
            </w:tcMar>
            <w:vAlign w:val="center"/>
            <w:hideMark/>
          </w:tcPr>
          <w:p w:rsidR="008A621B" w:rsidRPr="00645479" w:rsidRDefault="008A621B" w:rsidP="008A621B">
            <w:pPr>
              <w:keepNext/>
              <w:keepLines/>
              <w:spacing w:after="0" w:line="240" w:lineRule="auto"/>
              <w:jc w:val="right"/>
              <w:rPr>
                <w:rFonts w:asciiTheme="minorHAnsi" w:hAnsiTheme="minorHAnsi" w:cs="Arial"/>
                <w:i/>
                <w:iCs/>
                <w:color w:val="000000"/>
                <w:sz w:val="18"/>
                <w:szCs w:val="18"/>
              </w:rPr>
            </w:pPr>
            <w:r w:rsidRPr="00645479">
              <w:rPr>
                <w:rFonts w:asciiTheme="minorHAnsi" w:hAnsiTheme="minorHAnsi" w:cs="Arial"/>
                <w:i/>
                <w:iCs/>
                <w:color w:val="000000"/>
                <w:sz w:val="18"/>
                <w:szCs w:val="18"/>
              </w:rPr>
              <w:t>98</w:t>
            </w:r>
          </w:p>
        </w:tc>
        <w:tc>
          <w:tcPr>
            <w:tcW w:w="900" w:type="dxa"/>
            <w:shd w:val="clear" w:color="auto" w:fill="C2D7F8" w:themeFill="text2" w:themeFillTint="33"/>
            <w:noWrap/>
            <w:tcMar>
              <w:left w:w="0" w:type="dxa"/>
              <w:right w:w="288" w:type="dxa"/>
            </w:tcMar>
            <w:vAlign w:val="center"/>
            <w:hideMark/>
          </w:tcPr>
          <w:p w:rsidR="008A621B" w:rsidRPr="00645479" w:rsidRDefault="008A621B" w:rsidP="008A621B">
            <w:pPr>
              <w:keepNext/>
              <w:keepLines/>
              <w:spacing w:after="0" w:line="240" w:lineRule="auto"/>
              <w:jc w:val="right"/>
              <w:rPr>
                <w:rFonts w:asciiTheme="minorHAnsi" w:hAnsiTheme="minorHAnsi" w:cs="Arial"/>
                <w:i/>
                <w:iCs/>
                <w:color w:val="000000"/>
                <w:sz w:val="18"/>
                <w:szCs w:val="18"/>
              </w:rPr>
            </w:pPr>
            <w:r w:rsidRPr="00645479">
              <w:rPr>
                <w:rFonts w:asciiTheme="minorHAnsi" w:hAnsiTheme="minorHAnsi" w:cs="Arial"/>
                <w:i/>
                <w:iCs/>
                <w:color w:val="000000"/>
                <w:sz w:val="18"/>
                <w:szCs w:val="18"/>
              </w:rPr>
              <w:t>257</w:t>
            </w:r>
          </w:p>
        </w:tc>
        <w:tc>
          <w:tcPr>
            <w:tcW w:w="900" w:type="dxa"/>
            <w:shd w:val="clear" w:color="auto" w:fill="C2D7F8" w:themeFill="text2" w:themeFillTint="33"/>
            <w:tcMar>
              <w:left w:w="0" w:type="dxa"/>
              <w:right w:w="288" w:type="dxa"/>
            </w:tcMar>
            <w:vAlign w:val="center"/>
          </w:tcPr>
          <w:p w:rsidR="008A621B" w:rsidRPr="00645479" w:rsidRDefault="008A621B" w:rsidP="008A621B">
            <w:pPr>
              <w:keepNext/>
              <w:keepLines/>
              <w:spacing w:after="0" w:line="240" w:lineRule="auto"/>
              <w:jc w:val="right"/>
              <w:rPr>
                <w:rFonts w:asciiTheme="minorHAnsi" w:eastAsia="Arial" w:hAnsiTheme="minorHAnsi" w:cs="Arial"/>
                <w:i/>
                <w:iCs/>
                <w:color w:val="000000"/>
                <w:sz w:val="18"/>
                <w:szCs w:val="18"/>
              </w:rPr>
            </w:pPr>
            <w:r w:rsidRPr="00645479">
              <w:rPr>
                <w:rFonts w:asciiTheme="minorHAnsi" w:hAnsiTheme="minorHAnsi" w:cs="Arial"/>
                <w:i/>
                <w:iCs/>
                <w:color w:val="000000"/>
                <w:sz w:val="18"/>
                <w:szCs w:val="18"/>
              </w:rPr>
              <w:t>42</w:t>
            </w:r>
          </w:p>
        </w:tc>
        <w:tc>
          <w:tcPr>
            <w:tcW w:w="900" w:type="dxa"/>
            <w:shd w:val="clear" w:color="auto" w:fill="C2D7F8" w:themeFill="text2" w:themeFillTint="33"/>
            <w:vAlign w:val="center"/>
          </w:tcPr>
          <w:p w:rsidR="008A621B" w:rsidRPr="00645479" w:rsidRDefault="008A621B" w:rsidP="008A621B">
            <w:pPr>
              <w:keepNext/>
              <w:keepLines/>
              <w:spacing w:after="0" w:line="240" w:lineRule="auto"/>
              <w:jc w:val="right"/>
              <w:rPr>
                <w:rFonts w:asciiTheme="minorHAnsi" w:hAnsiTheme="minorHAnsi" w:cs="Arial"/>
                <w:bCs/>
                <w:i/>
                <w:color w:val="000000"/>
                <w:sz w:val="18"/>
                <w:szCs w:val="18"/>
              </w:rPr>
            </w:pPr>
            <w:r w:rsidRPr="00645479">
              <w:rPr>
                <w:rFonts w:asciiTheme="minorHAnsi" w:hAnsiTheme="minorHAnsi" w:cs="Arial"/>
                <w:bCs/>
                <w:i/>
                <w:color w:val="000000"/>
                <w:sz w:val="18"/>
                <w:szCs w:val="18"/>
              </w:rPr>
              <w:t>66</w:t>
            </w:r>
          </w:p>
        </w:tc>
        <w:tc>
          <w:tcPr>
            <w:tcW w:w="900" w:type="dxa"/>
            <w:shd w:val="clear" w:color="auto" w:fill="C2D7F8" w:themeFill="text2" w:themeFillTint="33"/>
            <w:vAlign w:val="center"/>
          </w:tcPr>
          <w:p w:rsidR="008A621B" w:rsidRPr="00645479" w:rsidRDefault="008A621B" w:rsidP="008A621B">
            <w:pPr>
              <w:keepNext/>
              <w:keepLines/>
              <w:spacing w:after="0" w:line="240" w:lineRule="auto"/>
              <w:jc w:val="right"/>
              <w:rPr>
                <w:rFonts w:asciiTheme="minorHAnsi" w:hAnsiTheme="minorHAnsi" w:cs="Arial"/>
                <w:bCs/>
                <w:i/>
                <w:color w:val="000000"/>
                <w:sz w:val="18"/>
                <w:szCs w:val="18"/>
              </w:rPr>
            </w:pPr>
            <w:r w:rsidRPr="00645479">
              <w:rPr>
                <w:rFonts w:asciiTheme="minorHAnsi" w:hAnsiTheme="minorHAnsi" w:cs="Arial"/>
                <w:bCs/>
                <w:i/>
                <w:color w:val="000000"/>
                <w:sz w:val="18"/>
                <w:szCs w:val="18"/>
              </w:rPr>
              <w:t>&lt;1</w:t>
            </w:r>
          </w:p>
        </w:tc>
        <w:tc>
          <w:tcPr>
            <w:tcW w:w="900" w:type="dxa"/>
            <w:shd w:val="clear" w:color="auto" w:fill="C2D7F8" w:themeFill="text2" w:themeFillTint="33"/>
            <w:vAlign w:val="center"/>
          </w:tcPr>
          <w:p w:rsidR="008A621B" w:rsidRPr="00645479" w:rsidRDefault="008A621B" w:rsidP="008A621B">
            <w:pPr>
              <w:keepNext/>
              <w:keepLines/>
              <w:spacing w:after="0" w:line="240" w:lineRule="auto"/>
              <w:jc w:val="right"/>
              <w:rPr>
                <w:rFonts w:asciiTheme="minorHAnsi" w:hAnsiTheme="minorHAnsi" w:cs="Arial"/>
                <w:bCs/>
                <w:i/>
                <w:color w:val="000000"/>
                <w:sz w:val="18"/>
                <w:szCs w:val="18"/>
              </w:rPr>
            </w:pPr>
            <w:r w:rsidRPr="00645479">
              <w:rPr>
                <w:rFonts w:asciiTheme="minorHAnsi" w:hAnsiTheme="minorHAnsi" w:cs="Arial"/>
                <w:bCs/>
                <w:i/>
                <w:color w:val="000000"/>
                <w:sz w:val="18"/>
                <w:szCs w:val="18"/>
              </w:rPr>
              <w:t>14</w:t>
            </w:r>
          </w:p>
        </w:tc>
      </w:tr>
      <w:tr w:rsidR="00B61122" w:rsidRPr="00C75214" w:rsidTr="00B61122">
        <w:trPr>
          <w:cantSplit/>
          <w:trHeight w:val="360"/>
          <w:jc w:val="center"/>
        </w:trPr>
        <w:tc>
          <w:tcPr>
            <w:tcW w:w="2356" w:type="dxa"/>
            <w:shd w:val="clear" w:color="auto" w:fill="C2D7F8" w:themeFill="text2" w:themeFillTint="33"/>
            <w:noWrap/>
            <w:vAlign w:val="center"/>
            <w:hideMark/>
          </w:tcPr>
          <w:p w:rsidR="008A621B" w:rsidRPr="00D05182" w:rsidRDefault="008A621B" w:rsidP="008A621B">
            <w:pPr>
              <w:keepNext/>
              <w:keepLines/>
              <w:spacing w:after="0" w:line="240" w:lineRule="auto"/>
              <w:rPr>
                <w:rFonts w:asciiTheme="minorHAnsi" w:hAnsiTheme="minorHAnsi" w:cs="Arial"/>
                <w:b/>
                <w:i/>
                <w:iCs/>
                <w:color w:val="000000"/>
                <w:sz w:val="18"/>
                <w:szCs w:val="18"/>
              </w:rPr>
            </w:pPr>
            <w:r>
              <w:rPr>
                <w:rFonts w:asciiTheme="minorHAnsi" w:hAnsiTheme="minorHAnsi" w:cs="Arial"/>
                <w:b/>
                <w:i/>
                <w:iCs/>
                <w:color w:val="000000"/>
                <w:sz w:val="18"/>
                <w:szCs w:val="18"/>
              </w:rPr>
              <w:t xml:space="preserve">   </w:t>
            </w:r>
            <w:r w:rsidRPr="00D05182">
              <w:rPr>
                <w:rFonts w:asciiTheme="minorHAnsi" w:hAnsiTheme="minorHAnsi" w:cs="Arial"/>
                <w:b/>
                <w:i/>
                <w:iCs/>
                <w:color w:val="000000"/>
                <w:sz w:val="18"/>
                <w:szCs w:val="18"/>
              </w:rPr>
              <w:t>Passive demand resources</w:t>
            </w:r>
          </w:p>
        </w:tc>
        <w:tc>
          <w:tcPr>
            <w:tcW w:w="900" w:type="dxa"/>
            <w:shd w:val="clear" w:color="auto" w:fill="C2D7F8" w:themeFill="text2" w:themeFillTint="33"/>
            <w:noWrap/>
            <w:tcMar>
              <w:left w:w="0" w:type="dxa"/>
              <w:right w:w="288" w:type="dxa"/>
            </w:tcMar>
            <w:vAlign w:val="center"/>
            <w:hideMark/>
          </w:tcPr>
          <w:p w:rsidR="008A621B" w:rsidRPr="00645479" w:rsidRDefault="008A621B" w:rsidP="008A621B">
            <w:pPr>
              <w:keepNext/>
              <w:keepLines/>
              <w:spacing w:after="0" w:line="240" w:lineRule="auto"/>
              <w:jc w:val="right"/>
              <w:rPr>
                <w:rFonts w:asciiTheme="minorHAnsi" w:hAnsiTheme="minorHAnsi" w:cs="Arial"/>
                <w:i/>
                <w:iCs/>
                <w:color w:val="000000"/>
                <w:sz w:val="18"/>
                <w:szCs w:val="18"/>
              </w:rPr>
            </w:pPr>
            <w:r w:rsidRPr="00645479">
              <w:rPr>
                <w:rFonts w:asciiTheme="minorHAnsi" w:hAnsiTheme="minorHAnsi" w:cs="Arial"/>
                <w:i/>
                <w:iCs/>
                <w:color w:val="000000"/>
                <w:sz w:val="18"/>
                <w:szCs w:val="18"/>
              </w:rPr>
              <w:t>284</w:t>
            </w:r>
          </w:p>
        </w:tc>
        <w:tc>
          <w:tcPr>
            <w:tcW w:w="900" w:type="dxa"/>
            <w:shd w:val="clear" w:color="auto" w:fill="C2D7F8" w:themeFill="text2" w:themeFillTint="33"/>
            <w:noWrap/>
            <w:tcMar>
              <w:left w:w="0" w:type="dxa"/>
              <w:right w:w="288" w:type="dxa"/>
            </w:tcMar>
            <w:vAlign w:val="center"/>
            <w:hideMark/>
          </w:tcPr>
          <w:p w:rsidR="008A621B" w:rsidRPr="00645479" w:rsidRDefault="008A621B" w:rsidP="008A621B">
            <w:pPr>
              <w:keepNext/>
              <w:keepLines/>
              <w:spacing w:after="0" w:line="240" w:lineRule="auto"/>
              <w:jc w:val="right"/>
              <w:rPr>
                <w:rFonts w:asciiTheme="minorHAnsi" w:hAnsiTheme="minorHAnsi" w:cs="Arial"/>
                <w:i/>
                <w:iCs/>
                <w:color w:val="000000"/>
                <w:sz w:val="18"/>
                <w:szCs w:val="18"/>
              </w:rPr>
            </w:pPr>
            <w:r w:rsidRPr="00645479">
              <w:rPr>
                <w:rFonts w:asciiTheme="minorHAnsi" w:hAnsiTheme="minorHAnsi" w:cs="Arial"/>
                <w:i/>
                <w:iCs/>
                <w:color w:val="000000"/>
                <w:sz w:val="18"/>
                <w:szCs w:val="18"/>
              </w:rPr>
              <w:t>262</w:t>
            </w:r>
          </w:p>
        </w:tc>
        <w:tc>
          <w:tcPr>
            <w:tcW w:w="900" w:type="dxa"/>
            <w:shd w:val="clear" w:color="auto" w:fill="C2D7F8" w:themeFill="text2" w:themeFillTint="33"/>
            <w:noWrap/>
            <w:tcMar>
              <w:left w:w="0" w:type="dxa"/>
              <w:right w:w="288" w:type="dxa"/>
            </w:tcMar>
            <w:vAlign w:val="center"/>
            <w:hideMark/>
          </w:tcPr>
          <w:p w:rsidR="008A621B" w:rsidRPr="00645479" w:rsidRDefault="008A621B" w:rsidP="008A621B">
            <w:pPr>
              <w:keepNext/>
              <w:keepLines/>
              <w:spacing w:after="0" w:line="240" w:lineRule="auto"/>
              <w:jc w:val="right"/>
              <w:rPr>
                <w:rFonts w:asciiTheme="minorHAnsi" w:hAnsiTheme="minorHAnsi" w:cs="Arial"/>
                <w:i/>
                <w:iCs/>
                <w:color w:val="000000"/>
                <w:sz w:val="18"/>
                <w:szCs w:val="18"/>
              </w:rPr>
            </w:pPr>
            <w:r w:rsidRPr="00645479">
              <w:rPr>
                <w:rFonts w:asciiTheme="minorHAnsi" w:hAnsiTheme="minorHAnsi" w:cs="Arial"/>
                <w:i/>
                <w:iCs/>
                <w:color w:val="000000"/>
                <w:sz w:val="18"/>
                <w:szCs w:val="18"/>
              </w:rPr>
              <w:t>211</w:t>
            </w:r>
          </w:p>
        </w:tc>
        <w:tc>
          <w:tcPr>
            <w:tcW w:w="900" w:type="dxa"/>
            <w:shd w:val="clear" w:color="auto" w:fill="C2D7F8" w:themeFill="text2" w:themeFillTint="33"/>
            <w:noWrap/>
            <w:tcMar>
              <w:left w:w="0" w:type="dxa"/>
              <w:right w:w="288" w:type="dxa"/>
            </w:tcMar>
            <w:vAlign w:val="center"/>
            <w:hideMark/>
          </w:tcPr>
          <w:p w:rsidR="008A621B" w:rsidRPr="00645479" w:rsidRDefault="008A621B" w:rsidP="008A621B">
            <w:pPr>
              <w:keepNext/>
              <w:keepLines/>
              <w:spacing w:after="0" w:line="240" w:lineRule="auto"/>
              <w:jc w:val="right"/>
              <w:rPr>
                <w:rFonts w:asciiTheme="minorHAnsi" w:hAnsiTheme="minorHAnsi" w:cs="Arial"/>
                <w:i/>
                <w:iCs/>
                <w:color w:val="000000"/>
                <w:sz w:val="18"/>
                <w:szCs w:val="18"/>
              </w:rPr>
            </w:pPr>
            <w:r w:rsidRPr="00645479">
              <w:rPr>
                <w:rFonts w:asciiTheme="minorHAnsi" w:hAnsiTheme="minorHAnsi" w:cs="Arial"/>
                <w:i/>
                <w:iCs/>
                <w:color w:val="000000"/>
                <w:sz w:val="18"/>
                <w:szCs w:val="18"/>
              </w:rPr>
              <w:t>258</w:t>
            </w:r>
          </w:p>
        </w:tc>
        <w:tc>
          <w:tcPr>
            <w:tcW w:w="900" w:type="dxa"/>
            <w:shd w:val="clear" w:color="auto" w:fill="C2D7F8" w:themeFill="text2" w:themeFillTint="33"/>
            <w:tcMar>
              <w:left w:w="0" w:type="dxa"/>
              <w:right w:w="288" w:type="dxa"/>
            </w:tcMar>
            <w:vAlign w:val="center"/>
          </w:tcPr>
          <w:p w:rsidR="008A621B" w:rsidRPr="00645479" w:rsidRDefault="008A621B" w:rsidP="008A621B">
            <w:pPr>
              <w:keepNext/>
              <w:keepLines/>
              <w:spacing w:after="0" w:line="240" w:lineRule="auto"/>
              <w:jc w:val="right"/>
              <w:rPr>
                <w:rFonts w:asciiTheme="minorHAnsi" w:eastAsia="Arial" w:hAnsiTheme="minorHAnsi" w:cs="Arial"/>
                <w:i/>
                <w:iCs/>
                <w:color w:val="000000"/>
                <w:sz w:val="18"/>
                <w:szCs w:val="18"/>
              </w:rPr>
            </w:pPr>
            <w:r w:rsidRPr="00645479">
              <w:rPr>
                <w:rFonts w:asciiTheme="minorHAnsi" w:hAnsiTheme="minorHAnsi" w:cs="Arial"/>
                <w:i/>
                <w:iCs/>
                <w:color w:val="000000"/>
                <w:sz w:val="18"/>
                <w:szCs w:val="18"/>
              </w:rPr>
              <w:t>221</w:t>
            </w:r>
          </w:p>
        </w:tc>
        <w:tc>
          <w:tcPr>
            <w:tcW w:w="900" w:type="dxa"/>
            <w:shd w:val="clear" w:color="auto" w:fill="C2D7F8" w:themeFill="text2" w:themeFillTint="33"/>
            <w:vAlign w:val="center"/>
          </w:tcPr>
          <w:p w:rsidR="008A621B" w:rsidRPr="00645479" w:rsidRDefault="008A621B" w:rsidP="008A621B">
            <w:pPr>
              <w:keepNext/>
              <w:keepLines/>
              <w:spacing w:after="0" w:line="240" w:lineRule="auto"/>
              <w:jc w:val="right"/>
              <w:rPr>
                <w:rFonts w:asciiTheme="minorHAnsi" w:hAnsiTheme="minorHAnsi" w:cs="Arial"/>
                <w:bCs/>
                <w:i/>
                <w:color w:val="000000"/>
                <w:sz w:val="18"/>
                <w:szCs w:val="18"/>
              </w:rPr>
            </w:pPr>
            <w:r w:rsidRPr="00645479">
              <w:rPr>
                <w:rFonts w:asciiTheme="minorHAnsi" w:hAnsiTheme="minorHAnsi" w:cs="Arial"/>
                <w:bCs/>
                <w:i/>
                <w:color w:val="000000"/>
                <w:sz w:val="18"/>
                <w:szCs w:val="18"/>
              </w:rPr>
              <w:t>247</w:t>
            </w:r>
          </w:p>
        </w:tc>
        <w:tc>
          <w:tcPr>
            <w:tcW w:w="900" w:type="dxa"/>
            <w:shd w:val="clear" w:color="auto" w:fill="C2D7F8" w:themeFill="text2" w:themeFillTint="33"/>
            <w:vAlign w:val="center"/>
          </w:tcPr>
          <w:p w:rsidR="008A621B" w:rsidRPr="00645479" w:rsidRDefault="008A621B" w:rsidP="008A621B">
            <w:pPr>
              <w:keepNext/>
              <w:keepLines/>
              <w:spacing w:after="0" w:line="240" w:lineRule="auto"/>
              <w:jc w:val="right"/>
              <w:rPr>
                <w:rFonts w:asciiTheme="minorHAnsi" w:hAnsiTheme="minorHAnsi" w:cs="Arial"/>
                <w:bCs/>
                <w:i/>
                <w:color w:val="000000"/>
                <w:sz w:val="18"/>
                <w:szCs w:val="18"/>
              </w:rPr>
            </w:pPr>
            <w:r w:rsidRPr="00645479">
              <w:rPr>
                <w:rFonts w:asciiTheme="minorHAnsi" w:hAnsiTheme="minorHAnsi" w:cs="Arial"/>
                <w:bCs/>
                <w:i/>
                <w:color w:val="000000"/>
                <w:sz w:val="18"/>
                <w:szCs w:val="18"/>
              </w:rPr>
              <w:t>245</w:t>
            </w:r>
          </w:p>
        </w:tc>
        <w:tc>
          <w:tcPr>
            <w:tcW w:w="900" w:type="dxa"/>
            <w:shd w:val="clear" w:color="auto" w:fill="C2D7F8" w:themeFill="text2" w:themeFillTint="33"/>
            <w:vAlign w:val="center"/>
          </w:tcPr>
          <w:p w:rsidR="008A621B" w:rsidRPr="00645479" w:rsidRDefault="008A621B" w:rsidP="008A621B">
            <w:pPr>
              <w:keepNext/>
              <w:keepLines/>
              <w:spacing w:after="0" w:line="240" w:lineRule="auto"/>
              <w:jc w:val="right"/>
              <w:rPr>
                <w:rFonts w:asciiTheme="minorHAnsi" w:hAnsiTheme="minorHAnsi" w:cs="Arial"/>
                <w:bCs/>
                <w:i/>
                <w:color w:val="000000"/>
                <w:sz w:val="18"/>
                <w:szCs w:val="18"/>
              </w:rPr>
            </w:pPr>
            <w:r w:rsidRPr="00645479">
              <w:rPr>
                <w:rFonts w:asciiTheme="minorHAnsi" w:hAnsiTheme="minorHAnsi" w:cs="Arial"/>
                <w:bCs/>
                <w:i/>
                <w:color w:val="000000"/>
                <w:sz w:val="18"/>
                <w:szCs w:val="18"/>
              </w:rPr>
              <w:t>341</w:t>
            </w:r>
          </w:p>
        </w:tc>
      </w:tr>
      <w:tr w:rsidR="00B61122" w:rsidRPr="009E52E9" w:rsidTr="00B61122">
        <w:trPr>
          <w:cantSplit/>
          <w:trHeight w:val="360"/>
          <w:jc w:val="center"/>
        </w:trPr>
        <w:tc>
          <w:tcPr>
            <w:tcW w:w="2356" w:type="dxa"/>
            <w:shd w:val="clear" w:color="auto" w:fill="auto"/>
            <w:noWrap/>
            <w:vAlign w:val="center"/>
            <w:hideMark/>
          </w:tcPr>
          <w:p w:rsidR="008A621B" w:rsidRPr="009E52E9" w:rsidRDefault="008A621B" w:rsidP="008A621B">
            <w:pPr>
              <w:keepNext/>
              <w:keepLines/>
              <w:spacing w:after="0" w:line="240" w:lineRule="auto"/>
              <w:rPr>
                <w:rFonts w:asciiTheme="minorHAnsi" w:hAnsiTheme="minorHAnsi" w:cs="Arial"/>
                <w:b/>
                <w:bCs/>
                <w:color w:val="000000"/>
                <w:sz w:val="18"/>
                <w:szCs w:val="18"/>
              </w:rPr>
            </w:pPr>
            <w:r w:rsidRPr="00D2243F">
              <w:rPr>
                <w:rFonts w:asciiTheme="minorHAnsi" w:hAnsiTheme="minorHAnsi" w:cs="Arial"/>
                <w:b/>
                <w:bCs/>
                <w:color w:val="000000"/>
                <w:sz w:val="18"/>
                <w:szCs w:val="18"/>
              </w:rPr>
              <w:t>Import resources</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0</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1,529</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817</w:t>
            </w:r>
          </w:p>
        </w:tc>
        <w:tc>
          <w:tcPr>
            <w:tcW w:w="900" w:type="dxa"/>
            <w:shd w:val="clear" w:color="auto" w:fill="auto"/>
            <w:noWrap/>
            <w:tcMar>
              <w:left w:w="0" w:type="dxa"/>
              <w:right w:w="288" w:type="dxa"/>
            </w:tcMar>
            <w:vAlign w:val="center"/>
            <w:hideMark/>
          </w:tcPr>
          <w:p w:rsidR="008A621B" w:rsidRPr="009E52E9" w:rsidRDefault="008A621B" w:rsidP="008A621B">
            <w:pPr>
              <w:keepNext/>
              <w:keepLines/>
              <w:spacing w:after="0" w:line="240" w:lineRule="auto"/>
              <w:jc w:val="right"/>
              <w:rPr>
                <w:rFonts w:asciiTheme="minorHAnsi" w:hAnsiTheme="minorHAnsi" w:cs="Arial"/>
                <w:bCs/>
                <w:color w:val="000000"/>
                <w:sz w:val="18"/>
                <w:szCs w:val="18"/>
              </w:rPr>
            </w:pPr>
            <w:r w:rsidRPr="00D2243F">
              <w:rPr>
                <w:rFonts w:asciiTheme="minorHAnsi" w:hAnsiTheme="minorHAnsi" w:cs="Arial"/>
                <w:bCs/>
                <w:color w:val="000000"/>
                <w:sz w:val="18"/>
                <w:szCs w:val="18"/>
              </w:rPr>
              <w:t>831</w:t>
            </w:r>
          </w:p>
        </w:tc>
        <w:tc>
          <w:tcPr>
            <w:tcW w:w="900" w:type="dxa"/>
            <w:tcMar>
              <w:left w:w="0" w:type="dxa"/>
              <w:right w:w="288" w:type="dxa"/>
            </w:tcMar>
            <w:vAlign w:val="center"/>
          </w:tcPr>
          <w:p w:rsidR="008A621B" w:rsidRPr="009E52E9" w:rsidRDefault="008A621B" w:rsidP="008A621B">
            <w:pPr>
              <w:keepNext/>
              <w:keepLines/>
              <w:spacing w:after="0" w:line="240" w:lineRule="auto"/>
              <w:jc w:val="right"/>
              <w:rPr>
                <w:rFonts w:asciiTheme="minorHAnsi" w:eastAsia="Arial" w:hAnsiTheme="minorHAnsi" w:cs="Arial"/>
                <w:bCs/>
                <w:color w:val="000000"/>
                <w:sz w:val="18"/>
                <w:szCs w:val="18"/>
              </w:rPr>
            </w:pPr>
            <w:r w:rsidRPr="00D2243F">
              <w:rPr>
                <w:rFonts w:asciiTheme="minorHAnsi" w:hAnsiTheme="minorHAnsi" w:cs="Arial"/>
                <w:bCs/>
                <w:color w:val="000000"/>
                <w:sz w:val="18"/>
                <w:szCs w:val="18"/>
              </w:rPr>
              <w:t>871</w:t>
            </w:r>
          </w:p>
        </w:tc>
        <w:tc>
          <w:tcPr>
            <w:tcW w:w="900" w:type="dxa"/>
            <w:vAlign w:val="center"/>
          </w:tcPr>
          <w:p w:rsidR="008A621B" w:rsidRPr="00D2243F"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1,648</w:t>
            </w:r>
          </w:p>
        </w:tc>
        <w:tc>
          <w:tcPr>
            <w:tcW w:w="900" w:type="dxa"/>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1,718</w:t>
            </w:r>
          </w:p>
        </w:tc>
        <w:tc>
          <w:tcPr>
            <w:tcW w:w="900" w:type="dxa"/>
            <w:vAlign w:val="center"/>
          </w:tcPr>
          <w:p w:rsidR="008A621B" w:rsidRDefault="008A621B" w:rsidP="008A621B">
            <w:pPr>
              <w:keepNext/>
              <w:keepLines/>
              <w:spacing w:after="0" w:line="240" w:lineRule="auto"/>
              <w:jc w:val="right"/>
              <w:rPr>
                <w:rFonts w:asciiTheme="minorHAnsi" w:hAnsiTheme="minorHAnsi" w:cs="Arial"/>
                <w:bCs/>
                <w:color w:val="000000"/>
                <w:sz w:val="18"/>
                <w:szCs w:val="18"/>
              </w:rPr>
            </w:pPr>
            <w:r>
              <w:rPr>
                <w:rFonts w:asciiTheme="minorHAnsi" w:hAnsiTheme="minorHAnsi" w:cs="Arial"/>
                <w:bCs/>
                <w:color w:val="000000"/>
                <w:sz w:val="18"/>
                <w:szCs w:val="18"/>
              </w:rPr>
              <w:t>1,154</w:t>
            </w:r>
          </w:p>
        </w:tc>
      </w:tr>
    </w:tbl>
    <w:p w:rsidR="008A621B" w:rsidRPr="00636EE8" w:rsidRDefault="008A621B" w:rsidP="00B61122">
      <w:pPr>
        <w:keepNext/>
        <w:keepLines/>
        <w:tabs>
          <w:tab w:val="left" w:pos="-720"/>
        </w:tabs>
        <w:spacing w:before="120" w:line="240" w:lineRule="auto"/>
        <w:ind w:right="-270" w:hanging="270"/>
        <w:rPr>
          <w:color w:val="000000" w:themeColor="text1"/>
          <w:sz w:val="16"/>
          <w:szCs w:val="16"/>
        </w:rPr>
      </w:pPr>
      <w:r w:rsidRPr="00636EE8">
        <w:rPr>
          <w:rFonts w:asciiTheme="minorHAnsi" w:hAnsiTheme="minorHAnsi" w:cs="Arial"/>
          <w:sz w:val="16"/>
          <w:szCs w:val="16"/>
        </w:rPr>
        <w:t xml:space="preserve">(a) </w:t>
      </w:r>
      <w:r w:rsidRPr="00636EE8">
        <w:rPr>
          <w:rFonts w:asciiTheme="minorHAnsi" w:hAnsiTheme="minorHAnsi" w:cs="Arial"/>
          <w:sz w:val="16"/>
          <w:szCs w:val="16"/>
        </w:rPr>
        <w:tab/>
        <w:t xml:space="preserve">New RTEG capacity is not included in the table values because </w:t>
      </w:r>
      <w:r w:rsidR="00636EE8">
        <w:rPr>
          <w:rFonts w:asciiTheme="minorHAnsi" w:hAnsiTheme="minorHAnsi" w:cs="Arial"/>
          <w:sz w:val="16"/>
          <w:szCs w:val="16"/>
        </w:rPr>
        <w:t xml:space="preserve">the FCA treats </w:t>
      </w:r>
      <w:r w:rsidRPr="00636EE8">
        <w:rPr>
          <w:rFonts w:asciiTheme="minorHAnsi" w:hAnsiTheme="minorHAnsi" w:cs="Arial"/>
          <w:sz w:val="16"/>
          <w:szCs w:val="16"/>
        </w:rPr>
        <w:t>it as existing capacity. Repowered existing generating capacity (i.e., capacity that has undergone environmental upgrades), which is treated as new capacity in the FCA, has been removed as well. Refer to the full auction results at</w:t>
      </w:r>
      <w:r w:rsidR="003A1664" w:rsidRPr="00636EE8">
        <w:rPr>
          <w:rFonts w:asciiTheme="minorHAnsi" w:hAnsiTheme="minorHAnsi" w:cs="Arial"/>
          <w:sz w:val="16"/>
          <w:szCs w:val="16"/>
        </w:rPr>
        <w:t xml:space="preserve"> </w:t>
      </w:r>
      <w:hyperlink r:id="rId34" w:history="1">
        <w:r w:rsidR="003A1664" w:rsidRPr="00636EE8">
          <w:rPr>
            <w:rStyle w:val="Hyperlink"/>
            <w:rFonts w:asciiTheme="minorHAnsi" w:hAnsiTheme="minorHAnsi" w:cs="Arial"/>
            <w:sz w:val="16"/>
            <w:szCs w:val="16"/>
          </w:rPr>
          <w:t>http://www.iso-ne.com/isoexpress/web/reports/auctions/-/tree/fcm-auction-results</w:t>
        </w:r>
      </w:hyperlink>
      <w:r w:rsidRPr="00636EE8">
        <w:rPr>
          <w:rFonts w:asciiTheme="minorHAnsi" w:hAnsiTheme="minorHAnsi" w:cs="Arial"/>
          <w:sz w:val="16"/>
          <w:szCs w:val="16"/>
        </w:rPr>
        <w:t>.</w:t>
      </w:r>
    </w:p>
    <w:p w:rsidR="008A621B" w:rsidRPr="006E718F" w:rsidRDefault="008A621B" w:rsidP="008A621B">
      <w:pPr>
        <w:pStyle w:val="Heading4"/>
        <w:rPr>
          <w:rFonts w:eastAsia="Times New Roman"/>
        </w:rPr>
      </w:pPr>
      <w:bookmarkStart w:id="385" w:name="_Ref387743694"/>
      <w:bookmarkStart w:id="386" w:name="_Ref334017426"/>
      <w:bookmarkStart w:id="387" w:name="_Toc334601029"/>
      <w:bookmarkStart w:id="388" w:name="_Toc239157068"/>
      <w:bookmarkStart w:id="389" w:name="_Toc271632223"/>
      <w:bookmarkStart w:id="390" w:name="_Ref301440924"/>
      <w:bookmarkStart w:id="391" w:name="_Toc303086381"/>
      <w:r w:rsidRPr="006E718F">
        <w:rPr>
          <w:rFonts w:eastAsia="Times New Roman"/>
        </w:rPr>
        <w:t>Outcomes of 2013 Delist Bids</w:t>
      </w:r>
      <w:bookmarkEnd w:id="385"/>
    </w:p>
    <w:p w:rsidR="008A621B" w:rsidRDefault="008A621B" w:rsidP="008A621B">
      <w:r>
        <w:t>In the first</w:t>
      </w:r>
      <w:r w:rsidRPr="000D378D">
        <w:t xml:space="preserve"> seven capacity auctions </w:t>
      </w:r>
      <w:r>
        <w:t xml:space="preserve">held </w:t>
      </w:r>
      <w:r w:rsidRPr="000D378D">
        <w:t>since 2008, with one limited exception, the market cleared at the price floor</w:t>
      </w:r>
      <w:r>
        <w:t>,</w:t>
      </w:r>
      <w:r w:rsidRPr="000D378D">
        <w:t xml:space="preserve"> and the</w:t>
      </w:r>
      <w:r>
        <w:t xml:space="preserve"> </w:t>
      </w:r>
      <w:r w:rsidRPr="000D378D">
        <w:t xml:space="preserve">region procured </w:t>
      </w:r>
      <w:r>
        <w:t xml:space="preserve">a </w:t>
      </w:r>
      <w:r w:rsidRPr="000D378D">
        <w:t>significant</w:t>
      </w:r>
      <w:r>
        <w:t xml:space="preserve"> </w:t>
      </w:r>
      <w:r w:rsidRPr="000D378D">
        <w:t xml:space="preserve">excess </w:t>
      </w:r>
      <w:r>
        <w:t xml:space="preserve">of </w:t>
      </w:r>
      <w:r w:rsidRPr="000D378D">
        <w:t xml:space="preserve">capacity. As </w:t>
      </w:r>
      <w:proofErr w:type="gramStart"/>
      <w:r w:rsidRPr="000D378D">
        <w:t>recently</w:t>
      </w:r>
      <w:proofErr w:type="gramEnd"/>
      <w:r w:rsidRPr="000D378D">
        <w:t xml:space="preserve"> as fall 2013,</w:t>
      </w:r>
      <w:r>
        <w:t xml:space="preserve"> </w:t>
      </w:r>
      <w:r w:rsidRPr="000D378D">
        <w:t>a surplus of capacity resources (both new and existing)</w:t>
      </w:r>
      <w:r>
        <w:t xml:space="preserve"> appeared likely to </w:t>
      </w:r>
      <w:r w:rsidRPr="000D378D">
        <w:t>be participating in the eighth FCA.</w:t>
      </w:r>
    </w:p>
    <w:p w:rsidR="008A621B" w:rsidRDefault="008A621B" w:rsidP="008A621B">
      <w:r w:rsidRPr="00CB3685">
        <w:t>A</w:t>
      </w:r>
      <w:r w:rsidRPr="005537DF">
        <w:t>fter the deadline for seeking to qualify new resources to participate in the eighth FCA, however, the capacity supply situation in New England changed</w:t>
      </w:r>
      <w:r>
        <w:t xml:space="preserve"> dramatically</w:t>
      </w:r>
      <w:r w:rsidRPr="005537DF">
        <w:t>. In</w:t>
      </w:r>
      <w:r w:rsidRPr="00D77BBA">
        <w:t xml:space="preserve"> August 2013, Entergy announced the retirement of the Vermont</w:t>
      </w:r>
      <w:r>
        <w:t xml:space="preserve"> </w:t>
      </w:r>
      <w:r w:rsidRPr="00D77BBA">
        <w:t xml:space="preserve">Yankee </w:t>
      </w:r>
      <w:r w:rsidR="004D35E1">
        <w:t xml:space="preserve">(VY) </w:t>
      </w:r>
      <w:r w:rsidRPr="00D77BBA">
        <w:t>nuclear plant (604 MW) and submitted a</w:t>
      </w:r>
      <w:r>
        <w:t xml:space="preserve"> </w:t>
      </w:r>
      <w:proofErr w:type="spellStart"/>
      <w:r>
        <w:t>nonprice</w:t>
      </w:r>
      <w:proofErr w:type="spellEnd"/>
      <w:r>
        <w:t xml:space="preserve"> retirement request </w:t>
      </w:r>
      <w:r w:rsidRPr="005B1F61">
        <w:t>(NPRR).</w:t>
      </w:r>
      <w:r>
        <w:rPr>
          <w:rStyle w:val="FootnoteReference"/>
        </w:rPr>
        <w:footnoteReference w:id="144"/>
      </w:r>
      <w:r>
        <w:t xml:space="preserve"> The ISO</w:t>
      </w:r>
      <w:r w:rsidRPr="00D77BBA">
        <w:t xml:space="preserve"> subsequently</w:t>
      </w:r>
      <w:r>
        <w:t xml:space="preserve"> </w:t>
      </w:r>
      <w:r w:rsidRPr="00D77BBA">
        <w:t xml:space="preserve">determined the resource </w:t>
      </w:r>
      <w:proofErr w:type="gramStart"/>
      <w:r w:rsidRPr="00D77BBA">
        <w:t>was not needed</w:t>
      </w:r>
      <w:proofErr w:type="gramEnd"/>
      <w:r w:rsidRPr="00D77BBA">
        <w:t xml:space="preserve"> for reliability. In </w:t>
      </w:r>
      <w:r w:rsidRPr="005537DF">
        <w:t>late September/early October 2013, other market participants submitted NPRRs</w:t>
      </w:r>
      <w:r w:rsidRPr="005B1F61">
        <w:t xml:space="preserve"> for an </w:t>
      </w:r>
      <w:r w:rsidRPr="006E718F">
        <w:t>additional 2,</w:t>
      </w:r>
      <w:r w:rsidR="002033A2">
        <w:t>5</w:t>
      </w:r>
      <w:r w:rsidRPr="006E718F">
        <w:t xml:space="preserve">31 </w:t>
      </w:r>
      <w:r w:rsidRPr="005B1F61">
        <w:t>MW to leave the market</w:t>
      </w:r>
      <w:r>
        <w:t xml:space="preserve">. This total consisted of </w:t>
      </w:r>
      <w:r w:rsidRPr="00D77BBA">
        <w:t>five resources representing 1,535 MW</w:t>
      </w:r>
      <w:r>
        <w:t xml:space="preserve"> </w:t>
      </w:r>
      <w:r w:rsidRPr="00D77BBA">
        <w:t xml:space="preserve">from the </w:t>
      </w:r>
      <w:proofErr w:type="spellStart"/>
      <w:r w:rsidRPr="00D77BBA">
        <w:t>Brayton</w:t>
      </w:r>
      <w:proofErr w:type="spellEnd"/>
      <w:r w:rsidRPr="00D77BBA">
        <w:t xml:space="preserve"> Point Station, three resources representing 342 MW from</w:t>
      </w:r>
      <w:r>
        <w:t xml:space="preserve"> </w:t>
      </w:r>
      <w:r w:rsidRPr="00D77BBA">
        <w:t>Norwalk Harbor Station</w:t>
      </w:r>
      <w:r>
        <w:t>,</w:t>
      </w:r>
      <w:r w:rsidRPr="00D77BBA">
        <w:t xml:space="preserve"> </w:t>
      </w:r>
      <w:r w:rsidR="002033A2">
        <w:t xml:space="preserve">100 MW from several small generating resources, </w:t>
      </w:r>
      <w:r w:rsidRPr="00D77BBA">
        <w:t>and</w:t>
      </w:r>
      <w:r w:rsidR="0009099A">
        <w:t xml:space="preserve"> approximately</w:t>
      </w:r>
      <w:r w:rsidRPr="00D77BBA">
        <w:t xml:space="preserve"> 554 MW of demand</w:t>
      </w:r>
      <w:r w:rsidR="002033A2">
        <w:t xml:space="preserve"> </w:t>
      </w:r>
      <w:r w:rsidRPr="00D77BBA">
        <w:t>resources.</w:t>
      </w:r>
      <w:r w:rsidR="002033A2">
        <w:rPr>
          <w:rStyle w:val="FootnoteReference"/>
        </w:rPr>
        <w:footnoteReference w:id="145"/>
      </w:r>
      <w:r w:rsidRPr="00D77BBA">
        <w:t xml:space="preserve"> </w:t>
      </w:r>
    </w:p>
    <w:p w:rsidR="00401958" w:rsidRDefault="008A621B" w:rsidP="00401958">
      <w:r w:rsidRPr="00D77BBA">
        <w:t>On</w:t>
      </w:r>
      <w:r>
        <w:t xml:space="preserve"> </w:t>
      </w:r>
      <w:r w:rsidRPr="00D77BBA">
        <w:t>December 20, 2013</w:t>
      </w:r>
      <w:r>
        <w:t>,</w:t>
      </w:r>
      <w:r w:rsidRPr="00D77BBA">
        <w:t xml:space="preserve"> the ISO issued the reliability determination for these</w:t>
      </w:r>
      <w:r>
        <w:t xml:space="preserve"> </w:t>
      </w:r>
      <w:r w:rsidRPr="00D77BBA">
        <w:t>resources</w:t>
      </w:r>
      <w:r>
        <w:t xml:space="preserve"> stating that </w:t>
      </w:r>
      <w:r w:rsidRPr="00D77BBA">
        <w:t xml:space="preserve">the </w:t>
      </w:r>
      <w:proofErr w:type="spellStart"/>
      <w:r w:rsidRPr="00D77BBA">
        <w:t>Brayton</w:t>
      </w:r>
      <w:proofErr w:type="spellEnd"/>
      <w:r w:rsidRPr="00D77BBA">
        <w:t xml:space="preserve"> Point Station </w:t>
      </w:r>
      <w:r>
        <w:t>generators #</w:t>
      </w:r>
      <w:r w:rsidRPr="00D77BBA">
        <w:t xml:space="preserve">1 </w:t>
      </w:r>
      <w:r>
        <w:t>to #</w:t>
      </w:r>
      <w:r w:rsidRPr="00D77BBA">
        <w:t xml:space="preserve">4 </w:t>
      </w:r>
      <w:proofErr w:type="gramStart"/>
      <w:r w:rsidRPr="00D77BBA">
        <w:t>were needed</w:t>
      </w:r>
      <w:proofErr w:type="gramEnd"/>
      <w:r w:rsidRPr="00D77BBA">
        <w:t xml:space="preserve"> for reliability. Given </w:t>
      </w:r>
      <w:proofErr w:type="spellStart"/>
      <w:r w:rsidRPr="00D77BBA">
        <w:t>Brayton</w:t>
      </w:r>
      <w:proofErr w:type="spellEnd"/>
      <w:r w:rsidRPr="00D77BBA">
        <w:t xml:space="preserve"> Point’s subsequent decision to retire on June 1, 2017,</w:t>
      </w:r>
      <w:r>
        <w:t xml:space="preserve"> </w:t>
      </w:r>
      <w:r w:rsidRPr="00D77BBA">
        <w:t>these events combined to change the supply-demand balance from a surplus of</w:t>
      </w:r>
      <w:r>
        <w:t xml:space="preserve"> </w:t>
      </w:r>
      <w:r w:rsidRPr="00D77BBA">
        <w:t xml:space="preserve">over 2,000 MW </w:t>
      </w:r>
      <w:r w:rsidR="00636EE8">
        <w:t xml:space="preserve">of existing resources </w:t>
      </w:r>
      <w:r w:rsidRPr="00D77BBA">
        <w:t>to a deficiency of over 1,000 MW</w:t>
      </w:r>
      <w:r>
        <w:t xml:space="preserve"> </w:t>
      </w:r>
      <w:r w:rsidRPr="00D77BBA">
        <w:t xml:space="preserve">compared </w:t>
      </w:r>
      <w:r>
        <w:t>with</w:t>
      </w:r>
      <w:r w:rsidRPr="00D77BBA">
        <w:t xml:space="preserve"> the ICR. This abrupt change in the supply-demand balance</w:t>
      </w:r>
      <w:r>
        <w:t>,</w:t>
      </w:r>
      <w:r w:rsidRPr="00D77BBA">
        <w:t xml:space="preserve"> coupled</w:t>
      </w:r>
      <w:r>
        <w:t xml:space="preserve"> </w:t>
      </w:r>
      <w:r w:rsidRPr="00D77BBA">
        <w:t xml:space="preserve">with a general decline </w:t>
      </w:r>
      <w:r w:rsidRPr="004C2F17">
        <w:t xml:space="preserve">in the amount of new resources seeking to participate in the auction (see </w:t>
      </w:r>
      <w:fldSimple w:instr=" REF _Ref297975965 \h  \* MERGEFORMAT ">
        <w:r w:rsidR="00284CE3" w:rsidRPr="002B2200">
          <w:t xml:space="preserve">Table </w:t>
        </w:r>
        <w:r w:rsidR="00284CE3">
          <w:rPr>
            <w:noProof/>
          </w:rPr>
          <w:t>4</w:t>
        </w:r>
        <w:r w:rsidR="00284CE3">
          <w:rPr>
            <w:noProof/>
          </w:rPr>
          <w:noBreakHyphen/>
          <w:t>5</w:t>
        </w:r>
      </w:fldSimple>
      <w:r w:rsidRPr="004C2F17">
        <w:t>), resulted in</w:t>
      </w:r>
      <w:r w:rsidRPr="00D77BBA">
        <w:t xml:space="preserve"> </w:t>
      </w:r>
      <w:r w:rsidR="004C2F17">
        <w:t xml:space="preserve">insufficient competition among new resources for setting a competitive price in </w:t>
      </w:r>
      <w:r w:rsidRPr="00D77BBA">
        <w:t xml:space="preserve">the </w:t>
      </w:r>
      <w:r w:rsidRPr="004C2F17">
        <w:t xml:space="preserve">auction </w:t>
      </w:r>
      <w:r w:rsidR="004C2F17">
        <w:t xml:space="preserve">and thus </w:t>
      </w:r>
      <w:r w:rsidRPr="004C2F17">
        <w:t>prices being set by administrative pricing rules in the tariff.</w:t>
      </w:r>
      <w:r w:rsidRPr="004C2F17">
        <w:rPr>
          <w:rStyle w:val="FootnoteReference"/>
        </w:rPr>
        <w:footnoteReference w:id="146"/>
      </w:r>
      <w:r>
        <w:t xml:space="preserve"> </w:t>
      </w:r>
    </w:p>
    <w:p w:rsidR="008A621B" w:rsidRPr="00EA2C7A" w:rsidRDefault="008A621B" w:rsidP="008A621B">
      <w:pPr>
        <w:pStyle w:val="Heading4"/>
      </w:pPr>
      <w:r w:rsidRPr="00CA14AF">
        <w:t xml:space="preserve">Representative </w:t>
      </w:r>
      <w:proofErr w:type="spellStart"/>
      <w:r w:rsidRPr="00CA14AF">
        <w:t>Systemwide</w:t>
      </w:r>
      <w:proofErr w:type="spellEnd"/>
      <w:r w:rsidRPr="00CA14AF">
        <w:t xml:space="preserve"> Resource Needs</w:t>
      </w:r>
      <w:bookmarkEnd w:id="386"/>
      <w:bookmarkEnd w:id="387"/>
      <w:r w:rsidRPr="00CA14AF">
        <w:t xml:space="preserve"> </w:t>
      </w:r>
    </w:p>
    <w:p w:rsidR="008A621B" w:rsidRDefault="008A621B" w:rsidP="008A621B">
      <w:r w:rsidRPr="00185374">
        <w:t xml:space="preserve">The </w:t>
      </w:r>
      <w:proofErr w:type="spellStart"/>
      <w:proofErr w:type="gramStart"/>
      <w:r w:rsidRPr="00185374">
        <w:t>systemwide</w:t>
      </w:r>
      <w:proofErr w:type="spellEnd"/>
      <w:r w:rsidRPr="00185374">
        <w:t xml:space="preserve"> capacity needs are shown by the </w:t>
      </w:r>
      <w:r>
        <w:t>representative</w:t>
      </w:r>
      <w:r w:rsidRPr="00185374">
        <w:t xml:space="preserve"> net ICR values for future years (see </w:t>
      </w:r>
      <w:r w:rsidRPr="00D20C9B">
        <w:t xml:space="preserve">Section </w:t>
      </w:r>
      <w:fldSimple w:instr=" REF _Ref387673339 \r \h  \* MERGEFORMAT ">
        <w:r w:rsidR="00284CE3">
          <w:t>4.1.1</w:t>
        </w:r>
      </w:fldSimple>
      <w:r w:rsidRPr="00D20C9B">
        <w:t>)</w:t>
      </w:r>
      <w:proofErr w:type="gramEnd"/>
      <w:r w:rsidRPr="00D20C9B">
        <w:t xml:space="preserve">. </w:t>
      </w:r>
      <w:fldSimple w:instr=" REF _Ref325445701 \h  \* MERGEFORMAT ">
        <w:r w:rsidR="00284CE3" w:rsidRPr="005E03EC">
          <w:t xml:space="preserve">Table </w:t>
        </w:r>
        <w:r w:rsidR="00284CE3">
          <w:rPr>
            <w:noProof/>
          </w:rPr>
          <w:t>4</w:t>
        </w:r>
        <w:r w:rsidR="00284CE3">
          <w:rPr>
            <w:noProof/>
          </w:rPr>
          <w:noBreakHyphen/>
          <w:t>6</w:t>
        </w:r>
      </w:fldSimple>
      <w:r w:rsidRPr="00D20C9B">
        <w:t xml:space="preserve"> compares these </w:t>
      </w:r>
      <w:proofErr w:type="spellStart"/>
      <w:r w:rsidRPr="00D20C9B">
        <w:t>systemwide</w:t>
      </w:r>
      <w:proofErr w:type="spellEnd"/>
      <w:r w:rsidRPr="00D20C9B">
        <w:t xml:space="preserve"> needs with the resources procured in FCA #8</w:t>
      </w:r>
      <w:r w:rsidR="00D20C9B">
        <w:t>,</w:t>
      </w:r>
      <w:r w:rsidRPr="00D20C9B">
        <w:t xml:space="preserve"> </w:t>
      </w:r>
      <w:r w:rsidR="00D24CD4" w:rsidRPr="00D24CD4">
        <w:t>accounting for</w:t>
      </w:r>
      <w:r w:rsidRPr="0085309B">
        <w:t xml:space="preserve"> the energy-efficiency forecast (see Section</w:t>
      </w:r>
      <w:r w:rsidR="00D20C9B" w:rsidRPr="0085309B">
        <w:t xml:space="preserve"> </w:t>
      </w:r>
      <w:fldSimple w:instr=" REF _Ref387327848 \r \h  \* MERGEFORMAT ">
        <w:r w:rsidR="00284CE3">
          <w:t>3.2</w:t>
        </w:r>
      </w:fldSimple>
      <w:r w:rsidRPr="0085309B">
        <w:t>) that projects the future levels of</w:t>
      </w:r>
      <w:r w:rsidRPr="00D20C9B">
        <w:t xml:space="preserve"> passive demand</w:t>
      </w:r>
      <w:r>
        <w:t xml:space="preserve"> resources. This projection assumes that all resources with capacity supply obligations</w:t>
      </w:r>
      <w:r w:rsidRPr="00063594">
        <w:t xml:space="preserve"> </w:t>
      </w:r>
      <w:r>
        <w:t xml:space="preserve">through FCA #8 are in commercial service by the start of the eighth capacity commitment period commencing in June 2017 and that they remain in service for the 10-year planning horizon. The resource </w:t>
      </w:r>
      <w:r w:rsidRPr="0085309B">
        <w:t>shortage</w:t>
      </w:r>
      <w:r w:rsidR="00E6384C">
        <w:t>s</w:t>
      </w:r>
      <w:r w:rsidRPr="0085309B">
        <w:t xml:space="preserve"> from 2019 through 2023 respectively show the minimum amount of </w:t>
      </w:r>
      <w:r w:rsidR="0085309B" w:rsidRPr="0085309B">
        <w:t xml:space="preserve">regional </w:t>
      </w:r>
      <w:r w:rsidR="00D24CD4" w:rsidRPr="00D24CD4">
        <w:t>system</w:t>
      </w:r>
      <w:r w:rsidRPr="0085309B">
        <w:t xml:space="preserve"> needs</w:t>
      </w:r>
      <w:r w:rsidR="00D24CD4" w:rsidRPr="00D24CD4">
        <w:t>,</w:t>
      </w:r>
      <w:r w:rsidRPr="0085309B">
        <w:t xml:space="preserve"> assuming that no additional retirements occur. As shown in Table 4-6,</w:t>
      </w:r>
      <w:r w:rsidRPr="000E5754">
        <w:t xml:space="preserve"> the region </w:t>
      </w:r>
      <w:proofErr w:type="gramStart"/>
      <w:r w:rsidRPr="000E5754">
        <w:t>is expected</w:t>
      </w:r>
      <w:proofErr w:type="gramEnd"/>
      <w:r w:rsidRPr="000E5754">
        <w:t xml:space="preserve"> to need</w:t>
      </w:r>
      <w:r>
        <w:t xml:space="preserve"> approximately </w:t>
      </w:r>
      <w:r w:rsidR="00F343A9">
        <w:t>425 </w:t>
      </w:r>
      <w:r>
        <w:t>MW of new resources starting with 2019, and the cumulative need is expected to increase to approximately 1,</w:t>
      </w:r>
      <w:r w:rsidR="00E30950">
        <w:t>155 </w:t>
      </w:r>
      <w:r>
        <w:t xml:space="preserve">MW, if the projected load and capacity assumptions materialize. </w:t>
      </w:r>
    </w:p>
    <w:p w:rsidR="008A621B" w:rsidRPr="00E52B20" w:rsidRDefault="008A621B" w:rsidP="008A621B">
      <w:pPr>
        <w:pStyle w:val="Caption"/>
      </w:pPr>
      <w:bookmarkStart w:id="392" w:name="_Ref325445701"/>
      <w:bookmarkStart w:id="393" w:name="_Toc330401259"/>
      <w:bookmarkStart w:id="394" w:name="_Toc334541932"/>
      <w:bookmarkStart w:id="395" w:name="_Toc334541969"/>
      <w:bookmarkStart w:id="396" w:name="_Toc365440708"/>
      <w:bookmarkStart w:id="397" w:name="_Toc391985608"/>
      <w:r w:rsidRPr="005E03EC">
        <w:t xml:space="preserve">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6</w:t>
      </w:r>
      <w:r w:rsidR="00927965">
        <w:fldChar w:fldCharType="end"/>
      </w:r>
      <w:bookmarkEnd w:id="392"/>
      <w:r w:rsidRPr="005E03EC">
        <w:t xml:space="preserve"> </w:t>
      </w:r>
      <w:r w:rsidRPr="005E03EC">
        <w:br/>
        <w:t xml:space="preserve">Future </w:t>
      </w:r>
      <w:proofErr w:type="spellStart"/>
      <w:r w:rsidRPr="005E03EC">
        <w:t>Systemwide</w:t>
      </w:r>
      <w:proofErr w:type="spellEnd"/>
      <w:r w:rsidRPr="005E03EC">
        <w:t xml:space="preserve"> Needs (MW)</w:t>
      </w:r>
      <w:bookmarkEnd w:id="393"/>
      <w:bookmarkEnd w:id="394"/>
      <w:bookmarkEnd w:id="395"/>
      <w:bookmarkEnd w:id="396"/>
      <w:bookmarkEnd w:id="397"/>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383"/>
        <w:gridCol w:w="1373"/>
        <w:gridCol w:w="1598"/>
        <w:gridCol w:w="1534"/>
        <w:gridCol w:w="1337"/>
        <w:gridCol w:w="1657"/>
      </w:tblGrid>
      <w:tr w:rsidR="008A621B" w:rsidRPr="000319F5" w:rsidTr="00F332DA">
        <w:trPr>
          <w:jc w:val="center"/>
        </w:trPr>
        <w:tc>
          <w:tcPr>
            <w:tcW w:w="1383"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Year</w:t>
            </w:r>
          </w:p>
        </w:tc>
        <w:tc>
          <w:tcPr>
            <w:tcW w:w="1373"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50/50</w:t>
            </w:r>
            <w:r w:rsidRPr="00385FE1">
              <w:rPr>
                <w:rFonts w:asciiTheme="minorHAnsi" w:hAnsiTheme="minorHAnsi"/>
                <w:b/>
                <w:color w:val="FFFFFF" w:themeColor="background1"/>
                <w:sz w:val="18"/>
                <w:szCs w:val="18"/>
              </w:rPr>
              <w:br/>
              <w:t>Peak Load</w:t>
            </w:r>
          </w:p>
        </w:tc>
        <w:tc>
          <w:tcPr>
            <w:tcW w:w="1598"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Representative Net ICR (Need)</w:t>
            </w:r>
          </w:p>
        </w:tc>
        <w:tc>
          <w:tcPr>
            <w:tcW w:w="1534"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FCA #</w:t>
            </w:r>
            <w:r>
              <w:rPr>
                <w:rFonts w:asciiTheme="minorHAnsi" w:hAnsiTheme="minorHAnsi"/>
                <w:b/>
                <w:color w:val="FFFFFF" w:themeColor="background1"/>
                <w:sz w:val="18"/>
                <w:szCs w:val="18"/>
              </w:rPr>
              <w:t>8</w:t>
            </w:r>
            <w:r w:rsidRPr="00385FE1">
              <w:rPr>
                <w:rFonts w:asciiTheme="minorHAnsi" w:hAnsiTheme="minorHAnsi"/>
                <w:b/>
                <w:color w:val="FFFFFF" w:themeColor="background1"/>
                <w:sz w:val="18"/>
                <w:szCs w:val="18"/>
              </w:rPr>
              <w:br/>
              <w:t>(Known Resources)</w:t>
            </w:r>
            <w:r w:rsidRPr="00385FE1">
              <w:rPr>
                <w:rFonts w:asciiTheme="minorHAnsi" w:hAnsiTheme="minorHAnsi"/>
                <w:b/>
                <w:color w:val="FFFFFF" w:themeColor="background1"/>
                <w:sz w:val="18"/>
                <w:szCs w:val="18"/>
                <w:vertAlign w:val="superscript"/>
              </w:rPr>
              <w:t>(a)</w:t>
            </w:r>
          </w:p>
        </w:tc>
        <w:tc>
          <w:tcPr>
            <w:tcW w:w="1337"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bCs/>
                <w:color w:val="FFFFFF" w:themeColor="background1"/>
                <w:sz w:val="18"/>
                <w:szCs w:val="18"/>
              </w:rPr>
            </w:pPr>
            <w:r w:rsidRPr="00385FE1">
              <w:rPr>
                <w:rFonts w:asciiTheme="minorHAnsi" w:hAnsiTheme="minorHAnsi"/>
                <w:b/>
                <w:color w:val="FFFFFF" w:themeColor="background1"/>
                <w:sz w:val="18"/>
                <w:szCs w:val="18"/>
              </w:rPr>
              <w:t>EE Forecast</w:t>
            </w:r>
            <w:r w:rsidRPr="00385FE1">
              <w:rPr>
                <w:rFonts w:asciiTheme="minorHAnsi" w:hAnsiTheme="minorHAnsi"/>
                <w:b/>
                <w:color w:val="FFFFFF" w:themeColor="background1"/>
                <w:sz w:val="18"/>
                <w:szCs w:val="18"/>
              </w:rPr>
              <w:br/>
              <w:t>(New Resource</w:t>
            </w:r>
            <w:r w:rsidR="00BF1391">
              <w:rPr>
                <w:rFonts w:asciiTheme="minorHAnsi" w:hAnsiTheme="minorHAnsi"/>
                <w:b/>
                <w:color w:val="FFFFFF" w:themeColor="background1"/>
                <w:sz w:val="18"/>
                <w:szCs w:val="18"/>
              </w:rPr>
              <w:t>)</w:t>
            </w:r>
            <w:r w:rsidRPr="00D77BBA">
              <w:rPr>
                <w:rFonts w:asciiTheme="minorHAnsi" w:hAnsiTheme="minorHAnsi"/>
                <w:b/>
                <w:color w:val="FFFFFF" w:themeColor="background1"/>
                <w:sz w:val="18"/>
                <w:szCs w:val="18"/>
                <w:vertAlign w:val="superscript"/>
              </w:rPr>
              <w:t>(b)</w:t>
            </w:r>
          </w:p>
        </w:tc>
        <w:tc>
          <w:tcPr>
            <w:tcW w:w="1620" w:type="dxa"/>
            <w:shd w:val="clear" w:color="auto" w:fill="85AFF2" w:themeFill="text2" w:themeFillTint="66"/>
            <w:tcMar>
              <w:top w:w="14" w:type="dxa"/>
              <w:left w:w="115" w:type="dxa"/>
              <w:bottom w:w="14" w:type="dxa"/>
              <w:right w:w="115" w:type="dxa"/>
            </w:tcMar>
            <w:vAlign w:val="center"/>
          </w:tcPr>
          <w:p w:rsidR="008A621B" w:rsidRPr="00033E3D" w:rsidRDefault="008A621B" w:rsidP="008A621B">
            <w:pPr>
              <w:keepNext/>
              <w:keepLines/>
              <w:spacing w:before="40" w:after="40" w:line="240" w:lineRule="auto"/>
              <w:jc w:val="center"/>
              <w:rPr>
                <w:rFonts w:asciiTheme="minorHAnsi" w:hAnsiTheme="minorHAnsi"/>
                <w:b/>
                <w:color w:val="FFFFFF" w:themeColor="background1"/>
                <w:sz w:val="18"/>
                <w:szCs w:val="18"/>
              </w:rPr>
            </w:pPr>
            <w:r w:rsidRPr="00385FE1">
              <w:rPr>
                <w:rFonts w:asciiTheme="minorHAnsi" w:hAnsiTheme="minorHAnsi"/>
                <w:b/>
                <w:color w:val="FFFFFF" w:themeColor="background1"/>
                <w:sz w:val="18"/>
                <w:szCs w:val="18"/>
              </w:rPr>
              <w:t>Resource Surplus/Shortage</w:t>
            </w:r>
            <w:r w:rsidR="002104A5" w:rsidRPr="002104A5">
              <w:rPr>
                <w:rFonts w:asciiTheme="minorHAnsi" w:hAnsiTheme="minorHAnsi"/>
                <w:b/>
                <w:color w:val="FFFFFF" w:themeColor="background1"/>
                <w:sz w:val="18"/>
                <w:szCs w:val="18"/>
                <w:vertAlign w:val="superscript"/>
              </w:rPr>
              <w:t>(c)</w:t>
            </w:r>
          </w:p>
        </w:tc>
      </w:tr>
      <w:tr w:rsidR="008A621B" w:rsidRPr="000319F5" w:rsidTr="00F332DA">
        <w:trPr>
          <w:jc w:val="center"/>
        </w:trPr>
        <w:tc>
          <w:tcPr>
            <w:tcW w:w="138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2019/2020</w:t>
            </w:r>
          </w:p>
        </w:tc>
        <w:tc>
          <w:tcPr>
            <w:tcW w:w="137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sz w:val="18"/>
                <w:szCs w:val="18"/>
              </w:rPr>
              <w:t>30,335</w:t>
            </w:r>
          </w:p>
        </w:tc>
        <w:tc>
          <w:tcPr>
            <w:tcW w:w="1598"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sz w:val="18"/>
                <w:szCs w:val="18"/>
              </w:rPr>
              <w:t>34,600</w:t>
            </w:r>
          </w:p>
        </w:tc>
        <w:tc>
          <w:tcPr>
            <w:tcW w:w="1534"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398" w:name="_Toc354744592"/>
            <w:r w:rsidRPr="00D77BBA">
              <w:rPr>
                <w:rFonts w:asciiTheme="minorHAnsi" w:hAnsiTheme="minorHAnsi"/>
                <w:sz w:val="18"/>
                <w:szCs w:val="18"/>
              </w:rPr>
              <w:t>33,712</w:t>
            </w:r>
            <w:bookmarkEnd w:id="398"/>
          </w:p>
        </w:tc>
        <w:tc>
          <w:tcPr>
            <w:tcW w:w="1337" w:type="dxa"/>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bookmarkStart w:id="399" w:name="_Toc354744593"/>
            <w:r w:rsidRPr="00D8214C">
              <w:rPr>
                <w:rFonts w:asciiTheme="minorHAnsi" w:hAnsiTheme="minorHAnsi"/>
                <w:sz w:val="18"/>
                <w:szCs w:val="18"/>
              </w:rPr>
              <w:t>464</w:t>
            </w:r>
            <w:bookmarkEnd w:id="399"/>
          </w:p>
        </w:tc>
        <w:tc>
          <w:tcPr>
            <w:tcW w:w="1620" w:type="dxa"/>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00" w:name="_Toc354744594"/>
            <w:r>
              <w:rPr>
                <w:rFonts w:asciiTheme="minorHAnsi" w:hAnsiTheme="minorHAnsi"/>
                <w:sz w:val="18"/>
                <w:szCs w:val="18"/>
              </w:rPr>
              <w:t>−</w:t>
            </w:r>
            <w:r w:rsidR="008A621B" w:rsidRPr="00D8214C">
              <w:rPr>
                <w:rFonts w:asciiTheme="minorHAnsi" w:hAnsiTheme="minorHAnsi"/>
                <w:sz w:val="18"/>
                <w:szCs w:val="18"/>
              </w:rPr>
              <w:t>424</w:t>
            </w:r>
            <w:bookmarkEnd w:id="400"/>
          </w:p>
        </w:tc>
      </w:tr>
      <w:tr w:rsidR="008A621B" w:rsidRPr="000319F5" w:rsidTr="00F332DA">
        <w:trPr>
          <w:jc w:val="center"/>
        </w:trPr>
        <w:tc>
          <w:tcPr>
            <w:tcW w:w="1383"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2020/2021</w:t>
            </w:r>
          </w:p>
        </w:tc>
        <w:tc>
          <w:tcPr>
            <w:tcW w:w="1373"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sz w:val="18"/>
                <w:szCs w:val="18"/>
              </w:rPr>
              <w:t>30,675</w:t>
            </w:r>
          </w:p>
        </w:tc>
        <w:tc>
          <w:tcPr>
            <w:tcW w:w="1598"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sz w:val="18"/>
                <w:szCs w:val="18"/>
              </w:rPr>
              <w:t>35,000</w:t>
            </w:r>
          </w:p>
        </w:tc>
        <w:tc>
          <w:tcPr>
            <w:tcW w:w="1534"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401" w:name="_Toc354744595"/>
            <w:r w:rsidRPr="00D77BBA">
              <w:rPr>
                <w:rFonts w:asciiTheme="minorHAnsi" w:hAnsiTheme="minorHAnsi"/>
                <w:sz w:val="18"/>
                <w:szCs w:val="18"/>
              </w:rPr>
              <w:t>33,712</w:t>
            </w:r>
            <w:bookmarkEnd w:id="401"/>
          </w:p>
        </w:tc>
        <w:tc>
          <w:tcPr>
            <w:tcW w:w="1337" w:type="dxa"/>
            <w:shd w:val="clear" w:color="auto" w:fill="C2D7F8" w:themeFill="text2" w:themeFillTint="33"/>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bookmarkStart w:id="402" w:name="_Toc354744596"/>
            <w:r w:rsidRPr="00D8214C">
              <w:rPr>
                <w:rFonts w:asciiTheme="minorHAnsi" w:hAnsiTheme="minorHAnsi"/>
                <w:sz w:val="18"/>
                <w:szCs w:val="18"/>
              </w:rPr>
              <w:t>675</w:t>
            </w:r>
            <w:bookmarkEnd w:id="402"/>
          </w:p>
        </w:tc>
        <w:tc>
          <w:tcPr>
            <w:tcW w:w="1620" w:type="dxa"/>
            <w:shd w:val="clear" w:color="auto" w:fill="C2D7F8" w:themeFill="text2" w:themeFillTint="33"/>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03" w:name="_Toc354744597"/>
            <w:r>
              <w:rPr>
                <w:rFonts w:asciiTheme="minorHAnsi" w:hAnsiTheme="minorHAnsi"/>
                <w:sz w:val="18"/>
                <w:szCs w:val="18"/>
              </w:rPr>
              <w:t>−</w:t>
            </w:r>
            <w:r w:rsidR="008A621B" w:rsidRPr="00D8214C">
              <w:rPr>
                <w:rFonts w:asciiTheme="minorHAnsi" w:hAnsiTheme="minorHAnsi"/>
                <w:sz w:val="18"/>
                <w:szCs w:val="18"/>
              </w:rPr>
              <w:t>613</w:t>
            </w:r>
            <w:bookmarkEnd w:id="403"/>
          </w:p>
        </w:tc>
      </w:tr>
      <w:tr w:rsidR="008A621B" w:rsidRPr="000319F5" w:rsidTr="00F332DA">
        <w:trPr>
          <w:jc w:val="center"/>
        </w:trPr>
        <w:tc>
          <w:tcPr>
            <w:tcW w:w="138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2021/2022</w:t>
            </w:r>
          </w:p>
        </w:tc>
        <w:tc>
          <w:tcPr>
            <w:tcW w:w="137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30,990</w:t>
            </w:r>
          </w:p>
        </w:tc>
        <w:tc>
          <w:tcPr>
            <w:tcW w:w="1598"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35,400</w:t>
            </w:r>
          </w:p>
        </w:tc>
        <w:tc>
          <w:tcPr>
            <w:tcW w:w="1534"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404" w:name="_Toc354744598"/>
            <w:r w:rsidRPr="00D77BBA">
              <w:rPr>
                <w:rFonts w:asciiTheme="minorHAnsi" w:hAnsiTheme="minorHAnsi"/>
                <w:sz w:val="18"/>
                <w:szCs w:val="18"/>
              </w:rPr>
              <w:t>33,712</w:t>
            </w:r>
            <w:bookmarkEnd w:id="404"/>
          </w:p>
        </w:tc>
        <w:tc>
          <w:tcPr>
            <w:tcW w:w="1337" w:type="dxa"/>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bookmarkStart w:id="405" w:name="_Toc354744599"/>
            <w:r w:rsidRPr="00D8214C">
              <w:rPr>
                <w:rFonts w:asciiTheme="minorHAnsi" w:hAnsiTheme="minorHAnsi"/>
                <w:sz w:val="18"/>
                <w:szCs w:val="18"/>
              </w:rPr>
              <w:t>873</w:t>
            </w:r>
            <w:bookmarkEnd w:id="405"/>
          </w:p>
        </w:tc>
        <w:tc>
          <w:tcPr>
            <w:tcW w:w="1620" w:type="dxa"/>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06" w:name="_Toc354744600"/>
            <w:r>
              <w:rPr>
                <w:rFonts w:asciiTheme="minorHAnsi" w:hAnsiTheme="minorHAnsi"/>
                <w:sz w:val="18"/>
                <w:szCs w:val="18"/>
              </w:rPr>
              <w:t>−</w:t>
            </w:r>
            <w:r w:rsidR="008A621B" w:rsidRPr="00D8214C">
              <w:rPr>
                <w:rFonts w:asciiTheme="minorHAnsi" w:hAnsiTheme="minorHAnsi"/>
                <w:sz w:val="18"/>
                <w:szCs w:val="18"/>
              </w:rPr>
              <w:t>815</w:t>
            </w:r>
            <w:bookmarkEnd w:id="406"/>
          </w:p>
        </w:tc>
      </w:tr>
      <w:tr w:rsidR="008A621B" w:rsidRPr="000319F5" w:rsidTr="00F332DA">
        <w:trPr>
          <w:jc w:val="center"/>
        </w:trPr>
        <w:tc>
          <w:tcPr>
            <w:tcW w:w="1383"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2022/2023</w:t>
            </w:r>
          </w:p>
        </w:tc>
        <w:tc>
          <w:tcPr>
            <w:tcW w:w="1373"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31,315</w:t>
            </w:r>
          </w:p>
        </w:tc>
        <w:tc>
          <w:tcPr>
            <w:tcW w:w="1598"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35,800</w:t>
            </w:r>
          </w:p>
        </w:tc>
        <w:tc>
          <w:tcPr>
            <w:tcW w:w="1534" w:type="dxa"/>
            <w:shd w:val="clear" w:color="auto" w:fill="C2D7F8" w:themeFill="text2" w:themeFillTint="33"/>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407" w:name="_Toc354744601"/>
            <w:r w:rsidRPr="00D77BBA">
              <w:rPr>
                <w:rFonts w:asciiTheme="minorHAnsi" w:hAnsiTheme="minorHAnsi"/>
                <w:sz w:val="18"/>
                <w:szCs w:val="18"/>
              </w:rPr>
              <w:t>33,712</w:t>
            </w:r>
            <w:bookmarkEnd w:id="407"/>
          </w:p>
        </w:tc>
        <w:tc>
          <w:tcPr>
            <w:tcW w:w="1337" w:type="dxa"/>
            <w:shd w:val="clear" w:color="auto" w:fill="C2D7F8" w:themeFill="text2" w:themeFillTint="33"/>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r w:rsidRPr="00D8214C">
              <w:rPr>
                <w:rFonts w:asciiTheme="minorHAnsi" w:hAnsiTheme="minorHAnsi"/>
                <w:sz w:val="18"/>
                <w:szCs w:val="18"/>
              </w:rPr>
              <w:t>1</w:t>
            </w:r>
            <w:r>
              <w:rPr>
                <w:rFonts w:asciiTheme="minorHAnsi" w:hAnsiTheme="minorHAnsi"/>
                <w:sz w:val="18"/>
                <w:szCs w:val="18"/>
              </w:rPr>
              <w:t>,</w:t>
            </w:r>
            <w:r w:rsidRPr="00D8214C">
              <w:rPr>
                <w:rFonts w:asciiTheme="minorHAnsi" w:hAnsiTheme="minorHAnsi"/>
                <w:sz w:val="18"/>
                <w:szCs w:val="18"/>
              </w:rPr>
              <w:t>059</w:t>
            </w:r>
          </w:p>
        </w:tc>
        <w:tc>
          <w:tcPr>
            <w:tcW w:w="1620" w:type="dxa"/>
            <w:shd w:val="clear" w:color="auto" w:fill="C2D7F8" w:themeFill="text2" w:themeFillTint="33"/>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08" w:name="_Toc354744603"/>
            <w:r>
              <w:rPr>
                <w:rFonts w:asciiTheme="minorHAnsi" w:hAnsiTheme="minorHAnsi"/>
                <w:sz w:val="18"/>
                <w:szCs w:val="18"/>
              </w:rPr>
              <w:t>−</w:t>
            </w:r>
            <w:r w:rsidR="008A621B" w:rsidRPr="00D8214C">
              <w:rPr>
                <w:rFonts w:asciiTheme="minorHAnsi" w:hAnsiTheme="minorHAnsi"/>
                <w:sz w:val="18"/>
                <w:szCs w:val="18"/>
              </w:rPr>
              <w:t>1,029</w:t>
            </w:r>
            <w:bookmarkEnd w:id="408"/>
          </w:p>
        </w:tc>
      </w:tr>
      <w:tr w:rsidR="008A621B" w:rsidRPr="000319F5" w:rsidTr="00F332DA">
        <w:trPr>
          <w:jc w:val="center"/>
        </w:trPr>
        <w:tc>
          <w:tcPr>
            <w:tcW w:w="138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rPr>
                <w:rFonts w:asciiTheme="minorHAnsi" w:hAnsiTheme="minorHAnsi"/>
                <w:b/>
                <w:sz w:val="18"/>
                <w:szCs w:val="18"/>
              </w:rPr>
            </w:pPr>
            <w:r w:rsidRPr="00D77BBA">
              <w:rPr>
                <w:rFonts w:asciiTheme="minorHAnsi" w:hAnsiTheme="minorHAnsi"/>
                <w:b/>
                <w:sz w:val="18"/>
                <w:szCs w:val="18"/>
              </w:rPr>
              <w:t>2023/2024</w:t>
            </w:r>
          </w:p>
        </w:tc>
        <w:tc>
          <w:tcPr>
            <w:tcW w:w="1373"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31,620</w:t>
            </w:r>
          </w:p>
        </w:tc>
        <w:tc>
          <w:tcPr>
            <w:tcW w:w="1598"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r w:rsidRPr="00D77BBA">
              <w:rPr>
                <w:rFonts w:asciiTheme="minorHAnsi" w:hAnsiTheme="minorHAnsi" w:cs="Arial"/>
                <w:bCs/>
                <w:sz w:val="18"/>
                <w:szCs w:val="18"/>
              </w:rPr>
              <w:t>36,100</w:t>
            </w:r>
          </w:p>
        </w:tc>
        <w:tc>
          <w:tcPr>
            <w:tcW w:w="1534" w:type="dxa"/>
            <w:tcMar>
              <w:top w:w="14" w:type="dxa"/>
              <w:left w:w="115" w:type="dxa"/>
              <w:bottom w:w="14" w:type="dxa"/>
              <w:right w:w="115" w:type="dxa"/>
            </w:tcMar>
            <w:vAlign w:val="center"/>
          </w:tcPr>
          <w:p w:rsidR="008A621B" w:rsidRPr="00541E30" w:rsidRDefault="008A621B" w:rsidP="008A621B">
            <w:pPr>
              <w:keepNext/>
              <w:keepLines/>
              <w:spacing w:before="40" w:after="40" w:line="240" w:lineRule="auto"/>
              <w:jc w:val="right"/>
              <w:rPr>
                <w:rFonts w:asciiTheme="minorHAnsi" w:hAnsiTheme="minorHAnsi"/>
                <w:sz w:val="18"/>
                <w:szCs w:val="18"/>
              </w:rPr>
            </w:pPr>
            <w:bookmarkStart w:id="409" w:name="_Toc354744604"/>
            <w:r w:rsidRPr="00D77BBA">
              <w:rPr>
                <w:rFonts w:asciiTheme="minorHAnsi" w:hAnsiTheme="minorHAnsi"/>
                <w:sz w:val="18"/>
                <w:szCs w:val="18"/>
              </w:rPr>
              <w:t>33,712</w:t>
            </w:r>
            <w:bookmarkEnd w:id="409"/>
          </w:p>
        </w:tc>
        <w:tc>
          <w:tcPr>
            <w:tcW w:w="1337" w:type="dxa"/>
            <w:tcMar>
              <w:top w:w="14" w:type="dxa"/>
              <w:left w:w="115" w:type="dxa"/>
              <w:bottom w:w="14" w:type="dxa"/>
              <w:right w:w="115" w:type="dxa"/>
            </w:tcMar>
            <w:vAlign w:val="center"/>
          </w:tcPr>
          <w:p w:rsidR="008A621B" w:rsidRPr="00D8214C" w:rsidRDefault="008A621B" w:rsidP="008A621B">
            <w:pPr>
              <w:keepNext/>
              <w:keepLines/>
              <w:spacing w:before="40" w:after="40" w:line="240" w:lineRule="auto"/>
              <w:jc w:val="right"/>
              <w:rPr>
                <w:rFonts w:asciiTheme="minorHAnsi" w:hAnsiTheme="minorHAnsi"/>
                <w:sz w:val="18"/>
                <w:szCs w:val="18"/>
              </w:rPr>
            </w:pPr>
            <w:bookmarkStart w:id="410" w:name="_Toc354744605"/>
            <w:r w:rsidRPr="00D8214C">
              <w:rPr>
                <w:rFonts w:asciiTheme="minorHAnsi" w:hAnsiTheme="minorHAnsi"/>
                <w:sz w:val="18"/>
                <w:szCs w:val="18"/>
              </w:rPr>
              <w:t>1</w:t>
            </w:r>
            <w:r>
              <w:rPr>
                <w:rFonts w:asciiTheme="minorHAnsi" w:hAnsiTheme="minorHAnsi"/>
                <w:sz w:val="18"/>
                <w:szCs w:val="18"/>
              </w:rPr>
              <w:t>,</w:t>
            </w:r>
            <w:r w:rsidRPr="00D8214C">
              <w:rPr>
                <w:rFonts w:asciiTheme="minorHAnsi" w:hAnsiTheme="minorHAnsi"/>
                <w:sz w:val="18"/>
                <w:szCs w:val="18"/>
              </w:rPr>
              <w:t>233</w:t>
            </w:r>
            <w:bookmarkEnd w:id="410"/>
          </w:p>
        </w:tc>
        <w:tc>
          <w:tcPr>
            <w:tcW w:w="1620" w:type="dxa"/>
            <w:tcMar>
              <w:top w:w="14" w:type="dxa"/>
              <w:left w:w="115" w:type="dxa"/>
              <w:bottom w:w="14" w:type="dxa"/>
              <w:right w:w="115" w:type="dxa"/>
            </w:tcMar>
            <w:vAlign w:val="center"/>
          </w:tcPr>
          <w:p w:rsidR="008A621B" w:rsidRPr="00D8214C" w:rsidRDefault="00D20C9B" w:rsidP="008A621B">
            <w:pPr>
              <w:keepNext/>
              <w:keepLines/>
              <w:spacing w:before="40" w:after="40" w:line="240" w:lineRule="auto"/>
              <w:jc w:val="right"/>
              <w:rPr>
                <w:rFonts w:asciiTheme="minorHAnsi" w:hAnsiTheme="minorHAnsi"/>
                <w:sz w:val="18"/>
                <w:szCs w:val="18"/>
              </w:rPr>
            </w:pPr>
            <w:bookmarkStart w:id="411" w:name="_Toc354744606"/>
            <w:r>
              <w:rPr>
                <w:rFonts w:asciiTheme="minorHAnsi" w:hAnsiTheme="minorHAnsi"/>
                <w:sz w:val="18"/>
                <w:szCs w:val="18"/>
              </w:rPr>
              <w:t>−</w:t>
            </w:r>
            <w:r w:rsidR="008A621B" w:rsidRPr="00D8214C">
              <w:rPr>
                <w:rFonts w:asciiTheme="minorHAnsi" w:hAnsiTheme="minorHAnsi"/>
                <w:sz w:val="18"/>
                <w:szCs w:val="18"/>
              </w:rPr>
              <w:t>1,155</w:t>
            </w:r>
            <w:bookmarkEnd w:id="411"/>
          </w:p>
        </w:tc>
      </w:tr>
    </w:tbl>
    <w:p w:rsidR="008A621B" w:rsidRPr="003452F8" w:rsidRDefault="008A621B" w:rsidP="00F332DA">
      <w:pPr>
        <w:spacing w:before="120" w:after="80" w:line="240" w:lineRule="auto"/>
        <w:ind w:left="360" w:right="90" w:hanging="270"/>
        <w:rPr>
          <w:rStyle w:val="Hyperlink"/>
          <w:rFonts w:asciiTheme="minorHAnsi" w:hAnsiTheme="minorHAnsi"/>
          <w:sz w:val="16"/>
          <w:szCs w:val="16"/>
        </w:rPr>
      </w:pPr>
      <w:r w:rsidRPr="00D417E6">
        <w:rPr>
          <w:rFonts w:asciiTheme="minorHAnsi" w:hAnsiTheme="minorHAnsi"/>
          <w:sz w:val="18"/>
          <w:szCs w:val="18"/>
        </w:rPr>
        <w:t>(a</w:t>
      </w:r>
      <w:r w:rsidR="00D417E6" w:rsidRPr="00D417E6">
        <w:rPr>
          <w:rFonts w:asciiTheme="minorHAnsi" w:hAnsiTheme="minorHAnsi"/>
          <w:sz w:val="18"/>
          <w:szCs w:val="18"/>
        </w:rPr>
        <w:t>)</w:t>
      </w:r>
      <w:r w:rsidR="00B93D2F">
        <w:rPr>
          <w:rFonts w:asciiTheme="minorHAnsi" w:hAnsiTheme="minorHAnsi"/>
          <w:sz w:val="18"/>
          <w:szCs w:val="18"/>
        </w:rPr>
        <w:tab/>
      </w:r>
      <w:r w:rsidRPr="003452F8">
        <w:rPr>
          <w:rFonts w:asciiTheme="minorHAnsi" w:hAnsiTheme="minorHAnsi"/>
          <w:sz w:val="16"/>
          <w:szCs w:val="16"/>
        </w:rPr>
        <w:t>FCA #8 resource numbers are based on FCA #8 auction results</w:t>
      </w:r>
      <w:r w:rsidR="002104A5" w:rsidRPr="003452F8">
        <w:rPr>
          <w:rFonts w:asciiTheme="minorHAnsi" w:hAnsiTheme="minorHAnsi"/>
          <w:sz w:val="16"/>
          <w:szCs w:val="16"/>
        </w:rPr>
        <w:t xml:space="preserve">, assuming no retirements and the same level of imports (i.e., </w:t>
      </w:r>
      <w:r w:rsidR="00016BFF" w:rsidRPr="003452F8">
        <w:rPr>
          <w:rFonts w:asciiTheme="minorHAnsi" w:hAnsiTheme="minorHAnsi"/>
          <w:sz w:val="16"/>
          <w:szCs w:val="16"/>
        </w:rPr>
        <w:t xml:space="preserve">most </w:t>
      </w:r>
      <w:r w:rsidR="002104A5" w:rsidRPr="003452F8">
        <w:rPr>
          <w:rFonts w:asciiTheme="minorHAnsi" w:hAnsiTheme="minorHAnsi"/>
          <w:sz w:val="16"/>
          <w:szCs w:val="16"/>
        </w:rPr>
        <w:t xml:space="preserve">imports need to </w:t>
      </w:r>
      <w:proofErr w:type="spellStart"/>
      <w:r w:rsidR="002104A5" w:rsidRPr="003452F8">
        <w:rPr>
          <w:rFonts w:asciiTheme="minorHAnsi" w:hAnsiTheme="minorHAnsi"/>
          <w:sz w:val="16"/>
          <w:szCs w:val="16"/>
        </w:rPr>
        <w:t>requalify</w:t>
      </w:r>
      <w:proofErr w:type="spellEnd"/>
      <w:r w:rsidR="002104A5" w:rsidRPr="003452F8">
        <w:rPr>
          <w:rFonts w:asciiTheme="minorHAnsi" w:hAnsiTheme="minorHAnsi"/>
          <w:sz w:val="16"/>
          <w:szCs w:val="16"/>
        </w:rPr>
        <w:t xml:space="preserve"> for every auction)</w:t>
      </w:r>
      <w:r w:rsidRPr="003452F8">
        <w:rPr>
          <w:rFonts w:asciiTheme="minorHAnsi" w:hAnsiTheme="minorHAnsi"/>
          <w:sz w:val="16"/>
          <w:szCs w:val="16"/>
        </w:rPr>
        <w:t xml:space="preserve">. Details are available at </w:t>
      </w:r>
      <w:hyperlink r:id="rId35" w:history="1">
        <w:r w:rsidRPr="003452F8">
          <w:rPr>
            <w:rStyle w:val="Hyperlink"/>
            <w:rFonts w:asciiTheme="minorHAnsi" w:hAnsiTheme="minorHAnsi"/>
            <w:sz w:val="16"/>
            <w:szCs w:val="16"/>
          </w:rPr>
          <w:t>http://www.iso-ne.com/regulatory/ferc/filings/2014/feb/er14_1409-000_fca8_results_filing_2-28-2014.pdf</w:t>
        </w:r>
      </w:hyperlink>
      <w:r w:rsidRPr="003452F8">
        <w:rPr>
          <w:rStyle w:val="Hyperlink"/>
          <w:rFonts w:asciiTheme="minorHAnsi" w:hAnsiTheme="minorHAnsi"/>
          <w:sz w:val="16"/>
          <w:szCs w:val="16"/>
        </w:rPr>
        <w:t>.</w:t>
      </w:r>
      <w:r w:rsidR="002104A5" w:rsidRPr="003452F8">
        <w:rPr>
          <w:rStyle w:val="Hyperlink"/>
          <w:rFonts w:asciiTheme="minorHAnsi" w:hAnsiTheme="minorHAnsi"/>
          <w:sz w:val="16"/>
          <w:szCs w:val="16"/>
        </w:rPr>
        <w:t xml:space="preserve"> </w:t>
      </w:r>
    </w:p>
    <w:p w:rsidR="008A621B" w:rsidRPr="003452F8" w:rsidRDefault="008A621B" w:rsidP="002104A5">
      <w:pPr>
        <w:spacing w:after="80" w:line="240" w:lineRule="auto"/>
        <w:ind w:left="360" w:right="86" w:hanging="274"/>
        <w:rPr>
          <w:rStyle w:val="Hyperlink"/>
          <w:rFonts w:asciiTheme="minorHAnsi" w:hAnsiTheme="minorHAnsi"/>
          <w:sz w:val="16"/>
          <w:szCs w:val="16"/>
        </w:rPr>
      </w:pPr>
      <w:r w:rsidRPr="003452F8">
        <w:rPr>
          <w:rStyle w:val="Hyperlink"/>
          <w:rFonts w:asciiTheme="minorHAnsi" w:hAnsiTheme="minorHAnsi"/>
          <w:sz w:val="16"/>
          <w:szCs w:val="16"/>
        </w:rPr>
        <w:t xml:space="preserve">(b) </w:t>
      </w:r>
      <w:r w:rsidR="00F332DA" w:rsidRPr="003452F8">
        <w:rPr>
          <w:rStyle w:val="Hyperlink"/>
          <w:rFonts w:asciiTheme="minorHAnsi" w:hAnsiTheme="minorHAnsi"/>
          <w:sz w:val="16"/>
          <w:szCs w:val="16"/>
        </w:rPr>
        <w:tab/>
      </w:r>
      <w:r w:rsidRPr="003452F8">
        <w:rPr>
          <w:rStyle w:val="Hyperlink"/>
          <w:rFonts w:asciiTheme="minorHAnsi" w:hAnsiTheme="minorHAnsi"/>
          <w:sz w:val="16"/>
          <w:szCs w:val="16"/>
        </w:rPr>
        <w:t xml:space="preserve">EE forecast values </w:t>
      </w:r>
      <w:proofErr w:type="gramStart"/>
      <w:r w:rsidRPr="003452F8">
        <w:rPr>
          <w:rStyle w:val="Hyperlink"/>
          <w:rFonts w:asciiTheme="minorHAnsi" w:hAnsiTheme="minorHAnsi"/>
          <w:sz w:val="16"/>
          <w:szCs w:val="16"/>
        </w:rPr>
        <w:t>are based</w:t>
      </w:r>
      <w:proofErr w:type="gramEnd"/>
      <w:r w:rsidRPr="003452F8">
        <w:rPr>
          <w:rStyle w:val="Hyperlink"/>
          <w:rFonts w:asciiTheme="minorHAnsi" w:hAnsiTheme="minorHAnsi"/>
          <w:sz w:val="16"/>
          <w:szCs w:val="16"/>
        </w:rPr>
        <w:t xml:space="preserve"> on the 2014 EE forecast. Details are available at </w:t>
      </w:r>
      <w:hyperlink r:id="rId36" w:history="1">
        <w:r w:rsidRPr="003452F8">
          <w:rPr>
            <w:rStyle w:val="Hyperlink"/>
            <w:rFonts w:asciiTheme="minorHAnsi" w:hAnsiTheme="minorHAnsi"/>
            <w:sz w:val="16"/>
            <w:szCs w:val="16"/>
          </w:rPr>
          <w:t>http://www.iso-ne.com/committees/comm_wkgrps/othr/enrgy_effncy_frcst/2014mtrls/iso_ne_draft_final_2014_ee_forecast_2018_2023.pdf</w:t>
        </w:r>
      </w:hyperlink>
      <w:r w:rsidRPr="003452F8">
        <w:rPr>
          <w:rStyle w:val="Hyperlink"/>
          <w:rFonts w:asciiTheme="minorHAnsi" w:hAnsiTheme="minorHAnsi"/>
          <w:sz w:val="16"/>
          <w:szCs w:val="16"/>
        </w:rPr>
        <w:t>.</w:t>
      </w:r>
    </w:p>
    <w:p w:rsidR="002104A5" w:rsidRPr="003452F8" w:rsidRDefault="002104A5" w:rsidP="002104A5">
      <w:pPr>
        <w:spacing w:line="240" w:lineRule="auto"/>
        <w:ind w:left="360" w:right="86" w:hanging="274"/>
        <w:rPr>
          <w:rStyle w:val="Hyperlink"/>
          <w:rFonts w:asciiTheme="minorHAnsi" w:hAnsiTheme="minorHAnsi"/>
          <w:sz w:val="16"/>
          <w:szCs w:val="16"/>
        </w:rPr>
      </w:pPr>
      <w:r w:rsidRPr="003452F8">
        <w:rPr>
          <w:rStyle w:val="Hyperlink"/>
          <w:rFonts w:asciiTheme="minorHAnsi" w:hAnsiTheme="minorHAnsi"/>
          <w:sz w:val="16"/>
          <w:szCs w:val="16"/>
        </w:rPr>
        <w:t xml:space="preserve">(c) </w:t>
      </w:r>
      <w:r w:rsidRPr="003452F8">
        <w:rPr>
          <w:rStyle w:val="Hyperlink"/>
          <w:rFonts w:asciiTheme="minorHAnsi" w:hAnsiTheme="minorHAnsi"/>
          <w:sz w:val="16"/>
          <w:szCs w:val="16"/>
        </w:rPr>
        <w:tab/>
        <w:t xml:space="preserve">Additional resources would be required </w:t>
      </w:r>
      <w:r w:rsidR="00FC0ADB" w:rsidRPr="003452F8">
        <w:rPr>
          <w:rStyle w:val="Hyperlink"/>
          <w:rFonts w:asciiTheme="minorHAnsi" w:hAnsiTheme="minorHAnsi"/>
          <w:sz w:val="16"/>
          <w:szCs w:val="16"/>
        </w:rPr>
        <w:t xml:space="preserve">if </w:t>
      </w:r>
      <w:r w:rsidRPr="003452F8">
        <w:rPr>
          <w:rStyle w:val="Hyperlink"/>
          <w:rFonts w:asciiTheme="minorHAnsi" w:hAnsiTheme="minorHAnsi"/>
          <w:sz w:val="16"/>
          <w:szCs w:val="16"/>
        </w:rPr>
        <w:t xml:space="preserve">additional </w:t>
      </w:r>
      <w:r w:rsidR="00FC0ADB" w:rsidRPr="003452F8">
        <w:rPr>
          <w:rStyle w:val="Hyperlink"/>
          <w:rFonts w:asciiTheme="minorHAnsi" w:hAnsiTheme="minorHAnsi"/>
          <w:sz w:val="16"/>
          <w:szCs w:val="16"/>
        </w:rPr>
        <w:t xml:space="preserve">resources </w:t>
      </w:r>
      <w:r w:rsidRPr="003452F8">
        <w:rPr>
          <w:rStyle w:val="Hyperlink"/>
          <w:rFonts w:asciiTheme="minorHAnsi" w:hAnsiTheme="minorHAnsi"/>
          <w:sz w:val="16"/>
          <w:szCs w:val="16"/>
        </w:rPr>
        <w:t>retire</w:t>
      </w:r>
      <w:r w:rsidR="00FC0ADB" w:rsidRPr="003452F8">
        <w:rPr>
          <w:rStyle w:val="Hyperlink"/>
          <w:rFonts w:asciiTheme="minorHAnsi" w:hAnsiTheme="minorHAnsi"/>
          <w:sz w:val="16"/>
          <w:szCs w:val="16"/>
        </w:rPr>
        <w:t>d or</w:t>
      </w:r>
      <w:r w:rsidRPr="003452F8">
        <w:rPr>
          <w:rStyle w:val="Hyperlink"/>
          <w:rFonts w:asciiTheme="minorHAnsi" w:hAnsiTheme="minorHAnsi"/>
          <w:sz w:val="16"/>
          <w:szCs w:val="16"/>
        </w:rPr>
        <w:t xml:space="preserve"> fewer</w:t>
      </w:r>
      <w:r w:rsidR="00FC0ADB" w:rsidRPr="003452F8">
        <w:rPr>
          <w:rStyle w:val="Hyperlink"/>
          <w:rFonts w:asciiTheme="minorHAnsi" w:hAnsiTheme="minorHAnsi"/>
          <w:sz w:val="16"/>
          <w:szCs w:val="16"/>
        </w:rPr>
        <w:t xml:space="preserve"> resources were </w:t>
      </w:r>
      <w:r w:rsidRPr="003452F8">
        <w:rPr>
          <w:rStyle w:val="Hyperlink"/>
          <w:rFonts w:asciiTheme="minorHAnsi" w:hAnsiTheme="minorHAnsi"/>
          <w:sz w:val="16"/>
          <w:szCs w:val="16"/>
        </w:rPr>
        <w:t>import</w:t>
      </w:r>
      <w:r w:rsidR="00FC0ADB" w:rsidRPr="003452F8">
        <w:rPr>
          <w:rStyle w:val="Hyperlink"/>
          <w:rFonts w:asciiTheme="minorHAnsi" w:hAnsiTheme="minorHAnsi"/>
          <w:sz w:val="16"/>
          <w:szCs w:val="16"/>
        </w:rPr>
        <w:t>ed</w:t>
      </w:r>
      <w:r w:rsidRPr="003452F8">
        <w:rPr>
          <w:rStyle w:val="Hyperlink"/>
          <w:rFonts w:asciiTheme="minorHAnsi" w:hAnsiTheme="minorHAnsi"/>
          <w:sz w:val="16"/>
          <w:szCs w:val="16"/>
        </w:rPr>
        <w:t xml:space="preserve"> from neighboring regions.</w:t>
      </w:r>
    </w:p>
    <w:p w:rsidR="00E63D3A" w:rsidRDefault="008A621B">
      <w:pPr>
        <w:pStyle w:val="Heading2"/>
      </w:pPr>
      <w:bookmarkStart w:id="412" w:name="_Ref387671423"/>
      <w:bookmarkStart w:id="413" w:name="_Toc396807625"/>
      <w:r w:rsidRPr="00A75A26">
        <w:t>FCM Capacity Zones</w:t>
      </w:r>
      <w:bookmarkEnd w:id="412"/>
      <w:bookmarkEnd w:id="413"/>
    </w:p>
    <w:p w:rsidR="008A621B" w:rsidRPr="0066760E" w:rsidRDefault="00274428" w:rsidP="008A621B">
      <w:r w:rsidRPr="00274428">
        <w:t>Beginning with FCA #9, se</w:t>
      </w:r>
      <w:r w:rsidR="00461D71">
        <w:t>veral</w:t>
      </w:r>
      <w:r w:rsidRPr="00274428">
        <w:t xml:space="preserve"> </w:t>
      </w:r>
      <w:r w:rsidR="00E30950">
        <w:t xml:space="preserve">tariff </w:t>
      </w:r>
      <w:r w:rsidRPr="00274428">
        <w:t xml:space="preserve">changes </w:t>
      </w:r>
      <w:r w:rsidR="00E30950">
        <w:t xml:space="preserve">became </w:t>
      </w:r>
      <w:r w:rsidRPr="00274428">
        <w:t>effect</w:t>
      </w:r>
      <w:r w:rsidR="00E30950">
        <w:t>ive</w:t>
      </w:r>
      <w:r w:rsidRPr="00274428">
        <w:t xml:space="preserve"> that require </w:t>
      </w:r>
      <w:r w:rsidR="008A621B" w:rsidRPr="002D51A9">
        <w:t>a</w:t>
      </w:r>
      <w:r w:rsidR="008A621B">
        <w:t xml:space="preserve"> new methodology for </w:t>
      </w:r>
      <w:r w:rsidR="008A621B" w:rsidRPr="00E5063A">
        <w:t xml:space="preserve">determining the appropriate number of </w:t>
      </w:r>
      <w:r w:rsidR="008A621B">
        <w:t>c</w:t>
      </w:r>
      <w:r w:rsidR="008A621B" w:rsidRPr="00E5063A">
        <w:t xml:space="preserve">apacity </w:t>
      </w:r>
      <w:r w:rsidR="008A621B">
        <w:t>z</w:t>
      </w:r>
      <w:r w:rsidR="008A621B" w:rsidRPr="00E5063A">
        <w:t xml:space="preserve">ones </w:t>
      </w:r>
      <w:r w:rsidR="008A621B">
        <w:t xml:space="preserve">to model in the Forward Capacity Market </w:t>
      </w:r>
      <w:r w:rsidR="008A621B" w:rsidRPr="00E5063A">
        <w:t xml:space="preserve">and the </w:t>
      </w:r>
      <w:r w:rsidR="008A621B">
        <w:t>appropriate boundaries for these</w:t>
      </w:r>
      <w:r w:rsidR="008A621B" w:rsidRPr="00E5063A">
        <w:t xml:space="preserve"> </w:t>
      </w:r>
      <w:r w:rsidR="008A621B">
        <w:t>c</w:t>
      </w:r>
      <w:r w:rsidR="008A621B" w:rsidRPr="00E5063A">
        <w:t xml:space="preserve">apacity </w:t>
      </w:r>
      <w:r w:rsidR="008A621B">
        <w:t>z</w:t>
      </w:r>
      <w:r w:rsidR="008A621B" w:rsidRPr="00E5063A">
        <w:t>ones</w:t>
      </w:r>
      <w:r w:rsidR="008A621B">
        <w:t>.</w:t>
      </w:r>
      <w:r w:rsidR="008A621B">
        <w:rPr>
          <w:rStyle w:val="FootnoteReference"/>
        </w:rPr>
        <w:footnoteReference w:id="147"/>
      </w:r>
      <w:r w:rsidR="008A621B">
        <w:t xml:space="preserve"> Under the changes, the ISO </w:t>
      </w:r>
      <w:r w:rsidR="001213DA">
        <w:t xml:space="preserve">will </w:t>
      </w:r>
      <w:r w:rsidR="008A621B">
        <w:t>annually identif</w:t>
      </w:r>
      <w:r w:rsidR="001213DA">
        <w:t>y</w:t>
      </w:r>
      <w:r w:rsidR="008A621B">
        <w:t xml:space="preserve"> and evaluate all the boundaries and interface transfer capabilities that could be relevant to FCA capacity zone modeling. This review </w:t>
      </w:r>
      <w:r w:rsidR="001213DA">
        <w:t xml:space="preserve">will </w:t>
      </w:r>
      <w:r w:rsidR="008A621B">
        <w:t xml:space="preserve">not </w:t>
      </w:r>
      <w:r w:rsidR="0085309B">
        <w:t xml:space="preserve">be </w:t>
      </w:r>
      <w:r w:rsidR="008A621B">
        <w:t xml:space="preserve">limited to existing energy load zone or capacity zone boundaries. Instead, it </w:t>
      </w:r>
      <w:r w:rsidR="001213DA">
        <w:t xml:space="preserve">must </w:t>
      </w:r>
      <w:r w:rsidR="008A621B">
        <w:t>focus on the actual constraints observed and expected on the New England system</w:t>
      </w:r>
      <w:r w:rsidR="001213DA">
        <w:t xml:space="preserve"> and</w:t>
      </w:r>
      <w:r w:rsidR="008A621B">
        <w:t xml:space="preserve"> directly consider submitted retirements and rejected delist bids</w:t>
      </w:r>
      <w:r w:rsidR="001213DA">
        <w:t xml:space="preserve"> to </w:t>
      </w:r>
      <w:r w:rsidR="008A621B">
        <w:t xml:space="preserve">thus </w:t>
      </w:r>
      <w:r w:rsidR="001213DA">
        <w:t xml:space="preserve">be </w:t>
      </w:r>
      <w:r w:rsidR="008A621B" w:rsidRPr="0066760E">
        <w:t xml:space="preserve">responsive to these and other </w:t>
      </w:r>
      <w:r w:rsidR="008A621B" w:rsidRPr="0075044B">
        <w:t xml:space="preserve">system changes. </w:t>
      </w:r>
      <w:r w:rsidR="0075044B" w:rsidRPr="0075044B">
        <w:t xml:space="preserve">The capacity zones </w:t>
      </w:r>
      <w:proofErr w:type="gramStart"/>
      <w:r w:rsidR="0075044B" w:rsidRPr="0075044B">
        <w:t>will be used</w:t>
      </w:r>
      <w:proofErr w:type="gramEnd"/>
      <w:r w:rsidR="0075044B" w:rsidRPr="0075044B">
        <w:t xml:space="preserve"> in primary auctions, </w:t>
      </w:r>
      <w:r w:rsidR="0075044B" w:rsidRPr="0075044B">
        <w:rPr>
          <w:color w:val="000000" w:themeColor="text1"/>
        </w:rPr>
        <w:t>reconfiguration auctions, and FCM settlements.</w:t>
      </w:r>
    </w:p>
    <w:p w:rsidR="008A621B" w:rsidRDefault="008A621B" w:rsidP="008A621B">
      <w:r w:rsidRPr="00EF79FB">
        <w:t xml:space="preserve">The new </w:t>
      </w:r>
      <w:r w:rsidR="0066760E" w:rsidRPr="00EF79FB">
        <w:t xml:space="preserve">FERC-approved </w:t>
      </w:r>
      <w:r w:rsidRPr="00EF79FB">
        <w:t xml:space="preserve">methodology </w:t>
      </w:r>
      <w:r w:rsidR="0075044B">
        <w:t xml:space="preserve">for determining capacity zones </w:t>
      </w:r>
      <w:r w:rsidRPr="00EF79FB">
        <w:t>is a two-step process</w:t>
      </w:r>
      <w:r w:rsidR="00D24CD4" w:rsidRPr="00EF79FB">
        <w:t>.</w:t>
      </w:r>
      <w:r w:rsidRPr="00EF79FB">
        <w:t xml:space="preserve"> Step </w:t>
      </w:r>
      <w:proofErr w:type="gramStart"/>
      <w:r w:rsidRPr="00EF79FB">
        <w:t>one</w:t>
      </w:r>
      <w:proofErr w:type="gramEnd"/>
      <w:r w:rsidRPr="00EF79FB">
        <w:t xml:space="preserve"> </w:t>
      </w:r>
      <w:r w:rsidR="00C50436" w:rsidRPr="00EF79FB">
        <w:t>identif</w:t>
      </w:r>
      <w:r w:rsidR="001F4192" w:rsidRPr="00EF79FB">
        <w:t>ies</w:t>
      </w:r>
      <w:r w:rsidR="00C50436" w:rsidRPr="00EF79FB">
        <w:t xml:space="preserve"> </w:t>
      </w:r>
      <w:r w:rsidRPr="00EF79FB">
        <w:t>potential zonal boundaries and associated transfer limits to be tested for modeling in the</w:t>
      </w:r>
      <w:r>
        <w:t xml:space="preserve"> auction. Step </w:t>
      </w:r>
      <w:proofErr w:type="gramStart"/>
      <w:r>
        <w:t>two</w:t>
      </w:r>
      <w:proofErr w:type="gramEnd"/>
      <w:r>
        <w:t xml:space="preserve"> use</w:t>
      </w:r>
      <w:r w:rsidR="001F4192">
        <w:t>s</w:t>
      </w:r>
      <w:r>
        <w:t xml:space="preserve"> objective criteria to determine whether or not a zone should be modeled for the pertinent capacity commitment period. With respect to step two, the trigger to </w:t>
      </w:r>
      <w:r w:rsidRPr="005D6753">
        <w:t xml:space="preserve">model </w:t>
      </w:r>
      <w:r w:rsidR="000F2B27">
        <w:t>an import-constrained zone</w:t>
      </w:r>
      <w:r w:rsidR="000F2B27" w:rsidRPr="005D6753">
        <w:t xml:space="preserve"> </w:t>
      </w:r>
      <w:proofErr w:type="gramStart"/>
      <w:r>
        <w:t xml:space="preserve">is </w:t>
      </w:r>
      <w:r w:rsidRPr="005D6753">
        <w:t>based</w:t>
      </w:r>
      <w:proofErr w:type="gramEnd"/>
      <w:r w:rsidRPr="005D6753">
        <w:t xml:space="preserve"> on the quantity of existing resources in the zone</w:t>
      </w:r>
      <w:r w:rsidR="002D4F93">
        <w:t>, whereas t</w:t>
      </w:r>
      <w:r w:rsidR="000F2B27">
        <w:t xml:space="preserve">he trigger to model </w:t>
      </w:r>
      <w:r w:rsidRPr="005D6753">
        <w:t>an export-</w:t>
      </w:r>
      <w:r>
        <w:t>constrained zone</w:t>
      </w:r>
      <w:r w:rsidR="000F2B27">
        <w:t xml:space="preserve"> </w:t>
      </w:r>
      <w:r>
        <w:t xml:space="preserve">is based on the quantity of existing and proposed new resources in the zone. Zones that are neither import- or export-constrained </w:t>
      </w:r>
      <w:proofErr w:type="gramStart"/>
      <w:r w:rsidR="00BC22AE">
        <w:t xml:space="preserve">are </w:t>
      </w:r>
      <w:r w:rsidRPr="000F2B27">
        <w:t>collapsed</w:t>
      </w:r>
      <w:proofErr w:type="gramEnd"/>
      <w:r w:rsidRPr="000F2B27">
        <w:t xml:space="preserve"> into the Rest-of-</w:t>
      </w:r>
      <w:r w:rsidR="00D24CD4" w:rsidRPr="00D24CD4">
        <w:t>Pool</w:t>
      </w:r>
      <w:r w:rsidRPr="000F2B27">
        <w:t xml:space="preserve"> capacity zone.</w:t>
      </w:r>
    </w:p>
    <w:p w:rsidR="008A621B" w:rsidRDefault="008A621B" w:rsidP="008A621B">
      <w:r>
        <w:t xml:space="preserve">This section of the RSP describes the outcomes of the first step of the methodology, namely, the identification of potential zonal boundaries and associated transfer limits to </w:t>
      </w:r>
      <w:proofErr w:type="gramStart"/>
      <w:r>
        <w:t>be tested</w:t>
      </w:r>
      <w:proofErr w:type="gramEnd"/>
      <w:r>
        <w:t xml:space="preserve"> for modeling in the F</w:t>
      </w:r>
      <w:r w:rsidR="002D4F93">
        <w:t>CM</w:t>
      </w:r>
      <w:r>
        <w:t xml:space="preserve">. In particular, </w:t>
      </w:r>
      <w:r w:rsidRPr="00ED6100">
        <w:t xml:space="preserve">the results of </w:t>
      </w:r>
      <w:r w:rsidRPr="005D5139">
        <w:t>the annual assessment of transmission transfer capability</w:t>
      </w:r>
      <w:r w:rsidR="00EC0D98">
        <w:t xml:space="preserve"> </w:t>
      </w:r>
      <w:proofErr w:type="gramStart"/>
      <w:r w:rsidR="00EC0D98">
        <w:t>are presented</w:t>
      </w:r>
      <w:proofErr w:type="gramEnd"/>
      <w:r w:rsidR="00EC0D98">
        <w:t xml:space="preserve">. The </w:t>
      </w:r>
      <w:r w:rsidR="00EC0D98" w:rsidRPr="0066760E">
        <w:t xml:space="preserve">assessment </w:t>
      </w:r>
      <w:proofErr w:type="gramStart"/>
      <w:r w:rsidR="00EC0D98" w:rsidRPr="0066760E">
        <w:t xml:space="preserve">was </w:t>
      </w:r>
      <w:r w:rsidRPr="0066760E">
        <w:t>conducted</w:t>
      </w:r>
      <w:proofErr w:type="gramEnd"/>
      <w:r w:rsidRPr="0066760E">
        <w:t xml:space="preserve"> pursuant to applicable NERC, NPCC, and ISO New England standards and criteria and </w:t>
      </w:r>
      <w:r w:rsidR="00D24CD4" w:rsidRPr="0066760E">
        <w:t>identifie</w:t>
      </w:r>
      <w:r w:rsidR="00EC0D98" w:rsidRPr="0066760E">
        <w:t>d</w:t>
      </w:r>
      <w:r w:rsidR="00D24CD4" w:rsidRPr="0066760E">
        <w:t xml:space="preserve"> </w:t>
      </w:r>
      <w:r w:rsidR="0066760E" w:rsidRPr="0066760E">
        <w:t>the portions</w:t>
      </w:r>
      <w:r w:rsidR="0066760E">
        <w:t xml:space="preserve"> of the system with </w:t>
      </w:r>
      <w:r w:rsidRPr="005D5139">
        <w:t xml:space="preserve">potential future transmission system weaknesses and limiting facilities that could </w:t>
      </w:r>
      <w:r>
        <w:t>affect</w:t>
      </w:r>
      <w:r w:rsidRPr="005D5139">
        <w:t xml:space="preserve"> the transmission system’s ability to reliably transfer energy in the planning horizon</w:t>
      </w:r>
      <w:r w:rsidRPr="00ED6100">
        <w:t>.</w:t>
      </w:r>
    </w:p>
    <w:p w:rsidR="00542D57" w:rsidRDefault="008A621B" w:rsidP="008A621B">
      <w:pPr>
        <w:sectPr w:rsidR="00542D57" w:rsidSect="00E24A7B">
          <w:type w:val="continuous"/>
          <w:pgSz w:w="12240" w:h="15840"/>
          <w:pgMar w:top="1440" w:right="1440" w:bottom="1440" w:left="1800" w:header="720" w:footer="720" w:gutter="0"/>
          <w:cols w:space="720"/>
          <w:docGrid w:linePitch="360"/>
        </w:sectPr>
      </w:pPr>
      <w:r w:rsidRPr="0066760E">
        <w:t xml:space="preserve">The transfer capability analysis of the New England system </w:t>
      </w:r>
      <w:r w:rsidR="00D24CD4" w:rsidRPr="0066760E">
        <w:t>incorporated</w:t>
      </w:r>
      <w:r w:rsidR="00EC0D98" w:rsidRPr="0066760E">
        <w:t xml:space="preserve"> the results </w:t>
      </w:r>
      <w:r w:rsidRPr="0066760E">
        <w:t>of several recent</w:t>
      </w:r>
      <w:r w:rsidR="00EC0D98" w:rsidRPr="0066760E">
        <w:t xml:space="preserve"> </w:t>
      </w:r>
      <w:r w:rsidRPr="0066760E">
        <w:t>studies</w:t>
      </w:r>
      <w:r w:rsidR="00D24CD4" w:rsidRPr="0066760E">
        <w:t>.</w:t>
      </w:r>
      <w:r w:rsidRPr="0066760E">
        <w:t xml:space="preserve"> In some cases, the transfer</w:t>
      </w:r>
      <w:r>
        <w:t xml:space="preserve"> limits </w:t>
      </w:r>
      <w:proofErr w:type="gramStart"/>
      <w:r>
        <w:t>were based</w:t>
      </w:r>
      <w:proofErr w:type="gramEnd"/>
      <w:r>
        <w:t xml:space="preserve"> on equipment thermal limitations during summer peak conditions. In other cases, voltage or transient stability limitations </w:t>
      </w:r>
      <w:proofErr w:type="gramStart"/>
      <w:r>
        <w:t>were identified</w:t>
      </w:r>
      <w:proofErr w:type="gramEnd"/>
      <w:r>
        <w:t xml:space="preserve"> at off-peak load </w:t>
      </w:r>
      <w:r w:rsidRPr="00660A7D">
        <w:t xml:space="preserve">levels. All the analyses </w:t>
      </w:r>
      <w:r w:rsidR="00D24CD4" w:rsidRPr="00660A7D">
        <w:t>includ</w:t>
      </w:r>
      <w:r w:rsidR="00660A7D" w:rsidRPr="00660A7D">
        <w:t xml:space="preserve">ed </w:t>
      </w:r>
      <w:r w:rsidRPr="00660A7D">
        <w:t>all transmission upgrades that had been certified</w:t>
      </w:r>
      <w:r>
        <w:t xml:space="preserve"> and accepted to be in service in time for the ninth capacity commitment period (i.e., by June 1, 2018).</w:t>
      </w:r>
      <w:r>
        <w:rPr>
          <w:rStyle w:val="FootnoteReference"/>
        </w:rPr>
        <w:footnoteReference w:id="148"/>
      </w:r>
      <w:r>
        <w:t xml:space="preserve"> The interstate portions of the New England East–West solution </w:t>
      </w:r>
      <w:r w:rsidR="003C574C">
        <w:t xml:space="preserve">(see Section </w:t>
      </w:r>
      <w:r w:rsidR="00927965">
        <w:fldChar w:fldCharType="begin"/>
      </w:r>
      <w:r w:rsidR="003C574C">
        <w:instrText xml:space="preserve"> REF _Ref296338350 \r \h </w:instrText>
      </w:r>
      <w:r w:rsidR="00927965">
        <w:fldChar w:fldCharType="separate"/>
      </w:r>
      <w:r w:rsidR="00284CE3">
        <w:t>5.3</w:t>
      </w:r>
      <w:r w:rsidR="00927965">
        <w:fldChar w:fldCharType="end"/>
      </w:r>
      <w:r w:rsidR="003C574C">
        <w:t xml:space="preserve"> and </w:t>
      </w:r>
      <w:r w:rsidR="00927965">
        <w:fldChar w:fldCharType="begin"/>
      </w:r>
      <w:r w:rsidR="003C574C">
        <w:instrText xml:space="preserve"> REF _Ref387743376 \r \h </w:instrText>
      </w:r>
      <w:r w:rsidR="00927965">
        <w:fldChar w:fldCharType="separate"/>
      </w:r>
      <w:r w:rsidR="00284CE3">
        <w:t>5.4</w:t>
      </w:r>
      <w:r w:rsidR="00927965">
        <w:fldChar w:fldCharType="end"/>
      </w:r>
      <w:r w:rsidR="003C574C">
        <w:t xml:space="preserve">) </w:t>
      </w:r>
      <w:r>
        <w:t>were included among the certified and accepted upgrades.</w:t>
      </w:r>
      <w:r>
        <w:rPr>
          <w:rStyle w:val="FootnoteReference"/>
        </w:rPr>
        <w:footnoteReference w:id="149"/>
      </w:r>
      <w:r>
        <w:t xml:space="preserve"> The transfer capability assessment also </w:t>
      </w:r>
      <w:r w:rsidR="00660A7D">
        <w:t>modeled</w:t>
      </w:r>
      <w:r>
        <w:t xml:space="preserve"> the recent </w:t>
      </w:r>
      <w:proofErr w:type="spellStart"/>
      <w:r>
        <w:t>nonprice</w:t>
      </w:r>
      <w:proofErr w:type="spellEnd"/>
      <w:r>
        <w:t xml:space="preserve"> retirements of the Vermont Yankee Nuclear Facility, the Norwalk Harbor Station, and the </w:t>
      </w:r>
      <w:proofErr w:type="spellStart"/>
      <w:r>
        <w:t>Brayton</w:t>
      </w:r>
      <w:proofErr w:type="spellEnd"/>
      <w:r>
        <w:t xml:space="preserve"> Point station </w:t>
      </w:r>
      <w:r w:rsidR="003C574C" w:rsidRPr="003C574C">
        <w:t>(</w:t>
      </w:r>
      <w:r w:rsidR="00461D71">
        <w:t>s</w:t>
      </w:r>
      <w:r w:rsidRPr="003C574C">
        <w:t xml:space="preserve">ee </w:t>
      </w:r>
      <w:r w:rsidRPr="00660A7D">
        <w:t>Section</w:t>
      </w:r>
      <w:r w:rsidR="003C574C" w:rsidRPr="00660A7D">
        <w:t xml:space="preserve">s </w:t>
      </w:r>
      <w:fldSimple w:instr=" REF _Ref387743694 \r \h  \* MERGEFORMAT ">
        <w:r w:rsidR="00284CE3">
          <w:t>4.1.3.3</w:t>
        </w:r>
      </w:fldSimple>
      <w:r w:rsidR="00D24CD4" w:rsidRPr="00660A7D">
        <w:t xml:space="preserve">, </w:t>
      </w:r>
      <w:fldSimple w:instr=" REF _Ref296514211 \r \h  \* MERGEFORMAT ">
        <w:r w:rsidR="00284CE3">
          <w:t>5.4.2.2</w:t>
        </w:r>
      </w:fldSimple>
      <w:r w:rsidR="00660A7D" w:rsidRPr="00660A7D">
        <w:t>,</w:t>
      </w:r>
      <w:r w:rsidR="00D24CD4" w:rsidRPr="00660A7D">
        <w:t xml:space="preserve"> and </w:t>
      </w:r>
      <w:r w:rsidR="00927965">
        <w:fldChar w:fldCharType="begin"/>
      </w:r>
      <w:r w:rsidR="00D417E6">
        <w:instrText xml:space="preserve"> REF _Ref397073963 \r \h </w:instrText>
      </w:r>
      <w:r w:rsidR="00927965">
        <w:fldChar w:fldCharType="separate"/>
      </w:r>
      <w:r w:rsidR="00284CE3">
        <w:t>5.7</w:t>
      </w:r>
      <w:r w:rsidR="00927965">
        <w:fldChar w:fldCharType="end"/>
      </w:r>
      <w:r w:rsidR="003C574C" w:rsidRPr="00660A7D">
        <w:t>)</w:t>
      </w:r>
      <w:r w:rsidRPr="00660A7D">
        <w:t>.</w:t>
      </w:r>
      <w:r w:rsidRPr="00660A7D">
        <w:rPr>
          <w:rStyle w:val="FootnoteReference"/>
        </w:rPr>
        <w:footnoteReference w:id="150"/>
      </w:r>
      <w:r w:rsidR="003C574C" w:rsidRPr="00660A7D">
        <w:t xml:space="preserve"> </w:t>
      </w:r>
      <w:fldSimple w:instr=" REF _Ref387743742 \h  \* MERGEFORMAT ">
        <w:r w:rsidR="00284CE3" w:rsidRPr="00A75A26">
          <w:t xml:space="preserve">Table </w:t>
        </w:r>
        <w:r w:rsidR="00284CE3">
          <w:rPr>
            <w:noProof/>
          </w:rPr>
          <w:t>4</w:t>
        </w:r>
        <w:r w:rsidR="00284CE3">
          <w:rPr>
            <w:noProof/>
          </w:rPr>
          <w:noBreakHyphen/>
          <w:t>7</w:t>
        </w:r>
      </w:fldSimple>
      <w:r w:rsidRPr="00660A7D">
        <w:t xml:space="preserve"> shows the transfer capabilities identified for multiple</w:t>
      </w:r>
      <w:r>
        <w:t xml:space="preserve"> interfaces for all years on the RSP planning horizon.</w:t>
      </w:r>
    </w:p>
    <w:p w:rsidR="00540F55" w:rsidRDefault="008A621B">
      <w:pPr>
        <w:pStyle w:val="Caption"/>
        <w:ind w:left="-547" w:right="-547"/>
      </w:pPr>
      <w:bookmarkStart w:id="414" w:name="_Ref387743742"/>
      <w:bookmarkStart w:id="415" w:name="_Toc391985609"/>
      <w:r w:rsidRPr="00A75A26">
        <w:t xml:space="preserve">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7</w:t>
      </w:r>
      <w:r w:rsidR="00927965">
        <w:fldChar w:fldCharType="end"/>
      </w:r>
      <w:bookmarkEnd w:id="414"/>
      <w:r w:rsidRPr="00A75A26">
        <w:br/>
        <w:t>Results of the Transfer Capabili</w:t>
      </w:r>
      <w:r w:rsidR="00BA31A8">
        <w:t>t</w:t>
      </w:r>
      <w:r w:rsidRPr="00A75A26">
        <w:t>y Analysis for New England, 2014 to 2023 (M</w:t>
      </w:r>
      <w:r w:rsidRPr="001654A1">
        <w:t>W</w:t>
      </w:r>
      <w:r w:rsidR="00316208" w:rsidRPr="001654A1">
        <w:t>)</w:t>
      </w:r>
      <w:bookmarkEnd w:id="415"/>
    </w:p>
    <w:tbl>
      <w:tblPr>
        <w:tblW w:w="101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575"/>
        <w:gridCol w:w="708"/>
        <w:gridCol w:w="707"/>
        <w:gridCol w:w="705"/>
        <w:gridCol w:w="1015"/>
        <w:gridCol w:w="1015"/>
        <w:gridCol w:w="687"/>
        <w:gridCol w:w="687"/>
        <w:gridCol w:w="687"/>
        <w:gridCol w:w="687"/>
        <w:gridCol w:w="687"/>
      </w:tblGrid>
      <w:tr w:rsidR="00542D57" w:rsidRPr="00E87AE3" w:rsidTr="00535D2A">
        <w:trPr>
          <w:cantSplit/>
          <w:jc w:val="center"/>
        </w:trPr>
        <w:tc>
          <w:tcPr>
            <w:tcW w:w="2575" w:type="dxa"/>
            <w:vMerge w:val="restart"/>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Interface</w:t>
            </w:r>
            <w:r w:rsidR="00BA31A8" w:rsidRPr="00E87AE3">
              <w:rPr>
                <w:rFonts w:asciiTheme="minorHAnsi" w:eastAsia="Times New Roman" w:hAnsiTheme="minorHAnsi" w:cs="Arial"/>
                <w:b/>
                <w:bCs/>
                <w:color w:val="FFFFFF" w:themeColor="background1"/>
                <w:sz w:val="16"/>
                <w:szCs w:val="16"/>
                <w:vertAlign w:val="superscript"/>
              </w:rPr>
              <w:t>(a)</w:t>
            </w:r>
          </w:p>
        </w:tc>
        <w:tc>
          <w:tcPr>
            <w:tcW w:w="7585" w:type="dxa"/>
            <w:gridSpan w:val="10"/>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Year</w:t>
            </w:r>
          </w:p>
        </w:tc>
      </w:tr>
      <w:tr w:rsidR="00542D57" w:rsidRPr="00E87AE3" w:rsidTr="00535D2A">
        <w:trPr>
          <w:cantSplit/>
          <w:jc w:val="center"/>
        </w:trPr>
        <w:tc>
          <w:tcPr>
            <w:tcW w:w="2575" w:type="dxa"/>
            <w:vMerge/>
            <w:shd w:val="clear" w:color="auto" w:fill="85AFF2" w:themeFill="text2" w:themeFillTint="66"/>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FFFFFF" w:themeColor="background1"/>
                <w:sz w:val="16"/>
                <w:szCs w:val="16"/>
              </w:rPr>
            </w:pPr>
          </w:p>
        </w:tc>
        <w:tc>
          <w:tcPr>
            <w:tcW w:w="708"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2014</w:t>
            </w:r>
          </w:p>
        </w:tc>
        <w:tc>
          <w:tcPr>
            <w:tcW w:w="70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2015</w:t>
            </w:r>
          </w:p>
        </w:tc>
        <w:tc>
          <w:tcPr>
            <w:tcW w:w="705"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2016</w:t>
            </w:r>
          </w:p>
        </w:tc>
        <w:tc>
          <w:tcPr>
            <w:tcW w:w="1015"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2017</w:t>
            </w:r>
          </w:p>
        </w:tc>
        <w:tc>
          <w:tcPr>
            <w:tcW w:w="1015"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2018</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2019</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2020</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2021</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2022</w:t>
            </w:r>
          </w:p>
        </w:tc>
        <w:tc>
          <w:tcPr>
            <w:tcW w:w="687" w:type="dxa"/>
            <w:shd w:val="clear" w:color="auto" w:fill="85AFF2" w:themeFill="text2" w:themeFillTint="66"/>
            <w:tcMar>
              <w:left w:w="58" w:type="dxa"/>
            </w:tcMar>
            <w:vAlign w:val="center"/>
            <w:hideMark/>
          </w:tcPr>
          <w:p w:rsidR="00542D57" w:rsidRPr="00E87AE3" w:rsidRDefault="00542D57" w:rsidP="00E87AE3">
            <w:pPr>
              <w:spacing w:before="40" w:after="40" w:line="240" w:lineRule="auto"/>
              <w:jc w:val="center"/>
              <w:rPr>
                <w:rFonts w:asciiTheme="minorHAnsi" w:eastAsia="Times New Roman" w:hAnsiTheme="minorHAnsi" w:cs="Arial"/>
                <w:b/>
                <w:bCs/>
                <w:color w:val="FFFFFF" w:themeColor="background1"/>
                <w:sz w:val="16"/>
                <w:szCs w:val="16"/>
              </w:rPr>
            </w:pPr>
            <w:r w:rsidRPr="00E87AE3">
              <w:rPr>
                <w:rFonts w:asciiTheme="minorHAnsi" w:eastAsia="Times New Roman" w:hAnsiTheme="minorHAnsi" w:cs="Arial"/>
                <w:b/>
                <w:bCs/>
                <w:color w:val="FFFFFF" w:themeColor="background1"/>
                <w:sz w:val="16"/>
                <w:szCs w:val="16"/>
              </w:rPr>
              <w:t>2023</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New Brunswick–New England</w:t>
            </w:r>
            <w:r w:rsidRPr="00E87AE3">
              <w:rPr>
                <w:rFonts w:asciiTheme="minorHAnsi" w:eastAsia="Times New Roman" w:hAnsiTheme="minorHAnsi" w:cs="Arial"/>
                <w:b/>
                <w:bCs/>
                <w:color w:val="595959"/>
                <w:sz w:val="16"/>
                <w:szCs w:val="16"/>
                <w:vertAlign w:val="superscript"/>
              </w:rPr>
              <w:t>(b)</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Orrington South Export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707" w:type="dxa"/>
            <w:shd w:val="clear" w:color="auto" w:fill="C2D7F8" w:themeFill="text2" w:themeFillTint="33"/>
            <w:tcMar>
              <w:left w:w="58" w:type="dxa"/>
            </w:tcMar>
            <w:vAlign w:val="center"/>
            <w:hideMark/>
          </w:tcPr>
          <w:p w:rsidR="00542D57" w:rsidRPr="00E87AE3" w:rsidRDefault="00542D57" w:rsidP="00BC22AE">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r w:rsidRPr="00E87AE3">
              <w:rPr>
                <w:rFonts w:asciiTheme="minorHAnsi" w:eastAsia="Times New Roman" w:hAnsiTheme="minorHAnsi" w:cs="Arial"/>
                <w:bCs/>
                <w:color w:val="595959"/>
                <w:sz w:val="16"/>
                <w:szCs w:val="16"/>
                <w:vertAlign w:val="superscript"/>
              </w:rPr>
              <w:t xml:space="preserve">(c) </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1,325</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proofErr w:type="spellStart"/>
            <w:r w:rsidRPr="00E87AE3">
              <w:rPr>
                <w:rFonts w:asciiTheme="minorHAnsi" w:eastAsia="Times New Roman" w:hAnsiTheme="minorHAnsi" w:cs="Arial"/>
                <w:b/>
                <w:bCs/>
                <w:color w:val="595959"/>
                <w:sz w:val="16"/>
                <w:szCs w:val="16"/>
              </w:rPr>
              <w:t>Surowiec</w:t>
            </w:r>
            <w:proofErr w:type="spellEnd"/>
            <w:r w:rsidRPr="00E87AE3">
              <w:rPr>
                <w:rFonts w:asciiTheme="minorHAnsi" w:eastAsia="Times New Roman" w:hAnsiTheme="minorHAnsi" w:cs="Arial"/>
                <w:b/>
                <w:bCs/>
                <w:color w:val="595959"/>
                <w:sz w:val="16"/>
                <w:szCs w:val="16"/>
              </w:rPr>
              <w:t xml:space="preserve"> South</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1,150</w:t>
            </w:r>
          </w:p>
        </w:tc>
        <w:tc>
          <w:tcPr>
            <w:tcW w:w="707" w:type="dxa"/>
            <w:shd w:val="clear" w:color="auto" w:fill="auto"/>
            <w:tcMar>
              <w:left w:w="58" w:type="dxa"/>
            </w:tcMar>
            <w:vAlign w:val="center"/>
            <w:hideMark/>
          </w:tcPr>
          <w:p w:rsidR="00542D57" w:rsidRPr="00E87AE3" w:rsidRDefault="00542D57" w:rsidP="00BC22AE">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r w:rsidRPr="00E87AE3">
              <w:rPr>
                <w:rFonts w:asciiTheme="minorHAnsi" w:eastAsia="Times New Roman" w:hAnsiTheme="minorHAnsi" w:cs="Arial"/>
                <w:bCs/>
                <w:color w:val="595959"/>
                <w:sz w:val="16"/>
                <w:szCs w:val="16"/>
                <w:vertAlign w:val="superscript"/>
              </w:rPr>
              <w:t xml:space="preserve">(c) </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1,500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Maine–New Hampshire</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1,600</w:t>
            </w:r>
          </w:p>
        </w:tc>
        <w:tc>
          <w:tcPr>
            <w:tcW w:w="707" w:type="dxa"/>
            <w:shd w:val="clear" w:color="auto" w:fill="C2D7F8" w:themeFill="text2" w:themeFillTint="33"/>
            <w:tcMar>
              <w:left w:w="58" w:type="dxa"/>
            </w:tcMar>
            <w:vAlign w:val="center"/>
            <w:hideMark/>
          </w:tcPr>
          <w:p w:rsidR="00542D57" w:rsidRPr="00E87AE3" w:rsidRDefault="00542D57" w:rsidP="00BC22AE">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r w:rsidRPr="00E87AE3">
              <w:rPr>
                <w:rFonts w:asciiTheme="minorHAnsi" w:eastAsia="Times New Roman" w:hAnsiTheme="minorHAnsi" w:cs="Arial"/>
                <w:bCs/>
                <w:color w:val="595959"/>
                <w:sz w:val="16"/>
                <w:szCs w:val="16"/>
                <w:vertAlign w:val="superscript"/>
              </w:rPr>
              <w:t>(c)</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1,900</w:t>
            </w:r>
          </w:p>
        </w:tc>
      </w:tr>
      <w:tr w:rsidR="00542D57" w:rsidRPr="00E87AE3" w:rsidTr="00535D2A">
        <w:trPr>
          <w:cantSplit/>
          <w:trHeight w:val="256"/>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North-South</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2,700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East–West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1015" w:type="dxa"/>
            <w:shd w:val="clear" w:color="auto" w:fill="C2D7F8" w:themeFill="text2" w:themeFillTint="33"/>
            <w:tcMar>
              <w:left w:w="58" w:type="dxa"/>
            </w:tcMar>
            <w:vAlign w:val="center"/>
            <w:hideMark/>
          </w:tcPr>
          <w:p w:rsidR="00542D57" w:rsidRPr="00E87AE3" w:rsidRDefault="00535D2A" w:rsidP="00535D2A">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1015" w:type="dxa"/>
            <w:shd w:val="clear" w:color="auto" w:fill="C2D7F8" w:themeFill="text2" w:themeFillTint="33"/>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r w:rsidRPr="00E87AE3">
              <w:rPr>
                <w:rFonts w:asciiTheme="minorHAnsi" w:eastAsia="Times New Roman" w:hAnsiTheme="minorHAnsi" w:cs="Arial"/>
                <w:bCs/>
                <w:color w:val="595959"/>
                <w:sz w:val="16"/>
                <w:szCs w:val="16"/>
                <w:vertAlign w:val="superscript"/>
              </w:rPr>
              <w:t>(d)</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3,500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 xml:space="preserve">West–East </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1,000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1,000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w:t>
            </w:r>
            <w:r w:rsidR="00651A00">
              <w:rPr>
                <w:rFonts w:asciiTheme="minorHAnsi" w:eastAsia="Times New Roman" w:hAnsiTheme="minorHAnsi" w:cs="Arial"/>
                <w:bCs/>
                <w:color w:val="595959"/>
                <w:sz w:val="16"/>
                <w:szCs w:val="16"/>
              </w:rPr>
              <w:t>,</w:t>
            </w:r>
            <w:r w:rsidRPr="00E87AE3">
              <w:rPr>
                <w:rFonts w:asciiTheme="minorHAnsi" w:eastAsia="Times New Roman" w:hAnsiTheme="minorHAnsi" w:cs="Arial"/>
                <w:bCs/>
                <w:color w:val="595959"/>
                <w:sz w:val="16"/>
                <w:szCs w:val="16"/>
              </w:rPr>
              <w:t>000 </w:t>
            </w:r>
          </w:p>
        </w:tc>
        <w:tc>
          <w:tcPr>
            <w:tcW w:w="1015" w:type="dxa"/>
            <w:shd w:val="clear" w:color="auto" w:fill="auto"/>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w:t>
            </w:r>
            <w:r w:rsidR="00651A00">
              <w:rPr>
                <w:rFonts w:asciiTheme="minorHAnsi" w:eastAsia="Times New Roman" w:hAnsiTheme="minorHAnsi" w:cs="Arial"/>
                <w:bCs/>
                <w:color w:val="595959"/>
                <w:sz w:val="16"/>
                <w:szCs w:val="16"/>
              </w:rPr>
              <w:t>,</w:t>
            </w:r>
            <w:r w:rsidRPr="00E87AE3">
              <w:rPr>
                <w:rFonts w:asciiTheme="minorHAnsi" w:eastAsia="Times New Roman" w:hAnsiTheme="minorHAnsi" w:cs="Arial"/>
                <w:bCs/>
                <w:color w:val="595959"/>
                <w:sz w:val="16"/>
                <w:szCs w:val="16"/>
              </w:rPr>
              <w:t>000</w:t>
            </w:r>
          </w:p>
        </w:tc>
        <w:tc>
          <w:tcPr>
            <w:tcW w:w="1015" w:type="dxa"/>
            <w:shd w:val="clear" w:color="auto" w:fill="auto"/>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r w:rsidRPr="00E87AE3">
              <w:rPr>
                <w:rFonts w:asciiTheme="minorHAnsi" w:eastAsia="Times New Roman" w:hAnsiTheme="minorHAnsi" w:cs="Arial"/>
                <w:bCs/>
                <w:color w:val="595959"/>
                <w:sz w:val="16"/>
                <w:szCs w:val="16"/>
                <w:vertAlign w:val="superscript"/>
              </w:rPr>
              <w:t>(d)</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p>
        </w:tc>
        <w:tc>
          <w:tcPr>
            <w:tcW w:w="687" w:type="dxa"/>
            <w:shd w:val="clear" w:color="auto" w:fill="auto"/>
            <w:tcMar>
              <w:left w:w="58" w:type="dxa"/>
            </w:tcMar>
            <w:vAlign w:val="center"/>
            <w:hideMark/>
          </w:tcPr>
          <w:p w:rsidR="00542D57" w:rsidRPr="00E87AE3" w:rsidRDefault="00542D57" w:rsidP="00651A00">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w:t>
            </w:r>
            <w:r w:rsidR="00651A00">
              <w:rPr>
                <w:rFonts w:asciiTheme="minorHAnsi" w:eastAsia="Times New Roman" w:hAnsiTheme="minorHAnsi" w:cs="Arial"/>
                <w:bCs/>
                <w:color w:val="595959"/>
                <w:sz w:val="16"/>
                <w:szCs w:val="16"/>
              </w:rPr>
              <w:t>,</w:t>
            </w: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2,200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Boston Import (N-1)</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r w:rsidRPr="00E87AE3">
              <w:rPr>
                <w:rFonts w:asciiTheme="minorHAnsi" w:eastAsia="Times New Roman" w:hAnsiTheme="minorHAnsi" w:cs="Arial"/>
                <w:bCs/>
                <w:color w:val="595959"/>
                <w:sz w:val="16"/>
                <w:szCs w:val="16"/>
                <w:vertAlign w:val="superscript"/>
              </w:rPr>
              <w:t>(e)</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r w:rsidRPr="00E87AE3">
              <w:rPr>
                <w:rFonts w:asciiTheme="minorHAnsi" w:eastAsia="Times New Roman" w:hAnsiTheme="minorHAnsi" w:cs="Arial"/>
                <w:bCs/>
                <w:color w:val="595959"/>
                <w:sz w:val="16"/>
                <w:szCs w:val="16"/>
                <w:vertAlign w:val="superscript"/>
              </w:rPr>
              <w:t>(f)</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4,850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Boston Import (N-1-1)</w:t>
            </w:r>
            <w:r w:rsidRPr="001B6391">
              <w:rPr>
                <w:rFonts w:asciiTheme="minorHAnsi" w:eastAsia="Times New Roman" w:hAnsiTheme="minorHAnsi" w:cs="Arial"/>
                <w:b/>
                <w:bCs/>
                <w:color w:val="595959"/>
                <w:sz w:val="16"/>
                <w:szCs w:val="16"/>
              </w:rPr>
              <w:t xml:space="preserve"> </w:t>
            </w:r>
          </w:p>
        </w:tc>
        <w:tc>
          <w:tcPr>
            <w:tcW w:w="708" w:type="dxa"/>
            <w:shd w:val="clear" w:color="auto" w:fill="auto"/>
            <w:tcMar>
              <w:left w:w="58" w:type="dxa"/>
            </w:tcMar>
            <w:vAlign w:val="center"/>
            <w:hideMark/>
          </w:tcPr>
          <w:p w:rsidR="00542D57" w:rsidRPr="00E87AE3" w:rsidRDefault="00542D57" w:rsidP="00BC22AE">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r w:rsidRPr="00E87AE3">
              <w:rPr>
                <w:rFonts w:asciiTheme="minorHAnsi" w:eastAsia="Times New Roman" w:hAnsiTheme="minorHAnsi" w:cs="Arial"/>
                <w:bCs/>
                <w:color w:val="595959"/>
                <w:sz w:val="16"/>
                <w:szCs w:val="16"/>
                <w:vertAlign w:val="superscript"/>
              </w:rPr>
              <w:t>(e)</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r w:rsidRPr="00E87AE3">
              <w:rPr>
                <w:rFonts w:asciiTheme="minorHAnsi" w:eastAsia="Times New Roman" w:hAnsiTheme="minorHAnsi" w:cs="Arial"/>
                <w:bCs/>
                <w:color w:val="595959"/>
                <w:sz w:val="16"/>
                <w:szCs w:val="16"/>
                <w:vertAlign w:val="superscript"/>
              </w:rPr>
              <w:t>(f)</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4,175</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SEMA/RI Export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3,000</w:t>
            </w:r>
          </w:p>
        </w:tc>
        <w:tc>
          <w:tcPr>
            <w:tcW w:w="1015" w:type="dxa"/>
            <w:shd w:val="clear" w:color="auto" w:fill="C2D7F8" w:themeFill="text2" w:themeFillTint="33"/>
            <w:tcMar>
              <w:left w:w="58" w:type="dxa"/>
            </w:tcMar>
            <w:vAlign w:val="center"/>
            <w:hideMark/>
          </w:tcPr>
          <w:p w:rsidR="00542D57" w:rsidRPr="00E87AE3" w:rsidRDefault="00542D57" w:rsidP="00535D2A">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w:t>
            </w:r>
            <w:r w:rsidR="00535D2A">
              <w:rPr>
                <w:rFonts w:asciiTheme="minorHAnsi" w:eastAsia="Times New Roman" w:hAnsiTheme="minorHAnsi" w:cs="Arial"/>
                <w:bCs/>
                <w:color w:val="595959"/>
                <w:sz w:val="16"/>
                <w:szCs w:val="16"/>
              </w:rPr>
              <w:t>0</w:t>
            </w:r>
            <w:r w:rsidRPr="00E87AE3">
              <w:rPr>
                <w:rFonts w:asciiTheme="minorHAnsi" w:eastAsia="Times New Roman" w:hAnsiTheme="minorHAnsi" w:cs="Arial"/>
                <w:bCs/>
                <w:color w:val="595959"/>
                <w:sz w:val="16"/>
                <w:szCs w:val="16"/>
              </w:rPr>
              <w:t>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r w:rsidR="00535D2A" w:rsidRPr="00E87AE3">
              <w:rPr>
                <w:rFonts w:asciiTheme="minorHAnsi" w:eastAsia="Times New Roman" w:hAnsiTheme="minorHAnsi" w:cs="Arial"/>
                <w:bCs/>
                <w:color w:val="595959"/>
                <w:sz w:val="16"/>
                <w:szCs w:val="16"/>
                <w:vertAlign w:val="superscript"/>
              </w:rPr>
              <w:t>(d)</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3,400</w:t>
            </w:r>
          </w:p>
        </w:tc>
      </w:tr>
      <w:tr w:rsidR="00535D2A" w:rsidRPr="00E87AE3" w:rsidTr="00535D2A">
        <w:trPr>
          <w:cantSplit/>
          <w:jc w:val="center"/>
        </w:trPr>
        <w:tc>
          <w:tcPr>
            <w:tcW w:w="2575" w:type="dxa"/>
            <w:shd w:val="clear" w:color="auto" w:fill="auto"/>
            <w:tcMar>
              <w:left w:w="58" w:type="dxa"/>
            </w:tcMar>
            <w:vAlign w:val="center"/>
            <w:hideMark/>
          </w:tcPr>
          <w:p w:rsidR="00535D2A" w:rsidRPr="00E87AE3" w:rsidRDefault="00535D2A"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SEMA/RI Import (N-1)</w:t>
            </w:r>
          </w:p>
        </w:tc>
        <w:tc>
          <w:tcPr>
            <w:tcW w:w="708"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70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705"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1015"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1015"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c>
          <w:tcPr>
            <w:tcW w:w="687" w:type="dxa"/>
            <w:shd w:val="clear" w:color="auto" w:fill="auto"/>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786</w:t>
            </w:r>
          </w:p>
        </w:tc>
      </w:tr>
      <w:tr w:rsidR="00535D2A" w:rsidRPr="00E87AE3" w:rsidTr="00535D2A">
        <w:trPr>
          <w:cantSplit/>
          <w:trHeight w:val="112"/>
          <w:jc w:val="center"/>
        </w:trPr>
        <w:tc>
          <w:tcPr>
            <w:tcW w:w="2575" w:type="dxa"/>
            <w:shd w:val="clear" w:color="auto" w:fill="C2D7F8" w:themeFill="text2" w:themeFillTint="33"/>
            <w:tcMar>
              <w:left w:w="58" w:type="dxa"/>
            </w:tcMar>
            <w:vAlign w:val="center"/>
            <w:hideMark/>
          </w:tcPr>
          <w:p w:rsidR="00535D2A" w:rsidRPr="00E87AE3" w:rsidRDefault="00535D2A"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SEMA/RI Import (N-1-1)</w:t>
            </w:r>
          </w:p>
        </w:tc>
        <w:tc>
          <w:tcPr>
            <w:tcW w:w="708"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70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705"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1015"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w:t>
            </w:r>
          </w:p>
        </w:tc>
        <w:tc>
          <w:tcPr>
            <w:tcW w:w="1015"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c>
          <w:tcPr>
            <w:tcW w:w="687" w:type="dxa"/>
            <w:shd w:val="clear" w:color="auto" w:fill="C2D7F8" w:themeFill="text2" w:themeFillTint="33"/>
            <w:tcMar>
              <w:left w:w="58" w:type="dxa"/>
            </w:tcMar>
            <w:vAlign w:val="center"/>
            <w:hideMark/>
          </w:tcPr>
          <w:p w:rsidR="00535D2A"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473</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Connecticut Import (N-1)</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3,050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3,050</w:t>
            </w:r>
          </w:p>
        </w:tc>
        <w:tc>
          <w:tcPr>
            <w:tcW w:w="705" w:type="dxa"/>
            <w:shd w:val="clear" w:color="auto" w:fill="auto"/>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r w:rsidRPr="00E87AE3">
              <w:rPr>
                <w:rFonts w:asciiTheme="minorHAnsi" w:eastAsia="Times New Roman" w:hAnsiTheme="minorHAnsi" w:cs="Arial"/>
                <w:bCs/>
                <w:color w:val="595959"/>
                <w:sz w:val="16"/>
                <w:szCs w:val="16"/>
                <w:vertAlign w:val="superscript"/>
              </w:rPr>
              <w:t>(d)</w:t>
            </w:r>
          </w:p>
        </w:tc>
        <w:tc>
          <w:tcPr>
            <w:tcW w:w="1015" w:type="dxa"/>
            <w:shd w:val="clear" w:color="auto" w:fill="auto"/>
            <w:tcMar>
              <w:left w:w="58" w:type="dxa"/>
            </w:tcMar>
            <w:vAlign w:val="center"/>
            <w:hideMark/>
          </w:tcPr>
          <w:p w:rsidR="00542D57" w:rsidRPr="00E87AE3" w:rsidRDefault="00542D57" w:rsidP="00535D2A">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2,800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2,950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 xml:space="preserve">Connecticut Import (N-1-1) </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1,850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1,850</w:t>
            </w:r>
          </w:p>
        </w:tc>
        <w:tc>
          <w:tcPr>
            <w:tcW w:w="705" w:type="dxa"/>
            <w:shd w:val="clear" w:color="auto" w:fill="C2D7F8" w:themeFill="text2" w:themeFillTint="33"/>
            <w:tcMar>
              <w:left w:w="58" w:type="dxa"/>
            </w:tcMar>
            <w:vAlign w:val="center"/>
            <w:hideMark/>
          </w:tcPr>
          <w:p w:rsidR="00542D57" w:rsidRPr="00E87AE3" w:rsidRDefault="00535D2A"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1,600</w:t>
            </w:r>
            <w:r w:rsidRPr="00E87AE3">
              <w:rPr>
                <w:rFonts w:asciiTheme="minorHAnsi" w:eastAsia="Times New Roman" w:hAnsiTheme="minorHAnsi" w:cs="Arial"/>
                <w:bCs/>
                <w:color w:val="595959"/>
                <w:sz w:val="16"/>
                <w:szCs w:val="16"/>
                <w:vertAlign w:val="superscript"/>
              </w:rPr>
              <w:t>(d)</w:t>
            </w:r>
          </w:p>
        </w:tc>
        <w:tc>
          <w:tcPr>
            <w:tcW w:w="1015" w:type="dxa"/>
            <w:shd w:val="clear" w:color="auto" w:fill="C2D7F8" w:themeFill="text2" w:themeFillTint="33"/>
            <w:tcMar>
              <w:left w:w="58" w:type="dxa"/>
            </w:tcMar>
            <w:vAlign w:val="center"/>
            <w:hideMark/>
          </w:tcPr>
          <w:p w:rsidR="00542D57" w:rsidRPr="00E87AE3" w:rsidRDefault="00542D57" w:rsidP="00535D2A">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1,600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1,750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SW Connecticut Import (N-1)</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3,200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SW Connecticut Import (N-1-1)</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2,300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HQ-NE (</w:t>
            </w:r>
            <w:proofErr w:type="spellStart"/>
            <w:r w:rsidRPr="00E87AE3">
              <w:rPr>
                <w:rFonts w:asciiTheme="minorHAnsi" w:eastAsia="Times New Roman" w:hAnsiTheme="minorHAnsi" w:cs="Arial"/>
                <w:b/>
                <w:bCs/>
                <w:color w:val="595959"/>
                <w:sz w:val="16"/>
                <w:szCs w:val="16"/>
              </w:rPr>
              <w:t>Highgate</w:t>
            </w:r>
            <w:proofErr w:type="spellEnd"/>
            <w:r w:rsidRPr="00E87AE3">
              <w:rPr>
                <w:rFonts w:asciiTheme="minorHAnsi" w:eastAsia="Times New Roman" w:hAnsiTheme="minorHAnsi" w:cs="Arial"/>
                <w:b/>
                <w:bCs/>
                <w:color w:val="595959"/>
                <w:sz w:val="16"/>
                <w:szCs w:val="16"/>
              </w:rPr>
              <w:t>)</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200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HQ-NE (Phase II)</w:t>
            </w:r>
            <w:r w:rsidRPr="00E87AE3">
              <w:rPr>
                <w:rFonts w:asciiTheme="minorHAnsi" w:eastAsia="Times New Roman" w:hAnsiTheme="minorHAnsi" w:cs="Arial"/>
                <w:b/>
                <w:bCs/>
                <w:color w:val="595959"/>
                <w:sz w:val="16"/>
                <w:szCs w:val="16"/>
                <w:vertAlign w:val="superscript"/>
              </w:rPr>
              <w:t>(g)</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Cross–Sound Cable (CSC) (In)</w:t>
            </w:r>
            <w:r w:rsidRPr="00E87AE3">
              <w:rPr>
                <w:rFonts w:asciiTheme="minorHAnsi" w:eastAsia="Times New Roman" w:hAnsiTheme="minorHAnsi" w:cs="Arial"/>
                <w:b/>
                <w:bCs/>
                <w:color w:val="595959"/>
                <w:sz w:val="16"/>
                <w:szCs w:val="16"/>
                <w:vertAlign w:val="superscript"/>
              </w:rPr>
              <w:t>(h)</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Cross–Sound Cable (CSC) (Out)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346</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NY-NE Summer</w:t>
            </w:r>
            <w:r w:rsidRPr="00E87AE3">
              <w:rPr>
                <w:rFonts w:asciiTheme="minorHAnsi" w:eastAsia="Times New Roman" w:hAnsiTheme="minorHAnsi" w:cs="Arial"/>
                <w:b/>
                <w:bCs/>
                <w:color w:val="595959"/>
                <w:sz w:val="16"/>
                <w:szCs w:val="16"/>
                <w:vertAlign w:val="superscript"/>
              </w:rPr>
              <w:t>(</w:t>
            </w:r>
            <w:proofErr w:type="spellStart"/>
            <w:r w:rsidRPr="00E87AE3">
              <w:rPr>
                <w:rFonts w:asciiTheme="minorHAnsi" w:eastAsia="Times New Roman" w:hAnsiTheme="minorHAnsi" w:cs="Arial"/>
                <w:b/>
                <w:bCs/>
                <w:color w:val="595959"/>
                <w:sz w:val="16"/>
                <w:szCs w:val="16"/>
                <w:vertAlign w:val="superscript"/>
              </w:rPr>
              <w:t>i</w:t>
            </w:r>
            <w:proofErr w:type="spellEnd"/>
            <w:r w:rsidRPr="00E87AE3">
              <w:rPr>
                <w:rFonts w:asciiTheme="minorHAnsi" w:eastAsia="Times New Roman" w:hAnsiTheme="minorHAnsi" w:cs="Arial"/>
                <w:b/>
                <w:bCs/>
                <w:color w:val="595959"/>
                <w:sz w:val="16"/>
                <w:szCs w:val="16"/>
                <w:vertAlign w:val="superscript"/>
              </w:rPr>
              <w:t>)</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NY-NE Winter</w:t>
            </w:r>
            <w:r w:rsidRPr="00E87AE3">
              <w:rPr>
                <w:rFonts w:asciiTheme="minorHAnsi" w:eastAsia="Times New Roman" w:hAnsiTheme="minorHAnsi" w:cs="Arial"/>
                <w:b/>
                <w:bCs/>
                <w:color w:val="595959"/>
                <w:sz w:val="16"/>
                <w:szCs w:val="16"/>
                <w:vertAlign w:val="superscript"/>
              </w:rPr>
              <w:t>(</w:t>
            </w:r>
            <w:proofErr w:type="spellStart"/>
            <w:r w:rsidRPr="00E87AE3">
              <w:rPr>
                <w:rFonts w:asciiTheme="minorHAnsi" w:eastAsia="Times New Roman" w:hAnsiTheme="minorHAnsi" w:cs="Arial"/>
                <w:b/>
                <w:bCs/>
                <w:color w:val="595959"/>
                <w:sz w:val="16"/>
                <w:szCs w:val="16"/>
                <w:vertAlign w:val="superscript"/>
              </w:rPr>
              <w:t>i</w:t>
            </w:r>
            <w:proofErr w:type="spellEnd"/>
            <w:r w:rsidRPr="00E87AE3">
              <w:rPr>
                <w:rFonts w:asciiTheme="minorHAnsi" w:eastAsia="Times New Roman" w:hAnsiTheme="minorHAnsi" w:cs="Arial"/>
                <w:b/>
                <w:bCs/>
                <w:color w:val="595959"/>
                <w:sz w:val="16"/>
                <w:szCs w:val="16"/>
                <w:vertAlign w:val="superscript"/>
              </w:rPr>
              <w: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1,875</w:t>
            </w:r>
          </w:p>
        </w:tc>
      </w:tr>
      <w:tr w:rsidR="00542D57" w:rsidRPr="00E87AE3" w:rsidTr="00535D2A">
        <w:trPr>
          <w:cantSplit/>
          <w:jc w:val="center"/>
        </w:trPr>
        <w:tc>
          <w:tcPr>
            <w:tcW w:w="2575" w:type="dxa"/>
            <w:shd w:val="clear" w:color="auto" w:fill="auto"/>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NE-NY Summer</w:t>
            </w:r>
            <w:r w:rsidRPr="00E87AE3">
              <w:rPr>
                <w:rFonts w:asciiTheme="minorHAnsi" w:eastAsia="Times New Roman" w:hAnsiTheme="minorHAnsi" w:cs="Arial"/>
                <w:b/>
                <w:bCs/>
                <w:color w:val="595959"/>
                <w:sz w:val="16"/>
                <w:szCs w:val="16"/>
                <w:vertAlign w:val="superscript"/>
              </w:rPr>
              <w:t>(</w:t>
            </w:r>
            <w:proofErr w:type="spellStart"/>
            <w:r w:rsidRPr="00E87AE3">
              <w:rPr>
                <w:rFonts w:asciiTheme="minorHAnsi" w:eastAsia="Times New Roman" w:hAnsiTheme="minorHAnsi" w:cs="Arial"/>
                <w:b/>
                <w:bCs/>
                <w:color w:val="595959"/>
                <w:sz w:val="16"/>
                <w:szCs w:val="16"/>
                <w:vertAlign w:val="superscript"/>
              </w:rPr>
              <w:t>i</w:t>
            </w:r>
            <w:proofErr w:type="spellEnd"/>
            <w:r w:rsidRPr="00E87AE3">
              <w:rPr>
                <w:rFonts w:asciiTheme="minorHAnsi" w:eastAsia="Times New Roman" w:hAnsiTheme="minorHAnsi" w:cs="Arial"/>
                <w:b/>
                <w:bCs/>
                <w:color w:val="595959"/>
                <w:sz w:val="16"/>
                <w:szCs w:val="16"/>
                <w:vertAlign w:val="superscript"/>
              </w:rPr>
              <w:t>)</w:t>
            </w:r>
          </w:p>
        </w:tc>
        <w:tc>
          <w:tcPr>
            <w:tcW w:w="708"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70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70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1015"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c>
          <w:tcPr>
            <w:tcW w:w="687" w:type="dxa"/>
            <w:shd w:val="clear" w:color="auto" w:fill="auto"/>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1,200</w:t>
            </w:r>
          </w:p>
        </w:tc>
      </w:tr>
      <w:tr w:rsidR="00542D57" w:rsidRPr="00E87AE3" w:rsidTr="00535D2A">
        <w:trPr>
          <w:cantSplit/>
          <w:jc w:val="center"/>
        </w:trPr>
        <w:tc>
          <w:tcPr>
            <w:tcW w:w="257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rPr>
                <w:rFonts w:asciiTheme="minorHAnsi" w:eastAsia="Times New Roman" w:hAnsiTheme="minorHAnsi" w:cs="Arial"/>
                <w:b/>
                <w:bCs/>
                <w:color w:val="595959"/>
                <w:sz w:val="16"/>
                <w:szCs w:val="16"/>
              </w:rPr>
            </w:pPr>
            <w:r w:rsidRPr="00E87AE3">
              <w:rPr>
                <w:rFonts w:asciiTheme="minorHAnsi" w:eastAsia="Times New Roman" w:hAnsiTheme="minorHAnsi" w:cs="Arial"/>
                <w:b/>
                <w:bCs/>
                <w:color w:val="595959"/>
                <w:sz w:val="16"/>
                <w:szCs w:val="16"/>
              </w:rPr>
              <w:t>NE-NY Winter</w:t>
            </w:r>
            <w:r w:rsidRPr="00E87AE3">
              <w:rPr>
                <w:rFonts w:asciiTheme="minorHAnsi" w:eastAsia="Times New Roman" w:hAnsiTheme="minorHAnsi" w:cs="Arial"/>
                <w:b/>
                <w:bCs/>
                <w:color w:val="595959"/>
                <w:sz w:val="16"/>
                <w:szCs w:val="16"/>
                <w:vertAlign w:val="superscript"/>
              </w:rPr>
              <w:t>(</w:t>
            </w:r>
            <w:proofErr w:type="spellStart"/>
            <w:r w:rsidRPr="00E87AE3">
              <w:rPr>
                <w:rFonts w:asciiTheme="minorHAnsi" w:eastAsia="Times New Roman" w:hAnsiTheme="minorHAnsi" w:cs="Arial"/>
                <w:b/>
                <w:bCs/>
                <w:color w:val="595959"/>
                <w:sz w:val="16"/>
                <w:szCs w:val="16"/>
                <w:vertAlign w:val="superscript"/>
              </w:rPr>
              <w:t>i</w:t>
            </w:r>
            <w:proofErr w:type="spellEnd"/>
            <w:r w:rsidRPr="00E87AE3">
              <w:rPr>
                <w:rFonts w:asciiTheme="minorHAnsi" w:eastAsia="Times New Roman" w:hAnsiTheme="minorHAnsi" w:cs="Arial"/>
                <w:b/>
                <w:bCs/>
                <w:color w:val="595959"/>
                <w:sz w:val="16"/>
                <w:szCs w:val="16"/>
                <w:vertAlign w:val="superscript"/>
              </w:rPr>
              <w:t>)</w:t>
            </w:r>
          </w:p>
        </w:tc>
        <w:tc>
          <w:tcPr>
            <w:tcW w:w="708"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70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1015"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c>
          <w:tcPr>
            <w:tcW w:w="687" w:type="dxa"/>
            <w:shd w:val="clear" w:color="auto" w:fill="C2D7F8" w:themeFill="text2" w:themeFillTint="33"/>
            <w:tcMar>
              <w:left w:w="58" w:type="dxa"/>
            </w:tcMar>
            <w:vAlign w:val="center"/>
            <w:hideMark/>
          </w:tcPr>
          <w:p w:rsidR="00542D57" w:rsidRPr="00E87AE3" w:rsidRDefault="00542D57" w:rsidP="00E87AE3">
            <w:pPr>
              <w:spacing w:before="40" w:after="40" w:line="240" w:lineRule="auto"/>
              <w:jc w:val="right"/>
              <w:rPr>
                <w:rFonts w:asciiTheme="minorHAnsi" w:eastAsia="Times New Roman" w:hAnsiTheme="minorHAnsi" w:cs="Arial"/>
                <w:bCs/>
                <w:color w:val="595959"/>
                <w:sz w:val="16"/>
                <w:szCs w:val="16"/>
              </w:rPr>
            </w:pPr>
            <w:r w:rsidRPr="00E87AE3">
              <w:rPr>
                <w:rFonts w:asciiTheme="minorHAnsi" w:eastAsia="Times New Roman" w:hAnsiTheme="minorHAnsi" w:cs="Arial"/>
                <w:bCs/>
                <w:color w:val="595959"/>
                <w:sz w:val="16"/>
                <w:szCs w:val="16"/>
              </w:rPr>
              <w:t>1,400</w:t>
            </w:r>
          </w:p>
        </w:tc>
      </w:tr>
    </w:tbl>
    <w:p w:rsidR="00CB133F" w:rsidRPr="00B61122" w:rsidRDefault="00542D57" w:rsidP="00333123">
      <w:pPr>
        <w:spacing w:before="120" w:line="240" w:lineRule="auto"/>
        <w:ind w:left="-547" w:right="-634"/>
        <w:rPr>
          <w:sz w:val="16"/>
          <w:szCs w:val="16"/>
        </w:rPr>
      </w:pPr>
      <w:r w:rsidRPr="00B61122">
        <w:rPr>
          <w:b/>
          <w:sz w:val="16"/>
          <w:szCs w:val="16"/>
        </w:rPr>
        <w:t>(a)</w:t>
      </w:r>
      <w:r w:rsidRPr="00B61122">
        <w:rPr>
          <w:sz w:val="16"/>
          <w:szCs w:val="16"/>
        </w:rPr>
        <w:t xml:space="preserve"> </w:t>
      </w:r>
      <w:r w:rsidR="00BA31A8" w:rsidRPr="00B61122">
        <w:rPr>
          <w:sz w:val="16"/>
          <w:szCs w:val="16"/>
        </w:rPr>
        <w:t xml:space="preserve">The transmission interface limits are single-value, </w:t>
      </w:r>
      <w:r w:rsidR="00D57DFB" w:rsidRPr="00B61122">
        <w:rPr>
          <w:sz w:val="16"/>
          <w:szCs w:val="16"/>
        </w:rPr>
        <w:t>summer peak (except where noted to be winter),</w:t>
      </w:r>
      <w:r w:rsidR="00BA31A8" w:rsidRPr="00B61122">
        <w:rPr>
          <w:sz w:val="16"/>
          <w:szCs w:val="16"/>
        </w:rPr>
        <w:t xml:space="preserve"> for use in subarea </w:t>
      </w:r>
      <w:r w:rsidR="00D57DFB" w:rsidRPr="00B61122">
        <w:rPr>
          <w:sz w:val="16"/>
          <w:szCs w:val="16"/>
        </w:rPr>
        <w:t xml:space="preserve">transportation </w:t>
      </w:r>
      <w:r w:rsidR="00BA31A8" w:rsidRPr="00B61122">
        <w:rPr>
          <w:sz w:val="16"/>
          <w:szCs w:val="16"/>
        </w:rPr>
        <w:t xml:space="preserve">models. </w:t>
      </w:r>
      <w:r w:rsidRPr="00B61122">
        <w:rPr>
          <w:sz w:val="16"/>
          <w:szCs w:val="16"/>
        </w:rPr>
        <w:t xml:space="preserve">The limits may not include possible simultaneous impacts and </w:t>
      </w:r>
      <w:proofErr w:type="gramStart"/>
      <w:r w:rsidRPr="00B61122">
        <w:rPr>
          <w:sz w:val="16"/>
          <w:szCs w:val="16"/>
        </w:rPr>
        <w:t>should not be considered</w:t>
      </w:r>
      <w:proofErr w:type="gramEnd"/>
      <w:r w:rsidRPr="00B61122">
        <w:rPr>
          <w:sz w:val="16"/>
          <w:szCs w:val="16"/>
        </w:rPr>
        <w:t xml:space="preserve"> as “firm.” (The bases for these limits </w:t>
      </w:r>
      <w:r w:rsidR="00BC22AE">
        <w:rPr>
          <w:sz w:val="16"/>
          <w:szCs w:val="16"/>
        </w:rPr>
        <w:t xml:space="preserve">will be </w:t>
      </w:r>
      <w:r w:rsidRPr="00B61122">
        <w:rPr>
          <w:sz w:val="16"/>
          <w:szCs w:val="16"/>
        </w:rPr>
        <w:t xml:space="preserve">subject to </w:t>
      </w:r>
      <w:proofErr w:type="gramStart"/>
      <w:r w:rsidRPr="00B61122">
        <w:rPr>
          <w:sz w:val="16"/>
          <w:szCs w:val="16"/>
        </w:rPr>
        <w:t>more detailed review</w:t>
      </w:r>
      <w:proofErr w:type="gramEnd"/>
      <w:r w:rsidRPr="00B61122">
        <w:rPr>
          <w:sz w:val="16"/>
          <w:szCs w:val="16"/>
        </w:rPr>
        <w:t xml:space="preserve">.) For the years within the FCM horizon (2018, FCA #9 and sooner), only accepted certified transmission projects are included when identifying transfer limits. Certified transmission projects </w:t>
      </w:r>
      <w:proofErr w:type="gramStart"/>
      <w:r w:rsidRPr="00B61122">
        <w:rPr>
          <w:sz w:val="16"/>
          <w:szCs w:val="16"/>
        </w:rPr>
        <w:t>were presented</w:t>
      </w:r>
      <w:proofErr w:type="gramEnd"/>
      <w:r w:rsidRPr="00B61122">
        <w:rPr>
          <w:sz w:val="16"/>
          <w:szCs w:val="16"/>
        </w:rPr>
        <w:t xml:space="preserve"> to the Reliability Committee at their January 21, 2014, meeting (</w:t>
      </w:r>
      <w:hyperlink r:id="rId37" w:history="1">
        <w:r w:rsidR="00CC6E8A" w:rsidRPr="00CC6E8A">
          <w:rPr>
            <w:rStyle w:val="Hyperlink"/>
            <w:sz w:val="16"/>
            <w:szCs w:val="16"/>
          </w:rPr>
          <w:t>http://www.iso-ne.com/committees/reliability/reliability-committee</w:t>
        </w:r>
      </w:hyperlink>
      <w:r w:rsidRPr="00B61122">
        <w:rPr>
          <w:sz w:val="16"/>
          <w:szCs w:val="16"/>
        </w:rPr>
        <w:t>). For the years beyond the FCM horizon (2019 and later), proposed plan approved transmission upgrades are included according to their expected in-service dates.</w:t>
      </w:r>
      <w:r w:rsidR="00344921" w:rsidRPr="00B61122">
        <w:rPr>
          <w:sz w:val="16"/>
          <w:szCs w:val="16"/>
        </w:rPr>
        <w:br/>
      </w:r>
      <w:r w:rsidRPr="00B61122">
        <w:rPr>
          <w:b/>
          <w:sz w:val="16"/>
          <w:szCs w:val="16"/>
        </w:rPr>
        <w:t>(b)</w:t>
      </w:r>
      <w:r w:rsidRPr="00B61122">
        <w:rPr>
          <w:sz w:val="16"/>
          <w:szCs w:val="16"/>
        </w:rPr>
        <w:t xml:space="preserve"> The electrical limit of the New Brunswick–New England (NB–NE) tie is 1,000 MW. When adjusted for the ability to deliver capacity to </w:t>
      </w:r>
      <w:r w:rsidR="00D57DFB" w:rsidRPr="00B61122">
        <w:rPr>
          <w:sz w:val="16"/>
          <w:szCs w:val="16"/>
        </w:rPr>
        <w:t xml:space="preserve">the </w:t>
      </w:r>
      <w:r w:rsidR="0009099A" w:rsidRPr="00B61122">
        <w:rPr>
          <w:sz w:val="16"/>
          <w:szCs w:val="16"/>
        </w:rPr>
        <w:t xml:space="preserve">ISO </w:t>
      </w:r>
      <w:r w:rsidR="00D57DFB" w:rsidRPr="00B61122">
        <w:rPr>
          <w:sz w:val="16"/>
          <w:szCs w:val="16"/>
        </w:rPr>
        <w:t xml:space="preserve">New England </w:t>
      </w:r>
      <w:r w:rsidR="00461D71" w:rsidRPr="00B61122">
        <w:rPr>
          <w:sz w:val="16"/>
          <w:szCs w:val="16"/>
        </w:rPr>
        <w:t>Balancing Authority A</w:t>
      </w:r>
      <w:r w:rsidR="00D57DFB" w:rsidRPr="00B61122">
        <w:rPr>
          <w:sz w:val="16"/>
          <w:szCs w:val="16"/>
        </w:rPr>
        <w:t>rea,</w:t>
      </w:r>
      <w:r w:rsidRPr="00B61122">
        <w:rPr>
          <w:sz w:val="16"/>
          <w:szCs w:val="16"/>
        </w:rPr>
        <w:t xml:space="preserve"> the NB–NE transfer capability is 700 MW because of downstream constraints, in particular, Orrington South.</w:t>
      </w:r>
      <w:r w:rsidR="00BC22AE">
        <w:rPr>
          <w:sz w:val="16"/>
          <w:szCs w:val="16"/>
        </w:rPr>
        <w:br/>
      </w:r>
      <w:r w:rsidRPr="00B61122">
        <w:rPr>
          <w:b/>
          <w:sz w:val="16"/>
          <w:szCs w:val="16"/>
        </w:rPr>
        <w:t>(c)</w:t>
      </w:r>
      <w:r w:rsidRPr="00B61122">
        <w:rPr>
          <w:sz w:val="16"/>
          <w:szCs w:val="16"/>
        </w:rPr>
        <w:t xml:space="preserve"> The relevant in-service date for the Maine Power Reliability Program is 2015.</w:t>
      </w:r>
    </w:p>
    <w:p w:rsidR="00CB133F" w:rsidRPr="00B61122" w:rsidRDefault="0028427D" w:rsidP="00333123">
      <w:pPr>
        <w:spacing w:before="120" w:line="240" w:lineRule="auto"/>
        <w:ind w:left="-547" w:right="-634"/>
        <w:rPr>
          <w:sz w:val="16"/>
          <w:szCs w:val="16"/>
        </w:rPr>
      </w:pPr>
      <w:r w:rsidRPr="00B61122">
        <w:rPr>
          <w:b/>
          <w:sz w:val="16"/>
          <w:szCs w:val="16"/>
        </w:rPr>
        <w:t>(d)</w:t>
      </w:r>
      <w:r w:rsidR="00D57DFB" w:rsidRPr="00B61122">
        <w:rPr>
          <w:sz w:val="16"/>
          <w:szCs w:val="16"/>
        </w:rPr>
        <w:t xml:space="preserve"> </w:t>
      </w:r>
      <w:r w:rsidR="00BC444C" w:rsidRPr="00B61122">
        <w:rPr>
          <w:sz w:val="16"/>
          <w:szCs w:val="16"/>
        </w:rPr>
        <w:t xml:space="preserve">The PTOs have certified that the NEEWS Interstate Reliability Project (IRP) project would be in service by December 2015 and have listed this as the project’s in-service date in the RSP Project List. The ISO has accepted the PTO’s certification of the IRP project for FCA #8, and has accepted—for the purpose of conducting the calculations described in Section 4—that the project will be in service by June 1, 2017, although it may be in service before that date. </w:t>
      </w:r>
      <w:r w:rsidR="00542D57" w:rsidRPr="00B61122">
        <w:rPr>
          <w:sz w:val="16"/>
          <w:szCs w:val="16"/>
        </w:rPr>
        <w:t xml:space="preserve">The Lake Road generating facility </w:t>
      </w:r>
      <w:proofErr w:type="gramStart"/>
      <w:r w:rsidR="00542D57" w:rsidRPr="00B61122">
        <w:rPr>
          <w:sz w:val="16"/>
          <w:szCs w:val="16"/>
        </w:rPr>
        <w:t>will be modeled</w:t>
      </w:r>
      <w:proofErr w:type="gramEnd"/>
      <w:r w:rsidR="00542D57" w:rsidRPr="00B61122">
        <w:rPr>
          <w:sz w:val="16"/>
          <w:szCs w:val="16"/>
        </w:rPr>
        <w:t xml:space="preserve"> in the Connecticut capacity zone for </w:t>
      </w:r>
      <w:r w:rsidR="00F75883" w:rsidRPr="00B61122">
        <w:rPr>
          <w:sz w:val="16"/>
          <w:szCs w:val="16"/>
        </w:rPr>
        <w:t xml:space="preserve">2017/2018 </w:t>
      </w:r>
      <w:r w:rsidR="00542D57" w:rsidRPr="00B61122">
        <w:rPr>
          <w:sz w:val="16"/>
          <w:szCs w:val="16"/>
        </w:rPr>
        <w:t xml:space="preserve">capacity commitment period. The ISO has not yet determined whether the Lake Road generating facility </w:t>
      </w:r>
      <w:proofErr w:type="gramStart"/>
      <w:r w:rsidR="00542D57" w:rsidRPr="00B61122">
        <w:rPr>
          <w:sz w:val="16"/>
          <w:szCs w:val="16"/>
        </w:rPr>
        <w:t>can be modeled</w:t>
      </w:r>
      <w:proofErr w:type="gramEnd"/>
      <w:r w:rsidR="00542D57" w:rsidRPr="00B61122">
        <w:rPr>
          <w:sz w:val="16"/>
          <w:szCs w:val="16"/>
        </w:rPr>
        <w:t xml:space="preserve"> in this zone for an earlier CCP.</w:t>
      </w:r>
      <w:r w:rsidR="00BC22AE">
        <w:rPr>
          <w:sz w:val="16"/>
          <w:szCs w:val="16"/>
        </w:rPr>
        <w:br/>
      </w:r>
      <w:r w:rsidR="00542D57" w:rsidRPr="00B61122">
        <w:rPr>
          <w:b/>
          <w:sz w:val="16"/>
          <w:szCs w:val="16"/>
        </w:rPr>
        <w:t>(e)</w:t>
      </w:r>
      <w:r w:rsidR="00542D57" w:rsidRPr="00B61122">
        <w:rPr>
          <w:sz w:val="16"/>
          <w:szCs w:val="16"/>
        </w:rPr>
        <w:t xml:space="preserve"> The Boston import capabilities change in 2014 </w:t>
      </w:r>
      <w:proofErr w:type="gramStart"/>
      <w:r w:rsidR="00542D57" w:rsidRPr="00B61122">
        <w:rPr>
          <w:sz w:val="16"/>
          <w:szCs w:val="16"/>
        </w:rPr>
        <w:t>as a result</w:t>
      </w:r>
      <w:proofErr w:type="gramEnd"/>
      <w:r w:rsidR="00542D57" w:rsidRPr="00B61122">
        <w:rPr>
          <w:sz w:val="16"/>
          <w:szCs w:val="16"/>
        </w:rPr>
        <w:t xml:space="preserve"> of the retirement of Salem Harbor combined with the inclusion of the advanced NEMA/Boston upgrades.</w:t>
      </w:r>
      <w:r w:rsidR="00BF1391">
        <w:rPr>
          <w:sz w:val="16"/>
          <w:szCs w:val="16"/>
        </w:rPr>
        <w:br/>
      </w:r>
      <w:r w:rsidR="00542D57" w:rsidRPr="00B61122">
        <w:rPr>
          <w:b/>
          <w:sz w:val="16"/>
          <w:szCs w:val="16"/>
        </w:rPr>
        <w:t>(f)</w:t>
      </w:r>
      <w:r w:rsidR="00BF1391">
        <w:rPr>
          <w:b/>
          <w:sz w:val="16"/>
          <w:szCs w:val="16"/>
        </w:rPr>
        <w:t xml:space="preserve"> </w:t>
      </w:r>
      <w:r w:rsidR="00542D57" w:rsidRPr="00B61122">
        <w:rPr>
          <w:sz w:val="16"/>
          <w:szCs w:val="16"/>
        </w:rPr>
        <w:t xml:space="preserve">The effect of the addition of the Footprint generation project on the Boston import capability </w:t>
      </w:r>
      <w:proofErr w:type="gramStart"/>
      <w:r w:rsidR="00542D57" w:rsidRPr="00B61122">
        <w:rPr>
          <w:sz w:val="16"/>
          <w:szCs w:val="16"/>
        </w:rPr>
        <w:t>will be evaluated</w:t>
      </w:r>
      <w:proofErr w:type="gramEnd"/>
      <w:r w:rsidR="00542D57" w:rsidRPr="00B61122">
        <w:rPr>
          <w:sz w:val="16"/>
          <w:szCs w:val="16"/>
        </w:rPr>
        <w:t xml:space="preserve"> at a future date.</w:t>
      </w:r>
    </w:p>
    <w:p w:rsidR="00542D57" w:rsidRDefault="00542D57" w:rsidP="00344921">
      <w:pPr>
        <w:spacing w:before="120" w:after="0" w:line="240" w:lineRule="auto"/>
        <w:ind w:left="-547" w:right="-634"/>
        <w:rPr>
          <w:sz w:val="16"/>
          <w:szCs w:val="16"/>
        </w:rPr>
        <w:sectPr w:rsidR="00542D57" w:rsidSect="00666F18">
          <w:pgSz w:w="12240" w:h="15840"/>
          <w:pgMar w:top="1260" w:right="1440" w:bottom="1350" w:left="1800" w:header="720" w:footer="720" w:gutter="0"/>
          <w:cols w:space="720"/>
          <w:docGrid w:linePitch="360"/>
        </w:sectPr>
      </w:pPr>
      <w:r w:rsidRPr="00B61122">
        <w:rPr>
          <w:b/>
          <w:sz w:val="16"/>
          <w:szCs w:val="16"/>
        </w:rPr>
        <w:t>(g)</w:t>
      </w:r>
      <w:r w:rsidRPr="00B61122">
        <w:rPr>
          <w:sz w:val="16"/>
          <w:szCs w:val="16"/>
        </w:rPr>
        <w:t xml:space="preserve"> The HQICC interconnection is a DC tie with equipment ratings of 2,000 MW. </w:t>
      </w:r>
      <w:r w:rsidR="00016BFF">
        <w:rPr>
          <w:sz w:val="16"/>
          <w:szCs w:val="16"/>
        </w:rPr>
        <w:t xml:space="preserve">The PJM and NYISO systems may be constrained by </w:t>
      </w:r>
      <w:r w:rsidRPr="00B61122">
        <w:rPr>
          <w:sz w:val="16"/>
          <w:szCs w:val="16"/>
        </w:rPr>
        <w:t>the loss of this line</w:t>
      </w:r>
      <w:r w:rsidR="00016BFF">
        <w:rPr>
          <w:sz w:val="16"/>
          <w:szCs w:val="16"/>
        </w:rPr>
        <w:t xml:space="preserve">. As a result, </w:t>
      </w:r>
      <w:r w:rsidRPr="00B61122">
        <w:rPr>
          <w:sz w:val="16"/>
          <w:szCs w:val="16"/>
        </w:rPr>
        <w:t>ISO New England has assumed that its transfer capability is 1,400 MW for capacity and reliability calculations.</w:t>
      </w:r>
      <w:r w:rsidR="000F6C7C">
        <w:rPr>
          <w:sz w:val="16"/>
          <w:szCs w:val="16"/>
        </w:rPr>
        <w:t xml:space="preserve"> </w:t>
      </w:r>
      <w:r w:rsidRPr="00B61122">
        <w:rPr>
          <w:sz w:val="16"/>
          <w:szCs w:val="16"/>
        </w:rPr>
        <w:t xml:space="preserve">This assumption </w:t>
      </w:r>
      <w:proofErr w:type="gramStart"/>
      <w:r w:rsidRPr="00B61122">
        <w:rPr>
          <w:sz w:val="16"/>
          <w:szCs w:val="16"/>
        </w:rPr>
        <w:t>is based</w:t>
      </w:r>
      <w:proofErr w:type="gramEnd"/>
      <w:r w:rsidRPr="00B61122">
        <w:rPr>
          <w:sz w:val="16"/>
          <w:szCs w:val="16"/>
        </w:rPr>
        <w:t xml:space="preserve"> on the results of loss-of-source analyses conducted by PJM and </w:t>
      </w:r>
      <w:r w:rsidRPr="00016BFF">
        <w:rPr>
          <w:sz w:val="16"/>
          <w:szCs w:val="16"/>
        </w:rPr>
        <w:t>NY</w:t>
      </w:r>
      <w:r w:rsidR="00D837D8" w:rsidRPr="00016BFF">
        <w:rPr>
          <w:sz w:val="16"/>
          <w:szCs w:val="16"/>
        </w:rPr>
        <w:t>ISO</w:t>
      </w:r>
      <w:r w:rsidRPr="00016BFF">
        <w:rPr>
          <w:sz w:val="16"/>
          <w:szCs w:val="16"/>
        </w:rPr>
        <w:t>.</w:t>
      </w:r>
      <w:r w:rsidR="00BC22AE">
        <w:rPr>
          <w:sz w:val="16"/>
          <w:szCs w:val="16"/>
        </w:rPr>
        <w:br/>
      </w:r>
      <w:r w:rsidRPr="00B61122">
        <w:rPr>
          <w:b/>
          <w:sz w:val="16"/>
          <w:szCs w:val="16"/>
        </w:rPr>
        <w:t>(h)</w:t>
      </w:r>
      <w:r w:rsidRPr="00B61122">
        <w:rPr>
          <w:sz w:val="16"/>
          <w:szCs w:val="16"/>
        </w:rPr>
        <w:t xml:space="preserve"> The import capability on the CSC is dependent on the level of local generation.</w:t>
      </w:r>
      <w:r w:rsidR="00BC22AE">
        <w:rPr>
          <w:sz w:val="16"/>
          <w:szCs w:val="16"/>
        </w:rPr>
        <w:br/>
      </w:r>
      <w:r w:rsidRPr="00B61122">
        <w:rPr>
          <w:b/>
          <w:sz w:val="16"/>
          <w:szCs w:val="16"/>
        </w:rPr>
        <w:t>(</w:t>
      </w:r>
      <w:proofErr w:type="spellStart"/>
      <w:r w:rsidRPr="00B61122">
        <w:rPr>
          <w:b/>
          <w:sz w:val="16"/>
          <w:szCs w:val="16"/>
        </w:rPr>
        <w:t>i</w:t>
      </w:r>
      <w:proofErr w:type="spellEnd"/>
      <w:r w:rsidRPr="00B61122">
        <w:rPr>
          <w:b/>
          <w:sz w:val="16"/>
          <w:szCs w:val="16"/>
        </w:rPr>
        <w:t>)</w:t>
      </w:r>
      <w:r w:rsidRPr="00B61122">
        <w:rPr>
          <w:sz w:val="16"/>
          <w:szCs w:val="16"/>
        </w:rPr>
        <w:t xml:space="preserve"> The New York interface limits are without the CSC and with the Northport–Norwalk Cable at </w:t>
      </w:r>
      <w:proofErr w:type="gramStart"/>
      <w:r w:rsidRPr="00B61122">
        <w:rPr>
          <w:sz w:val="16"/>
          <w:szCs w:val="16"/>
        </w:rPr>
        <w:t>0</w:t>
      </w:r>
      <w:proofErr w:type="gramEnd"/>
      <w:r w:rsidRPr="00B61122">
        <w:rPr>
          <w:sz w:val="16"/>
          <w:szCs w:val="16"/>
        </w:rPr>
        <w:t xml:space="preserve"> MW flow. Simultaneously importing into New England and SWCT or CT can lower the NY–NE capability (very rough decrease =</w:t>
      </w:r>
      <w:r w:rsidRPr="00660A7D">
        <w:rPr>
          <w:sz w:val="16"/>
          <w:szCs w:val="16"/>
        </w:rPr>
        <w:t xml:space="preserve"> 200 MW). Conversely, simultaneously exporting to NY</w:t>
      </w:r>
      <w:r w:rsidRPr="00523F91">
        <w:rPr>
          <w:sz w:val="16"/>
          <w:szCs w:val="16"/>
        </w:rPr>
        <w:t xml:space="preserve"> and importing to SWCT or CT can lower the NE</w:t>
      </w:r>
      <w:r>
        <w:rPr>
          <w:sz w:val="16"/>
          <w:szCs w:val="16"/>
        </w:rPr>
        <w:t>–</w:t>
      </w:r>
      <w:r w:rsidRPr="00523F91">
        <w:rPr>
          <w:sz w:val="16"/>
          <w:szCs w:val="16"/>
        </w:rPr>
        <w:t>NY capability (very rough decrease = 700</w:t>
      </w:r>
      <w:r>
        <w:rPr>
          <w:sz w:val="16"/>
          <w:szCs w:val="16"/>
        </w:rPr>
        <w:t> </w:t>
      </w:r>
      <w:r w:rsidRPr="00523F91">
        <w:rPr>
          <w:sz w:val="16"/>
          <w:szCs w:val="16"/>
        </w:rPr>
        <w:t>MW)</w:t>
      </w:r>
      <w:r>
        <w:rPr>
          <w:sz w:val="16"/>
          <w:szCs w:val="16"/>
        </w:rPr>
        <w:t>.</w:t>
      </w:r>
    </w:p>
    <w:p w:rsidR="00DD0430" w:rsidRDefault="008A621B" w:rsidP="008A621B">
      <w:r>
        <w:t xml:space="preserve">The existing eight energy load zones </w:t>
      </w:r>
      <w:proofErr w:type="gramStart"/>
      <w:r>
        <w:t>were surveyed</w:t>
      </w:r>
      <w:proofErr w:type="gramEnd"/>
      <w:r>
        <w:t xml:space="preserve"> to identify whether model</w:t>
      </w:r>
      <w:r w:rsidR="002D51A9">
        <w:t>ing</w:t>
      </w:r>
      <w:r>
        <w:t xml:space="preserve"> th</w:t>
      </w:r>
      <w:r w:rsidR="002D51A9">
        <w:t>e</w:t>
      </w:r>
      <w:r>
        <w:t xml:space="preserve">se zones as </w:t>
      </w:r>
      <w:r w:rsidR="002D51A9">
        <w:t xml:space="preserve">FCM </w:t>
      </w:r>
      <w:r>
        <w:t xml:space="preserve">capacity zones </w:t>
      </w:r>
      <w:r w:rsidR="002D51A9">
        <w:t>would be appropriate</w:t>
      </w:r>
      <w:r>
        <w:t xml:space="preserve">. The load and resource conditions in each zone </w:t>
      </w:r>
      <w:proofErr w:type="gramStart"/>
      <w:r>
        <w:t>were analyzed</w:t>
      </w:r>
      <w:proofErr w:type="gramEnd"/>
      <w:r w:rsidR="000F6C7C">
        <w:t>, and t</w:t>
      </w:r>
      <w:r>
        <w:t>he second-contingency transmission</w:t>
      </w:r>
      <w:r w:rsidR="00A878DF">
        <w:t>-</w:t>
      </w:r>
      <w:r>
        <w:t xml:space="preserve">performance </w:t>
      </w:r>
      <w:r w:rsidRPr="006B44E8">
        <w:t>characteristics of the zones w</w:t>
      </w:r>
      <w:r w:rsidR="000F6C7C">
        <w:t>ere</w:t>
      </w:r>
      <w:r w:rsidRPr="006B44E8">
        <w:t xml:space="preserve"> considered.</w:t>
      </w:r>
      <w:r w:rsidRPr="006B44E8">
        <w:rPr>
          <w:rStyle w:val="FootnoteReference"/>
        </w:rPr>
        <w:footnoteReference w:id="151"/>
      </w:r>
      <w:r w:rsidR="002D51A9" w:rsidRPr="006B44E8" w:rsidDel="002D51A9">
        <w:rPr>
          <w:rStyle w:val="FootnoteReference"/>
        </w:rPr>
        <w:t xml:space="preserve"> </w:t>
      </w:r>
    </w:p>
    <w:p w:rsidR="008A621B" w:rsidRDefault="008A621B" w:rsidP="008A621B">
      <w:proofErr w:type="gramStart"/>
      <w:r>
        <w:t>As a result</w:t>
      </w:r>
      <w:proofErr w:type="gramEnd"/>
      <w:r>
        <w:t xml:space="preserve"> of the above reviews, the ISO proposed to evaluate </w:t>
      </w:r>
      <w:r w:rsidR="000F6C7C">
        <w:t xml:space="preserve">for FCA #9 </w:t>
      </w:r>
      <w:r>
        <w:t>three potential import-constrained capacity zones using the objective criteria modeling triggers put forth in the tariff.</w:t>
      </w:r>
      <w:r>
        <w:rPr>
          <w:rStyle w:val="FootnoteReference"/>
        </w:rPr>
        <w:footnoteReference w:id="152"/>
      </w:r>
      <w:r>
        <w:t xml:space="preserve"> The three potential import</w:t>
      </w:r>
      <w:r w:rsidR="00DD0430">
        <w:t>-constrained</w:t>
      </w:r>
      <w:r>
        <w:t xml:space="preserve"> zones are Connecticut, NEMA/Boston, and a combined Southeast Massachusetts/Rhode Island zone. </w:t>
      </w:r>
      <w:r w:rsidR="00136127">
        <w:t>Testing t</w:t>
      </w:r>
      <w:r>
        <w:t xml:space="preserve">he Maine load zone </w:t>
      </w:r>
      <w:r w:rsidR="00136127">
        <w:t xml:space="preserve">as an export-constrained zone </w:t>
      </w:r>
      <w:proofErr w:type="gramStart"/>
      <w:r>
        <w:t>was proposed</w:t>
      </w:r>
      <w:proofErr w:type="gramEnd"/>
      <w:r w:rsidRPr="00C20DA1">
        <w:t xml:space="preserve">. Any energy load zone that does not exceed the automatic modeling trigger </w:t>
      </w:r>
      <w:proofErr w:type="gramStart"/>
      <w:r w:rsidR="00D431C1" w:rsidRPr="00C20DA1">
        <w:t>will</w:t>
      </w:r>
      <w:r w:rsidRPr="00C20DA1">
        <w:t xml:space="preserve"> be</w:t>
      </w:r>
      <w:r w:rsidRPr="008E1246">
        <w:t xml:space="preserve"> collapsed</w:t>
      </w:r>
      <w:proofErr w:type="gramEnd"/>
      <w:r w:rsidRPr="008E1246">
        <w:t xml:space="preserve"> </w:t>
      </w:r>
      <w:r>
        <w:t>into the Rest-of-</w:t>
      </w:r>
      <w:r w:rsidRPr="006E718F">
        <w:t>Pool</w:t>
      </w:r>
      <w:r>
        <w:t xml:space="preserve"> capacity z</w:t>
      </w:r>
      <w:r w:rsidRPr="008E1246">
        <w:t>one</w:t>
      </w:r>
      <w:r>
        <w:t>.</w:t>
      </w:r>
    </w:p>
    <w:p w:rsidR="00E63D3A" w:rsidRDefault="008A621B">
      <w:pPr>
        <w:pStyle w:val="Heading2"/>
      </w:pPr>
      <w:bookmarkStart w:id="416" w:name="_Ref327436621"/>
      <w:bookmarkStart w:id="417" w:name="_Ref327457751"/>
      <w:bookmarkStart w:id="418" w:name="_Toc334601033"/>
      <w:bookmarkStart w:id="419" w:name="_Toc365440996"/>
      <w:bookmarkStart w:id="420" w:name="_Toc396807626"/>
      <w:bookmarkStart w:id="421" w:name="_Ref388092299"/>
      <w:bookmarkStart w:id="422" w:name="_Ref388102898"/>
      <w:bookmarkStart w:id="423" w:name="_Toc291755113"/>
      <w:bookmarkStart w:id="424" w:name="_Toc201669939"/>
      <w:bookmarkStart w:id="425" w:name="_Ref202110477"/>
      <w:bookmarkStart w:id="426" w:name="_Ref202176759"/>
      <w:bookmarkStart w:id="427" w:name="_Ref202252734"/>
      <w:bookmarkStart w:id="428" w:name="_Ref202367538"/>
      <w:bookmarkStart w:id="429" w:name="_Toc207531838"/>
      <w:bookmarkStart w:id="430" w:name="_Ref231186439"/>
      <w:bookmarkStart w:id="431" w:name="_Ref231194402"/>
      <w:bookmarkStart w:id="432" w:name="_Toc239157074"/>
      <w:bookmarkStart w:id="433" w:name="_Ref262118248"/>
      <w:bookmarkStart w:id="434" w:name="_Ref262118276"/>
      <w:bookmarkStart w:id="435" w:name="_Ref230950481"/>
      <w:bookmarkStart w:id="436" w:name="_Ref266557523"/>
      <w:bookmarkStart w:id="437" w:name="_Ref267384581"/>
      <w:bookmarkStart w:id="438" w:name="_Ref296434832"/>
      <w:bookmarkStart w:id="439" w:name="_Ref301345694"/>
      <w:bookmarkStart w:id="440" w:name="_Ref301345706"/>
      <w:bookmarkStart w:id="441" w:name="_Toc303086387"/>
      <w:bookmarkEnd w:id="388"/>
      <w:bookmarkEnd w:id="389"/>
      <w:bookmarkEnd w:id="390"/>
      <w:bookmarkEnd w:id="391"/>
      <w:r w:rsidRPr="00861ACD">
        <w:t>Determining Operating Reserves</w:t>
      </w:r>
      <w:bookmarkEnd w:id="416"/>
      <w:r w:rsidRPr="00861ACD">
        <w:t xml:space="preserve"> and Regulation</w:t>
      </w:r>
      <w:bookmarkEnd w:id="417"/>
      <w:bookmarkEnd w:id="418"/>
      <w:bookmarkEnd w:id="419"/>
      <w:bookmarkEnd w:id="420"/>
      <w:r>
        <w:t xml:space="preserve"> </w:t>
      </w:r>
      <w:bookmarkEnd w:id="421"/>
      <w:bookmarkEnd w:id="422"/>
    </w:p>
    <w:p w:rsidR="008A621B" w:rsidRDefault="008A621B" w:rsidP="008A621B">
      <w:pPr>
        <w:keepNext/>
      </w:pPr>
      <w:r>
        <w:t xml:space="preserve">In addition to capacity resources being available to meet the region’s actual demand for electricity, as discussed in Section </w:t>
      </w:r>
      <w:fldSimple w:instr=" REF _Ref327866184 \r \h  \* MERGEFORMAT ">
        <w:r w:rsidR="00284CE3">
          <w:t>4.1</w:t>
        </w:r>
      </w:fldSimple>
      <w:r w:rsidRPr="00C17F8F">
        <w:t>,</w:t>
      </w:r>
      <w:r>
        <w:t xml:space="preserve"> the system needs a certain amount of resources that can provide operating reserves and system regulation</w:t>
      </w:r>
      <w:r w:rsidRPr="00EC12B1">
        <w:t xml:space="preserve">. The overall mix of resources </w:t>
      </w:r>
      <w:r>
        <w:t xml:space="preserve">providing operating reserves </w:t>
      </w:r>
      <w:r w:rsidRPr="000E2B27">
        <w:t>must be able to respond quickly to system contingencies stemming from equipment outages. The</w:t>
      </w:r>
      <w:r>
        <w:t xml:space="preserve"> ISO may also call on the</w:t>
      </w:r>
      <w:r w:rsidRPr="000E2B27">
        <w:t>se</w:t>
      </w:r>
      <w:r>
        <w:t xml:space="preserve"> </w:t>
      </w:r>
      <w:r w:rsidRPr="00054662">
        <w:t xml:space="preserve">resources </w:t>
      </w:r>
      <w:r>
        <w:t xml:space="preserve">to </w:t>
      </w:r>
      <w:r w:rsidRPr="00244FA8">
        <w:t>provide regulation service</w:t>
      </w:r>
      <w:r w:rsidRPr="00054662">
        <w:t xml:space="preserve"> for</w:t>
      </w:r>
      <w:r w:rsidRPr="00EC12B1">
        <w:t xml:space="preserve"> maintaining </w:t>
      </w:r>
      <w:r>
        <w:t>system frequency and external transactions with neighboring balancing authority areas or</w:t>
      </w:r>
      <w:r w:rsidRPr="00EC12B1">
        <w:t xml:space="preserve"> </w:t>
      </w:r>
      <w:r>
        <w:t xml:space="preserve">to </w:t>
      </w:r>
      <w:r w:rsidRPr="00EC12B1">
        <w:t xml:space="preserve">serve load during </w:t>
      </w:r>
      <w:r>
        <w:t xml:space="preserve">peak demand </w:t>
      </w:r>
      <w:r w:rsidRPr="00EE3583">
        <w:t>conditions</w:t>
      </w:r>
      <w:r w:rsidRPr="003B6342">
        <w:t xml:space="preserve">. A suboptimal mix of resources overall, with limited amounts of flexible operating characteristics, could result in </w:t>
      </w:r>
      <w:r>
        <w:t>the system’s dependence on more costly resources to provide these services. In the worst case, reliability would be degraded.</w:t>
      </w:r>
      <w:r w:rsidRPr="00E52B20">
        <w:rPr>
          <w:color w:val="000000" w:themeColor="text1"/>
        </w:rPr>
        <w:t xml:space="preserve"> </w:t>
      </w:r>
    </w:p>
    <w:p w:rsidR="008A621B" w:rsidRDefault="008A621B" w:rsidP="008A621B">
      <w:r>
        <w:t xml:space="preserve">Several types of resources in New England have the operating characteristics to respond to contingencies, provide regulation service, and serve peak demand. The generating units that provide operating reserves can respond to contingencies within 10 or 30 minutes and can either be synchronized or not synchronized to the power system. Synchronized (i.e., </w:t>
      </w:r>
      <w:r w:rsidRPr="00721518">
        <w:rPr>
          <w:i/>
        </w:rPr>
        <w:t>spinning</w:t>
      </w:r>
      <w:r>
        <w:t>) operating reserves are</w:t>
      </w:r>
      <w:r w:rsidRPr="00721518">
        <w:t xml:space="preserve"> on-line res</w:t>
      </w:r>
      <w:r>
        <w:t xml:space="preserve">ources that can increase output. </w:t>
      </w:r>
      <w:proofErr w:type="spellStart"/>
      <w:r>
        <w:t>Nonsynchronized</w:t>
      </w:r>
      <w:proofErr w:type="spellEnd"/>
      <w:r>
        <w:t xml:space="preserve"> (i.e., </w:t>
      </w:r>
      <w:proofErr w:type="spellStart"/>
      <w:r w:rsidRPr="00372163">
        <w:rPr>
          <w:i/>
        </w:rPr>
        <w:t>n</w:t>
      </w:r>
      <w:r w:rsidRPr="005B7656">
        <w:rPr>
          <w:i/>
        </w:rPr>
        <w:t>onspinning</w:t>
      </w:r>
      <w:proofErr w:type="spellEnd"/>
      <w:r w:rsidRPr="00665922">
        <w:t>)</w:t>
      </w:r>
      <w:r>
        <w:t xml:space="preserve"> operating </w:t>
      </w:r>
      <w:r w:rsidRPr="00352FEC">
        <w:t>reserves are off-</w:t>
      </w:r>
      <w:r w:rsidRPr="00DE1967">
        <w:t xml:space="preserve">line, </w:t>
      </w:r>
      <w:r w:rsidRPr="00EA2C7A">
        <w:t xml:space="preserve">fast-start resources that </w:t>
      </w:r>
      <w:proofErr w:type="gramStart"/>
      <w:r w:rsidRPr="00EA2C7A">
        <w:t>can be electrically synchronized</w:t>
      </w:r>
      <w:proofErr w:type="gramEnd"/>
      <w:r w:rsidRPr="00EA2C7A">
        <w:t xml:space="preserve"> to the system quickly, reaching maximum output within 10 </w:t>
      </w:r>
      <w:r>
        <w:t xml:space="preserve">minutes or within </w:t>
      </w:r>
      <w:r w:rsidR="003C1D87" w:rsidRPr="00EA2C7A">
        <w:t>30</w:t>
      </w:r>
      <w:r w:rsidR="003C1D87">
        <w:t> </w:t>
      </w:r>
      <w:r w:rsidRPr="00EA2C7A">
        <w:t>minutes. During real-time daily operations, the ISO determines operating-reserve</w:t>
      </w:r>
      <w:r w:rsidRPr="00CF1485">
        <w:t xml:space="preserve"> requirements for the system as a whole</w:t>
      </w:r>
      <w:r>
        <w:t xml:space="preserve"> and</w:t>
      </w:r>
      <w:r w:rsidRPr="0009007E">
        <w:t xml:space="preserve"> for</w:t>
      </w:r>
      <w:r w:rsidRPr="00CF1485">
        <w:t xml:space="preserve"> major </w:t>
      </w:r>
      <w:r>
        <w:t>import</w:t>
      </w:r>
      <w:r w:rsidRPr="00CF1485">
        <w:t>-constrained areas.</w:t>
      </w:r>
    </w:p>
    <w:p w:rsidR="008A621B" w:rsidRPr="00635361" w:rsidRDefault="008A621B" w:rsidP="008A621B">
      <w:pPr>
        <w:rPr>
          <w:rFonts w:asciiTheme="majorHAnsi" w:hAnsiTheme="majorHAnsi"/>
        </w:rPr>
      </w:pPr>
      <w:r>
        <w:t xml:space="preserve">This section discusses the need for operating reserves, both </w:t>
      </w:r>
      <w:proofErr w:type="spellStart"/>
      <w:r>
        <w:t>systemwide</w:t>
      </w:r>
      <w:proofErr w:type="spellEnd"/>
      <w:r>
        <w:t xml:space="preserve"> and in major import areas, and the use of specific types </w:t>
      </w:r>
      <w:r w:rsidRPr="00941F5E">
        <w:t>of fast-</w:t>
      </w:r>
      <w:r>
        <w:t xml:space="preserve">start resources to fill these needs. An overview of the </w:t>
      </w:r>
      <w:r w:rsidRPr="007505C8">
        <w:t>F</w:t>
      </w:r>
      <w:r>
        <w:t xml:space="preserve">orward </w:t>
      </w:r>
      <w:r w:rsidRPr="007505C8">
        <w:t>R</w:t>
      </w:r>
      <w:r>
        <w:t xml:space="preserve">eserve </w:t>
      </w:r>
      <w:r w:rsidRPr="006664D8">
        <w:t>Market and a forecast of representative future operating-reserve requirements for Greater Southwest</w:t>
      </w:r>
      <w:r>
        <w:t xml:space="preserve"> Connecticut, Greater Connecticut, and BOSTON </w:t>
      </w:r>
      <w:proofErr w:type="gramStart"/>
      <w:r>
        <w:t>are provided</w:t>
      </w:r>
      <w:proofErr w:type="gramEnd"/>
      <w:r>
        <w:t xml:space="preserve">. This section also </w:t>
      </w:r>
      <w:r w:rsidRPr="00402FF1">
        <w:t xml:space="preserve">discusses the likely need </w:t>
      </w:r>
      <w:r w:rsidRPr="00BF5C20">
        <w:t xml:space="preserve">for additional flexible resources identified by the </w:t>
      </w:r>
      <w:r w:rsidR="000E509A" w:rsidRPr="00BF5C20">
        <w:t>s</w:t>
      </w:r>
      <w:r w:rsidR="00D24CD4" w:rsidRPr="00D24CD4">
        <w:rPr>
          <w:rFonts w:asciiTheme="majorHAnsi" w:eastAsia="Calibri" w:hAnsiTheme="majorHAnsi" w:cs="Arial"/>
          <w:noProof/>
        </w:rPr>
        <w:t xml:space="preserve">tudies and other actions supporting the strategic planning of the region, as discussed in </w:t>
      </w:r>
      <w:fldSimple w:instr=" REF _Ref387650525 \r \h  \* MERGEFORMAT ">
        <w:r w:rsidR="00284CE3" w:rsidRPr="00284CE3">
          <w:rPr>
            <w:rFonts w:asciiTheme="majorHAnsi" w:hAnsiTheme="majorHAnsi"/>
          </w:rPr>
          <w:t>Section 6</w:t>
        </w:r>
      </w:fldSimple>
      <w:r w:rsidR="00D24CD4" w:rsidRPr="00D24CD4">
        <w:rPr>
          <w:rFonts w:asciiTheme="majorHAnsi" w:hAnsiTheme="majorHAnsi"/>
        </w:rPr>
        <w:t>.</w:t>
      </w:r>
    </w:p>
    <w:p w:rsidR="008A621B" w:rsidRPr="00636484" w:rsidRDefault="008A621B" w:rsidP="008A621B">
      <w:pPr>
        <w:pStyle w:val="Heading3"/>
        <w:spacing w:before="120"/>
      </w:pPr>
      <w:bookmarkStart w:id="442" w:name="_Toc334601034"/>
      <w:bookmarkStart w:id="443" w:name="_Toc365440997"/>
      <w:bookmarkStart w:id="444" w:name="_Ref388642296"/>
      <w:bookmarkStart w:id="445" w:name="_Toc396807627"/>
      <w:proofErr w:type="spellStart"/>
      <w:r w:rsidRPr="00A15C1D">
        <w:t>Systemwide</w:t>
      </w:r>
      <w:proofErr w:type="spellEnd"/>
      <w:r w:rsidRPr="00A15C1D">
        <w:t xml:space="preserve"> Operating-Reserve Requirements</w:t>
      </w:r>
      <w:bookmarkEnd w:id="442"/>
      <w:bookmarkEnd w:id="443"/>
      <w:bookmarkEnd w:id="444"/>
      <w:bookmarkEnd w:id="445"/>
      <w:r>
        <w:t xml:space="preserve"> </w:t>
      </w:r>
    </w:p>
    <w:p w:rsidR="008A621B" w:rsidRPr="00D406A6" w:rsidRDefault="008A621B" w:rsidP="008A621B">
      <w:r>
        <w:t xml:space="preserve">The ISO’s operating-reserve requirements, as established in </w:t>
      </w:r>
      <w:r w:rsidRPr="006E289F">
        <w:t xml:space="preserve">Operating Procedure No. 8, </w:t>
      </w:r>
      <w:r w:rsidRPr="006E289F">
        <w:rPr>
          <w:i/>
          <w:iCs/>
        </w:rPr>
        <w:t>Operating</w:t>
      </w:r>
      <w:r>
        <w:rPr>
          <w:i/>
          <w:iCs/>
        </w:rPr>
        <w:t xml:space="preserve"> Reserve and </w:t>
      </w:r>
      <w:r w:rsidRPr="00BF3FEF">
        <w:rPr>
          <w:i/>
          <w:iCs/>
        </w:rPr>
        <w:t>Regulation</w:t>
      </w:r>
      <w:r w:rsidRPr="00BF3FEF">
        <w:t xml:space="preserve"> (OP 8), </w:t>
      </w:r>
      <w:proofErr w:type="gramStart"/>
      <w:r w:rsidRPr="00BF3FEF">
        <w:t xml:space="preserve">are </w:t>
      </w:r>
      <w:r w:rsidRPr="00A15C1D">
        <w:t>used</w:t>
      </w:r>
      <w:proofErr w:type="gramEnd"/>
      <w:r w:rsidRPr="00A15C1D">
        <w:t xml:space="preserve"> to protect the system from the impacts associated with a loss of generating or transmission equipment within New England.</w:t>
      </w:r>
      <w:r w:rsidRPr="00A15C1D">
        <w:rPr>
          <w:vertAlign w:val="superscript"/>
        </w:rPr>
        <w:footnoteReference w:id="153"/>
      </w:r>
      <w:r w:rsidRPr="00A15C1D">
        <w:t xml:space="preserve"> </w:t>
      </w:r>
      <w:r w:rsidRPr="000E2B27">
        <w:t xml:space="preserve">A certain amount of the power system’s resources must be </w:t>
      </w:r>
      <w:r w:rsidRPr="00933983">
        <w:t xml:space="preserve">available to provide operating reserves to assist in addressing </w:t>
      </w:r>
      <w:proofErr w:type="spellStart"/>
      <w:r w:rsidRPr="00933983">
        <w:t>systemwide</w:t>
      </w:r>
      <w:proofErr w:type="spellEnd"/>
      <w:r w:rsidRPr="00933983">
        <w:t xml:space="preserve"> </w:t>
      </w:r>
      <w:r w:rsidRPr="00D406A6">
        <w:t xml:space="preserve">contingencies. </w:t>
      </w:r>
    </w:p>
    <w:p w:rsidR="008A621B" w:rsidRDefault="008A621B" w:rsidP="008A621B">
      <w:r w:rsidRPr="00F071D1">
        <w:t xml:space="preserve">To comply with OP 8, the ISO must maintain sufficient reserves in its balancing authority area during normal conditions to be able to replace within 10 minutes the first-contingency loss (N−1) </w:t>
      </w:r>
      <w:r w:rsidRPr="00CB3685">
        <w:t xml:space="preserve">in the New England Reliability Control Area/Balancing Authority Area multiplied by the </w:t>
      </w:r>
      <w:r w:rsidR="00805B72">
        <w:t>c</w:t>
      </w:r>
      <w:r w:rsidRPr="00C46DDE">
        <w:t>ontingency</w:t>
      </w:r>
      <w:r w:rsidR="00805B72">
        <w:t>-r</w:t>
      </w:r>
      <w:r w:rsidRPr="00C46DDE">
        <w:t xml:space="preserve">eserve </w:t>
      </w:r>
      <w:r w:rsidR="00805B72">
        <w:t>a</w:t>
      </w:r>
      <w:r w:rsidRPr="00C46DDE">
        <w:t xml:space="preserve">djustment (CRA) </w:t>
      </w:r>
      <w:r w:rsidR="00155CA2" w:rsidRPr="00C46DDE">
        <w:t>f</w:t>
      </w:r>
      <w:r w:rsidRPr="00C46DDE">
        <w:t>actor</w:t>
      </w:r>
      <w:r w:rsidRPr="0075194A">
        <w:t xml:space="preserve"> for the most recent completed quarter</w:t>
      </w:r>
      <w:r w:rsidR="00D24CD4" w:rsidRPr="00D24CD4">
        <w:t>.</w:t>
      </w:r>
      <w:r w:rsidRPr="00F45540">
        <w:t xml:space="preserve"> </w:t>
      </w:r>
      <w:r w:rsidR="00155CA2">
        <w:t>The c</w:t>
      </w:r>
      <w:r>
        <w:t>urrent</w:t>
      </w:r>
      <w:r w:rsidR="00155CA2">
        <w:t xml:space="preserve"> </w:t>
      </w:r>
      <w:r>
        <w:t>total 10-minute operating</w:t>
      </w:r>
      <w:r w:rsidR="006664D8">
        <w:t>-</w:t>
      </w:r>
      <w:r>
        <w:t xml:space="preserve">reserve requirement </w:t>
      </w:r>
      <w:r w:rsidR="00155CA2">
        <w:t xml:space="preserve">reflecting the CRA factor </w:t>
      </w:r>
      <w:r>
        <w:t xml:space="preserve">is 1.25% of the first-contingency loss. </w:t>
      </w:r>
      <w:r w:rsidRPr="00F45540">
        <w:t>In</w:t>
      </w:r>
      <w:r w:rsidRPr="002C05A9">
        <w:t xml:space="preserve"> addition, OP 8 requires the ISO to maintain sufficient reserves </w:t>
      </w:r>
      <w:r w:rsidR="004F606D">
        <w:t>t</w:t>
      </w:r>
      <w:r w:rsidR="004F606D" w:rsidRPr="00E816BE">
        <w:t>o address the uncertainties associated with resource nonperformance, as</w:t>
      </w:r>
      <w:r w:rsidR="004F606D">
        <w:t xml:space="preserve"> well as </w:t>
      </w:r>
      <w:r w:rsidR="004F606D" w:rsidRPr="00614C36">
        <w:t>load forecast error and gas-</w:t>
      </w:r>
      <w:r w:rsidR="004F606D">
        <w:t xml:space="preserve">fuel dependence. To meet this requirement, the ISO must </w:t>
      </w:r>
      <w:r w:rsidRPr="002C05A9">
        <w:t>be able to replace at least 50% of the next-largest contingency loss (N</w:t>
      </w:r>
      <w:r>
        <w:t>−</w:t>
      </w:r>
      <w:r w:rsidRPr="002C05A9">
        <w:t>1</w:t>
      </w:r>
      <w:r>
        <w:t>−</w:t>
      </w:r>
      <w:r w:rsidRPr="002C05A9">
        <w:t>1) within 30 minutes</w:t>
      </w:r>
      <w:r w:rsidRPr="007A3B55">
        <w:t xml:space="preserve"> </w:t>
      </w:r>
      <w:r>
        <w:t xml:space="preserve">plus a replacement reserve requirement of </w:t>
      </w:r>
      <w:r w:rsidRPr="00614C36">
        <w:t>180</w:t>
      </w:r>
      <w:r w:rsidRPr="00B23509">
        <w:t xml:space="preserve"> MW during Eastern Standard Time and 160 MW during Daylight Savings Time</w:t>
      </w:r>
      <w:r w:rsidR="004F606D">
        <w:t xml:space="preserve">. </w:t>
      </w:r>
      <w:r w:rsidRPr="00B23509">
        <w:t xml:space="preserve">The higher </w:t>
      </w:r>
      <w:r>
        <w:t>amount</w:t>
      </w:r>
      <w:r w:rsidRPr="00B23509">
        <w:t xml:space="preserve"> set for </w:t>
      </w:r>
      <w:r>
        <w:t xml:space="preserve">the </w:t>
      </w:r>
      <w:r w:rsidRPr="00B23509">
        <w:t xml:space="preserve">winter period is to </w:t>
      </w:r>
      <w:r>
        <w:t xml:space="preserve">accommodate the </w:t>
      </w:r>
      <w:r w:rsidRPr="00ED7D77">
        <w:t>additional peak</w:t>
      </w:r>
      <w:r w:rsidR="001F1A0B">
        <w:t>-</w:t>
      </w:r>
      <w:r w:rsidRPr="00ED7D77">
        <w:t>load ramping and</w:t>
      </w:r>
      <w:r w:rsidRPr="00B23509">
        <w:t xml:space="preserve"> fuel uncertainty </w:t>
      </w:r>
      <w:r>
        <w:t xml:space="preserve">usually experienced </w:t>
      </w:r>
      <w:r w:rsidRPr="00B23509">
        <w:t>during this period</w:t>
      </w:r>
      <w:r w:rsidRPr="002C05A9">
        <w:t xml:space="preserve">. </w:t>
      </w:r>
    </w:p>
    <w:p w:rsidR="008A621B" w:rsidRDefault="008A621B" w:rsidP="008A621B">
      <w:r w:rsidRPr="002D296A">
        <w:t>Typically,</w:t>
      </w:r>
      <w:r w:rsidRPr="007E142C">
        <w:t xml:space="preserve"> the </w:t>
      </w:r>
      <w:r>
        <w:t xml:space="preserve">largest </w:t>
      </w:r>
      <w:r w:rsidRPr="007E142C">
        <w:t xml:space="preserve">first-contingency loss is between </w:t>
      </w:r>
      <w:r w:rsidRPr="00771D61">
        <w:t>1,300 and 1,700 MW</w:t>
      </w:r>
      <w:r>
        <w:t xml:space="preserve">, and </w:t>
      </w:r>
      <w:r w:rsidRPr="002C05A9">
        <w:t>50% of the next-largest contingency</w:t>
      </w:r>
      <w:r w:rsidRPr="00DB68D6">
        <w:t xml:space="preserve"> loss is between </w:t>
      </w:r>
      <w:r w:rsidRPr="00771D61">
        <w:t>600 and 750</w:t>
      </w:r>
      <w:r w:rsidRPr="007E142C">
        <w:t> MW</w:t>
      </w:r>
      <w:r>
        <w:t xml:space="preserve">. </w:t>
      </w:r>
      <w:r w:rsidRPr="002C05A9">
        <w:t xml:space="preserve">These resources </w:t>
      </w:r>
      <w:r w:rsidRPr="002C0654">
        <w:t xml:space="preserve">typically </w:t>
      </w:r>
      <w:r w:rsidRPr="002C05A9">
        <w:t xml:space="preserve">consist of </w:t>
      </w:r>
      <w:r w:rsidRPr="002C0654">
        <w:t>some combination of the two largest on-line generating units or imports on the Phase</w:t>
      </w:r>
      <w:r>
        <w:t> </w:t>
      </w:r>
      <w:r w:rsidRPr="002C0654">
        <w:t>II interconnection with Québec.</w:t>
      </w:r>
    </w:p>
    <w:p w:rsidR="008A621B" w:rsidRDefault="008A621B" w:rsidP="008A621B">
      <w:r w:rsidRPr="00752187">
        <w:t xml:space="preserve">In accordance </w:t>
      </w:r>
      <w:r w:rsidRPr="002E359C">
        <w:t>with NERC and NPCC criteria</w:t>
      </w:r>
      <w:r w:rsidRPr="00752187">
        <w:t xml:space="preserve"> </w:t>
      </w:r>
      <w:r w:rsidRPr="009F3C18">
        <w:t>for power</w:t>
      </w:r>
      <w:r w:rsidRPr="00752187">
        <w:t xml:space="preserve"> system operation, ISO Operating Procedure No.</w:t>
      </w:r>
      <w:r>
        <w:t> </w:t>
      </w:r>
      <w:r w:rsidRPr="00752187">
        <w:t>19</w:t>
      </w:r>
      <w:r>
        <w:t xml:space="preserve"> </w:t>
      </w:r>
      <w:r w:rsidRPr="00752187">
        <w:t xml:space="preserve">(OP 19), </w:t>
      </w:r>
      <w:r w:rsidRPr="001E43ED">
        <w:rPr>
          <w:i/>
        </w:rPr>
        <w:t>Transmission Operations</w:t>
      </w:r>
      <w:r w:rsidRPr="00752187">
        <w:t xml:space="preserve">, requires system </w:t>
      </w:r>
      <w:r>
        <w:t xml:space="preserve">power flows to stay within applicable emergency limits of the power system elements that remain after </w:t>
      </w:r>
      <w:r w:rsidR="00136127">
        <w:t xml:space="preserve">the loss of </w:t>
      </w:r>
      <w:r w:rsidRPr="00752187">
        <w:t>any</w:t>
      </w:r>
      <w:r>
        <w:t xml:space="preserve"> other </w:t>
      </w:r>
      <w:r w:rsidRPr="00752187">
        <w:t>power system element</w:t>
      </w:r>
      <w:r w:rsidR="00136127">
        <w:t xml:space="preserve"> </w:t>
      </w:r>
      <w:r>
        <w:t>(N−1)</w:t>
      </w:r>
      <w:r w:rsidRPr="00752187">
        <w:t>.</w:t>
      </w:r>
      <w:r w:rsidRPr="001E43ED">
        <w:rPr>
          <w:vertAlign w:val="superscript"/>
        </w:rPr>
        <w:footnoteReference w:id="154"/>
      </w:r>
      <w:r w:rsidRPr="00752187">
        <w:t xml:space="preserve"> This N</w:t>
      </w:r>
      <w:r>
        <w:t>−</w:t>
      </w:r>
      <w:r w:rsidRPr="00752187">
        <w:t xml:space="preserve">1 limit may be a thermal, voltage, or stability limit of the transmission system. OP 19 further stipulates that within 30 minutes of the loss of the first-contingency element, the system must be able to return to a normal state </w:t>
      </w:r>
      <w:r>
        <w:t xml:space="preserve">that can </w:t>
      </w:r>
      <w:r w:rsidRPr="00752187">
        <w:t xml:space="preserve">withstand a second contingency. To implement these </w:t>
      </w:r>
      <w:r>
        <w:t xml:space="preserve">OP 19 </w:t>
      </w:r>
      <w:r w:rsidRPr="00752187">
        <w:t>requirements</w:t>
      </w:r>
      <w:r>
        <w:t xml:space="preserve">, and as set forth in OP 8, </w:t>
      </w:r>
      <w:r w:rsidRPr="00752187">
        <w:t>operating reserve</w:t>
      </w:r>
      <w:r>
        <w:t>s</w:t>
      </w:r>
      <w:r w:rsidRPr="00752187">
        <w:t xml:space="preserve"> </w:t>
      </w:r>
      <w:r>
        <w:t xml:space="preserve">must be distributed </w:t>
      </w:r>
      <w:r w:rsidRPr="002B3D9C">
        <w:t>throughout the system</w:t>
      </w:r>
      <w:r>
        <w:t xml:space="preserve">. This requirement is designed to ensure that the ISO can activate all reserves </w:t>
      </w:r>
      <w:r w:rsidRPr="00752187">
        <w:t xml:space="preserve">without exceeding transmission system limitations and </w:t>
      </w:r>
      <w:r>
        <w:t xml:space="preserve">that the operation of the </w:t>
      </w:r>
      <w:r w:rsidRPr="00700417">
        <w:t xml:space="preserve">system </w:t>
      </w:r>
      <w:r>
        <w:t xml:space="preserve">remains </w:t>
      </w:r>
      <w:r w:rsidRPr="00752187">
        <w:t xml:space="preserve">in accordance with NERC, NPCC, and ISO New England </w:t>
      </w:r>
      <w:r>
        <w:t>criteria and guidelines.</w:t>
      </w:r>
    </w:p>
    <w:p w:rsidR="008A621B" w:rsidRPr="004774A4" w:rsidRDefault="008A621B" w:rsidP="008A621B">
      <w:pPr>
        <w:pStyle w:val="Heading3"/>
        <w:spacing w:before="120"/>
      </w:pPr>
      <w:bookmarkStart w:id="446" w:name="_Toc365440998"/>
      <w:bookmarkStart w:id="447" w:name="_Ref388870530"/>
      <w:bookmarkStart w:id="448" w:name="_Toc396807628"/>
      <w:proofErr w:type="spellStart"/>
      <w:r w:rsidRPr="004774A4">
        <w:t>Locational</w:t>
      </w:r>
      <w:proofErr w:type="spellEnd"/>
      <w:r w:rsidRPr="004774A4">
        <w:t xml:space="preserve"> Forward Reserve Market Requirements for Major Import Areas</w:t>
      </w:r>
      <w:bookmarkEnd w:id="446"/>
      <w:bookmarkEnd w:id="447"/>
      <w:bookmarkEnd w:id="448"/>
      <w:r w:rsidRPr="004774A4">
        <w:t xml:space="preserve"> </w:t>
      </w:r>
    </w:p>
    <w:p w:rsidR="008A621B" w:rsidRDefault="008A621B" w:rsidP="008A621B">
      <w:r w:rsidRPr="008D2B33">
        <w:t>To maintain system reliability</w:t>
      </w:r>
      <w:r w:rsidRPr="00206B43">
        <w:t xml:space="preserve"> </w:t>
      </w:r>
      <w:r w:rsidRPr="008D2B33">
        <w:t xml:space="preserve">further, the ISO must maintain certain reserve levels within major </w:t>
      </w:r>
      <w:r w:rsidR="0058019A" w:rsidRPr="008965CA">
        <w:t>importing subareas of the system that rely on imports of power from outside the subarea. The amount</w:t>
      </w:r>
      <w:r w:rsidRPr="008D2B33">
        <w:t xml:space="preserve"> and </w:t>
      </w:r>
      <w:r w:rsidRPr="00CA14AF">
        <w:t xml:space="preserve">type of operating reserves required within these </w:t>
      </w:r>
      <w:r w:rsidRPr="0009427C">
        <w:t>“load pockets”</w:t>
      </w:r>
      <w:r w:rsidRPr="00CA14AF">
        <w:t xml:space="preserve"> depend on many factors,</w:t>
      </w:r>
      <w:r>
        <w:t xml:space="preserve"> including </w:t>
      </w:r>
      <w:r w:rsidRPr="008D2B33">
        <w:t xml:space="preserve">load levels, the projected peak load of the subarea, and the operating characteristics of the generating </w:t>
      </w:r>
      <w:r w:rsidR="00113C54" w:rsidRPr="00113C54">
        <w:t xml:space="preserve">units within the subarea. The </w:t>
      </w:r>
      <w:proofErr w:type="spellStart"/>
      <w:r w:rsidR="00113C54" w:rsidRPr="00113C54">
        <w:t>systemwide</w:t>
      </w:r>
      <w:proofErr w:type="spellEnd"/>
      <w:r w:rsidR="00113C54" w:rsidRPr="00113C54">
        <w:t xml:space="preserve"> commitment and economic dispatch of generation, system</w:t>
      </w:r>
      <w:r w:rsidRPr="008D2B33">
        <w:t xml:space="preserve"> topology, system reliability constraints, special operational considerations, possible resource outages, and other system conditions</w:t>
      </w:r>
      <w:r>
        <w:t xml:space="preserve"> are additional factors that can affect required levels of reserve within subareas</w:t>
      </w:r>
      <w:r w:rsidRPr="008D2B33">
        <w:t xml:space="preserve">. </w:t>
      </w:r>
    </w:p>
    <w:p w:rsidR="008A621B" w:rsidRDefault="008A621B" w:rsidP="008A621B">
      <w:r w:rsidRPr="00580670">
        <w:t xml:space="preserve">The ISO analyzes and determines how the generating resources within the </w:t>
      </w:r>
      <w:r w:rsidRPr="002320BD">
        <w:t>load pockets</w:t>
      </w:r>
      <w:r w:rsidRPr="00580670">
        <w:t xml:space="preserve"> must be</w:t>
      </w:r>
      <w:r w:rsidRPr="008D2B33">
        <w:t xml:space="preserv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The </w:t>
      </w:r>
      <w:proofErr w:type="spellStart"/>
      <w:r w:rsidRPr="008D2B33">
        <w:t>locational</w:t>
      </w:r>
      <w:proofErr w:type="spellEnd"/>
      <w:r w:rsidRPr="008D2B33">
        <w:t xml:space="preserve"> Forward Reserve Market is in place to procure these required operating reserves.</w:t>
      </w:r>
    </w:p>
    <w:p w:rsidR="008A621B" w:rsidRPr="00A577A3" w:rsidRDefault="00927965" w:rsidP="008A621B">
      <w:fldSimple w:instr=" REF _Ref323310818 \h  \* MERGEFORMAT ">
        <w:r w:rsidR="00284CE3" w:rsidRPr="00EC212C">
          <w:t xml:space="preserve">Table </w:t>
        </w:r>
        <w:r w:rsidR="00284CE3">
          <w:rPr>
            <w:noProof/>
          </w:rPr>
          <w:t>4</w:t>
        </w:r>
        <w:r w:rsidR="00284CE3" w:rsidRPr="00EC212C">
          <w:rPr>
            <w:noProof/>
          </w:rPr>
          <w:noBreakHyphen/>
        </w:r>
        <w:r w:rsidR="00284CE3">
          <w:rPr>
            <w:noProof/>
          </w:rPr>
          <w:t>8</w:t>
        </w:r>
      </w:fldSimple>
      <w:r w:rsidR="008A621B">
        <w:t xml:space="preserve"> </w:t>
      </w:r>
      <w:r w:rsidR="008A621B" w:rsidRPr="00447A05">
        <w:t>shows representative future operating-reserve requirements for Greater</w:t>
      </w:r>
      <w:r w:rsidR="008A621B">
        <w:t xml:space="preserve"> Southwest Connecticut, Greater Connecticut, and BOSTON.</w:t>
      </w:r>
      <w:r w:rsidR="008A621B">
        <w:rPr>
          <w:rStyle w:val="FootnoteReference"/>
        </w:rPr>
        <w:footnoteReference w:id="155"/>
      </w:r>
      <w:r w:rsidR="008A621B">
        <w:t xml:space="preserve"> These estimated requirements </w:t>
      </w:r>
      <w:proofErr w:type="gramStart"/>
      <w:r w:rsidR="008A621B" w:rsidRPr="0072265B">
        <w:t>are based</w:t>
      </w:r>
      <w:proofErr w:type="gramEnd"/>
      <w:r w:rsidR="008A621B" w:rsidRPr="0072265B">
        <w:t xml:space="preserve"> on the </w:t>
      </w:r>
      <w:r w:rsidR="008A621B">
        <w:t xml:space="preserve">same </w:t>
      </w:r>
      <w:r w:rsidR="008A621B" w:rsidRPr="0072265B">
        <w:t xml:space="preserve">methodology </w:t>
      </w:r>
      <w:r w:rsidR="008A621B">
        <w:t xml:space="preserve">used to </w:t>
      </w:r>
      <w:r w:rsidR="008A621B" w:rsidRPr="0072265B">
        <w:t>calculat</w:t>
      </w:r>
      <w:r w:rsidR="008A621B">
        <w:t>e</w:t>
      </w:r>
      <w:r w:rsidR="008A621B" w:rsidRPr="0072265B">
        <w:t xml:space="preserve"> the requirements for the </w:t>
      </w:r>
      <w:proofErr w:type="spellStart"/>
      <w:r w:rsidR="008A621B" w:rsidRPr="0072265B">
        <w:t>loca</w:t>
      </w:r>
      <w:r w:rsidR="008A621B">
        <w:t>tional</w:t>
      </w:r>
      <w:proofErr w:type="spellEnd"/>
      <w:r w:rsidR="008A621B">
        <w:t xml:space="preserve"> FRM</w:t>
      </w:r>
      <w:r w:rsidR="008A621B" w:rsidRPr="000B3CAD">
        <w:t>.</w:t>
      </w:r>
      <w:r w:rsidR="008A621B" w:rsidRPr="000B3CAD">
        <w:rPr>
          <w:rStyle w:val="FootnoteReference"/>
        </w:rPr>
        <w:footnoteReference w:id="156"/>
      </w:r>
      <w:r w:rsidR="008A621B" w:rsidRPr="000B3CAD">
        <w:t xml:space="preserve"> The</w:t>
      </w:r>
      <w:r w:rsidR="008A621B">
        <w:t xml:space="preserve"> estimates account for </w:t>
      </w:r>
      <w:proofErr w:type="gramStart"/>
      <w:r w:rsidR="008A621B">
        <w:t>representative future system conditions</w:t>
      </w:r>
      <w:proofErr w:type="gramEnd"/>
      <w:r w:rsidR="008A621B">
        <w:t xml:space="preserve"> for load, economic generation, generation </w:t>
      </w:r>
      <w:r w:rsidR="008A621B" w:rsidRPr="00EA1502">
        <w:t>availability, N</w:t>
      </w:r>
      <w:r w:rsidR="008A621B">
        <w:t>−</w:t>
      </w:r>
      <w:r w:rsidR="008A621B" w:rsidRPr="00EA1502">
        <w:t>1 and</w:t>
      </w:r>
      <w:r w:rsidR="008A621B">
        <w:t xml:space="preserve"> N−1−1 transfer limits, and normal criteria contingencies for generation and transmission in each </w:t>
      </w:r>
      <w:r w:rsidR="008A621B" w:rsidRPr="00F75883">
        <w:t xml:space="preserve">subarea. </w:t>
      </w:r>
      <w:r w:rsidR="007C175E" w:rsidRPr="00F75883">
        <w:t>The analysis accounts for transmission upgrades consistent with Table 4-7</w:t>
      </w:r>
      <w:r w:rsidR="00F75883" w:rsidRPr="00F75883">
        <w:t xml:space="preserve"> </w:t>
      </w:r>
      <w:r w:rsidR="007C175E" w:rsidRPr="00F75883">
        <w:t>(</w:t>
      </w:r>
      <w:r w:rsidR="00F75883" w:rsidRPr="00F75883">
        <w:t xml:space="preserve">in </w:t>
      </w:r>
      <w:r w:rsidR="007C175E" w:rsidRPr="00F75883">
        <w:t>Section</w:t>
      </w:r>
      <w:r w:rsidR="00401958" w:rsidRPr="00F75883">
        <w:t xml:space="preserve"> 4-2)</w:t>
      </w:r>
      <w:r w:rsidR="00B86FDF">
        <w:t>.</w:t>
      </w:r>
      <w:r w:rsidR="00401958" w:rsidRPr="00F75883">
        <w:t xml:space="preserve"> </w:t>
      </w:r>
      <w:r w:rsidR="008A621B" w:rsidRPr="00F75883">
        <w:t>The</w:t>
      </w:r>
      <w:r w:rsidR="008A621B">
        <w:t xml:space="preserve"> representative values show a range to reflect the load and resource uncertainties associated with future system conditions. </w:t>
      </w:r>
      <w:r>
        <w:fldChar w:fldCharType="begin"/>
      </w:r>
      <w:r w:rsidR="008A621B">
        <w:instrText xml:space="preserve"> REF _Ref323310818 \h </w:instrText>
      </w:r>
      <w:r>
        <w:fldChar w:fldCharType="separate"/>
      </w:r>
      <w:r w:rsidR="00284CE3" w:rsidRPr="00EC212C">
        <w:t xml:space="preserve">Table </w:t>
      </w:r>
      <w:r w:rsidR="00284CE3">
        <w:rPr>
          <w:noProof/>
        </w:rPr>
        <w:t>4</w:t>
      </w:r>
      <w:r w:rsidR="00284CE3" w:rsidRPr="00EC212C">
        <w:noBreakHyphen/>
      </w:r>
      <w:r w:rsidR="00284CE3">
        <w:rPr>
          <w:noProof/>
        </w:rPr>
        <w:t>8</w:t>
      </w:r>
      <w:r>
        <w:fldChar w:fldCharType="end"/>
      </w:r>
      <w:r w:rsidR="008A621B">
        <w:t xml:space="preserve"> also shows the existing amount of fast-start capability located in each subarea resulting from </w:t>
      </w:r>
      <w:r w:rsidR="008A621B" w:rsidRPr="002D55A6">
        <w:t>the fast-start resource offer</w:t>
      </w:r>
      <w:r w:rsidR="008A621B">
        <w:t>ed</w:t>
      </w:r>
      <w:r w:rsidR="008A621B" w:rsidRPr="002D55A6">
        <w:t xml:space="preserve"> into </w:t>
      </w:r>
      <w:r w:rsidR="008A621B">
        <w:t xml:space="preserve">past </w:t>
      </w:r>
      <w:r w:rsidR="008A621B" w:rsidRPr="002D55A6">
        <w:t>F</w:t>
      </w:r>
      <w:r w:rsidR="008A621B">
        <w:t xml:space="preserve">RM </w:t>
      </w:r>
      <w:r w:rsidR="008A621B" w:rsidRPr="002D55A6">
        <w:t>auctions.</w:t>
      </w:r>
      <w:r w:rsidR="008A621B">
        <w:t xml:space="preserve"> </w:t>
      </w:r>
      <w:r w:rsidR="00C46DDE">
        <w:t>T</w:t>
      </w:r>
      <w:r w:rsidR="008A621B">
        <w:t xml:space="preserve">he total 10-minute operating reserve values associated with the FRM reflect the </w:t>
      </w:r>
      <w:r w:rsidR="00805B72">
        <w:t>c</w:t>
      </w:r>
      <w:r w:rsidR="008A621B">
        <w:t>ontingency</w:t>
      </w:r>
      <w:r w:rsidR="00805B72">
        <w:t xml:space="preserve"> r</w:t>
      </w:r>
      <w:r w:rsidR="008A621B">
        <w:t xml:space="preserve">eserve </w:t>
      </w:r>
      <w:r w:rsidR="00805B72">
        <w:t>a</w:t>
      </w:r>
      <w:r w:rsidR="008A621B">
        <w:t>djustment,</w:t>
      </w:r>
      <w:r w:rsidR="008A621B" w:rsidRPr="00CC2068">
        <w:t xml:space="preserve"> but </w:t>
      </w:r>
      <w:r w:rsidR="008A621B">
        <w:t xml:space="preserve">this adjustment </w:t>
      </w:r>
      <w:r w:rsidR="008A621B" w:rsidRPr="00CC2068">
        <w:t>do</w:t>
      </w:r>
      <w:r w:rsidR="008A621B">
        <w:t>es</w:t>
      </w:r>
      <w:r w:rsidR="008A621B" w:rsidRPr="00CC2068">
        <w:t xml:space="preserve"> not affect the amount of reserves distributed to locations (i.e., the reserve values for BOSTON, SWCT, and Greater CT did not increase)</w:t>
      </w:r>
      <w:r w:rsidR="008A621B">
        <w:t>.</w:t>
      </w:r>
    </w:p>
    <w:p w:rsidR="008A621B" w:rsidRPr="00A577A3" w:rsidRDefault="008A621B" w:rsidP="008A621B"/>
    <w:p w:rsidR="008A621B" w:rsidRPr="00EC212C" w:rsidRDefault="008A621B" w:rsidP="0019608E">
      <w:pPr>
        <w:pStyle w:val="Caption"/>
        <w:ind w:left="0" w:right="0"/>
        <w:rPr>
          <w:szCs w:val="20"/>
        </w:rPr>
      </w:pPr>
      <w:bookmarkStart w:id="449" w:name="_Ref323310818"/>
      <w:bookmarkStart w:id="450" w:name="_Toc330401262"/>
      <w:bookmarkStart w:id="451" w:name="_Toc334541935"/>
      <w:bookmarkStart w:id="452" w:name="_Toc334541972"/>
      <w:bookmarkStart w:id="453" w:name="_Toc365440709"/>
      <w:bookmarkStart w:id="454" w:name="_Toc391985610"/>
      <w:r w:rsidRPr="00EC212C">
        <w:rPr>
          <w:szCs w:val="20"/>
        </w:rPr>
        <w:t xml:space="preserve">Table </w:t>
      </w:r>
      <w:r w:rsidR="00927965" w:rsidRPr="00EC212C">
        <w:rPr>
          <w:szCs w:val="20"/>
        </w:rPr>
        <w:fldChar w:fldCharType="begin"/>
      </w:r>
      <w:r w:rsidR="00BD7584" w:rsidRPr="00EC212C">
        <w:rPr>
          <w:szCs w:val="20"/>
        </w:rPr>
        <w:instrText xml:space="preserve"> STYLEREF 1 \s </w:instrText>
      </w:r>
      <w:r w:rsidR="00927965" w:rsidRPr="00EC212C">
        <w:rPr>
          <w:szCs w:val="20"/>
        </w:rPr>
        <w:fldChar w:fldCharType="separate"/>
      </w:r>
      <w:r w:rsidR="00284CE3">
        <w:rPr>
          <w:noProof/>
          <w:szCs w:val="20"/>
        </w:rPr>
        <w:t>4</w:t>
      </w:r>
      <w:r w:rsidR="00927965" w:rsidRPr="00EC212C">
        <w:rPr>
          <w:szCs w:val="20"/>
        </w:rPr>
        <w:fldChar w:fldCharType="end"/>
      </w:r>
      <w:r w:rsidR="00BD7584" w:rsidRPr="00EC212C">
        <w:rPr>
          <w:szCs w:val="20"/>
        </w:rPr>
        <w:noBreakHyphen/>
      </w:r>
      <w:r w:rsidR="00927965" w:rsidRPr="00EC212C">
        <w:rPr>
          <w:szCs w:val="20"/>
        </w:rPr>
        <w:fldChar w:fldCharType="begin"/>
      </w:r>
      <w:r w:rsidR="00BD7584" w:rsidRPr="00EC212C">
        <w:rPr>
          <w:szCs w:val="20"/>
        </w:rPr>
        <w:instrText xml:space="preserve"> SEQ Table \* ARABIC \s 1 </w:instrText>
      </w:r>
      <w:r w:rsidR="00927965" w:rsidRPr="00EC212C">
        <w:rPr>
          <w:szCs w:val="20"/>
        </w:rPr>
        <w:fldChar w:fldCharType="separate"/>
      </w:r>
      <w:r w:rsidR="00284CE3">
        <w:rPr>
          <w:noProof/>
          <w:szCs w:val="20"/>
        </w:rPr>
        <w:t>8</w:t>
      </w:r>
      <w:r w:rsidR="00927965" w:rsidRPr="00EC212C">
        <w:rPr>
          <w:szCs w:val="20"/>
        </w:rPr>
        <w:fldChar w:fldCharType="end"/>
      </w:r>
      <w:bookmarkEnd w:id="449"/>
      <w:r w:rsidRPr="00EC212C">
        <w:rPr>
          <w:szCs w:val="20"/>
        </w:rPr>
        <w:t xml:space="preserve"> </w:t>
      </w:r>
      <w:r w:rsidRPr="00EC212C">
        <w:rPr>
          <w:szCs w:val="20"/>
        </w:rPr>
        <w:br/>
        <w:t>Representative Future Operating-Reserve Requirements</w:t>
      </w:r>
      <w:r w:rsidR="0019608E">
        <w:rPr>
          <w:szCs w:val="20"/>
        </w:rPr>
        <w:t xml:space="preserve"> </w:t>
      </w:r>
      <w:r w:rsidRPr="00EC212C">
        <w:rPr>
          <w:szCs w:val="20"/>
        </w:rPr>
        <w:t>in Major New England Import Areas</w:t>
      </w:r>
      <w:r w:rsidR="0019608E">
        <w:rPr>
          <w:szCs w:val="20"/>
        </w:rPr>
        <w:t xml:space="preserve"> </w:t>
      </w:r>
      <w:r w:rsidRPr="00EC212C">
        <w:rPr>
          <w:szCs w:val="20"/>
        </w:rPr>
        <w:t>(MW)</w:t>
      </w:r>
      <w:bookmarkEnd w:id="450"/>
      <w:bookmarkEnd w:id="451"/>
      <w:bookmarkEnd w:id="452"/>
      <w:bookmarkEnd w:id="453"/>
      <w:bookmarkEnd w:id="454"/>
    </w:p>
    <w:tbl>
      <w:tblPr>
        <w:tblStyle w:val="TableGrid"/>
        <w:tblW w:w="0" w:type="auto"/>
        <w:jc w:val="center"/>
        <w:tblInd w:w="-8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89"/>
        <w:gridCol w:w="1142"/>
        <w:gridCol w:w="2376"/>
        <w:gridCol w:w="1827"/>
        <w:gridCol w:w="1819"/>
      </w:tblGrid>
      <w:tr w:rsidR="008A621B" w:rsidRPr="00EC212C" w:rsidTr="008A621B">
        <w:trPr>
          <w:jc w:val="center"/>
        </w:trPr>
        <w:tc>
          <w:tcPr>
            <w:tcW w:w="2889" w:type="dxa"/>
            <w:vMerge w:val="restart"/>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Area/Improvement</w:t>
            </w:r>
          </w:p>
        </w:tc>
        <w:tc>
          <w:tcPr>
            <w:tcW w:w="1142" w:type="dxa"/>
            <w:vMerge w:val="restart"/>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Market Period</w:t>
            </w:r>
            <w:r w:rsidRPr="00EC212C">
              <w:rPr>
                <w:rFonts w:asciiTheme="minorHAnsi" w:hAnsiTheme="minorHAnsi" w:cs="Arial"/>
                <w:b/>
                <w:color w:val="FFFFFF" w:themeColor="background1"/>
                <w:sz w:val="18"/>
                <w:szCs w:val="18"/>
                <w:vertAlign w:val="superscript"/>
              </w:rPr>
              <w:t>(a)</w:t>
            </w:r>
          </w:p>
        </w:tc>
        <w:tc>
          <w:tcPr>
            <w:tcW w:w="2376" w:type="dxa"/>
            <w:vMerge w:val="restart"/>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Range of Fast-Start Resources Offered into the Past Forward Reserve Auctions (MW)</w:t>
            </w:r>
            <w:r w:rsidRPr="00EC212C">
              <w:rPr>
                <w:rFonts w:asciiTheme="minorHAnsi" w:hAnsiTheme="minorHAnsi" w:cs="Arial"/>
                <w:b/>
                <w:color w:val="FFFFFF" w:themeColor="background1"/>
                <w:sz w:val="18"/>
                <w:szCs w:val="18"/>
                <w:vertAlign w:val="superscript"/>
              </w:rPr>
              <w:t>(b)</w:t>
            </w:r>
          </w:p>
        </w:tc>
        <w:tc>
          <w:tcPr>
            <w:tcW w:w="3646" w:type="dxa"/>
            <w:gridSpan w:val="2"/>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 xml:space="preserve">Representative Future </w:t>
            </w:r>
            <w:proofErr w:type="spellStart"/>
            <w:r w:rsidRPr="00EC212C">
              <w:rPr>
                <w:rFonts w:asciiTheme="minorHAnsi" w:hAnsiTheme="minorHAnsi" w:cs="Arial"/>
                <w:b/>
                <w:color w:val="FFFFFF" w:themeColor="background1"/>
                <w:sz w:val="18"/>
                <w:szCs w:val="18"/>
              </w:rPr>
              <w:t>Locational</w:t>
            </w:r>
            <w:proofErr w:type="spellEnd"/>
            <w:r w:rsidRPr="00EC212C">
              <w:rPr>
                <w:rFonts w:asciiTheme="minorHAnsi" w:hAnsiTheme="minorHAnsi" w:cs="Arial"/>
                <w:b/>
                <w:color w:val="FFFFFF" w:themeColor="background1"/>
                <w:sz w:val="18"/>
                <w:szCs w:val="18"/>
              </w:rPr>
              <w:t xml:space="preserve"> Forward Reserve Market Requirements (MW)</w:t>
            </w:r>
          </w:p>
        </w:tc>
      </w:tr>
      <w:tr w:rsidR="008A621B" w:rsidRPr="00EC212C" w:rsidTr="008A621B">
        <w:trPr>
          <w:jc w:val="center"/>
        </w:trPr>
        <w:tc>
          <w:tcPr>
            <w:tcW w:w="2889" w:type="dxa"/>
            <w:vMerge/>
            <w:shd w:val="clear" w:color="auto" w:fill="ADE075" w:themeFill="accent5" w:themeFillTint="99"/>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p>
        </w:tc>
        <w:tc>
          <w:tcPr>
            <w:tcW w:w="1142" w:type="dxa"/>
            <w:vMerge/>
            <w:shd w:val="clear" w:color="auto" w:fill="ADE075" w:themeFill="accent5" w:themeFillTint="99"/>
            <w:vAlign w:val="center"/>
          </w:tcPr>
          <w:p w:rsidR="008A621B" w:rsidRPr="00EC212C" w:rsidRDefault="008A621B" w:rsidP="008A621B">
            <w:pPr>
              <w:keepNext/>
              <w:keepLines/>
              <w:spacing w:before="20" w:after="20" w:line="240" w:lineRule="auto"/>
              <w:jc w:val="center"/>
              <w:rPr>
                <w:rFonts w:asciiTheme="minorHAnsi" w:hAnsiTheme="minorHAnsi" w:cs="Arial"/>
                <w:color w:val="FFFFFF" w:themeColor="background1"/>
                <w:sz w:val="18"/>
                <w:szCs w:val="18"/>
              </w:rPr>
            </w:pPr>
          </w:p>
        </w:tc>
        <w:tc>
          <w:tcPr>
            <w:tcW w:w="2376" w:type="dxa"/>
            <w:vMerge/>
            <w:shd w:val="clear" w:color="auto" w:fill="ADE075" w:themeFill="accent5" w:themeFillTint="99"/>
            <w:vAlign w:val="center"/>
          </w:tcPr>
          <w:p w:rsidR="008A621B" w:rsidRPr="00EC212C" w:rsidRDefault="008A621B" w:rsidP="008A621B">
            <w:pPr>
              <w:keepNext/>
              <w:keepLines/>
              <w:spacing w:before="20" w:after="20" w:line="240" w:lineRule="auto"/>
              <w:jc w:val="center"/>
              <w:rPr>
                <w:rFonts w:asciiTheme="minorHAnsi" w:hAnsiTheme="minorHAnsi" w:cs="Arial"/>
                <w:color w:val="FFFFFF" w:themeColor="background1"/>
                <w:sz w:val="18"/>
                <w:szCs w:val="18"/>
              </w:rPr>
            </w:pPr>
          </w:p>
        </w:tc>
        <w:tc>
          <w:tcPr>
            <w:tcW w:w="1827" w:type="dxa"/>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Summer</w:t>
            </w:r>
            <w:r w:rsidRPr="00EC212C">
              <w:rPr>
                <w:rFonts w:asciiTheme="minorHAnsi" w:hAnsiTheme="minorHAnsi" w:cs="Arial"/>
                <w:b/>
                <w:color w:val="FFFFFF" w:themeColor="background1"/>
                <w:sz w:val="18"/>
                <w:szCs w:val="18"/>
                <w:vertAlign w:val="superscript"/>
              </w:rPr>
              <w:t>(c)</w:t>
            </w:r>
          </w:p>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(Jun to Sep)</w:t>
            </w:r>
          </w:p>
        </w:tc>
        <w:tc>
          <w:tcPr>
            <w:tcW w:w="1819" w:type="dxa"/>
            <w:shd w:val="clear" w:color="auto" w:fill="85AFF2" w:themeFill="text2" w:themeFillTint="66"/>
            <w:vAlign w:val="center"/>
          </w:tcPr>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Winter</w:t>
            </w:r>
            <w:r w:rsidRPr="00EC212C">
              <w:rPr>
                <w:rFonts w:asciiTheme="minorHAnsi" w:hAnsiTheme="minorHAnsi" w:cs="Arial"/>
                <w:b/>
                <w:color w:val="FFFFFF" w:themeColor="background1"/>
                <w:sz w:val="18"/>
                <w:szCs w:val="18"/>
                <w:vertAlign w:val="superscript"/>
              </w:rPr>
              <w:t>(c)</w:t>
            </w:r>
          </w:p>
          <w:p w:rsidR="008A621B" w:rsidRPr="00EC212C" w:rsidRDefault="008A621B" w:rsidP="008A621B">
            <w:pPr>
              <w:keepNext/>
              <w:keepLines/>
              <w:spacing w:before="20" w:after="20" w:line="240" w:lineRule="auto"/>
              <w:jc w:val="center"/>
              <w:rPr>
                <w:rFonts w:asciiTheme="minorHAnsi" w:hAnsiTheme="minorHAnsi" w:cs="Arial"/>
                <w:b/>
                <w:color w:val="FFFFFF" w:themeColor="background1"/>
                <w:sz w:val="18"/>
                <w:szCs w:val="18"/>
              </w:rPr>
            </w:pPr>
            <w:r w:rsidRPr="00EC212C">
              <w:rPr>
                <w:rFonts w:asciiTheme="minorHAnsi" w:hAnsiTheme="minorHAnsi" w:cs="Arial"/>
                <w:b/>
                <w:color w:val="FFFFFF" w:themeColor="background1"/>
                <w:sz w:val="18"/>
                <w:szCs w:val="18"/>
              </w:rPr>
              <w:t>(Oct to May)</w:t>
            </w:r>
          </w:p>
        </w:tc>
      </w:tr>
      <w:tr w:rsidR="00EC212C" w:rsidRPr="00EC212C" w:rsidTr="00EC212C">
        <w:trPr>
          <w:trHeight w:val="229"/>
          <w:jc w:val="center"/>
        </w:trPr>
        <w:tc>
          <w:tcPr>
            <w:tcW w:w="2889" w:type="dxa"/>
            <w:vMerge w:val="restart"/>
            <w:vAlign w:val="center"/>
          </w:tcPr>
          <w:p w:rsidR="00EC212C" w:rsidRPr="00EC212C" w:rsidRDefault="00EC212C" w:rsidP="00296D7E">
            <w:pPr>
              <w:keepNext/>
              <w:keepLines/>
              <w:spacing w:before="40" w:after="20" w:line="240" w:lineRule="auto"/>
              <w:rPr>
                <w:rFonts w:asciiTheme="minorHAnsi" w:hAnsiTheme="minorHAnsi" w:cs="Arial"/>
                <w:b/>
                <w:sz w:val="18"/>
                <w:szCs w:val="18"/>
              </w:rPr>
            </w:pPr>
            <w:r w:rsidRPr="00EC212C">
              <w:rPr>
                <w:rFonts w:asciiTheme="minorHAnsi" w:hAnsiTheme="minorHAnsi" w:cs="Arial"/>
                <w:b/>
                <w:sz w:val="18"/>
                <w:szCs w:val="18"/>
              </w:rPr>
              <w:t>Greater Southwest Connecticut</w:t>
            </w:r>
            <w:r w:rsidRPr="00EC212C">
              <w:rPr>
                <w:rFonts w:asciiTheme="minorHAnsi" w:hAnsiTheme="minorHAnsi" w:cs="Arial"/>
                <w:b/>
                <w:sz w:val="18"/>
                <w:szCs w:val="18"/>
                <w:vertAlign w:val="superscript"/>
              </w:rPr>
              <w:t>(d)</w:t>
            </w: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2014</w:t>
            </w:r>
          </w:p>
        </w:tc>
        <w:tc>
          <w:tcPr>
            <w:tcW w:w="2376" w:type="dxa"/>
            <w:vMerge w:val="restart"/>
            <w:vAlign w:val="center"/>
          </w:tcPr>
          <w:p w:rsidR="00EC212C" w:rsidRPr="00EC212C" w:rsidRDefault="00EC212C" w:rsidP="00296D7E">
            <w:pPr>
              <w:keepNext/>
              <w:keepLines/>
              <w:spacing w:before="40" w:after="20" w:line="240" w:lineRule="auto"/>
              <w:jc w:val="center"/>
              <w:rPr>
                <w:rFonts w:asciiTheme="minorHAnsi" w:hAnsiTheme="minorHAnsi" w:cs="Arial"/>
                <w:b/>
                <w:bCs/>
                <w:color w:val="0070C0"/>
                <w:sz w:val="18"/>
                <w:szCs w:val="18"/>
              </w:rPr>
            </w:pPr>
            <w:r w:rsidRPr="00EC212C">
              <w:rPr>
                <w:rFonts w:asciiTheme="minorHAnsi" w:hAnsiTheme="minorHAnsi" w:cs="Arial"/>
                <w:sz w:val="18"/>
                <w:szCs w:val="18"/>
              </w:rPr>
              <w:t>199–515</w:t>
            </w: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94</w:t>
            </w:r>
            <w:r w:rsidRPr="00EC212C">
              <w:rPr>
                <w:rFonts w:asciiTheme="minorHAnsi" w:hAnsiTheme="minorHAnsi" w:cs="Arial"/>
                <w:sz w:val="18"/>
                <w:szCs w:val="18"/>
                <w:vertAlign w:val="superscript"/>
              </w:rPr>
              <w:t>(e)</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To be determined</w:t>
            </w:r>
            <w:r w:rsidRPr="00EC212C">
              <w:rPr>
                <w:rFonts w:asciiTheme="minorHAnsi" w:hAnsiTheme="minorHAnsi" w:cs="Arial"/>
                <w:sz w:val="18"/>
                <w:szCs w:val="18"/>
                <w:vertAlign w:val="superscript"/>
              </w:rPr>
              <w:t>(e)</w:t>
            </w:r>
          </w:p>
        </w:tc>
      </w:tr>
      <w:tr w:rsidR="00EC212C" w:rsidRPr="00EC212C" w:rsidTr="008A621B">
        <w:trPr>
          <w:jc w:val="center"/>
        </w:trPr>
        <w:tc>
          <w:tcPr>
            <w:tcW w:w="2889" w:type="dxa"/>
            <w:vMerge/>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2015</w:t>
            </w:r>
          </w:p>
        </w:tc>
        <w:tc>
          <w:tcPr>
            <w:tcW w:w="2376" w:type="dxa"/>
            <w:vMerge/>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0–200</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0–250</w:t>
            </w:r>
          </w:p>
        </w:tc>
      </w:tr>
      <w:tr w:rsidR="00EC212C" w:rsidRPr="00EC212C" w:rsidTr="008A621B">
        <w:trPr>
          <w:jc w:val="center"/>
        </w:trPr>
        <w:tc>
          <w:tcPr>
            <w:tcW w:w="2889" w:type="dxa"/>
            <w:vMerge/>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2016</w:t>
            </w:r>
          </w:p>
        </w:tc>
        <w:tc>
          <w:tcPr>
            <w:tcW w:w="2376" w:type="dxa"/>
            <w:vMerge/>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0–225</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r>
      <w:tr w:rsidR="00EC212C" w:rsidRPr="00EC212C" w:rsidTr="008A621B">
        <w:trPr>
          <w:jc w:val="center"/>
        </w:trPr>
        <w:tc>
          <w:tcPr>
            <w:tcW w:w="2889" w:type="dxa"/>
            <w:vMerge/>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2017</w:t>
            </w:r>
          </w:p>
        </w:tc>
        <w:tc>
          <w:tcPr>
            <w:tcW w:w="2376" w:type="dxa"/>
            <w:vMerge/>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0–250</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0–325</w:t>
            </w:r>
          </w:p>
        </w:tc>
      </w:tr>
      <w:tr w:rsidR="00EC212C" w:rsidRPr="00EC212C" w:rsidTr="008A621B">
        <w:trPr>
          <w:jc w:val="center"/>
        </w:trPr>
        <w:tc>
          <w:tcPr>
            <w:tcW w:w="2889" w:type="dxa"/>
            <w:vMerge/>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2018</w:t>
            </w:r>
          </w:p>
        </w:tc>
        <w:tc>
          <w:tcPr>
            <w:tcW w:w="2376" w:type="dxa"/>
            <w:vMerge/>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0–350</w:t>
            </w:r>
          </w:p>
        </w:tc>
      </w:tr>
      <w:tr w:rsidR="00EC212C" w:rsidRPr="00EC212C" w:rsidTr="00EC212C">
        <w:trPr>
          <w:trHeight w:val="202"/>
          <w:jc w:val="center"/>
        </w:trPr>
        <w:tc>
          <w:tcPr>
            <w:tcW w:w="2889" w:type="dxa"/>
            <w:vMerge w:val="restart"/>
            <w:shd w:val="clear" w:color="auto" w:fill="C2D7F8" w:themeFill="text2" w:themeFillTint="33"/>
            <w:vAlign w:val="center"/>
          </w:tcPr>
          <w:p w:rsidR="00EC212C" w:rsidRPr="00EC212C" w:rsidRDefault="00EC212C" w:rsidP="00296D7E">
            <w:pPr>
              <w:keepNext/>
              <w:keepLines/>
              <w:spacing w:before="40" w:after="20" w:line="240" w:lineRule="auto"/>
              <w:rPr>
                <w:rFonts w:asciiTheme="minorHAnsi" w:hAnsiTheme="minorHAnsi" w:cs="Arial"/>
                <w:b/>
                <w:sz w:val="18"/>
                <w:szCs w:val="18"/>
              </w:rPr>
            </w:pPr>
            <w:r w:rsidRPr="00EC212C">
              <w:rPr>
                <w:rFonts w:asciiTheme="minorHAnsi" w:hAnsiTheme="minorHAnsi" w:cs="Arial"/>
                <w:b/>
                <w:sz w:val="18"/>
                <w:szCs w:val="18"/>
              </w:rPr>
              <w:t>Greater Connecticut</w:t>
            </w:r>
            <w:r w:rsidRPr="00EC212C">
              <w:rPr>
                <w:rFonts w:asciiTheme="minorHAnsi" w:hAnsiTheme="minorHAnsi" w:cs="Arial"/>
                <w:b/>
                <w:sz w:val="18"/>
                <w:szCs w:val="18"/>
                <w:vertAlign w:val="superscript"/>
              </w:rPr>
              <w:t>(f, g)</w:t>
            </w:r>
          </w:p>
          <w:p w:rsidR="00EC212C" w:rsidRPr="00EC212C" w:rsidRDefault="00EC212C" w:rsidP="00296D7E">
            <w:pPr>
              <w:keepNext/>
              <w:keepLines/>
              <w:spacing w:before="40" w:after="20" w:line="240" w:lineRule="auto"/>
              <w:rPr>
                <w:rFonts w:asciiTheme="minorHAnsi" w:hAnsiTheme="minorHAnsi" w:cs="Arial"/>
                <w:b/>
                <w:sz w:val="18"/>
                <w:szCs w:val="18"/>
              </w:rPr>
            </w:pPr>
          </w:p>
          <w:p w:rsidR="00EC212C" w:rsidRPr="00EC212C" w:rsidRDefault="00EC212C" w:rsidP="00296D7E">
            <w:pPr>
              <w:keepNext/>
              <w:keepLines/>
              <w:spacing w:before="40" w:after="20" w:line="240" w:lineRule="auto"/>
              <w:rPr>
                <w:rFonts w:asciiTheme="minorHAnsi" w:hAnsiTheme="minorHAnsi" w:cs="Arial"/>
                <w:b/>
                <w:sz w:val="18"/>
                <w:szCs w:val="18"/>
              </w:rPr>
            </w:pPr>
          </w:p>
          <w:p w:rsidR="00EC212C" w:rsidRPr="00EC212C" w:rsidRDefault="00EC212C" w:rsidP="00296D7E">
            <w:pPr>
              <w:keepNext/>
              <w:keepLines/>
              <w:spacing w:before="40" w:after="20" w:line="240" w:lineRule="auto"/>
              <w:ind w:left="274"/>
              <w:rPr>
                <w:rFonts w:asciiTheme="minorHAnsi" w:hAnsiTheme="minorHAnsi" w:cs="Arial"/>
                <w:b/>
                <w:sz w:val="18"/>
                <w:szCs w:val="18"/>
              </w:rPr>
            </w:pPr>
            <w:r w:rsidRPr="00EC212C">
              <w:rPr>
                <w:rFonts w:asciiTheme="minorHAnsi" w:hAnsiTheme="minorHAnsi" w:cs="Arial"/>
                <w:b/>
                <w:sz w:val="18"/>
                <w:szCs w:val="18"/>
              </w:rPr>
              <w:t>Interstate Reliability Project (IRP) of the New England East–West Solution (NEEWS)</w:t>
            </w:r>
            <w:r w:rsidRPr="00EC212C">
              <w:rPr>
                <w:rFonts w:asciiTheme="minorHAnsi" w:hAnsiTheme="minorHAnsi" w:cs="Arial"/>
                <w:b/>
                <w:sz w:val="18"/>
                <w:szCs w:val="18"/>
                <w:vertAlign w:val="superscript"/>
              </w:rPr>
              <w:t>(f)</w:t>
            </w:r>
          </w:p>
        </w:tc>
        <w:tc>
          <w:tcPr>
            <w:tcW w:w="1142"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2014</w:t>
            </w:r>
          </w:p>
        </w:tc>
        <w:tc>
          <w:tcPr>
            <w:tcW w:w="2376" w:type="dxa"/>
            <w:vMerge w:val="restart"/>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b/>
                <w:bCs/>
                <w:color w:val="0070C0"/>
                <w:sz w:val="18"/>
                <w:szCs w:val="18"/>
              </w:rPr>
            </w:pPr>
            <w:r w:rsidRPr="00EC212C">
              <w:rPr>
                <w:rFonts w:asciiTheme="minorHAnsi" w:hAnsiTheme="minorHAnsi" w:cs="Arial"/>
                <w:sz w:val="18"/>
                <w:szCs w:val="18"/>
              </w:rPr>
              <w:t>659–1,563</w:t>
            </w:r>
            <w:r w:rsidRPr="00EC212C">
              <w:rPr>
                <w:rFonts w:asciiTheme="minorHAnsi" w:hAnsiTheme="minorHAnsi" w:cs="Arial"/>
                <w:sz w:val="18"/>
                <w:szCs w:val="18"/>
                <w:vertAlign w:val="superscript"/>
              </w:rPr>
              <w:t>(h)</w:t>
            </w:r>
          </w:p>
        </w:tc>
        <w:tc>
          <w:tcPr>
            <w:tcW w:w="1827"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900</w:t>
            </w:r>
            <w:r w:rsidRPr="00EC212C">
              <w:rPr>
                <w:rFonts w:asciiTheme="minorHAnsi" w:hAnsiTheme="minorHAnsi" w:cs="Arial"/>
                <w:sz w:val="18"/>
                <w:szCs w:val="18"/>
                <w:vertAlign w:val="superscript"/>
              </w:rPr>
              <w:t>(e)</w:t>
            </w:r>
          </w:p>
        </w:tc>
        <w:tc>
          <w:tcPr>
            <w:tcW w:w="1819"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To be determined</w:t>
            </w:r>
            <w:r w:rsidRPr="00EC212C">
              <w:rPr>
                <w:rFonts w:asciiTheme="minorHAnsi" w:hAnsiTheme="minorHAnsi" w:cs="Arial"/>
                <w:sz w:val="18"/>
                <w:szCs w:val="18"/>
                <w:vertAlign w:val="superscript"/>
              </w:rPr>
              <w:t>(e)</w:t>
            </w:r>
          </w:p>
        </w:tc>
      </w:tr>
      <w:tr w:rsidR="00EC212C" w:rsidRPr="00EC212C" w:rsidTr="008A621B">
        <w:trPr>
          <w:jc w:val="center"/>
        </w:trPr>
        <w:tc>
          <w:tcPr>
            <w:tcW w:w="2889" w:type="dxa"/>
            <w:vMerge/>
            <w:shd w:val="clear" w:color="auto" w:fill="C2D7F8" w:themeFill="text2" w:themeFillTint="33"/>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2015</w:t>
            </w:r>
          </w:p>
        </w:tc>
        <w:tc>
          <w:tcPr>
            <w:tcW w:w="2376" w:type="dxa"/>
            <w:vMerge/>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b/>
                <w:bCs/>
                <w:color w:val="0070C0"/>
                <w:sz w:val="18"/>
                <w:szCs w:val="18"/>
              </w:rPr>
            </w:pPr>
            <w:r w:rsidRPr="00EC212C">
              <w:rPr>
                <w:rFonts w:asciiTheme="minorHAnsi" w:hAnsiTheme="minorHAnsi" w:cs="Arial"/>
                <w:sz w:val="18"/>
                <w:szCs w:val="18"/>
              </w:rPr>
              <w:t>400–1,000</w:t>
            </w:r>
          </w:p>
        </w:tc>
        <w:tc>
          <w:tcPr>
            <w:tcW w:w="1819"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0–500</w:t>
            </w:r>
          </w:p>
        </w:tc>
      </w:tr>
      <w:tr w:rsidR="00EC212C" w:rsidRPr="00EC212C" w:rsidTr="008A621B">
        <w:trPr>
          <w:jc w:val="center"/>
        </w:trPr>
        <w:tc>
          <w:tcPr>
            <w:tcW w:w="2889" w:type="dxa"/>
            <w:vMerge/>
            <w:shd w:val="clear" w:color="auto" w:fill="C2D7F8" w:themeFill="text2" w:themeFillTint="33"/>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2016</w:t>
            </w:r>
          </w:p>
        </w:tc>
        <w:tc>
          <w:tcPr>
            <w:tcW w:w="2376" w:type="dxa"/>
            <w:vMerge/>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500–1,100</w:t>
            </w:r>
          </w:p>
        </w:tc>
        <w:tc>
          <w:tcPr>
            <w:tcW w:w="1819"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0–500</w:t>
            </w:r>
          </w:p>
        </w:tc>
      </w:tr>
      <w:tr w:rsidR="00EC212C" w:rsidRPr="00EC212C" w:rsidTr="008A621B">
        <w:trPr>
          <w:jc w:val="center"/>
        </w:trPr>
        <w:tc>
          <w:tcPr>
            <w:tcW w:w="2889" w:type="dxa"/>
            <w:vMerge/>
            <w:shd w:val="clear" w:color="auto" w:fill="C2D7F8" w:themeFill="text2" w:themeFillTint="33"/>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2017</w:t>
            </w:r>
          </w:p>
        </w:tc>
        <w:tc>
          <w:tcPr>
            <w:tcW w:w="2376" w:type="dxa"/>
            <w:vMerge/>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150–700</w:t>
            </w:r>
          </w:p>
        </w:tc>
        <w:tc>
          <w:tcPr>
            <w:tcW w:w="1819"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r>
      <w:tr w:rsidR="00EC212C" w:rsidRPr="00EC212C" w:rsidTr="00EC212C">
        <w:trPr>
          <w:trHeight w:val="229"/>
          <w:jc w:val="center"/>
        </w:trPr>
        <w:tc>
          <w:tcPr>
            <w:tcW w:w="2889" w:type="dxa"/>
            <w:vMerge/>
            <w:shd w:val="clear" w:color="auto" w:fill="C2D7F8" w:themeFill="text2" w:themeFillTint="33"/>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2018</w:t>
            </w:r>
          </w:p>
        </w:tc>
        <w:tc>
          <w:tcPr>
            <w:tcW w:w="2376" w:type="dxa"/>
            <w:vMerge/>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p>
        </w:tc>
        <w:tc>
          <w:tcPr>
            <w:tcW w:w="1827"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100–700</w:t>
            </w:r>
          </w:p>
        </w:tc>
        <w:tc>
          <w:tcPr>
            <w:tcW w:w="1819" w:type="dxa"/>
            <w:shd w:val="clear" w:color="auto" w:fill="C2D7F8" w:themeFill="text2" w:themeFillTint="33"/>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0–200</w:t>
            </w:r>
          </w:p>
        </w:tc>
      </w:tr>
      <w:tr w:rsidR="00EC212C" w:rsidRPr="00EC212C" w:rsidTr="00EC212C">
        <w:trPr>
          <w:trHeight w:val="265"/>
          <w:jc w:val="center"/>
        </w:trPr>
        <w:tc>
          <w:tcPr>
            <w:tcW w:w="2889" w:type="dxa"/>
            <w:vMerge w:val="restart"/>
            <w:vAlign w:val="center"/>
          </w:tcPr>
          <w:p w:rsidR="00EC212C" w:rsidRPr="00EC212C" w:rsidRDefault="00EC212C" w:rsidP="00296D7E">
            <w:pPr>
              <w:keepNext/>
              <w:keepLines/>
              <w:spacing w:before="40" w:after="20" w:line="240" w:lineRule="auto"/>
              <w:rPr>
                <w:rFonts w:asciiTheme="minorHAnsi" w:hAnsiTheme="minorHAnsi" w:cs="Arial"/>
                <w:b/>
                <w:sz w:val="18"/>
                <w:szCs w:val="18"/>
              </w:rPr>
            </w:pPr>
            <w:r w:rsidRPr="00EC212C">
              <w:rPr>
                <w:rFonts w:asciiTheme="minorHAnsi" w:hAnsiTheme="minorHAnsi" w:cs="Arial"/>
                <w:b/>
                <w:sz w:val="18"/>
                <w:szCs w:val="18"/>
              </w:rPr>
              <w:t>BOSTON</w:t>
            </w:r>
            <w:r w:rsidRPr="00EC212C">
              <w:rPr>
                <w:rFonts w:asciiTheme="minorHAnsi" w:hAnsiTheme="minorHAnsi" w:cs="Arial"/>
                <w:b/>
                <w:sz w:val="18"/>
                <w:szCs w:val="18"/>
                <w:vertAlign w:val="superscript"/>
              </w:rPr>
              <w:t xml:space="preserve">(g, </w:t>
            </w:r>
            <w:proofErr w:type="spellStart"/>
            <w:r w:rsidRPr="00EC212C">
              <w:rPr>
                <w:rFonts w:asciiTheme="minorHAnsi" w:hAnsiTheme="minorHAnsi" w:cs="Arial"/>
                <w:b/>
                <w:sz w:val="18"/>
                <w:szCs w:val="18"/>
                <w:vertAlign w:val="superscript"/>
              </w:rPr>
              <w:t>i</w:t>
            </w:r>
            <w:proofErr w:type="spellEnd"/>
            <w:r w:rsidRPr="00EC212C">
              <w:rPr>
                <w:rFonts w:asciiTheme="minorHAnsi" w:hAnsiTheme="minorHAnsi" w:cs="Arial"/>
                <w:b/>
                <w:sz w:val="18"/>
                <w:szCs w:val="18"/>
                <w:vertAlign w:val="superscript"/>
              </w:rPr>
              <w:t>)</w:t>
            </w: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highlight w:val="yellow"/>
              </w:rPr>
            </w:pPr>
            <w:r w:rsidRPr="00EC212C">
              <w:rPr>
                <w:rFonts w:asciiTheme="minorHAnsi" w:hAnsiTheme="minorHAnsi" w:cs="Arial"/>
                <w:sz w:val="18"/>
                <w:szCs w:val="18"/>
              </w:rPr>
              <w:t>2014</w:t>
            </w:r>
          </w:p>
        </w:tc>
        <w:tc>
          <w:tcPr>
            <w:tcW w:w="2376" w:type="dxa"/>
            <w:vMerge w:val="restart"/>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highlight w:val="yellow"/>
              </w:rPr>
            </w:pPr>
            <w:r w:rsidRPr="00EC212C">
              <w:rPr>
                <w:rFonts w:asciiTheme="minorHAnsi" w:hAnsiTheme="minorHAnsi" w:cs="Arial"/>
                <w:sz w:val="18"/>
                <w:szCs w:val="18"/>
              </w:rPr>
              <w:t>0–441</w:t>
            </w: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highlight w:val="yellow"/>
              </w:rPr>
            </w:pPr>
            <w:r w:rsidRPr="00EC212C">
              <w:rPr>
                <w:rFonts w:asciiTheme="minorHAnsi" w:hAnsiTheme="minorHAnsi" w:cs="Arial"/>
                <w:sz w:val="18"/>
                <w:szCs w:val="18"/>
              </w:rPr>
              <w:t>0</w:t>
            </w:r>
            <w:r w:rsidRPr="00EC212C">
              <w:rPr>
                <w:rFonts w:asciiTheme="minorHAnsi" w:hAnsiTheme="minorHAnsi" w:cs="Arial"/>
                <w:sz w:val="18"/>
                <w:szCs w:val="18"/>
                <w:vertAlign w:val="superscript"/>
              </w:rPr>
              <w:t>(e)</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highlight w:val="yellow"/>
              </w:rPr>
            </w:pPr>
            <w:r w:rsidRPr="00EC212C">
              <w:rPr>
                <w:rFonts w:asciiTheme="minorHAnsi" w:hAnsiTheme="minorHAnsi" w:cs="Arial"/>
                <w:sz w:val="18"/>
                <w:szCs w:val="18"/>
              </w:rPr>
              <w:t>To be determined</w:t>
            </w:r>
            <w:r w:rsidRPr="00EC212C">
              <w:rPr>
                <w:rFonts w:asciiTheme="minorHAnsi" w:hAnsiTheme="minorHAnsi" w:cs="Arial"/>
                <w:sz w:val="18"/>
                <w:szCs w:val="18"/>
                <w:vertAlign w:val="superscript"/>
              </w:rPr>
              <w:t>(e)</w:t>
            </w:r>
          </w:p>
        </w:tc>
      </w:tr>
      <w:tr w:rsidR="00EC212C" w:rsidRPr="00EC212C" w:rsidTr="008A621B">
        <w:trPr>
          <w:jc w:val="center"/>
        </w:trPr>
        <w:tc>
          <w:tcPr>
            <w:tcW w:w="2889" w:type="dxa"/>
            <w:vMerge/>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2015</w:t>
            </w:r>
          </w:p>
        </w:tc>
        <w:tc>
          <w:tcPr>
            <w:tcW w:w="2376" w:type="dxa"/>
            <w:vMerge/>
            <w:vAlign w:val="center"/>
          </w:tcPr>
          <w:p w:rsidR="00EC212C" w:rsidRPr="00EC212C" w:rsidRDefault="00EC212C" w:rsidP="00296D7E">
            <w:pPr>
              <w:keepNext/>
              <w:keepLines/>
              <w:spacing w:before="40" w:after="20" w:line="240" w:lineRule="auto"/>
              <w:rPr>
                <w:rFonts w:asciiTheme="minorHAnsi" w:hAnsiTheme="minorHAnsi" w:cs="Arial"/>
                <w:sz w:val="18"/>
                <w:szCs w:val="18"/>
              </w:rPr>
            </w:pPr>
          </w:p>
        </w:tc>
        <w:tc>
          <w:tcPr>
            <w:tcW w:w="1827" w:type="dxa"/>
            <w:shd w:val="clear" w:color="auto" w:fill="auto"/>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0–200</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r>
      <w:tr w:rsidR="00EC212C" w:rsidRPr="00EC212C" w:rsidTr="008A621B">
        <w:trPr>
          <w:jc w:val="center"/>
        </w:trPr>
        <w:tc>
          <w:tcPr>
            <w:tcW w:w="2889" w:type="dxa"/>
            <w:vMerge/>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2016</w:t>
            </w:r>
          </w:p>
        </w:tc>
        <w:tc>
          <w:tcPr>
            <w:tcW w:w="2376" w:type="dxa"/>
            <w:vMerge/>
            <w:vAlign w:val="center"/>
          </w:tcPr>
          <w:p w:rsidR="00EC212C" w:rsidRPr="00EC212C" w:rsidRDefault="00EC212C" w:rsidP="00296D7E">
            <w:pPr>
              <w:keepNext/>
              <w:keepLines/>
              <w:spacing w:before="40" w:after="20" w:line="240" w:lineRule="auto"/>
              <w:rPr>
                <w:rFonts w:asciiTheme="minorHAnsi" w:hAnsiTheme="minorHAnsi" w:cs="Arial"/>
                <w:sz w:val="18"/>
                <w:szCs w:val="18"/>
              </w:rPr>
            </w:pP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0–250</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0–300</w:t>
            </w:r>
          </w:p>
        </w:tc>
      </w:tr>
      <w:tr w:rsidR="00EC212C" w:rsidRPr="00EC212C" w:rsidTr="00EC212C">
        <w:trPr>
          <w:trHeight w:val="301"/>
          <w:jc w:val="center"/>
        </w:trPr>
        <w:tc>
          <w:tcPr>
            <w:tcW w:w="2889" w:type="dxa"/>
            <w:vMerge/>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2017</w:t>
            </w:r>
          </w:p>
        </w:tc>
        <w:tc>
          <w:tcPr>
            <w:tcW w:w="2376" w:type="dxa"/>
            <w:vMerge/>
            <w:vAlign w:val="center"/>
          </w:tcPr>
          <w:p w:rsidR="00EC212C" w:rsidRPr="00EC212C" w:rsidRDefault="00EC212C" w:rsidP="00296D7E">
            <w:pPr>
              <w:keepNext/>
              <w:keepLines/>
              <w:spacing w:before="40" w:after="20" w:line="240" w:lineRule="auto"/>
              <w:rPr>
                <w:rFonts w:asciiTheme="minorHAnsi" w:hAnsiTheme="minorHAnsi" w:cs="Arial"/>
                <w:sz w:val="18"/>
                <w:szCs w:val="18"/>
              </w:rPr>
            </w:pP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0–350</w:t>
            </w:r>
          </w:p>
          <w:p w:rsidR="00EC212C" w:rsidRPr="00EC212C" w:rsidRDefault="00EC212C" w:rsidP="00296D7E">
            <w:pPr>
              <w:keepNext/>
              <w:keepLines/>
              <w:spacing w:before="40" w:after="20" w:line="240" w:lineRule="auto"/>
              <w:jc w:val="center"/>
              <w:rPr>
                <w:rFonts w:asciiTheme="minorHAnsi" w:hAnsiTheme="minorHAnsi" w:cs="Arial"/>
                <w:b/>
                <w:bCs/>
                <w:iCs/>
                <w:sz w:val="18"/>
                <w:szCs w:val="18"/>
              </w:rPr>
            </w:pPr>
            <w:r w:rsidRPr="00EC212C">
              <w:rPr>
                <w:rFonts w:asciiTheme="minorHAnsi" w:hAnsiTheme="minorHAnsi" w:cs="Arial"/>
                <w:sz w:val="18"/>
                <w:szCs w:val="18"/>
              </w:rPr>
              <w:t>0, if Footprint is</w:t>
            </w:r>
            <w:r w:rsidRPr="00EC212C">
              <w:rPr>
                <w:rFonts w:asciiTheme="minorHAnsi" w:hAnsiTheme="minorHAnsi" w:cs="Arial"/>
                <w:sz w:val="18"/>
                <w:szCs w:val="18"/>
              </w:rPr>
              <w:br/>
              <w:t>in service</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0–350</w:t>
            </w:r>
          </w:p>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 if Footprint is</w:t>
            </w:r>
            <w:r w:rsidRPr="00EC212C">
              <w:rPr>
                <w:rFonts w:asciiTheme="minorHAnsi" w:hAnsiTheme="minorHAnsi" w:cs="Arial"/>
                <w:sz w:val="18"/>
                <w:szCs w:val="18"/>
              </w:rPr>
              <w:br/>
              <w:t>in service</w:t>
            </w:r>
          </w:p>
        </w:tc>
      </w:tr>
      <w:tr w:rsidR="00EC212C" w:rsidRPr="00EC212C" w:rsidTr="008A621B">
        <w:trPr>
          <w:jc w:val="center"/>
        </w:trPr>
        <w:tc>
          <w:tcPr>
            <w:tcW w:w="2889" w:type="dxa"/>
            <w:vMerge/>
            <w:vAlign w:val="center"/>
          </w:tcPr>
          <w:p w:rsidR="00EC212C" w:rsidRPr="00EC212C" w:rsidRDefault="00EC212C" w:rsidP="00296D7E">
            <w:pPr>
              <w:keepNext/>
              <w:keepLines/>
              <w:spacing w:before="40" w:after="20" w:line="240" w:lineRule="auto"/>
              <w:rPr>
                <w:rFonts w:asciiTheme="minorHAnsi" w:hAnsiTheme="minorHAnsi" w:cs="Arial"/>
                <w:b/>
                <w:sz w:val="18"/>
                <w:szCs w:val="18"/>
              </w:rPr>
            </w:pPr>
          </w:p>
        </w:tc>
        <w:tc>
          <w:tcPr>
            <w:tcW w:w="1142"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2018</w:t>
            </w:r>
          </w:p>
        </w:tc>
        <w:tc>
          <w:tcPr>
            <w:tcW w:w="2376" w:type="dxa"/>
            <w:vMerge/>
            <w:vAlign w:val="center"/>
          </w:tcPr>
          <w:p w:rsidR="00EC212C" w:rsidRPr="00EC212C" w:rsidRDefault="00EC212C" w:rsidP="00296D7E">
            <w:pPr>
              <w:keepNext/>
              <w:keepLines/>
              <w:spacing w:before="40" w:after="20" w:line="240" w:lineRule="auto"/>
              <w:rPr>
                <w:rFonts w:asciiTheme="minorHAnsi" w:hAnsiTheme="minorHAnsi" w:cs="Arial"/>
                <w:sz w:val="18"/>
                <w:szCs w:val="18"/>
              </w:rPr>
            </w:pPr>
          </w:p>
        </w:tc>
        <w:tc>
          <w:tcPr>
            <w:tcW w:w="1827"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0–350</w:t>
            </w:r>
          </w:p>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 if Footprint is</w:t>
            </w:r>
            <w:r w:rsidRPr="00EC212C">
              <w:rPr>
                <w:rFonts w:asciiTheme="minorHAnsi" w:hAnsiTheme="minorHAnsi" w:cs="Arial"/>
                <w:sz w:val="18"/>
                <w:szCs w:val="18"/>
              </w:rPr>
              <w:br/>
              <w:t>in service</w:t>
            </w:r>
          </w:p>
        </w:tc>
        <w:tc>
          <w:tcPr>
            <w:tcW w:w="1819" w:type="dxa"/>
            <w:vAlign w:val="center"/>
          </w:tcPr>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0–250</w:t>
            </w:r>
          </w:p>
          <w:p w:rsidR="00EC212C" w:rsidRPr="00EC212C" w:rsidRDefault="00EC212C" w:rsidP="00296D7E">
            <w:pPr>
              <w:keepNext/>
              <w:keepLines/>
              <w:spacing w:before="40" w:after="20" w:line="240" w:lineRule="auto"/>
              <w:jc w:val="center"/>
              <w:rPr>
                <w:rFonts w:asciiTheme="minorHAnsi" w:hAnsiTheme="minorHAnsi" w:cs="Arial"/>
                <w:sz w:val="18"/>
                <w:szCs w:val="18"/>
              </w:rPr>
            </w:pPr>
            <w:r w:rsidRPr="00EC212C">
              <w:rPr>
                <w:rFonts w:asciiTheme="minorHAnsi" w:hAnsiTheme="minorHAnsi" w:cs="Arial"/>
                <w:sz w:val="18"/>
                <w:szCs w:val="18"/>
              </w:rPr>
              <w:t>0, if Footprint is</w:t>
            </w:r>
            <w:r w:rsidRPr="00EC212C">
              <w:rPr>
                <w:rFonts w:asciiTheme="minorHAnsi" w:hAnsiTheme="minorHAnsi" w:cs="Arial"/>
                <w:sz w:val="18"/>
                <w:szCs w:val="18"/>
              </w:rPr>
              <w:br/>
              <w:t>in service</w:t>
            </w:r>
          </w:p>
        </w:tc>
      </w:tr>
    </w:tbl>
    <w:p w:rsidR="008A621B" w:rsidRPr="00EC212C" w:rsidRDefault="008A621B" w:rsidP="008A621B">
      <w:pPr>
        <w:keepNext/>
        <w:keepLines/>
        <w:numPr>
          <w:ilvl w:val="0"/>
          <w:numId w:val="128"/>
        </w:numPr>
        <w:spacing w:before="120"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The market period is from June 1 through May 31 of the following year.</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 xml:space="preserve">These values are the range of the megawatts of resources offered into the past forward-reserve auctions. The amount offered into the auctions for BOSTON </w:t>
      </w:r>
      <w:r w:rsidRPr="0079056A">
        <w:rPr>
          <w:rFonts w:asciiTheme="minorHAnsi" w:hAnsiTheme="minorHAnsi" w:cs="Arial"/>
          <w:sz w:val="16"/>
          <w:szCs w:val="16"/>
        </w:rPr>
        <w:t xml:space="preserve">decreased in recent years as the reserve requirements for the market decreased. A summary of the forward-reserve offers for the past auctions is available at </w:t>
      </w:r>
      <w:hyperlink r:id="rId38" w:history="1">
        <w:r w:rsidR="0079056A" w:rsidRPr="0079056A">
          <w:rPr>
            <w:rStyle w:val="Hyperlink"/>
            <w:rFonts w:asciiTheme="minorHAnsi" w:hAnsiTheme="minorHAnsi"/>
            <w:sz w:val="16"/>
            <w:szCs w:val="16"/>
          </w:rPr>
          <w:t>http://www.iso-ne.com/isoexpress/web/reports/auctions/-/tree/fwd-rsv-auc-offer</w:t>
        </w:r>
      </w:hyperlink>
      <w:r w:rsidRPr="0079056A">
        <w:rPr>
          <w:rFonts w:asciiTheme="minorHAnsi" w:hAnsiTheme="minorHAnsi" w:cs="Arial"/>
          <w:color w:val="000000" w:themeColor="text1"/>
          <w:sz w:val="16"/>
          <w:szCs w:val="16"/>
        </w:rPr>
        <w:t>.</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w:t>
      </w:r>
      <w:proofErr w:type="gramStart"/>
      <w:r w:rsidRPr="00EC212C">
        <w:rPr>
          <w:rFonts w:asciiTheme="minorHAnsi" w:hAnsiTheme="minorHAnsi" w:cs="Arial"/>
          <w:sz w:val="16"/>
          <w:szCs w:val="16"/>
        </w:rPr>
        <w:t>Summer</w:t>
      </w:r>
      <w:proofErr w:type="gramEnd"/>
      <w:r w:rsidRPr="00EC212C">
        <w:rPr>
          <w:rFonts w:asciiTheme="minorHAnsi" w:hAnsiTheme="minorHAnsi" w:cs="Arial"/>
          <w:sz w:val="16"/>
          <w:szCs w:val="16"/>
        </w:rPr>
        <w:t>” means June through September of a capability year; “winter” means October of the associated year through May of the following year (e.g., the 2014 winter values are for October 2014 through May 2015). The representative values show a range to reflect uncertainties associated with the future system conditions.</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The assumed N−1 and N−1−1 values to reflect transmission import limits into Greater Southwest Connecticut are 3,200 MW and 2,300 MW, respectively.</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 xml:space="preserve">These values are actual </w:t>
      </w:r>
      <w:proofErr w:type="spellStart"/>
      <w:r w:rsidRPr="00EC212C">
        <w:rPr>
          <w:rFonts w:asciiTheme="minorHAnsi" w:hAnsiTheme="minorHAnsi" w:cs="Arial"/>
          <w:sz w:val="16"/>
          <w:szCs w:val="16"/>
        </w:rPr>
        <w:t>locational</w:t>
      </w:r>
      <w:proofErr w:type="spellEnd"/>
      <w:r w:rsidRPr="00EC212C">
        <w:rPr>
          <w:rFonts w:asciiTheme="minorHAnsi" w:hAnsiTheme="minorHAnsi" w:cs="Arial"/>
          <w:sz w:val="16"/>
          <w:szCs w:val="16"/>
        </w:rPr>
        <w:t xml:space="preserve"> forward-reserve requirements. The projections of the requirements for future years </w:t>
      </w:r>
      <w:proofErr w:type="gramStart"/>
      <w:r w:rsidRPr="00EC212C">
        <w:rPr>
          <w:rFonts w:asciiTheme="minorHAnsi" w:hAnsiTheme="minorHAnsi" w:cs="Arial"/>
          <w:sz w:val="16"/>
          <w:szCs w:val="16"/>
        </w:rPr>
        <w:t>are based</w:t>
      </w:r>
      <w:proofErr w:type="gramEnd"/>
      <w:r w:rsidRPr="00EC212C">
        <w:rPr>
          <w:rFonts w:asciiTheme="minorHAnsi" w:hAnsiTheme="minorHAnsi" w:cs="Arial"/>
          <w:sz w:val="16"/>
          <w:szCs w:val="16"/>
        </w:rPr>
        <w:t xml:space="preserve"> on assumed contingencies.</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For Greater Connecticut, the assumed import limits reflect an N−1 value of 3,050 MW and an N−1−1 value of 1,850 MW through 2016 after the in-service of Greater Springfield Reliability Project (GSRP) in 2013. With the Card–Lake Road line assumed in service in 2017, the definition of the import interface will change, so that the assumed Greater Connecticut N</w:t>
      </w:r>
      <w:r w:rsidR="0079056A">
        <w:rPr>
          <w:rFonts w:asciiTheme="minorHAnsi" w:hAnsiTheme="minorHAnsi" w:cs="Arial"/>
          <w:sz w:val="16"/>
          <w:szCs w:val="16"/>
        </w:rPr>
        <w:t>−</w:t>
      </w:r>
      <w:r w:rsidRPr="00EC212C">
        <w:rPr>
          <w:rFonts w:asciiTheme="minorHAnsi" w:hAnsiTheme="minorHAnsi" w:cs="Arial"/>
          <w:sz w:val="16"/>
          <w:szCs w:val="16"/>
        </w:rPr>
        <w:t>1 and N</w:t>
      </w:r>
      <w:r w:rsidR="0079056A">
        <w:rPr>
          <w:rFonts w:asciiTheme="minorHAnsi" w:hAnsiTheme="minorHAnsi" w:cs="Arial"/>
          <w:sz w:val="16"/>
          <w:szCs w:val="16"/>
        </w:rPr>
        <w:t>−</w:t>
      </w:r>
      <w:r w:rsidRPr="00EC212C">
        <w:rPr>
          <w:rFonts w:asciiTheme="minorHAnsi" w:hAnsiTheme="minorHAnsi" w:cs="Arial"/>
          <w:sz w:val="16"/>
          <w:szCs w:val="16"/>
        </w:rPr>
        <w:t>1</w:t>
      </w:r>
      <w:r w:rsidR="0079056A">
        <w:rPr>
          <w:rFonts w:asciiTheme="minorHAnsi" w:hAnsiTheme="minorHAnsi" w:cs="Arial"/>
          <w:sz w:val="16"/>
          <w:szCs w:val="16"/>
        </w:rPr>
        <w:t>−</w:t>
      </w:r>
      <w:r w:rsidRPr="00EC212C">
        <w:rPr>
          <w:rFonts w:asciiTheme="minorHAnsi" w:hAnsiTheme="minorHAnsi" w:cs="Arial"/>
          <w:sz w:val="16"/>
          <w:szCs w:val="16"/>
        </w:rPr>
        <w:t>1 import limits will be 2,800 MW and 1,600 MW respectively, increasing to 2,950 MW and 1,750 MW, respectively, starting in 2018.</w:t>
      </w:r>
      <w:r w:rsidR="00512F45" w:rsidRPr="00EC212C">
        <w:rPr>
          <w:rFonts w:asciiTheme="minorHAnsi" w:hAnsiTheme="minorHAnsi" w:cs="Arial"/>
          <w:sz w:val="16"/>
          <w:szCs w:val="16"/>
        </w:rPr>
        <w:t xml:space="preserve"> </w:t>
      </w:r>
      <w:r w:rsidR="00D57DFB" w:rsidRPr="00EC212C">
        <w:rPr>
          <w:rFonts w:asciiTheme="minorHAnsi" w:hAnsiTheme="minorHAnsi" w:cs="Arial"/>
          <w:sz w:val="16"/>
          <w:szCs w:val="16"/>
        </w:rPr>
        <w:t xml:space="preserve">The PTOs have certified that the IRP project would be in service by December 2015 and have listed this as the project’s in-service date in the </w:t>
      </w:r>
      <w:r w:rsidR="00D57DFB" w:rsidRPr="00EC212C">
        <w:rPr>
          <w:rFonts w:asciiTheme="minorHAnsi" w:hAnsiTheme="minorHAnsi" w:cs="Arial"/>
          <w:i/>
          <w:sz w:val="16"/>
          <w:szCs w:val="16"/>
        </w:rPr>
        <w:t>RSP Project List</w:t>
      </w:r>
      <w:r w:rsidR="00D57DFB" w:rsidRPr="00EC212C">
        <w:rPr>
          <w:rFonts w:asciiTheme="minorHAnsi" w:hAnsiTheme="minorHAnsi" w:cs="Arial"/>
          <w:sz w:val="16"/>
          <w:szCs w:val="16"/>
        </w:rPr>
        <w:t>. The ISO has accepted the PTO’s certification of the IRP project for FCA #8, and has accepted</w:t>
      </w:r>
      <w:r w:rsidR="00DE6EC2" w:rsidRPr="00EC212C">
        <w:rPr>
          <w:rFonts w:asciiTheme="minorHAnsi" w:hAnsiTheme="minorHAnsi" w:cs="Arial"/>
          <w:sz w:val="16"/>
          <w:szCs w:val="16"/>
        </w:rPr>
        <w:t>—</w:t>
      </w:r>
      <w:r w:rsidR="00D57DFB" w:rsidRPr="00EC212C">
        <w:rPr>
          <w:rFonts w:asciiTheme="minorHAnsi" w:hAnsiTheme="minorHAnsi" w:cs="Arial"/>
          <w:sz w:val="16"/>
          <w:szCs w:val="16"/>
        </w:rPr>
        <w:t>for the purpose of conducting the calculations described in Section 4</w:t>
      </w:r>
      <w:r w:rsidR="00DE6EC2" w:rsidRPr="00EC212C">
        <w:rPr>
          <w:rFonts w:asciiTheme="minorHAnsi" w:hAnsiTheme="minorHAnsi" w:cs="Arial"/>
          <w:sz w:val="16"/>
          <w:szCs w:val="16"/>
        </w:rPr>
        <w:t>—</w:t>
      </w:r>
      <w:r w:rsidR="00D57DFB" w:rsidRPr="00EC212C">
        <w:rPr>
          <w:rFonts w:asciiTheme="minorHAnsi" w:hAnsiTheme="minorHAnsi" w:cs="Arial"/>
          <w:sz w:val="16"/>
          <w:szCs w:val="16"/>
        </w:rPr>
        <w:t>that the project will be in service by June 1, 2017, although it may be in service before that date.</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 xml:space="preserve">In some circumstances when transmission contingencies are more severe than generation contingencies, shedding some </w:t>
      </w:r>
      <w:proofErr w:type="spellStart"/>
      <w:r w:rsidRPr="00EC212C">
        <w:rPr>
          <w:rFonts w:asciiTheme="minorHAnsi" w:hAnsiTheme="minorHAnsi" w:cs="Arial"/>
          <w:sz w:val="16"/>
          <w:szCs w:val="16"/>
        </w:rPr>
        <w:t>nonconsequential</w:t>
      </w:r>
      <w:proofErr w:type="spellEnd"/>
      <w:r w:rsidRPr="00EC212C">
        <w:rPr>
          <w:rFonts w:asciiTheme="minorHAnsi" w:hAnsiTheme="minorHAnsi" w:cs="Arial"/>
          <w:sz w:val="16"/>
          <w:szCs w:val="16"/>
        </w:rPr>
        <w:t xml:space="preserve"> load (i.e., load shed that is not the direct result of the contingency) may be acceptable.</w:t>
      </w:r>
    </w:p>
    <w:p w:rsidR="008A621B" w:rsidRPr="00EC212C" w:rsidRDefault="008A621B" w:rsidP="008A621B">
      <w:pPr>
        <w:keepNext/>
        <w:keepLines/>
        <w:numPr>
          <w:ilvl w:val="0"/>
          <w:numId w:val="128"/>
        </w:numPr>
        <w:spacing w:after="80" w:line="240" w:lineRule="auto"/>
        <w:ind w:left="-273" w:right="-547" w:hanging="274"/>
        <w:rPr>
          <w:rFonts w:asciiTheme="minorHAnsi" w:hAnsiTheme="minorHAnsi" w:cs="Arial"/>
          <w:sz w:val="16"/>
          <w:szCs w:val="16"/>
        </w:rPr>
      </w:pPr>
      <w:r w:rsidRPr="00EC212C">
        <w:rPr>
          <w:rFonts w:asciiTheme="minorHAnsi" w:hAnsiTheme="minorHAnsi" w:cs="Arial"/>
          <w:sz w:val="16"/>
          <w:szCs w:val="16"/>
        </w:rPr>
        <w:t>These values include resources in Greater Southwest Connecticut.</w:t>
      </w:r>
    </w:p>
    <w:p w:rsidR="008A621B" w:rsidRPr="00EC212C" w:rsidRDefault="008A621B" w:rsidP="008A621B">
      <w:pPr>
        <w:numPr>
          <w:ilvl w:val="0"/>
          <w:numId w:val="128"/>
        </w:numPr>
        <w:spacing w:line="240" w:lineRule="auto"/>
        <w:ind w:left="-273" w:right="-547" w:hanging="274"/>
        <w:rPr>
          <w:rFonts w:asciiTheme="minorHAnsi" w:hAnsiTheme="minorHAnsi" w:cs="Arial"/>
          <w:sz w:val="16"/>
          <w:szCs w:val="16"/>
        </w:rPr>
      </w:pPr>
      <w:r w:rsidRPr="00EC212C">
        <w:rPr>
          <w:rFonts w:asciiTheme="minorHAnsi" w:hAnsiTheme="minorHAnsi" w:cs="Arial"/>
          <w:sz w:val="16"/>
          <w:szCs w:val="16"/>
        </w:rPr>
        <w:t>The assumed N−1 and N−1−1 values reflecting transmission import limits into BOSTON are 4,850 MW and 4,175 MW, respectively reflect the impacts of the retirement of Salem Harbor units #1–#4 and the North Shore Upgrade. The operating-reserve values for BOSTON would be lower with transmission upgrades or without the consideration of</w:t>
      </w:r>
      <w:r w:rsidRPr="001B6391">
        <w:rPr>
          <w:rFonts w:asciiTheme="minorHAnsi" w:hAnsiTheme="minorHAnsi" w:cs="Arial"/>
          <w:sz w:val="16"/>
          <w:szCs w:val="16"/>
        </w:rPr>
        <w:t xml:space="preserve"> </w:t>
      </w:r>
      <w:r w:rsidRPr="00EC212C">
        <w:rPr>
          <w:rFonts w:asciiTheme="minorHAnsi" w:hAnsiTheme="minorHAnsi" w:cs="Arial"/>
          <w:sz w:val="16"/>
          <w:szCs w:val="16"/>
        </w:rPr>
        <w:t>the common-mode failure of Mystic units #8 and #9, which are assumed would trip (up to 1,</w:t>
      </w:r>
      <w:r w:rsidR="00C73A3C" w:rsidRPr="00EC212C">
        <w:rPr>
          <w:rFonts w:asciiTheme="minorHAnsi" w:hAnsiTheme="minorHAnsi" w:cs="Arial"/>
          <w:sz w:val="16"/>
          <w:szCs w:val="16"/>
        </w:rPr>
        <w:t>400 </w:t>
      </w:r>
      <w:r w:rsidRPr="00EC212C">
        <w:rPr>
          <w:rFonts w:asciiTheme="minorHAnsi" w:hAnsiTheme="minorHAnsi" w:cs="Arial"/>
          <w:sz w:val="16"/>
          <w:szCs w:val="16"/>
        </w:rPr>
        <w:t>MW) because of a failure of the units’ common fuel supply. The 2017 values for NEMA/Boston also show the forward-reserve requirement, assuming that Footprint Power, 674</w:t>
      </w:r>
      <w:r w:rsidRPr="00EC212C">
        <w:rPr>
          <w:rFonts w:asciiTheme="minorHAnsi" w:hAnsiTheme="minorHAnsi"/>
          <w:sz w:val="16"/>
          <w:szCs w:val="16"/>
        </w:rPr>
        <w:t> </w:t>
      </w:r>
      <w:r w:rsidRPr="00EC212C">
        <w:rPr>
          <w:rFonts w:asciiTheme="minorHAnsi" w:hAnsiTheme="minorHAnsi" w:cs="Arial"/>
          <w:sz w:val="16"/>
          <w:szCs w:val="16"/>
        </w:rPr>
        <w:t>MW, will be in service by June 2016.</w:t>
      </w:r>
    </w:p>
    <w:p w:rsidR="008A621B" w:rsidRPr="00A577A3" w:rsidRDefault="008A621B" w:rsidP="008A621B">
      <w:pPr>
        <w:rPr>
          <w:snapToGrid w:val="0"/>
        </w:rPr>
      </w:pPr>
      <w:r w:rsidRPr="00A577A3">
        <w:t xml:space="preserve">Because the local contingency requirements in Greater SWCT are nested within CT (i.e., operating reserves meeting the Greater SWCT requirement also meet the Greater Connecticut requirement), resources </w:t>
      </w:r>
      <w:r>
        <w:t xml:space="preserve">installed </w:t>
      </w:r>
      <w:r w:rsidRPr="00A577A3">
        <w:t>in the Greater SWCT area also would satisfy the need for resources located anywhere in Greater Connecticut.</w:t>
      </w:r>
      <w:r w:rsidRPr="00A577A3">
        <w:rPr>
          <w:rStyle w:val="FootnoteReference"/>
        </w:rPr>
        <w:footnoteReference w:id="157"/>
      </w:r>
    </w:p>
    <w:p w:rsidR="008A621B" w:rsidRPr="00136C2A" w:rsidRDefault="008A621B" w:rsidP="008A621B">
      <w:pPr>
        <w:pStyle w:val="Heading4"/>
      </w:pPr>
      <w:r w:rsidRPr="00136C2A">
        <w:t>Greater Southwest Connecticut</w:t>
      </w:r>
    </w:p>
    <w:p w:rsidR="008A621B" w:rsidRDefault="00D24CD4" w:rsidP="008A621B">
      <w:r w:rsidRPr="00D24CD4">
        <w:t xml:space="preserve">As shown in </w:t>
      </w:r>
      <w:fldSimple w:instr=" REF _Ref323310818 \h  \* MERGEFORMAT ">
        <w:r w:rsidR="00284CE3" w:rsidRPr="00EC212C">
          <w:t xml:space="preserve">Table </w:t>
        </w:r>
        <w:r w:rsidR="00284CE3">
          <w:rPr>
            <w:noProof/>
          </w:rPr>
          <w:t>4</w:t>
        </w:r>
        <w:r w:rsidR="00284CE3" w:rsidRPr="00EC212C">
          <w:rPr>
            <w:noProof/>
          </w:rPr>
          <w:noBreakHyphen/>
        </w:r>
        <w:r w:rsidR="00284CE3">
          <w:rPr>
            <w:noProof/>
          </w:rPr>
          <w:t>8</w:t>
        </w:r>
      </w:fldSimple>
      <w:r w:rsidRPr="00D24CD4">
        <w:t xml:space="preserve">, Greater SWCT </w:t>
      </w:r>
      <w:proofErr w:type="gramStart"/>
      <w:r w:rsidRPr="00D24CD4">
        <w:t>is expected</w:t>
      </w:r>
      <w:proofErr w:type="gramEnd"/>
      <w:r w:rsidRPr="00D24CD4">
        <w:t xml:space="preserve"> to require </w:t>
      </w:r>
      <w:r w:rsidR="00D57DFB" w:rsidRPr="00D57DFB">
        <w:t>as much as</w:t>
      </w:r>
      <w:r w:rsidRPr="00D24CD4">
        <w:t xml:space="preserve"> 350 MW of operating reserves in the area during the study period. Consistent with ISO’s operating experience of recent years, the interface into Greater Southwest Connecticut </w:t>
      </w:r>
      <w:proofErr w:type="gramStart"/>
      <w:r w:rsidRPr="00D24CD4">
        <w:t>is expected</w:t>
      </w:r>
      <w:proofErr w:type="gramEnd"/>
      <w:r w:rsidRPr="00D24CD4">
        <w:t xml:space="preserve"> to be heavily loaded </w:t>
      </w:r>
      <w:r w:rsidR="00136C2A">
        <w:t xml:space="preserve">because </w:t>
      </w:r>
      <w:r w:rsidRPr="00D24CD4">
        <w:t xml:space="preserve">of economical transfers into </w:t>
      </w:r>
      <w:r w:rsidRPr="005A02F7">
        <w:t xml:space="preserve">the area. </w:t>
      </w:r>
      <w:proofErr w:type="gramStart"/>
      <w:r w:rsidR="00A81CED" w:rsidRPr="005A02F7">
        <w:t>As a result</w:t>
      </w:r>
      <w:proofErr w:type="gramEnd"/>
      <w:r w:rsidR="00A81CED" w:rsidRPr="005A02F7">
        <w:t xml:space="preserve"> of the heavy loading of </w:t>
      </w:r>
      <w:r w:rsidRPr="005A02F7">
        <w:t>the interface capability, more reserves must be carried locally within Greater SWCT.</w:t>
      </w:r>
      <w:r w:rsidR="008A621B">
        <w:t xml:space="preserve"> </w:t>
      </w:r>
    </w:p>
    <w:p w:rsidR="008A621B" w:rsidRPr="00F75883" w:rsidRDefault="008A621B" w:rsidP="008A621B">
      <w:pPr>
        <w:pStyle w:val="Heading4"/>
      </w:pPr>
      <w:r w:rsidRPr="00F75883">
        <w:t>Greater Connecticut</w:t>
      </w:r>
    </w:p>
    <w:p w:rsidR="008A621B" w:rsidRDefault="008A621B" w:rsidP="008A621B">
      <w:pPr>
        <w:rPr>
          <w:rFonts w:ascii="Arial Narrow" w:hAnsi="Arial Narrow"/>
          <w:sz w:val="18"/>
          <w:szCs w:val="18"/>
        </w:rPr>
      </w:pPr>
      <w:r w:rsidRPr="00EA2E47">
        <w:t>Past RSPs and market signals had identified the need for in-merit and fast-start resources in Greater Connecticut to meet reliability requirements and reduce out-of-merit market costs.</w:t>
      </w:r>
      <w:r>
        <w:rPr>
          <w:rStyle w:val="FootnoteReference"/>
          <w:sz w:val="22"/>
        </w:rPr>
        <w:footnoteReference w:id="158"/>
      </w:r>
      <w:r w:rsidRPr="00EA2E47">
        <w:t xml:space="preserve"> </w:t>
      </w:r>
      <w:proofErr w:type="gramStart"/>
      <w:r w:rsidRPr="00EA2E47">
        <w:t>As a result</w:t>
      </w:r>
      <w:proofErr w:type="gramEnd"/>
      <w:r w:rsidRPr="00EA2E47">
        <w:t xml:space="preserve"> of resource development, Greater Connecticut is </w:t>
      </w:r>
      <w:r>
        <w:t xml:space="preserve">now </w:t>
      </w:r>
      <w:r w:rsidRPr="00EA2E47">
        <w:t xml:space="preserve">projected to have adequate fast-start resources, and the economic performance of this area is expected to improve. </w:t>
      </w:r>
      <w:r w:rsidR="00D57DFB" w:rsidRPr="00D57DFB">
        <w:t>As much as</w:t>
      </w:r>
      <w:r w:rsidRPr="00EA2E47">
        <w:t xml:space="preserve"> 1,563 MW of fast-start resources were offered into the past summer auctions for Greater Co</w:t>
      </w:r>
      <w:r>
        <w:t xml:space="preserve">nnecticut. For 2014, approximately 1,120 MW of fast-start resources </w:t>
      </w:r>
      <w:proofErr w:type="gramStart"/>
      <w:r>
        <w:t>were offered</w:t>
      </w:r>
      <w:proofErr w:type="gramEnd"/>
      <w:r>
        <w:t xml:space="preserve"> into the </w:t>
      </w:r>
      <w:proofErr w:type="spellStart"/>
      <w:r>
        <w:t>locational</w:t>
      </w:r>
      <w:proofErr w:type="spellEnd"/>
      <w:r>
        <w:t xml:space="preserve"> Forward Reserve Market, which exceeds the </w:t>
      </w:r>
      <w:r w:rsidR="00136C2A">
        <w:t>900 </w:t>
      </w:r>
      <w:r w:rsidRPr="00EA2E47">
        <w:t xml:space="preserve">MW of the reserve requirement established </w:t>
      </w:r>
      <w:r>
        <w:t>by</w:t>
      </w:r>
      <w:r w:rsidRPr="00EA2E47">
        <w:t xml:space="preserve"> the FRM</w:t>
      </w:r>
      <w:r>
        <w:t xml:space="preserve"> for summer 2014</w:t>
      </w:r>
      <w:r w:rsidRPr="00EA2E47">
        <w:t xml:space="preserve">. The </w:t>
      </w:r>
      <w:r>
        <w:t xml:space="preserve">analysis assumed </w:t>
      </w:r>
      <w:r w:rsidR="00136C2A" w:rsidRPr="00FD3C75">
        <w:t xml:space="preserve">that </w:t>
      </w:r>
      <w:r w:rsidRPr="00FD3C75">
        <w:t xml:space="preserve">the NEEWS Interstate Reliability Project </w:t>
      </w:r>
      <w:r w:rsidR="00136C2A" w:rsidRPr="00FD3C75">
        <w:t xml:space="preserve">would be </w:t>
      </w:r>
      <w:r w:rsidRPr="00FD3C75">
        <w:t>in service by 2017</w:t>
      </w:r>
      <w:r w:rsidR="00FD3C75" w:rsidRPr="00FD3C75">
        <w:t xml:space="preserve"> (see Section </w:t>
      </w:r>
      <w:fldSimple w:instr=" REF _Ref388788784 \r \h  \* MERGEFORMAT ">
        <w:r w:rsidR="00284CE3">
          <w:t>5.4.2</w:t>
        </w:r>
      </w:fldSimple>
      <w:r w:rsidR="00FD3C75" w:rsidRPr="00FD3C75">
        <w:t>)</w:t>
      </w:r>
      <w:r w:rsidRPr="00FD3C75">
        <w:t>. Thi</w:t>
      </w:r>
      <w:r>
        <w:t xml:space="preserve">s project </w:t>
      </w:r>
      <w:r w:rsidRPr="00EA2E47">
        <w:t xml:space="preserve">would </w:t>
      </w:r>
      <w:r>
        <w:t xml:space="preserve">both </w:t>
      </w:r>
      <w:r w:rsidRPr="00EA2E47">
        <w:t xml:space="preserve">increase </w:t>
      </w:r>
      <w:r>
        <w:t xml:space="preserve">system </w:t>
      </w:r>
      <w:r w:rsidRPr="00EA2E47">
        <w:t>transfer capabilit</w:t>
      </w:r>
      <w:r>
        <w:t>ies</w:t>
      </w:r>
      <w:r w:rsidRPr="00EA2E47">
        <w:t xml:space="preserve"> and </w:t>
      </w:r>
      <w:r>
        <w:t xml:space="preserve">result in </w:t>
      </w:r>
      <w:r w:rsidRPr="00EA2E47">
        <w:t xml:space="preserve">the </w:t>
      </w:r>
      <w:r w:rsidR="0028427D" w:rsidRPr="0028427D">
        <w:t>Lake Road generating plant</w:t>
      </w:r>
      <w:r w:rsidRPr="00EA2E47">
        <w:t xml:space="preserve"> </w:t>
      </w:r>
      <w:r>
        <w:t>b</w:t>
      </w:r>
      <w:r w:rsidRPr="00EA2E47">
        <w:t>e</w:t>
      </w:r>
      <w:r>
        <w:t>ing</w:t>
      </w:r>
      <w:r w:rsidRPr="00EA2E47">
        <w:t xml:space="preserve"> electrically within Greater Connecticut.</w:t>
      </w:r>
      <w:r>
        <w:rPr>
          <w:rStyle w:val="FootnoteReference"/>
        </w:rPr>
        <w:footnoteReference w:id="159"/>
      </w:r>
      <w:r w:rsidRPr="00EA2E47">
        <w:t xml:space="preserve"> These changes would allow </w:t>
      </w:r>
      <w:r w:rsidRPr="004D5D85">
        <w:t>the ISO more flexibility in achieving the most economical energy production while maintaining an</w:t>
      </w:r>
      <w:r w:rsidRPr="00EA2E47">
        <w:t xml:space="preserve"> adequate amount of operating reserves for Greater Connecticut.</w:t>
      </w:r>
    </w:p>
    <w:p w:rsidR="008A621B" w:rsidRDefault="008A621B" w:rsidP="008A621B">
      <w:pPr>
        <w:pStyle w:val="Heading4"/>
      </w:pPr>
      <w:r w:rsidRPr="00146409">
        <w:t>BOSTON</w:t>
      </w:r>
    </w:p>
    <w:p w:rsidR="008A621B" w:rsidRDefault="008A621B" w:rsidP="008A621B">
      <w:r w:rsidRPr="007505C8">
        <w:t>The FRM requirements for the BOSTON subarea</w:t>
      </w:r>
      <w:r>
        <w:t xml:space="preserve"> </w:t>
      </w:r>
      <w:r w:rsidRPr="007505C8">
        <w:t xml:space="preserve">shown in </w:t>
      </w:r>
      <w:r w:rsidR="00927965">
        <w:fldChar w:fldCharType="begin"/>
      </w:r>
      <w:r>
        <w:instrText xml:space="preserve"> REF _Ref323310818 \h </w:instrText>
      </w:r>
      <w:r w:rsidR="00927965">
        <w:fldChar w:fldCharType="separate"/>
      </w:r>
      <w:r w:rsidR="00284CE3" w:rsidRPr="00EC212C">
        <w:t xml:space="preserve">Table </w:t>
      </w:r>
      <w:r w:rsidR="00284CE3">
        <w:rPr>
          <w:noProof/>
        </w:rPr>
        <w:t>4</w:t>
      </w:r>
      <w:r w:rsidR="00284CE3" w:rsidRPr="00EC212C">
        <w:noBreakHyphen/>
      </w:r>
      <w:r w:rsidR="00284CE3">
        <w:rPr>
          <w:noProof/>
        </w:rPr>
        <w:t>8</w:t>
      </w:r>
      <w:r w:rsidR="00927965">
        <w:fldChar w:fldCharType="end"/>
      </w:r>
      <w:r>
        <w:t xml:space="preserve"> </w:t>
      </w:r>
      <w:r w:rsidRPr="009A2634">
        <w:t>reflect the possible</w:t>
      </w:r>
      <w:r>
        <w:t xml:space="preserve"> </w:t>
      </w:r>
      <w:r w:rsidRPr="009A2634">
        <w:t>simultaneous contingency loss of Mystic units #8 and #9</w:t>
      </w:r>
      <w:r>
        <w:t>. T</w:t>
      </w:r>
      <w:r w:rsidRPr="008C0711">
        <w:t xml:space="preserve">he retirement of </w:t>
      </w:r>
      <w:r w:rsidRPr="00636DC4">
        <w:t>the Salem Harbor</w:t>
      </w:r>
      <w:r w:rsidRPr="008C0711">
        <w:t xml:space="preserve"> units</w:t>
      </w:r>
      <w:r>
        <w:t xml:space="preserve"> in </w:t>
      </w:r>
      <w:r w:rsidRPr="000E0A9C">
        <w:t>2014</w:t>
      </w:r>
      <w:r>
        <w:t xml:space="preserve"> reduces the </w:t>
      </w:r>
      <w:r w:rsidRPr="00402FF1">
        <w:t>ability to</w:t>
      </w:r>
      <w:r>
        <w:t xml:space="preserve"> </w:t>
      </w:r>
      <w:r w:rsidR="00136C2A">
        <w:t xml:space="preserve">serve load </w:t>
      </w:r>
      <w:r>
        <w:t xml:space="preserve">economically within the BOSTON subarea, which increases </w:t>
      </w:r>
      <w:r w:rsidRPr="000E0A9C">
        <w:t>the reserve requirements</w:t>
      </w:r>
      <w:r>
        <w:t xml:space="preserve">. </w:t>
      </w:r>
      <w:r w:rsidRPr="00300915">
        <w:t xml:space="preserve">However, both the North Shore transmission upgrades (that increases the transmission transfer capabilities into BOSTON) and the planned addition of Footprint Power (that increases local generation in the area) more than offset the effects of </w:t>
      </w:r>
      <w:r>
        <w:t xml:space="preserve">the </w:t>
      </w:r>
      <w:r w:rsidRPr="00300915">
        <w:t xml:space="preserve">reduced amount of Salem Harbor generation available to serve the BOSTON subarea loads. </w:t>
      </w:r>
      <w:r w:rsidRPr="000E0A9C">
        <w:t xml:space="preserve">(Refer to </w:t>
      </w:r>
      <w:fldSimple w:instr=" REF _Ref323310818 \h  \* MERGEFORMAT ">
        <w:r w:rsidR="00284CE3" w:rsidRPr="00EC212C">
          <w:t xml:space="preserve">Table </w:t>
        </w:r>
        <w:r w:rsidR="00284CE3">
          <w:rPr>
            <w:noProof/>
          </w:rPr>
          <w:t>4</w:t>
        </w:r>
        <w:r w:rsidR="00284CE3" w:rsidRPr="00EC212C">
          <w:rPr>
            <w:noProof/>
          </w:rPr>
          <w:noBreakHyphen/>
        </w:r>
        <w:r w:rsidR="00284CE3">
          <w:rPr>
            <w:noProof/>
          </w:rPr>
          <w:t>8</w:t>
        </w:r>
      </w:fldSimple>
      <w:r w:rsidRPr="00AE21A7">
        <w:t xml:space="preserve">, note </w:t>
      </w:r>
      <w:proofErr w:type="spellStart"/>
      <w:proofErr w:type="gramStart"/>
      <w:r w:rsidRPr="00AE21A7">
        <w:t>i</w:t>
      </w:r>
      <w:proofErr w:type="spellEnd"/>
      <w:proofErr w:type="gramEnd"/>
      <w:r w:rsidRPr="00AE21A7">
        <w:t>.)</w:t>
      </w:r>
    </w:p>
    <w:p w:rsidR="008A621B" w:rsidRPr="0095508A" w:rsidRDefault="008A621B" w:rsidP="008A621B">
      <w:r w:rsidRPr="005C5C09">
        <w:t xml:space="preserve">If the transmission lines </w:t>
      </w:r>
      <w:proofErr w:type="gramStart"/>
      <w:r w:rsidRPr="005C5C09">
        <w:t>were fully utilized</w:t>
      </w:r>
      <w:proofErr w:type="gramEnd"/>
      <w:r w:rsidRPr="005C5C09">
        <w:t xml:space="preserve"> to import lower-cost generation into BOSTON, this subarea would need to provide operating reserves to protect against the larger of </w:t>
      </w:r>
      <w:r>
        <w:t xml:space="preserve">(1) </w:t>
      </w:r>
      <w:r w:rsidRPr="005C5C09">
        <w:t xml:space="preserve">the loss of the </w:t>
      </w:r>
      <w:r w:rsidRPr="00D93D8A">
        <w:t>largest generation</w:t>
      </w:r>
      <w:r w:rsidRPr="005C5C09">
        <w:t xml:space="preserve"> source </w:t>
      </w:r>
      <w:r>
        <w:t xml:space="preserve">within the subarea and a transmission line </w:t>
      </w:r>
      <w:r w:rsidRPr="005C5C09">
        <w:t xml:space="preserve">or </w:t>
      </w:r>
      <w:r>
        <w:t xml:space="preserve">(2) </w:t>
      </w:r>
      <w:r w:rsidRPr="005C5C09">
        <w:t xml:space="preserve">the loss of </w:t>
      </w:r>
      <w:r>
        <w:t>two</w:t>
      </w:r>
      <w:r w:rsidRPr="005C5C09">
        <w:t xml:space="preserve"> transmission </w:t>
      </w:r>
      <w:r>
        <w:t>lines into the subarea.</w:t>
      </w:r>
      <w:r>
        <w:rPr>
          <w:vertAlign w:val="superscript"/>
        </w:rPr>
        <w:footnoteReference w:id="160"/>
      </w:r>
      <w:r>
        <w:rPr>
          <w:vertAlign w:val="superscript"/>
        </w:rPr>
        <w:t xml:space="preserve"> </w:t>
      </w:r>
      <w:r w:rsidR="00D57DFB" w:rsidRPr="00D57DFB">
        <w:t xml:space="preserve">As much as </w:t>
      </w:r>
      <w:r w:rsidRPr="00FD4BE1">
        <w:t>441 MW of</w:t>
      </w:r>
      <w:r>
        <w:t xml:space="preserve"> fast-start resources </w:t>
      </w:r>
      <w:proofErr w:type="gramStart"/>
      <w:r>
        <w:t>were offered</w:t>
      </w:r>
      <w:proofErr w:type="gramEnd"/>
      <w:r>
        <w:t xml:space="preserve"> into the past FRM auctions. </w:t>
      </w:r>
      <w:r w:rsidRPr="00084843">
        <w:t xml:space="preserve">The expected amount of existing fast-start resources located in BOSTON will </w:t>
      </w:r>
      <w:r w:rsidRPr="00FD4BE1">
        <w:t xml:space="preserve">likely meet the </w:t>
      </w:r>
      <w:r>
        <w:t xml:space="preserve">estimates </w:t>
      </w:r>
      <w:r w:rsidRPr="0095508A">
        <w:t>of representative local reserve requirements for BOSTON during the study timeframe.</w:t>
      </w:r>
    </w:p>
    <w:p w:rsidR="008A621B" w:rsidRPr="00136C2A" w:rsidRDefault="008A621B" w:rsidP="008A621B">
      <w:pPr>
        <w:pStyle w:val="Heading4"/>
      </w:pPr>
      <w:r w:rsidRPr="00136C2A">
        <w:t>Summary of Forward Reserve Market Requirements in Major Load Pockets</w:t>
      </w:r>
    </w:p>
    <w:p w:rsidR="008A621B" w:rsidRPr="00084843" w:rsidRDefault="008A621B" w:rsidP="008A621B">
      <w:r>
        <w:t xml:space="preserve">New England must meet its overall operating-reserve requirements and have sufficient reserves in load pockets to meet reliability requirements. The need for operating reserves has grown for Greater SWCT, but existing resources will be sufficient to meet this need. </w:t>
      </w:r>
      <w:r w:rsidRPr="0095508A">
        <w:t xml:space="preserve">The recent additions of fast-start resources in </w:t>
      </w:r>
      <w:r w:rsidRPr="00327F7D">
        <w:t xml:space="preserve">Greater Connecticut provide needed operating flexibility as well as operating reserves. </w:t>
      </w:r>
      <w:r w:rsidR="00113C54" w:rsidRPr="00327F7D">
        <w:t xml:space="preserve">Planned </w:t>
      </w:r>
      <w:proofErr w:type="spellStart"/>
      <w:r w:rsidR="00113C54" w:rsidRPr="00327F7D">
        <w:t>baseload</w:t>
      </w:r>
      <w:proofErr w:type="spellEnd"/>
      <w:r w:rsidR="00113C54" w:rsidRPr="00327F7D">
        <w:t xml:space="preserve"> resources (i.e., those assumed to run for long continuous hours at a constant output with little flexibility) </w:t>
      </w:r>
      <w:r w:rsidRPr="00327F7D">
        <w:t>also would decrease the amounts of reserves required within the subarea of</w:t>
      </w:r>
      <w:r>
        <w:t xml:space="preserve"> BOSTON</w:t>
      </w:r>
      <w:r w:rsidRPr="0095508A">
        <w:t xml:space="preserve">. Existing fast-start resources </w:t>
      </w:r>
      <w:r>
        <w:t xml:space="preserve">will likely </w:t>
      </w:r>
      <w:r w:rsidRPr="0095508A">
        <w:t xml:space="preserve">be </w:t>
      </w:r>
      <w:r>
        <w:t>adequate</w:t>
      </w:r>
      <w:r w:rsidRPr="0095508A">
        <w:t xml:space="preserve"> to meet the </w:t>
      </w:r>
      <w:proofErr w:type="spellStart"/>
      <w:r w:rsidRPr="0095508A">
        <w:t>locational</w:t>
      </w:r>
      <w:proofErr w:type="spellEnd"/>
      <w:r w:rsidRPr="0095508A">
        <w:t xml:space="preserve"> reserve requirements for </w:t>
      </w:r>
      <w:r>
        <w:t>these import areas</w:t>
      </w:r>
      <w:r w:rsidRPr="0095508A">
        <w:t xml:space="preserve">. Any reduction in traditional </w:t>
      </w:r>
      <w:proofErr w:type="spellStart"/>
      <w:r w:rsidRPr="002C1395">
        <w:t>baseload</w:t>
      </w:r>
      <w:proofErr w:type="spellEnd"/>
      <w:r w:rsidRPr="0095508A">
        <w:t xml:space="preserve"> resources in either area would </w:t>
      </w:r>
      <w:r w:rsidRPr="00BC10D3">
        <w:t xml:space="preserve">increase the </w:t>
      </w:r>
      <w:proofErr w:type="spellStart"/>
      <w:r w:rsidRPr="00BC10D3">
        <w:t>locational</w:t>
      </w:r>
      <w:proofErr w:type="spellEnd"/>
      <w:r w:rsidRPr="00BC10D3">
        <w:t xml:space="preserve"> FRM requirement.</w:t>
      </w:r>
    </w:p>
    <w:p w:rsidR="008A621B" w:rsidRDefault="008A621B" w:rsidP="008A621B">
      <w:r w:rsidRPr="00BC10D3">
        <w:t xml:space="preserve">The potential retirement of </w:t>
      </w:r>
      <w:r>
        <w:t xml:space="preserve">generating units </w:t>
      </w:r>
      <w:r w:rsidRPr="00BC10D3">
        <w:t xml:space="preserve">could affect the </w:t>
      </w:r>
      <w:r>
        <w:t xml:space="preserve">need for </w:t>
      </w:r>
      <w:proofErr w:type="spellStart"/>
      <w:r>
        <w:t>locational</w:t>
      </w:r>
      <w:proofErr w:type="spellEnd"/>
      <w:r>
        <w:t xml:space="preserve"> operating reserves and the </w:t>
      </w:r>
      <w:r w:rsidRPr="00BC10D3">
        <w:t xml:space="preserve">definition of the </w:t>
      </w:r>
      <w:r>
        <w:t xml:space="preserve">zones for </w:t>
      </w:r>
      <w:r w:rsidRPr="00BC10D3">
        <w:t>operating</w:t>
      </w:r>
      <w:r>
        <w:t>-</w:t>
      </w:r>
      <w:r w:rsidRPr="00BC10D3">
        <w:t xml:space="preserve">reserve </w:t>
      </w:r>
      <w:r w:rsidRPr="00084843">
        <w:t>requirement</w:t>
      </w:r>
      <w:r>
        <w:t>s</w:t>
      </w:r>
      <w:r w:rsidRPr="00084843">
        <w:t>.</w:t>
      </w:r>
      <w:r>
        <w:t xml:space="preserve"> </w:t>
      </w:r>
    </w:p>
    <w:p w:rsidR="00E63D3A" w:rsidRDefault="008A621B">
      <w:pPr>
        <w:pStyle w:val="Heading2"/>
      </w:pPr>
      <w:bookmarkStart w:id="455" w:name="_Toc365440999"/>
      <w:bookmarkStart w:id="456" w:name="_Ref366586003"/>
      <w:bookmarkStart w:id="457" w:name="_Toc396807629"/>
      <w:bookmarkStart w:id="458" w:name="_Ref356557755"/>
      <w:r>
        <w:t xml:space="preserve">Analyzing </w:t>
      </w:r>
      <w:r w:rsidRPr="007D2FBA">
        <w:t>Operable Capacity</w:t>
      </w:r>
      <w:bookmarkEnd w:id="455"/>
      <w:bookmarkEnd w:id="456"/>
      <w:bookmarkEnd w:id="457"/>
      <w:r>
        <w:t xml:space="preserve"> </w:t>
      </w:r>
      <w:bookmarkEnd w:id="458"/>
    </w:p>
    <w:p w:rsidR="008A621B" w:rsidRPr="003F243A" w:rsidRDefault="008A621B" w:rsidP="008A621B">
      <w:r>
        <w:t>T</w:t>
      </w:r>
      <w:r w:rsidRPr="003F243A">
        <w:t xml:space="preserve">he ISO analyzes the </w:t>
      </w:r>
      <w:proofErr w:type="spellStart"/>
      <w:r w:rsidRPr="003F243A">
        <w:t>systemwide</w:t>
      </w:r>
      <w:proofErr w:type="spellEnd"/>
      <w:r w:rsidRPr="003F243A">
        <w:t xml:space="preserve"> operable capacity to estimate the net </w:t>
      </w:r>
      <w:r w:rsidRPr="000A773D">
        <w:t>capacity that will be available under two scenarios (i.e</w:t>
      </w:r>
      <w:r>
        <w:t>.</w:t>
      </w:r>
      <w:r w:rsidRPr="000A773D">
        <w:t xml:space="preserve">, using the 50/50 and 90/10 </w:t>
      </w:r>
      <w:r>
        <w:t xml:space="preserve">forecasts of </w:t>
      </w:r>
      <w:r w:rsidRPr="000A773D">
        <w:t>peak</w:t>
      </w:r>
      <w:r>
        <w:t xml:space="preserve"> load</w:t>
      </w:r>
      <w:r w:rsidRPr="000A773D">
        <w:t xml:space="preserve">). The analysis identifies </w:t>
      </w:r>
      <w:r w:rsidRPr="000A773D">
        <w:rPr>
          <w:i/>
        </w:rPr>
        <w:t>operable capacity margins</w:t>
      </w:r>
      <w:r>
        <w:t>,</w:t>
      </w:r>
      <w:r>
        <w:rPr>
          <w:i/>
        </w:rPr>
        <w:t xml:space="preserve"> </w:t>
      </w:r>
      <w:r>
        <w:t>assuming peak-load conditions and that New England will only have an amount of capacity equal to the net ICR to meet the assumed peak demand plus operating-reserve requirements</w:t>
      </w:r>
      <w:r w:rsidRPr="003F243A">
        <w:t xml:space="preserve">. A negative margin for a specific scenario indicates the extent </w:t>
      </w:r>
      <w:r>
        <w:t xml:space="preserve">that </w:t>
      </w:r>
      <w:r w:rsidRPr="003F243A">
        <w:t xml:space="preserve">possible </w:t>
      </w:r>
      <w:r w:rsidRPr="00BB3BE8">
        <w:t xml:space="preserve">mitigation actions would be required through predefined protocols, as prescribed in </w:t>
      </w:r>
      <w:r>
        <w:t xml:space="preserve">the </w:t>
      </w:r>
      <w:r w:rsidRPr="00BB3BE8">
        <w:t>ISO</w:t>
      </w:r>
      <w:r>
        <w:t xml:space="preserve">’s </w:t>
      </w:r>
      <w:r w:rsidRPr="00BB3BE8">
        <w:t xml:space="preserve">Operating Procedure No. 4, </w:t>
      </w:r>
      <w:r w:rsidRPr="00BB3BE8">
        <w:rPr>
          <w:i/>
        </w:rPr>
        <w:t>Action during a Capacity Deficiency</w:t>
      </w:r>
      <w:r w:rsidRPr="00BB3BE8">
        <w:t>,</w:t>
      </w:r>
      <w:r w:rsidRPr="00BB3BE8">
        <w:rPr>
          <w:i/>
        </w:rPr>
        <w:t xml:space="preserve"> </w:t>
      </w:r>
      <w:r w:rsidRPr="00BB3BE8">
        <w:t>or Operating Procedure No. 7 (OP</w:t>
      </w:r>
      <w:r>
        <w:t> </w:t>
      </w:r>
      <w:r w:rsidRPr="00BB3BE8">
        <w:t xml:space="preserve">7), </w:t>
      </w:r>
      <w:r w:rsidRPr="00BB3BE8">
        <w:rPr>
          <w:i/>
        </w:rPr>
        <w:t>Action in an Emergency</w:t>
      </w:r>
      <w:r w:rsidRPr="00BB3BE8">
        <w:t>.</w:t>
      </w:r>
      <w:r w:rsidRPr="00BB3BE8">
        <w:rPr>
          <w:rStyle w:val="FootnoteReference"/>
        </w:rPr>
        <w:footnoteReference w:id="161"/>
      </w:r>
    </w:p>
    <w:p w:rsidR="008A621B" w:rsidRDefault="00927965" w:rsidP="008A621B">
      <w:fldSimple w:instr=" REF _Ref356647866 \h  \* MERGEFORMAT ">
        <w:r w:rsidR="00284CE3" w:rsidRPr="005E7481">
          <w:t xml:space="preserve">Figure </w:t>
        </w:r>
        <w:r w:rsidR="00284CE3">
          <w:rPr>
            <w:noProof/>
          </w:rPr>
          <w:t>4</w:t>
        </w:r>
        <w:r w:rsidR="00284CE3">
          <w:rPr>
            <w:noProof/>
          </w:rPr>
          <w:noBreakHyphen/>
          <w:t>1</w:t>
        </w:r>
      </w:fldSimple>
      <w:r w:rsidR="008A621B" w:rsidRPr="00163A7C">
        <w:t>,</w:t>
      </w:r>
      <w:r w:rsidR="008A621B">
        <w:t xml:space="preserve"> </w:t>
      </w:r>
      <w:fldSimple w:instr=" REF _Ref356573937 \h  \* MERGEFORMAT ">
        <w:r w:rsidR="00284CE3" w:rsidRPr="00077475">
          <w:t xml:space="preserve">Table </w:t>
        </w:r>
        <w:r w:rsidR="00284CE3">
          <w:rPr>
            <w:noProof/>
          </w:rPr>
          <w:t>4</w:t>
        </w:r>
        <w:r w:rsidR="00284CE3">
          <w:rPr>
            <w:noProof/>
          </w:rPr>
          <w:noBreakHyphen/>
          <w:t>9</w:t>
        </w:r>
      </w:fldSimple>
      <w:r w:rsidR="008A621B" w:rsidRPr="00163A7C">
        <w:t xml:space="preserve">, and </w:t>
      </w:r>
      <w:fldSimple w:instr=" REF _Ref356573944 \h  \* MERGEFORMAT ">
        <w:r w:rsidR="00284CE3" w:rsidRPr="00C50A9E">
          <w:t xml:space="preserve">Table </w:t>
        </w:r>
        <w:r w:rsidR="00284CE3">
          <w:rPr>
            <w:noProof/>
          </w:rPr>
          <w:t>4</w:t>
        </w:r>
        <w:r w:rsidR="00284CE3">
          <w:rPr>
            <w:noProof/>
          </w:rPr>
          <w:noBreakHyphen/>
          <w:t>10</w:t>
        </w:r>
      </w:fldSimple>
      <w:r w:rsidR="008A621B">
        <w:t xml:space="preserve"> show the results of the </w:t>
      </w:r>
      <w:r w:rsidR="008A621B" w:rsidRPr="003F243A">
        <w:t>ISO</w:t>
      </w:r>
      <w:r w:rsidR="008A621B">
        <w:t>’s</w:t>
      </w:r>
      <w:r w:rsidR="008A621B" w:rsidRPr="003F243A">
        <w:t xml:space="preserve"> </w:t>
      </w:r>
      <w:proofErr w:type="spellStart"/>
      <w:r w:rsidR="008A621B" w:rsidRPr="003F243A">
        <w:t>systemwide</w:t>
      </w:r>
      <w:proofErr w:type="spellEnd"/>
      <w:r w:rsidR="008A621B" w:rsidRPr="003F243A">
        <w:t xml:space="preserve"> operable capacity analysis for 201</w:t>
      </w:r>
      <w:r w:rsidR="008A621B">
        <w:t>4</w:t>
      </w:r>
      <w:r w:rsidR="008A621B" w:rsidRPr="003F243A">
        <w:t xml:space="preserve"> to 202</w:t>
      </w:r>
      <w:r w:rsidR="008A621B">
        <w:t xml:space="preserve">3. The analysis </w:t>
      </w:r>
      <w:r w:rsidR="008A621B" w:rsidRPr="003F243A">
        <w:t xml:space="preserve">does not </w:t>
      </w:r>
      <w:r w:rsidR="008A621B" w:rsidRPr="00163A7C">
        <w:t xml:space="preserve">take into account operable capacity needs for RSP </w:t>
      </w:r>
      <w:r w:rsidR="008A621B" w:rsidRPr="008769B7">
        <w:t xml:space="preserve">subareas. </w:t>
      </w:r>
      <w:r w:rsidR="008A621B" w:rsidRPr="00163A7C">
        <w:t xml:space="preserve">The results show that if the loads associated with the 50/50 forecast occurred, the ISO would expect New England to experience a negative operable capacity margin </w:t>
      </w:r>
      <w:r w:rsidR="008A621B">
        <w:t xml:space="preserve">ranging from 50 MW to 230 MW six out of the 10 </w:t>
      </w:r>
      <w:r w:rsidR="008A621B" w:rsidRPr="00163A7C">
        <w:t>year</w:t>
      </w:r>
      <w:r w:rsidR="008A621B">
        <w:t>s</w:t>
      </w:r>
      <w:r w:rsidR="008A621B" w:rsidRPr="00163A7C">
        <w:t xml:space="preserve"> of the study period. The ISO system operators will have to rely on load and capacity relief from OP 4 actions to mitigate the possible capacity </w:t>
      </w:r>
      <w:r w:rsidR="008A621B" w:rsidRPr="008769B7">
        <w:t>shortages.</w:t>
      </w:r>
      <w:r w:rsidR="008A621B" w:rsidRPr="00F1378E">
        <w:rPr>
          <w:rStyle w:val="FootnoteReference"/>
        </w:rPr>
        <w:footnoteReference w:id="162"/>
      </w:r>
    </w:p>
    <w:p w:rsidR="008A621B" w:rsidRDefault="008A621B" w:rsidP="008A621B">
      <w:pPr>
        <w:spacing w:after="0" w:line="240" w:lineRule="auto"/>
        <w:jc w:val="center"/>
      </w:pPr>
      <w:r>
        <w:rPr>
          <w:noProof/>
        </w:rPr>
        <w:drawing>
          <wp:inline distT="0" distB="0" distL="0" distR="0">
            <wp:extent cx="4797287" cy="2847670"/>
            <wp:effectExtent l="19050" t="0" r="3313"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799374" cy="2848909"/>
                    </a:xfrm>
                    <a:prstGeom prst="rect">
                      <a:avLst/>
                    </a:prstGeom>
                    <a:noFill/>
                    <a:ln w="9525">
                      <a:noFill/>
                      <a:miter lim="800000"/>
                      <a:headEnd/>
                      <a:tailEnd/>
                    </a:ln>
                  </pic:spPr>
                </pic:pic>
              </a:graphicData>
            </a:graphic>
          </wp:inline>
        </w:drawing>
      </w:r>
    </w:p>
    <w:p w:rsidR="008A621B" w:rsidRPr="002E209F" w:rsidRDefault="008A621B" w:rsidP="0088504B">
      <w:pPr>
        <w:pStyle w:val="Caption"/>
        <w:spacing w:before="120" w:after="80"/>
        <w:ind w:left="806" w:right="720"/>
        <w:jc w:val="left"/>
      </w:pPr>
      <w:bookmarkStart w:id="459" w:name="_Ref356647866"/>
      <w:bookmarkStart w:id="460" w:name="_Toc365440680"/>
      <w:bookmarkStart w:id="461" w:name="_Toc391985569"/>
      <w:r w:rsidRPr="005E7481">
        <w:t xml:space="preserve">Figure </w:t>
      </w:r>
      <w:r w:rsidR="00927965">
        <w:fldChar w:fldCharType="begin"/>
      </w:r>
      <w:r w:rsidR="0011163E">
        <w:instrText xml:space="preserve"> STYLEREF 1 \s </w:instrText>
      </w:r>
      <w:r w:rsidR="00927965">
        <w:fldChar w:fldCharType="separate"/>
      </w:r>
      <w:r w:rsidR="00284CE3">
        <w:rPr>
          <w:noProof/>
        </w:rPr>
        <w:t>4</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1</w:t>
      </w:r>
      <w:r w:rsidR="00927965">
        <w:fldChar w:fldCharType="end"/>
      </w:r>
      <w:bookmarkEnd w:id="459"/>
      <w:r w:rsidRPr="005E7481">
        <w:t>: Projected summer operable capacity analysis, 201</w:t>
      </w:r>
      <w:r>
        <w:t>4</w:t>
      </w:r>
      <w:r w:rsidRPr="005E7481">
        <w:t xml:space="preserve"> to 202</w:t>
      </w:r>
      <w:r>
        <w:t>3</w:t>
      </w:r>
      <w:r w:rsidRPr="005E7481">
        <w:t>.</w:t>
      </w:r>
      <w:bookmarkEnd w:id="460"/>
      <w:bookmarkEnd w:id="461"/>
    </w:p>
    <w:p w:rsidR="008A621B" w:rsidRPr="00321FB9" w:rsidRDefault="008A621B" w:rsidP="008A621B">
      <w:pPr>
        <w:tabs>
          <w:tab w:val="left" w:pos="180"/>
        </w:tabs>
        <w:spacing w:line="240" w:lineRule="auto"/>
        <w:ind w:left="810" w:right="720"/>
        <w:rPr>
          <w:rFonts w:ascii="Calibri" w:hAnsi="Calibri" w:cs="Arial"/>
          <w:sz w:val="16"/>
          <w:szCs w:val="16"/>
        </w:rPr>
      </w:pPr>
      <w:r w:rsidRPr="00321FB9">
        <w:rPr>
          <w:rFonts w:ascii="Calibri" w:hAnsi="Calibri" w:cs="Arial"/>
          <w:b/>
          <w:sz w:val="16"/>
          <w:szCs w:val="16"/>
        </w:rPr>
        <w:t>Note:</w:t>
      </w:r>
      <w:r w:rsidRPr="00321FB9">
        <w:rPr>
          <w:rFonts w:ascii="Calibri" w:hAnsi="Calibri" w:cs="Arial"/>
          <w:sz w:val="16"/>
          <w:szCs w:val="16"/>
        </w:rPr>
        <w:t xml:space="preserve"> Each year indicates the starting year for the respective capacity commitment period. Total net capacity values for 2014/2015 to 2017/2018 </w:t>
      </w:r>
      <w:proofErr w:type="gramStart"/>
      <w:r w:rsidRPr="00321FB9">
        <w:rPr>
          <w:rFonts w:ascii="Calibri" w:hAnsi="Calibri" w:cs="Arial"/>
          <w:sz w:val="16"/>
          <w:szCs w:val="16"/>
        </w:rPr>
        <w:t>are based</w:t>
      </w:r>
      <w:proofErr w:type="gramEnd"/>
      <w:r w:rsidRPr="00321FB9">
        <w:rPr>
          <w:rFonts w:ascii="Calibri" w:hAnsi="Calibri" w:cs="Arial"/>
          <w:sz w:val="16"/>
          <w:szCs w:val="16"/>
        </w:rPr>
        <w:t xml:space="preserve"> on the net ICR filed with FERC. The net capacity for 2019/2020 to 2023/2024 </w:t>
      </w:r>
      <w:proofErr w:type="gramStart"/>
      <w:r w:rsidRPr="00321FB9">
        <w:rPr>
          <w:rFonts w:ascii="Calibri" w:hAnsi="Calibri" w:cs="Arial"/>
          <w:sz w:val="16"/>
          <w:szCs w:val="16"/>
        </w:rPr>
        <w:t>is based</w:t>
      </w:r>
      <w:proofErr w:type="gramEnd"/>
      <w:r w:rsidRPr="00321FB9">
        <w:rPr>
          <w:rFonts w:ascii="Calibri" w:hAnsi="Calibri" w:cs="Arial"/>
          <w:sz w:val="16"/>
          <w:szCs w:val="16"/>
        </w:rPr>
        <w:t xml:space="preserve"> on representative net ICR values. The net capacity for 2018/2019 is under development and will be determined after the net ICR for 2018/2019 </w:t>
      </w:r>
      <w:proofErr w:type="gramStart"/>
      <w:r w:rsidRPr="00321FB9">
        <w:rPr>
          <w:rFonts w:ascii="Calibri" w:hAnsi="Calibri" w:cs="Arial"/>
          <w:sz w:val="16"/>
          <w:szCs w:val="16"/>
        </w:rPr>
        <w:t xml:space="preserve">is </w:t>
      </w:r>
      <w:proofErr w:type="spellStart"/>
      <w:r w:rsidRPr="00321FB9">
        <w:rPr>
          <w:rFonts w:ascii="Calibri" w:hAnsi="Calibri" w:cs="Arial"/>
          <w:sz w:val="16"/>
          <w:szCs w:val="16"/>
        </w:rPr>
        <w:t>filed</w:t>
      </w:r>
      <w:proofErr w:type="spellEnd"/>
      <w:proofErr w:type="gramEnd"/>
      <w:r w:rsidRPr="00321FB9">
        <w:rPr>
          <w:rFonts w:ascii="Calibri" w:hAnsi="Calibri" w:cs="Arial"/>
          <w:sz w:val="16"/>
          <w:szCs w:val="16"/>
        </w:rPr>
        <w:t xml:space="preserve"> with FERC in November 2014.</w:t>
      </w:r>
    </w:p>
    <w:p w:rsidR="008A621B" w:rsidRDefault="008A621B" w:rsidP="008A621B">
      <w:pPr>
        <w:pStyle w:val="Caption"/>
      </w:pPr>
      <w:bookmarkStart w:id="462" w:name="_Ref356573937"/>
      <w:bookmarkStart w:id="463" w:name="_Toc365440710"/>
      <w:bookmarkStart w:id="464" w:name="_Toc391985611"/>
      <w:r w:rsidRPr="00077475">
        <w:t xml:space="preserve">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9</w:t>
      </w:r>
      <w:r w:rsidR="00927965">
        <w:fldChar w:fldCharType="end"/>
      </w:r>
      <w:bookmarkEnd w:id="462"/>
      <w:r w:rsidRPr="00077475">
        <w:br/>
        <w:t>Projected New England Operable Capacity Analysis for Summer, 201</w:t>
      </w:r>
      <w:r>
        <w:t>4</w:t>
      </w:r>
      <w:r w:rsidRPr="00077475">
        <w:t xml:space="preserve"> </w:t>
      </w:r>
      <w:r w:rsidRPr="00077475">
        <w:rPr>
          <w:rFonts w:cs="Arial"/>
        </w:rPr>
        <w:t xml:space="preserve">to </w:t>
      </w:r>
      <w:r w:rsidRPr="00077475">
        <w:t>20</w:t>
      </w:r>
      <w:r>
        <w:t>23</w:t>
      </w:r>
      <w:proofErr w:type="gramStart"/>
      <w:r w:rsidRPr="00077475">
        <w:t>,</w:t>
      </w:r>
      <w:proofErr w:type="gramEnd"/>
      <w:r w:rsidRPr="00077475">
        <w:br/>
        <w:t>Assuming 50/50 Loads (MW</w:t>
      </w:r>
      <w:r w:rsidRPr="00861ACD">
        <w:t>)</w:t>
      </w:r>
      <w:bookmarkEnd w:id="463"/>
      <w:bookmarkEnd w:id="464"/>
    </w:p>
    <w:tbl>
      <w:tblPr>
        <w:tblW w:w="9659" w:type="dxa"/>
        <w:jc w:val="center"/>
        <w:tblInd w:w="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tblPr>
      <w:tblGrid>
        <w:gridCol w:w="2270"/>
        <w:gridCol w:w="819"/>
        <w:gridCol w:w="720"/>
        <w:gridCol w:w="720"/>
        <w:gridCol w:w="720"/>
        <w:gridCol w:w="720"/>
        <w:gridCol w:w="720"/>
        <w:gridCol w:w="720"/>
        <w:gridCol w:w="720"/>
        <w:gridCol w:w="720"/>
        <w:gridCol w:w="810"/>
      </w:tblGrid>
      <w:tr w:rsidR="008A621B" w:rsidRPr="00353BE2" w:rsidTr="00D51531">
        <w:trPr>
          <w:trHeight w:val="480"/>
          <w:jc w:val="center"/>
        </w:trPr>
        <w:tc>
          <w:tcPr>
            <w:tcW w:w="2270" w:type="dxa"/>
            <w:shd w:val="clear" w:color="auto" w:fill="85AFF2" w:themeFill="text2" w:themeFillTint="66"/>
            <w:tcMar>
              <w:left w:w="115" w:type="dxa"/>
            </w:tcMar>
            <w:vAlign w:val="center"/>
            <w:hideMark/>
          </w:tcPr>
          <w:p w:rsidR="008A621B" w:rsidRPr="00353BE2" w:rsidRDefault="008A621B" w:rsidP="00D51531">
            <w:pPr>
              <w:spacing w:after="0" w:line="240" w:lineRule="auto"/>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Capacity Situation</w:t>
            </w:r>
            <w:r w:rsidR="00D51531">
              <w:rPr>
                <w:rFonts w:asciiTheme="minorHAnsi" w:hAnsiTheme="minorHAnsi"/>
                <w:b/>
                <w:bCs/>
                <w:color w:val="FFFFFF" w:themeColor="background1"/>
                <w:sz w:val="18"/>
                <w:szCs w:val="18"/>
              </w:rPr>
              <w:br/>
            </w:r>
            <w:r w:rsidRPr="00353BE2">
              <w:rPr>
                <w:rFonts w:asciiTheme="minorHAnsi" w:hAnsiTheme="minorHAnsi"/>
                <w:b/>
                <w:bCs/>
                <w:color w:val="FFFFFF" w:themeColor="background1"/>
                <w:sz w:val="18"/>
                <w:szCs w:val="18"/>
              </w:rPr>
              <w:t>(Summer MW)</w:t>
            </w:r>
          </w:p>
        </w:tc>
        <w:tc>
          <w:tcPr>
            <w:tcW w:w="819"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2014</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2015</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2016</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2017</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2018</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2019</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2020</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2021</w:t>
            </w:r>
          </w:p>
        </w:tc>
        <w:tc>
          <w:tcPr>
            <w:tcW w:w="72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2022</w:t>
            </w:r>
          </w:p>
        </w:tc>
        <w:tc>
          <w:tcPr>
            <w:tcW w:w="810" w:type="dxa"/>
            <w:shd w:val="clear" w:color="auto" w:fill="85AFF2" w:themeFill="text2" w:themeFillTint="66"/>
            <w:noWrap/>
            <w:vAlign w:val="center"/>
            <w:hideMark/>
          </w:tcPr>
          <w:p w:rsidR="008A621B" w:rsidRPr="00353BE2" w:rsidRDefault="008A621B" w:rsidP="008A621B">
            <w:pPr>
              <w:spacing w:after="0" w:line="240" w:lineRule="auto"/>
              <w:jc w:val="center"/>
              <w:rPr>
                <w:rFonts w:asciiTheme="minorHAnsi" w:eastAsia="Times New Roman" w:hAnsiTheme="minorHAnsi" w:cstheme="minorHAnsi"/>
                <w:b/>
                <w:bCs/>
                <w:color w:val="FFFFFF" w:themeColor="background1"/>
                <w:sz w:val="18"/>
                <w:szCs w:val="18"/>
              </w:rPr>
            </w:pPr>
            <w:r w:rsidRPr="00353BE2">
              <w:rPr>
                <w:rFonts w:asciiTheme="minorHAnsi" w:hAnsiTheme="minorHAnsi"/>
                <w:b/>
                <w:bCs/>
                <w:color w:val="FFFFFF" w:themeColor="background1"/>
                <w:sz w:val="18"/>
                <w:szCs w:val="18"/>
              </w:rPr>
              <w:t>2023</w:t>
            </w:r>
          </w:p>
        </w:tc>
      </w:tr>
      <w:tr w:rsidR="008A621B" w:rsidRPr="00353BE2" w:rsidTr="00D51531">
        <w:trPr>
          <w:trHeight w:val="255"/>
          <w:jc w:val="center"/>
        </w:trPr>
        <w:tc>
          <w:tcPr>
            <w:tcW w:w="2270" w:type="dxa"/>
            <w:shd w:val="clear" w:color="auto" w:fill="auto"/>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sz w:val="18"/>
                <w:szCs w:val="18"/>
              </w:rPr>
              <w:t>Load (50/50 forecast)</w:t>
            </w:r>
          </w:p>
        </w:tc>
        <w:tc>
          <w:tcPr>
            <w:tcW w:w="819"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28,165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28,615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29,130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29,610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30,005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30,335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30,675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30,990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31,315</w:t>
            </w:r>
          </w:p>
        </w:tc>
        <w:tc>
          <w:tcPr>
            <w:tcW w:w="81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31,620</w:t>
            </w:r>
          </w:p>
        </w:tc>
      </w:tr>
      <w:tr w:rsidR="008A621B" w:rsidRPr="00353BE2" w:rsidTr="00D51531">
        <w:trPr>
          <w:trHeight w:val="255"/>
          <w:jc w:val="center"/>
        </w:trPr>
        <w:tc>
          <w:tcPr>
            <w:tcW w:w="2270" w:type="dxa"/>
            <w:shd w:val="clear" w:color="auto" w:fill="auto"/>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sz w:val="18"/>
                <w:szCs w:val="18"/>
              </w:rPr>
              <w:t>Operating reserves</w:t>
            </w:r>
            <w:r w:rsidRPr="00353BE2">
              <w:rPr>
                <w:rFonts w:asciiTheme="minorHAnsi" w:hAnsiTheme="minorHAnsi"/>
                <w:b/>
                <w:sz w:val="18"/>
                <w:szCs w:val="18"/>
                <w:vertAlign w:val="superscript"/>
              </w:rPr>
              <w:t>(a)</w:t>
            </w:r>
          </w:p>
        </w:tc>
        <w:tc>
          <w:tcPr>
            <w:tcW w:w="819"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c>
          <w:tcPr>
            <w:tcW w:w="81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2,375</w:t>
            </w:r>
          </w:p>
        </w:tc>
      </w:tr>
      <w:tr w:rsidR="008A621B" w:rsidRPr="00353BE2" w:rsidTr="00D51531">
        <w:trPr>
          <w:trHeight w:val="270"/>
          <w:jc w:val="center"/>
        </w:trPr>
        <w:tc>
          <w:tcPr>
            <w:tcW w:w="2270" w:type="dxa"/>
            <w:shd w:val="clear" w:color="auto" w:fill="auto"/>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bCs/>
                <w:sz w:val="18"/>
                <w:szCs w:val="18"/>
              </w:rPr>
              <w:t>Total requirement</w:t>
            </w:r>
          </w:p>
        </w:tc>
        <w:tc>
          <w:tcPr>
            <w:tcW w:w="819"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30,540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30,990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31,505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31,985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32,380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32,710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33,050</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33,365</w:t>
            </w:r>
          </w:p>
        </w:tc>
        <w:tc>
          <w:tcPr>
            <w:tcW w:w="72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33,690</w:t>
            </w:r>
          </w:p>
        </w:tc>
        <w:tc>
          <w:tcPr>
            <w:tcW w:w="810" w:type="dxa"/>
            <w:shd w:val="clear" w:color="auto" w:fill="auto"/>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33,995</w:t>
            </w:r>
          </w:p>
        </w:tc>
      </w:tr>
      <w:tr w:rsidR="008A621B" w:rsidRPr="00353BE2" w:rsidTr="00D51531">
        <w:trPr>
          <w:trHeight w:val="20"/>
          <w:jc w:val="center"/>
        </w:trPr>
        <w:tc>
          <w:tcPr>
            <w:tcW w:w="2270" w:type="dxa"/>
            <w:shd w:val="clear" w:color="auto" w:fill="C2D7F8" w:themeFill="text2" w:themeFillTint="33"/>
            <w:noWrap/>
            <w:tcMar>
              <w:left w:w="115" w:type="dxa"/>
            </w:tcMar>
            <w:vAlign w:val="center"/>
            <w:hideMark/>
          </w:tcPr>
          <w:p w:rsidR="008A621B" w:rsidRPr="00353BE2" w:rsidRDefault="008A621B" w:rsidP="00D51531">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sz w:val="18"/>
                <w:szCs w:val="18"/>
              </w:rPr>
              <w:t>Installed capacity</w:t>
            </w:r>
            <w:r w:rsidR="00D51531">
              <w:rPr>
                <w:rFonts w:asciiTheme="minorHAnsi" w:hAnsiTheme="minorHAnsi"/>
                <w:b/>
                <w:sz w:val="18"/>
                <w:szCs w:val="18"/>
              </w:rPr>
              <w:br/>
            </w:r>
            <w:r w:rsidRPr="00353BE2">
              <w:rPr>
                <w:rFonts w:asciiTheme="minorHAnsi" w:hAnsiTheme="minorHAnsi"/>
                <w:b/>
                <w:sz w:val="18"/>
                <w:szCs w:val="18"/>
              </w:rPr>
              <w:t>(net ICR)</w:t>
            </w:r>
            <w:r w:rsidRPr="00353BE2">
              <w:rPr>
                <w:rFonts w:asciiTheme="minorHAnsi" w:hAnsiTheme="minorHAnsi"/>
                <w:b/>
                <w:sz w:val="18"/>
                <w:szCs w:val="18"/>
                <w:vertAlign w:val="superscript"/>
              </w:rPr>
              <w:t>(b)</w:t>
            </w:r>
          </w:p>
        </w:tc>
        <w:tc>
          <w:tcPr>
            <w:tcW w:w="819"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32,588</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33,114</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33,529</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33,855</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highlight w:val="green"/>
              </w:rPr>
            </w:pPr>
            <w:r w:rsidRPr="00353BE2">
              <w:rPr>
                <w:rFonts w:asciiTheme="minorHAnsi" w:hAnsiTheme="minorHAnsi"/>
                <w:sz w:val="18"/>
                <w:szCs w:val="18"/>
              </w:rPr>
              <w:t>N/A</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34,600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35,000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35,400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35,800</w:t>
            </w:r>
          </w:p>
        </w:tc>
        <w:tc>
          <w:tcPr>
            <w:tcW w:w="81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36,100</w:t>
            </w:r>
          </w:p>
        </w:tc>
      </w:tr>
      <w:tr w:rsidR="008A621B" w:rsidRPr="00353BE2" w:rsidTr="00D51531">
        <w:trPr>
          <w:trHeight w:val="337"/>
          <w:jc w:val="center"/>
        </w:trPr>
        <w:tc>
          <w:tcPr>
            <w:tcW w:w="2270" w:type="dxa"/>
            <w:shd w:val="clear" w:color="auto" w:fill="C2D7F8" w:themeFill="text2" w:themeFillTint="33"/>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sz w:val="18"/>
                <w:szCs w:val="18"/>
              </w:rPr>
              <w:t>Assumed unavailable capacity</w:t>
            </w:r>
          </w:p>
        </w:tc>
        <w:tc>
          <w:tcPr>
            <w:tcW w:w="819"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c>
          <w:tcPr>
            <w:tcW w:w="810" w:type="dxa"/>
            <w:shd w:val="clear" w:color="auto" w:fill="C2D7F8" w:themeFill="text2" w:themeFillTint="33"/>
            <w:noWrap/>
            <w:tcMar>
              <w:top w:w="58" w:type="dxa"/>
              <w:left w:w="0" w:type="dxa"/>
              <w:bottom w:w="58" w:type="dxa"/>
              <w:right w:w="58" w:type="dxa"/>
            </w:tcMar>
            <w:vAlign w:val="center"/>
            <w:hideMark/>
          </w:tcPr>
          <w:p w:rsidR="008A621B" w:rsidRPr="00353BE2" w:rsidRDefault="000E509A" w:rsidP="000E509A">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sz w:val="18"/>
                <w:szCs w:val="18"/>
              </w:rPr>
              <w:t>−</w:t>
            </w:r>
            <w:r w:rsidR="008A621B" w:rsidRPr="00353BE2">
              <w:rPr>
                <w:rFonts w:asciiTheme="minorHAnsi" w:hAnsiTheme="minorHAnsi"/>
                <w:sz w:val="18"/>
                <w:szCs w:val="18"/>
              </w:rPr>
              <w:t>2,100</w:t>
            </w:r>
          </w:p>
        </w:tc>
      </w:tr>
      <w:tr w:rsidR="008A621B" w:rsidRPr="00353BE2" w:rsidTr="00D51531">
        <w:trPr>
          <w:trHeight w:val="20"/>
          <w:jc w:val="center"/>
        </w:trPr>
        <w:tc>
          <w:tcPr>
            <w:tcW w:w="2270" w:type="dxa"/>
            <w:shd w:val="clear" w:color="auto" w:fill="C2D7F8" w:themeFill="text2" w:themeFillTint="33"/>
            <w:noWrap/>
            <w:tcMar>
              <w:left w:w="115" w:type="dxa"/>
            </w:tcMar>
            <w:vAlign w:val="center"/>
            <w:hideMark/>
          </w:tcPr>
          <w:p w:rsidR="008A621B" w:rsidRPr="00353BE2" w:rsidRDefault="008A621B" w:rsidP="008A621B">
            <w:pPr>
              <w:spacing w:after="0" w:line="240" w:lineRule="auto"/>
              <w:rPr>
                <w:rFonts w:asciiTheme="minorHAnsi" w:eastAsia="Times New Roman" w:hAnsiTheme="minorHAnsi" w:cstheme="minorHAnsi"/>
                <w:b/>
                <w:bCs/>
                <w:color w:val="0070C0"/>
                <w:sz w:val="18"/>
                <w:szCs w:val="18"/>
              </w:rPr>
            </w:pPr>
            <w:r w:rsidRPr="00353BE2">
              <w:rPr>
                <w:rFonts w:asciiTheme="minorHAnsi" w:hAnsiTheme="minorHAnsi"/>
                <w:b/>
                <w:bCs/>
                <w:sz w:val="18"/>
                <w:szCs w:val="18"/>
              </w:rPr>
              <w:t>Total net capacity</w:t>
            </w:r>
            <w:r w:rsidRPr="00353BE2">
              <w:rPr>
                <w:rFonts w:asciiTheme="minorHAnsi" w:hAnsiTheme="minorHAnsi"/>
                <w:b/>
                <w:bCs/>
                <w:sz w:val="18"/>
                <w:szCs w:val="18"/>
                <w:vertAlign w:val="superscript"/>
              </w:rPr>
              <w:t>(c)</w:t>
            </w:r>
          </w:p>
        </w:tc>
        <w:tc>
          <w:tcPr>
            <w:tcW w:w="819"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30,488</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31,014</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31,429</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31,755</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N/A</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32,500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32,900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33,300</w:t>
            </w:r>
          </w:p>
        </w:tc>
        <w:tc>
          <w:tcPr>
            <w:tcW w:w="72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33,700</w:t>
            </w:r>
          </w:p>
        </w:tc>
        <w:tc>
          <w:tcPr>
            <w:tcW w:w="810" w:type="dxa"/>
            <w:shd w:val="clear" w:color="auto" w:fill="C2D7F8" w:themeFill="text2" w:themeFillTint="33"/>
            <w:noWrap/>
            <w:tcMar>
              <w:top w:w="58" w:type="dxa"/>
              <w:left w:w="0" w:type="dxa"/>
              <w:bottom w:w="58" w:type="dxa"/>
              <w:right w:w="58" w:type="dxa"/>
            </w:tcMar>
            <w:vAlign w:val="center"/>
            <w:hideMark/>
          </w:tcPr>
          <w:p w:rsidR="008A621B" w:rsidRPr="00353BE2" w:rsidRDefault="008A621B" w:rsidP="008A621B">
            <w:pPr>
              <w:spacing w:after="0" w:line="240" w:lineRule="auto"/>
              <w:jc w:val="right"/>
              <w:rPr>
                <w:rFonts w:asciiTheme="minorHAnsi" w:eastAsia="Times New Roman" w:hAnsiTheme="minorHAnsi" w:cstheme="minorHAnsi"/>
                <w:b/>
                <w:bCs/>
                <w:color w:val="0070C0"/>
                <w:sz w:val="18"/>
                <w:szCs w:val="18"/>
              </w:rPr>
            </w:pPr>
            <w:r w:rsidRPr="00353BE2">
              <w:rPr>
                <w:rFonts w:asciiTheme="minorHAnsi" w:hAnsiTheme="minorHAnsi"/>
                <w:b/>
                <w:bCs/>
                <w:sz w:val="18"/>
                <w:szCs w:val="18"/>
              </w:rPr>
              <w:t>34,000</w:t>
            </w:r>
          </w:p>
        </w:tc>
      </w:tr>
      <w:tr w:rsidR="008A621B" w:rsidRPr="00C02319" w:rsidTr="00D51531">
        <w:trPr>
          <w:trHeight w:val="20"/>
          <w:jc w:val="center"/>
        </w:trPr>
        <w:tc>
          <w:tcPr>
            <w:tcW w:w="2270" w:type="dxa"/>
            <w:shd w:val="clear" w:color="auto" w:fill="85AFF2" w:themeFill="text2" w:themeFillTint="66"/>
            <w:noWrap/>
            <w:tcMar>
              <w:left w:w="115" w:type="dxa"/>
            </w:tcMar>
            <w:vAlign w:val="center"/>
            <w:hideMark/>
          </w:tcPr>
          <w:p w:rsidR="008A621B" w:rsidRPr="00C02319" w:rsidRDefault="008A621B" w:rsidP="008A621B">
            <w:pPr>
              <w:spacing w:after="0" w:line="240" w:lineRule="auto"/>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Operable capacity margin</w:t>
            </w:r>
            <w:r w:rsidRPr="00C02319">
              <w:rPr>
                <w:rFonts w:asciiTheme="minorHAnsi" w:hAnsiTheme="minorHAnsi"/>
                <w:b/>
                <w:color w:val="FFFFFF" w:themeColor="background1"/>
                <w:sz w:val="18"/>
                <w:szCs w:val="18"/>
                <w:vertAlign w:val="superscript"/>
              </w:rPr>
              <w:t>(d)</w:t>
            </w:r>
          </w:p>
        </w:tc>
        <w:tc>
          <w:tcPr>
            <w:tcW w:w="819"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52</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8A621B" w:rsidP="008A621B">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 xml:space="preserve">24 </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76</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230</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8A621B" w:rsidP="008A621B">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N/A</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210</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150</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0E509A" w:rsidP="000E509A">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w:t>
            </w:r>
            <w:r w:rsidR="008A621B" w:rsidRPr="00C02319">
              <w:rPr>
                <w:rFonts w:asciiTheme="minorHAnsi" w:hAnsiTheme="minorHAnsi"/>
                <w:b/>
                <w:color w:val="FFFFFF" w:themeColor="background1"/>
                <w:sz w:val="18"/>
                <w:szCs w:val="18"/>
              </w:rPr>
              <w:t>65</w:t>
            </w:r>
          </w:p>
        </w:tc>
        <w:tc>
          <w:tcPr>
            <w:tcW w:w="720" w:type="dxa"/>
            <w:shd w:val="clear" w:color="auto" w:fill="85AFF2" w:themeFill="text2" w:themeFillTint="66"/>
            <w:noWrap/>
            <w:tcMar>
              <w:top w:w="58" w:type="dxa"/>
              <w:left w:w="0" w:type="dxa"/>
              <w:bottom w:w="58" w:type="dxa"/>
              <w:right w:w="58" w:type="dxa"/>
            </w:tcMar>
            <w:vAlign w:val="center"/>
            <w:hideMark/>
          </w:tcPr>
          <w:p w:rsidR="008A621B" w:rsidRPr="00C02319" w:rsidRDefault="008A621B" w:rsidP="008A621B">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 xml:space="preserve">10 </w:t>
            </w:r>
          </w:p>
        </w:tc>
        <w:tc>
          <w:tcPr>
            <w:tcW w:w="810" w:type="dxa"/>
            <w:shd w:val="clear" w:color="auto" w:fill="85AFF2" w:themeFill="text2" w:themeFillTint="66"/>
            <w:noWrap/>
            <w:tcMar>
              <w:top w:w="58" w:type="dxa"/>
              <w:left w:w="0" w:type="dxa"/>
              <w:bottom w:w="58" w:type="dxa"/>
              <w:right w:w="58" w:type="dxa"/>
            </w:tcMar>
            <w:vAlign w:val="center"/>
            <w:hideMark/>
          </w:tcPr>
          <w:p w:rsidR="008A621B" w:rsidRPr="00C02319" w:rsidRDefault="008A621B" w:rsidP="008A621B">
            <w:pPr>
              <w:spacing w:after="0" w:line="240" w:lineRule="auto"/>
              <w:jc w:val="right"/>
              <w:rPr>
                <w:rFonts w:asciiTheme="minorHAnsi" w:eastAsia="Times New Roman" w:hAnsiTheme="minorHAnsi" w:cstheme="minorHAnsi"/>
                <w:b/>
                <w:bCs/>
                <w:color w:val="FFFFFF" w:themeColor="background1"/>
                <w:sz w:val="18"/>
                <w:szCs w:val="18"/>
              </w:rPr>
            </w:pPr>
            <w:r w:rsidRPr="00C02319">
              <w:rPr>
                <w:rFonts w:asciiTheme="minorHAnsi" w:hAnsiTheme="minorHAnsi"/>
                <w:b/>
                <w:color w:val="FFFFFF" w:themeColor="background1"/>
                <w:sz w:val="18"/>
                <w:szCs w:val="18"/>
              </w:rPr>
              <w:t xml:space="preserve">5 </w:t>
            </w:r>
          </w:p>
        </w:tc>
      </w:tr>
    </w:tbl>
    <w:p w:rsidR="008A621B" w:rsidRPr="00321FB9" w:rsidRDefault="008A621B" w:rsidP="00D51531">
      <w:pPr>
        <w:pStyle w:val="TableNote"/>
        <w:keepLines/>
        <w:tabs>
          <w:tab w:val="left" w:pos="0"/>
        </w:tabs>
        <w:spacing w:before="120" w:after="80"/>
        <w:ind w:right="-270" w:hanging="270"/>
        <w:rPr>
          <w:rFonts w:ascii="Calibri" w:hAnsi="Calibri"/>
          <w:color w:val="000000" w:themeColor="text1"/>
          <w:szCs w:val="16"/>
        </w:rPr>
      </w:pPr>
      <w:r w:rsidRPr="00321FB9">
        <w:rPr>
          <w:rFonts w:asciiTheme="minorHAnsi" w:hAnsiTheme="minorHAnsi"/>
          <w:szCs w:val="16"/>
        </w:rPr>
        <w:t>(a)</w:t>
      </w:r>
      <w:r w:rsidR="00D51531">
        <w:rPr>
          <w:rFonts w:asciiTheme="minorHAnsi" w:hAnsiTheme="minorHAnsi"/>
          <w:szCs w:val="16"/>
        </w:rPr>
        <w:tab/>
        <w:t>T</w:t>
      </w:r>
      <w:r w:rsidRPr="00321FB9">
        <w:rPr>
          <w:rFonts w:asciiTheme="minorHAnsi" w:hAnsiTheme="minorHAnsi"/>
          <w:szCs w:val="16"/>
        </w:rPr>
        <w:t xml:space="preserve">he 2,375 MW value of operating reserves is based on the following assumptions: a first contingency of 1,400 MW plus a 25% increase in the 10-minute operating reserve </w:t>
      </w:r>
      <w:r w:rsidRPr="00321FB9">
        <w:rPr>
          <w:rFonts w:ascii="Calibri" w:hAnsi="Calibri"/>
          <w:color w:val="1F497D"/>
          <w:szCs w:val="16"/>
        </w:rPr>
        <w:t xml:space="preserve">to </w:t>
      </w:r>
      <w:r w:rsidRPr="00321FB9">
        <w:rPr>
          <w:rFonts w:ascii="Calibri" w:hAnsi="Calibri"/>
          <w:color w:val="000000" w:themeColor="text1"/>
          <w:szCs w:val="16"/>
        </w:rPr>
        <w:t>compensate for nonperformance of the reserve generating units (as discussed in Section</w:t>
      </w:r>
      <w:r w:rsidR="00E21623" w:rsidRPr="00321FB9">
        <w:rPr>
          <w:rFonts w:ascii="Calibri" w:hAnsi="Calibri"/>
          <w:color w:val="000000" w:themeColor="text1"/>
          <w:szCs w:val="16"/>
        </w:rPr>
        <w:t xml:space="preserve"> </w:t>
      </w:r>
      <w:fldSimple w:instr=" REF _Ref388642296 \r \h  \* MERGEFORMAT ">
        <w:r w:rsidR="00284CE3" w:rsidRPr="00284CE3">
          <w:rPr>
            <w:rFonts w:ascii="Calibri" w:hAnsi="Calibri"/>
            <w:color w:val="000000" w:themeColor="text1"/>
            <w:szCs w:val="16"/>
          </w:rPr>
          <w:t>4.3.1</w:t>
        </w:r>
      </w:fldSimple>
      <w:r w:rsidRPr="00321FB9">
        <w:rPr>
          <w:rFonts w:ascii="Calibri" w:hAnsi="Calibri"/>
          <w:color w:val="000000" w:themeColor="text1"/>
          <w:szCs w:val="16"/>
        </w:rPr>
        <w:t>) equal to 350</w:t>
      </w:r>
      <w:r w:rsidR="00E06E71">
        <w:rPr>
          <w:rFonts w:ascii="Calibri" w:hAnsi="Calibri"/>
          <w:color w:val="000000" w:themeColor="text1"/>
          <w:szCs w:val="16"/>
        </w:rPr>
        <w:t> </w:t>
      </w:r>
      <w:r w:rsidRPr="00321FB9">
        <w:rPr>
          <w:rFonts w:ascii="Calibri" w:hAnsi="Calibri"/>
          <w:color w:val="000000" w:themeColor="text1"/>
          <w:szCs w:val="16"/>
        </w:rPr>
        <w:t>MW, and 30-minute reserves of 625 MW (one half of 1,250 MW).</w:t>
      </w:r>
    </w:p>
    <w:p w:rsidR="008A621B" w:rsidRPr="00321FB9" w:rsidRDefault="008A621B" w:rsidP="00D51531">
      <w:pPr>
        <w:pStyle w:val="TableNote"/>
        <w:keepLines/>
        <w:tabs>
          <w:tab w:val="left" w:pos="0"/>
        </w:tabs>
        <w:spacing w:before="0" w:after="80"/>
        <w:ind w:right="-270" w:hanging="270"/>
        <w:rPr>
          <w:rFonts w:asciiTheme="minorHAnsi" w:hAnsiTheme="minorHAnsi"/>
          <w:szCs w:val="16"/>
        </w:rPr>
      </w:pPr>
      <w:r w:rsidRPr="00321FB9">
        <w:rPr>
          <w:rFonts w:asciiTheme="minorHAnsi" w:hAnsiTheme="minorHAnsi"/>
          <w:szCs w:val="16"/>
        </w:rPr>
        <w:t>(b)</w:t>
      </w:r>
      <w:r w:rsidR="00D51531">
        <w:rPr>
          <w:rFonts w:asciiTheme="minorHAnsi" w:hAnsiTheme="minorHAnsi"/>
          <w:szCs w:val="16"/>
        </w:rPr>
        <w:tab/>
      </w:r>
      <w:r w:rsidRPr="00321FB9">
        <w:rPr>
          <w:rFonts w:asciiTheme="minorHAnsi" w:hAnsiTheme="minorHAnsi" w:cs="Arial"/>
          <w:szCs w:val="16"/>
        </w:rPr>
        <w:t xml:space="preserve">Net ICR values for 2014/2015 to 2017/2018 are the latest values approved by FERC. These net ICR values </w:t>
      </w:r>
      <w:proofErr w:type="gramStart"/>
      <w:r w:rsidRPr="00321FB9">
        <w:rPr>
          <w:rFonts w:asciiTheme="minorHAnsi" w:hAnsiTheme="minorHAnsi" w:cs="Arial"/>
          <w:szCs w:val="16"/>
        </w:rPr>
        <w:t>were developed</w:t>
      </w:r>
      <w:proofErr w:type="gramEnd"/>
      <w:r w:rsidRPr="00321FB9">
        <w:rPr>
          <w:rFonts w:asciiTheme="minorHAnsi" w:hAnsiTheme="minorHAnsi" w:cs="Arial"/>
          <w:szCs w:val="16"/>
        </w:rPr>
        <w:t xml:space="preserve"> using 2013 CELT Report loads.</w:t>
      </w:r>
      <w:r w:rsidR="00401958" w:rsidRPr="00321FB9">
        <w:rPr>
          <w:rFonts w:asciiTheme="minorHAnsi" w:hAnsiTheme="minorHAnsi" w:cs="Arial"/>
          <w:szCs w:val="16"/>
        </w:rPr>
        <w:t xml:space="preserve"> The ICR values for other years are consistent with the representative future net ICR values in </w:t>
      </w:r>
      <w:fldSimple w:instr=" REF _Ref385696452 \h  \* MERGEFORMAT ">
        <w:r w:rsidR="00284CE3" w:rsidRPr="00284CE3">
          <w:rPr>
            <w:rFonts w:asciiTheme="minorHAnsi" w:hAnsiTheme="minorHAnsi"/>
            <w:szCs w:val="16"/>
          </w:rPr>
          <w:t>Table 4</w:t>
        </w:r>
        <w:r w:rsidR="00284CE3" w:rsidRPr="00284CE3">
          <w:rPr>
            <w:rFonts w:asciiTheme="minorHAnsi" w:hAnsiTheme="minorHAnsi"/>
            <w:szCs w:val="16"/>
          </w:rPr>
          <w:noBreakHyphen/>
          <w:t>1</w:t>
        </w:r>
      </w:fldSimple>
      <w:r w:rsidR="00401958" w:rsidRPr="00321FB9">
        <w:rPr>
          <w:rFonts w:asciiTheme="minorHAnsi" w:hAnsiTheme="minorHAnsi" w:cs="Arial"/>
          <w:szCs w:val="16"/>
        </w:rPr>
        <w:t>.</w:t>
      </w:r>
    </w:p>
    <w:p w:rsidR="008A621B" w:rsidRPr="00321FB9" w:rsidRDefault="008A621B" w:rsidP="00D51531">
      <w:pPr>
        <w:pStyle w:val="TableNote"/>
        <w:keepLines/>
        <w:tabs>
          <w:tab w:val="left" w:pos="0"/>
        </w:tabs>
        <w:spacing w:before="0" w:after="80"/>
        <w:ind w:right="-270" w:hanging="270"/>
        <w:rPr>
          <w:rFonts w:asciiTheme="minorHAnsi" w:hAnsiTheme="minorHAnsi"/>
          <w:szCs w:val="16"/>
        </w:rPr>
      </w:pPr>
      <w:r w:rsidRPr="00321FB9">
        <w:rPr>
          <w:rFonts w:asciiTheme="minorHAnsi" w:hAnsiTheme="minorHAnsi"/>
          <w:szCs w:val="16"/>
        </w:rPr>
        <w:t xml:space="preserve">(c) </w:t>
      </w:r>
      <w:r w:rsidR="00D51531">
        <w:rPr>
          <w:rFonts w:asciiTheme="minorHAnsi" w:hAnsiTheme="minorHAnsi"/>
          <w:szCs w:val="16"/>
        </w:rPr>
        <w:tab/>
      </w:r>
      <w:r w:rsidRPr="00321FB9">
        <w:rPr>
          <w:rFonts w:asciiTheme="minorHAnsi" w:hAnsiTheme="minorHAnsi" w:cs="Arial"/>
          <w:szCs w:val="16"/>
        </w:rPr>
        <w:t>The net capacity values are equal to the net ICR minus the assumed unavailable capacity.</w:t>
      </w:r>
    </w:p>
    <w:p w:rsidR="008A621B" w:rsidRPr="00321FB9" w:rsidRDefault="008A621B" w:rsidP="00D51531">
      <w:pPr>
        <w:pStyle w:val="TableNote"/>
        <w:keepLines/>
        <w:tabs>
          <w:tab w:val="left" w:pos="0"/>
          <w:tab w:val="left" w:pos="9450"/>
        </w:tabs>
        <w:spacing w:before="0" w:after="80"/>
        <w:ind w:right="-270" w:hanging="270"/>
        <w:rPr>
          <w:rFonts w:asciiTheme="minorHAnsi" w:hAnsiTheme="minorHAnsi"/>
          <w:szCs w:val="16"/>
        </w:rPr>
      </w:pPr>
      <w:r w:rsidRPr="00321FB9">
        <w:rPr>
          <w:rFonts w:asciiTheme="minorHAnsi" w:hAnsiTheme="minorHAnsi"/>
          <w:szCs w:val="16"/>
        </w:rPr>
        <w:t xml:space="preserve">(d) </w:t>
      </w:r>
      <w:r w:rsidR="00D51531">
        <w:rPr>
          <w:rFonts w:asciiTheme="minorHAnsi" w:hAnsiTheme="minorHAnsi"/>
          <w:szCs w:val="16"/>
        </w:rPr>
        <w:tab/>
      </w:r>
      <w:r w:rsidRPr="00321FB9">
        <w:rPr>
          <w:rFonts w:asciiTheme="minorHAnsi" w:hAnsiTheme="minorHAnsi"/>
          <w:szCs w:val="16"/>
        </w:rPr>
        <w:t>“Operable capacity margin” equals “total net capacity” minus “total requirement.”</w:t>
      </w:r>
    </w:p>
    <w:p w:rsidR="008A621B" w:rsidRPr="00F13B14" w:rsidRDefault="008A621B" w:rsidP="008A621B">
      <w:pPr>
        <w:pStyle w:val="TableNote"/>
        <w:keepNext w:val="0"/>
        <w:spacing w:before="0" w:line="260" w:lineRule="atLeast"/>
        <w:ind w:left="-172" w:right="806" w:hanging="274"/>
        <w:rPr>
          <w:rFonts w:asciiTheme="minorHAnsi" w:hAnsiTheme="minorHAnsi"/>
        </w:rPr>
      </w:pPr>
    </w:p>
    <w:p w:rsidR="008A621B" w:rsidRDefault="008A621B" w:rsidP="008A621B">
      <w:pPr>
        <w:pStyle w:val="Caption"/>
      </w:pPr>
      <w:bookmarkStart w:id="465" w:name="_Ref356573944"/>
      <w:bookmarkStart w:id="466" w:name="_Toc365440711"/>
      <w:bookmarkStart w:id="467" w:name="_Toc391985612"/>
      <w:r w:rsidRPr="00C50A9E">
        <w:t xml:space="preserve">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10</w:t>
      </w:r>
      <w:r w:rsidR="00927965">
        <w:fldChar w:fldCharType="end"/>
      </w:r>
      <w:bookmarkEnd w:id="465"/>
      <w:r w:rsidRPr="00C50A9E">
        <w:br/>
        <w:t>Projected New England Operable Capacity Analysis for Summer, 201</w:t>
      </w:r>
      <w:r>
        <w:t>4</w:t>
      </w:r>
      <w:r w:rsidRPr="00C50A9E">
        <w:t> to 202</w:t>
      </w:r>
      <w:r>
        <w:t>3</w:t>
      </w:r>
      <w:proofErr w:type="gramStart"/>
      <w:r w:rsidRPr="00C50A9E">
        <w:t>,</w:t>
      </w:r>
      <w:proofErr w:type="gramEnd"/>
      <w:r>
        <w:br/>
      </w:r>
      <w:r w:rsidRPr="00C50A9E">
        <w:t>Assuming 90/10 Loads (MW)</w:t>
      </w:r>
      <w:bookmarkEnd w:id="466"/>
      <w:bookmarkEnd w:id="467"/>
    </w:p>
    <w:tbl>
      <w:tblPr>
        <w:tblW w:w="93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9" w:type="dxa"/>
          <w:right w:w="29" w:type="dxa"/>
        </w:tblCellMar>
        <w:tblLook w:val="04A0"/>
      </w:tblPr>
      <w:tblGrid>
        <w:gridCol w:w="2146"/>
        <w:gridCol w:w="720"/>
        <w:gridCol w:w="720"/>
        <w:gridCol w:w="720"/>
        <w:gridCol w:w="720"/>
        <w:gridCol w:w="720"/>
        <w:gridCol w:w="720"/>
        <w:gridCol w:w="720"/>
        <w:gridCol w:w="720"/>
        <w:gridCol w:w="720"/>
        <w:gridCol w:w="720"/>
      </w:tblGrid>
      <w:tr w:rsidR="008A621B" w:rsidRPr="00353BE2" w:rsidTr="00D51531">
        <w:trPr>
          <w:trHeight w:val="450"/>
          <w:jc w:val="center"/>
        </w:trPr>
        <w:tc>
          <w:tcPr>
            <w:tcW w:w="2146" w:type="dxa"/>
            <w:shd w:val="clear" w:color="auto" w:fill="85AFF2" w:themeFill="text2" w:themeFillTint="66"/>
            <w:tcMar>
              <w:left w:w="115" w:type="dxa"/>
            </w:tcMar>
            <w:vAlign w:val="center"/>
            <w:hideMark/>
          </w:tcPr>
          <w:p w:rsidR="008A621B" w:rsidRPr="00353BE2" w:rsidRDefault="008A621B" w:rsidP="00D51531">
            <w:pPr>
              <w:keepNext/>
              <w:keepLines/>
              <w:spacing w:before="40" w:after="40" w:line="240" w:lineRule="auto"/>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Capacity Situation</w:t>
            </w:r>
            <w:r w:rsidR="006A4EC1">
              <w:rPr>
                <w:rFonts w:asciiTheme="minorHAnsi" w:hAnsiTheme="minorHAnsi"/>
                <w:b/>
                <w:bCs/>
                <w:color w:val="FFFFFF" w:themeColor="background1"/>
                <w:sz w:val="18"/>
                <w:szCs w:val="18"/>
              </w:rPr>
              <w:br/>
            </w:r>
            <w:r w:rsidRPr="00353BE2">
              <w:rPr>
                <w:rFonts w:asciiTheme="minorHAnsi" w:hAnsiTheme="minorHAnsi"/>
                <w:b/>
                <w:bCs/>
                <w:color w:val="FFFFFF" w:themeColor="background1"/>
                <w:sz w:val="18"/>
                <w:szCs w:val="18"/>
              </w:rPr>
              <w:t>(Summer MW)</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2014</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2015</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2016</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2017</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2018</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2019</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2020</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2021</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2022</w:t>
            </w:r>
          </w:p>
        </w:tc>
        <w:tc>
          <w:tcPr>
            <w:tcW w:w="720" w:type="dxa"/>
            <w:shd w:val="clear" w:color="auto" w:fill="85AFF2" w:themeFill="text2" w:themeFillTint="66"/>
            <w:noWrap/>
            <w:vAlign w:val="center"/>
            <w:hideMark/>
          </w:tcPr>
          <w:p w:rsidR="008A621B" w:rsidRPr="00353BE2" w:rsidRDefault="008A621B" w:rsidP="00353BE2">
            <w:pPr>
              <w:keepNext/>
              <w:keepLines/>
              <w:spacing w:before="40" w:after="40" w:line="240" w:lineRule="auto"/>
              <w:jc w:val="center"/>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2023</w:t>
            </w:r>
          </w:p>
        </w:tc>
      </w:tr>
      <w:tr w:rsidR="008A621B" w:rsidRPr="00353BE2" w:rsidTr="000E509A">
        <w:trPr>
          <w:trHeight w:val="255"/>
          <w:jc w:val="center"/>
        </w:trPr>
        <w:tc>
          <w:tcPr>
            <w:tcW w:w="2146" w:type="dxa"/>
            <w:shd w:val="clear" w:color="auto" w:fill="auto"/>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Load (90/10 forecast)</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30,470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30,950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31,495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32,005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32,430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32,790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33,160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33,505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33,865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34,195</w:t>
            </w:r>
          </w:p>
        </w:tc>
      </w:tr>
      <w:tr w:rsidR="008A621B" w:rsidRPr="00353BE2" w:rsidTr="000E509A">
        <w:trPr>
          <w:trHeight w:val="255"/>
          <w:jc w:val="center"/>
        </w:trPr>
        <w:tc>
          <w:tcPr>
            <w:tcW w:w="2146" w:type="dxa"/>
            <w:shd w:val="clear" w:color="auto" w:fill="auto"/>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Operating reserves</w:t>
            </w:r>
            <w:r w:rsidRPr="00353BE2">
              <w:rPr>
                <w:rFonts w:asciiTheme="minorHAnsi" w:hAnsiTheme="minorHAnsi"/>
                <w:b/>
                <w:bCs/>
                <w:sz w:val="18"/>
                <w:szCs w:val="18"/>
                <w:vertAlign w:val="superscript"/>
              </w:rPr>
              <w:t>(a)</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2,375</w:t>
            </w:r>
          </w:p>
        </w:tc>
      </w:tr>
      <w:tr w:rsidR="008A621B" w:rsidRPr="00353BE2" w:rsidTr="000E509A">
        <w:trPr>
          <w:trHeight w:val="270"/>
          <w:jc w:val="center"/>
        </w:trPr>
        <w:tc>
          <w:tcPr>
            <w:tcW w:w="2146" w:type="dxa"/>
            <w:shd w:val="clear" w:color="auto" w:fill="auto"/>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Total Requirement</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32,845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33,325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33,870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34,380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34,805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35,165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35,535</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35,880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36,240</w:t>
            </w:r>
          </w:p>
        </w:tc>
        <w:tc>
          <w:tcPr>
            <w:tcW w:w="720" w:type="dxa"/>
            <w:shd w:val="clear" w:color="auto" w:fill="auto"/>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36,570</w:t>
            </w:r>
          </w:p>
        </w:tc>
      </w:tr>
      <w:tr w:rsidR="008A621B" w:rsidRPr="00353BE2" w:rsidTr="000E509A">
        <w:trPr>
          <w:trHeight w:val="255"/>
          <w:jc w:val="center"/>
        </w:trPr>
        <w:tc>
          <w:tcPr>
            <w:tcW w:w="2146" w:type="dxa"/>
            <w:shd w:val="clear" w:color="auto" w:fill="C2D7F8" w:themeFill="text2" w:themeFillTint="33"/>
            <w:noWrap/>
            <w:tcMar>
              <w:left w:w="115" w:type="dxa"/>
            </w:tcMar>
            <w:vAlign w:val="center"/>
            <w:hideMark/>
          </w:tcPr>
          <w:p w:rsidR="008A621B" w:rsidRPr="00353BE2" w:rsidRDefault="008A621B" w:rsidP="00BF1391">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Installed Capacity</w:t>
            </w:r>
            <w:r w:rsidR="00BF1391">
              <w:rPr>
                <w:rFonts w:asciiTheme="minorHAnsi" w:hAnsiTheme="minorHAnsi"/>
                <w:b/>
                <w:bCs/>
                <w:sz w:val="18"/>
                <w:szCs w:val="18"/>
              </w:rPr>
              <w:br/>
            </w:r>
            <w:r w:rsidRPr="00353BE2">
              <w:rPr>
                <w:rFonts w:asciiTheme="minorHAnsi" w:hAnsiTheme="minorHAnsi"/>
                <w:b/>
                <w:bCs/>
                <w:sz w:val="18"/>
                <w:szCs w:val="18"/>
              </w:rPr>
              <w:t>(Net ICR)</w:t>
            </w:r>
            <w:r w:rsidRPr="00353BE2">
              <w:rPr>
                <w:rFonts w:asciiTheme="minorHAnsi" w:hAnsiTheme="minorHAnsi"/>
                <w:b/>
                <w:bCs/>
                <w:sz w:val="18"/>
                <w:szCs w:val="18"/>
                <w:vertAlign w:val="superscript"/>
              </w:rPr>
              <w:t>(b)</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32,588</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33,114</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33,529</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33,855</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N/A</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34,600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35,000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35,400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35,800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36,100</w:t>
            </w:r>
          </w:p>
        </w:tc>
      </w:tr>
      <w:tr w:rsidR="008A621B" w:rsidRPr="00353BE2" w:rsidTr="000E509A">
        <w:trPr>
          <w:trHeight w:val="255"/>
          <w:jc w:val="center"/>
        </w:trPr>
        <w:tc>
          <w:tcPr>
            <w:tcW w:w="2146" w:type="dxa"/>
            <w:shd w:val="clear" w:color="auto" w:fill="C2D7F8" w:themeFill="text2" w:themeFillTint="33"/>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Assumed unavailable capacity</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c>
          <w:tcPr>
            <w:tcW w:w="720" w:type="dxa"/>
            <w:shd w:val="clear" w:color="auto" w:fill="C2D7F8" w:themeFill="text2" w:themeFillTint="33"/>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Cs/>
                <w:sz w:val="18"/>
                <w:szCs w:val="18"/>
              </w:rPr>
            </w:pPr>
            <w:r w:rsidRPr="00353BE2">
              <w:rPr>
                <w:rFonts w:asciiTheme="minorHAnsi" w:hAnsiTheme="minorHAnsi"/>
                <w:sz w:val="18"/>
                <w:szCs w:val="18"/>
              </w:rPr>
              <w:t>−</w:t>
            </w:r>
            <w:r w:rsidR="008A621B" w:rsidRPr="00353BE2">
              <w:rPr>
                <w:rFonts w:asciiTheme="minorHAnsi" w:hAnsiTheme="minorHAnsi"/>
                <w:bCs/>
                <w:sz w:val="18"/>
                <w:szCs w:val="18"/>
              </w:rPr>
              <w:t>2,100</w:t>
            </w:r>
          </w:p>
        </w:tc>
      </w:tr>
      <w:tr w:rsidR="008A621B" w:rsidRPr="00353BE2" w:rsidTr="000E509A">
        <w:trPr>
          <w:trHeight w:val="270"/>
          <w:jc w:val="center"/>
        </w:trPr>
        <w:tc>
          <w:tcPr>
            <w:tcW w:w="2146" w:type="dxa"/>
            <w:shd w:val="clear" w:color="auto" w:fill="C2D7F8" w:themeFill="text2" w:themeFillTint="33"/>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sz w:val="18"/>
                <w:szCs w:val="18"/>
              </w:rPr>
            </w:pPr>
            <w:r w:rsidRPr="00353BE2">
              <w:rPr>
                <w:rFonts w:asciiTheme="minorHAnsi" w:hAnsiTheme="minorHAnsi"/>
                <w:b/>
                <w:bCs/>
                <w:sz w:val="18"/>
                <w:szCs w:val="18"/>
              </w:rPr>
              <w:t>Total net capacity</w:t>
            </w:r>
            <w:r w:rsidR="00D57DFB" w:rsidRPr="00353BE2">
              <w:rPr>
                <w:rFonts w:asciiTheme="minorHAnsi" w:hAnsiTheme="minorHAnsi"/>
                <w:b/>
                <w:bCs/>
                <w:sz w:val="18"/>
                <w:szCs w:val="18"/>
                <w:vertAlign w:val="superscript"/>
              </w:rPr>
              <w:t>(c)</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30,488</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31,014</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31,429</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31,755</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N/A</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32,500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32,900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33,300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33,700</w:t>
            </w:r>
          </w:p>
        </w:tc>
        <w:tc>
          <w:tcPr>
            <w:tcW w:w="720" w:type="dxa"/>
            <w:shd w:val="clear" w:color="auto" w:fill="C2D7F8" w:themeFill="text2" w:themeFillTint="33"/>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Cs/>
                <w:sz w:val="18"/>
                <w:szCs w:val="18"/>
              </w:rPr>
            </w:pPr>
            <w:r w:rsidRPr="00353BE2">
              <w:rPr>
                <w:rFonts w:asciiTheme="minorHAnsi" w:hAnsiTheme="minorHAnsi"/>
                <w:bCs/>
                <w:sz w:val="18"/>
                <w:szCs w:val="18"/>
              </w:rPr>
              <w:t>34,000</w:t>
            </w:r>
          </w:p>
        </w:tc>
      </w:tr>
      <w:tr w:rsidR="000E509A" w:rsidRPr="00353BE2" w:rsidTr="000E509A">
        <w:trPr>
          <w:trHeight w:val="405"/>
          <w:jc w:val="center"/>
        </w:trPr>
        <w:tc>
          <w:tcPr>
            <w:tcW w:w="2146" w:type="dxa"/>
            <w:shd w:val="clear" w:color="auto" w:fill="85AFF2" w:themeFill="text2" w:themeFillTint="66"/>
            <w:noWrap/>
            <w:tcMar>
              <w:left w:w="115" w:type="dxa"/>
            </w:tcMar>
            <w:vAlign w:val="center"/>
            <w:hideMark/>
          </w:tcPr>
          <w:p w:rsidR="008A621B" w:rsidRPr="00353BE2" w:rsidRDefault="008A621B" w:rsidP="008A621B">
            <w:pPr>
              <w:keepNext/>
              <w:keepLines/>
              <w:spacing w:before="40" w:after="40" w:line="240" w:lineRule="auto"/>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Operable capacity margin</w:t>
            </w:r>
            <w:r w:rsidRPr="00353BE2">
              <w:rPr>
                <w:rFonts w:asciiTheme="minorHAnsi" w:hAnsiTheme="minorHAnsi"/>
                <w:b/>
                <w:bCs/>
                <w:color w:val="FFFFFF" w:themeColor="background1"/>
                <w:sz w:val="18"/>
                <w:szCs w:val="18"/>
                <w:vertAlign w:val="superscript"/>
              </w:rPr>
              <w:t>(d)</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2,357</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2,311</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2,441</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2,625</w:t>
            </w:r>
          </w:p>
        </w:tc>
        <w:tc>
          <w:tcPr>
            <w:tcW w:w="720" w:type="dxa"/>
            <w:shd w:val="clear" w:color="auto" w:fill="85AFF2" w:themeFill="text2" w:themeFillTint="66"/>
            <w:noWrap/>
            <w:tcMar>
              <w:left w:w="0" w:type="dxa"/>
              <w:right w:w="115" w:type="dxa"/>
            </w:tcMar>
            <w:vAlign w:val="center"/>
            <w:hideMark/>
          </w:tcPr>
          <w:p w:rsidR="002365DD" w:rsidRPr="00353BE2" w:rsidRDefault="008A621B">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b/>
                <w:bCs/>
                <w:color w:val="FFFFFF" w:themeColor="background1"/>
                <w:sz w:val="18"/>
                <w:szCs w:val="18"/>
              </w:rPr>
              <w:t>N/A</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2,665</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2,635</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2,580</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2,540</w:t>
            </w:r>
          </w:p>
        </w:tc>
        <w:tc>
          <w:tcPr>
            <w:tcW w:w="720" w:type="dxa"/>
            <w:shd w:val="clear" w:color="auto" w:fill="85AFF2" w:themeFill="text2" w:themeFillTint="66"/>
            <w:noWrap/>
            <w:tcMar>
              <w:left w:w="0" w:type="dxa"/>
              <w:right w:w="115" w:type="dxa"/>
            </w:tcMar>
            <w:vAlign w:val="center"/>
            <w:hideMark/>
          </w:tcPr>
          <w:p w:rsidR="002365DD" w:rsidRPr="00353BE2" w:rsidRDefault="000E509A" w:rsidP="000E509A">
            <w:pPr>
              <w:keepNext/>
              <w:keepLines/>
              <w:spacing w:before="40" w:after="40" w:line="240" w:lineRule="auto"/>
              <w:jc w:val="right"/>
              <w:rPr>
                <w:rFonts w:asciiTheme="minorHAnsi" w:hAnsiTheme="minorHAnsi"/>
                <w:b/>
                <w:bCs/>
                <w:color w:val="FFFFFF" w:themeColor="background1"/>
                <w:sz w:val="18"/>
                <w:szCs w:val="18"/>
              </w:rPr>
            </w:pPr>
            <w:r w:rsidRPr="00353BE2">
              <w:rPr>
                <w:rFonts w:asciiTheme="minorHAnsi" w:hAnsiTheme="minorHAnsi"/>
                <w:color w:val="FFFFFF" w:themeColor="background1"/>
                <w:sz w:val="18"/>
                <w:szCs w:val="18"/>
              </w:rPr>
              <w:t>−</w:t>
            </w:r>
            <w:r w:rsidR="008A621B" w:rsidRPr="00353BE2">
              <w:rPr>
                <w:rFonts w:asciiTheme="minorHAnsi" w:hAnsiTheme="minorHAnsi"/>
                <w:b/>
                <w:bCs/>
                <w:color w:val="FFFFFF" w:themeColor="background1"/>
                <w:sz w:val="18"/>
                <w:szCs w:val="18"/>
              </w:rPr>
              <w:t>2,570</w:t>
            </w:r>
          </w:p>
        </w:tc>
      </w:tr>
    </w:tbl>
    <w:p w:rsidR="008A621B" w:rsidRPr="00321FB9" w:rsidRDefault="008A621B" w:rsidP="000E509A">
      <w:pPr>
        <w:pStyle w:val="TableNote"/>
        <w:keepLines/>
        <w:tabs>
          <w:tab w:val="left" w:pos="-270"/>
        </w:tabs>
        <w:spacing w:before="120" w:after="80"/>
        <w:ind w:left="90" w:right="-180" w:hanging="270"/>
        <w:rPr>
          <w:rFonts w:ascii="Calibri" w:hAnsi="Calibri"/>
          <w:color w:val="000000" w:themeColor="text1"/>
          <w:szCs w:val="16"/>
        </w:rPr>
      </w:pPr>
      <w:r w:rsidRPr="00321FB9">
        <w:rPr>
          <w:rFonts w:asciiTheme="minorHAnsi" w:hAnsiTheme="minorHAnsi"/>
          <w:szCs w:val="16"/>
        </w:rPr>
        <w:t>(a)</w:t>
      </w:r>
      <w:r w:rsidRPr="00321FB9">
        <w:rPr>
          <w:rFonts w:asciiTheme="minorHAnsi" w:hAnsiTheme="minorHAnsi"/>
          <w:szCs w:val="16"/>
        </w:rPr>
        <w:tab/>
      </w:r>
      <w:r w:rsidRPr="00321FB9">
        <w:rPr>
          <w:rFonts w:asciiTheme="minorHAnsi" w:hAnsiTheme="minorHAnsi"/>
          <w:color w:val="000000" w:themeColor="text1"/>
          <w:szCs w:val="16"/>
        </w:rPr>
        <w:t xml:space="preserve">The 2,375 MW value of operating reserves is based on the following assumptions: a first contingency of 1,400 MW plus a 25% increase in the 10-minute operating reserve </w:t>
      </w:r>
      <w:r w:rsidRPr="00321FB9">
        <w:rPr>
          <w:rFonts w:ascii="Calibri" w:hAnsi="Calibri"/>
          <w:color w:val="000000" w:themeColor="text1"/>
          <w:szCs w:val="16"/>
        </w:rPr>
        <w:t xml:space="preserve">to compensate for nonperformance of the reserve generating units (as discussed in </w:t>
      </w:r>
      <w:r w:rsidR="00C128AC" w:rsidRPr="00321FB9">
        <w:rPr>
          <w:rFonts w:ascii="Calibri" w:hAnsi="Calibri"/>
          <w:color w:val="000000" w:themeColor="text1"/>
          <w:szCs w:val="16"/>
        </w:rPr>
        <w:t xml:space="preserve">Section </w:t>
      </w:r>
      <w:fldSimple w:instr=" REF _Ref388642296 \r \h  \* MERGEFORMAT ">
        <w:r w:rsidR="00284CE3" w:rsidRPr="00284CE3">
          <w:rPr>
            <w:rFonts w:ascii="Calibri" w:hAnsi="Calibri"/>
            <w:color w:val="000000" w:themeColor="text1"/>
            <w:szCs w:val="16"/>
          </w:rPr>
          <w:t>4.3.1</w:t>
        </w:r>
      </w:fldSimple>
      <w:r w:rsidRPr="00321FB9">
        <w:rPr>
          <w:rFonts w:ascii="Calibri" w:hAnsi="Calibri"/>
          <w:color w:val="000000" w:themeColor="text1"/>
          <w:szCs w:val="16"/>
        </w:rPr>
        <w:t>) equal to 350 MW, and 30-minute reserves of 625 MW (one half of 1,250 MW).</w:t>
      </w:r>
    </w:p>
    <w:p w:rsidR="008A621B" w:rsidRPr="00321FB9" w:rsidRDefault="008A621B" w:rsidP="00C02319">
      <w:pPr>
        <w:pStyle w:val="TableNote"/>
        <w:keepLines/>
        <w:tabs>
          <w:tab w:val="left" w:pos="-270"/>
        </w:tabs>
        <w:spacing w:before="0" w:after="80"/>
        <w:ind w:left="87" w:right="-187" w:hanging="274"/>
        <w:rPr>
          <w:rFonts w:asciiTheme="minorHAnsi" w:hAnsiTheme="minorHAnsi"/>
          <w:szCs w:val="16"/>
        </w:rPr>
      </w:pPr>
      <w:r w:rsidRPr="00321FB9">
        <w:rPr>
          <w:rFonts w:asciiTheme="minorHAnsi" w:hAnsiTheme="minorHAnsi"/>
          <w:szCs w:val="16"/>
        </w:rPr>
        <w:t>(b)</w:t>
      </w:r>
      <w:r w:rsidRPr="00321FB9">
        <w:rPr>
          <w:rFonts w:asciiTheme="minorHAnsi" w:hAnsiTheme="minorHAnsi" w:cs="Arial"/>
          <w:szCs w:val="16"/>
        </w:rPr>
        <w:t xml:space="preserve"> </w:t>
      </w:r>
      <w:r w:rsidRPr="00321FB9">
        <w:rPr>
          <w:rFonts w:asciiTheme="minorHAnsi" w:hAnsiTheme="minorHAnsi" w:cs="Arial"/>
          <w:szCs w:val="16"/>
        </w:rPr>
        <w:tab/>
        <w:t xml:space="preserve">Net ICR values for 2014/2015 to 2017/2018 are the latest values approved by FERC. These net ICR values </w:t>
      </w:r>
      <w:proofErr w:type="gramStart"/>
      <w:r w:rsidRPr="00321FB9">
        <w:rPr>
          <w:rFonts w:asciiTheme="minorHAnsi" w:hAnsiTheme="minorHAnsi" w:cs="Arial"/>
          <w:szCs w:val="16"/>
        </w:rPr>
        <w:t>were developed</w:t>
      </w:r>
      <w:proofErr w:type="gramEnd"/>
      <w:r w:rsidRPr="00321FB9">
        <w:rPr>
          <w:rFonts w:asciiTheme="minorHAnsi" w:hAnsiTheme="minorHAnsi" w:cs="Arial"/>
          <w:szCs w:val="16"/>
        </w:rPr>
        <w:t xml:space="preserve"> using 2013 CELT Report loads.</w:t>
      </w:r>
      <w:r w:rsidR="00401958" w:rsidRPr="00321FB9">
        <w:rPr>
          <w:rFonts w:asciiTheme="minorHAnsi" w:hAnsiTheme="minorHAnsi" w:cs="Arial"/>
          <w:szCs w:val="16"/>
        </w:rPr>
        <w:t xml:space="preserve"> The ICR values for other years are consistent with the representative future net ICR values in </w:t>
      </w:r>
      <w:fldSimple w:instr=" REF _Ref385696452 \h  \* MERGEFORMAT ">
        <w:r w:rsidR="00284CE3" w:rsidRPr="00284CE3">
          <w:rPr>
            <w:rFonts w:asciiTheme="minorHAnsi" w:hAnsiTheme="minorHAnsi"/>
            <w:szCs w:val="16"/>
          </w:rPr>
          <w:t>Table 4</w:t>
        </w:r>
        <w:r w:rsidR="00284CE3" w:rsidRPr="00284CE3">
          <w:rPr>
            <w:rFonts w:asciiTheme="minorHAnsi" w:hAnsiTheme="minorHAnsi"/>
            <w:szCs w:val="16"/>
          </w:rPr>
          <w:noBreakHyphen/>
          <w:t>1</w:t>
        </w:r>
      </w:fldSimple>
      <w:r w:rsidR="00401958" w:rsidRPr="00321FB9">
        <w:rPr>
          <w:rFonts w:asciiTheme="minorHAnsi" w:hAnsiTheme="minorHAnsi" w:cs="Arial"/>
          <w:szCs w:val="16"/>
        </w:rPr>
        <w:t>.</w:t>
      </w:r>
    </w:p>
    <w:p w:rsidR="008A621B" w:rsidRPr="00321FB9" w:rsidRDefault="008A621B" w:rsidP="000E509A">
      <w:pPr>
        <w:pStyle w:val="TableNote"/>
        <w:keepLines/>
        <w:spacing w:before="0" w:after="80"/>
        <w:ind w:left="90" w:right="-180" w:hanging="270"/>
        <w:rPr>
          <w:rFonts w:asciiTheme="minorHAnsi" w:hAnsiTheme="minorHAnsi"/>
          <w:szCs w:val="16"/>
        </w:rPr>
      </w:pPr>
      <w:r w:rsidRPr="00321FB9">
        <w:rPr>
          <w:rFonts w:asciiTheme="minorHAnsi" w:hAnsiTheme="minorHAnsi" w:cs="Arial"/>
          <w:szCs w:val="16"/>
        </w:rPr>
        <w:t xml:space="preserve">(c) </w:t>
      </w:r>
      <w:r w:rsidRPr="00321FB9">
        <w:rPr>
          <w:rFonts w:asciiTheme="minorHAnsi" w:hAnsiTheme="minorHAnsi" w:cs="Arial"/>
          <w:szCs w:val="16"/>
        </w:rPr>
        <w:tab/>
      </w:r>
      <w:r w:rsidR="00401958" w:rsidRPr="00321FB9">
        <w:rPr>
          <w:rFonts w:asciiTheme="minorHAnsi" w:hAnsiTheme="minorHAnsi" w:cs="Arial"/>
          <w:szCs w:val="16"/>
        </w:rPr>
        <w:t>The net capacity values are equal to the net ICR minus the assumed unavailable capacity.</w:t>
      </w:r>
    </w:p>
    <w:p w:rsidR="008A621B" w:rsidRPr="00321FB9" w:rsidRDefault="008A621B" w:rsidP="000E509A">
      <w:pPr>
        <w:pStyle w:val="TableNote"/>
        <w:keepLines/>
        <w:tabs>
          <w:tab w:val="left" w:pos="-180"/>
        </w:tabs>
        <w:spacing w:before="0" w:after="240"/>
        <w:ind w:left="90" w:right="-180" w:hanging="270"/>
        <w:rPr>
          <w:rFonts w:asciiTheme="minorHAnsi" w:hAnsiTheme="minorHAnsi"/>
          <w:szCs w:val="16"/>
        </w:rPr>
      </w:pPr>
      <w:r w:rsidRPr="00321FB9">
        <w:rPr>
          <w:rFonts w:asciiTheme="minorHAnsi" w:hAnsiTheme="minorHAnsi"/>
          <w:szCs w:val="16"/>
        </w:rPr>
        <w:t xml:space="preserve">(d) </w:t>
      </w:r>
      <w:r w:rsidRPr="00321FB9">
        <w:rPr>
          <w:rFonts w:asciiTheme="minorHAnsi" w:hAnsiTheme="minorHAnsi"/>
          <w:szCs w:val="16"/>
        </w:rPr>
        <w:tab/>
        <w:t>“Operable capacity margin” equals “total net capacity” minus “total requirement.”</w:t>
      </w:r>
    </w:p>
    <w:p w:rsidR="008A621B" w:rsidRDefault="00927965" w:rsidP="008A621B">
      <w:fldSimple w:instr=" REF _Ref356647866 \h  \* MERGEFORMAT ">
        <w:r w:rsidR="00284CE3" w:rsidRPr="005E7481">
          <w:t xml:space="preserve">Figure </w:t>
        </w:r>
        <w:r w:rsidR="00284CE3">
          <w:rPr>
            <w:noProof/>
          </w:rPr>
          <w:t>4</w:t>
        </w:r>
        <w:r w:rsidR="00284CE3">
          <w:rPr>
            <w:noProof/>
          </w:rPr>
          <w:noBreakHyphen/>
          <w:t>1</w:t>
        </w:r>
      </w:fldSimple>
      <w:r w:rsidR="008A621B" w:rsidRPr="00A142C9">
        <w:t xml:space="preserve"> and</w:t>
      </w:r>
      <w:r w:rsidR="008A621B">
        <w:t xml:space="preserve"> </w:t>
      </w:r>
      <w:r>
        <w:fldChar w:fldCharType="begin"/>
      </w:r>
      <w:r w:rsidR="008A621B">
        <w:instrText xml:space="preserve"> REF _Ref356573944 \h </w:instrText>
      </w:r>
      <w:r>
        <w:fldChar w:fldCharType="separate"/>
      </w:r>
      <w:r w:rsidR="00284CE3" w:rsidRPr="00C50A9E">
        <w:t xml:space="preserve">Table </w:t>
      </w:r>
      <w:r w:rsidR="00284CE3">
        <w:rPr>
          <w:noProof/>
        </w:rPr>
        <w:t>4</w:t>
      </w:r>
      <w:r w:rsidR="00284CE3">
        <w:noBreakHyphen/>
      </w:r>
      <w:r w:rsidR="00284CE3">
        <w:rPr>
          <w:noProof/>
        </w:rPr>
        <w:t>10</w:t>
      </w:r>
      <w:r>
        <w:fldChar w:fldCharType="end"/>
      </w:r>
      <w:r w:rsidR="008A621B" w:rsidRPr="00A142C9">
        <w:t xml:space="preserve"> </w:t>
      </w:r>
      <w:r w:rsidR="008A621B" w:rsidRPr="003F243A">
        <w:t xml:space="preserve">show that New England </w:t>
      </w:r>
      <w:r w:rsidR="008A621B" w:rsidRPr="00B47C0C">
        <w:t xml:space="preserve">could </w:t>
      </w:r>
      <w:r w:rsidR="00D837D8" w:rsidRPr="00B47C0C">
        <w:t>have experienced larger negative operable capacity margins of approximately 2,360 MW as early as summer 2014</w:t>
      </w:r>
      <w:r w:rsidR="008A621B" w:rsidRPr="00B47C0C">
        <w:t xml:space="preserve"> if the 90</w:t>
      </w:r>
      <w:r w:rsidR="008A621B" w:rsidRPr="009B2B92">
        <w:t xml:space="preserve">/10 peak loads occurred. Thus, throughout the study period, New England would need to rely on load and capacity relief from OP 4 actions under the projected 90/10 peak loads. Assuming the exact amount of resources needed to meet </w:t>
      </w:r>
      <w:r w:rsidR="008A621B" w:rsidRPr="00EA2E47">
        <w:t xml:space="preserve">the </w:t>
      </w:r>
      <w:r w:rsidR="008A621B">
        <w:t>0.1 day per year</w:t>
      </w:r>
      <w:r w:rsidR="008A621B" w:rsidRPr="00EA2E47">
        <w:t xml:space="preserve"> loss-of-load expectation (LOLE) analysis </w:t>
      </w:r>
      <w:proofErr w:type="gramStart"/>
      <w:r w:rsidR="008A621B" w:rsidRPr="00EA2E47">
        <w:t>is purchased</w:t>
      </w:r>
      <w:proofErr w:type="gramEnd"/>
      <w:r w:rsidR="008A621B" w:rsidRPr="00EA2E47">
        <w:t xml:space="preserve"> in the FCA, this negative</w:t>
      </w:r>
      <w:r w:rsidR="008A621B" w:rsidRPr="009B2B92">
        <w:t xml:space="preserve"> operable capacity margin would </w:t>
      </w:r>
      <w:r w:rsidR="008A621B">
        <w:t xml:space="preserve">increase to </w:t>
      </w:r>
      <w:r w:rsidR="008A621B" w:rsidRPr="009B2B92">
        <w:t xml:space="preserve">approximately </w:t>
      </w:r>
      <w:r w:rsidR="008A621B">
        <w:t>2,625</w:t>
      </w:r>
      <w:r w:rsidR="008A621B" w:rsidRPr="009B2B92">
        <w:t xml:space="preserve"> MW by 201</w:t>
      </w:r>
      <w:r w:rsidR="008A621B">
        <w:t xml:space="preserve">7. </w:t>
      </w:r>
      <w:r w:rsidR="008A621B" w:rsidRPr="009B2B92">
        <w:t>Using an indicative reserve margin of 1</w:t>
      </w:r>
      <w:r w:rsidR="008A621B">
        <w:t>4.2</w:t>
      </w:r>
      <w:r w:rsidR="008A621B" w:rsidRPr="009B2B92">
        <w:t>%, the operable capacity margin stays relatively constant from 201</w:t>
      </w:r>
      <w:r w:rsidR="008A621B">
        <w:t>9</w:t>
      </w:r>
      <w:r w:rsidR="008A621B" w:rsidRPr="009B2B92">
        <w:t xml:space="preserve"> through 202</w:t>
      </w:r>
      <w:r w:rsidR="008A621B">
        <w:t>3</w:t>
      </w:r>
      <w:r w:rsidR="008A621B" w:rsidRPr="009B2B92">
        <w:t xml:space="preserve"> </w:t>
      </w:r>
      <w:r w:rsidR="008A621B" w:rsidRPr="00B47C0C">
        <w:t xml:space="preserve">in the negative 2,540 MW to </w:t>
      </w:r>
      <w:r w:rsidR="00D837D8" w:rsidRPr="00B47C0C">
        <w:t>negative</w:t>
      </w:r>
      <w:r w:rsidR="00133C75" w:rsidRPr="00B47C0C">
        <w:t xml:space="preserve"> </w:t>
      </w:r>
      <w:r w:rsidR="008A621B" w:rsidRPr="00B47C0C">
        <w:t>2,665 MW range.</w:t>
      </w:r>
      <w:r w:rsidR="008A621B" w:rsidRPr="00302E1C">
        <w:t xml:space="preserve"> </w:t>
      </w:r>
    </w:p>
    <w:p w:rsidR="00E63D3A" w:rsidRDefault="008A621B">
      <w:pPr>
        <w:pStyle w:val="Heading2"/>
      </w:pPr>
      <w:bookmarkStart w:id="468" w:name="_Ref327873597"/>
      <w:bookmarkStart w:id="469" w:name="_Toc334601036"/>
      <w:bookmarkStart w:id="470" w:name="_Ref231185835"/>
      <w:bookmarkStart w:id="471" w:name="_Toc239157072"/>
      <w:bookmarkStart w:id="472" w:name="_Toc271632227"/>
      <w:bookmarkStart w:id="473" w:name="_Toc303086385"/>
      <w:bookmarkStart w:id="474" w:name="_Toc365441000"/>
      <w:bookmarkStart w:id="475" w:name="_Toc396807630"/>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EF54AD">
        <w:t>Identifying New England’s Generating Resources</w:t>
      </w:r>
      <w:bookmarkEnd w:id="468"/>
      <w:bookmarkEnd w:id="469"/>
      <w:bookmarkEnd w:id="470"/>
      <w:bookmarkEnd w:id="471"/>
      <w:bookmarkEnd w:id="472"/>
      <w:bookmarkEnd w:id="473"/>
      <w:bookmarkEnd w:id="474"/>
      <w:bookmarkEnd w:id="475"/>
    </w:p>
    <w:p w:rsidR="00325C33" w:rsidRDefault="00927965" w:rsidP="00420B66">
      <w:fldSimple w:instr=" REF _Ref357159224 \h  \* MERGEFORMAT ">
        <w:r w:rsidR="00284CE3">
          <w:t xml:space="preserve">Table </w:t>
        </w:r>
        <w:r w:rsidR="00284CE3">
          <w:rPr>
            <w:noProof/>
          </w:rPr>
          <w:t>4</w:t>
        </w:r>
        <w:r w:rsidR="00284CE3">
          <w:rPr>
            <w:noProof/>
          </w:rPr>
          <w:noBreakHyphen/>
          <w:t>11</w:t>
        </w:r>
      </w:fldSimple>
      <w:r w:rsidR="008A621B" w:rsidRPr="00BD7584">
        <w:t xml:space="preserve"> shows the megawatt amount of summer seasonal claimed capability of the generating</w:t>
      </w:r>
      <w:r w:rsidR="008A621B">
        <w:t xml:space="preserve"> resources, both </w:t>
      </w:r>
      <w:proofErr w:type="spellStart"/>
      <w:r w:rsidR="008A621B">
        <w:t>systemwide</w:t>
      </w:r>
      <w:proofErr w:type="spellEnd"/>
      <w:r w:rsidR="008A621B">
        <w:t xml:space="preserve"> and for each RSP subarea,</w:t>
      </w:r>
      <w:r w:rsidR="008A621B" w:rsidRPr="003F053D">
        <w:t xml:space="preserve"> </w:t>
      </w:r>
      <w:r w:rsidR="008A621B">
        <w:t>categorized</w:t>
      </w:r>
      <w:r w:rsidR="008A621B" w:rsidRPr="00402FF1">
        <w:t xml:space="preserve"> by </w:t>
      </w:r>
      <w:r w:rsidR="008A621B">
        <w:t xml:space="preserve">the </w:t>
      </w:r>
      <w:r w:rsidR="008A621B" w:rsidRPr="00402FF1">
        <w:t>assumed operating</w:t>
      </w:r>
      <w:r w:rsidR="008A621B">
        <w:t xml:space="preserve"> classification of the resource</w:t>
      </w:r>
      <w:r w:rsidR="00954AD1">
        <w:t>.</w:t>
      </w:r>
    </w:p>
    <w:p w:rsidR="008A621B" w:rsidRDefault="008A621B" w:rsidP="00420B66">
      <w:pPr>
        <w:pStyle w:val="Caption"/>
      </w:pPr>
      <w:bookmarkStart w:id="476" w:name="_Ref357159224"/>
      <w:bookmarkStart w:id="477" w:name="_Toc365440712"/>
      <w:bookmarkStart w:id="478" w:name="_Toc391985613"/>
      <w:r>
        <w:t xml:space="preserve">Table </w:t>
      </w:r>
      <w:r w:rsidR="00927965">
        <w:fldChar w:fldCharType="begin"/>
      </w:r>
      <w:r w:rsidR="00BD7584">
        <w:instrText xml:space="preserve"> STYLEREF 1 \s </w:instrText>
      </w:r>
      <w:r w:rsidR="00927965">
        <w:fldChar w:fldCharType="separate"/>
      </w:r>
      <w:r w:rsidR="00284CE3">
        <w:rPr>
          <w:noProof/>
        </w:rPr>
        <w:t>4</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11</w:t>
      </w:r>
      <w:r w:rsidR="00927965">
        <w:fldChar w:fldCharType="end"/>
      </w:r>
      <w:bookmarkEnd w:id="476"/>
      <w:r>
        <w:t xml:space="preserve"> </w:t>
      </w:r>
      <w:r>
        <w:br/>
      </w:r>
      <w:r w:rsidRPr="00D77BBA">
        <w:t>2014 Summer Seasonal Claimed Capability for ISO New England Generating Resources,</w:t>
      </w:r>
      <w:r w:rsidRPr="00D77BBA">
        <w:br/>
        <w:t xml:space="preserve">by Assumed Operating Classification, </w:t>
      </w:r>
      <w:proofErr w:type="spellStart"/>
      <w:r w:rsidRPr="00D77BBA">
        <w:t>Systemwide</w:t>
      </w:r>
      <w:proofErr w:type="spellEnd"/>
      <w:r>
        <w:t>,</w:t>
      </w:r>
      <w:r w:rsidRPr="00D77BBA">
        <w:t xml:space="preserve"> and by RSP Subarea (MW)</w:t>
      </w:r>
      <w:bookmarkEnd w:id="477"/>
      <w:bookmarkEnd w:id="478"/>
    </w:p>
    <w:tbl>
      <w:tblPr>
        <w:tblStyle w:val="TableGrid"/>
        <w:tblW w:w="0" w:type="auto"/>
        <w:jc w:val="center"/>
        <w:tblLook w:val="04A0"/>
      </w:tblPr>
      <w:tblGrid>
        <w:gridCol w:w="1152"/>
        <w:gridCol w:w="1152"/>
        <w:gridCol w:w="1337"/>
        <w:gridCol w:w="1152"/>
        <w:gridCol w:w="1282"/>
      </w:tblGrid>
      <w:tr w:rsidR="00420B66" w:rsidRPr="00420B66" w:rsidTr="00420B66">
        <w:trPr>
          <w:jc w:val="center"/>
        </w:trPr>
        <w:tc>
          <w:tcPr>
            <w:tcW w:w="1152" w:type="dxa"/>
            <w:shd w:val="clear" w:color="auto" w:fill="85AFF2" w:themeFill="text2" w:themeFillTint="66"/>
            <w:vAlign w:val="center"/>
          </w:tcPr>
          <w:p w:rsidR="00420B66" w:rsidRPr="00420B66" w:rsidRDefault="00420B66" w:rsidP="001F4D17">
            <w:pPr>
              <w:keepNext/>
              <w:keepLines/>
              <w:spacing w:before="20" w:after="20" w:line="240" w:lineRule="auto"/>
              <w:jc w:val="center"/>
              <w:rPr>
                <w:rFonts w:asciiTheme="minorHAnsi" w:hAnsiTheme="minorHAnsi"/>
                <w:sz w:val="18"/>
                <w:szCs w:val="18"/>
              </w:rPr>
            </w:pPr>
            <w:r w:rsidRPr="00420B66">
              <w:rPr>
                <w:rFonts w:asciiTheme="minorHAnsi" w:hAnsiTheme="minorHAnsi"/>
                <w:b/>
                <w:color w:val="FFFFFF" w:themeColor="background1"/>
                <w:sz w:val="18"/>
                <w:szCs w:val="18"/>
              </w:rPr>
              <w:t>Area</w:t>
            </w:r>
          </w:p>
        </w:tc>
        <w:tc>
          <w:tcPr>
            <w:tcW w:w="1152" w:type="dxa"/>
            <w:shd w:val="clear" w:color="auto" w:fill="85AFF2" w:themeFill="text2" w:themeFillTint="66"/>
            <w:vAlign w:val="center"/>
          </w:tcPr>
          <w:p w:rsidR="00420B66" w:rsidRPr="00420B66" w:rsidRDefault="00420B66" w:rsidP="001F4D17">
            <w:pPr>
              <w:keepNext/>
              <w:keepLines/>
              <w:spacing w:before="20" w:after="20" w:line="240" w:lineRule="auto"/>
              <w:jc w:val="center"/>
              <w:rPr>
                <w:rFonts w:asciiTheme="minorHAnsi" w:hAnsiTheme="minorHAnsi"/>
                <w:sz w:val="18"/>
                <w:szCs w:val="18"/>
              </w:rPr>
            </w:pPr>
            <w:proofErr w:type="spellStart"/>
            <w:r w:rsidRPr="00420B66">
              <w:rPr>
                <w:rFonts w:asciiTheme="minorHAnsi" w:hAnsiTheme="minorHAnsi"/>
                <w:b/>
                <w:color w:val="FFFFFF" w:themeColor="background1"/>
                <w:sz w:val="18"/>
                <w:szCs w:val="18"/>
              </w:rPr>
              <w:t>Baseload</w:t>
            </w:r>
            <w:proofErr w:type="spellEnd"/>
            <w:r w:rsidR="00462F91">
              <w:rPr>
                <w:rFonts w:asciiTheme="minorHAnsi" w:hAnsiTheme="minorHAnsi"/>
                <w:b/>
                <w:color w:val="FFFFFF" w:themeColor="background1"/>
                <w:sz w:val="18"/>
                <w:szCs w:val="18"/>
                <w:vertAlign w:val="superscript"/>
              </w:rPr>
              <w:t>(a)</w:t>
            </w:r>
          </w:p>
        </w:tc>
        <w:tc>
          <w:tcPr>
            <w:tcW w:w="1198" w:type="dxa"/>
            <w:shd w:val="clear" w:color="auto" w:fill="85AFF2" w:themeFill="text2" w:themeFillTint="66"/>
            <w:vAlign w:val="center"/>
          </w:tcPr>
          <w:p w:rsidR="00420B66" w:rsidRPr="00420B66" w:rsidRDefault="00420B66" w:rsidP="00325C33">
            <w:pPr>
              <w:keepNext/>
              <w:keepLines/>
              <w:spacing w:before="20" w:after="20" w:line="240" w:lineRule="auto"/>
              <w:jc w:val="center"/>
              <w:rPr>
                <w:rFonts w:asciiTheme="minorHAnsi" w:hAnsiTheme="minorHAnsi"/>
                <w:sz w:val="18"/>
                <w:szCs w:val="18"/>
              </w:rPr>
            </w:pPr>
            <w:r w:rsidRPr="00420B66">
              <w:rPr>
                <w:rFonts w:asciiTheme="minorHAnsi" w:hAnsiTheme="minorHAnsi"/>
                <w:b/>
                <w:color w:val="FFFFFF" w:themeColor="background1"/>
                <w:sz w:val="18"/>
                <w:szCs w:val="18"/>
              </w:rPr>
              <w:t>Intermediate</w:t>
            </w:r>
            <w:r w:rsidR="008C3672">
              <w:rPr>
                <w:rFonts w:asciiTheme="minorHAnsi" w:hAnsiTheme="minorHAnsi"/>
                <w:b/>
                <w:color w:val="FFFFFF" w:themeColor="background1"/>
                <w:sz w:val="18"/>
                <w:szCs w:val="18"/>
                <w:vertAlign w:val="superscript"/>
              </w:rPr>
              <w:t>(</w:t>
            </w:r>
            <w:r w:rsidR="00325C33">
              <w:rPr>
                <w:rFonts w:asciiTheme="minorHAnsi" w:hAnsiTheme="minorHAnsi"/>
                <w:b/>
                <w:color w:val="FFFFFF" w:themeColor="background1"/>
                <w:sz w:val="18"/>
                <w:szCs w:val="18"/>
                <w:vertAlign w:val="superscript"/>
              </w:rPr>
              <w:t>b</w:t>
            </w:r>
            <w:r w:rsidR="008C3672">
              <w:rPr>
                <w:rFonts w:asciiTheme="minorHAnsi" w:hAnsiTheme="minorHAnsi"/>
                <w:b/>
                <w:color w:val="FFFFFF" w:themeColor="background1"/>
                <w:sz w:val="18"/>
                <w:szCs w:val="18"/>
                <w:vertAlign w:val="superscript"/>
              </w:rPr>
              <w:t>)</w:t>
            </w:r>
          </w:p>
        </w:tc>
        <w:tc>
          <w:tcPr>
            <w:tcW w:w="1152" w:type="dxa"/>
            <w:shd w:val="clear" w:color="auto" w:fill="85AFF2" w:themeFill="text2" w:themeFillTint="66"/>
            <w:vAlign w:val="center"/>
          </w:tcPr>
          <w:p w:rsidR="00420B66" w:rsidRPr="00420B66" w:rsidRDefault="00420B66" w:rsidP="00325C33">
            <w:pPr>
              <w:keepNext/>
              <w:keepLines/>
              <w:spacing w:before="20" w:after="20" w:line="240" w:lineRule="auto"/>
              <w:jc w:val="center"/>
              <w:rPr>
                <w:rFonts w:asciiTheme="minorHAnsi" w:hAnsiTheme="minorHAnsi"/>
                <w:sz w:val="18"/>
                <w:szCs w:val="18"/>
              </w:rPr>
            </w:pPr>
            <w:r w:rsidRPr="00420B66">
              <w:rPr>
                <w:rFonts w:asciiTheme="minorHAnsi" w:hAnsiTheme="minorHAnsi"/>
                <w:b/>
                <w:color w:val="FFFFFF" w:themeColor="background1"/>
                <w:sz w:val="18"/>
                <w:szCs w:val="18"/>
              </w:rPr>
              <w:t>Peaking</w:t>
            </w:r>
            <w:r w:rsidR="008C3672">
              <w:rPr>
                <w:rFonts w:asciiTheme="minorHAnsi" w:hAnsiTheme="minorHAnsi"/>
                <w:b/>
                <w:color w:val="FFFFFF" w:themeColor="background1"/>
                <w:sz w:val="18"/>
                <w:szCs w:val="18"/>
                <w:vertAlign w:val="superscript"/>
              </w:rPr>
              <w:t>(</w:t>
            </w:r>
            <w:r w:rsidR="00325C33">
              <w:rPr>
                <w:rFonts w:asciiTheme="minorHAnsi" w:hAnsiTheme="minorHAnsi"/>
                <w:b/>
                <w:color w:val="FFFFFF" w:themeColor="background1"/>
                <w:sz w:val="18"/>
                <w:szCs w:val="18"/>
                <w:vertAlign w:val="superscript"/>
              </w:rPr>
              <w:t>c</w:t>
            </w:r>
            <w:r w:rsidR="008C3672">
              <w:rPr>
                <w:rFonts w:asciiTheme="minorHAnsi" w:hAnsiTheme="minorHAnsi"/>
                <w:b/>
                <w:color w:val="FFFFFF" w:themeColor="background1"/>
                <w:sz w:val="18"/>
                <w:szCs w:val="18"/>
                <w:vertAlign w:val="superscript"/>
              </w:rPr>
              <w:t>)</w:t>
            </w:r>
          </w:p>
        </w:tc>
        <w:tc>
          <w:tcPr>
            <w:tcW w:w="1152" w:type="dxa"/>
            <w:shd w:val="clear" w:color="auto" w:fill="85AFF2" w:themeFill="text2" w:themeFillTint="66"/>
            <w:vAlign w:val="center"/>
          </w:tcPr>
          <w:p w:rsidR="00420B66" w:rsidRPr="00420B66" w:rsidRDefault="00420B66" w:rsidP="00325C33">
            <w:pPr>
              <w:keepNext/>
              <w:keepLines/>
              <w:spacing w:before="20" w:after="20" w:line="240" w:lineRule="auto"/>
              <w:jc w:val="center"/>
              <w:rPr>
                <w:rFonts w:asciiTheme="minorHAnsi" w:hAnsiTheme="minorHAnsi"/>
                <w:sz w:val="18"/>
                <w:szCs w:val="18"/>
              </w:rPr>
            </w:pPr>
            <w:r w:rsidRPr="00420B66">
              <w:rPr>
                <w:rFonts w:asciiTheme="minorHAnsi" w:hAnsiTheme="minorHAnsi"/>
                <w:b/>
                <w:color w:val="FFFFFF" w:themeColor="background1"/>
                <w:sz w:val="18"/>
                <w:szCs w:val="18"/>
              </w:rPr>
              <w:t>Intermittent</w:t>
            </w:r>
            <w:r w:rsidR="008C3672">
              <w:rPr>
                <w:rFonts w:asciiTheme="minorHAnsi" w:hAnsiTheme="minorHAnsi"/>
                <w:b/>
                <w:color w:val="FFFFFF" w:themeColor="background1"/>
                <w:sz w:val="18"/>
                <w:szCs w:val="18"/>
                <w:vertAlign w:val="superscript"/>
              </w:rPr>
              <w:t>(</w:t>
            </w:r>
            <w:r w:rsidR="00325C33">
              <w:rPr>
                <w:rFonts w:asciiTheme="minorHAnsi" w:hAnsiTheme="minorHAnsi"/>
                <w:b/>
                <w:color w:val="FFFFFF" w:themeColor="background1"/>
                <w:sz w:val="18"/>
                <w:szCs w:val="18"/>
                <w:vertAlign w:val="superscript"/>
              </w:rPr>
              <w:t>d</w:t>
            </w:r>
            <w:r w:rsidR="008C3672">
              <w:rPr>
                <w:rFonts w:asciiTheme="minorHAnsi" w:hAnsiTheme="minorHAnsi"/>
                <w:b/>
                <w:color w:val="FFFFFF" w:themeColor="background1"/>
                <w:sz w:val="18"/>
                <w:szCs w:val="18"/>
                <w:vertAlign w:val="superscript"/>
              </w:rPr>
              <w:t>)</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BHE</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125</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488</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159 </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58</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BOSTON</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676</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1,655</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305</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9</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CMA/NEMA</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 46</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75</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29 </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39</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CT</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3,898</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718</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551</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ME</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338</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244</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133</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136</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NH</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2,828</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1,183</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83</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86</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NOR</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170</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RI</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1,510</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3,696</w:t>
            </w:r>
          </w:p>
        </w:tc>
        <w:tc>
          <w:tcPr>
            <w:tcW w:w="1152" w:type="dxa"/>
            <w:shd w:val="clear" w:color="auto" w:fill="C2D7F8" w:themeFill="text2" w:themeFillTint="33"/>
            <w:vAlign w:val="center"/>
          </w:tcPr>
          <w:p w:rsidR="00420B66" w:rsidRPr="00420B66" w:rsidRDefault="00420B66" w:rsidP="006A4EC1">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35 </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15</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SEMA</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1,866</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1,369</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142</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38</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SME</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872</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515</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32</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SWCT</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542</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971</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768 </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w:t>
            </w:r>
          </w:p>
        </w:tc>
      </w:tr>
      <w:tr w:rsidR="00420B66" w:rsidRPr="00420B66" w:rsidTr="00420B66">
        <w:trPr>
          <w:jc w:val="center"/>
        </w:trPr>
        <w:tc>
          <w:tcPr>
            <w:tcW w:w="1152" w:type="dxa"/>
            <w:shd w:val="clear" w:color="auto" w:fill="C2D7F8" w:themeFill="text2" w:themeFillTint="33"/>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VT</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799</w:t>
            </w:r>
          </w:p>
        </w:tc>
        <w:tc>
          <w:tcPr>
            <w:tcW w:w="1198"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 xml:space="preserve">127 </w:t>
            </w:r>
          </w:p>
        </w:tc>
        <w:tc>
          <w:tcPr>
            <w:tcW w:w="1152" w:type="dxa"/>
            <w:shd w:val="clear" w:color="auto" w:fill="C2D7F8" w:themeFill="text2" w:themeFillTint="33"/>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64</w:t>
            </w:r>
          </w:p>
        </w:tc>
      </w:tr>
      <w:tr w:rsidR="00420B66" w:rsidRPr="00420B66" w:rsidTr="00420B66">
        <w:trPr>
          <w:jc w:val="center"/>
        </w:trPr>
        <w:tc>
          <w:tcPr>
            <w:tcW w:w="1152" w:type="dxa"/>
            <w:vAlign w:val="center"/>
          </w:tcPr>
          <w:p w:rsidR="00420B66" w:rsidRPr="00420B66" w:rsidRDefault="00420B66" w:rsidP="00420B66">
            <w:pPr>
              <w:keepNext/>
              <w:keepLines/>
              <w:spacing w:before="20" w:after="20" w:line="240" w:lineRule="auto"/>
              <w:rPr>
                <w:rFonts w:asciiTheme="minorHAnsi" w:hAnsiTheme="minorHAnsi"/>
                <w:sz w:val="18"/>
                <w:szCs w:val="18"/>
              </w:rPr>
            </w:pPr>
            <w:r w:rsidRPr="00420B66">
              <w:rPr>
                <w:rFonts w:asciiTheme="minorHAnsi" w:hAnsiTheme="minorHAnsi"/>
                <w:b/>
                <w:color w:val="000000"/>
                <w:sz w:val="18"/>
                <w:szCs w:val="18"/>
              </w:rPr>
              <w:t>WMA</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372</w:t>
            </w:r>
          </w:p>
        </w:tc>
        <w:tc>
          <w:tcPr>
            <w:tcW w:w="1198"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1,363</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1,956</w:t>
            </w:r>
          </w:p>
        </w:tc>
        <w:tc>
          <w:tcPr>
            <w:tcW w:w="1152" w:type="dxa"/>
            <w:vAlign w:val="center"/>
          </w:tcPr>
          <w:p w:rsidR="00420B66" w:rsidRPr="00420B66" w:rsidRDefault="00420B66" w:rsidP="00420B66">
            <w:pPr>
              <w:keepNext/>
              <w:keepLines/>
              <w:spacing w:before="20" w:after="20" w:line="240" w:lineRule="auto"/>
              <w:jc w:val="right"/>
              <w:rPr>
                <w:rFonts w:asciiTheme="minorHAnsi" w:hAnsiTheme="minorHAnsi"/>
                <w:sz w:val="18"/>
                <w:szCs w:val="18"/>
              </w:rPr>
            </w:pPr>
            <w:r w:rsidRPr="00420B66">
              <w:rPr>
                <w:rFonts w:asciiTheme="minorHAnsi" w:hAnsiTheme="minorHAnsi"/>
                <w:color w:val="000000"/>
                <w:sz w:val="18"/>
                <w:szCs w:val="18"/>
              </w:rPr>
              <w:t>75</w:t>
            </w:r>
          </w:p>
        </w:tc>
      </w:tr>
      <w:tr w:rsidR="00420B66" w:rsidRPr="00C02319" w:rsidTr="00420B66">
        <w:trPr>
          <w:jc w:val="center"/>
        </w:trPr>
        <w:tc>
          <w:tcPr>
            <w:tcW w:w="1152" w:type="dxa"/>
            <w:shd w:val="clear" w:color="auto" w:fill="85AFF2" w:themeFill="text2" w:themeFillTint="66"/>
            <w:vAlign w:val="center"/>
          </w:tcPr>
          <w:p w:rsidR="00420B66" w:rsidRPr="00C02319" w:rsidRDefault="00420B66" w:rsidP="00420B66">
            <w:pPr>
              <w:keepNext/>
              <w:keepLines/>
              <w:spacing w:before="20" w:after="20" w:line="240" w:lineRule="auto"/>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Total</w:t>
            </w:r>
            <w:r w:rsidR="00052582" w:rsidRPr="00052582">
              <w:rPr>
                <w:rFonts w:asciiTheme="minorHAnsi" w:hAnsiTheme="minorHAnsi"/>
                <w:b/>
                <w:color w:val="FFFFFF" w:themeColor="background1"/>
                <w:sz w:val="18"/>
                <w:szCs w:val="18"/>
                <w:vertAlign w:val="superscript"/>
              </w:rPr>
              <w:t>(e)</w:t>
            </w:r>
          </w:p>
        </w:tc>
        <w:tc>
          <w:tcPr>
            <w:tcW w:w="1152" w:type="dxa"/>
            <w:shd w:val="clear" w:color="auto" w:fill="85AFF2" w:themeFill="text2" w:themeFillTint="66"/>
            <w:vAlign w:val="center"/>
          </w:tcPr>
          <w:p w:rsidR="00420B66" w:rsidRPr="00C02319" w:rsidRDefault="00420B66" w:rsidP="00420B66">
            <w:pPr>
              <w:keepNext/>
              <w:keepLines/>
              <w:spacing w:before="20" w:after="20" w:line="240" w:lineRule="auto"/>
              <w:jc w:val="right"/>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 xml:space="preserve">13,872 </w:t>
            </w:r>
          </w:p>
        </w:tc>
        <w:tc>
          <w:tcPr>
            <w:tcW w:w="1198" w:type="dxa"/>
            <w:shd w:val="clear" w:color="auto" w:fill="85AFF2" w:themeFill="text2" w:themeFillTint="66"/>
            <w:vAlign w:val="center"/>
          </w:tcPr>
          <w:p w:rsidR="00420B66" w:rsidRPr="00C02319" w:rsidRDefault="00420B66" w:rsidP="00420B66">
            <w:pPr>
              <w:keepNext/>
              <w:keepLines/>
              <w:spacing w:before="20" w:after="20" w:line="240" w:lineRule="auto"/>
              <w:jc w:val="right"/>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12,277</w:t>
            </w:r>
          </w:p>
        </w:tc>
        <w:tc>
          <w:tcPr>
            <w:tcW w:w="1152" w:type="dxa"/>
            <w:shd w:val="clear" w:color="auto" w:fill="85AFF2" w:themeFill="text2" w:themeFillTint="66"/>
            <w:vAlign w:val="center"/>
          </w:tcPr>
          <w:p w:rsidR="00420B66" w:rsidRPr="00C02319" w:rsidRDefault="00420B66" w:rsidP="00420B66">
            <w:pPr>
              <w:keepNext/>
              <w:keepLines/>
              <w:spacing w:before="20" w:after="20" w:line="240" w:lineRule="auto"/>
              <w:jc w:val="right"/>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 xml:space="preserve">4,489 </w:t>
            </w:r>
          </w:p>
        </w:tc>
        <w:tc>
          <w:tcPr>
            <w:tcW w:w="1152" w:type="dxa"/>
            <w:shd w:val="clear" w:color="auto" w:fill="85AFF2" w:themeFill="text2" w:themeFillTint="66"/>
            <w:vAlign w:val="center"/>
          </w:tcPr>
          <w:p w:rsidR="00420B66" w:rsidRPr="00C02319" w:rsidRDefault="00420B66" w:rsidP="00420B66">
            <w:pPr>
              <w:keepNext/>
              <w:keepLines/>
              <w:spacing w:before="20" w:after="20" w:line="240" w:lineRule="auto"/>
              <w:jc w:val="right"/>
              <w:rPr>
                <w:rFonts w:asciiTheme="minorHAnsi" w:hAnsiTheme="minorHAnsi"/>
                <w:b/>
                <w:color w:val="FFFFFF" w:themeColor="background1"/>
                <w:sz w:val="18"/>
                <w:szCs w:val="18"/>
              </w:rPr>
            </w:pPr>
            <w:r w:rsidRPr="00C02319">
              <w:rPr>
                <w:rFonts w:asciiTheme="minorHAnsi" w:hAnsiTheme="minorHAnsi"/>
                <w:b/>
                <w:color w:val="FFFFFF" w:themeColor="background1"/>
                <w:sz w:val="18"/>
                <w:szCs w:val="18"/>
              </w:rPr>
              <w:t>535</w:t>
            </w:r>
          </w:p>
        </w:tc>
      </w:tr>
    </w:tbl>
    <w:p w:rsidR="001721CB" w:rsidRPr="00133C75" w:rsidRDefault="00420B66" w:rsidP="001721CB">
      <w:pPr>
        <w:keepNext/>
        <w:keepLines/>
        <w:tabs>
          <w:tab w:val="left" w:pos="7560"/>
        </w:tabs>
        <w:spacing w:before="120" w:after="80" w:line="240" w:lineRule="auto"/>
        <w:ind w:left="1710" w:right="1440" w:hanging="270"/>
        <w:rPr>
          <w:rFonts w:asciiTheme="minorHAnsi" w:hAnsiTheme="minorHAnsi"/>
          <w:sz w:val="16"/>
          <w:szCs w:val="16"/>
        </w:rPr>
      </w:pPr>
      <w:r w:rsidRPr="00133C75">
        <w:rPr>
          <w:rFonts w:asciiTheme="minorHAnsi" w:hAnsiTheme="minorHAnsi"/>
          <w:sz w:val="16"/>
          <w:szCs w:val="16"/>
        </w:rPr>
        <w:t xml:space="preserve">(a) </w:t>
      </w:r>
      <w:r w:rsidR="001721CB" w:rsidRPr="00133C75">
        <w:rPr>
          <w:rFonts w:asciiTheme="minorHAnsi" w:hAnsiTheme="minorHAnsi"/>
          <w:sz w:val="16"/>
          <w:szCs w:val="16"/>
        </w:rPr>
        <w:tab/>
      </w:r>
      <w:proofErr w:type="spellStart"/>
      <w:r w:rsidR="00113C54" w:rsidRPr="00133C75">
        <w:rPr>
          <w:rFonts w:asciiTheme="minorHAnsi" w:hAnsiTheme="minorHAnsi"/>
          <w:i/>
          <w:sz w:val="16"/>
          <w:szCs w:val="16"/>
        </w:rPr>
        <w:t>Baseload</w:t>
      </w:r>
      <w:proofErr w:type="spellEnd"/>
      <w:r w:rsidR="00113C54" w:rsidRPr="00133C75">
        <w:rPr>
          <w:rFonts w:asciiTheme="minorHAnsi" w:hAnsiTheme="minorHAnsi"/>
          <w:i/>
          <w:sz w:val="16"/>
          <w:szCs w:val="16"/>
        </w:rPr>
        <w:t xml:space="preserve"> units</w:t>
      </w:r>
      <w:r w:rsidR="001721CB" w:rsidRPr="00133C75">
        <w:rPr>
          <w:rFonts w:asciiTheme="minorHAnsi" w:hAnsiTheme="minorHAnsi"/>
          <w:sz w:val="16"/>
          <w:szCs w:val="16"/>
        </w:rPr>
        <w:t xml:space="preserve"> </w:t>
      </w:r>
      <w:proofErr w:type="gramStart"/>
      <w:r w:rsidR="001721CB" w:rsidRPr="00133C75">
        <w:rPr>
          <w:rFonts w:asciiTheme="minorHAnsi" w:hAnsiTheme="minorHAnsi"/>
          <w:sz w:val="16"/>
          <w:szCs w:val="16"/>
        </w:rPr>
        <w:t>are assumed</w:t>
      </w:r>
      <w:proofErr w:type="gramEnd"/>
      <w:r w:rsidR="001721CB" w:rsidRPr="00133C75">
        <w:rPr>
          <w:rFonts w:asciiTheme="minorHAnsi" w:hAnsiTheme="minorHAnsi"/>
          <w:sz w:val="16"/>
          <w:szCs w:val="16"/>
        </w:rPr>
        <w:t xml:space="preserve"> to run for long continuous hours at a constant output and </w:t>
      </w:r>
      <w:r w:rsidR="00113C54" w:rsidRPr="00133C75">
        <w:rPr>
          <w:rFonts w:asciiTheme="minorHAnsi" w:hAnsiTheme="minorHAnsi"/>
          <w:sz w:val="16"/>
          <w:szCs w:val="16"/>
        </w:rPr>
        <w:t xml:space="preserve">have little flexibility. For operating classification purposes, bio/refuse, coal, fuel cell, </w:t>
      </w:r>
      <w:proofErr w:type="spellStart"/>
      <w:r w:rsidR="00113C54" w:rsidRPr="00133C75">
        <w:rPr>
          <w:rFonts w:asciiTheme="minorHAnsi" w:hAnsiTheme="minorHAnsi"/>
          <w:sz w:val="16"/>
          <w:szCs w:val="16"/>
        </w:rPr>
        <w:t>pondage</w:t>
      </w:r>
      <w:proofErr w:type="spellEnd"/>
      <w:r w:rsidR="00113C54" w:rsidRPr="00133C75">
        <w:rPr>
          <w:rFonts w:asciiTheme="minorHAnsi" w:hAnsiTheme="minorHAnsi"/>
          <w:sz w:val="16"/>
          <w:szCs w:val="16"/>
        </w:rPr>
        <w:t xml:space="preserve"> hydro, weekly hydro, nuclear, and thermal steam generators </w:t>
      </w:r>
      <w:proofErr w:type="gramStart"/>
      <w:r w:rsidR="00113C54" w:rsidRPr="00133C75">
        <w:rPr>
          <w:rFonts w:asciiTheme="minorHAnsi" w:hAnsiTheme="minorHAnsi"/>
          <w:sz w:val="16"/>
          <w:szCs w:val="16"/>
        </w:rPr>
        <w:t>are assumed</w:t>
      </w:r>
      <w:proofErr w:type="gramEnd"/>
      <w:r w:rsidR="00113C54" w:rsidRPr="00133C75">
        <w:rPr>
          <w:rFonts w:asciiTheme="minorHAnsi" w:hAnsiTheme="minorHAnsi"/>
          <w:sz w:val="16"/>
          <w:szCs w:val="16"/>
        </w:rPr>
        <w:t xml:space="preserve"> in the </w:t>
      </w:r>
      <w:proofErr w:type="spellStart"/>
      <w:r w:rsidR="00113C54" w:rsidRPr="00133C75">
        <w:rPr>
          <w:rFonts w:asciiTheme="minorHAnsi" w:hAnsiTheme="minorHAnsi"/>
          <w:sz w:val="16"/>
          <w:szCs w:val="16"/>
        </w:rPr>
        <w:t>baseload</w:t>
      </w:r>
      <w:proofErr w:type="spellEnd"/>
      <w:r w:rsidR="00113C54" w:rsidRPr="00133C75">
        <w:rPr>
          <w:rFonts w:asciiTheme="minorHAnsi" w:hAnsiTheme="minorHAnsi"/>
          <w:sz w:val="16"/>
          <w:szCs w:val="16"/>
        </w:rPr>
        <w:t xml:space="preserve"> category.</w:t>
      </w:r>
    </w:p>
    <w:p w:rsidR="00587924" w:rsidRPr="00133C75" w:rsidRDefault="00325C33" w:rsidP="00052582">
      <w:pPr>
        <w:keepNext/>
        <w:keepLines/>
        <w:tabs>
          <w:tab w:val="left" w:pos="7560"/>
        </w:tabs>
        <w:spacing w:after="80" w:line="240" w:lineRule="auto"/>
        <w:ind w:left="1710" w:right="1440" w:hanging="270"/>
        <w:rPr>
          <w:rFonts w:asciiTheme="minorHAnsi" w:hAnsiTheme="minorHAnsi"/>
          <w:sz w:val="16"/>
          <w:szCs w:val="16"/>
        </w:rPr>
      </w:pPr>
      <w:r w:rsidRPr="00133C75">
        <w:rPr>
          <w:rFonts w:asciiTheme="minorHAnsi" w:hAnsiTheme="minorHAnsi"/>
          <w:sz w:val="16"/>
          <w:szCs w:val="16"/>
        </w:rPr>
        <w:t>(b)</w:t>
      </w:r>
      <w:r w:rsidR="001721CB" w:rsidRPr="00133C75">
        <w:rPr>
          <w:rFonts w:asciiTheme="minorHAnsi" w:hAnsiTheme="minorHAnsi"/>
          <w:sz w:val="16"/>
          <w:szCs w:val="16"/>
        </w:rPr>
        <w:tab/>
      </w:r>
      <w:r w:rsidR="00113C54" w:rsidRPr="00133C75">
        <w:rPr>
          <w:rFonts w:asciiTheme="minorHAnsi" w:hAnsiTheme="minorHAnsi"/>
          <w:i/>
          <w:sz w:val="16"/>
          <w:szCs w:val="16"/>
        </w:rPr>
        <w:t xml:space="preserve">Intermediate units </w:t>
      </w:r>
      <w:r w:rsidR="00113C54" w:rsidRPr="00133C75">
        <w:rPr>
          <w:rFonts w:asciiTheme="minorHAnsi" w:hAnsiTheme="minorHAnsi"/>
          <w:sz w:val="16"/>
          <w:szCs w:val="16"/>
        </w:rPr>
        <w:t xml:space="preserve">have the ability to dispatch flexibly and can follow variations in the system load. </w:t>
      </w:r>
      <w:r w:rsidR="001721CB" w:rsidRPr="00133C75">
        <w:rPr>
          <w:rFonts w:asciiTheme="minorHAnsi" w:hAnsiTheme="minorHAnsi"/>
          <w:sz w:val="16"/>
          <w:szCs w:val="16"/>
        </w:rPr>
        <w:t>C</w:t>
      </w:r>
      <w:r w:rsidR="00113C54" w:rsidRPr="00133C75">
        <w:rPr>
          <w:rFonts w:asciiTheme="minorHAnsi" w:hAnsiTheme="minorHAnsi"/>
          <w:sz w:val="16"/>
          <w:szCs w:val="16"/>
        </w:rPr>
        <w:t xml:space="preserve">ombined-cycle (CC) generators </w:t>
      </w:r>
      <w:proofErr w:type="gramStart"/>
      <w:r w:rsidR="00113C54" w:rsidRPr="00133C75">
        <w:rPr>
          <w:rFonts w:asciiTheme="minorHAnsi" w:hAnsiTheme="minorHAnsi"/>
          <w:sz w:val="16"/>
          <w:szCs w:val="16"/>
        </w:rPr>
        <w:t>are assumed</w:t>
      </w:r>
      <w:proofErr w:type="gramEnd"/>
      <w:r w:rsidR="00113C54" w:rsidRPr="00133C75">
        <w:rPr>
          <w:rFonts w:asciiTheme="minorHAnsi" w:hAnsiTheme="minorHAnsi"/>
          <w:sz w:val="16"/>
          <w:szCs w:val="16"/>
        </w:rPr>
        <w:t xml:space="preserve"> in the intermediate category.</w:t>
      </w:r>
      <w:r w:rsidR="001721CB" w:rsidRPr="00133C75">
        <w:rPr>
          <w:rFonts w:asciiTheme="minorHAnsi" w:hAnsiTheme="minorHAnsi"/>
          <w:sz w:val="16"/>
          <w:szCs w:val="16"/>
        </w:rPr>
        <w:t xml:space="preserve"> </w:t>
      </w:r>
    </w:p>
    <w:p w:rsidR="00587924" w:rsidRPr="00133C75" w:rsidRDefault="001721CB" w:rsidP="00052582">
      <w:pPr>
        <w:keepNext/>
        <w:keepLines/>
        <w:tabs>
          <w:tab w:val="left" w:pos="7560"/>
        </w:tabs>
        <w:spacing w:after="80" w:line="240" w:lineRule="auto"/>
        <w:ind w:left="1710" w:right="1440" w:hanging="270"/>
        <w:rPr>
          <w:rFonts w:asciiTheme="minorHAnsi" w:hAnsiTheme="minorHAnsi"/>
          <w:sz w:val="16"/>
          <w:szCs w:val="16"/>
        </w:rPr>
      </w:pPr>
      <w:r w:rsidRPr="00133C75">
        <w:rPr>
          <w:rFonts w:asciiTheme="minorHAnsi" w:hAnsiTheme="minorHAnsi"/>
          <w:sz w:val="16"/>
          <w:szCs w:val="16"/>
        </w:rPr>
        <w:t>(c)</w:t>
      </w:r>
      <w:r w:rsidRPr="00133C75">
        <w:rPr>
          <w:rFonts w:asciiTheme="minorHAnsi" w:hAnsiTheme="minorHAnsi"/>
          <w:sz w:val="16"/>
          <w:szCs w:val="16"/>
        </w:rPr>
        <w:tab/>
      </w:r>
      <w:r w:rsidR="00113C54" w:rsidRPr="00133C75">
        <w:rPr>
          <w:rFonts w:asciiTheme="minorHAnsi" w:hAnsiTheme="minorHAnsi"/>
          <w:i/>
          <w:sz w:val="16"/>
          <w:szCs w:val="16"/>
        </w:rPr>
        <w:t>Peaking generators</w:t>
      </w:r>
      <w:r w:rsidR="00113C54" w:rsidRPr="00133C75">
        <w:rPr>
          <w:rFonts w:asciiTheme="minorHAnsi" w:hAnsiTheme="minorHAnsi"/>
          <w:sz w:val="16"/>
          <w:szCs w:val="16"/>
        </w:rPr>
        <w:t xml:space="preserve"> </w:t>
      </w:r>
      <w:proofErr w:type="gramStart"/>
      <w:r w:rsidR="00113C54" w:rsidRPr="00133C75">
        <w:rPr>
          <w:rFonts w:asciiTheme="minorHAnsi" w:hAnsiTheme="minorHAnsi"/>
          <w:sz w:val="16"/>
          <w:szCs w:val="16"/>
        </w:rPr>
        <w:t>can be dispatched</w:t>
      </w:r>
      <w:proofErr w:type="gramEnd"/>
      <w:r w:rsidR="00113C54" w:rsidRPr="00133C75">
        <w:rPr>
          <w:rFonts w:asciiTheme="minorHAnsi" w:hAnsiTheme="minorHAnsi"/>
          <w:sz w:val="16"/>
          <w:szCs w:val="16"/>
        </w:rPr>
        <w:t xml:space="preserve"> to meet peak demand for relatively short periods. </w:t>
      </w:r>
      <w:r w:rsidRPr="00133C75">
        <w:rPr>
          <w:rFonts w:asciiTheme="minorHAnsi" w:hAnsiTheme="minorHAnsi"/>
          <w:sz w:val="16"/>
          <w:szCs w:val="16"/>
        </w:rPr>
        <w:t xml:space="preserve">Internal combustion, gas turbine, and pumped-storage generators </w:t>
      </w:r>
      <w:proofErr w:type="gramStart"/>
      <w:r w:rsidRPr="00133C75">
        <w:rPr>
          <w:rFonts w:asciiTheme="minorHAnsi" w:hAnsiTheme="minorHAnsi"/>
          <w:sz w:val="16"/>
          <w:szCs w:val="16"/>
        </w:rPr>
        <w:t>are assumed</w:t>
      </w:r>
      <w:proofErr w:type="gramEnd"/>
      <w:r w:rsidRPr="00133C75">
        <w:rPr>
          <w:rFonts w:asciiTheme="minorHAnsi" w:hAnsiTheme="minorHAnsi"/>
          <w:sz w:val="16"/>
          <w:szCs w:val="16"/>
        </w:rPr>
        <w:t xml:space="preserve"> in the peaking category. </w:t>
      </w:r>
    </w:p>
    <w:p w:rsidR="00587924" w:rsidRPr="00133C75" w:rsidRDefault="001721CB" w:rsidP="00052582">
      <w:pPr>
        <w:keepNext/>
        <w:keepLines/>
        <w:tabs>
          <w:tab w:val="left" w:pos="7560"/>
        </w:tabs>
        <w:spacing w:after="120" w:line="240" w:lineRule="auto"/>
        <w:ind w:left="1714" w:right="1440" w:hanging="274"/>
        <w:rPr>
          <w:rFonts w:asciiTheme="minorHAnsi" w:hAnsiTheme="minorHAnsi"/>
          <w:sz w:val="16"/>
          <w:szCs w:val="16"/>
        </w:rPr>
      </w:pPr>
      <w:r w:rsidRPr="00133C75">
        <w:rPr>
          <w:rFonts w:asciiTheme="minorHAnsi" w:hAnsiTheme="minorHAnsi"/>
          <w:sz w:val="16"/>
          <w:szCs w:val="16"/>
        </w:rPr>
        <w:t>(d)</w:t>
      </w:r>
      <w:r w:rsidRPr="00133C75">
        <w:rPr>
          <w:rFonts w:asciiTheme="minorHAnsi" w:hAnsiTheme="minorHAnsi"/>
          <w:sz w:val="16"/>
          <w:szCs w:val="16"/>
        </w:rPr>
        <w:tab/>
      </w:r>
      <w:r w:rsidR="00113C54" w:rsidRPr="00133C75">
        <w:rPr>
          <w:rFonts w:asciiTheme="minorHAnsi" w:hAnsiTheme="minorHAnsi"/>
          <w:i/>
          <w:sz w:val="16"/>
          <w:szCs w:val="16"/>
        </w:rPr>
        <w:t>Intermittent units</w:t>
      </w:r>
      <w:r w:rsidR="00113C54" w:rsidRPr="00133C75">
        <w:rPr>
          <w:rFonts w:asciiTheme="minorHAnsi" w:hAnsiTheme="minorHAnsi"/>
          <w:sz w:val="16"/>
          <w:szCs w:val="16"/>
        </w:rPr>
        <w:t xml:space="preserve"> produce energy subject to variations in “fuel” determined by weather. </w:t>
      </w:r>
      <w:r w:rsidRPr="00133C75">
        <w:rPr>
          <w:rFonts w:asciiTheme="minorHAnsi" w:hAnsiTheme="minorHAnsi"/>
          <w:sz w:val="16"/>
          <w:szCs w:val="16"/>
        </w:rPr>
        <w:t xml:space="preserve">Run-of-river hydro, photovoltaic, and wind generators </w:t>
      </w:r>
      <w:proofErr w:type="gramStart"/>
      <w:r w:rsidRPr="00133C75">
        <w:rPr>
          <w:rFonts w:asciiTheme="minorHAnsi" w:hAnsiTheme="minorHAnsi"/>
          <w:sz w:val="16"/>
          <w:szCs w:val="16"/>
        </w:rPr>
        <w:t>are assumed</w:t>
      </w:r>
      <w:proofErr w:type="gramEnd"/>
      <w:r w:rsidRPr="00133C75">
        <w:rPr>
          <w:rFonts w:asciiTheme="minorHAnsi" w:hAnsiTheme="minorHAnsi"/>
          <w:sz w:val="16"/>
          <w:szCs w:val="16"/>
        </w:rPr>
        <w:t xml:space="preserve"> in the intermittent category.</w:t>
      </w:r>
    </w:p>
    <w:p w:rsidR="00052582" w:rsidRPr="00133C75" w:rsidRDefault="00052582" w:rsidP="00052582">
      <w:pPr>
        <w:keepNext/>
        <w:keepLines/>
        <w:tabs>
          <w:tab w:val="left" w:pos="7560"/>
        </w:tabs>
        <w:spacing w:line="240" w:lineRule="auto"/>
        <w:ind w:left="1714" w:right="1440" w:hanging="274"/>
        <w:rPr>
          <w:rFonts w:asciiTheme="minorHAnsi" w:hAnsiTheme="minorHAnsi"/>
          <w:sz w:val="16"/>
          <w:szCs w:val="16"/>
        </w:rPr>
      </w:pPr>
      <w:r w:rsidRPr="00133C75">
        <w:rPr>
          <w:rFonts w:asciiTheme="minorHAnsi" w:hAnsiTheme="minorHAnsi"/>
          <w:sz w:val="16"/>
          <w:szCs w:val="16"/>
        </w:rPr>
        <w:t>(e)</w:t>
      </w:r>
      <w:r w:rsidRPr="00133C75">
        <w:rPr>
          <w:rFonts w:asciiTheme="minorHAnsi" w:hAnsiTheme="minorHAnsi"/>
          <w:sz w:val="16"/>
          <w:szCs w:val="16"/>
        </w:rPr>
        <w:tab/>
        <w:t>Totals may not</w:t>
      </w:r>
      <w:r w:rsidRPr="00133C75">
        <w:rPr>
          <w:rFonts w:asciiTheme="minorHAnsi" w:hAnsiTheme="minorHAnsi" w:cs="Arial"/>
          <w:bCs/>
          <w:sz w:val="16"/>
          <w:szCs w:val="16"/>
        </w:rPr>
        <w:t xml:space="preserve"> equal the sum because of rounding. </w:t>
      </w:r>
    </w:p>
    <w:p w:rsidR="00C657BB" w:rsidRPr="00420B66" w:rsidRDefault="008F742F" w:rsidP="00420B66">
      <w:pPr>
        <w:pStyle w:val="Heading3"/>
      </w:pPr>
      <w:bookmarkStart w:id="479" w:name="_Toc396807631"/>
      <w:r w:rsidRPr="00420B66">
        <w:t>Existing Generating Resources in New England</w:t>
      </w:r>
      <w:bookmarkEnd w:id="479"/>
    </w:p>
    <w:p w:rsidR="008A621B" w:rsidRDefault="008A621B" w:rsidP="00C657BB">
      <w:r w:rsidRPr="000D0FA8">
        <w:t xml:space="preserve">Generating units located close to load centers typically reduce the need for transmission system </w:t>
      </w:r>
      <w:r w:rsidRPr="00447A05">
        <w:t xml:space="preserve">improvements. </w:t>
      </w:r>
      <w:fldSimple w:instr=" REF _Ref325108662 \h  \* MERGEFORMAT ">
        <w:r w:rsidR="00284CE3" w:rsidRPr="004849AC">
          <w:t xml:space="preserve">Table </w:t>
        </w:r>
        <w:r w:rsidR="00284CE3">
          <w:rPr>
            <w:noProof/>
          </w:rPr>
          <w:t>4</w:t>
        </w:r>
        <w:r w:rsidR="00284CE3" w:rsidRPr="004849AC">
          <w:rPr>
            <w:noProof/>
          </w:rPr>
          <w:noBreakHyphen/>
        </w:r>
        <w:r w:rsidR="00284CE3">
          <w:rPr>
            <w:noProof/>
          </w:rPr>
          <w:t>12</w:t>
        </w:r>
      </w:fldSimple>
      <w:r w:rsidRPr="00447A05">
        <w:t xml:space="preserve"> tabulates the existing generating amounts and locations by RSP subarea, load</w:t>
      </w:r>
      <w:r>
        <w:t xml:space="preserve"> zone, and state.</w:t>
      </w:r>
    </w:p>
    <w:p w:rsidR="008A621B" w:rsidRDefault="00BD7584" w:rsidP="00727536">
      <w:pPr>
        <w:pStyle w:val="Caption"/>
      </w:pPr>
      <w:bookmarkStart w:id="480" w:name="_Ref325108662"/>
      <w:bookmarkStart w:id="481" w:name="_Toc330401264"/>
      <w:bookmarkStart w:id="482" w:name="_Toc334541937"/>
      <w:bookmarkStart w:id="483" w:name="_Toc334541974"/>
      <w:bookmarkStart w:id="484" w:name="_Toc365440713"/>
      <w:bookmarkStart w:id="485" w:name="_Toc391985614"/>
      <w:r w:rsidRPr="004849AC">
        <w:t xml:space="preserve">Table </w:t>
      </w:r>
      <w:fldSimple w:instr=" STYLEREF 1 \s ">
        <w:r w:rsidR="00284CE3">
          <w:rPr>
            <w:noProof/>
          </w:rPr>
          <w:t>4</w:t>
        </w:r>
      </w:fldSimple>
      <w:r w:rsidRPr="004849AC">
        <w:noBreakHyphen/>
      </w:r>
      <w:fldSimple w:instr=" SEQ Table \* ARABIC \s 1 ">
        <w:r w:rsidR="00284CE3">
          <w:rPr>
            <w:noProof/>
          </w:rPr>
          <w:t>12</w:t>
        </w:r>
      </w:fldSimple>
      <w:bookmarkEnd w:id="480"/>
      <w:r w:rsidR="008A621B" w:rsidRPr="004849AC">
        <w:br/>
        <w:t>RSP14 Generating Capacity by Subarea, Load Zone, and State, 201</w:t>
      </w:r>
      <w:bookmarkEnd w:id="481"/>
      <w:bookmarkEnd w:id="482"/>
      <w:bookmarkEnd w:id="483"/>
      <w:bookmarkEnd w:id="484"/>
      <w:r w:rsidR="008A621B" w:rsidRPr="004849AC">
        <w:t>4</w:t>
      </w:r>
      <w:bookmarkEnd w:id="485"/>
    </w:p>
    <w:tbl>
      <w:tblPr>
        <w:tblW w:w="9504"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303"/>
        <w:gridCol w:w="1487"/>
        <w:gridCol w:w="1440"/>
        <w:gridCol w:w="1044"/>
        <w:gridCol w:w="936"/>
        <w:gridCol w:w="864"/>
        <w:gridCol w:w="846"/>
        <w:gridCol w:w="802"/>
        <w:gridCol w:w="782"/>
      </w:tblGrid>
      <w:tr w:rsidR="007C7A5A" w:rsidRPr="00FB0184" w:rsidTr="007C7A5A">
        <w:trPr>
          <w:cantSplit/>
          <w:jc w:val="center"/>
        </w:trPr>
        <w:tc>
          <w:tcPr>
            <w:tcW w:w="1303" w:type="dxa"/>
            <w:vMerge w:val="restart"/>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RSP Subarea</w:t>
            </w:r>
          </w:p>
        </w:tc>
        <w:tc>
          <w:tcPr>
            <w:tcW w:w="1487" w:type="dxa"/>
            <w:vMerge w:val="restart"/>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State</w:t>
            </w:r>
          </w:p>
        </w:tc>
        <w:tc>
          <w:tcPr>
            <w:tcW w:w="1440" w:type="dxa"/>
            <w:vMerge w:val="restart"/>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Load Zone</w:t>
            </w:r>
          </w:p>
        </w:tc>
        <w:tc>
          <w:tcPr>
            <w:tcW w:w="2844" w:type="dxa"/>
            <w:gridSpan w:val="3"/>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Summer</w:t>
            </w:r>
          </w:p>
        </w:tc>
        <w:tc>
          <w:tcPr>
            <w:tcW w:w="2430" w:type="dxa"/>
            <w:gridSpan w:val="3"/>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Winter</w:t>
            </w:r>
          </w:p>
        </w:tc>
      </w:tr>
      <w:tr w:rsidR="007C7A5A" w:rsidRPr="00FB0184" w:rsidTr="007C7A5A">
        <w:trPr>
          <w:cantSplit/>
          <w:jc w:val="center"/>
        </w:trPr>
        <w:tc>
          <w:tcPr>
            <w:tcW w:w="1303" w:type="dxa"/>
            <w:vMerge/>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p>
        </w:tc>
        <w:tc>
          <w:tcPr>
            <w:tcW w:w="1487" w:type="dxa"/>
            <w:vMerge/>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p>
        </w:tc>
        <w:tc>
          <w:tcPr>
            <w:tcW w:w="1440" w:type="dxa"/>
            <w:vMerge/>
            <w:shd w:val="clear" w:color="auto" w:fill="85AFF2" w:themeFill="text2" w:themeFillTint="66"/>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b/>
                <w:bCs/>
                <w:color w:val="FFFFFF" w:themeColor="background1"/>
                <w:sz w:val="16"/>
                <w:szCs w:val="16"/>
              </w:rPr>
            </w:pPr>
          </w:p>
        </w:tc>
        <w:tc>
          <w:tcPr>
            <w:tcW w:w="1044" w:type="dxa"/>
            <w:shd w:val="clear" w:color="auto" w:fill="85AFF2" w:themeFill="text2" w:themeFillTint="66"/>
            <w:noWrap/>
            <w:vAlign w:val="center"/>
            <w:hideMark/>
          </w:tcPr>
          <w:p w:rsidR="00FB0184" w:rsidRPr="00FB0184" w:rsidRDefault="00FB0184" w:rsidP="00D51531">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Capacity Rating</w:t>
            </w:r>
            <w:r w:rsidRPr="00FB0184">
              <w:rPr>
                <w:rFonts w:asciiTheme="minorHAnsi" w:eastAsia="Times New Roman" w:hAnsiTheme="minorHAnsi" w:cs="Arial"/>
                <w:b/>
                <w:bCs/>
                <w:color w:val="FFFFFF" w:themeColor="background1"/>
                <w:sz w:val="16"/>
                <w:szCs w:val="16"/>
              </w:rPr>
              <w:br/>
              <w:t>(MW)</w:t>
            </w:r>
            <w:r w:rsidRPr="00FB0184">
              <w:rPr>
                <w:rFonts w:asciiTheme="minorHAnsi" w:eastAsia="Times New Roman" w:hAnsiTheme="minorHAnsi" w:cs="Arial"/>
                <w:b/>
                <w:bCs/>
                <w:color w:val="FFFFFF" w:themeColor="background1"/>
                <w:sz w:val="16"/>
                <w:szCs w:val="16"/>
                <w:vertAlign w:val="superscript"/>
              </w:rPr>
              <w:t>(a)</w:t>
            </w:r>
          </w:p>
        </w:tc>
        <w:tc>
          <w:tcPr>
            <w:tcW w:w="936" w:type="dxa"/>
            <w:shd w:val="clear" w:color="auto" w:fill="85AFF2" w:themeFill="text2" w:themeFillTint="66"/>
            <w:noWrap/>
            <w:vAlign w:val="center"/>
            <w:hideMark/>
          </w:tcPr>
          <w:p w:rsidR="00FB0184" w:rsidRPr="00FB0184" w:rsidRDefault="00FB0184" w:rsidP="00D51531">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of RSP Subarea</w:t>
            </w:r>
          </w:p>
        </w:tc>
        <w:tc>
          <w:tcPr>
            <w:tcW w:w="864" w:type="dxa"/>
            <w:shd w:val="clear" w:color="auto" w:fill="85AFF2" w:themeFill="text2" w:themeFillTint="66"/>
            <w:noWrap/>
            <w:vAlign w:val="center"/>
            <w:hideMark/>
          </w:tcPr>
          <w:p w:rsidR="00FB0184" w:rsidRPr="00FB0184" w:rsidRDefault="00FB0184" w:rsidP="00D51531">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of State</w:t>
            </w:r>
          </w:p>
        </w:tc>
        <w:tc>
          <w:tcPr>
            <w:tcW w:w="846" w:type="dxa"/>
            <w:shd w:val="clear" w:color="auto" w:fill="85AFF2" w:themeFill="text2" w:themeFillTint="66"/>
            <w:noWrap/>
            <w:vAlign w:val="center"/>
            <w:hideMark/>
          </w:tcPr>
          <w:p w:rsidR="00FB0184" w:rsidRPr="00FB0184" w:rsidRDefault="00FB0184" w:rsidP="00D51531">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Capacity Rating</w:t>
            </w:r>
            <w:r w:rsidRPr="00FB0184">
              <w:rPr>
                <w:rFonts w:asciiTheme="minorHAnsi" w:eastAsia="Times New Roman" w:hAnsiTheme="minorHAnsi" w:cs="Arial"/>
                <w:b/>
                <w:bCs/>
                <w:color w:val="FFFFFF" w:themeColor="background1"/>
                <w:sz w:val="16"/>
                <w:szCs w:val="16"/>
              </w:rPr>
              <w:br/>
              <w:t>(MW)</w:t>
            </w:r>
            <w:r w:rsidRPr="00FB0184">
              <w:rPr>
                <w:rFonts w:asciiTheme="minorHAnsi" w:eastAsia="Times New Roman" w:hAnsiTheme="minorHAnsi" w:cs="Arial"/>
                <w:b/>
                <w:bCs/>
                <w:color w:val="FFFFFF" w:themeColor="background1"/>
                <w:sz w:val="16"/>
                <w:szCs w:val="16"/>
                <w:vertAlign w:val="superscript"/>
              </w:rPr>
              <w:t>(a)</w:t>
            </w:r>
          </w:p>
        </w:tc>
        <w:tc>
          <w:tcPr>
            <w:tcW w:w="802" w:type="dxa"/>
            <w:shd w:val="clear" w:color="auto" w:fill="85AFF2" w:themeFill="text2" w:themeFillTint="66"/>
            <w:noWrap/>
            <w:vAlign w:val="center"/>
            <w:hideMark/>
          </w:tcPr>
          <w:p w:rsidR="00FB0184" w:rsidRPr="00FB0184" w:rsidRDefault="00FB0184" w:rsidP="00D51531">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of RSP Subarea</w:t>
            </w:r>
          </w:p>
        </w:tc>
        <w:tc>
          <w:tcPr>
            <w:tcW w:w="782" w:type="dxa"/>
            <w:shd w:val="clear" w:color="auto" w:fill="85AFF2" w:themeFill="text2" w:themeFillTint="66"/>
            <w:noWrap/>
            <w:vAlign w:val="center"/>
            <w:hideMark/>
          </w:tcPr>
          <w:p w:rsidR="00FB0184" w:rsidRPr="00FB0184" w:rsidRDefault="00FB0184" w:rsidP="00D51531">
            <w:pPr>
              <w:keepNext/>
              <w:keepLines/>
              <w:spacing w:before="20" w:after="20" w:line="240" w:lineRule="auto"/>
              <w:jc w:val="center"/>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 of State</w:t>
            </w:r>
          </w:p>
        </w:tc>
      </w:tr>
      <w:tr w:rsidR="007C7A5A" w:rsidRPr="00FB0184" w:rsidTr="007C7A5A">
        <w:trPr>
          <w:cantSplit/>
          <w:jc w:val="center"/>
        </w:trPr>
        <w:tc>
          <w:tcPr>
            <w:tcW w:w="1303" w:type="dxa"/>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BHE</w:t>
            </w:r>
          </w:p>
        </w:tc>
        <w:tc>
          <w:tcPr>
            <w:tcW w:w="1487" w:type="dxa"/>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Maine</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ME</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830</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919</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r>
      <w:tr w:rsidR="007C7A5A" w:rsidRPr="00FB0184" w:rsidTr="007C7A5A">
        <w:trPr>
          <w:cantSplit/>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ME</w:t>
            </w:r>
          </w:p>
        </w:tc>
        <w:tc>
          <w:tcPr>
            <w:tcW w:w="1487"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Maine</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ME</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851</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939</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28</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0.4</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0.4</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852</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939</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28</w:t>
            </w:r>
          </w:p>
        </w:tc>
      </w:tr>
      <w:tr w:rsidR="007C7A5A" w:rsidRPr="00FB0184" w:rsidTr="007C7A5A">
        <w:trPr>
          <w:cantSplit/>
          <w:jc w:val="center"/>
        </w:trPr>
        <w:tc>
          <w:tcPr>
            <w:tcW w:w="1303" w:type="dxa"/>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SME</w:t>
            </w:r>
          </w:p>
        </w:tc>
        <w:tc>
          <w:tcPr>
            <w:tcW w:w="1487" w:type="dxa"/>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Maine</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ME</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1,424</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46</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1,535</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45</w:t>
            </w:r>
          </w:p>
        </w:tc>
      </w:tr>
      <w:tr w:rsidR="007C7A5A" w:rsidRPr="00FB0184" w:rsidTr="007C7A5A">
        <w:trPr>
          <w:cantSplit/>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highlight w:val="yellow"/>
              </w:rPr>
            </w:pPr>
            <w:r w:rsidRPr="00FB0184">
              <w:rPr>
                <w:rFonts w:asciiTheme="minorHAnsi" w:eastAsia="Times New Roman" w:hAnsiTheme="minorHAnsi" w:cs="Arial"/>
                <w:b/>
                <w:bCs/>
                <w:color w:val="000000"/>
                <w:sz w:val="16"/>
                <w:szCs w:val="16"/>
              </w:rPr>
              <w:t>NH</w:t>
            </w:r>
          </w:p>
        </w:tc>
        <w:tc>
          <w:tcPr>
            <w:tcW w:w="1487"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New Hampshire</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ME</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trHeight w:val="229"/>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4,147</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4,285</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r>
      <w:tr w:rsidR="007C7A5A" w:rsidRPr="00FB0184" w:rsidTr="007C7A5A">
        <w:trPr>
          <w:cantSplit/>
          <w:trHeight w:val="229"/>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auto" w:fill="C2D7F8" w:themeFill="text2" w:themeFillTint="33"/>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4,148</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4,286</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Vermont</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87"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VT</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32</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31</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w:t>
            </w:r>
          </w:p>
        </w:tc>
      </w:tr>
      <w:tr w:rsidR="007C7A5A" w:rsidRPr="00FB0184" w:rsidTr="007C7A5A">
        <w:trPr>
          <w:cantSplit/>
          <w:trHeight w:val="229"/>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87" w:type="dxa"/>
            <w:vMerge/>
            <w:shd w:val="clear" w:color="auto" w:fill="C2D7F8" w:themeFill="text2" w:themeFillTint="33"/>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440" w:type="dxa"/>
            <w:shd w:val="clear" w:color="auto" w:fill="C2D7F8" w:themeFill="text2" w:themeFillTint="33"/>
            <w:vAlign w:val="center"/>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33</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32</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4,180</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103</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4,318</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103</w:t>
            </w:r>
          </w:p>
        </w:tc>
      </w:tr>
      <w:tr w:rsidR="007C7A5A" w:rsidRPr="00FB0184" w:rsidTr="007C7A5A">
        <w:trPr>
          <w:cantSplit/>
          <w:jc w:val="center"/>
        </w:trPr>
        <w:tc>
          <w:tcPr>
            <w:tcW w:w="1303"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VT</w:t>
            </w:r>
            <w:r w:rsidRPr="00FB0184">
              <w:rPr>
                <w:rFonts w:asciiTheme="minorHAnsi" w:eastAsia="Times New Roman" w:hAnsiTheme="minorHAnsi" w:cs="Arial"/>
                <w:color w:val="000000"/>
                <w:sz w:val="16"/>
                <w:szCs w:val="16"/>
              </w:rPr>
              <w:t> </w:t>
            </w:r>
          </w:p>
        </w:tc>
        <w:tc>
          <w:tcPr>
            <w:tcW w:w="1487"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New Hampshire</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VT</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4</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trHeight w:val="184"/>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000000" w:fill="FFFFFF"/>
            <w:noWrap/>
            <w:vAlign w:val="center"/>
            <w:hideMark/>
          </w:tcPr>
          <w:p w:rsidR="00FB0184" w:rsidRPr="00FB0184" w:rsidDel="00594CCD"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6</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6</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highlight w:val="yellow"/>
              </w:rPr>
            </w:pPr>
            <w:r w:rsidRPr="00FB0184">
              <w:rPr>
                <w:rFonts w:asciiTheme="minorHAnsi" w:eastAsia="Times New Roman" w:hAnsiTheme="minorHAnsi" w:cs="Arial"/>
                <w:b/>
                <w:color w:val="000000"/>
                <w:sz w:val="16"/>
                <w:szCs w:val="16"/>
              </w:rPr>
              <w:t>0</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highlight w:val="yellow"/>
              </w:rPr>
            </w:pPr>
          </w:p>
        </w:tc>
        <w:tc>
          <w:tcPr>
            <w:tcW w:w="1487"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Vermont</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NH</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88</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90</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highlight w:val="yellow"/>
              </w:rPr>
            </w:pPr>
          </w:p>
        </w:tc>
        <w:tc>
          <w:tcPr>
            <w:tcW w:w="1487" w:type="dxa"/>
            <w:vMerge/>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VT</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896</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91</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82</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947</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91</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83</w:t>
            </w:r>
          </w:p>
        </w:tc>
      </w:tr>
      <w:tr w:rsidR="007C7A5A" w:rsidRPr="00FB0184" w:rsidTr="007C7A5A">
        <w:trPr>
          <w:cantSplit/>
          <w:trHeight w:val="220"/>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highlight w:val="yellow"/>
              </w:rPr>
            </w:pPr>
          </w:p>
        </w:tc>
        <w:tc>
          <w:tcPr>
            <w:tcW w:w="1487" w:type="dxa"/>
            <w:vMerge/>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984</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1,037</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99</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91</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highlight w:val="yellow"/>
              </w:rPr>
            </w:pPr>
          </w:p>
        </w:tc>
        <w:tc>
          <w:tcPr>
            <w:tcW w:w="2927" w:type="dxa"/>
            <w:gridSpan w:val="2"/>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990</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1,043</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91</w:t>
            </w:r>
          </w:p>
        </w:tc>
      </w:tr>
      <w:tr w:rsidR="007C7A5A" w:rsidRPr="00FB0184" w:rsidTr="007C7A5A">
        <w:trPr>
          <w:cantSplit/>
          <w:trHeight w:val="229"/>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 BOSTON</w:t>
            </w:r>
            <w:r w:rsidRPr="00FB0184">
              <w:rPr>
                <w:rFonts w:asciiTheme="minorHAnsi" w:eastAsia="Times New Roman" w:hAnsiTheme="minorHAnsi" w:cs="Arial"/>
                <w:color w:val="000000"/>
                <w:sz w:val="16"/>
                <w:szCs w:val="16"/>
              </w:rPr>
              <w:t> </w:t>
            </w:r>
          </w:p>
        </w:tc>
        <w:tc>
          <w:tcPr>
            <w:tcW w:w="1487"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NEMA/Boston</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2,643</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21</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3,660</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26</w:t>
            </w:r>
          </w:p>
        </w:tc>
      </w:tr>
      <w:tr w:rsidR="007C7A5A" w:rsidRPr="00FB0184" w:rsidTr="007C7A5A">
        <w:trPr>
          <w:cantSplit/>
          <w:trHeight w:val="256"/>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WCMA</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2,644</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21</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3,660</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26</w:t>
            </w:r>
          </w:p>
        </w:tc>
      </w:tr>
      <w:tr w:rsidR="007C7A5A" w:rsidRPr="00FB0184" w:rsidTr="007C7A5A">
        <w:trPr>
          <w:cantSplit/>
          <w:trHeight w:val="301"/>
          <w:jc w:val="center"/>
        </w:trPr>
        <w:tc>
          <w:tcPr>
            <w:tcW w:w="1303"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CMA/</w:t>
            </w:r>
            <w:r w:rsidRPr="00FB0184">
              <w:rPr>
                <w:rFonts w:asciiTheme="minorHAnsi" w:eastAsia="Times New Roman" w:hAnsiTheme="minorHAnsi" w:cs="Arial"/>
                <w:b/>
                <w:bCs/>
                <w:color w:val="000000"/>
                <w:sz w:val="16"/>
                <w:szCs w:val="16"/>
              </w:rPr>
              <w:br/>
              <w:t>NEMA </w:t>
            </w:r>
          </w:p>
        </w:tc>
        <w:tc>
          <w:tcPr>
            <w:tcW w:w="1487" w:type="dxa"/>
            <w:vMerge w:val="restart"/>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SEMA</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0</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WCMA</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189</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86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181</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100</w:t>
            </w:r>
          </w:p>
        </w:tc>
        <w:tc>
          <w:tcPr>
            <w:tcW w:w="78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w:t>
            </w:r>
          </w:p>
        </w:tc>
      </w:tr>
      <w:tr w:rsidR="007C7A5A" w:rsidRPr="00FB0184" w:rsidTr="007C7A5A">
        <w:trPr>
          <w:cantSplit/>
          <w:jc w:val="center"/>
        </w:trPr>
        <w:tc>
          <w:tcPr>
            <w:tcW w:w="1303" w:type="dxa"/>
            <w:vMerge/>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189</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181</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w:t>
            </w:r>
          </w:p>
        </w:tc>
      </w:tr>
      <w:tr w:rsidR="007C7A5A" w:rsidRPr="00FB0184" w:rsidTr="007C7A5A">
        <w:trPr>
          <w:cantSplit/>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WMA </w:t>
            </w: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WCMA</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3,687</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98</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29</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3,962</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98</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28</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Vermont</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WCMA</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78</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76</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w:t>
            </w:r>
          </w:p>
        </w:tc>
      </w:tr>
      <w:tr w:rsidR="007C7A5A" w:rsidRPr="00FB0184" w:rsidTr="007C7A5A">
        <w:trPr>
          <w:cantSplit/>
          <w:jc w:val="center"/>
        </w:trPr>
        <w:tc>
          <w:tcPr>
            <w:tcW w:w="1303" w:type="dxa"/>
            <w:vMerge/>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3,765</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2722BF" w:rsidP="00727536">
            <w:pPr>
              <w:keepNext/>
              <w:keepLines/>
              <w:spacing w:before="20" w:after="20" w:line="240" w:lineRule="auto"/>
              <w:jc w:val="right"/>
              <w:rPr>
                <w:rFonts w:asciiTheme="minorHAnsi" w:eastAsia="Times New Roman" w:hAnsiTheme="minorHAnsi" w:cs="Arial"/>
                <w:b/>
                <w:color w:val="000000"/>
                <w:sz w:val="16"/>
                <w:szCs w:val="16"/>
              </w:rPr>
            </w:pPr>
            <w:r>
              <w:rPr>
                <w:rFonts w:asciiTheme="minorHAnsi" w:eastAsia="Times New Roman" w:hAnsiTheme="minorHAnsi" w:cs="Arial"/>
                <w:b/>
                <w:color w:val="000000"/>
                <w:sz w:val="16"/>
                <w:szCs w:val="16"/>
              </w:rPr>
              <w:t>36</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4,039</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34</w:t>
            </w:r>
          </w:p>
        </w:tc>
      </w:tr>
      <w:tr w:rsidR="007C7A5A" w:rsidRPr="00FB0184" w:rsidTr="007C7A5A">
        <w:trPr>
          <w:cantSplit/>
          <w:jc w:val="center"/>
        </w:trPr>
        <w:tc>
          <w:tcPr>
            <w:tcW w:w="1303" w:type="dxa"/>
            <w:vMerge w:val="restart"/>
            <w:shd w:val="clear" w:color="000000" w:fill="FFFFFF"/>
            <w:noWrap/>
            <w:vAlign w:val="center"/>
            <w:hideMark/>
          </w:tcPr>
          <w:p w:rsidR="00727536" w:rsidRPr="00FB0184" w:rsidRDefault="00727536"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SEMA</w:t>
            </w:r>
          </w:p>
        </w:tc>
        <w:tc>
          <w:tcPr>
            <w:tcW w:w="1487" w:type="dxa"/>
            <w:vMerge w:val="restart"/>
            <w:shd w:val="clear" w:color="000000" w:fill="FFFFFF"/>
            <w:noWrap/>
            <w:vAlign w:val="center"/>
            <w:hideMark/>
          </w:tcPr>
          <w:p w:rsidR="00727536" w:rsidRPr="00FB0184" w:rsidRDefault="00727536"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000000" w:fill="FFFFFF"/>
            <w:noWrap/>
            <w:vAlign w:val="center"/>
            <w:hideMark/>
          </w:tcPr>
          <w:p w:rsidR="00727536" w:rsidRPr="00FB0184" w:rsidRDefault="00727536"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RI</w:t>
            </w:r>
          </w:p>
        </w:tc>
        <w:tc>
          <w:tcPr>
            <w:tcW w:w="1044"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&lt;1</w:t>
            </w:r>
          </w:p>
        </w:tc>
        <w:tc>
          <w:tcPr>
            <w:tcW w:w="936"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c>
          <w:tcPr>
            <w:tcW w:w="864"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c>
          <w:tcPr>
            <w:tcW w:w="846"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c>
          <w:tcPr>
            <w:tcW w:w="802"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c>
          <w:tcPr>
            <w:tcW w:w="782" w:type="dxa"/>
            <w:shd w:val="clear" w:color="000000" w:fill="FFFFFF"/>
            <w:noWrap/>
            <w:vAlign w:val="center"/>
            <w:hideMark/>
          </w:tcPr>
          <w:p w:rsidR="00727536" w:rsidRPr="00FB0184"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0</w:t>
            </w:r>
          </w:p>
        </w:tc>
      </w:tr>
      <w:tr w:rsidR="007C7A5A" w:rsidRPr="00FB0184" w:rsidTr="007C7A5A">
        <w:trPr>
          <w:cantSplit/>
          <w:trHeight w:val="288"/>
          <w:jc w:val="center"/>
        </w:trPr>
        <w:tc>
          <w:tcPr>
            <w:tcW w:w="1303" w:type="dxa"/>
            <w:vMerge/>
            <w:vAlign w:val="center"/>
            <w:hideMark/>
          </w:tcPr>
          <w:p w:rsidR="00727536" w:rsidRPr="00FB0184" w:rsidRDefault="00727536"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000000" w:fill="FFFFFF"/>
            <w:noWrap/>
            <w:vAlign w:val="center"/>
            <w:hideMark/>
          </w:tcPr>
          <w:p w:rsidR="00727536" w:rsidRPr="00FB0184" w:rsidRDefault="00727536"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727536" w:rsidRPr="00FB0184" w:rsidRDefault="00727536"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SEMA</w:t>
            </w:r>
          </w:p>
        </w:tc>
        <w:tc>
          <w:tcPr>
            <w:tcW w:w="1044"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3,1</w:t>
            </w:r>
            <w:r>
              <w:rPr>
                <w:rFonts w:asciiTheme="minorHAnsi" w:eastAsia="Times New Roman" w:hAnsiTheme="minorHAnsi" w:cs="Arial"/>
                <w:color w:val="000000"/>
                <w:sz w:val="16"/>
                <w:szCs w:val="16"/>
              </w:rPr>
              <w:t>71</w:t>
            </w:r>
          </w:p>
        </w:tc>
        <w:tc>
          <w:tcPr>
            <w:tcW w:w="936"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93</w:t>
            </w:r>
          </w:p>
        </w:tc>
        <w:tc>
          <w:tcPr>
            <w:tcW w:w="864"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25</w:t>
            </w:r>
          </w:p>
        </w:tc>
        <w:tc>
          <w:tcPr>
            <w:tcW w:w="846"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3,357</w:t>
            </w:r>
          </w:p>
        </w:tc>
        <w:tc>
          <w:tcPr>
            <w:tcW w:w="802"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92</w:t>
            </w:r>
          </w:p>
        </w:tc>
        <w:tc>
          <w:tcPr>
            <w:tcW w:w="782" w:type="dxa"/>
            <w:shd w:val="clear" w:color="000000" w:fill="FFFFFF"/>
            <w:noWrap/>
            <w:vAlign w:val="center"/>
            <w:hideMark/>
          </w:tcPr>
          <w:p w:rsidR="00727536" w:rsidRDefault="00727536"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23</w:t>
            </w:r>
          </w:p>
        </w:tc>
      </w:tr>
      <w:tr w:rsidR="007C7A5A" w:rsidRPr="00FB0184" w:rsidTr="007C7A5A">
        <w:trPr>
          <w:cantSplit/>
          <w:trHeight w:val="193"/>
          <w:jc w:val="center"/>
        </w:trPr>
        <w:tc>
          <w:tcPr>
            <w:tcW w:w="1303" w:type="dxa"/>
            <w:vMerge/>
            <w:vAlign w:val="center"/>
            <w:hideMark/>
          </w:tcPr>
          <w:p w:rsidR="002722BF" w:rsidRPr="00FB0184" w:rsidRDefault="002722BF"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vMerge/>
            <w:shd w:val="clear" w:color="000000" w:fill="FFFFFF"/>
            <w:noWrap/>
            <w:vAlign w:val="center"/>
            <w:hideMark/>
          </w:tcPr>
          <w:p w:rsidR="002722BF" w:rsidRPr="00FB0184" w:rsidRDefault="002722BF" w:rsidP="00727536">
            <w:pPr>
              <w:keepNext/>
              <w:keepLines/>
              <w:spacing w:before="20" w:after="20" w:line="240" w:lineRule="auto"/>
              <w:rPr>
                <w:rFonts w:asciiTheme="minorHAnsi" w:eastAsia="Times New Roman" w:hAnsiTheme="minorHAnsi" w:cs="Arial"/>
                <w:color w:val="000000"/>
                <w:sz w:val="16"/>
                <w:szCs w:val="16"/>
              </w:rPr>
            </w:pPr>
          </w:p>
        </w:tc>
        <w:tc>
          <w:tcPr>
            <w:tcW w:w="1440" w:type="dxa"/>
            <w:shd w:val="clear" w:color="000000" w:fill="FFFFFF"/>
            <w:noWrap/>
            <w:vAlign w:val="center"/>
            <w:hideMark/>
          </w:tcPr>
          <w:p w:rsidR="002722BF" w:rsidRPr="00FB0184" w:rsidRDefault="002722BF" w:rsidP="00727536">
            <w:pPr>
              <w:keepNext/>
              <w:keepLines/>
              <w:spacing w:before="20" w:after="20" w:line="240" w:lineRule="auto"/>
              <w:jc w:val="center"/>
              <w:rPr>
                <w:rFonts w:asciiTheme="minorHAnsi" w:eastAsia="Times New Roman" w:hAnsiTheme="minorHAnsi" w:cs="Arial"/>
                <w:color w:val="000000"/>
                <w:sz w:val="16"/>
                <w:szCs w:val="16"/>
              </w:rPr>
            </w:pPr>
          </w:p>
        </w:tc>
        <w:tc>
          <w:tcPr>
            <w:tcW w:w="1044"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3,171</w:t>
            </w:r>
          </w:p>
        </w:tc>
        <w:tc>
          <w:tcPr>
            <w:tcW w:w="936"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93</w:t>
            </w:r>
          </w:p>
        </w:tc>
        <w:tc>
          <w:tcPr>
            <w:tcW w:w="864"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25</w:t>
            </w:r>
          </w:p>
        </w:tc>
        <w:tc>
          <w:tcPr>
            <w:tcW w:w="846"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3,357</w:t>
            </w:r>
          </w:p>
        </w:tc>
        <w:tc>
          <w:tcPr>
            <w:tcW w:w="802"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92</w:t>
            </w:r>
          </w:p>
        </w:tc>
        <w:tc>
          <w:tcPr>
            <w:tcW w:w="782" w:type="dxa"/>
            <w:shd w:val="clear" w:color="000000" w:fill="FFFFFF"/>
            <w:noWrap/>
            <w:vAlign w:val="center"/>
            <w:hideMark/>
          </w:tcPr>
          <w:p w:rsidR="002722BF" w:rsidRPr="00FB0184" w:rsidDel="002722BF" w:rsidRDefault="002722BF" w:rsidP="00727536">
            <w:pPr>
              <w:keepNext/>
              <w:keepLines/>
              <w:spacing w:before="20" w:after="20" w:line="240" w:lineRule="auto"/>
              <w:jc w:val="right"/>
              <w:rPr>
                <w:rFonts w:asciiTheme="minorHAnsi" w:eastAsia="Times New Roman" w:hAnsiTheme="minorHAnsi" w:cs="Arial"/>
                <w:color w:val="000000"/>
                <w:sz w:val="16"/>
                <w:szCs w:val="16"/>
              </w:rPr>
            </w:pPr>
            <w:r>
              <w:rPr>
                <w:rFonts w:asciiTheme="minorHAnsi" w:eastAsia="Times New Roman" w:hAnsiTheme="minorHAnsi" w:cs="Arial"/>
                <w:color w:val="000000"/>
                <w:sz w:val="16"/>
                <w:szCs w:val="16"/>
              </w:rPr>
              <w:t>23</w:t>
            </w:r>
          </w:p>
        </w:tc>
      </w:tr>
      <w:tr w:rsidR="007C7A5A" w:rsidRPr="00FB0184" w:rsidTr="007C7A5A">
        <w:trPr>
          <w:cantSplit/>
          <w:trHeight w:val="193"/>
          <w:jc w:val="center"/>
        </w:trPr>
        <w:tc>
          <w:tcPr>
            <w:tcW w:w="1303" w:type="dxa"/>
            <w:vMerge/>
            <w:vAlign w:val="center"/>
            <w:hideMark/>
          </w:tcPr>
          <w:p w:rsidR="002722BF" w:rsidRPr="00FB0184" w:rsidRDefault="002722BF"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shd w:val="clear" w:color="000000" w:fill="FFFFFF"/>
            <w:noWrap/>
            <w:vAlign w:val="center"/>
            <w:hideMark/>
          </w:tcPr>
          <w:p w:rsidR="002722BF" w:rsidRPr="00FB0184" w:rsidRDefault="002722BF"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Rhode Island</w:t>
            </w:r>
          </w:p>
        </w:tc>
        <w:tc>
          <w:tcPr>
            <w:tcW w:w="1440" w:type="dxa"/>
            <w:shd w:val="clear" w:color="000000" w:fill="FFFFFF"/>
            <w:noWrap/>
            <w:vAlign w:val="center"/>
            <w:hideMark/>
          </w:tcPr>
          <w:p w:rsidR="002722BF" w:rsidRPr="00FB0184" w:rsidRDefault="002722BF"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RI</w:t>
            </w:r>
          </w:p>
        </w:tc>
        <w:tc>
          <w:tcPr>
            <w:tcW w:w="1044"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244</w:t>
            </w:r>
          </w:p>
        </w:tc>
        <w:tc>
          <w:tcPr>
            <w:tcW w:w="936"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w:t>
            </w:r>
          </w:p>
        </w:tc>
        <w:tc>
          <w:tcPr>
            <w:tcW w:w="864"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13</w:t>
            </w:r>
          </w:p>
        </w:tc>
        <w:tc>
          <w:tcPr>
            <w:tcW w:w="846"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279</w:t>
            </w:r>
          </w:p>
        </w:tc>
        <w:tc>
          <w:tcPr>
            <w:tcW w:w="802"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w:t>
            </w:r>
          </w:p>
        </w:tc>
        <w:tc>
          <w:tcPr>
            <w:tcW w:w="782" w:type="dxa"/>
            <w:shd w:val="clear" w:color="000000" w:fill="FFFFFF"/>
            <w:noWrap/>
            <w:vAlign w:val="center"/>
            <w:hideMark/>
          </w:tcPr>
          <w:p w:rsidR="002722BF" w:rsidRPr="00FB0184" w:rsidRDefault="002722BF"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13</w:t>
            </w:r>
          </w:p>
        </w:tc>
      </w:tr>
      <w:tr w:rsidR="007C7A5A" w:rsidRPr="00FB0184" w:rsidTr="007C7A5A">
        <w:trPr>
          <w:cantSplit/>
          <w:jc w:val="center"/>
        </w:trPr>
        <w:tc>
          <w:tcPr>
            <w:tcW w:w="1303" w:type="dxa"/>
            <w:vMerge/>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000000" w:fill="FFFFFF"/>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3,416</w:t>
            </w:r>
          </w:p>
        </w:tc>
        <w:tc>
          <w:tcPr>
            <w:tcW w:w="93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38</w:t>
            </w:r>
          </w:p>
        </w:tc>
        <w:tc>
          <w:tcPr>
            <w:tcW w:w="846"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3,636</w:t>
            </w:r>
          </w:p>
        </w:tc>
        <w:tc>
          <w:tcPr>
            <w:tcW w:w="802" w:type="dxa"/>
            <w:shd w:val="clear" w:color="000000" w:fill="FFFFFF"/>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000000" w:fill="FFFFFF"/>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37</w:t>
            </w:r>
          </w:p>
        </w:tc>
      </w:tr>
      <w:tr w:rsidR="007C7A5A" w:rsidRPr="00FB0184" w:rsidTr="007C7A5A">
        <w:trPr>
          <w:cantSplit/>
          <w:jc w:val="center"/>
        </w:trPr>
        <w:tc>
          <w:tcPr>
            <w:tcW w:w="1303" w:type="dxa"/>
            <w:vMerge w:val="restart"/>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RI</w:t>
            </w: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Connecticut</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RI</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757</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14</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857</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15</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9</w:t>
            </w:r>
          </w:p>
        </w:tc>
      </w:tr>
      <w:tr w:rsidR="007C7A5A" w:rsidRPr="00FB0184" w:rsidTr="007C7A5A">
        <w:trPr>
          <w:cantSplit/>
          <w:trHeight w:val="328"/>
          <w:jc w:val="center"/>
        </w:trPr>
        <w:tc>
          <w:tcPr>
            <w:tcW w:w="1303"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Massachusetts</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SEMA</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2,903</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55</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23</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3,179</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54</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22</w:t>
            </w:r>
          </w:p>
        </w:tc>
      </w:tr>
      <w:tr w:rsidR="007C7A5A" w:rsidRPr="00FB0184" w:rsidTr="007C7A5A">
        <w:trPr>
          <w:cantSplit/>
          <w:jc w:val="center"/>
        </w:trPr>
        <w:tc>
          <w:tcPr>
            <w:tcW w:w="1303"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Rhode Island</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RI</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1,595</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1,821</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31</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87</w:t>
            </w:r>
          </w:p>
        </w:tc>
      </w:tr>
      <w:tr w:rsidR="007C7A5A" w:rsidRPr="00FB0184" w:rsidTr="007C7A5A">
        <w:trPr>
          <w:cantSplit/>
          <w:jc w:val="center"/>
        </w:trPr>
        <w:tc>
          <w:tcPr>
            <w:tcW w:w="1303" w:type="dxa"/>
            <w:vMerge/>
            <w:shd w:val="clear" w:color="auto" w:fill="C2D7F8" w:themeFill="text2" w:themeFillTint="33"/>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p>
        </w:tc>
        <w:tc>
          <w:tcPr>
            <w:tcW w:w="2927" w:type="dxa"/>
            <w:gridSpan w:val="2"/>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 </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5,256</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119</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5,857</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vAlign w:val="center"/>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118</w:t>
            </w:r>
          </w:p>
        </w:tc>
      </w:tr>
      <w:tr w:rsidR="007C7A5A" w:rsidRPr="00FB0184" w:rsidTr="007C7A5A">
        <w:trPr>
          <w:cantSplit/>
          <w:jc w:val="center"/>
        </w:trPr>
        <w:tc>
          <w:tcPr>
            <w:tcW w:w="1303" w:type="dxa"/>
            <w:shd w:val="clear" w:color="auto" w:fill="auto"/>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CT</w:t>
            </w:r>
          </w:p>
        </w:tc>
        <w:tc>
          <w:tcPr>
            <w:tcW w:w="1487" w:type="dxa"/>
            <w:shd w:val="clear" w:color="auto" w:fill="auto"/>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Connecticut</w:t>
            </w:r>
          </w:p>
        </w:tc>
        <w:tc>
          <w:tcPr>
            <w:tcW w:w="1440" w:type="dxa"/>
            <w:shd w:val="clear" w:color="auto" w:fill="auto"/>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CT</w:t>
            </w:r>
          </w:p>
        </w:tc>
        <w:tc>
          <w:tcPr>
            <w:tcW w:w="1044"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5,173</w:t>
            </w:r>
          </w:p>
        </w:tc>
        <w:tc>
          <w:tcPr>
            <w:tcW w:w="936"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62</w:t>
            </w:r>
          </w:p>
        </w:tc>
        <w:tc>
          <w:tcPr>
            <w:tcW w:w="846"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5,315</w:t>
            </w:r>
          </w:p>
        </w:tc>
        <w:tc>
          <w:tcPr>
            <w:tcW w:w="802"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57</w:t>
            </w:r>
          </w:p>
        </w:tc>
      </w:tr>
      <w:tr w:rsidR="007C7A5A" w:rsidRPr="00FB0184" w:rsidTr="007C7A5A">
        <w:trPr>
          <w:cantSplit/>
          <w:jc w:val="center"/>
        </w:trPr>
        <w:tc>
          <w:tcPr>
            <w:tcW w:w="1303"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SWCT</w:t>
            </w:r>
          </w:p>
        </w:tc>
        <w:tc>
          <w:tcPr>
            <w:tcW w:w="1487" w:type="dxa"/>
            <w:shd w:val="clear" w:color="auto" w:fill="C2D7F8" w:themeFill="text2" w:themeFillTint="33"/>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Connecticut</w:t>
            </w:r>
          </w:p>
        </w:tc>
        <w:tc>
          <w:tcPr>
            <w:tcW w:w="1440"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CT</w:t>
            </w:r>
          </w:p>
        </w:tc>
        <w:tc>
          <w:tcPr>
            <w:tcW w:w="104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2,284</w:t>
            </w:r>
          </w:p>
        </w:tc>
        <w:tc>
          <w:tcPr>
            <w:tcW w:w="93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c>
          <w:tcPr>
            <w:tcW w:w="846"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2,532</w:t>
            </w:r>
          </w:p>
        </w:tc>
        <w:tc>
          <w:tcPr>
            <w:tcW w:w="80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C2D7F8" w:themeFill="text2" w:themeFillTint="33"/>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27</w:t>
            </w:r>
          </w:p>
        </w:tc>
      </w:tr>
      <w:tr w:rsidR="007C7A5A" w:rsidRPr="00FB0184" w:rsidTr="007C7A5A">
        <w:trPr>
          <w:cantSplit/>
          <w:jc w:val="center"/>
        </w:trPr>
        <w:tc>
          <w:tcPr>
            <w:tcW w:w="1303" w:type="dxa"/>
            <w:shd w:val="clear" w:color="auto" w:fill="auto"/>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000000"/>
                <w:sz w:val="16"/>
                <w:szCs w:val="16"/>
              </w:rPr>
            </w:pPr>
            <w:r w:rsidRPr="00FB0184">
              <w:rPr>
                <w:rFonts w:asciiTheme="minorHAnsi" w:eastAsia="Times New Roman" w:hAnsiTheme="minorHAnsi" w:cs="Arial"/>
                <w:b/>
                <w:bCs/>
                <w:color w:val="000000"/>
                <w:sz w:val="16"/>
                <w:szCs w:val="16"/>
              </w:rPr>
              <w:t>NOR</w:t>
            </w:r>
          </w:p>
        </w:tc>
        <w:tc>
          <w:tcPr>
            <w:tcW w:w="1487" w:type="dxa"/>
            <w:shd w:val="clear" w:color="auto" w:fill="auto"/>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Connecticut</w:t>
            </w:r>
          </w:p>
        </w:tc>
        <w:tc>
          <w:tcPr>
            <w:tcW w:w="1440" w:type="dxa"/>
            <w:shd w:val="clear" w:color="auto" w:fill="auto"/>
            <w:noWrap/>
            <w:vAlign w:val="center"/>
            <w:hideMark/>
          </w:tcPr>
          <w:p w:rsidR="00FB0184" w:rsidRPr="00FB0184" w:rsidRDefault="00FB0184" w:rsidP="00727536">
            <w:pPr>
              <w:keepNext/>
              <w:keepLines/>
              <w:spacing w:before="20" w:after="20" w:line="240" w:lineRule="auto"/>
              <w:jc w:val="center"/>
              <w:rPr>
                <w:rFonts w:asciiTheme="minorHAnsi" w:eastAsia="Times New Roman" w:hAnsiTheme="minorHAnsi" w:cs="Arial"/>
                <w:color w:val="000000"/>
                <w:sz w:val="16"/>
                <w:szCs w:val="16"/>
              </w:rPr>
            </w:pPr>
            <w:r w:rsidRPr="00FB0184">
              <w:rPr>
                <w:rFonts w:asciiTheme="minorHAnsi" w:eastAsia="Times New Roman" w:hAnsiTheme="minorHAnsi" w:cs="Arial"/>
                <w:color w:val="000000"/>
                <w:sz w:val="16"/>
                <w:szCs w:val="16"/>
              </w:rPr>
              <w:t>CT</w:t>
            </w:r>
          </w:p>
        </w:tc>
        <w:tc>
          <w:tcPr>
            <w:tcW w:w="1044"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170</w:t>
            </w:r>
          </w:p>
        </w:tc>
        <w:tc>
          <w:tcPr>
            <w:tcW w:w="936"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864"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2</w:t>
            </w:r>
          </w:p>
        </w:tc>
        <w:tc>
          <w:tcPr>
            <w:tcW w:w="846"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544</w:t>
            </w:r>
          </w:p>
        </w:tc>
        <w:tc>
          <w:tcPr>
            <w:tcW w:w="802"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100</w:t>
            </w:r>
          </w:p>
        </w:tc>
        <w:tc>
          <w:tcPr>
            <w:tcW w:w="782" w:type="dxa"/>
            <w:shd w:val="clear" w:color="auto" w:fill="auto"/>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color w:val="000000"/>
                <w:sz w:val="16"/>
                <w:szCs w:val="16"/>
              </w:rPr>
            </w:pPr>
            <w:r w:rsidRPr="00FB0184">
              <w:rPr>
                <w:rFonts w:asciiTheme="minorHAnsi" w:eastAsia="Times New Roman" w:hAnsiTheme="minorHAnsi" w:cs="Arial"/>
                <w:b/>
                <w:color w:val="000000"/>
                <w:sz w:val="16"/>
                <w:szCs w:val="16"/>
              </w:rPr>
              <w:t>6</w:t>
            </w:r>
          </w:p>
        </w:tc>
      </w:tr>
      <w:tr w:rsidR="007C7A5A" w:rsidRPr="00FB0184" w:rsidTr="007C7A5A">
        <w:trPr>
          <w:cantSplit/>
          <w:trHeight w:val="319"/>
          <w:jc w:val="center"/>
        </w:trPr>
        <w:tc>
          <w:tcPr>
            <w:tcW w:w="1303" w:type="dxa"/>
            <w:shd w:val="clear" w:color="auto" w:fill="85AFF2" w:themeFill="text2" w:themeFillTint="66"/>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Total</w:t>
            </w:r>
            <w:r w:rsidRPr="00FB0184">
              <w:rPr>
                <w:rFonts w:asciiTheme="minorHAnsi" w:eastAsia="Times New Roman" w:hAnsiTheme="minorHAnsi" w:cs="Arial"/>
                <w:b/>
                <w:bCs/>
                <w:color w:val="FFFFFF" w:themeColor="background1"/>
                <w:sz w:val="16"/>
                <w:szCs w:val="16"/>
                <w:vertAlign w:val="superscript"/>
              </w:rPr>
              <w:t>(b)</w:t>
            </w:r>
          </w:p>
        </w:tc>
        <w:tc>
          <w:tcPr>
            <w:tcW w:w="2927" w:type="dxa"/>
            <w:gridSpan w:val="2"/>
            <w:shd w:val="clear" w:color="auto" w:fill="85AFF2" w:themeFill="text2" w:themeFillTint="66"/>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FFFFFF" w:themeColor="background1"/>
                <w:sz w:val="16"/>
                <w:szCs w:val="16"/>
              </w:rPr>
            </w:pPr>
            <w:r w:rsidRPr="00FB0184">
              <w:rPr>
                <w:rFonts w:asciiTheme="minorHAnsi" w:eastAsia="Times New Roman" w:hAnsiTheme="minorHAnsi" w:cs="Arial"/>
                <w:color w:val="FFFFFF" w:themeColor="background1"/>
                <w:sz w:val="16"/>
                <w:szCs w:val="16"/>
              </w:rPr>
              <w:t> </w:t>
            </w:r>
          </w:p>
        </w:tc>
        <w:tc>
          <w:tcPr>
            <w:tcW w:w="1044"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31,173</w:t>
            </w:r>
          </w:p>
        </w:tc>
        <w:tc>
          <w:tcPr>
            <w:tcW w:w="1800" w:type="dxa"/>
            <w:gridSpan w:val="2"/>
            <w:shd w:val="clear" w:color="auto" w:fill="85AFF2" w:themeFill="text2" w:themeFillTint="66"/>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FFFFFF" w:themeColor="background1"/>
                <w:sz w:val="16"/>
                <w:szCs w:val="16"/>
              </w:rPr>
            </w:pPr>
          </w:p>
        </w:tc>
        <w:tc>
          <w:tcPr>
            <w:tcW w:w="846" w:type="dxa"/>
            <w:shd w:val="clear" w:color="auto" w:fill="85AFF2" w:themeFill="text2" w:themeFillTint="66"/>
            <w:noWrap/>
            <w:vAlign w:val="center"/>
            <w:hideMark/>
          </w:tcPr>
          <w:p w:rsidR="00FB0184" w:rsidRPr="00FB0184" w:rsidRDefault="00FB0184" w:rsidP="00727536">
            <w:pPr>
              <w:keepNext/>
              <w:keepLines/>
              <w:spacing w:before="20" w:after="20" w:line="240" w:lineRule="auto"/>
              <w:jc w:val="right"/>
              <w:rPr>
                <w:rFonts w:asciiTheme="minorHAnsi" w:eastAsia="Times New Roman" w:hAnsiTheme="minorHAnsi" w:cs="Arial"/>
                <w:b/>
                <w:bCs/>
                <w:color w:val="FFFFFF" w:themeColor="background1"/>
                <w:sz w:val="16"/>
                <w:szCs w:val="16"/>
              </w:rPr>
            </w:pPr>
            <w:r w:rsidRPr="00FB0184">
              <w:rPr>
                <w:rFonts w:asciiTheme="minorHAnsi" w:eastAsia="Times New Roman" w:hAnsiTheme="minorHAnsi" w:cs="Arial"/>
                <w:b/>
                <w:bCs/>
                <w:color w:val="FFFFFF" w:themeColor="background1"/>
                <w:sz w:val="16"/>
                <w:szCs w:val="16"/>
              </w:rPr>
              <w:t>34,518</w:t>
            </w:r>
          </w:p>
        </w:tc>
        <w:tc>
          <w:tcPr>
            <w:tcW w:w="1584" w:type="dxa"/>
            <w:gridSpan w:val="2"/>
            <w:shd w:val="clear" w:color="auto" w:fill="85AFF2" w:themeFill="text2" w:themeFillTint="66"/>
            <w:noWrap/>
            <w:vAlign w:val="center"/>
            <w:hideMark/>
          </w:tcPr>
          <w:p w:rsidR="00FB0184" w:rsidRPr="00FB0184" w:rsidRDefault="00FB0184" w:rsidP="00727536">
            <w:pPr>
              <w:keepNext/>
              <w:keepLines/>
              <w:spacing w:before="20" w:after="20" w:line="240" w:lineRule="auto"/>
              <w:rPr>
                <w:rFonts w:asciiTheme="minorHAnsi" w:eastAsia="Times New Roman" w:hAnsiTheme="minorHAnsi" w:cs="Arial"/>
                <w:color w:val="FFFFFF" w:themeColor="background1"/>
                <w:sz w:val="16"/>
                <w:szCs w:val="16"/>
              </w:rPr>
            </w:pPr>
          </w:p>
        </w:tc>
      </w:tr>
    </w:tbl>
    <w:p w:rsidR="008A621B" w:rsidRPr="00133C75" w:rsidRDefault="008A621B" w:rsidP="00727536">
      <w:pPr>
        <w:keepNext/>
        <w:keepLines/>
        <w:numPr>
          <w:ilvl w:val="4"/>
          <w:numId w:val="288"/>
        </w:numPr>
        <w:spacing w:before="120" w:after="80" w:line="240" w:lineRule="auto"/>
        <w:ind w:left="-274" w:right="-274"/>
        <w:rPr>
          <w:rFonts w:asciiTheme="minorHAnsi" w:hAnsiTheme="minorHAnsi"/>
          <w:snapToGrid w:val="0"/>
          <w:sz w:val="16"/>
          <w:szCs w:val="16"/>
        </w:rPr>
      </w:pPr>
      <w:r w:rsidRPr="00133C75">
        <w:rPr>
          <w:rFonts w:asciiTheme="minorHAnsi" w:hAnsiTheme="minorHAnsi"/>
          <w:snapToGrid w:val="0"/>
          <w:sz w:val="16"/>
          <w:szCs w:val="16"/>
        </w:rPr>
        <w:t>The values shown are representative seasonal claimed capability based on the 2014 CELT.</w:t>
      </w:r>
    </w:p>
    <w:p w:rsidR="008A621B" w:rsidRPr="00133C75" w:rsidRDefault="008A621B" w:rsidP="00133C75">
      <w:pPr>
        <w:numPr>
          <w:ilvl w:val="4"/>
          <w:numId w:val="288"/>
        </w:numPr>
        <w:spacing w:before="120" w:after="80" w:line="240" w:lineRule="auto"/>
        <w:ind w:left="-274" w:right="-274"/>
        <w:rPr>
          <w:rFonts w:asciiTheme="minorHAnsi" w:hAnsiTheme="minorHAnsi"/>
          <w:snapToGrid w:val="0"/>
          <w:sz w:val="16"/>
          <w:szCs w:val="16"/>
        </w:rPr>
      </w:pPr>
      <w:r w:rsidRPr="00133C75">
        <w:rPr>
          <w:rFonts w:asciiTheme="minorHAnsi" w:hAnsiTheme="minorHAnsi"/>
          <w:snapToGrid w:val="0"/>
          <w:sz w:val="16"/>
          <w:szCs w:val="16"/>
        </w:rPr>
        <w:t>Totals may vary because of rounding.</w:t>
      </w:r>
    </w:p>
    <w:p w:rsidR="008A621B" w:rsidRPr="00133C75" w:rsidRDefault="0007592E" w:rsidP="00133C75">
      <w:pPr>
        <w:pStyle w:val="Heading3"/>
      </w:pPr>
      <w:bookmarkStart w:id="486" w:name="_Ref329080869"/>
      <w:bookmarkStart w:id="487" w:name="_Toc334601038"/>
      <w:bookmarkStart w:id="488" w:name="_Toc365441002"/>
      <w:bookmarkStart w:id="489" w:name="_Toc396807632"/>
      <w:r w:rsidRPr="00133C75">
        <w:t>Generating Units in the ISO Generat</w:t>
      </w:r>
      <w:r w:rsidRPr="00133C75">
        <w:rPr>
          <w:szCs w:val="18"/>
        </w:rPr>
        <w:t>o</w:t>
      </w:r>
      <w:r w:rsidRPr="00133C75">
        <w:t>r Interconnection Queue</w:t>
      </w:r>
      <w:bookmarkEnd w:id="486"/>
      <w:bookmarkEnd w:id="487"/>
      <w:bookmarkEnd w:id="488"/>
      <w:bookmarkEnd w:id="489"/>
      <w:r w:rsidRPr="00133C75">
        <w:t xml:space="preserve"> </w:t>
      </w:r>
    </w:p>
    <w:p w:rsidR="008A621B" w:rsidRDefault="008A621B" w:rsidP="00133C75">
      <w:pPr>
        <w:keepNext/>
        <w:keepLines/>
      </w:pPr>
      <w:r>
        <w:t xml:space="preserve">The interconnection requests in the ISO’s </w:t>
      </w:r>
      <w:r w:rsidRPr="00D93D8A">
        <w:t>Generator Interconnection</w:t>
      </w:r>
      <w:r>
        <w:t xml:space="preserve"> Queue reflect the region’s interest in </w:t>
      </w:r>
      <w:r w:rsidRPr="00447A05">
        <w:t>building new generation capacity</w:t>
      </w:r>
      <w:r>
        <w:t>.</w:t>
      </w:r>
      <w:r>
        <w:rPr>
          <w:rStyle w:val="FootnoteReference"/>
        </w:rPr>
        <w:footnoteReference w:id="163"/>
      </w:r>
      <w:r>
        <w:t xml:space="preserve"> </w:t>
      </w:r>
      <w:fldSimple w:instr=" REF _Ref236623017 \h  \* MERGEFORMAT ">
        <w:r w:rsidR="00284CE3" w:rsidRPr="006D14CD">
          <w:t xml:space="preserve">Figure </w:t>
        </w:r>
        <w:r w:rsidR="00284CE3">
          <w:rPr>
            <w:noProof/>
          </w:rPr>
          <w:t>4</w:t>
        </w:r>
        <w:r w:rsidR="00284CE3">
          <w:rPr>
            <w:noProof/>
          </w:rPr>
          <w:noBreakHyphen/>
          <w:t>2</w:t>
        </w:r>
      </w:fldSimple>
      <w:r>
        <w:t xml:space="preserve"> </w:t>
      </w:r>
      <w:r w:rsidRPr="00447A05">
        <w:t xml:space="preserve">shows the capacity of </w:t>
      </w:r>
      <w:r w:rsidRPr="00AD70C1">
        <w:t>the 5</w:t>
      </w:r>
      <w:r>
        <w:t>6</w:t>
      </w:r>
      <w:r w:rsidRPr="00AD70C1">
        <w:t xml:space="preserve"> active generation-</w:t>
      </w:r>
      <w:r w:rsidRPr="007F2B71">
        <w:t>interconnection requests in the queue by RSP subarea as of April 1, 201</w:t>
      </w:r>
      <w:r>
        <w:t>4</w:t>
      </w:r>
      <w:r w:rsidRPr="007F2B71">
        <w:t>. As shown,</w:t>
      </w:r>
      <w:r>
        <w:t xml:space="preserve"> over</w:t>
      </w:r>
      <w:r w:rsidRPr="007F2B71">
        <w:t xml:space="preserve"> </w:t>
      </w:r>
      <w:r>
        <w:t>6</w:t>
      </w:r>
      <w:r w:rsidRPr="007F2B71">
        <w:t xml:space="preserve">0% of the active projects </w:t>
      </w:r>
      <w:proofErr w:type="gramStart"/>
      <w:r w:rsidRPr="007F2B71">
        <w:t>are proposed</w:t>
      </w:r>
      <w:proofErr w:type="gramEnd"/>
      <w:r w:rsidRPr="007F2B71">
        <w:t xml:space="preserve"> in the BOSTON</w:t>
      </w:r>
      <w:r>
        <w:t xml:space="preserve">, </w:t>
      </w:r>
      <w:r w:rsidRPr="007F2B71">
        <w:t>SWCT</w:t>
      </w:r>
      <w:r>
        <w:t>,</w:t>
      </w:r>
      <w:r w:rsidRPr="007F2B71">
        <w:t xml:space="preserve"> </w:t>
      </w:r>
      <w:r>
        <w:t xml:space="preserve">and SEMA </w:t>
      </w:r>
      <w:r w:rsidRPr="007F2B71">
        <w:t xml:space="preserve">subareas. The areas with the most active proposed capacity additions are the BOSTON, </w:t>
      </w:r>
      <w:r>
        <w:t xml:space="preserve">SWCT, </w:t>
      </w:r>
      <w:r w:rsidRPr="007F2B71">
        <w:t>and SEMA subareas</w:t>
      </w:r>
      <w:r>
        <w:t>,</w:t>
      </w:r>
      <w:r w:rsidRPr="007F2B71">
        <w:t xml:space="preserve"> followed by BHE, </w:t>
      </w:r>
      <w:r>
        <w:t xml:space="preserve">ME, </w:t>
      </w:r>
      <w:r w:rsidRPr="007F2B71">
        <w:t xml:space="preserve">and </w:t>
      </w:r>
      <w:r>
        <w:t xml:space="preserve">WMA. </w:t>
      </w:r>
      <w:r w:rsidRPr="007F2B71">
        <w:t xml:space="preserve">Together, these six subareas have </w:t>
      </w:r>
      <w:r>
        <w:t>approximately</w:t>
      </w:r>
      <w:r w:rsidRPr="007F2B71">
        <w:t xml:space="preserve"> </w:t>
      </w:r>
      <w:r>
        <w:t>6,220</w:t>
      </w:r>
      <w:r w:rsidRPr="007F2B71">
        <w:t xml:space="preserve"> MW under study or development of </w:t>
      </w:r>
      <w:r>
        <w:t>6,915</w:t>
      </w:r>
      <w:r w:rsidRPr="007F2B71">
        <w:t> MW of active projects for New England</w:t>
      </w:r>
      <w:r>
        <w:t>.</w:t>
      </w:r>
      <w:r w:rsidRPr="007F2B71">
        <w:rPr>
          <w:rStyle w:val="FootnoteReference"/>
        </w:rPr>
        <w:footnoteReference w:id="164"/>
      </w:r>
    </w:p>
    <w:p w:rsidR="008A621B" w:rsidRDefault="008A621B" w:rsidP="008A621B">
      <w:pPr>
        <w:spacing w:after="0" w:line="240" w:lineRule="auto"/>
        <w:jc w:val="center"/>
      </w:pPr>
      <w:r>
        <w:rPr>
          <w:noProof/>
        </w:rPr>
        <w:drawing>
          <wp:inline distT="0" distB="0" distL="0" distR="0">
            <wp:extent cx="5963138" cy="2279374"/>
            <wp:effectExtent l="19050" t="19050" r="18562" b="25676"/>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959683" cy="2278053"/>
                    </a:xfrm>
                    <a:prstGeom prst="rect">
                      <a:avLst/>
                    </a:prstGeom>
                    <a:noFill/>
                    <a:ln w="3175">
                      <a:solidFill>
                        <a:schemeClr val="tx1"/>
                      </a:solidFill>
                      <a:miter lim="800000"/>
                      <a:headEnd/>
                      <a:tailEnd/>
                    </a:ln>
                  </pic:spPr>
                </pic:pic>
              </a:graphicData>
            </a:graphic>
          </wp:inline>
        </w:drawing>
      </w:r>
    </w:p>
    <w:p w:rsidR="008A621B" w:rsidRDefault="008A621B" w:rsidP="008A621B">
      <w:pPr>
        <w:pStyle w:val="Caption"/>
        <w:spacing w:before="120" w:after="80"/>
        <w:ind w:left="0" w:right="-270"/>
        <w:jc w:val="left"/>
      </w:pPr>
      <w:bookmarkStart w:id="490" w:name="_Ref236623017"/>
      <w:bookmarkStart w:id="491" w:name="_Toc239157188"/>
      <w:bookmarkStart w:id="492" w:name="_Toc271552374"/>
      <w:bookmarkStart w:id="493" w:name="_Toc303086728"/>
      <w:bookmarkStart w:id="494" w:name="_Toc334601487"/>
      <w:bookmarkStart w:id="495" w:name="_Toc365440681"/>
      <w:bookmarkStart w:id="496" w:name="_Toc391985570"/>
      <w:r w:rsidRPr="006D14CD">
        <w:t xml:space="preserve">Figure </w:t>
      </w:r>
      <w:r w:rsidR="00927965">
        <w:fldChar w:fldCharType="begin"/>
      </w:r>
      <w:r w:rsidR="0011163E">
        <w:instrText xml:space="preserve"> STYLEREF 1 \s </w:instrText>
      </w:r>
      <w:r w:rsidR="00927965">
        <w:fldChar w:fldCharType="separate"/>
      </w:r>
      <w:r w:rsidR="00284CE3">
        <w:rPr>
          <w:noProof/>
        </w:rPr>
        <w:t>4</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2</w:t>
      </w:r>
      <w:r w:rsidR="00927965">
        <w:fldChar w:fldCharType="end"/>
      </w:r>
      <w:bookmarkEnd w:id="490"/>
      <w:r w:rsidRPr="006D14CD">
        <w:t>: Capacity of generation-interconnection requests by RSP subarea</w:t>
      </w:r>
      <w:r>
        <w:t>,</w:t>
      </w:r>
      <w:r w:rsidRPr="006D14CD">
        <w:t xml:space="preserve"> November 1997 to April 201</w:t>
      </w:r>
      <w:r>
        <w:t>4</w:t>
      </w:r>
      <w:r w:rsidRPr="006D14CD">
        <w:t>.</w:t>
      </w:r>
      <w:bookmarkEnd w:id="491"/>
      <w:bookmarkEnd w:id="492"/>
      <w:bookmarkEnd w:id="493"/>
      <w:bookmarkEnd w:id="494"/>
      <w:bookmarkEnd w:id="495"/>
      <w:bookmarkEnd w:id="496"/>
    </w:p>
    <w:p w:rsidR="008A621B" w:rsidRPr="00727858" w:rsidRDefault="008A621B" w:rsidP="008A621B">
      <w:pPr>
        <w:pStyle w:val="TableNote"/>
        <w:keepNext w:val="0"/>
        <w:tabs>
          <w:tab w:val="left" w:pos="90"/>
          <w:tab w:val="left" w:pos="9720"/>
        </w:tabs>
        <w:spacing w:before="0" w:after="240"/>
        <w:ind w:right="-270"/>
        <w:rPr>
          <w:rFonts w:asciiTheme="minorHAnsi" w:hAnsiTheme="minorHAnsi"/>
          <w:szCs w:val="16"/>
        </w:rPr>
      </w:pPr>
      <w:r w:rsidRPr="00727858">
        <w:rPr>
          <w:rFonts w:asciiTheme="minorHAnsi" w:hAnsiTheme="minorHAnsi"/>
          <w:b/>
          <w:szCs w:val="16"/>
        </w:rPr>
        <w:t>Notes:</w:t>
      </w:r>
      <w:r w:rsidRPr="00727858">
        <w:rPr>
          <w:rFonts w:asciiTheme="minorHAnsi" w:hAnsiTheme="minorHAnsi"/>
          <w:szCs w:val="16"/>
        </w:rPr>
        <w:t xml:space="preserve"> All capacities </w:t>
      </w:r>
      <w:proofErr w:type="gramStart"/>
      <w:r w:rsidRPr="00727858">
        <w:rPr>
          <w:rFonts w:asciiTheme="minorHAnsi" w:hAnsiTheme="minorHAnsi"/>
          <w:szCs w:val="16"/>
        </w:rPr>
        <w:t>are based</w:t>
      </w:r>
      <w:proofErr w:type="gramEnd"/>
      <w:r w:rsidRPr="00727858">
        <w:rPr>
          <w:rFonts w:asciiTheme="minorHAnsi" w:hAnsiTheme="minorHAnsi"/>
          <w:szCs w:val="16"/>
        </w:rPr>
        <w:t xml:space="preserve"> on the projects in the ISO Generator Interconnection Queue as of April 1, 2014, that would interconnect with the ISO system. Projects involving only transmission or that did not increase an existing generator’s capacity </w:t>
      </w:r>
      <w:proofErr w:type="gramStart"/>
      <w:r w:rsidRPr="00727858">
        <w:rPr>
          <w:rFonts w:asciiTheme="minorHAnsi" w:hAnsiTheme="minorHAnsi"/>
          <w:szCs w:val="16"/>
        </w:rPr>
        <w:t>were excluded</w:t>
      </w:r>
      <w:proofErr w:type="gramEnd"/>
      <w:r w:rsidRPr="00727858">
        <w:rPr>
          <w:rFonts w:asciiTheme="minorHAnsi" w:hAnsiTheme="minorHAnsi"/>
          <w:szCs w:val="16"/>
        </w:rPr>
        <w:t xml:space="preserve">. Projects with more than one listing in the queue, representing different interconnection configurations, </w:t>
      </w:r>
      <w:proofErr w:type="gramStart"/>
      <w:r w:rsidRPr="00727858">
        <w:rPr>
          <w:rFonts w:asciiTheme="minorHAnsi" w:hAnsiTheme="minorHAnsi"/>
          <w:szCs w:val="16"/>
        </w:rPr>
        <w:t>were counted</w:t>
      </w:r>
      <w:proofErr w:type="gramEnd"/>
      <w:r w:rsidRPr="00727858">
        <w:rPr>
          <w:rFonts w:asciiTheme="minorHAnsi" w:hAnsiTheme="minorHAnsi"/>
          <w:szCs w:val="16"/>
        </w:rPr>
        <w:t xml:space="preserve"> only once.</w:t>
      </w:r>
    </w:p>
    <w:p w:rsidR="008A621B" w:rsidRPr="00435E78" w:rsidRDefault="00927965" w:rsidP="008A621B">
      <w:fldSimple w:instr=" REF _Ref230869353 \h  \* MERGEFORMAT ">
        <w:r w:rsidR="00284CE3" w:rsidRPr="00D77BBA">
          <w:t>Table </w:t>
        </w:r>
        <w:r w:rsidR="00284CE3">
          <w:t>4</w:t>
        </w:r>
        <w:r w:rsidR="00284CE3">
          <w:noBreakHyphen/>
          <w:t>13</w:t>
        </w:r>
      </w:fldSimple>
      <w:r w:rsidR="008A621B" w:rsidRPr="00D77BBA">
        <w:t xml:space="preserve"> shows a summary of the projects in the ISO Generator Interconnection Queue as of April 1, 2014.</w:t>
      </w:r>
      <w:r w:rsidR="008A621B" w:rsidRPr="00435E78">
        <w:rPr>
          <w:rStyle w:val="FootnoteReference"/>
        </w:rPr>
        <w:footnoteReference w:id="165"/>
      </w:r>
      <w:r w:rsidR="008A621B" w:rsidRPr="00D77BBA">
        <w:t xml:space="preserve"> Since the first publication of the queue in November 1997, 106 generating projects (14,995 MW) out of 372 total generator applications (totaling 73,782 MW) have become commercial.</w:t>
      </w:r>
      <w:r w:rsidR="008A621B" w:rsidRPr="00435E78">
        <w:rPr>
          <w:rStyle w:val="FootnoteReference"/>
        </w:rPr>
        <w:footnoteReference w:id="166"/>
      </w:r>
      <w:r w:rsidR="008A621B" w:rsidRPr="00D77BBA">
        <w:t xml:space="preserve"> Since the queue’s inception, proposed projects totaling approximately 51,872 MW </w:t>
      </w:r>
      <w:proofErr w:type="gramStart"/>
      <w:r w:rsidR="008A621B" w:rsidRPr="00D77BBA">
        <w:t>have been withdrawn</w:t>
      </w:r>
      <w:proofErr w:type="gramEnd"/>
      <w:r w:rsidR="008A621B" w:rsidRPr="00D77BBA">
        <w:t xml:space="preserve">, reflecting a megawatt attrition rate of 70%. The 56 active projects in the queue total </w:t>
      </w:r>
      <w:r w:rsidR="008A621B">
        <w:t>6,915</w:t>
      </w:r>
      <w:r w:rsidR="008A621B" w:rsidRPr="00D77BBA">
        <w:t xml:space="preserve"> MW. </w:t>
      </w:r>
      <w:fldSimple w:instr=" REF _Ref325112633 \h  \* MERGEFORMAT ">
        <w:r w:rsidR="00284CE3" w:rsidRPr="003C3EFC">
          <w:t xml:space="preserve">Figure </w:t>
        </w:r>
        <w:r w:rsidR="00284CE3">
          <w:rPr>
            <w:noProof/>
          </w:rPr>
          <w:t>4</w:t>
        </w:r>
        <w:r w:rsidR="00284CE3">
          <w:rPr>
            <w:noProof/>
          </w:rPr>
          <w:noBreakHyphen/>
          <w:t>3</w:t>
        </w:r>
      </w:fldSimple>
      <w:r w:rsidR="008A621B" w:rsidRPr="00D77BBA">
        <w:t xml:space="preserve"> shows the resources in the ISO Generator Interconnection Queue, by state and fuel type, as of April 1, 2014. </w:t>
      </w:r>
      <w:fldSimple w:instr=" REF _Ref325446407 \h  \* MERGEFORMAT ">
        <w:r w:rsidR="00284CE3" w:rsidRPr="00447A05">
          <w:t xml:space="preserve">Figure </w:t>
        </w:r>
        <w:r w:rsidR="00284CE3">
          <w:rPr>
            <w:noProof/>
          </w:rPr>
          <w:t>4</w:t>
        </w:r>
        <w:r w:rsidR="00284CE3">
          <w:rPr>
            <w:noProof/>
          </w:rPr>
          <w:noBreakHyphen/>
          <w:t>4</w:t>
        </w:r>
      </w:fldSimple>
      <w:r w:rsidR="008A621B" w:rsidRPr="00D77BBA">
        <w:t xml:space="preserve"> shows the total megawatts of the same resources by RSP subarea, and </w:t>
      </w:r>
      <w:fldSimple w:instr=" REF _Ref325446497 \h  \* MERGEFORMAT ">
        <w:r w:rsidR="00284CE3" w:rsidRPr="00701757">
          <w:t xml:space="preserve">Figure </w:t>
        </w:r>
        <w:r w:rsidR="00284CE3">
          <w:rPr>
            <w:noProof/>
          </w:rPr>
          <w:t>4</w:t>
        </w:r>
        <w:r w:rsidR="00284CE3">
          <w:rPr>
            <w:noProof/>
          </w:rPr>
          <w:noBreakHyphen/>
          <w:t>5</w:t>
        </w:r>
      </w:fldSimple>
      <w:r w:rsidR="008A621B" w:rsidRPr="00D77BBA">
        <w:t xml:space="preserve"> shows the fuel types by subarea, expressed as a percentage of the total.</w:t>
      </w:r>
    </w:p>
    <w:p w:rsidR="008A621B" w:rsidRPr="004F3848" w:rsidRDefault="008A621B" w:rsidP="008A621B">
      <w:pPr>
        <w:pStyle w:val="Caption"/>
      </w:pPr>
      <w:bookmarkStart w:id="497" w:name="_Ref230869353"/>
      <w:bookmarkStart w:id="498" w:name="_Toc239157227"/>
      <w:bookmarkStart w:id="499" w:name="_Toc271552414"/>
      <w:bookmarkStart w:id="500" w:name="_Toc303086939"/>
      <w:bookmarkStart w:id="501" w:name="_Toc330401265"/>
      <w:bookmarkStart w:id="502" w:name="_Toc334541938"/>
      <w:bookmarkStart w:id="503" w:name="_Toc334541975"/>
      <w:bookmarkStart w:id="504" w:name="_Toc365440714"/>
      <w:bookmarkStart w:id="505" w:name="_Toc391985615"/>
      <w:r w:rsidRPr="00D77BBA">
        <w:t>Table </w:t>
      </w:r>
      <w:fldSimple w:instr=" STYLEREF 1 \s ">
        <w:r w:rsidR="00284CE3">
          <w:rPr>
            <w:noProof/>
          </w:rPr>
          <w:t>4</w:t>
        </w:r>
      </w:fldSimple>
      <w:r w:rsidR="00BD7584">
        <w:noBreakHyphen/>
      </w:r>
      <w:fldSimple w:instr=" SEQ Table \* ARABIC \s 1 ">
        <w:r w:rsidR="00284CE3">
          <w:rPr>
            <w:noProof/>
          </w:rPr>
          <w:t>13</w:t>
        </w:r>
      </w:fldSimple>
      <w:bookmarkEnd w:id="497"/>
      <w:r w:rsidRPr="00D77BBA">
        <w:br/>
        <w:t xml:space="preserve">Summary of Queue Projects as of </w:t>
      </w:r>
      <w:bookmarkEnd w:id="498"/>
      <w:r w:rsidRPr="00D77BBA">
        <w:t>April 1, 2014</w:t>
      </w:r>
      <w:bookmarkEnd w:id="499"/>
      <w:bookmarkEnd w:id="500"/>
      <w:bookmarkEnd w:id="501"/>
      <w:bookmarkEnd w:id="502"/>
      <w:bookmarkEnd w:id="503"/>
      <w:bookmarkEnd w:id="504"/>
      <w:bookmarkEnd w:id="505"/>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58" w:type="dxa"/>
          <w:bottom w:w="29" w:type="dxa"/>
          <w:right w:w="288" w:type="dxa"/>
        </w:tblCellMar>
        <w:tblLook w:val="04A0"/>
      </w:tblPr>
      <w:tblGrid>
        <w:gridCol w:w="1990"/>
        <w:gridCol w:w="1484"/>
        <w:gridCol w:w="1936"/>
      </w:tblGrid>
      <w:tr w:rsidR="008A621B" w:rsidRPr="005F730F" w:rsidTr="00F4467F">
        <w:trPr>
          <w:cantSplit/>
          <w:trHeight w:val="288"/>
          <w:tblHeader/>
          <w:jc w:val="center"/>
        </w:trPr>
        <w:tc>
          <w:tcPr>
            <w:tcW w:w="1990" w:type="dxa"/>
            <w:shd w:val="clear" w:color="auto" w:fill="85AFF2" w:themeFill="text2" w:themeFillTint="66"/>
            <w:vAlign w:val="center"/>
          </w:tcPr>
          <w:p w:rsidR="008A621B" w:rsidRPr="00DB21FF" w:rsidRDefault="008A621B" w:rsidP="008A621B">
            <w:pPr>
              <w:spacing w:after="0" w:line="240" w:lineRule="auto"/>
              <w:jc w:val="center"/>
              <w:rPr>
                <w:rFonts w:asciiTheme="minorHAnsi" w:hAnsiTheme="minorHAnsi"/>
                <w:b/>
                <w:iCs/>
                <w:color w:val="FFFFFF" w:themeColor="background1"/>
                <w:sz w:val="18"/>
                <w:szCs w:val="18"/>
                <w:highlight w:val="yellow"/>
              </w:rPr>
            </w:pPr>
            <w:r w:rsidRPr="00CB3685">
              <w:rPr>
                <w:rFonts w:ascii="Calibri" w:hAnsi="Calibri"/>
                <w:b/>
                <w:bCs/>
                <w:color w:val="FFFFFF" w:themeColor="background1"/>
                <w:sz w:val="18"/>
                <w:szCs w:val="18"/>
              </w:rPr>
              <w:t>Category of Projects</w:t>
            </w:r>
          </w:p>
        </w:tc>
        <w:tc>
          <w:tcPr>
            <w:tcW w:w="1484" w:type="dxa"/>
            <w:shd w:val="clear" w:color="auto" w:fill="85AFF2" w:themeFill="text2" w:themeFillTint="66"/>
            <w:tcMar>
              <w:left w:w="101" w:type="dxa"/>
              <w:right w:w="115" w:type="dxa"/>
            </w:tcMar>
            <w:vAlign w:val="center"/>
          </w:tcPr>
          <w:p w:rsidR="008A621B" w:rsidRPr="00DB21FF" w:rsidRDefault="008A621B" w:rsidP="008A621B">
            <w:pPr>
              <w:spacing w:after="0" w:line="240" w:lineRule="auto"/>
              <w:jc w:val="center"/>
              <w:rPr>
                <w:rFonts w:asciiTheme="minorHAnsi" w:hAnsiTheme="minorHAnsi"/>
                <w:b/>
                <w:iCs/>
                <w:color w:val="FFFFFF" w:themeColor="background1"/>
                <w:sz w:val="18"/>
                <w:szCs w:val="18"/>
                <w:highlight w:val="yellow"/>
              </w:rPr>
            </w:pPr>
            <w:r w:rsidRPr="00CB3685">
              <w:rPr>
                <w:rFonts w:ascii="Calibri" w:hAnsi="Calibri"/>
                <w:b/>
                <w:bCs/>
                <w:color w:val="FFFFFF" w:themeColor="background1"/>
                <w:sz w:val="18"/>
                <w:szCs w:val="18"/>
              </w:rPr>
              <w:t>Projects</w:t>
            </w:r>
          </w:p>
        </w:tc>
        <w:tc>
          <w:tcPr>
            <w:tcW w:w="1936" w:type="dxa"/>
            <w:shd w:val="clear" w:color="auto" w:fill="85AFF2" w:themeFill="text2" w:themeFillTint="66"/>
            <w:tcMar>
              <w:left w:w="101" w:type="dxa"/>
              <w:right w:w="115" w:type="dxa"/>
            </w:tcMar>
            <w:vAlign w:val="center"/>
          </w:tcPr>
          <w:p w:rsidR="008A621B" w:rsidRPr="00DB21FF" w:rsidRDefault="008A621B" w:rsidP="008A621B">
            <w:pPr>
              <w:spacing w:after="0" w:line="240" w:lineRule="auto"/>
              <w:jc w:val="center"/>
              <w:rPr>
                <w:rFonts w:asciiTheme="minorHAnsi" w:hAnsiTheme="minorHAnsi"/>
                <w:b/>
                <w:iCs/>
                <w:color w:val="FFFFFF" w:themeColor="background1"/>
                <w:sz w:val="18"/>
                <w:szCs w:val="18"/>
                <w:highlight w:val="yellow"/>
              </w:rPr>
            </w:pPr>
            <w:r w:rsidRPr="00CB3685">
              <w:rPr>
                <w:rFonts w:ascii="Calibri" w:hAnsi="Calibri"/>
                <w:b/>
                <w:bCs/>
                <w:color w:val="FFFFFF" w:themeColor="background1"/>
                <w:sz w:val="18"/>
                <w:szCs w:val="18"/>
              </w:rPr>
              <w:t>Total Capacity (MW)</w:t>
            </w:r>
          </w:p>
        </w:tc>
      </w:tr>
      <w:tr w:rsidR="008A621B" w:rsidRPr="005F730F" w:rsidTr="00F4467F">
        <w:trPr>
          <w:cantSplit/>
          <w:trHeight w:val="288"/>
          <w:jc w:val="center"/>
        </w:trPr>
        <w:tc>
          <w:tcPr>
            <w:tcW w:w="1990" w:type="dxa"/>
            <w:vAlign w:val="center"/>
          </w:tcPr>
          <w:p w:rsidR="008A621B" w:rsidRPr="005F730F" w:rsidRDefault="008A621B" w:rsidP="008A621B">
            <w:pPr>
              <w:keepNext/>
              <w:keepLines/>
              <w:spacing w:after="0" w:line="240" w:lineRule="auto"/>
              <w:rPr>
                <w:rFonts w:asciiTheme="minorHAnsi" w:hAnsiTheme="minorHAnsi" w:cs="Arial"/>
                <w:b/>
                <w:bCs/>
                <w:color w:val="000000"/>
                <w:sz w:val="18"/>
                <w:szCs w:val="18"/>
                <w:highlight w:val="yellow"/>
              </w:rPr>
            </w:pPr>
            <w:r>
              <w:rPr>
                <w:rFonts w:ascii="Calibri" w:hAnsi="Calibri"/>
                <w:b/>
                <w:bCs/>
                <w:color w:val="000000"/>
                <w:sz w:val="18"/>
                <w:szCs w:val="18"/>
              </w:rPr>
              <w:t>Commercial</w:t>
            </w:r>
          </w:p>
        </w:tc>
        <w:tc>
          <w:tcPr>
            <w:tcW w:w="1484" w:type="dxa"/>
            <w:tcMar>
              <w:right w:w="360" w:type="dxa"/>
            </w:tcMar>
            <w:vAlign w:val="center"/>
          </w:tcPr>
          <w:p w:rsidR="008A621B" w:rsidRPr="005F730F" w:rsidRDefault="008A621B" w:rsidP="008A621B">
            <w:pPr>
              <w:keepNext/>
              <w:keepLines/>
              <w:tabs>
                <w:tab w:val="decimal" w:pos="840"/>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106</w:t>
            </w:r>
          </w:p>
        </w:tc>
        <w:tc>
          <w:tcPr>
            <w:tcW w:w="1936" w:type="dxa"/>
            <w:tcMar>
              <w:right w:w="360" w:type="dxa"/>
            </w:tcMar>
            <w:vAlign w:val="center"/>
          </w:tcPr>
          <w:p w:rsidR="008A621B" w:rsidRPr="005F730F" w:rsidRDefault="008A621B" w:rsidP="008A621B">
            <w:pPr>
              <w:keepNext/>
              <w:keepLines/>
              <w:tabs>
                <w:tab w:val="decimal" w:pos="1346"/>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14,995</w:t>
            </w:r>
          </w:p>
        </w:tc>
      </w:tr>
      <w:tr w:rsidR="008A621B" w:rsidRPr="005F730F" w:rsidTr="00F4467F">
        <w:trPr>
          <w:cantSplit/>
          <w:trHeight w:val="288"/>
          <w:jc w:val="center"/>
        </w:trPr>
        <w:tc>
          <w:tcPr>
            <w:tcW w:w="1990" w:type="dxa"/>
            <w:shd w:val="clear" w:color="auto" w:fill="C2D7F8" w:themeFill="text2" w:themeFillTint="33"/>
            <w:vAlign w:val="center"/>
          </w:tcPr>
          <w:p w:rsidR="008A621B" w:rsidRPr="005F730F" w:rsidRDefault="008A621B" w:rsidP="008A621B">
            <w:pPr>
              <w:keepNext/>
              <w:keepLines/>
              <w:spacing w:after="0" w:line="240" w:lineRule="auto"/>
              <w:rPr>
                <w:rFonts w:asciiTheme="minorHAnsi" w:hAnsiTheme="minorHAnsi" w:cs="Arial"/>
                <w:b/>
                <w:bCs/>
                <w:color w:val="000000"/>
                <w:sz w:val="18"/>
                <w:szCs w:val="18"/>
                <w:highlight w:val="yellow"/>
              </w:rPr>
            </w:pPr>
            <w:r>
              <w:rPr>
                <w:rFonts w:ascii="Calibri" w:hAnsi="Calibri"/>
                <w:b/>
                <w:bCs/>
                <w:color w:val="000000"/>
                <w:sz w:val="18"/>
                <w:szCs w:val="18"/>
              </w:rPr>
              <w:t>Active</w:t>
            </w:r>
            <w:r>
              <w:rPr>
                <w:rFonts w:ascii="Calibri" w:hAnsi="Calibri"/>
                <w:b/>
                <w:bCs/>
                <w:color w:val="000000"/>
                <w:sz w:val="18"/>
                <w:szCs w:val="18"/>
                <w:vertAlign w:val="superscript"/>
              </w:rPr>
              <w:t>(a)</w:t>
            </w:r>
          </w:p>
        </w:tc>
        <w:tc>
          <w:tcPr>
            <w:tcW w:w="1484" w:type="dxa"/>
            <w:shd w:val="clear" w:color="auto" w:fill="C2D7F8" w:themeFill="text2" w:themeFillTint="33"/>
            <w:tcMar>
              <w:right w:w="360" w:type="dxa"/>
            </w:tcMar>
            <w:vAlign w:val="center"/>
          </w:tcPr>
          <w:p w:rsidR="008A621B" w:rsidRPr="005F730F" w:rsidRDefault="008A621B" w:rsidP="008A621B">
            <w:pPr>
              <w:keepNext/>
              <w:keepLines/>
              <w:tabs>
                <w:tab w:val="decimal" w:pos="840"/>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56</w:t>
            </w:r>
          </w:p>
        </w:tc>
        <w:tc>
          <w:tcPr>
            <w:tcW w:w="1936" w:type="dxa"/>
            <w:shd w:val="clear" w:color="auto" w:fill="C2D7F8" w:themeFill="text2" w:themeFillTint="33"/>
            <w:tcMar>
              <w:right w:w="360" w:type="dxa"/>
            </w:tcMar>
            <w:vAlign w:val="center"/>
          </w:tcPr>
          <w:p w:rsidR="008A621B" w:rsidRPr="005F730F" w:rsidRDefault="008A621B" w:rsidP="008A621B">
            <w:pPr>
              <w:keepNext/>
              <w:keepLines/>
              <w:tabs>
                <w:tab w:val="decimal" w:pos="1346"/>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6,915</w:t>
            </w:r>
          </w:p>
        </w:tc>
      </w:tr>
      <w:tr w:rsidR="008A621B" w:rsidRPr="009E52E9" w:rsidTr="00F4467F">
        <w:trPr>
          <w:cantSplit/>
          <w:trHeight w:val="288"/>
          <w:jc w:val="center"/>
        </w:trPr>
        <w:tc>
          <w:tcPr>
            <w:tcW w:w="1990" w:type="dxa"/>
            <w:vAlign w:val="center"/>
          </w:tcPr>
          <w:p w:rsidR="008A621B" w:rsidRPr="005F730F" w:rsidRDefault="008A621B" w:rsidP="008A621B">
            <w:pPr>
              <w:keepNext/>
              <w:keepLines/>
              <w:spacing w:after="0" w:line="240" w:lineRule="auto"/>
              <w:rPr>
                <w:rFonts w:asciiTheme="minorHAnsi" w:hAnsiTheme="minorHAnsi" w:cs="Arial"/>
                <w:b/>
                <w:bCs/>
                <w:color w:val="000000"/>
                <w:sz w:val="18"/>
                <w:szCs w:val="18"/>
                <w:highlight w:val="yellow"/>
              </w:rPr>
            </w:pPr>
            <w:r>
              <w:rPr>
                <w:rFonts w:ascii="Calibri" w:hAnsi="Calibri"/>
                <w:b/>
                <w:bCs/>
                <w:color w:val="000000"/>
                <w:sz w:val="18"/>
                <w:szCs w:val="18"/>
              </w:rPr>
              <w:t>Withdrawn</w:t>
            </w:r>
          </w:p>
        </w:tc>
        <w:tc>
          <w:tcPr>
            <w:tcW w:w="1484" w:type="dxa"/>
            <w:tcMar>
              <w:right w:w="360" w:type="dxa"/>
            </w:tcMar>
            <w:vAlign w:val="center"/>
          </w:tcPr>
          <w:p w:rsidR="008A621B" w:rsidRPr="005F730F" w:rsidRDefault="008A621B" w:rsidP="008A621B">
            <w:pPr>
              <w:keepNext/>
              <w:keepLines/>
              <w:tabs>
                <w:tab w:val="decimal" w:pos="840"/>
              </w:tabs>
              <w:spacing w:after="0" w:line="240" w:lineRule="auto"/>
              <w:jc w:val="right"/>
              <w:rPr>
                <w:rFonts w:asciiTheme="minorHAnsi" w:hAnsiTheme="minorHAnsi" w:cs="Arial"/>
                <w:color w:val="000000"/>
                <w:sz w:val="18"/>
                <w:szCs w:val="18"/>
                <w:highlight w:val="yellow"/>
              </w:rPr>
            </w:pPr>
            <w:r>
              <w:rPr>
                <w:rFonts w:ascii="Calibri" w:hAnsi="Calibri"/>
                <w:color w:val="000000"/>
                <w:sz w:val="18"/>
                <w:szCs w:val="18"/>
              </w:rPr>
              <w:t>210</w:t>
            </w:r>
          </w:p>
        </w:tc>
        <w:tc>
          <w:tcPr>
            <w:tcW w:w="1936" w:type="dxa"/>
            <w:tcMar>
              <w:right w:w="360" w:type="dxa"/>
            </w:tcMar>
            <w:vAlign w:val="center"/>
          </w:tcPr>
          <w:p w:rsidR="008A621B" w:rsidRDefault="008A621B" w:rsidP="008A621B">
            <w:pPr>
              <w:keepNext/>
              <w:keepLines/>
              <w:tabs>
                <w:tab w:val="decimal" w:pos="1346"/>
              </w:tabs>
              <w:spacing w:after="0" w:line="240" w:lineRule="auto"/>
              <w:jc w:val="right"/>
              <w:rPr>
                <w:rFonts w:asciiTheme="minorHAnsi" w:hAnsiTheme="minorHAnsi" w:cs="Arial"/>
                <w:color w:val="000000"/>
                <w:sz w:val="18"/>
                <w:szCs w:val="18"/>
              </w:rPr>
            </w:pPr>
            <w:r>
              <w:rPr>
                <w:rFonts w:ascii="Calibri" w:hAnsi="Calibri"/>
                <w:color w:val="000000"/>
                <w:sz w:val="18"/>
                <w:szCs w:val="18"/>
              </w:rPr>
              <w:t>51,872</w:t>
            </w:r>
          </w:p>
        </w:tc>
      </w:tr>
      <w:tr w:rsidR="008A621B" w:rsidRPr="00A01B29" w:rsidTr="00F4467F">
        <w:trPr>
          <w:cantSplit/>
          <w:trHeight w:val="288"/>
          <w:jc w:val="center"/>
        </w:trPr>
        <w:tc>
          <w:tcPr>
            <w:tcW w:w="1990" w:type="dxa"/>
            <w:shd w:val="clear" w:color="auto" w:fill="85AFF2" w:themeFill="text2" w:themeFillTint="66"/>
            <w:vAlign w:val="center"/>
          </w:tcPr>
          <w:p w:rsidR="008A621B" w:rsidRPr="00DB21FF" w:rsidRDefault="008A621B" w:rsidP="008A621B">
            <w:pPr>
              <w:spacing w:after="0" w:line="240" w:lineRule="auto"/>
              <w:rPr>
                <w:rFonts w:asciiTheme="minorHAnsi" w:hAnsiTheme="minorHAnsi" w:cs="Arial"/>
                <w:b/>
                <w:bCs/>
                <w:color w:val="FFFFFF" w:themeColor="background1"/>
                <w:sz w:val="18"/>
                <w:szCs w:val="18"/>
              </w:rPr>
            </w:pPr>
            <w:r w:rsidRPr="00CB3685">
              <w:rPr>
                <w:rFonts w:ascii="Calibri" w:hAnsi="Calibri"/>
                <w:b/>
                <w:bCs/>
                <w:color w:val="FFFFFF" w:themeColor="background1"/>
                <w:sz w:val="18"/>
                <w:szCs w:val="18"/>
              </w:rPr>
              <w:t>Total</w:t>
            </w:r>
          </w:p>
        </w:tc>
        <w:tc>
          <w:tcPr>
            <w:tcW w:w="1484" w:type="dxa"/>
            <w:shd w:val="clear" w:color="auto" w:fill="85AFF2" w:themeFill="text2" w:themeFillTint="66"/>
            <w:tcMar>
              <w:right w:w="360" w:type="dxa"/>
            </w:tcMar>
            <w:vAlign w:val="center"/>
          </w:tcPr>
          <w:p w:rsidR="008A621B" w:rsidRPr="001F4D17" w:rsidRDefault="00963B34" w:rsidP="008A621B">
            <w:pPr>
              <w:spacing w:after="0" w:line="240" w:lineRule="auto"/>
              <w:jc w:val="right"/>
              <w:rPr>
                <w:rFonts w:asciiTheme="minorHAnsi" w:hAnsiTheme="minorHAnsi" w:cs="Arial"/>
                <w:b/>
                <w:color w:val="FFFFFF" w:themeColor="background1"/>
                <w:sz w:val="18"/>
                <w:szCs w:val="18"/>
              </w:rPr>
            </w:pPr>
            <w:r w:rsidRPr="00963B34">
              <w:rPr>
                <w:rFonts w:ascii="Calibri" w:hAnsi="Calibri"/>
                <w:b/>
                <w:color w:val="FFFFFF" w:themeColor="background1"/>
                <w:sz w:val="18"/>
                <w:szCs w:val="18"/>
              </w:rPr>
              <w:t>372</w:t>
            </w:r>
          </w:p>
        </w:tc>
        <w:tc>
          <w:tcPr>
            <w:tcW w:w="1936" w:type="dxa"/>
            <w:shd w:val="clear" w:color="auto" w:fill="85AFF2" w:themeFill="text2" w:themeFillTint="66"/>
            <w:tcMar>
              <w:right w:w="360" w:type="dxa"/>
            </w:tcMar>
            <w:vAlign w:val="center"/>
          </w:tcPr>
          <w:p w:rsidR="008A621B" w:rsidRPr="001F4D17" w:rsidRDefault="00963B34" w:rsidP="008A621B">
            <w:pPr>
              <w:spacing w:after="0" w:line="240" w:lineRule="auto"/>
              <w:jc w:val="right"/>
              <w:rPr>
                <w:rFonts w:asciiTheme="minorHAnsi" w:hAnsiTheme="minorHAnsi" w:cs="Arial"/>
                <w:b/>
                <w:color w:val="FFFFFF" w:themeColor="background1"/>
                <w:sz w:val="18"/>
                <w:szCs w:val="18"/>
              </w:rPr>
            </w:pPr>
            <w:r w:rsidRPr="00963B34">
              <w:rPr>
                <w:rFonts w:ascii="Calibri" w:hAnsi="Calibri"/>
                <w:b/>
                <w:color w:val="FFFFFF" w:themeColor="background1"/>
                <w:sz w:val="18"/>
                <w:szCs w:val="18"/>
              </w:rPr>
              <w:t>73,782</w:t>
            </w:r>
          </w:p>
        </w:tc>
      </w:tr>
    </w:tbl>
    <w:p w:rsidR="008A621B" w:rsidRPr="00C34A1F" w:rsidRDefault="008A621B" w:rsidP="00AB4CFC">
      <w:pPr>
        <w:tabs>
          <w:tab w:val="left" w:pos="7650"/>
        </w:tabs>
        <w:spacing w:before="120" w:line="240" w:lineRule="auto"/>
        <w:ind w:left="2070" w:right="1800" w:hanging="270"/>
        <w:rPr>
          <w:rFonts w:asciiTheme="minorHAnsi" w:hAnsiTheme="minorHAnsi"/>
          <w:noProof/>
          <w:sz w:val="16"/>
          <w:szCs w:val="16"/>
        </w:rPr>
      </w:pPr>
      <w:bookmarkStart w:id="506" w:name="_Ref230869634"/>
      <w:bookmarkStart w:id="507" w:name="_Ref235272106"/>
      <w:bookmarkStart w:id="508" w:name="_Toc239157189"/>
      <w:bookmarkStart w:id="509" w:name="_Toc271552375"/>
      <w:bookmarkStart w:id="510" w:name="_Toc303086729"/>
      <w:proofErr w:type="gramStart"/>
      <w:r w:rsidRPr="00C34A1F">
        <w:rPr>
          <w:rFonts w:asciiTheme="minorHAnsi" w:hAnsiTheme="minorHAnsi"/>
          <w:noProof/>
          <w:sz w:val="16"/>
          <w:szCs w:val="16"/>
        </w:rPr>
        <w:t>(a)</w:t>
      </w:r>
      <w:r w:rsidRPr="00C34A1F">
        <w:rPr>
          <w:rFonts w:asciiTheme="minorHAnsi" w:hAnsiTheme="minorHAnsi"/>
          <w:sz w:val="16"/>
          <w:szCs w:val="16"/>
        </w:rPr>
        <w:t xml:space="preserve"> </w:t>
      </w:r>
      <w:r w:rsidRPr="00C34A1F">
        <w:rPr>
          <w:rFonts w:asciiTheme="minorHAnsi" w:hAnsiTheme="minorHAnsi"/>
          <w:sz w:val="16"/>
          <w:szCs w:val="16"/>
        </w:rPr>
        <w:tab/>
      </w:r>
      <w:r w:rsidRPr="00C34A1F">
        <w:rPr>
          <w:rFonts w:asciiTheme="minorHAnsi" w:hAnsiTheme="minorHAnsi"/>
          <w:b/>
          <w:sz w:val="16"/>
          <w:szCs w:val="16"/>
        </w:rPr>
        <w:t>Source:</w:t>
      </w:r>
      <w:r w:rsidRPr="00C34A1F">
        <w:rPr>
          <w:rFonts w:asciiTheme="minorHAnsi" w:hAnsiTheme="minorHAnsi"/>
          <w:sz w:val="16"/>
          <w:szCs w:val="16"/>
        </w:rPr>
        <w:t xml:space="preserve"> </w:t>
      </w:r>
      <w:r w:rsidRPr="00C34A1F">
        <w:rPr>
          <w:rFonts w:asciiTheme="minorHAnsi" w:hAnsiTheme="minorHAnsi"/>
          <w:i/>
          <w:sz w:val="16"/>
          <w:szCs w:val="16"/>
        </w:rPr>
        <w:t xml:space="preserve">NEPOOL Participants Committee COO Report </w:t>
      </w:r>
      <w:r w:rsidRPr="00C34A1F">
        <w:rPr>
          <w:rFonts w:asciiTheme="minorHAnsi" w:hAnsiTheme="minorHAnsi"/>
          <w:sz w:val="16"/>
          <w:szCs w:val="16"/>
        </w:rPr>
        <w:t xml:space="preserve">(April 2014), </w:t>
      </w:r>
      <w:hyperlink r:id="rId41" w:history="1">
        <w:r w:rsidRPr="00C34A1F">
          <w:rPr>
            <w:rStyle w:val="Hyperlink"/>
            <w:rFonts w:asciiTheme="minorHAnsi" w:hAnsiTheme="minorHAnsi"/>
            <w:sz w:val="16"/>
            <w:szCs w:val="16"/>
          </w:rPr>
          <w:t>http://www.iso-ne.com/committees/comm_wkgrps/prtcpnts_comm/prtcpnts/mtrls/2014/apr42014/coo_report_apr_2014.pdf</w:t>
        </w:r>
      </w:hyperlink>
      <w:r w:rsidR="00AB4CFC" w:rsidRPr="00C34A1F">
        <w:rPr>
          <w:rFonts w:asciiTheme="minorHAnsi" w:hAnsiTheme="minorHAnsi"/>
          <w:sz w:val="16"/>
          <w:szCs w:val="16"/>
        </w:rPr>
        <w:t>.</w:t>
      </w:r>
      <w:proofErr w:type="gramEnd"/>
    </w:p>
    <w:p w:rsidR="008A621B" w:rsidRDefault="008A621B" w:rsidP="008A621B">
      <w:pPr>
        <w:spacing w:after="0" w:line="240" w:lineRule="auto"/>
        <w:jc w:val="center"/>
        <w:rPr>
          <w:noProof/>
        </w:rPr>
      </w:pPr>
    </w:p>
    <w:p w:rsidR="008A621B" w:rsidRDefault="00C21EAA" w:rsidP="008A621B">
      <w:pPr>
        <w:spacing w:after="0" w:line="240" w:lineRule="auto"/>
        <w:jc w:val="center"/>
        <w:rPr>
          <w:noProof/>
        </w:rPr>
      </w:pPr>
      <w:r w:rsidRPr="00C21EAA">
        <w:rPr>
          <w:noProof/>
        </w:rPr>
        <w:drawing>
          <wp:inline distT="0" distB="0" distL="0" distR="0">
            <wp:extent cx="5506243" cy="3011987"/>
            <wp:effectExtent l="19050" t="19050" r="18257" b="16963"/>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509960" cy="3014021"/>
                    </a:xfrm>
                    <a:prstGeom prst="rect">
                      <a:avLst/>
                    </a:prstGeom>
                    <a:noFill/>
                    <a:ln w="3175">
                      <a:solidFill>
                        <a:schemeClr val="tx1"/>
                      </a:solidFill>
                      <a:miter lim="800000"/>
                      <a:headEnd/>
                      <a:tailEnd/>
                    </a:ln>
                  </pic:spPr>
                </pic:pic>
              </a:graphicData>
            </a:graphic>
          </wp:inline>
        </w:drawing>
      </w:r>
    </w:p>
    <w:p w:rsidR="008A621B" w:rsidRDefault="008A621B" w:rsidP="00D3004B">
      <w:pPr>
        <w:pStyle w:val="Caption"/>
        <w:spacing w:before="120" w:after="80"/>
        <w:ind w:left="180" w:right="180"/>
        <w:jc w:val="left"/>
      </w:pPr>
      <w:bookmarkStart w:id="511" w:name="_Ref325112633"/>
      <w:bookmarkStart w:id="512" w:name="_Toc334601488"/>
      <w:bookmarkStart w:id="513" w:name="_Toc365440682"/>
      <w:bookmarkStart w:id="514" w:name="_Toc391985571"/>
      <w:r w:rsidRPr="003C3EFC">
        <w:t xml:space="preserve">Figure </w:t>
      </w:r>
      <w:r w:rsidR="00927965">
        <w:fldChar w:fldCharType="begin"/>
      </w:r>
      <w:r w:rsidR="0011163E">
        <w:instrText xml:space="preserve"> STYLEREF 1 \s </w:instrText>
      </w:r>
      <w:r w:rsidR="00927965">
        <w:fldChar w:fldCharType="separate"/>
      </w:r>
      <w:r w:rsidR="00284CE3">
        <w:rPr>
          <w:noProof/>
        </w:rPr>
        <w:t>4</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3</w:t>
      </w:r>
      <w:r w:rsidR="00927965">
        <w:fldChar w:fldCharType="end"/>
      </w:r>
      <w:bookmarkEnd w:id="506"/>
      <w:bookmarkEnd w:id="507"/>
      <w:bookmarkEnd w:id="511"/>
      <w:r w:rsidRPr="003C3EFC">
        <w:t>: Resources in the ISO Generator Interconnection Queue, by state and fuel type, as of</w:t>
      </w:r>
      <w:r w:rsidRPr="00092F42">
        <w:t xml:space="preserve"> April</w:t>
      </w:r>
      <w:r>
        <w:t> </w:t>
      </w:r>
      <w:r w:rsidRPr="00092F42">
        <w:t>1, 201</w:t>
      </w:r>
      <w:r>
        <w:t xml:space="preserve">4 </w:t>
      </w:r>
      <w:r w:rsidRPr="00092F42">
        <w:t>(MW and %).</w:t>
      </w:r>
      <w:bookmarkEnd w:id="508"/>
      <w:bookmarkEnd w:id="509"/>
      <w:bookmarkEnd w:id="510"/>
      <w:bookmarkEnd w:id="512"/>
      <w:bookmarkEnd w:id="513"/>
      <w:bookmarkEnd w:id="514"/>
    </w:p>
    <w:p w:rsidR="008A621B" w:rsidRPr="00AD04DB" w:rsidRDefault="008A621B" w:rsidP="00D3004B">
      <w:pPr>
        <w:spacing w:line="240" w:lineRule="auto"/>
        <w:ind w:left="180" w:right="180"/>
        <w:rPr>
          <w:rFonts w:asciiTheme="minorHAnsi" w:hAnsiTheme="minorHAnsi" w:cs="Arial"/>
          <w:sz w:val="16"/>
          <w:szCs w:val="16"/>
        </w:rPr>
      </w:pPr>
      <w:r w:rsidRPr="00AD04DB">
        <w:rPr>
          <w:rFonts w:asciiTheme="minorHAnsi" w:hAnsiTheme="minorHAnsi" w:cs="Arial"/>
          <w:b/>
          <w:sz w:val="16"/>
          <w:szCs w:val="16"/>
        </w:rPr>
        <w:t>Notes:</w:t>
      </w:r>
      <w:r w:rsidRPr="00AD04DB">
        <w:rPr>
          <w:rFonts w:asciiTheme="minorHAnsi" w:hAnsiTheme="minorHAnsi" w:cs="Arial"/>
          <w:sz w:val="16"/>
          <w:szCs w:val="16"/>
        </w:rPr>
        <w:t xml:space="preserve"> The “</w:t>
      </w:r>
      <w:r w:rsidR="007A0DB2">
        <w:rPr>
          <w:rFonts w:asciiTheme="minorHAnsi" w:hAnsiTheme="minorHAnsi" w:cs="Arial"/>
          <w:sz w:val="16"/>
          <w:szCs w:val="16"/>
        </w:rPr>
        <w:t>O</w:t>
      </w:r>
      <w:r w:rsidRPr="00AD04DB">
        <w:rPr>
          <w:rFonts w:asciiTheme="minorHAnsi" w:hAnsiTheme="minorHAnsi" w:cs="Arial"/>
          <w:sz w:val="16"/>
          <w:szCs w:val="16"/>
        </w:rPr>
        <w:t xml:space="preserve">ther </w:t>
      </w:r>
      <w:proofErr w:type="spellStart"/>
      <w:r w:rsidR="007A0DB2">
        <w:rPr>
          <w:rFonts w:asciiTheme="minorHAnsi" w:hAnsiTheme="minorHAnsi" w:cs="Arial"/>
          <w:sz w:val="16"/>
          <w:szCs w:val="16"/>
        </w:rPr>
        <w:t>R</w:t>
      </w:r>
      <w:r w:rsidRPr="00AD04DB">
        <w:rPr>
          <w:rFonts w:asciiTheme="minorHAnsi" w:hAnsiTheme="minorHAnsi" w:cs="Arial"/>
          <w:sz w:val="16"/>
          <w:szCs w:val="16"/>
        </w:rPr>
        <w:t>enewables</w:t>
      </w:r>
      <w:proofErr w:type="spellEnd"/>
      <w:r w:rsidRPr="00AD04DB">
        <w:rPr>
          <w:rFonts w:asciiTheme="minorHAnsi" w:hAnsiTheme="minorHAnsi" w:cs="Arial"/>
          <w:sz w:val="16"/>
          <w:szCs w:val="16"/>
        </w:rPr>
        <w:t>” category includes wood, solar, and fuel cell capacity. The totals for all categories reflect all queue projects that would interconnect with the system and not all projects in New England.</w:t>
      </w:r>
    </w:p>
    <w:p w:rsidR="00BC6D31" w:rsidRDefault="00BC6D31" w:rsidP="008A621B">
      <w:pPr>
        <w:spacing w:after="0" w:line="240" w:lineRule="auto"/>
        <w:jc w:val="center"/>
      </w:pPr>
      <w:r w:rsidRPr="00BC6D31">
        <w:rPr>
          <w:noProof/>
        </w:rPr>
        <w:drawing>
          <wp:inline distT="0" distB="0" distL="0" distR="0">
            <wp:extent cx="4170521" cy="2620518"/>
            <wp:effectExtent l="19050" t="19050" r="20479" b="27432"/>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4171192" cy="2620939"/>
                    </a:xfrm>
                    <a:prstGeom prst="rect">
                      <a:avLst/>
                    </a:prstGeom>
                    <a:noFill/>
                    <a:ln w="3175">
                      <a:solidFill>
                        <a:schemeClr val="tx1"/>
                      </a:solidFill>
                      <a:miter lim="800000"/>
                      <a:headEnd/>
                      <a:tailEnd/>
                    </a:ln>
                  </pic:spPr>
                </pic:pic>
              </a:graphicData>
            </a:graphic>
          </wp:inline>
        </w:drawing>
      </w:r>
    </w:p>
    <w:p w:rsidR="008A621B" w:rsidRDefault="008A621B" w:rsidP="00F374CD">
      <w:pPr>
        <w:pStyle w:val="Caption"/>
        <w:spacing w:before="120" w:after="360"/>
        <w:ind w:left="1260" w:right="1170"/>
        <w:jc w:val="left"/>
      </w:pPr>
      <w:bookmarkStart w:id="515" w:name="_Ref325446407"/>
      <w:bookmarkStart w:id="516" w:name="_Toc334601489"/>
      <w:bookmarkStart w:id="517" w:name="_Toc365440683"/>
      <w:bookmarkStart w:id="518" w:name="_Toc391985572"/>
      <w:r w:rsidRPr="00447A05">
        <w:t xml:space="preserve">Figure </w:t>
      </w:r>
      <w:r w:rsidR="00927965">
        <w:fldChar w:fldCharType="begin"/>
      </w:r>
      <w:r w:rsidR="0011163E">
        <w:instrText xml:space="preserve"> STYLEREF 1 \s </w:instrText>
      </w:r>
      <w:r w:rsidR="00927965">
        <w:fldChar w:fldCharType="separate"/>
      </w:r>
      <w:r w:rsidR="00284CE3">
        <w:rPr>
          <w:noProof/>
        </w:rPr>
        <w:t>4</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4</w:t>
      </w:r>
      <w:r w:rsidR="00927965">
        <w:fldChar w:fldCharType="end"/>
      </w:r>
      <w:bookmarkEnd w:id="515"/>
      <w:r w:rsidRPr="00447A05">
        <w:t>: Resources in the ISO Generator Interconnection Queue, by RSP subarea and</w:t>
      </w:r>
      <w:r w:rsidRPr="006075C5">
        <w:t xml:space="preserve"> fuel </w:t>
      </w:r>
      <w:r w:rsidRPr="003D088C">
        <w:t>type, as of April 1, 201</w:t>
      </w:r>
      <w:r>
        <w:t>4</w:t>
      </w:r>
      <w:r w:rsidRPr="003D088C">
        <w:t> (MW</w:t>
      </w:r>
      <w:r w:rsidRPr="00DB21FF">
        <w:t>).</w:t>
      </w:r>
      <w:bookmarkEnd w:id="516"/>
      <w:bookmarkEnd w:id="517"/>
      <w:bookmarkEnd w:id="518"/>
      <w:r w:rsidR="00415CB4">
        <w:t xml:space="preserve"> </w:t>
      </w:r>
    </w:p>
    <w:p w:rsidR="008A621B" w:rsidRPr="00BE4EBC" w:rsidRDefault="00415CB4" w:rsidP="00415CB4">
      <w:pPr>
        <w:spacing w:after="0" w:line="240" w:lineRule="auto"/>
        <w:jc w:val="center"/>
      </w:pPr>
      <w:r w:rsidRPr="00415CB4">
        <w:rPr>
          <w:noProof/>
        </w:rPr>
        <w:drawing>
          <wp:inline distT="0" distB="0" distL="0" distR="0">
            <wp:extent cx="4308309" cy="2620518"/>
            <wp:effectExtent l="19050" t="19050" r="16041" b="27432"/>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4309312" cy="2621128"/>
                    </a:xfrm>
                    <a:prstGeom prst="rect">
                      <a:avLst/>
                    </a:prstGeom>
                    <a:noFill/>
                    <a:ln w="3175">
                      <a:solidFill>
                        <a:schemeClr val="tx1"/>
                      </a:solidFill>
                      <a:miter lim="800000"/>
                      <a:headEnd/>
                      <a:tailEnd/>
                    </a:ln>
                  </pic:spPr>
                </pic:pic>
              </a:graphicData>
            </a:graphic>
          </wp:inline>
        </w:drawing>
      </w:r>
    </w:p>
    <w:p w:rsidR="008A621B" w:rsidRPr="00701757" w:rsidRDefault="008A621B" w:rsidP="00F374CD">
      <w:pPr>
        <w:pStyle w:val="Caption"/>
        <w:keepNext w:val="0"/>
        <w:keepLines w:val="0"/>
        <w:spacing w:before="120" w:after="240"/>
        <w:ind w:left="1170" w:right="1080"/>
        <w:jc w:val="left"/>
      </w:pPr>
      <w:bookmarkStart w:id="519" w:name="_Ref325446497"/>
      <w:bookmarkStart w:id="520" w:name="_Toc334601490"/>
      <w:bookmarkStart w:id="521" w:name="_Toc365440684"/>
      <w:bookmarkStart w:id="522" w:name="_Toc391985573"/>
      <w:r w:rsidRPr="00701757">
        <w:t xml:space="preserve">Figure </w:t>
      </w:r>
      <w:r w:rsidR="00927965">
        <w:fldChar w:fldCharType="begin"/>
      </w:r>
      <w:r w:rsidR="0011163E">
        <w:instrText xml:space="preserve"> STYLEREF 1 \s </w:instrText>
      </w:r>
      <w:r w:rsidR="00927965">
        <w:fldChar w:fldCharType="separate"/>
      </w:r>
      <w:r w:rsidR="00284CE3">
        <w:rPr>
          <w:noProof/>
        </w:rPr>
        <w:t>4</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5</w:t>
      </w:r>
      <w:r w:rsidR="00927965">
        <w:fldChar w:fldCharType="end"/>
      </w:r>
      <w:bookmarkEnd w:id="519"/>
      <w:r w:rsidRPr="00701757">
        <w:t>: Percentage of resources in the ISO Generator Interconnection Queue, by RSP subarea and fuel type, as of April 1, 2014.</w:t>
      </w:r>
      <w:bookmarkEnd w:id="520"/>
      <w:bookmarkEnd w:id="521"/>
      <w:bookmarkEnd w:id="522"/>
    </w:p>
    <w:p w:rsidR="001B2491" w:rsidRPr="003D088C" w:rsidRDefault="00D24CD4" w:rsidP="001B2491">
      <w:r w:rsidRPr="00701757">
        <w:t>In addition to the capacity issues discussed in Section 4, generating units must be readily available and able to meet the energy demands of load. The region has immediate and growing concerns about the availability of generating units to produce electrical energy, especially natural gas-fired and oil-fired generating units during winter peak periods. Fuel certainty is required to improve generator availability</w:t>
      </w:r>
      <w:r w:rsidR="00AD04DB">
        <w:t>,</w:t>
      </w:r>
      <w:r w:rsidRPr="00701757">
        <w:t xml:space="preserve"> as discussed in</w:t>
      </w:r>
      <w:r w:rsidR="00AD04DB">
        <w:t xml:space="preserve"> Section</w:t>
      </w:r>
      <w:r w:rsidRPr="00701757">
        <w:t xml:space="preserve"> </w:t>
      </w:r>
      <w:r w:rsidR="00927965">
        <w:fldChar w:fldCharType="begin"/>
      </w:r>
      <w:r w:rsidR="00AD04DB">
        <w:instrText xml:space="preserve"> REF _Ref388876647 \r \h </w:instrText>
      </w:r>
      <w:r w:rsidR="00927965">
        <w:fldChar w:fldCharType="separate"/>
      </w:r>
      <w:r w:rsidR="00284CE3">
        <w:t>6.2</w:t>
      </w:r>
      <w:r w:rsidR="00927965">
        <w:fldChar w:fldCharType="end"/>
      </w:r>
      <w:r w:rsidRPr="00701757">
        <w:t>.</w:t>
      </w:r>
      <w:r w:rsidR="001B2491">
        <w:t xml:space="preserve"> </w:t>
      </w:r>
    </w:p>
    <w:p w:rsidR="00E63D3A" w:rsidRDefault="00D24CD4">
      <w:pPr>
        <w:pStyle w:val="Heading2"/>
      </w:pPr>
      <w:bookmarkStart w:id="523" w:name="_Toc176245009"/>
      <w:bookmarkStart w:id="524" w:name="_Toc201669938"/>
      <w:bookmarkStart w:id="525" w:name="_Toc207531837"/>
      <w:bookmarkStart w:id="526" w:name="_Toc239157073"/>
      <w:bookmarkStart w:id="527" w:name="_Toc271632228"/>
      <w:bookmarkStart w:id="528" w:name="_Toc303086386"/>
      <w:bookmarkStart w:id="529" w:name="_Toc334601043"/>
      <w:bookmarkStart w:id="530" w:name="_Toc365441003"/>
      <w:bookmarkStart w:id="531" w:name="_Toc396807633"/>
      <w:r w:rsidRPr="00D24CD4">
        <w:t>Summa</w:t>
      </w:r>
      <w:bookmarkEnd w:id="523"/>
      <w:r w:rsidRPr="00D24CD4">
        <w:t>ry</w:t>
      </w:r>
      <w:bookmarkEnd w:id="524"/>
      <w:bookmarkEnd w:id="525"/>
      <w:bookmarkEnd w:id="526"/>
      <w:bookmarkEnd w:id="527"/>
      <w:bookmarkEnd w:id="528"/>
      <w:bookmarkEnd w:id="529"/>
      <w:bookmarkEnd w:id="530"/>
      <w:bookmarkEnd w:id="531"/>
      <w:r w:rsidRPr="00D24CD4">
        <w:t xml:space="preserve"> </w:t>
      </w:r>
    </w:p>
    <w:p w:rsidR="008A621B" w:rsidRPr="00E8767D" w:rsidRDefault="008A621B" w:rsidP="008A621B">
      <w:r>
        <w:t xml:space="preserve">Recent </w:t>
      </w:r>
      <w:r w:rsidR="00444D7E">
        <w:t xml:space="preserve">requests for </w:t>
      </w:r>
      <w:r>
        <w:t xml:space="preserve">resource </w:t>
      </w:r>
      <w:r w:rsidR="00103518">
        <w:t>retirement</w:t>
      </w:r>
      <w:r w:rsidR="00444D7E">
        <w:t>s</w:t>
      </w:r>
      <w:r w:rsidR="00103518">
        <w:t xml:space="preserve"> </w:t>
      </w:r>
      <w:r>
        <w:t>and t</w:t>
      </w:r>
      <w:r w:rsidRPr="000F3024">
        <w:t>he results of FCA #</w:t>
      </w:r>
      <w:r>
        <w:t>8</w:t>
      </w:r>
      <w:r w:rsidRPr="000F3024">
        <w:t xml:space="preserve"> show that New England will </w:t>
      </w:r>
      <w:r>
        <w:t xml:space="preserve">have a </w:t>
      </w:r>
      <w:r w:rsidRPr="000F3024">
        <w:t>resource</w:t>
      </w:r>
      <w:r>
        <w:t xml:space="preserve"> </w:t>
      </w:r>
      <w:r w:rsidRPr="000F3024">
        <w:t>s</w:t>
      </w:r>
      <w:r>
        <w:t>hortfall</w:t>
      </w:r>
      <w:r w:rsidRPr="000F3024">
        <w:t xml:space="preserve"> through 202</w:t>
      </w:r>
      <w:r>
        <w:t>3 without the addition of new resources</w:t>
      </w:r>
      <w:r w:rsidRPr="007D6A8D">
        <w:t>.</w:t>
      </w:r>
      <w:r>
        <w:t xml:space="preserve"> </w:t>
      </w:r>
      <w:r w:rsidRPr="007D6A8D">
        <w:t xml:space="preserve">Because </w:t>
      </w:r>
      <w:r w:rsidRPr="00037A65">
        <w:t>additional resources are likely to retire, the ISO is working with stakeholders to identify issues</w:t>
      </w:r>
      <w:r w:rsidRPr="007D6A8D">
        <w:t xml:space="preserve"> and find</w:t>
      </w:r>
      <w:r>
        <w:t xml:space="preserve"> </w:t>
      </w:r>
      <w:r w:rsidRPr="007D6A8D">
        <w:t xml:space="preserve">the means of meeting future capacity needs. </w:t>
      </w:r>
      <w:r>
        <w:t>Recently, m</w:t>
      </w:r>
      <w:r w:rsidRPr="007D6A8D">
        <w:t xml:space="preserve">ost new capacity resources have been demand resources (mainly energy efficiency) and imports from neighboring regions, and approximately </w:t>
      </w:r>
      <w:r>
        <w:t>6</w:t>
      </w:r>
      <w:r w:rsidRPr="007D6A8D">
        <w:t>,</w:t>
      </w:r>
      <w:r>
        <w:t>9</w:t>
      </w:r>
      <w:r w:rsidRPr="007D6A8D">
        <w:t xml:space="preserve">00 MW of proposed generation are in the ISO Generator Interconnection Queue. The ISO </w:t>
      </w:r>
      <w:r w:rsidRPr="00CB3685">
        <w:t>is committed to procuring adequate demand and supply resources</w:t>
      </w:r>
      <w:r>
        <w:t xml:space="preserve"> and </w:t>
      </w:r>
      <w:r w:rsidRPr="005537DF">
        <w:t xml:space="preserve">remains </w:t>
      </w:r>
      <w:r w:rsidRPr="00CB3685">
        <w:t>hopeful</w:t>
      </w:r>
      <w:r w:rsidRPr="007D6A8D">
        <w:t xml:space="preserve"> that </w:t>
      </w:r>
      <w:r>
        <w:t xml:space="preserve">the region will install </w:t>
      </w:r>
      <w:r w:rsidRPr="007D6A8D">
        <w:t>adequate demand and supply resources in time</w:t>
      </w:r>
      <w:r>
        <w:t xml:space="preserve"> to meet the physical </w:t>
      </w:r>
      <w:r w:rsidRPr="00061421">
        <w:t xml:space="preserve">capacity needs </w:t>
      </w:r>
      <w:r>
        <w:t xml:space="preserve">the ICRs </w:t>
      </w:r>
      <w:r w:rsidRPr="00061421">
        <w:t>will establish</w:t>
      </w:r>
      <w:r>
        <w:t xml:space="preserve"> </w:t>
      </w:r>
      <w:r w:rsidRPr="00061421">
        <w:t xml:space="preserve">for </w:t>
      </w:r>
      <w:r w:rsidRPr="00DE1967">
        <w:t>future year</w:t>
      </w:r>
      <w:r w:rsidRPr="00777D9B">
        <w:t xml:space="preserve">s. </w:t>
      </w:r>
    </w:p>
    <w:p w:rsidR="008A621B" w:rsidRDefault="008A621B" w:rsidP="008A621B">
      <w:r w:rsidRPr="00B2022E">
        <w:t xml:space="preserve">By design, the level of the ICR specified for New England could necessitate the use of specific </w:t>
      </w:r>
      <w:r w:rsidR="00A01A92" w:rsidRPr="00B2022E">
        <w:t>OP</w:t>
      </w:r>
      <w:r w:rsidR="00A01A92">
        <w:t> </w:t>
      </w:r>
      <w:r w:rsidRPr="00B2022E">
        <w:t xml:space="preserve">4 actions because </w:t>
      </w:r>
      <w:r>
        <w:t xml:space="preserve">the ICR calculation includes capacity and accounts for </w:t>
      </w:r>
      <w:r w:rsidRPr="00B2022E">
        <w:t>the</w:t>
      </w:r>
      <w:r>
        <w:t xml:space="preserve"> </w:t>
      </w:r>
      <w:r w:rsidRPr="00B2022E">
        <w:t xml:space="preserve">load relief </w:t>
      </w:r>
      <w:r>
        <w:t xml:space="preserve">these actions </w:t>
      </w:r>
      <w:r w:rsidRPr="00B2022E">
        <w:t xml:space="preserve">provide. </w:t>
      </w:r>
      <w:r>
        <w:t xml:space="preserve">Several </w:t>
      </w:r>
      <w:r w:rsidRPr="005F5499">
        <w:t>factors would affect</w:t>
      </w:r>
      <w:r>
        <w:t xml:space="preserve"> t</w:t>
      </w:r>
      <w:r w:rsidRPr="00B2022E">
        <w:t>he frequency and extent of OP 4 actions, including the amount of resources procured to meet capacity needs, their availability, and actual system loads.</w:t>
      </w:r>
      <w:r>
        <w:rPr>
          <w:rStyle w:val="FootnoteReference"/>
        </w:rPr>
        <w:footnoteReference w:id="167"/>
      </w:r>
      <w:r w:rsidRPr="00371141">
        <w:t xml:space="preserve"> </w:t>
      </w:r>
      <w:r>
        <w:t>Operable capacity s</w:t>
      </w:r>
      <w:r w:rsidRPr="00371141">
        <w:t>tu</w:t>
      </w:r>
      <w:r>
        <w:t xml:space="preserve">dy results </w:t>
      </w:r>
      <w:r w:rsidRPr="00AD70C1">
        <w:t xml:space="preserve">show that the need for load and capacity relief by OP 4 actions will be </w:t>
      </w:r>
      <w:r>
        <w:t>approximately 2</w:t>
      </w:r>
      <w:r w:rsidRPr="000208D9">
        <w:t>,</w:t>
      </w:r>
      <w:r>
        <w:t>6</w:t>
      </w:r>
      <w:r w:rsidRPr="000208D9">
        <w:t>00 MW</w:t>
      </w:r>
      <w:r w:rsidRPr="00AD70C1">
        <w:t xml:space="preserve"> during</w:t>
      </w:r>
      <w:r w:rsidRPr="00BE788B">
        <w:t xml:space="preserve"> extremely hot and humid summer peak-load conditions</w:t>
      </w:r>
      <w:r>
        <w:t xml:space="preserve">. </w:t>
      </w:r>
      <w:r w:rsidRPr="00BE788B">
        <w:t>This amount</w:t>
      </w:r>
      <w:r w:rsidRPr="001D713B">
        <w:t xml:space="preserve"> is likely </w:t>
      </w:r>
      <w:r w:rsidRPr="00BE788B">
        <w:t xml:space="preserve">achievable through OP 4 actions </w:t>
      </w:r>
      <w:r w:rsidRPr="003D088C">
        <w:t>by depleting operating reserves, scheduling emergency transactions with neighboring systems, operating real-time emergency generators, and implementing 5% voltage reductions.</w:t>
      </w:r>
    </w:p>
    <w:p w:rsidR="008A621B" w:rsidRDefault="008F742F" w:rsidP="008A621B">
      <w:r w:rsidRPr="008F742F">
        <w:t>This section shows that the region could meet representative operating-reserve requirements for the system as currently planned.</w:t>
      </w:r>
      <w:r w:rsidR="001B38F3" w:rsidRPr="00037A65">
        <w:t xml:space="preserve"> </w:t>
      </w:r>
      <w:r w:rsidR="008A621B" w:rsidRPr="00037A65">
        <w:t xml:space="preserve">Fast-start resources with a short lead time for project development can satisfy near-term operating-reserve requirements while providing operational flexibility to major load pockets and the system overall. Properly locating and sizing economical </w:t>
      </w:r>
      <w:proofErr w:type="spellStart"/>
      <w:r w:rsidR="008A621B" w:rsidRPr="00037A65">
        <w:t>baseload</w:t>
      </w:r>
      <w:proofErr w:type="spellEnd"/>
      <w:r w:rsidR="008A621B" w:rsidRPr="00037A65">
        <w:t xml:space="preserve"> generation within major load pockets decreases the amount of reserves required within the load pocket and reduces the reliance on transmission facilities. Transmission improvements also can allow for the increased use of reserves from outside these areas. </w:t>
      </w:r>
    </w:p>
    <w:p w:rsidR="008A621B" w:rsidRDefault="008A621B" w:rsidP="008A621B">
      <w:pPr>
        <w:tabs>
          <w:tab w:val="left" w:pos="810"/>
        </w:tabs>
      </w:pPr>
      <w:r w:rsidRPr="003D088C">
        <w:t>Preserving the reliable operation of the</w:t>
      </w:r>
      <w:r w:rsidRPr="001B6391">
        <w:t xml:space="preserve"> </w:t>
      </w:r>
      <w:r w:rsidRPr="003D088C">
        <w:t>system will become increasingly challenging with potential retirements and the need for operating flexibility, particularly in light of the reliance on natural gas</w:t>
      </w:r>
      <w:r w:rsidRPr="004C198B">
        <w:t xml:space="preserve"> resources</w:t>
      </w:r>
      <w:r>
        <w:t xml:space="preserve">. These factors </w:t>
      </w:r>
      <w:proofErr w:type="gramStart"/>
      <w:r>
        <w:t>are expected</w:t>
      </w:r>
      <w:proofErr w:type="gramEnd"/>
      <w:r>
        <w:t xml:space="preserve"> to increase the need for </w:t>
      </w:r>
      <w:r w:rsidRPr="004C198B">
        <w:t>reliable</w:t>
      </w:r>
      <w:r>
        <w:t xml:space="preserve"> resources, especially those able to provide operating reserves </w:t>
      </w:r>
      <w:r w:rsidRPr="00387220">
        <w:t>and ramping capabilities</w:t>
      </w:r>
      <w:r>
        <w:t xml:space="preserve">. To begin addressing this need, the ISO has procured additional </w:t>
      </w:r>
      <w:r w:rsidRPr="00AD70C1">
        <w:t>10-minute reserves and replacement operating reserve.</w:t>
      </w:r>
      <w:r w:rsidR="00037A65">
        <w:t xml:space="preserve"> </w:t>
      </w:r>
    </w:p>
    <w:p w:rsidR="008A621B" w:rsidRPr="00A92103" w:rsidRDefault="008A621B" w:rsidP="008A621B">
      <w:r w:rsidRPr="00A71B2A">
        <w:t>Analysis and adjustments of the markets may be required to ensure that the region has reliable amounts of needed resources and operating reserves</w:t>
      </w:r>
      <w:r w:rsidRPr="001B5CBB">
        <w:t xml:space="preserve">. </w:t>
      </w:r>
      <w:r w:rsidRPr="001B5CBB">
        <w:rPr>
          <w:rFonts w:asciiTheme="majorHAnsi" w:hAnsiTheme="majorHAnsi"/>
        </w:rPr>
        <w:t>One major near-term enhancement to the FCM</w:t>
      </w:r>
      <w:r w:rsidRPr="00A71B2A">
        <w:rPr>
          <w:rFonts w:asciiTheme="majorHAnsi" w:hAnsiTheme="majorHAnsi"/>
        </w:rPr>
        <w:t xml:space="preserve"> </w:t>
      </w:r>
      <w:r w:rsidRPr="00A06F60">
        <w:rPr>
          <w:rFonts w:asciiTheme="majorHAnsi" w:hAnsiTheme="majorHAnsi"/>
        </w:rPr>
        <w:t>involves the modification of the zonal structure used in the capacity market. The ISO has been working with stakeholders to implement criterion and processes for creating, modifying, or collapsing capacity zones, as appropriate.</w:t>
      </w:r>
      <w:r w:rsidR="00CE2DE1">
        <w:rPr>
          <w:rFonts w:asciiTheme="majorHAnsi" w:hAnsiTheme="majorHAnsi"/>
        </w:rPr>
        <w:t xml:space="preserve"> </w:t>
      </w:r>
      <w:r w:rsidR="008F742F" w:rsidRPr="008F742F">
        <w:rPr>
          <w:rFonts w:asciiTheme="majorHAnsi" w:hAnsiTheme="majorHAnsi"/>
        </w:rPr>
        <w:t xml:space="preserve">Other </w:t>
      </w:r>
      <w:r w:rsidRPr="00A06F60">
        <w:t xml:space="preserve">enhancements to the FCM and the FRM also </w:t>
      </w:r>
      <w:proofErr w:type="gramStart"/>
      <w:r w:rsidRPr="00A06F60">
        <w:t>may be considered</w:t>
      </w:r>
      <w:proofErr w:type="gramEnd"/>
      <w:r w:rsidRPr="00A06F60">
        <w:t xml:space="preserve"> to better meet </w:t>
      </w:r>
      <w:r w:rsidRPr="00327F7D">
        <w:t>operational needs.</w:t>
      </w:r>
      <w:r w:rsidR="008F742F" w:rsidRPr="00327F7D">
        <w:t xml:space="preserve"> </w:t>
      </w:r>
      <w:r w:rsidR="00113C54" w:rsidRPr="00327F7D">
        <w:t xml:space="preserve">Additional approved and </w:t>
      </w:r>
      <w:r w:rsidR="00AF7AC5" w:rsidRPr="00327F7D">
        <w:t>planned</w:t>
      </w:r>
      <w:r w:rsidR="00113C54" w:rsidRPr="00327F7D">
        <w:t xml:space="preserve"> market incentives, including a sloped demand curve</w:t>
      </w:r>
      <w:r w:rsidR="00113C54" w:rsidRPr="00113C54">
        <w:t xml:space="preserve"> for use in the FCM, will further increase the likelihood of resource development where and when needed (refer to Section </w:t>
      </w:r>
      <w:fldSimple w:instr=" REF _Ref388791268 \r \h  \* MERGEFORMAT ">
        <w:r w:rsidR="00284CE3">
          <w:t>6.2.4.1</w:t>
        </w:r>
      </w:fldSimple>
      <w:r w:rsidR="00113C54" w:rsidRPr="00113C54">
        <w:t>).</w:t>
      </w:r>
      <w:r w:rsidR="00E37398">
        <w:rPr>
          <w:rFonts w:ascii="Arial Narrow" w:hAnsi="Arial Narrow"/>
          <w:i/>
          <w:iCs/>
          <w:color w:val="FF0000"/>
          <w:sz w:val="18"/>
          <w:szCs w:val="18"/>
        </w:rPr>
        <w:t xml:space="preserve"> </w:t>
      </w:r>
    </w:p>
    <w:p w:rsidR="00777D9B" w:rsidRDefault="00777D9B" w:rsidP="00777D9B">
      <w:r w:rsidRPr="00810B73">
        <w:t>Section 6 discusses t</w:t>
      </w:r>
      <w:r w:rsidR="00D24CD4" w:rsidRPr="00810B73">
        <w:t xml:space="preserve">he region’s </w:t>
      </w:r>
      <w:r w:rsidR="008F742F" w:rsidRPr="00810B73">
        <w:t>immediate concerns</w:t>
      </w:r>
      <w:r w:rsidR="00D24CD4" w:rsidRPr="00810B73">
        <w:t xml:space="preserve"> about the availability of </w:t>
      </w:r>
      <w:r w:rsidR="001B2491" w:rsidRPr="00810B73">
        <w:t xml:space="preserve">natural-gas-fired and oil-fired </w:t>
      </w:r>
      <w:r w:rsidR="00D24CD4" w:rsidRPr="00810B73">
        <w:t xml:space="preserve">generating units </w:t>
      </w:r>
      <w:r w:rsidR="001B2491" w:rsidRPr="00810B73">
        <w:t xml:space="preserve">and their fuel certainty </w:t>
      </w:r>
      <w:r w:rsidR="00D24CD4" w:rsidRPr="00810B73">
        <w:t>to produce electrical energy, especially during winter peak periods</w:t>
      </w:r>
      <w:r w:rsidRPr="00810B73">
        <w:t>. That section also discusses the region’s Strategic Planning Initiative and other stakeholder efforts to address these challenges over the long term</w:t>
      </w:r>
      <w:r w:rsidR="00810B73">
        <w:t>.</w:t>
      </w:r>
      <w:r w:rsidRPr="00777D9B">
        <w:t xml:space="preserve"> </w:t>
      </w:r>
    </w:p>
    <w:bookmarkEnd w:id="253"/>
    <w:p w:rsidR="00C561D4" w:rsidRDefault="00C561D4" w:rsidP="00C561D4">
      <w:pPr>
        <w:pStyle w:val="Heading1"/>
      </w:pPr>
      <w:r>
        <w:br/>
      </w:r>
      <w:bookmarkStart w:id="532" w:name="_Ref301345731"/>
      <w:bookmarkStart w:id="533" w:name="_Ref301345744"/>
      <w:bookmarkStart w:id="534" w:name="_Ref301345754"/>
      <w:bookmarkStart w:id="535" w:name="_Ref301345767"/>
      <w:bookmarkStart w:id="536" w:name="_Ref301345780"/>
      <w:bookmarkStart w:id="537" w:name="_Ref301345816"/>
      <w:bookmarkStart w:id="538" w:name="_Ref301345826"/>
      <w:bookmarkStart w:id="539" w:name="_Ref301345837"/>
      <w:bookmarkStart w:id="540" w:name="_Toc303086393"/>
      <w:bookmarkStart w:id="541" w:name="_Toc334601044"/>
      <w:bookmarkStart w:id="542" w:name="_Toc365441004"/>
      <w:bookmarkStart w:id="543" w:name="_Toc396807634"/>
      <w:r w:rsidRPr="002C6B01">
        <w:t>Transmission Security and Upgrades</w:t>
      </w:r>
      <w:bookmarkEnd w:id="532"/>
      <w:bookmarkEnd w:id="533"/>
      <w:bookmarkEnd w:id="534"/>
      <w:bookmarkEnd w:id="535"/>
      <w:bookmarkEnd w:id="536"/>
      <w:bookmarkEnd w:id="537"/>
      <w:bookmarkEnd w:id="538"/>
      <w:bookmarkEnd w:id="539"/>
      <w:bookmarkEnd w:id="540"/>
      <w:bookmarkEnd w:id="541"/>
      <w:bookmarkEnd w:id="542"/>
      <w:bookmarkEnd w:id="543"/>
    </w:p>
    <w:p w:rsidR="00C561D4" w:rsidRPr="00444D7E" w:rsidRDefault="00C561D4" w:rsidP="00C561D4">
      <w:r>
        <w:t xml:space="preserve">The ISO and regional stakeholders have made progress analyzing the transmission system in New England, </w:t>
      </w:r>
      <w:r w:rsidRPr="00422107">
        <w:t xml:space="preserve">developing </w:t>
      </w:r>
      <w:r>
        <w:t>“</w:t>
      </w:r>
      <w:r w:rsidRPr="00422107">
        <w:t>backstop</w:t>
      </w:r>
      <w:r>
        <w:t>”</w:t>
      </w:r>
      <w:r w:rsidRPr="00422107">
        <w:t xml:space="preserve"> </w:t>
      </w:r>
      <w:r>
        <w:t xml:space="preserve">transmission </w:t>
      </w:r>
      <w:r w:rsidRPr="00422107">
        <w:t>solutions to</w:t>
      </w:r>
      <w:r>
        <w:t xml:space="preserve"> address existing and projected transmission system needs and implementing these solutions. </w:t>
      </w:r>
      <w:r w:rsidR="00932873">
        <w:t xml:space="preserve">All 14 </w:t>
      </w:r>
      <w:r w:rsidRPr="00EA2E47">
        <w:t>major</w:t>
      </w:r>
      <w:r>
        <w:t xml:space="preserve"> 345 kV projects </w:t>
      </w:r>
      <w:r w:rsidR="00932873">
        <w:t xml:space="preserve">that </w:t>
      </w:r>
      <w:r>
        <w:t>have emerged from these efforts</w:t>
      </w:r>
      <w:r w:rsidR="00932873">
        <w:t xml:space="preserve"> </w:t>
      </w:r>
      <w:r>
        <w:t xml:space="preserve">are critical for maintaining transmission system reliability. These transmission upgrades </w:t>
      </w:r>
      <w:r w:rsidRPr="00444D7E">
        <w:t>also have improved and will continue to improve the economic performance of the power system.</w:t>
      </w:r>
    </w:p>
    <w:p w:rsidR="00103518" w:rsidRPr="00444D7E" w:rsidRDefault="00C561D4" w:rsidP="00103518">
      <w:pPr>
        <w:pStyle w:val="CommentText"/>
      </w:pPr>
      <w:r w:rsidRPr="00444D7E">
        <w:t xml:space="preserve">As of June 1, 2014, </w:t>
      </w:r>
      <w:r w:rsidR="00932873" w:rsidRPr="00444D7E">
        <w:t>11</w:t>
      </w:r>
      <w:r w:rsidRPr="00444D7E">
        <w:t xml:space="preserve"> of </w:t>
      </w:r>
      <w:r w:rsidR="00AC32D1" w:rsidRPr="00444D7E">
        <w:t xml:space="preserve">the </w:t>
      </w:r>
      <w:r w:rsidRPr="00444D7E">
        <w:t xml:space="preserve">14 major projects </w:t>
      </w:r>
      <w:proofErr w:type="gramStart"/>
      <w:r w:rsidRPr="00444D7E">
        <w:t>have been placed</w:t>
      </w:r>
      <w:proofErr w:type="gramEnd"/>
      <w:r w:rsidRPr="00444D7E">
        <w:t xml:space="preserve"> in service</w:t>
      </w:r>
      <w:r w:rsidR="009C1CBC">
        <w:t xml:space="preserve">, </w:t>
      </w:r>
      <w:r w:rsidR="00D45F77" w:rsidRPr="00444D7E">
        <w:t>which include the following:</w:t>
      </w:r>
    </w:p>
    <w:p w:rsidR="00C561D4" w:rsidRPr="00444D7E" w:rsidRDefault="00D45F77" w:rsidP="00C561D4">
      <w:pPr>
        <w:numPr>
          <w:ilvl w:val="0"/>
          <w:numId w:val="434"/>
        </w:numPr>
        <w:spacing w:after="120"/>
      </w:pPr>
      <w:r w:rsidRPr="00444D7E">
        <w:t>Two Southwest Connecticut Reliability Projects (Phase 1 and Phase 2)</w:t>
      </w:r>
    </w:p>
    <w:p w:rsidR="00444D7E" w:rsidRPr="00444D7E" w:rsidRDefault="00444D7E" w:rsidP="00444D7E">
      <w:pPr>
        <w:numPr>
          <w:ilvl w:val="0"/>
          <w:numId w:val="434"/>
        </w:numPr>
        <w:spacing w:after="120"/>
      </w:pPr>
      <w:r w:rsidRPr="00444D7E">
        <w:t>Boston 345 kV Transmission Reliability Project (Phase 1 and Phase 2)</w:t>
      </w:r>
    </w:p>
    <w:p w:rsidR="00444D7E" w:rsidRPr="00444D7E" w:rsidRDefault="00444D7E" w:rsidP="00444D7E">
      <w:pPr>
        <w:numPr>
          <w:ilvl w:val="0"/>
          <w:numId w:val="434"/>
        </w:numPr>
        <w:spacing w:after="120"/>
      </w:pPr>
      <w:r w:rsidRPr="00444D7E">
        <w:t>Northwest Vermont (NWVT) Reliability Project</w:t>
      </w:r>
    </w:p>
    <w:p w:rsidR="00C561D4" w:rsidRPr="00444D7E" w:rsidRDefault="00D45F77" w:rsidP="00C561D4">
      <w:pPr>
        <w:numPr>
          <w:ilvl w:val="0"/>
          <w:numId w:val="434"/>
        </w:numPr>
        <w:spacing w:after="120"/>
      </w:pPr>
      <w:r w:rsidRPr="00444D7E">
        <w:t>Northeast Reliability Interconnection (NRI) Project</w:t>
      </w:r>
    </w:p>
    <w:p w:rsidR="00444D7E" w:rsidRPr="00444D7E" w:rsidRDefault="00444D7E" w:rsidP="00444D7E">
      <w:pPr>
        <w:numPr>
          <w:ilvl w:val="0"/>
          <w:numId w:val="434"/>
        </w:numPr>
        <w:spacing w:after="120"/>
      </w:pPr>
      <w:r w:rsidRPr="00444D7E">
        <w:t>New England East–West Solution (NEEWS)</w:t>
      </w:r>
    </w:p>
    <w:p w:rsidR="00444D7E" w:rsidRPr="00444D7E" w:rsidRDefault="00444D7E" w:rsidP="00444D7E">
      <w:pPr>
        <w:numPr>
          <w:ilvl w:val="1"/>
          <w:numId w:val="434"/>
        </w:numPr>
        <w:spacing w:after="120"/>
      </w:pPr>
      <w:r w:rsidRPr="00444D7E">
        <w:t xml:space="preserve">Greater Springfield components </w:t>
      </w:r>
    </w:p>
    <w:p w:rsidR="00444D7E" w:rsidRPr="00444D7E" w:rsidRDefault="00444D7E" w:rsidP="00444D7E">
      <w:pPr>
        <w:numPr>
          <w:ilvl w:val="1"/>
          <w:numId w:val="434"/>
        </w:numPr>
        <w:spacing w:after="120"/>
      </w:pPr>
      <w:r w:rsidRPr="00444D7E">
        <w:t>Rhode Island component</w:t>
      </w:r>
    </w:p>
    <w:p w:rsidR="00444D7E" w:rsidRPr="00444D7E" w:rsidRDefault="00444D7E" w:rsidP="00C561D4">
      <w:pPr>
        <w:numPr>
          <w:ilvl w:val="0"/>
          <w:numId w:val="434"/>
        </w:numPr>
        <w:spacing w:after="120"/>
      </w:pPr>
      <w:r w:rsidRPr="00444D7E">
        <w:t>SEMA</w:t>
      </w:r>
    </w:p>
    <w:p w:rsidR="00C561D4" w:rsidRPr="00444D7E" w:rsidRDefault="00D45F77" w:rsidP="00444D7E">
      <w:pPr>
        <w:numPr>
          <w:ilvl w:val="1"/>
          <w:numId w:val="434"/>
        </w:numPr>
        <w:spacing w:after="120"/>
      </w:pPr>
      <w:r w:rsidRPr="00444D7E">
        <w:t>Short-Term Lower SEMA Upgrades</w:t>
      </w:r>
    </w:p>
    <w:p w:rsidR="00444D7E" w:rsidRPr="00444D7E" w:rsidRDefault="00444D7E" w:rsidP="00444D7E">
      <w:pPr>
        <w:numPr>
          <w:ilvl w:val="1"/>
          <w:numId w:val="434"/>
        </w:numPr>
        <w:spacing w:after="120"/>
      </w:pPr>
      <w:r w:rsidRPr="00444D7E">
        <w:t>Long-Term Lower SEMA Upgrades</w:t>
      </w:r>
    </w:p>
    <w:p w:rsidR="00C561D4" w:rsidRPr="00444D7E" w:rsidRDefault="00D45F77" w:rsidP="00444D7E">
      <w:pPr>
        <w:numPr>
          <w:ilvl w:val="0"/>
          <w:numId w:val="434"/>
        </w:numPr>
      </w:pPr>
      <w:r w:rsidRPr="00444D7E">
        <w:t>Vermont Southern Loop Project</w:t>
      </w:r>
    </w:p>
    <w:p w:rsidR="00C561D4" w:rsidRDefault="00C561D4" w:rsidP="00C561D4">
      <w:r>
        <w:t xml:space="preserve">The Maine Power Reliability Program (MPRP) is currently under construction. </w:t>
      </w:r>
      <w:r w:rsidRPr="00810B73">
        <w:t xml:space="preserve">The </w:t>
      </w:r>
      <w:r w:rsidR="0028427D" w:rsidRPr="00810B73">
        <w:t xml:space="preserve">Interstate Reliability Project (Interstate) component of NEEWS has received </w:t>
      </w:r>
      <w:proofErr w:type="spellStart"/>
      <w:r w:rsidR="0028427D" w:rsidRPr="00810B73">
        <w:t>siting</w:t>
      </w:r>
      <w:proofErr w:type="spellEnd"/>
      <w:r w:rsidR="0028427D" w:rsidRPr="00810B73">
        <w:t xml:space="preserve"> approval and is currently under construction.</w:t>
      </w:r>
      <w:r w:rsidR="00103518">
        <w:t xml:space="preserve"> </w:t>
      </w:r>
      <w:r w:rsidRPr="00810B73">
        <w:t>One</w:t>
      </w:r>
      <w:r w:rsidRPr="007D26B5">
        <w:t xml:space="preserve"> new</w:t>
      </w:r>
      <w:r w:rsidRPr="00EA2E47">
        <w:t xml:space="preserve"> 345 kV project has emerged </w:t>
      </w:r>
      <w:proofErr w:type="gramStart"/>
      <w:r w:rsidRPr="00EA2E47">
        <w:t>as a result</w:t>
      </w:r>
      <w:proofErr w:type="gramEnd"/>
      <w:r w:rsidRPr="00EA2E47">
        <w:t xml:space="preserve"> of the Greater Boston study. </w:t>
      </w:r>
      <w:r>
        <w:t xml:space="preserve">This solution is being </w:t>
      </w:r>
      <w:proofErr w:type="gramStart"/>
      <w:r>
        <w:t>reassessed</w:t>
      </w:r>
      <w:proofErr w:type="gramEnd"/>
      <w:r>
        <w:t xml:space="preserve"> as final project solutions are determined.</w:t>
      </w:r>
      <w:r w:rsidR="00932873" w:rsidRPr="00932873">
        <w:t xml:space="preserve"> </w:t>
      </w:r>
    </w:p>
    <w:p w:rsidR="008E2D71" w:rsidRDefault="00927965" w:rsidP="00C561D4">
      <w:fldSimple w:instr=" REF _Ref386309128 \h  \* MERGEFORMAT ">
        <w:r w:rsidR="00284CE3">
          <w:t xml:space="preserve">Figure </w:t>
        </w:r>
        <w:r w:rsidR="00284CE3">
          <w:rPr>
            <w:noProof/>
          </w:rPr>
          <w:t>5</w:t>
        </w:r>
        <w:r w:rsidR="00284CE3">
          <w:rPr>
            <w:noProof/>
          </w:rPr>
          <w:noBreakHyphen/>
          <w:t>1</w:t>
        </w:r>
      </w:fldSimple>
      <w:r w:rsidR="008E2D71" w:rsidRPr="005F7C93">
        <w:t xml:space="preserve"> shows the approximate geographic region of each of these projects</w:t>
      </w:r>
      <w:r w:rsidR="005F7C93" w:rsidRPr="005F7C93">
        <w:t>.</w:t>
      </w:r>
      <w:r w:rsidR="008E2D71" w:rsidRPr="00444D7E">
        <w:t xml:space="preserve"> </w:t>
      </w:r>
    </w:p>
    <w:p w:rsidR="00AC32D1" w:rsidRDefault="00AC32D1" w:rsidP="00810B73">
      <w:pPr>
        <w:keepNext/>
        <w:keepLines/>
        <w:spacing w:after="0" w:line="240" w:lineRule="auto"/>
        <w:jc w:val="center"/>
      </w:pPr>
      <w:r w:rsidRPr="00AC32D1">
        <w:rPr>
          <w:noProof/>
        </w:rPr>
        <w:drawing>
          <wp:inline distT="0" distB="0" distL="0" distR="0">
            <wp:extent cx="4807597" cy="2982815"/>
            <wp:effectExtent l="19050" t="19050" r="12053" b="270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810925" cy="2984880"/>
                    </a:xfrm>
                    <a:prstGeom prst="rect">
                      <a:avLst/>
                    </a:prstGeom>
                    <a:noFill/>
                    <a:ln w="3175">
                      <a:solidFill>
                        <a:schemeClr val="tx1"/>
                      </a:solidFill>
                      <a:miter lim="800000"/>
                      <a:headEnd/>
                      <a:tailEnd/>
                    </a:ln>
                  </pic:spPr>
                </pic:pic>
              </a:graphicData>
            </a:graphic>
          </wp:inline>
        </w:drawing>
      </w:r>
    </w:p>
    <w:p w:rsidR="00C561D4" w:rsidRDefault="00C561D4" w:rsidP="00AE3578">
      <w:pPr>
        <w:pStyle w:val="Caption"/>
        <w:keepNext w:val="0"/>
        <w:keepLines w:val="0"/>
        <w:tabs>
          <w:tab w:val="left" w:pos="7740"/>
          <w:tab w:val="left" w:pos="8370"/>
        </w:tabs>
        <w:spacing w:before="80" w:after="240"/>
        <w:ind w:left="720" w:right="630"/>
        <w:jc w:val="left"/>
      </w:pPr>
      <w:bookmarkStart w:id="544" w:name="_Ref386309128"/>
      <w:bookmarkStart w:id="545" w:name="_Toc391985574"/>
      <w:r>
        <w:t xml:space="preserve">Figure </w:t>
      </w:r>
      <w:r w:rsidR="00927965">
        <w:fldChar w:fldCharType="begin"/>
      </w:r>
      <w:r w:rsidR="0011163E">
        <w:instrText xml:space="preserve"> STYLEREF 1 \s </w:instrText>
      </w:r>
      <w:r w:rsidR="00927965">
        <w:fldChar w:fldCharType="separate"/>
      </w:r>
      <w:r w:rsidR="00284CE3">
        <w:rPr>
          <w:noProof/>
        </w:rPr>
        <w:t>5</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1</w:t>
      </w:r>
      <w:r w:rsidR="00927965">
        <w:fldChar w:fldCharType="end"/>
      </w:r>
      <w:bookmarkEnd w:id="544"/>
      <w:r>
        <w:t>: Approximate geographic region of each of the 14 major transmission projects in New England, as of June 1, 2014.</w:t>
      </w:r>
      <w:bookmarkEnd w:id="545"/>
    </w:p>
    <w:p w:rsidR="00C561D4" w:rsidRDefault="00C561D4" w:rsidP="005A39F4">
      <w:r>
        <w:t xml:space="preserve">The 345 kV substations </w:t>
      </w:r>
      <w:r w:rsidR="00AC32D1">
        <w:t xml:space="preserve">added </w:t>
      </w:r>
      <w:r>
        <w:t>across New England ha</w:t>
      </w:r>
      <w:r w:rsidR="00AC32D1">
        <w:t>ve</w:t>
      </w:r>
      <w:r>
        <w:t xml:space="preserve"> improved the ability of the transmission system to meet load growth. </w:t>
      </w:r>
      <w:r w:rsidR="005D43C8">
        <w:t>T</w:t>
      </w:r>
      <w:r w:rsidRPr="00355860">
        <w:t>hese and other projects will help maintain system reliability and enhance</w:t>
      </w:r>
      <w:r>
        <w:t xml:space="preserve"> the region’s ability to support a robust, competitive wholesale power market by reliably moving power from various internal and external sources to the region’s load centers.</w:t>
      </w:r>
    </w:p>
    <w:p w:rsidR="00C561D4" w:rsidRPr="0060155B" w:rsidRDefault="00C561D4" w:rsidP="00C561D4">
      <w:r>
        <w:t>This section discusses the need for transmission security and the performance of the transmission system in New England. It addresses the need for transmission upgrades</w:t>
      </w:r>
      <w:r w:rsidR="005D43C8">
        <w:t>—</w:t>
      </w:r>
      <w:r>
        <w:t>accounting for known plans for resource additions and attritions</w:t>
      </w:r>
      <w:r w:rsidR="005D43C8">
        <w:t>—</w:t>
      </w:r>
      <w:r>
        <w:t>and updates the progress of the current major transmission projects in the region. P</w:t>
      </w:r>
      <w:r w:rsidRPr="003A4D9C">
        <w:t>revious RSPs, various PAC presentations, and other ISO reports</w:t>
      </w:r>
      <w:r>
        <w:t xml:space="preserve"> contain information regarding the detailed analyses associated with many of these efforts</w:t>
      </w:r>
      <w:r w:rsidRPr="003A4D9C">
        <w:t>.</w:t>
      </w:r>
      <w:r w:rsidRPr="003A4D9C">
        <w:rPr>
          <w:rStyle w:val="FootnoteReference"/>
        </w:rPr>
        <w:footnoteReference w:id="168"/>
      </w:r>
      <w:r w:rsidRPr="003A4D9C">
        <w:t xml:space="preserve"> </w:t>
      </w:r>
      <w:r w:rsidRPr="000B53D9">
        <w:t>The draft</w:t>
      </w:r>
      <w:r w:rsidRPr="000B53D9">
        <w:rPr>
          <w:i/>
        </w:rPr>
        <w:t xml:space="preserve"> Transmission Planning Process Guide</w:t>
      </w:r>
      <w:r w:rsidRPr="000B53D9">
        <w:t xml:space="preserve"> contains details on the existing regional system planning process and how </w:t>
      </w:r>
      <w:proofErr w:type="gramStart"/>
      <w:r w:rsidRPr="000B53D9">
        <w:t>transmission planning</w:t>
      </w:r>
      <w:proofErr w:type="gramEnd"/>
      <w:r w:rsidRPr="000B53D9">
        <w:t xml:space="preserve"> studies are performed through the open regional stakeholder process (see </w:t>
      </w:r>
      <w:r w:rsidRPr="00D36064">
        <w:t>Section</w:t>
      </w:r>
      <w:r w:rsidRPr="000B53D9">
        <w:t xml:space="preserve"> </w:t>
      </w:r>
      <w:r w:rsidR="00927965">
        <w:fldChar w:fldCharType="begin"/>
      </w:r>
      <w:r w:rsidR="00D0470A">
        <w:instrText xml:space="preserve"> REF _Ref388800249 \r \h </w:instrText>
      </w:r>
      <w:r w:rsidR="00927965">
        <w:fldChar w:fldCharType="separate"/>
      </w:r>
      <w:r w:rsidR="00284CE3">
        <w:t>7.4.3</w:t>
      </w:r>
      <w:r w:rsidR="00927965">
        <w:fldChar w:fldCharType="end"/>
      </w:r>
      <w:r w:rsidRPr="000B53D9">
        <w:t>). The draft</w:t>
      </w:r>
      <w:r w:rsidRPr="000B53D9">
        <w:rPr>
          <w:i/>
        </w:rPr>
        <w:t xml:space="preserve"> Transmission Planning Technical Guide</w:t>
      </w:r>
      <w:r w:rsidRPr="000B53D9">
        <w:t xml:space="preserve"> includes details on the current standards, criteria, and assumptions used in transmission planning studies.</w:t>
      </w:r>
      <w:r w:rsidRPr="000B53D9">
        <w:rPr>
          <w:rStyle w:val="FootnoteReference"/>
        </w:rPr>
        <w:footnoteReference w:id="169"/>
      </w:r>
      <w:r>
        <w:t xml:space="preserve"> The ISO has received valuable stakeholder feedback on its current practices and is reviewing the bas</w:t>
      </w:r>
      <w:r w:rsidR="00D36064">
        <w:t>e</w:t>
      </w:r>
      <w:r>
        <w:t xml:space="preserve">s for </w:t>
      </w:r>
      <w:r w:rsidR="00D36064">
        <w:t>these</w:t>
      </w:r>
      <w:r>
        <w:t xml:space="preserve"> practices.</w:t>
      </w:r>
    </w:p>
    <w:p w:rsidR="00E63D3A" w:rsidRDefault="00C561D4">
      <w:pPr>
        <w:pStyle w:val="Heading2"/>
      </w:pPr>
      <w:bookmarkStart w:id="546" w:name="_Toc303086394"/>
      <w:bookmarkStart w:id="547" w:name="_Toc334601045"/>
      <w:bookmarkStart w:id="548" w:name="_Toc365441005"/>
      <w:bookmarkStart w:id="549" w:name="_Toc396807635"/>
      <w:r w:rsidRPr="00A3178B">
        <w:t>The Need for Transmission Security</w:t>
      </w:r>
      <w:bookmarkEnd w:id="546"/>
      <w:bookmarkEnd w:id="547"/>
      <w:bookmarkEnd w:id="548"/>
      <w:bookmarkEnd w:id="549"/>
    </w:p>
    <w:p w:rsidR="00C561D4" w:rsidRDefault="00C561D4" w:rsidP="00C561D4">
      <w:r w:rsidRPr="00A3178B">
        <w:t>A reliable, well-designed transmission system is essential for complying with mandatory reliability standards and providing regional transmission service that provides for the secure dispatch and operation of generation and</w:t>
      </w:r>
      <w:r>
        <w:t xml:space="preserve"> that delivers numerous products and services, as follows:</w:t>
      </w:r>
    </w:p>
    <w:p w:rsidR="00C561D4" w:rsidRDefault="00C561D4" w:rsidP="00C561D4">
      <w:pPr>
        <w:pStyle w:val="Bullet-Solid"/>
        <w:numPr>
          <w:ilvl w:val="0"/>
          <w:numId w:val="300"/>
        </w:numPr>
      </w:pPr>
      <w:r>
        <w:t>Capacity</w:t>
      </w:r>
    </w:p>
    <w:p w:rsidR="00C561D4" w:rsidRDefault="00C561D4" w:rsidP="00C561D4">
      <w:pPr>
        <w:pStyle w:val="Bullet-Solid"/>
        <w:numPr>
          <w:ilvl w:val="0"/>
          <w:numId w:val="300"/>
        </w:numPr>
      </w:pPr>
      <w:r>
        <w:t>Electric energy</w:t>
      </w:r>
    </w:p>
    <w:p w:rsidR="00C561D4" w:rsidRDefault="00C561D4" w:rsidP="00C561D4">
      <w:pPr>
        <w:pStyle w:val="Bullet-Solid"/>
        <w:numPr>
          <w:ilvl w:val="0"/>
          <w:numId w:val="300"/>
        </w:numPr>
      </w:pPr>
      <w:r>
        <w:t>Operating reserves</w:t>
      </w:r>
    </w:p>
    <w:p w:rsidR="00C561D4" w:rsidRDefault="00C561D4" w:rsidP="00C561D4">
      <w:pPr>
        <w:pStyle w:val="Bullet-Solid"/>
        <w:numPr>
          <w:ilvl w:val="0"/>
          <w:numId w:val="300"/>
        </w:numPr>
      </w:pPr>
      <w:r>
        <w:t>Load-following</w:t>
      </w:r>
    </w:p>
    <w:p w:rsidR="00C561D4" w:rsidRDefault="00C561D4" w:rsidP="00C561D4">
      <w:pPr>
        <w:pStyle w:val="Bullet-Solid"/>
        <w:numPr>
          <w:ilvl w:val="0"/>
          <w:numId w:val="300"/>
        </w:numPr>
      </w:pPr>
      <w:r>
        <w:t>Automatic generation control</w:t>
      </w:r>
    </w:p>
    <w:p w:rsidR="00C561D4" w:rsidRDefault="00C561D4" w:rsidP="00C561D4">
      <w:pPr>
        <w:pStyle w:val="Bullet-Solid"/>
        <w:numPr>
          <w:ilvl w:val="0"/>
          <w:numId w:val="300"/>
        </w:numPr>
        <w:spacing w:after="240"/>
      </w:pPr>
      <w:r>
        <w:t>Immediate contingency response to sudden generator or transmission outages</w:t>
      </w:r>
    </w:p>
    <w:p w:rsidR="00C561D4" w:rsidRDefault="00C561D4" w:rsidP="00C561D4">
      <w:r>
        <w:t>A secure transmission system also plays an important role in the following functions:</w:t>
      </w:r>
    </w:p>
    <w:p w:rsidR="00C561D4" w:rsidRDefault="00C561D4" w:rsidP="00C561D4">
      <w:pPr>
        <w:pStyle w:val="Bullet-Solid"/>
        <w:numPr>
          <w:ilvl w:val="0"/>
          <w:numId w:val="301"/>
        </w:numPr>
      </w:pPr>
      <w:r>
        <w:t>Improving the reliability of and access to supply resources</w:t>
      </w:r>
    </w:p>
    <w:p w:rsidR="00C561D4" w:rsidRDefault="00C561D4" w:rsidP="00C561D4">
      <w:pPr>
        <w:pStyle w:val="Bullet-Solid"/>
        <w:numPr>
          <w:ilvl w:val="0"/>
          <w:numId w:val="301"/>
        </w:numPr>
      </w:pPr>
      <w:r>
        <w:t>Regulating voltage and minimizing voltage fluctuations</w:t>
      </w:r>
    </w:p>
    <w:p w:rsidR="00C561D4" w:rsidRDefault="00C561D4" w:rsidP="00C561D4">
      <w:pPr>
        <w:pStyle w:val="Bullet-Solid"/>
        <w:numPr>
          <w:ilvl w:val="0"/>
          <w:numId w:val="301"/>
        </w:numPr>
      </w:pPr>
      <w:r>
        <w:t>Stabilizing the grid after transient events</w:t>
      </w:r>
    </w:p>
    <w:p w:rsidR="00C561D4" w:rsidRDefault="00C561D4" w:rsidP="00C561D4">
      <w:pPr>
        <w:pStyle w:val="Bullet-Solid"/>
        <w:numPr>
          <w:ilvl w:val="0"/>
          <w:numId w:val="301"/>
        </w:numPr>
      </w:pPr>
      <w:r>
        <w:t xml:space="preserve">Facilitating the efficient use </w:t>
      </w:r>
      <w:r w:rsidRPr="00C461CD">
        <w:t>of regional</w:t>
      </w:r>
      <w:r>
        <w:t xml:space="preserve"> supply and demand resources</w:t>
      </w:r>
    </w:p>
    <w:p w:rsidR="00C561D4" w:rsidRDefault="00C561D4" w:rsidP="00C561D4">
      <w:pPr>
        <w:pStyle w:val="Bullet-Solid"/>
        <w:numPr>
          <w:ilvl w:val="0"/>
          <w:numId w:val="301"/>
        </w:numPr>
      </w:pPr>
      <w:r>
        <w:t xml:space="preserve">Reducing the amount of reserves necessary for the secure operation of the system </w:t>
      </w:r>
    </w:p>
    <w:p w:rsidR="00C561D4" w:rsidRDefault="00C561D4" w:rsidP="00C561D4">
      <w:pPr>
        <w:pStyle w:val="Bullet-Solid"/>
        <w:numPr>
          <w:ilvl w:val="0"/>
          <w:numId w:val="301"/>
        </w:numPr>
      </w:pPr>
      <w:r>
        <w:t>Facilitating the scheduling of equipment maintenance</w:t>
      </w:r>
    </w:p>
    <w:p w:rsidR="00C561D4" w:rsidRDefault="00C561D4" w:rsidP="00C561D4">
      <w:pPr>
        <w:pStyle w:val="Bullet-Solid"/>
        <w:numPr>
          <w:ilvl w:val="0"/>
          <w:numId w:val="301"/>
        </w:numPr>
        <w:spacing w:after="240"/>
      </w:pPr>
      <w:r>
        <w:t>Assisting neighboring balancing authority areas, especially during major contingencies affecting their reliability, and ensuring the reliability of the interconnected system</w:t>
      </w:r>
    </w:p>
    <w:p w:rsidR="00E63D3A" w:rsidRDefault="00C561D4">
      <w:pPr>
        <w:pStyle w:val="Heading2"/>
      </w:pPr>
      <w:bookmarkStart w:id="550" w:name="_Toc303086398"/>
      <w:bookmarkStart w:id="551" w:name="_Ref334019517"/>
      <w:bookmarkStart w:id="552" w:name="_Toc334601049"/>
      <w:bookmarkStart w:id="553" w:name="_Toc365441006"/>
      <w:bookmarkStart w:id="554" w:name="_Toc396807636"/>
      <w:r>
        <w:t>Types of Transmission Upgrades</w:t>
      </w:r>
      <w:bookmarkEnd w:id="550"/>
      <w:bookmarkEnd w:id="551"/>
      <w:bookmarkEnd w:id="552"/>
      <w:bookmarkEnd w:id="553"/>
      <w:bookmarkEnd w:id="554"/>
    </w:p>
    <w:p w:rsidR="00C561D4" w:rsidRPr="00A577A3" w:rsidRDefault="00C561D4" w:rsidP="00C561D4">
      <w:r w:rsidRPr="00A577A3">
        <w:t xml:space="preserve">Attachment N of the OATT, “Procedures for Regional System Plan Upgrades,” defines several categories of transmission upgrades </w:t>
      </w:r>
      <w:r w:rsidRPr="00EA2E47">
        <w:t>that can be developed to address various types of defined system needs, such as reliability and market efficiency.</w:t>
      </w:r>
      <w:r>
        <w:rPr>
          <w:rStyle w:val="FootnoteReference"/>
        </w:rPr>
        <w:footnoteReference w:id="170"/>
      </w:r>
      <w:r w:rsidRPr="00EA2E47">
        <w:t xml:space="preserve"> </w:t>
      </w:r>
    </w:p>
    <w:p w:rsidR="00C561D4" w:rsidRDefault="00C561D4" w:rsidP="00C561D4">
      <w:pPr>
        <w:pStyle w:val="Heading3"/>
        <w:spacing w:before="120"/>
      </w:pPr>
      <w:bookmarkStart w:id="555" w:name="_Toc303086399"/>
      <w:bookmarkStart w:id="556" w:name="_Toc334601050"/>
      <w:bookmarkStart w:id="557" w:name="_Toc365441007"/>
      <w:bookmarkStart w:id="558" w:name="_Toc396807637"/>
      <w:r w:rsidRPr="00673B9A">
        <w:t>Reliability Transmission Upgrades</w:t>
      </w:r>
      <w:bookmarkEnd w:id="555"/>
      <w:bookmarkEnd w:id="556"/>
      <w:bookmarkEnd w:id="557"/>
      <w:bookmarkEnd w:id="558"/>
    </w:p>
    <w:p w:rsidR="00C561D4" w:rsidRPr="009A5981" w:rsidRDefault="00C561D4" w:rsidP="00C561D4">
      <w:r w:rsidRPr="00A577A3">
        <w:t xml:space="preserve">Reliability Transmission Upgrades are necessary to ensure the continued reliability of the New England transmission system in compliance with applicable reliability standards. A Reliability Transmission Upgrade </w:t>
      </w:r>
      <w:r>
        <w:t xml:space="preserve">also </w:t>
      </w:r>
      <w:r w:rsidRPr="00A577A3">
        <w:t>may provide market</w:t>
      </w:r>
      <w:r>
        <w:t xml:space="preserve">-efficiency benefits. </w:t>
      </w:r>
      <w:r w:rsidRPr="00A577A3">
        <w:t xml:space="preserve">To identify the transmission system facilities </w:t>
      </w:r>
      <w:r w:rsidRPr="00990A27">
        <w:t xml:space="preserve">required to maintain reliability and system performance, the ISO evaluates the following factors using reasonable assumptions for forecasted load and the availability of generation and transmission facilities </w:t>
      </w:r>
      <w:r w:rsidRPr="00B42755">
        <w:t xml:space="preserve">(based on </w:t>
      </w:r>
      <w:r w:rsidRPr="009A5981">
        <w:t>maintenance schedules, forced outages, or other unavailability factors):</w:t>
      </w:r>
    </w:p>
    <w:p w:rsidR="00C561D4" w:rsidRPr="00990A27" w:rsidRDefault="00C561D4" w:rsidP="00C561D4">
      <w:pPr>
        <w:pStyle w:val="Bullet-Solid"/>
        <w:numPr>
          <w:ilvl w:val="0"/>
          <w:numId w:val="329"/>
        </w:numPr>
      </w:pPr>
      <w:r w:rsidRPr="009A5981">
        <w:t xml:space="preserve">Known changes in available supply resources and transmission facilities, such as anticipated </w:t>
      </w:r>
      <w:r w:rsidR="00113C54" w:rsidRPr="00113C54">
        <w:t xml:space="preserve">transmission enhancements considering Elective Transmission Upgrades (ETUs) and </w:t>
      </w:r>
      <w:r w:rsidR="00113C54" w:rsidRPr="00113C54">
        <w:rPr>
          <w:i/>
        </w:rPr>
        <w:t>merchant transmission facilities</w:t>
      </w:r>
      <w:r w:rsidR="00113C54" w:rsidRPr="00113C54">
        <w:t xml:space="preserve"> (MTFs) (see below)</w:t>
      </w:r>
      <w:r w:rsidR="00F409A7">
        <w:t>;</w:t>
      </w:r>
      <w:r w:rsidRPr="00990A27">
        <w:t xml:space="preserve"> the addition of demand-side resources or new or previously unavailable generators</w:t>
      </w:r>
      <w:r w:rsidR="00F409A7">
        <w:t>;</w:t>
      </w:r>
      <w:r w:rsidRPr="00990A27">
        <w:t xml:space="preserve"> or generator retirements</w:t>
      </w:r>
      <w:r w:rsidR="006573C3">
        <w:t xml:space="preserve"> </w:t>
      </w:r>
    </w:p>
    <w:p w:rsidR="00C561D4" w:rsidRPr="00990A27" w:rsidRDefault="00C561D4" w:rsidP="00C561D4">
      <w:pPr>
        <w:pStyle w:val="Bullet-Solid"/>
        <w:numPr>
          <w:ilvl w:val="0"/>
          <w:numId w:val="302"/>
        </w:numPr>
      </w:pPr>
      <w:r w:rsidRPr="00990A27">
        <w:t>Forecasted load, which accounts for growth, reductions, and redistribution throughout the grid</w:t>
      </w:r>
    </w:p>
    <w:p w:rsidR="00C561D4" w:rsidRPr="00A577A3" w:rsidRDefault="00C561D4" w:rsidP="00C561D4">
      <w:pPr>
        <w:pStyle w:val="Bullet-Solid"/>
        <w:numPr>
          <w:ilvl w:val="0"/>
          <w:numId w:val="302"/>
        </w:numPr>
      </w:pPr>
      <w:r w:rsidRPr="00A577A3">
        <w:t>Acceptable stability response</w:t>
      </w:r>
    </w:p>
    <w:p w:rsidR="00C561D4" w:rsidRPr="00A577A3" w:rsidRDefault="00C561D4" w:rsidP="00C561D4">
      <w:pPr>
        <w:pStyle w:val="Bullet-Solid"/>
        <w:numPr>
          <w:ilvl w:val="0"/>
          <w:numId w:val="302"/>
        </w:numPr>
      </w:pPr>
      <w:r w:rsidRPr="00A577A3">
        <w:t xml:space="preserve">Acceptable short-circuit </w:t>
      </w:r>
      <w:r>
        <w:t>performance</w:t>
      </w:r>
    </w:p>
    <w:p w:rsidR="00C561D4" w:rsidRPr="00A577A3" w:rsidRDefault="00C561D4" w:rsidP="00C561D4">
      <w:pPr>
        <w:pStyle w:val="Bullet-Solid"/>
        <w:numPr>
          <w:ilvl w:val="0"/>
          <w:numId w:val="302"/>
        </w:numPr>
      </w:pPr>
      <w:r w:rsidRPr="00A577A3">
        <w:t>Acceptable voltage levels</w:t>
      </w:r>
    </w:p>
    <w:p w:rsidR="00C561D4" w:rsidRPr="00A577A3" w:rsidRDefault="00C561D4" w:rsidP="00C561D4">
      <w:pPr>
        <w:pStyle w:val="Bullet-Solid"/>
        <w:numPr>
          <w:ilvl w:val="0"/>
          <w:numId w:val="302"/>
        </w:numPr>
      </w:pPr>
      <w:r w:rsidRPr="00A577A3">
        <w:t>Adequate thermal capability</w:t>
      </w:r>
    </w:p>
    <w:p w:rsidR="00C561D4" w:rsidRPr="00A577A3" w:rsidRDefault="00C561D4" w:rsidP="00C561D4">
      <w:pPr>
        <w:pStyle w:val="Bullet-Solid"/>
        <w:numPr>
          <w:ilvl w:val="0"/>
          <w:numId w:val="302"/>
        </w:numPr>
        <w:spacing w:after="240"/>
      </w:pPr>
      <w:r w:rsidRPr="00A577A3">
        <w:t>Acceptable system operability and responses (e.g., automatic operations, voltage changes)</w:t>
      </w:r>
    </w:p>
    <w:p w:rsidR="00C561D4" w:rsidRDefault="00C561D4" w:rsidP="00C561D4">
      <w:pPr>
        <w:pStyle w:val="Heading3"/>
        <w:spacing w:before="120"/>
      </w:pPr>
      <w:bookmarkStart w:id="559" w:name="_Ref297214789"/>
      <w:bookmarkStart w:id="560" w:name="_Toc303086400"/>
      <w:bookmarkStart w:id="561" w:name="_Toc334601051"/>
      <w:bookmarkStart w:id="562" w:name="_Toc365441008"/>
      <w:bookmarkStart w:id="563" w:name="_Toc396807638"/>
      <w:r w:rsidRPr="00673B9A">
        <w:t>Market Efficiency Transmission Upgrades</w:t>
      </w:r>
      <w:bookmarkEnd w:id="559"/>
      <w:bookmarkEnd w:id="560"/>
      <w:bookmarkEnd w:id="561"/>
      <w:bookmarkEnd w:id="562"/>
      <w:bookmarkEnd w:id="563"/>
    </w:p>
    <w:p w:rsidR="00C561D4" w:rsidRDefault="00C561D4" w:rsidP="00C561D4">
      <w:r>
        <w:t xml:space="preserve">Market Efficiency Transmission Upgrades (METUs) primarily </w:t>
      </w:r>
      <w:proofErr w:type="gramStart"/>
      <w:r>
        <w:t>are designed</w:t>
      </w:r>
      <w:proofErr w:type="gramEnd"/>
      <w:r>
        <w:t xml:space="preserve"> to reduce the total net production cost to supply the system load. The ISO categorizes a proposed transmission upgrade as a METU when it determines that the net present value of the net reduction in </w:t>
      </w:r>
      <w:r w:rsidR="00E22C6E">
        <w:t xml:space="preserve">the </w:t>
      </w:r>
      <w:r>
        <w:t xml:space="preserve">total cost to supply system load is greater than the net present value of the carrying cost of the identified upgrade. A Reliability Transmission Upgrade may qualify for interim treatment as a Market Efficiency Transmission Upgrade if market efficiency </w:t>
      </w:r>
      <w:proofErr w:type="gramStart"/>
      <w:r>
        <w:t>is used</w:t>
      </w:r>
      <w:proofErr w:type="gramEnd"/>
      <w:r>
        <w:t xml:space="preserve"> to advance the schedule for the implementation of the </w:t>
      </w:r>
      <w:r w:rsidRPr="006B54FA">
        <w:t>upgrade.</w:t>
      </w:r>
    </w:p>
    <w:p w:rsidR="00C561D4" w:rsidRDefault="00C561D4" w:rsidP="00C561D4">
      <w:r>
        <w:t>In determining the net present value of the costs of power system resources, the ISO takes into account applicable projected economic factors, as follows:</w:t>
      </w:r>
    </w:p>
    <w:p w:rsidR="00C561D4" w:rsidRDefault="00C561D4" w:rsidP="00C561D4">
      <w:pPr>
        <w:pStyle w:val="Bullet-Solid"/>
        <w:numPr>
          <w:ilvl w:val="0"/>
          <w:numId w:val="303"/>
        </w:numPr>
      </w:pPr>
      <w:r>
        <w:t>Energy costs</w:t>
      </w:r>
    </w:p>
    <w:p w:rsidR="00C561D4" w:rsidRDefault="00C561D4" w:rsidP="00C561D4">
      <w:pPr>
        <w:pStyle w:val="Bullet-Solid"/>
        <w:numPr>
          <w:ilvl w:val="0"/>
          <w:numId w:val="303"/>
        </w:numPr>
      </w:pPr>
      <w:r>
        <w:t xml:space="preserve">Capacity costs </w:t>
      </w:r>
    </w:p>
    <w:p w:rsidR="00C561D4" w:rsidRDefault="00C561D4" w:rsidP="00C561D4">
      <w:pPr>
        <w:pStyle w:val="Bullet-Solid"/>
        <w:numPr>
          <w:ilvl w:val="0"/>
          <w:numId w:val="303"/>
        </w:numPr>
      </w:pPr>
      <w:r>
        <w:t>Cost of supplying total operating reserve</w:t>
      </w:r>
    </w:p>
    <w:p w:rsidR="00C561D4" w:rsidRDefault="00C561D4" w:rsidP="00C561D4">
      <w:pPr>
        <w:pStyle w:val="Bullet-Solid"/>
        <w:numPr>
          <w:ilvl w:val="0"/>
          <w:numId w:val="303"/>
        </w:numPr>
      </w:pPr>
      <w:r>
        <w:t>System losses</w:t>
      </w:r>
    </w:p>
    <w:p w:rsidR="00C561D4" w:rsidRPr="00015C68" w:rsidRDefault="00C561D4" w:rsidP="00C561D4">
      <w:pPr>
        <w:pStyle w:val="Bullet-Solid"/>
        <w:numPr>
          <w:ilvl w:val="0"/>
          <w:numId w:val="303"/>
        </w:numPr>
      </w:pPr>
      <w:r w:rsidRPr="00015C68">
        <w:t xml:space="preserve">Changes in available supply resources and transmission facilities, such as through anticipated </w:t>
      </w:r>
      <w:r w:rsidR="0058019A" w:rsidRPr="0058019A">
        <w:t>transmission enhancements considering Elective Transmission Upgrades and merchant</w:t>
      </w:r>
      <w:r w:rsidRPr="00A515BF">
        <w:t xml:space="preserve"> transmission facilities </w:t>
      </w:r>
      <w:r w:rsidRPr="006573C3">
        <w:t>(see below);</w:t>
      </w:r>
      <w:r w:rsidRPr="00A515BF">
        <w:t xml:space="preserve"> the addition of demand-side resources or new or previously</w:t>
      </w:r>
      <w:r w:rsidRPr="00015C68">
        <w:t xml:space="preserve"> unavailable generators; or generator retirements</w:t>
      </w:r>
    </w:p>
    <w:p w:rsidR="00C561D4" w:rsidRDefault="00C561D4" w:rsidP="00C561D4">
      <w:pPr>
        <w:pStyle w:val="Bullet-Solid"/>
        <w:numPr>
          <w:ilvl w:val="0"/>
          <w:numId w:val="304"/>
        </w:numPr>
      </w:pPr>
      <w:r>
        <w:t>Load growth</w:t>
      </w:r>
    </w:p>
    <w:p w:rsidR="00C561D4" w:rsidRDefault="00C561D4" w:rsidP="00C561D4">
      <w:pPr>
        <w:pStyle w:val="Bullet-Solid"/>
        <w:numPr>
          <w:ilvl w:val="0"/>
          <w:numId w:val="304"/>
        </w:numPr>
      </w:pPr>
      <w:r>
        <w:t>Fuel costs and availability</w:t>
      </w:r>
    </w:p>
    <w:p w:rsidR="00C561D4" w:rsidRDefault="00C561D4" w:rsidP="00C561D4">
      <w:pPr>
        <w:pStyle w:val="Bullet-Solid"/>
        <w:numPr>
          <w:ilvl w:val="0"/>
          <w:numId w:val="304"/>
        </w:numPr>
      </w:pPr>
      <w:r>
        <w:t>Generator availability</w:t>
      </w:r>
    </w:p>
    <w:p w:rsidR="00C561D4" w:rsidRDefault="00C561D4" w:rsidP="00C561D4">
      <w:pPr>
        <w:pStyle w:val="Bullet-Solid"/>
        <w:numPr>
          <w:ilvl w:val="0"/>
          <w:numId w:val="304"/>
        </w:numPr>
      </w:pPr>
      <w:r>
        <w:t>Release of locked-in generating resources</w:t>
      </w:r>
    </w:p>
    <w:p w:rsidR="00C561D4" w:rsidRDefault="00C561D4" w:rsidP="00C561D4">
      <w:pPr>
        <w:pStyle w:val="Bullet-Solid"/>
        <w:numPr>
          <w:ilvl w:val="0"/>
          <w:numId w:val="304"/>
        </w:numPr>
      </w:pPr>
      <w:r>
        <w:t>Present-worth factors for each project specific to the owner of the project</w:t>
      </w:r>
    </w:p>
    <w:p w:rsidR="00C561D4" w:rsidRDefault="00C561D4" w:rsidP="00C561D4">
      <w:pPr>
        <w:pStyle w:val="Bullet-Solid"/>
        <w:numPr>
          <w:ilvl w:val="0"/>
          <w:numId w:val="304"/>
        </w:numPr>
      </w:pPr>
      <w:r>
        <w:t>Present-worth period not to exceed 10 years</w:t>
      </w:r>
    </w:p>
    <w:p w:rsidR="00C561D4" w:rsidRDefault="00C561D4" w:rsidP="00C561D4">
      <w:pPr>
        <w:pStyle w:val="Bullet-Solid"/>
        <w:numPr>
          <w:ilvl w:val="0"/>
          <w:numId w:val="304"/>
        </w:numPr>
        <w:spacing w:after="240"/>
      </w:pPr>
      <w:r>
        <w:t>Cost of the project</w:t>
      </w:r>
    </w:p>
    <w:p w:rsidR="00C561D4" w:rsidRDefault="00C561D4" w:rsidP="00C561D4">
      <w:r>
        <w:t xml:space="preserve">Analyses </w:t>
      </w:r>
      <w:r w:rsidR="00E92D28">
        <w:t>can</w:t>
      </w:r>
      <w:r>
        <w:t xml:space="preserve"> include historical information</w:t>
      </w:r>
      <w:r w:rsidR="00E92D28">
        <w:t xml:space="preserve"> from </w:t>
      </w:r>
      <w:r>
        <w:t xml:space="preserve">market reports and special </w:t>
      </w:r>
      <w:r w:rsidRPr="007D7E02">
        <w:t xml:space="preserve">studies, </w:t>
      </w:r>
      <w:r w:rsidR="00E92D28">
        <w:t xml:space="preserve">for example, </w:t>
      </w:r>
      <w:r w:rsidRPr="007D7E02">
        <w:t xml:space="preserve">and they report </w:t>
      </w:r>
      <w:r w:rsidR="00E92D28">
        <w:t xml:space="preserve">on </w:t>
      </w:r>
      <w:r w:rsidRPr="007D7E02">
        <w:t>cumulative net present value annually over the study period.</w:t>
      </w:r>
    </w:p>
    <w:p w:rsidR="00C561D4" w:rsidRDefault="00C561D4" w:rsidP="00C561D4">
      <w:pPr>
        <w:pStyle w:val="Heading3"/>
        <w:spacing w:before="120"/>
      </w:pPr>
      <w:bookmarkStart w:id="564" w:name="_Toc303086401"/>
      <w:bookmarkStart w:id="565" w:name="_Ref329615974"/>
      <w:bookmarkStart w:id="566" w:name="_Toc334601052"/>
      <w:bookmarkStart w:id="567" w:name="_Toc365441009"/>
      <w:bookmarkStart w:id="568" w:name="_Toc396807639"/>
      <w:r w:rsidRPr="00673B9A">
        <w:t>Generator Interconnection Upgrades and Generator Interconnection-Related Upgrades</w:t>
      </w:r>
      <w:bookmarkEnd w:id="564"/>
      <w:bookmarkEnd w:id="565"/>
      <w:bookmarkEnd w:id="566"/>
      <w:bookmarkEnd w:id="567"/>
      <w:bookmarkEnd w:id="568"/>
    </w:p>
    <w:p w:rsidR="00C561D4" w:rsidRDefault="00C561D4" w:rsidP="00C561D4">
      <w:r w:rsidRPr="00A577A3">
        <w:t xml:space="preserve">A Generator Interconnection Upgrade is an addition or modification </w:t>
      </w:r>
      <w:r>
        <w:t>to</w:t>
      </w:r>
      <w:r w:rsidRPr="00A577A3">
        <w:t xml:space="preserve"> the New England transmission system for interconnecting a new or existing generating unit whose energy or capacity capability is materially changing and increasing, whether or not the interconnection is for meeting the </w:t>
      </w:r>
      <w:r w:rsidRPr="00D031CB">
        <w:t xml:space="preserve">Network </w:t>
      </w:r>
      <w:r w:rsidRPr="004B056E">
        <w:t>Capability Interconnection Standard or the Capacity Capability Interconnection Standard.</w:t>
      </w:r>
      <w:r>
        <w:rPr>
          <w:rStyle w:val="FootnoteReference"/>
        </w:rPr>
        <w:footnoteReference w:id="171"/>
      </w:r>
      <w:r w:rsidRPr="004B056E">
        <w:t xml:space="preserve"> Costs of</w:t>
      </w:r>
      <w:r w:rsidRPr="00A577A3">
        <w:t xml:space="preserve"> Generator</w:t>
      </w:r>
      <w:r w:rsidR="0027038E">
        <w:t>-</w:t>
      </w:r>
      <w:r w:rsidRPr="00A577A3">
        <w:t xml:space="preserve">Interconnection-Related Upgrades typically </w:t>
      </w:r>
      <w:proofErr w:type="gramStart"/>
      <w:r w:rsidRPr="00A577A3">
        <w:t>are allocated</w:t>
      </w:r>
      <w:proofErr w:type="gramEnd"/>
      <w:r w:rsidRPr="00A577A3">
        <w:t xml:space="preserve"> to the generator owner in accordance with the OATT. Generator</w:t>
      </w:r>
      <w:r w:rsidR="0027038E">
        <w:t>-</w:t>
      </w:r>
      <w:r w:rsidRPr="00A577A3">
        <w:t>Interconnection-Related Upgrades to the New England transmission</w:t>
      </w:r>
      <w:r>
        <w:t xml:space="preserve"> system are included in </w:t>
      </w:r>
      <w:r w:rsidRPr="005F4125">
        <w:t xml:space="preserve">the </w:t>
      </w:r>
      <w:r w:rsidRPr="005F4125">
        <w:rPr>
          <w:i/>
        </w:rPr>
        <w:t>RSP Project List</w:t>
      </w:r>
      <w:r w:rsidRPr="005F4125">
        <w:t xml:space="preserve"> </w:t>
      </w:r>
      <w:r>
        <w:t xml:space="preserve">for informational purposes </w:t>
      </w:r>
      <w:r w:rsidRPr="005F4125">
        <w:t>(see Section</w:t>
      </w:r>
      <w:r>
        <w:t> </w:t>
      </w:r>
      <w:fldSimple w:instr=" REF _Ref296498886 \r \h  \* MERGEFORMAT ">
        <w:r w:rsidR="00284CE3">
          <w:t>5.3</w:t>
        </w:r>
      </w:fldSimple>
      <w:r w:rsidRPr="005F4125">
        <w:t>).</w:t>
      </w:r>
    </w:p>
    <w:p w:rsidR="00C561D4" w:rsidRPr="006573C3" w:rsidRDefault="00C561D4" w:rsidP="00C561D4">
      <w:pPr>
        <w:pStyle w:val="Heading3"/>
        <w:spacing w:before="120"/>
      </w:pPr>
      <w:bookmarkStart w:id="569" w:name="_Ref296338403"/>
      <w:bookmarkStart w:id="570" w:name="_Toc303086402"/>
      <w:bookmarkStart w:id="571" w:name="_Toc334601053"/>
      <w:bookmarkStart w:id="572" w:name="_Toc365441010"/>
      <w:bookmarkStart w:id="573" w:name="_Toc396807640"/>
      <w:r w:rsidRPr="006573C3">
        <w:t>Elective Transmission Upgrades</w:t>
      </w:r>
      <w:r w:rsidR="002A650E">
        <w:t xml:space="preserve"> </w:t>
      </w:r>
      <w:r w:rsidRPr="006573C3">
        <w:t>and Merchant Transmission Facilities</w:t>
      </w:r>
      <w:bookmarkEnd w:id="569"/>
      <w:bookmarkEnd w:id="570"/>
      <w:bookmarkEnd w:id="571"/>
      <w:bookmarkEnd w:id="572"/>
      <w:bookmarkEnd w:id="573"/>
    </w:p>
    <w:p w:rsidR="00587924" w:rsidRDefault="00113C54">
      <w:pPr>
        <w:pStyle w:val="Bullet-Solid"/>
        <w:numPr>
          <w:ilvl w:val="0"/>
          <w:numId w:val="0"/>
        </w:numPr>
        <w:spacing w:after="240"/>
      </w:pPr>
      <w:r w:rsidRPr="008965CA">
        <w:t>An Elective Transmission Upgrade is an interconnection or upgrade to the pool transmission facilities</w:t>
      </w:r>
      <w:r w:rsidRPr="00113C54">
        <w:t xml:space="preserve"> that are part of the New England transmission system and subject to the ISO’s operational control pursuant to an operating agreement. ETUs </w:t>
      </w:r>
      <w:proofErr w:type="gramStart"/>
      <w:r w:rsidRPr="00113C54">
        <w:t>are independently funded</w:t>
      </w:r>
      <w:proofErr w:type="gramEnd"/>
      <w:r w:rsidRPr="00113C54">
        <w:t xml:space="preserve"> by one or more entities that have agreed to pay for all the costs of the upgrade. ETUs are not Reliability Transmission Upgrades, METUs, Generator-Interconnection-Related Upgrades, or projects proposed as an ETU but first identified </w:t>
      </w:r>
      <w:proofErr w:type="gramStart"/>
      <w:r w:rsidRPr="00113C54">
        <w:t>as a transmission project in the RSP before its proposal as an ETU</w:t>
      </w:r>
      <w:proofErr w:type="gramEnd"/>
      <w:r w:rsidRPr="00113C54">
        <w:t>.</w:t>
      </w:r>
      <w:r w:rsidR="00F50CDA">
        <w:rPr>
          <w:rStyle w:val="FootnoteReference"/>
        </w:rPr>
        <w:footnoteReference w:id="172"/>
      </w:r>
    </w:p>
    <w:p w:rsidR="00C561D4" w:rsidRPr="003F5761" w:rsidRDefault="00113C54" w:rsidP="00C561D4">
      <w:r w:rsidRPr="00113C54">
        <w:t>The Elective Transmission Upgrade process is the mechanism available to integrate merchant transmission facilities into the regional transmission system. MTFs are independently developed facilities over which its investors assume the full market risk of development. The ISO has initiated an effort to improve the existing ETU process</w:t>
      </w:r>
      <w:r w:rsidR="00305023">
        <w:t>.</w:t>
      </w:r>
      <w:r w:rsidR="00305023" w:rsidRPr="00305023">
        <w:rPr>
          <w:rStyle w:val="FootnoteReference"/>
        </w:rPr>
        <w:footnoteReference w:id="173"/>
      </w:r>
    </w:p>
    <w:p w:rsidR="00E63D3A" w:rsidRDefault="00C561D4">
      <w:pPr>
        <w:pStyle w:val="Heading2"/>
      </w:pPr>
      <w:bookmarkStart w:id="574" w:name="_Ref296338350"/>
      <w:bookmarkStart w:id="575" w:name="_Ref296498886"/>
      <w:bookmarkStart w:id="576" w:name="_Ref297216341"/>
      <w:bookmarkStart w:id="577" w:name="_Toc303086403"/>
      <w:bookmarkStart w:id="578" w:name="_Toc334601054"/>
      <w:bookmarkStart w:id="579" w:name="_Toc365441011"/>
      <w:bookmarkStart w:id="580" w:name="_Toc396807641"/>
      <w:r w:rsidRPr="009939ED">
        <w:t>RSP Project List</w:t>
      </w:r>
      <w:r>
        <w:t xml:space="preserve"> and Projected Transmission Project Costs</w:t>
      </w:r>
      <w:bookmarkEnd w:id="574"/>
      <w:bookmarkEnd w:id="575"/>
      <w:bookmarkEnd w:id="576"/>
      <w:bookmarkEnd w:id="577"/>
      <w:bookmarkEnd w:id="578"/>
      <w:bookmarkEnd w:id="579"/>
      <w:bookmarkEnd w:id="580"/>
    </w:p>
    <w:p w:rsidR="00C561D4" w:rsidRDefault="00C561D4" w:rsidP="00C561D4">
      <w:r w:rsidRPr="00A577A3">
        <w:t xml:space="preserve">The </w:t>
      </w:r>
      <w:r w:rsidRPr="00A577A3">
        <w:rPr>
          <w:i/>
        </w:rPr>
        <w:t>RSP Project List</w:t>
      </w:r>
      <w:r w:rsidRPr="00A577A3">
        <w:t xml:space="preserve"> is a summary of needed transmission projects for the region and includes information on project type, the primary owner, the transmission upgrades and their status, and the estimated cost of the </w:t>
      </w:r>
      <w:r>
        <w:t>p</w:t>
      </w:r>
      <w:r w:rsidRPr="00A577A3">
        <w:t xml:space="preserve">ool </w:t>
      </w:r>
      <w:r>
        <w:t>t</w:t>
      </w:r>
      <w:r w:rsidRPr="00A577A3">
        <w:t xml:space="preserve">ransmission </w:t>
      </w:r>
      <w:r>
        <w:t>f</w:t>
      </w:r>
      <w:r w:rsidRPr="00A577A3">
        <w:t>acility (PTF) portion of the project.</w:t>
      </w:r>
      <w:r w:rsidRPr="00A577A3">
        <w:rPr>
          <w:rStyle w:val="FootnoteReference"/>
        </w:rPr>
        <w:footnoteReference w:id="174"/>
      </w:r>
      <w:r w:rsidRPr="00A577A3">
        <w:t xml:space="preserve"> The </w:t>
      </w:r>
      <w:r>
        <w:t xml:space="preserve">ISO updates this </w:t>
      </w:r>
      <w:r w:rsidRPr="00A577A3">
        <w:t xml:space="preserve">list at least three times per year. </w:t>
      </w:r>
      <w:r>
        <w:t>Additional information on the project classifications included in the</w:t>
      </w:r>
      <w:r w:rsidRPr="00A577A3">
        <w:t xml:space="preserve"> </w:t>
      </w:r>
      <w:r w:rsidRPr="00A577A3">
        <w:rPr>
          <w:i/>
        </w:rPr>
        <w:t>RSP Project List</w:t>
      </w:r>
      <w:r w:rsidRPr="00A577A3">
        <w:t xml:space="preserve"> </w:t>
      </w:r>
      <w:r w:rsidRPr="00A71B2A">
        <w:t xml:space="preserve">is available in the </w:t>
      </w:r>
      <w:r>
        <w:t xml:space="preserve">draft </w:t>
      </w:r>
      <w:r w:rsidRPr="00A71B2A">
        <w:rPr>
          <w:i/>
        </w:rPr>
        <w:t>Transmission Planning Process Guide</w:t>
      </w:r>
      <w:r w:rsidRPr="00A71B2A">
        <w:t>.</w:t>
      </w:r>
    </w:p>
    <w:p w:rsidR="00C561D4" w:rsidRDefault="00C561D4" w:rsidP="00C561D4">
      <w:r w:rsidRPr="00A577A3">
        <w:t xml:space="preserve">The ISO regularly updates the PAC on study schedules, scopes of work, assumptions, draft and </w:t>
      </w:r>
      <w:proofErr w:type="gramStart"/>
      <w:r w:rsidRPr="00A577A3">
        <w:t xml:space="preserve">final </w:t>
      </w:r>
      <w:r w:rsidRPr="00DE1967">
        <w:t>results</w:t>
      </w:r>
      <w:proofErr w:type="gramEnd"/>
      <w:r w:rsidRPr="00DE1967">
        <w:t>, and project costs</w:t>
      </w:r>
      <w:r>
        <w:t xml:space="preserve"> and compiles </w:t>
      </w:r>
      <w:r w:rsidRPr="00DE1967">
        <w:t xml:space="preserve">the status of all projects in the </w:t>
      </w:r>
      <w:r w:rsidRPr="00DE1967">
        <w:rPr>
          <w:i/>
        </w:rPr>
        <w:t>RSP Project List</w:t>
      </w:r>
      <w:r w:rsidRPr="00DE1967">
        <w:t>.</w:t>
      </w:r>
      <w:r>
        <w:rPr>
          <w:rStyle w:val="FootnoteReference"/>
        </w:rPr>
        <w:footnoteReference w:id="175"/>
      </w:r>
      <w:r w:rsidRPr="00DE1967">
        <w:t xml:space="preserve"> Projects </w:t>
      </w:r>
      <w:proofErr w:type="gramStart"/>
      <w:r w:rsidRPr="00DE1967">
        <w:t>are</w:t>
      </w:r>
      <w:r w:rsidRPr="00A577A3">
        <w:t xml:space="preserve"> considered</w:t>
      </w:r>
      <w:proofErr w:type="gramEnd"/>
      <w:r w:rsidRPr="00A577A3">
        <w:t xml:space="preserve"> part of the Regional System Plan consistent with their status and are subject to transmission cost allocation for the region. RSP1</w:t>
      </w:r>
      <w:r>
        <w:t>4</w:t>
      </w:r>
      <w:r w:rsidRPr="00A577A3">
        <w:t xml:space="preserve"> incorporates information from the June 201</w:t>
      </w:r>
      <w:r>
        <w:t>4</w:t>
      </w:r>
      <w:r w:rsidRPr="00A577A3">
        <w:t xml:space="preserve"> </w:t>
      </w:r>
      <w:r w:rsidRPr="00A577A3">
        <w:rPr>
          <w:i/>
        </w:rPr>
        <w:t>RSP Project List.</w:t>
      </w:r>
      <w:r>
        <w:t xml:space="preserve"> </w:t>
      </w:r>
      <w:r w:rsidRPr="00A577A3">
        <w:t>As of June 201</w:t>
      </w:r>
      <w:r>
        <w:t>4</w:t>
      </w:r>
      <w:r w:rsidRPr="00A577A3">
        <w:t>, the total estimated cost of transmission upgrades</w:t>
      </w:r>
      <w:r w:rsidR="00E92D28">
        <w:t>—</w:t>
      </w:r>
      <w:r w:rsidRPr="00A577A3">
        <w:t xml:space="preserve">proposed, planned, and under </w:t>
      </w:r>
      <w:r w:rsidRPr="0002577C">
        <w:t>construction</w:t>
      </w:r>
      <w:r w:rsidR="00E92D28">
        <w:t>—</w:t>
      </w:r>
      <w:r w:rsidRPr="0002577C">
        <w:t xml:space="preserve">was </w:t>
      </w:r>
      <w:r w:rsidRPr="00B1047A">
        <w:t xml:space="preserve">approximately </w:t>
      </w:r>
      <w:r w:rsidRPr="00F1378E">
        <w:t>$</w:t>
      </w:r>
      <w:r w:rsidR="00326D47">
        <w:t>4.5</w:t>
      </w:r>
      <w:r w:rsidRPr="00F1378E">
        <w:t xml:space="preserve"> billion</w:t>
      </w:r>
      <w:r>
        <w:t xml:space="preserve">, as shown </w:t>
      </w:r>
      <w:r w:rsidRPr="001654A1">
        <w:t xml:space="preserve">in </w:t>
      </w:r>
      <w:fldSimple w:instr=" REF _Ref333318079 \h  \* MERGEFORMAT ">
        <w:r w:rsidR="00284CE3" w:rsidRPr="00622362">
          <w:t xml:space="preserve">Table </w:t>
        </w:r>
        <w:r w:rsidR="00284CE3">
          <w:rPr>
            <w:noProof/>
          </w:rPr>
          <w:t>5</w:t>
        </w:r>
        <w:r w:rsidR="00284CE3">
          <w:rPr>
            <w:noProof/>
          </w:rPr>
          <w:noBreakHyphen/>
          <w:t>1</w:t>
        </w:r>
      </w:fldSimple>
      <w:r w:rsidRPr="001654A1">
        <w:t>.</w:t>
      </w:r>
      <w:r w:rsidRPr="001654A1">
        <w:rPr>
          <w:rStyle w:val="FootnoteReference"/>
        </w:rPr>
        <w:footnoteReference w:id="176"/>
      </w:r>
    </w:p>
    <w:p w:rsidR="00C561D4" w:rsidRDefault="00C561D4" w:rsidP="00C75022">
      <w:pPr>
        <w:pStyle w:val="Caption"/>
      </w:pPr>
      <w:bookmarkStart w:id="581" w:name="_Ref333318079"/>
      <w:bookmarkStart w:id="582" w:name="_Toc334541939"/>
      <w:bookmarkStart w:id="583" w:name="_Toc334541976"/>
      <w:bookmarkStart w:id="584" w:name="_Toc365440715"/>
      <w:bookmarkStart w:id="585" w:name="_Toc391985616"/>
      <w:r w:rsidRPr="00622362">
        <w:t xml:space="preserve">Table </w:t>
      </w:r>
      <w:r w:rsidR="00927965">
        <w:fldChar w:fldCharType="begin"/>
      </w:r>
      <w:r w:rsidR="00BD7584">
        <w:instrText xml:space="preserve"> STYLEREF 1 \s </w:instrText>
      </w:r>
      <w:r w:rsidR="00927965">
        <w:fldChar w:fldCharType="separate"/>
      </w:r>
      <w:r w:rsidR="00284CE3">
        <w:rPr>
          <w:noProof/>
        </w:rPr>
        <w:t>5</w:t>
      </w:r>
      <w:r w:rsidR="00927965">
        <w:fldChar w:fldCharType="end"/>
      </w:r>
      <w:r w:rsidR="00BD7584">
        <w:noBreakHyphen/>
      </w:r>
      <w:r w:rsidR="00927965">
        <w:fldChar w:fldCharType="begin"/>
      </w:r>
      <w:r w:rsidR="00BD7584">
        <w:instrText xml:space="preserve"> SEQ Table \* ARABIC \s 1 </w:instrText>
      </w:r>
      <w:r w:rsidR="00927965">
        <w:fldChar w:fldCharType="separate"/>
      </w:r>
      <w:r w:rsidR="00284CE3">
        <w:rPr>
          <w:noProof/>
        </w:rPr>
        <w:t>1</w:t>
      </w:r>
      <w:r w:rsidR="00927965">
        <w:fldChar w:fldCharType="end"/>
      </w:r>
      <w:bookmarkEnd w:id="581"/>
      <w:r w:rsidRPr="00DE1967">
        <w:br/>
      </w:r>
      <w:r w:rsidRPr="00EA2E47">
        <w:rPr>
          <w:rFonts w:asciiTheme="minorHAnsi" w:eastAsia="Times New Roman" w:hAnsiTheme="minorHAnsi"/>
          <w:szCs w:val="20"/>
        </w:rPr>
        <w:t>Estimated C</w:t>
      </w:r>
      <w:r w:rsidRPr="00EA2E47">
        <w:rPr>
          <w:rFonts w:asciiTheme="minorHAnsi" w:eastAsia="Times New Roman" w:hAnsiTheme="minorHAnsi"/>
          <w:bCs w:val="0"/>
        </w:rPr>
        <w:t>ost</w:t>
      </w:r>
      <w:r w:rsidRPr="003301D6">
        <w:rPr>
          <w:rFonts w:asciiTheme="minorHAnsi" w:eastAsia="Times New Roman" w:hAnsiTheme="minorHAnsi"/>
          <w:bCs w:val="0"/>
        </w:rPr>
        <w:t xml:space="preserve"> of Reliability Projects as of </w:t>
      </w:r>
      <w:r w:rsidRPr="003301D6">
        <w:rPr>
          <w:rFonts w:asciiTheme="minorHAnsi" w:eastAsia="Times New Roman" w:hAnsiTheme="minorHAnsi"/>
          <w:szCs w:val="20"/>
        </w:rPr>
        <w:t>June 201</w:t>
      </w:r>
      <w:r>
        <w:rPr>
          <w:rFonts w:asciiTheme="minorHAnsi" w:eastAsia="Times New Roman" w:hAnsiTheme="minorHAnsi"/>
          <w:szCs w:val="20"/>
        </w:rPr>
        <w:t>4</w:t>
      </w:r>
      <w:r w:rsidRPr="003301D6">
        <w:rPr>
          <w:rFonts w:asciiTheme="minorHAnsi" w:eastAsia="Times New Roman" w:hAnsiTheme="minorHAnsi"/>
          <w:bCs w:val="0"/>
        </w:rPr>
        <w:t xml:space="preserve"> Plan Update (Million</w:t>
      </w:r>
      <w:r>
        <w:rPr>
          <w:rFonts w:asciiTheme="minorHAnsi" w:eastAsia="Times New Roman" w:hAnsiTheme="minorHAnsi"/>
          <w:bCs w:val="0"/>
        </w:rPr>
        <w:t xml:space="preserve"> </w:t>
      </w:r>
      <w:r w:rsidRPr="003301D6">
        <w:rPr>
          <w:rFonts w:asciiTheme="minorHAnsi" w:eastAsia="Times New Roman" w:hAnsiTheme="minorHAnsi"/>
          <w:bCs w:val="0"/>
        </w:rPr>
        <w:t>$)</w:t>
      </w:r>
      <w:bookmarkEnd w:id="582"/>
      <w:bookmarkEnd w:id="583"/>
      <w:bookmarkEnd w:id="584"/>
      <w:bookmarkEnd w:id="585"/>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95"/>
        <w:gridCol w:w="2174"/>
      </w:tblGrid>
      <w:tr w:rsidR="00C561D4" w:rsidRPr="007B0C9A" w:rsidTr="00C561D4">
        <w:trPr>
          <w:trHeight w:val="500"/>
          <w:jc w:val="center"/>
        </w:trPr>
        <w:tc>
          <w:tcPr>
            <w:tcW w:w="6495" w:type="dxa"/>
            <w:vMerge w:val="restart"/>
            <w:shd w:val="clear" w:color="auto" w:fill="85AFF2" w:themeFill="text2" w:themeFillTint="66"/>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Projects</w:t>
            </w:r>
          </w:p>
        </w:tc>
        <w:tc>
          <w:tcPr>
            <w:tcW w:w="2174" w:type="dxa"/>
            <w:vMerge w:val="restart"/>
            <w:shd w:val="clear" w:color="auto" w:fill="85AFF2" w:themeFill="text2" w:themeFillTint="66"/>
            <w:tcMar>
              <w:top w:w="14" w:type="dxa"/>
              <w:left w:w="115" w:type="dxa"/>
              <w:bottom w:w="14" w:type="dxa"/>
              <w:right w:w="115" w:type="dxa"/>
            </w:tcMar>
            <w:vAlign w:val="center"/>
            <w:hideMark/>
          </w:tcPr>
          <w:p w:rsidR="00C561D4" w:rsidRDefault="00C561D4" w:rsidP="00C75022">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Project Costs</w:t>
            </w:r>
            <w:r w:rsidRPr="00EE7A8B">
              <w:rPr>
                <w:rFonts w:asciiTheme="minorHAnsi" w:eastAsia="Times New Roman" w:hAnsiTheme="minorHAnsi" w:cs="Arial"/>
                <w:b/>
                <w:bCs/>
                <w:color w:val="FFFFFF" w:themeColor="background1"/>
                <w:sz w:val="18"/>
                <w:szCs w:val="18"/>
              </w:rPr>
              <w:br/>
              <w:t xml:space="preserve"> (millions of $)</w:t>
            </w:r>
            <w:r w:rsidRPr="00EE7A8B">
              <w:rPr>
                <w:rFonts w:asciiTheme="minorHAnsi" w:eastAsia="Times New Roman" w:hAnsiTheme="minorHAnsi"/>
                <w:b/>
                <w:bCs/>
                <w:color w:val="FFFFFF" w:themeColor="background1"/>
                <w:vertAlign w:val="superscript"/>
              </w:rPr>
              <w:t>(a)</w:t>
            </w:r>
          </w:p>
        </w:tc>
      </w:tr>
      <w:tr w:rsidR="00C561D4" w:rsidRPr="007B0C9A" w:rsidTr="00C561D4">
        <w:trPr>
          <w:trHeight w:val="260"/>
          <w:jc w:val="center"/>
        </w:trPr>
        <w:tc>
          <w:tcPr>
            <w:tcW w:w="6495" w:type="dxa"/>
            <w:vMerge/>
            <w:shd w:val="clear" w:color="auto" w:fill="85AFF2" w:themeFill="text2" w:themeFillTint="66"/>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color w:val="000000"/>
                <w:sz w:val="18"/>
                <w:szCs w:val="18"/>
              </w:rPr>
            </w:pPr>
          </w:p>
        </w:tc>
        <w:tc>
          <w:tcPr>
            <w:tcW w:w="2174" w:type="dxa"/>
            <w:vMerge/>
            <w:shd w:val="clear" w:color="auto" w:fill="85AFF2" w:themeFill="text2" w:themeFillTint="66"/>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bCs/>
                <w:color w:val="000000"/>
                <w:sz w:val="18"/>
                <w:szCs w:val="18"/>
              </w:rPr>
            </w:pPr>
          </w:p>
        </w:tc>
      </w:tr>
      <w:tr w:rsidR="00C561D4" w:rsidRPr="007B0C9A" w:rsidTr="00C561D4">
        <w:trPr>
          <w:trHeight w:val="278"/>
          <w:jc w:val="center"/>
        </w:trPr>
        <w:tc>
          <w:tcPr>
            <w:tcW w:w="8669" w:type="dxa"/>
            <w:gridSpan w:val="2"/>
            <w:shd w:val="clear" w:color="auto" w:fill="C2D7F8" w:themeFill="text2" w:themeFillTint="33"/>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color w:val="000000"/>
                <w:sz w:val="18"/>
                <w:szCs w:val="18"/>
              </w:rPr>
            </w:pPr>
            <w:r w:rsidRPr="00EE7A8B">
              <w:rPr>
                <w:rFonts w:asciiTheme="minorHAnsi" w:eastAsia="Times New Roman" w:hAnsiTheme="minorHAnsi" w:cs="Arial"/>
                <w:b/>
                <w:bCs/>
                <w:color w:val="000000"/>
                <w:sz w:val="18"/>
                <w:szCs w:val="18"/>
              </w:rPr>
              <w:t>Major projects</w:t>
            </w:r>
          </w:p>
        </w:tc>
      </w:tr>
      <w:tr w:rsidR="00C561D4" w:rsidRPr="007B0C9A" w:rsidTr="00C561D4">
        <w:trPr>
          <w:trHeight w:val="405"/>
          <w:jc w:val="center"/>
        </w:trPr>
        <w:tc>
          <w:tcPr>
            <w:tcW w:w="6495"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Maine Power Reliability Program</w:t>
            </w:r>
          </w:p>
        </w:tc>
        <w:tc>
          <w:tcPr>
            <w:tcW w:w="2174" w:type="dxa"/>
            <w:shd w:val="clear" w:color="auto" w:fill="auto"/>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1,4</w:t>
            </w:r>
            <w:r w:rsidR="00D636F3">
              <w:rPr>
                <w:rFonts w:asciiTheme="minorHAnsi" w:eastAsia="Times New Roman" w:hAnsiTheme="minorHAnsi" w:cs="Arial"/>
                <w:color w:val="000000"/>
                <w:sz w:val="18"/>
                <w:szCs w:val="18"/>
              </w:rPr>
              <w:t>53</w:t>
            </w:r>
          </w:p>
        </w:tc>
      </w:tr>
      <w:tr w:rsidR="00C561D4" w:rsidRPr="007B0C9A" w:rsidTr="00C561D4">
        <w:trPr>
          <w:trHeight w:val="375"/>
          <w:jc w:val="center"/>
        </w:trPr>
        <w:tc>
          <w:tcPr>
            <w:tcW w:w="6495"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Merrimack Valley/North Shore Reliability Project</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15</w:t>
            </w:r>
            <w:r>
              <w:rPr>
                <w:rFonts w:asciiTheme="minorHAnsi" w:eastAsia="Times New Roman" w:hAnsiTheme="minorHAnsi" w:cs="Arial"/>
                <w:color w:val="000000"/>
                <w:sz w:val="18"/>
                <w:szCs w:val="18"/>
              </w:rPr>
              <w:t>5</w:t>
            </w:r>
          </w:p>
        </w:tc>
      </w:tr>
      <w:tr w:rsidR="00C561D4" w:rsidRPr="007B0C9A" w:rsidTr="00C561D4">
        <w:trPr>
          <w:trHeight w:val="375"/>
          <w:jc w:val="center"/>
        </w:trPr>
        <w:tc>
          <w:tcPr>
            <w:tcW w:w="6495" w:type="dxa"/>
            <w:shd w:val="clear" w:color="auto" w:fill="auto"/>
            <w:noWrap/>
            <w:tcMar>
              <w:top w:w="14" w:type="dxa"/>
              <w:left w:w="115" w:type="dxa"/>
              <w:bottom w:w="14" w:type="dxa"/>
              <w:right w:w="115" w:type="dxa"/>
            </w:tcMar>
            <w:vAlign w:val="center"/>
            <w:hideMark/>
          </w:tcPr>
          <w:p w:rsidR="00C561D4" w:rsidRDefault="00C561D4" w:rsidP="006A4EC1">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Long-Term Lower SEMA Upgrades</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114</w:t>
            </w:r>
          </w:p>
        </w:tc>
      </w:tr>
      <w:tr w:rsidR="00C561D4" w:rsidRPr="007B0C9A" w:rsidTr="00C561D4">
        <w:trPr>
          <w:trHeight w:val="345"/>
          <w:jc w:val="center"/>
        </w:trPr>
        <w:tc>
          <w:tcPr>
            <w:tcW w:w="6495" w:type="dxa"/>
            <w:shd w:val="clear" w:color="auto" w:fill="auto"/>
            <w:tcMar>
              <w:top w:w="14" w:type="dxa"/>
              <w:left w:w="115" w:type="dxa"/>
              <w:bottom w:w="14" w:type="dxa"/>
              <w:right w:w="115" w:type="dxa"/>
            </w:tcMar>
            <w:vAlign w:val="center"/>
            <w:hideMark/>
          </w:tcPr>
          <w:p w:rsidR="00C561D4" w:rsidRDefault="00C561D4" w:rsidP="006A4EC1">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New England East–West Solution (NEEWS)</w:t>
            </w:r>
          </w:p>
        </w:tc>
        <w:tc>
          <w:tcPr>
            <w:tcW w:w="2174" w:type="dxa"/>
            <w:shd w:val="clear" w:color="auto" w:fill="auto"/>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w:t>
            </w:r>
            <w:r w:rsidR="00D636F3">
              <w:rPr>
                <w:rFonts w:asciiTheme="minorHAnsi" w:eastAsia="Times New Roman" w:hAnsiTheme="minorHAnsi" w:cs="Arial"/>
                <w:color w:val="000000"/>
                <w:sz w:val="18"/>
                <w:szCs w:val="18"/>
              </w:rPr>
              <w:t>886</w:t>
            </w: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NEEWS (Greater Springfield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$7</w:t>
            </w:r>
            <w:r>
              <w:rPr>
                <w:rFonts w:asciiTheme="minorHAnsi" w:eastAsia="Times New Roman" w:hAnsiTheme="minorHAnsi" w:cs="Arial"/>
                <w:b/>
                <w:color w:val="000000"/>
                <w:sz w:val="18"/>
                <w:szCs w:val="18"/>
              </w:rPr>
              <w:t>18 million</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NEEWS (Rhode Island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Pr>
                <w:rFonts w:asciiTheme="minorHAnsi" w:eastAsia="Times New Roman" w:hAnsiTheme="minorHAnsi" w:cs="Arial"/>
                <w:b/>
                <w:color w:val="000000"/>
                <w:sz w:val="18"/>
                <w:szCs w:val="18"/>
              </w:rPr>
              <w:t>305 million</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(Interstate Reliability Project)</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Pr>
                <w:rFonts w:asciiTheme="minorHAnsi" w:eastAsia="Times New Roman" w:hAnsiTheme="minorHAnsi" w:cs="Arial"/>
                <w:b/>
                <w:color w:val="000000"/>
                <w:sz w:val="18"/>
                <w:szCs w:val="18"/>
              </w:rPr>
              <w:t>510 million</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0"/>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ind w:left="288"/>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 xml:space="preserve"> NEEWS (other)</w:t>
            </w:r>
            <w:r>
              <w:rPr>
                <w:rFonts w:asciiTheme="minorHAnsi" w:eastAsia="Times New Roman" w:hAnsiTheme="minorHAnsi" w:cs="Arial"/>
                <w:b/>
                <w:color w:val="000000"/>
                <w:sz w:val="18"/>
                <w:szCs w:val="18"/>
              </w:rPr>
              <w:t>—</w:t>
            </w:r>
            <w:r w:rsidRPr="00EE7A8B">
              <w:rPr>
                <w:rFonts w:asciiTheme="minorHAnsi" w:eastAsia="Times New Roman" w:hAnsiTheme="minorHAnsi" w:cs="Arial"/>
                <w:b/>
                <w:color w:val="000000"/>
                <w:sz w:val="18"/>
                <w:szCs w:val="18"/>
              </w:rPr>
              <w:t>$</w:t>
            </w:r>
            <w:r>
              <w:rPr>
                <w:rFonts w:asciiTheme="minorHAnsi" w:eastAsia="Times New Roman" w:hAnsiTheme="minorHAnsi" w:cs="Arial"/>
                <w:b/>
                <w:color w:val="000000"/>
                <w:sz w:val="18"/>
                <w:szCs w:val="18"/>
              </w:rPr>
              <w:t>74 million</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p>
        </w:tc>
      </w:tr>
      <w:tr w:rsidR="00C561D4" w:rsidRPr="007B0C9A" w:rsidTr="00C561D4">
        <w:trPr>
          <w:trHeight w:val="278"/>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Greater Rhode Island Transmission Reinforcements (including Advanced NEEWS)</w:t>
            </w:r>
          </w:p>
        </w:tc>
        <w:tc>
          <w:tcPr>
            <w:tcW w:w="2174" w:type="dxa"/>
            <w:shd w:val="clear" w:color="auto" w:fill="auto"/>
            <w:noWrap/>
            <w:tcMar>
              <w:top w:w="14" w:type="dxa"/>
              <w:left w:w="115" w:type="dxa"/>
              <w:bottom w:w="14" w:type="dxa"/>
              <w:right w:w="115" w:type="dxa"/>
            </w:tcMar>
            <w:vAlign w:val="center"/>
            <w:hideMark/>
          </w:tcPr>
          <w:p w:rsidR="00C561D4" w:rsidRDefault="00D636F3" w:rsidP="00D636F3">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151</w:t>
            </w:r>
          </w:p>
        </w:tc>
      </w:tr>
      <w:tr w:rsidR="00C561D4" w:rsidRPr="007B0C9A" w:rsidTr="00C561D4">
        <w:trPr>
          <w:trHeight w:val="278"/>
          <w:jc w:val="center"/>
        </w:trPr>
        <w:tc>
          <w:tcPr>
            <w:tcW w:w="6495"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Pittsfield/Greenfield Project</w:t>
            </w:r>
          </w:p>
        </w:tc>
        <w:tc>
          <w:tcPr>
            <w:tcW w:w="2174"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color w:val="000000"/>
                <w:sz w:val="18"/>
                <w:szCs w:val="18"/>
              </w:rPr>
            </w:pPr>
            <w:r w:rsidRPr="00EE7A8B">
              <w:rPr>
                <w:rFonts w:asciiTheme="minorHAnsi" w:eastAsia="Times New Roman" w:hAnsiTheme="minorHAnsi" w:cs="Arial"/>
                <w:color w:val="000000"/>
                <w:sz w:val="18"/>
                <w:szCs w:val="18"/>
              </w:rPr>
              <w:t>1</w:t>
            </w:r>
            <w:r>
              <w:rPr>
                <w:rFonts w:asciiTheme="minorHAnsi" w:eastAsia="Times New Roman" w:hAnsiTheme="minorHAnsi" w:cs="Arial"/>
                <w:color w:val="000000"/>
                <w:sz w:val="18"/>
                <w:szCs w:val="18"/>
              </w:rPr>
              <w:t>4</w:t>
            </w:r>
            <w:r w:rsidR="00D636F3">
              <w:rPr>
                <w:rFonts w:asciiTheme="minorHAnsi" w:eastAsia="Times New Roman" w:hAnsiTheme="minorHAnsi" w:cs="Arial"/>
                <w:color w:val="000000"/>
                <w:sz w:val="18"/>
                <w:szCs w:val="18"/>
              </w:rPr>
              <w:t>6</w:t>
            </w:r>
          </w:p>
        </w:tc>
      </w:tr>
      <w:tr w:rsidR="00C561D4" w:rsidRPr="007B0C9A" w:rsidTr="00C561D4">
        <w:trPr>
          <w:trHeight w:val="278"/>
          <w:jc w:val="center"/>
        </w:trPr>
        <w:tc>
          <w:tcPr>
            <w:tcW w:w="6495" w:type="dxa"/>
            <w:shd w:val="clear" w:color="auto" w:fill="auto"/>
            <w:noWrap/>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tcMar>
              <w:top w:w="14" w:type="dxa"/>
              <w:left w:w="115" w:type="dxa"/>
              <w:bottom w:w="14" w:type="dxa"/>
              <w:right w:w="115" w:type="dxa"/>
            </w:tcMar>
            <w:vAlign w:val="center"/>
            <w:hideMark/>
          </w:tcPr>
          <w:p w:rsidR="00C561D4" w:rsidRDefault="00D636F3" w:rsidP="00C75022">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695</w:t>
            </w:r>
          </w:p>
        </w:tc>
      </w:tr>
      <w:tr w:rsidR="00C561D4" w:rsidRPr="007B0C9A" w:rsidTr="00C561D4">
        <w:trPr>
          <w:trHeight w:val="278"/>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tcMar>
              <w:top w:w="14" w:type="dxa"/>
              <w:left w:w="115" w:type="dxa"/>
              <w:bottom w:w="14" w:type="dxa"/>
              <w:right w:w="115" w:type="dxa"/>
            </w:tcMar>
            <w:vAlign w:val="center"/>
            <w:hideMark/>
          </w:tcPr>
          <w:p w:rsidR="00C561D4" w:rsidRDefault="00D636F3" w:rsidP="00C75022">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336</w:t>
            </w:r>
          </w:p>
        </w:tc>
      </w:tr>
      <w:tr w:rsidR="00C561D4" w:rsidRPr="007B0C9A" w:rsidTr="00C561D4">
        <w:trPr>
          <w:trHeight w:val="285"/>
          <w:jc w:val="center"/>
        </w:trPr>
        <w:tc>
          <w:tcPr>
            <w:tcW w:w="6495" w:type="dxa"/>
            <w:shd w:val="clear" w:color="auto" w:fill="auto"/>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Vermont Solution—Northwestern, Central, Southeastern</w:t>
            </w:r>
          </w:p>
        </w:tc>
        <w:tc>
          <w:tcPr>
            <w:tcW w:w="2174" w:type="dxa"/>
            <w:shd w:val="clear" w:color="auto" w:fill="auto"/>
            <w:noWrap/>
            <w:tcMar>
              <w:top w:w="14" w:type="dxa"/>
              <w:left w:w="115" w:type="dxa"/>
              <w:bottom w:w="14" w:type="dxa"/>
              <w:right w:w="115" w:type="dxa"/>
            </w:tcMar>
            <w:vAlign w:val="center"/>
            <w:hideMark/>
          </w:tcPr>
          <w:p w:rsidR="00C561D4" w:rsidRDefault="00D636F3" w:rsidP="00D636F3">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93</w:t>
            </w:r>
          </w:p>
        </w:tc>
      </w:tr>
      <w:tr w:rsidR="00C561D4" w:rsidRPr="007B0C9A" w:rsidTr="00C561D4">
        <w:trPr>
          <w:trHeight w:val="285"/>
          <w:jc w:val="center"/>
        </w:trPr>
        <w:tc>
          <w:tcPr>
            <w:tcW w:w="6495" w:type="dxa"/>
            <w:shd w:val="clear" w:color="auto" w:fill="auto"/>
            <w:tcMar>
              <w:top w:w="14" w:type="dxa"/>
              <w:left w:w="115" w:type="dxa"/>
              <w:bottom w:w="14" w:type="dxa"/>
              <w:right w:w="115" w:type="dxa"/>
            </w:tcMar>
            <w:vAlign w:val="center"/>
            <w:hideMark/>
          </w:tcPr>
          <w:p w:rsidR="00C561D4" w:rsidRPr="00EE7A8B" w:rsidRDefault="00C561D4" w:rsidP="00C75022">
            <w:pPr>
              <w:keepNext/>
              <w:keepLines/>
              <w:spacing w:before="20" w:after="20" w:line="240" w:lineRule="auto"/>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Southwest Connecticut</w:t>
            </w:r>
          </w:p>
        </w:tc>
        <w:tc>
          <w:tcPr>
            <w:tcW w:w="2174" w:type="dxa"/>
            <w:shd w:val="clear" w:color="auto" w:fill="auto"/>
            <w:noWrap/>
            <w:tcMar>
              <w:top w:w="14" w:type="dxa"/>
              <w:left w:w="115" w:type="dxa"/>
              <w:bottom w:w="14" w:type="dxa"/>
              <w:right w:w="115" w:type="dxa"/>
            </w:tcMar>
            <w:vAlign w:val="center"/>
            <w:hideMark/>
          </w:tcPr>
          <w:p w:rsidR="00C561D4" w:rsidRPr="00EE7A8B" w:rsidRDefault="00D636F3" w:rsidP="00D636F3">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295</w:t>
            </w:r>
          </w:p>
        </w:tc>
      </w:tr>
      <w:tr w:rsidR="00C561D4" w:rsidRPr="007B0C9A" w:rsidTr="00C561D4">
        <w:trPr>
          <w:trHeight w:val="278"/>
          <w:jc w:val="center"/>
        </w:trPr>
        <w:tc>
          <w:tcPr>
            <w:tcW w:w="6495" w:type="dxa"/>
            <w:shd w:val="clear" w:color="auto" w:fill="C2D7F8" w:themeFill="text2" w:themeFillTint="33"/>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Subtotal</w:t>
            </w:r>
            <w:r>
              <w:rPr>
                <w:rFonts w:asciiTheme="minorHAnsi" w:eastAsia="Times New Roman" w:hAnsiTheme="minorHAnsi" w:cs="Arial"/>
                <w:b/>
                <w:color w:val="000000"/>
                <w:sz w:val="18"/>
                <w:szCs w:val="18"/>
                <w:vertAlign w:val="superscript"/>
              </w:rPr>
              <w:t>(b)</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5,</w:t>
            </w:r>
            <w:r w:rsidR="00D636F3">
              <w:rPr>
                <w:rFonts w:asciiTheme="minorHAnsi" w:eastAsia="Times New Roman" w:hAnsiTheme="minorHAnsi" w:cs="Arial"/>
                <w:b/>
                <w:bCs/>
                <w:color w:val="000000"/>
                <w:sz w:val="18"/>
                <w:szCs w:val="18"/>
              </w:rPr>
              <w:t>324</w:t>
            </w:r>
          </w:p>
        </w:tc>
      </w:tr>
      <w:tr w:rsidR="00C561D4" w:rsidRPr="007B0C9A" w:rsidTr="00C561D4">
        <w:trPr>
          <w:trHeight w:val="323"/>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Pr="001817E1" w:rsidRDefault="00C561D4" w:rsidP="00C75022">
            <w:pPr>
              <w:keepNext/>
              <w:keepLines/>
              <w:spacing w:before="20" w:after="20" w:line="240" w:lineRule="auto"/>
              <w:rPr>
                <w:rFonts w:asciiTheme="minorHAnsi" w:eastAsia="Times New Roman" w:hAnsiTheme="minorHAnsi" w:cs="Arial"/>
                <w:b/>
                <w:bCs/>
                <w:color w:val="000000"/>
                <w:sz w:val="18"/>
                <w:szCs w:val="18"/>
                <w:vertAlign w:val="superscript"/>
              </w:rPr>
            </w:pPr>
            <w:r w:rsidRPr="00EE7A8B">
              <w:rPr>
                <w:rFonts w:asciiTheme="minorHAnsi" w:eastAsia="Times New Roman" w:hAnsiTheme="minorHAnsi" w:cs="Arial"/>
                <w:b/>
                <w:bCs/>
                <w:color w:val="000000"/>
                <w:sz w:val="18"/>
                <w:szCs w:val="18"/>
              </w:rPr>
              <w:t>Other projects</w:t>
            </w:r>
            <w:r>
              <w:rPr>
                <w:rFonts w:asciiTheme="minorHAnsi" w:eastAsia="Times New Roman" w:hAnsiTheme="minorHAnsi" w:cs="Arial"/>
                <w:b/>
                <w:bCs/>
                <w:color w:val="000000"/>
                <w:sz w:val="18"/>
                <w:szCs w:val="18"/>
                <w:vertAlign w:val="superscript"/>
              </w:rPr>
              <w:t>(c)</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5,</w:t>
            </w:r>
            <w:r w:rsidR="00D636F3">
              <w:rPr>
                <w:rFonts w:asciiTheme="minorHAnsi" w:eastAsia="Times New Roman" w:hAnsiTheme="minorHAnsi" w:cs="Arial"/>
                <w:b/>
                <w:color w:val="000000"/>
                <w:sz w:val="18"/>
                <w:szCs w:val="18"/>
              </w:rPr>
              <w:t>858</w:t>
            </w:r>
          </w:p>
        </w:tc>
      </w:tr>
      <w:tr w:rsidR="00C561D4" w:rsidRPr="007B0C9A" w:rsidTr="00C561D4">
        <w:trPr>
          <w:trHeight w:val="390"/>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Pr="001817E1" w:rsidRDefault="00C561D4" w:rsidP="00C75022">
            <w:pPr>
              <w:keepNext/>
              <w:keepLines/>
              <w:spacing w:before="20" w:after="20" w:line="240" w:lineRule="auto"/>
              <w:rPr>
                <w:rFonts w:asciiTheme="minorHAnsi" w:eastAsia="Times New Roman" w:hAnsiTheme="minorHAnsi" w:cs="Arial"/>
                <w:b/>
                <w:bCs/>
                <w:color w:val="000000"/>
                <w:sz w:val="18"/>
                <w:szCs w:val="18"/>
                <w:vertAlign w:val="superscript"/>
              </w:rPr>
            </w:pPr>
            <w:r w:rsidRPr="00EE7A8B">
              <w:rPr>
                <w:rFonts w:asciiTheme="minorHAnsi" w:eastAsia="Times New Roman" w:hAnsiTheme="minorHAnsi" w:cs="Arial"/>
                <w:b/>
                <w:bCs/>
                <w:color w:val="000000"/>
                <w:sz w:val="18"/>
                <w:szCs w:val="18"/>
              </w:rPr>
              <w:t>New projects</w:t>
            </w:r>
            <w:r>
              <w:rPr>
                <w:rFonts w:asciiTheme="minorHAnsi" w:eastAsia="Times New Roman" w:hAnsiTheme="minorHAnsi" w:cs="Arial"/>
                <w:b/>
                <w:bCs/>
                <w:color w:val="000000"/>
                <w:sz w:val="18"/>
                <w:szCs w:val="18"/>
                <w:vertAlign w:val="superscript"/>
              </w:rPr>
              <w:t>(d)</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1</w:t>
            </w:r>
            <w:r w:rsidR="00D636F3">
              <w:rPr>
                <w:rFonts w:asciiTheme="minorHAnsi" w:eastAsia="Times New Roman" w:hAnsiTheme="minorHAnsi" w:cs="Arial"/>
                <w:b/>
                <w:color w:val="000000"/>
                <w:sz w:val="18"/>
                <w:szCs w:val="18"/>
              </w:rPr>
              <w:t>8</w:t>
            </w:r>
          </w:p>
        </w:tc>
      </w:tr>
      <w:tr w:rsidR="00C561D4" w:rsidRPr="007B0C9A" w:rsidTr="00CE50D3">
        <w:trPr>
          <w:trHeight w:val="440"/>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Pr="001817E1" w:rsidRDefault="00C561D4" w:rsidP="00C75022">
            <w:pPr>
              <w:keepNext/>
              <w:keepLines/>
              <w:spacing w:before="20" w:after="20" w:line="240" w:lineRule="auto"/>
              <w:rPr>
                <w:rFonts w:asciiTheme="minorHAnsi" w:eastAsia="Times New Roman" w:hAnsiTheme="minorHAnsi" w:cs="Arial"/>
                <w:b/>
                <w:bCs/>
                <w:color w:val="000000"/>
                <w:sz w:val="18"/>
                <w:szCs w:val="18"/>
                <w:vertAlign w:val="superscript"/>
              </w:rPr>
            </w:pPr>
            <w:r w:rsidRPr="00EE7A8B">
              <w:rPr>
                <w:rFonts w:asciiTheme="minorHAnsi" w:eastAsia="Times New Roman" w:hAnsiTheme="minorHAnsi" w:cs="Arial"/>
                <w:b/>
                <w:bCs/>
                <w:color w:val="000000"/>
                <w:sz w:val="18"/>
                <w:szCs w:val="18"/>
              </w:rPr>
              <w:t>Projects whose cost estimates were previously reported as “to be determined”</w:t>
            </w:r>
            <w:r>
              <w:rPr>
                <w:rFonts w:asciiTheme="minorHAnsi" w:eastAsia="Times New Roman" w:hAnsiTheme="minorHAnsi" w:cs="Arial"/>
                <w:b/>
                <w:bCs/>
                <w:color w:val="000000"/>
                <w:sz w:val="18"/>
                <w:szCs w:val="18"/>
                <w:vertAlign w:val="superscript"/>
              </w:rPr>
              <w:t>(d)</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D636F3" w:rsidP="00C75022">
            <w:pPr>
              <w:keepNext/>
              <w:keepLines/>
              <w:spacing w:before="20" w:after="20" w:line="240" w:lineRule="auto"/>
              <w:jc w:val="right"/>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0</w:t>
            </w:r>
          </w:p>
        </w:tc>
      </w:tr>
      <w:tr w:rsidR="00C561D4" w:rsidRPr="007B0C9A" w:rsidTr="00C561D4">
        <w:trPr>
          <w:trHeight w:val="349"/>
          <w:jc w:val="center"/>
        </w:trPr>
        <w:tc>
          <w:tcPr>
            <w:tcW w:w="6495" w:type="dxa"/>
            <w:shd w:val="clear" w:color="auto" w:fill="85AFF2" w:themeFill="text2" w:themeFillTint="66"/>
            <w:noWrap/>
            <w:tcMar>
              <w:top w:w="14" w:type="dxa"/>
              <w:left w:w="115" w:type="dxa"/>
              <w:bottom w:w="14" w:type="dxa"/>
              <w:right w:w="115" w:type="dxa"/>
            </w:tcMar>
            <w:vAlign w:val="center"/>
            <w:hideMark/>
          </w:tcPr>
          <w:p w:rsidR="00C561D4" w:rsidRDefault="00C561D4" w:rsidP="00C75022">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Total</w:t>
            </w:r>
            <w:r>
              <w:rPr>
                <w:rFonts w:asciiTheme="minorHAnsi" w:eastAsia="Times New Roman" w:hAnsiTheme="minorHAnsi" w:cs="Arial"/>
                <w:b/>
                <w:color w:val="000000"/>
                <w:sz w:val="18"/>
                <w:szCs w:val="18"/>
                <w:vertAlign w:val="superscript"/>
              </w:rPr>
              <w:t>(b)</w:t>
            </w:r>
          </w:p>
        </w:tc>
        <w:tc>
          <w:tcPr>
            <w:tcW w:w="2174" w:type="dxa"/>
            <w:shd w:val="clear" w:color="auto" w:fill="85AFF2" w:themeFill="text2" w:themeFillTint="66"/>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bCs/>
                <w:color w:val="000000"/>
                <w:sz w:val="18"/>
                <w:szCs w:val="18"/>
              </w:rPr>
            </w:pPr>
            <w:r w:rsidRPr="00EE7A8B">
              <w:rPr>
                <w:rFonts w:asciiTheme="minorHAnsi" w:eastAsia="Times New Roman" w:hAnsiTheme="minorHAnsi" w:cs="Arial"/>
                <w:b/>
                <w:bCs/>
                <w:color w:val="000000"/>
                <w:sz w:val="18"/>
                <w:szCs w:val="18"/>
              </w:rPr>
              <w:t>11,</w:t>
            </w:r>
            <w:r w:rsidR="00D636F3">
              <w:rPr>
                <w:rFonts w:asciiTheme="minorHAnsi" w:eastAsia="Times New Roman" w:hAnsiTheme="minorHAnsi" w:cs="Arial"/>
                <w:b/>
                <w:bCs/>
                <w:color w:val="000000"/>
                <w:sz w:val="18"/>
                <w:szCs w:val="18"/>
              </w:rPr>
              <w:t>200</w:t>
            </w:r>
          </w:p>
        </w:tc>
      </w:tr>
      <w:tr w:rsidR="00C561D4" w:rsidRPr="007B0C9A" w:rsidTr="0080365F">
        <w:trPr>
          <w:trHeight w:val="270"/>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Minus “concept”</w:t>
            </w:r>
            <w:r>
              <w:rPr>
                <w:rFonts w:asciiTheme="minorHAnsi" w:eastAsia="Times New Roman" w:hAnsiTheme="minorHAnsi" w:cs="Arial"/>
                <w:b/>
                <w:color w:val="000000"/>
                <w:sz w:val="18"/>
                <w:szCs w:val="18"/>
              </w:rPr>
              <w:t xml:space="preserve"> projects</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w:t>
            </w:r>
            <w:r w:rsidR="00D636F3">
              <w:rPr>
                <w:rFonts w:asciiTheme="minorHAnsi" w:eastAsia="Times New Roman" w:hAnsiTheme="minorHAnsi" w:cs="Arial"/>
                <w:b/>
                <w:color w:val="000000"/>
                <w:sz w:val="18"/>
                <w:szCs w:val="18"/>
              </w:rPr>
              <w:t>119</w:t>
            </w:r>
          </w:p>
        </w:tc>
      </w:tr>
      <w:tr w:rsidR="00C561D4" w:rsidRPr="007B0C9A" w:rsidTr="0080365F">
        <w:trPr>
          <w:trHeight w:val="338"/>
          <w:jc w:val="center"/>
        </w:trPr>
        <w:tc>
          <w:tcPr>
            <w:tcW w:w="6495" w:type="dxa"/>
            <w:shd w:val="clear" w:color="auto" w:fill="C2D7F8" w:themeFill="text2" w:themeFillTint="33"/>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Minus “in-service”</w:t>
            </w:r>
            <w:r>
              <w:rPr>
                <w:rFonts w:asciiTheme="minorHAnsi" w:eastAsia="Times New Roman" w:hAnsiTheme="minorHAnsi" w:cs="Arial"/>
                <w:b/>
                <w:color w:val="000000"/>
                <w:sz w:val="18"/>
                <w:szCs w:val="18"/>
              </w:rPr>
              <w:t xml:space="preserve"> projects</w:t>
            </w:r>
          </w:p>
        </w:tc>
        <w:tc>
          <w:tcPr>
            <w:tcW w:w="2174" w:type="dxa"/>
            <w:shd w:val="clear" w:color="auto" w:fill="C2D7F8" w:themeFill="text2" w:themeFillTint="33"/>
            <w:noWrap/>
            <w:tcMar>
              <w:top w:w="14" w:type="dxa"/>
              <w:left w:w="115" w:type="dxa"/>
              <w:bottom w:w="14" w:type="dxa"/>
              <w:right w:w="115" w:type="dxa"/>
            </w:tcMar>
            <w:vAlign w:val="center"/>
            <w:hideMark/>
          </w:tcPr>
          <w:p w:rsidR="00C561D4" w:rsidRDefault="00C561D4" w:rsidP="00D636F3">
            <w:pPr>
              <w:keepNext/>
              <w:keepLines/>
              <w:spacing w:before="20" w:after="20" w:line="240" w:lineRule="auto"/>
              <w:jc w:val="right"/>
              <w:rPr>
                <w:rFonts w:asciiTheme="minorHAnsi" w:eastAsia="Times New Roman" w:hAnsiTheme="minorHAnsi" w:cs="Arial"/>
                <w:b/>
                <w:color w:val="000000"/>
                <w:sz w:val="18"/>
                <w:szCs w:val="18"/>
              </w:rPr>
            </w:pPr>
            <w:r w:rsidRPr="00EE7A8B">
              <w:rPr>
                <w:rFonts w:asciiTheme="minorHAnsi" w:eastAsia="Times New Roman" w:hAnsiTheme="minorHAnsi" w:cs="Arial"/>
                <w:b/>
                <w:color w:val="000000"/>
                <w:sz w:val="18"/>
                <w:szCs w:val="18"/>
              </w:rPr>
              <w:t>−</w:t>
            </w:r>
            <w:r w:rsidR="00D636F3">
              <w:rPr>
                <w:rFonts w:asciiTheme="minorHAnsi" w:eastAsia="Times New Roman" w:hAnsiTheme="minorHAnsi" w:cs="Arial"/>
                <w:b/>
                <w:color w:val="000000"/>
                <w:sz w:val="18"/>
                <w:szCs w:val="18"/>
              </w:rPr>
              <w:t>6</w:t>
            </w:r>
            <w:r>
              <w:rPr>
                <w:rFonts w:asciiTheme="minorHAnsi" w:eastAsia="Times New Roman" w:hAnsiTheme="minorHAnsi" w:cs="Arial"/>
                <w:b/>
                <w:color w:val="000000"/>
                <w:sz w:val="18"/>
                <w:szCs w:val="18"/>
              </w:rPr>
              <w:t>,5</w:t>
            </w:r>
            <w:r w:rsidR="00D636F3">
              <w:rPr>
                <w:rFonts w:asciiTheme="minorHAnsi" w:eastAsia="Times New Roman" w:hAnsiTheme="minorHAnsi" w:cs="Arial"/>
                <w:b/>
                <w:color w:val="000000"/>
                <w:sz w:val="18"/>
                <w:szCs w:val="18"/>
              </w:rPr>
              <w:t>95</w:t>
            </w:r>
          </w:p>
        </w:tc>
      </w:tr>
      <w:tr w:rsidR="00C561D4" w:rsidRPr="007B0C9A" w:rsidTr="00C561D4">
        <w:trPr>
          <w:trHeight w:val="373"/>
          <w:jc w:val="center"/>
        </w:trPr>
        <w:tc>
          <w:tcPr>
            <w:tcW w:w="6495" w:type="dxa"/>
            <w:shd w:val="clear" w:color="auto" w:fill="85AFF2" w:themeFill="text2" w:themeFillTint="66"/>
            <w:tcMar>
              <w:top w:w="14" w:type="dxa"/>
              <w:left w:w="115" w:type="dxa"/>
              <w:bottom w:w="14" w:type="dxa"/>
              <w:right w:w="115" w:type="dxa"/>
            </w:tcMar>
            <w:vAlign w:val="center"/>
            <w:hideMark/>
          </w:tcPr>
          <w:p w:rsidR="00C561D4" w:rsidRDefault="00C561D4" w:rsidP="00C75022">
            <w:pPr>
              <w:keepNext/>
              <w:keepLines/>
              <w:spacing w:before="20" w:after="20" w:line="240" w:lineRule="auto"/>
              <w:rPr>
                <w:rFonts w:asciiTheme="minorHAnsi" w:eastAsia="Times New Roman" w:hAnsiTheme="minorHAnsi" w:cs="Arial"/>
                <w:b/>
                <w:bCs/>
                <w:color w:val="FFFFFF" w:themeColor="background1"/>
                <w:sz w:val="18"/>
                <w:szCs w:val="18"/>
              </w:rPr>
            </w:pPr>
            <w:r w:rsidRPr="00EE7A8B">
              <w:rPr>
                <w:rFonts w:asciiTheme="minorHAnsi" w:eastAsia="Times New Roman" w:hAnsiTheme="minorHAnsi" w:cs="Arial"/>
                <w:b/>
                <w:bCs/>
                <w:color w:val="FFFFFF" w:themeColor="background1"/>
                <w:sz w:val="18"/>
                <w:szCs w:val="18"/>
              </w:rPr>
              <w:t>Aggregate estimate of active projects in the plan</w:t>
            </w:r>
            <w:r>
              <w:rPr>
                <w:rFonts w:asciiTheme="minorHAnsi" w:eastAsia="Times New Roman" w:hAnsiTheme="minorHAnsi" w:cs="Arial"/>
                <w:b/>
                <w:bCs/>
                <w:color w:val="FFFFFF" w:themeColor="background1"/>
                <w:sz w:val="18"/>
                <w:szCs w:val="18"/>
                <w:vertAlign w:val="superscript"/>
              </w:rPr>
              <w:t>(b)</w:t>
            </w:r>
          </w:p>
        </w:tc>
        <w:tc>
          <w:tcPr>
            <w:tcW w:w="2174" w:type="dxa"/>
            <w:shd w:val="clear" w:color="auto" w:fill="85AFF2" w:themeFill="text2" w:themeFillTint="66"/>
            <w:noWrap/>
            <w:tcMar>
              <w:top w:w="14" w:type="dxa"/>
              <w:left w:w="115" w:type="dxa"/>
              <w:bottom w:w="14" w:type="dxa"/>
              <w:right w:w="115" w:type="dxa"/>
            </w:tcMar>
            <w:vAlign w:val="center"/>
            <w:hideMark/>
          </w:tcPr>
          <w:p w:rsidR="00C561D4" w:rsidRDefault="00D636F3" w:rsidP="00D636F3">
            <w:pPr>
              <w:keepNext/>
              <w:keepLines/>
              <w:spacing w:before="20" w:after="20" w:line="240" w:lineRule="auto"/>
              <w:jc w:val="right"/>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4</w:t>
            </w:r>
            <w:r w:rsidR="00C561D4">
              <w:rPr>
                <w:rFonts w:asciiTheme="minorHAnsi" w:eastAsia="Times New Roman" w:hAnsiTheme="minorHAnsi" w:cs="Arial"/>
                <w:b/>
                <w:bCs/>
                <w:color w:val="FFFFFF" w:themeColor="background1"/>
                <w:sz w:val="18"/>
                <w:szCs w:val="18"/>
              </w:rPr>
              <w:t>,</w:t>
            </w:r>
            <w:r>
              <w:rPr>
                <w:rFonts w:asciiTheme="minorHAnsi" w:eastAsia="Times New Roman" w:hAnsiTheme="minorHAnsi" w:cs="Arial"/>
                <w:b/>
                <w:bCs/>
                <w:color w:val="FFFFFF" w:themeColor="background1"/>
                <w:sz w:val="18"/>
                <w:szCs w:val="18"/>
              </w:rPr>
              <w:t>485</w:t>
            </w:r>
          </w:p>
        </w:tc>
      </w:tr>
    </w:tbl>
    <w:p w:rsidR="00C561D4" w:rsidRPr="005C5B9E" w:rsidRDefault="00C561D4" w:rsidP="00C75022">
      <w:pPr>
        <w:keepNext/>
        <w:keepLines/>
        <w:spacing w:before="120" w:after="80" w:line="240" w:lineRule="auto"/>
        <w:ind w:left="461" w:hanging="274"/>
        <w:rPr>
          <w:rFonts w:asciiTheme="minorHAnsi" w:hAnsiTheme="minorHAnsi"/>
          <w:sz w:val="18"/>
          <w:szCs w:val="18"/>
        </w:rPr>
      </w:pPr>
      <w:r w:rsidRPr="005C5B9E">
        <w:rPr>
          <w:rFonts w:ascii="Calibri" w:hAnsi="Calibri"/>
          <w:sz w:val="18"/>
          <w:szCs w:val="18"/>
        </w:rPr>
        <w:t xml:space="preserve">(a) </w:t>
      </w:r>
      <w:r w:rsidRPr="005C5B9E">
        <w:rPr>
          <w:rFonts w:ascii="Calibri" w:hAnsi="Calibri"/>
          <w:sz w:val="18"/>
          <w:szCs w:val="18"/>
        </w:rPr>
        <w:tab/>
      </w:r>
      <w:r w:rsidRPr="005C5B9E">
        <w:rPr>
          <w:rFonts w:asciiTheme="minorHAnsi" w:hAnsiTheme="minorHAnsi"/>
          <w:sz w:val="18"/>
          <w:szCs w:val="18"/>
        </w:rPr>
        <w:t xml:space="preserve">Transmission owners provided all estimated costs, which may not meet the guidelines described in Planning Procedure </w:t>
      </w:r>
      <w:r w:rsidR="0080365F" w:rsidRPr="005C5B9E">
        <w:rPr>
          <w:rFonts w:asciiTheme="minorHAnsi" w:hAnsiTheme="minorHAnsi"/>
          <w:sz w:val="18"/>
          <w:szCs w:val="18"/>
        </w:rPr>
        <w:t xml:space="preserve">No. </w:t>
      </w:r>
      <w:r w:rsidRPr="005C5B9E">
        <w:rPr>
          <w:rFonts w:asciiTheme="minorHAnsi" w:hAnsiTheme="minorHAnsi"/>
          <w:sz w:val="18"/>
          <w:szCs w:val="18"/>
        </w:rPr>
        <w:t xml:space="preserve">4, </w:t>
      </w:r>
      <w:r w:rsidR="00834DE8" w:rsidRPr="005C5B9E">
        <w:rPr>
          <w:rFonts w:asciiTheme="minorHAnsi" w:hAnsiTheme="minorHAnsi"/>
          <w:i/>
          <w:sz w:val="18"/>
          <w:szCs w:val="18"/>
        </w:rPr>
        <w:t>Procedure for Pool-Supported PTF Cost Review</w:t>
      </w:r>
      <w:r w:rsidR="00834DE8" w:rsidRPr="005C5B9E">
        <w:rPr>
          <w:rFonts w:asciiTheme="minorHAnsi" w:hAnsiTheme="minorHAnsi"/>
          <w:sz w:val="18"/>
          <w:szCs w:val="18"/>
        </w:rPr>
        <w:t xml:space="preserve">, </w:t>
      </w:r>
      <w:r w:rsidRPr="005C5B9E">
        <w:rPr>
          <w:rFonts w:asciiTheme="minorHAnsi" w:hAnsiTheme="minorHAnsi"/>
          <w:sz w:val="18"/>
          <w:szCs w:val="18"/>
        </w:rPr>
        <w:t>Attachment D</w:t>
      </w:r>
      <w:r w:rsidR="00834DE8" w:rsidRPr="005C5B9E">
        <w:rPr>
          <w:rFonts w:asciiTheme="minorHAnsi" w:hAnsiTheme="minorHAnsi"/>
          <w:sz w:val="18"/>
          <w:szCs w:val="18"/>
        </w:rPr>
        <w:t>, “Project Cost Estimating Guidelines”</w:t>
      </w:r>
      <w:r w:rsidR="0080365F" w:rsidRPr="005C5B9E">
        <w:rPr>
          <w:rFonts w:asciiTheme="minorHAnsi" w:hAnsiTheme="minorHAnsi"/>
          <w:sz w:val="18"/>
          <w:szCs w:val="18"/>
        </w:rPr>
        <w:t xml:space="preserve"> (September 17, 2010), </w:t>
      </w:r>
      <w:hyperlink r:id="rId46" w:history="1">
        <w:r w:rsidR="0080365F" w:rsidRPr="005C5B9E">
          <w:rPr>
            <w:rStyle w:val="Hyperlink"/>
            <w:rFonts w:asciiTheme="minorHAnsi" w:hAnsiTheme="minorHAnsi"/>
            <w:sz w:val="18"/>
            <w:szCs w:val="18"/>
          </w:rPr>
          <w:t>http://www.iso-ne.com/rules_proceds/isone_plan/pp04_0/pp4_0_attachment_d.pdf</w:t>
        </w:r>
      </w:hyperlink>
      <w:r w:rsidRPr="005C5B9E">
        <w:rPr>
          <w:rFonts w:asciiTheme="minorHAnsi" w:hAnsiTheme="minorHAnsi"/>
          <w:sz w:val="18"/>
          <w:szCs w:val="18"/>
        </w:rPr>
        <w:t>.</w:t>
      </w:r>
    </w:p>
    <w:p w:rsidR="00C561D4" w:rsidRPr="005C5B9E" w:rsidRDefault="00C561D4" w:rsidP="00C75022">
      <w:pPr>
        <w:keepNext/>
        <w:keepLines/>
        <w:spacing w:after="80" w:line="240" w:lineRule="auto"/>
        <w:ind w:left="461" w:hanging="270"/>
        <w:rPr>
          <w:rFonts w:asciiTheme="minorHAnsi" w:hAnsiTheme="minorHAnsi"/>
          <w:sz w:val="18"/>
          <w:szCs w:val="18"/>
        </w:rPr>
      </w:pPr>
      <w:r w:rsidRPr="005C5B9E">
        <w:rPr>
          <w:rFonts w:asciiTheme="minorHAnsi" w:hAnsiTheme="minorHAnsi"/>
          <w:sz w:val="18"/>
          <w:szCs w:val="18"/>
        </w:rPr>
        <w:t xml:space="preserve">(b) </w:t>
      </w:r>
      <w:r w:rsidRPr="005C5B9E">
        <w:rPr>
          <w:rFonts w:asciiTheme="minorHAnsi" w:hAnsiTheme="minorHAnsi"/>
          <w:sz w:val="18"/>
          <w:szCs w:val="18"/>
        </w:rPr>
        <w:tab/>
        <w:t>Totals may not sum exactly because of rounding.</w:t>
      </w:r>
    </w:p>
    <w:p w:rsidR="00C561D4" w:rsidRPr="005C5B9E" w:rsidRDefault="00C561D4" w:rsidP="00C75022">
      <w:pPr>
        <w:keepNext/>
        <w:keepLines/>
        <w:spacing w:after="80" w:line="240" w:lineRule="auto"/>
        <w:ind w:left="461" w:hanging="270"/>
        <w:rPr>
          <w:rFonts w:asciiTheme="minorHAnsi" w:hAnsiTheme="minorHAnsi"/>
          <w:sz w:val="18"/>
          <w:szCs w:val="18"/>
        </w:rPr>
      </w:pPr>
      <w:r w:rsidRPr="005C5B9E">
        <w:rPr>
          <w:rFonts w:asciiTheme="minorHAnsi" w:hAnsiTheme="minorHAnsi"/>
          <w:sz w:val="18"/>
          <w:szCs w:val="18"/>
        </w:rPr>
        <w:t xml:space="preserve">(c) </w:t>
      </w:r>
      <w:r w:rsidR="00004EEC" w:rsidRPr="005C5B9E">
        <w:rPr>
          <w:rFonts w:asciiTheme="minorHAnsi" w:hAnsiTheme="minorHAnsi"/>
          <w:sz w:val="18"/>
          <w:szCs w:val="18"/>
        </w:rPr>
        <w:tab/>
      </w:r>
      <w:r w:rsidRPr="005C5B9E">
        <w:rPr>
          <w:rFonts w:asciiTheme="minorHAnsi" w:hAnsiTheme="minorHAnsi"/>
          <w:sz w:val="18"/>
          <w:szCs w:val="18"/>
        </w:rPr>
        <w:t xml:space="preserve">"Other Projects" is the sum of all other project costs in the </w:t>
      </w:r>
      <w:r w:rsidR="00834DE8" w:rsidRPr="005C5B9E">
        <w:rPr>
          <w:rFonts w:asciiTheme="minorHAnsi" w:hAnsiTheme="minorHAnsi"/>
          <w:i/>
          <w:sz w:val="18"/>
          <w:szCs w:val="18"/>
        </w:rPr>
        <w:t xml:space="preserve">RSP </w:t>
      </w:r>
      <w:r w:rsidRPr="005C5B9E">
        <w:rPr>
          <w:rFonts w:asciiTheme="minorHAnsi" w:hAnsiTheme="minorHAnsi"/>
          <w:i/>
          <w:sz w:val="18"/>
          <w:szCs w:val="18"/>
        </w:rPr>
        <w:t>Project List</w:t>
      </w:r>
      <w:r w:rsidRPr="005C5B9E">
        <w:rPr>
          <w:rFonts w:asciiTheme="minorHAnsi" w:hAnsiTheme="minorHAnsi"/>
          <w:sz w:val="18"/>
          <w:szCs w:val="18"/>
        </w:rPr>
        <w:t xml:space="preserve"> not explicitly listed above.</w:t>
      </w:r>
    </w:p>
    <w:p w:rsidR="00C561D4" w:rsidRPr="005C5B9E" w:rsidRDefault="00C561D4" w:rsidP="009419FB">
      <w:pPr>
        <w:spacing w:line="240" w:lineRule="auto"/>
        <w:ind w:left="461" w:hanging="274"/>
        <w:rPr>
          <w:rFonts w:asciiTheme="minorHAnsi" w:hAnsiTheme="minorHAnsi"/>
          <w:sz w:val="18"/>
          <w:szCs w:val="18"/>
        </w:rPr>
      </w:pPr>
      <w:r w:rsidRPr="005C5B9E">
        <w:rPr>
          <w:rFonts w:asciiTheme="minorHAnsi" w:hAnsiTheme="minorHAnsi"/>
          <w:sz w:val="18"/>
          <w:szCs w:val="18"/>
        </w:rPr>
        <w:t xml:space="preserve">(d) </w:t>
      </w:r>
      <w:r w:rsidR="00004EEC" w:rsidRPr="005C5B9E">
        <w:rPr>
          <w:rFonts w:asciiTheme="minorHAnsi" w:hAnsiTheme="minorHAnsi"/>
          <w:sz w:val="18"/>
          <w:szCs w:val="18"/>
        </w:rPr>
        <w:tab/>
      </w:r>
      <w:r w:rsidRPr="005C5B9E">
        <w:rPr>
          <w:rFonts w:asciiTheme="minorHAnsi" w:hAnsiTheme="minorHAnsi"/>
          <w:sz w:val="18"/>
          <w:szCs w:val="18"/>
        </w:rPr>
        <w:t xml:space="preserve">Reflects updated costs from the June 2014 project list update compared </w:t>
      </w:r>
      <w:r w:rsidR="00834DE8" w:rsidRPr="005C5B9E">
        <w:rPr>
          <w:rFonts w:asciiTheme="minorHAnsi" w:hAnsiTheme="minorHAnsi"/>
          <w:sz w:val="18"/>
          <w:szCs w:val="18"/>
        </w:rPr>
        <w:t>with</w:t>
      </w:r>
      <w:r w:rsidRPr="005C5B9E">
        <w:rPr>
          <w:rFonts w:asciiTheme="minorHAnsi" w:hAnsiTheme="minorHAnsi"/>
          <w:sz w:val="18"/>
          <w:szCs w:val="18"/>
        </w:rPr>
        <w:t xml:space="preserve"> the March 2014 update.</w:t>
      </w:r>
    </w:p>
    <w:p w:rsidR="00C561D4" w:rsidRPr="00C5736F" w:rsidRDefault="00C561D4" w:rsidP="009419FB">
      <w:r w:rsidRPr="008965CA">
        <w:t xml:space="preserve">The </w:t>
      </w:r>
      <w:r w:rsidR="00113C54" w:rsidRPr="008965CA">
        <w:t>PTO</w:t>
      </w:r>
      <w:r w:rsidRPr="008965CA">
        <w:t xml:space="preserve"> </w:t>
      </w:r>
      <w:r w:rsidR="00963B34" w:rsidRPr="008965CA">
        <w:t xml:space="preserve">Administrative Committee </w:t>
      </w:r>
      <w:r w:rsidRPr="008965CA">
        <w:t xml:space="preserve">provides annual </w:t>
      </w:r>
      <w:r w:rsidR="00BE5BCF" w:rsidRPr="008965CA">
        <w:t>informational</w:t>
      </w:r>
      <w:r w:rsidR="00BE5BCF">
        <w:t xml:space="preserve"> filings to FERC on the current regional transmission service rates and annual </w:t>
      </w:r>
      <w:r w:rsidRPr="00E23292">
        <w:t>updates to the ISO</w:t>
      </w:r>
      <w:r w:rsidRPr="00A577A3">
        <w:t xml:space="preserve"> and NEPOOL on projected regional </w:t>
      </w:r>
      <w:r w:rsidR="00BE5BCF">
        <w:t xml:space="preserve">transmission </w:t>
      </w:r>
      <w:r w:rsidRPr="00A577A3">
        <w:t xml:space="preserve">rates, as shown in </w:t>
      </w:r>
      <w:fldSimple w:instr=" REF _Ref293828216 \h  \* MERGEFORMAT ">
        <w:r w:rsidR="00284CE3" w:rsidRPr="0058019A">
          <w:t xml:space="preserve">Table </w:t>
        </w:r>
        <w:r w:rsidR="00284CE3">
          <w:rPr>
            <w:noProof/>
          </w:rPr>
          <w:t>5</w:t>
        </w:r>
        <w:r w:rsidR="00284CE3" w:rsidRPr="0058019A">
          <w:rPr>
            <w:noProof/>
          </w:rPr>
          <w:noBreakHyphen/>
        </w:r>
        <w:r w:rsidR="00284CE3">
          <w:rPr>
            <w:noProof/>
          </w:rPr>
          <w:t>2</w:t>
        </w:r>
      </w:fldSimple>
      <w:r w:rsidRPr="004D2CA1">
        <w:t>.</w:t>
      </w:r>
      <w:r w:rsidRPr="004D2CA1">
        <w:rPr>
          <w:rStyle w:val="FootnoteReference"/>
        </w:rPr>
        <w:footnoteReference w:id="177"/>
      </w:r>
    </w:p>
    <w:p w:rsidR="00C561D4" w:rsidRDefault="0058019A" w:rsidP="00C561D4">
      <w:pPr>
        <w:pStyle w:val="Caption"/>
      </w:pPr>
      <w:bookmarkStart w:id="586" w:name="_Ref293828216"/>
      <w:bookmarkStart w:id="587" w:name="_Toc303086941"/>
      <w:bookmarkStart w:id="588" w:name="_Toc330401266"/>
      <w:bookmarkStart w:id="589" w:name="_Toc334541940"/>
      <w:bookmarkStart w:id="590" w:name="_Toc334541977"/>
      <w:bookmarkStart w:id="591" w:name="_Toc365440716"/>
      <w:bookmarkStart w:id="592" w:name="_Toc391985617"/>
      <w:r w:rsidRPr="0058019A">
        <w:t xml:space="preserve">Table </w:t>
      </w:r>
      <w:fldSimple w:instr=" STYLEREF 1 \s ">
        <w:r w:rsidR="00284CE3">
          <w:rPr>
            <w:noProof/>
          </w:rPr>
          <w:t>5</w:t>
        </w:r>
      </w:fldSimple>
      <w:r w:rsidRPr="0058019A">
        <w:noBreakHyphen/>
      </w:r>
      <w:fldSimple w:instr=" SEQ Table \* ARABIC \s 1 ">
        <w:r w:rsidR="00284CE3">
          <w:rPr>
            <w:noProof/>
          </w:rPr>
          <w:t>2</w:t>
        </w:r>
      </w:fldSimple>
      <w:bookmarkEnd w:id="586"/>
      <w:r w:rsidRPr="0058019A">
        <w:br/>
      </w:r>
      <w:r w:rsidR="007E209F" w:rsidRPr="005C6088">
        <w:t xml:space="preserve">Actual and Forecast Regional </w:t>
      </w:r>
      <w:r w:rsidR="0058771A" w:rsidRPr="005C6088">
        <w:t xml:space="preserve">Transmission </w:t>
      </w:r>
      <w:r w:rsidR="007E209F" w:rsidRPr="005C6088">
        <w:t>Service Rates, 2013 to 2018</w:t>
      </w:r>
      <w:r w:rsidR="00BC6F1A" w:rsidRPr="005C6088">
        <w:rPr>
          <w:vertAlign w:val="superscript"/>
        </w:rPr>
        <w:t>(a)</w:t>
      </w:r>
      <w:bookmarkEnd w:id="587"/>
      <w:bookmarkEnd w:id="588"/>
      <w:bookmarkEnd w:id="589"/>
      <w:bookmarkEnd w:id="590"/>
      <w:bookmarkEnd w:id="591"/>
      <w:bookmarkEnd w:id="592"/>
    </w:p>
    <w:tbl>
      <w:tblPr>
        <w:tblStyle w:val="TableGrid"/>
        <w:tblW w:w="8770" w:type="dxa"/>
        <w:jc w:val="center"/>
        <w:tblInd w:w="-2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2470"/>
        <w:gridCol w:w="1050"/>
        <w:gridCol w:w="1050"/>
        <w:gridCol w:w="1050"/>
        <w:gridCol w:w="1050"/>
        <w:gridCol w:w="1050"/>
        <w:gridCol w:w="1050"/>
      </w:tblGrid>
      <w:tr w:rsidR="004D2CA1" w:rsidRPr="005D0985" w:rsidTr="005D0985">
        <w:trPr>
          <w:cantSplit/>
          <w:trHeight w:val="360"/>
          <w:jc w:val="center"/>
        </w:trPr>
        <w:tc>
          <w:tcPr>
            <w:tcW w:w="2470" w:type="dxa"/>
            <w:vMerge w:val="restart"/>
            <w:shd w:val="clear" w:color="auto" w:fill="85AFF2" w:themeFill="text2" w:themeFillTint="66"/>
            <w:tcMar>
              <w:top w:w="14" w:type="dxa"/>
              <w:bottom w:w="14" w:type="dxa"/>
            </w:tcMar>
            <w:vAlign w:val="center"/>
          </w:tcPr>
          <w:p w:rsidR="004D2CA1" w:rsidRPr="005D0985" w:rsidRDefault="004D2CA1" w:rsidP="00C561D4">
            <w:pPr>
              <w:keepNext/>
              <w:keepLines/>
              <w:spacing w:after="0" w:line="240" w:lineRule="auto"/>
              <w:rPr>
                <w:rFonts w:asciiTheme="minorHAnsi" w:hAnsiTheme="minorHAnsi" w:cs="Arial"/>
                <w:b/>
                <w:bCs/>
                <w:color w:val="FFFFFF" w:themeColor="background1"/>
                <w:sz w:val="18"/>
                <w:szCs w:val="18"/>
              </w:rPr>
            </w:pPr>
          </w:p>
        </w:tc>
        <w:tc>
          <w:tcPr>
            <w:tcW w:w="1050" w:type="dxa"/>
            <w:shd w:val="clear" w:color="auto" w:fill="85AFF2" w:themeFill="text2" w:themeFillTint="66"/>
            <w:tcMar>
              <w:top w:w="14" w:type="dxa"/>
              <w:bottom w:w="14" w:type="dxa"/>
            </w:tcMar>
            <w:vAlign w:val="center"/>
          </w:tcPr>
          <w:p w:rsidR="004D2CA1" w:rsidRPr="005D0985" w:rsidRDefault="004D2CA1" w:rsidP="00C561D4">
            <w:pPr>
              <w:keepNext/>
              <w:keepLines/>
              <w:spacing w:after="0" w:line="240" w:lineRule="auto"/>
              <w:jc w:val="center"/>
              <w:rPr>
                <w:rFonts w:asciiTheme="minorHAnsi" w:hAnsiTheme="minorHAnsi" w:cs="Arial"/>
                <w:b/>
                <w:color w:val="FFFFFF" w:themeColor="background1"/>
                <w:sz w:val="18"/>
                <w:szCs w:val="18"/>
              </w:rPr>
            </w:pPr>
            <w:r w:rsidRPr="005D0985">
              <w:rPr>
                <w:rFonts w:asciiTheme="minorHAnsi" w:hAnsiTheme="minorHAnsi" w:cs="Arial"/>
                <w:b/>
                <w:color w:val="FFFFFF" w:themeColor="background1"/>
                <w:sz w:val="18"/>
                <w:szCs w:val="18"/>
              </w:rPr>
              <w:t>2013</w:t>
            </w:r>
          </w:p>
        </w:tc>
        <w:tc>
          <w:tcPr>
            <w:tcW w:w="1050" w:type="dxa"/>
            <w:shd w:val="clear" w:color="auto" w:fill="85AFF2" w:themeFill="text2" w:themeFillTint="66"/>
            <w:tcMar>
              <w:top w:w="14" w:type="dxa"/>
              <w:bottom w:w="14" w:type="dxa"/>
            </w:tcMar>
            <w:vAlign w:val="center"/>
          </w:tcPr>
          <w:p w:rsidR="004D2CA1" w:rsidRPr="005D0985" w:rsidRDefault="004D2CA1" w:rsidP="00C561D4">
            <w:pPr>
              <w:keepNext/>
              <w:keepLines/>
              <w:spacing w:after="0" w:line="240" w:lineRule="auto"/>
              <w:jc w:val="center"/>
              <w:rPr>
                <w:rFonts w:asciiTheme="minorHAnsi" w:hAnsiTheme="minorHAnsi" w:cs="Arial"/>
                <w:b/>
                <w:color w:val="FFFFFF" w:themeColor="background1"/>
                <w:sz w:val="18"/>
                <w:szCs w:val="18"/>
              </w:rPr>
            </w:pPr>
            <w:r w:rsidRPr="005D0985">
              <w:rPr>
                <w:rFonts w:asciiTheme="minorHAnsi" w:hAnsiTheme="minorHAnsi" w:cs="Arial"/>
                <w:b/>
                <w:color w:val="FFFFFF" w:themeColor="background1"/>
                <w:sz w:val="18"/>
                <w:szCs w:val="18"/>
              </w:rPr>
              <w:t>2014</w:t>
            </w:r>
          </w:p>
        </w:tc>
        <w:tc>
          <w:tcPr>
            <w:tcW w:w="1050" w:type="dxa"/>
            <w:shd w:val="clear" w:color="auto" w:fill="85AFF2" w:themeFill="text2" w:themeFillTint="66"/>
            <w:tcMar>
              <w:top w:w="14" w:type="dxa"/>
              <w:bottom w:w="14" w:type="dxa"/>
            </w:tcMar>
            <w:vAlign w:val="center"/>
          </w:tcPr>
          <w:p w:rsidR="004D2CA1" w:rsidRPr="005D0985" w:rsidRDefault="004D2CA1" w:rsidP="00C561D4">
            <w:pPr>
              <w:keepNext/>
              <w:keepLines/>
              <w:spacing w:after="0" w:line="240" w:lineRule="auto"/>
              <w:jc w:val="center"/>
              <w:rPr>
                <w:rFonts w:asciiTheme="minorHAnsi" w:hAnsiTheme="minorHAnsi" w:cs="Arial"/>
                <w:b/>
                <w:color w:val="FFFFFF" w:themeColor="background1"/>
                <w:sz w:val="18"/>
                <w:szCs w:val="18"/>
              </w:rPr>
            </w:pPr>
            <w:r w:rsidRPr="005D0985">
              <w:rPr>
                <w:rFonts w:asciiTheme="minorHAnsi" w:hAnsiTheme="minorHAnsi" w:cs="Arial"/>
                <w:b/>
                <w:color w:val="FFFFFF" w:themeColor="background1"/>
                <w:sz w:val="18"/>
                <w:szCs w:val="18"/>
              </w:rPr>
              <w:t>2015</w:t>
            </w:r>
          </w:p>
        </w:tc>
        <w:tc>
          <w:tcPr>
            <w:tcW w:w="1050" w:type="dxa"/>
            <w:shd w:val="clear" w:color="auto" w:fill="85AFF2" w:themeFill="text2" w:themeFillTint="66"/>
            <w:tcMar>
              <w:top w:w="14" w:type="dxa"/>
              <w:bottom w:w="14" w:type="dxa"/>
            </w:tcMar>
            <w:vAlign w:val="center"/>
          </w:tcPr>
          <w:p w:rsidR="004D2CA1" w:rsidRPr="005D0985" w:rsidRDefault="004D2CA1" w:rsidP="00C561D4">
            <w:pPr>
              <w:keepNext/>
              <w:keepLines/>
              <w:spacing w:after="0" w:line="240" w:lineRule="auto"/>
              <w:jc w:val="center"/>
              <w:rPr>
                <w:rFonts w:asciiTheme="minorHAnsi" w:hAnsiTheme="minorHAnsi" w:cs="Arial"/>
                <w:b/>
                <w:color w:val="FFFFFF" w:themeColor="background1"/>
                <w:sz w:val="18"/>
                <w:szCs w:val="18"/>
              </w:rPr>
            </w:pPr>
            <w:r w:rsidRPr="005D0985">
              <w:rPr>
                <w:rFonts w:asciiTheme="minorHAnsi" w:hAnsiTheme="minorHAnsi" w:cs="Arial"/>
                <w:b/>
                <w:color w:val="FFFFFF" w:themeColor="background1"/>
                <w:sz w:val="18"/>
                <w:szCs w:val="18"/>
              </w:rPr>
              <w:t>2016</w:t>
            </w:r>
          </w:p>
        </w:tc>
        <w:tc>
          <w:tcPr>
            <w:tcW w:w="1050" w:type="dxa"/>
            <w:shd w:val="clear" w:color="auto" w:fill="85AFF2" w:themeFill="text2" w:themeFillTint="66"/>
            <w:tcMar>
              <w:top w:w="14" w:type="dxa"/>
              <w:bottom w:w="14" w:type="dxa"/>
            </w:tcMar>
            <w:vAlign w:val="center"/>
          </w:tcPr>
          <w:p w:rsidR="004D2CA1" w:rsidRPr="005D0985" w:rsidRDefault="004D2CA1" w:rsidP="00C561D4">
            <w:pPr>
              <w:keepNext/>
              <w:keepLines/>
              <w:spacing w:after="0" w:line="240" w:lineRule="auto"/>
              <w:jc w:val="center"/>
              <w:rPr>
                <w:rFonts w:asciiTheme="minorHAnsi" w:hAnsiTheme="minorHAnsi" w:cs="Arial"/>
                <w:b/>
                <w:color w:val="FFFFFF" w:themeColor="background1"/>
                <w:sz w:val="18"/>
                <w:szCs w:val="18"/>
              </w:rPr>
            </w:pPr>
            <w:r w:rsidRPr="005D0985">
              <w:rPr>
                <w:rFonts w:asciiTheme="minorHAnsi" w:hAnsiTheme="minorHAnsi" w:cs="Arial"/>
                <w:b/>
                <w:color w:val="FFFFFF" w:themeColor="background1"/>
                <w:sz w:val="18"/>
                <w:szCs w:val="18"/>
              </w:rPr>
              <w:t>2017</w:t>
            </w:r>
          </w:p>
        </w:tc>
        <w:tc>
          <w:tcPr>
            <w:tcW w:w="1050" w:type="dxa"/>
            <w:shd w:val="clear" w:color="auto" w:fill="85AFF2" w:themeFill="text2" w:themeFillTint="66"/>
            <w:tcMar>
              <w:top w:w="14" w:type="dxa"/>
              <w:bottom w:w="14" w:type="dxa"/>
            </w:tcMar>
            <w:vAlign w:val="center"/>
          </w:tcPr>
          <w:p w:rsidR="004D2CA1" w:rsidRPr="005D0985" w:rsidRDefault="004D2CA1" w:rsidP="00C561D4">
            <w:pPr>
              <w:keepNext/>
              <w:keepLines/>
              <w:spacing w:after="0" w:line="240" w:lineRule="auto"/>
              <w:jc w:val="center"/>
              <w:rPr>
                <w:rFonts w:asciiTheme="minorHAnsi" w:hAnsiTheme="minorHAnsi" w:cs="Arial"/>
                <w:b/>
                <w:color w:val="FFFFFF" w:themeColor="background1"/>
                <w:sz w:val="18"/>
                <w:szCs w:val="18"/>
              </w:rPr>
            </w:pPr>
            <w:r w:rsidRPr="005D0985">
              <w:rPr>
                <w:rFonts w:asciiTheme="minorHAnsi" w:hAnsiTheme="minorHAnsi" w:cs="Arial"/>
                <w:b/>
                <w:color w:val="FFFFFF" w:themeColor="background1"/>
                <w:sz w:val="18"/>
                <w:szCs w:val="18"/>
              </w:rPr>
              <w:t>2018</w:t>
            </w:r>
          </w:p>
        </w:tc>
      </w:tr>
      <w:tr w:rsidR="00C561D4" w:rsidRPr="005D0985" w:rsidTr="005D0985">
        <w:trPr>
          <w:cantSplit/>
          <w:trHeight w:val="360"/>
          <w:jc w:val="center"/>
        </w:trPr>
        <w:tc>
          <w:tcPr>
            <w:tcW w:w="2470" w:type="dxa"/>
            <w:vMerge/>
            <w:shd w:val="clear" w:color="auto" w:fill="85AFF2" w:themeFill="text2" w:themeFillTint="66"/>
            <w:tcMar>
              <w:top w:w="14" w:type="dxa"/>
              <w:bottom w:w="14" w:type="dxa"/>
            </w:tcMar>
            <w:vAlign w:val="center"/>
          </w:tcPr>
          <w:p w:rsidR="00C561D4" w:rsidRPr="005D0985" w:rsidRDefault="00C561D4" w:rsidP="00C561D4">
            <w:pPr>
              <w:keepNext/>
              <w:keepLines/>
              <w:spacing w:after="0" w:line="240" w:lineRule="auto"/>
              <w:jc w:val="center"/>
              <w:rPr>
                <w:rFonts w:asciiTheme="minorHAnsi" w:hAnsiTheme="minorHAnsi" w:cs="Arial"/>
                <w:color w:val="FFFFFF" w:themeColor="background1"/>
                <w:sz w:val="18"/>
                <w:szCs w:val="18"/>
              </w:rPr>
            </w:pPr>
          </w:p>
        </w:tc>
        <w:tc>
          <w:tcPr>
            <w:tcW w:w="2100" w:type="dxa"/>
            <w:gridSpan w:val="2"/>
            <w:shd w:val="clear" w:color="auto" w:fill="85AFF2" w:themeFill="text2" w:themeFillTint="66"/>
            <w:tcMar>
              <w:top w:w="14" w:type="dxa"/>
              <w:bottom w:w="14" w:type="dxa"/>
            </w:tcMar>
            <w:vAlign w:val="center"/>
          </w:tcPr>
          <w:p w:rsidR="00C561D4" w:rsidRPr="005D0985" w:rsidRDefault="00C561D4" w:rsidP="005C6088">
            <w:pPr>
              <w:keepNext/>
              <w:keepLines/>
              <w:spacing w:after="0" w:line="240" w:lineRule="auto"/>
              <w:jc w:val="center"/>
              <w:rPr>
                <w:rFonts w:asciiTheme="minorHAnsi" w:hAnsiTheme="minorHAnsi" w:cs="Arial"/>
                <w:b/>
                <w:color w:val="FFFFFF" w:themeColor="background1"/>
                <w:sz w:val="18"/>
                <w:szCs w:val="18"/>
              </w:rPr>
            </w:pPr>
            <w:r w:rsidRPr="005D0985">
              <w:rPr>
                <w:rFonts w:asciiTheme="minorHAnsi" w:hAnsiTheme="minorHAnsi" w:cs="Arial"/>
                <w:b/>
                <w:color w:val="FFFFFF" w:themeColor="background1"/>
                <w:sz w:val="18"/>
                <w:szCs w:val="18"/>
              </w:rPr>
              <w:t>Actual</w:t>
            </w:r>
            <w:r w:rsidR="0078566C" w:rsidRPr="005D0985">
              <w:rPr>
                <w:rFonts w:asciiTheme="minorHAnsi" w:hAnsiTheme="minorHAnsi" w:cs="Arial"/>
                <w:b/>
                <w:color w:val="FFFFFF" w:themeColor="background1"/>
                <w:sz w:val="18"/>
                <w:szCs w:val="18"/>
                <w:vertAlign w:val="superscript"/>
              </w:rPr>
              <w:t>(</w:t>
            </w:r>
            <w:r w:rsidR="005C6088" w:rsidRPr="005D0985">
              <w:rPr>
                <w:rFonts w:asciiTheme="minorHAnsi" w:hAnsiTheme="minorHAnsi" w:cs="Arial"/>
                <w:b/>
                <w:color w:val="FFFFFF" w:themeColor="background1"/>
                <w:sz w:val="18"/>
                <w:szCs w:val="18"/>
                <w:vertAlign w:val="superscript"/>
              </w:rPr>
              <w:t>b</w:t>
            </w:r>
            <w:r w:rsidR="0078566C" w:rsidRPr="005D0985">
              <w:rPr>
                <w:rFonts w:asciiTheme="minorHAnsi" w:hAnsiTheme="minorHAnsi" w:cs="Arial"/>
                <w:b/>
                <w:color w:val="FFFFFF" w:themeColor="background1"/>
                <w:sz w:val="18"/>
                <w:szCs w:val="18"/>
                <w:vertAlign w:val="superscript"/>
              </w:rPr>
              <w:t>)</w:t>
            </w:r>
          </w:p>
        </w:tc>
        <w:tc>
          <w:tcPr>
            <w:tcW w:w="4200" w:type="dxa"/>
            <w:gridSpan w:val="4"/>
            <w:shd w:val="clear" w:color="auto" w:fill="85AFF2" w:themeFill="text2" w:themeFillTint="66"/>
            <w:tcMar>
              <w:top w:w="14" w:type="dxa"/>
              <w:bottom w:w="14" w:type="dxa"/>
            </w:tcMar>
            <w:vAlign w:val="center"/>
          </w:tcPr>
          <w:p w:rsidR="00C561D4" w:rsidRPr="005D0985" w:rsidRDefault="0058771A" w:rsidP="005C6088">
            <w:pPr>
              <w:keepNext/>
              <w:keepLines/>
              <w:spacing w:after="0" w:line="240" w:lineRule="auto"/>
              <w:jc w:val="center"/>
              <w:rPr>
                <w:rFonts w:asciiTheme="minorHAnsi" w:hAnsiTheme="minorHAnsi" w:cs="Arial"/>
                <w:b/>
                <w:color w:val="FFFFFF" w:themeColor="background1"/>
                <w:sz w:val="18"/>
                <w:szCs w:val="18"/>
              </w:rPr>
            </w:pPr>
            <w:r w:rsidRPr="005D0985">
              <w:rPr>
                <w:rFonts w:asciiTheme="minorHAnsi" w:hAnsiTheme="minorHAnsi" w:cs="Arial"/>
                <w:b/>
                <w:color w:val="FFFFFF" w:themeColor="background1"/>
                <w:sz w:val="18"/>
                <w:szCs w:val="18"/>
              </w:rPr>
              <w:t>Forecast</w:t>
            </w:r>
            <w:r w:rsidR="0078566C" w:rsidRPr="005D0985">
              <w:rPr>
                <w:rFonts w:asciiTheme="minorHAnsi" w:hAnsiTheme="minorHAnsi" w:cs="Arial"/>
                <w:b/>
                <w:color w:val="FFFFFF" w:themeColor="background1"/>
                <w:sz w:val="18"/>
                <w:szCs w:val="18"/>
                <w:vertAlign w:val="superscript"/>
              </w:rPr>
              <w:t>(</w:t>
            </w:r>
            <w:r w:rsidR="005C6088" w:rsidRPr="005D0985">
              <w:rPr>
                <w:rFonts w:asciiTheme="minorHAnsi" w:hAnsiTheme="minorHAnsi" w:cs="Arial"/>
                <w:b/>
                <w:color w:val="FFFFFF" w:themeColor="background1"/>
                <w:sz w:val="18"/>
                <w:szCs w:val="18"/>
                <w:vertAlign w:val="superscript"/>
              </w:rPr>
              <w:t>c</w:t>
            </w:r>
            <w:r w:rsidR="0078566C" w:rsidRPr="005D0985">
              <w:rPr>
                <w:rFonts w:asciiTheme="minorHAnsi" w:hAnsiTheme="minorHAnsi" w:cs="Arial"/>
                <w:b/>
                <w:color w:val="FFFFFF" w:themeColor="background1"/>
                <w:sz w:val="18"/>
                <w:szCs w:val="18"/>
                <w:vertAlign w:val="superscript"/>
              </w:rPr>
              <w:t>)</w:t>
            </w:r>
          </w:p>
        </w:tc>
      </w:tr>
      <w:tr w:rsidR="004D2CA1" w:rsidRPr="005D0985" w:rsidTr="005D0985">
        <w:trPr>
          <w:cantSplit/>
          <w:trHeight w:val="360"/>
          <w:jc w:val="center"/>
        </w:trPr>
        <w:tc>
          <w:tcPr>
            <w:tcW w:w="2470" w:type="dxa"/>
            <w:tcMar>
              <w:top w:w="14" w:type="dxa"/>
              <w:bottom w:w="14" w:type="dxa"/>
            </w:tcMar>
            <w:vAlign w:val="center"/>
          </w:tcPr>
          <w:p w:rsidR="004D2CA1" w:rsidRPr="005D0985" w:rsidRDefault="004C0122" w:rsidP="005D0985">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Forecasted added transmission revenue requirements</w:t>
            </w:r>
            <w:r w:rsidR="008110C6">
              <w:rPr>
                <w:rFonts w:asciiTheme="minorHAnsi" w:hAnsiTheme="minorHAnsi" w:cs="Arial"/>
                <w:b/>
                <w:color w:val="000000" w:themeColor="text1"/>
                <w:sz w:val="18"/>
                <w:szCs w:val="18"/>
              </w:rPr>
              <w:t xml:space="preserve"> </w:t>
            </w:r>
            <w:r w:rsidR="004D2CA1" w:rsidRPr="005D0985">
              <w:rPr>
                <w:rFonts w:asciiTheme="minorHAnsi" w:hAnsiTheme="minorHAnsi" w:cs="Arial"/>
                <w:b/>
                <w:color w:val="000000" w:themeColor="text1"/>
                <w:sz w:val="18"/>
                <w:szCs w:val="18"/>
              </w:rPr>
              <w:t>($ millions)</w:t>
            </w:r>
            <w:r w:rsidR="005D0985" w:rsidRPr="005D0985">
              <w:rPr>
                <w:rFonts w:asciiTheme="minorHAnsi" w:hAnsiTheme="minorHAnsi" w:cs="Arial"/>
                <w:b/>
                <w:color w:val="000000" w:themeColor="text1"/>
                <w:sz w:val="18"/>
                <w:szCs w:val="18"/>
                <w:vertAlign w:val="superscript"/>
              </w:rPr>
              <w:t xml:space="preserve">(d) </w:t>
            </w:r>
          </w:p>
        </w:tc>
        <w:tc>
          <w:tcPr>
            <w:tcW w:w="1050" w:type="dxa"/>
            <w:tcMar>
              <w:top w:w="14" w:type="dxa"/>
              <w:bottom w:w="14" w:type="dxa"/>
            </w:tcMar>
            <w:vAlign w:val="center"/>
          </w:tcPr>
          <w:p w:rsidR="004D2CA1" w:rsidRPr="005D0985" w:rsidRDefault="00113C54" w:rsidP="00862F2F">
            <w:pPr>
              <w:keepNext/>
              <w:keepLines/>
              <w:widowControl/>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N</w:t>
            </w:r>
            <w:r w:rsidR="008965CA" w:rsidRPr="005D0985">
              <w:rPr>
                <w:rFonts w:asciiTheme="minorHAnsi" w:hAnsiTheme="minorHAnsi"/>
                <w:color w:val="000000"/>
                <w:sz w:val="18"/>
                <w:szCs w:val="18"/>
              </w:rPr>
              <w:t>/</w:t>
            </w:r>
            <w:r w:rsidRPr="005D0985">
              <w:rPr>
                <w:rFonts w:asciiTheme="minorHAnsi" w:hAnsiTheme="minorHAnsi"/>
                <w:color w:val="000000"/>
                <w:sz w:val="18"/>
                <w:szCs w:val="18"/>
              </w:rPr>
              <w:t>A</w:t>
            </w:r>
          </w:p>
        </w:tc>
        <w:tc>
          <w:tcPr>
            <w:tcW w:w="1050" w:type="dxa"/>
            <w:tcMar>
              <w:top w:w="14" w:type="dxa"/>
              <w:bottom w:w="14" w:type="dxa"/>
            </w:tcMar>
            <w:vAlign w:val="center"/>
          </w:tcPr>
          <w:p w:rsidR="004D2CA1" w:rsidRPr="005D0985" w:rsidRDefault="00113C54" w:rsidP="00862F2F">
            <w:pPr>
              <w:keepNext/>
              <w:keepLines/>
              <w:widowControl/>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N</w:t>
            </w:r>
            <w:r w:rsidR="008965CA" w:rsidRPr="005D0985">
              <w:rPr>
                <w:rFonts w:asciiTheme="minorHAnsi" w:hAnsiTheme="minorHAnsi"/>
                <w:color w:val="000000"/>
                <w:sz w:val="18"/>
                <w:szCs w:val="18"/>
              </w:rPr>
              <w:t>/</w:t>
            </w:r>
            <w:r w:rsidRPr="005D0985">
              <w:rPr>
                <w:rFonts w:asciiTheme="minorHAnsi" w:hAnsiTheme="minorHAnsi"/>
                <w:color w:val="000000"/>
                <w:sz w:val="18"/>
                <w:szCs w:val="18"/>
              </w:rPr>
              <w:t>A</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880</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834</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843</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738</w:t>
            </w:r>
          </w:p>
        </w:tc>
      </w:tr>
      <w:tr w:rsidR="004D2CA1" w:rsidRPr="005D0985" w:rsidTr="005D0985">
        <w:trPr>
          <w:cantSplit/>
          <w:trHeight w:val="360"/>
          <w:jc w:val="center"/>
        </w:trPr>
        <w:tc>
          <w:tcPr>
            <w:tcW w:w="2470" w:type="dxa"/>
            <w:shd w:val="clear" w:color="auto" w:fill="C2D7F8" w:themeFill="text2" w:themeFillTint="33"/>
            <w:tcMar>
              <w:top w:w="14" w:type="dxa"/>
              <w:bottom w:w="14" w:type="dxa"/>
            </w:tcMar>
            <w:vAlign w:val="center"/>
          </w:tcPr>
          <w:p w:rsidR="004D2CA1" w:rsidRPr="005D0985" w:rsidRDefault="004D2CA1" w:rsidP="00C561D4">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Revenue requirement</w:t>
            </w:r>
            <w:r w:rsidR="004C0122" w:rsidRPr="005D0985">
              <w:rPr>
                <w:rFonts w:asciiTheme="minorHAnsi" w:hAnsiTheme="minorHAnsi" w:cs="Arial"/>
                <w:b/>
                <w:color w:val="000000" w:themeColor="text1"/>
                <w:sz w:val="18"/>
                <w:szCs w:val="18"/>
              </w:rPr>
              <w:t xml:space="preserve"> increase from prior year</w:t>
            </w:r>
          </w:p>
          <w:p w:rsidR="004D2CA1" w:rsidRPr="005D0985" w:rsidRDefault="004D2CA1" w:rsidP="00C561D4">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 millions)</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2</w:t>
            </w:r>
            <w:r w:rsidR="004C0122" w:rsidRPr="005D0985">
              <w:rPr>
                <w:rFonts w:asciiTheme="minorHAnsi" w:hAnsiTheme="minorHAnsi"/>
                <w:color w:val="000000"/>
                <w:sz w:val="18"/>
                <w:szCs w:val="18"/>
              </w:rPr>
              <w:t>04</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15</w:t>
            </w:r>
            <w:r w:rsidR="004C0122" w:rsidRPr="005D0985">
              <w:rPr>
                <w:rFonts w:asciiTheme="minorHAnsi" w:hAnsiTheme="minorHAnsi"/>
                <w:color w:val="000000"/>
                <w:sz w:val="18"/>
                <w:szCs w:val="18"/>
              </w:rPr>
              <w:t>5</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143</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134</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144</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116</w:t>
            </w:r>
          </w:p>
        </w:tc>
      </w:tr>
      <w:tr w:rsidR="004C0122" w:rsidRPr="005D0985" w:rsidTr="005D0985">
        <w:trPr>
          <w:cantSplit/>
          <w:trHeight w:val="360"/>
          <w:jc w:val="center"/>
        </w:trPr>
        <w:tc>
          <w:tcPr>
            <w:tcW w:w="2470" w:type="dxa"/>
            <w:shd w:val="clear" w:color="auto" w:fill="auto"/>
            <w:tcMar>
              <w:top w:w="14" w:type="dxa"/>
              <w:bottom w:w="14" w:type="dxa"/>
            </w:tcMar>
            <w:vAlign w:val="center"/>
          </w:tcPr>
          <w:p w:rsidR="004C0122" w:rsidRPr="005D0985" w:rsidRDefault="004C0122" w:rsidP="00C561D4">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Total revenue requirement</w:t>
            </w:r>
          </w:p>
        </w:tc>
        <w:tc>
          <w:tcPr>
            <w:tcW w:w="1050" w:type="dxa"/>
            <w:shd w:val="clear" w:color="auto" w:fill="auto"/>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1,723</w:t>
            </w:r>
          </w:p>
        </w:tc>
        <w:tc>
          <w:tcPr>
            <w:tcW w:w="1050" w:type="dxa"/>
            <w:shd w:val="clear" w:color="auto" w:fill="auto"/>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1,878</w:t>
            </w:r>
          </w:p>
        </w:tc>
        <w:tc>
          <w:tcPr>
            <w:tcW w:w="1050" w:type="dxa"/>
            <w:shd w:val="clear" w:color="auto" w:fill="auto"/>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2,021</w:t>
            </w:r>
          </w:p>
        </w:tc>
        <w:tc>
          <w:tcPr>
            <w:tcW w:w="1050" w:type="dxa"/>
            <w:shd w:val="clear" w:color="auto" w:fill="auto"/>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2,155</w:t>
            </w:r>
          </w:p>
        </w:tc>
        <w:tc>
          <w:tcPr>
            <w:tcW w:w="1050" w:type="dxa"/>
            <w:shd w:val="clear" w:color="auto" w:fill="auto"/>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2,299</w:t>
            </w:r>
          </w:p>
        </w:tc>
        <w:tc>
          <w:tcPr>
            <w:tcW w:w="1050" w:type="dxa"/>
            <w:shd w:val="clear" w:color="auto" w:fill="auto"/>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2,415</w:t>
            </w:r>
          </w:p>
        </w:tc>
      </w:tr>
      <w:tr w:rsidR="004C0122" w:rsidRPr="005D0985" w:rsidTr="005D0985">
        <w:trPr>
          <w:cantSplit/>
          <w:trHeight w:val="360"/>
          <w:jc w:val="center"/>
        </w:trPr>
        <w:tc>
          <w:tcPr>
            <w:tcW w:w="2470" w:type="dxa"/>
            <w:shd w:val="clear" w:color="auto" w:fill="C2D7F8" w:themeFill="text2" w:themeFillTint="33"/>
            <w:tcMar>
              <w:top w:w="14" w:type="dxa"/>
              <w:bottom w:w="14" w:type="dxa"/>
            </w:tcMar>
            <w:vAlign w:val="center"/>
          </w:tcPr>
          <w:p w:rsidR="004C0122" w:rsidRPr="005D0985" w:rsidRDefault="004C0122" w:rsidP="005D0985">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 xml:space="preserve">Year prior </w:t>
            </w:r>
            <w:r w:rsidR="00113C54" w:rsidRPr="005D0985">
              <w:rPr>
                <w:rFonts w:asciiTheme="minorHAnsi" w:hAnsiTheme="minorHAnsi" w:cs="Arial"/>
                <w:b/>
                <w:color w:val="000000" w:themeColor="text1"/>
                <w:sz w:val="18"/>
                <w:szCs w:val="18"/>
              </w:rPr>
              <w:t>12 CP</w:t>
            </w:r>
            <w:r w:rsidR="008110C6">
              <w:rPr>
                <w:rFonts w:asciiTheme="minorHAnsi" w:hAnsiTheme="minorHAnsi" w:cs="Arial"/>
                <w:b/>
                <w:color w:val="000000" w:themeColor="text1"/>
                <w:sz w:val="18"/>
                <w:szCs w:val="18"/>
              </w:rPr>
              <w:t xml:space="preserve"> </w:t>
            </w:r>
            <w:r w:rsidRPr="005D0985">
              <w:rPr>
                <w:rFonts w:asciiTheme="minorHAnsi" w:hAnsiTheme="minorHAnsi" w:cs="Arial"/>
                <w:b/>
                <w:color w:val="000000" w:themeColor="text1"/>
                <w:sz w:val="18"/>
                <w:szCs w:val="18"/>
              </w:rPr>
              <w:t>(kW)</w:t>
            </w:r>
            <w:r w:rsidR="005D0985" w:rsidRPr="005D0985">
              <w:rPr>
                <w:rFonts w:asciiTheme="minorHAnsi" w:hAnsiTheme="minorHAnsi" w:cs="Arial"/>
                <w:b/>
                <w:color w:val="000000" w:themeColor="text1"/>
                <w:sz w:val="18"/>
                <w:szCs w:val="18"/>
                <w:vertAlign w:val="superscript"/>
              </w:rPr>
              <w:t>(e)</w:t>
            </w:r>
            <w:r w:rsidR="005D0985" w:rsidRPr="005D0985">
              <w:rPr>
                <w:rFonts w:asciiTheme="minorHAnsi" w:hAnsiTheme="minorHAnsi" w:cs="Arial"/>
                <w:b/>
                <w:color w:val="000000" w:themeColor="text1"/>
                <w:sz w:val="18"/>
                <w:szCs w:val="18"/>
              </w:rPr>
              <w:t xml:space="preserve"> </w:t>
            </w:r>
          </w:p>
        </w:tc>
        <w:tc>
          <w:tcPr>
            <w:tcW w:w="1050" w:type="dxa"/>
            <w:shd w:val="clear" w:color="auto" w:fill="C2D7F8" w:themeFill="text2" w:themeFillTint="33"/>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20,189,256</w:t>
            </w:r>
          </w:p>
        </w:tc>
        <w:tc>
          <w:tcPr>
            <w:tcW w:w="1050" w:type="dxa"/>
            <w:shd w:val="clear" w:color="auto" w:fill="C2D7F8" w:themeFill="text2" w:themeFillTint="33"/>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20,910,580</w:t>
            </w:r>
          </w:p>
        </w:tc>
        <w:tc>
          <w:tcPr>
            <w:tcW w:w="1050" w:type="dxa"/>
            <w:shd w:val="clear" w:color="auto" w:fill="C2D7F8" w:themeFill="text2" w:themeFillTint="33"/>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20,910,580</w:t>
            </w:r>
          </w:p>
        </w:tc>
        <w:tc>
          <w:tcPr>
            <w:tcW w:w="1050" w:type="dxa"/>
            <w:shd w:val="clear" w:color="auto" w:fill="C2D7F8" w:themeFill="text2" w:themeFillTint="33"/>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20,910,580</w:t>
            </w:r>
          </w:p>
        </w:tc>
        <w:tc>
          <w:tcPr>
            <w:tcW w:w="1050" w:type="dxa"/>
            <w:shd w:val="clear" w:color="auto" w:fill="C2D7F8" w:themeFill="text2" w:themeFillTint="33"/>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20,910,580</w:t>
            </w:r>
          </w:p>
        </w:tc>
        <w:tc>
          <w:tcPr>
            <w:tcW w:w="1050" w:type="dxa"/>
            <w:shd w:val="clear" w:color="auto" w:fill="C2D7F8" w:themeFill="text2" w:themeFillTint="33"/>
            <w:tcMar>
              <w:top w:w="14" w:type="dxa"/>
              <w:bottom w:w="14" w:type="dxa"/>
            </w:tcMar>
            <w:vAlign w:val="center"/>
          </w:tcPr>
          <w:p w:rsidR="004C0122" w:rsidRPr="005D0985" w:rsidRDefault="004C0122"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20,910,580</w:t>
            </w:r>
          </w:p>
        </w:tc>
      </w:tr>
      <w:tr w:rsidR="004D2CA1" w:rsidRPr="005D0985" w:rsidTr="005D0985">
        <w:trPr>
          <w:cantSplit/>
          <w:trHeight w:val="360"/>
          <w:jc w:val="center"/>
        </w:trPr>
        <w:tc>
          <w:tcPr>
            <w:tcW w:w="2470" w:type="dxa"/>
            <w:tcMar>
              <w:top w:w="14" w:type="dxa"/>
              <w:bottom w:w="14" w:type="dxa"/>
            </w:tcMar>
            <w:vAlign w:val="center"/>
          </w:tcPr>
          <w:p w:rsidR="004D2CA1" w:rsidRPr="005D0985" w:rsidRDefault="004D2CA1" w:rsidP="005D0985">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 xml:space="preserve">RNS rate </w:t>
            </w:r>
            <w:r w:rsidR="004C0122" w:rsidRPr="005D0985">
              <w:rPr>
                <w:rFonts w:asciiTheme="minorHAnsi" w:hAnsiTheme="minorHAnsi" w:cs="Arial"/>
                <w:b/>
                <w:color w:val="000000" w:themeColor="text1"/>
                <w:sz w:val="18"/>
                <w:szCs w:val="18"/>
              </w:rPr>
              <w:t>increase from prior year</w:t>
            </w:r>
            <w:r w:rsidR="005D0985" w:rsidRPr="005D0985">
              <w:rPr>
                <w:rFonts w:asciiTheme="minorHAnsi" w:hAnsiTheme="minorHAnsi" w:cs="Arial"/>
                <w:b/>
                <w:color w:val="000000" w:themeColor="text1"/>
                <w:sz w:val="18"/>
                <w:szCs w:val="18"/>
              </w:rPr>
              <w:t xml:space="preserve"> </w:t>
            </w:r>
            <w:r w:rsidRPr="005D0985">
              <w:rPr>
                <w:rFonts w:asciiTheme="minorHAnsi" w:hAnsiTheme="minorHAnsi" w:cs="Arial"/>
                <w:b/>
                <w:color w:val="000000" w:themeColor="text1"/>
                <w:sz w:val="18"/>
                <w:szCs w:val="18"/>
              </w:rPr>
              <w:t>($/kW-year)</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10</w:t>
            </w:r>
          </w:p>
        </w:tc>
        <w:tc>
          <w:tcPr>
            <w:tcW w:w="1050" w:type="dxa"/>
            <w:tcMar>
              <w:top w:w="14" w:type="dxa"/>
              <w:bottom w:w="14" w:type="dxa"/>
            </w:tcMar>
            <w:vAlign w:val="center"/>
          </w:tcPr>
          <w:p w:rsidR="004D2CA1" w:rsidRPr="005D0985" w:rsidRDefault="004C0122"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4.5</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7</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6</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7</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5</w:t>
            </w:r>
          </w:p>
        </w:tc>
      </w:tr>
      <w:tr w:rsidR="004D2CA1" w:rsidRPr="005D0985" w:rsidTr="005D0985">
        <w:trPr>
          <w:cantSplit/>
          <w:trHeight w:val="360"/>
          <w:jc w:val="center"/>
        </w:trPr>
        <w:tc>
          <w:tcPr>
            <w:tcW w:w="2470" w:type="dxa"/>
            <w:shd w:val="clear" w:color="auto" w:fill="C2D7F8" w:themeFill="text2" w:themeFillTint="33"/>
            <w:tcMar>
              <w:top w:w="14" w:type="dxa"/>
              <w:bottom w:w="14" w:type="dxa"/>
            </w:tcMar>
            <w:vAlign w:val="center"/>
          </w:tcPr>
          <w:p w:rsidR="004D2CA1" w:rsidRPr="005D0985" w:rsidRDefault="004D2CA1" w:rsidP="005D0985">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RNS rate</w:t>
            </w:r>
            <w:r w:rsidR="005D0985" w:rsidRPr="005D0985">
              <w:rPr>
                <w:rFonts w:asciiTheme="minorHAnsi" w:hAnsiTheme="minorHAnsi" w:cs="Arial"/>
                <w:b/>
                <w:color w:val="000000" w:themeColor="text1"/>
                <w:sz w:val="18"/>
                <w:szCs w:val="18"/>
              </w:rPr>
              <w:t xml:space="preserve"> </w:t>
            </w:r>
            <w:r w:rsidRPr="005D0985">
              <w:rPr>
                <w:rFonts w:asciiTheme="minorHAnsi" w:hAnsiTheme="minorHAnsi" w:cs="Arial"/>
                <w:b/>
                <w:color w:val="000000" w:themeColor="text1"/>
                <w:sz w:val="18"/>
                <w:szCs w:val="18"/>
              </w:rPr>
              <w:t>($/kW-year)</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85</w:t>
            </w:r>
            <w:r w:rsidR="004C0122" w:rsidRPr="005D0985">
              <w:rPr>
                <w:rFonts w:asciiTheme="minorHAnsi" w:hAnsiTheme="minorHAnsi"/>
                <w:color w:val="000000"/>
                <w:sz w:val="18"/>
                <w:szCs w:val="18"/>
              </w:rPr>
              <w:t>.32</w:t>
            </w:r>
          </w:p>
        </w:tc>
        <w:tc>
          <w:tcPr>
            <w:tcW w:w="1050" w:type="dxa"/>
            <w:shd w:val="clear" w:color="auto" w:fill="C2D7F8" w:themeFill="text2" w:themeFillTint="33"/>
            <w:tcMar>
              <w:top w:w="14" w:type="dxa"/>
              <w:bottom w:w="14" w:type="dxa"/>
            </w:tcMar>
            <w:vAlign w:val="center"/>
          </w:tcPr>
          <w:p w:rsidR="004D2CA1" w:rsidRPr="005D0985" w:rsidRDefault="004C0122"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89.80</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97</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103</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110</w:t>
            </w:r>
          </w:p>
        </w:tc>
        <w:tc>
          <w:tcPr>
            <w:tcW w:w="1050" w:type="dxa"/>
            <w:shd w:val="clear" w:color="auto" w:fill="C2D7F8" w:themeFill="text2" w:themeFillTint="33"/>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115</w:t>
            </w:r>
          </w:p>
        </w:tc>
      </w:tr>
      <w:tr w:rsidR="004D2CA1" w:rsidRPr="005D0985" w:rsidTr="005D0985">
        <w:trPr>
          <w:cantSplit/>
          <w:trHeight w:val="360"/>
          <w:jc w:val="center"/>
        </w:trPr>
        <w:tc>
          <w:tcPr>
            <w:tcW w:w="2470" w:type="dxa"/>
            <w:tcMar>
              <w:top w:w="14" w:type="dxa"/>
              <w:bottom w:w="14" w:type="dxa"/>
            </w:tcMar>
            <w:vAlign w:val="center"/>
          </w:tcPr>
          <w:p w:rsidR="004D2CA1" w:rsidRPr="005D0985" w:rsidRDefault="004D2CA1" w:rsidP="005D0985">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 xml:space="preserve">RNS rate forecast </w:t>
            </w:r>
            <w:r w:rsidR="005C6088" w:rsidRPr="005D0985">
              <w:rPr>
                <w:rFonts w:asciiTheme="minorHAnsi" w:hAnsiTheme="minorHAnsi" w:cs="Arial"/>
                <w:b/>
                <w:color w:val="000000" w:themeColor="text1"/>
                <w:sz w:val="18"/>
                <w:szCs w:val="18"/>
              </w:rPr>
              <w:t>using a 53.9% load factor</w:t>
            </w:r>
            <w:r w:rsidR="00587924" w:rsidRPr="005D0985">
              <w:rPr>
                <w:rFonts w:asciiTheme="minorHAnsi" w:hAnsiTheme="minorHAnsi" w:cs="Arial"/>
                <w:b/>
                <w:color w:val="000000" w:themeColor="text1"/>
                <w:sz w:val="18"/>
                <w:szCs w:val="18"/>
              </w:rPr>
              <w:t>)</w:t>
            </w:r>
            <w:r w:rsidR="008110C6">
              <w:rPr>
                <w:rFonts w:asciiTheme="minorHAnsi" w:hAnsiTheme="minorHAnsi" w:cs="Arial"/>
                <w:b/>
                <w:color w:val="000000" w:themeColor="text1"/>
                <w:sz w:val="18"/>
                <w:szCs w:val="18"/>
              </w:rPr>
              <w:t xml:space="preserve"> </w:t>
            </w:r>
            <w:r w:rsidRPr="005D0985">
              <w:rPr>
                <w:rFonts w:asciiTheme="minorHAnsi" w:hAnsiTheme="minorHAnsi" w:cs="Arial"/>
                <w:b/>
                <w:color w:val="000000" w:themeColor="text1"/>
                <w:sz w:val="18"/>
                <w:szCs w:val="18"/>
              </w:rPr>
              <w:t>($/kWh)</w:t>
            </w:r>
            <w:r w:rsidR="005D0985" w:rsidRPr="005D0985">
              <w:rPr>
                <w:rFonts w:asciiTheme="minorHAnsi" w:hAnsiTheme="minorHAnsi" w:cs="Arial"/>
                <w:b/>
                <w:color w:val="000000" w:themeColor="text1"/>
                <w:sz w:val="18"/>
                <w:szCs w:val="18"/>
                <w:vertAlign w:val="superscript"/>
              </w:rPr>
              <w:t>(d)</w:t>
            </w:r>
            <w:r w:rsidR="005D0985" w:rsidRPr="005D0985">
              <w:rPr>
                <w:rFonts w:asciiTheme="minorHAnsi" w:hAnsiTheme="minorHAnsi" w:cs="Arial"/>
                <w:b/>
                <w:color w:val="000000" w:themeColor="text1"/>
                <w:sz w:val="18"/>
                <w:szCs w:val="18"/>
              </w:rPr>
              <w:t xml:space="preserve"> </w:t>
            </w:r>
          </w:p>
        </w:tc>
        <w:tc>
          <w:tcPr>
            <w:tcW w:w="1050" w:type="dxa"/>
            <w:tcMar>
              <w:top w:w="14" w:type="dxa"/>
              <w:bottom w:w="14" w:type="dxa"/>
            </w:tcMar>
            <w:vAlign w:val="center"/>
          </w:tcPr>
          <w:p w:rsidR="004D2CA1" w:rsidRPr="005D0985" w:rsidRDefault="00113C54" w:rsidP="00862F2F">
            <w:pPr>
              <w:keepNext/>
              <w:keepLines/>
              <w:widowControl/>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N</w:t>
            </w:r>
            <w:r w:rsidR="008965CA" w:rsidRPr="005D0985">
              <w:rPr>
                <w:rFonts w:asciiTheme="minorHAnsi" w:hAnsiTheme="minorHAnsi"/>
                <w:color w:val="000000"/>
                <w:sz w:val="18"/>
                <w:szCs w:val="18"/>
              </w:rPr>
              <w:t>/</w:t>
            </w:r>
            <w:r w:rsidRPr="005D0985">
              <w:rPr>
                <w:rFonts w:asciiTheme="minorHAnsi" w:hAnsiTheme="minorHAnsi"/>
                <w:color w:val="000000"/>
                <w:sz w:val="18"/>
                <w:szCs w:val="18"/>
              </w:rPr>
              <w:t>A</w:t>
            </w:r>
          </w:p>
        </w:tc>
        <w:tc>
          <w:tcPr>
            <w:tcW w:w="1050" w:type="dxa"/>
            <w:tcMar>
              <w:top w:w="14" w:type="dxa"/>
              <w:bottom w:w="14" w:type="dxa"/>
            </w:tcMar>
            <w:vAlign w:val="center"/>
          </w:tcPr>
          <w:p w:rsidR="004D2CA1" w:rsidRPr="005D0985" w:rsidRDefault="00113C54" w:rsidP="00862F2F">
            <w:pPr>
              <w:keepNext/>
              <w:keepLines/>
              <w:widowControl/>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N</w:t>
            </w:r>
            <w:r w:rsidR="008965CA" w:rsidRPr="005D0985">
              <w:rPr>
                <w:rFonts w:asciiTheme="minorHAnsi" w:hAnsiTheme="minorHAnsi"/>
                <w:color w:val="000000"/>
                <w:sz w:val="18"/>
                <w:szCs w:val="18"/>
              </w:rPr>
              <w:t>/</w:t>
            </w:r>
            <w:r w:rsidRPr="005D0985">
              <w:rPr>
                <w:rFonts w:asciiTheme="minorHAnsi" w:hAnsiTheme="minorHAnsi"/>
                <w:color w:val="000000"/>
                <w:sz w:val="18"/>
                <w:szCs w:val="18"/>
              </w:rPr>
              <w:t>A</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0.020</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0.022</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0.023</w:t>
            </w:r>
          </w:p>
        </w:tc>
        <w:tc>
          <w:tcPr>
            <w:tcW w:w="1050" w:type="dxa"/>
            <w:tcMar>
              <w:top w:w="14" w:type="dxa"/>
              <w:bottom w:w="14" w:type="dxa"/>
            </w:tcMar>
            <w:vAlign w:val="center"/>
          </w:tcPr>
          <w:p w:rsidR="004D2CA1" w:rsidRPr="005D0985" w:rsidRDefault="004D2CA1" w:rsidP="00862F2F">
            <w:pPr>
              <w:keepNext/>
              <w:keepLines/>
              <w:spacing w:after="0" w:line="240" w:lineRule="auto"/>
              <w:jc w:val="center"/>
              <w:rPr>
                <w:rFonts w:asciiTheme="minorHAnsi" w:hAnsiTheme="minorHAnsi" w:cs="Arial"/>
                <w:color w:val="000000" w:themeColor="text1"/>
                <w:sz w:val="18"/>
                <w:szCs w:val="18"/>
              </w:rPr>
            </w:pPr>
            <w:r w:rsidRPr="005D0985">
              <w:rPr>
                <w:rFonts w:asciiTheme="minorHAnsi" w:hAnsiTheme="minorHAnsi"/>
                <w:color w:val="000000"/>
                <w:sz w:val="18"/>
                <w:szCs w:val="18"/>
              </w:rPr>
              <w:t>0.024</w:t>
            </w:r>
          </w:p>
        </w:tc>
      </w:tr>
      <w:tr w:rsidR="005C6088" w:rsidRPr="005D0985" w:rsidTr="005D0985">
        <w:trPr>
          <w:cantSplit/>
          <w:trHeight w:val="360"/>
          <w:jc w:val="center"/>
        </w:trPr>
        <w:tc>
          <w:tcPr>
            <w:tcW w:w="2470" w:type="dxa"/>
            <w:shd w:val="clear" w:color="auto" w:fill="C2D7F8" w:themeFill="text2" w:themeFillTint="33"/>
            <w:tcMar>
              <w:top w:w="14" w:type="dxa"/>
              <w:bottom w:w="14" w:type="dxa"/>
            </w:tcMar>
            <w:vAlign w:val="center"/>
          </w:tcPr>
          <w:p w:rsidR="005C6088" w:rsidRPr="005D0985" w:rsidRDefault="005C6088" w:rsidP="005D0985">
            <w:pPr>
              <w:keepNext/>
              <w:keepLines/>
              <w:spacing w:after="0" w:line="240" w:lineRule="auto"/>
              <w:rPr>
                <w:rFonts w:asciiTheme="minorHAnsi" w:hAnsiTheme="minorHAnsi" w:cs="Arial"/>
                <w:b/>
                <w:color w:val="000000" w:themeColor="text1"/>
                <w:sz w:val="18"/>
                <w:szCs w:val="18"/>
              </w:rPr>
            </w:pPr>
            <w:r w:rsidRPr="005D0985">
              <w:rPr>
                <w:rFonts w:asciiTheme="minorHAnsi" w:hAnsiTheme="minorHAnsi" w:cs="Arial"/>
                <w:b/>
                <w:color w:val="000000" w:themeColor="text1"/>
                <w:sz w:val="18"/>
                <w:szCs w:val="18"/>
              </w:rPr>
              <w:t>TOUT service rate</w:t>
            </w:r>
            <w:r w:rsidR="005D0985" w:rsidRPr="005D0985">
              <w:rPr>
                <w:rFonts w:asciiTheme="minorHAnsi" w:hAnsiTheme="minorHAnsi" w:cs="Arial"/>
                <w:b/>
                <w:color w:val="000000" w:themeColor="text1"/>
                <w:sz w:val="18"/>
                <w:szCs w:val="18"/>
              </w:rPr>
              <w:t xml:space="preserve"> </w:t>
            </w:r>
            <w:r w:rsidRPr="005D0985">
              <w:rPr>
                <w:rFonts w:asciiTheme="minorHAnsi" w:hAnsiTheme="minorHAnsi" w:cs="Arial"/>
                <w:b/>
                <w:color w:val="000000" w:themeColor="text1"/>
                <w:sz w:val="18"/>
                <w:szCs w:val="18"/>
              </w:rPr>
              <w:t>($/kW-hr)</w:t>
            </w:r>
          </w:p>
        </w:tc>
        <w:tc>
          <w:tcPr>
            <w:tcW w:w="1050" w:type="dxa"/>
            <w:shd w:val="clear" w:color="auto" w:fill="C2D7F8" w:themeFill="text2" w:themeFillTint="33"/>
            <w:tcMar>
              <w:top w:w="14" w:type="dxa"/>
              <w:bottom w:w="14" w:type="dxa"/>
            </w:tcMar>
            <w:vAlign w:val="center"/>
          </w:tcPr>
          <w:p w:rsidR="005C6088" w:rsidRPr="005D0985" w:rsidRDefault="005C6088"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0.0097</w:t>
            </w:r>
          </w:p>
        </w:tc>
        <w:tc>
          <w:tcPr>
            <w:tcW w:w="1050" w:type="dxa"/>
            <w:shd w:val="clear" w:color="auto" w:fill="C2D7F8" w:themeFill="text2" w:themeFillTint="33"/>
            <w:tcMar>
              <w:top w:w="14" w:type="dxa"/>
              <w:bottom w:w="14" w:type="dxa"/>
            </w:tcMar>
            <w:vAlign w:val="center"/>
          </w:tcPr>
          <w:p w:rsidR="005C6088" w:rsidRPr="005D0985" w:rsidRDefault="005C6088"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0.0103</w:t>
            </w:r>
          </w:p>
        </w:tc>
        <w:tc>
          <w:tcPr>
            <w:tcW w:w="1050" w:type="dxa"/>
            <w:shd w:val="clear" w:color="auto" w:fill="C2D7F8" w:themeFill="text2" w:themeFillTint="33"/>
            <w:tcMar>
              <w:top w:w="14" w:type="dxa"/>
              <w:bottom w:w="14" w:type="dxa"/>
            </w:tcMar>
            <w:vAlign w:val="center"/>
          </w:tcPr>
          <w:p w:rsidR="005C6088" w:rsidRPr="005D0985" w:rsidRDefault="005C6088"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0.011</w:t>
            </w:r>
          </w:p>
        </w:tc>
        <w:tc>
          <w:tcPr>
            <w:tcW w:w="1050" w:type="dxa"/>
            <w:shd w:val="clear" w:color="auto" w:fill="C2D7F8" w:themeFill="text2" w:themeFillTint="33"/>
            <w:tcMar>
              <w:top w:w="14" w:type="dxa"/>
              <w:bottom w:w="14" w:type="dxa"/>
            </w:tcMar>
            <w:vAlign w:val="center"/>
          </w:tcPr>
          <w:p w:rsidR="005C6088" w:rsidRPr="005D0985" w:rsidRDefault="005C6088"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0.012</w:t>
            </w:r>
          </w:p>
        </w:tc>
        <w:tc>
          <w:tcPr>
            <w:tcW w:w="1050" w:type="dxa"/>
            <w:shd w:val="clear" w:color="auto" w:fill="C2D7F8" w:themeFill="text2" w:themeFillTint="33"/>
            <w:tcMar>
              <w:top w:w="14" w:type="dxa"/>
              <w:bottom w:w="14" w:type="dxa"/>
            </w:tcMar>
            <w:vAlign w:val="center"/>
          </w:tcPr>
          <w:p w:rsidR="005C6088" w:rsidRPr="005D0985" w:rsidRDefault="005C6088"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0.013</w:t>
            </w:r>
          </w:p>
        </w:tc>
        <w:tc>
          <w:tcPr>
            <w:tcW w:w="1050" w:type="dxa"/>
            <w:shd w:val="clear" w:color="auto" w:fill="C2D7F8" w:themeFill="text2" w:themeFillTint="33"/>
            <w:tcMar>
              <w:top w:w="14" w:type="dxa"/>
              <w:bottom w:w="14" w:type="dxa"/>
            </w:tcMar>
            <w:vAlign w:val="center"/>
          </w:tcPr>
          <w:p w:rsidR="005C6088" w:rsidRPr="005D0985" w:rsidRDefault="005C6088" w:rsidP="00862F2F">
            <w:pPr>
              <w:keepNext/>
              <w:keepLines/>
              <w:spacing w:after="0" w:line="240" w:lineRule="auto"/>
              <w:jc w:val="center"/>
              <w:rPr>
                <w:rFonts w:asciiTheme="minorHAnsi" w:hAnsiTheme="minorHAnsi"/>
                <w:color w:val="000000"/>
                <w:sz w:val="18"/>
                <w:szCs w:val="18"/>
              </w:rPr>
            </w:pPr>
            <w:r w:rsidRPr="005D0985">
              <w:rPr>
                <w:rFonts w:asciiTheme="minorHAnsi" w:hAnsiTheme="minorHAnsi"/>
                <w:color w:val="000000"/>
                <w:sz w:val="18"/>
                <w:szCs w:val="18"/>
              </w:rPr>
              <w:t>0.013</w:t>
            </w:r>
          </w:p>
        </w:tc>
      </w:tr>
    </w:tbl>
    <w:p w:rsidR="00587924" w:rsidRPr="005C5B9E" w:rsidRDefault="00C5736F" w:rsidP="005D0985">
      <w:pPr>
        <w:keepNext/>
        <w:keepLines/>
        <w:numPr>
          <w:ilvl w:val="4"/>
          <w:numId w:val="288"/>
        </w:numPr>
        <w:tabs>
          <w:tab w:val="left" w:pos="720"/>
        </w:tabs>
        <w:spacing w:before="120" w:after="80" w:line="240" w:lineRule="auto"/>
        <w:ind w:left="450" w:right="90" w:hanging="270"/>
        <w:rPr>
          <w:rFonts w:asciiTheme="minorHAnsi" w:hAnsiTheme="minorHAnsi" w:cs="Arial"/>
          <w:color w:val="000000" w:themeColor="text1"/>
          <w:sz w:val="18"/>
          <w:szCs w:val="18"/>
        </w:rPr>
      </w:pPr>
      <w:r w:rsidRPr="005C5B9E">
        <w:rPr>
          <w:rFonts w:asciiTheme="minorHAnsi" w:hAnsiTheme="minorHAnsi" w:cs="Arial"/>
          <w:color w:val="000000" w:themeColor="text1"/>
          <w:sz w:val="18"/>
          <w:szCs w:val="18"/>
        </w:rPr>
        <w:t>The figures may not agree because of rounding.</w:t>
      </w:r>
    </w:p>
    <w:p w:rsidR="00587924" w:rsidRPr="005C5B9E" w:rsidRDefault="004C0122" w:rsidP="005D0985">
      <w:pPr>
        <w:keepNext/>
        <w:keepLines/>
        <w:numPr>
          <w:ilvl w:val="4"/>
          <w:numId w:val="288"/>
        </w:numPr>
        <w:tabs>
          <w:tab w:val="left" w:pos="720"/>
        </w:tabs>
        <w:spacing w:after="80" w:line="240" w:lineRule="auto"/>
        <w:ind w:left="450" w:right="90" w:hanging="270"/>
        <w:rPr>
          <w:rFonts w:asciiTheme="minorHAnsi" w:hAnsiTheme="minorHAnsi" w:cs="Arial"/>
          <w:color w:val="000000" w:themeColor="text1"/>
          <w:sz w:val="18"/>
          <w:szCs w:val="18"/>
        </w:rPr>
      </w:pPr>
      <w:r w:rsidRPr="00862F2F">
        <w:rPr>
          <w:rFonts w:asciiTheme="minorHAnsi" w:hAnsiTheme="minorHAnsi" w:cs="Arial"/>
          <w:color w:val="000000" w:themeColor="text1"/>
          <w:sz w:val="18"/>
          <w:szCs w:val="18"/>
        </w:rPr>
        <w:t>Sources:</w:t>
      </w:r>
      <w:r w:rsidRPr="005C5B9E">
        <w:rPr>
          <w:rFonts w:asciiTheme="minorHAnsi" w:hAnsiTheme="minorHAnsi" w:cs="Arial"/>
          <w:color w:val="000000" w:themeColor="text1"/>
          <w:sz w:val="18"/>
          <w:szCs w:val="18"/>
        </w:rPr>
        <w:t xml:space="preserve"> PTO </w:t>
      </w:r>
      <w:r w:rsidR="00113C54" w:rsidRPr="005C5B9E">
        <w:rPr>
          <w:rFonts w:asciiTheme="minorHAnsi" w:hAnsiTheme="minorHAnsi" w:cs="Arial"/>
          <w:color w:val="000000" w:themeColor="text1"/>
          <w:sz w:val="18"/>
          <w:szCs w:val="18"/>
        </w:rPr>
        <w:t>A</w:t>
      </w:r>
      <w:r w:rsidR="00F43157" w:rsidRPr="005C5B9E">
        <w:rPr>
          <w:rFonts w:asciiTheme="minorHAnsi" w:hAnsiTheme="minorHAnsi" w:cs="Arial"/>
          <w:color w:val="000000" w:themeColor="text1"/>
          <w:sz w:val="18"/>
          <w:szCs w:val="18"/>
        </w:rPr>
        <w:t xml:space="preserve">dministrative </w:t>
      </w:r>
      <w:r w:rsidR="00113C54" w:rsidRPr="005C5B9E">
        <w:rPr>
          <w:rFonts w:asciiTheme="minorHAnsi" w:hAnsiTheme="minorHAnsi" w:cs="Arial"/>
          <w:color w:val="000000" w:themeColor="text1"/>
          <w:sz w:val="18"/>
          <w:szCs w:val="18"/>
        </w:rPr>
        <w:t>C</w:t>
      </w:r>
      <w:r w:rsidR="00F43157" w:rsidRPr="005C5B9E">
        <w:rPr>
          <w:rFonts w:asciiTheme="minorHAnsi" w:hAnsiTheme="minorHAnsi" w:cs="Arial"/>
          <w:color w:val="000000" w:themeColor="text1"/>
          <w:sz w:val="18"/>
          <w:szCs w:val="18"/>
        </w:rPr>
        <w:t>ommittee</w:t>
      </w:r>
      <w:r w:rsidRPr="005C5B9E">
        <w:rPr>
          <w:rFonts w:asciiTheme="minorHAnsi" w:hAnsiTheme="minorHAnsi" w:cs="Arial"/>
          <w:color w:val="000000" w:themeColor="text1"/>
          <w:sz w:val="18"/>
          <w:szCs w:val="18"/>
        </w:rPr>
        <w:t xml:space="preserve"> Annual </w:t>
      </w:r>
      <w:r w:rsidR="001645E1" w:rsidRPr="005C5B9E">
        <w:rPr>
          <w:rFonts w:asciiTheme="minorHAnsi" w:hAnsiTheme="minorHAnsi" w:cs="Arial"/>
          <w:color w:val="000000" w:themeColor="text1"/>
          <w:sz w:val="18"/>
          <w:szCs w:val="18"/>
        </w:rPr>
        <w:t xml:space="preserve">Working Group: “Annual Informational Filing Regarding ISO Tariff Charges in Effect as of June 1, 2012, Pursuant to Docket Nos. RT04-2-000, et al.” (July 31, 2012), </w:t>
      </w:r>
      <w:hyperlink r:id="rId47" w:history="1">
        <w:r w:rsidRPr="005C5B9E">
          <w:rPr>
            <w:rStyle w:val="Hyperlink"/>
            <w:rFonts w:asciiTheme="minorHAnsi" w:hAnsiTheme="minorHAnsi" w:cs="Arial"/>
            <w:sz w:val="18"/>
            <w:szCs w:val="18"/>
          </w:rPr>
          <w:t>www.iso-ne.com/stlmnts/iso_rto_tariff/supp_docs/2012/pto_ac_info_filing_073012.pdf</w:t>
        </w:r>
      </w:hyperlink>
      <w:r w:rsidRPr="005C5B9E">
        <w:rPr>
          <w:rFonts w:asciiTheme="minorHAnsi" w:hAnsiTheme="minorHAnsi" w:cs="Arial"/>
          <w:color w:val="000000" w:themeColor="text1"/>
          <w:sz w:val="18"/>
          <w:szCs w:val="18"/>
        </w:rPr>
        <w:t xml:space="preserve">; </w:t>
      </w:r>
      <w:r w:rsidR="00EB448A" w:rsidRPr="005C5B9E">
        <w:rPr>
          <w:rFonts w:asciiTheme="minorHAnsi" w:hAnsiTheme="minorHAnsi" w:cs="Arial"/>
          <w:color w:val="000000" w:themeColor="text1"/>
          <w:sz w:val="18"/>
          <w:szCs w:val="18"/>
        </w:rPr>
        <w:t>“</w:t>
      </w:r>
      <w:r w:rsidR="001645E1" w:rsidRPr="005C5B9E">
        <w:rPr>
          <w:rFonts w:asciiTheme="minorHAnsi" w:hAnsiTheme="minorHAnsi" w:cs="Arial"/>
          <w:color w:val="000000" w:themeColor="text1"/>
          <w:sz w:val="18"/>
          <w:szCs w:val="18"/>
        </w:rPr>
        <w:t>Supplement to July 31, 2013</w:t>
      </w:r>
      <w:r w:rsidR="005D0985">
        <w:rPr>
          <w:rFonts w:asciiTheme="minorHAnsi" w:hAnsiTheme="minorHAnsi" w:cs="Arial"/>
          <w:color w:val="000000" w:themeColor="text1"/>
          <w:sz w:val="18"/>
          <w:szCs w:val="18"/>
        </w:rPr>
        <w:t>,</w:t>
      </w:r>
      <w:r w:rsidR="001645E1" w:rsidRPr="005C5B9E">
        <w:rPr>
          <w:rFonts w:asciiTheme="minorHAnsi" w:hAnsiTheme="minorHAnsi" w:cs="Arial"/>
          <w:color w:val="000000" w:themeColor="text1"/>
          <w:sz w:val="18"/>
          <w:szCs w:val="18"/>
        </w:rPr>
        <w:t xml:space="preserve"> Annual Informational Filing Regarding ISO-NE Tariff Charges in Effect as of June 1, 2013, Pursuant to Docket Nos. RT04-2-000, </w:t>
      </w:r>
      <w:proofErr w:type="gramStart"/>
      <w:r w:rsidR="001645E1" w:rsidRPr="005C5B9E">
        <w:rPr>
          <w:rFonts w:asciiTheme="minorHAnsi" w:hAnsiTheme="minorHAnsi" w:cs="Arial"/>
          <w:color w:val="000000" w:themeColor="text1"/>
          <w:sz w:val="18"/>
          <w:szCs w:val="18"/>
        </w:rPr>
        <w:t>et</w:t>
      </w:r>
      <w:proofErr w:type="gramEnd"/>
      <w:r w:rsidR="001645E1" w:rsidRPr="005C5B9E">
        <w:rPr>
          <w:rFonts w:asciiTheme="minorHAnsi" w:hAnsiTheme="minorHAnsi" w:cs="Arial"/>
          <w:color w:val="000000" w:themeColor="text1"/>
          <w:sz w:val="18"/>
          <w:szCs w:val="18"/>
        </w:rPr>
        <w:t xml:space="preserve">. </w:t>
      </w:r>
      <w:proofErr w:type="gramStart"/>
      <w:r w:rsidR="001645E1" w:rsidRPr="005C5B9E">
        <w:rPr>
          <w:rFonts w:asciiTheme="minorHAnsi" w:hAnsiTheme="minorHAnsi" w:cs="Arial"/>
          <w:color w:val="000000" w:themeColor="text1"/>
          <w:sz w:val="18"/>
          <w:szCs w:val="18"/>
        </w:rPr>
        <w:t>al</w:t>
      </w:r>
      <w:proofErr w:type="gramEnd"/>
      <w:r w:rsidR="001645E1" w:rsidRPr="005C5B9E">
        <w:rPr>
          <w:rFonts w:asciiTheme="minorHAnsi" w:hAnsiTheme="minorHAnsi" w:cs="Arial"/>
          <w:color w:val="000000" w:themeColor="text1"/>
          <w:sz w:val="18"/>
          <w:szCs w:val="18"/>
        </w:rPr>
        <w:t xml:space="preserve">.” (December 20, 2013), </w:t>
      </w:r>
      <w:hyperlink r:id="rId48" w:history="1">
        <w:r w:rsidRPr="005C5B9E">
          <w:rPr>
            <w:rStyle w:val="Hyperlink"/>
            <w:rFonts w:asciiTheme="minorHAnsi" w:hAnsiTheme="minorHAnsi" w:cs="Arial"/>
            <w:sz w:val="18"/>
            <w:szCs w:val="18"/>
          </w:rPr>
          <w:t>www.iso-ne.com/stlmnts/iso_rto_tariff/supp_docs/2013/pto_ac_info_filing_122013.pdf</w:t>
        </w:r>
      </w:hyperlink>
      <w:r w:rsidR="001645E1" w:rsidRPr="005C5B9E">
        <w:rPr>
          <w:rFonts w:asciiTheme="minorHAnsi" w:hAnsiTheme="minorHAnsi"/>
          <w:sz w:val="18"/>
          <w:szCs w:val="18"/>
        </w:rPr>
        <w:t>; and “Annual Informational Filing Regarding ISO Tariff Charges in Effect as of June 1, 2014, Pursuant to Docket Nos. RT04-2-000, et al.</w:t>
      </w:r>
      <w:r w:rsidR="00EB448A" w:rsidRPr="005C5B9E">
        <w:rPr>
          <w:rFonts w:asciiTheme="minorHAnsi" w:hAnsiTheme="minorHAnsi"/>
          <w:sz w:val="18"/>
          <w:szCs w:val="18"/>
        </w:rPr>
        <w:t>”</w:t>
      </w:r>
      <w:r w:rsidR="001645E1" w:rsidRPr="005C5B9E">
        <w:rPr>
          <w:rFonts w:asciiTheme="minorHAnsi" w:hAnsiTheme="minorHAnsi"/>
          <w:sz w:val="18"/>
          <w:szCs w:val="18"/>
        </w:rPr>
        <w:t xml:space="preserve"> </w:t>
      </w:r>
      <w:proofErr w:type="gramStart"/>
      <w:r w:rsidR="001645E1" w:rsidRPr="005C5B9E">
        <w:rPr>
          <w:rFonts w:asciiTheme="minorHAnsi" w:hAnsiTheme="minorHAnsi"/>
          <w:sz w:val="18"/>
          <w:szCs w:val="18"/>
        </w:rPr>
        <w:t xml:space="preserve">(July 31, 2014), </w:t>
      </w:r>
      <w:hyperlink r:id="rId49" w:history="1">
        <w:r w:rsidRPr="005C5B9E">
          <w:rPr>
            <w:rStyle w:val="Hyperlink"/>
            <w:rFonts w:asciiTheme="minorHAnsi" w:hAnsiTheme="minorHAnsi" w:cs="Arial"/>
            <w:sz w:val="18"/>
            <w:szCs w:val="18"/>
          </w:rPr>
          <w:t>www.iso-ne.com/stlmts/iso_rto_tariff/supp_docs/2014/pto_ac_info_filing_073114.pdf</w:t>
        </w:r>
      </w:hyperlink>
      <w:r w:rsidR="001645E1" w:rsidRPr="005C5B9E">
        <w:rPr>
          <w:rFonts w:asciiTheme="minorHAnsi" w:hAnsiTheme="minorHAnsi"/>
          <w:sz w:val="18"/>
          <w:szCs w:val="18"/>
        </w:rPr>
        <w:t>.</w:t>
      </w:r>
      <w:proofErr w:type="gramEnd"/>
    </w:p>
    <w:p w:rsidR="00587924" w:rsidRPr="005C5B9E" w:rsidRDefault="005C6088" w:rsidP="005D0985">
      <w:pPr>
        <w:keepNext/>
        <w:keepLines/>
        <w:tabs>
          <w:tab w:val="left" w:pos="720"/>
        </w:tabs>
        <w:spacing w:after="80" w:line="240" w:lineRule="auto"/>
        <w:ind w:left="450" w:right="90" w:hanging="270"/>
        <w:rPr>
          <w:rFonts w:asciiTheme="minorHAnsi" w:hAnsiTheme="minorHAnsi" w:cs="Arial"/>
          <w:color w:val="000000" w:themeColor="text1"/>
          <w:sz w:val="18"/>
          <w:szCs w:val="18"/>
        </w:rPr>
      </w:pPr>
      <w:proofErr w:type="gramStart"/>
      <w:r w:rsidRPr="005C5B9E">
        <w:rPr>
          <w:rFonts w:asciiTheme="minorHAnsi" w:hAnsiTheme="minorHAnsi" w:cs="Arial"/>
          <w:color w:val="000000" w:themeColor="text1"/>
          <w:sz w:val="18"/>
          <w:szCs w:val="18"/>
        </w:rPr>
        <w:t xml:space="preserve">(c) </w:t>
      </w:r>
      <w:r w:rsidR="008B1A00" w:rsidRPr="005C5B9E">
        <w:rPr>
          <w:rFonts w:asciiTheme="minorHAnsi" w:hAnsiTheme="minorHAnsi" w:cs="Arial"/>
          <w:color w:val="000000" w:themeColor="text1"/>
          <w:sz w:val="18"/>
          <w:szCs w:val="18"/>
        </w:rPr>
        <w:tab/>
      </w:r>
      <w:r w:rsidR="004C0122" w:rsidRPr="00862F2F">
        <w:rPr>
          <w:rFonts w:asciiTheme="minorHAnsi" w:hAnsiTheme="minorHAnsi" w:cs="Arial"/>
          <w:color w:val="000000" w:themeColor="text1"/>
          <w:sz w:val="18"/>
          <w:szCs w:val="18"/>
        </w:rPr>
        <w:t>Source:</w:t>
      </w:r>
      <w:r w:rsidR="004C0122" w:rsidRPr="005C5B9E">
        <w:rPr>
          <w:rFonts w:asciiTheme="minorHAnsi" w:hAnsiTheme="minorHAnsi" w:cs="Arial"/>
          <w:color w:val="000000" w:themeColor="text1"/>
          <w:sz w:val="18"/>
          <w:szCs w:val="18"/>
        </w:rPr>
        <w:t xml:space="preserve"> </w:t>
      </w:r>
      <w:r w:rsidR="004C0122" w:rsidRPr="005C5B9E">
        <w:rPr>
          <w:rFonts w:asciiTheme="minorHAnsi" w:hAnsiTheme="minorHAnsi" w:cs="Arial"/>
          <w:i/>
          <w:color w:val="000000" w:themeColor="text1"/>
          <w:sz w:val="18"/>
          <w:szCs w:val="18"/>
        </w:rPr>
        <w:t>RNS Rates: 2014</w:t>
      </w:r>
      <w:r w:rsidR="00F43157" w:rsidRPr="005C5B9E">
        <w:rPr>
          <w:rFonts w:asciiTheme="minorHAnsi" w:hAnsiTheme="minorHAnsi" w:cs="Arial"/>
          <w:i/>
          <w:color w:val="000000" w:themeColor="text1"/>
          <w:sz w:val="18"/>
          <w:szCs w:val="18"/>
        </w:rPr>
        <w:t>–</w:t>
      </w:r>
      <w:r w:rsidR="004C0122" w:rsidRPr="005C5B9E">
        <w:rPr>
          <w:rFonts w:asciiTheme="minorHAnsi" w:hAnsiTheme="minorHAnsi" w:cs="Arial"/>
          <w:i/>
          <w:color w:val="000000" w:themeColor="text1"/>
          <w:sz w:val="18"/>
          <w:szCs w:val="18"/>
        </w:rPr>
        <w:t xml:space="preserve">2018 PTF Forecast, </w:t>
      </w:r>
      <w:r w:rsidR="004C0122" w:rsidRPr="005C5B9E">
        <w:rPr>
          <w:rFonts w:asciiTheme="minorHAnsi" w:hAnsiTheme="minorHAnsi" w:cs="Arial"/>
          <w:color w:val="000000" w:themeColor="text1"/>
          <w:sz w:val="18"/>
          <w:szCs w:val="18"/>
        </w:rPr>
        <w:t xml:space="preserve">PTO </w:t>
      </w:r>
      <w:r w:rsidR="00113C54" w:rsidRPr="005C5B9E">
        <w:rPr>
          <w:rFonts w:asciiTheme="minorHAnsi" w:hAnsiTheme="minorHAnsi" w:cs="Arial"/>
          <w:color w:val="000000" w:themeColor="text1"/>
          <w:sz w:val="18"/>
          <w:szCs w:val="18"/>
        </w:rPr>
        <w:t>A</w:t>
      </w:r>
      <w:r w:rsidR="00F43157" w:rsidRPr="005C5B9E">
        <w:rPr>
          <w:rFonts w:asciiTheme="minorHAnsi" w:hAnsiTheme="minorHAnsi" w:cs="Arial"/>
          <w:color w:val="000000" w:themeColor="text1"/>
          <w:sz w:val="18"/>
          <w:szCs w:val="18"/>
        </w:rPr>
        <w:t xml:space="preserve">dministrative </w:t>
      </w:r>
      <w:r w:rsidR="00113C54" w:rsidRPr="005C5B9E">
        <w:rPr>
          <w:rFonts w:asciiTheme="minorHAnsi" w:hAnsiTheme="minorHAnsi" w:cs="Arial"/>
          <w:color w:val="000000" w:themeColor="text1"/>
          <w:sz w:val="18"/>
          <w:szCs w:val="18"/>
        </w:rPr>
        <w:t>C</w:t>
      </w:r>
      <w:r w:rsidR="00F43157" w:rsidRPr="005C5B9E">
        <w:rPr>
          <w:rFonts w:asciiTheme="minorHAnsi" w:hAnsiTheme="minorHAnsi" w:cs="Arial"/>
          <w:color w:val="000000" w:themeColor="text1"/>
          <w:sz w:val="18"/>
          <w:szCs w:val="18"/>
        </w:rPr>
        <w:t>ommittee</w:t>
      </w:r>
      <w:r w:rsidR="004C0122" w:rsidRPr="005C5B9E">
        <w:rPr>
          <w:rFonts w:asciiTheme="minorHAnsi" w:hAnsiTheme="minorHAnsi" w:cs="Arial"/>
          <w:color w:val="000000" w:themeColor="text1"/>
          <w:sz w:val="18"/>
          <w:szCs w:val="18"/>
        </w:rPr>
        <w:t xml:space="preserve"> Rates Working Group presentation at the NEPOOL Reliability Committee/Transmission Committee Summer Meeting (August 11–12, 2014)</w:t>
      </w:r>
      <w:r w:rsidR="00F43157" w:rsidRPr="005C5B9E">
        <w:rPr>
          <w:rFonts w:asciiTheme="minorHAnsi" w:hAnsiTheme="minorHAnsi" w:cs="Arial"/>
          <w:color w:val="000000" w:themeColor="text1"/>
          <w:sz w:val="18"/>
          <w:szCs w:val="18"/>
        </w:rPr>
        <w:t xml:space="preserve">, </w:t>
      </w:r>
      <w:hyperlink r:id="rId50" w:history="1">
        <w:r w:rsidR="004C0122" w:rsidRPr="005C5B9E">
          <w:rPr>
            <w:rStyle w:val="Hyperlink"/>
            <w:rFonts w:asciiTheme="minorHAnsi" w:hAnsiTheme="minorHAnsi"/>
            <w:sz w:val="18"/>
            <w:szCs w:val="18"/>
          </w:rPr>
          <w:t>www.iso-ne.com/committees/comm_wkgrps/trans_comm/tariff_comm/mtrls/2014/aug11122014/a8_rns_5_yr_forecast.ppt</w:t>
        </w:r>
      </w:hyperlink>
      <w:r w:rsidR="004C0122" w:rsidRPr="005C5B9E">
        <w:rPr>
          <w:rFonts w:asciiTheme="minorHAnsi" w:hAnsiTheme="minorHAnsi"/>
          <w:sz w:val="18"/>
          <w:szCs w:val="18"/>
        </w:rPr>
        <w:t>.</w:t>
      </w:r>
      <w:proofErr w:type="gramEnd"/>
      <w:r w:rsidR="004C0122" w:rsidRPr="005C5B9E">
        <w:rPr>
          <w:rFonts w:asciiTheme="minorHAnsi" w:hAnsiTheme="minorHAnsi" w:cs="Arial"/>
          <w:color w:val="000000" w:themeColor="text1"/>
          <w:sz w:val="18"/>
          <w:szCs w:val="18"/>
        </w:rPr>
        <w:t xml:space="preserve"> The 2015-2018 rate forecast reflects PTO </w:t>
      </w:r>
      <w:r w:rsidR="00113C54" w:rsidRPr="005C5B9E">
        <w:rPr>
          <w:rFonts w:asciiTheme="minorHAnsi" w:hAnsiTheme="minorHAnsi" w:cs="Arial"/>
          <w:color w:val="000000" w:themeColor="text1"/>
          <w:sz w:val="18"/>
          <w:szCs w:val="18"/>
        </w:rPr>
        <w:t>A</w:t>
      </w:r>
      <w:r w:rsidR="00F43157" w:rsidRPr="005C5B9E">
        <w:rPr>
          <w:rFonts w:asciiTheme="minorHAnsi" w:hAnsiTheme="minorHAnsi" w:cs="Arial"/>
          <w:color w:val="000000" w:themeColor="text1"/>
          <w:sz w:val="18"/>
          <w:szCs w:val="18"/>
        </w:rPr>
        <w:t xml:space="preserve">dministrative </w:t>
      </w:r>
      <w:r w:rsidR="00113C54" w:rsidRPr="005C5B9E">
        <w:rPr>
          <w:rFonts w:asciiTheme="minorHAnsi" w:hAnsiTheme="minorHAnsi" w:cs="Arial"/>
          <w:color w:val="000000" w:themeColor="text1"/>
          <w:sz w:val="18"/>
          <w:szCs w:val="18"/>
        </w:rPr>
        <w:t>C</w:t>
      </w:r>
      <w:r w:rsidR="00F43157" w:rsidRPr="005C5B9E">
        <w:rPr>
          <w:rFonts w:asciiTheme="minorHAnsi" w:hAnsiTheme="minorHAnsi" w:cs="Arial"/>
          <w:color w:val="000000" w:themeColor="text1"/>
          <w:sz w:val="18"/>
          <w:szCs w:val="18"/>
        </w:rPr>
        <w:t>ommittee</w:t>
      </w:r>
      <w:r w:rsidR="004C0122" w:rsidRPr="005C5B9E">
        <w:rPr>
          <w:rFonts w:asciiTheme="minorHAnsi" w:hAnsiTheme="minorHAnsi" w:cs="Arial"/>
          <w:color w:val="000000" w:themeColor="text1"/>
          <w:sz w:val="18"/>
          <w:szCs w:val="18"/>
        </w:rPr>
        <w:t xml:space="preserve"> estimated data and assumptions</w:t>
      </w:r>
      <w:r w:rsidR="005D0985">
        <w:rPr>
          <w:rFonts w:asciiTheme="minorHAnsi" w:hAnsiTheme="minorHAnsi" w:cs="Arial"/>
          <w:color w:val="000000" w:themeColor="text1"/>
          <w:sz w:val="18"/>
          <w:szCs w:val="18"/>
        </w:rPr>
        <w:t xml:space="preserve"> and </w:t>
      </w:r>
      <w:r w:rsidR="004C0122" w:rsidRPr="005C5B9E">
        <w:rPr>
          <w:rFonts w:asciiTheme="minorHAnsi" w:hAnsiTheme="minorHAnsi" w:cs="Arial"/>
          <w:color w:val="000000" w:themeColor="text1"/>
          <w:sz w:val="18"/>
          <w:szCs w:val="18"/>
        </w:rPr>
        <w:t xml:space="preserve">is preliminary and for illustrative purposes only. Therefore, such estimates, assumptions, and rates </w:t>
      </w:r>
      <w:proofErr w:type="gramStart"/>
      <w:r w:rsidR="004C0122" w:rsidRPr="005C5B9E">
        <w:rPr>
          <w:rFonts w:asciiTheme="minorHAnsi" w:hAnsiTheme="minorHAnsi" w:cs="Arial"/>
          <w:color w:val="000000" w:themeColor="text1"/>
          <w:sz w:val="18"/>
          <w:szCs w:val="18"/>
        </w:rPr>
        <w:t>are expected</w:t>
      </w:r>
      <w:proofErr w:type="gramEnd"/>
      <w:r w:rsidR="004C0122" w:rsidRPr="005C5B9E">
        <w:rPr>
          <w:rFonts w:asciiTheme="minorHAnsi" w:hAnsiTheme="minorHAnsi" w:cs="Arial"/>
          <w:color w:val="000000" w:themeColor="text1"/>
          <w:sz w:val="18"/>
          <w:szCs w:val="18"/>
        </w:rPr>
        <w:t xml:space="preserve"> to change as current data become available.</w:t>
      </w:r>
    </w:p>
    <w:p w:rsidR="00587924" w:rsidRPr="005C5B9E" w:rsidRDefault="008B1A00" w:rsidP="005D0985">
      <w:pPr>
        <w:keepNext/>
        <w:keepLines/>
        <w:spacing w:after="80" w:line="240" w:lineRule="auto"/>
        <w:ind w:left="450" w:right="90" w:hanging="270"/>
        <w:rPr>
          <w:rFonts w:asciiTheme="minorHAnsi" w:hAnsiTheme="minorHAnsi" w:cs="Arial"/>
          <w:color w:val="000000" w:themeColor="text1"/>
          <w:sz w:val="18"/>
          <w:szCs w:val="18"/>
        </w:rPr>
      </w:pPr>
      <w:r w:rsidRPr="005C5B9E">
        <w:rPr>
          <w:rFonts w:asciiTheme="minorHAnsi" w:hAnsiTheme="minorHAnsi" w:cs="Arial"/>
          <w:color w:val="000000" w:themeColor="text1"/>
          <w:sz w:val="18"/>
          <w:szCs w:val="18"/>
        </w:rPr>
        <w:t xml:space="preserve">(d) </w:t>
      </w:r>
      <w:r w:rsidRPr="005C5B9E">
        <w:rPr>
          <w:rFonts w:asciiTheme="minorHAnsi" w:hAnsiTheme="minorHAnsi" w:cs="Arial"/>
          <w:color w:val="000000" w:themeColor="text1"/>
          <w:sz w:val="18"/>
          <w:szCs w:val="18"/>
        </w:rPr>
        <w:tab/>
      </w:r>
      <w:r w:rsidR="005C6088" w:rsidRPr="005C5B9E">
        <w:rPr>
          <w:rFonts w:asciiTheme="minorHAnsi" w:hAnsiTheme="minorHAnsi" w:cs="Arial"/>
          <w:color w:val="000000" w:themeColor="text1"/>
          <w:sz w:val="18"/>
          <w:szCs w:val="18"/>
        </w:rPr>
        <w:t xml:space="preserve">Includes the forecasted annual </w:t>
      </w:r>
      <w:r w:rsidRPr="005C5B9E">
        <w:rPr>
          <w:rFonts w:asciiTheme="minorHAnsi" w:hAnsiTheme="minorHAnsi" w:cs="Arial"/>
          <w:color w:val="000000" w:themeColor="text1"/>
          <w:sz w:val="18"/>
          <w:szCs w:val="18"/>
        </w:rPr>
        <w:t>p</w:t>
      </w:r>
      <w:r w:rsidR="005C6088" w:rsidRPr="005C5B9E">
        <w:rPr>
          <w:rFonts w:asciiTheme="minorHAnsi" w:hAnsiTheme="minorHAnsi" w:cs="Arial"/>
          <w:color w:val="000000" w:themeColor="text1"/>
          <w:sz w:val="18"/>
          <w:szCs w:val="18"/>
        </w:rPr>
        <w:t>ool</w:t>
      </w:r>
      <w:r w:rsidRPr="005C5B9E">
        <w:rPr>
          <w:rFonts w:asciiTheme="minorHAnsi" w:hAnsiTheme="minorHAnsi" w:cs="Arial"/>
          <w:color w:val="000000" w:themeColor="text1"/>
          <w:sz w:val="18"/>
          <w:szCs w:val="18"/>
        </w:rPr>
        <w:t>-s</w:t>
      </w:r>
      <w:r w:rsidR="005C6088" w:rsidRPr="005C5B9E">
        <w:rPr>
          <w:rFonts w:asciiTheme="minorHAnsi" w:hAnsiTheme="minorHAnsi" w:cs="Arial"/>
          <w:color w:val="000000" w:themeColor="text1"/>
          <w:sz w:val="18"/>
          <w:szCs w:val="18"/>
        </w:rPr>
        <w:t xml:space="preserve">upported PTF revenue requirements for facilities expected to </w:t>
      </w:r>
      <w:proofErr w:type="gramStart"/>
      <w:r w:rsidR="005C6088" w:rsidRPr="005C5B9E">
        <w:rPr>
          <w:rFonts w:asciiTheme="minorHAnsi" w:hAnsiTheme="minorHAnsi" w:cs="Arial"/>
          <w:color w:val="000000" w:themeColor="text1"/>
          <w:sz w:val="18"/>
          <w:szCs w:val="18"/>
        </w:rPr>
        <w:t>be placed</w:t>
      </w:r>
      <w:proofErr w:type="gramEnd"/>
      <w:r w:rsidR="005C6088" w:rsidRPr="005C5B9E">
        <w:rPr>
          <w:rFonts w:asciiTheme="minorHAnsi" w:hAnsiTheme="minorHAnsi" w:cs="Arial"/>
          <w:color w:val="000000" w:themeColor="text1"/>
          <w:sz w:val="18"/>
          <w:szCs w:val="18"/>
        </w:rPr>
        <w:t xml:space="preserve"> in service and </w:t>
      </w:r>
      <w:r w:rsidR="005C6088" w:rsidRPr="005D0985">
        <w:rPr>
          <w:rFonts w:asciiTheme="minorHAnsi" w:hAnsiTheme="minorHAnsi" w:cs="Arial"/>
          <w:color w:val="000000" w:themeColor="text1"/>
          <w:sz w:val="18"/>
          <w:szCs w:val="18"/>
        </w:rPr>
        <w:t>“construction work</w:t>
      </w:r>
      <w:r w:rsidR="005D0985">
        <w:rPr>
          <w:rFonts w:asciiTheme="minorHAnsi" w:hAnsiTheme="minorHAnsi" w:cs="Arial"/>
          <w:color w:val="000000" w:themeColor="text1"/>
          <w:sz w:val="18"/>
          <w:szCs w:val="18"/>
        </w:rPr>
        <w:t>-</w:t>
      </w:r>
      <w:r w:rsidR="005C6088" w:rsidRPr="005D0985">
        <w:rPr>
          <w:rFonts w:asciiTheme="minorHAnsi" w:hAnsiTheme="minorHAnsi" w:cs="Arial"/>
          <w:color w:val="000000" w:themeColor="text1"/>
          <w:sz w:val="18"/>
          <w:szCs w:val="18"/>
        </w:rPr>
        <w:t>in</w:t>
      </w:r>
      <w:r w:rsidR="005D0985">
        <w:rPr>
          <w:rFonts w:asciiTheme="minorHAnsi" w:hAnsiTheme="minorHAnsi" w:cs="Arial"/>
          <w:color w:val="000000" w:themeColor="text1"/>
          <w:sz w:val="18"/>
          <w:szCs w:val="18"/>
        </w:rPr>
        <w:t>-</w:t>
      </w:r>
      <w:r w:rsidR="005C6088" w:rsidRPr="005D0985">
        <w:rPr>
          <w:rFonts w:asciiTheme="minorHAnsi" w:hAnsiTheme="minorHAnsi" w:cs="Arial"/>
          <w:color w:val="000000" w:themeColor="text1"/>
          <w:sz w:val="18"/>
          <w:szCs w:val="18"/>
        </w:rPr>
        <w:t>progress”</w:t>
      </w:r>
      <w:r w:rsidR="005C6088" w:rsidRPr="005C5B9E">
        <w:rPr>
          <w:rFonts w:asciiTheme="minorHAnsi" w:hAnsiTheme="minorHAnsi" w:cs="Arial"/>
          <w:color w:val="000000" w:themeColor="text1"/>
          <w:sz w:val="18"/>
          <w:szCs w:val="18"/>
        </w:rPr>
        <w:t xml:space="preserve"> costs.</w:t>
      </w:r>
    </w:p>
    <w:p w:rsidR="00587924" w:rsidRPr="005C5B9E" w:rsidRDefault="00190071" w:rsidP="005D0985">
      <w:pPr>
        <w:spacing w:after="80" w:line="240" w:lineRule="auto"/>
        <w:ind w:left="450" w:right="90" w:hanging="270"/>
        <w:rPr>
          <w:rFonts w:asciiTheme="minorHAnsi" w:hAnsiTheme="minorHAnsi" w:cs="Arial"/>
          <w:color w:val="000000" w:themeColor="text1"/>
          <w:sz w:val="18"/>
          <w:szCs w:val="18"/>
        </w:rPr>
      </w:pPr>
      <w:r w:rsidRPr="005C5B9E">
        <w:rPr>
          <w:rFonts w:asciiTheme="minorHAnsi" w:hAnsiTheme="minorHAnsi" w:cs="Arial"/>
          <w:color w:val="000000" w:themeColor="text1"/>
          <w:sz w:val="18"/>
          <w:szCs w:val="18"/>
        </w:rPr>
        <w:t>(e)</w:t>
      </w:r>
      <w:r w:rsidRPr="005C5B9E">
        <w:rPr>
          <w:rFonts w:asciiTheme="minorHAnsi" w:hAnsiTheme="minorHAnsi" w:cs="Arial"/>
          <w:color w:val="000000" w:themeColor="text1"/>
          <w:sz w:val="18"/>
          <w:szCs w:val="18"/>
        </w:rPr>
        <w:tab/>
        <w:t xml:space="preserve">“12 CP” refers to the average of all the monthly regional network loads (per </w:t>
      </w:r>
      <w:r w:rsidR="00113C54" w:rsidRPr="005C5B9E">
        <w:rPr>
          <w:rFonts w:asciiTheme="minorHAnsi" w:hAnsiTheme="minorHAnsi" w:cs="Arial"/>
          <w:color w:val="000000" w:themeColor="text1"/>
          <w:sz w:val="18"/>
          <w:szCs w:val="18"/>
        </w:rPr>
        <w:t xml:space="preserve">the OATT, </w:t>
      </w:r>
      <w:r w:rsidRPr="005C5B9E">
        <w:rPr>
          <w:rFonts w:asciiTheme="minorHAnsi" w:hAnsiTheme="minorHAnsi" w:cs="Arial"/>
          <w:color w:val="000000" w:themeColor="text1"/>
          <w:sz w:val="18"/>
          <w:szCs w:val="18"/>
        </w:rPr>
        <w:t>Section 21.2) for the 12</w:t>
      </w:r>
      <w:r w:rsidR="008110C6">
        <w:rPr>
          <w:rFonts w:asciiTheme="minorHAnsi" w:hAnsiTheme="minorHAnsi" w:cs="Arial"/>
          <w:color w:val="000000" w:themeColor="text1"/>
          <w:sz w:val="18"/>
          <w:szCs w:val="18"/>
        </w:rPr>
        <w:t> </w:t>
      </w:r>
      <w:r w:rsidRPr="005C5B9E">
        <w:rPr>
          <w:rFonts w:asciiTheme="minorHAnsi" w:hAnsiTheme="minorHAnsi" w:cs="Arial"/>
          <w:color w:val="000000" w:themeColor="text1"/>
          <w:sz w:val="18"/>
          <w:szCs w:val="18"/>
        </w:rPr>
        <w:t xml:space="preserve">months of the calendar year on which the rate </w:t>
      </w:r>
      <w:proofErr w:type="gramStart"/>
      <w:r w:rsidRPr="005C5B9E">
        <w:rPr>
          <w:rFonts w:asciiTheme="minorHAnsi" w:hAnsiTheme="minorHAnsi" w:cs="Arial"/>
          <w:color w:val="000000" w:themeColor="text1"/>
          <w:sz w:val="18"/>
          <w:szCs w:val="18"/>
        </w:rPr>
        <w:t>is based</w:t>
      </w:r>
      <w:proofErr w:type="gramEnd"/>
      <w:r w:rsidRPr="005C5B9E">
        <w:rPr>
          <w:rFonts w:asciiTheme="minorHAnsi" w:hAnsiTheme="minorHAnsi" w:cs="Arial"/>
          <w:color w:val="000000" w:themeColor="text1"/>
          <w:sz w:val="18"/>
          <w:szCs w:val="18"/>
        </w:rPr>
        <w:t>.</w:t>
      </w:r>
    </w:p>
    <w:p w:rsidR="00E63D3A" w:rsidRDefault="00C561D4" w:rsidP="003C014A">
      <w:pPr>
        <w:pStyle w:val="Heading2"/>
        <w:keepNext w:val="0"/>
        <w:keepLines w:val="0"/>
      </w:pPr>
      <w:bookmarkStart w:id="593" w:name="_Toc303086404"/>
      <w:bookmarkStart w:id="594" w:name="_Ref303943826"/>
      <w:bookmarkStart w:id="595" w:name="_Toc334601055"/>
      <w:bookmarkStart w:id="596" w:name="_Ref360784941"/>
      <w:bookmarkStart w:id="597" w:name="_Ref360800348"/>
      <w:bookmarkStart w:id="598" w:name="_Ref360800391"/>
      <w:bookmarkStart w:id="599" w:name="_Toc365441012"/>
      <w:bookmarkStart w:id="600" w:name="_Ref387743376"/>
      <w:bookmarkStart w:id="601" w:name="_Ref388700297"/>
      <w:bookmarkStart w:id="602" w:name="_Ref390423895"/>
      <w:bookmarkStart w:id="603" w:name="_Toc396807642"/>
      <w:r w:rsidRPr="00503745">
        <w:t>Transmission System Performance Needs Assessments and Upgrade Approvals</w:t>
      </w:r>
      <w:bookmarkEnd w:id="593"/>
      <w:bookmarkEnd w:id="594"/>
      <w:bookmarkEnd w:id="595"/>
      <w:bookmarkEnd w:id="596"/>
      <w:bookmarkEnd w:id="597"/>
      <w:bookmarkEnd w:id="598"/>
      <w:bookmarkEnd w:id="599"/>
      <w:bookmarkEnd w:id="600"/>
      <w:bookmarkEnd w:id="601"/>
      <w:bookmarkEnd w:id="602"/>
      <w:bookmarkEnd w:id="603"/>
    </w:p>
    <w:p w:rsidR="00C561D4" w:rsidRDefault="00C561D4" w:rsidP="003C014A">
      <w:r w:rsidRPr="00A577A3">
        <w:t xml:space="preserve">The New England power system provides electricity to a diverse region, ranging from rural agricultural areas to densely </w:t>
      </w:r>
      <w:proofErr w:type="gramStart"/>
      <w:r w:rsidRPr="00A577A3">
        <w:t>populated</w:t>
      </w:r>
      <w:proofErr w:type="gramEnd"/>
      <w:r w:rsidRPr="00A577A3">
        <w:t xml:space="preserve"> urban areas, and it integrates widely dispersed and varied types of power supply resources. The geographic distribution of peak loads </w:t>
      </w:r>
      <w:r>
        <w:t xml:space="preserve">in </w:t>
      </w:r>
      <w:r w:rsidRPr="00A577A3">
        <w:t>New England is approximately 20% in the northern states of Maine, New Hampshire, and Vermont and 80% in the southern states of Massachusetts, Connecticut, and Rhode Island. Although the land area in the northern states is larger than the land area in the southern states, the greater urban development in southern New England creates the relatively larger demand and corresponding transmission density.</w:t>
      </w:r>
    </w:p>
    <w:p w:rsidR="00C561D4" w:rsidRPr="00A577A3" w:rsidRDefault="00C561D4" w:rsidP="00C561D4">
      <w:r w:rsidRPr="00A577A3">
        <w:t xml:space="preserve">The New England transmission system consists of mostly 115 kV, 230 kV, and 345 kV transmission lines, which in northern New England generally </w:t>
      </w:r>
      <w:r>
        <w:t xml:space="preserve">are </w:t>
      </w:r>
      <w:r w:rsidRPr="00A577A3">
        <w:t>longer and fewer in number than in southern New England. The New England area has nine interconnections with New York: two 345 kV ties</w:t>
      </w:r>
      <w:r>
        <w:t>;</w:t>
      </w:r>
      <w:r w:rsidRPr="00A577A3">
        <w:t xml:space="preserve"> one 230 kV tie</w:t>
      </w:r>
      <w:r>
        <w:t>;</w:t>
      </w:r>
      <w:r w:rsidRPr="00A577A3">
        <w:t xml:space="preserve"> one 138 kV tie</w:t>
      </w:r>
      <w:r>
        <w:t>;</w:t>
      </w:r>
      <w:r w:rsidRPr="00A577A3">
        <w:t xml:space="preserve"> three 115 kV ties</w:t>
      </w:r>
      <w:r>
        <w:t>;</w:t>
      </w:r>
      <w:r w:rsidRPr="00A577A3">
        <w:t xml:space="preserve"> one 69 kV tie</w:t>
      </w:r>
      <w:r>
        <w:t>;</w:t>
      </w:r>
      <w:r w:rsidRPr="00A577A3">
        <w:t xml:space="preserve"> and one 330 MW, ±150 kV high-voltage </w:t>
      </w:r>
      <w:proofErr w:type="gramStart"/>
      <w:r w:rsidRPr="00A577A3">
        <w:t>direct-current</w:t>
      </w:r>
      <w:proofErr w:type="gramEnd"/>
      <w:r>
        <w:t xml:space="preserve"> </w:t>
      </w:r>
      <w:r w:rsidRPr="00A577A3">
        <w:t>(HVDC) tie.</w:t>
      </w:r>
    </w:p>
    <w:p w:rsidR="00C561D4" w:rsidRDefault="00C561D4" w:rsidP="00C561D4">
      <w:r w:rsidRPr="00A577A3">
        <w:t>New England and New Brunswick are connected through two 345 kV ties, the second of which was placed in service in December 2007.</w:t>
      </w:r>
      <w:r w:rsidRPr="00A577A3">
        <w:rPr>
          <w:rStyle w:val="FootnoteReference"/>
        </w:rPr>
        <w:footnoteReference w:id="178"/>
      </w:r>
      <w:r w:rsidRPr="00A577A3">
        <w:t xml:space="preserve"> New England also has two HVDC interconnections with Québec: a 225 MW back-to-back converter at </w:t>
      </w:r>
      <w:proofErr w:type="spellStart"/>
      <w:r w:rsidRPr="00A577A3">
        <w:t>Highgate</w:t>
      </w:r>
      <w:proofErr w:type="spellEnd"/>
      <w:r w:rsidRPr="00A577A3">
        <w:t xml:space="preserve"> in northern Vermont and a ±450 kV HVDC line with terminal configurations allowing up to 2,000 MW to be delivered at Sandy Pond in Massachusetts.</w:t>
      </w:r>
    </w:p>
    <w:p w:rsidR="00C561D4" w:rsidRDefault="00C561D4" w:rsidP="00C561D4">
      <w:r>
        <w:t xml:space="preserve">Because of the age of the transmission system in New England, many assets are reaching their end of life and are requiring significant refurbishment. These activities are spread across the system and are </w:t>
      </w:r>
      <w:r w:rsidRPr="007D26B5">
        <w:t>being addressed either individually or as part of an ongoing solutions assessment.</w:t>
      </w:r>
      <w:r>
        <w:t xml:space="preserve"> Upgrades associated with asset condition have been ongoing for years, and from June 2013 to June 2014, equipment owners have made the following presentations to stakeholders:</w:t>
      </w:r>
    </w:p>
    <w:p w:rsidR="00C561D4" w:rsidRDefault="00C561D4" w:rsidP="00F57D68">
      <w:pPr>
        <w:numPr>
          <w:ilvl w:val="0"/>
          <w:numId w:val="503"/>
        </w:numPr>
        <w:spacing w:after="120"/>
      </w:pPr>
      <w:r>
        <w:t>Section 242 Rebuild (Winslow to Heywood Road)</w:t>
      </w:r>
      <w:r>
        <w:rPr>
          <w:rStyle w:val="FootnoteReference"/>
        </w:rPr>
        <w:footnoteReference w:id="179"/>
      </w:r>
    </w:p>
    <w:p w:rsidR="00C561D4" w:rsidRPr="00DB04BD" w:rsidRDefault="00C561D4" w:rsidP="00F57D68">
      <w:pPr>
        <w:numPr>
          <w:ilvl w:val="0"/>
          <w:numId w:val="503"/>
        </w:numPr>
        <w:spacing w:after="120"/>
      </w:pPr>
      <w:r>
        <w:t xml:space="preserve">Transmission Facility Refurbishments, Update to Salem </w:t>
      </w:r>
      <w:r w:rsidRPr="00DB04BD">
        <w:t>Harbor Cable-Replacement Solution</w:t>
      </w:r>
      <w:r w:rsidRPr="00DB04BD">
        <w:rPr>
          <w:rStyle w:val="FootnoteReference"/>
        </w:rPr>
        <w:footnoteReference w:id="180"/>
      </w:r>
    </w:p>
    <w:p w:rsidR="00C561D4" w:rsidRDefault="00C561D4" w:rsidP="00F57D68">
      <w:pPr>
        <w:numPr>
          <w:ilvl w:val="0"/>
          <w:numId w:val="503"/>
        </w:numPr>
        <w:spacing w:after="120"/>
      </w:pPr>
      <w:r>
        <w:t>Asset-Condition Needs: 115 kV Salem Harbor Substation</w:t>
      </w:r>
      <w:r>
        <w:rPr>
          <w:rStyle w:val="FootnoteReference"/>
        </w:rPr>
        <w:footnoteReference w:id="181"/>
      </w:r>
    </w:p>
    <w:p w:rsidR="00C561D4" w:rsidRDefault="00C561D4" w:rsidP="00F57D68">
      <w:pPr>
        <w:numPr>
          <w:ilvl w:val="0"/>
          <w:numId w:val="503"/>
        </w:numPr>
        <w:spacing w:after="120"/>
      </w:pPr>
      <w:r>
        <w:t xml:space="preserve">Old Town Substation </w:t>
      </w:r>
      <w:r w:rsidR="00D636F3">
        <w:t>Solutions Study</w:t>
      </w:r>
      <w:r>
        <w:rPr>
          <w:rStyle w:val="FootnoteReference"/>
        </w:rPr>
        <w:footnoteReference w:id="182"/>
      </w:r>
    </w:p>
    <w:p w:rsidR="00C561D4" w:rsidRDefault="00C561D4" w:rsidP="00F57D68">
      <w:pPr>
        <w:numPr>
          <w:ilvl w:val="0"/>
          <w:numId w:val="503"/>
        </w:numPr>
        <w:spacing w:after="120"/>
      </w:pPr>
      <w:r>
        <w:t>Sandy Pond AC Substation Refurbishment</w:t>
      </w:r>
      <w:r>
        <w:rPr>
          <w:rStyle w:val="FootnoteReference"/>
        </w:rPr>
        <w:footnoteReference w:id="183"/>
      </w:r>
    </w:p>
    <w:p w:rsidR="00C561D4" w:rsidRDefault="00C561D4" w:rsidP="00F57D68">
      <w:pPr>
        <w:numPr>
          <w:ilvl w:val="0"/>
          <w:numId w:val="503"/>
        </w:numPr>
        <w:spacing w:after="120"/>
      </w:pPr>
      <w:r>
        <w:t>Housatonic River Crossing (HRX)</w:t>
      </w:r>
      <w:r>
        <w:rPr>
          <w:rStyle w:val="FootnoteReference"/>
        </w:rPr>
        <w:footnoteReference w:id="184"/>
      </w:r>
    </w:p>
    <w:p w:rsidR="00C561D4" w:rsidRDefault="00C561D4" w:rsidP="00EF79FB">
      <w:pPr>
        <w:numPr>
          <w:ilvl w:val="0"/>
          <w:numId w:val="503"/>
        </w:numPr>
        <w:spacing w:after="120"/>
      </w:pPr>
      <w:r w:rsidRPr="00DB04BD">
        <w:t>New England Transmission Line Asset-Condition Refurbishment Program and</w:t>
      </w:r>
      <w:r>
        <w:t xml:space="preserve"> Projects</w:t>
      </w:r>
      <w:r>
        <w:rPr>
          <w:rStyle w:val="FootnoteReference"/>
        </w:rPr>
        <w:footnoteReference w:id="185"/>
      </w:r>
    </w:p>
    <w:p w:rsidR="00D636F3" w:rsidRDefault="00D636F3" w:rsidP="00EF79FB">
      <w:pPr>
        <w:numPr>
          <w:ilvl w:val="0"/>
          <w:numId w:val="503"/>
        </w:numPr>
        <w:spacing w:after="120"/>
      </w:pPr>
      <w:r>
        <w:t>PV20 Cable Replacement</w:t>
      </w:r>
      <w:r>
        <w:rPr>
          <w:rStyle w:val="FootnoteReference"/>
        </w:rPr>
        <w:footnoteReference w:id="186"/>
      </w:r>
    </w:p>
    <w:p w:rsidR="00D636F3" w:rsidRDefault="00D636F3" w:rsidP="00852A82">
      <w:pPr>
        <w:numPr>
          <w:ilvl w:val="0"/>
          <w:numId w:val="503"/>
        </w:numPr>
      </w:pPr>
      <w:r>
        <w:t>Baird Substation Solutions Study</w:t>
      </w:r>
      <w:r>
        <w:rPr>
          <w:rStyle w:val="FootnoteReference"/>
        </w:rPr>
        <w:footnoteReference w:id="187"/>
      </w:r>
    </w:p>
    <w:p w:rsidR="00C561D4" w:rsidRPr="00A577A3" w:rsidRDefault="00C561D4" w:rsidP="00C561D4">
      <w:r w:rsidRPr="00A577A3">
        <w:t xml:space="preserve">The following sections summarize the June </w:t>
      </w:r>
      <w:r>
        <w:t>2014</w:t>
      </w:r>
      <w:r w:rsidRPr="00A577A3">
        <w:t xml:space="preserve"> status of several transmission planning studies and projects and the need for upgrades.</w:t>
      </w:r>
      <w:r w:rsidRPr="00A577A3">
        <w:rPr>
          <w:rStyle w:val="FootnoteReference"/>
        </w:rPr>
        <w:footnoteReference w:id="188"/>
      </w:r>
    </w:p>
    <w:p w:rsidR="00C561D4" w:rsidRDefault="00C561D4" w:rsidP="005C6088">
      <w:pPr>
        <w:pStyle w:val="Heading3"/>
        <w:spacing w:before="120"/>
      </w:pPr>
      <w:bookmarkStart w:id="604" w:name="_Toc303086405"/>
      <w:bookmarkStart w:id="605" w:name="_Ref328133999"/>
      <w:bookmarkStart w:id="606" w:name="_Ref329080115"/>
      <w:bookmarkStart w:id="607" w:name="_Toc334601056"/>
      <w:bookmarkStart w:id="608" w:name="_Toc365441013"/>
      <w:bookmarkStart w:id="609" w:name="_Ref388890017"/>
      <w:bookmarkStart w:id="610" w:name="_Toc396807643"/>
      <w:r w:rsidRPr="00673B9A">
        <w:t>Northern New England</w:t>
      </w:r>
      <w:bookmarkEnd w:id="604"/>
      <w:bookmarkEnd w:id="605"/>
      <w:bookmarkEnd w:id="606"/>
      <w:bookmarkEnd w:id="607"/>
      <w:bookmarkEnd w:id="608"/>
      <w:bookmarkEnd w:id="609"/>
      <w:bookmarkEnd w:id="610"/>
      <w:r w:rsidRPr="00673B9A">
        <w:t xml:space="preserve"> </w:t>
      </w:r>
    </w:p>
    <w:p w:rsidR="00C561D4" w:rsidRDefault="00C561D4" w:rsidP="00C561D4">
      <w:r>
        <w:t xml:space="preserve">The northern New England (NNE) area encompasses the transmission system in Maine, New Hampshire, and Vermont. Studies of each of these states </w:t>
      </w:r>
      <w:proofErr w:type="gramStart"/>
      <w:r>
        <w:t>are being conducted</w:t>
      </w:r>
      <w:proofErr w:type="gramEnd"/>
      <w:r>
        <w:t xml:space="preserve"> to address the transmission system’s short-term and long-term needs.</w:t>
      </w:r>
    </w:p>
    <w:p w:rsidR="00C561D4" w:rsidRDefault="00C561D4" w:rsidP="005C6088">
      <w:pPr>
        <w:pStyle w:val="Heading4"/>
      </w:pPr>
      <w:r w:rsidRPr="00673B9A">
        <w:t>Northern New England Transmission</w:t>
      </w:r>
    </w:p>
    <w:p w:rsidR="00C561D4" w:rsidRPr="00A577A3" w:rsidRDefault="00C561D4" w:rsidP="00C561D4">
      <w:r w:rsidRPr="00A577A3">
        <w:t xml:space="preserve">New England and New Brunswick have two 345 kV interconnections leading into a 345 kV corridor at Orrington, Maine. The corridor spans hundreds of miles and eventually ties into Massachusetts. The transmission system throughout northern New England is limited in capacity; it is weak in places and faces numerous transmission security concerns. Underlying the limited number of 345 kV transmission facilities are a number of old, </w:t>
      </w:r>
      <w:proofErr w:type="gramStart"/>
      <w:r w:rsidRPr="00A577A3">
        <w:t>low-capacity</w:t>
      </w:r>
      <w:proofErr w:type="gramEnd"/>
      <w:r w:rsidRPr="00A577A3">
        <w:t>, and long 115 kV lines. These lines serve a geographically dispersed load</w:t>
      </w:r>
      <w:r>
        <w:t>,</w:t>
      </w:r>
      <w:r w:rsidRPr="00A577A3">
        <w:t xml:space="preserve"> as well as the concentrated, more developed load centers in southern Maine, southern New Hampshire, and northwestern Vermont.</w:t>
      </w:r>
    </w:p>
    <w:p w:rsidR="00C561D4" w:rsidRPr="00A577A3" w:rsidRDefault="00C561D4" w:rsidP="00C561D4">
      <w:r w:rsidRPr="00A577A3">
        <w:t xml:space="preserve">The two most significant issues facing the area have been to maintain the general performance of the long 345 kV </w:t>
      </w:r>
      <w:proofErr w:type="gramStart"/>
      <w:r w:rsidRPr="00A577A3">
        <w:t>corridor</w:t>
      </w:r>
      <w:proofErr w:type="gramEnd"/>
      <w:r w:rsidRPr="00A577A3">
        <w:t xml:space="preserve">, particularly through Maine, and to </w:t>
      </w:r>
      <w:r>
        <w:t>ensure sufficient system security</w:t>
      </w:r>
      <w:r w:rsidRPr="00A577A3">
        <w:t xml:space="preserve"> to meet demand. The region faces thermal and voltage performance issues and stability concerns and </w:t>
      </w:r>
      <w:r>
        <w:t>is</w:t>
      </w:r>
      <w:r w:rsidRPr="00A577A3">
        <w:t xml:space="preserve"> reliant on several </w:t>
      </w:r>
      <w:r>
        <w:t>special protection systems (</w:t>
      </w:r>
      <w:r w:rsidRPr="00A577A3">
        <w:t>SPSs</w:t>
      </w:r>
      <w:r>
        <w:t>)</w:t>
      </w:r>
      <w:r w:rsidRPr="00A577A3">
        <w:t xml:space="preserve"> that may be subject to incorrect or undesired operation. The system of long 115 kV lines, with weak sources and high real- and reactive-power losses, is exceeding its ability to integrate generation and efficiently and effectively serve load. </w:t>
      </w:r>
      <w:proofErr w:type="gramStart"/>
      <w:r w:rsidRPr="00A577A3">
        <w:t>Also</w:t>
      </w:r>
      <w:proofErr w:type="gramEnd"/>
      <w:r w:rsidRPr="00A577A3">
        <w:t>, in many instances, the underlying systems of 34.5 kV, 46 kV, and 69 kV lines are exceeding their capabilities and are being upgraded, placing greater demands on an already stressed 115 kV system.</w:t>
      </w:r>
    </w:p>
    <w:p w:rsidR="00C561D4" w:rsidRPr="00A577A3" w:rsidRDefault="00C561D4" w:rsidP="00C561D4">
      <w:r w:rsidRPr="00A577A3">
        <w:t>Over the past several years, the addition of generation in Maine and New Hampshire, in combination with the area’s limited transfer capability and limited transmission expansion, has increased the likelihood of many northern New England interfaces operating near their limits, creating restrictions on northern resources. Because these interface limits depend on generation dispatch, the operation of the system becomes more complex. Additional concerns in northern New England include limited system flexibility to accommodate maintenance outages, limited dynamic reactive-power resources, and high real- and reactive-power losses.</w:t>
      </w:r>
      <w:r w:rsidRPr="009257AA">
        <w:t xml:space="preserve"> </w:t>
      </w:r>
      <w:r>
        <w:t>P</w:t>
      </w:r>
      <w:r w:rsidRPr="00A02218">
        <w:t>ower flows on some interfaces, which historically have been from north to south, at times have reversed and are moving from south to north, highlighting shifting market economics, generation dispatch patterns, and emerging system weaknesses</w:t>
      </w:r>
      <w:r>
        <w:t>,</w:t>
      </w:r>
      <w:r w:rsidRPr="009257AA">
        <w:t xml:space="preserve"> in addition to those</w:t>
      </w:r>
      <w:r w:rsidRPr="00A577A3">
        <w:t xml:space="preserve"> already identified on the interfaces.</w:t>
      </w:r>
      <w:r w:rsidRPr="00A577A3">
        <w:rPr>
          <w:rStyle w:val="FootnoteReference"/>
        </w:rPr>
        <w:footnoteReference w:id="189"/>
      </w:r>
      <w:r w:rsidRPr="00A577A3">
        <w:t xml:space="preserve"> </w:t>
      </w:r>
      <w:r w:rsidRPr="002672D8">
        <w:t>The recent operating data in this corridor shows that flows remain predominantly in the north to south direction.</w:t>
      </w:r>
    </w:p>
    <w:p w:rsidR="00C561D4" w:rsidRDefault="00C561D4" w:rsidP="00C561D4">
      <w:r>
        <w:t xml:space="preserve">A significant number of new wind generation projects have interconnected to the northern portions of the New England transmission system. Several additional proposed wind projects have applied to interconnect in these areas (see </w:t>
      </w:r>
      <w:r w:rsidRPr="006D7B41">
        <w:t>Section</w:t>
      </w:r>
      <w:r w:rsidR="00DB04BD">
        <w:t xml:space="preserve"> </w:t>
      </w:r>
      <w:r w:rsidR="00927965">
        <w:fldChar w:fldCharType="begin"/>
      </w:r>
      <w:r w:rsidR="00DB04BD">
        <w:instrText xml:space="preserve"> REF _Ref329080869 \r \h </w:instrText>
      </w:r>
      <w:r w:rsidR="00927965">
        <w:fldChar w:fldCharType="separate"/>
      </w:r>
      <w:r w:rsidR="00284CE3">
        <w:t>4.5.2</w:t>
      </w:r>
      <w:r w:rsidR="00927965">
        <w:fldChar w:fldCharType="end"/>
      </w:r>
      <w:r>
        <w:t xml:space="preserve">). These portions of the system are remote from the region’s load centers and are susceptible to poor voltage performance. To date, new wind generation </w:t>
      </w:r>
      <w:r w:rsidRPr="009F046D">
        <w:t xml:space="preserve">constructed in New England </w:t>
      </w:r>
      <w:r>
        <w:t>provides</w:t>
      </w:r>
      <w:r w:rsidRPr="009F046D">
        <w:t xml:space="preserve"> limited dynamic voltage support. These</w:t>
      </w:r>
      <w:r>
        <w:t xml:space="preserve"> locations have also experienced generation restrictions in system operations, especially during transmission</w:t>
      </w:r>
      <w:r w:rsidR="00A45A75">
        <w:t>-</w:t>
      </w:r>
      <w:r>
        <w:t>system</w:t>
      </w:r>
      <w:r w:rsidR="00A45A75">
        <w:t>-</w:t>
      </w:r>
      <w:r>
        <w:t>maintenance conditions.</w:t>
      </w:r>
      <w:r>
        <w:rPr>
          <w:rStyle w:val="FootnoteReference"/>
        </w:rPr>
        <w:footnoteReference w:id="190"/>
      </w:r>
      <w:r>
        <w:t xml:space="preserve"> These </w:t>
      </w:r>
      <w:proofErr w:type="gramStart"/>
      <w:r>
        <w:t>type</w:t>
      </w:r>
      <w:proofErr w:type="gramEnd"/>
      <w:r>
        <w:t xml:space="preserve"> of restrictions are expected to continue in the absence of significant </w:t>
      </w:r>
      <w:r w:rsidRPr="00AB0C27">
        <w:t xml:space="preserve">transmission expansion. Refer to Section </w:t>
      </w:r>
      <w:fldSimple w:instr=" REF _Ref388800922 \r \h  \* MERGEFORMAT ">
        <w:r w:rsidR="00284CE3">
          <w:t>6.6</w:t>
        </w:r>
      </w:fldSimple>
      <w:r w:rsidR="00DB04BD" w:rsidRPr="00AB0C27">
        <w:t xml:space="preserve"> </w:t>
      </w:r>
      <w:r w:rsidRPr="00AB0C27">
        <w:t>for a discussion of wind</w:t>
      </w:r>
      <w:r w:rsidR="004732CA" w:rsidRPr="00AB0C27">
        <w:t>-</w:t>
      </w:r>
      <w:r w:rsidRPr="00AB0C27">
        <w:t>integration activities.</w:t>
      </w:r>
    </w:p>
    <w:p w:rsidR="00C561D4" w:rsidRDefault="00C561D4" w:rsidP="005C6088">
      <w:pPr>
        <w:pStyle w:val="Heading4"/>
      </w:pPr>
      <w:bookmarkStart w:id="611" w:name="_Ref297230746"/>
      <w:r w:rsidRPr="00673B9A">
        <w:t>Northern New England Transmission System Studies</w:t>
      </w:r>
      <w:bookmarkEnd w:id="611"/>
    </w:p>
    <w:p w:rsidR="00C561D4" w:rsidRPr="00A577A3" w:rsidRDefault="00C561D4" w:rsidP="00C561D4">
      <w:r w:rsidRPr="00A577A3">
        <w:t>Study efforts are progressing in various portions of Maine, New Hampshire, and Vermont to address a number of transmission system concerns. Some of these studies have focused on defining short-term needs and developing solutions, while others have made significant progress in evaluating potential system conditions 10 years into the future.</w:t>
      </w:r>
    </w:p>
    <w:p w:rsidR="00C561D4" w:rsidRPr="00A577A3" w:rsidRDefault="00C561D4" w:rsidP="00C561D4">
      <w:r w:rsidRPr="00DE1967">
        <w:rPr>
          <w:b/>
        </w:rPr>
        <w:t>Maine</w:t>
      </w:r>
      <w:r w:rsidRPr="008110C6">
        <w:t>—</w:t>
      </w:r>
      <w:proofErr w:type="gramStart"/>
      <w:r w:rsidRPr="00DE1967">
        <w:t>The</w:t>
      </w:r>
      <w:proofErr w:type="gramEnd"/>
      <w:r w:rsidRPr="00DE1967">
        <w:t xml:space="preserve"> long-term system needs of Bangor Hydro Electric (BHE) and Central Maine Power (CMP) were identified in 2007.</w:t>
      </w:r>
      <w:r w:rsidRPr="00DE1967">
        <w:rPr>
          <w:rStyle w:val="FootnoteReference"/>
        </w:rPr>
        <w:footnoteReference w:id="191"/>
      </w:r>
      <w:r w:rsidRPr="00DE1967">
        <w:t xml:space="preserve"> To improve the performance of the Bangor system, the Keene Road</w:t>
      </w:r>
      <w:r w:rsidRPr="00A577A3">
        <w:t xml:space="preserve"> substation was completed and </w:t>
      </w:r>
      <w:r>
        <w:t xml:space="preserve">115 kV upgrades </w:t>
      </w:r>
      <w:proofErr w:type="gramStart"/>
      <w:r>
        <w:t>have been placed</w:t>
      </w:r>
      <w:proofErr w:type="gramEnd"/>
      <w:r>
        <w:t xml:space="preserve"> into service</w:t>
      </w:r>
      <w:r w:rsidRPr="00A577A3">
        <w:t xml:space="preserve">. CMP has </w:t>
      </w:r>
      <w:r>
        <w:t>placed in service</w:t>
      </w:r>
      <w:r w:rsidRPr="00A577A3">
        <w:t xml:space="preserve"> 115 kV expansions in western Maine to address area thermal and voltage issues. Upgrades north of Augusta and near Rumford </w:t>
      </w:r>
      <w:r>
        <w:t>have</w:t>
      </w:r>
      <w:r w:rsidRPr="00A577A3">
        <w:t xml:space="preserve"> reduce</w:t>
      </w:r>
      <w:r>
        <w:t>d</w:t>
      </w:r>
      <w:r w:rsidRPr="00A577A3">
        <w:t xml:space="preserve"> </w:t>
      </w:r>
      <w:r>
        <w:t>some</w:t>
      </w:r>
      <w:r w:rsidRPr="00A577A3">
        <w:t xml:space="preserve"> voltage </w:t>
      </w:r>
      <w:r w:rsidRPr="00EA5AE2">
        <w:t>concerns. Several 115 kV system reinforcements, including the addition of the new substation</w:t>
      </w:r>
      <w:r>
        <w:t>s</w:t>
      </w:r>
      <w:r w:rsidRPr="00EA5AE2">
        <w:t xml:space="preserve"> at Maguire Road </w:t>
      </w:r>
      <w:r>
        <w:t xml:space="preserve">and </w:t>
      </w:r>
      <w:proofErr w:type="spellStart"/>
      <w:r>
        <w:t>Larrabee</w:t>
      </w:r>
      <w:proofErr w:type="spellEnd"/>
      <w:r>
        <w:t xml:space="preserve"> Road </w:t>
      </w:r>
      <w:r w:rsidRPr="00EA5AE2">
        <w:t xml:space="preserve">in southern Maine, already </w:t>
      </w:r>
      <w:proofErr w:type="gramStart"/>
      <w:r w:rsidRPr="00EA5AE2">
        <w:t>have been placed</w:t>
      </w:r>
      <w:proofErr w:type="gramEnd"/>
      <w:r w:rsidRPr="00EA5AE2">
        <w:t xml:space="preserve"> into service and are helping serve southern Maine load in the near term.</w:t>
      </w:r>
    </w:p>
    <w:p w:rsidR="00C561D4" w:rsidRDefault="00C561D4" w:rsidP="00C561D4">
      <w:r w:rsidRPr="00A577A3">
        <w:t>Projects planned as part of the Maine Power Reliability Program must meet reliability requirements and be consistent with long-term planning objectives in both the BHE and CMP service territories. These projects include the addition of significant new 345 kV and 115 kV transmission facilities and new 345 kV autotransformers at key locations.</w:t>
      </w:r>
    </w:p>
    <w:p w:rsidR="00C561D4" w:rsidRDefault="00C561D4" w:rsidP="00C561D4">
      <w:r w:rsidRPr="00A577A3">
        <w:t xml:space="preserve">The northern portion of the Maine transmission system continues to present challenges </w:t>
      </w:r>
      <w:r>
        <w:t>for</w:t>
      </w:r>
      <w:r w:rsidRPr="00A577A3">
        <w:t xml:space="preserve"> reliable system planning and operations. Lengthy sections of 345 kV </w:t>
      </w:r>
      <w:proofErr w:type="gramStart"/>
      <w:r w:rsidRPr="00A577A3">
        <w:t>transmission</w:t>
      </w:r>
      <w:proofErr w:type="gramEnd"/>
      <w:r w:rsidRPr="00A577A3">
        <w:t xml:space="preserve"> in Maine connect the New Brunswick system to the greater New England network. Until the addition of the MPRP project (see </w:t>
      </w:r>
      <w:r w:rsidRPr="006D7B41">
        <w:t xml:space="preserve">Section </w:t>
      </w:r>
      <w:fldSimple w:instr=" REF _Ref296499030 \r \h  \* MERGEFORMAT ">
        <w:r w:rsidR="00284CE3">
          <w:t>5.4.1.3</w:t>
        </w:r>
      </w:fldSimple>
      <w:r w:rsidRPr="00C71F03">
        <w:t>), portions of this corridor consist</w:t>
      </w:r>
      <w:r>
        <w:t>ed</w:t>
      </w:r>
      <w:r w:rsidRPr="00C71F03">
        <w:t xml:space="preserve"> of only one 345 kV line in parallel with </w:t>
      </w:r>
      <w:r>
        <w:t xml:space="preserve">relatively </w:t>
      </w:r>
      <w:r w:rsidRPr="00C71F03">
        <w:t>weak 115 kV</w:t>
      </w:r>
      <w:r w:rsidRPr="00A577A3">
        <w:t xml:space="preserve"> transmission serving small amounts of load. To maintain reliable operations, this part of the system currently employs several SPSs</w:t>
      </w:r>
      <w:r>
        <w:t>,</w:t>
      </w:r>
      <w:r w:rsidRPr="00A577A3">
        <w:t xml:space="preserve"> and a static VAR compensator (SVC) </w:t>
      </w:r>
      <w:r>
        <w:t xml:space="preserve">provides </w:t>
      </w:r>
      <w:r w:rsidRPr="00A577A3">
        <w:t>dynamic voltage</w:t>
      </w:r>
      <w:r w:rsidRPr="006852FD">
        <w:t xml:space="preserve"> </w:t>
      </w:r>
      <w:r w:rsidRPr="00A577A3">
        <w:t xml:space="preserve">support. Certain contingencies have the potential to cause high voltages, low voltages, high frequencies, </w:t>
      </w:r>
      <w:r>
        <w:t xml:space="preserve">the loss of a large amount </w:t>
      </w:r>
      <w:r w:rsidRPr="00A577A3">
        <w:t>of generation, or system separation from New Brunswick.</w:t>
      </w:r>
      <w:r w:rsidRPr="00A577A3">
        <w:rPr>
          <w:rStyle w:val="FootnoteReference"/>
        </w:rPr>
        <w:footnoteReference w:id="192"/>
      </w:r>
      <w:r w:rsidRPr="00A577A3">
        <w:t xml:space="preserve"> A number of new generation projects and </w:t>
      </w:r>
      <w:r>
        <w:t>E</w:t>
      </w:r>
      <w:r w:rsidRPr="00A577A3">
        <w:t xml:space="preserve">lective </w:t>
      </w:r>
      <w:r>
        <w:t>T</w:t>
      </w:r>
      <w:r w:rsidRPr="00A577A3">
        <w:t xml:space="preserve">ransmission </w:t>
      </w:r>
      <w:r>
        <w:t>U</w:t>
      </w:r>
      <w:r w:rsidRPr="00A577A3">
        <w:t>pgrades are seeking to interconnect to this part of the system. The technical complexities mentioned complicate the system</w:t>
      </w:r>
      <w:r>
        <w:t>’s ability</w:t>
      </w:r>
      <w:r w:rsidRPr="00A577A3">
        <w:t xml:space="preserve"> to accommodate additional interconnections.</w:t>
      </w:r>
    </w:p>
    <w:p w:rsidR="00C561D4" w:rsidRPr="008F41DB" w:rsidRDefault="00C561D4" w:rsidP="00C561D4">
      <w:r w:rsidRPr="00F2055A">
        <w:t>A transfer study identif</w:t>
      </w:r>
      <w:r>
        <w:t>ied</w:t>
      </w:r>
      <w:r w:rsidRPr="00F2055A">
        <w:t xml:space="preserve"> the increase in transfer capability across the major interfaces in Maine and neighboring systems resulting from the addition of the MPRP project.</w:t>
      </w:r>
      <w:r w:rsidRPr="00F2055A">
        <w:rPr>
          <w:rStyle w:val="FootnoteReference"/>
        </w:rPr>
        <w:footnoteReference w:id="193"/>
      </w:r>
      <w:r w:rsidRPr="00F2055A">
        <w:t xml:space="preserve"> The study, </w:t>
      </w:r>
      <w:r>
        <w:t xml:space="preserve">completed </w:t>
      </w:r>
      <w:r w:rsidRPr="00F2055A">
        <w:t>in 2012, evaluat</w:t>
      </w:r>
      <w:r>
        <w:t xml:space="preserve">ed </w:t>
      </w:r>
      <w:r w:rsidRPr="00F2055A">
        <w:t xml:space="preserve">thermal, voltage, and stability transfer </w:t>
      </w:r>
      <w:r w:rsidRPr="00F2055A">
        <w:rPr>
          <w:color w:val="000000" w:themeColor="text1"/>
        </w:rPr>
        <w:t>limits</w:t>
      </w:r>
      <w:r>
        <w:rPr>
          <w:color w:val="000000" w:themeColor="text1"/>
        </w:rPr>
        <w:t xml:space="preserve"> and demonstrated a modest increase in transfer capability across the major interfaces in Maine, including Maine to New Hampshire</w:t>
      </w:r>
      <w:r w:rsidRPr="00F2055A">
        <w:rPr>
          <w:color w:val="000000" w:themeColor="text1"/>
        </w:rPr>
        <w:t>. The overall limiting condition in setting the new transfer limits is the system’s stability response to</w:t>
      </w:r>
      <w:r>
        <w:rPr>
          <w:color w:val="000000" w:themeColor="text1"/>
        </w:rPr>
        <w:t xml:space="preserve"> </w:t>
      </w:r>
      <w:r w:rsidRPr="00F2055A">
        <w:t xml:space="preserve">faults in southern New England. The new transfer limits </w:t>
      </w:r>
      <w:r>
        <w:t>have been</w:t>
      </w:r>
      <w:r w:rsidRPr="00F2055A">
        <w:t xml:space="preserve"> adopted in the appropriate planning and capacity market processes.</w:t>
      </w:r>
      <w:r>
        <w:t xml:space="preserve"> </w:t>
      </w:r>
      <w:r w:rsidRPr="00DE1967">
        <w:t xml:space="preserve">The </w:t>
      </w:r>
      <w:r>
        <w:t>resulting new</w:t>
      </w:r>
      <w:r w:rsidRPr="00DE1967">
        <w:t xml:space="preserve"> transfer limits indicate that the constraints within Maine will likely continue to limit the ability of the system to deliver some existing and new capacity. </w:t>
      </w:r>
    </w:p>
    <w:p w:rsidR="00C561D4" w:rsidRDefault="00C561D4" w:rsidP="00C561D4">
      <w:r w:rsidRPr="00E555A6">
        <w:t xml:space="preserve">In addition to the </w:t>
      </w:r>
      <w:proofErr w:type="spellStart"/>
      <w:r w:rsidRPr="00E555A6">
        <w:t>Surowiec</w:t>
      </w:r>
      <w:proofErr w:type="spellEnd"/>
      <w:r w:rsidRPr="00E555A6">
        <w:t xml:space="preserve"> South and Orrington South interfaces, subarea export constraints will continue to be restrictive after the updated MPRP transfer limits </w:t>
      </w:r>
      <w:proofErr w:type="gramStart"/>
      <w:r w:rsidRPr="00E555A6">
        <w:t>are put</w:t>
      </w:r>
      <w:proofErr w:type="gramEnd"/>
      <w:r w:rsidRPr="00E555A6">
        <w:t xml:space="preserve"> in place</w:t>
      </w:r>
      <w:r>
        <w:t>.</w:t>
      </w:r>
      <w:r>
        <w:rPr>
          <w:rStyle w:val="FootnoteReference"/>
        </w:rPr>
        <w:footnoteReference w:id="194"/>
      </w:r>
      <w:r w:rsidRPr="00E555A6">
        <w:t xml:space="preserve"> They include the Rumford Area, Bigelow/Upper Kennebec, and Northern Maine/Keene Road.</w:t>
      </w:r>
      <w:r>
        <w:t xml:space="preserve"> Additional local constraints may emerge as more resources pursue interconnection. </w:t>
      </w:r>
    </w:p>
    <w:p w:rsidR="00C561D4" w:rsidRDefault="00C561D4" w:rsidP="00C561D4">
      <w:r>
        <w:t xml:space="preserve">In late 2013, a new needs assessment </w:t>
      </w:r>
      <w:proofErr w:type="gramStart"/>
      <w:r>
        <w:t>was initiated</w:t>
      </w:r>
      <w:proofErr w:type="gramEnd"/>
      <w:r>
        <w:t xml:space="preserve"> for the Maine portion of the transmission system. The study will identify needs for 2023. </w:t>
      </w:r>
    </w:p>
    <w:p w:rsidR="00C561D4" w:rsidRPr="00A577A3" w:rsidRDefault="00C561D4" w:rsidP="00C561D4">
      <w:r w:rsidRPr="00A577A3">
        <w:rPr>
          <w:b/>
        </w:rPr>
        <w:t>New Hampshire</w:t>
      </w:r>
      <w:r w:rsidRPr="00A577A3">
        <w:t>—</w:t>
      </w:r>
      <w:proofErr w:type="gramStart"/>
      <w:r w:rsidRPr="00A577A3">
        <w:t>A</w:t>
      </w:r>
      <w:proofErr w:type="gramEnd"/>
      <w:r w:rsidRPr="00A577A3">
        <w:t xml:space="preserve"> number of studies of the New Hampshire portion of the system have been conducted. These studies have identified the need for additional 345/115 kV transformation capability and the need for additional 115 kV transmission support in various parts of the state. Existing and midterm concerns of northern and central New Hampshire have been improved by closing the Y-138 tie </w:t>
      </w:r>
      <w:r>
        <w:t xml:space="preserve">(between Saco Valley and White Lake) </w:t>
      </w:r>
      <w:r w:rsidRPr="00A577A3">
        <w:t>with Maine</w:t>
      </w:r>
      <w:r>
        <w:t xml:space="preserve"> and t</w:t>
      </w:r>
      <w:r w:rsidRPr="00A577A3">
        <w:t>he addition of a second 345/115 kV autotransformer at Deerfield</w:t>
      </w:r>
      <w:r>
        <w:t>.</w:t>
      </w:r>
    </w:p>
    <w:p w:rsidR="00C561D4" w:rsidRPr="00A577A3" w:rsidRDefault="00C561D4" w:rsidP="00C561D4">
      <w:r w:rsidRPr="00A577A3">
        <w:t xml:space="preserve">As discussed below, a 10-year, two-phase study of the New Hampshire area </w:t>
      </w:r>
      <w:r>
        <w:t xml:space="preserve">has been completed </w:t>
      </w:r>
      <w:r w:rsidRPr="00A577A3">
        <w:t xml:space="preserve">as part of the Vermont/New Hampshire Transmission System </w:t>
      </w:r>
      <w:r>
        <w:t>N</w:t>
      </w:r>
      <w:r w:rsidRPr="00A577A3">
        <w:t xml:space="preserve">eeds </w:t>
      </w:r>
      <w:r>
        <w:t xml:space="preserve">Assessment </w:t>
      </w:r>
      <w:r w:rsidRPr="00A577A3">
        <w:t xml:space="preserve">and </w:t>
      </w:r>
      <w:r>
        <w:t>S</w:t>
      </w:r>
      <w:r w:rsidRPr="00A577A3">
        <w:t xml:space="preserve">olutions </w:t>
      </w:r>
      <w:r>
        <w:t>Study</w:t>
      </w:r>
      <w:r w:rsidRPr="00A577A3">
        <w:t>.</w:t>
      </w:r>
    </w:p>
    <w:p w:rsidR="00C561D4" w:rsidRDefault="00C561D4" w:rsidP="00C561D4">
      <w:r w:rsidRPr="00CC21C9">
        <w:rPr>
          <w:b/>
        </w:rPr>
        <w:t>Vermont</w:t>
      </w:r>
      <w:r w:rsidRPr="00CC21C9">
        <w:t>—</w:t>
      </w:r>
      <w:r w:rsidRPr="00A577A3">
        <w:t>Vermont regulations require the Vermont Electric Power Company (VELCO)</w:t>
      </w:r>
      <w:r>
        <w:t>,</w:t>
      </w:r>
      <w:r w:rsidRPr="00A577A3">
        <w:t xml:space="preserve"> </w:t>
      </w:r>
      <w:r w:rsidRPr="00132B2F">
        <w:t>the owner and operator of Vermont's transmission system</w:t>
      </w:r>
      <w:r>
        <w:t>,</w:t>
      </w:r>
      <w:r w:rsidRPr="00132B2F">
        <w:t xml:space="preserve"> </w:t>
      </w:r>
      <w:r w:rsidRPr="00A577A3">
        <w:t xml:space="preserve">to develop a </w:t>
      </w:r>
      <w:r>
        <w:t>2</w:t>
      </w:r>
      <w:r w:rsidRPr="00A577A3">
        <w:t xml:space="preserve">0-year </w:t>
      </w:r>
      <w:r w:rsidRPr="00132B2F">
        <w:t>Vermont Long-Range Transmission Plan</w:t>
      </w:r>
      <w:r w:rsidRPr="00A577A3">
        <w:t xml:space="preserve"> every three years.</w:t>
      </w:r>
      <w:r w:rsidRPr="00CC21C9">
        <w:rPr>
          <w:rStyle w:val="FootnoteReference"/>
        </w:rPr>
        <w:footnoteReference w:id="195"/>
      </w:r>
      <w:r w:rsidRPr="00A577A3">
        <w:t xml:space="preserve"> </w:t>
      </w:r>
      <w:r w:rsidRPr="00062A08">
        <w:t xml:space="preserve">The </w:t>
      </w:r>
      <w:r w:rsidRPr="00062A08">
        <w:rPr>
          <w:i/>
        </w:rPr>
        <w:t>20</w:t>
      </w:r>
      <w:r>
        <w:rPr>
          <w:i/>
        </w:rPr>
        <w:t>12</w:t>
      </w:r>
      <w:r w:rsidRPr="00062A08">
        <w:rPr>
          <w:i/>
        </w:rPr>
        <w:t xml:space="preserve"> Vermont Long-Range Plan</w:t>
      </w:r>
      <w:r w:rsidRPr="00062A08">
        <w:t xml:space="preserve"> identifies four regional groupings of </w:t>
      </w:r>
      <w:r w:rsidR="00113C54" w:rsidRPr="00113C54">
        <w:t>reliability needs on Vermont’s high-voltage electric power system (115 kV and above), which are</w:t>
      </w:r>
      <w:r>
        <w:t xml:space="preserve"> consistent with the regional system plan findings described below</w:t>
      </w:r>
      <w:r w:rsidRPr="00062A08">
        <w:t>.</w:t>
      </w:r>
      <w:r w:rsidRPr="00062A08">
        <w:rPr>
          <w:rStyle w:val="FootnoteReference"/>
        </w:rPr>
        <w:footnoteReference w:id="196"/>
      </w:r>
      <w:r w:rsidRPr="00A577A3">
        <w:t xml:space="preserve"> </w:t>
      </w:r>
    </w:p>
    <w:p w:rsidR="00C561D4" w:rsidRPr="00A577A3" w:rsidRDefault="00C561D4" w:rsidP="00C561D4">
      <w:r w:rsidRPr="00A577A3">
        <w:t xml:space="preserve">The Vermont system </w:t>
      </w:r>
      <w:proofErr w:type="gramStart"/>
      <w:r>
        <w:t>was</w:t>
      </w:r>
      <w:r w:rsidRPr="00A577A3">
        <w:t xml:space="preserve"> studied</w:t>
      </w:r>
      <w:proofErr w:type="gramEnd"/>
      <w:r w:rsidRPr="00A577A3">
        <w:t xml:space="preserve"> to assess and resolve potential reliability issues as part of the </w:t>
      </w:r>
      <w:r w:rsidRPr="00A577A3">
        <w:rPr>
          <w:i/>
        </w:rPr>
        <w:t>Vermont/New Hampshire Transmission System 201</w:t>
      </w:r>
      <w:r>
        <w:rPr>
          <w:i/>
        </w:rPr>
        <w:t>1</w:t>
      </w:r>
      <w:r w:rsidRPr="00A577A3">
        <w:rPr>
          <w:i/>
        </w:rPr>
        <w:t xml:space="preserve"> Needs Assessment</w:t>
      </w:r>
      <w:r>
        <w:t>.</w:t>
      </w:r>
      <w:r w:rsidRPr="00F746C6">
        <w:rPr>
          <w:rStyle w:val="FootnoteReference"/>
        </w:rPr>
        <w:footnoteReference w:id="197"/>
      </w:r>
      <w:r w:rsidRPr="00A577A3">
        <w:t xml:space="preserve"> Collaborative efforts among the ISO, VELCO, National Grid, and Northeast Utilities have continued assessing the reliability of Vermont and New Hampshire’s transmission system.</w:t>
      </w:r>
      <w:r>
        <w:t xml:space="preserve"> </w:t>
      </w:r>
    </w:p>
    <w:p w:rsidR="00C561D4" w:rsidRPr="00A577A3" w:rsidRDefault="00C561D4" w:rsidP="00C561D4">
      <w:r w:rsidRPr="00A577A3">
        <w:rPr>
          <w:b/>
        </w:rPr>
        <w:t>New Hampshire and Vermont Combined</w:t>
      </w:r>
      <w:r w:rsidRPr="00A577A3">
        <w:t>—</w:t>
      </w:r>
      <w:proofErr w:type="gramStart"/>
      <w:r w:rsidRPr="00A577A3">
        <w:t>A</w:t>
      </w:r>
      <w:proofErr w:type="gramEnd"/>
      <w:r w:rsidRPr="00A577A3">
        <w:t xml:space="preserve"> combined study of the Vermont and New Hampshire area </w:t>
      </w:r>
      <w:r>
        <w:t>was completed</w:t>
      </w:r>
      <w:r w:rsidRPr="00A577A3">
        <w:t xml:space="preserve"> </w:t>
      </w:r>
      <w:r>
        <w:t xml:space="preserve">in </w:t>
      </w:r>
      <w:r w:rsidRPr="00A577A3">
        <w:t xml:space="preserve">two phases. The first phase was to conduct the </w:t>
      </w:r>
      <w:r w:rsidRPr="00A577A3">
        <w:rPr>
          <w:i/>
        </w:rPr>
        <w:t>Vermont/New Hampshire Transmission System 201</w:t>
      </w:r>
      <w:r>
        <w:rPr>
          <w:i/>
        </w:rPr>
        <w:t>1</w:t>
      </w:r>
      <w:r w:rsidRPr="00A577A3">
        <w:rPr>
          <w:i/>
        </w:rPr>
        <w:t xml:space="preserve"> Needs Assessment</w:t>
      </w:r>
      <w:r w:rsidRPr="00A577A3">
        <w:t xml:space="preserve">, which identified </w:t>
      </w:r>
      <w:r>
        <w:t xml:space="preserve">and focused on </w:t>
      </w:r>
      <w:r w:rsidRPr="00A577A3">
        <w:t>transmission system needs</w:t>
      </w:r>
      <w:r>
        <w:t xml:space="preserve"> for </w:t>
      </w:r>
      <w:r w:rsidRPr="00A577A3">
        <w:t xml:space="preserve">serving New Hampshire and Vermont loads while maintaining overall regional system performance. The second </w:t>
      </w:r>
      <w:r w:rsidRPr="00CC21C9">
        <w:t xml:space="preserve">phase studied transmission solution alternatives and resulted in </w:t>
      </w:r>
      <w:r w:rsidRPr="00C1204A">
        <w:t>proposed regulated</w:t>
      </w:r>
      <w:r w:rsidRPr="00A577A3">
        <w:t xml:space="preserve"> transmission solutions that address the violations identified in the </w:t>
      </w:r>
      <w:r>
        <w:t>n</w:t>
      </w:r>
      <w:r w:rsidRPr="00A577A3">
        <w:t xml:space="preserve">eeds </w:t>
      </w:r>
      <w:r>
        <w:t>assessment</w:t>
      </w:r>
      <w:r w:rsidRPr="00A577A3">
        <w:t xml:space="preserve">. In addition, a pilot study </w:t>
      </w:r>
      <w:r w:rsidRPr="007D26B5">
        <w:t xml:space="preserve">analyzing market resource alternatives in load pockets </w:t>
      </w:r>
      <w:proofErr w:type="gramStart"/>
      <w:r w:rsidRPr="007D26B5">
        <w:t>was conducted</w:t>
      </w:r>
      <w:proofErr w:type="gramEnd"/>
      <w:r w:rsidRPr="007D26B5">
        <w:t xml:space="preserve"> for the</w:t>
      </w:r>
      <w:r w:rsidRPr="00F37BD3">
        <w:t xml:space="preserve"> Vermont/New Hampshire system.</w:t>
      </w:r>
      <w:r w:rsidRPr="00F37BD3">
        <w:rPr>
          <w:rStyle w:val="FootnoteReference"/>
        </w:rPr>
        <w:footnoteReference w:id="198"/>
      </w:r>
    </w:p>
    <w:p w:rsidR="00C561D4" w:rsidRPr="00A577A3" w:rsidRDefault="00C561D4" w:rsidP="00C561D4">
      <w:r w:rsidRPr="00A577A3">
        <w:t xml:space="preserve">The </w:t>
      </w:r>
      <w:r w:rsidRPr="00A577A3">
        <w:rPr>
          <w:i/>
        </w:rPr>
        <w:t>Vermont/New Hampshire Transmission System 201</w:t>
      </w:r>
      <w:r>
        <w:rPr>
          <w:i/>
        </w:rPr>
        <w:t>1</w:t>
      </w:r>
      <w:r w:rsidRPr="00A577A3">
        <w:rPr>
          <w:i/>
        </w:rPr>
        <w:t xml:space="preserve"> Needs Assessment</w:t>
      </w:r>
      <w:r w:rsidRPr="00A577A3">
        <w:t xml:space="preserve"> identified several areas of weak performance and demonstrated the following transmission system needs:</w:t>
      </w:r>
    </w:p>
    <w:p w:rsidR="00C561D4" w:rsidRPr="00A577A3" w:rsidRDefault="00C561D4" w:rsidP="00C561D4">
      <w:pPr>
        <w:pStyle w:val="Bullet-Solid"/>
        <w:numPr>
          <w:ilvl w:val="0"/>
          <w:numId w:val="307"/>
        </w:numPr>
      </w:pPr>
      <w:r w:rsidRPr="00A577A3">
        <w:rPr>
          <w:i/>
        </w:rPr>
        <w:t>The Vermont transmission system</w:t>
      </w:r>
      <w:r w:rsidRPr="00A577A3">
        <w:t>: The Vermont transmission system requires additional local reactive support to help maintain voltage within criteria. In addition, following the outage of critical facilities that serve the area, the remaining 115 kV lines serving the state become loaded above emergency limits</w:t>
      </w:r>
      <w:r>
        <w:t xml:space="preserve">. This </w:t>
      </w:r>
      <w:r w:rsidRPr="00A577A3">
        <w:t>indicat</w:t>
      </w:r>
      <w:r>
        <w:t>es</w:t>
      </w:r>
      <w:r w:rsidRPr="00A577A3">
        <w:t xml:space="preserve"> the need for locating additional resources within that area or adding transmission capacity to maintain reliable operation</w:t>
      </w:r>
      <w:r>
        <w:t>s</w:t>
      </w:r>
      <w:r w:rsidRPr="00A577A3">
        <w:t xml:space="preserve"> following these contingencies.</w:t>
      </w:r>
    </w:p>
    <w:p w:rsidR="00C561D4" w:rsidRPr="00A577A3" w:rsidRDefault="00C561D4" w:rsidP="00C561D4">
      <w:pPr>
        <w:pStyle w:val="Bullet-Solid"/>
        <w:numPr>
          <w:ilvl w:val="0"/>
          <w:numId w:val="307"/>
        </w:numPr>
      </w:pPr>
      <w:r w:rsidRPr="00A577A3">
        <w:rPr>
          <w:i/>
        </w:rPr>
        <w:t>Multiple outages</w:t>
      </w:r>
      <w:r w:rsidRPr="00A577A3">
        <w:t>: The combination of key line contingencies causes some thermal overloads and many low-voltage violations on the underlying 115 kV system.</w:t>
      </w:r>
    </w:p>
    <w:p w:rsidR="00C561D4" w:rsidRPr="00A577A3" w:rsidRDefault="00C561D4" w:rsidP="00C561D4">
      <w:pPr>
        <w:pStyle w:val="Bullet-Solid"/>
        <w:numPr>
          <w:ilvl w:val="0"/>
          <w:numId w:val="330"/>
        </w:numPr>
      </w:pPr>
      <w:r w:rsidRPr="00A577A3">
        <w:rPr>
          <w:i/>
        </w:rPr>
        <w:t>Concord–Manchester–Nashua</w:t>
      </w:r>
      <w:r w:rsidRPr="00A577A3">
        <w:t>: This area, stretching roughly from the Webster substation in the north to the Power Street substation in the south, shows many voltage and thermal violations for a wide range of first and second contingencies. These violations are more significant when certain generation connected to the system is unavailable.</w:t>
      </w:r>
    </w:p>
    <w:p w:rsidR="00C561D4" w:rsidRPr="00A577A3" w:rsidRDefault="00C561D4" w:rsidP="00C561D4">
      <w:pPr>
        <w:pStyle w:val="Bullet-Solid"/>
        <w:numPr>
          <w:ilvl w:val="0"/>
          <w:numId w:val="330"/>
        </w:numPr>
      </w:pPr>
      <w:r w:rsidRPr="00A577A3">
        <w:rPr>
          <w:i/>
        </w:rPr>
        <w:t>Central New Hampshire</w:t>
      </w:r>
      <w:r w:rsidRPr="00A577A3">
        <w:t xml:space="preserve">: The portion of New Hampshire’s transmission system </w:t>
      </w:r>
      <w:r>
        <w:t xml:space="preserve">near </w:t>
      </w:r>
      <w:r w:rsidRPr="00A577A3">
        <w:t>the Beebe River substation shows many post-contingency voltage violations, which in turn cause some thermal overloads on 115 kV lines.</w:t>
      </w:r>
    </w:p>
    <w:p w:rsidR="00C561D4" w:rsidRPr="00A577A3" w:rsidRDefault="00C561D4" w:rsidP="00C561D4">
      <w:pPr>
        <w:pStyle w:val="Bullet-Solid"/>
        <w:numPr>
          <w:ilvl w:val="0"/>
          <w:numId w:val="330"/>
        </w:numPr>
      </w:pPr>
      <w:r w:rsidRPr="00A577A3">
        <w:rPr>
          <w:i/>
        </w:rPr>
        <w:t>The New Hampshire seacoast</w:t>
      </w:r>
      <w:r w:rsidRPr="00A577A3">
        <w:t>: The New Hampshire seacoast area is in need of additional resources or transmission capability to serve the 115 kV network under both N-1 and N-1-1 conditions.</w:t>
      </w:r>
    </w:p>
    <w:p w:rsidR="00C561D4" w:rsidRPr="00A577A3" w:rsidRDefault="00C561D4" w:rsidP="00C561D4">
      <w:pPr>
        <w:pStyle w:val="Bullet-Solid"/>
        <w:numPr>
          <w:ilvl w:val="0"/>
          <w:numId w:val="330"/>
        </w:numPr>
      </w:pPr>
      <w:r w:rsidRPr="00A577A3">
        <w:rPr>
          <w:i/>
        </w:rPr>
        <w:t>Western New Hampshire:</w:t>
      </w:r>
      <w:r w:rsidRPr="00A577A3">
        <w:t xml:space="preserve"> The New Hampshire western area shows many post-contingency voltage violations and thermal overloads on 115 kV lines under both N-1 and N-1-1 conditions.</w:t>
      </w:r>
    </w:p>
    <w:p w:rsidR="00C561D4" w:rsidRPr="00A577A3" w:rsidRDefault="00C561D4" w:rsidP="00C561D4">
      <w:pPr>
        <w:pStyle w:val="Bullet-Solid"/>
        <w:numPr>
          <w:ilvl w:val="0"/>
          <w:numId w:val="330"/>
        </w:numPr>
        <w:spacing w:after="240"/>
      </w:pPr>
      <w:r w:rsidRPr="00A577A3">
        <w:rPr>
          <w:i/>
        </w:rPr>
        <w:t>Other areas of the New Hampshire system</w:t>
      </w:r>
      <w:r w:rsidRPr="00A577A3">
        <w:t>: Other regions of the system show violations</w:t>
      </w:r>
      <w:r>
        <w:t>,</w:t>
      </w:r>
      <w:r w:rsidRPr="00A577A3">
        <w:t xml:space="preserve"> illustrating a dependence on local generation and sensitivity to area load </w:t>
      </w:r>
      <w:r w:rsidRPr="00062A08">
        <w:t xml:space="preserve">growth. As solutions </w:t>
      </w:r>
      <w:proofErr w:type="gramStart"/>
      <w:r w:rsidRPr="00062A08">
        <w:t>are developed</w:t>
      </w:r>
      <w:proofErr w:type="gramEnd"/>
      <w:r w:rsidRPr="00062A08">
        <w:t xml:space="preserve"> to me</w:t>
      </w:r>
      <w:r w:rsidRPr="00A577A3">
        <w:t>et the needs identified for the larger areas, the needs of these areas may be addressed; however, the smaller areas should continue to be monitored throughout the planning process to ensure their compliance with planning criteria.</w:t>
      </w:r>
    </w:p>
    <w:p w:rsidR="00C561D4" w:rsidRPr="00A577A3" w:rsidRDefault="00C561D4" w:rsidP="00C561D4">
      <w:r w:rsidRPr="00C45C43">
        <w:t xml:space="preserve">The </w:t>
      </w:r>
      <w:r w:rsidRPr="00C45C43">
        <w:rPr>
          <w:i/>
        </w:rPr>
        <w:t>Vermont/New Hampshire Transmission System 2011 Needs Assessment</w:t>
      </w:r>
      <w:r w:rsidRPr="00C45C43">
        <w:t xml:space="preserve"> identified</w:t>
      </w:r>
      <w:r w:rsidRPr="00A577A3">
        <w:t xml:space="preserve"> the critical load level at which the voltage violations and thermal overloads would occur. Most of the voltage and thermal violations identified </w:t>
      </w:r>
      <w:proofErr w:type="gramStart"/>
      <w:r w:rsidRPr="00A577A3">
        <w:t>were found</w:t>
      </w:r>
      <w:proofErr w:type="gramEnd"/>
      <w:r w:rsidRPr="00A577A3">
        <w:t xml:space="preserve"> at or below existing peak load levels under various system conditions. The </w:t>
      </w:r>
      <w:r>
        <w:t>n</w:t>
      </w:r>
      <w:r w:rsidRPr="00A577A3">
        <w:t xml:space="preserve">eeds </w:t>
      </w:r>
      <w:r>
        <w:t>a</w:t>
      </w:r>
      <w:r w:rsidRPr="00A577A3">
        <w:t>ssessment, coupled with the critical load level analysis, indicates the need to examine substantial transmission system upgrades to improve system performance.</w:t>
      </w:r>
    </w:p>
    <w:p w:rsidR="00C561D4" w:rsidRPr="00A42A67" w:rsidRDefault="00C561D4" w:rsidP="00C561D4">
      <w:r w:rsidRPr="003A695C">
        <w:t>The study reflected several sensitivities to future assumptions within New Hampshire and Vermont, such</w:t>
      </w:r>
      <w:r w:rsidRPr="00A577A3">
        <w:t xml:space="preserve"> as changes to the </w:t>
      </w:r>
      <w:r>
        <w:t>status of Vermont Yankee (VY)</w:t>
      </w:r>
      <w:r w:rsidRPr="00A577A3">
        <w:t xml:space="preserve">, which may have an impact on the performance of both </w:t>
      </w:r>
      <w:r w:rsidRPr="002365DD">
        <w:t>the New Hampshire and Vermont transmission systems. In addition, the New York ISO (NYISO) has</w:t>
      </w:r>
      <w:r w:rsidRPr="00942E61">
        <w:t xml:space="preserve"> </w:t>
      </w:r>
      <w:r>
        <w:t xml:space="preserve">informed ISO New England </w:t>
      </w:r>
      <w:r w:rsidRPr="00942E61">
        <w:t xml:space="preserve">that </w:t>
      </w:r>
      <w:r>
        <w:t>it</w:t>
      </w:r>
      <w:r w:rsidRPr="00942E61">
        <w:t xml:space="preserve"> </w:t>
      </w:r>
      <w:r>
        <w:t>cannot en</w:t>
      </w:r>
      <w:r w:rsidRPr="00942E61">
        <w:t xml:space="preserve">sure that flow across the </w:t>
      </w:r>
      <w:r>
        <w:t xml:space="preserve">115 kV PV-20 </w:t>
      </w:r>
      <w:proofErr w:type="gramStart"/>
      <w:r>
        <w:t>line</w:t>
      </w:r>
      <w:proofErr w:type="gramEnd"/>
      <w:r>
        <w:t xml:space="preserve"> between Plattsburgh substation in New York and Sand Bar substation in Vermont</w:t>
      </w:r>
      <w:r w:rsidRPr="00942E61" w:rsidDel="00196632">
        <w:t xml:space="preserve"> </w:t>
      </w:r>
      <w:r>
        <w:t xml:space="preserve">will be </w:t>
      </w:r>
      <w:r w:rsidRPr="00942E61">
        <w:t xml:space="preserve">available when necessary to resolve New England’s system concerns. </w:t>
      </w:r>
      <w:r w:rsidRPr="0032467D">
        <w:t xml:space="preserve">Contingencies </w:t>
      </w:r>
      <w:r w:rsidRPr="00A15C1D">
        <w:t>currently</w:t>
      </w:r>
      <w:r w:rsidRPr="0032467D">
        <w:t xml:space="preserve"> exist</w:t>
      </w:r>
      <w:r w:rsidRPr="00942E61">
        <w:t xml:space="preserve"> on the </w:t>
      </w:r>
      <w:r>
        <w:t xml:space="preserve">New York </w:t>
      </w:r>
      <w:r w:rsidRPr="004B4E2B">
        <w:t xml:space="preserve">Power Authority (NYPA) 230 kV </w:t>
      </w:r>
      <w:proofErr w:type="gramStart"/>
      <w:r w:rsidRPr="004B4E2B">
        <w:t>system that limit</w:t>
      </w:r>
      <w:proofErr w:type="gramEnd"/>
      <w:r w:rsidRPr="004B4E2B">
        <w:t xml:space="preserve"> New York’s ability to move power across this</w:t>
      </w:r>
      <w:r w:rsidRPr="00942E61">
        <w:t xml:space="preserve"> facility to New </w:t>
      </w:r>
      <w:r w:rsidRPr="00EA2E47">
        <w:t xml:space="preserve">England. Even after </w:t>
      </w:r>
      <w:proofErr w:type="gramStart"/>
      <w:r w:rsidRPr="00EA2E47">
        <w:t>system</w:t>
      </w:r>
      <w:proofErr w:type="gramEnd"/>
      <w:r w:rsidRPr="00EA2E47">
        <w:t xml:space="preserve"> upgrades </w:t>
      </w:r>
      <w:r>
        <w:t xml:space="preserve">eliminate </w:t>
      </w:r>
      <w:r w:rsidRPr="00EA2E47">
        <w:t xml:space="preserve">these contingencies, NYISO has recommended against relying on </w:t>
      </w:r>
      <w:r w:rsidRPr="009F046D">
        <w:t>flow into Vermont across the</w:t>
      </w:r>
      <w:r>
        <w:t xml:space="preserve"> PV-20 line.</w:t>
      </w:r>
      <w:r>
        <w:rPr>
          <w:rStyle w:val="FootnoteReference"/>
        </w:rPr>
        <w:footnoteReference w:id="199"/>
      </w:r>
      <w:r>
        <w:t xml:space="preserve"> </w:t>
      </w:r>
      <w:r w:rsidRPr="009F046D">
        <w:t xml:space="preserve">Furthermore, no </w:t>
      </w:r>
      <w:r>
        <w:t xml:space="preserve">additional contracts </w:t>
      </w:r>
      <w:r w:rsidRPr="009F046D">
        <w:t xml:space="preserve">are in place </w:t>
      </w:r>
      <w:r>
        <w:t xml:space="preserve">across the facility </w:t>
      </w:r>
      <w:r w:rsidRPr="009F046D">
        <w:t xml:space="preserve">to </w:t>
      </w:r>
      <w:r>
        <w:t xml:space="preserve">ensure </w:t>
      </w:r>
      <w:r w:rsidRPr="00942E61">
        <w:t>that power w</w:t>
      </w:r>
      <w:r>
        <w:t>ould</w:t>
      </w:r>
      <w:r w:rsidRPr="00942E61">
        <w:t xml:space="preserve"> flow to New England as needed.</w:t>
      </w:r>
    </w:p>
    <w:p w:rsidR="00C561D4" w:rsidRDefault="00C561D4" w:rsidP="00C561D4">
      <w:r w:rsidRPr="00A42A67">
        <w:t>The</w:t>
      </w:r>
      <w:r>
        <w:t xml:space="preserve"> </w:t>
      </w:r>
      <w:r w:rsidRPr="00A42A67">
        <w:t xml:space="preserve">New Hampshire/Vermont Solutions Study assessed alternatives for upgrading the New Hampshire and Vermont 345 kV and 115 kV transmission </w:t>
      </w:r>
      <w:proofErr w:type="gramStart"/>
      <w:r w:rsidRPr="00A42A67">
        <w:t>system</w:t>
      </w:r>
      <w:proofErr w:type="gramEnd"/>
      <w:r w:rsidRPr="00A42A67">
        <w:t xml:space="preserve">. Transmission upgrades for ensuring the reliability of the transmission system in New Hampshire and Vermont </w:t>
      </w:r>
      <w:proofErr w:type="gramStart"/>
      <w:r>
        <w:t>were</w:t>
      </w:r>
      <w:r w:rsidRPr="00A42A67">
        <w:t xml:space="preserve"> identified</w:t>
      </w:r>
      <w:proofErr w:type="gramEnd"/>
      <w:r w:rsidRPr="00A42A67">
        <w:t xml:space="preserve"> to address the reliability needs found in the </w:t>
      </w:r>
      <w:r>
        <w:t>n</w:t>
      </w:r>
      <w:r w:rsidRPr="00A42A67">
        <w:t xml:space="preserve">eeds </w:t>
      </w:r>
      <w:r>
        <w:t>a</w:t>
      </w:r>
      <w:r w:rsidRPr="00A42A67">
        <w:t>ssessment.</w:t>
      </w:r>
    </w:p>
    <w:p w:rsidR="00C561D4" w:rsidRDefault="00C561D4" w:rsidP="00C561D4">
      <w:r>
        <w:t>A</w:t>
      </w:r>
      <w:r w:rsidRPr="0004700A">
        <w:t xml:space="preserve"> </w:t>
      </w:r>
      <w:r>
        <w:t>f</w:t>
      </w:r>
      <w:r w:rsidRPr="0004700A">
        <w:t>ollow-</w:t>
      </w:r>
      <w:r>
        <w:t>u</w:t>
      </w:r>
      <w:r w:rsidRPr="0004700A">
        <w:t xml:space="preserve">p </w:t>
      </w:r>
      <w:r>
        <w:t>a</w:t>
      </w:r>
      <w:r w:rsidRPr="0004700A">
        <w:t xml:space="preserve">nalysis to the New Hampshire/Vermont </w:t>
      </w:r>
      <w:r>
        <w:t xml:space="preserve">Needs Assessments and </w:t>
      </w:r>
      <w:r w:rsidRPr="0004700A">
        <w:t xml:space="preserve">Solutions Study </w:t>
      </w:r>
      <w:r>
        <w:t>included</w:t>
      </w:r>
      <w:r w:rsidRPr="0004700A">
        <w:t xml:space="preserve"> a reassessment of the preferred solutions deve</w:t>
      </w:r>
      <w:r>
        <w:t>loped in the solutions study.</w:t>
      </w:r>
      <w:r w:rsidRPr="007235C7">
        <w:rPr>
          <w:vertAlign w:val="superscript"/>
        </w:rPr>
        <w:footnoteReference w:id="200"/>
      </w:r>
      <w:r>
        <w:t xml:space="preserve"> This reassessment incorporated </w:t>
      </w:r>
      <w:r w:rsidRPr="0004700A">
        <w:t xml:space="preserve">an updated set of assumptions </w:t>
      </w:r>
      <w:r>
        <w:t>based on the 2011 “proof-of concept” long-term energy-</w:t>
      </w:r>
      <w:r w:rsidRPr="00406560">
        <w:t>efficiency forecast, as well as for load, generation and</w:t>
      </w:r>
      <w:r w:rsidRPr="00F746C6">
        <w:t xml:space="preserve"> demand resources, transmission </w:t>
      </w:r>
      <w:r w:rsidRPr="005555E0">
        <w:t>system topology, and the use of existing transmission system devices</w:t>
      </w:r>
      <w:r>
        <w:t>. T</w:t>
      </w:r>
      <w:r w:rsidRPr="00406560">
        <w:t xml:space="preserve">he </w:t>
      </w:r>
      <w:r w:rsidRPr="00B34AE9">
        <w:t>original NH/VT Solutions Study</w:t>
      </w:r>
      <w:r w:rsidRPr="00406560">
        <w:t xml:space="preserve"> </w:t>
      </w:r>
      <w:r>
        <w:t>identified a</w:t>
      </w:r>
      <w:r w:rsidRPr="00406560">
        <w:t xml:space="preserve"> number of transmission system upgrades, which</w:t>
      </w:r>
      <w:r w:rsidRPr="0004700A">
        <w:t xml:space="preserve"> no longer </w:t>
      </w:r>
      <w:r>
        <w:t xml:space="preserve">are </w:t>
      </w:r>
      <w:r w:rsidRPr="0004700A">
        <w:t xml:space="preserve">required within the </w:t>
      </w:r>
      <w:r>
        <w:t xml:space="preserve">10-year planning horizon and </w:t>
      </w:r>
      <w:proofErr w:type="gramStart"/>
      <w:r>
        <w:t>could</w:t>
      </w:r>
      <w:r w:rsidRPr="0004700A">
        <w:t xml:space="preserve"> be deferred</w:t>
      </w:r>
      <w:proofErr w:type="gramEnd"/>
      <w:r w:rsidRPr="0004700A">
        <w:t xml:space="preserve"> from the preferred solution identified in the New Hampshire/Vermont Solutions Study.</w:t>
      </w:r>
      <w:r>
        <w:rPr>
          <w:rStyle w:val="FootnoteReference"/>
        </w:rPr>
        <w:footnoteReference w:id="201"/>
      </w:r>
      <w:r w:rsidRPr="0004700A">
        <w:t xml:space="preserve"> These deferred transmission system upgrades are located in </w:t>
      </w:r>
      <w:r>
        <w:t>several</w:t>
      </w:r>
      <w:r w:rsidRPr="0004700A">
        <w:t xml:space="preserve"> portion</w:t>
      </w:r>
      <w:r>
        <w:t>s</w:t>
      </w:r>
      <w:r w:rsidRPr="0004700A">
        <w:t xml:space="preserve"> of the </w:t>
      </w:r>
      <w:r w:rsidRPr="00A53703">
        <w:t xml:space="preserve">New Hampshire and Vermont transmission systems. </w:t>
      </w:r>
    </w:p>
    <w:p w:rsidR="001143DA" w:rsidRDefault="00C561D4" w:rsidP="00C561D4">
      <w:r w:rsidRPr="00A53703">
        <w:t xml:space="preserve">Another study of the New Hampshire/Vermont area </w:t>
      </w:r>
      <w:proofErr w:type="gramStart"/>
      <w:r w:rsidRPr="00A53703">
        <w:t>was initiated</w:t>
      </w:r>
      <w:proofErr w:type="gramEnd"/>
      <w:r w:rsidRPr="00A53703">
        <w:t xml:space="preserve"> in 2012 to capture the final long-term </w:t>
      </w:r>
      <w:r w:rsidRPr="00393AA3">
        <w:t>energy-efficiency forecast, as well as the latest Forward Capacity Auction results and the latest load forecast for 2022.</w:t>
      </w:r>
      <w:r w:rsidRPr="00393AA3">
        <w:rPr>
          <w:rStyle w:val="FootnoteReference"/>
        </w:rPr>
        <w:footnoteReference w:id="202"/>
      </w:r>
      <w:r w:rsidRPr="00393AA3">
        <w:t xml:space="preserve"> </w:t>
      </w:r>
      <w:r>
        <w:t xml:space="preserve">This study </w:t>
      </w:r>
      <w:proofErr w:type="gramStart"/>
      <w:r>
        <w:t>was further updated</w:t>
      </w:r>
      <w:proofErr w:type="gramEnd"/>
      <w:r>
        <w:t xml:space="preserve"> to incorporate the announced retirement of the Vermont Yankee generator and to incorporate the </w:t>
      </w:r>
      <w:r w:rsidR="00403688">
        <w:t xml:space="preserve">2013 </w:t>
      </w:r>
      <w:r>
        <w:t>CELT load forecast.</w:t>
      </w:r>
      <w:r>
        <w:rPr>
          <w:rStyle w:val="FootnoteReference"/>
        </w:rPr>
        <w:footnoteReference w:id="203"/>
      </w:r>
      <w:r>
        <w:t xml:space="preserve"> </w:t>
      </w:r>
      <w:r w:rsidRPr="00393AA3">
        <w:t>Th</w:t>
      </w:r>
      <w:r>
        <w:t>is</w:t>
      </w:r>
      <w:r w:rsidRPr="00393AA3">
        <w:t xml:space="preserve"> 202</w:t>
      </w:r>
      <w:r>
        <w:t>3</w:t>
      </w:r>
      <w:r w:rsidRPr="00393AA3">
        <w:t xml:space="preserve"> New Hampshire/Vermont Needs Assessment resulted in a number of adjustments to the previously identified preferred solutions for the area</w:t>
      </w:r>
      <w:r w:rsidR="001143DA">
        <w:t xml:space="preserve"> because of several deferred needs, as follows:</w:t>
      </w:r>
      <w:r w:rsidRPr="00393AA3">
        <w:rPr>
          <w:rStyle w:val="FootnoteReference"/>
        </w:rPr>
        <w:footnoteReference w:id="204"/>
      </w:r>
      <w:r w:rsidRPr="00393AA3">
        <w:t xml:space="preserve"> </w:t>
      </w:r>
    </w:p>
    <w:p w:rsidR="009D2398" w:rsidRDefault="00C561D4">
      <w:pPr>
        <w:numPr>
          <w:ilvl w:val="0"/>
          <w:numId w:val="533"/>
        </w:numPr>
        <w:spacing w:after="120"/>
      </w:pPr>
      <w:r w:rsidRPr="004139DD">
        <w:t xml:space="preserve">In </w:t>
      </w:r>
      <w:r w:rsidR="004139DD" w:rsidRPr="004139DD">
        <w:t>n</w:t>
      </w:r>
      <w:r w:rsidRPr="004139DD">
        <w:t>orthwestern Vermont, a proposed special protection system to cross-trip the PV-20 line to</w:t>
      </w:r>
      <w:r w:rsidRPr="00393AA3">
        <w:t xml:space="preserve"> mitigate low voltages following certain contingencies in New York </w:t>
      </w:r>
      <w:proofErr w:type="gramStart"/>
      <w:r w:rsidRPr="00393AA3">
        <w:t xml:space="preserve">has been </w:t>
      </w:r>
      <w:r>
        <w:t>cancelled</w:t>
      </w:r>
      <w:proofErr w:type="gramEnd"/>
      <w:r w:rsidRPr="00393AA3">
        <w:t xml:space="preserve">. </w:t>
      </w:r>
    </w:p>
    <w:p w:rsidR="009D2398" w:rsidRPr="00E37398" w:rsidRDefault="00113C54">
      <w:pPr>
        <w:numPr>
          <w:ilvl w:val="0"/>
          <w:numId w:val="533"/>
        </w:numPr>
        <w:spacing w:after="120"/>
      </w:pPr>
      <w:r w:rsidRPr="00113C54">
        <w:t>In southeastern Vermont, a section of the 381 (Vernon/Vermont</w:t>
      </w:r>
      <w:r w:rsidR="00C561D4" w:rsidRPr="00335A55">
        <w:t xml:space="preserve"> </w:t>
      </w:r>
      <w:r w:rsidRPr="00113C54">
        <w:t>border) 345 kV line upgrade has been cancelled.</w:t>
      </w:r>
    </w:p>
    <w:p w:rsidR="009D2398" w:rsidRDefault="00C561D4">
      <w:pPr>
        <w:numPr>
          <w:ilvl w:val="0"/>
          <w:numId w:val="533"/>
        </w:numPr>
      </w:pPr>
      <w:r w:rsidRPr="00393AA3">
        <w:t xml:space="preserve">In </w:t>
      </w:r>
      <w:r w:rsidR="004139DD">
        <w:t>c</w:t>
      </w:r>
      <w:r w:rsidRPr="00393AA3">
        <w:t xml:space="preserve">entral Vermont/Connecticut River, the new Coolidge–West Rutland 345 kV line has been </w:t>
      </w:r>
      <w:r>
        <w:t>cancelled</w:t>
      </w:r>
    </w:p>
    <w:p w:rsidR="00C561D4" w:rsidRDefault="001143DA" w:rsidP="00C561D4">
      <w:r>
        <w:t>Additionally, t</w:t>
      </w:r>
      <w:r w:rsidR="00C561D4" w:rsidRPr="00393AA3">
        <w:t>he proposed new Coolidge–</w:t>
      </w:r>
      <w:proofErr w:type="spellStart"/>
      <w:r w:rsidR="00C561D4" w:rsidRPr="00393AA3">
        <w:t>Ascutney</w:t>
      </w:r>
      <w:proofErr w:type="spellEnd"/>
      <w:r w:rsidR="00C561D4" w:rsidRPr="00393AA3">
        <w:t xml:space="preserve"> 115 kV line </w:t>
      </w:r>
      <w:proofErr w:type="gramStart"/>
      <w:r w:rsidR="00C561D4" w:rsidRPr="00393AA3">
        <w:t>is being reevaluated</w:t>
      </w:r>
      <w:proofErr w:type="gramEnd"/>
      <w:r w:rsidR="00C561D4" w:rsidRPr="00393AA3">
        <w:t xml:space="preserve"> along with the alternative of rebuilding the existing line. In New Hampshire, the </w:t>
      </w:r>
      <w:r w:rsidR="00C561D4">
        <w:t>need to address voltage issues at the</w:t>
      </w:r>
      <w:r w:rsidR="00C561D4" w:rsidRPr="00393AA3">
        <w:t xml:space="preserve"> Amherst 345 kV substation </w:t>
      </w:r>
      <w:proofErr w:type="gramStart"/>
      <w:r w:rsidR="00C561D4">
        <w:t>was reconfirmed</w:t>
      </w:r>
      <w:proofErr w:type="gramEnd"/>
      <w:r w:rsidR="00C561D4" w:rsidRPr="00393AA3">
        <w:t xml:space="preserve">. The previously proposed upgrade of the 345 kV 326 </w:t>
      </w:r>
      <w:proofErr w:type="gramStart"/>
      <w:r w:rsidR="00C561D4" w:rsidRPr="00393AA3">
        <w:t>line</w:t>
      </w:r>
      <w:proofErr w:type="gramEnd"/>
      <w:r w:rsidR="00C561D4" w:rsidRPr="00393AA3">
        <w:t xml:space="preserve"> </w:t>
      </w:r>
      <w:r w:rsidR="00C561D4">
        <w:t xml:space="preserve">from </w:t>
      </w:r>
      <w:proofErr w:type="spellStart"/>
      <w:r w:rsidR="00C561D4">
        <w:t>Scobie</w:t>
      </w:r>
      <w:proofErr w:type="spellEnd"/>
      <w:r w:rsidR="00C561D4">
        <w:t xml:space="preserve">, NH, to Sandy Pond, MA, </w:t>
      </w:r>
      <w:r w:rsidR="00C561D4" w:rsidRPr="00393AA3">
        <w:t xml:space="preserve">is being reevaluated in coordination with the </w:t>
      </w:r>
      <w:r w:rsidR="00C561D4" w:rsidRPr="00393AA3">
        <w:rPr>
          <w:i/>
        </w:rPr>
        <w:t>Greater Boston Needs Assessment and Solutions Study</w:t>
      </w:r>
      <w:r w:rsidR="00C561D4" w:rsidRPr="00393AA3">
        <w:t xml:space="preserve"> reassessments</w:t>
      </w:r>
      <w:r w:rsidR="00C561D4">
        <w:t xml:space="preserve"> (see below)</w:t>
      </w:r>
      <w:r w:rsidR="00C561D4" w:rsidRPr="00393AA3">
        <w:t>.</w:t>
      </w:r>
    </w:p>
    <w:p w:rsidR="00C561D4" w:rsidRPr="00A42A67" w:rsidRDefault="00C561D4" w:rsidP="00C561D4">
      <w:r w:rsidRPr="00B47C0C">
        <w:t xml:space="preserve">The </w:t>
      </w:r>
      <w:r w:rsidR="00D837D8" w:rsidRPr="00B47C0C">
        <w:t xml:space="preserve">remaining </w:t>
      </w:r>
      <w:r w:rsidRPr="00B47C0C">
        <w:t xml:space="preserve">transmission system upgrades, identified for each of the subareas in northern New England, </w:t>
      </w:r>
      <w:r w:rsidR="00D837D8" w:rsidRPr="00B47C0C">
        <w:t>are</w:t>
      </w:r>
      <w:r w:rsidRPr="00B47C0C">
        <w:t xml:space="preserve"> as follows:</w:t>
      </w:r>
    </w:p>
    <w:p w:rsidR="00C561D4" w:rsidRDefault="00C561D4" w:rsidP="00C561D4">
      <w:pPr>
        <w:pStyle w:val="Bullet-Solid"/>
      </w:pPr>
      <w:r w:rsidRPr="009B4E00">
        <w:rPr>
          <w:b/>
        </w:rPr>
        <w:t>Southwestern Vermont</w:t>
      </w:r>
      <w:r w:rsidR="007C175E" w:rsidRPr="007C175E">
        <w:t>—</w:t>
      </w:r>
      <w:r w:rsidRPr="007E4CEB">
        <w:t>The following solutions were developed to eliminate low voltages at Bennington</w:t>
      </w:r>
      <w:r>
        <w:t>:</w:t>
      </w:r>
    </w:p>
    <w:p w:rsidR="00C561D4" w:rsidRDefault="00C561D4" w:rsidP="00C561D4">
      <w:pPr>
        <w:pStyle w:val="Bullet-Open"/>
        <w:numPr>
          <w:ilvl w:val="0"/>
          <w:numId w:val="333"/>
        </w:numPr>
        <w:ind w:left="1440"/>
      </w:pPr>
      <w:r w:rsidRPr="00C617E3">
        <w:t xml:space="preserve">Adams 115 kV </w:t>
      </w:r>
      <w:r>
        <w:t>s</w:t>
      </w:r>
      <w:r w:rsidRPr="00C617E3">
        <w:t xml:space="preserve">ubstation </w:t>
      </w:r>
      <w:r>
        <w:t>reconfiguration and the addition of two circuit breakers</w:t>
      </w:r>
    </w:p>
    <w:p w:rsidR="00C561D4" w:rsidRDefault="00C561D4" w:rsidP="00C561D4">
      <w:pPr>
        <w:pStyle w:val="Bullet-Open"/>
        <w:numPr>
          <w:ilvl w:val="0"/>
          <w:numId w:val="333"/>
        </w:numPr>
        <w:ind w:left="1440"/>
      </w:pPr>
      <w:r w:rsidRPr="00EA2E47">
        <w:t>Two 12.5 megavolt-ampere reactive (MVAR) capacitor banks</w:t>
      </w:r>
      <w:r w:rsidRPr="00C617E3">
        <w:t xml:space="preserve"> at </w:t>
      </w:r>
      <w:r w:rsidR="001143DA">
        <w:t xml:space="preserve">the </w:t>
      </w:r>
      <w:r w:rsidRPr="00C617E3">
        <w:t>Bennington 115 kV substation</w:t>
      </w:r>
    </w:p>
    <w:p w:rsidR="00C561D4" w:rsidRDefault="00C561D4" w:rsidP="00C561D4">
      <w:pPr>
        <w:pStyle w:val="Bullet-Solid"/>
        <w:spacing w:after="240"/>
        <w:rPr>
          <w:b/>
        </w:rPr>
      </w:pPr>
      <w:r w:rsidRPr="009B4E00">
        <w:rPr>
          <w:b/>
        </w:rPr>
        <w:t>Southeastern Vermont and Western New Hampshire</w:t>
      </w:r>
      <w:r w:rsidR="007C175E" w:rsidRPr="007C175E">
        <w:t>—</w:t>
      </w:r>
      <w:proofErr w:type="gramStart"/>
      <w:r w:rsidRPr="007E4CEB">
        <w:t>The</w:t>
      </w:r>
      <w:proofErr w:type="gramEnd"/>
      <w:r w:rsidRPr="007E4CEB">
        <w:t xml:space="preserve"> </w:t>
      </w:r>
      <w:r>
        <w:t>s</w:t>
      </w:r>
      <w:r w:rsidRPr="007E4CEB">
        <w:t xml:space="preserve">outheastern Vermont and </w:t>
      </w:r>
      <w:r>
        <w:t>w</w:t>
      </w:r>
      <w:r w:rsidRPr="007E4CEB">
        <w:t xml:space="preserve">estern New Hampshire area focuses on the Vernon area in </w:t>
      </w:r>
      <w:r>
        <w:t>s</w:t>
      </w:r>
      <w:r w:rsidRPr="007E4CEB">
        <w:t>outhern V</w:t>
      </w:r>
      <w:r>
        <w:t>ermont</w:t>
      </w:r>
      <w:r w:rsidRPr="007E4CEB">
        <w:t xml:space="preserve"> and the Fitzwilliam/</w:t>
      </w:r>
      <w:proofErr w:type="spellStart"/>
      <w:r w:rsidRPr="007E4CEB">
        <w:t>Monadnock</w:t>
      </w:r>
      <w:proofErr w:type="spellEnd"/>
      <w:r w:rsidRPr="007E4CEB">
        <w:t xml:space="preserve"> area in </w:t>
      </w:r>
      <w:r>
        <w:t>w</w:t>
      </w:r>
      <w:r w:rsidRPr="007E4CEB">
        <w:t>estern N</w:t>
      </w:r>
      <w:r>
        <w:t xml:space="preserve">ew </w:t>
      </w:r>
      <w:r w:rsidRPr="007E4CEB">
        <w:t>H</w:t>
      </w:r>
      <w:r>
        <w:t>ampshire</w:t>
      </w:r>
      <w:r w:rsidRPr="007E4CEB">
        <w:t>. The Fitzwilliam/</w:t>
      </w:r>
      <w:proofErr w:type="spellStart"/>
      <w:r w:rsidRPr="007E4CEB">
        <w:t>Monadnock</w:t>
      </w:r>
      <w:proofErr w:type="spellEnd"/>
      <w:r w:rsidRPr="007E4CEB">
        <w:t xml:space="preserve"> area </w:t>
      </w:r>
      <w:proofErr w:type="gramStart"/>
      <w:r w:rsidRPr="007E4CEB">
        <w:t xml:space="preserve">is </w:t>
      </w:r>
      <w:r w:rsidRPr="00701757">
        <w:t>centered</w:t>
      </w:r>
      <w:proofErr w:type="gramEnd"/>
      <w:r w:rsidRPr="00701757">
        <w:t xml:space="preserve"> on the </w:t>
      </w:r>
      <w:proofErr w:type="spellStart"/>
      <w:r w:rsidRPr="00701757">
        <w:t>Monadnock</w:t>
      </w:r>
      <w:proofErr w:type="spellEnd"/>
      <w:r w:rsidRPr="00701757">
        <w:t xml:space="preserve"> 115 kV bus. </w:t>
      </w:r>
      <w:proofErr w:type="gramStart"/>
      <w:r w:rsidRPr="00701757">
        <w:t>This area is bounded by the L163 Jackman–Keene</w:t>
      </w:r>
      <w:r w:rsidR="001143DA" w:rsidRPr="00701757">
        <w:t xml:space="preserve"> </w:t>
      </w:r>
      <w:r w:rsidR="007C175E" w:rsidRPr="007C175E">
        <w:t>line,</w:t>
      </w:r>
      <w:r w:rsidRPr="007E4CEB">
        <w:t xml:space="preserve"> </w:t>
      </w:r>
      <w:r w:rsidRPr="00701757">
        <w:t>the I135N Bellows Falls–</w:t>
      </w:r>
      <w:proofErr w:type="spellStart"/>
      <w:r w:rsidRPr="00701757">
        <w:t>Monadnock</w:t>
      </w:r>
      <w:proofErr w:type="spellEnd"/>
      <w:r w:rsidRPr="00701757">
        <w:t xml:space="preserve"> tap, the J136N Bellows Falls–Flagg Pond</w:t>
      </w:r>
      <w:r w:rsidR="001143DA" w:rsidRPr="00701757">
        <w:t xml:space="preserve"> </w:t>
      </w:r>
      <w:r w:rsidR="007C175E" w:rsidRPr="007C175E">
        <w:t>line</w:t>
      </w:r>
      <w:r w:rsidRPr="00701757">
        <w:t>, and the N186</w:t>
      </w:r>
      <w:r w:rsidRPr="007E4CEB">
        <w:t xml:space="preserve"> Vernon Road </w:t>
      </w:r>
      <w:r>
        <w:t>t</w:t>
      </w:r>
      <w:r w:rsidRPr="007E4CEB">
        <w:t>ap</w:t>
      </w:r>
      <w:r>
        <w:t>–</w:t>
      </w:r>
      <w:r w:rsidRPr="007E4CEB">
        <w:t>Chestnut Hill 115 kV lines, as well as the Fitzwilliam 345/115 kV autotransformer</w:t>
      </w:r>
      <w:proofErr w:type="gramEnd"/>
      <w:r>
        <w:t>. The following solutions were developed to mitigate thermal overloads and voltage violations:</w:t>
      </w:r>
    </w:p>
    <w:p w:rsidR="00C561D4" w:rsidRDefault="00C561D4" w:rsidP="00C561D4">
      <w:pPr>
        <w:pStyle w:val="Bullet-Open"/>
        <w:numPr>
          <w:ilvl w:val="0"/>
          <w:numId w:val="334"/>
        </w:numPr>
        <w:ind w:left="1440"/>
      </w:pPr>
      <w:r w:rsidRPr="00C617E3">
        <w:t>New Fitzwilliam</w:t>
      </w:r>
      <w:r>
        <w:t>–</w:t>
      </w:r>
      <w:proofErr w:type="spellStart"/>
      <w:r w:rsidRPr="00C617E3">
        <w:t>Monadnock</w:t>
      </w:r>
      <w:proofErr w:type="spellEnd"/>
      <w:r w:rsidRPr="00C617E3">
        <w:t xml:space="preserve"> 115 kV line</w:t>
      </w:r>
    </w:p>
    <w:p w:rsidR="00C561D4" w:rsidRDefault="00C561D4" w:rsidP="00C561D4">
      <w:pPr>
        <w:pStyle w:val="Bullet-Open"/>
        <w:numPr>
          <w:ilvl w:val="0"/>
          <w:numId w:val="334"/>
        </w:numPr>
        <w:ind w:left="1440"/>
      </w:pPr>
      <w:r w:rsidRPr="00C617E3">
        <w:t xml:space="preserve">Two 13.3 MVAR capacitor banks at </w:t>
      </w:r>
      <w:proofErr w:type="spellStart"/>
      <w:r w:rsidRPr="00C617E3">
        <w:t>Weare</w:t>
      </w:r>
      <w:proofErr w:type="spellEnd"/>
      <w:r w:rsidRPr="00C617E3">
        <w:t xml:space="preserve"> 115 kV substation</w:t>
      </w:r>
    </w:p>
    <w:p w:rsidR="00C561D4" w:rsidRDefault="00C561D4" w:rsidP="00C561D4">
      <w:pPr>
        <w:pStyle w:val="Bullet-Open"/>
        <w:numPr>
          <w:ilvl w:val="0"/>
          <w:numId w:val="334"/>
        </w:numPr>
        <w:ind w:left="1440"/>
      </w:pPr>
      <w:r w:rsidRPr="00C617E3">
        <w:t>A152 Chestnut Hill</w:t>
      </w:r>
      <w:r>
        <w:t>–</w:t>
      </w:r>
      <w:r w:rsidRPr="00C617E3">
        <w:t>Westport</w:t>
      </w:r>
      <w:r>
        <w:t>–</w:t>
      </w:r>
      <w:proofErr w:type="spellStart"/>
      <w:r w:rsidRPr="00C617E3">
        <w:t>Swanzey</w:t>
      </w:r>
      <w:proofErr w:type="spellEnd"/>
      <w:r w:rsidRPr="00C617E3">
        <w:t xml:space="preserve"> 115 kV line rebuild</w:t>
      </w:r>
    </w:p>
    <w:p w:rsidR="00C561D4" w:rsidRDefault="00C561D4" w:rsidP="00C561D4">
      <w:pPr>
        <w:pStyle w:val="Bullet-Open"/>
        <w:numPr>
          <w:ilvl w:val="0"/>
          <w:numId w:val="334"/>
        </w:numPr>
        <w:ind w:left="1440"/>
      </w:pPr>
      <w:r w:rsidRPr="00C617E3">
        <w:t xml:space="preserve">N186-2 Vernon Road </w:t>
      </w:r>
      <w:r>
        <w:t>t</w:t>
      </w:r>
      <w:r w:rsidRPr="00C617E3">
        <w:t>ap</w:t>
      </w:r>
      <w:r>
        <w:t>–</w:t>
      </w:r>
      <w:r w:rsidRPr="00C617E3">
        <w:t>Chestnut Hill 115 kV line rebuild</w:t>
      </w:r>
    </w:p>
    <w:p w:rsidR="00C561D4" w:rsidRDefault="00C561D4" w:rsidP="00C561D4">
      <w:pPr>
        <w:pStyle w:val="Bullet-Open"/>
        <w:numPr>
          <w:ilvl w:val="0"/>
          <w:numId w:val="334"/>
        </w:numPr>
        <w:spacing w:after="240"/>
        <w:ind w:left="1440"/>
      </w:pPr>
      <w:r w:rsidRPr="00C617E3">
        <w:t>Terminal upgrades at Flagg Pond 115 kV substation</w:t>
      </w:r>
    </w:p>
    <w:p w:rsidR="00C561D4" w:rsidRDefault="00C561D4" w:rsidP="00C561D4">
      <w:pPr>
        <w:pStyle w:val="Bullet-Solid"/>
        <w:spacing w:after="240"/>
      </w:pPr>
      <w:r w:rsidRPr="009B4E00">
        <w:rPr>
          <w:b/>
        </w:rPr>
        <w:t>Northern New Hampshire and Northern Vermont</w:t>
      </w:r>
      <w:r w:rsidR="007C175E" w:rsidRPr="007C175E">
        <w:t>—</w:t>
      </w:r>
      <w:proofErr w:type="gramStart"/>
      <w:r w:rsidRPr="007E4CEB">
        <w:t>The</w:t>
      </w:r>
      <w:proofErr w:type="gramEnd"/>
      <w:r w:rsidRPr="007E4CEB">
        <w:t xml:space="preserve"> </w:t>
      </w:r>
      <w:r>
        <w:t>n</w:t>
      </w:r>
      <w:r w:rsidRPr="007E4CEB">
        <w:t xml:space="preserve">orthern Vermont area refers to the area associated with the 115 kV path along northern Vermont between the St. </w:t>
      </w:r>
      <w:proofErr w:type="spellStart"/>
      <w:r w:rsidRPr="007E4CEB">
        <w:t>Johnsbury</w:t>
      </w:r>
      <w:proofErr w:type="spellEnd"/>
      <w:r w:rsidRPr="007E4CEB">
        <w:t xml:space="preserve"> and </w:t>
      </w:r>
      <w:proofErr w:type="spellStart"/>
      <w:r w:rsidRPr="007E4CEB">
        <w:t>Highgate</w:t>
      </w:r>
      <w:proofErr w:type="spellEnd"/>
      <w:r w:rsidRPr="007E4CEB">
        <w:t xml:space="preserve"> 115 kV stations. The </w:t>
      </w:r>
      <w:r>
        <w:t>n</w:t>
      </w:r>
      <w:r w:rsidRPr="007E4CEB">
        <w:t>orthern New Hampshire area represents the northern 115 kV loop including Whitefield, Lost Nation</w:t>
      </w:r>
      <w:r>
        <w:t>,</w:t>
      </w:r>
      <w:r w:rsidRPr="007E4CEB">
        <w:t xml:space="preserve"> and Berlin, and the </w:t>
      </w:r>
      <w:proofErr w:type="spellStart"/>
      <w:r w:rsidRPr="007E4CEB">
        <w:t>Comerford</w:t>
      </w:r>
      <w:proofErr w:type="spellEnd"/>
      <w:r w:rsidRPr="007E4CEB">
        <w:t>/Moore/Littleton area</w:t>
      </w:r>
      <w:r>
        <w:t>. The following solutions were developed to mitigate thermal overloads and voltage violations:</w:t>
      </w:r>
    </w:p>
    <w:p w:rsidR="00C561D4" w:rsidRDefault="00C561D4" w:rsidP="00C561D4">
      <w:pPr>
        <w:pStyle w:val="Bullet-Open"/>
        <w:numPr>
          <w:ilvl w:val="0"/>
          <w:numId w:val="335"/>
        </w:numPr>
        <w:ind w:left="1440"/>
      </w:pPr>
      <w:r w:rsidRPr="00C617E3">
        <w:t>Second 230/115 kV autotransformer at Littleton</w:t>
      </w:r>
    </w:p>
    <w:p w:rsidR="00C561D4" w:rsidRPr="00DE5147" w:rsidRDefault="00C561D4" w:rsidP="00C561D4">
      <w:pPr>
        <w:pStyle w:val="Bullet-Open"/>
        <w:numPr>
          <w:ilvl w:val="0"/>
          <w:numId w:val="335"/>
        </w:numPr>
        <w:spacing w:after="240"/>
        <w:ind w:left="1440"/>
      </w:pPr>
      <w:r w:rsidRPr="00DE1967">
        <w:t xml:space="preserve">A 230 kV C203 </w:t>
      </w:r>
      <w:proofErr w:type="spellStart"/>
      <w:r w:rsidRPr="00DE1967">
        <w:t>Comerford</w:t>
      </w:r>
      <w:proofErr w:type="spellEnd"/>
      <w:r w:rsidRPr="00DE1967">
        <w:t>–Moore line tap into Littleton substation</w:t>
      </w:r>
    </w:p>
    <w:p w:rsidR="00C561D4" w:rsidRDefault="00C561D4" w:rsidP="00C561D4">
      <w:pPr>
        <w:pStyle w:val="Bullet-Solid"/>
        <w:spacing w:after="240"/>
        <w:rPr>
          <w:rFonts w:asciiTheme="majorHAnsi" w:hAnsiTheme="majorHAnsi" w:cs="Arial"/>
          <w:b/>
        </w:rPr>
      </w:pPr>
      <w:r w:rsidRPr="009B4E00">
        <w:rPr>
          <w:rFonts w:asciiTheme="majorHAnsi" w:hAnsiTheme="majorHAnsi" w:cs="Arial"/>
          <w:b/>
        </w:rPr>
        <w:t>Central New Hampshire</w:t>
      </w:r>
      <w:r w:rsidR="007C175E" w:rsidRPr="007C175E">
        <w:rPr>
          <w:rFonts w:asciiTheme="majorHAnsi" w:hAnsiTheme="majorHAnsi" w:cs="Arial"/>
        </w:rPr>
        <w:t>—</w:t>
      </w:r>
      <w:proofErr w:type="gramStart"/>
      <w:r>
        <w:t>The</w:t>
      </w:r>
      <w:proofErr w:type="gramEnd"/>
      <w:r>
        <w:t xml:space="preserve"> central New Hampshire </w:t>
      </w:r>
      <w:r w:rsidRPr="003B45D8">
        <w:t xml:space="preserve">area </w:t>
      </w:r>
      <w:r>
        <w:t xml:space="preserve">stretches roughly from the Webster substation in the south to the Littleton substation in the north. </w:t>
      </w:r>
      <w:r>
        <w:rPr>
          <w:rFonts w:asciiTheme="majorHAnsi" w:hAnsiTheme="majorHAnsi" w:cs="Arial"/>
        </w:rPr>
        <w:t>The following solutions were developed to mitigate thermal overloads and voltage violations:</w:t>
      </w:r>
    </w:p>
    <w:p w:rsidR="00C561D4" w:rsidRDefault="00C561D4" w:rsidP="00C561D4">
      <w:pPr>
        <w:pStyle w:val="Bullet-Open"/>
        <w:numPr>
          <w:ilvl w:val="0"/>
          <w:numId w:val="336"/>
        </w:numPr>
        <w:ind w:left="1440"/>
      </w:pPr>
      <w:r w:rsidRPr="00C617E3">
        <w:t>Four 26 MVAR capacitor banks at Webster 115 kV substation</w:t>
      </w:r>
    </w:p>
    <w:p w:rsidR="00C561D4" w:rsidRDefault="00C561D4" w:rsidP="00C561D4">
      <w:pPr>
        <w:pStyle w:val="Bullet-Open"/>
        <w:numPr>
          <w:ilvl w:val="0"/>
          <w:numId w:val="336"/>
        </w:numPr>
        <w:ind w:left="1440"/>
      </w:pPr>
      <w:r w:rsidRPr="00C617E3">
        <w:t>Two 25 MVAR dynamic reactive devices at Saco Valley 115 kV substation</w:t>
      </w:r>
    </w:p>
    <w:p w:rsidR="00C561D4" w:rsidRDefault="00C561D4" w:rsidP="00C561D4">
      <w:pPr>
        <w:pStyle w:val="Bullet-Open"/>
        <w:numPr>
          <w:ilvl w:val="0"/>
          <w:numId w:val="336"/>
        </w:numPr>
        <w:spacing w:after="240"/>
        <w:ind w:left="1440"/>
      </w:pPr>
      <w:r w:rsidRPr="00C617E3">
        <w:t>Load transfer scheme</w:t>
      </w:r>
    </w:p>
    <w:p w:rsidR="00C561D4" w:rsidRDefault="00C561D4" w:rsidP="00C561D4">
      <w:pPr>
        <w:pStyle w:val="Bullet-Solid"/>
        <w:spacing w:after="240"/>
        <w:rPr>
          <w:rFonts w:asciiTheme="majorHAnsi" w:hAnsiTheme="majorHAnsi" w:cs="Arial"/>
          <w:b/>
        </w:rPr>
      </w:pPr>
      <w:r w:rsidRPr="003E0FAD">
        <w:rPr>
          <w:rFonts w:asciiTheme="majorHAnsi" w:hAnsiTheme="majorHAnsi" w:cs="Arial"/>
          <w:b/>
        </w:rPr>
        <w:t>Southern New Hampshire</w:t>
      </w:r>
      <w:r w:rsidR="007C175E" w:rsidRPr="007C175E">
        <w:rPr>
          <w:rFonts w:asciiTheme="majorHAnsi" w:hAnsiTheme="majorHAnsi" w:cs="Arial"/>
        </w:rPr>
        <w:t>—</w:t>
      </w:r>
      <w:proofErr w:type="gramStart"/>
      <w:r w:rsidRPr="003E0FAD">
        <w:t>The</w:t>
      </w:r>
      <w:proofErr w:type="gramEnd"/>
      <w:r w:rsidRPr="003E0FAD">
        <w:t xml:space="preserve"> southern New Hampshire area stretches roughly from the Webster substation in the north to the Power Street substation in the south. This area </w:t>
      </w:r>
      <w:proofErr w:type="gramStart"/>
      <w:r w:rsidRPr="003E0FAD">
        <w:t>is fed</w:t>
      </w:r>
      <w:proofErr w:type="gramEnd"/>
      <w:r>
        <w:t xml:space="preserve"> </w:t>
      </w:r>
      <w:r w:rsidRPr="003E0FAD">
        <w:t xml:space="preserve">from local generation and from the Deerfield and </w:t>
      </w:r>
      <w:proofErr w:type="spellStart"/>
      <w:r w:rsidRPr="003E0FAD">
        <w:t>Scobie</w:t>
      </w:r>
      <w:proofErr w:type="spellEnd"/>
      <w:r w:rsidRPr="003E0FAD">
        <w:t xml:space="preserve"> 345/115 kV stations from the east, from the Webster 115 kV</w:t>
      </w:r>
      <w:r>
        <w:t xml:space="preserve"> station from the north, the L163 Keene–Jackman 115 kV line from the west, and the Y151 Power St–Tewksbury 115 kV line from the south. This area serves the Nashua, Manchester, and Concord area loads and contains a significant portion of the total New Hampshire load. </w:t>
      </w:r>
      <w:r>
        <w:rPr>
          <w:rFonts w:asciiTheme="majorHAnsi" w:hAnsiTheme="majorHAnsi" w:cs="Arial"/>
        </w:rPr>
        <w:t>The following solutions were developed to mitigate multiple thermal overloads and voltage violations:</w:t>
      </w:r>
    </w:p>
    <w:p w:rsidR="00C561D4" w:rsidRDefault="00C561D4" w:rsidP="00C561D4">
      <w:pPr>
        <w:pStyle w:val="Bullet-Open"/>
        <w:numPr>
          <w:ilvl w:val="0"/>
          <w:numId w:val="337"/>
        </w:numPr>
        <w:ind w:left="1440"/>
      </w:pPr>
      <w:r w:rsidRPr="00C617E3">
        <w:t>345/115 kV autotransformer at Eagle</w:t>
      </w:r>
      <w:r>
        <w:t xml:space="preserve"> </w:t>
      </w:r>
      <w:r w:rsidRPr="00C617E3">
        <w:t>115 kV substation</w:t>
      </w:r>
    </w:p>
    <w:p w:rsidR="00C561D4" w:rsidRDefault="00C561D4" w:rsidP="00C561D4">
      <w:pPr>
        <w:pStyle w:val="Bullet-Open"/>
        <w:numPr>
          <w:ilvl w:val="0"/>
          <w:numId w:val="337"/>
        </w:numPr>
        <w:ind w:left="1440"/>
      </w:pPr>
      <w:r w:rsidRPr="00C617E3">
        <w:t>Four 25 MVAR capacitor banks at Eagle</w:t>
      </w:r>
    </w:p>
    <w:p w:rsidR="00C561D4" w:rsidRPr="00EF2795" w:rsidRDefault="00C561D4" w:rsidP="00C561D4">
      <w:pPr>
        <w:pStyle w:val="Bullet-Open"/>
        <w:numPr>
          <w:ilvl w:val="0"/>
          <w:numId w:val="337"/>
        </w:numPr>
        <w:ind w:left="1440"/>
        <w:rPr>
          <w:lang w:val="fr-FR"/>
        </w:rPr>
      </w:pPr>
      <w:r w:rsidRPr="002E0CCF">
        <w:rPr>
          <w:lang w:val="fr-FR"/>
        </w:rPr>
        <w:t xml:space="preserve">326-NU </w:t>
      </w:r>
      <w:proofErr w:type="spellStart"/>
      <w:r w:rsidRPr="002E0CCF">
        <w:rPr>
          <w:lang w:val="fr-FR"/>
        </w:rPr>
        <w:t>Scobie</w:t>
      </w:r>
      <w:proofErr w:type="spellEnd"/>
      <w:r w:rsidRPr="002E0CCF">
        <w:rPr>
          <w:lang w:val="fr-FR"/>
        </w:rPr>
        <w:t xml:space="preserve"> Pond–NH/MA border 345 kV line upgrade </w:t>
      </w:r>
    </w:p>
    <w:p w:rsidR="00C561D4" w:rsidRDefault="00C561D4" w:rsidP="00C561D4">
      <w:pPr>
        <w:pStyle w:val="Bullet-Open"/>
        <w:numPr>
          <w:ilvl w:val="0"/>
          <w:numId w:val="337"/>
        </w:numPr>
        <w:ind w:left="1440"/>
      </w:pPr>
      <w:proofErr w:type="spellStart"/>
      <w:r w:rsidRPr="00C617E3">
        <w:t>Scobie</w:t>
      </w:r>
      <w:proofErr w:type="spellEnd"/>
      <w:r w:rsidRPr="00C617E3">
        <w:t xml:space="preserve"> series circuit breaker with breaker 802</w:t>
      </w:r>
    </w:p>
    <w:p w:rsidR="00C561D4" w:rsidRDefault="00C561D4" w:rsidP="00C561D4">
      <w:pPr>
        <w:pStyle w:val="Bullet-Open"/>
        <w:numPr>
          <w:ilvl w:val="0"/>
          <w:numId w:val="337"/>
        </w:numPr>
        <w:ind w:left="1440"/>
      </w:pPr>
      <w:r w:rsidRPr="00C617E3">
        <w:t xml:space="preserve">New </w:t>
      </w:r>
      <w:proofErr w:type="spellStart"/>
      <w:r w:rsidRPr="00C617E3">
        <w:t>Scobie</w:t>
      </w:r>
      <w:r>
        <w:t>–</w:t>
      </w:r>
      <w:r w:rsidRPr="00C617E3">
        <w:t>Huse</w:t>
      </w:r>
      <w:proofErr w:type="spellEnd"/>
      <w:r w:rsidRPr="00C617E3">
        <w:t xml:space="preserve"> Road 115 kV line</w:t>
      </w:r>
    </w:p>
    <w:p w:rsidR="00C561D4" w:rsidRDefault="00C561D4" w:rsidP="00C561D4">
      <w:pPr>
        <w:pStyle w:val="Bullet-Open"/>
        <w:numPr>
          <w:ilvl w:val="0"/>
          <w:numId w:val="337"/>
        </w:numPr>
        <w:ind w:left="1440"/>
      </w:pPr>
      <w:r w:rsidRPr="00C617E3">
        <w:t xml:space="preserve">G146 </w:t>
      </w:r>
      <w:proofErr w:type="spellStart"/>
      <w:r w:rsidRPr="00C617E3">
        <w:t>Garvins</w:t>
      </w:r>
      <w:proofErr w:type="spellEnd"/>
      <w:r>
        <w:t>–</w:t>
      </w:r>
      <w:r w:rsidRPr="00C617E3">
        <w:t>Deerfield 115 kV line upgrade</w:t>
      </w:r>
    </w:p>
    <w:p w:rsidR="00C561D4" w:rsidRDefault="00C561D4" w:rsidP="00C561D4">
      <w:pPr>
        <w:pStyle w:val="Bullet-Open"/>
        <w:numPr>
          <w:ilvl w:val="0"/>
          <w:numId w:val="337"/>
        </w:numPr>
        <w:ind w:left="1440"/>
      </w:pPr>
      <w:r w:rsidRPr="00C617E3">
        <w:t>P145 Oak Hill</w:t>
      </w:r>
      <w:r>
        <w:t>–</w:t>
      </w:r>
      <w:r w:rsidRPr="00C617E3">
        <w:t>Merrimack 115 kV line upgrade</w:t>
      </w:r>
    </w:p>
    <w:p w:rsidR="00C561D4" w:rsidRDefault="00C561D4" w:rsidP="00C561D4">
      <w:pPr>
        <w:pStyle w:val="Bullet-Open"/>
        <w:numPr>
          <w:ilvl w:val="0"/>
          <w:numId w:val="337"/>
        </w:numPr>
        <w:ind w:left="1440"/>
      </w:pPr>
      <w:r w:rsidRPr="00C617E3">
        <w:t>D118 Deerfield</w:t>
      </w:r>
      <w:r>
        <w:t>–</w:t>
      </w:r>
      <w:r w:rsidRPr="00C617E3">
        <w:t>Pine Hill 115 kV line rebuild</w:t>
      </w:r>
    </w:p>
    <w:p w:rsidR="00C561D4" w:rsidRDefault="00C561D4" w:rsidP="00C561D4">
      <w:pPr>
        <w:pStyle w:val="Bullet-Open"/>
        <w:numPr>
          <w:ilvl w:val="0"/>
          <w:numId w:val="337"/>
        </w:numPr>
        <w:ind w:left="1440"/>
      </w:pPr>
      <w:r w:rsidRPr="00C617E3">
        <w:t>H137 Merrimack</w:t>
      </w:r>
      <w:r>
        <w:t>–</w:t>
      </w:r>
      <w:proofErr w:type="spellStart"/>
      <w:r w:rsidRPr="00C617E3">
        <w:t>Garvins</w:t>
      </w:r>
      <w:proofErr w:type="spellEnd"/>
      <w:r w:rsidRPr="00C617E3">
        <w:t xml:space="preserve"> 115 kV line rebuild</w:t>
      </w:r>
    </w:p>
    <w:p w:rsidR="00C561D4" w:rsidRDefault="00C561D4" w:rsidP="00C561D4">
      <w:pPr>
        <w:pStyle w:val="Bullet-Open"/>
        <w:numPr>
          <w:ilvl w:val="0"/>
          <w:numId w:val="337"/>
        </w:numPr>
        <w:ind w:left="1440"/>
      </w:pPr>
      <w:r w:rsidRPr="00C617E3">
        <w:t>J114-2 Greggs</w:t>
      </w:r>
      <w:r>
        <w:t>–</w:t>
      </w:r>
      <w:proofErr w:type="spellStart"/>
      <w:r w:rsidRPr="00C617E3">
        <w:t>Rimmon</w:t>
      </w:r>
      <w:proofErr w:type="spellEnd"/>
      <w:r w:rsidRPr="00C617E3">
        <w:t xml:space="preserve"> 115 kV line upgrade</w:t>
      </w:r>
    </w:p>
    <w:p w:rsidR="00C561D4" w:rsidRDefault="00C561D4" w:rsidP="00C561D4">
      <w:pPr>
        <w:pStyle w:val="Bullet-Open"/>
        <w:numPr>
          <w:ilvl w:val="0"/>
          <w:numId w:val="337"/>
        </w:numPr>
        <w:ind w:left="1440"/>
      </w:pPr>
      <w:r w:rsidRPr="00C617E3">
        <w:t>Loop V182 line into Oak Hill substation</w:t>
      </w:r>
      <w:r>
        <w:t xml:space="preserve"> (</w:t>
      </w:r>
      <w:proofErr w:type="spellStart"/>
      <w:r>
        <w:t>Garvins</w:t>
      </w:r>
      <w:proofErr w:type="spellEnd"/>
      <w:r>
        <w:t>–Webster)</w:t>
      </w:r>
    </w:p>
    <w:p w:rsidR="00C561D4" w:rsidRDefault="00C561D4" w:rsidP="00C561D4">
      <w:pPr>
        <w:pStyle w:val="Bullet-Open"/>
        <w:numPr>
          <w:ilvl w:val="0"/>
          <w:numId w:val="337"/>
        </w:numPr>
        <w:ind w:left="1440"/>
      </w:pPr>
      <w:r w:rsidRPr="00C617E3">
        <w:t>Merrimack series circuit breaker with breakers BT12 and BT23</w:t>
      </w:r>
    </w:p>
    <w:p w:rsidR="00C561D4" w:rsidRPr="00C617E3" w:rsidRDefault="00C561D4" w:rsidP="00C561D4">
      <w:pPr>
        <w:pStyle w:val="Bullet-Open"/>
        <w:numPr>
          <w:ilvl w:val="0"/>
          <w:numId w:val="337"/>
        </w:numPr>
        <w:ind w:left="1440"/>
      </w:pPr>
      <w:r w:rsidRPr="00C617E3">
        <w:t>Merrimack capacitor bank</w:t>
      </w:r>
      <w:r>
        <w:t xml:space="preserve"> relocation</w:t>
      </w:r>
      <w:r w:rsidRPr="00C617E3">
        <w:t xml:space="preserve"> </w:t>
      </w:r>
      <w:r w:rsidR="0097702D">
        <w:t>within the substation</w:t>
      </w:r>
    </w:p>
    <w:p w:rsidR="00C561D4" w:rsidRDefault="00C561D4" w:rsidP="00C561D4">
      <w:pPr>
        <w:pStyle w:val="Bullet-Open"/>
        <w:numPr>
          <w:ilvl w:val="0"/>
          <w:numId w:val="337"/>
        </w:numPr>
        <w:spacing w:after="240"/>
        <w:ind w:left="1440"/>
      </w:pPr>
      <w:r w:rsidRPr="00C617E3">
        <w:t>K165 Eagle</w:t>
      </w:r>
      <w:r>
        <w:t>–Br</w:t>
      </w:r>
      <w:r w:rsidRPr="00C617E3">
        <w:t>idge St.</w:t>
      </w:r>
      <w:r>
        <w:t>–</w:t>
      </w:r>
      <w:r w:rsidRPr="00C617E3">
        <w:t>Power St. 115 kV line upgrade</w:t>
      </w:r>
    </w:p>
    <w:p w:rsidR="00C561D4" w:rsidRDefault="00C561D4" w:rsidP="00C561D4">
      <w:pPr>
        <w:pStyle w:val="Bullet-Solid"/>
        <w:spacing w:after="240"/>
        <w:rPr>
          <w:rFonts w:asciiTheme="majorHAnsi" w:hAnsiTheme="majorHAnsi" w:cs="Arial"/>
          <w:b/>
        </w:rPr>
      </w:pPr>
      <w:r w:rsidRPr="009B4E00">
        <w:rPr>
          <w:rFonts w:asciiTheme="majorHAnsi" w:hAnsiTheme="majorHAnsi" w:cs="Arial"/>
          <w:b/>
        </w:rPr>
        <w:t>New Hampshire Seacoast</w:t>
      </w:r>
      <w:r w:rsidRPr="00201FD2">
        <w:rPr>
          <w:rFonts w:asciiTheme="majorHAnsi" w:hAnsiTheme="majorHAnsi" w:cs="Arial"/>
        </w:rPr>
        <w:t>—</w:t>
      </w:r>
      <w:r>
        <w:t xml:space="preserve">The New Hampshire Seacoast </w:t>
      </w:r>
      <w:r w:rsidRPr="00222873">
        <w:t xml:space="preserve">area </w:t>
      </w:r>
      <w:r>
        <w:t xml:space="preserve">is the area </w:t>
      </w:r>
      <w:r w:rsidRPr="00222873">
        <w:t>along the New Hampshire coastline</w:t>
      </w:r>
      <w:r>
        <w:t>,</w:t>
      </w:r>
      <w:r w:rsidRPr="00222873">
        <w:t xml:space="preserve"> bordered by the Deerfield and </w:t>
      </w:r>
      <w:proofErr w:type="spellStart"/>
      <w:r w:rsidRPr="00222873">
        <w:t>Scobie</w:t>
      </w:r>
      <w:proofErr w:type="spellEnd"/>
      <w:r w:rsidRPr="00222873">
        <w:t xml:space="preserve"> 115 kV stations to the west and the </w:t>
      </w:r>
      <w:r w:rsidRPr="00333123">
        <w:t xml:space="preserve">Three Rivers 115 kV station to the north. </w:t>
      </w:r>
      <w:r w:rsidR="00963B34" w:rsidRPr="00333123">
        <w:t>The area has no</w:t>
      </w:r>
      <w:r w:rsidRPr="00333123">
        <w:t xml:space="preserve"> 115 kV connections to the south.</w:t>
      </w:r>
      <w:r>
        <w:t xml:space="preserve"> This system serves load in the Portsmouth, Dover, and Rochester areas. </w:t>
      </w:r>
      <w:r>
        <w:rPr>
          <w:rFonts w:asciiTheme="majorHAnsi" w:hAnsiTheme="majorHAnsi" w:cs="Arial"/>
        </w:rPr>
        <w:t>The following solutions were developed to mitigate multiple thermal overloads and voltage violations:</w:t>
      </w:r>
    </w:p>
    <w:p w:rsidR="00C561D4" w:rsidRDefault="00C561D4" w:rsidP="00C561D4">
      <w:pPr>
        <w:pStyle w:val="Bullet-Open"/>
        <w:numPr>
          <w:ilvl w:val="0"/>
          <w:numId w:val="338"/>
        </w:numPr>
        <w:ind w:left="1440"/>
      </w:pPr>
      <w:r w:rsidRPr="00C617E3">
        <w:t xml:space="preserve">New </w:t>
      </w:r>
      <w:proofErr w:type="spellStart"/>
      <w:r w:rsidRPr="00C617E3">
        <w:t>Madbury</w:t>
      </w:r>
      <w:proofErr w:type="spellEnd"/>
      <w:r>
        <w:t>–</w:t>
      </w:r>
      <w:r w:rsidRPr="00C617E3">
        <w:t>Portsmouth 115 kV line</w:t>
      </w:r>
    </w:p>
    <w:p w:rsidR="00C561D4" w:rsidRDefault="00C561D4" w:rsidP="00C561D4">
      <w:pPr>
        <w:pStyle w:val="Bullet-Open"/>
        <w:numPr>
          <w:ilvl w:val="0"/>
          <w:numId w:val="338"/>
        </w:numPr>
        <w:ind w:left="1440"/>
      </w:pPr>
      <w:r w:rsidRPr="00C617E3">
        <w:t xml:space="preserve">New </w:t>
      </w:r>
      <w:proofErr w:type="spellStart"/>
      <w:r w:rsidRPr="00C617E3">
        <w:t>Scobie</w:t>
      </w:r>
      <w:proofErr w:type="spellEnd"/>
      <w:r>
        <w:t>–</w:t>
      </w:r>
      <w:r w:rsidRPr="00C617E3">
        <w:t>Chester 115 kV line</w:t>
      </w:r>
    </w:p>
    <w:p w:rsidR="00C561D4" w:rsidRDefault="00C561D4" w:rsidP="00C561D4">
      <w:pPr>
        <w:pStyle w:val="Bullet-Open"/>
        <w:numPr>
          <w:ilvl w:val="0"/>
          <w:numId w:val="338"/>
        </w:numPr>
        <w:ind w:left="1440"/>
      </w:pPr>
      <w:r w:rsidRPr="00C617E3">
        <w:t>Chester substation work associated with new 115 kV line</w:t>
      </w:r>
    </w:p>
    <w:p w:rsidR="00C561D4" w:rsidRDefault="00C561D4" w:rsidP="00C561D4">
      <w:pPr>
        <w:pStyle w:val="Bullet-Open"/>
        <w:numPr>
          <w:ilvl w:val="0"/>
          <w:numId w:val="338"/>
        </w:numPr>
        <w:ind w:left="1440"/>
      </w:pPr>
      <w:r w:rsidRPr="00C617E3">
        <w:t>Six 13.3 MVAR capacitor banks at Schiller 115 kV substation and series circuit breaker with breaker BT10</w:t>
      </w:r>
    </w:p>
    <w:p w:rsidR="00C561D4" w:rsidRDefault="00C561D4" w:rsidP="00C561D4">
      <w:pPr>
        <w:pStyle w:val="Bullet-Open"/>
        <w:numPr>
          <w:ilvl w:val="0"/>
          <w:numId w:val="338"/>
        </w:numPr>
        <w:ind w:left="1440"/>
      </w:pPr>
      <w:r w:rsidRPr="00C617E3">
        <w:t>H141 Chester</w:t>
      </w:r>
      <w:r>
        <w:t>–</w:t>
      </w:r>
      <w:r w:rsidRPr="00C617E3">
        <w:t>Great Bay 115 kV line upgrade</w:t>
      </w:r>
    </w:p>
    <w:p w:rsidR="00C561D4" w:rsidRDefault="00C561D4" w:rsidP="00C561D4">
      <w:pPr>
        <w:pStyle w:val="Bullet-Open"/>
        <w:numPr>
          <w:ilvl w:val="0"/>
          <w:numId w:val="338"/>
        </w:numPr>
        <w:ind w:left="1440"/>
      </w:pPr>
      <w:r w:rsidRPr="00C617E3">
        <w:t xml:space="preserve">R193 </w:t>
      </w:r>
      <w:proofErr w:type="spellStart"/>
      <w:r w:rsidRPr="00C617E3">
        <w:t>Scobie</w:t>
      </w:r>
      <w:proofErr w:type="spellEnd"/>
      <w:r>
        <w:t>–</w:t>
      </w:r>
      <w:r w:rsidRPr="00C617E3">
        <w:t xml:space="preserve">Kingston </w:t>
      </w:r>
      <w:r>
        <w:t>t</w:t>
      </w:r>
      <w:r w:rsidRPr="00C617E3">
        <w:t>ap 115 kV line upgrade</w:t>
      </w:r>
    </w:p>
    <w:p w:rsidR="00C561D4" w:rsidRDefault="00C561D4" w:rsidP="00C561D4">
      <w:pPr>
        <w:pStyle w:val="Bullet-Open"/>
        <w:numPr>
          <w:ilvl w:val="0"/>
          <w:numId w:val="338"/>
        </w:numPr>
        <w:spacing w:after="240"/>
        <w:ind w:left="1440"/>
      </w:pPr>
      <w:r w:rsidRPr="00C617E3">
        <w:t xml:space="preserve">Three Rivers </w:t>
      </w:r>
      <w:r>
        <w:t xml:space="preserve">115 kV </w:t>
      </w:r>
      <w:r w:rsidRPr="00C617E3">
        <w:t>series circuit breaker with breaker R1690</w:t>
      </w:r>
    </w:p>
    <w:p w:rsidR="00C561D4" w:rsidRDefault="00C561D4" w:rsidP="005C6088">
      <w:pPr>
        <w:pStyle w:val="Heading4"/>
      </w:pPr>
      <w:bookmarkStart w:id="612" w:name="_Ref296499030"/>
      <w:bookmarkStart w:id="613" w:name="_Ref297726469"/>
      <w:r w:rsidRPr="00810839">
        <w:t>Northern New England Transmission Projects</w:t>
      </w:r>
      <w:bookmarkEnd w:id="612"/>
      <w:bookmarkEnd w:id="613"/>
      <w:r w:rsidRPr="00810839">
        <w:t xml:space="preserve"> </w:t>
      </w:r>
    </w:p>
    <w:p w:rsidR="00C561D4" w:rsidRPr="00D1783C" w:rsidRDefault="00C561D4" w:rsidP="00C561D4">
      <w:r w:rsidRPr="00A577A3">
        <w:t xml:space="preserve">The ISO has identified projects that address </w:t>
      </w:r>
      <w:r>
        <w:t xml:space="preserve">issues with </w:t>
      </w:r>
      <w:r w:rsidRPr="00A577A3">
        <w:t xml:space="preserve">transmission system performance, either individually or in combination. Some of the projects, as described in the previous sections, address </w:t>
      </w:r>
      <w:proofErr w:type="spellStart"/>
      <w:r w:rsidRPr="00A577A3">
        <w:t>subregional</w:t>
      </w:r>
      <w:proofErr w:type="spellEnd"/>
      <w:r w:rsidRPr="00A577A3">
        <w:t xml:space="preserve"> reliability issues and have the ancillary benefit of improving the performance of major transmission </w:t>
      </w:r>
      <w:r w:rsidRPr="00D1783C">
        <w:t>corridors and thus the overall performance of the system. The projects are as follows:</w:t>
      </w:r>
    </w:p>
    <w:p w:rsidR="00C561D4" w:rsidRPr="00A577A3" w:rsidRDefault="00C561D4" w:rsidP="00C561D4">
      <w:pPr>
        <w:pStyle w:val="Bullet-Solid"/>
        <w:numPr>
          <w:ilvl w:val="0"/>
          <w:numId w:val="340"/>
        </w:numPr>
      </w:pPr>
      <w:r w:rsidRPr="00A577A3">
        <w:rPr>
          <w:b/>
        </w:rPr>
        <w:t>Deerfield Substation Expansion Project</w:t>
      </w:r>
      <w:r w:rsidRPr="00A577A3">
        <w:t>—</w:t>
      </w:r>
      <w:proofErr w:type="gramStart"/>
      <w:r w:rsidRPr="00A577A3">
        <w:t>This</w:t>
      </w:r>
      <w:proofErr w:type="gramEnd"/>
      <w:r w:rsidRPr="00A577A3">
        <w:t xml:space="preserve"> project adds a second 345/115 kV autotransformer at the Deerfield substation in New Hampshire, which </w:t>
      </w:r>
      <w:r>
        <w:t xml:space="preserve">entered </w:t>
      </w:r>
      <w:r w:rsidRPr="00A577A3">
        <w:t>service in November 2011.</w:t>
      </w:r>
      <w:r w:rsidRPr="00A577A3">
        <w:rPr>
          <w:rStyle w:val="FootnoteReference"/>
        </w:rPr>
        <w:footnoteReference w:id="205"/>
      </w:r>
      <w:r w:rsidRPr="00A577A3">
        <w:t xml:space="preserve"> Three new 345 kV circuit breakers </w:t>
      </w:r>
      <w:proofErr w:type="gramStart"/>
      <w:r>
        <w:t>were also</w:t>
      </w:r>
      <w:r w:rsidRPr="00A577A3">
        <w:t xml:space="preserve"> added</w:t>
      </w:r>
      <w:proofErr w:type="gramEnd"/>
      <w:r w:rsidRPr="00A577A3">
        <w:t xml:space="preserve"> to eliminate problematic contingencies. Five 115 kV circuit breakers </w:t>
      </w:r>
      <w:r>
        <w:t xml:space="preserve">were </w:t>
      </w:r>
      <w:r w:rsidRPr="00A577A3">
        <w:t xml:space="preserve">replaced, and one new 115 kV circuit breaker </w:t>
      </w:r>
      <w:r>
        <w:t xml:space="preserve">was </w:t>
      </w:r>
      <w:r w:rsidRPr="00A577A3">
        <w:t xml:space="preserve">added. To mitigate area overloads, the </w:t>
      </w:r>
      <w:proofErr w:type="spellStart"/>
      <w:r w:rsidRPr="00A577A3">
        <w:t>Madbury</w:t>
      </w:r>
      <w:proofErr w:type="spellEnd"/>
      <w:r w:rsidRPr="00A577A3">
        <w:t xml:space="preserve">–Deerfield (L175) 115 kV line </w:t>
      </w:r>
      <w:r>
        <w:t xml:space="preserve">was </w:t>
      </w:r>
      <w:r w:rsidRPr="00A577A3">
        <w:t xml:space="preserve">rebuilt, </w:t>
      </w:r>
      <w:r w:rsidRPr="00A53703">
        <w:t>and the Dover–</w:t>
      </w:r>
      <w:proofErr w:type="spellStart"/>
      <w:r w:rsidRPr="00A53703">
        <w:t>Madbury</w:t>
      </w:r>
      <w:proofErr w:type="spellEnd"/>
      <w:r w:rsidRPr="00A53703">
        <w:t xml:space="preserve"> (M183) 115 kV line and Deerfield–Rochester (C129) 115 kV line were</w:t>
      </w:r>
      <w:r w:rsidRPr="00A577A3">
        <w:t xml:space="preserve"> </w:t>
      </w:r>
      <w:proofErr w:type="spellStart"/>
      <w:r w:rsidRPr="00A577A3">
        <w:t>reconductored</w:t>
      </w:r>
      <w:proofErr w:type="spellEnd"/>
      <w:r w:rsidRPr="00A577A3">
        <w:t xml:space="preserve">. In addition, the Rochester substation </w:t>
      </w:r>
      <w:proofErr w:type="gramStart"/>
      <w:r>
        <w:t>was</w:t>
      </w:r>
      <w:r w:rsidRPr="00A577A3">
        <w:t xml:space="preserve"> expanded</w:t>
      </w:r>
      <w:proofErr w:type="gramEnd"/>
      <w:r w:rsidRPr="00A577A3">
        <w:t xml:space="preserve"> to accommodate a new radial line to a new North Rochester substation </w:t>
      </w:r>
      <w:r>
        <w:t>in December 2013</w:t>
      </w:r>
      <w:r w:rsidRPr="00A577A3">
        <w:t xml:space="preserve">. </w:t>
      </w:r>
    </w:p>
    <w:p w:rsidR="00C561D4" w:rsidRDefault="00C561D4" w:rsidP="00C561D4">
      <w:pPr>
        <w:pStyle w:val="Bullet-Solid"/>
        <w:numPr>
          <w:ilvl w:val="0"/>
          <w:numId w:val="340"/>
        </w:numPr>
        <w:spacing w:after="240"/>
      </w:pPr>
      <w:r w:rsidRPr="00A577A3">
        <w:rPr>
          <w:b/>
        </w:rPr>
        <w:t xml:space="preserve">Chester </w:t>
      </w:r>
      <w:r>
        <w:rPr>
          <w:b/>
        </w:rPr>
        <w:t>SVC Control System Replacement</w:t>
      </w:r>
      <w:r w:rsidRPr="00A577A3">
        <w:t>—</w:t>
      </w:r>
      <w:proofErr w:type="gramStart"/>
      <w:r w:rsidRPr="00A577A3">
        <w:t>This</w:t>
      </w:r>
      <w:proofErr w:type="gramEnd"/>
      <w:r w:rsidRPr="00A577A3">
        <w:t xml:space="preserve"> project </w:t>
      </w:r>
      <w:r>
        <w:t xml:space="preserve">is an in-kind replacement of the existing control system at Chester SVC. The project </w:t>
      </w:r>
      <w:proofErr w:type="gramStart"/>
      <w:r>
        <w:t>is needed</w:t>
      </w:r>
      <w:proofErr w:type="gramEnd"/>
      <w:r>
        <w:t xml:space="preserve"> because of equipment age and performance issues.</w:t>
      </w:r>
      <w:r>
        <w:rPr>
          <w:rStyle w:val="FootnoteReference"/>
        </w:rPr>
        <w:footnoteReference w:id="206"/>
      </w:r>
      <w:r>
        <w:t xml:space="preserve"> The expected in-service date for the project is </w:t>
      </w:r>
      <w:r w:rsidR="0097702D">
        <w:t>July</w:t>
      </w:r>
      <w:r>
        <w:t xml:space="preserve"> 2014</w:t>
      </w:r>
      <w:r w:rsidRPr="00A23BC9">
        <w:t>.</w:t>
      </w:r>
    </w:p>
    <w:p w:rsidR="00C561D4" w:rsidRPr="00A577A3" w:rsidRDefault="00C561D4" w:rsidP="00C561D4">
      <w:pPr>
        <w:pStyle w:val="Bullet-Solid"/>
        <w:numPr>
          <w:ilvl w:val="0"/>
          <w:numId w:val="340"/>
        </w:numPr>
      </w:pPr>
      <w:r w:rsidRPr="00A577A3">
        <w:rPr>
          <w:b/>
        </w:rPr>
        <w:t>Maine Power Reliability Program</w:t>
      </w:r>
      <w:r w:rsidRPr="00A577A3">
        <w:t>—The MPRP provides a 10-year look at the Maine transmission system and has identified the following inadequacies:</w:t>
      </w:r>
      <w:r w:rsidRPr="00A577A3">
        <w:rPr>
          <w:rStyle w:val="FootnoteReference"/>
        </w:rPr>
        <w:footnoteReference w:id="207"/>
      </w:r>
    </w:p>
    <w:p w:rsidR="00C561D4" w:rsidRPr="00A577A3" w:rsidRDefault="00C561D4" w:rsidP="00C561D4">
      <w:pPr>
        <w:pStyle w:val="Bullet-Open"/>
        <w:numPr>
          <w:ilvl w:val="0"/>
          <w:numId w:val="341"/>
        </w:numPr>
        <w:ind w:left="1440"/>
      </w:pPr>
      <w:r w:rsidRPr="000F1C26">
        <w:t xml:space="preserve">Insufficient 345 kV transmission—Maine currently has </w:t>
      </w:r>
      <w:r w:rsidRPr="007D5442">
        <w:t>two 345 kV transmission paths from</w:t>
      </w:r>
      <w:r w:rsidRPr="00A577A3">
        <w:t xml:space="preserve"> southern to central Maine and two 345 kV ties from northern Maine to New Brunswick. In the central part of the system, Maine has a single 345 kV path.</w:t>
      </w:r>
    </w:p>
    <w:p w:rsidR="00C561D4" w:rsidRPr="00A577A3" w:rsidRDefault="00C561D4" w:rsidP="00C561D4">
      <w:pPr>
        <w:pStyle w:val="Bullet-Open"/>
        <w:numPr>
          <w:ilvl w:val="0"/>
          <w:numId w:val="341"/>
        </w:numPr>
        <w:ind w:left="1440"/>
      </w:pPr>
      <w:r w:rsidRPr="00A577A3">
        <w:t>Insufficient 345/115 kV transformation capacity—</w:t>
      </w:r>
      <w:proofErr w:type="gramStart"/>
      <w:r w:rsidRPr="00A577A3">
        <w:t>The</w:t>
      </w:r>
      <w:proofErr w:type="gramEnd"/>
      <w:r w:rsidRPr="00A577A3">
        <w:t xml:space="preserve"> reliability of Maine’s 115 kV system depends on the capacity and availability of autotransformers at five locations. Overloads of the autotransformers under normal and contingency conditions illustrate insufficient transformation capacity.</w:t>
      </w:r>
    </w:p>
    <w:p w:rsidR="00C561D4" w:rsidRPr="00A577A3" w:rsidRDefault="00C561D4" w:rsidP="00C561D4">
      <w:pPr>
        <w:pStyle w:val="Bullet-Open"/>
        <w:numPr>
          <w:ilvl w:val="0"/>
          <w:numId w:val="341"/>
        </w:numPr>
        <w:ind w:left="1440"/>
      </w:pPr>
      <w:r w:rsidRPr="00A577A3">
        <w:t>Insufficient 345 kV transmission support for Portland and southern Maine—</w:t>
      </w:r>
      <w:proofErr w:type="gramStart"/>
      <w:r w:rsidRPr="00A577A3">
        <w:t>The</w:t>
      </w:r>
      <w:proofErr w:type="gramEnd"/>
      <w:r w:rsidRPr="00A577A3">
        <w:t xml:space="preserve"> largest load pocket in Maine is subject to thermal and voltage reliability issues.</w:t>
      </w:r>
    </w:p>
    <w:p w:rsidR="00C561D4" w:rsidRPr="00A577A3" w:rsidRDefault="00C561D4" w:rsidP="00C561D4">
      <w:pPr>
        <w:pStyle w:val="Bullet-Open"/>
        <w:numPr>
          <w:ilvl w:val="0"/>
          <w:numId w:val="341"/>
        </w:numPr>
        <w:ind w:left="1440"/>
      </w:pPr>
      <w:r w:rsidRPr="00A577A3">
        <w:t>Insufficient transmission infrastructure in western, central, and southern Maine regions—</w:t>
      </w:r>
      <w:proofErr w:type="gramStart"/>
      <w:r w:rsidRPr="00A577A3">
        <w:t>Each</w:t>
      </w:r>
      <w:proofErr w:type="gramEnd"/>
      <w:r w:rsidRPr="00A577A3">
        <w:t xml:space="preserve"> of these regions in Maine represents a major load pocket that depends on local generation to meet reliability standards.</w:t>
      </w:r>
    </w:p>
    <w:p w:rsidR="00C561D4" w:rsidRPr="00A577A3" w:rsidRDefault="00C561D4" w:rsidP="00C561D4">
      <w:pPr>
        <w:pStyle w:val="Bullet-Open"/>
        <w:numPr>
          <w:ilvl w:val="0"/>
          <w:numId w:val="341"/>
        </w:numPr>
        <w:spacing w:after="240"/>
        <w:ind w:left="1440"/>
      </w:pPr>
      <w:r w:rsidRPr="00A577A3">
        <w:t xml:space="preserve">Insufficient transmission infrastructure in </w:t>
      </w:r>
      <w:proofErr w:type="spellStart"/>
      <w:r w:rsidRPr="00A577A3">
        <w:t>midcoast</w:t>
      </w:r>
      <w:proofErr w:type="spellEnd"/>
      <w:r w:rsidRPr="00A577A3">
        <w:t xml:space="preserve"> and “</w:t>
      </w:r>
      <w:proofErr w:type="spellStart"/>
      <w:r w:rsidRPr="00A577A3">
        <w:t>downeast</w:t>
      </w:r>
      <w:proofErr w:type="spellEnd"/>
      <w:r w:rsidRPr="00A577A3">
        <w:t>” Maine regions—</w:t>
      </w:r>
      <w:proofErr w:type="gramStart"/>
      <w:r w:rsidRPr="00A577A3">
        <w:t>These</w:t>
      </w:r>
      <w:proofErr w:type="gramEnd"/>
      <w:r w:rsidRPr="00A577A3">
        <w:t xml:space="preserve"> regions in Maine (i.e., Bucksport−Eastport) represent load pockets that have no local generation and </w:t>
      </w:r>
      <w:r>
        <w:t xml:space="preserve">that </w:t>
      </w:r>
      <w:r w:rsidRPr="00A577A3">
        <w:t>fully depend on the transmission system.</w:t>
      </w:r>
    </w:p>
    <w:p w:rsidR="00C561D4" w:rsidRPr="00A577A3" w:rsidRDefault="00C561D4" w:rsidP="00C561D4">
      <w:pPr>
        <w:pStyle w:val="Bullet-Solid"/>
        <w:numPr>
          <w:ilvl w:val="0"/>
          <w:numId w:val="22"/>
        </w:numPr>
      </w:pPr>
      <w:r w:rsidRPr="000F1C26">
        <w:rPr>
          <w:b/>
        </w:rPr>
        <w:t>MPRP Transmission Alternatives Study</w:t>
      </w:r>
      <w:r w:rsidRPr="000F1C26">
        <w:t>—</w:t>
      </w:r>
      <w:proofErr w:type="gramStart"/>
      <w:r w:rsidRPr="000F1C26">
        <w:t>This</w:t>
      </w:r>
      <w:proofErr w:type="gramEnd"/>
      <w:r w:rsidRPr="000F1C26">
        <w:t xml:space="preserve"> study</w:t>
      </w:r>
      <w:r w:rsidRPr="00D673A7">
        <w:t xml:space="preserve"> identified transmission upgrades to serve</w:t>
      </w:r>
      <w:r w:rsidRPr="00A577A3">
        <w:t xml:space="preserve"> load pockets and ensure </w:t>
      </w:r>
      <w:r>
        <w:t xml:space="preserve">that </w:t>
      </w:r>
      <w:r w:rsidRPr="00A577A3">
        <w:t>the system will meet national and regional transmission reliability criteria.</w:t>
      </w:r>
      <w:r w:rsidRPr="00A577A3">
        <w:rPr>
          <w:rStyle w:val="FootnoteReference"/>
        </w:rPr>
        <w:footnoteReference w:id="208"/>
      </w:r>
      <w:r w:rsidRPr="00A577A3">
        <w:t xml:space="preserve"> These projects will provide the ancillary benefit of facilitating the maintenance of the system in Maine. The selected alternative, referred to in the transmission alternatives study as “N5S1,” consists of significant additions of new 345 kV lines, 115 kV lines, 115 kV capacitors, </w:t>
      </w:r>
      <w:r w:rsidR="000726BC">
        <w:t xml:space="preserve">and </w:t>
      </w:r>
      <w:r w:rsidRPr="00A577A3">
        <w:t>345/115 kV autotransformers</w:t>
      </w:r>
      <w:r w:rsidR="000726BC">
        <w:t>;</w:t>
      </w:r>
      <w:r w:rsidRPr="00A577A3">
        <w:t xml:space="preserve"> line rebuilds</w:t>
      </w:r>
      <w:r w:rsidR="000726BC">
        <w:t>;</w:t>
      </w:r>
      <w:r w:rsidRPr="00A577A3">
        <w:t xml:space="preserve"> and the separation of circuits sharing common towers. The new 345 kV lines in the north will create a 345 kV path from Orrington to </w:t>
      </w:r>
      <w:proofErr w:type="spellStart"/>
      <w:r w:rsidRPr="00A577A3">
        <w:t>Surowiec</w:t>
      </w:r>
      <w:proofErr w:type="spellEnd"/>
      <w:r w:rsidRPr="00A577A3">
        <w:t xml:space="preserve">, while the new 345 kV lines in the south will create a third parallel path from </w:t>
      </w:r>
      <w:proofErr w:type="spellStart"/>
      <w:r w:rsidRPr="00A577A3">
        <w:t>Surowiec</w:t>
      </w:r>
      <w:proofErr w:type="spellEnd"/>
      <w:r w:rsidRPr="00A577A3">
        <w:t xml:space="preserve"> to Eliot in southern Maine. While these new paths </w:t>
      </w:r>
      <w:proofErr w:type="gramStart"/>
      <w:r w:rsidRPr="00A577A3">
        <w:t>are expected</w:t>
      </w:r>
      <w:proofErr w:type="gramEnd"/>
      <w:r w:rsidRPr="00A577A3">
        <w:t xml:space="preserve"> to increase transfer capability out of Maine, they also will increase the ability to move power into Maine from New Hampshire and improve the ability of the transmission system within Maine to move power into the load pockets as necessary.</w:t>
      </w:r>
    </w:p>
    <w:p w:rsidR="00C561D4" w:rsidRPr="00A577A3" w:rsidRDefault="00C561D4" w:rsidP="00C561D4">
      <w:pPr>
        <w:pStyle w:val="Bullet-Solid"/>
        <w:numPr>
          <w:ilvl w:val="0"/>
          <w:numId w:val="0"/>
        </w:numPr>
        <w:spacing w:after="240"/>
        <w:ind w:left="720"/>
      </w:pPr>
      <w:r w:rsidRPr="00500F26">
        <w:t xml:space="preserve">The expected in-service date for </w:t>
      </w:r>
      <w:r>
        <w:t>most of the</w:t>
      </w:r>
      <w:r w:rsidRPr="00500F26">
        <w:t xml:space="preserve"> MPRP project is early 2015</w:t>
      </w:r>
      <w:r>
        <w:t>, with the rest scheduled for completion in early 2017.</w:t>
      </w:r>
      <w:r>
        <w:rPr>
          <w:rStyle w:val="FootnoteReference"/>
        </w:rPr>
        <w:footnoteReference w:id="209"/>
      </w:r>
      <w:r>
        <w:t xml:space="preserve"> </w:t>
      </w:r>
      <w:r w:rsidRPr="00A577A3">
        <w:t>The major 345 kV components of the current plan are as follows:</w:t>
      </w:r>
    </w:p>
    <w:p w:rsidR="00C561D4" w:rsidRPr="00A577A3" w:rsidRDefault="00C561D4" w:rsidP="00C561D4">
      <w:pPr>
        <w:pStyle w:val="Bullet-Open"/>
        <w:numPr>
          <w:ilvl w:val="0"/>
          <w:numId w:val="308"/>
        </w:numPr>
      </w:pPr>
      <w:r w:rsidRPr="00A577A3">
        <w:t>New 345 kV line construction</w:t>
      </w:r>
    </w:p>
    <w:p w:rsidR="00C561D4" w:rsidRDefault="00C561D4" w:rsidP="00C561D4">
      <w:pPr>
        <w:numPr>
          <w:ilvl w:val="2"/>
          <w:numId w:val="129"/>
        </w:numPr>
        <w:spacing w:after="120"/>
      </w:pPr>
      <w:r w:rsidRPr="00A577A3">
        <w:t>Orrington–Albion Road</w:t>
      </w:r>
    </w:p>
    <w:p w:rsidR="00C561D4" w:rsidRDefault="00C561D4" w:rsidP="00C561D4">
      <w:pPr>
        <w:numPr>
          <w:ilvl w:val="2"/>
          <w:numId w:val="129"/>
        </w:numPr>
        <w:spacing w:after="120"/>
      </w:pPr>
      <w:r w:rsidRPr="00A577A3">
        <w:t>Albion Road–Coopers Mills</w:t>
      </w:r>
    </w:p>
    <w:p w:rsidR="00C561D4" w:rsidRDefault="00C561D4" w:rsidP="00C561D4">
      <w:pPr>
        <w:numPr>
          <w:ilvl w:val="2"/>
          <w:numId w:val="129"/>
        </w:numPr>
        <w:spacing w:after="120"/>
      </w:pPr>
      <w:r w:rsidRPr="00A577A3">
        <w:t>Coopers Mills–</w:t>
      </w:r>
      <w:proofErr w:type="spellStart"/>
      <w:r w:rsidRPr="00A577A3">
        <w:t>Larrabee</w:t>
      </w:r>
      <w:proofErr w:type="spellEnd"/>
      <w:r w:rsidRPr="00A577A3">
        <w:t xml:space="preserve"> Road</w:t>
      </w:r>
    </w:p>
    <w:p w:rsidR="00C561D4" w:rsidRDefault="00C561D4" w:rsidP="00C561D4">
      <w:pPr>
        <w:numPr>
          <w:ilvl w:val="2"/>
          <w:numId w:val="129"/>
        </w:numPr>
        <w:spacing w:after="120"/>
      </w:pPr>
      <w:proofErr w:type="spellStart"/>
      <w:r w:rsidRPr="00A577A3">
        <w:t>Larrabee</w:t>
      </w:r>
      <w:proofErr w:type="spellEnd"/>
      <w:r w:rsidRPr="00A577A3">
        <w:t xml:space="preserve"> Road–</w:t>
      </w:r>
      <w:proofErr w:type="spellStart"/>
      <w:r w:rsidRPr="00A577A3">
        <w:t>Surowiec</w:t>
      </w:r>
      <w:proofErr w:type="spellEnd"/>
    </w:p>
    <w:p w:rsidR="00C561D4" w:rsidRDefault="00C561D4" w:rsidP="00C561D4">
      <w:pPr>
        <w:numPr>
          <w:ilvl w:val="2"/>
          <w:numId w:val="129"/>
        </w:numPr>
        <w:spacing w:after="120"/>
      </w:pPr>
      <w:proofErr w:type="spellStart"/>
      <w:r w:rsidRPr="00A577A3">
        <w:t>Surowiec</w:t>
      </w:r>
      <w:proofErr w:type="spellEnd"/>
      <w:r w:rsidRPr="00A577A3">
        <w:t>–Raven Farm</w:t>
      </w:r>
    </w:p>
    <w:p w:rsidR="00C561D4" w:rsidRDefault="00C561D4" w:rsidP="00C561D4">
      <w:pPr>
        <w:numPr>
          <w:ilvl w:val="2"/>
          <w:numId w:val="129"/>
        </w:numPr>
        <w:spacing w:after="120"/>
      </w:pPr>
      <w:r w:rsidRPr="00A577A3">
        <w:t>South Gorham–Maguire Road</w:t>
      </w:r>
    </w:p>
    <w:p w:rsidR="00C561D4" w:rsidRDefault="00C561D4" w:rsidP="00C561D4">
      <w:pPr>
        <w:numPr>
          <w:ilvl w:val="2"/>
          <w:numId w:val="129"/>
        </w:numPr>
      </w:pPr>
      <w:r w:rsidRPr="00A577A3">
        <w:t>Maguire Road–Eliot (formally called Three Rivers)</w:t>
      </w:r>
    </w:p>
    <w:p w:rsidR="00C561D4" w:rsidRPr="00A577A3" w:rsidRDefault="00C561D4" w:rsidP="00C561D4">
      <w:pPr>
        <w:pStyle w:val="Bullet-Open"/>
        <w:numPr>
          <w:ilvl w:val="0"/>
          <w:numId w:val="308"/>
        </w:numPr>
      </w:pPr>
      <w:r w:rsidRPr="00A577A3">
        <w:t>New 345/115 kV autotransformers</w:t>
      </w:r>
    </w:p>
    <w:p w:rsidR="00C561D4" w:rsidRDefault="00C561D4" w:rsidP="00C561D4">
      <w:pPr>
        <w:numPr>
          <w:ilvl w:val="2"/>
          <w:numId w:val="130"/>
        </w:numPr>
        <w:spacing w:after="120"/>
      </w:pPr>
      <w:r w:rsidRPr="00A577A3">
        <w:t>Albion Road</w:t>
      </w:r>
    </w:p>
    <w:p w:rsidR="00C561D4" w:rsidRDefault="00C561D4" w:rsidP="00C561D4">
      <w:pPr>
        <w:numPr>
          <w:ilvl w:val="2"/>
          <w:numId w:val="130"/>
        </w:numPr>
        <w:spacing w:after="120"/>
      </w:pPr>
      <w:r w:rsidRPr="00A577A3">
        <w:t xml:space="preserve">Cooper Mills (replace existing </w:t>
      </w:r>
      <w:proofErr w:type="spellStart"/>
      <w:r w:rsidRPr="00A577A3">
        <w:t>Maxcys</w:t>
      </w:r>
      <w:proofErr w:type="spellEnd"/>
      <w:r w:rsidRPr="00A577A3">
        <w:t xml:space="preserve"> T3)</w:t>
      </w:r>
    </w:p>
    <w:p w:rsidR="00C561D4" w:rsidRDefault="00C561D4" w:rsidP="00C561D4">
      <w:pPr>
        <w:numPr>
          <w:ilvl w:val="2"/>
          <w:numId w:val="130"/>
        </w:numPr>
        <w:spacing w:after="120"/>
      </w:pPr>
      <w:proofErr w:type="spellStart"/>
      <w:r w:rsidRPr="00A577A3">
        <w:t>Larrabee</w:t>
      </w:r>
      <w:proofErr w:type="spellEnd"/>
      <w:r w:rsidRPr="00A577A3">
        <w:t xml:space="preserve"> Road</w:t>
      </w:r>
    </w:p>
    <w:p w:rsidR="00C561D4" w:rsidRDefault="00C561D4" w:rsidP="00C561D4">
      <w:pPr>
        <w:numPr>
          <w:ilvl w:val="2"/>
          <w:numId w:val="130"/>
        </w:numPr>
        <w:spacing w:after="120"/>
      </w:pPr>
      <w:r w:rsidRPr="00A577A3">
        <w:t>Maguire Road</w:t>
      </w:r>
    </w:p>
    <w:p w:rsidR="00C561D4" w:rsidRDefault="00C561D4" w:rsidP="00C561D4">
      <w:pPr>
        <w:numPr>
          <w:ilvl w:val="2"/>
          <w:numId w:val="130"/>
        </w:numPr>
        <w:spacing w:after="120"/>
      </w:pPr>
      <w:r w:rsidRPr="00A577A3">
        <w:t>South Gorham</w:t>
      </w:r>
    </w:p>
    <w:p w:rsidR="00C561D4" w:rsidRPr="000F5143" w:rsidRDefault="00C561D4" w:rsidP="00C561D4">
      <w:pPr>
        <w:pStyle w:val="Bullet-Open"/>
        <w:numPr>
          <w:ilvl w:val="0"/>
          <w:numId w:val="308"/>
        </w:numPr>
      </w:pPr>
      <w:r w:rsidRPr="000F5143">
        <w:t>Separation of double-circuit towers</w:t>
      </w:r>
      <w:r w:rsidR="000726BC">
        <w:t xml:space="preserve"> (DCTs)</w:t>
      </w:r>
    </w:p>
    <w:p w:rsidR="00C561D4" w:rsidRDefault="00C561D4" w:rsidP="00C561D4">
      <w:pPr>
        <w:numPr>
          <w:ilvl w:val="2"/>
          <w:numId w:val="130"/>
        </w:numPr>
        <w:spacing w:after="120"/>
      </w:pPr>
      <w:r w:rsidRPr="00A577A3">
        <w:t>345 kV Kennebec River Crossing by the Maine Yankee−Buxton and Maine Yankee−</w:t>
      </w:r>
      <w:proofErr w:type="spellStart"/>
      <w:r w:rsidRPr="00A577A3">
        <w:t>Surowiec</w:t>
      </w:r>
      <w:proofErr w:type="spellEnd"/>
      <w:r w:rsidRPr="00A577A3">
        <w:t xml:space="preserve"> circuits (375/377)</w:t>
      </w:r>
    </w:p>
    <w:p w:rsidR="00C561D4" w:rsidRDefault="00C561D4" w:rsidP="00C561D4">
      <w:pPr>
        <w:numPr>
          <w:ilvl w:val="1"/>
          <w:numId w:val="69"/>
        </w:numPr>
        <w:spacing w:after="120"/>
      </w:pPr>
      <w:r w:rsidRPr="00993F05">
        <w:t>Rerating of 345 kV transmission lines</w:t>
      </w:r>
    </w:p>
    <w:p w:rsidR="00C561D4" w:rsidRDefault="00C561D4" w:rsidP="00C561D4">
      <w:pPr>
        <w:numPr>
          <w:ilvl w:val="2"/>
          <w:numId w:val="132"/>
        </w:numPr>
      </w:pPr>
      <w:r w:rsidRPr="00A577A3">
        <w:t>Section 378 (345 kV Maine Yankee–Mason)</w:t>
      </w:r>
    </w:p>
    <w:p w:rsidR="00C561D4" w:rsidRDefault="00C561D4" w:rsidP="005C6088">
      <w:pPr>
        <w:pStyle w:val="Heading3"/>
        <w:spacing w:before="120"/>
      </w:pPr>
      <w:bookmarkStart w:id="614" w:name="_Toc303086406"/>
      <w:bookmarkStart w:id="615" w:name="_Ref327868815"/>
      <w:bookmarkStart w:id="616" w:name="_Ref327869967"/>
      <w:bookmarkStart w:id="617" w:name="_Ref329080122"/>
      <w:bookmarkStart w:id="618" w:name="_Toc334601057"/>
      <w:bookmarkStart w:id="619" w:name="_Toc365441014"/>
      <w:bookmarkStart w:id="620" w:name="_Ref388782383"/>
      <w:bookmarkStart w:id="621" w:name="_Ref388788784"/>
      <w:bookmarkStart w:id="622" w:name="_Toc396807644"/>
      <w:r w:rsidRPr="00673B9A">
        <w:t>Southern New England</w:t>
      </w:r>
      <w:bookmarkEnd w:id="614"/>
      <w:bookmarkEnd w:id="615"/>
      <w:bookmarkEnd w:id="616"/>
      <w:bookmarkEnd w:id="617"/>
      <w:bookmarkEnd w:id="618"/>
      <w:bookmarkEnd w:id="619"/>
      <w:bookmarkEnd w:id="620"/>
      <w:bookmarkEnd w:id="621"/>
      <w:bookmarkEnd w:id="622"/>
    </w:p>
    <w:p w:rsidR="00C561D4" w:rsidRDefault="00C561D4" w:rsidP="00C561D4">
      <w:r>
        <w:t xml:space="preserve">The southern New England area encompasses the Massachusetts, Rhode Island, and Connecticut transmission system. Studies of these states </w:t>
      </w:r>
      <w:proofErr w:type="gramStart"/>
      <w:r>
        <w:t>are being conducted</w:t>
      </w:r>
      <w:proofErr w:type="gramEnd"/>
      <w:r>
        <w:t xml:space="preserve"> to address a wide range of transmission system concerns, both short and long term.</w:t>
      </w:r>
    </w:p>
    <w:p w:rsidR="00C561D4" w:rsidRDefault="00C561D4" w:rsidP="005C6088">
      <w:pPr>
        <w:pStyle w:val="Heading4"/>
      </w:pPr>
      <w:r w:rsidRPr="00673B9A">
        <w:t>Southern New England Transmission</w:t>
      </w:r>
    </w:p>
    <w:p w:rsidR="00C561D4" w:rsidRDefault="00C561D4" w:rsidP="00C561D4">
      <w:r>
        <w:t>The 345 kV facilities that traverse southern New England comprise the primary infrastructure integrating southern New England, northern New England, and the Maritimes Balancing Authority Area with the rest of the Eastern Interconnection. This network serves the majority of New England demand, integrating a substantial portion of the region’s supply, demand, and import resources.</w:t>
      </w:r>
    </w:p>
    <w:p w:rsidR="00C561D4" w:rsidRDefault="00C561D4" w:rsidP="00C561D4">
      <w:r>
        <w:t xml:space="preserve">Although recent improvements </w:t>
      </w:r>
      <w:proofErr w:type="gramStart"/>
      <w:r>
        <w:t>have been made</w:t>
      </w:r>
      <w:proofErr w:type="gramEnd"/>
      <w:r>
        <w:t xml:space="preserve">, the southern New England system continues to face thermal, low-voltage, high-voltage, and short-circuit concerns under some system conditions. The most significant concerns involve maintaining the reliability of supply to serve load and developing the transmission infrastructure to integrate generation throughout this area. In many areas, an aging low-capacity 115 kV system has </w:t>
      </w:r>
      <w:r w:rsidRPr="00EC5092">
        <w:t>been overtaxed and</w:t>
      </w:r>
      <w:r>
        <w:t xml:space="preserve"> is no longer able to serve load and support generation reliably. Upgrades to the power system </w:t>
      </w:r>
      <w:proofErr w:type="gramStart"/>
      <w:r>
        <w:t xml:space="preserve">are being planned and developed to ensure the system can meet </w:t>
      </w:r>
      <w:r w:rsidRPr="00CB703D">
        <w:t>its current level of demand and prepare for future load growth (see</w:t>
      </w:r>
      <w:r w:rsidR="00CB703D" w:rsidRPr="00CB703D">
        <w:t xml:space="preserve"> Section </w:t>
      </w:r>
      <w:fldSimple w:instr=" REF _Ref325529643 \r \h  \* MERGEFORMAT ">
        <w:r w:rsidR="00284CE3">
          <w:t>3.1</w:t>
        </w:r>
      </w:fldSimple>
      <w:r w:rsidRPr="00CB703D">
        <w:t>)</w:t>
      </w:r>
      <w:proofErr w:type="gramEnd"/>
      <w:r w:rsidRPr="00CB703D">
        <w:t>.</w:t>
      </w:r>
    </w:p>
    <w:p w:rsidR="00C561D4" w:rsidRDefault="00C561D4" w:rsidP="005C6088">
      <w:pPr>
        <w:pStyle w:val="Heading4"/>
      </w:pPr>
      <w:bookmarkStart w:id="623" w:name="_Ref296514211"/>
      <w:r w:rsidRPr="003862F5">
        <w:t>Southern New England Transmission System Studies</w:t>
      </w:r>
      <w:bookmarkEnd w:id="623"/>
    </w:p>
    <w:p w:rsidR="00C561D4" w:rsidRPr="00A577A3" w:rsidRDefault="00C561D4" w:rsidP="00C561D4">
      <w:pPr>
        <w:keepNext/>
        <w:keepLines/>
      </w:pPr>
      <w:r w:rsidRPr="00A577A3">
        <w:t xml:space="preserve">Study efforts in southern New England have been progressing </w:t>
      </w:r>
      <w:r>
        <w:t xml:space="preserve">on </w:t>
      </w:r>
      <w:r w:rsidRPr="00A577A3">
        <w:t xml:space="preserve">a wide range of system concerns. </w:t>
      </w:r>
      <w:r>
        <w:t xml:space="preserve">Initial </w:t>
      </w:r>
      <w:r w:rsidRPr="00A577A3">
        <w:t xml:space="preserve">efforts focused on load areas with the most significant risks to reliability and threats to the system, particularly </w:t>
      </w:r>
      <w:r w:rsidRPr="00EA2E47">
        <w:t>Boston and Southwest Connecticut.</w:t>
      </w:r>
      <w:r w:rsidRPr="00A577A3">
        <w:t xml:space="preserve"> With th</w:t>
      </w:r>
      <w:r>
        <w:t>e completion of the 345 kV Reliability Project in Boston and the Phase I and Phase II Projects in Southwest Connecticut</w:t>
      </w:r>
      <w:r w:rsidRPr="00A577A3">
        <w:t xml:space="preserve">, plans </w:t>
      </w:r>
      <w:r>
        <w:t xml:space="preserve">are under development </w:t>
      </w:r>
      <w:r w:rsidRPr="00A577A3">
        <w:t xml:space="preserve">to address the reliability of other parts of the system, particularly </w:t>
      </w:r>
      <w:r>
        <w:t xml:space="preserve">eastern </w:t>
      </w:r>
      <w:r w:rsidRPr="00A577A3">
        <w:t>Connecticut; Rhode Island; and southeastern Massachusetts, including Cape Cod</w:t>
      </w:r>
      <w:r>
        <w:t>.</w:t>
      </w:r>
      <w:r>
        <w:rPr>
          <w:rStyle w:val="FootnoteReference"/>
        </w:rPr>
        <w:footnoteReference w:id="210"/>
      </w:r>
      <w:r>
        <w:t xml:space="preserve"> Boston and Southwest </w:t>
      </w:r>
      <w:r w:rsidRPr="002E3EB9">
        <w:t>Connec</w:t>
      </w:r>
      <w:r>
        <w:t>t</w:t>
      </w:r>
      <w:r w:rsidRPr="002E3EB9">
        <w:t>i</w:t>
      </w:r>
      <w:r>
        <w:t>c</w:t>
      </w:r>
      <w:r w:rsidRPr="002E3EB9">
        <w:t xml:space="preserve">ut </w:t>
      </w:r>
      <w:proofErr w:type="gramStart"/>
      <w:r>
        <w:t xml:space="preserve">have </w:t>
      </w:r>
      <w:r w:rsidRPr="002E3EB9">
        <w:t>be</w:t>
      </w:r>
      <w:r>
        <w:t>en</w:t>
      </w:r>
      <w:r w:rsidRPr="002E3EB9">
        <w:t xml:space="preserve"> reevaluated</w:t>
      </w:r>
      <w:proofErr w:type="gramEnd"/>
      <w:r w:rsidRPr="002E3EB9">
        <w:t xml:space="preserve"> to address the changes in load and resources that have occurred </w:t>
      </w:r>
      <w:r w:rsidRPr="00B34AE9">
        <w:t>since</w:t>
      </w:r>
      <w:r>
        <w:t xml:space="preserve"> the initial set of upgrades was established and solution plans have been developed. Additionally, </w:t>
      </w:r>
      <w:r w:rsidR="00CB703D">
        <w:t xml:space="preserve">solution plans </w:t>
      </w:r>
      <w:proofErr w:type="gramStart"/>
      <w:r w:rsidR="00CB703D">
        <w:t xml:space="preserve">have been </w:t>
      </w:r>
      <w:r w:rsidR="00CB703D" w:rsidRPr="00CB703D">
        <w:t>developed</w:t>
      </w:r>
      <w:proofErr w:type="gramEnd"/>
      <w:r w:rsidR="00CB703D" w:rsidRPr="00CB703D">
        <w:t xml:space="preserve"> for G</w:t>
      </w:r>
      <w:r w:rsidRPr="00CB703D">
        <w:t>reater Hartford</w:t>
      </w:r>
      <w:r w:rsidR="00CB703D" w:rsidRPr="00CB703D">
        <w:t>,</w:t>
      </w:r>
      <w:r w:rsidRPr="00CB703D">
        <w:t xml:space="preserve"> central Connecticut</w:t>
      </w:r>
      <w:r w:rsidR="00CB703D" w:rsidRPr="00CB703D">
        <w:t>,</w:t>
      </w:r>
      <w:r w:rsidRPr="00CB703D">
        <w:t xml:space="preserve"> and western and central Massachusetts</w:t>
      </w:r>
      <w:r>
        <w:t>.</w:t>
      </w:r>
    </w:p>
    <w:p w:rsidR="0041777B" w:rsidRDefault="00C561D4" w:rsidP="00C561D4">
      <w:r>
        <w:t xml:space="preserve">Several </w:t>
      </w:r>
      <w:r w:rsidRPr="003A695C">
        <w:t>need</w:t>
      </w:r>
      <w:r>
        <w:t>s,</w:t>
      </w:r>
      <w:r w:rsidRPr="003A695C">
        <w:t xml:space="preserve"> originally identified for a number of the upgrades associated with the New England East</w:t>
      </w:r>
      <w:r>
        <w:t>–</w:t>
      </w:r>
      <w:r w:rsidRPr="003A695C">
        <w:t>West Solution studies</w:t>
      </w:r>
      <w:r>
        <w:t xml:space="preserve"> </w:t>
      </w:r>
      <w:proofErr w:type="gramStart"/>
      <w:r>
        <w:t>have been reconfirmed</w:t>
      </w:r>
      <w:proofErr w:type="gramEnd"/>
      <w:r w:rsidRPr="003A695C">
        <w:t>.</w:t>
      </w:r>
      <w:r w:rsidRPr="003A695C">
        <w:rPr>
          <w:rStyle w:val="FootnoteReference"/>
        </w:rPr>
        <w:footnoteReference w:id="211"/>
      </w:r>
      <w:r w:rsidRPr="003A695C">
        <w:t xml:space="preserve"> Th</w:t>
      </w:r>
      <w:r>
        <w:t xml:space="preserve">ese </w:t>
      </w:r>
      <w:r w:rsidRPr="003A695C">
        <w:t>include three of the four NEEWS</w:t>
      </w:r>
      <w:r w:rsidRPr="00A577A3">
        <w:t xml:space="preserve"> components: the Rhode Island Reliability Project (RIRP), the Greater Springfield Reliability Project (GSRP), and </w:t>
      </w:r>
      <w:r w:rsidRPr="005E0D28">
        <w:t xml:space="preserve">the </w:t>
      </w:r>
      <w:r w:rsidR="00D24CD4" w:rsidRPr="005E0D28">
        <w:t xml:space="preserve">Interstate Reliability Project. The Interstate reassessment effort also addressed the much </w:t>
      </w:r>
      <w:r w:rsidR="0028427D" w:rsidRPr="005E0D28">
        <w:t>broader requirements of the overall New England east–west and west–east transmission systems.</w:t>
      </w:r>
      <w:r w:rsidRPr="00CB703D">
        <w:t xml:space="preserve"> </w:t>
      </w:r>
    </w:p>
    <w:p w:rsidR="00C561D4" w:rsidRDefault="00086BE9" w:rsidP="00C561D4">
      <w:r>
        <w:t xml:space="preserve">The fourth NEEWS component, the Central Connecticut Reliability Project (CCRP), </w:t>
      </w:r>
      <w:proofErr w:type="gramStart"/>
      <w:r>
        <w:t>is being replaced</w:t>
      </w:r>
      <w:proofErr w:type="gramEnd"/>
      <w:r>
        <w:t xml:space="preserve"> by t</w:t>
      </w:r>
      <w:r w:rsidR="00D24CD4" w:rsidRPr="00D24CD4">
        <w:t xml:space="preserve">he upgrades </w:t>
      </w:r>
      <w:r w:rsidR="0041777B">
        <w:t xml:space="preserve">that will </w:t>
      </w:r>
      <w:r w:rsidR="00D24CD4" w:rsidRPr="00D24CD4">
        <w:t xml:space="preserve">address the needs established for </w:t>
      </w:r>
      <w:r w:rsidR="00D24CD4" w:rsidRPr="000322EB">
        <w:t xml:space="preserve">the Greater Hartford/Central Connecticut </w:t>
      </w:r>
      <w:r w:rsidR="00113C54" w:rsidRPr="00113C54">
        <w:t>(GHCC) study.</w:t>
      </w:r>
      <w:r w:rsidR="00462F91">
        <w:rPr>
          <w:rStyle w:val="FootnoteReference"/>
        </w:rPr>
        <w:footnoteReference w:id="212"/>
      </w:r>
      <w:r w:rsidR="00113C54" w:rsidRPr="00113C54">
        <w:t xml:space="preserve"> The GHCC study includes the Hartford, Middletown, northwestern Connecticut, and Barbour Hill areas. In combination, this study, the Eastern Connecticut study, and the Southwest Connecticut study cover </w:t>
      </w:r>
      <w:r w:rsidR="00627838">
        <w:t xml:space="preserve">the entire </w:t>
      </w:r>
      <w:r w:rsidR="00113C54" w:rsidRPr="00113C54">
        <w:t xml:space="preserve">load within the state. With the exception of the Eastern Connecticut study, solution alternatives </w:t>
      </w:r>
      <w:proofErr w:type="gramStart"/>
      <w:r w:rsidR="00113C54" w:rsidRPr="00113C54">
        <w:t>have been developed</w:t>
      </w:r>
      <w:proofErr w:type="gramEnd"/>
      <w:r w:rsidR="00113C54" w:rsidRPr="00113C54">
        <w:t xml:space="preserve"> for all the Connecticut studies.</w:t>
      </w:r>
    </w:p>
    <w:p w:rsidR="00C561D4" w:rsidRDefault="006229A8" w:rsidP="00C561D4">
      <w:r w:rsidRPr="00E06830">
        <w:t xml:space="preserve">The Boston area is </w:t>
      </w:r>
      <w:r w:rsidR="00372CE3">
        <w:t xml:space="preserve">being </w:t>
      </w:r>
      <w:r w:rsidRPr="00E06830">
        <w:t>reevaluat</w:t>
      </w:r>
      <w:r w:rsidR="00372CE3">
        <w:t>ed t</w:t>
      </w:r>
      <w:r w:rsidR="009F0A71">
        <w:t>o</w:t>
      </w:r>
      <w:r w:rsidR="00372CE3">
        <w:t xml:space="preserve"> reflect </w:t>
      </w:r>
      <w:r w:rsidRPr="00E06830">
        <w:t xml:space="preserve">recently made changes in the cable-rating assumptions for downtown Boston and the addition of Footprint Power’s 674 MW </w:t>
      </w:r>
      <w:proofErr w:type="gramStart"/>
      <w:r w:rsidRPr="00E06830">
        <w:t>generation</w:t>
      </w:r>
      <w:proofErr w:type="gramEnd"/>
      <w:r w:rsidRPr="00E06830">
        <w:t xml:space="preserve"> at the Salem Harbor site.</w:t>
      </w:r>
      <w:r w:rsidR="00C561D4" w:rsidRPr="00E06830">
        <w:t xml:space="preserve"> </w:t>
      </w:r>
      <w:proofErr w:type="gramStart"/>
      <w:r w:rsidR="00113C54" w:rsidRPr="00113C54">
        <w:t xml:space="preserve">The study also is </w:t>
      </w:r>
      <w:r w:rsidR="00372CE3">
        <w:t xml:space="preserve">continuing to </w:t>
      </w:r>
      <w:r w:rsidR="00113C54" w:rsidRPr="00113C54">
        <w:t>evaluat</w:t>
      </w:r>
      <w:r w:rsidR="00372CE3">
        <w:t xml:space="preserve">e two transmission proposals: </w:t>
      </w:r>
      <w:r w:rsidR="00A24B46">
        <w:t>(</w:t>
      </w:r>
      <w:r w:rsidR="00372CE3">
        <w:t xml:space="preserve">1) the previously preferred </w:t>
      </w:r>
      <w:r w:rsidR="00113C54" w:rsidRPr="00113C54">
        <w:t>solution</w:t>
      </w:r>
      <w:r w:rsidR="00372CE3">
        <w:t>,</w:t>
      </w:r>
      <w:r w:rsidR="00113C54" w:rsidRPr="00113C54">
        <w:t xml:space="preserve"> proposed by </w:t>
      </w:r>
      <w:r w:rsidR="00372CE3">
        <w:t xml:space="preserve">National Grid and Northeast Utilities, which involves the expansion of the 345 kV AC system between New Hampshire and Massachusetts, and </w:t>
      </w:r>
      <w:r w:rsidR="00A24B46">
        <w:t>(</w:t>
      </w:r>
      <w:r w:rsidR="00372CE3">
        <w:t xml:space="preserve">2) an alternative solution proposed by </w:t>
      </w:r>
      <w:r w:rsidR="00113C54" w:rsidRPr="00113C54">
        <w:t xml:space="preserve">New Hampshire Transmission, LLC that </w:t>
      </w:r>
      <w:r w:rsidR="00372CE3">
        <w:t xml:space="preserve">incorporates </w:t>
      </w:r>
      <w:r w:rsidR="00113C54" w:rsidRPr="00113C54">
        <w:t>an HVDC submarine cable (</w:t>
      </w:r>
      <w:proofErr w:type="spellStart"/>
      <w:r w:rsidR="00113C54" w:rsidRPr="00113C54">
        <w:t>SeaLink</w:t>
      </w:r>
      <w:proofErr w:type="spellEnd"/>
      <w:r w:rsidR="00113C54" w:rsidRPr="00113C54">
        <w:t xml:space="preserve"> HVDC Submarine Cable Project) extending from Seabrook, New Hampshire, to Boston.</w:t>
      </w:r>
      <w:proofErr w:type="gramEnd"/>
      <w:r w:rsidR="00113C54" w:rsidRPr="00113C54">
        <w:t xml:space="preserve"> Both alternatives incorporate several common AC system reinforcements.</w:t>
      </w:r>
    </w:p>
    <w:p w:rsidR="00C561D4" w:rsidRDefault="00C561D4" w:rsidP="00C561D4">
      <w:r w:rsidRPr="009508CD">
        <w:t xml:space="preserve">Preferred solutions </w:t>
      </w:r>
      <w:proofErr w:type="gramStart"/>
      <w:r w:rsidRPr="009508CD">
        <w:t>were developed</w:t>
      </w:r>
      <w:proofErr w:type="gramEnd"/>
      <w:r w:rsidRPr="009508CD">
        <w:t xml:space="preserve"> for the Pittsfield</w:t>
      </w:r>
      <w:r w:rsidR="00721FE3">
        <w:t>–Greenfield</w:t>
      </w:r>
      <w:r w:rsidRPr="009508CD">
        <w:t xml:space="preserve"> area of western Massachusetts. The needs</w:t>
      </w:r>
      <w:r w:rsidRPr="00A15C1D">
        <w:t xml:space="preserve"> </w:t>
      </w:r>
      <w:proofErr w:type="gramStart"/>
      <w:r w:rsidRPr="00A15C1D">
        <w:t>were reassessed</w:t>
      </w:r>
      <w:proofErr w:type="gramEnd"/>
      <w:r w:rsidRPr="00A15C1D">
        <w:t xml:space="preserve"> using </w:t>
      </w:r>
      <w:r w:rsidR="00721FE3">
        <w:t xml:space="preserve">a 10-year horizon with </w:t>
      </w:r>
      <w:r w:rsidRPr="00A15C1D">
        <w:t>the latest topology and load assumptions</w:t>
      </w:r>
      <w:r>
        <w:t>,</w:t>
      </w:r>
      <w:r w:rsidRPr="00A15C1D">
        <w:t xml:space="preserve"> as well as the energy-efficiency forecast. </w:t>
      </w:r>
      <w:r w:rsidRPr="00EA2E47">
        <w:t xml:space="preserve">The results of the </w:t>
      </w:r>
      <w:r w:rsidR="00721FE3">
        <w:t xml:space="preserve">needs </w:t>
      </w:r>
      <w:r w:rsidRPr="00EA2E47">
        <w:t xml:space="preserve">reassessment have shown that some parts of the preferred solution </w:t>
      </w:r>
      <w:proofErr w:type="gramStart"/>
      <w:r w:rsidRPr="00EA2E47">
        <w:t>are no longer needed</w:t>
      </w:r>
      <w:proofErr w:type="gramEnd"/>
      <w:r w:rsidRPr="00EA2E47">
        <w:t xml:space="preserve"> and some additional solution components need to be added.</w:t>
      </w:r>
      <w:r>
        <w:t xml:space="preserve"> </w:t>
      </w:r>
    </w:p>
    <w:p w:rsidR="00C561D4" w:rsidRPr="007D577F" w:rsidRDefault="00C561D4" w:rsidP="00C561D4">
      <w:r w:rsidRPr="00A15C1D">
        <w:t xml:space="preserve">A needs </w:t>
      </w:r>
      <w:r>
        <w:t>re</w:t>
      </w:r>
      <w:r w:rsidRPr="00A15C1D">
        <w:t xml:space="preserve">assessment </w:t>
      </w:r>
      <w:r>
        <w:t xml:space="preserve">is in progress </w:t>
      </w:r>
      <w:r w:rsidRPr="00A15C1D">
        <w:t>for the Southeast Massachusetts/Rhode Island (SEMA/RI) area</w:t>
      </w:r>
      <w:r w:rsidRPr="00847EF6">
        <w:t>,</w:t>
      </w:r>
      <w:r w:rsidRPr="009860C7">
        <w:t xml:space="preserve"> referred to as Eastern REMVEC</w:t>
      </w:r>
      <w:r>
        <w:t xml:space="preserve">, due to the retirement request for the </w:t>
      </w:r>
      <w:proofErr w:type="spellStart"/>
      <w:r>
        <w:t>Brayton</w:t>
      </w:r>
      <w:proofErr w:type="spellEnd"/>
      <w:r>
        <w:t xml:space="preserve"> Point station</w:t>
      </w:r>
      <w:r w:rsidRPr="009860C7">
        <w:t xml:space="preserve">. </w:t>
      </w:r>
      <w:r w:rsidRPr="006738FB">
        <w:t xml:space="preserve">On </w:t>
      </w:r>
      <w:r w:rsidR="00B211AC" w:rsidRPr="006738FB">
        <w:t>January</w:t>
      </w:r>
      <w:r w:rsidR="00B211AC">
        <w:t> </w:t>
      </w:r>
      <w:r w:rsidRPr="006738FB">
        <w:t xml:space="preserve">27, 2014, the owner of </w:t>
      </w:r>
      <w:proofErr w:type="spellStart"/>
      <w:r w:rsidRPr="006738FB">
        <w:t>Brayton</w:t>
      </w:r>
      <w:proofErr w:type="spellEnd"/>
      <w:r w:rsidRPr="006738FB">
        <w:t xml:space="preserve"> Point station provided notice that the station will be retired </w:t>
      </w:r>
      <w:r>
        <w:t>on or before</w:t>
      </w:r>
      <w:r w:rsidRPr="006738FB">
        <w:t xml:space="preserve"> June 1, 2017</w:t>
      </w:r>
      <w:r>
        <w:t xml:space="preserve">. Originally, </w:t>
      </w:r>
      <w:r w:rsidRPr="009860C7">
        <w:t>major goal</w:t>
      </w:r>
      <w:r>
        <w:t>s of the study were</w:t>
      </w:r>
      <w:r w:rsidRPr="009860C7">
        <w:t xml:space="preserve"> to determine any long-term system</w:t>
      </w:r>
      <w:r w:rsidRPr="009845AD">
        <w:t xml:space="preserve"> needs required </w:t>
      </w:r>
      <w:proofErr w:type="gramStart"/>
      <w:r w:rsidRPr="009845AD">
        <w:t>to integrally serve</w:t>
      </w:r>
      <w:proofErr w:type="gramEnd"/>
      <w:r w:rsidRPr="009845AD">
        <w:t xml:space="preserve"> the broad SEMA, NEMA, and Rhode Island areas and to ensure</w:t>
      </w:r>
      <w:r w:rsidRPr="007D577F">
        <w:t xml:space="preserve"> consistency and cohesiveness of the planning and design of these areas of the system</w:t>
      </w:r>
      <w:r>
        <w:t>. Under the needs reasse</w:t>
      </w:r>
      <w:r w:rsidR="00B211AC">
        <w:t>ss</w:t>
      </w:r>
      <w:r>
        <w:t xml:space="preserve">ment, the major goals remain the same, with the addition of evaluating the area without the presence of the </w:t>
      </w:r>
      <w:proofErr w:type="spellStart"/>
      <w:r>
        <w:t>Brayton</w:t>
      </w:r>
      <w:proofErr w:type="spellEnd"/>
      <w:r>
        <w:t xml:space="preserve"> Point station.</w:t>
      </w:r>
    </w:p>
    <w:p w:rsidR="00C561D4" w:rsidRPr="00300F8A" w:rsidRDefault="00C561D4" w:rsidP="00C561D4">
      <w:r w:rsidRPr="00300F8A">
        <w:rPr>
          <w:b/>
        </w:rPr>
        <w:t>Southern New England Region</w:t>
      </w:r>
      <w:r w:rsidRPr="00300F8A">
        <w:t xml:space="preserve">—The Rhode Island Reliability Project and the Greater Springfield Reliability Project </w:t>
      </w:r>
      <w:proofErr w:type="gramStart"/>
      <w:r w:rsidRPr="00300F8A">
        <w:t>were placed</w:t>
      </w:r>
      <w:proofErr w:type="gramEnd"/>
      <w:r w:rsidRPr="00300F8A">
        <w:t xml:space="preserve"> in service in 2013.</w:t>
      </w:r>
      <w:r w:rsidRPr="00300F8A">
        <w:rPr>
          <w:rStyle w:val="FootnoteReference"/>
        </w:rPr>
        <w:footnoteReference w:id="213"/>
      </w:r>
      <w:r w:rsidRPr="00300F8A">
        <w:t xml:space="preserve"> </w:t>
      </w:r>
      <w:r w:rsidR="0007592E" w:rsidRPr="00300F8A">
        <w:t xml:space="preserve">The need for the Interstate and the CCRP components required a significant amount of </w:t>
      </w:r>
      <w:r w:rsidR="006616C8" w:rsidRPr="00300F8A">
        <w:t xml:space="preserve">revised </w:t>
      </w:r>
      <w:r w:rsidR="0007592E" w:rsidRPr="00300F8A">
        <w:t xml:space="preserve">analysis due to the following: </w:t>
      </w:r>
    </w:p>
    <w:p w:rsidR="00C561D4" w:rsidRPr="00300F8A" w:rsidRDefault="0007592E" w:rsidP="00C561D4">
      <w:pPr>
        <w:numPr>
          <w:ilvl w:val="0"/>
          <w:numId w:val="518"/>
        </w:numPr>
        <w:spacing w:after="120"/>
      </w:pPr>
      <w:r w:rsidRPr="00300F8A">
        <w:t xml:space="preserve">New resources cleared in the Forward Capacity Market (see Section </w:t>
      </w:r>
      <w:fldSimple w:instr=" REF _Ref388801529 \r \h  \* MERGEFORMAT ">
        <w:r w:rsidR="00284CE3">
          <w:t>4.1.3</w:t>
        </w:r>
      </w:fldSimple>
      <w:r w:rsidRPr="00300F8A">
        <w:t>) within Connecticut and to the west of the New England East–West interface.</w:t>
      </w:r>
    </w:p>
    <w:p w:rsidR="00C561D4" w:rsidRPr="00300F8A" w:rsidRDefault="0007592E" w:rsidP="00C561D4">
      <w:pPr>
        <w:numPr>
          <w:ilvl w:val="0"/>
          <w:numId w:val="518"/>
        </w:numPr>
      </w:pPr>
      <w:r w:rsidRPr="00300F8A">
        <w:t xml:space="preserve">The energy-efficiency forecast and the updated load forecast lowered the load forecast (see Section </w:t>
      </w:r>
      <w:fldSimple w:instr=" REF _Ref387327848 \r \h  \* MERGEFORMAT ">
        <w:r w:rsidR="00284CE3">
          <w:t>3.2</w:t>
        </w:r>
      </w:fldSimple>
      <w:r w:rsidRPr="00300F8A">
        <w:t>).</w:t>
      </w:r>
    </w:p>
    <w:p w:rsidR="00EF06BF" w:rsidRPr="00BD1D8F" w:rsidRDefault="00300F8A" w:rsidP="00C561D4">
      <w:r w:rsidRPr="00300F8A">
        <w:t>Because the need for the I</w:t>
      </w:r>
      <w:r>
        <w:t xml:space="preserve">nterstate </w:t>
      </w:r>
      <w:r w:rsidR="000A158A">
        <w:t xml:space="preserve">component of NEEWS </w:t>
      </w:r>
      <w:r w:rsidRPr="00300F8A">
        <w:t xml:space="preserve">was based on the transfer of power into eastern New England, western New England, Connecticut, and Rhode Island, the lower forecasted loads in these areas (as shown by the new load forecast combined with the energy-efficiency forecast) required a reassessment of the solution. </w:t>
      </w:r>
      <w:r w:rsidR="00C561D4" w:rsidRPr="00300F8A">
        <w:t xml:space="preserve">The first needs assessment </w:t>
      </w:r>
      <w:proofErr w:type="gramStart"/>
      <w:r w:rsidR="00C561D4" w:rsidRPr="00300F8A">
        <w:t>was published</w:t>
      </w:r>
      <w:proofErr w:type="gramEnd"/>
      <w:r w:rsidR="00C561D4" w:rsidRPr="00300F8A">
        <w:t xml:space="preserve"> in April 2011, and the first solutions study was published in February 2012</w:t>
      </w:r>
      <w:r w:rsidRPr="00300F8A">
        <w:t xml:space="preserve">. </w:t>
      </w:r>
      <w:r w:rsidR="0028427D" w:rsidRPr="00300F8A">
        <w:t xml:space="preserve">The second versions of these documents both </w:t>
      </w:r>
      <w:proofErr w:type="gramStart"/>
      <w:r w:rsidR="005B4197" w:rsidRPr="00300F8A">
        <w:t xml:space="preserve">were </w:t>
      </w:r>
      <w:r w:rsidR="0028427D" w:rsidRPr="00300F8A">
        <w:t>published</w:t>
      </w:r>
      <w:proofErr w:type="gramEnd"/>
      <w:r w:rsidR="0028427D" w:rsidRPr="00300F8A">
        <w:t xml:space="preserve"> </w:t>
      </w:r>
      <w:r w:rsidR="00C561D4" w:rsidRPr="00300F8A">
        <w:t xml:space="preserve">in </w:t>
      </w:r>
      <w:r w:rsidR="0028427D" w:rsidRPr="00300F8A">
        <w:t>September 2012.</w:t>
      </w:r>
      <w:r w:rsidR="0028427D" w:rsidRPr="00300F8A">
        <w:rPr>
          <w:rStyle w:val="FootnoteReference"/>
        </w:rPr>
        <w:footnoteReference w:id="214"/>
      </w:r>
    </w:p>
    <w:p w:rsidR="005C693D" w:rsidRPr="00BD1D8F" w:rsidRDefault="0007592E" w:rsidP="004A1133">
      <w:r w:rsidRPr="00300F8A">
        <w:t>The results of the September 2012 needs assessment and solutions study show system needs similar to those found in the April 2011 needs assessment, as well as the need for all parts of the preferred solution</w:t>
      </w:r>
      <w:r w:rsidR="006616C8" w:rsidRPr="00300F8A">
        <w:t xml:space="preserve"> </w:t>
      </w:r>
      <w:r w:rsidRPr="00300F8A">
        <w:t>discussed below.</w:t>
      </w:r>
      <w:r w:rsidR="00764C27" w:rsidRPr="00300F8A">
        <w:t xml:space="preserve"> </w:t>
      </w:r>
      <w:r w:rsidR="005B4197" w:rsidRPr="00300F8A">
        <w:t>The needs assessment</w:t>
      </w:r>
      <w:r w:rsidR="005C693D" w:rsidRPr="00300F8A">
        <w:t xml:space="preserve"> </w:t>
      </w:r>
      <w:r w:rsidR="005B4197" w:rsidRPr="00300F8A">
        <w:t xml:space="preserve">shows </w:t>
      </w:r>
      <w:r w:rsidRPr="00300F8A">
        <w:t>a substantial need for an integrated regional transmission solution to resolve system performance issues in eastern New England, western New England, and Greater Rhode Island (GRI</w:t>
      </w:r>
      <w:r w:rsidR="005B4197" w:rsidRPr="00300F8A">
        <w:t>).</w:t>
      </w:r>
      <w:r w:rsidR="005C693D" w:rsidRPr="00300F8A">
        <w:t xml:space="preserve"> </w:t>
      </w:r>
      <w:r w:rsidRPr="00300F8A">
        <w:t>The solutions studies show that the original interstate project is effective at resolving the majority of the overload issues in Rhode Island, western New England, Connecticut, and eastern New England.</w:t>
      </w:r>
      <w:r w:rsidRPr="00300F8A">
        <w:rPr>
          <w:rStyle w:val="FootnoteReference"/>
        </w:rPr>
        <w:footnoteReference w:id="215"/>
      </w:r>
      <w:r w:rsidR="00B12F4D" w:rsidRPr="00300F8A">
        <w:t xml:space="preserve"> </w:t>
      </w:r>
      <w:r w:rsidR="00300F8A" w:rsidRPr="00300F8A">
        <w:t xml:space="preserve">See </w:t>
      </w:r>
      <w:fldSimple w:instr=" REF _Ref297196722 \h  \* MERGEFORMAT ">
        <w:r w:rsidR="00284CE3" w:rsidRPr="005E0D28">
          <w:t xml:space="preserve">Figure </w:t>
        </w:r>
        <w:r w:rsidR="00284CE3">
          <w:rPr>
            <w:noProof/>
          </w:rPr>
          <w:t>5</w:t>
        </w:r>
        <w:r w:rsidR="00284CE3" w:rsidRPr="005E0D28">
          <w:rPr>
            <w:noProof/>
          </w:rPr>
          <w:noBreakHyphen/>
        </w:r>
        <w:r w:rsidR="00284CE3">
          <w:rPr>
            <w:noProof/>
          </w:rPr>
          <w:t>2</w:t>
        </w:r>
      </w:fldSimple>
      <w:r w:rsidR="00300F8A" w:rsidRPr="00300F8A">
        <w:t>.</w:t>
      </w:r>
    </w:p>
    <w:p w:rsidR="00C561D4" w:rsidRPr="005E0D28" w:rsidRDefault="00C561D4" w:rsidP="00C561D4">
      <w:pPr>
        <w:keepNext/>
        <w:keepLines/>
        <w:spacing w:after="0" w:line="240" w:lineRule="auto"/>
        <w:jc w:val="center"/>
      </w:pPr>
      <w:r w:rsidRPr="005E0D28">
        <w:rPr>
          <w:noProof/>
          <w:sz w:val="28"/>
          <w:szCs w:val="28"/>
        </w:rPr>
        <w:drawing>
          <wp:inline distT="0" distB="0" distL="0" distR="0">
            <wp:extent cx="4357947" cy="2910580"/>
            <wp:effectExtent l="19050" t="19050" r="23553" b="2312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4359259" cy="2911456"/>
                    </a:xfrm>
                    <a:prstGeom prst="rect">
                      <a:avLst/>
                    </a:prstGeom>
                    <a:noFill/>
                    <a:ln w="3175">
                      <a:solidFill>
                        <a:schemeClr val="tx1"/>
                      </a:solidFill>
                      <a:miter lim="800000"/>
                      <a:headEnd/>
                      <a:tailEnd/>
                    </a:ln>
                  </pic:spPr>
                </pic:pic>
              </a:graphicData>
            </a:graphic>
          </wp:inline>
        </w:drawing>
      </w:r>
    </w:p>
    <w:p w:rsidR="00C561D4" w:rsidRPr="005E0D28" w:rsidRDefault="00C561D4" w:rsidP="00C561D4">
      <w:pPr>
        <w:pStyle w:val="Caption"/>
        <w:keepNext w:val="0"/>
        <w:keepLines w:val="0"/>
        <w:spacing w:before="120" w:after="240"/>
        <w:ind w:left="1080" w:right="907"/>
        <w:jc w:val="left"/>
        <w:rPr>
          <w:szCs w:val="20"/>
        </w:rPr>
      </w:pPr>
      <w:bookmarkStart w:id="624" w:name="_Ref297196722"/>
      <w:bookmarkStart w:id="625" w:name="_Toc303086730"/>
      <w:bookmarkStart w:id="626" w:name="_Toc334601491"/>
      <w:bookmarkStart w:id="627" w:name="_Toc365440685"/>
      <w:bookmarkStart w:id="628" w:name="_Toc391985575"/>
      <w:r w:rsidRPr="005E0D28">
        <w:t xml:space="preserve">Figure </w:t>
      </w:r>
      <w:r w:rsidR="00927965" w:rsidRPr="005E0D28">
        <w:fldChar w:fldCharType="begin"/>
      </w:r>
      <w:r w:rsidR="0011163E" w:rsidRPr="005E0D28">
        <w:instrText xml:space="preserve"> STYLEREF 1 \s </w:instrText>
      </w:r>
      <w:r w:rsidR="00927965" w:rsidRPr="005E0D28">
        <w:fldChar w:fldCharType="separate"/>
      </w:r>
      <w:r w:rsidR="00284CE3">
        <w:rPr>
          <w:noProof/>
        </w:rPr>
        <w:t>5</w:t>
      </w:r>
      <w:r w:rsidR="00927965" w:rsidRPr="005E0D28">
        <w:fldChar w:fldCharType="end"/>
      </w:r>
      <w:r w:rsidR="0011163E" w:rsidRPr="005E0D28">
        <w:noBreakHyphen/>
      </w:r>
      <w:r w:rsidR="00927965" w:rsidRPr="005E0D28">
        <w:fldChar w:fldCharType="begin"/>
      </w:r>
      <w:r w:rsidR="0011163E" w:rsidRPr="005E0D28">
        <w:instrText xml:space="preserve"> SEQ Figure \* ARABIC \s 1 </w:instrText>
      </w:r>
      <w:r w:rsidR="00927965" w:rsidRPr="005E0D28">
        <w:fldChar w:fldCharType="separate"/>
      </w:r>
      <w:r w:rsidR="00284CE3">
        <w:rPr>
          <w:noProof/>
        </w:rPr>
        <w:t>2</w:t>
      </w:r>
      <w:r w:rsidR="00927965" w:rsidRPr="005E0D28">
        <w:fldChar w:fldCharType="end"/>
      </w:r>
      <w:bookmarkEnd w:id="624"/>
      <w:r w:rsidRPr="005E0D28">
        <w:rPr>
          <w:szCs w:val="20"/>
        </w:rPr>
        <w:t>: Map of constraints in southern New England.</w:t>
      </w:r>
      <w:bookmarkEnd w:id="625"/>
      <w:bookmarkEnd w:id="626"/>
      <w:bookmarkEnd w:id="627"/>
      <w:bookmarkEnd w:id="628"/>
    </w:p>
    <w:p w:rsidR="00300F8A" w:rsidRPr="00CE5C56" w:rsidRDefault="00D431C1" w:rsidP="00300F8A">
      <w:r w:rsidRPr="00CE5C56">
        <w:t>The modifications to the original Interstate project reflect a reduced need to move power from eastern New England to serve load in western New England and Connecticut and the need to improve the transfer capability into Rhode Island.</w:t>
      </w:r>
      <w:r w:rsidR="00CE5C56" w:rsidRPr="00CE5C56">
        <w:t xml:space="preserve"> </w:t>
      </w:r>
      <w:r w:rsidR="00300F8A" w:rsidRPr="00CE5C56">
        <w:t xml:space="preserve">It also shows the increased need to move power from western New </w:t>
      </w:r>
      <w:r w:rsidR="00113C54" w:rsidRPr="00113C54">
        <w:t xml:space="preserve">England to serve load in eastern New England below 2012 load levels. The new results also show the need to increase transfer capability into Connecticut and east to west at 2016 to 2017 load levels. Additionally, the revised analysis showed that the changes in resources and forecasted loads had reduced the need for increasing the transfer capability across the western Connecticut interface, which the 345 kV line of CCRP, the fourth major component of NEEWS, would have </w:t>
      </w:r>
      <w:r w:rsidR="009C49B3">
        <w:t>achieved</w:t>
      </w:r>
      <w:r w:rsidR="00113C54" w:rsidRPr="00113C54">
        <w:t xml:space="preserve">. Since that 345 kV line would </w:t>
      </w:r>
      <w:r w:rsidR="00113C54" w:rsidRPr="00E63560">
        <w:t>have been entirely within the area under study in the Greater Hartford/Central Connecticut</w:t>
      </w:r>
      <w:r w:rsidR="00113C54" w:rsidRPr="00113C54">
        <w:t xml:space="preserve"> study, the revaluation of CCRP was extended and combined with the GHCC study, with the expectation that both sets of needs </w:t>
      </w:r>
      <w:proofErr w:type="gramStart"/>
      <w:r w:rsidR="00113C54" w:rsidRPr="00113C54">
        <w:t>could be addressed</w:t>
      </w:r>
      <w:proofErr w:type="gramEnd"/>
      <w:r w:rsidR="00113C54" w:rsidRPr="00113C54">
        <w:t xml:space="preserve"> by a single set of integrated 115 kV solutions. The GHCC study </w:t>
      </w:r>
      <w:proofErr w:type="gramStart"/>
      <w:r w:rsidR="00113C54" w:rsidRPr="00113C54">
        <w:t>is discussed</w:t>
      </w:r>
      <w:proofErr w:type="gramEnd"/>
      <w:r w:rsidR="00113C54" w:rsidRPr="00113C54">
        <w:t xml:space="preserve"> in the “Connecticut” portion of this section.</w:t>
      </w:r>
      <w:r w:rsidR="00805CFD">
        <w:t xml:space="preserve"> </w:t>
      </w:r>
      <w:r w:rsidR="00300F8A" w:rsidRPr="00CE5C56">
        <w:t xml:space="preserve">Concerns over the need to move power from western New England to eastern New England </w:t>
      </w:r>
      <w:proofErr w:type="gramStart"/>
      <w:r w:rsidR="00300F8A" w:rsidRPr="00CE5C56">
        <w:t>have been emphasized</w:t>
      </w:r>
      <w:proofErr w:type="gramEnd"/>
      <w:r w:rsidR="00300F8A" w:rsidRPr="00CE5C56">
        <w:t xml:space="preserve"> with the upcoming retirement of </w:t>
      </w:r>
      <w:proofErr w:type="spellStart"/>
      <w:r w:rsidR="00300F8A" w:rsidRPr="00CE5C56">
        <w:t>Brayton</w:t>
      </w:r>
      <w:proofErr w:type="spellEnd"/>
      <w:r w:rsidR="00300F8A" w:rsidRPr="00CE5C56">
        <w:t xml:space="preserve"> Point station on or before </w:t>
      </w:r>
      <w:r w:rsidR="00C104AA" w:rsidRPr="00CE5C56">
        <w:t>June </w:t>
      </w:r>
      <w:r w:rsidR="00300F8A" w:rsidRPr="00CE5C56">
        <w:t>1, 2017.</w:t>
      </w:r>
      <w:r w:rsidR="00300F8A" w:rsidRPr="00CE5C56">
        <w:rPr>
          <w:rStyle w:val="FootnoteReference"/>
        </w:rPr>
        <w:footnoteReference w:id="216"/>
      </w:r>
    </w:p>
    <w:p w:rsidR="00300F8A" w:rsidRPr="007D577F" w:rsidRDefault="00300F8A" w:rsidP="00300F8A">
      <w:r w:rsidRPr="00CE5C56">
        <w:t>Addressing the transmission constraints along the Card Street–West Medway corridor (CT–RI–MA) will</w:t>
      </w:r>
      <w:r w:rsidRPr="00764C27">
        <w:t xml:space="preserve"> </w:t>
      </w:r>
      <w:r w:rsidRPr="00300F8A">
        <w:t>resolve these load-serving issues. This also would reduce potential constraints surrounding the</w:t>
      </w:r>
      <w:r w:rsidRPr="00DC107E">
        <w:t xml:space="preserve"> approximately 2,000 MW of generation along this corridor in the Greater Rhode Island area for reliably serving load in both western and eastern New England over the long-term planning horizon. </w:t>
      </w:r>
    </w:p>
    <w:p w:rsidR="00C561D4" w:rsidRPr="00A577A3" w:rsidRDefault="00C561D4" w:rsidP="00C561D4">
      <w:r>
        <w:t xml:space="preserve">The original analysis showed the need for a third 345 kV line into West </w:t>
      </w:r>
      <w:proofErr w:type="spellStart"/>
      <w:r>
        <w:t>Farnum</w:t>
      </w:r>
      <w:proofErr w:type="spellEnd"/>
      <w:r>
        <w:t xml:space="preserve"> </w:t>
      </w:r>
      <w:proofErr w:type="gramStart"/>
      <w:r>
        <w:t>to reliably serve</w:t>
      </w:r>
      <w:proofErr w:type="gramEnd"/>
      <w:r>
        <w:t xml:space="preserve"> load in </w:t>
      </w:r>
      <w:r w:rsidRPr="00300F8A">
        <w:t>Rhode Island, and the updated needs assessment shows this need as well. The subsequent solutions studies reviewed five different alternatives to resolve the remaining needs, and the preferred alternative was a slightly modified version of the original Interstate project.</w:t>
      </w:r>
      <w:r w:rsidR="003723A3" w:rsidRPr="00300F8A">
        <w:t xml:space="preserve"> </w:t>
      </w:r>
      <w:proofErr w:type="gramStart"/>
      <w:r w:rsidR="00660BEE" w:rsidRPr="00300F8A">
        <w:t xml:space="preserve">As a </w:t>
      </w:r>
      <w:r w:rsidR="00300F8A" w:rsidRPr="00300F8A">
        <w:t>result</w:t>
      </w:r>
      <w:proofErr w:type="gramEnd"/>
      <w:r w:rsidR="00660BEE" w:rsidRPr="00300F8A">
        <w:t xml:space="preserve"> of the 2011 and 2012 evaluations, </w:t>
      </w:r>
      <w:r w:rsidR="00300F8A" w:rsidRPr="00300F8A">
        <w:t>t</w:t>
      </w:r>
      <w:r w:rsidRPr="00300F8A">
        <w:t xml:space="preserve">he necessary additional modifications </w:t>
      </w:r>
      <w:r w:rsidR="003723A3" w:rsidRPr="00300F8A">
        <w:t xml:space="preserve">to resolve all criteria violations for serving eastern New England load </w:t>
      </w:r>
      <w:r w:rsidRPr="00300F8A">
        <w:t>are as follows:</w:t>
      </w:r>
      <w:r w:rsidRPr="00A577A3">
        <w:t xml:space="preserve"> </w:t>
      </w:r>
    </w:p>
    <w:p w:rsidR="00C561D4" w:rsidRPr="00A577A3" w:rsidRDefault="00C561D4" w:rsidP="00C561D4">
      <w:pPr>
        <w:pStyle w:val="Bullet-Solid"/>
        <w:numPr>
          <w:ilvl w:val="0"/>
          <w:numId w:val="309"/>
        </w:numPr>
      </w:pPr>
      <w:r w:rsidRPr="00A577A3">
        <w:t>Upgrade the 345 kV line from ANP Blackstone, MA</w:t>
      </w:r>
      <w:r>
        <w:t xml:space="preserve">, to </w:t>
      </w:r>
      <w:r w:rsidRPr="00A577A3">
        <w:t>NEA Bellingham, MA</w:t>
      </w:r>
      <w:r>
        <w:t xml:space="preserve">, to </w:t>
      </w:r>
      <w:r w:rsidRPr="00A577A3">
        <w:t>West Medway, MA (336 line)</w:t>
      </w:r>
    </w:p>
    <w:p w:rsidR="00C561D4" w:rsidRPr="00CD54DE" w:rsidRDefault="00C561D4" w:rsidP="00C561D4">
      <w:pPr>
        <w:pStyle w:val="Bullet-Solid"/>
        <w:numPr>
          <w:ilvl w:val="0"/>
          <w:numId w:val="309"/>
        </w:numPr>
      </w:pPr>
      <w:proofErr w:type="spellStart"/>
      <w:r w:rsidRPr="00CD54DE">
        <w:t>Reconductor</w:t>
      </w:r>
      <w:proofErr w:type="spellEnd"/>
      <w:r w:rsidRPr="00CD54DE">
        <w:t xml:space="preserve"> the 345 kV line from Sherman Road, RI, to West </w:t>
      </w:r>
      <w:proofErr w:type="spellStart"/>
      <w:r w:rsidRPr="00CD54DE">
        <w:t>Farnum</w:t>
      </w:r>
      <w:proofErr w:type="spellEnd"/>
      <w:r w:rsidRPr="00CD54DE">
        <w:t>, RI (328 line)</w:t>
      </w:r>
    </w:p>
    <w:p w:rsidR="00C561D4" w:rsidRPr="00A577A3" w:rsidRDefault="00C561D4" w:rsidP="00C561D4">
      <w:pPr>
        <w:pStyle w:val="Bullet-Solid"/>
        <w:numPr>
          <w:ilvl w:val="0"/>
          <w:numId w:val="309"/>
        </w:numPr>
      </w:pPr>
      <w:r w:rsidRPr="00A577A3">
        <w:t xml:space="preserve">Eliminate the sag limit on the 115 kV line from Montville, CT, to </w:t>
      </w:r>
      <w:proofErr w:type="spellStart"/>
      <w:r w:rsidRPr="00A577A3">
        <w:t>Buddington</w:t>
      </w:r>
      <w:proofErr w:type="spellEnd"/>
      <w:r w:rsidRPr="00A577A3">
        <w:t>, CT (1410 line)</w:t>
      </w:r>
    </w:p>
    <w:p w:rsidR="00C561D4" w:rsidRDefault="00C561D4" w:rsidP="00C561D4">
      <w:pPr>
        <w:pStyle w:val="Bullet-Solid"/>
        <w:numPr>
          <w:ilvl w:val="0"/>
          <w:numId w:val="309"/>
        </w:numPr>
      </w:pPr>
      <w:r w:rsidRPr="00A577A3">
        <w:t xml:space="preserve">Upgrade the terminal equipment at Sherman Road (345 kV), West Medway (345 kV), and West </w:t>
      </w:r>
      <w:proofErr w:type="spellStart"/>
      <w:r w:rsidRPr="00A577A3">
        <w:t>Farnum</w:t>
      </w:r>
      <w:proofErr w:type="spellEnd"/>
      <w:r w:rsidRPr="00A577A3">
        <w:t xml:space="preserve"> (345 kV) substations</w:t>
      </w:r>
    </w:p>
    <w:p w:rsidR="00C561D4" w:rsidRPr="0073367E" w:rsidRDefault="00C561D4" w:rsidP="00C561D4">
      <w:pPr>
        <w:pStyle w:val="Bullet-Solid"/>
        <w:numPr>
          <w:ilvl w:val="0"/>
          <w:numId w:val="309"/>
        </w:numPr>
        <w:spacing w:after="240"/>
      </w:pPr>
      <w:r>
        <w:t>Rebuild the Sherman Road (345 kV) switching station</w:t>
      </w:r>
    </w:p>
    <w:p w:rsidR="00C561D4" w:rsidRPr="00A577A3" w:rsidRDefault="00C561D4" w:rsidP="00656ABE">
      <w:r>
        <w:t>Because of</w:t>
      </w:r>
      <w:r w:rsidRPr="00B24E7D">
        <w:t xml:space="preserve"> the reassessment, the following upgrades included in the original Interstate Reliability Project </w:t>
      </w:r>
      <w:proofErr w:type="gramStart"/>
      <w:r w:rsidRPr="00B24E7D">
        <w:t>are no longer needed</w:t>
      </w:r>
      <w:proofErr w:type="gramEnd"/>
      <w:r w:rsidRPr="00B24E7D">
        <w:t>:</w:t>
      </w:r>
    </w:p>
    <w:p w:rsidR="00C561D4" w:rsidRPr="00A577A3" w:rsidRDefault="00C561D4" w:rsidP="00C561D4">
      <w:pPr>
        <w:pStyle w:val="Bullet-Solid"/>
        <w:numPr>
          <w:ilvl w:val="0"/>
          <w:numId w:val="310"/>
        </w:numPr>
      </w:pPr>
      <w:r w:rsidRPr="00A577A3">
        <w:t>Upgrading the terminal equipment necessary to increase the ratings on the 345 kV line from ANP Blackstone, MA, to Sherman Road, RI (3361 line)</w:t>
      </w:r>
    </w:p>
    <w:p w:rsidR="00C561D4" w:rsidRPr="00A577A3" w:rsidRDefault="00C561D4" w:rsidP="00C561D4">
      <w:pPr>
        <w:pStyle w:val="Bullet-Solid"/>
        <w:numPr>
          <w:ilvl w:val="0"/>
          <w:numId w:val="310"/>
        </w:numPr>
      </w:pPr>
      <w:proofErr w:type="spellStart"/>
      <w:r w:rsidRPr="00A577A3">
        <w:t>Reconductoring</w:t>
      </w:r>
      <w:proofErr w:type="spellEnd"/>
      <w:r w:rsidRPr="00A577A3">
        <w:t xml:space="preserve"> a section of the 345 kV line from Sherman Road, RI, to Killingly, CT (347 line)</w:t>
      </w:r>
    </w:p>
    <w:p w:rsidR="00C561D4" w:rsidRPr="00A577A3" w:rsidRDefault="00C561D4" w:rsidP="00C561D4">
      <w:pPr>
        <w:pStyle w:val="Bullet-Solid"/>
        <w:numPr>
          <w:ilvl w:val="0"/>
          <w:numId w:val="310"/>
        </w:numPr>
      </w:pPr>
      <w:r w:rsidRPr="00A577A3">
        <w:t>Adding 480 MVARs of capacitors at the Montville 345 kV substation</w:t>
      </w:r>
    </w:p>
    <w:p w:rsidR="00C561D4" w:rsidRPr="00A577A3" w:rsidRDefault="00C561D4" w:rsidP="00C561D4">
      <w:pPr>
        <w:pStyle w:val="Bullet-Solid"/>
        <w:numPr>
          <w:ilvl w:val="0"/>
          <w:numId w:val="310"/>
        </w:numPr>
        <w:spacing w:after="240"/>
      </w:pPr>
      <w:r w:rsidRPr="00A577A3">
        <w:t>Adding a 345 kV circuit breaker at the Killingly substation</w:t>
      </w:r>
    </w:p>
    <w:p w:rsidR="00C561D4" w:rsidRPr="00B9343D" w:rsidRDefault="00C561D4" w:rsidP="00C561D4">
      <w:r w:rsidRPr="005E0D28">
        <w:t xml:space="preserve">Another project originally part of </w:t>
      </w:r>
      <w:r w:rsidR="0028427D" w:rsidRPr="005E0D28">
        <w:t>the Interstate</w:t>
      </w:r>
      <w:r w:rsidRPr="005E0D28">
        <w:t xml:space="preserve"> component of NEEWS, the looping of the Millstone–Manchester 345 kV line into the Card Street substation, is not needed as part of </w:t>
      </w:r>
      <w:r w:rsidR="0028427D" w:rsidRPr="005E0D28">
        <w:t>the I</w:t>
      </w:r>
      <w:r w:rsidR="005E0D28" w:rsidRPr="005E0D28">
        <w:t>RP</w:t>
      </w:r>
      <w:r w:rsidRPr="005E0D28">
        <w:t>.</w:t>
      </w:r>
    </w:p>
    <w:p w:rsidR="00C561D4" w:rsidRPr="00A577A3" w:rsidRDefault="00C561D4" w:rsidP="00CD54DE">
      <w:pPr>
        <w:keepNext/>
        <w:keepLines/>
        <w:rPr>
          <w:b/>
        </w:rPr>
      </w:pPr>
      <w:r w:rsidRPr="00DE1967">
        <w:rPr>
          <w:b/>
        </w:rPr>
        <w:t>Massachusetts</w:t>
      </w:r>
      <w:r w:rsidRPr="00DE1967">
        <w:t>—</w:t>
      </w:r>
    </w:p>
    <w:p w:rsidR="00C561D4" w:rsidRDefault="00C561D4" w:rsidP="00CD54DE">
      <w:pPr>
        <w:pStyle w:val="Bullet-Solid"/>
        <w:keepNext/>
        <w:keepLines/>
        <w:numPr>
          <w:ilvl w:val="0"/>
          <w:numId w:val="0"/>
        </w:numPr>
        <w:spacing w:after="240"/>
      </w:pPr>
      <w:r w:rsidRPr="00A577A3">
        <w:rPr>
          <w:b/>
          <w:i/>
        </w:rPr>
        <w:t>Greater Boston area</w:t>
      </w:r>
      <w:r w:rsidRPr="00A577A3">
        <w:rPr>
          <w:b/>
        </w:rPr>
        <w:t xml:space="preserve">: </w:t>
      </w:r>
      <w:r w:rsidRPr="00A577A3">
        <w:t xml:space="preserve">A long-term reliability </w:t>
      </w:r>
      <w:r>
        <w:t>n</w:t>
      </w:r>
      <w:r w:rsidRPr="00A577A3">
        <w:t xml:space="preserve">eeds </w:t>
      </w:r>
      <w:r>
        <w:t>a</w:t>
      </w:r>
      <w:r w:rsidRPr="00A577A3">
        <w:t xml:space="preserve">ssessment </w:t>
      </w:r>
      <w:proofErr w:type="gramStart"/>
      <w:r w:rsidRPr="00A577A3">
        <w:t>has been completed</w:t>
      </w:r>
      <w:proofErr w:type="gramEnd"/>
      <w:r w:rsidRPr="00A577A3">
        <w:t xml:space="preserve"> for the Greater Boston area, and solutions </w:t>
      </w:r>
      <w:r>
        <w:t>have been</w:t>
      </w:r>
      <w:r w:rsidRPr="00A577A3">
        <w:t xml:space="preserve"> developed to address the criteria violations that </w:t>
      </w:r>
      <w:r w:rsidRPr="00E735E6">
        <w:t>resulted.</w:t>
      </w:r>
      <w:r w:rsidRPr="00E735E6">
        <w:rPr>
          <w:rStyle w:val="FootnoteReference"/>
        </w:rPr>
        <w:footnoteReference w:id="217"/>
      </w:r>
      <w:r w:rsidRPr="00A577A3">
        <w:t xml:space="preserve"> </w:t>
      </w:r>
      <w:r>
        <w:t xml:space="preserve">Because of significant changes in the study </w:t>
      </w:r>
      <w:r w:rsidRPr="00EC1508">
        <w:t xml:space="preserve">area, </w:t>
      </w:r>
      <w:r w:rsidR="00742F99" w:rsidRPr="00742F99">
        <w:t>two updates have been released since the needs assessment report was published in 2010</w:t>
      </w:r>
      <w:r w:rsidRPr="00EC1508">
        <w:t>—the</w:t>
      </w:r>
      <w:r w:rsidRPr="00E735E6">
        <w:t xml:space="preserve"> </w:t>
      </w:r>
      <w:r w:rsidR="00274428" w:rsidRPr="00274428">
        <w:t xml:space="preserve">2018 needs assessment and the 2023 needs </w:t>
      </w:r>
      <w:r w:rsidR="00274428" w:rsidRPr="00C11521">
        <w:t>assessment</w:t>
      </w:r>
      <w:r w:rsidRPr="00C11521">
        <w:t>.</w:t>
      </w:r>
      <w:r w:rsidRPr="00C11521">
        <w:rPr>
          <w:rStyle w:val="FootnoteReference"/>
        </w:rPr>
        <w:footnoteReference w:id="218"/>
      </w:r>
      <w:r w:rsidRPr="00C11521">
        <w:t xml:space="preserve"> The changes that prompted the updates </w:t>
      </w:r>
      <w:proofErr w:type="gramStart"/>
      <w:r w:rsidRPr="00C11521">
        <w:t xml:space="preserve">can be </w:t>
      </w:r>
      <w:r w:rsidR="00E735E6" w:rsidRPr="00C11521">
        <w:t>categorized</w:t>
      </w:r>
      <w:proofErr w:type="gramEnd"/>
      <w:r w:rsidRPr="00C11521">
        <w:t xml:space="preserve"> into four topics: load forecast</w:t>
      </w:r>
      <w:r>
        <w:t xml:space="preserve"> and demand resources, resource additions and retirements, transmission system topology, and system modeling</w:t>
      </w:r>
      <w:r w:rsidR="00063122">
        <w:t>:</w:t>
      </w:r>
      <w:r w:rsidR="00EC1508" w:rsidRPr="00EC1508">
        <w:t xml:space="preserve"> </w:t>
      </w:r>
    </w:p>
    <w:p w:rsidR="00C561D4" w:rsidRPr="00B16A33" w:rsidRDefault="00C561D4" w:rsidP="00EC1508">
      <w:pPr>
        <w:pStyle w:val="Bullet-Solid"/>
        <w:numPr>
          <w:ilvl w:val="0"/>
          <w:numId w:val="490"/>
        </w:numPr>
        <w:rPr>
          <w:b/>
        </w:rPr>
      </w:pPr>
      <w:r w:rsidRPr="00B16A33">
        <w:rPr>
          <w:b/>
        </w:rPr>
        <w:t xml:space="preserve">Changes in </w:t>
      </w:r>
      <w:r>
        <w:rPr>
          <w:b/>
        </w:rPr>
        <w:t>l</w:t>
      </w:r>
      <w:r w:rsidRPr="00B16A33">
        <w:rPr>
          <w:b/>
        </w:rPr>
        <w:t xml:space="preserve">oad </w:t>
      </w:r>
      <w:r>
        <w:rPr>
          <w:b/>
        </w:rPr>
        <w:t>f</w:t>
      </w:r>
      <w:r w:rsidRPr="00B16A33">
        <w:rPr>
          <w:b/>
        </w:rPr>
        <w:t xml:space="preserve">orecast and </w:t>
      </w:r>
      <w:r>
        <w:rPr>
          <w:b/>
        </w:rPr>
        <w:t>d</w:t>
      </w:r>
      <w:r w:rsidRPr="00B16A33">
        <w:rPr>
          <w:b/>
        </w:rPr>
        <w:t xml:space="preserve">emand </w:t>
      </w:r>
      <w:r>
        <w:rPr>
          <w:b/>
        </w:rPr>
        <w:t>r</w:t>
      </w:r>
      <w:r w:rsidRPr="00B16A33">
        <w:rPr>
          <w:b/>
        </w:rPr>
        <w:t>esources</w:t>
      </w:r>
    </w:p>
    <w:p w:rsidR="00C561D4" w:rsidRDefault="00C561D4" w:rsidP="00403611">
      <w:pPr>
        <w:ind w:left="720"/>
      </w:pPr>
      <w:r>
        <w:t>The net load in the study area decreased by 200 MW</w:t>
      </w:r>
      <w:r w:rsidRPr="00196EAF">
        <w:t xml:space="preserve"> </w:t>
      </w:r>
      <w:r>
        <w:t xml:space="preserve">in the 2023 needs assessment compared </w:t>
      </w:r>
      <w:r w:rsidR="00CD54DE">
        <w:t>with</w:t>
      </w:r>
      <w:r>
        <w:t xml:space="preserve"> the 2018 needs assessment </w:t>
      </w:r>
    </w:p>
    <w:p w:rsidR="00C561D4" w:rsidRPr="00B16A33" w:rsidRDefault="00C561D4" w:rsidP="00EC1508">
      <w:pPr>
        <w:numPr>
          <w:ilvl w:val="0"/>
          <w:numId w:val="490"/>
        </w:numPr>
        <w:spacing w:after="120" w:line="240" w:lineRule="auto"/>
        <w:rPr>
          <w:b/>
        </w:rPr>
      </w:pPr>
      <w:r w:rsidRPr="00B16A33">
        <w:rPr>
          <w:b/>
        </w:rPr>
        <w:t xml:space="preserve">Resource </w:t>
      </w:r>
      <w:r>
        <w:rPr>
          <w:b/>
        </w:rPr>
        <w:t>a</w:t>
      </w:r>
      <w:r w:rsidRPr="00B16A33">
        <w:rPr>
          <w:b/>
        </w:rPr>
        <w:t xml:space="preserve">dditions and </w:t>
      </w:r>
      <w:r>
        <w:rPr>
          <w:b/>
        </w:rPr>
        <w:t>r</w:t>
      </w:r>
      <w:r w:rsidRPr="00B16A33">
        <w:rPr>
          <w:b/>
        </w:rPr>
        <w:t xml:space="preserve">etirements </w:t>
      </w:r>
    </w:p>
    <w:p w:rsidR="00C561D4" w:rsidRDefault="00C561D4" w:rsidP="00403611">
      <w:pPr>
        <w:spacing w:after="120"/>
        <w:ind w:left="720"/>
      </w:pPr>
      <w:r>
        <w:t xml:space="preserve">The most significant change in the study area was the </w:t>
      </w:r>
      <w:r w:rsidRPr="00CE2DF7">
        <w:t xml:space="preserve">availability of generation resources. </w:t>
      </w:r>
      <w:proofErr w:type="gramStart"/>
      <w:r>
        <w:t xml:space="preserve">As a </w:t>
      </w:r>
      <w:r w:rsidRPr="004D35E1">
        <w:t>result</w:t>
      </w:r>
      <w:proofErr w:type="gramEnd"/>
      <w:r w:rsidRPr="004D35E1">
        <w:t xml:space="preserve"> of a </w:t>
      </w:r>
      <w:proofErr w:type="spellStart"/>
      <w:r w:rsidR="007C175E" w:rsidRPr="007C175E">
        <w:t>nonprice</w:t>
      </w:r>
      <w:proofErr w:type="spellEnd"/>
      <w:r w:rsidR="007C175E" w:rsidRPr="007C175E">
        <w:t xml:space="preserve"> </w:t>
      </w:r>
      <w:r w:rsidR="00D24CD4" w:rsidRPr="00D24CD4">
        <w:t>retirement request (NPRR),</w:t>
      </w:r>
      <w:r w:rsidRPr="004D35E1">
        <w:t xml:space="preserve"> the Salem Harbor station will be retired</w:t>
      </w:r>
      <w:r w:rsidRPr="00CE2DF7">
        <w:t xml:space="preserve"> </w:t>
      </w:r>
      <w:r>
        <w:t>in 2014. Th</w:t>
      </w:r>
      <w:r w:rsidR="00690F18">
        <w:t xml:space="preserve">is </w:t>
      </w:r>
      <w:r>
        <w:t xml:space="preserve">retirement </w:t>
      </w:r>
      <w:r w:rsidRPr="00CE2DF7">
        <w:t>reduc</w:t>
      </w:r>
      <w:r>
        <w:t>e</w:t>
      </w:r>
      <w:r w:rsidR="00690F18">
        <w:t>s</w:t>
      </w:r>
      <w:r w:rsidRPr="00CE2DF7">
        <w:t xml:space="preserve"> generation resources </w:t>
      </w:r>
      <w:r>
        <w:t>in</w:t>
      </w:r>
      <w:r w:rsidRPr="00CE2DF7">
        <w:t xml:space="preserve"> the area by </w:t>
      </w:r>
      <w:r>
        <w:t>approximately</w:t>
      </w:r>
      <w:r w:rsidRPr="00CE2DF7">
        <w:t xml:space="preserve"> </w:t>
      </w:r>
      <w:r w:rsidR="00E735E6" w:rsidRPr="00CE2DF7">
        <w:t>750</w:t>
      </w:r>
      <w:r w:rsidR="00E735E6">
        <w:t> </w:t>
      </w:r>
      <w:r w:rsidRPr="00CE2DF7">
        <w:t>MW</w:t>
      </w:r>
      <w:r w:rsidR="00690F18">
        <w:t>,</w:t>
      </w:r>
      <w:r w:rsidR="009466DA">
        <w:t xml:space="preserve"> </w:t>
      </w:r>
      <w:r>
        <w:t>represent</w:t>
      </w:r>
      <w:r w:rsidR="00690F18">
        <w:t>ing</w:t>
      </w:r>
      <w:r>
        <w:t xml:space="preserve"> a loss of over </w:t>
      </w:r>
      <w:r w:rsidRPr="00CE2DF7">
        <w:t xml:space="preserve">20% </w:t>
      </w:r>
      <w:r>
        <w:t>of the</w:t>
      </w:r>
      <w:r w:rsidRPr="00CE2DF7">
        <w:t xml:space="preserve"> area resources. </w:t>
      </w:r>
      <w:r w:rsidR="00690F18">
        <w:t xml:space="preserve">Because of </w:t>
      </w:r>
      <w:r>
        <w:t xml:space="preserve">this retirement, upgrades to five transmission lines in the North Shore area, northwest of Boston, were </w:t>
      </w:r>
      <w:proofErr w:type="gramStart"/>
      <w:r>
        <w:t>identified</w:t>
      </w:r>
      <w:proofErr w:type="gramEnd"/>
      <w:r>
        <w:t xml:space="preserve"> and have been placed in service. These transmission upgrades </w:t>
      </w:r>
      <w:proofErr w:type="gramStart"/>
      <w:r>
        <w:t>were needed</w:t>
      </w:r>
      <w:proofErr w:type="gramEnd"/>
      <w:r>
        <w:t xml:space="preserve"> to address immediate reliability concerns in the area due to the retirement. </w:t>
      </w:r>
    </w:p>
    <w:p w:rsidR="00C561D4" w:rsidRDefault="00690F18" w:rsidP="00403611">
      <w:pPr>
        <w:pStyle w:val="Bullet-Solid"/>
        <w:numPr>
          <w:ilvl w:val="0"/>
          <w:numId w:val="0"/>
        </w:numPr>
        <w:spacing w:after="240"/>
        <w:ind w:left="720"/>
      </w:pPr>
      <w:r>
        <w:t xml:space="preserve">Also because of the </w:t>
      </w:r>
      <w:r w:rsidR="00C561D4">
        <w:t>Salem Harbor retirement,</w:t>
      </w:r>
      <w:r w:rsidR="00C561D4" w:rsidRPr="00CE2DF7">
        <w:t xml:space="preserve"> a new resource</w:t>
      </w:r>
      <w:r w:rsidR="00C561D4">
        <w:t xml:space="preserve"> </w:t>
      </w:r>
      <w:r w:rsidR="00C561D4" w:rsidRPr="00CE2DF7">
        <w:t>was proposed</w:t>
      </w:r>
      <w:r>
        <w:t>,</w:t>
      </w:r>
      <w:r w:rsidR="00C561D4" w:rsidRPr="00CE2DF7">
        <w:t xml:space="preserve"> and </w:t>
      </w:r>
      <w:r>
        <w:t xml:space="preserve">it </w:t>
      </w:r>
      <w:r w:rsidR="00C561D4" w:rsidRPr="00CE2DF7">
        <w:t>ultimately cleared the F</w:t>
      </w:r>
      <w:r>
        <w:t>CM</w:t>
      </w:r>
      <w:r w:rsidR="00C561D4" w:rsidRPr="00CE2DF7">
        <w:t xml:space="preserve"> in 2013</w:t>
      </w:r>
      <w:r w:rsidR="00C561D4">
        <w:t xml:space="preserve"> with an obligation to be in service by June 2016. </w:t>
      </w:r>
      <w:r w:rsidR="00C561D4" w:rsidRPr="00CE2DF7">
        <w:t>The new generating facility</w:t>
      </w:r>
      <w:r w:rsidR="0052649A">
        <w:t xml:space="preserve"> </w:t>
      </w:r>
      <w:r w:rsidR="00111D5F">
        <w:t>ha</w:t>
      </w:r>
      <w:r w:rsidR="0052649A">
        <w:t xml:space="preserve">s </w:t>
      </w:r>
      <w:r w:rsidR="00111D5F">
        <w:t xml:space="preserve">a capacity supply obligation of </w:t>
      </w:r>
      <w:r w:rsidR="0052649A">
        <w:t xml:space="preserve">674 </w:t>
      </w:r>
      <w:r w:rsidR="00111D5F">
        <w:t>MW.</w:t>
      </w:r>
      <w:r w:rsidR="008C0FA6">
        <w:rPr>
          <w:rStyle w:val="FootnoteReference"/>
        </w:rPr>
        <w:footnoteReference w:id="219"/>
      </w:r>
      <w:r w:rsidR="009C49B3">
        <w:t xml:space="preserve"> </w:t>
      </w:r>
    </w:p>
    <w:p w:rsidR="00C561D4" w:rsidRPr="00B16A33" w:rsidRDefault="00C561D4" w:rsidP="00EC1508">
      <w:pPr>
        <w:numPr>
          <w:ilvl w:val="0"/>
          <w:numId w:val="490"/>
        </w:numPr>
        <w:spacing w:after="120"/>
        <w:rPr>
          <w:b/>
        </w:rPr>
      </w:pPr>
      <w:r w:rsidRPr="00B16A33">
        <w:rPr>
          <w:b/>
        </w:rPr>
        <w:t xml:space="preserve">Transmission </w:t>
      </w:r>
      <w:r>
        <w:rPr>
          <w:b/>
        </w:rPr>
        <w:t>s</w:t>
      </w:r>
      <w:r w:rsidRPr="00B16A33">
        <w:rPr>
          <w:b/>
        </w:rPr>
        <w:t xml:space="preserve">ystem </w:t>
      </w:r>
      <w:r>
        <w:rPr>
          <w:b/>
        </w:rPr>
        <w:t>t</w:t>
      </w:r>
      <w:r w:rsidRPr="00B16A33">
        <w:rPr>
          <w:b/>
        </w:rPr>
        <w:t xml:space="preserve">opology </w:t>
      </w:r>
    </w:p>
    <w:p w:rsidR="00C561D4" w:rsidRDefault="00C561D4" w:rsidP="00C561D4">
      <w:pPr>
        <w:ind w:left="720"/>
      </w:pPr>
      <w:r>
        <w:t xml:space="preserve">A number of solution alternatives </w:t>
      </w:r>
      <w:proofErr w:type="gramStart"/>
      <w:r>
        <w:t>were identified and advanced to resolve urgent needs in the Boston area</w:t>
      </w:r>
      <w:proofErr w:type="gramEnd"/>
      <w:r>
        <w:t>. The following list summarizes these advanced upgrades:</w:t>
      </w:r>
    </w:p>
    <w:p w:rsidR="00C561D4" w:rsidRDefault="00C561D4" w:rsidP="00C561D4">
      <w:pPr>
        <w:numPr>
          <w:ilvl w:val="1"/>
          <w:numId w:val="69"/>
        </w:numPr>
        <w:spacing w:after="120"/>
        <w:ind w:left="1368"/>
      </w:pPr>
      <w:r>
        <w:t xml:space="preserve">115 kV line </w:t>
      </w:r>
      <w:proofErr w:type="spellStart"/>
      <w:r>
        <w:t>reconductorings</w:t>
      </w:r>
      <w:proofErr w:type="spellEnd"/>
      <w:r>
        <w:t>:</w:t>
      </w:r>
    </w:p>
    <w:p w:rsidR="00C561D4" w:rsidRDefault="00C561D4" w:rsidP="00C561D4">
      <w:pPr>
        <w:numPr>
          <w:ilvl w:val="0"/>
          <w:numId w:val="508"/>
        </w:numPr>
        <w:autoSpaceDE w:val="0"/>
        <w:autoSpaceDN w:val="0"/>
        <w:adjustRightInd w:val="0"/>
        <w:spacing w:after="120"/>
        <w:rPr>
          <w:rFonts w:asciiTheme="majorHAnsi" w:hAnsiTheme="majorHAnsi" w:cs="Calibri"/>
          <w:color w:val="000000"/>
        </w:rPr>
      </w:pPr>
      <w:r w:rsidRPr="00B16A33">
        <w:rPr>
          <w:rFonts w:asciiTheme="majorHAnsi" w:hAnsiTheme="majorHAnsi" w:cs="Calibri"/>
          <w:color w:val="000000"/>
        </w:rPr>
        <w:t>320-507/508 Lexington</w:t>
      </w:r>
      <w:r>
        <w:rPr>
          <w:rFonts w:asciiTheme="majorHAnsi" w:hAnsiTheme="majorHAnsi" w:cs="Calibri"/>
          <w:color w:val="000000"/>
        </w:rPr>
        <w:t>–</w:t>
      </w:r>
      <w:r w:rsidRPr="00B16A33">
        <w:rPr>
          <w:rFonts w:asciiTheme="majorHAnsi" w:hAnsiTheme="majorHAnsi" w:cs="Calibri"/>
          <w:color w:val="000000"/>
        </w:rPr>
        <w:t xml:space="preserve">Waltham 115 kV </w:t>
      </w:r>
      <w:r w:rsidR="0097702D">
        <w:rPr>
          <w:rFonts w:asciiTheme="majorHAnsi" w:hAnsiTheme="majorHAnsi" w:cs="Calibri"/>
          <w:color w:val="000000"/>
        </w:rPr>
        <w:t>(in service)</w:t>
      </w:r>
    </w:p>
    <w:p w:rsidR="00C561D4" w:rsidRDefault="00C561D4" w:rsidP="00C561D4">
      <w:pPr>
        <w:numPr>
          <w:ilvl w:val="0"/>
          <w:numId w:val="508"/>
        </w:numPr>
        <w:autoSpaceDE w:val="0"/>
        <w:autoSpaceDN w:val="0"/>
        <w:adjustRightInd w:val="0"/>
        <w:spacing w:after="120"/>
        <w:rPr>
          <w:rFonts w:asciiTheme="majorHAnsi" w:hAnsiTheme="majorHAnsi" w:cs="Calibri"/>
          <w:color w:val="000000"/>
        </w:rPr>
      </w:pPr>
      <w:r w:rsidRPr="00B16A33">
        <w:rPr>
          <w:rFonts w:asciiTheme="majorHAnsi" w:hAnsiTheme="majorHAnsi" w:cs="Calibri"/>
          <w:color w:val="000000"/>
        </w:rPr>
        <w:t>128-518/P-168 Chelsea</w:t>
      </w:r>
      <w:r>
        <w:rPr>
          <w:rFonts w:asciiTheme="majorHAnsi" w:hAnsiTheme="majorHAnsi" w:cs="Calibri"/>
          <w:color w:val="000000"/>
        </w:rPr>
        <w:t>–</w:t>
      </w:r>
      <w:r w:rsidRPr="00B16A33">
        <w:rPr>
          <w:rFonts w:asciiTheme="majorHAnsi" w:hAnsiTheme="majorHAnsi" w:cs="Calibri"/>
          <w:color w:val="000000"/>
        </w:rPr>
        <w:t xml:space="preserve">Revere 115 kV </w:t>
      </w:r>
      <w:r w:rsidR="0097702D">
        <w:rPr>
          <w:rFonts w:asciiTheme="majorHAnsi" w:hAnsiTheme="majorHAnsi" w:cs="Calibri"/>
          <w:color w:val="000000"/>
        </w:rPr>
        <w:t>(in service)</w:t>
      </w:r>
    </w:p>
    <w:p w:rsidR="00C561D4" w:rsidRDefault="00C561D4" w:rsidP="00C561D4">
      <w:pPr>
        <w:numPr>
          <w:ilvl w:val="0"/>
          <w:numId w:val="508"/>
        </w:numPr>
        <w:autoSpaceDE w:val="0"/>
        <w:autoSpaceDN w:val="0"/>
        <w:adjustRightInd w:val="0"/>
        <w:spacing w:after="120"/>
        <w:rPr>
          <w:rFonts w:asciiTheme="majorHAnsi" w:hAnsiTheme="majorHAnsi" w:cs="Calibri"/>
          <w:color w:val="000000"/>
        </w:rPr>
      </w:pPr>
      <w:r w:rsidRPr="00B16A33">
        <w:rPr>
          <w:rFonts w:asciiTheme="majorHAnsi" w:hAnsiTheme="majorHAnsi" w:cs="Calibri"/>
          <w:color w:val="000000"/>
        </w:rPr>
        <w:t xml:space="preserve">C-129N/201-502 Depot St. </w:t>
      </w:r>
      <w:r>
        <w:rPr>
          <w:rFonts w:asciiTheme="majorHAnsi" w:hAnsiTheme="majorHAnsi" w:cs="Calibri"/>
          <w:color w:val="000000"/>
        </w:rPr>
        <w:t>t</w:t>
      </w:r>
      <w:r w:rsidRPr="00B16A33">
        <w:rPr>
          <w:rFonts w:asciiTheme="majorHAnsi" w:hAnsiTheme="majorHAnsi" w:cs="Calibri"/>
          <w:color w:val="000000"/>
        </w:rPr>
        <w:t>ap</w:t>
      </w:r>
      <w:r>
        <w:rPr>
          <w:rFonts w:asciiTheme="majorHAnsi" w:hAnsiTheme="majorHAnsi" w:cs="Calibri"/>
          <w:color w:val="000000"/>
        </w:rPr>
        <w:t>–</w:t>
      </w:r>
      <w:r w:rsidRPr="00B16A33">
        <w:rPr>
          <w:rFonts w:asciiTheme="majorHAnsi" w:hAnsiTheme="majorHAnsi" w:cs="Calibri"/>
          <w:color w:val="000000"/>
        </w:rPr>
        <w:t xml:space="preserve">Medway 115 kV </w:t>
      </w:r>
      <w:r w:rsidR="0097702D">
        <w:rPr>
          <w:rFonts w:asciiTheme="majorHAnsi" w:hAnsiTheme="majorHAnsi" w:cs="Calibri"/>
          <w:color w:val="000000"/>
        </w:rPr>
        <w:t>(in service)</w:t>
      </w:r>
    </w:p>
    <w:p w:rsidR="00C561D4" w:rsidRDefault="00C561D4" w:rsidP="00C561D4">
      <w:pPr>
        <w:numPr>
          <w:ilvl w:val="0"/>
          <w:numId w:val="508"/>
        </w:numPr>
        <w:autoSpaceDE w:val="0"/>
        <w:autoSpaceDN w:val="0"/>
        <w:adjustRightInd w:val="0"/>
        <w:spacing w:after="120"/>
        <w:rPr>
          <w:rFonts w:asciiTheme="majorHAnsi" w:hAnsiTheme="majorHAnsi" w:cs="Calibri"/>
          <w:color w:val="000000"/>
        </w:rPr>
      </w:pPr>
      <w:r w:rsidRPr="00B16A33">
        <w:rPr>
          <w:rFonts w:asciiTheme="majorHAnsi" w:hAnsiTheme="majorHAnsi" w:cs="Calibri"/>
          <w:color w:val="000000"/>
        </w:rPr>
        <w:t xml:space="preserve">D-130/201-501 Depot St. </w:t>
      </w:r>
      <w:r>
        <w:rPr>
          <w:rFonts w:asciiTheme="majorHAnsi" w:hAnsiTheme="majorHAnsi" w:cs="Calibri"/>
          <w:color w:val="000000"/>
        </w:rPr>
        <w:t>t</w:t>
      </w:r>
      <w:r w:rsidRPr="00B16A33">
        <w:rPr>
          <w:rFonts w:asciiTheme="majorHAnsi" w:hAnsiTheme="majorHAnsi" w:cs="Calibri"/>
          <w:color w:val="000000"/>
        </w:rPr>
        <w:t>ap</w:t>
      </w:r>
      <w:r>
        <w:rPr>
          <w:rFonts w:asciiTheme="majorHAnsi" w:hAnsiTheme="majorHAnsi" w:cs="Calibri"/>
          <w:color w:val="000000"/>
        </w:rPr>
        <w:t>–</w:t>
      </w:r>
      <w:r w:rsidRPr="00B16A33">
        <w:rPr>
          <w:rFonts w:asciiTheme="majorHAnsi" w:hAnsiTheme="majorHAnsi" w:cs="Calibri"/>
          <w:color w:val="000000"/>
        </w:rPr>
        <w:t xml:space="preserve">Medway 115 kV </w:t>
      </w:r>
      <w:r w:rsidR="0097702D">
        <w:rPr>
          <w:rFonts w:asciiTheme="majorHAnsi" w:hAnsiTheme="majorHAnsi" w:cs="Calibri"/>
          <w:color w:val="000000"/>
        </w:rPr>
        <w:t>(in service)</w:t>
      </w:r>
    </w:p>
    <w:p w:rsidR="00C561D4" w:rsidRDefault="00C561D4" w:rsidP="00C561D4">
      <w:pPr>
        <w:numPr>
          <w:ilvl w:val="0"/>
          <w:numId w:val="508"/>
        </w:numPr>
        <w:autoSpaceDE w:val="0"/>
        <w:autoSpaceDN w:val="0"/>
        <w:adjustRightInd w:val="0"/>
        <w:rPr>
          <w:rFonts w:asciiTheme="majorHAnsi" w:hAnsiTheme="majorHAnsi" w:cs="Calibri"/>
          <w:color w:val="000000"/>
        </w:rPr>
      </w:pPr>
      <w:r w:rsidRPr="00B16A33">
        <w:rPr>
          <w:rFonts w:asciiTheme="majorHAnsi" w:hAnsiTheme="majorHAnsi" w:cs="Calibri"/>
          <w:color w:val="000000"/>
        </w:rPr>
        <w:t>211-508 Woburn</w:t>
      </w:r>
      <w:r>
        <w:rPr>
          <w:rFonts w:asciiTheme="majorHAnsi" w:hAnsiTheme="majorHAnsi" w:cs="Calibri"/>
          <w:color w:val="000000"/>
        </w:rPr>
        <w:t>–</w:t>
      </w:r>
      <w:r w:rsidRPr="00B16A33">
        <w:rPr>
          <w:rFonts w:asciiTheme="majorHAnsi" w:hAnsiTheme="majorHAnsi" w:cs="Calibri"/>
          <w:color w:val="000000"/>
        </w:rPr>
        <w:t xml:space="preserve">Burlington 115 kV </w:t>
      </w:r>
      <w:r w:rsidR="0097702D">
        <w:rPr>
          <w:rFonts w:asciiTheme="majorHAnsi" w:hAnsiTheme="majorHAnsi" w:cs="Calibri"/>
          <w:color w:val="000000"/>
        </w:rPr>
        <w:t>(</w:t>
      </w:r>
      <w:r w:rsidR="00EF79FB">
        <w:rPr>
          <w:rFonts w:asciiTheme="majorHAnsi" w:hAnsiTheme="majorHAnsi" w:cs="Calibri"/>
          <w:color w:val="000000"/>
        </w:rPr>
        <w:t>a</w:t>
      </w:r>
      <w:r w:rsidR="0097702D">
        <w:rPr>
          <w:rFonts w:asciiTheme="majorHAnsi" w:hAnsiTheme="majorHAnsi" w:cs="Calibri"/>
          <w:color w:val="000000"/>
        </w:rPr>
        <w:t>nticipated in-service date is November 2014)</w:t>
      </w:r>
    </w:p>
    <w:p w:rsidR="00C561D4" w:rsidRPr="004F0061" w:rsidRDefault="00C561D4" w:rsidP="00C561D4">
      <w:pPr>
        <w:numPr>
          <w:ilvl w:val="1"/>
          <w:numId w:val="69"/>
        </w:numPr>
        <w:autoSpaceDE w:val="0"/>
        <w:autoSpaceDN w:val="0"/>
        <w:adjustRightInd w:val="0"/>
        <w:spacing w:after="120"/>
        <w:rPr>
          <w:rFonts w:asciiTheme="majorHAnsi" w:hAnsiTheme="majorHAnsi" w:cs="Calibri"/>
          <w:color w:val="000000"/>
        </w:rPr>
      </w:pPr>
      <w:r w:rsidRPr="004F0061">
        <w:rPr>
          <w:rFonts w:asciiTheme="majorHAnsi" w:hAnsiTheme="majorHAnsi" w:cs="Calibri"/>
          <w:color w:val="000000"/>
        </w:rPr>
        <w:t xml:space="preserve">New 115 kV </w:t>
      </w:r>
      <w:r>
        <w:rPr>
          <w:rFonts w:asciiTheme="majorHAnsi" w:hAnsiTheme="majorHAnsi" w:cs="Calibri"/>
          <w:color w:val="000000"/>
        </w:rPr>
        <w:t>l</w:t>
      </w:r>
      <w:r w:rsidRPr="004F0061">
        <w:rPr>
          <w:rFonts w:asciiTheme="majorHAnsi" w:hAnsiTheme="majorHAnsi" w:cs="Calibri"/>
          <w:color w:val="000000"/>
        </w:rPr>
        <w:t xml:space="preserve">ine </w:t>
      </w:r>
      <w:r>
        <w:rPr>
          <w:rFonts w:asciiTheme="majorHAnsi" w:hAnsiTheme="majorHAnsi" w:cs="Calibri"/>
          <w:color w:val="000000"/>
        </w:rPr>
        <w:t>a</w:t>
      </w:r>
      <w:r w:rsidRPr="004F0061">
        <w:rPr>
          <w:rFonts w:asciiTheme="majorHAnsi" w:hAnsiTheme="majorHAnsi" w:cs="Calibri"/>
          <w:color w:val="000000"/>
        </w:rPr>
        <w:t>ddition with switching station:</w:t>
      </w:r>
    </w:p>
    <w:p w:rsidR="00C561D4" w:rsidRPr="004F0061" w:rsidRDefault="00C561D4" w:rsidP="00C561D4">
      <w:pPr>
        <w:numPr>
          <w:ilvl w:val="0"/>
          <w:numId w:val="509"/>
        </w:numPr>
        <w:autoSpaceDE w:val="0"/>
        <w:autoSpaceDN w:val="0"/>
        <w:adjustRightInd w:val="0"/>
        <w:spacing w:after="120"/>
        <w:rPr>
          <w:rFonts w:asciiTheme="majorHAnsi" w:hAnsiTheme="majorHAnsi" w:cs="Calibri"/>
          <w:color w:val="000000"/>
        </w:rPr>
      </w:pPr>
      <w:r w:rsidRPr="004F0061">
        <w:rPr>
          <w:rFonts w:asciiTheme="majorHAnsi" w:hAnsiTheme="majorHAnsi" w:cs="Calibri"/>
          <w:color w:val="000000"/>
        </w:rPr>
        <w:t>447-502 West Walpole</w:t>
      </w:r>
      <w:r w:rsidRPr="00B16A33">
        <w:rPr>
          <w:rFonts w:asciiTheme="majorHAnsi" w:hAnsiTheme="majorHAnsi" w:cs="Calibri"/>
          <w:color w:val="000000"/>
        </w:rPr>
        <w:t>–</w:t>
      </w:r>
      <w:r w:rsidRPr="004F0061">
        <w:rPr>
          <w:rFonts w:asciiTheme="majorHAnsi" w:hAnsiTheme="majorHAnsi" w:cs="Calibri"/>
          <w:color w:val="000000"/>
        </w:rPr>
        <w:t>Holbrook 115 kV</w:t>
      </w:r>
    </w:p>
    <w:p w:rsidR="0079044C" w:rsidRDefault="00C561D4">
      <w:pPr>
        <w:numPr>
          <w:ilvl w:val="0"/>
          <w:numId w:val="509"/>
        </w:numPr>
        <w:autoSpaceDE w:val="0"/>
        <w:autoSpaceDN w:val="0"/>
        <w:adjustRightInd w:val="0"/>
        <w:rPr>
          <w:rFonts w:asciiTheme="majorHAnsi" w:hAnsiTheme="majorHAnsi" w:cs="Calibri"/>
          <w:color w:val="000000"/>
        </w:rPr>
      </w:pPr>
      <w:r w:rsidRPr="004F0061">
        <w:rPr>
          <w:rFonts w:asciiTheme="majorHAnsi" w:hAnsiTheme="majorHAnsi" w:cs="Calibri"/>
          <w:color w:val="000000"/>
        </w:rPr>
        <w:t>Three</w:t>
      </w:r>
      <w:r>
        <w:rPr>
          <w:rFonts w:asciiTheme="majorHAnsi" w:hAnsiTheme="majorHAnsi" w:cs="Calibri"/>
          <w:color w:val="000000"/>
        </w:rPr>
        <w:t>-</w:t>
      </w:r>
      <w:r w:rsidRPr="004F0061">
        <w:rPr>
          <w:rFonts w:asciiTheme="majorHAnsi" w:hAnsiTheme="majorHAnsi" w:cs="Calibri"/>
          <w:color w:val="000000"/>
        </w:rPr>
        <w:t>breaker switching station at Sharon sectionalizing the 447-502, 447-508, and 447-509 lines</w:t>
      </w:r>
      <w:r>
        <w:rPr>
          <w:rFonts w:asciiTheme="majorHAnsi" w:hAnsiTheme="majorHAnsi" w:cs="Calibri"/>
          <w:color w:val="000000"/>
        </w:rPr>
        <w:t>,</w:t>
      </w:r>
      <w:r w:rsidRPr="004F0061">
        <w:rPr>
          <w:rFonts w:asciiTheme="majorHAnsi" w:hAnsiTheme="majorHAnsi" w:cs="Calibri"/>
          <w:color w:val="000000"/>
        </w:rPr>
        <w:t xml:space="preserve"> West </w:t>
      </w:r>
      <w:r w:rsidR="007575E3" w:rsidRPr="004F0061">
        <w:rPr>
          <w:rFonts w:asciiTheme="majorHAnsi" w:hAnsiTheme="majorHAnsi" w:cs="Calibri"/>
          <w:color w:val="000000"/>
        </w:rPr>
        <w:t>Walpole</w:t>
      </w:r>
      <w:r w:rsidRPr="00B16A33">
        <w:rPr>
          <w:rFonts w:asciiTheme="majorHAnsi" w:hAnsiTheme="majorHAnsi" w:cs="Calibri"/>
          <w:color w:val="000000"/>
        </w:rPr>
        <w:t>–</w:t>
      </w:r>
      <w:r w:rsidRPr="004F0061">
        <w:rPr>
          <w:rFonts w:asciiTheme="majorHAnsi" w:hAnsiTheme="majorHAnsi" w:cs="Calibri"/>
          <w:color w:val="000000"/>
        </w:rPr>
        <w:t>Holbrook</w:t>
      </w:r>
    </w:p>
    <w:p w:rsidR="00C561D4" w:rsidRPr="004F0061" w:rsidRDefault="00C561D4" w:rsidP="00C561D4">
      <w:pPr>
        <w:numPr>
          <w:ilvl w:val="1"/>
          <w:numId w:val="69"/>
        </w:numPr>
        <w:autoSpaceDE w:val="0"/>
        <w:autoSpaceDN w:val="0"/>
        <w:adjustRightInd w:val="0"/>
        <w:spacing w:after="120"/>
        <w:rPr>
          <w:rFonts w:asciiTheme="majorHAnsi" w:hAnsiTheme="majorHAnsi" w:cs="Calibri"/>
          <w:color w:val="000000"/>
        </w:rPr>
      </w:pPr>
      <w:r w:rsidRPr="004F0061">
        <w:rPr>
          <w:rFonts w:asciiTheme="majorHAnsi" w:hAnsiTheme="majorHAnsi" w:cs="Calibri"/>
          <w:color w:val="000000"/>
        </w:rPr>
        <w:t>New autotransformer addition:</w:t>
      </w:r>
    </w:p>
    <w:p w:rsidR="00C561D4" w:rsidRPr="004F0061" w:rsidRDefault="00C561D4" w:rsidP="00C561D4">
      <w:pPr>
        <w:numPr>
          <w:ilvl w:val="0"/>
          <w:numId w:val="510"/>
        </w:numPr>
        <w:autoSpaceDE w:val="0"/>
        <w:autoSpaceDN w:val="0"/>
        <w:adjustRightInd w:val="0"/>
        <w:spacing w:after="0"/>
        <w:rPr>
          <w:rFonts w:asciiTheme="majorHAnsi" w:hAnsiTheme="majorHAnsi" w:cs="Calibri"/>
          <w:color w:val="000000"/>
        </w:rPr>
      </w:pPr>
      <w:r w:rsidRPr="004F0061">
        <w:rPr>
          <w:rFonts w:asciiTheme="majorHAnsi" w:hAnsiTheme="majorHAnsi" w:cs="Calibri"/>
          <w:color w:val="000000"/>
        </w:rPr>
        <w:t>230/115 kV autotransformer at Sudbury</w:t>
      </w:r>
    </w:p>
    <w:p w:rsidR="00C561D4" w:rsidRPr="004F0061" w:rsidRDefault="00C561D4" w:rsidP="00C561D4">
      <w:pPr>
        <w:numPr>
          <w:ilvl w:val="0"/>
          <w:numId w:val="512"/>
        </w:numPr>
        <w:spacing w:before="240" w:after="120"/>
        <w:rPr>
          <w:rFonts w:asciiTheme="majorHAnsi" w:hAnsiTheme="majorHAnsi"/>
        </w:rPr>
      </w:pPr>
      <w:r w:rsidRPr="004F0061">
        <w:rPr>
          <w:rFonts w:asciiTheme="majorHAnsi" w:hAnsiTheme="majorHAnsi"/>
        </w:rPr>
        <w:t xml:space="preserve">115 kV </w:t>
      </w:r>
      <w:r>
        <w:rPr>
          <w:rFonts w:asciiTheme="majorHAnsi" w:hAnsiTheme="majorHAnsi"/>
        </w:rPr>
        <w:t>c</w:t>
      </w:r>
      <w:r w:rsidRPr="004F0061">
        <w:rPr>
          <w:rFonts w:asciiTheme="majorHAnsi" w:hAnsiTheme="majorHAnsi"/>
        </w:rPr>
        <w:t>apacitor additions:</w:t>
      </w:r>
    </w:p>
    <w:p w:rsidR="00C561D4" w:rsidRPr="004F0061" w:rsidRDefault="00C561D4" w:rsidP="00C561D4">
      <w:pPr>
        <w:numPr>
          <w:ilvl w:val="0"/>
          <w:numId w:val="511"/>
        </w:numPr>
        <w:autoSpaceDE w:val="0"/>
        <w:autoSpaceDN w:val="0"/>
        <w:adjustRightInd w:val="0"/>
        <w:spacing w:after="120"/>
        <w:rPr>
          <w:rFonts w:asciiTheme="majorHAnsi" w:hAnsiTheme="majorHAnsi" w:cs="Calibri"/>
          <w:color w:val="000000"/>
        </w:rPr>
      </w:pPr>
      <w:r w:rsidRPr="004F0061">
        <w:rPr>
          <w:rFonts w:asciiTheme="majorHAnsi" w:hAnsiTheme="majorHAnsi" w:cs="Calibri"/>
          <w:color w:val="000000"/>
        </w:rPr>
        <w:t xml:space="preserve">A 115 kV </w:t>
      </w:r>
      <w:r w:rsidR="0097702D">
        <w:t>36.7</w:t>
      </w:r>
      <w:r w:rsidR="0097702D" w:rsidRPr="00C617E3">
        <w:t xml:space="preserve"> MVAR </w:t>
      </w:r>
      <w:r w:rsidRPr="004F0061">
        <w:rPr>
          <w:rFonts w:asciiTheme="majorHAnsi" w:hAnsiTheme="majorHAnsi" w:cs="Calibri"/>
          <w:color w:val="000000"/>
        </w:rPr>
        <w:t>capacitor bank at Hartwell</w:t>
      </w:r>
      <w:r w:rsidR="0097702D">
        <w:rPr>
          <w:rFonts w:asciiTheme="majorHAnsi" w:hAnsiTheme="majorHAnsi" w:cs="Calibri"/>
          <w:color w:val="000000"/>
        </w:rPr>
        <w:t xml:space="preserve"> (in service)</w:t>
      </w:r>
    </w:p>
    <w:p w:rsidR="00C561D4" w:rsidRDefault="00C561D4" w:rsidP="00C561D4">
      <w:pPr>
        <w:numPr>
          <w:ilvl w:val="0"/>
          <w:numId w:val="511"/>
        </w:numPr>
        <w:autoSpaceDE w:val="0"/>
        <w:autoSpaceDN w:val="0"/>
        <w:adjustRightInd w:val="0"/>
        <w:rPr>
          <w:rFonts w:asciiTheme="majorHAnsi" w:hAnsiTheme="majorHAnsi" w:cs="Calibri"/>
          <w:color w:val="000000"/>
        </w:rPr>
      </w:pPr>
      <w:r w:rsidRPr="004F0061">
        <w:rPr>
          <w:rFonts w:asciiTheme="majorHAnsi" w:hAnsiTheme="majorHAnsi" w:cs="Calibri"/>
          <w:color w:val="000000"/>
        </w:rPr>
        <w:t xml:space="preserve">A 115 kV </w:t>
      </w:r>
      <w:r w:rsidR="0097702D">
        <w:t>36.7</w:t>
      </w:r>
      <w:r w:rsidR="0097702D" w:rsidRPr="00C617E3">
        <w:t xml:space="preserve"> MVAR </w:t>
      </w:r>
      <w:r w:rsidRPr="004F0061">
        <w:rPr>
          <w:rFonts w:asciiTheme="majorHAnsi" w:hAnsiTheme="majorHAnsi" w:cs="Calibri"/>
          <w:color w:val="000000"/>
        </w:rPr>
        <w:t>capacitor bank at Chelsea</w:t>
      </w:r>
      <w:r w:rsidR="0097702D">
        <w:rPr>
          <w:rFonts w:asciiTheme="majorHAnsi" w:hAnsiTheme="majorHAnsi" w:cs="Calibri"/>
          <w:color w:val="000000"/>
        </w:rPr>
        <w:t xml:space="preserve"> (in service)</w:t>
      </w:r>
    </w:p>
    <w:p w:rsidR="0097702D" w:rsidRDefault="0097702D" w:rsidP="0097702D">
      <w:pPr>
        <w:numPr>
          <w:ilvl w:val="0"/>
          <w:numId w:val="512"/>
        </w:numPr>
        <w:spacing w:before="240" w:after="120"/>
        <w:rPr>
          <w:rFonts w:asciiTheme="majorHAnsi" w:hAnsiTheme="majorHAnsi" w:cs="Calibri"/>
          <w:color w:val="000000"/>
        </w:rPr>
      </w:pPr>
      <w:r>
        <w:rPr>
          <w:rFonts w:asciiTheme="majorHAnsi" w:hAnsiTheme="majorHAnsi" w:cs="Calibri"/>
          <w:color w:val="000000"/>
        </w:rPr>
        <w:t>115 kV station reconfigurations:</w:t>
      </w:r>
      <w:r>
        <w:rPr>
          <w:rStyle w:val="FootnoteReference"/>
          <w:color w:val="000000"/>
        </w:rPr>
        <w:footnoteReference w:id="220"/>
      </w:r>
    </w:p>
    <w:p w:rsidR="0097702D" w:rsidRDefault="0097702D" w:rsidP="0097702D">
      <w:pPr>
        <w:numPr>
          <w:ilvl w:val="0"/>
          <w:numId w:val="511"/>
        </w:numPr>
        <w:autoSpaceDE w:val="0"/>
        <w:autoSpaceDN w:val="0"/>
        <w:adjustRightInd w:val="0"/>
        <w:spacing w:after="120"/>
        <w:rPr>
          <w:rFonts w:asciiTheme="majorHAnsi" w:hAnsiTheme="majorHAnsi" w:cs="Calibri"/>
          <w:color w:val="000000"/>
        </w:rPr>
      </w:pPr>
      <w:r>
        <w:rPr>
          <w:rFonts w:asciiTheme="majorHAnsi" w:hAnsiTheme="majorHAnsi" w:cs="Calibri"/>
          <w:color w:val="000000"/>
        </w:rPr>
        <w:t xml:space="preserve">Swap the terminal locations of </w:t>
      </w:r>
      <w:r w:rsidRPr="001654A1">
        <w:rPr>
          <w:rFonts w:asciiTheme="majorHAnsi" w:hAnsiTheme="majorHAnsi" w:cs="Calibri"/>
          <w:color w:val="000000"/>
        </w:rPr>
        <w:t>the 329-530 North</w:t>
      </w:r>
      <w:r>
        <w:rPr>
          <w:rFonts w:asciiTheme="majorHAnsi" w:hAnsiTheme="majorHAnsi" w:cs="Calibri"/>
          <w:color w:val="000000"/>
        </w:rPr>
        <w:t xml:space="preserve"> Cambridge</w:t>
      </w:r>
      <w:r w:rsidR="00AA45A0">
        <w:rPr>
          <w:rFonts w:asciiTheme="majorHAnsi" w:hAnsiTheme="majorHAnsi" w:cs="Calibri"/>
          <w:color w:val="000000"/>
        </w:rPr>
        <w:t>–</w:t>
      </w:r>
      <w:r>
        <w:rPr>
          <w:rFonts w:asciiTheme="majorHAnsi" w:hAnsiTheme="majorHAnsi" w:cs="Calibri"/>
          <w:color w:val="000000"/>
        </w:rPr>
        <w:t xml:space="preserve">Brighton 115 kV </w:t>
      </w:r>
      <w:r w:rsidR="00AA45A0">
        <w:rPr>
          <w:rFonts w:asciiTheme="majorHAnsi" w:hAnsiTheme="majorHAnsi" w:cs="Calibri"/>
          <w:color w:val="000000"/>
        </w:rPr>
        <w:t>line and t</w:t>
      </w:r>
      <w:r>
        <w:rPr>
          <w:rFonts w:asciiTheme="majorHAnsi" w:hAnsiTheme="majorHAnsi" w:cs="Calibri"/>
          <w:color w:val="000000"/>
        </w:rPr>
        <w:t>ransformer #1 at North Cambridge</w:t>
      </w:r>
    </w:p>
    <w:p w:rsidR="0097702D" w:rsidRPr="00AA45A0" w:rsidRDefault="0097702D" w:rsidP="00AA45A0">
      <w:pPr>
        <w:numPr>
          <w:ilvl w:val="0"/>
          <w:numId w:val="511"/>
        </w:numPr>
        <w:autoSpaceDE w:val="0"/>
        <w:autoSpaceDN w:val="0"/>
        <w:adjustRightInd w:val="0"/>
        <w:rPr>
          <w:rFonts w:asciiTheme="majorHAnsi" w:hAnsiTheme="majorHAnsi" w:cs="Calibri"/>
          <w:color w:val="000000"/>
        </w:rPr>
      </w:pPr>
      <w:r>
        <w:rPr>
          <w:rFonts w:asciiTheme="majorHAnsi" w:hAnsiTheme="majorHAnsi" w:cs="Calibri"/>
          <w:color w:val="000000"/>
        </w:rPr>
        <w:t xml:space="preserve">Swap the terminal locations </w:t>
      </w:r>
      <w:r w:rsidRPr="001654A1">
        <w:rPr>
          <w:rFonts w:asciiTheme="majorHAnsi" w:hAnsiTheme="majorHAnsi" w:cs="Calibri"/>
          <w:color w:val="000000"/>
        </w:rPr>
        <w:t>of the 329-531 North</w:t>
      </w:r>
      <w:r>
        <w:rPr>
          <w:rFonts w:asciiTheme="majorHAnsi" w:hAnsiTheme="majorHAnsi" w:cs="Calibri"/>
          <w:color w:val="000000"/>
        </w:rPr>
        <w:t xml:space="preserve"> Cambridge</w:t>
      </w:r>
      <w:r w:rsidR="00AA45A0">
        <w:rPr>
          <w:rFonts w:asciiTheme="majorHAnsi" w:hAnsiTheme="majorHAnsi" w:cs="Calibri"/>
          <w:color w:val="000000"/>
        </w:rPr>
        <w:t>–</w:t>
      </w:r>
      <w:r>
        <w:rPr>
          <w:rFonts w:asciiTheme="majorHAnsi" w:hAnsiTheme="majorHAnsi" w:cs="Calibri"/>
          <w:color w:val="000000"/>
        </w:rPr>
        <w:t xml:space="preserve">Brighton 115 kV line and </w:t>
      </w:r>
      <w:r w:rsidR="00AA45A0">
        <w:rPr>
          <w:rFonts w:asciiTheme="majorHAnsi" w:hAnsiTheme="majorHAnsi" w:cs="Calibri"/>
          <w:color w:val="000000"/>
        </w:rPr>
        <w:t>t</w:t>
      </w:r>
      <w:r>
        <w:rPr>
          <w:rFonts w:asciiTheme="majorHAnsi" w:hAnsiTheme="majorHAnsi" w:cs="Calibri"/>
          <w:color w:val="000000"/>
        </w:rPr>
        <w:t>ransformer #4 at North Cambridge</w:t>
      </w:r>
    </w:p>
    <w:p w:rsidR="00C561D4" w:rsidRPr="00B16A33" w:rsidRDefault="00C561D4" w:rsidP="00EC1508">
      <w:pPr>
        <w:pStyle w:val="Bullet-Solid"/>
        <w:keepNext/>
        <w:keepLines/>
        <w:numPr>
          <w:ilvl w:val="0"/>
          <w:numId w:val="489"/>
        </w:numPr>
        <w:rPr>
          <w:b/>
        </w:rPr>
      </w:pPr>
      <w:r w:rsidRPr="00B16A33">
        <w:rPr>
          <w:b/>
        </w:rPr>
        <w:t xml:space="preserve">System </w:t>
      </w:r>
      <w:r>
        <w:rPr>
          <w:b/>
        </w:rPr>
        <w:t>m</w:t>
      </w:r>
      <w:r w:rsidRPr="00B16A33">
        <w:rPr>
          <w:b/>
        </w:rPr>
        <w:t>odeling</w:t>
      </w:r>
    </w:p>
    <w:p w:rsidR="00C561D4" w:rsidRDefault="00C561D4" w:rsidP="00EF06BF">
      <w:pPr>
        <w:keepNext/>
        <w:keepLines/>
        <w:ind w:left="720"/>
      </w:pPr>
      <w:r>
        <w:t xml:space="preserve">In 2012, a </w:t>
      </w:r>
      <w:r w:rsidRPr="00CE2DF7">
        <w:t xml:space="preserve">significant study adjustment </w:t>
      </w:r>
      <w:proofErr w:type="gramStart"/>
      <w:r w:rsidRPr="00CE2DF7">
        <w:t xml:space="preserve">was </w:t>
      </w:r>
      <w:r>
        <w:t>made</w:t>
      </w:r>
      <w:proofErr w:type="gramEnd"/>
      <w:r>
        <w:t xml:space="preserve"> to take into account </w:t>
      </w:r>
      <w:r w:rsidR="007575E3">
        <w:t xml:space="preserve">the </w:t>
      </w:r>
      <w:r>
        <w:t>updated ratings for the</w:t>
      </w:r>
      <w:r w:rsidRPr="00CE2DF7">
        <w:t xml:space="preserve"> underground cable systems in the Boston area.</w:t>
      </w:r>
      <w:r>
        <w:rPr>
          <w:rStyle w:val="FootnoteReference"/>
        </w:rPr>
        <w:footnoteReference w:id="221"/>
      </w:r>
    </w:p>
    <w:p w:rsidR="00C561D4" w:rsidRPr="002365DD" w:rsidRDefault="00C561D4" w:rsidP="00065CB2">
      <w:pPr>
        <w:pStyle w:val="Bullet-Solid"/>
        <w:numPr>
          <w:ilvl w:val="0"/>
          <w:numId w:val="0"/>
        </w:numPr>
        <w:spacing w:after="240"/>
        <w:ind w:left="720"/>
      </w:pPr>
      <w:r w:rsidRPr="002365DD">
        <w:t xml:space="preserve">The needs assessment results indicated a need to increase Boston import capability, as well as bolster the transmission system within the area, to serve the load reliably. </w:t>
      </w:r>
      <w:r w:rsidR="00065CB2">
        <w:t xml:space="preserve">Most </w:t>
      </w:r>
      <w:r w:rsidRPr="002365DD">
        <w:t xml:space="preserve">of the needs </w:t>
      </w:r>
      <w:r w:rsidR="00065CB2">
        <w:t xml:space="preserve">observed </w:t>
      </w:r>
      <w:r w:rsidRPr="002365DD">
        <w:t>in the 20</w:t>
      </w:r>
      <w:r w:rsidR="00065CB2">
        <w:t>18</w:t>
      </w:r>
      <w:r w:rsidRPr="002365DD">
        <w:t xml:space="preserve"> </w:t>
      </w:r>
      <w:r w:rsidR="003F1D43" w:rsidRPr="002365DD">
        <w:t>n</w:t>
      </w:r>
      <w:r w:rsidRPr="002365DD">
        <w:t xml:space="preserve">eeds </w:t>
      </w:r>
      <w:r w:rsidR="003F1D43" w:rsidRPr="002365DD">
        <w:t>a</w:t>
      </w:r>
      <w:r w:rsidRPr="002365DD">
        <w:t xml:space="preserve">ssessment </w:t>
      </w:r>
      <w:r w:rsidR="00065CB2">
        <w:t xml:space="preserve">also </w:t>
      </w:r>
      <w:proofErr w:type="gramStart"/>
      <w:r w:rsidRPr="002365DD">
        <w:t>were observed</w:t>
      </w:r>
      <w:proofErr w:type="gramEnd"/>
      <w:r w:rsidRPr="002365DD">
        <w:t xml:space="preserve"> in the 20</w:t>
      </w:r>
      <w:r w:rsidR="00065CB2">
        <w:t>23</w:t>
      </w:r>
      <w:r w:rsidRPr="002365DD">
        <w:t xml:space="preserve"> </w:t>
      </w:r>
      <w:r w:rsidR="003F1D43" w:rsidRPr="002365DD">
        <w:t>n</w:t>
      </w:r>
      <w:r w:rsidRPr="002365DD">
        <w:t xml:space="preserve">eeds </w:t>
      </w:r>
      <w:r w:rsidR="003F1D43" w:rsidRPr="002365DD">
        <w:t>a</w:t>
      </w:r>
      <w:r w:rsidRPr="002365DD">
        <w:t>ssessment</w:t>
      </w:r>
      <w:r w:rsidR="00065CB2">
        <w:t>, and m</w:t>
      </w:r>
      <w:r w:rsidRPr="002365DD">
        <w:t xml:space="preserve">ost of the reliability issues exist at the 2013 load levels. </w:t>
      </w:r>
    </w:p>
    <w:p w:rsidR="00C561D4" w:rsidRPr="002365DD" w:rsidRDefault="00C561D4" w:rsidP="00C561D4">
      <w:pPr>
        <w:pStyle w:val="Bullet-Solid"/>
        <w:numPr>
          <w:ilvl w:val="0"/>
          <w:numId w:val="0"/>
        </w:numPr>
        <w:spacing w:after="240"/>
      </w:pPr>
      <w:r w:rsidRPr="002365DD">
        <w:t xml:space="preserve">Additionally, as part of the 2023 </w:t>
      </w:r>
      <w:r w:rsidR="003F1D43" w:rsidRPr="002365DD">
        <w:t>n</w:t>
      </w:r>
      <w:r w:rsidRPr="002365DD">
        <w:t xml:space="preserve">eeds </w:t>
      </w:r>
      <w:r w:rsidR="003F1D43" w:rsidRPr="002365DD">
        <w:t>a</w:t>
      </w:r>
      <w:r w:rsidRPr="002365DD">
        <w:t xml:space="preserve">ssessment, a minimum load level study </w:t>
      </w:r>
      <w:proofErr w:type="gramStart"/>
      <w:r w:rsidRPr="002365DD">
        <w:t>was conducted</w:t>
      </w:r>
      <w:proofErr w:type="gramEnd"/>
      <w:r w:rsidRPr="002365DD">
        <w:t xml:space="preserve"> to assess the system under minimum load conditions. The results of this testing indicated the need for shunt reactive compensation in the study area to resolve high-voltage concerns.</w:t>
      </w:r>
    </w:p>
    <w:p w:rsidR="00C561D4" w:rsidRDefault="00C561D4" w:rsidP="00C561D4">
      <w:pPr>
        <w:pStyle w:val="Bullet-Solid"/>
        <w:numPr>
          <w:ilvl w:val="0"/>
          <w:numId w:val="0"/>
        </w:numPr>
        <w:spacing w:after="240"/>
      </w:pPr>
      <w:r w:rsidRPr="002365DD">
        <w:t xml:space="preserve">The 2023 </w:t>
      </w:r>
      <w:r w:rsidR="003F1D43" w:rsidRPr="002365DD">
        <w:t>n</w:t>
      </w:r>
      <w:r w:rsidRPr="002365DD">
        <w:t xml:space="preserve">eeds </w:t>
      </w:r>
      <w:r w:rsidR="003F1D43" w:rsidRPr="002365DD">
        <w:t>a</w:t>
      </w:r>
      <w:r w:rsidRPr="002365DD">
        <w:t>ssessment also found that two 115 kV substations in downtown Boston have short-circuit concerns and a few other study area substations had limited short-circuit margin.</w:t>
      </w:r>
      <w:r>
        <w:t xml:space="preserve"> </w:t>
      </w:r>
    </w:p>
    <w:p w:rsidR="00C561D4" w:rsidRDefault="006229A8" w:rsidP="00C561D4">
      <w:pPr>
        <w:pStyle w:val="Bullet-Solid"/>
        <w:numPr>
          <w:ilvl w:val="0"/>
          <w:numId w:val="0"/>
        </w:numPr>
        <w:spacing w:after="240"/>
      </w:pPr>
      <w:r w:rsidRPr="00EC1508">
        <w:t xml:space="preserve">The solutions study </w:t>
      </w:r>
      <w:r w:rsidR="00584CBF" w:rsidRPr="00EC1508">
        <w:t xml:space="preserve">update </w:t>
      </w:r>
      <w:r w:rsidRPr="00EC1508">
        <w:t>focused on developing solutions for three study subareas: northern (New Hampshire border to Boston, including the suburbs north of Boston), central (downtown Boston 115 kV system and the suburbs west of Boston), and southern (suburbs south of Boston). One of the two solutions utilized only AC system upgrades (AC Plan) while the other solution included a HVDC submarine cable (HVDC Plan). The result of the development of these two plans is a set of common upgrades included in both plans, a set of upgrades unique to the AC Plan, and a set of upgrades unique to the HVDC Plan. Both plans meet the reliability needs of the area.</w:t>
      </w:r>
    </w:p>
    <w:p w:rsidR="00C561D4" w:rsidRPr="0020370F" w:rsidRDefault="00C561D4" w:rsidP="00C561D4">
      <w:pPr>
        <w:pStyle w:val="Bullet-Solid"/>
        <w:numPr>
          <w:ilvl w:val="0"/>
          <w:numId w:val="0"/>
        </w:numPr>
        <w:spacing w:after="240"/>
      </w:pPr>
      <w:r w:rsidRPr="0020370F">
        <w:t xml:space="preserve">The common solution for the northern, southern, and central areas </w:t>
      </w:r>
      <w:proofErr w:type="gramStart"/>
      <w:r w:rsidRPr="0020370F">
        <w:t>have been identified</w:t>
      </w:r>
      <w:proofErr w:type="gramEnd"/>
      <w:r w:rsidRPr="0020370F">
        <w:t xml:space="preserve"> and are described below.</w:t>
      </w:r>
      <w:r w:rsidRPr="0020370F">
        <w:rPr>
          <w:rStyle w:val="FootnoteReference"/>
        </w:rPr>
        <w:footnoteReference w:id="222"/>
      </w:r>
      <w:r w:rsidRPr="0020370F">
        <w:t xml:space="preserve"> Note that these do not include the advanced projects included in the needs assessment base cases. </w:t>
      </w:r>
    </w:p>
    <w:p w:rsidR="00C561D4" w:rsidRDefault="00C561D4" w:rsidP="00C561D4">
      <w:pPr>
        <w:pStyle w:val="Bullet-Solid"/>
        <w:numPr>
          <w:ilvl w:val="0"/>
          <w:numId w:val="0"/>
        </w:numPr>
      </w:pPr>
      <w:r w:rsidRPr="00744F3E">
        <w:t xml:space="preserve">The </w:t>
      </w:r>
      <w:r>
        <w:t>common</w:t>
      </w:r>
      <w:r w:rsidRPr="00744F3E">
        <w:t xml:space="preserve"> transmission solution for the northern area includes the following elements (all in Massachusetts</w:t>
      </w:r>
      <w:r w:rsidR="00EA48ED">
        <w:t>,</w:t>
      </w:r>
      <w:r w:rsidRPr="00744F3E">
        <w:t xml:space="preserve"> except where </w:t>
      </w:r>
      <w:proofErr w:type="gramStart"/>
      <w:r w:rsidRPr="00744F3E">
        <w:t>indicated</w:t>
      </w:r>
      <w:proofErr w:type="gramEnd"/>
      <w:r w:rsidRPr="00744F3E">
        <w:t>):</w:t>
      </w:r>
    </w:p>
    <w:p w:rsidR="00C561D4" w:rsidRDefault="00C561D4" w:rsidP="00C561D4">
      <w:pPr>
        <w:pStyle w:val="Bullet-Solid"/>
        <w:numPr>
          <w:ilvl w:val="0"/>
          <w:numId w:val="221"/>
        </w:numPr>
        <w:ind w:left="720"/>
      </w:pPr>
      <w:r w:rsidRPr="00F57F75">
        <w:t>Line</w:t>
      </w:r>
      <w:r w:rsidRPr="00C36662">
        <w:t xml:space="preserve"> </w:t>
      </w:r>
      <w:proofErr w:type="spellStart"/>
      <w:r w:rsidRPr="00C36662">
        <w:t>reconductorings</w:t>
      </w:r>
      <w:proofErr w:type="spellEnd"/>
      <w:r w:rsidRPr="00C36662">
        <w:t xml:space="preserve"> on the 115 kV network in the North Shore </w:t>
      </w:r>
      <w:r w:rsidR="00BE5F48">
        <w:t>a</w:t>
      </w:r>
      <w:r w:rsidRPr="00C36662">
        <w:t>rea:</w:t>
      </w:r>
    </w:p>
    <w:p w:rsidR="00C561D4" w:rsidRPr="00953D29" w:rsidRDefault="00C561D4" w:rsidP="00C561D4">
      <w:pPr>
        <w:pStyle w:val="Bullet-Open"/>
        <w:numPr>
          <w:ilvl w:val="0"/>
          <w:numId w:val="314"/>
        </w:numPr>
        <w:ind w:left="1440"/>
      </w:pPr>
      <w:r w:rsidRPr="00953D29">
        <w:t xml:space="preserve">Y-151 Power St.–Dracut </w:t>
      </w:r>
      <w:r w:rsidR="006229A8" w:rsidRPr="00953D29">
        <w:t>Junction</w:t>
      </w:r>
      <w:r w:rsidRPr="00953D29">
        <w:t xml:space="preserve"> (part of the line is in NH)</w:t>
      </w:r>
    </w:p>
    <w:p w:rsidR="00C561D4" w:rsidRDefault="00C561D4" w:rsidP="00C561D4">
      <w:pPr>
        <w:pStyle w:val="Bullet-Open"/>
        <w:numPr>
          <w:ilvl w:val="0"/>
          <w:numId w:val="314"/>
        </w:numPr>
        <w:ind w:left="1440"/>
      </w:pPr>
      <w:r>
        <w:t>M-139 Tewksbury–Billerica 115 kV</w:t>
      </w:r>
    </w:p>
    <w:p w:rsidR="00C561D4" w:rsidRPr="00F57F75" w:rsidRDefault="00C561D4" w:rsidP="00C561D4">
      <w:pPr>
        <w:pStyle w:val="Bullet-Open"/>
        <w:numPr>
          <w:ilvl w:val="0"/>
          <w:numId w:val="314"/>
        </w:numPr>
        <w:spacing w:after="240"/>
        <w:ind w:left="1440"/>
      </w:pPr>
      <w:r>
        <w:t>F-158N Golden Hills–Maplewood</w:t>
      </w:r>
    </w:p>
    <w:p w:rsidR="00C561D4" w:rsidRPr="00F55870" w:rsidRDefault="00C561D4" w:rsidP="00C561D4">
      <w:r w:rsidRPr="00744F3E">
        <w:t xml:space="preserve">The </w:t>
      </w:r>
      <w:r>
        <w:t>common</w:t>
      </w:r>
      <w:r w:rsidRPr="00744F3E">
        <w:t xml:space="preserve"> transmission solution for the central area includes the following upgrades (all in Massachusetts):</w:t>
      </w:r>
    </w:p>
    <w:p w:rsidR="00C561D4" w:rsidRDefault="00C561D4" w:rsidP="00C561D4">
      <w:pPr>
        <w:pStyle w:val="Bullet-Solid"/>
        <w:numPr>
          <w:ilvl w:val="0"/>
          <w:numId w:val="221"/>
        </w:numPr>
        <w:ind w:left="720"/>
      </w:pPr>
      <w:r>
        <w:t>N</w:t>
      </w:r>
      <w:r w:rsidRPr="00771978">
        <w:t>ew 115 kV line</w:t>
      </w:r>
      <w:r>
        <w:t>s, as follows:</w:t>
      </w:r>
    </w:p>
    <w:p w:rsidR="00C561D4" w:rsidRPr="00F57F75" w:rsidRDefault="00C561D4" w:rsidP="00C561D4">
      <w:pPr>
        <w:pStyle w:val="Bullet-Solid"/>
        <w:numPr>
          <w:ilvl w:val="1"/>
          <w:numId w:val="221"/>
        </w:numPr>
        <w:ind w:left="1440"/>
      </w:pPr>
      <w:r w:rsidRPr="00F57F75">
        <w:t>From Sudbury to Hudson</w:t>
      </w:r>
    </w:p>
    <w:p w:rsidR="00C561D4" w:rsidRPr="00F57F75" w:rsidRDefault="00C561D4" w:rsidP="00C561D4">
      <w:pPr>
        <w:pStyle w:val="Bullet-Solid"/>
        <w:numPr>
          <w:ilvl w:val="1"/>
          <w:numId w:val="221"/>
        </w:numPr>
        <w:ind w:left="1440"/>
      </w:pPr>
      <w:r w:rsidRPr="00F57F75">
        <w:t>From Mystic to Chelsea</w:t>
      </w:r>
    </w:p>
    <w:p w:rsidR="00C561D4" w:rsidRDefault="00C561D4" w:rsidP="00C561D4">
      <w:pPr>
        <w:pStyle w:val="Bullet-Solid"/>
        <w:numPr>
          <w:ilvl w:val="0"/>
          <w:numId w:val="221"/>
        </w:numPr>
        <w:ind w:left="720"/>
      </w:pPr>
      <w:r>
        <w:t>New autotransformer additions as follows:</w:t>
      </w:r>
    </w:p>
    <w:p w:rsidR="00C561D4" w:rsidRDefault="00C561D4" w:rsidP="00C561D4">
      <w:pPr>
        <w:pStyle w:val="Bullet-Solid"/>
        <w:numPr>
          <w:ilvl w:val="1"/>
          <w:numId w:val="221"/>
        </w:numPr>
        <w:ind w:left="1440"/>
      </w:pPr>
      <w:r>
        <w:t>345/115 kV autotransformer at Woburn</w:t>
      </w:r>
    </w:p>
    <w:p w:rsidR="00C561D4" w:rsidRDefault="00C561D4" w:rsidP="00C561D4">
      <w:pPr>
        <w:pStyle w:val="Bullet-Solid"/>
        <w:numPr>
          <w:ilvl w:val="1"/>
          <w:numId w:val="221"/>
        </w:numPr>
        <w:ind w:left="1440"/>
      </w:pPr>
      <w:r w:rsidRPr="00F57F75">
        <w:t>345/115 kV autotransformer at Mystic</w:t>
      </w:r>
    </w:p>
    <w:p w:rsidR="00C561D4" w:rsidRDefault="00C561D4" w:rsidP="00C561D4">
      <w:pPr>
        <w:pStyle w:val="Bullet-Solid"/>
        <w:numPr>
          <w:ilvl w:val="0"/>
          <w:numId w:val="221"/>
        </w:numPr>
        <w:ind w:left="720"/>
      </w:pPr>
      <w:r>
        <w:t xml:space="preserve">New </w:t>
      </w:r>
      <w:r w:rsidR="00E60CEB">
        <w:t>c</w:t>
      </w:r>
      <w:r>
        <w:t>apacitor additions as follows:</w:t>
      </w:r>
    </w:p>
    <w:p w:rsidR="00C561D4" w:rsidRDefault="00C561D4" w:rsidP="00C561D4">
      <w:pPr>
        <w:pStyle w:val="Bullet-Solid"/>
        <w:numPr>
          <w:ilvl w:val="1"/>
          <w:numId w:val="221"/>
        </w:numPr>
        <w:ind w:left="1440"/>
      </w:pPr>
      <w:r>
        <w:t>3</w:t>
      </w:r>
      <w:r w:rsidRPr="00F57F75">
        <w:t xml:space="preserve">6.7 MVAR capacitor at </w:t>
      </w:r>
      <w:r>
        <w:t>Sudbury 115 kV</w:t>
      </w:r>
    </w:p>
    <w:p w:rsidR="00C561D4" w:rsidRDefault="00C561D4" w:rsidP="00C561D4">
      <w:pPr>
        <w:pStyle w:val="Bullet-Solid"/>
        <w:numPr>
          <w:ilvl w:val="1"/>
          <w:numId w:val="221"/>
        </w:numPr>
        <w:ind w:left="1440"/>
      </w:pPr>
      <w:r>
        <w:t xml:space="preserve"> 54 MVAR capacitor at Newton 115 kV</w:t>
      </w:r>
    </w:p>
    <w:p w:rsidR="00C561D4" w:rsidRDefault="00C561D4" w:rsidP="00C561D4">
      <w:pPr>
        <w:pStyle w:val="Bullet-Solid"/>
        <w:numPr>
          <w:ilvl w:val="0"/>
          <w:numId w:val="221"/>
        </w:numPr>
        <w:ind w:left="720"/>
        <w:rPr>
          <w:color w:val="auto"/>
        </w:rPr>
      </w:pPr>
      <w:r w:rsidRPr="005B7949">
        <w:rPr>
          <w:color w:val="auto"/>
        </w:rPr>
        <w:t xml:space="preserve">Reconfiguration of the </w:t>
      </w:r>
      <w:r>
        <w:rPr>
          <w:color w:val="auto"/>
        </w:rPr>
        <w:t xml:space="preserve">following substations that included breaker additions and line </w:t>
      </w:r>
      <w:proofErr w:type="spellStart"/>
      <w:r>
        <w:rPr>
          <w:color w:val="auto"/>
        </w:rPr>
        <w:t>reterminations</w:t>
      </w:r>
      <w:proofErr w:type="spellEnd"/>
      <w:r>
        <w:rPr>
          <w:color w:val="auto"/>
        </w:rPr>
        <w:t>:</w:t>
      </w:r>
    </w:p>
    <w:p w:rsidR="00C561D4" w:rsidRDefault="00C561D4" w:rsidP="00C561D4">
      <w:pPr>
        <w:pStyle w:val="Bullet-Solid"/>
        <w:numPr>
          <w:ilvl w:val="1"/>
          <w:numId w:val="221"/>
        </w:numPr>
        <w:ind w:left="1440"/>
      </w:pPr>
      <w:r w:rsidRPr="009C6EDC">
        <w:t>Waltham 115 kV substation</w:t>
      </w:r>
    </w:p>
    <w:p w:rsidR="00C561D4" w:rsidRPr="000A158A" w:rsidRDefault="00C561D4" w:rsidP="00C561D4">
      <w:pPr>
        <w:pStyle w:val="Bullet-Solid"/>
        <w:numPr>
          <w:ilvl w:val="1"/>
          <w:numId w:val="221"/>
        </w:numPr>
        <w:ind w:left="1440"/>
      </w:pPr>
      <w:r w:rsidRPr="000A158A">
        <w:t>North Cambridge 115 kV substation</w:t>
      </w:r>
    </w:p>
    <w:p w:rsidR="00C561D4" w:rsidRPr="000A158A" w:rsidRDefault="00C561D4" w:rsidP="00C561D4">
      <w:pPr>
        <w:pStyle w:val="Bullet-Solid"/>
        <w:numPr>
          <w:ilvl w:val="1"/>
          <w:numId w:val="221"/>
        </w:numPr>
        <w:ind w:left="1440"/>
      </w:pPr>
      <w:r w:rsidRPr="000A158A">
        <w:t>Kingston 115 kV substation</w:t>
      </w:r>
    </w:p>
    <w:p w:rsidR="00C561D4" w:rsidRPr="000A158A" w:rsidRDefault="00C561D4" w:rsidP="00C561D4">
      <w:pPr>
        <w:pStyle w:val="Bullet-Solid"/>
        <w:numPr>
          <w:ilvl w:val="1"/>
          <w:numId w:val="221"/>
        </w:numPr>
        <w:ind w:left="1440"/>
      </w:pPr>
      <w:r w:rsidRPr="000A158A">
        <w:t>Woburn 345 kV substation</w:t>
      </w:r>
    </w:p>
    <w:p w:rsidR="00C561D4" w:rsidRPr="000A158A" w:rsidRDefault="0007592E" w:rsidP="00C561D4">
      <w:pPr>
        <w:pStyle w:val="Bullet-Solid"/>
        <w:numPr>
          <w:ilvl w:val="1"/>
          <w:numId w:val="221"/>
        </w:numPr>
        <w:ind w:left="1440"/>
      </w:pPr>
      <w:r w:rsidRPr="000A158A">
        <w:t>K Street 115 kV substation</w:t>
      </w:r>
    </w:p>
    <w:p w:rsidR="00C561D4" w:rsidRDefault="00C561D4" w:rsidP="00C561D4">
      <w:pPr>
        <w:pStyle w:val="Bullet-Solid"/>
        <w:numPr>
          <w:ilvl w:val="0"/>
          <w:numId w:val="221"/>
        </w:numPr>
        <w:ind w:left="720"/>
        <w:rPr>
          <w:color w:val="auto"/>
        </w:rPr>
      </w:pPr>
      <w:r w:rsidRPr="005B7949">
        <w:rPr>
          <w:color w:val="auto"/>
        </w:rPr>
        <w:t xml:space="preserve">Separation of the </w:t>
      </w:r>
      <w:r>
        <w:rPr>
          <w:color w:val="auto"/>
        </w:rPr>
        <w:t xml:space="preserve">following </w:t>
      </w:r>
      <w:r w:rsidRPr="005B7949">
        <w:rPr>
          <w:color w:val="auto"/>
        </w:rPr>
        <w:t>double-circuit tower instances</w:t>
      </w:r>
      <w:r>
        <w:rPr>
          <w:color w:val="auto"/>
        </w:rPr>
        <w:t>:</w:t>
      </w:r>
    </w:p>
    <w:p w:rsidR="00C561D4" w:rsidRDefault="00C561D4" w:rsidP="00C561D4">
      <w:pPr>
        <w:pStyle w:val="Bullet-Solid"/>
        <w:numPr>
          <w:ilvl w:val="1"/>
          <w:numId w:val="221"/>
        </w:numPr>
        <w:ind w:left="1440"/>
      </w:pPr>
      <w:r w:rsidRPr="009C6EDC">
        <w:t>X-24/E-157W (Millbury–</w:t>
      </w:r>
      <w:proofErr w:type="spellStart"/>
      <w:r w:rsidRPr="009C6EDC">
        <w:t>Northboro</w:t>
      </w:r>
      <w:proofErr w:type="spellEnd"/>
      <w:r w:rsidRPr="009C6EDC">
        <w:t xml:space="preserve"> Rd</w:t>
      </w:r>
      <w:proofErr w:type="gramStart"/>
      <w:r w:rsidRPr="009C6EDC">
        <w:t>./</w:t>
      </w:r>
      <w:proofErr w:type="gramEnd"/>
      <w:r w:rsidRPr="009C6EDC">
        <w:t>Millbury–E. Main St.)</w:t>
      </w:r>
    </w:p>
    <w:p w:rsidR="00C561D4" w:rsidRDefault="00C561D4" w:rsidP="00C561D4">
      <w:pPr>
        <w:pStyle w:val="Bullet-Solid"/>
        <w:numPr>
          <w:ilvl w:val="1"/>
          <w:numId w:val="221"/>
        </w:numPr>
        <w:ind w:left="1440"/>
      </w:pPr>
      <w:r w:rsidRPr="009C6EDC">
        <w:t>F-158N/Q-169 DCT instance (Wakefield–Maplewood/Wakefield–Lynn)</w:t>
      </w:r>
    </w:p>
    <w:p w:rsidR="00C561D4" w:rsidRDefault="00C561D4" w:rsidP="00C561D4">
      <w:pPr>
        <w:pStyle w:val="Bullet-Solid"/>
        <w:numPr>
          <w:ilvl w:val="1"/>
          <w:numId w:val="221"/>
        </w:numPr>
        <w:ind w:left="1440"/>
      </w:pPr>
      <w:r w:rsidRPr="009C6EDC">
        <w:t>240-510/110-522 DCT (Baker St.–Needham)</w:t>
      </w:r>
    </w:p>
    <w:p w:rsidR="00C561D4" w:rsidRPr="00F55870" w:rsidRDefault="00C561D4" w:rsidP="00C561D4">
      <w:pPr>
        <w:pStyle w:val="Bullet-Solid"/>
        <w:numPr>
          <w:ilvl w:val="0"/>
          <w:numId w:val="221"/>
        </w:numPr>
        <w:ind w:left="720"/>
      </w:pPr>
      <w:r>
        <w:rPr>
          <w:color w:val="auto"/>
        </w:rPr>
        <w:t>Upgrades</w:t>
      </w:r>
      <w:r w:rsidRPr="00C36662">
        <w:t xml:space="preserve"> on the 69 kV network in the central area</w:t>
      </w:r>
    </w:p>
    <w:p w:rsidR="00C561D4" w:rsidRDefault="00C561D4" w:rsidP="00C561D4">
      <w:pPr>
        <w:pStyle w:val="Bullet-Open"/>
      </w:pPr>
      <w:r>
        <w:t>X-24 line refurbishment: Millbury–</w:t>
      </w:r>
      <w:proofErr w:type="spellStart"/>
      <w:r>
        <w:t>Northboro</w:t>
      </w:r>
      <w:proofErr w:type="spellEnd"/>
      <w:r>
        <w:t xml:space="preserve"> Rd.</w:t>
      </w:r>
    </w:p>
    <w:p w:rsidR="00C561D4" w:rsidRDefault="00C561D4" w:rsidP="00C561D4">
      <w:pPr>
        <w:pStyle w:val="Bullet-Open"/>
        <w:spacing w:after="240"/>
      </w:pPr>
      <w:r w:rsidRPr="00F57F75">
        <w:t>W23W:</w:t>
      </w:r>
      <w:r w:rsidRPr="00C36662">
        <w:t xml:space="preserve"> </w:t>
      </w:r>
      <w:proofErr w:type="spellStart"/>
      <w:r w:rsidRPr="00C36662">
        <w:t>Northboro</w:t>
      </w:r>
      <w:proofErr w:type="spellEnd"/>
      <w:r w:rsidRPr="00C36662">
        <w:t>–Woodside</w:t>
      </w:r>
    </w:p>
    <w:p w:rsidR="00C561D4" w:rsidRPr="00F55870" w:rsidRDefault="00C561D4" w:rsidP="00C561D4">
      <w:r w:rsidRPr="00744F3E">
        <w:t xml:space="preserve">The </w:t>
      </w:r>
      <w:r>
        <w:t>common</w:t>
      </w:r>
      <w:r w:rsidRPr="00744F3E">
        <w:t xml:space="preserve"> transmission solution for the </w:t>
      </w:r>
      <w:r>
        <w:t xml:space="preserve">southern </w:t>
      </w:r>
      <w:r w:rsidRPr="00744F3E">
        <w:t>area includes the following upgrade (all in Massachusetts):</w:t>
      </w:r>
    </w:p>
    <w:p w:rsidR="00C561D4" w:rsidRDefault="00C561D4" w:rsidP="001936CF">
      <w:pPr>
        <w:pStyle w:val="Bullet-Open"/>
      </w:pPr>
      <w:r>
        <w:t>A new 345 kV shunt reactor at Holbrook 345 kV substation</w:t>
      </w:r>
    </w:p>
    <w:p w:rsidR="00C561D4" w:rsidRDefault="00C561D4" w:rsidP="00C561D4">
      <w:pPr>
        <w:pStyle w:val="Bullet-Solid"/>
        <w:numPr>
          <w:ilvl w:val="0"/>
          <w:numId w:val="491"/>
        </w:numPr>
        <w:spacing w:after="240"/>
      </w:pPr>
      <w:r>
        <w:t>A new 345 kV breaker at Stoughton 345 kV substation</w:t>
      </w:r>
    </w:p>
    <w:p w:rsidR="00C561D4" w:rsidRDefault="00C561D4" w:rsidP="00C561D4">
      <w:pPr>
        <w:pStyle w:val="Bullet-Open"/>
        <w:numPr>
          <w:ilvl w:val="0"/>
          <w:numId w:val="0"/>
        </w:numPr>
        <w:spacing w:after="240"/>
      </w:pPr>
      <w:r w:rsidRPr="00744F3E">
        <w:t xml:space="preserve">The </w:t>
      </w:r>
      <w:r>
        <w:t>AC Plan and the HVDC Plan</w:t>
      </w:r>
      <w:r w:rsidRPr="00744F3E">
        <w:t xml:space="preserve"> </w:t>
      </w:r>
      <w:r>
        <w:t xml:space="preserve">each include a unique set of upgrades specific to each plan. </w:t>
      </w:r>
    </w:p>
    <w:p w:rsidR="00C561D4" w:rsidRDefault="00C561D4" w:rsidP="00C561D4">
      <w:pPr>
        <w:pStyle w:val="Bullet-Open"/>
        <w:numPr>
          <w:ilvl w:val="0"/>
          <w:numId w:val="0"/>
        </w:numPr>
        <w:spacing w:after="240"/>
      </w:pPr>
      <w:r>
        <w:t>The AC Plan includes two new 345 kV lines:</w:t>
      </w:r>
    </w:p>
    <w:p w:rsidR="00C561D4" w:rsidRDefault="00C561D4" w:rsidP="00C561D4">
      <w:pPr>
        <w:pStyle w:val="Bullet-Open"/>
        <w:numPr>
          <w:ilvl w:val="0"/>
          <w:numId w:val="492"/>
        </w:numPr>
      </w:pPr>
      <w:r>
        <w:t xml:space="preserve">A </w:t>
      </w:r>
      <w:proofErr w:type="spellStart"/>
      <w:r>
        <w:t>Scobie</w:t>
      </w:r>
      <w:proofErr w:type="spellEnd"/>
      <w:r>
        <w:t>–Tewksbury 345 kV line</w:t>
      </w:r>
    </w:p>
    <w:p w:rsidR="00C561D4" w:rsidRDefault="00C561D4" w:rsidP="00C561D4">
      <w:pPr>
        <w:pStyle w:val="Bullet-Open"/>
        <w:numPr>
          <w:ilvl w:val="0"/>
          <w:numId w:val="492"/>
        </w:numPr>
        <w:spacing w:after="240"/>
        <w:ind w:left="792"/>
      </w:pPr>
      <w:r>
        <w:t>A Wakefield–Woburn 345 kV underground line</w:t>
      </w:r>
    </w:p>
    <w:p w:rsidR="00C561D4" w:rsidRDefault="00C561D4" w:rsidP="00AA45A0">
      <w:r w:rsidRPr="00C0262F">
        <w:t xml:space="preserve">In </w:t>
      </w:r>
      <w:r w:rsidRPr="0004042D">
        <w:t xml:space="preserve">addition to the two 345 kV lines, a 115 kV cable will be installed in downtown Boston parallel to the existing 211-514 from Mystic to Woburn. Both cables </w:t>
      </w:r>
      <w:proofErr w:type="gramStart"/>
      <w:r w:rsidRPr="0004042D">
        <w:t>will be operated</w:t>
      </w:r>
      <w:proofErr w:type="gramEnd"/>
      <w:r w:rsidRPr="0004042D">
        <w:t xml:space="preserve"> as a single circuit. The plan includes several 115 kV </w:t>
      </w:r>
      <w:proofErr w:type="spellStart"/>
      <w:r w:rsidRPr="0004042D">
        <w:t>reconductorings</w:t>
      </w:r>
      <w:proofErr w:type="spellEnd"/>
      <w:r w:rsidRPr="0004042D">
        <w:t xml:space="preserve"> in the northern and western subareas. The short-circuit mitigation plan, as a part of the AC Plan, involved opening the terminals of four 115 kV cables in downtown Boston, which resulted in these cables being energized </w:t>
      </w:r>
      <w:proofErr w:type="spellStart"/>
      <w:r w:rsidRPr="0004042D">
        <w:t>radially</w:t>
      </w:r>
      <w:proofErr w:type="spellEnd"/>
      <w:r w:rsidRPr="0004042D">
        <w:t xml:space="preserve">. Additionally, two 345 kV shunt reactors would be required to be installed at the Wakefield and Woburn substations to resolve the high-voltage issues observed at minimum load. A dynamic reactive device </w:t>
      </w:r>
      <w:proofErr w:type="gramStart"/>
      <w:r w:rsidRPr="0004042D">
        <w:t>will also be required to be added</w:t>
      </w:r>
      <w:proofErr w:type="gramEnd"/>
      <w:r w:rsidRPr="0004042D">
        <w:t xml:space="preserve"> in Maine to achieve acceptable stability performance.</w:t>
      </w:r>
    </w:p>
    <w:p w:rsidR="00C561D4" w:rsidRPr="00C0262F" w:rsidRDefault="00C561D4" w:rsidP="00C561D4">
      <w:pPr>
        <w:pStyle w:val="Bullet-Open"/>
        <w:numPr>
          <w:ilvl w:val="0"/>
          <w:numId w:val="0"/>
        </w:numPr>
        <w:jc w:val="both"/>
      </w:pPr>
      <w:r w:rsidRPr="00C0262F">
        <w:t>The HVDC Plan includes:</w:t>
      </w:r>
    </w:p>
    <w:p w:rsidR="00C561D4" w:rsidRPr="00C0262F" w:rsidRDefault="00C561D4" w:rsidP="00C561D4">
      <w:pPr>
        <w:pStyle w:val="Bullet-Open"/>
        <w:numPr>
          <w:ilvl w:val="0"/>
          <w:numId w:val="494"/>
        </w:numPr>
        <w:ind w:left="763"/>
        <w:jc w:val="both"/>
      </w:pPr>
      <w:r w:rsidRPr="00C0262F">
        <w:t xml:space="preserve">A 520 </w:t>
      </w:r>
      <w:r w:rsidRPr="002A79F1">
        <w:t>MW HVDC cable between the Seabrook 345 kV station and the Mystic 115 kV station and an associated converter station at each location</w:t>
      </w:r>
      <w:r w:rsidRPr="00C0262F">
        <w:t xml:space="preserve"> </w:t>
      </w:r>
    </w:p>
    <w:p w:rsidR="00C561D4" w:rsidRDefault="00C561D4" w:rsidP="00C561D4">
      <w:pPr>
        <w:pStyle w:val="Bullet-Open"/>
        <w:numPr>
          <w:ilvl w:val="0"/>
          <w:numId w:val="494"/>
        </w:numPr>
        <w:spacing w:after="240"/>
        <w:ind w:left="763"/>
        <w:jc w:val="both"/>
      </w:pPr>
      <w:proofErr w:type="spellStart"/>
      <w:r w:rsidRPr="00C0262F">
        <w:t>Reconductoring</w:t>
      </w:r>
      <w:proofErr w:type="spellEnd"/>
      <w:r w:rsidRPr="00C0262F">
        <w:t xml:space="preserve"> of the 345 kV 337 line betwee</w:t>
      </w:r>
      <w:r w:rsidR="003F1D43">
        <w:t>n</w:t>
      </w:r>
      <w:r w:rsidRPr="00C0262F">
        <w:t xml:space="preserve"> Sandy Pond and Tewksbury </w:t>
      </w:r>
    </w:p>
    <w:p w:rsidR="00C561D4" w:rsidRPr="00C0262F" w:rsidRDefault="00C561D4" w:rsidP="00C561D4">
      <w:pPr>
        <w:pStyle w:val="Bullet-Open"/>
        <w:numPr>
          <w:ilvl w:val="0"/>
          <w:numId w:val="0"/>
        </w:numPr>
      </w:pPr>
      <w:r w:rsidRPr="00C0262F">
        <w:t xml:space="preserve">Along with this upgrade, </w:t>
      </w:r>
      <w:r w:rsidR="00EA48ED">
        <w:t xml:space="preserve">the northern subarea requires </w:t>
      </w:r>
      <w:r w:rsidRPr="00C0262F">
        <w:t>some terminal equipment additions</w:t>
      </w:r>
      <w:r w:rsidR="00EA48ED">
        <w:t xml:space="preserve"> and </w:t>
      </w:r>
      <w:r w:rsidRPr="00C0262F">
        <w:t>replacements and a</w:t>
      </w:r>
      <w:r>
        <w:t>n</w:t>
      </w:r>
      <w:r w:rsidRPr="00C0262F">
        <w:t xml:space="preserve"> additional 115 kV </w:t>
      </w:r>
      <w:proofErr w:type="spellStart"/>
      <w:r w:rsidRPr="0004042D">
        <w:t>reconductoring</w:t>
      </w:r>
      <w:proofErr w:type="spellEnd"/>
      <w:r w:rsidRPr="0004042D">
        <w:t>. The short-circuit mitigation plan as a part of the</w:t>
      </w:r>
      <w:r w:rsidRPr="00C0262F">
        <w:t xml:space="preserve"> HVDC Plan involves a major reconfiguration of the Mystic 115 kV substation. The substation </w:t>
      </w:r>
      <w:proofErr w:type="gramStart"/>
      <w:r w:rsidRPr="00C0262F">
        <w:t>will be operated</w:t>
      </w:r>
      <w:proofErr w:type="gramEnd"/>
      <w:r w:rsidRPr="00C0262F">
        <w:t xml:space="preserve"> as two independent switchyards:</w:t>
      </w:r>
    </w:p>
    <w:p w:rsidR="00C561D4" w:rsidRDefault="00C561D4" w:rsidP="00C561D4">
      <w:pPr>
        <w:pStyle w:val="Bullet-Open"/>
        <w:numPr>
          <w:ilvl w:val="0"/>
          <w:numId w:val="493"/>
        </w:numPr>
      </w:pPr>
      <w:r>
        <w:t xml:space="preserve">One of the switchyards will consist of five 115 kV cables that connect Mystic to downtown Boston and include the interconnection point of the HVDC injection. The distribution transformers at Mystic </w:t>
      </w:r>
      <w:proofErr w:type="gramStart"/>
      <w:r>
        <w:t>will be connected</w:t>
      </w:r>
      <w:proofErr w:type="gramEnd"/>
      <w:r>
        <w:t xml:space="preserve"> to this switchyard.</w:t>
      </w:r>
    </w:p>
    <w:p w:rsidR="00C561D4" w:rsidRPr="0092551F" w:rsidRDefault="00C561D4" w:rsidP="00C561D4">
      <w:pPr>
        <w:pStyle w:val="Bullet-Open"/>
        <w:numPr>
          <w:ilvl w:val="0"/>
          <w:numId w:val="493"/>
        </w:numPr>
        <w:spacing w:after="240"/>
        <w:ind w:left="749"/>
      </w:pPr>
      <w:r>
        <w:t>All other 115 kV equipment, including the 345/115 kV transformers, will be connected in a separate switchyard. These include the</w:t>
      </w:r>
      <w:r w:rsidRPr="00C0262F">
        <w:t xml:space="preserve"> Mystic 115 kV generation </w:t>
      </w:r>
      <w:r>
        <w:t xml:space="preserve">and the three </w:t>
      </w:r>
      <w:r w:rsidR="00E96664">
        <w:t>115 </w:t>
      </w:r>
      <w:r>
        <w:t xml:space="preserve">kV cables </w:t>
      </w:r>
      <w:r w:rsidRPr="0092551F">
        <w:t>between Mystic to the North Shore area.</w:t>
      </w:r>
    </w:p>
    <w:p w:rsidR="00AB515F" w:rsidRDefault="00C561D4" w:rsidP="00AB515F">
      <w:pPr>
        <w:pStyle w:val="Bullet-Solid"/>
        <w:numPr>
          <w:ilvl w:val="0"/>
          <w:numId w:val="0"/>
        </w:numPr>
        <w:spacing w:after="240"/>
      </w:pPr>
      <w:r w:rsidRPr="0092551F">
        <w:t xml:space="preserve">The ISO is reviewing the merits of </w:t>
      </w:r>
      <w:r w:rsidR="0092551F" w:rsidRPr="0092551F">
        <w:t>the</w:t>
      </w:r>
      <w:r w:rsidR="0092551F">
        <w:t xml:space="preserve"> AC and HVDC </w:t>
      </w:r>
      <w:r w:rsidR="0092551F" w:rsidRPr="0092551F">
        <w:t>plans</w:t>
      </w:r>
      <w:r w:rsidRPr="0092551F">
        <w:t>, which includes an independent review of the cost of each alternative to ensure that the most cost</w:t>
      </w:r>
      <w:r w:rsidR="00AB515F" w:rsidRPr="0092551F">
        <w:t>-</w:t>
      </w:r>
      <w:r w:rsidRPr="0092551F">
        <w:t xml:space="preserve">effective solution </w:t>
      </w:r>
      <w:proofErr w:type="gramStart"/>
      <w:r w:rsidRPr="0092551F">
        <w:t>is selected</w:t>
      </w:r>
      <w:proofErr w:type="gramEnd"/>
      <w:r w:rsidRPr="0092551F">
        <w:t xml:space="preserve"> for the Greater Boston area. </w:t>
      </w:r>
      <w:r w:rsidR="00AA45A0" w:rsidRPr="0092551F">
        <w:t>The cost</w:t>
      </w:r>
      <w:r w:rsidR="00AA45A0">
        <w:t xml:space="preserve"> estimates </w:t>
      </w:r>
      <w:r w:rsidR="00EC1508">
        <w:t xml:space="preserve">submitted </w:t>
      </w:r>
      <w:r w:rsidR="00AA45A0">
        <w:t xml:space="preserve">for all plans </w:t>
      </w:r>
      <w:proofErr w:type="gramStart"/>
      <w:r w:rsidR="00AA45A0">
        <w:t>were presented</w:t>
      </w:r>
      <w:proofErr w:type="gramEnd"/>
      <w:r w:rsidR="00AA45A0">
        <w:t xml:space="preserve"> at the June 2014 PAC meeting.</w:t>
      </w:r>
      <w:r w:rsidR="00AA45A0">
        <w:rPr>
          <w:rStyle w:val="FootnoteReference"/>
        </w:rPr>
        <w:footnoteReference w:id="223"/>
      </w:r>
      <w:r w:rsidR="0092551F">
        <w:t xml:space="preserve"> The cost estimates are undergoing further review.</w:t>
      </w:r>
    </w:p>
    <w:p w:rsidR="00C561D4" w:rsidRPr="00F55870" w:rsidRDefault="00C561D4" w:rsidP="00C561D4">
      <w:r w:rsidRPr="00C36662">
        <w:rPr>
          <w:b/>
          <w:i/>
        </w:rPr>
        <w:t>Berkshire County/Pittsfield area:</w:t>
      </w:r>
      <w:r w:rsidRPr="00C36662">
        <w:t xml:space="preserve"> The completed </w:t>
      </w:r>
      <w:r w:rsidRPr="0002392C">
        <w:t>solutions study for this area describes the area’s final transmission solution, which consists of the upgrades</w:t>
      </w:r>
      <w:r>
        <w:t xml:space="preserve"> listed below.</w:t>
      </w:r>
      <w:r w:rsidRPr="0002392C">
        <w:rPr>
          <w:rStyle w:val="FootnoteReference"/>
        </w:rPr>
        <w:footnoteReference w:id="224"/>
      </w:r>
      <w:r w:rsidRPr="0002392C">
        <w:t xml:space="preserve"> </w:t>
      </w:r>
      <w:r>
        <w:t xml:space="preserve">An updated reassessment of the needs, accounting for updates to the load forecast and changes in resources and energy efficiency, </w:t>
      </w:r>
      <w:proofErr w:type="gramStart"/>
      <w:r>
        <w:t xml:space="preserve">has been </w:t>
      </w:r>
      <w:r w:rsidRPr="007C62EC">
        <w:t>completed</w:t>
      </w:r>
      <w:proofErr w:type="gramEnd"/>
      <w:r>
        <w:t>,</w:t>
      </w:r>
      <w:r w:rsidRPr="007C62EC">
        <w:t xml:space="preserve"> </w:t>
      </w:r>
      <w:r>
        <w:t xml:space="preserve">which shows that most of the </w:t>
      </w:r>
      <w:r w:rsidRPr="00EC6E3A">
        <w:t xml:space="preserve">needs </w:t>
      </w:r>
      <w:r w:rsidR="00113C54" w:rsidRPr="00113C54">
        <w:t>existed before 2013 at the load levels of that year:</w:t>
      </w:r>
      <w:r w:rsidRPr="00EC6E3A">
        <w:rPr>
          <w:rStyle w:val="FootnoteReference"/>
        </w:rPr>
        <w:footnoteReference w:id="225"/>
      </w:r>
    </w:p>
    <w:p w:rsidR="00C561D4" w:rsidRPr="007A5D44" w:rsidRDefault="00C561D4" w:rsidP="00C561D4">
      <w:pPr>
        <w:pStyle w:val="Bullet-Solid"/>
        <w:numPr>
          <w:ilvl w:val="0"/>
          <w:numId w:val="319"/>
        </w:numPr>
        <w:rPr>
          <w:color w:val="auto"/>
        </w:rPr>
      </w:pPr>
      <w:r w:rsidRPr="00F57F75">
        <w:t>Expand and reconfigure Northfield Mountain 345 kV substation, and install a 345/</w:t>
      </w:r>
      <w:r w:rsidR="00E96664" w:rsidRPr="00F57F75">
        <w:t>115</w:t>
      </w:r>
      <w:r w:rsidR="00E96664">
        <w:t> </w:t>
      </w:r>
      <w:r w:rsidRPr="00F57F75">
        <w:t xml:space="preserve">kV </w:t>
      </w:r>
      <w:r w:rsidRPr="007A5D44">
        <w:rPr>
          <w:color w:val="auto"/>
        </w:rPr>
        <w:t>autotransformer</w:t>
      </w:r>
    </w:p>
    <w:p w:rsidR="00C561D4" w:rsidRPr="007A5D44" w:rsidRDefault="00C561D4" w:rsidP="00C561D4">
      <w:pPr>
        <w:pStyle w:val="Bullet-Solid"/>
        <w:numPr>
          <w:ilvl w:val="0"/>
          <w:numId w:val="319"/>
        </w:numPr>
        <w:rPr>
          <w:color w:val="auto"/>
        </w:rPr>
      </w:pPr>
      <w:r w:rsidRPr="007A5D44">
        <w:rPr>
          <w:color w:val="auto"/>
        </w:rPr>
        <w:t xml:space="preserve">Build a three-breaker ring-bus switching station in Erving adjacent to the A127/B128 (Harriman–Millbury/Harriman–Millbury) right-of-way </w:t>
      </w:r>
    </w:p>
    <w:p w:rsidR="00C561D4" w:rsidRPr="00F57F75" w:rsidRDefault="00C561D4" w:rsidP="00C561D4">
      <w:pPr>
        <w:pStyle w:val="Bullet-Solid"/>
        <w:numPr>
          <w:ilvl w:val="0"/>
          <w:numId w:val="319"/>
        </w:numPr>
      </w:pPr>
      <w:r w:rsidRPr="00F57F75">
        <w:t xml:space="preserve">Build a new 1.2 mile 115 kV single-circuit line connecting the new Northfield </w:t>
      </w:r>
      <w:r>
        <w:t xml:space="preserve">345/115 kV </w:t>
      </w:r>
      <w:r w:rsidRPr="00F57F75">
        <w:t>autotransformer to the new Erving switching station</w:t>
      </w:r>
    </w:p>
    <w:p w:rsidR="00C561D4" w:rsidRPr="00F57F75" w:rsidRDefault="00C561D4" w:rsidP="00C561D4">
      <w:pPr>
        <w:pStyle w:val="Bullet-Solid"/>
        <w:numPr>
          <w:ilvl w:val="0"/>
          <w:numId w:val="319"/>
        </w:numPr>
      </w:pPr>
      <w:r w:rsidRPr="00F57F75">
        <w:t>Rebuild the 115 kV 1361 line (Montague–Cumberland)</w:t>
      </w:r>
    </w:p>
    <w:p w:rsidR="00C561D4" w:rsidRPr="00F57F75" w:rsidRDefault="00C561D4" w:rsidP="00C561D4">
      <w:pPr>
        <w:pStyle w:val="Bullet-Solid"/>
        <w:numPr>
          <w:ilvl w:val="0"/>
          <w:numId w:val="319"/>
        </w:numPr>
      </w:pPr>
      <w:r w:rsidRPr="00F57F75">
        <w:t xml:space="preserve">Loop the 115 kV A127 (Harriman–Millbury 115 kV) line into the new Erving switching station, and </w:t>
      </w:r>
      <w:proofErr w:type="spellStart"/>
      <w:r w:rsidRPr="00F57F75">
        <w:t>reconductor</w:t>
      </w:r>
      <w:proofErr w:type="spellEnd"/>
      <w:r w:rsidRPr="00F57F75">
        <w:t xml:space="preserve"> the A127 line from Erving to the Cabot tap (on the way to Harriman substation)</w:t>
      </w:r>
    </w:p>
    <w:p w:rsidR="00C561D4" w:rsidRPr="00F57F75" w:rsidRDefault="00C561D4" w:rsidP="00C561D4">
      <w:pPr>
        <w:pStyle w:val="Bullet-Solid"/>
        <w:numPr>
          <w:ilvl w:val="0"/>
          <w:numId w:val="319"/>
        </w:numPr>
      </w:pPr>
      <w:r w:rsidRPr="00F57F75">
        <w:t>Disconnect Montague from the 115 kV B128 line at Cabot Junction, and reconnect to the A127 line (Harriman–Millbury)</w:t>
      </w:r>
    </w:p>
    <w:p w:rsidR="00C561D4" w:rsidRPr="00F57F75" w:rsidRDefault="00C561D4" w:rsidP="00C561D4">
      <w:pPr>
        <w:pStyle w:val="Bullet-Solid"/>
        <w:numPr>
          <w:ilvl w:val="0"/>
          <w:numId w:val="319"/>
        </w:numPr>
      </w:pPr>
      <w:r w:rsidRPr="00F57F75">
        <w:t>Remove the sag limitation on the 115 kV 1421 and 1512 lines (Pleasant–</w:t>
      </w:r>
      <w:proofErr w:type="spellStart"/>
      <w:r w:rsidRPr="00F57F75">
        <w:t>Blandford</w:t>
      </w:r>
      <w:proofErr w:type="spellEnd"/>
      <w:r w:rsidRPr="00F57F75">
        <w:t>–Granville Junction)</w:t>
      </w:r>
    </w:p>
    <w:p w:rsidR="00C561D4" w:rsidRPr="00F57F75" w:rsidRDefault="00C561D4" w:rsidP="00C561D4">
      <w:pPr>
        <w:pStyle w:val="Bullet-Solid"/>
        <w:numPr>
          <w:ilvl w:val="0"/>
          <w:numId w:val="319"/>
        </w:numPr>
      </w:pPr>
      <w:r w:rsidRPr="00F57F75">
        <w:t>Rebuild the 115 kV A127/Y177 double-circuit line from Montague to Cabot Junction on single-circuit structures</w:t>
      </w:r>
    </w:p>
    <w:p w:rsidR="00C561D4" w:rsidRPr="00F57F75" w:rsidRDefault="00C561D4" w:rsidP="00C561D4">
      <w:pPr>
        <w:pStyle w:val="Bullet-Solid"/>
        <w:numPr>
          <w:ilvl w:val="0"/>
          <w:numId w:val="319"/>
        </w:numPr>
      </w:pPr>
      <w:r w:rsidRPr="00F57F75">
        <w:t>Reconnect the Y177 line into the 3T/4T position at Montague substation</w:t>
      </w:r>
    </w:p>
    <w:p w:rsidR="00C561D4" w:rsidRPr="00F57F75" w:rsidRDefault="00C561D4" w:rsidP="00C561D4">
      <w:pPr>
        <w:pStyle w:val="Bullet-Solid"/>
        <w:numPr>
          <w:ilvl w:val="0"/>
          <w:numId w:val="319"/>
        </w:numPr>
      </w:pPr>
      <w:r w:rsidRPr="00F57F75">
        <w:t xml:space="preserve">Install 115 kV capacitors at </w:t>
      </w:r>
      <w:proofErr w:type="spellStart"/>
      <w:r w:rsidRPr="00F57F75">
        <w:t>Podick</w:t>
      </w:r>
      <w:proofErr w:type="spellEnd"/>
      <w:r w:rsidRPr="00F57F75">
        <w:t>, Amherst, and Cumberland substations</w:t>
      </w:r>
    </w:p>
    <w:p w:rsidR="00C561D4" w:rsidRPr="00953D29" w:rsidRDefault="00C561D4" w:rsidP="00C561D4">
      <w:pPr>
        <w:pStyle w:val="Bullet-Solid"/>
        <w:numPr>
          <w:ilvl w:val="0"/>
          <w:numId w:val="319"/>
        </w:numPr>
      </w:pPr>
      <w:r w:rsidRPr="00953D29">
        <w:t xml:space="preserve">Install a </w:t>
      </w:r>
      <w:r w:rsidR="006229A8" w:rsidRPr="00953D29">
        <w:t>bus-tie</w:t>
      </w:r>
      <w:r w:rsidRPr="00953D29">
        <w:t xml:space="preserve"> breaker between buses 1 and 2 at Harriman substation</w:t>
      </w:r>
    </w:p>
    <w:p w:rsidR="00C561D4" w:rsidRPr="00F55870" w:rsidRDefault="00C561D4" w:rsidP="00C561D4">
      <w:pPr>
        <w:pStyle w:val="Bullet-Solid"/>
        <w:numPr>
          <w:ilvl w:val="0"/>
          <w:numId w:val="319"/>
        </w:numPr>
        <w:spacing w:after="240"/>
      </w:pPr>
      <w:r w:rsidRPr="00DE1967">
        <w:t xml:space="preserve">Replace five air-break disconnect switches on the A127E line between Erving and </w:t>
      </w:r>
      <w:proofErr w:type="spellStart"/>
      <w:r w:rsidRPr="00DE1967">
        <w:t>Barre</w:t>
      </w:r>
      <w:proofErr w:type="spellEnd"/>
    </w:p>
    <w:p w:rsidR="00C561D4" w:rsidRDefault="00C561D4" w:rsidP="00C561D4">
      <w:pPr>
        <w:pStyle w:val="Bullet-Solid"/>
        <w:numPr>
          <w:ilvl w:val="0"/>
          <w:numId w:val="0"/>
        </w:numPr>
        <w:spacing w:after="240"/>
      </w:pPr>
      <w:r>
        <w:t xml:space="preserve">The </w:t>
      </w:r>
      <w:r w:rsidRPr="0002392C">
        <w:t>recently completed needs reassessment</w:t>
      </w:r>
      <w:r>
        <w:t xml:space="preserve"> shows no further need for the following solution components</w:t>
      </w:r>
      <w:r w:rsidRPr="0002392C">
        <w:t>:</w:t>
      </w:r>
    </w:p>
    <w:p w:rsidR="00C561D4" w:rsidRDefault="00C561D4" w:rsidP="00C561D4">
      <w:pPr>
        <w:pStyle w:val="Bullet-Solid"/>
        <w:numPr>
          <w:ilvl w:val="0"/>
          <w:numId w:val="319"/>
        </w:numPr>
      </w:pPr>
      <w:proofErr w:type="spellStart"/>
      <w:r w:rsidRPr="00F57F75">
        <w:t>Reconductor</w:t>
      </w:r>
      <w:r>
        <w:t>ing</w:t>
      </w:r>
      <w:proofErr w:type="spellEnd"/>
      <w:r>
        <w:t xml:space="preserve"> </w:t>
      </w:r>
      <w:r w:rsidRPr="00F57F75">
        <w:t>the 115 kV 1371 line (Woodland–Pleasant)</w:t>
      </w:r>
    </w:p>
    <w:p w:rsidR="00C561D4" w:rsidRDefault="00C561D4" w:rsidP="00C561D4">
      <w:pPr>
        <w:pStyle w:val="Bullet-Solid"/>
        <w:numPr>
          <w:ilvl w:val="0"/>
          <w:numId w:val="319"/>
        </w:numPr>
        <w:spacing w:after="240"/>
      </w:pPr>
      <w:r>
        <w:t>R</w:t>
      </w:r>
      <w:r w:rsidRPr="00C36662">
        <w:t>eplac</w:t>
      </w:r>
      <w:r>
        <w:t>ing</w:t>
      </w:r>
      <w:r w:rsidRPr="00C36662">
        <w:t xml:space="preserve"> the E131 115 kV breaker</w:t>
      </w:r>
      <w:r>
        <w:t xml:space="preserve"> at Harriman substation</w:t>
      </w:r>
    </w:p>
    <w:p w:rsidR="00C561D4" w:rsidRDefault="00C561D4" w:rsidP="00C561D4">
      <w:pPr>
        <w:pStyle w:val="Bullet-Solid"/>
        <w:numPr>
          <w:ilvl w:val="0"/>
          <w:numId w:val="0"/>
        </w:numPr>
        <w:spacing w:after="240"/>
      </w:pPr>
      <w:r>
        <w:t>In addition, the recently completed needs reassessment has shown the need to incorporate additional voltage control devices into the solutions proposed for this study area.</w:t>
      </w:r>
      <w:r w:rsidRPr="00AE2113">
        <w:t xml:space="preserve"> </w:t>
      </w:r>
      <w:proofErr w:type="gramStart"/>
      <w:r>
        <w:t xml:space="preserve">The reassessment of the solutions </w:t>
      </w:r>
      <w:r w:rsidRPr="001654A1">
        <w:t xml:space="preserve">study is underway and will specify the type and size of the needed </w:t>
      </w:r>
      <w:r w:rsidR="00316208" w:rsidRPr="001654A1">
        <w:t>voltage</w:t>
      </w:r>
      <w:r w:rsidR="001654A1" w:rsidRPr="001654A1">
        <w:t>-</w:t>
      </w:r>
      <w:r w:rsidR="00316208" w:rsidRPr="001654A1">
        <w:t>control</w:t>
      </w:r>
      <w:r w:rsidRPr="001654A1">
        <w:t xml:space="preserve"> devices.</w:t>
      </w:r>
      <w:proofErr w:type="gramEnd"/>
    </w:p>
    <w:p w:rsidR="00C561D4" w:rsidRDefault="00C561D4" w:rsidP="00C561D4">
      <w:r w:rsidRPr="00A577A3">
        <w:rPr>
          <w:b/>
        </w:rPr>
        <w:t>Massachusetts/Rhode Island</w:t>
      </w:r>
      <w:r w:rsidRPr="00A577A3">
        <w:t>—</w:t>
      </w:r>
      <w:proofErr w:type="gramStart"/>
      <w:r w:rsidRPr="00A577A3">
        <w:t>The</w:t>
      </w:r>
      <w:proofErr w:type="gramEnd"/>
      <w:r w:rsidRPr="00A577A3">
        <w:t xml:space="preserve"> </w:t>
      </w:r>
      <w:r w:rsidR="00351D08">
        <w:t xml:space="preserve">needs assessment for the </w:t>
      </w:r>
      <w:r w:rsidRPr="00A577A3">
        <w:t xml:space="preserve">Southeast Massachusetts/Rhode Island study (the Eastern </w:t>
      </w:r>
      <w:r w:rsidRPr="00592D66">
        <w:t>REMVEC</w:t>
      </w:r>
      <w:r w:rsidRPr="00A577A3">
        <w:t xml:space="preserve"> study) is </w:t>
      </w:r>
      <w:r>
        <w:t>currently concluding</w:t>
      </w:r>
      <w:r w:rsidR="00351D08">
        <w:t xml:space="preserve">, and the study is </w:t>
      </w:r>
      <w:r>
        <w:t xml:space="preserve">advancing into its solutions study phase. </w:t>
      </w:r>
      <w:r w:rsidRPr="00A577A3">
        <w:t xml:space="preserve">Past studies </w:t>
      </w:r>
      <w:r>
        <w:t xml:space="preserve">that included the </w:t>
      </w:r>
      <w:proofErr w:type="spellStart"/>
      <w:r>
        <w:t>Brayton</w:t>
      </w:r>
      <w:proofErr w:type="spellEnd"/>
      <w:r>
        <w:t xml:space="preserve"> Point plant </w:t>
      </w:r>
      <w:r w:rsidRPr="00A577A3">
        <w:t xml:space="preserve">have indicated a need to add transmission capacity to remove limits on moving </w:t>
      </w:r>
      <w:r>
        <w:t xml:space="preserve">power </w:t>
      </w:r>
      <w:r w:rsidRPr="00A577A3">
        <w:t>into and around the West Medway substation</w:t>
      </w:r>
      <w:r>
        <w:t xml:space="preserve">. However, with the upcoming retirement of </w:t>
      </w:r>
      <w:proofErr w:type="spellStart"/>
      <w:r>
        <w:t>Brayton</w:t>
      </w:r>
      <w:proofErr w:type="spellEnd"/>
      <w:r>
        <w:t xml:space="preserve"> Point station in 2017, the need for additional transmission capacity </w:t>
      </w:r>
      <w:proofErr w:type="gramStart"/>
      <w:r>
        <w:t>has been reevaluated</w:t>
      </w:r>
      <w:proofErr w:type="gramEnd"/>
      <w:r>
        <w:t xml:space="preserve">. In addition, </w:t>
      </w:r>
      <w:r w:rsidR="00695D28">
        <w:t xml:space="preserve">this study has reevaluated </w:t>
      </w:r>
      <w:r>
        <w:t xml:space="preserve">the need for portions of the Greater Rhode </w:t>
      </w:r>
      <w:r w:rsidRPr="00B94F9A">
        <w:t>Island transmission</w:t>
      </w:r>
      <w:r>
        <w:t xml:space="preserve"> upgrade</w:t>
      </w:r>
      <w:r w:rsidR="00695D28">
        <w:t>s</w:t>
      </w:r>
      <w:r>
        <w:t>.</w:t>
      </w:r>
    </w:p>
    <w:p w:rsidR="00C561D4" w:rsidRDefault="00C561D4" w:rsidP="00C561D4">
      <w:r w:rsidRPr="00A577A3">
        <w:t xml:space="preserve">The study </w:t>
      </w:r>
      <w:r>
        <w:t xml:space="preserve">has identified </w:t>
      </w:r>
      <w:r w:rsidRPr="00A577A3">
        <w:t xml:space="preserve">needs that require solutions to serve the broad southeast Massachusetts and Rhode Island load areas </w:t>
      </w:r>
      <w:r>
        <w:t>reliably. The solutions study will identify possible solution alternatives and provide recommendations for a preferred set of transmission upgrades for the area.</w:t>
      </w:r>
    </w:p>
    <w:p w:rsidR="00C561D4" w:rsidRDefault="00C561D4" w:rsidP="00C561D4">
      <w:r>
        <w:t xml:space="preserve">With the announcement of the </w:t>
      </w:r>
      <w:proofErr w:type="spellStart"/>
      <w:r>
        <w:t>Brayton</w:t>
      </w:r>
      <w:proofErr w:type="spellEnd"/>
      <w:r>
        <w:t xml:space="preserve"> Point retirement, a short-term study </w:t>
      </w:r>
      <w:proofErr w:type="gramStart"/>
      <w:r>
        <w:t>has been conducted</w:t>
      </w:r>
      <w:proofErr w:type="gramEnd"/>
      <w:r>
        <w:t xml:space="preserve"> to ensure that the SEMA/RI area can operate reliably in the absence of the station. A similar study </w:t>
      </w:r>
      <w:proofErr w:type="gramStart"/>
      <w:r>
        <w:t>was undertaken</w:t>
      </w:r>
      <w:proofErr w:type="gramEnd"/>
      <w:r>
        <w:t xml:space="preserve"> in 2010 when the Salem Harbor station announced its retirement. The transmission upgrades needed to address potential reliability concerns in the area due to the </w:t>
      </w:r>
      <w:proofErr w:type="spellStart"/>
      <w:r>
        <w:t>Brayton</w:t>
      </w:r>
      <w:proofErr w:type="spellEnd"/>
      <w:r>
        <w:t xml:space="preserve"> Point retirement are as follows</w:t>
      </w:r>
      <w:r w:rsidR="003B34C0">
        <w:t>:</w:t>
      </w:r>
    </w:p>
    <w:p w:rsidR="00CE376E" w:rsidRDefault="00CE376E" w:rsidP="00CE376E">
      <w:pPr>
        <w:numPr>
          <w:ilvl w:val="0"/>
          <w:numId w:val="498"/>
        </w:numPr>
        <w:spacing w:after="120"/>
        <w:ind w:left="806"/>
      </w:pPr>
      <w:proofErr w:type="spellStart"/>
      <w:r>
        <w:t>Reconductor</w:t>
      </w:r>
      <w:proofErr w:type="spellEnd"/>
      <w:r>
        <w:t xml:space="preserve"> the V148N line (Woonsocket–Washington)</w:t>
      </w:r>
    </w:p>
    <w:p w:rsidR="00CE376E" w:rsidRDefault="00CE376E" w:rsidP="00CE376E">
      <w:pPr>
        <w:numPr>
          <w:ilvl w:val="0"/>
          <w:numId w:val="498"/>
        </w:numPr>
        <w:spacing w:after="120"/>
        <w:ind w:left="806"/>
      </w:pPr>
      <w:r>
        <w:t xml:space="preserve">Increase the T175 transformer rating at West </w:t>
      </w:r>
      <w:proofErr w:type="spellStart"/>
      <w:r>
        <w:t>Farnum</w:t>
      </w:r>
      <w:proofErr w:type="spellEnd"/>
    </w:p>
    <w:p w:rsidR="00CE376E" w:rsidRDefault="00CE376E" w:rsidP="00CE376E">
      <w:pPr>
        <w:numPr>
          <w:ilvl w:val="0"/>
          <w:numId w:val="498"/>
        </w:numPr>
      </w:pPr>
      <w:r>
        <w:t>Increase the T3 transformer rating at Kent County</w:t>
      </w:r>
    </w:p>
    <w:p w:rsidR="00C561D4" w:rsidRPr="00A92103" w:rsidRDefault="00CE376E" w:rsidP="00CE376E">
      <w:r>
        <w:t>The solution to address the 1280 line (Whipple Junction–Mystic) and the 1870S line (</w:t>
      </w:r>
      <w:proofErr w:type="spellStart"/>
      <w:r>
        <w:t>Shunock</w:t>
      </w:r>
      <w:proofErr w:type="spellEnd"/>
      <w:r>
        <w:t xml:space="preserve">–Wood River) thermal overloads requires further investigation and </w:t>
      </w:r>
      <w:proofErr w:type="gramStart"/>
      <w:r>
        <w:t>will be developed</w:t>
      </w:r>
      <w:proofErr w:type="gramEnd"/>
      <w:r>
        <w:t xml:space="preserve"> in the future. </w:t>
      </w:r>
    </w:p>
    <w:p w:rsidR="00C561D4" w:rsidRDefault="00113C54" w:rsidP="00C561D4">
      <w:r w:rsidRPr="00113C54">
        <w:rPr>
          <w:b/>
        </w:rPr>
        <w:t>Connecticut</w:t>
      </w:r>
      <w:r w:rsidRPr="00113C54">
        <w:t>—</w:t>
      </w:r>
      <w:proofErr w:type="gramStart"/>
      <w:r w:rsidRPr="00113C54">
        <w:t>A</w:t>
      </w:r>
      <w:proofErr w:type="gramEnd"/>
      <w:r w:rsidRPr="00113C54">
        <w:t xml:space="preserve"> long-term</w:t>
      </w:r>
      <w:r w:rsidRPr="00113C54">
        <w:rPr>
          <w:b/>
          <w:i/>
        </w:rPr>
        <w:t xml:space="preserve"> </w:t>
      </w:r>
      <w:r w:rsidRPr="00113C54">
        <w:t>reliability needs assessment for 2018 was completed for the Southwest</w:t>
      </w:r>
      <w:r w:rsidR="00C561D4" w:rsidRPr="005859DB">
        <w:t xml:space="preserve"> Connecticut area, and solutions are being developed to address the criteria violations.</w:t>
      </w:r>
      <w:r w:rsidR="00C561D4" w:rsidRPr="005859DB">
        <w:rPr>
          <w:rStyle w:val="FootnoteReference"/>
          <w:rFonts w:asciiTheme="majorHAnsi" w:hAnsiTheme="majorHAnsi"/>
        </w:rPr>
        <w:footnoteReference w:id="226"/>
      </w:r>
      <w:r w:rsidR="00C561D4" w:rsidRPr="005859DB">
        <w:t xml:space="preserve"> The </w:t>
      </w:r>
      <w:r w:rsidR="00C561D4">
        <w:t xml:space="preserve">solutions </w:t>
      </w:r>
      <w:r w:rsidR="00C561D4" w:rsidRPr="005859DB">
        <w:t xml:space="preserve">analysis focused on developing solutions for </w:t>
      </w:r>
      <w:r w:rsidR="00C561D4">
        <w:t>five</w:t>
      </w:r>
      <w:r w:rsidR="00C561D4" w:rsidRPr="005859DB">
        <w:t xml:space="preserve"> study subareas: </w:t>
      </w:r>
      <w:r w:rsidR="0089185F">
        <w:t>Frost Bridge–</w:t>
      </w:r>
      <w:r w:rsidR="00C561D4" w:rsidRPr="005859DB">
        <w:t>Naugatuck Valley, Housatonic Valley</w:t>
      </w:r>
      <w:r w:rsidR="0089185F">
        <w:t>/Norwalk–</w:t>
      </w:r>
      <w:proofErr w:type="spellStart"/>
      <w:r w:rsidR="0089185F">
        <w:t>Plumtree</w:t>
      </w:r>
      <w:proofErr w:type="spellEnd"/>
      <w:r w:rsidR="00C561D4" w:rsidRPr="005859DB">
        <w:t>, Bridgeport, New Haven</w:t>
      </w:r>
      <w:r w:rsidR="0089185F">
        <w:t>–Southington</w:t>
      </w:r>
      <w:r w:rsidR="00C561D4" w:rsidRPr="005859DB">
        <w:t>, and Glenbrook–</w:t>
      </w:r>
      <w:r w:rsidR="00C561D4">
        <w:t>Stamford</w:t>
      </w:r>
      <w:r w:rsidR="00C561D4" w:rsidRPr="005859DB">
        <w:t>.</w:t>
      </w:r>
      <w:r w:rsidR="00C561D4" w:rsidRPr="005859DB">
        <w:rPr>
          <w:rStyle w:val="FootnoteReference"/>
          <w:rFonts w:asciiTheme="majorHAnsi" w:hAnsiTheme="majorHAnsi"/>
        </w:rPr>
        <w:footnoteReference w:id="227"/>
      </w:r>
      <w:r w:rsidR="00C561D4" w:rsidRPr="005859DB">
        <w:t xml:space="preserve"> The Glenbrook–South End cable and the Mill River–Quinnipiac 8300 line reconfiguration included in the New Haven area </w:t>
      </w:r>
      <w:r w:rsidR="00C561D4" w:rsidRPr="002B60E6">
        <w:t xml:space="preserve">solution alternatives (see Section </w:t>
      </w:r>
      <w:fldSimple w:instr=" REF _Ref297212984 \r \h  \* MERGEFORMAT ">
        <w:r w:rsidR="00284CE3">
          <w:t>5.4.2.3</w:t>
        </w:r>
      </w:fldSimple>
      <w:r w:rsidR="00C561D4" w:rsidRPr="002B60E6">
        <w:t>, Southwest Connecticut Advanced Solutions) were</w:t>
      </w:r>
      <w:r w:rsidR="00C561D4" w:rsidRPr="005859DB">
        <w:t xml:space="preserve"> developed to address independent subarea needs.</w:t>
      </w:r>
      <w:r w:rsidR="00C561D4" w:rsidRPr="005859DB">
        <w:rPr>
          <w:rStyle w:val="FootnoteReference"/>
          <w:rFonts w:asciiTheme="majorHAnsi" w:hAnsiTheme="majorHAnsi"/>
        </w:rPr>
        <w:footnoteReference w:id="228"/>
      </w:r>
      <w:r w:rsidR="00C561D4" w:rsidRPr="005859DB">
        <w:t xml:space="preserve"> Other solution alternatives </w:t>
      </w:r>
      <w:proofErr w:type="gramStart"/>
      <w:r w:rsidR="00C561D4" w:rsidRPr="005859DB">
        <w:t>were developed</w:t>
      </w:r>
      <w:proofErr w:type="gramEnd"/>
      <w:r w:rsidR="00C561D4" w:rsidRPr="005859DB">
        <w:t xml:space="preserve"> to address interdependent subarea needs. </w:t>
      </w:r>
    </w:p>
    <w:p w:rsidR="00C561D4" w:rsidRPr="0004042D" w:rsidRDefault="00C561D4" w:rsidP="00C561D4">
      <w:r w:rsidRPr="002B60E6">
        <w:t xml:space="preserve">A new needs assessment and solutions study, </w:t>
      </w:r>
      <w:r w:rsidR="00FA76E8">
        <w:t xml:space="preserve">referred to as </w:t>
      </w:r>
      <w:r w:rsidRPr="002B60E6">
        <w:t xml:space="preserve">the </w:t>
      </w:r>
      <w:r w:rsidRPr="00AB31F8">
        <w:rPr>
          <w:i/>
        </w:rPr>
        <w:t xml:space="preserve">2022 SWCT </w:t>
      </w:r>
      <w:r w:rsidR="002B60E6" w:rsidRPr="00AB31F8">
        <w:rPr>
          <w:i/>
        </w:rPr>
        <w:t>N</w:t>
      </w:r>
      <w:r w:rsidRPr="00AB31F8">
        <w:rPr>
          <w:i/>
        </w:rPr>
        <w:t xml:space="preserve">eeds </w:t>
      </w:r>
      <w:r w:rsidR="002B60E6" w:rsidRPr="00AB31F8">
        <w:rPr>
          <w:i/>
        </w:rPr>
        <w:t>A</w:t>
      </w:r>
      <w:r w:rsidRPr="00AB31F8">
        <w:rPr>
          <w:i/>
        </w:rPr>
        <w:t xml:space="preserve">ssessment and </w:t>
      </w:r>
      <w:r w:rsidR="002B60E6" w:rsidRPr="00AB31F8">
        <w:rPr>
          <w:i/>
        </w:rPr>
        <w:t>S</w:t>
      </w:r>
      <w:r w:rsidRPr="00AB31F8">
        <w:rPr>
          <w:i/>
        </w:rPr>
        <w:t xml:space="preserve">olutions </w:t>
      </w:r>
      <w:r w:rsidR="002B60E6" w:rsidRPr="00AB31F8">
        <w:rPr>
          <w:i/>
        </w:rPr>
        <w:t>S</w:t>
      </w:r>
      <w:r w:rsidRPr="00AB31F8">
        <w:rPr>
          <w:i/>
        </w:rPr>
        <w:t>tudy</w:t>
      </w:r>
      <w:r w:rsidR="00FA76E8">
        <w:t>,</w:t>
      </w:r>
      <w:r w:rsidRPr="002B60E6">
        <w:t xml:space="preserve"> was initiated to take into account the latest assumptions, changes in topology resulting</w:t>
      </w:r>
      <w:r w:rsidRPr="00B34AE9">
        <w:t xml:space="preserve"> from the approval of new projects and the results of the latest FCA, and the inclusion of energy efficiency beyond the latest FCA. </w:t>
      </w:r>
      <w:r>
        <w:t>The 2022 SWCT</w:t>
      </w:r>
      <w:r w:rsidRPr="00B34AE9">
        <w:t xml:space="preserve"> needs </w:t>
      </w:r>
      <w:r>
        <w:t>were first presented to the PAC in May 2013.</w:t>
      </w:r>
      <w:r>
        <w:rPr>
          <w:rStyle w:val="FootnoteReference"/>
        </w:rPr>
        <w:footnoteReference w:id="229"/>
      </w:r>
      <w:r>
        <w:rPr>
          <w:rStyle w:val="FootnoteReference"/>
        </w:rPr>
        <w:t xml:space="preserve"> </w:t>
      </w:r>
      <w:r>
        <w:t>Bridgeport Harbor 2 has already retired</w:t>
      </w:r>
      <w:r w:rsidR="00FC155B">
        <w:t>,</w:t>
      </w:r>
      <w:r>
        <w:t xml:space="preserve"> and Norwalk Harbor station will retire by June 2017. As a result, the 2022 </w:t>
      </w:r>
      <w:r w:rsidRPr="003D59DA">
        <w:t xml:space="preserve">SWCT needs were </w:t>
      </w:r>
      <w:r w:rsidR="00050EC2" w:rsidRPr="003D59DA">
        <w:t>reevaluated</w:t>
      </w:r>
      <w:r w:rsidR="007917FC" w:rsidRPr="003D59DA">
        <w:t>,</w:t>
      </w:r>
      <w:r w:rsidRPr="003D59DA">
        <w:t xml:space="preserve"> and the needs assessment was presented to the PAC in February 2014.</w:t>
      </w:r>
      <w:r w:rsidRPr="003D59DA">
        <w:rPr>
          <w:rStyle w:val="FootnoteReference"/>
        </w:rPr>
        <w:footnoteReference w:id="230"/>
      </w:r>
      <w:r>
        <w:rPr>
          <w:rStyle w:val="FootnoteReference"/>
        </w:rPr>
        <w:t xml:space="preserve"> </w:t>
      </w:r>
      <w:r w:rsidRPr="0001709D">
        <w:t>Needs were still present in all subareas with the exc</w:t>
      </w:r>
      <w:r>
        <w:t>e</w:t>
      </w:r>
      <w:r w:rsidRPr="0001709D">
        <w:t>ption of the Glenbrook–Stamford subarea</w:t>
      </w:r>
      <w:r>
        <w:t>.</w:t>
      </w:r>
      <w:r w:rsidRPr="0001709D">
        <w:t xml:space="preserve"> The </w:t>
      </w:r>
      <w:r w:rsidRPr="0004042D">
        <w:t>advanced Glenbrook–South End cable mitigated all the violations found in the earlier needs assessment.</w:t>
      </w:r>
    </w:p>
    <w:p w:rsidR="00C561D4" w:rsidRDefault="00C561D4" w:rsidP="005E0D28">
      <w:r w:rsidRPr="0004042D">
        <w:t xml:space="preserve">As part of the solution development, the two categories of solution </w:t>
      </w:r>
      <w:proofErr w:type="gramStart"/>
      <w:r w:rsidRPr="0004042D">
        <w:t>were developed</w:t>
      </w:r>
      <w:proofErr w:type="gramEnd"/>
      <w:r w:rsidRPr="0004042D">
        <w:t xml:space="preserve">: “local” and “global.” As detailed below, local solutions located in each subarea were developed </w:t>
      </w:r>
      <w:proofErr w:type="gramStart"/>
      <w:r w:rsidR="0007592E" w:rsidRPr="00660BEE">
        <w:t>for</w:t>
      </w:r>
      <w:proofErr w:type="gramEnd"/>
      <w:r w:rsidR="0007592E" w:rsidRPr="00660BEE">
        <w:t xml:space="preserve"> each subarea listed </w:t>
      </w:r>
      <w:r w:rsidR="00660BEE">
        <w:t>below</w:t>
      </w:r>
      <w:r w:rsidR="0007592E" w:rsidRPr="00660BEE">
        <w:rPr>
          <w:sz w:val="22"/>
        </w:rPr>
        <w:t>.</w:t>
      </w:r>
      <w:r w:rsidRPr="0004042D">
        <w:t xml:space="preserve"> In addition, a global solution, which spans the subareas of Frost Bridge–Naugatuck Valley and Housatonic Valley–Norwalk–</w:t>
      </w:r>
      <w:proofErr w:type="spellStart"/>
      <w:r w:rsidRPr="0004042D">
        <w:t>Plumtree</w:t>
      </w:r>
      <w:proofErr w:type="spellEnd"/>
      <w:r w:rsidRPr="0004042D">
        <w:t xml:space="preserve"> subareas, </w:t>
      </w:r>
      <w:proofErr w:type="gramStart"/>
      <w:r w:rsidRPr="0004042D">
        <w:t>was created</w:t>
      </w:r>
      <w:proofErr w:type="gramEnd"/>
      <w:r w:rsidRPr="0004042D">
        <w:t xml:space="preserve">. The main feature of the global solution was a new line from Bates Rock to Bunker Hill, which required the rebuild of both terminal stations. Because of the excessive cost of the global solution, it is not the preferred alternative and </w:t>
      </w:r>
      <w:proofErr w:type="gramStart"/>
      <w:r w:rsidRPr="0004042D">
        <w:t>is no longer being considered</w:t>
      </w:r>
      <w:proofErr w:type="gramEnd"/>
      <w:r w:rsidRPr="0004042D">
        <w:t xml:space="preserve">. </w:t>
      </w:r>
    </w:p>
    <w:p w:rsidR="00C561D4" w:rsidRDefault="00113C54" w:rsidP="00C561D4">
      <w:r w:rsidRPr="00113C54">
        <w:t>The major components of the preferred solutions for addressing the needs in the Frost Bridge–Naugatuck Valley subareas include the following components:</w:t>
      </w:r>
    </w:p>
    <w:p w:rsidR="00C561D4" w:rsidRPr="00C23ACD" w:rsidRDefault="00C561D4" w:rsidP="00C561D4">
      <w:pPr>
        <w:pStyle w:val="Bullet-Solid"/>
        <w:numPr>
          <w:ilvl w:val="0"/>
          <w:numId w:val="498"/>
        </w:numPr>
        <w:ind w:left="720"/>
      </w:pPr>
      <w:r w:rsidRPr="00056A9D">
        <w:t>Loop the 1570 line</w:t>
      </w:r>
      <w:r>
        <w:t xml:space="preserve"> (Devon to Beacon Falls)</w:t>
      </w:r>
      <w:r w:rsidRPr="00056A9D">
        <w:t xml:space="preserve"> in and out of the </w:t>
      </w:r>
      <w:proofErr w:type="spellStart"/>
      <w:r w:rsidR="007917FC" w:rsidRPr="00777DDF">
        <w:t>Pootatuck</w:t>
      </w:r>
      <w:proofErr w:type="spellEnd"/>
      <w:r w:rsidR="007917FC" w:rsidRPr="00056A9D">
        <w:t xml:space="preserve"> substation</w:t>
      </w:r>
      <w:r w:rsidR="007917FC">
        <w:t xml:space="preserve"> </w:t>
      </w:r>
      <w:r w:rsidR="007917FC" w:rsidRPr="00777DDF">
        <w:t>(formerly known as Shelton substation)</w:t>
      </w:r>
    </w:p>
    <w:p w:rsidR="00C561D4" w:rsidRPr="00C23ACD" w:rsidRDefault="00C561D4" w:rsidP="00C561D4">
      <w:pPr>
        <w:numPr>
          <w:ilvl w:val="0"/>
          <w:numId w:val="498"/>
        </w:numPr>
        <w:spacing w:after="0" w:line="360" w:lineRule="auto"/>
        <w:ind w:left="720"/>
      </w:pPr>
      <w:r w:rsidRPr="00056A9D">
        <w:t>Install two 115 kV capacitor banks at Ansonia substation</w:t>
      </w:r>
    </w:p>
    <w:p w:rsidR="00C561D4" w:rsidRDefault="00C561D4" w:rsidP="00C561D4">
      <w:pPr>
        <w:pStyle w:val="Bullet-Solid"/>
      </w:pPr>
      <w:r w:rsidRPr="00056A9D">
        <w:t xml:space="preserve">Expand </w:t>
      </w:r>
      <w:proofErr w:type="spellStart"/>
      <w:r w:rsidR="007917FC" w:rsidRPr="006E0128">
        <w:t>Pootatuck</w:t>
      </w:r>
      <w:proofErr w:type="spellEnd"/>
      <w:r w:rsidRPr="00056A9D">
        <w:t xml:space="preserve"> substation to a four</w:t>
      </w:r>
      <w:r>
        <w:t>-</w:t>
      </w:r>
      <w:r w:rsidRPr="00056A9D">
        <w:t>breaker ring bus and install a 115 kV capacitor bank</w:t>
      </w:r>
    </w:p>
    <w:p w:rsidR="00C561D4" w:rsidRPr="00C23ACD" w:rsidRDefault="00C561D4" w:rsidP="00C561D4">
      <w:pPr>
        <w:pStyle w:val="Bullet-Solid"/>
      </w:pPr>
      <w:r w:rsidRPr="00056A9D">
        <w:t>Close the normally open breaker at Baldwin substation</w:t>
      </w:r>
    </w:p>
    <w:p w:rsidR="00C561D4" w:rsidRPr="00C23ACD" w:rsidRDefault="00C561D4" w:rsidP="00C561D4">
      <w:pPr>
        <w:pStyle w:val="Bullet-Solid"/>
      </w:pPr>
      <w:r w:rsidRPr="00056A9D">
        <w:t>Install a 115 kV capacitor bank at Oxford substation</w:t>
      </w:r>
      <w:r w:rsidRPr="00C23ACD" w:rsidDel="007E285F">
        <w:t xml:space="preserve"> </w:t>
      </w:r>
    </w:p>
    <w:p w:rsidR="005D5CD9" w:rsidRDefault="007917FC" w:rsidP="007917FC">
      <w:pPr>
        <w:pStyle w:val="Bullet-Solid"/>
      </w:pPr>
      <w:r>
        <w:t>Loop the 1990 line (Stevenson–Baldwin Street–Frost Bridge) in and out of the Bunker Hill substation</w:t>
      </w:r>
    </w:p>
    <w:p w:rsidR="007917FC" w:rsidRPr="00953D29" w:rsidRDefault="00C561D4" w:rsidP="007917FC">
      <w:pPr>
        <w:pStyle w:val="Bullet-Solid"/>
      </w:pPr>
      <w:r w:rsidRPr="00953D29">
        <w:t xml:space="preserve">Rebuild Bunker Hill </w:t>
      </w:r>
      <w:r w:rsidR="007917FC" w:rsidRPr="00953D29">
        <w:t xml:space="preserve">substation to a </w:t>
      </w:r>
      <w:r w:rsidR="006229A8" w:rsidRPr="00953D29">
        <w:t>nine-breaker, breaker-and-a-half</w:t>
      </w:r>
      <w:r w:rsidR="007917FC" w:rsidRPr="00953D29">
        <w:t xml:space="preserve"> configuration</w:t>
      </w:r>
    </w:p>
    <w:p w:rsidR="007917FC" w:rsidRDefault="007917FC" w:rsidP="007917FC">
      <w:pPr>
        <w:pStyle w:val="Bullet-Solid"/>
        <w:spacing w:after="240"/>
      </w:pPr>
      <w:proofErr w:type="spellStart"/>
      <w:r w:rsidRPr="00D93F23">
        <w:t>Reconductor</w:t>
      </w:r>
      <w:proofErr w:type="spellEnd"/>
      <w:r w:rsidRPr="00D93F23">
        <w:t xml:space="preserve"> the 1575 line from Bunker Hill to Baldwin Junction</w:t>
      </w:r>
    </w:p>
    <w:p w:rsidR="00C561D4" w:rsidRDefault="00C561D4" w:rsidP="005E0D28">
      <w:r w:rsidRPr="00825FD7">
        <w:t xml:space="preserve">The major components of the preferred solutions </w:t>
      </w:r>
      <w:r w:rsidRPr="00A577A3">
        <w:t xml:space="preserve">for </w:t>
      </w:r>
      <w:r>
        <w:t xml:space="preserve">addressing the needs in </w:t>
      </w:r>
      <w:r w:rsidRPr="00A577A3">
        <w:t xml:space="preserve">the </w:t>
      </w:r>
      <w:r>
        <w:t>Housatonic Valley/Norwalk/</w:t>
      </w:r>
      <w:proofErr w:type="spellStart"/>
      <w:r>
        <w:t>Plumtree</w:t>
      </w:r>
      <w:proofErr w:type="spellEnd"/>
      <w:r>
        <w:t xml:space="preserve"> subareas include</w:t>
      </w:r>
      <w:r w:rsidRPr="00A577A3">
        <w:t xml:space="preserve"> </w:t>
      </w:r>
      <w:r>
        <w:t>a combination of the</w:t>
      </w:r>
      <w:r w:rsidRPr="00A577A3">
        <w:t xml:space="preserve"> following </w:t>
      </w:r>
      <w:r>
        <w:t>components</w:t>
      </w:r>
      <w:r w:rsidRPr="00A577A3">
        <w:t>:</w:t>
      </w:r>
    </w:p>
    <w:p w:rsidR="007917FC" w:rsidRDefault="007917FC" w:rsidP="00C20DA1">
      <w:pPr>
        <w:pStyle w:val="Bullet-Solid"/>
      </w:pPr>
      <w:proofErr w:type="spellStart"/>
      <w:r w:rsidRPr="00056A9D">
        <w:t>Reconductor</w:t>
      </w:r>
      <w:proofErr w:type="spellEnd"/>
      <w:r w:rsidRPr="00056A9D">
        <w:t xml:space="preserve"> the 1887 line between West Brookfield and West Brookfield Junction</w:t>
      </w:r>
    </w:p>
    <w:p w:rsidR="007917FC" w:rsidRPr="00A42E29" w:rsidRDefault="007917FC" w:rsidP="00C20DA1">
      <w:pPr>
        <w:pStyle w:val="Bullet-Solid"/>
      </w:pPr>
      <w:r w:rsidRPr="00777DDF">
        <w:t xml:space="preserve">Install two </w:t>
      </w:r>
      <w:r>
        <w:t xml:space="preserve">14.4 MVAR </w:t>
      </w:r>
      <w:r w:rsidRPr="00777DDF">
        <w:t xml:space="preserve">capacitor banks at West Brookfield substation </w:t>
      </w:r>
    </w:p>
    <w:p w:rsidR="007917FC" w:rsidRPr="00A42E29" w:rsidRDefault="007917FC" w:rsidP="00C20DA1">
      <w:pPr>
        <w:pStyle w:val="Bullet-Solid"/>
      </w:pPr>
      <w:r w:rsidRPr="00777DDF">
        <w:t>Reduce the size of the capacitor at Rocky River substation</w:t>
      </w:r>
      <w:r>
        <w:t xml:space="preserve"> from 25.2 MVAR to 14.4 MVAR</w:t>
      </w:r>
    </w:p>
    <w:p w:rsidR="007917FC" w:rsidRPr="0089185F" w:rsidRDefault="00113C54" w:rsidP="00C20DA1">
      <w:pPr>
        <w:pStyle w:val="Bullet-Solid"/>
      </w:pPr>
      <w:r w:rsidRPr="00113C54">
        <w:t>Relocate a 37.8 MVAR capacitor bank within the Stony Hill substation</w:t>
      </w:r>
    </w:p>
    <w:p w:rsidR="00C561D4" w:rsidRDefault="00C561D4" w:rsidP="00C20DA1">
      <w:pPr>
        <w:pStyle w:val="Bullet-Solid"/>
      </w:pPr>
      <w:r>
        <w:t xml:space="preserve">Install </w:t>
      </w:r>
      <w:r w:rsidR="007917FC">
        <w:t>one</w:t>
      </w:r>
      <w:r>
        <w:t xml:space="preserve"> synchronous condenser at Stony Hill substation</w:t>
      </w:r>
    </w:p>
    <w:p w:rsidR="00C561D4" w:rsidRPr="00CE5C56" w:rsidRDefault="00C561D4" w:rsidP="00C20DA1">
      <w:pPr>
        <w:pStyle w:val="Bullet-Solid"/>
      </w:pPr>
      <w:r w:rsidRPr="00CE5C56">
        <w:t>Reconfigure the 1887 line into a three-terminal line (</w:t>
      </w:r>
      <w:proofErr w:type="spellStart"/>
      <w:r w:rsidRPr="00CE5C56">
        <w:t>Plumtree</w:t>
      </w:r>
      <w:proofErr w:type="spellEnd"/>
      <w:r w:rsidRPr="00CE5C56">
        <w:t>–W. Brookfield–</w:t>
      </w:r>
      <w:proofErr w:type="spellStart"/>
      <w:r w:rsidRPr="00CE5C56">
        <w:t>Shepaug</w:t>
      </w:r>
      <w:proofErr w:type="spellEnd"/>
      <w:r w:rsidRPr="00CE5C56">
        <w:t>)</w:t>
      </w:r>
      <w:r w:rsidRPr="00CE5C56" w:rsidDel="00A0545F">
        <w:t xml:space="preserve"> </w:t>
      </w:r>
    </w:p>
    <w:p w:rsidR="00C561D4" w:rsidRPr="00CE5C56" w:rsidRDefault="00C561D4" w:rsidP="00C20DA1">
      <w:pPr>
        <w:pStyle w:val="Bullet-Solid"/>
      </w:pPr>
      <w:r w:rsidRPr="00CE5C56">
        <w:t xml:space="preserve">Reconfigure the 1770 line into </w:t>
      </w:r>
      <w:r w:rsidR="00D431C1" w:rsidRPr="00CE5C56">
        <w:t xml:space="preserve">two </w:t>
      </w:r>
      <w:r w:rsidR="0037638D" w:rsidRPr="00CE5C56">
        <w:t>two-</w:t>
      </w:r>
      <w:r w:rsidR="00D431C1" w:rsidRPr="00CE5C56">
        <w:t xml:space="preserve">terminal lines </w:t>
      </w:r>
      <w:r w:rsidRPr="00CE5C56">
        <w:t xml:space="preserve">between </w:t>
      </w:r>
      <w:proofErr w:type="spellStart"/>
      <w:r w:rsidRPr="00CE5C56">
        <w:t>Plumtree</w:t>
      </w:r>
      <w:proofErr w:type="spellEnd"/>
      <w:r w:rsidRPr="00CE5C56">
        <w:t xml:space="preserve">–Stony Hill and Stony Hill–Bates Rock </w:t>
      </w:r>
    </w:p>
    <w:p w:rsidR="00C561D4" w:rsidRDefault="00C561D4" w:rsidP="00C20DA1">
      <w:pPr>
        <w:pStyle w:val="Bullet-Solid"/>
      </w:pPr>
      <w:proofErr w:type="spellStart"/>
      <w:r w:rsidRPr="00CE5C56">
        <w:t>Reconductor</w:t>
      </w:r>
      <w:proofErr w:type="spellEnd"/>
      <w:r w:rsidRPr="00CE5C56">
        <w:t xml:space="preserve"> a portion</w:t>
      </w:r>
      <w:r w:rsidRPr="00C47EC7">
        <w:t xml:space="preserve"> of </w:t>
      </w:r>
      <w:r>
        <w:t xml:space="preserve">the </w:t>
      </w:r>
      <w:r w:rsidRPr="00C47EC7">
        <w:t xml:space="preserve">1682 </w:t>
      </w:r>
      <w:r>
        <w:t>l</w:t>
      </w:r>
      <w:r w:rsidRPr="00C47EC7">
        <w:t>ine from Wilton to Norwalk</w:t>
      </w:r>
      <w:r>
        <w:t>,</w:t>
      </w:r>
      <w:r w:rsidRPr="00C47EC7">
        <w:t xml:space="preserve"> </w:t>
      </w:r>
      <w:r>
        <w:t xml:space="preserve">and </w:t>
      </w:r>
      <w:r w:rsidRPr="00C47EC7">
        <w:t xml:space="preserve">upgrade Wilton </w:t>
      </w:r>
      <w:r>
        <w:t>s</w:t>
      </w:r>
      <w:r w:rsidRPr="00C47EC7">
        <w:t xml:space="preserve">ubstation terminal equipment </w:t>
      </w:r>
    </w:p>
    <w:p w:rsidR="00C561D4" w:rsidRDefault="00C561D4" w:rsidP="00C20DA1">
      <w:pPr>
        <w:pStyle w:val="Bullet-Solid"/>
      </w:pPr>
      <w:proofErr w:type="spellStart"/>
      <w:r w:rsidRPr="00C47EC7">
        <w:t>Reconductor</w:t>
      </w:r>
      <w:proofErr w:type="spellEnd"/>
      <w:r w:rsidRPr="00C47EC7">
        <w:t xml:space="preserve"> the 1470 </w:t>
      </w:r>
      <w:r>
        <w:t>l</w:t>
      </w:r>
      <w:r w:rsidRPr="00C47EC7">
        <w:t>ine from Wilton to Ridgefield Junction</w:t>
      </w:r>
      <w:r w:rsidR="007917FC">
        <w:t xml:space="preserve"> and Ridgefield Junction to </w:t>
      </w:r>
      <w:proofErr w:type="spellStart"/>
      <w:r w:rsidR="007917FC">
        <w:t>Peacable</w:t>
      </w:r>
      <w:proofErr w:type="spellEnd"/>
      <w:r w:rsidRPr="00C47EC7">
        <w:t xml:space="preserve"> </w:t>
      </w:r>
    </w:p>
    <w:p w:rsidR="00C561D4" w:rsidRPr="00C23ACD" w:rsidRDefault="00C561D4" w:rsidP="00C20DA1">
      <w:pPr>
        <w:pStyle w:val="Bullet-Solid"/>
      </w:pPr>
      <w:r w:rsidRPr="00056A9D">
        <w:t xml:space="preserve">Install a 115 kV breaker in series with the existing 29T breaker at </w:t>
      </w:r>
      <w:proofErr w:type="spellStart"/>
      <w:r w:rsidRPr="00056A9D">
        <w:t>Plumtree</w:t>
      </w:r>
      <w:proofErr w:type="spellEnd"/>
      <w:r w:rsidRPr="00056A9D">
        <w:t xml:space="preserve"> </w:t>
      </w:r>
      <w:r>
        <w:t>S</w:t>
      </w:r>
      <w:r w:rsidRPr="00056A9D">
        <w:t>ubstation</w:t>
      </w:r>
    </w:p>
    <w:p w:rsidR="00C561D4" w:rsidRPr="00C23ACD" w:rsidRDefault="00C561D4" w:rsidP="00C20DA1">
      <w:pPr>
        <w:pStyle w:val="Bullet-Solid"/>
      </w:pPr>
      <w:r w:rsidRPr="00056A9D">
        <w:t xml:space="preserve">Install a new 115 kV line from </w:t>
      </w:r>
      <w:proofErr w:type="spellStart"/>
      <w:r w:rsidRPr="00056A9D">
        <w:t>Plumtree</w:t>
      </w:r>
      <w:proofErr w:type="spellEnd"/>
      <w:r w:rsidRPr="00056A9D">
        <w:t xml:space="preserve"> to Brookfield Junction</w:t>
      </w:r>
    </w:p>
    <w:p w:rsidR="00C561D4" w:rsidRPr="00C23ACD" w:rsidRDefault="00C561D4" w:rsidP="00C20DA1">
      <w:pPr>
        <w:pStyle w:val="Bullet-Solid"/>
      </w:pPr>
      <w:r w:rsidRPr="00056A9D">
        <w:t xml:space="preserve">Relocate one existing capacitor bank from </w:t>
      </w:r>
      <w:r>
        <w:t xml:space="preserve">the </w:t>
      </w:r>
      <w:r w:rsidRPr="00056A9D">
        <w:t xml:space="preserve">115 kV B bus to </w:t>
      </w:r>
      <w:r>
        <w:t xml:space="preserve">the </w:t>
      </w:r>
      <w:r w:rsidRPr="00056A9D">
        <w:t xml:space="preserve">115 kV A bus at </w:t>
      </w:r>
      <w:proofErr w:type="spellStart"/>
      <w:r w:rsidRPr="00056A9D">
        <w:t>Plumtree</w:t>
      </w:r>
      <w:proofErr w:type="spellEnd"/>
      <w:r w:rsidRPr="00056A9D">
        <w:t xml:space="preserve"> </w:t>
      </w:r>
      <w:r>
        <w:t>s</w:t>
      </w:r>
      <w:r w:rsidRPr="00056A9D">
        <w:t>ubstation</w:t>
      </w:r>
    </w:p>
    <w:p w:rsidR="00C561D4" w:rsidRDefault="00C561D4" w:rsidP="00C20DA1">
      <w:pPr>
        <w:pStyle w:val="Bullet-Solid"/>
      </w:pPr>
      <w:r w:rsidRPr="00056A9D">
        <w:t xml:space="preserve">Upgrade </w:t>
      </w:r>
      <w:r>
        <w:t xml:space="preserve">the </w:t>
      </w:r>
      <w:r w:rsidRPr="00056A9D">
        <w:t xml:space="preserve">1876 </w:t>
      </w:r>
      <w:r>
        <w:t>l</w:t>
      </w:r>
      <w:r w:rsidRPr="00056A9D">
        <w:t xml:space="preserve">ine terminal equipment at Newtown </w:t>
      </w:r>
      <w:r>
        <w:t>s</w:t>
      </w:r>
      <w:r w:rsidRPr="00056A9D">
        <w:t>ubstation</w:t>
      </w:r>
    </w:p>
    <w:p w:rsidR="00C561D4" w:rsidRPr="006D7F0A" w:rsidRDefault="00C561D4" w:rsidP="00C561D4">
      <w:r w:rsidRPr="006D7F0A">
        <w:t xml:space="preserve">The </w:t>
      </w:r>
      <w:r>
        <w:t xml:space="preserve">preferred </w:t>
      </w:r>
      <w:r w:rsidRPr="006D7F0A">
        <w:t>solution</w:t>
      </w:r>
      <w:r>
        <w:t xml:space="preserve"> </w:t>
      </w:r>
      <w:r w:rsidRPr="006D7F0A">
        <w:t xml:space="preserve">for addressing the needs in the </w:t>
      </w:r>
      <w:r>
        <w:t>Bridgeport</w:t>
      </w:r>
      <w:r w:rsidRPr="006D7F0A">
        <w:t xml:space="preserve"> </w:t>
      </w:r>
      <w:r>
        <w:t xml:space="preserve">and New Haven </w:t>
      </w:r>
      <w:r w:rsidRPr="006D7F0A">
        <w:t>area</w:t>
      </w:r>
      <w:r>
        <w:t>s</w:t>
      </w:r>
      <w:r w:rsidRPr="006D7F0A">
        <w:t xml:space="preserve"> include the following components:</w:t>
      </w:r>
    </w:p>
    <w:p w:rsidR="00C561D4" w:rsidRDefault="00C561D4" w:rsidP="00C561D4">
      <w:pPr>
        <w:numPr>
          <w:ilvl w:val="0"/>
          <w:numId w:val="224"/>
        </w:numPr>
        <w:spacing w:after="0" w:line="360" w:lineRule="auto"/>
      </w:pPr>
      <w:r>
        <w:t xml:space="preserve">Upgrade the </w:t>
      </w:r>
      <w:r w:rsidRPr="00A0545F">
        <w:t xml:space="preserve">Baird 115 kV </w:t>
      </w:r>
      <w:r>
        <w:t>b</w:t>
      </w:r>
      <w:r w:rsidRPr="00A0545F">
        <w:t xml:space="preserve">us </w:t>
      </w:r>
    </w:p>
    <w:p w:rsidR="00C561D4" w:rsidRDefault="00C561D4" w:rsidP="00C561D4">
      <w:pPr>
        <w:numPr>
          <w:ilvl w:val="0"/>
          <w:numId w:val="224"/>
        </w:numPr>
        <w:spacing w:after="0" w:line="360" w:lineRule="auto"/>
      </w:pPr>
      <w:r w:rsidRPr="00A0545F">
        <w:t xml:space="preserve">Install </w:t>
      </w:r>
      <w:r>
        <w:t>two</w:t>
      </w:r>
      <w:r w:rsidRPr="00A0545F">
        <w:t xml:space="preserve"> 115</w:t>
      </w:r>
      <w:r>
        <w:t xml:space="preserve"> </w:t>
      </w:r>
      <w:r w:rsidRPr="00A0545F">
        <w:t xml:space="preserve">kV </w:t>
      </w:r>
      <w:r>
        <w:t>c</w:t>
      </w:r>
      <w:r w:rsidRPr="00A0545F">
        <w:t xml:space="preserve">apacitor </w:t>
      </w:r>
      <w:r>
        <w:t>b</w:t>
      </w:r>
      <w:r w:rsidRPr="00A0545F">
        <w:t xml:space="preserve">anks at Hawthorne </w:t>
      </w:r>
    </w:p>
    <w:p w:rsidR="00C561D4" w:rsidRDefault="00C561D4" w:rsidP="00C561D4">
      <w:pPr>
        <w:numPr>
          <w:ilvl w:val="0"/>
          <w:numId w:val="224"/>
        </w:numPr>
        <w:spacing w:after="120"/>
      </w:pPr>
      <w:r w:rsidRPr="00A0545F">
        <w:t xml:space="preserve">Upgrade </w:t>
      </w:r>
      <w:r>
        <w:t xml:space="preserve">the </w:t>
      </w:r>
      <w:r w:rsidRPr="00A0545F">
        <w:t>115</w:t>
      </w:r>
      <w:r>
        <w:t xml:space="preserve"> </w:t>
      </w:r>
      <w:r w:rsidRPr="00A0545F">
        <w:t xml:space="preserve">kV </w:t>
      </w:r>
      <w:r>
        <w:t>b</w:t>
      </w:r>
      <w:r w:rsidRPr="00A0545F">
        <w:t xml:space="preserve">us </w:t>
      </w:r>
      <w:r>
        <w:t>s</w:t>
      </w:r>
      <w:r w:rsidRPr="00A0545F">
        <w:t xml:space="preserve">ystem and 15 </w:t>
      </w:r>
      <w:r>
        <w:t>d</w:t>
      </w:r>
      <w:r w:rsidRPr="00A0545F">
        <w:t xml:space="preserve">isconnects </w:t>
      </w:r>
      <w:r w:rsidRPr="00BD1D8F">
        <w:t xml:space="preserve">to </w:t>
      </w:r>
      <w:r w:rsidR="0028427D" w:rsidRPr="00BD1D8F">
        <w:t xml:space="preserve">63 </w:t>
      </w:r>
      <w:proofErr w:type="spellStart"/>
      <w:r w:rsidR="0007592E" w:rsidRPr="00BD1D8F">
        <w:t>kiloamp</w:t>
      </w:r>
      <w:r w:rsidR="00BD1D8F" w:rsidRPr="00BD1D8F">
        <w:t>ere</w:t>
      </w:r>
      <w:r w:rsidR="0007592E" w:rsidRPr="00BD1D8F">
        <w:t>s</w:t>
      </w:r>
      <w:proofErr w:type="spellEnd"/>
      <w:r w:rsidR="0007592E" w:rsidRPr="00BD1D8F">
        <w:t xml:space="preserve"> (kA</w:t>
      </w:r>
      <w:r w:rsidR="00810B73" w:rsidRPr="00BD1D8F">
        <w:t>)</w:t>
      </w:r>
      <w:r w:rsidRPr="00BD1D8F">
        <w:t xml:space="preserve"> interrupting</w:t>
      </w:r>
      <w:r w:rsidRPr="00A0545F">
        <w:t xml:space="preserve"> </w:t>
      </w:r>
      <w:r>
        <w:t>c</w:t>
      </w:r>
      <w:r w:rsidRPr="00A0545F">
        <w:t xml:space="preserve">apability at </w:t>
      </w:r>
      <w:proofErr w:type="spellStart"/>
      <w:r w:rsidRPr="00A0545F">
        <w:t>Pequonnock</w:t>
      </w:r>
      <w:proofErr w:type="spellEnd"/>
    </w:p>
    <w:p w:rsidR="00C561D4" w:rsidRDefault="00C561D4" w:rsidP="00C561D4">
      <w:pPr>
        <w:numPr>
          <w:ilvl w:val="0"/>
          <w:numId w:val="224"/>
        </w:numPr>
        <w:spacing w:after="120"/>
        <w:jc w:val="both"/>
      </w:pPr>
      <w:r w:rsidRPr="00A0545F">
        <w:t>Re</w:t>
      </w:r>
      <w:r w:rsidR="007917FC">
        <w:t>build</w:t>
      </w:r>
      <w:r w:rsidRPr="00A0545F">
        <w:t xml:space="preserve"> the 8809A/8909B lines f</w:t>
      </w:r>
      <w:r>
        <w:t>ro</w:t>
      </w:r>
      <w:r w:rsidRPr="00A0545F">
        <w:t>m Baird to Congress</w:t>
      </w:r>
    </w:p>
    <w:p w:rsidR="00C561D4" w:rsidRPr="00C47EC7" w:rsidRDefault="00C561D4" w:rsidP="00C561D4">
      <w:pPr>
        <w:numPr>
          <w:ilvl w:val="0"/>
          <w:numId w:val="224"/>
        </w:numPr>
        <w:spacing w:after="120"/>
        <w:jc w:val="both"/>
      </w:pPr>
      <w:r>
        <w:t xml:space="preserve">Install a series breaker at </w:t>
      </w:r>
      <w:r w:rsidRPr="00C47EC7">
        <w:t xml:space="preserve">East Devon </w:t>
      </w:r>
    </w:p>
    <w:p w:rsidR="00C561D4" w:rsidRPr="00C47EC7" w:rsidRDefault="00C561D4" w:rsidP="00C561D4">
      <w:pPr>
        <w:numPr>
          <w:ilvl w:val="0"/>
          <w:numId w:val="224"/>
        </w:numPr>
        <w:spacing w:after="120"/>
        <w:jc w:val="both"/>
      </w:pPr>
      <w:r w:rsidRPr="00C47EC7">
        <w:t xml:space="preserve">Remove the </w:t>
      </w:r>
      <w:proofErr w:type="spellStart"/>
      <w:r w:rsidRPr="00C47EC7">
        <w:t>Sackett</w:t>
      </w:r>
      <w:proofErr w:type="spellEnd"/>
      <w:r w:rsidRPr="00C47EC7">
        <w:t xml:space="preserve"> </w:t>
      </w:r>
      <w:r>
        <w:t>phase-angle regulator (PAR)</w:t>
      </w:r>
      <w:r w:rsidRPr="00C47EC7">
        <w:t xml:space="preserve"> </w:t>
      </w:r>
    </w:p>
    <w:p w:rsidR="00C561D4" w:rsidRPr="00C47EC7" w:rsidRDefault="00C561D4" w:rsidP="00C561D4">
      <w:pPr>
        <w:numPr>
          <w:ilvl w:val="0"/>
          <w:numId w:val="224"/>
        </w:numPr>
        <w:spacing w:after="120"/>
      </w:pPr>
      <w:r w:rsidRPr="00C47EC7">
        <w:t xml:space="preserve">Install a series reactor on </w:t>
      </w:r>
      <w:r>
        <w:t xml:space="preserve">the </w:t>
      </w:r>
      <w:r w:rsidRPr="00C47EC7">
        <w:t xml:space="preserve">1610 </w:t>
      </w:r>
      <w:r>
        <w:t>l</w:t>
      </w:r>
      <w:r w:rsidRPr="00C47EC7">
        <w:t xml:space="preserve">ine </w:t>
      </w:r>
      <w:r>
        <w:t>(Southington</w:t>
      </w:r>
      <w:r w:rsidRPr="0001709D">
        <w:t>–</w:t>
      </w:r>
      <w:r>
        <w:t>June</w:t>
      </w:r>
      <w:r w:rsidRPr="0001709D">
        <w:t>–</w:t>
      </w:r>
      <w:r>
        <w:t xml:space="preserve">Mix Ave) </w:t>
      </w:r>
      <w:r w:rsidRPr="00C47EC7">
        <w:t xml:space="preserve">and </w:t>
      </w:r>
      <w:r>
        <w:t>two</w:t>
      </w:r>
      <w:r w:rsidRPr="00C47EC7">
        <w:t xml:space="preserve"> 115 kV capacitor banks at Mix Avenue</w:t>
      </w:r>
    </w:p>
    <w:p w:rsidR="00C561D4" w:rsidRPr="00E9628A" w:rsidRDefault="00C561D4" w:rsidP="00C561D4">
      <w:pPr>
        <w:numPr>
          <w:ilvl w:val="0"/>
          <w:numId w:val="224"/>
        </w:numPr>
        <w:spacing w:after="120"/>
      </w:pPr>
      <w:r w:rsidRPr="00E9628A">
        <w:t>Re</w:t>
      </w:r>
      <w:r w:rsidR="007917FC">
        <w:t>build</w:t>
      </w:r>
      <w:r w:rsidRPr="00E9628A">
        <w:t xml:space="preserve"> the 88005A/89005B lines from Devon tie to </w:t>
      </w:r>
      <w:proofErr w:type="spellStart"/>
      <w:r w:rsidRPr="00E9628A">
        <w:t>Milvon</w:t>
      </w:r>
      <w:proofErr w:type="spellEnd"/>
    </w:p>
    <w:p w:rsidR="00C561D4" w:rsidRDefault="00C561D4" w:rsidP="00C561D4">
      <w:pPr>
        <w:numPr>
          <w:ilvl w:val="0"/>
          <w:numId w:val="224"/>
        </w:numPr>
        <w:spacing w:after="0" w:line="360" w:lineRule="auto"/>
      </w:pPr>
      <w:r w:rsidRPr="00C47EC7">
        <w:t xml:space="preserve">Replace </w:t>
      </w:r>
      <w:r>
        <w:t>two</w:t>
      </w:r>
      <w:r w:rsidRPr="00C47EC7">
        <w:t xml:space="preserve"> 115</w:t>
      </w:r>
      <w:r>
        <w:t xml:space="preserve"> </w:t>
      </w:r>
      <w:r w:rsidRPr="00C47EC7">
        <w:t>kV breaker</w:t>
      </w:r>
      <w:r>
        <w:t>s</w:t>
      </w:r>
      <w:r w:rsidRPr="00C47EC7">
        <w:t xml:space="preserve"> </w:t>
      </w:r>
      <w:r>
        <w:t xml:space="preserve">at Mill River </w:t>
      </w:r>
      <w:r w:rsidRPr="00C47EC7">
        <w:t xml:space="preserve">to address TRV </w:t>
      </w:r>
      <w:proofErr w:type="spellStart"/>
      <w:r w:rsidRPr="00C47EC7">
        <w:t>overduty</w:t>
      </w:r>
      <w:proofErr w:type="spellEnd"/>
      <w:r w:rsidRPr="00C47EC7">
        <w:t xml:space="preserve"> issues </w:t>
      </w:r>
    </w:p>
    <w:p w:rsidR="00C561D4" w:rsidRDefault="00C561D4" w:rsidP="00C561D4">
      <w:pPr>
        <w:numPr>
          <w:ilvl w:val="0"/>
          <w:numId w:val="224"/>
        </w:numPr>
        <w:spacing w:after="0" w:line="360" w:lineRule="auto"/>
      </w:pPr>
      <w:r w:rsidRPr="00C47EC7">
        <w:t xml:space="preserve">Upgrade the 1630 line </w:t>
      </w:r>
      <w:r>
        <w:t>(North Haven</w:t>
      </w:r>
      <w:r w:rsidRPr="0001709D">
        <w:t>–</w:t>
      </w:r>
      <w:r>
        <w:t>Wallingford</w:t>
      </w:r>
      <w:r w:rsidRPr="0001709D">
        <w:t>–</w:t>
      </w:r>
      <w:proofErr w:type="spellStart"/>
      <w:r>
        <w:t>Walrec</w:t>
      </w:r>
      <w:proofErr w:type="spellEnd"/>
      <w:r>
        <w:t xml:space="preserve">) </w:t>
      </w:r>
      <w:r w:rsidRPr="00C47EC7">
        <w:t xml:space="preserve">relay at North Haven </w:t>
      </w:r>
    </w:p>
    <w:p w:rsidR="007917FC" w:rsidRDefault="00C561D4" w:rsidP="007917FC">
      <w:pPr>
        <w:numPr>
          <w:ilvl w:val="0"/>
          <w:numId w:val="224"/>
        </w:numPr>
        <w:spacing w:after="120"/>
      </w:pPr>
      <w:r w:rsidRPr="0004042D">
        <w:t>Separate the 3827 (</w:t>
      </w:r>
      <w:proofErr w:type="spellStart"/>
      <w:r w:rsidRPr="0004042D">
        <w:t>Beseck</w:t>
      </w:r>
      <w:proofErr w:type="spellEnd"/>
      <w:r w:rsidRPr="0004042D">
        <w:t>–East Devon)</w:t>
      </w:r>
      <w:r w:rsidR="00231BC6">
        <w:t>–</w:t>
      </w:r>
      <w:r w:rsidRPr="0004042D">
        <w:t>1610 (Southington–June–Mix Ave) double-circuit towers</w:t>
      </w:r>
    </w:p>
    <w:p w:rsidR="007917FC" w:rsidRPr="00040CCE" w:rsidRDefault="007917FC" w:rsidP="007917FC">
      <w:pPr>
        <w:numPr>
          <w:ilvl w:val="0"/>
          <w:numId w:val="224"/>
        </w:numPr>
        <w:spacing w:after="120"/>
      </w:pPr>
      <w:r w:rsidRPr="00777DDF">
        <w:t>Rebuild the 88006A/89006B lines from the Housatonic River Crossing to Barnum</w:t>
      </w:r>
    </w:p>
    <w:p w:rsidR="00C561D4" w:rsidRPr="0004042D" w:rsidRDefault="007917FC" w:rsidP="007917FC">
      <w:pPr>
        <w:numPr>
          <w:ilvl w:val="0"/>
          <w:numId w:val="224"/>
        </w:numPr>
      </w:pPr>
      <w:proofErr w:type="spellStart"/>
      <w:r w:rsidRPr="00777DDF">
        <w:t>Rebulild</w:t>
      </w:r>
      <w:proofErr w:type="spellEnd"/>
      <w:r w:rsidRPr="00777DDF">
        <w:t xml:space="preserve"> the 88006A/88006B lines from Barnum to Baird</w:t>
      </w:r>
      <w:r w:rsidR="00C561D4" w:rsidRPr="0004042D">
        <w:t xml:space="preserve"> </w:t>
      </w:r>
    </w:p>
    <w:p w:rsidR="00F17510" w:rsidRDefault="00C561D4" w:rsidP="00F17510">
      <w:r>
        <w:t xml:space="preserve">The recently completed needs assessment showed no further need for the relay upgrades at the </w:t>
      </w:r>
      <w:r w:rsidRPr="00517562">
        <w:t>June substation.</w:t>
      </w:r>
    </w:p>
    <w:p w:rsidR="00C561D4" w:rsidRDefault="00F17510" w:rsidP="00C561D4">
      <w:r w:rsidRPr="00F6223D">
        <w:t xml:space="preserve">A </w:t>
      </w:r>
      <w:r>
        <w:t xml:space="preserve">SWCT </w:t>
      </w:r>
      <w:r w:rsidRPr="00F6223D">
        <w:t xml:space="preserve">solutions study report </w:t>
      </w:r>
      <w:proofErr w:type="gramStart"/>
      <w:r w:rsidRPr="00F6223D">
        <w:t>is being drafted</w:t>
      </w:r>
      <w:proofErr w:type="gramEnd"/>
      <w:r w:rsidRPr="00F6223D">
        <w:t>.</w:t>
      </w:r>
      <w:r w:rsidR="00231BC6">
        <w:t xml:space="preserve"> </w:t>
      </w:r>
      <w:r w:rsidR="00C561D4">
        <w:t xml:space="preserve">As part of the development of solutions in SWCT, the preferred solution for meeting short-circuit criteria at </w:t>
      </w:r>
      <w:proofErr w:type="spellStart"/>
      <w:r w:rsidR="00C561D4">
        <w:t>Pequonnock</w:t>
      </w:r>
      <w:proofErr w:type="spellEnd"/>
      <w:r w:rsidR="00C561D4">
        <w:t xml:space="preserve"> was to delay the circuit-breaker fault-clearing time to reduce the interrupt duty. The solution includes the complete replacement of the transmission control house and relays to incorporate the additional time delay in the tripping logic. With the upcoming retirement of Norwalk Harbor station and Bridgeport Harbor 2, the control house and new relays </w:t>
      </w:r>
      <w:proofErr w:type="gramStart"/>
      <w:r w:rsidR="00C561D4">
        <w:t>are no longer needed</w:t>
      </w:r>
      <w:proofErr w:type="gramEnd"/>
      <w:r w:rsidR="00C561D4">
        <w:t xml:space="preserve">. However, </w:t>
      </w:r>
      <w:r w:rsidR="00752618">
        <w:t>the</w:t>
      </w:r>
      <w:r w:rsidR="00C561D4">
        <w:t xml:space="preserve"> need</w:t>
      </w:r>
      <w:r w:rsidR="00752618">
        <w:t xml:space="preserve"> persists</w:t>
      </w:r>
      <w:r w:rsidR="00C561D4">
        <w:t xml:space="preserve"> to replace bus work and disconnects at the </w:t>
      </w:r>
      <w:proofErr w:type="spellStart"/>
      <w:r w:rsidR="00C561D4">
        <w:t>Pequonnock</w:t>
      </w:r>
      <w:proofErr w:type="spellEnd"/>
      <w:r w:rsidR="00C561D4">
        <w:t xml:space="preserve"> station</w:t>
      </w:r>
      <w:r w:rsidR="00752618">
        <w:t xml:space="preserve"> </w:t>
      </w:r>
      <w:r w:rsidR="00C561D4">
        <w:t>to address short</w:t>
      </w:r>
      <w:r w:rsidR="00231BC6">
        <w:t>-</w:t>
      </w:r>
      <w:r w:rsidR="00C561D4">
        <w:t xml:space="preserve">circuit concerns. </w:t>
      </w:r>
    </w:p>
    <w:p w:rsidR="00C561D4" w:rsidRPr="00504C05" w:rsidRDefault="00113C54" w:rsidP="00C561D4">
      <w:r w:rsidRPr="00113C54">
        <w:t xml:space="preserve">Two other study efforts in Connecticut, evaluations of the Hartford and Middletown areas, </w:t>
      </w:r>
      <w:proofErr w:type="gramStart"/>
      <w:r w:rsidRPr="00113C54">
        <w:t>have now been combined</w:t>
      </w:r>
      <w:proofErr w:type="gramEnd"/>
      <w:r w:rsidRPr="00113C54">
        <w:t xml:space="preserve"> with the Greater Hartford/Central Connecticut study. Load-supply issues exist under certain dispatch and transfer conditions. Additionally, the Greater Hartford transmission system can experience flow-through issues when its 115 kV circuits are called on, under contingency conditions, to carry the power normally supplied via the 345 kV </w:t>
      </w:r>
      <w:proofErr w:type="gramStart"/>
      <w:r w:rsidRPr="00113C54">
        <w:t>system</w:t>
      </w:r>
      <w:proofErr w:type="gramEnd"/>
      <w:r w:rsidRPr="00113C54">
        <w:t xml:space="preserve">. Both voltage and thermal issues </w:t>
      </w:r>
      <w:proofErr w:type="gramStart"/>
      <w:r w:rsidRPr="00113C54">
        <w:t>have been identified</w:t>
      </w:r>
      <w:proofErr w:type="gramEnd"/>
      <w:r w:rsidRPr="00113C54">
        <w:t xml:space="preserve"> in the Middletown area under future conditions when local generation is unavailable and when the Haddam 345/115 kV autotransformer is out of service.</w:t>
      </w:r>
    </w:p>
    <w:p w:rsidR="00C561D4" w:rsidRPr="00825FD7" w:rsidRDefault="00113C54" w:rsidP="00C561D4">
      <w:r w:rsidRPr="00113C54">
        <w:t xml:space="preserve">The Greater Hartford and Central Connecticut study area consists of about 35% of Connecticut load and spans the central and northwestern portions of the state. The objective of the study was to determine the reliability needs </w:t>
      </w:r>
      <w:r w:rsidR="00BE25FD">
        <w:t>for</w:t>
      </w:r>
      <w:r w:rsidRPr="00113C54">
        <w:t xml:space="preserve"> </w:t>
      </w:r>
      <w:r w:rsidR="00BE25FD">
        <w:t xml:space="preserve">both </w:t>
      </w:r>
      <w:r w:rsidRPr="00113C54">
        <w:t>serv</w:t>
      </w:r>
      <w:r w:rsidR="00BE25FD">
        <w:t>ing</w:t>
      </w:r>
      <w:r w:rsidRPr="00113C54">
        <w:t xml:space="preserve"> local load in the area and reassess</w:t>
      </w:r>
      <w:r w:rsidR="00BE25FD">
        <w:t>ing</w:t>
      </w:r>
      <w:r w:rsidRPr="00113C54">
        <w:t xml:space="preserve"> the needs that had driven the Central Connecticut Reliability Plan component of NEEWS. The CCRP project consists of a new 345 kV line from North Bloomfield to Frost Bridge that crosses the western Connecticut import interface. The need for the project </w:t>
      </w:r>
      <w:proofErr w:type="gramStart"/>
      <w:r w:rsidRPr="00113C54">
        <w:t>was based</w:t>
      </w:r>
      <w:proofErr w:type="gramEnd"/>
      <w:r w:rsidRPr="00113C54">
        <w:t xml:space="preserve"> on thermal violations on the 345 kV lines that form this interface.</w:t>
      </w:r>
    </w:p>
    <w:p w:rsidR="008517F1" w:rsidRDefault="00113C54">
      <w:r w:rsidRPr="00113C54">
        <w:t>The study area consists of four subareas: Greater Hartford, including the Southington station; Manchester–Barbour Hill; Middletown; and northwestern Connecticut. The study area, in general, consists of several load pockets with limited generation</w:t>
      </w:r>
      <w:r w:rsidR="009F5EA2">
        <w:t xml:space="preserve"> </w:t>
      </w:r>
      <w:r w:rsidRPr="00113C54">
        <w:t xml:space="preserve">fed by limited transmission. The loss of two or more transmission paths into these load pockets results in the thermal overloads on the remaining transmission paths and low voltages within the load pocket. The needs assessment for this study shows that system needs exist in all four subareas at 2013 load levels. The needs </w:t>
      </w:r>
      <w:proofErr w:type="gramStart"/>
      <w:r w:rsidRPr="00113C54">
        <w:t>were attributed</w:t>
      </w:r>
      <w:proofErr w:type="gramEnd"/>
      <w:r w:rsidRPr="00113C54">
        <w:t xml:space="preserve"> to load-serving issues and the need for increased import capability into western Connecticut. However, most of the </w:t>
      </w:r>
      <w:r w:rsidR="00231BC6" w:rsidRPr="00113C54">
        <w:t>345</w:t>
      </w:r>
      <w:r w:rsidR="00231BC6">
        <w:t> </w:t>
      </w:r>
      <w:r w:rsidRPr="00113C54">
        <w:t xml:space="preserve">kV violations that drove the need for the CCRP project </w:t>
      </w:r>
      <w:proofErr w:type="gramStart"/>
      <w:r w:rsidRPr="00113C54">
        <w:t>were no longer observed</w:t>
      </w:r>
      <w:proofErr w:type="gramEnd"/>
      <w:r w:rsidRPr="00113C54">
        <w:t>, and the project in its original form will no longer be required. The final needs report was posted in April 2014.</w:t>
      </w:r>
      <w:r w:rsidRPr="00113C54">
        <w:rPr>
          <w:vertAlign w:val="superscript"/>
        </w:rPr>
        <w:footnoteReference w:id="231"/>
      </w:r>
      <w:r w:rsidRPr="00113C54">
        <w:t xml:space="preserve"> </w:t>
      </w:r>
    </w:p>
    <w:p w:rsidR="008517F1" w:rsidRDefault="00113C54">
      <w:r w:rsidRPr="00113C54">
        <w:t xml:space="preserve">Solutions </w:t>
      </w:r>
      <w:proofErr w:type="gramStart"/>
      <w:r w:rsidRPr="00113C54">
        <w:t>were developed</w:t>
      </w:r>
      <w:proofErr w:type="gramEnd"/>
      <w:r w:rsidRPr="00113C54">
        <w:t xml:space="preserve"> for each subarea listed above. The major components of the preferred</w:t>
      </w:r>
      <w:r w:rsidR="00C561D4" w:rsidRPr="00825FD7">
        <w:t xml:space="preserve"> solutions for each subarea </w:t>
      </w:r>
      <w:proofErr w:type="gramStart"/>
      <w:r w:rsidR="00C561D4" w:rsidRPr="00825FD7">
        <w:t>are highlighted</w:t>
      </w:r>
      <w:proofErr w:type="gramEnd"/>
      <w:r w:rsidR="00C561D4" w:rsidRPr="00825FD7">
        <w:t xml:space="preserve"> below:</w:t>
      </w:r>
    </w:p>
    <w:p w:rsidR="00C561D4" w:rsidRDefault="00C561D4" w:rsidP="00EF06BF">
      <w:pPr>
        <w:numPr>
          <w:ilvl w:val="0"/>
          <w:numId w:val="513"/>
        </w:numPr>
        <w:spacing w:after="120"/>
      </w:pPr>
      <w:r w:rsidRPr="00825FD7">
        <w:t>Manchester–Barbour Hill</w:t>
      </w:r>
    </w:p>
    <w:p w:rsidR="00C561D4" w:rsidRDefault="00C561D4" w:rsidP="00EF06BF">
      <w:pPr>
        <w:numPr>
          <w:ilvl w:val="0"/>
          <w:numId w:val="514"/>
        </w:numPr>
        <w:spacing w:after="120"/>
      </w:pPr>
      <w:r w:rsidRPr="00825FD7">
        <w:t xml:space="preserve">Add a new 345/115 kV autotransformer at Barbour Hill </w:t>
      </w:r>
    </w:p>
    <w:p w:rsidR="00C561D4" w:rsidRDefault="00C561D4" w:rsidP="00EF06BF">
      <w:pPr>
        <w:numPr>
          <w:ilvl w:val="0"/>
          <w:numId w:val="514"/>
        </w:numPr>
        <w:spacing w:after="120"/>
      </w:pPr>
      <w:r w:rsidRPr="00825FD7">
        <w:t>Upgrade the 115 kV line from Manchester to Barbour Hill (1763)</w:t>
      </w:r>
    </w:p>
    <w:p w:rsidR="00C561D4" w:rsidRDefault="00C561D4" w:rsidP="00EF06BF">
      <w:pPr>
        <w:numPr>
          <w:ilvl w:val="0"/>
          <w:numId w:val="514"/>
        </w:numPr>
      </w:pPr>
      <w:r w:rsidRPr="00825FD7">
        <w:t>Add a series breaker at Manchester 345 kV switchyard</w:t>
      </w:r>
    </w:p>
    <w:p w:rsidR="00C561D4" w:rsidRDefault="00C561D4" w:rsidP="00EF06BF">
      <w:pPr>
        <w:numPr>
          <w:ilvl w:val="0"/>
          <w:numId w:val="513"/>
        </w:numPr>
        <w:spacing w:after="120"/>
      </w:pPr>
      <w:r w:rsidRPr="00825FD7">
        <w:t>Northwestern Connecticut</w:t>
      </w:r>
    </w:p>
    <w:p w:rsidR="00C561D4" w:rsidRPr="00371D67" w:rsidRDefault="00C561D4" w:rsidP="00EF06BF">
      <w:pPr>
        <w:numPr>
          <w:ilvl w:val="0"/>
          <w:numId w:val="515"/>
        </w:numPr>
        <w:spacing w:after="120"/>
      </w:pPr>
      <w:r w:rsidRPr="00371D67">
        <w:t>Add a new 115 kV line from Frost</w:t>
      </w:r>
      <w:r w:rsidR="00D070D3">
        <w:t xml:space="preserve"> B</w:t>
      </w:r>
      <w:r w:rsidRPr="00371D67">
        <w:t xml:space="preserve">ridge to </w:t>
      </w:r>
      <w:proofErr w:type="spellStart"/>
      <w:r w:rsidRPr="00371D67">
        <w:t>Campville</w:t>
      </w:r>
      <w:proofErr w:type="spellEnd"/>
      <w:r w:rsidRPr="00371D67">
        <w:t xml:space="preserve"> substation</w:t>
      </w:r>
    </w:p>
    <w:p w:rsidR="00C561D4" w:rsidRPr="00371D67" w:rsidRDefault="006B058B" w:rsidP="000D7E6D">
      <w:pPr>
        <w:numPr>
          <w:ilvl w:val="0"/>
          <w:numId w:val="515"/>
        </w:numPr>
        <w:spacing w:after="120"/>
      </w:pPr>
      <w:r w:rsidRPr="00371D67">
        <w:t xml:space="preserve">Separate the 115 kV lines from Frost Bridge to </w:t>
      </w:r>
      <w:proofErr w:type="spellStart"/>
      <w:r w:rsidRPr="00371D67">
        <w:t>Campville</w:t>
      </w:r>
      <w:proofErr w:type="spellEnd"/>
      <w:r w:rsidRPr="00371D67">
        <w:t xml:space="preserve"> and from Thomaston to </w:t>
      </w:r>
      <w:proofErr w:type="spellStart"/>
      <w:r w:rsidRPr="00371D67">
        <w:t>Campville</w:t>
      </w:r>
      <w:proofErr w:type="spellEnd"/>
      <w:r w:rsidRPr="00371D67">
        <w:t xml:space="preserve"> DCT, and add a 115 kV breaker at </w:t>
      </w:r>
      <w:proofErr w:type="spellStart"/>
      <w:r w:rsidRPr="00371D67">
        <w:t>Campville</w:t>
      </w:r>
      <w:proofErr w:type="spellEnd"/>
    </w:p>
    <w:p w:rsidR="00F17510" w:rsidRPr="00371D67" w:rsidRDefault="00F17510" w:rsidP="006B058B">
      <w:pPr>
        <w:numPr>
          <w:ilvl w:val="0"/>
          <w:numId w:val="515"/>
        </w:numPr>
        <w:spacing w:after="120"/>
      </w:pPr>
      <w:r w:rsidRPr="00371D67">
        <w:t xml:space="preserve">Upgrade terminal equipment on the 115 kV line between </w:t>
      </w:r>
      <w:proofErr w:type="spellStart"/>
      <w:r w:rsidRPr="00371D67">
        <w:t>Chippen</w:t>
      </w:r>
      <w:proofErr w:type="spellEnd"/>
      <w:r w:rsidRPr="00371D67">
        <w:t xml:space="preserve"> Hill and Lake Avenue </w:t>
      </w:r>
      <w:r w:rsidR="00316208" w:rsidRPr="00371D67">
        <w:t>Junction</w:t>
      </w:r>
      <w:r w:rsidRPr="00371D67">
        <w:t xml:space="preserve"> (1810-3)</w:t>
      </w:r>
    </w:p>
    <w:p w:rsidR="00F17510" w:rsidRPr="00371D67" w:rsidRDefault="00F17510" w:rsidP="000D7E6D">
      <w:pPr>
        <w:numPr>
          <w:ilvl w:val="0"/>
          <w:numId w:val="515"/>
        </w:numPr>
        <w:spacing w:after="120"/>
      </w:pPr>
      <w:proofErr w:type="spellStart"/>
      <w:r w:rsidRPr="00371D67">
        <w:t>Reconductor</w:t>
      </w:r>
      <w:proofErr w:type="spellEnd"/>
      <w:r w:rsidRPr="00371D67">
        <w:t xml:space="preserve"> the 115 kV line between Southington and Lake Avenue Junction (1810-1) </w:t>
      </w:r>
    </w:p>
    <w:p w:rsidR="00F17510" w:rsidRPr="00371D67" w:rsidRDefault="006B058B" w:rsidP="000D7E6D">
      <w:pPr>
        <w:numPr>
          <w:ilvl w:val="0"/>
          <w:numId w:val="513"/>
        </w:numPr>
        <w:spacing w:after="120"/>
      </w:pPr>
      <w:r w:rsidRPr="00371D67">
        <w:t xml:space="preserve">Greater </w:t>
      </w:r>
      <w:r w:rsidR="00F17510" w:rsidRPr="00371D67">
        <w:t>Hartford</w:t>
      </w:r>
      <w:r w:rsidRPr="00371D67">
        <w:t xml:space="preserve">, including </w:t>
      </w:r>
      <w:r w:rsidR="00F17510" w:rsidRPr="00371D67">
        <w:t>Southington</w:t>
      </w:r>
    </w:p>
    <w:p w:rsidR="00F17510" w:rsidRPr="00371D67" w:rsidRDefault="00F17510" w:rsidP="000D7E6D">
      <w:pPr>
        <w:numPr>
          <w:ilvl w:val="1"/>
          <w:numId w:val="513"/>
        </w:numPr>
        <w:spacing w:after="120"/>
        <w:ind w:left="1080"/>
      </w:pPr>
      <w:r w:rsidRPr="00371D67">
        <w:t>Replace the existing 3% series reactors on the 115 kV lines between Southington and Todd (1910) and between Southington and Canal (1950) with 5% series reactors</w:t>
      </w:r>
    </w:p>
    <w:p w:rsidR="00F17510" w:rsidRPr="00371D67" w:rsidRDefault="00F17510" w:rsidP="000D7E6D">
      <w:pPr>
        <w:numPr>
          <w:ilvl w:val="1"/>
          <w:numId w:val="513"/>
        </w:numPr>
        <w:spacing w:after="120"/>
        <w:ind w:left="1080"/>
      </w:pPr>
      <w:r w:rsidRPr="00371D67">
        <w:t>Replace the normally open 19T breaker at Southington with a 3% series reactor between Southington ring 1 and Southington ring 2 and associated substation upgrades</w:t>
      </w:r>
    </w:p>
    <w:p w:rsidR="00F17510" w:rsidRPr="00371D67" w:rsidRDefault="00F17510" w:rsidP="000D7E6D">
      <w:pPr>
        <w:numPr>
          <w:ilvl w:val="1"/>
          <w:numId w:val="513"/>
        </w:numPr>
        <w:spacing w:after="120"/>
        <w:ind w:left="1080"/>
      </w:pPr>
      <w:r w:rsidRPr="00371D67">
        <w:t>Add a breaker in series with breaker 5T at the Southington 345 kV switchyard</w:t>
      </w:r>
    </w:p>
    <w:p w:rsidR="00F17510" w:rsidRPr="00371D67" w:rsidRDefault="00F17510" w:rsidP="000D7E6D">
      <w:pPr>
        <w:numPr>
          <w:ilvl w:val="1"/>
          <w:numId w:val="513"/>
        </w:numPr>
        <w:spacing w:after="120"/>
        <w:ind w:left="1080"/>
      </w:pPr>
      <w:r w:rsidRPr="00371D67">
        <w:t>Add a new control house at Southington 115 kV substation</w:t>
      </w:r>
    </w:p>
    <w:p w:rsidR="006B058B" w:rsidRPr="00371D67" w:rsidRDefault="006B058B" w:rsidP="006B058B">
      <w:pPr>
        <w:numPr>
          <w:ilvl w:val="1"/>
          <w:numId w:val="513"/>
        </w:numPr>
        <w:spacing w:after="120"/>
        <w:ind w:left="1080"/>
      </w:pPr>
      <w:r w:rsidRPr="00371D67">
        <w:t xml:space="preserve">Add a new 115 kV underground cable from </w:t>
      </w:r>
      <w:proofErr w:type="spellStart"/>
      <w:r w:rsidRPr="00371D67">
        <w:t>Newingtown</w:t>
      </w:r>
      <w:proofErr w:type="spellEnd"/>
      <w:r w:rsidRPr="00371D67">
        <w:t xml:space="preserve"> to Southwest Hartford and associated terminal equipment, including a 2% reactor</w:t>
      </w:r>
    </w:p>
    <w:p w:rsidR="00F17510" w:rsidRPr="00371D67" w:rsidRDefault="00F17510" w:rsidP="000D7E6D">
      <w:pPr>
        <w:numPr>
          <w:ilvl w:val="1"/>
          <w:numId w:val="513"/>
        </w:numPr>
        <w:spacing w:after="120"/>
        <w:ind w:left="1080"/>
      </w:pPr>
      <w:r w:rsidRPr="00371D67">
        <w:t>Loop the 1779 line between South Meadow and Bloomfield into the Rood Avenue substation</w:t>
      </w:r>
      <w:r w:rsidR="006B058B" w:rsidRPr="00371D67">
        <w:t>,</w:t>
      </w:r>
      <w:r w:rsidRPr="00371D67">
        <w:t xml:space="preserve"> and reconfigure the Rood Avenue substation</w:t>
      </w:r>
    </w:p>
    <w:p w:rsidR="00F17510" w:rsidRPr="00371D67" w:rsidRDefault="00F17510" w:rsidP="000D7E6D">
      <w:pPr>
        <w:numPr>
          <w:ilvl w:val="1"/>
          <w:numId w:val="513"/>
        </w:numPr>
        <w:spacing w:after="120"/>
        <w:ind w:left="1080"/>
      </w:pPr>
      <w:r w:rsidRPr="00371D67">
        <w:t>Reconfigure the Berlin 115 kV substation</w:t>
      </w:r>
      <w:r w:rsidR="006B058B" w:rsidRPr="00371D67">
        <w:t>,</w:t>
      </w:r>
      <w:r w:rsidRPr="00371D67">
        <w:t xml:space="preserve"> including the addition of two 115 kV breakers and the relocation of a capacitor bank</w:t>
      </w:r>
    </w:p>
    <w:p w:rsidR="00F17510" w:rsidRPr="00371D67" w:rsidRDefault="00F17510" w:rsidP="000D7E6D">
      <w:pPr>
        <w:numPr>
          <w:ilvl w:val="1"/>
          <w:numId w:val="513"/>
        </w:numPr>
        <w:spacing w:after="120"/>
        <w:ind w:left="1080"/>
      </w:pPr>
      <w:r w:rsidRPr="00371D67">
        <w:t>Add a 115 kV 25.2 MVAR capacitor at Westside 115 kV substation</w:t>
      </w:r>
    </w:p>
    <w:p w:rsidR="00F17510" w:rsidRPr="00371D67" w:rsidRDefault="00F17510" w:rsidP="000D7E6D">
      <w:pPr>
        <w:numPr>
          <w:ilvl w:val="1"/>
          <w:numId w:val="513"/>
        </w:numPr>
        <w:spacing w:after="120"/>
        <w:ind w:left="1080"/>
      </w:pPr>
      <w:proofErr w:type="spellStart"/>
      <w:r w:rsidRPr="00371D67">
        <w:t>Reconductor</w:t>
      </w:r>
      <w:proofErr w:type="spellEnd"/>
      <w:r w:rsidRPr="00371D67">
        <w:t xml:space="preserve"> the 115 kV line between Newington and Newington Tap (1783)</w:t>
      </w:r>
    </w:p>
    <w:p w:rsidR="00F17510" w:rsidRPr="00371D67" w:rsidRDefault="00F17510" w:rsidP="000D7E6D">
      <w:pPr>
        <w:numPr>
          <w:ilvl w:val="1"/>
          <w:numId w:val="513"/>
        </w:numPr>
        <w:spacing w:after="120"/>
        <w:ind w:left="1080"/>
      </w:pPr>
      <w:r w:rsidRPr="00371D67">
        <w:t>Separate the</w:t>
      </w:r>
      <w:r w:rsidR="000D7E6D" w:rsidRPr="00371D67">
        <w:t xml:space="preserve"> </w:t>
      </w:r>
      <w:r w:rsidRPr="00371D67">
        <w:t>115 kV DCT corresponding to the Bloomfield to South Meadow (1779) line and the Bloomfield to North Bloomfield (1777) line</w:t>
      </w:r>
      <w:r w:rsidR="006B058B" w:rsidRPr="00371D67">
        <w:t>,</w:t>
      </w:r>
      <w:r w:rsidRPr="00371D67">
        <w:t xml:space="preserve"> and add a breaker at Bloomfield 115 kV substation</w:t>
      </w:r>
    </w:p>
    <w:p w:rsidR="00F17510" w:rsidRPr="00371D67" w:rsidRDefault="00F17510" w:rsidP="000D7E6D">
      <w:pPr>
        <w:numPr>
          <w:ilvl w:val="1"/>
          <w:numId w:val="513"/>
        </w:numPr>
        <w:spacing w:after="120"/>
        <w:ind w:left="1080"/>
      </w:pPr>
      <w:r w:rsidRPr="00371D67">
        <w:t>Install a 115 kV 3% reactor on the underground cable between South Meadow and Southwest Hartford</w:t>
      </w:r>
      <w:r w:rsidR="005D5CD9" w:rsidRPr="00371D67">
        <w:t xml:space="preserve"> </w:t>
      </w:r>
      <w:r w:rsidRPr="00371D67">
        <w:t xml:space="preserve">(1704) </w:t>
      </w:r>
    </w:p>
    <w:p w:rsidR="00F17510" w:rsidRPr="00371D67" w:rsidRDefault="00F17510" w:rsidP="000D7E6D">
      <w:pPr>
        <w:numPr>
          <w:ilvl w:val="1"/>
          <w:numId w:val="513"/>
        </w:numPr>
        <w:spacing w:after="120"/>
        <w:ind w:left="1080"/>
      </w:pPr>
      <w:r w:rsidRPr="00371D67">
        <w:t>Separate the 115 kV DCT corresponding to the Bloomfield to North Bloomfield (1777) line and the North Bloomfield–Rood Avenue–Northwest Hartford (1751) line</w:t>
      </w:r>
      <w:r w:rsidR="006B058B" w:rsidRPr="00371D67">
        <w:t>,</w:t>
      </w:r>
      <w:r w:rsidRPr="00371D67">
        <w:t xml:space="preserve"> and add a breaker at North Bloomfield 115 kV substation</w:t>
      </w:r>
    </w:p>
    <w:p w:rsidR="006B058B" w:rsidRPr="00371D67" w:rsidRDefault="006B058B" w:rsidP="006B058B">
      <w:pPr>
        <w:numPr>
          <w:ilvl w:val="0"/>
          <w:numId w:val="513"/>
        </w:numPr>
        <w:spacing w:after="120"/>
      </w:pPr>
      <w:r w:rsidRPr="00371D67">
        <w:t>Middletown</w:t>
      </w:r>
    </w:p>
    <w:p w:rsidR="006B058B" w:rsidRPr="00371D67" w:rsidRDefault="006B058B" w:rsidP="006B058B">
      <w:pPr>
        <w:numPr>
          <w:ilvl w:val="1"/>
          <w:numId w:val="513"/>
        </w:numPr>
        <w:spacing w:after="120"/>
        <w:ind w:left="1080"/>
      </w:pPr>
      <w:r w:rsidRPr="00371D67">
        <w:t>Add a second 345/115 kV autotransformer at Haddam substation, and reconfigure the three- terminal 345 kV 348 line into 2 two-terminal lines</w:t>
      </w:r>
    </w:p>
    <w:p w:rsidR="00F17510" w:rsidRPr="00371D67" w:rsidRDefault="00F17510" w:rsidP="000D7E6D">
      <w:pPr>
        <w:numPr>
          <w:ilvl w:val="1"/>
          <w:numId w:val="513"/>
        </w:numPr>
        <w:spacing w:after="120"/>
        <w:ind w:left="1080"/>
      </w:pPr>
      <w:r w:rsidRPr="00371D67">
        <w:t xml:space="preserve">Upgrade terminal equipment on the 345 kV line between Haddam and </w:t>
      </w:r>
      <w:proofErr w:type="spellStart"/>
      <w:r w:rsidRPr="00371D67">
        <w:t>Beseck</w:t>
      </w:r>
      <w:proofErr w:type="spellEnd"/>
      <w:r w:rsidRPr="00371D67">
        <w:t xml:space="preserve"> (362)</w:t>
      </w:r>
    </w:p>
    <w:p w:rsidR="00F17510" w:rsidRPr="00371D67" w:rsidRDefault="00F17510" w:rsidP="000D7E6D">
      <w:pPr>
        <w:numPr>
          <w:ilvl w:val="1"/>
          <w:numId w:val="513"/>
        </w:numPr>
        <w:spacing w:after="120"/>
        <w:ind w:left="1080"/>
      </w:pPr>
      <w:r w:rsidRPr="00371D67">
        <w:t>Separate the 115 kV DCT corresponding to the Branford–Branford RR line (1537) and the Branford to North Haven (1655) line and add a series breaker at Branford 115 kV substation</w:t>
      </w:r>
    </w:p>
    <w:p w:rsidR="00F17510" w:rsidRPr="00371D67" w:rsidRDefault="00F17510" w:rsidP="000D7E6D">
      <w:pPr>
        <w:numPr>
          <w:ilvl w:val="1"/>
          <w:numId w:val="513"/>
        </w:numPr>
        <w:spacing w:after="120"/>
        <w:ind w:left="1080"/>
      </w:pPr>
      <w:r w:rsidRPr="00371D67">
        <w:t>Redesign the Green Hill 115 kV substation from a straight bus to a ring bus</w:t>
      </w:r>
      <w:r w:rsidR="006B058B" w:rsidRPr="00371D67">
        <w:t>,</w:t>
      </w:r>
      <w:r w:rsidRPr="00371D67">
        <w:t xml:space="preserve"> and add a 37.8</w:t>
      </w:r>
      <w:r w:rsidR="000D7E6D" w:rsidRPr="00371D67">
        <w:t> </w:t>
      </w:r>
      <w:r w:rsidRPr="00371D67">
        <w:t>MVAR capacitor bank</w:t>
      </w:r>
    </w:p>
    <w:p w:rsidR="00F17510" w:rsidRPr="00371D67" w:rsidRDefault="00F17510" w:rsidP="000D7E6D">
      <w:pPr>
        <w:numPr>
          <w:ilvl w:val="1"/>
          <w:numId w:val="513"/>
        </w:numPr>
        <w:spacing w:after="120"/>
        <w:ind w:left="1080"/>
      </w:pPr>
      <w:r w:rsidRPr="00371D67">
        <w:t xml:space="preserve">Upgrade terminal equipment on the Middletown to Dooley </w:t>
      </w:r>
      <w:r w:rsidR="000D7E6D" w:rsidRPr="00371D67">
        <w:t>l</w:t>
      </w:r>
      <w:r w:rsidRPr="00371D67">
        <w:t>ine (1050)</w:t>
      </w:r>
    </w:p>
    <w:p w:rsidR="00F17510" w:rsidRPr="00371D67" w:rsidRDefault="00F17510" w:rsidP="000D7E6D">
      <w:pPr>
        <w:numPr>
          <w:ilvl w:val="1"/>
          <w:numId w:val="513"/>
        </w:numPr>
        <w:spacing w:after="120"/>
        <w:ind w:left="1080"/>
      </w:pPr>
      <w:r w:rsidRPr="00371D67">
        <w:t xml:space="preserve">Upgrade terminal </w:t>
      </w:r>
      <w:r w:rsidR="006B058B" w:rsidRPr="00371D67">
        <w:t>e</w:t>
      </w:r>
      <w:r w:rsidRPr="00371D67">
        <w:t xml:space="preserve">quipment on the Middletown to Portland </w:t>
      </w:r>
      <w:r w:rsidR="000D7E6D" w:rsidRPr="00371D67">
        <w:t>l</w:t>
      </w:r>
      <w:r w:rsidRPr="00371D67">
        <w:t>ine (1443)</w:t>
      </w:r>
    </w:p>
    <w:p w:rsidR="005D7682" w:rsidRPr="00371D67" w:rsidRDefault="000D7E6D" w:rsidP="00F1288A">
      <w:pPr>
        <w:numPr>
          <w:ilvl w:val="0"/>
          <w:numId w:val="517"/>
        </w:numPr>
        <w:spacing w:after="120"/>
      </w:pPr>
      <w:r w:rsidRPr="00371D67">
        <w:t>Add a 37.8 MVAR capacitor bank at H</w:t>
      </w:r>
      <w:r w:rsidR="006B058B" w:rsidRPr="00371D67">
        <w:t xml:space="preserve">opewell </w:t>
      </w:r>
      <w:r w:rsidRPr="00371D67">
        <w:t>115 kV substation</w:t>
      </w:r>
    </w:p>
    <w:p w:rsidR="006B058B" w:rsidRPr="00371D67" w:rsidRDefault="006B058B" w:rsidP="00F1288A">
      <w:pPr>
        <w:numPr>
          <w:ilvl w:val="0"/>
          <w:numId w:val="517"/>
        </w:numPr>
      </w:pPr>
      <w:r w:rsidRPr="00371D67">
        <w:t xml:space="preserve"> Separate the 115 kV DCT corresponding to the Middletown–Pratt and Whitney line (1572) and the Middletown to Haddam (1620) line </w:t>
      </w:r>
    </w:p>
    <w:p w:rsidR="000D7E6D" w:rsidRDefault="000D7E6D" w:rsidP="005D7682">
      <w:r w:rsidRPr="000322EB">
        <w:t xml:space="preserve">A GHCC solutions study report </w:t>
      </w:r>
      <w:proofErr w:type="gramStart"/>
      <w:r w:rsidRPr="000322EB">
        <w:t>is being drafted</w:t>
      </w:r>
      <w:proofErr w:type="gramEnd"/>
      <w:r w:rsidRPr="000322EB">
        <w:t>.</w:t>
      </w:r>
    </w:p>
    <w:p w:rsidR="00C561D4" w:rsidRDefault="00C561D4" w:rsidP="00C561D4">
      <w:r>
        <w:t>Finally, the eastern Connecticut area study is in progress.</w:t>
      </w:r>
      <w:r>
        <w:rPr>
          <w:rStyle w:val="FootnoteReference"/>
        </w:rPr>
        <w:footnoteReference w:id="232"/>
      </w:r>
      <w:r>
        <w:t xml:space="preserve"> The eastern Connecticut area </w:t>
      </w:r>
      <w:proofErr w:type="gramStart"/>
      <w:r>
        <w:t>is defined</w:t>
      </w:r>
      <w:proofErr w:type="gramEnd"/>
      <w:r>
        <w:t xml:space="preserve"> from the east by the Connecticut and Rhode Island border, from the south by the Long Island Sound, from the </w:t>
      </w:r>
      <w:r w:rsidRPr="000E6BA8">
        <w:t xml:space="preserve">west by the eastern boundary of the </w:t>
      </w:r>
      <w:r w:rsidR="000E6BA8" w:rsidRPr="000E6BA8">
        <w:t>w</w:t>
      </w:r>
      <w:r w:rsidRPr="000E6BA8">
        <w:t xml:space="preserve">estern Connecticut </w:t>
      </w:r>
      <w:r w:rsidR="000E6BA8" w:rsidRPr="000E6BA8">
        <w:t>i</w:t>
      </w:r>
      <w:r w:rsidRPr="000E6BA8">
        <w:t>mport interface, and from the north by the</w:t>
      </w:r>
      <w:r>
        <w:t xml:space="preserve"> border between Connecticut and Massachusetts. The study area </w:t>
      </w:r>
      <w:proofErr w:type="gramStart"/>
      <w:r>
        <w:t>is served</w:t>
      </w:r>
      <w:proofErr w:type="gramEnd"/>
      <w:r>
        <w:t xml:space="preserve"> electrically from autotransformers at Killingly, Card, and Montville and by a 115 kV line from Rhode Island. The study evaluates the unavailability of the AES Thames generating unit among other issues. </w:t>
      </w:r>
      <w:r w:rsidRPr="00A577A3">
        <w:t>Th</w:t>
      </w:r>
      <w:r>
        <w:t>e</w:t>
      </w:r>
      <w:r w:rsidRPr="00A577A3">
        <w:t xml:space="preserve"> </w:t>
      </w:r>
      <w:r>
        <w:t>n</w:t>
      </w:r>
      <w:r w:rsidRPr="00A577A3">
        <w:t>eeds</w:t>
      </w:r>
      <w:r w:rsidRPr="00A318F0">
        <w:t xml:space="preserve"> </w:t>
      </w:r>
      <w:r>
        <w:t>a</w:t>
      </w:r>
      <w:r w:rsidRPr="00A318F0">
        <w:t>ssessm</w:t>
      </w:r>
      <w:r w:rsidRPr="007D577F">
        <w:t xml:space="preserve">ent </w:t>
      </w:r>
      <w:r>
        <w:t>has been completed</w:t>
      </w:r>
      <w:r w:rsidRPr="00B86804">
        <w:t>,</w:t>
      </w:r>
      <w:r w:rsidRPr="008E0124">
        <w:t xml:space="preserve"> </w:t>
      </w:r>
      <w:r>
        <w:t xml:space="preserve">and most of the needs are the result of the loss of the autotransformers at Card or </w:t>
      </w:r>
      <w:proofErr w:type="gramStart"/>
      <w:r>
        <w:t>Killingly</w:t>
      </w:r>
      <w:proofErr w:type="gramEnd"/>
      <w:r>
        <w:t xml:space="preserve"> or the 115 kV source from Rhode Island followed by another contingency. The needs assessment shows that most needs exist at 2013 load levels. The </w:t>
      </w:r>
      <w:r w:rsidRPr="00386AF5">
        <w:t xml:space="preserve">solution </w:t>
      </w:r>
      <w:r w:rsidRPr="00B34AE9">
        <w:t xml:space="preserve">alternatives </w:t>
      </w:r>
      <w:proofErr w:type="gramStart"/>
      <w:r w:rsidRPr="00B34AE9">
        <w:t>are being developed</w:t>
      </w:r>
      <w:proofErr w:type="gramEnd"/>
      <w:r w:rsidRPr="00B34AE9">
        <w:t>.</w:t>
      </w:r>
    </w:p>
    <w:p w:rsidR="00C561D4" w:rsidRDefault="00C561D4" w:rsidP="005C6088">
      <w:pPr>
        <w:pStyle w:val="Heading4"/>
      </w:pPr>
      <w:bookmarkStart w:id="629" w:name="_Ref297212984"/>
      <w:r w:rsidRPr="001E327B">
        <w:t>Southern New England Transmission System Projects</w:t>
      </w:r>
      <w:bookmarkEnd w:id="629"/>
    </w:p>
    <w:p w:rsidR="00C561D4" w:rsidRPr="00A577A3" w:rsidRDefault="00C561D4" w:rsidP="00C561D4">
      <w:r w:rsidRPr="00A577A3">
        <w:t xml:space="preserve">A number of transmission projects in various stages are underway in southern New England. </w:t>
      </w:r>
      <w:r>
        <w:t>Many factors complicate t</w:t>
      </w:r>
      <w:r w:rsidRPr="00A577A3">
        <w:t>he system performance in southern New England, such as load levels, system transfers, and unit commitment. The projects identified for this area must function reliably under a wide variety of conditions, and their development must support the operation of the overall system.</w:t>
      </w:r>
    </w:p>
    <w:p w:rsidR="00C561D4" w:rsidRDefault="00C561D4" w:rsidP="00C561D4">
      <w:r w:rsidRPr="00A577A3">
        <w:rPr>
          <w:b/>
        </w:rPr>
        <w:t>NEEWS</w:t>
      </w:r>
      <w:r w:rsidRPr="00F746C6">
        <w:t>—</w:t>
      </w:r>
      <w:r w:rsidRPr="00A577A3">
        <w:t>The Rhode Island Reliability Project addresses the need for additional 345/115 kV transformation and contingency coverage in the Rhode Island area, and the Greater Springfield Reliability Project addresses various thermal overloads under forecasted normal conditions and significant thermal overloads and voltage problems under numerous contingencies</w:t>
      </w:r>
      <w:r>
        <w:t xml:space="preserve">. Both projects </w:t>
      </w:r>
      <w:proofErr w:type="gramStart"/>
      <w:r>
        <w:t>were completed</w:t>
      </w:r>
      <w:proofErr w:type="gramEnd"/>
      <w:r>
        <w:t xml:space="preserve"> in 2013.</w:t>
      </w:r>
    </w:p>
    <w:p w:rsidR="00C561D4" w:rsidRDefault="00C561D4" w:rsidP="00C561D4">
      <w:r>
        <w:t>The Interstate components</w:t>
      </w:r>
      <w:r w:rsidR="00EF06BF">
        <w:t xml:space="preserve"> of the IRP</w:t>
      </w:r>
      <w:r>
        <w:t>, expected to be in service by the end of 2015, consist of the following upgrades</w:t>
      </w:r>
      <w:r w:rsidR="00EF06BF">
        <w:t xml:space="preserve"> to address the need to transfer power into eastern New England, western New England, Connecticut, and Rhode Island</w:t>
      </w:r>
      <w:r w:rsidRPr="00EF06BF">
        <w:t>:</w:t>
      </w:r>
      <w:r w:rsidR="008F742F" w:rsidRPr="008F742F">
        <w:rPr>
          <w:rStyle w:val="FootnoteReference"/>
        </w:rPr>
        <w:footnoteReference w:id="233"/>
      </w:r>
    </w:p>
    <w:p w:rsidR="00C561D4" w:rsidRDefault="00C561D4" w:rsidP="00CE7936">
      <w:pPr>
        <w:numPr>
          <w:ilvl w:val="0"/>
          <w:numId w:val="487"/>
        </w:numPr>
        <w:spacing w:after="120"/>
        <w:ind w:left="763"/>
      </w:pPr>
      <w:r>
        <w:t>Build a new 345 kV line from Card to Lake Road stations (CT)</w:t>
      </w:r>
    </w:p>
    <w:p w:rsidR="00C561D4" w:rsidRDefault="00C561D4" w:rsidP="00CE7936">
      <w:pPr>
        <w:numPr>
          <w:ilvl w:val="0"/>
          <w:numId w:val="487"/>
        </w:numPr>
        <w:spacing w:after="120"/>
        <w:ind w:left="763"/>
      </w:pPr>
      <w:r>
        <w:t xml:space="preserve">Build a new 345 kV line from Lake Road station to West </w:t>
      </w:r>
      <w:proofErr w:type="spellStart"/>
      <w:r>
        <w:t>Farnum</w:t>
      </w:r>
      <w:proofErr w:type="spellEnd"/>
      <w:r>
        <w:t xml:space="preserve"> station (RI)</w:t>
      </w:r>
    </w:p>
    <w:p w:rsidR="00C561D4" w:rsidRDefault="00C561D4" w:rsidP="00CE7936">
      <w:pPr>
        <w:numPr>
          <w:ilvl w:val="0"/>
          <w:numId w:val="487"/>
        </w:numPr>
        <w:spacing w:after="120"/>
        <w:ind w:left="763"/>
      </w:pPr>
      <w:r>
        <w:t xml:space="preserve">Build a new 345 kV line from West </w:t>
      </w:r>
      <w:proofErr w:type="spellStart"/>
      <w:r>
        <w:t>Farnum</w:t>
      </w:r>
      <w:proofErr w:type="spellEnd"/>
      <w:r>
        <w:t xml:space="preserve"> station to Millbury 3 station (MA)</w:t>
      </w:r>
    </w:p>
    <w:p w:rsidR="00C561D4" w:rsidRDefault="00C561D4" w:rsidP="00CE7936">
      <w:pPr>
        <w:numPr>
          <w:ilvl w:val="0"/>
          <w:numId w:val="487"/>
        </w:numPr>
        <w:spacing w:after="120"/>
        <w:ind w:left="763"/>
      </w:pPr>
      <w:r>
        <w:t xml:space="preserve">Expand the Card, Lake Road, West </w:t>
      </w:r>
      <w:proofErr w:type="spellStart"/>
      <w:r>
        <w:t>Farnum</w:t>
      </w:r>
      <w:proofErr w:type="spellEnd"/>
      <w:r>
        <w:t>, and Millbury 3 stations</w:t>
      </w:r>
    </w:p>
    <w:p w:rsidR="00C561D4" w:rsidRDefault="00C561D4" w:rsidP="00CE7936">
      <w:pPr>
        <w:numPr>
          <w:ilvl w:val="0"/>
          <w:numId w:val="487"/>
        </w:numPr>
        <w:spacing w:after="120"/>
        <w:ind w:left="763"/>
      </w:pPr>
      <w:proofErr w:type="spellStart"/>
      <w:r>
        <w:t>Reconductor</w:t>
      </w:r>
      <w:proofErr w:type="spellEnd"/>
      <w:r>
        <w:t xml:space="preserve"> the existing 345 kV line from West </w:t>
      </w:r>
      <w:proofErr w:type="spellStart"/>
      <w:r>
        <w:t>Farnum</w:t>
      </w:r>
      <w:proofErr w:type="spellEnd"/>
      <w:r>
        <w:t xml:space="preserve"> to Sherman Road stations (RI)</w:t>
      </w:r>
    </w:p>
    <w:p w:rsidR="00C561D4" w:rsidRDefault="00C561D4" w:rsidP="00CE7936">
      <w:pPr>
        <w:numPr>
          <w:ilvl w:val="0"/>
          <w:numId w:val="487"/>
        </w:numPr>
        <w:ind w:left="763"/>
      </w:pPr>
      <w:r>
        <w:t>Rebuild Sherman Road station</w:t>
      </w:r>
    </w:p>
    <w:p w:rsidR="00C561D4" w:rsidRPr="00A577A3" w:rsidRDefault="00C561D4" w:rsidP="00C561D4">
      <w:r w:rsidRPr="00A577A3">
        <w:rPr>
          <w:b/>
        </w:rPr>
        <w:t>Webster</w:t>
      </w:r>
      <w:r w:rsidRPr="00A577A3">
        <w:t>–</w:t>
      </w:r>
      <w:r w:rsidRPr="00A577A3">
        <w:rPr>
          <w:b/>
        </w:rPr>
        <w:t>Harriman 115 kV Refurbishment (A127/B128)</w:t>
      </w:r>
      <w:r w:rsidRPr="00F746C6">
        <w:t>—</w:t>
      </w:r>
      <w:proofErr w:type="gramStart"/>
      <w:r w:rsidRPr="00A577A3">
        <w:t>A</w:t>
      </w:r>
      <w:proofErr w:type="gramEnd"/>
      <w:r w:rsidRPr="00A577A3">
        <w:t xml:space="preserve"> </w:t>
      </w:r>
      <w:r>
        <w:t>refurbishment</w:t>
      </w:r>
      <w:r w:rsidRPr="00A577A3">
        <w:t xml:space="preserve"> has begun for the A127 and B128 115</w:t>
      </w:r>
      <w:r>
        <w:t> </w:t>
      </w:r>
      <w:r w:rsidRPr="00A577A3">
        <w:t xml:space="preserve">kV lines that run westerly from the proximity of the Webster Street substation in </w:t>
      </w:r>
      <w:r>
        <w:t>Massachusetts</w:t>
      </w:r>
      <w:r w:rsidRPr="00A577A3">
        <w:t xml:space="preserve"> to the Harriman substation in Vermont. </w:t>
      </w:r>
      <w:r>
        <w:t xml:space="preserve">This project currently </w:t>
      </w:r>
      <w:proofErr w:type="gramStart"/>
      <w:r w:rsidR="009842F2">
        <w:t xml:space="preserve">is </w:t>
      </w:r>
      <w:r>
        <w:t>scheduled to be completed</w:t>
      </w:r>
      <w:proofErr w:type="gramEnd"/>
      <w:r>
        <w:t xml:space="preserve"> in 2015.</w:t>
      </w:r>
    </w:p>
    <w:p w:rsidR="00C561D4" w:rsidRPr="00A577A3" w:rsidRDefault="00C561D4" w:rsidP="00C561D4">
      <w:r w:rsidRPr="00A577A3">
        <w:rPr>
          <w:b/>
        </w:rPr>
        <w:t>Central/Western Massachusetts Upgrades</w:t>
      </w:r>
      <w:r w:rsidRPr="00A577A3">
        <w:t>—</w:t>
      </w:r>
      <w:proofErr w:type="gramStart"/>
      <w:r w:rsidRPr="00A577A3">
        <w:t>Past</w:t>
      </w:r>
      <w:proofErr w:type="gramEnd"/>
      <w:r w:rsidRPr="00A577A3">
        <w:t xml:space="preserve"> studies developed a 10-year plan for central Massachusetts and portions of western Massachusetts.</w:t>
      </w:r>
      <w:r w:rsidRPr="00A577A3">
        <w:rPr>
          <w:rStyle w:val="FootnoteReference"/>
        </w:rPr>
        <w:footnoteReference w:id="234"/>
      </w:r>
      <w:r w:rsidRPr="00A577A3">
        <w:t xml:space="preserve"> This plan calls for adding a second 230/115 kV autotransformer </w:t>
      </w:r>
      <w:r>
        <w:t xml:space="preserve">and replacing four 230 kV breakers </w:t>
      </w:r>
      <w:r w:rsidRPr="00A577A3">
        <w:t xml:space="preserve">at Bear Swamp, replacing </w:t>
      </w:r>
      <w:r>
        <w:t xml:space="preserve">a </w:t>
      </w:r>
      <w:r w:rsidRPr="00A577A3">
        <w:t xml:space="preserve">transformer at </w:t>
      </w:r>
      <w:proofErr w:type="spellStart"/>
      <w:r w:rsidRPr="00A577A3">
        <w:t>Pratts</w:t>
      </w:r>
      <w:proofErr w:type="spellEnd"/>
      <w:r w:rsidRPr="00A577A3">
        <w:t xml:space="preserve"> Junction </w:t>
      </w:r>
      <w:r>
        <w:t xml:space="preserve">and Carpenter Hill </w:t>
      </w:r>
      <w:r w:rsidRPr="00A577A3">
        <w:t>substation</w:t>
      </w:r>
      <w:r>
        <w:t>s</w:t>
      </w:r>
      <w:r w:rsidRPr="00A577A3">
        <w:t xml:space="preserve">, adding a new 115 kV line from Millbury to Webster, and implementing several other 115 kV upgrades. </w:t>
      </w:r>
      <w:r>
        <w:t xml:space="preserve">Some of the </w:t>
      </w:r>
      <w:r w:rsidRPr="00A577A3">
        <w:t xml:space="preserve">upgrades </w:t>
      </w:r>
      <w:proofErr w:type="gramStart"/>
      <w:r w:rsidRPr="00A577A3">
        <w:t>have been placed</w:t>
      </w:r>
      <w:proofErr w:type="gramEnd"/>
      <w:r w:rsidRPr="00A577A3">
        <w:t xml:space="preserve"> in service, with the </w:t>
      </w:r>
      <w:r w:rsidRPr="00DC107E">
        <w:t>remaining scheduled through 2017.</w:t>
      </w:r>
    </w:p>
    <w:p w:rsidR="00C561D4" w:rsidRDefault="00C561D4" w:rsidP="00C561D4">
      <w:pPr>
        <w:rPr>
          <w:b/>
        </w:rPr>
      </w:pPr>
      <w:r>
        <w:rPr>
          <w:b/>
        </w:rPr>
        <w:t>Salem Harbor</w:t>
      </w:r>
      <w:r w:rsidR="0059799C">
        <w:rPr>
          <w:b/>
        </w:rPr>
        <w:t>–</w:t>
      </w:r>
      <w:proofErr w:type="spellStart"/>
      <w:r>
        <w:rPr>
          <w:b/>
        </w:rPr>
        <w:t>Railyard</w:t>
      </w:r>
      <w:proofErr w:type="spellEnd"/>
      <w:r>
        <w:rPr>
          <w:b/>
        </w:rPr>
        <w:t xml:space="preserve"> Cable Replacement</w:t>
      </w:r>
      <w:r w:rsidRPr="00A577A3">
        <w:t>—</w:t>
      </w:r>
      <w:proofErr w:type="gramStart"/>
      <w:r>
        <w:t>The</w:t>
      </w:r>
      <w:proofErr w:type="gramEnd"/>
      <w:r>
        <w:t xml:space="preserve"> replacement of the underground cables between the Salem Harbor and </w:t>
      </w:r>
      <w:proofErr w:type="spellStart"/>
      <w:r>
        <w:t>Railyard</w:t>
      </w:r>
      <w:proofErr w:type="spellEnd"/>
      <w:r>
        <w:t xml:space="preserve"> substations is scheduled to be completed in 2016. </w:t>
      </w:r>
    </w:p>
    <w:p w:rsidR="00C561D4" w:rsidRPr="00A577A3" w:rsidRDefault="00C561D4" w:rsidP="00C561D4">
      <w:r w:rsidRPr="00A577A3">
        <w:rPr>
          <w:b/>
        </w:rPr>
        <w:t>Auburn Reliability Project</w:t>
      </w:r>
      <w:r w:rsidRPr="00A577A3">
        <w:t xml:space="preserve">—Past studies of the area surrounding the Auburn Street substation in Massachusetts identified overloads of the existing 345/115 kV autotransformer and several 115 kV lines, voltage problems, and breaker overstresses. The solution to eliminate these reliability deficiencies includes </w:t>
      </w:r>
      <w:r>
        <w:t xml:space="preserve">rebuilding the 345 kV and 115 kV switchyards at the Auburn Street substation to accommodate </w:t>
      </w:r>
      <w:r w:rsidRPr="00A577A3">
        <w:t>new bay configuration</w:t>
      </w:r>
      <w:r>
        <w:t>s,</w:t>
      </w:r>
      <w:r w:rsidRPr="00A577A3">
        <w:t xml:space="preserve"> along with the installation of a second autotransformer and the replacement of a number of breakers. </w:t>
      </w:r>
      <w:r>
        <w:t xml:space="preserve">The </w:t>
      </w:r>
      <w:proofErr w:type="spellStart"/>
      <w:r>
        <w:t>reconductoring</w:t>
      </w:r>
      <w:proofErr w:type="spellEnd"/>
      <w:r>
        <w:t xml:space="preserve"> of the </w:t>
      </w:r>
      <w:r w:rsidRPr="00A577A3">
        <w:t xml:space="preserve">115 kV Auburn Street–Parkview and Bridgewater–East Bridgewater lines </w:t>
      </w:r>
      <w:proofErr w:type="gramStart"/>
      <w:r>
        <w:t>has been completed</w:t>
      </w:r>
      <w:proofErr w:type="gramEnd"/>
      <w:r w:rsidRPr="00A577A3">
        <w:t xml:space="preserve">. Additionally, a number of distribution substation changes are being discussed that could modify the original project and its subsequent cost. The Bridgewater–Easton 115 kV line (E1) </w:t>
      </w:r>
      <w:proofErr w:type="gramStart"/>
      <w:r w:rsidRPr="00A577A3">
        <w:t>will be extended</w:t>
      </w:r>
      <w:proofErr w:type="gramEnd"/>
      <w:r w:rsidRPr="00A577A3">
        <w:t xml:space="preserve"> to supply a new municipal substation in Mansfield. The new Avon substation will be constructed and tapped off the newly </w:t>
      </w:r>
      <w:proofErr w:type="spellStart"/>
      <w:r w:rsidRPr="00A577A3">
        <w:t>reconductored</w:t>
      </w:r>
      <w:proofErr w:type="spellEnd"/>
      <w:r w:rsidRPr="00A577A3">
        <w:t xml:space="preserve"> Auburn Street–Parkview line (A94). The addition of a second distribution transformer at </w:t>
      </w:r>
      <w:proofErr w:type="spellStart"/>
      <w:r w:rsidRPr="00A577A3">
        <w:t>Dupont</w:t>
      </w:r>
      <w:proofErr w:type="spellEnd"/>
      <w:r w:rsidRPr="00A577A3">
        <w:t xml:space="preserve"> requires associated terminal work.</w:t>
      </w:r>
      <w:r w:rsidRPr="00A577A3">
        <w:rPr>
          <w:rStyle w:val="FootnoteReference"/>
        </w:rPr>
        <w:footnoteReference w:id="235"/>
      </w:r>
      <w:r>
        <w:t xml:space="preserve"> The completion of this project currently </w:t>
      </w:r>
      <w:proofErr w:type="gramStart"/>
      <w:r w:rsidR="009842F2">
        <w:t xml:space="preserve">is </w:t>
      </w:r>
      <w:r>
        <w:t>scheduled</w:t>
      </w:r>
      <w:proofErr w:type="gramEnd"/>
      <w:r>
        <w:t xml:space="preserve"> for 2015.</w:t>
      </w:r>
    </w:p>
    <w:p w:rsidR="00C561D4" w:rsidRPr="00A577A3" w:rsidRDefault="00C561D4" w:rsidP="00C561D4">
      <w:r w:rsidRPr="00B7400D">
        <w:rPr>
          <w:b/>
        </w:rPr>
        <w:t>Lower SEMA Short- and Long-Term Upgrades</w:t>
      </w:r>
      <w:r w:rsidRPr="00B7400D">
        <w:t xml:space="preserve">—Plans to </w:t>
      </w:r>
      <w:r>
        <w:t xml:space="preserve">improve system performance </w:t>
      </w:r>
      <w:r w:rsidRPr="00B7400D">
        <w:t xml:space="preserve">in the lower southeastern Massachusetts (LSM) area, which includes Cape Cod, </w:t>
      </w:r>
      <w:proofErr w:type="gramStart"/>
      <w:r w:rsidRPr="00B7400D">
        <w:t>were separated</w:t>
      </w:r>
      <w:proofErr w:type="gramEnd"/>
      <w:r w:rsidRPr="00B7400D">
        <w:t xml:space="preserve"> into two phases. Phase</w:t>
      </w:r>
      <w:r>
        <w:t> 1</w:t>
      </w:r>
      <w:r w:rsidRPr="00B7400D">
        <w:t xml:space="preserve"> included the projects that </w:t>
      </w:r>
      <w:proofErr w:type="gramStart"/>
      <w:r w:rsidRPr="00B7400D">
        <w:t>could be put</w:t>
      </w:r>
      <w:proofErr w:type="gramEnd"/>
      <w:r w:rsidRPr="00B7400D">
        <w:t xml:space="preserve"> in place in an expedited timeframe. Phase </w:t>
      </w:r>
      <w:r>
        <w:t xml:space="preserve">2 </w:t>
      </w:r>
      <w:r w:rsidRPr="00B7400D">
        <w:t xml:space="preserve">includes those projects that would serve as the long-term solution for reliable supply but would require state </w:t>
      </w:r>
      <w:proofErr w:type="spellStart"/>
      <w:r w:rsidRPr="00B7400D">
        <w:t>siting</w:t>
      </w:r>
      <w:proofErr w:type="spellEnd"/>
      <w:r w:rsidRPr="00B7400D">
        <w:t xml:space="preserve"> hearings. The short-term upgrades </w:t>
      </w:r>
      <w:proofErr w:type="gramStart"/>
      <w:r w:rsidRPr="00B7400D">
        <w:t>were completed</w:t>
      </w:r>
      <w:proofErr w:type="gramEnd"/>
      <w:r w:rsidRPr="00B7400D">
        <w:t xml:space="preserve"> in 2009, and the long-term upgrades received </w:t>
      </w:r>
      <w:proofErr w:type="spellStart"/>
      <w:r w:rsidRPr="00B7400D">
        <w:t>siting</w:t>
      </w:r>
      <w:proofErr w:type="spellEnd"/>
      <w:r w:rsidRPr="00B7400D">
        <w:t xml:space="preserve"> approval on April 27, 2012.</w:t>
      </w:r>
      <w:r w:rsidRPr="00B7400D">
        <w:rPr>
          <w:rStyle w:val="FootnoteReference"/>
        </w:rPr>
        <w:footnoteReference w:id="236"/>
      </w:r>
      <w:r w:rsidRPr="00A577A3">
        <w:t xml:space="preserve"> </w:t>
      </w:r>
    </w:p>
    <w:p w:rsidR="00C561D4" w:rsidRPr="00A577A3" w:rsidRDefault="00C561D4" w:rsidP="00C561D4">
      <w:r w:rsidRPr="00A577A3">
        <w:t xml:space="preserve">The long-term plan, scheduled for a </w:t>
      </w:r>
      <w:r>
        <w:t>2014</w:t>
      </w:r>
      <w:r w:rsidRPr="00A577A3">
        <w:t xml:space="preserve"> in-service date, includes adding a new 345 kV transmission line from the Carver substation to a new 345/115 kV substation. This new four-breaker ring-bus substation, which has been designated the </w:t>
      </w:r>
      <w:r>
        <w:t xml:space="preserve">West Barnstable </w:t>
      </w:r>
      <w:r w:rsidRPr="00A577A3">
        <w:t>substation, will be located west of the Barnstable substation adjacent to the 115 kV line right-of-way. The Carver–Bourne section of the 345</w:t>
      </w:r>
      <w:r>
        <w:t> </w:t>
      </w:r>
      <w:r w:rsidRPr="00A577A3">
        <w:t>kV line is new construction, and the Bourne–Barnstable portion of the new 345 kV line will use an existing 115 kV line built to 345 kV standards. The 115 kV line (the Mashpee</w:t>
      </w:r>
      <w:r>
        <w:t>–</w:t>
      </w:r>
      <w:r w:rsidRPr="00A577A3">
        <w:t>Barnstable 115</w:t>
      </w:r>
      <w:r w:rsidRPr="001B6391">
        <w:rPr>
          <w:rStyle w:val="FootnoteReference"/>
          <w:vertAlign w:val="baseline"/>
        </w:rPr>
        <w:t xml:space="preserve"> </w:t>
      </w:r>
      <w:r w:rsidRPr="00A577A3">
        <w:t xml:space="preserve">line) </w:t>
      </w:r>
      <w:proofErr w:type="gramStart"/>
      <w:r w:rsidRPr="00A577A3">
        <w:t>will be tapped</w:t>
      </w:r>
      <w:proofErr w:type="gramEnd"/>
      <w:r w:rsidRPr="00A577A3">
        <w:t xml:space="preserve"> into the new substation.</w:t>
      </w:r>
      <w:r w:rsidRPr="00A577A3">
        <w:rPr>
          <w:rStyle w:val="FootnoteReference"/>
        </w:rPr>
        <w:footnoteReference w:id="237"/>
      </w:r>
      <w:r w:rsidRPr="00A577A3">
        <w:t xml:space="preserve"> The plan also involves placing the existing 345 kV Cape Cod Canal crossing on separate towers and </w:t>
      </w:r>
      <w:proofErr w:type="spellStart"/>
      <w:r w:rsidRPr="00A577A3">
        <w:t>reconductoring</w:t>
      </w:r>
      <w:proofErr w:type="spellEnd"/>
      <w:r w:rsidRPr="00A577A3">
        <w:t xml:space="preserve"> the 115 kV D21 line between Bell Rock and High Hill.</w:t>
      </w:r>
    </w:p>
    <w:p w:rsidR="00C561D4" w:rsidRDefault="00C561D4" w:rsidP="00C561D4">
      <w:pPr>
        <w:rPr>
          <w:b/>
        </w:rPr>
      </w:pPr>
      <w:r w:rsidRPr="00A577A3">
        <w:rPr>
          <w:b/>
        </w:rPr>
        <w:t>Greater Rhode Island (Advanced NEEWS) Project</w:t>
      </w:r>
      <w:r w:rsidRPr="00A577A3">
        <w:t xml:space="preserve">—Reliability concerns with the 115 kV system in the Bridgewater–Somerset–Tiverton areas of southeastern Massachusetts and the adjoining area in Rhode Island </w:t>
      </w:r>
      <w:proofErr w:type="gramStart"/>
      <w:r w:rsidRPr="00A577A3">
        <w:t>had been identified</w:t>
      </w:r>
      <w:proofErr w:type="gramEnd"/>
      <w:r w:rsidRPr="00A577A3">
        <w:t xml:space="preserve"> previously. The solutions to these concerns were a group of upgrades that had been combined with the advanced Rhode Island upgrades (associated with NEEWS studies) to become what is now known as </w:t>
      </w:r>
      <w:r w:rsidRPr="00F746C6">
        <w:t>the Greater Rhode Island transmission reinforcements.</w:t>
      </w:r>
      <w:r>
        <w:rPr>
          <w:rStyle w:val="FootnoteReference"/>
        </w:rPr>
        <w:footnoteReference w:id="238"/>
      </w:r>
      <w:r w:rsidRPr="00A577A3">
        <w:t xml:space="preserve"> The advanced NEEWS upgrades</w:t>
      </w:r>
      <w:r>
        <w:t>,</w:t>
      </w:r>
      <w:r w:rsidRPr="00A577A3">
        <w:t xml:space="preserve"> the new Berry Street 345/</w:t>
      </w:r>
      <w:r w:rsidR="005E431F" w:rsidRPr="00A577A3">
        <w:t>115</w:t>
      </w:r>
      <w:r w:rsidR="005E431F">
        <w:t> </w:t>
      </w:r>
      <w:r w:rsidRPr="00A577A3">
        <w:t>kV substation (MA) and the expansion of the Kent County substation (RI) with an additional 345/115 kV autotransformer</w:t>
      </w:r>
      <w:r>
        <w:t xml:space="preserve">, have been </w:t>
      </w:r>
      <w:r w:rsidRPr="00A577A3">
        <w:t xml:space="preserve">placed in service in 2011. The proposed non-NEEWS GRI solutions in the Massachusetts area include, among other projects, the construction of new </w:t>
      </w:r>
      <w:r>
        <w:t xml:space="preserve">115 kV transmission circuits between </w:t>
      </w:r>
      <w:proofErr w:type="spellStart"/>
      <w:r w:rsidRPr="00A577A3">
        <w:t>Brayton</w:t>
      </w:r>
      <w:proofErr w:type="spellEnd"/>
      <w:r w:rsidRPr="00A577A3">
        <w:t xml:space="preserve"> Point</w:t>
      </w:r>
      <w:r>
        <w:t xml:space="preserve"> and </w:t>
      </w:r>
      <w:r w:rsidRPr="00A577A3">
        <w:t xml:space="preserve">Bell Rock </w:t>
      </w:r>
      <w:r>
        <w:t>substations</w:t>
      </w:r>
      <w:r w:rsidRPr="00A577A3">
        <w:t xml:space="preserve">. These currently </w:t>
      </w:r>
      <w:proofErr w:type="gramStart"/>
      <w:r w:rsidR="002A5363">
        <w:t xml:space="preserve">are </w:t>
      </w:r>
      <w:r w:rsidRPr="00A577A3">
        <w:t>scheduled</w:t>
      </w:r>
      <w:proofErr w:type="gramEnd"/>
      <w:r w:rsidRPr="00A577A3">
        <w:t xml:space="preserve"> </w:t>
      </w:r>
      <w:r>
        <w:t xml:space="preserve">to be in service in </w:t>
      </w:r>
      <w:r w:rsidRPr="00A577A3">
        <w:t>20</w:t>
      </w:r>
      <w:r>
        <w:t>18</w:t>
      </w:r>
      <w:r w:rsidRPr="00A577A3">
        <w:t xml:space="preserve"> and will be reexamined as part of the SEMA/RI (Eastern REMVEC) study (see above).</w:t>
      </w:r>
    </w:p>
    <w:p w:rsidR="00C561D4" w:rsidRDefault="00C561D4" w:rsidP="00C561D4">
      <w:r w:rsidRPr="00B7400D">
        <w:rPr>
          <w:b/>
        </w:rPr>
        <w:t>Southwest Connecticut Advanced Solutions</w:t>
      </w:r>
      <w:r w:rsidRPr="00181F5E">
        <w:t>—</w:t>
      </w:r>
      <w:proofErr w:type="gramStart"/>
      <w:r w:rsidRPr="00B7400D">
        <w:t>The</w:t>
      </w:r>
      <w:proofErr w:type="gramEnd"/>
      <w:r w:rsidRPr="00B7400D">
        <w:t xml:space="preserve"> advanced solutions for SWCT include the following </w:t>
      </w:r>
      <w:r w:rsidRPr="006C5841">
        <w:t>elements:</w:t>
      </w:r>
    </w:p>
    <w:p w:rsidR="00C561D4" w:rsidRPr="00052286" w:rsidRDefault="00C561D4" w:rsidP="00C561D4">
      <w:pPr>
        <w:numPr>
          <w:ilvl w:val="0"/>
          <w:numId w:val="225"/>
        </w:numPr>
        <w:spacing w:after="120"/>
      </w:pPr>
      <w:r w:rsidRPr="00B54270">
        <w:t>Reconfiguration of the 115 kV 8300 line from Mill River to Quinnipiac—The SWCT Needs Assessment analysis showed thermal issues unrelated to other needs in the New Haven area. The</w:t>
      </w:r>
      <w:r>
        <w:t xml:space="preserve"> solution to mitigate the thermal issues is to install a new 115 kV overhead line from Mill River to Grand Avenue and to extend the existing 8300 line from Mill River into a new </w:t>
      </w:r>
      <w:r w:rsidRPr="00052286">
        <w:t xml:space="preserve">Grand Avenue </w:t>
      </w:r>
      <w:r w:rsidRPr="00685166">
        <w:t>substation bay.</w:t>
      </w:r>
      <w:r w:rsidRPr="00685166">
        <w:rPr>
          <w:rStyle w:val="FootnoteReference"/>
        </w:rPr>
        <w:footnoteReference w:id="239"/>
      </w:r>
      <w:r w:rsidRPr="00685166">
        <w:t xml:space="preserve"> </w:t>
      </w:r>
      <w:r>
        <w:t xml:space="preserve">The project </w:t>
      </w:r>
      <w:proofErr w:type="gramStart"/>
      <w:r>
        <w:t>was completed</w:t>
      </w:r>
      <w:proofErr w:type="gramEnd"/>
      <w:r>
        <w:t xml:space="preserve"> in 2013.</w:t>
      </w:r>
    </w:p>
    <w:p w:rsidR="00C561D4" w:rsidRDefault="00C561D4" w:rsidP="00C561D4">
      <w:pPr>
        <w:numPr>
          <w:ilvl w:val="0"/>
          <w:numId w:val="225"/>
        </w:numPr>
      </w:pPr>
      <w:r>
        <w:t>N</w:t>
      </w:r>
      <w:r w:rsidR="006B058B">
        <w:t xml:space="preserve">ortheast </w:t>
      </w:r>
      <w:r>
        <w:t>U</w:t>
      </w:r>
      <w:r w:rsidR="006B058B">
        <w:t>tilities</w:t>
      </w:r>
      <w:r>
        <w:t>’ Glenbrook–South End 115 kV Cable Project—The SWCT Needs Assessment analysis showed thermal and voltage issues in the Stamford</w:t>
      </w:r>
      <w:r w:rsidRPr="0001709D">
        <w:t>–</w:t>
      </w:r>
      <w:r>
        <w:t>Greenwich and Darien</w:t>
      </w:r>
      <w:r w:rsidRPr="0001709D">
        <w:t>–</w:t>
      </w:r>
      <w:r>
        <w:t xml:space="preserve">Compo subareas due to line and cable outages followed by 115 kV stuck-breaker and DCT contingencies. The solution to mitigate these issues is to install a new 115 kV underground cable between the Glenbrook and South End </w:t>
      </w:r>
      <w:r w:rsidRPr="007E36D7">
        <w:t>substations.</w:t>
      </w:r>
      <w:r w:rsidRPr="007E36D7">
        <w:rPr>
          <w:rStyle w:val="FootnoteReference"/>
        </w:rPr>
        <w:footnoteReference w:id="240"/>
      </w:r>
      <w:r w:rsidRPr="007E36D7">
        <w:t xml:space="preserve"> The project </w:t>
      </w:r>
      <w:proofErr w:type="gramStart"/>
      <w:r w:rsidRPr="007E36D7">
        <w:t>is expected to be completed</w:t>
      </w:r>
      <w:proofErr w:type="gramEnd"/>
      <w:r w:rsidRPr="007E36D7">
        <w:t xml:space="preserve"> by December 2014.</w:t>
      </w:r>
    </w:p>
    <w:p w:rsidR="00C561D4" w:rsidRDefault="00C561D4" w:rsidP="00C561D4">
      <w:r>
        <w:t>Greater Boston Advanced Solutions</w:t>
      </w:r>
      <w:r w:rsidRPr="00F746C6">
        <w:t>—</w:t>
      </w:r>
      <w:proofErr w:type="gramStart"/>
      <w:r>
        <w:t>The</w:t>
      </w:r>
      <w:proofErr w:type="gramEnd"/>
      <w:r>
        <w:t xml:space="preserve"> advanced solutions for Greater Boston</w:t>
      </w:r>
      <w:r w:rsidR="005D7682">
        <w:t>,</w:t>
      </w:r>
      <w:r>
        <w:t xml:space="preserve"> </w:t>
      </w:r>
      <w:r w:rsidR="005D7682">
        <w:t xml:space="preserve">which are not in service and are not anticipated to be in service in 2014, </w:t>
      </w:r>
      <w:r>
        <w:t>include the following elements:</w:t>
      </w:r>
    </w:p>
    <w:p w:rsidR="00C561D4" w:rsidRDefault="00C561D4" w:rsidP="00CA14E0">
      <w:pPr>
        <w:numPr>
          <w:ilvl w:val="0"/>
          <w:numId w:val="488"/>
        </w:numPr>
        <w:spacing w:after="120"/>
      </w:pPr>
      <w:r w:rsidRPr="00B54270">
        <w:t xml:space="preserve">Sudbury </w:t>
      </w:r>
      <w:r w:rsidRPr="004F0061">
        <w:t>a</w:t>
      </w:r>
      <w:r w:rsidRPr="00B54270">
        <w:t xml:space="preserve">utotransformer and </w:t>
      </w:r>
      <w:r w:rsidRPr="004F0061">
        <w:t>c</w:t>
      </w:r>
      <w:r w:rsidRPr="00B54270">
        <w:t xml:space="preserve">apacitor </w:t>
      </w:r>
      <w:r w:rsidRPr="004F0061">
        <w:t>b</w:t>
      </w:r>
      <w:r w:rsidRPr="00B54270">
        <w:t xml:space="preserve">ank </w:t>
      </w:r>
      <w:r w:rsidRPr="004F0061">
        <w:t>p</w:t>
      </w:r>
      <w:r w:rsidRPr="00B54270">
        <w:t>roject—The Greater Boston Needs</w:t>
      </w:r>
      <w:r>
        <w:t xml:space="preserve"> Assessment analysis showed thermal and voltage issues due to line outages followed by a second line outage. In the worst-case scenario, the entire Sudbury load pocket of </w:t>
      </w:r>
      <w:r w:rsidR="005E431F">
        <w:t>300 </w:t>
      </w:r>
      <w:r>
        <w:t xml:space="preserve">MW of load would be lost. The solution to mitigate these issues is to install a new 230/115 kV autotransformer, five new 230 kV gas-insulated breakers, </w:t>
      </w:r>
      <w:proofErr w:type="gramStart"/>
      <w:r>
        <w:t>five</w:t>
      </w:r>
      <w:proofErr w:type="gramEnd"/>
      <w:r>
        <w:t xml:space="preserve"> 115 kV air-insulated breakers, and a new 115 kV capacitor bank.</w:t>
      </w:r>
      <w:r>
        <w:rPr>
          <w:rStyle w:val="FootnoteReference"/>
        </w:rPr>
        <w:footnoteReference w:id="241"/>
      </w:r>
      <w:r>
        <w:t xml:space="preserve"> The project </w:t>
      </w:r>
      <w:proofErr w:type="gramStart"/>
      <w:r>
        <w:t>is expected to be completed</w:t>
      </w:r>
      <w:proofErr w:type="gramEnd"/>
      <w:r>
        <w:t xml:space="preserve"> by December 2015.</w:t>
      </w:r>
    </w:p>
    <w:p w:rsidR="00C561D4" w:rsidRDefault="00C561D4" w:rsidP="00CA14E0">
      <w:pPr>
        <w:numPr>
          <w:ilvl w:val="0"/>
          <w:numId w:val="488"/>
        </w:numPr>
        <w:spacing w:after="120"/>
      </w:pPr>
      <w:r>
        <w:t>Addition of a third 115 kV line from West Walpole to Holbrook</w:t>
      </w:r>
      <w:r w:rsidRPr="00F746C6">
        <w:t>—</w:t>
      </w:r>
      <w:r>
        <w:t>The Greater Boston Needs Assessment analysis showed thermal issues due to line outages followed by a second facility outage. In the worst-case scenario, the loss of the 447-508 and 447-509 DCT (N-1 event) (West Walpole–Holbrook) resulted in the loss of over 300 MW. The solution to mitigate these issues is to install a third 115 kV line from West Walpole to Holbrook.</w:t>
      </w:r>
      <w:r>
        <w:rPr>
          <w:rStyle w:val="FootnoteReference"/>
        </w:rPr>
        <w:footnoteReference w:id="242"/>
      </w:r>
      <w:r>
        <w:t xml:space="preserve"> The project </w:t>
      </w:r>
      <w:proofErr w:type="gramStart"/>
      <w:r>
        <w:t>is expected to be completed</w:t>
      </w:r>
      <w:proofErr w:type="gramEnd"/>
      <w:r>
        <w:t xml:space="preserve"> by 2016.</w:t>
      </w:r>
    </w:p>
    <w:p w:rsidR="00C561D4" w:rsidRDefault="00C561D4" w:rsidP="00CA14E0">
      <w:pPr>
        <w:numPr>
          <w:ilvl w:val="0"/>
          <w:numId w:val="488"/>
        </w:numPr>
        <w:spacing w:after="120"/>
      </w:pPr>
      <w:r>
        <w:t>Installation of a new 115 kV switching station in Sharon</w:t>
      </w:r>
      <w:r w:rsidRPr="00F746C6">
        <w:t>—</w:t>
      </w:r>
      <w:proofErr w:type="gramStart"/>
      <w:r>
        <w:t>Although</w:t>
      </w:r>
      <w:proofErr w:type="gramEnd"/>
      <w:r>
        <w:t xml:space="preserve"> a third 115 kV line is scheduled to be installed between West Walpole and Holbrook, the load (over </w:t>
      </w:r>
      <w:r w:rsidR="005E431F">
        <w:t>300 </w:t>
      </w:r>
      <w:r>
        <w:t>MW) in the area is still susceptible to being lost as a result of N-1-1 events. The solution to mitigate this issue is the installation of a new three-breaker switching station in Sharon.</w:t>
      </w:r>
      <w:r>
        <w:rPr>
          <w:rStyle w:val="FootnoteReference"/>
        </w:rPr>
        <w:footnoteReference w:id="243"/>
      </w:r>
      <w:r>
        <w:t xml:space="preserve"> The project </w:t>
      </w:r>
      <w:proofErr w:type="gramStart"/>
      <w:r>
        <w:t>is expected to be completed</w:t>
      </w:r>
      <w:proofErr w:type="gramEnd"/>
      <w:r>
        <w:t xml:space="preserve"> by 2017.</w:t>
      </w:r>
    </w:p>
    <w:p w:rsidR="00D91391" w:rsidRDefault="00D91391" w:rsidP="00D91391">
      <w:pPr>
        <w:numPr>
          <w:ilvl w:val="0"/>
          <w:numId w:val="488"/>
        </w:numPr>
      </w:pPr>
      <w:r>
        <w:t>North Cambridge line and transformer terminal swaps</w:t>
      </w:r>
      <w:r w:rsidR="00DF6704" w:rsidRPr="00F746C6">
        <w:t>—</w:t>
      </w:r>
      <w:r>
        <w:t>The Greater Boston Needs Assessment analysis showed thermal issues on the 329</w:t>
      </w:r>
      <w:r w:rsidR="001E64C0">
        <w:t>–</w:t>
      </w:r>
      <w:r>
        <w:t>530 or 329</w:t>
      </w:r>
      <w:r w:rsidR="001E64C0">
        <w:t>–</w:t>
      </w:r>
      <w:r>
        <w:t xml:space="preserve">531 lines </w:t>
      </w:r>
      <w:proofErr w:type="gramStart"/>
      <w:r>
        <w:t>as a result</w:t>
      </w:r>
      <w:proofErr w:type="gramEnd"/>
      <w:r>
        <w:t xml:space="preserve"> of N-1-1 events. The solution to mitigate this issue is to swap terminal locations of the 329</w:t>
      </w:r>
      <w:r w:rsidR="001E64C0">
        <w:t>–</w:t>
      </w:r>
      <w:r>
        <w:t>530 line and transformer</w:t>
      </w:r>
      <w:r w:rsidR="00DF6704">
        <w:t> </w:t>
      </w:r>
      <w:r>
        <w:t>#1 and to swap the terminal locations of the 329</w:t>
      </w:r>
      <w:r w:rsidR="001E64C0">
        <w:t>–</w:t>
      </w:r>
      <w:r>
        <w:t xml:space="preserve">531 line and transformer #4. The project </w:t>
      </w:r>
      <w:proofErr w:type="gramStart"/>
      <w:r>
        <w:t>is expected to be completed</w:t>
      </w:r>
      <w:proofErr w:type="gramEnd"/>
      <w:r>
        <w:t xml:space="preserve"> by 2016.</w:t>
      </w:r>
      <w:r>
        <w:rPr>
          <w:rStyle w:val="FootnoteReference"/>
        </w:rPr>
        <w:footnoteReference w:id="244"/>
      </w:r>
    </w:p>
    <w:p w:rsidR="00E63D3A" w:rsidRDefault="00C561D4">
      <w:pPr>
        <w:pStyle w:val="Heading2"/>
      </w:pPr>
      <w:bookmarkStart w:id="630" w:name="_Toc334601058"/>
      <w:bookmarkStart w:id="631" w:name="_Toc365441015"/>
      <w:bookmarkStart w:id="632" w:name="_Toc396807645"/>
      <w:r w:rsidRPr="007E36D7">
        <w:t>Information on Critical Load Levels</w:t>
      </w:r>
      <w:bookmarkEnd w:id="630"/>
      <w:bookmarkEnd w:id="631"/>
      <w:bookmarkEnd w:id="632"/>
    </w:p>
    <w:p w:rsidR="00C561D4" w:rsidRPr="00712A93" w:rsidRDefault="00C561D4" w:rsidP="00C561D4">
      <w:r w:rsidRPr="007E36D7">
        <w:t>The ISO has been improving the information provided to stakeholders, especially the required timing of transmission projects. The load level most often drives the need for transmission improvements under the assumptions used in each of the studies. The load level at which a system problem could occur</w:t>
      </w:r>
      <w:r>
        <w:t>,</w:t>
      </w:r>
      <w:r w:rsidRPr="007E36D7">
        <w:t xml:space="preserve"> and therefore a solution </w:t>
      </w:r>
      <w:r>
        <w:t xml:space="preserve">would be </w:t>
      </w:r>
      <w:r w:rsidRPr="007E36D7">
        <w:t>needed, is referred to as</w:t>
      </w:r>
      <w:r>
        <w:t xml:space="preserve"> the </w:t>
      </w:r>
      <w:r w:rsidRPr="007D5442">
        <w:rPr>
          <w:i/>
        </w:rPr>
        <w:t>critical load level</w:t>
      </w:r>
      <w:r>
        <w:t xml:space="preserve">. From this critical load level, an approximate year of need </w:t>
      </w:r>
      <w:proofErr w:type="gramStart"/>
      <w:r>
        <w:t>can be developed</w:t>
      </w:r>
      <w:proofErr w:type="gramEnd"/>
      <w:r>
        <w:t xml:space="preserve">. However, the year of need can change as the load forecast </w:t>
      </w:r>
      <w:r w:rsidRPr="00712A93">
        <w:t>and other influences, such as energy efficiency, vary.</w:t>
      </w:r>
    </w:p>
    <w:p w:rsidR="00C561D4" w:rsidRDefault="00C561D4" w:rsidP="00C561D4">
      <w:r w:rsidRPr="00712A93">
        <w:t>The ISO provides information on critical load level</w:t>
      </w:r>
      <w:r>
        <w:t>s</w:t>
      </w:r>
      <w:r w:rsidRPr="00712A93">
        <w:t xml:space="preserve"> in the needs assessment and solutions study for each portion of the region investigated. In the </w:t>
      </w:r>
      <w:r>
        <w:t>April</w:t>
      </w:r>
      <w:r w:rsidRPr="00712A93">
        <w:t xml:space="preserve"> 2012 update to the New</w:t>
      </w:r>
      <w:r w:rsidRPr="00D321E4">
        <w:t xml:space="preserve"> </w:t>
      </w:r>
      <w:r w:rsidRPr="00712A93">
        <w:t xml:space="preserve">Hampshire/Vermont Needs and </w:t>
      </w:r>
      <w:r w:rsidRPr="006D2765">
        <w:t xml:space="preserve">Solutions Studies (see Section </w:t>
      </w:r>
      <w:fldSimple w:instr=" REF _Ref297230746 \r \h  \* MERGEFORMAT ">
        <w:r w:rsidR="00284CE3">
          <w:t>5.4.1.2</w:t>
        </w:r>
      </w:fldSimple>
      <w:r w:rsidRPr="006D2765">
        <w:t xml:space="preserve">), critical load levels </w:t>
      </w:r>
      <w:proofErr w:type="gramStart"/>
      <w:r w:rsidR="006D2765">
        <w:t>were</w:t>
      </w:r>
      <w:r w:rsidR="003504B2">
        <w:t xml:space="preserve"> </w:t>
      </w:r>
      <w:r w:rsidRPr="006D2765">
        <w:t>provided</w:t>
      </w:r>
      <w:proofErr w:type="gramEnd"/>
      <w:r w:rsidRPr="006D2765">
        <w:t>, and virtually all</w:t>
      </w:r>
      <w:r>
        <w:t xml:space="preserve"> upgrades are required at load levels that already have been </w:t>
      </w:r>
      <w:r w:rsidRPr="007E36D7">
        <w:t>surpassed.</w:t>
      </w:r>
      <w:r w:rsidRPr="007E36D7">
        <w:rPr>
          <w:rStyle w:val="FootnoteReference"/>
        </w:rPr>
        <w:footnoteReference w:id="245"/>
      </w:r>
      <w:r w:rsidRPr="007E36D7">
        <w:t xml:space="preserve"> A</w:t>
      </w:r>
      <w:r>
        <w:t xml:space="preserve"> similar assessment </w:t>
      </w:r>
      <w:proofErr w:type="gramStart"/>
      <w:r>
        <w:t>was performed</w:t>
      </w:r>
      <w:proofErr w:type="gramEnd"/>
      <w:r>
        <w:t xml:space="preserve"> for the </w:t>
      </w:r>
      <w:r w:rsidRPr="00A97E70">
        <w:t>Greater Boston area and the GHCC study.</w:t>
      </w:r>
      <w:r w:rsidR="00284749" w:rsidRPr="00A97E70">
        <w:rPr>
          <w:rStyle w:val="FootnoteReference"/>
        </w:rPr>
        <w:footnoteReference w:id="246"/>
      </w:r>
      <w:r w:rsidRPr="00A97E70">
        <w:t xml:space="preserve"> The results of </w:t>
      </w:r>
      <w:r w:rsidRPr="00EC6E3A">
        <w:t xml:space="preserve">this analysis also showed numerous system concerns for load levels that already </w:t>
      </w:r>
      <w:proofErr w:type="gramStart"/>
      <w:r w:rsidRPr="00EC6E3A">
        <w:t>have been surpassed</w:t>
      </w:r>
      <w:proofErr w:type="gramEnd"/>
      <w:r w:rsidR="00113C54" w:rsidRPr="00113C54">
        <w:t>.</w:t>
      </w:r>
      <w:r w:rsidR="007E209F" w:rsidRPr="001B6391">
        <w:rPr>
          <w:rStyle w:val="FootnoteReference"/>
          <w:vertAlign w:val="baseline"/>
        </w:rPr>
        <w:t xml:space="preserve"> </w:t>
      </w:r>
      <w:r w:rsidR="00113C54" w:rsidRPr="00113C54">
        <w:t xml:space="preserve">Almost all the critical load levels for the Pittsfield–Greenfield area study </w:t>
      </w:r>
      <w:proofErr w:type="gramStart"/>
      <w:r w:rsidR="00113C54" w:rsidRPr="00113C54">
        <w:t>were surpassed</w:t>
      </w:r>
      <w:proofErr w:type="gramEnd"/>
      <w:r w:rsidR="00113C54" w:rsidRPr="00113C54">
        <w:t xml:space="preserve"> before 2013</w:t>
      </w:r>
      <w:r w:rsidR="00294687" w:rsidRPr="00EC6E3A">
        <w:t>.</w:t>
      </w:r>
    </w:p>
    <w:p w:rsidR="00E63D3A" w:rsidRDefault="00C561D4">
      <w:pPr>
        <w:pStyle w:val="Heading2"/>
      </w:pPr>
      <w:bookmarkStart w:id="633" w:name="_Toc303086407"/>
      <w:bookmarkStart w:id="634" w:name="_Ref303943831"/>
      <w:bookmarkStart w:id="635" w:name="_Toc334601059"/>
      <w:bookmarkStart w:id="636" w:name="_Ref360785713"/>
      <w:bookmarkStart w:id="637" w:name="_Toc365441016"/>
      <w:bookmarkStart w:id="638" w:name="_Ref387772884"/>
      <w:bookmarkStart w:id="639" w:name="_Ref388700099"/>
      <w:bookmarkStart w:id="640" w:name="_Ref388701281"/>
      <w:bookmarkStart w:id="641" w:name="_Ref390423870"/>
      <w:bookmarkStart w:id="642" w:name="_Ref390423909"/>
      <w:bookmarkStart w:id="643" w:name="_Toc396807646"/>
      <w:r w:rsidRPr="00F746C6">
        <w:t>Transmission Improvements to Load and Generation Pockets</w:t>
      </w:r>
      <w:r>
        <w:t xml:space="preserve"> </w:t>
      </w:r>
      <w:r w:rsidRPr="00F746C6">
        <w:t>Addressing</w:t>
      </w:r>
      <w:r>
        <w:br/>
      </w:r>
      <w:r w:rsidRPr="00F746C6">
        <w:t>Reliability Issues</w:t>
      </w:r>
      <w:bookmarkEnd w:id="633"/>
      <w:bookmarkEnd w:id="634"/>
      <w:bookmarkEnd w:id="635"/>
      <w:bookmarkEnd w:id="636"/>
      <w:bookmarkEnd w:id="637"/>
      <w:bookmarkEnd w:id="638"/>
      <w:bookmarkEnd w:id="639"/>
      <w:bookmarkEnd w:id="640"/>
      <w:bookmarkEnd w:id="641"/>
      <w:bookmarkEnd w:id="642"/>
      <w:bookmarkEnd w:id="643"/>
    </w:p>
    <w:p w:rsidR="00C561D4" w:rsidRDefault="00C561D4" w:rsidP="00C561D4">
      <w:pPr>
        <w:keepNext/>
        <w:keepLines/>
      </w:pPr>
      <w:r>
        <w:t xml:space="preserve">The performance of the transmission system is highly dependent on embedded generators operating to maintain reliability in several smaller areas of the system. Consistent with ISO operating requirements, the generators may be required to provide second-contingency protection or voltage support or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w:t>
      </w:r>
      <w:r w:rsidRPr="00C203BC">
        <w:t>commitments.</w:t>
      </w:r>
      <w:r w:rsidR="003653F7">
        <w:t xml:space="preserve"> The </w:t>
      </w:r>
      <w:r w:rsidR="003653F7" w:rsidRPr="0054288E">
        <w:t xml:space="preserve">total cost for these reliability payments are a </w:t>
      </w:r>
      <w:r w:rsidR="009F5EA2">
        <w:t xml:space="preserve">small </w:t>
      </w:r>
      <w:r w:rsidR="003653F7" w:rsidRPr="0054288E">
        <w:t>portion of the overall</w:t>
      </w:r>
      <w:r w:rsidR="0054288E" w:rsidRPr="0054288E">
        <w:t xml:space="preserve"> </w:t>
      </w:r>
      <w:r w:rsidR="003653F7" w:rsidRPr="0054288E">
        <w:t>wholesale electricity market costs in New England of $8.82 billion in 2013.</w:t>
      </w:r>
    </w:p>
    <w:p w:rsidR="00C561D4" w:rsidRDefault="00C561D4" w:rsidP="00C561D4">
      <w:r>
        <w:t>Several areas currently depend on out-of-merit generating units to some degree to maintain reliability</w:t>
      </w:r>
      <w:r w:rsidRPr="002F1350">
        <w:t xml:space="preserve">, or have been </w:t>
      </w:r>
      <w:r w:rsidRPr="00D20A4C">
        <w:t xml:space="preserve">dependent </w:t>
      </w:r>
      <w:r w:rsidRPr="00B2022E">
        <w:t>on these units</w:t>
      </w:r>
      <w:r w:rsidRPr="002F1350">
        <w:t xml:space="preserve"> until recently</w:t>
      </w:r>
      <w:r>
        <w:t xml:space="preserve">. These areas and the status of transmission projects that either have reduced or eliminated the need to run units out of merit to respect reliability </w:t>
      </w:r>
      <w:r w:rsidRPr="00630569">
        <w:t xml:space="preserve">requirements, or </w:t>
      </w:r>
      <w:proofErr w:type="gramStart"/>
      <w:r w:rsidRPr="00630569">
        <w:t>are expected</w:t>
      </w:r>
      <w:proofErr w:type="gramEnd"/>
      <w:r w:rsidRPr="00630569">
        <w:t xml:space="preserve"> to do so when the projects are completed, are as follows:</w:t>
      </w:r>
      <w:r w:rsidRPr="00E15017">
        <w:t xml:space="preserve"> </w:t>
      </w:r>
    </w:p>
    <w:p w:rsidR="00C561D4" w:rsidRDefault="00C561D4" w:rsidP="00CA14E0">
      <w:pPr>
        <w:numPr>
          <w:ilvl w:val="0"/>
          <w:numId w:val="295"/>
        </w:numPr>
        <w:spacing w:after="120"/>
      </w:pPr>
      <w:r w:rsidRPr="00B911CA">
        <w:rPr>
          <w:b/>
        </w:rPr>
        <w:t>Maine</w:t>
      </w:r>
      <w:r w:rsidRPr="00181F5E">
        <w:t>—</w:t>
      </w:r>
      <w:r>
        <w:t xml:space="preserve">Generation is required for maintaining system reliability following second contingencies involving flows from </w:t>
      </w:r>
      <w:r w:rsidRPr="00A922FE">
        <w:t xml:space="preserve">New Hampshire to Maine. The MPRP project (see </w:t>
      </w:r>
      <w:r w:rsidRPr="007A6A48">
        <w:t>Sections </w:t>
      </w:r>
      <w:fldSimple w:instr=" REF _Ref297230746 \r \h  \* MERGEFORMAT ">
        <w:r w:rsidR="00284CE3">
          <w:t>5.4.1.2</w:t>
        </w:r>
      </w:fldSimple>
      <w:r w:rsidRPr="007A6A48">
        <w:t xml:space="preserve"> and </w:t>
      </w:r>
      <w:fldSimple w:instr=" REF _Ref296499030 \r \h  \* MERGEFORMAT ">
        <w:r w:rsidR="00284CE3">
          <w:t>5.4.1.3</w:t>
        </w:r>
      </w:fldSimple>
      <w:r w:rsidRPr="007419C5">
        <w:t xml:space="preserve">) </w:t>
      </w:r>
      <w:proofErr w:type="gramStart"/>
      <w:r w:rsidRPr="007419C5">
        <w:t>is expected</w:t>
      </w:r>
      <w:proofErr w:type="gramEnd"/>
      <w:r>
        <w:t xml:space="preserve"> </w:t>
      </w:r>
      <w:r w:rsidRPr="00E303FD">
        <w:t>to help reduce</w:t>
      </w:r>
      <w:r>
        <w:t xml:space="preserve"> the requirement for running certain generators to support the transfers from New Hampshire to Maine</w:t>
      </w:r>
      <w:r w:rsidRPr="00A922FE">
        <w:t xml:space="preserve">. Net Commitment-Period </w:t>
      </w:r>
      <w:r w:rsidRPr="007A6A48">
        <w:t>Compensation (NCPC) charges in the Maine area were approximately $7.4 million, approximately</w:t>
      </w:r>
      <w:r>
        <w:t xml:space="preserve"> 14% of the New England total.</w:t>
      </w:r>
      <w:r>
        <w:rPr>
          <w:rStyle w:val="FootnoteReference"/>
        </w:rPr>
        <w:footnoteReference w:id="247"/>
      </w:r>
      <w:r>
        <w:t xml:space="preserve"> Some out-of-merit costs in this period were associated with maintaining transmission system security during MPRP construction. </w:t>
      </w:r>
    </w:p>
    <w:p w:rsidR="00C561D4" w:rsidRDefault="00C561D4" w:rsidP="00C561D4">
      <w:pPr>
        <w:numPr>
          <w:ilvl w:val="0"/>
          <w:numId w:val="295"/>
        </w:numPr>
      </w:pPr>
      <w:r>
        <w:rPr>
          <w:b/>
        </w:rPr>
        <w:t>Rhode Island</w:t>
      </w:r>
      <w:r w:rsidRPr="00181F5E">
        <w:t>—</w:t>
      </w:r>
      <w:r>
        <w:t xml:space="preserve">Generation is required for maintaining system reliability following second contingencies associated with import concerns </w:t>
      </w:r>
      <w:proofErr w:type="gramStart"/>
      <w:r>
        <w:t>and also</w:t>
      </w:r>
      <w:proofErr w:type="gramEnd"/>
      <w:r>
        <w:t xml:space="preserve"> with local-area constraints</w:t>
      </w:r>
      <w:r w:rsidRPr="00A922FE">
        <w:t xml:space="preserve">. </w:t>
      </w:r>
      <w:r w:rsidRPr="00CB2829">
        <w:t>NCPC charges</w:t>
      </w:r>
      <w:r>
        <w:t xml:space="preserve"> in the Rhode Island area were approximately $10.0 million, approximately 18% of the </w:t>
      </w:r>
      <w:r w:rsidRPr="003504B2">
        <w:t xml:space="preserve">New England </w:t>
      </w:r>
      <w:r w:rsidRPr="00EF06BF">
        <w:t xml:space="preserve">total. </w:t>
      </w:r>
      <w:r w:rsidR="0028427D" w:rsidRPr="00EF06BF">
        <w:t xml:space="preserve">The Interstate Reliability Project portion of NEEWS (see Sections </w:t>
      </w:r>
      <w:fldSimple w:instr=" REF _Ref296514211 \r \h  \* MERGEFORMAT ">
        <w:r w:rsidR="00284CE3">
          <w:t>5.4.2.2</w:t>
        </w:r>
      </w:fldSimple>
      <w:r w:rsidR="0028427D" w:rsidRPr="00EF06BF">
        <w:t xml:space="preserve"> and </w:t>
      </w:r>
      <w:fldSimple w:instr=" REF _Ref297212984 \r \h  \* MERGEFORMAT ">
        <w:r w:rsidR="00284CE3">
          <w:t>5.4.2.3</w:t>
        </w:r>
      </w:fldSimple>
      <w:r w:rsidR="0028427D" w:rsidRPr="00EF06BF">
        <w:t xml:space="preserve">) </w:t>
      </w:r>
      <w:proofErr w:type="gramStart"/>
      <w:r w:rsidR="0028427D" w:rsidRPr="00EF06BF">
        <w:t>is expected</w:t>
      </w:r>
      <w:proofErr w:type="gramEnd"/>
      <w:r w:rsidR="0028427D" w:rsidRPr="00EF06BF">
        <w:t xml:space="preserve"> to reduce concerns associated with import constraints</w:t>
      </w:r>
      <w:r w:rsidRPr="00EF06BF">
        <w:t xml:space="preserve">. The upcoming retirement of </w:t>
      </w:r>
      <w:proofErr w:type="spellStart"/>
      <w:r w:rsidRPr="00EF06BF">
        <w:t>Brayton</w:t>
      </w:r>
      <w:proofErr w:type="spellEnd"/>
      <w:r w:rsidRPr="00EF06BF">
        <w:t xml:space="preserve"> Point Station may have an impact on NCPC charges in this area, but the upgrades</w:t>
      </w:r>
      <w:r>
        <w:t xml:space="preserve"> that the ongoing SEMA/RI assessments will identify </w:t>
      </w:r>
      <w:proofErr w:type="gramStart"/>
      <w:r>
        <w:t>are expected</w:t>
      </w:r>
      <w:proofErr w:type="gramEnd"/>
      <w:r>
        <w:t xml:space="preserve"> to reduce NCPC after they are placed in service.</w:t>
      </w:r>
    </w:p>
    <w:p w:rsidR="00C561D4" w:rsidRPr="00B911CA" w:rsidRDefault="00C561D4" w:rsidP="003504B2">
      <w:pPr>
        <w:pStyle w:val="Bullet-Solid"/>
        <w:keepNext/>
        <w:keepLines/>
        <w:numPr>
          <w:ilvl w:val="0"/>
          <w:numId w:val="295"/>
        </w:numPr>
        <w:rPr>
          <w:b/>
        </w:rPr>
      </w:pPr>
      <w:r w:rsidRPr="00B911CA">
        <w:rPr>
          <w:b/>
        </w:rPr>
        <w:t>Massachusetts</w:t>
      </w:r>
    </w:p>
    <w:p w:rsidR="00C561D4" w:rsidRPr="00796C03" w:rsidRDefault="00C561D4" w:rsidP="00CA14E0">
      <w:pPr>
        <w:keepNext/>
        <w:keepLines/>
        <w:numPr>
          <w:ilvl w:val="0"/>
          <w:numId w:val="296"/>
        </w:numPr>
        <w:spacing w:after="120"/>
        <w:ind w:left="1440"/>
      </w:pPr>
      <w:r w:rsidRPr="00B911CA">
        <w:rPr>
          <w:b/>
        </w:rPr>
        <w:t>Boston area</w:t>
      </w:r>
      <w:r w:rsidRPr="00B911CA">
        <w:t>—</w:t>
      </w:r>
      <w:r w:rsidR="006369D5">
        <w:t xml:space="preserve">NCPC for the Boston area </w:t>
      </w:r>
      <w:proofErr w:type="gramStart"/>
      <w:r w:rsidR="0064585B">
        <w:t>wa</w:t>
      </w:r>
      <w:r w:rsidR="006369D5">
        <w:t>s reduced</w:t>
      </w:r>
      <w:proofErr w:type="gramEnd"/>
      <w:r w:rsidR="006369D5">
        <w:t xml:space="preserve"> by s</w:t>
      </w:r>
      <w:r w:rsidRPr="00282067">
        <w:t>hunt reactor installations</w:t>
      </w:r>
      <w:r w:rsidR="006369D5">
        <w:t>, which</w:t>
      </w:r>
      <w:r w:rsidRPr="00282067">
        <w:t xml:space="preserve"> </w:t>
      </w:r>
      <w:r>
        <w:t xml:space="preserve">were </w:t>
      </w:r>
      <w:r w:rsidR="006369D5">
        <w:t xml:space="preserve">completed </w:t>
      </w:r>
      <w:r w:rsidRPr="00282067">
        <w:t>in the 2009</w:t>
      </w:r>
      <w:r>
        <w:t xml:space="preserve"> to </w:t>
      </w:r>
      <w:r w:rsidRPr="00282067">
        <w:t>2010 timeframe</w:t>
      </w:r>
      <w:r w:rsidR="003653F7">
        <w:t xml:space="preserve"> after the </w:t>
      </w:r>
      <w:r w:rsidRPr="00EA2E47">
        <w:t xml:space="preserve">Stoughton Cables Project </w:t>
      </w:r>
      <w:r w:rsidR="003653F7">
        <w:t xml:space="preserve">went into service </w:t>
      </w:r>
      <w:r w:rsidRPr="00EA2E47">
        <w:t xml:space="preserve">(see Section </w:t>
      </w:r>
      <w:fldSimple w:instr=" REF _Ref296514211 \r \h  \* MERGEFORMAT ">
        <w:r w:rsidR="00284CE3">
          <w:t>5.4.2.2</w:t>
        </w:r>
      </w:fldSimple>
      <w:r w:rsidRPr="00EA2E47">
        <w:t>)</w:t>
      </w:r>
      <w:r>
        <w:t>.</w:t>
      </w:r>
      <w:r w:rsidRPr="00282067">
        <w:t xml:space="preserve"> NCPC for this area totaled </w:t>
      </w:r>
      <w:r>
        <w:t>approximately</w:t>
      </w:r>
      <w:r w:rsidRPr="00282067">
        <w:t xml:space="preserve"> $</w:t>
      </w:r>
      <w:r>
        <w:t>14.</w:t>
      </w:r>
      <w:r w:rsidR="00E56744">
        <w:t>4 </w:t>
      </w:r>
      <w:r>
        <w:t>million</w:t>
      </w:r>
      <w:r w:rsidRPr="00282067">
        <w:t xml:space="preserve"> for 201</w:t>
      </w:r>
      <w:r>
        <w:t xml:space="preserve">3, approximately 26% of the New England total. The upgrades </w:t>
      </w:r>
      <w:proofErr w:type="gramStart"/>
      <w:r>
        <w:t>being pursued</w:t>
      </w:r>
      <w:proofErr w:type="gramEnd"/>
      <w:r>
        <w:t xml:space="preserve"> as part of the Greater Boston projects are expected to further reduce NCPC after they are placed in service (see Sections </w:t>
      </w:r>
      <w:fldSimple w:instr=" REF _Ref296514211 \r \h  \* MERGEFORMAT ">
        <w:r w:rsidR="00284CE3">
          <w:t>5.4.2.2</w:t>
        </w:r>
      </w:fldSimple>
      <w:r w:rsidR="004A1AB7" w:rsidRPr="003504B2">
        <w:t xml:space="preserve"> and</w:t>
      </w:r>
      <w:r w:rsidR="004A1AB7">
        <w:t xml:space="preserve"> </w:t>
      </w:r>
      <w:fldSimple w:instr=" REF _Ref297212984 \r \h  \* MERGEFORMAT ">
        <w:r w:rsidR="00284CE3">
          <w:t>5.4.2.3</w:t>
        </w:r>
      </w:fldSimple>
      <w:r>
        <w:t>).</w:t>
      </w:r>
    </w:p>
    <w:p w:rsidR="00C561D4" w:rsidRPr="00A21A2B" w:rsidRDefault="00C561D4" w:rsidP="00CA14E0">
      <w:pPr>
        <w:numPr>
          <w:ilvl w:val="0"/>
          <w:numId w:val="296"/>
        </w:numPr>
        <w:spacing w:after="120"/>
        <w:ind w:left="1440"/>
      </w:pPr>
      <w:r w:rsidRPr="00FE5910">
        <w:t xml:space="preserve"> </w:t>
      </w:r>
      <w:r w:rsidRPr="00B911CA">
        <w:rPr>
          <w:b/>
        </w:rPr>
        <w:t>Southeastern Massachusetts</w:t>
      </w:r>
      <w:r>
        <w:t>—</w:t>
      </w:r>
      <w:proofErr w:type="gramStart"/>
      <w:r w:rsidRPr="00282067">
        <w:t>The</w:t>
      </w:r>
      <w:proofErr w:type="gramEnd"/>
      <w:r w:rsidRPr="00282067">
        <w:t xml:space="preserve"> completion of the short-term Lower SEMA project</w:t>
      </w:r>
      <w:r>
        <w:t>,</w:t>
      </w:r>
      <w:r w:rsidRPr="00282067">
        <w:t xml:space="preserve"> coupled with the temporary operating measures put in place</w:t>
      </w:r>
      <w:r>
        <w:t>,</w:t>
      </w:r>
      <w:r w:rsidRPr="00282067">
        <w:t xml:space="preserve"> resulted in NCPC payments in this area </w:t>
      </w:r>
      <w:r>
        <w:t>of</w:t>
      </w:r>
      <w:r w:rsidRPr="00282067">
        <w:t xml:space="preserve"> </w:t>
      </w:r>
      <w:r>
        <w:t>approximately</w:t>
      </w:r>
      <w:r w:rsidRPr="00282067">
        <w:t xml:space="preserve"> $</w:t>
      </w:r>
      <w:r>
        <w:t xml:space="preserve">6.4 million, approximately 12% of the New England total. The upgrades that the ongoing SEMA/RI assessments will identify </w:t>
      </w:r>
      <w:proofErr w:type="gramStart"/>
      <w:r>
        <w:t>are</w:t>
      </w:r>
      <w:proofErr w:type="gramEnd"/>
      <w:r>
        <w:t xml:space="preserve"> expected to further reduce NCPC after they are placed in service (see Sections </w:t>
      </w:r>
      <w:fldSimple w:instr=" REF _Ref296514211 \r \h  \* MERGEFORMAT ">
        <w:r w:rsidR="00284CE3">
          <w:t>5.4.2.2</w:t>
        </w:r>
      </w:fldSimple>
      <w:r>
        <w:t>).</w:t>
      </w:r>
    </w:p>
    <w:p w:rsidR="00C561D4" w:rsidRDefault="00C561D4" w:rsidP="004A1AB7">
      <w:pPr>
        <w:numPr>
          <w:ilvl w:val="0"/>
          <w:numId w:val="296"/>
        </w:numPr>
        <w:ind w:left="1440"/>
      </w:pPr>
      <w:r w:rsidRPr="00B911CA">
        <w:rPr>
          <w:b/>
        </w:rPr>
        <w:t>Western Massachusetts/Springfield area</w:t>
      </w:r>
      <w:r>
        <w:t>—</w:t>
      </w:r>
      <w:proofErr w:type="gramStart"/>
      <w:r w:rsidRPr="00F746C6">
        <w:t>A</w:t>
      </w:r>
      <w:proofErr w:type="gramEnd"/>
      <w:r w:rsidRPr="00F746C6">
        <w:t xml:space="preserve"> preferred solution for the Pittsfield–Greenfield area </w:t>
      </w:r>
      <w:r>
        <w:t>h</w:t>
      </w:r>
      <w:r w:rsidRPr="00F746C6">
        <w:t xml:space="preserve">as </w:t>
      </w:r>
      <w:r>
        <w:t xml:space="preserve">been </w:t>
      </w:r>
      <w:r w:rsidRPr="00F746C6">
        <w:t xml:space="preserve">selected; however, some out-of-merit costs </w:t>
      </w:r>
      <w:r>
        <w:t xml:space="preserve">likely </w:t>
      </w:r>
      <w:r w:rsidRPr="00F746C6">
        <w:t>will continue until improvements are placed in service.</w:t>
      </w:r>
      <w:r>
        <w:t xml:space="preserve"> Minimal out-of-merit costs in this area were associated with the construction of the</w:t>
      </w:r>
      <w:r w:rsidRPr="00282067">
        <w:t xml:space="preserve"> GSRP component of NEEWS, which </w:t>
      </w:r>
      <w:r>
        <w:t xml:space="preserve">is now complete. </w:t>
      </w:r>
      <w:r w:rsidRPr="00282067">
        <w:t xml:space="preserve">This area accounted for </w:t>
      </w:r>
      <w:r>
        <w:t xml:space="preserve">approximately </w:t>
      </w:r>
      <w:r w:rsidRPr="00282067">
        <w:t>$</w:t>
      </w:r>
      <w:r>
        <w:t>15.9 million</w:t>
      </w:r>
      <w:r w:rsidRPr="00282067">
        <w:t xml:space="preserve"> of the 201</w:t>
      </w:r>
      <w:r>
        <w:t>3</w:t>
      </w:r>
      <w:r w:rsidRPr="00282067">
        <w:t xml:space="preserve"> NCPC charges</w:t>
      </w:r>
      <w:r>
        <w:t>,</w:t>
      </w:r>
      <w:r w:rsidRPr="002642E1">
        <w:t xml:space="preserve"> </w:t>
      </w:r>
      <w:r>
        <w:t>approximately 29% of the New England total</w:t>
      </w:r>
      <w:r w:rsidRPr="00282067">
        <w:t>.</w:t>
      </w:r>
    </w:p>
    <w:p w:rsidR="00E63D3A" w:rsidRDefault="006855A9">
      <w:pPr>
        <w:pStyle w:val="Heading2"/>
      </w:pPr>
      <w:bookmarkStart w:id="644" w:name="_Toc396807647"/>
      <w:bookmarkStart w:id="645" w:name="_Ref397073963"/>
      <w:r w:rsidRPr="006855A9">
        <w:t>Delist Bids, FCA #4 to FCA #8</w:t>
      </w:r>
      <w:bookmarkEnd w:id="644"/>
      <w:bookmarkEnd w:id="645"/>
    </w:p>
    <w:p w:rsidR="00C561D4" w:rsidRPr="0045052D" w:rsidRDefault="00C561D4" w:rsidP="00C561D4">
      <w:r w:rsidRPr="0045052D">
        <w:t xml:space="preserve">As part of the FCM rules, the ISO reviews each delist bid to determine whether the capacity associated with the delist bid is needed for the reliability of the New England electric power system. Capacity </w:t>
      </w:r>
      <w:proofErr w:type="gramStart"/>
      <w:r w:rsidRPr="0045052D">
        <w:t>determined not to be needed</w:t>
      </w:r>
      <w:proofErr w:type="gramEnd"/>
      <w:r w:rsidRPr="0045052D">
        <w:t xml:space="preserve"> for reliability is allowed to delist.</w:t>
      </w:r>
      <w:r w:rsidR="004A4375">
        <w:t xml:space="preserve"> </w:t>
      </w:r>
    </w:p>
    <w:p w:rsidR="00C561D4" w:rsidRPr="000757FB" w:rsidRDefault="00C561D4" w:rsidP="00C561D4">
      <w:r w:rsidRPr="0045052D">
        <w:t xml:space="preserve">For FCA #4, which </w:t>
      </w:r>
      <w:proofErr w:type="gramStart"/>
      <w:r w:rsidRPr="0045052D">
        <w:t>was held</w:t>
      </w:r>
      <w:proofErr w:type="gramEnd"/>
      <w:r w:rsidRPr="0045052D">
        <w:t xml:space="preserve"> in August 2010 for the 2013/2014 capacity commitment period, 281 delist bids were received, representing 2,410 MW. In accordance with Planning Procedure No. 10 (PP 10), </w:t>
      </w:r>
      <w:r w:rsidRPr="0045052D">
        <w:rPr>
          <w:i/>
        </w:rPr>
        <w:t>Planning Procedure to Support the Forward Capacity Market</w:t>
      </w:r>
      <w:r w:rsidRPr="0045052D">
        <w:t xml:space="preserve">, the ISO reviewed and analyzed these bids and determined that 587 MW, representing Salem Harbor units #3 and #4, and 604 MW, representing Vermont Yankee, were needed for reliability. In a December 16, 2010, order, FERC accepted the ISO’s </w:t>
      </w:r>
      <w:r w:rsidRPr="000757FB">
        <w:t>determination</w:t>
      </w:r>
      <w:r w:rsidRPr="00C017DE">
        <w:t>.</w:t>
      </w:r>
      <w:r w:rsidRPr="00C017DE">
        <w:rPr>
          <w:rStyle w:val="FootnoteReference"/>
        </w:rPr>
        <w:footnoteReference w:id="248"/>
      </w:r>
      <w:r w:rsidRPr="00C017DE">
        <w:t xml:space="preserve"> In May 2012, the ISO notified Entergy that Vermont Yankee is no longer needed for</w:t>
      </w:r>
      <w:r w:rsidR="00CA14E0">
        <w:br/>
      </w:r>
      <w:r w:rsidRPr="00C017DE">
        <w:t xml:space="preserve">the </w:t>
      </w:r>
      <w:r w:rsidRPr="004D35E1">
        <w:t xml:space="preserve">FCA #4 capacity commitment </w:t>
      </w:r>
      <w:proofErr w:type="gramStart"/>
      <w:r w:rsidRPr="004D35E1">
        <w:t>period</w:t>
      </w:r>
      <w:proofErr w:type="gramEnd"/>
      <w:r w:rsidRPr="004D35E1">
        <w:t>.</w:t>
      </w:r>
      <w:r w:rsidR="004D35E1" w:rsidRPr="004D35E1">
        <w:t xml:space="preserve"> Refer to Sections </w:t>
      </w:r>
      <w:fldSimple w:instr=" REF _Ref387743694 \r \h  \* MERGEFORMAT ">
        <w:r w:rsidR="00284CE3">
          <w:t>4.1.3.3</w:t>
        </w:r>
      </w:fldSimple>
      <w:r w:rsidR="004D35E1" w:rsidRPr="004D35E1">
        <w:t xml:space="preserve">, </w:t>
      </w:r>
      <w:fldSimple w:instr=" REF _Ref387671423 \r \h  \* MERGEFORMAT ">
        <w:r w:rsidR="00284CE3">
          <w:t>4.2</w:t>
        </w:r>
      </w:fldSimple>
      <w:r w:rsidR="004D35E1" w:rsidRPr="004D35E1">
        <w:t xml:space="preserve">, and </w:t>
      </w:r>
      <w:fldSimple w:instr=" REF _Ref297230746 \r \h  \* MERGEFORMAT ">
        <w:r w:rsidR="00284CE3">
          <w:t>5.4.1.2</w:t>
        </w:r>
      </w:fldSimple>
      <w:r w:rsidR="00D24CD4" w:rsidRPr="00D24CD4">
        <w:t xml:space="preserve"> </w:t>
      </w:r>
      <w:r w:rsidR="004D35E1" w:rsidRPr="004D35E1">
        <w:t>for more information on VY.</w:t>
      </w:r>
    </w:p>
    <w:p w:rsidR="00C561D4" w:rsidRPr="0045052D" w:rsidRDefault="00C561D4" w:rsidP="00C561D4">
      <w:r w:rsidRPr="000757FB">
        <w:t>In February 2011</w:t>
      </w:r>
      <w:r w:rsidRPr="00D111D2">
        <w:t xml:space="preserve">, a </w:t>
      </w:r>
      <w:proofErr w:type="spellStart"/>
      <w:r w:rsidRPr="00D111D2">
        <w:t>nonprice</w:t>
      </w:r>
      <w:proofErr w:type="spellEnd"/>
      <w:r w:rsidRPr="00D111D2">
        <w:t xml:space="preserve"> retirement request (see Section </w:t>
      </w:r>
      <w:fldSimple w:instr=" REF _Ref296514211 \r \h  \* MERGEFORMAT ">
        <w:r w:rsidR="00284CE3">
          <w:t>5.4.2.2</w:t>
        </w:r>
      </w:fldSimple>
      <w:r w:rsidRPr="00D111D2">
        <w:t xml:space="preserve">) </w:t>
      </w:r>
      <w:proofErr w:type="gramStart"/>
      <w:r w:rsidRPr="00D111D2">
        <w:t>was</w:t>
      </w:r>
      <w:r w:rsidRPr="000757FB">
        <w:t xml:space="preserve"> submitted</w:t>
      </w:r>
      <w:proofErr w:type="gramEnd"/>
      <w:r w:rsidRPr="000757FB">
        <w:t xml:space="preserve"> for Salem Harbor</w:t>
      </w:r>
      <w:r w:rsidRPr="0045052D">
        <w:t xml:space="preserve"> units #1, #2, #3, and #4 beginning June 1, 2014.</w:t>
      </w:r>
      <w:r w:rsidRPr="0045052D">
        <w:rPr>
          <w:rStyle w:val="FootnoteReference"/>
        </w:rPr>
        <w:footnoteReference w:id="249"/>
      </w:r>
      <w:r w:rsidRPr="0045052D">
        <w:t xml:space="preserve"> The ISO found no reliability concerns associated with the retirement of Salem units #1 and #2. However, in May 2011, the ISO determin</w:t>
      </w:r>
      <w:r>
        <w:t xml:space="preserve">ed </w:t>
      </w:r>
      <w:r w:rsidRPr="0045052D">
        <w:t xml:space="preserve">that Salem Harbor units #3 and #4 </w:t>
      </w:r>
      <w:proofErr w:type="gramStart"/>
      <w:r w:rsidRPr="0045052D">
        <w:t>were needed</w:t>
      </w:r>
      <w:proofErr w:type="gramEnd"/>
      <w:r w:rsidRPr="0045052D">
        <w:t xml:space="preserve"> to ensure continued reliability of the system. Soon </w:t>
      </w:r>
      <w:r w:rsidRPr="00E40567">
        <w:t xml:space="preserve">after the ISO’s determination was issued, </w:t>
      </w:r>
      <w:r>
        <w:t xml:space="preserve">the ISO was </w:t>
      </w:r>
      <w:r w:rsidRPr="00E40567">
        <w:t xml:space="preserve">notified that </w:t>
      </w:r>
      <w:r w:rsidRPr="0045052D">
        <w:t xml:space="preserve">Salem units #3 and #4 </w:t>
      </w:r>
      <w:proofErr w:type="gramStart"/>
      <w:r>
        <w:t>will</w:t>
      </w:r>
      <w:proofErr w:type="gramEnd"/>
      <w:r>
        <w:t xml:space="preserve"> be retired </w:t>
      </w:r>
      <w:r w:rsidRPr="0045052D">
        <w:t>on June 1, 2014.</w:t>
      </w:r>
    </w:p>
    <w:p w:rsidR="00C561D4" w:rsidRDefault="00C561D4" w:rsidP="00C561D4">
      <w:r w:rsidRPr="0045052D">
        <w:t xml:space="preserve">For FCA #5, which </w:t>
      </w:r>
      <w:proofErr w:type="gramStart"/>
      <w:r w:rsidRPr="0045052D">
        <w:t>was held</w:t>
      </w:r>
      <w:proofErr w:type="gramEnd"/>
      <w:r w:rsidRPr="0045052D">
        <w:t xml:space="preserve"> in June 2011 for the 2014/2015 capacity commitment period, 201 delist bids were received, representing 1,775 MW. In accordance with PP 10, the ISO reviewed and analyzed </w:t>
      </w:r>
      <w:r w:rsidRPr="00C017DE">
        <w:t xml:space="preserve">these bids and determined that only Vermont Yankee </w:t>
      </w:r>
      <w:proofErr w:type="gramStart"/>
      <w:r w:rsidRPr="00C017DE">
        <w:t>was needed</w:t>
      </w:r>
      <w:proofErr w:type="gramEnd"/>
      <w:r w:rsidRPr="00C017DE">
        <w:t xml:space="preserve"> for reliability.</w:t>
      </w:r>
      <w:r w:rsidRPr="00C017DE">
        <w:rPr>
          <w:rStyle w:val="FootnoteReference"/>
        </w:rPr>
        <w:footnoteReference w:id="250"/>
      </w:r>
      <w:r w:rsidRPr="00C017DE">
        <w:t xml:space="preserve"> The ISO subsequently determined in November 2012 that Vermont Yankee was not needed for reliability for the FCA #5 period </w:t>
      </w:r>
      <w:r w:rsidRPr="004D35E1">
        <w:t xml:space="preserve">and accepted the delist bid. </w:t>
      </w:r>
    </w:p>
    <w:p w:rsidR="00C561D4" w:rsidRDefault="00C561D4" w:rsidP="00C561D4">
      <w:r>
        <w:t xml:space="preserve">FCA #6 </w:t>
      </w:r>
      <w:proofErr w:type="gramStart"/>
      <w:r>
        <w:t>was held</w:t>
      </w:r>
      <w:proofErr w:type="gramEnd"/>
      <w:r>
        <w:t xml:space="preserve"> in April 2012 for the 2015/2016 capacity commitment period. The ISO reviewed and analyzed 191 delist bids, representing 1,968 MW. Several delist bids representing 79 MW were needed </w:t>
      </w:r>
      <w:r w:rsidRPr="00DE1967">
        <w:t>for reliability in the NEMA/Boston capacity zone.</w:t>
      </w:r>
      <w:r>
        <w:rPr>
          <w:rStyle w:val="FootnoteReference"/>
        </w:rPr>
        <w:footnoteReference w:id="251"/>
      </w:r>
      <w:r w:rsidRPr="00DE1967">
        <w:t xml:space="preserve"> </w:t>
      </w:r>
      <w:r>
        <w:t xml:space="preserve">Subsequently, in February 2013, the ISO accepted these delist bids </w:t>
      </w:r>
      <w:proofErr w:type="gramStart"/>
      <w:r>
        <w:t xml:space="preserve">on the </w:t>
      </w:r>
      <w:r w:rsidRPr="00B34AE9">
        <w:t>bas</w:t>
      </w:r>
      <w:r>
        <w:t>is of</w:t>
      </w:r>
      <w:proofErr w:type="gramEnd"/>
      <w:r>
        <w:t xml:space="preserve"> </w:t>
      </w:r>
      <w:r w:rsidRPr="00F639E0">
        <w:t>updated</w:t>
      </w:r>
      <w:r>
        <w:t xml:space="preserve"> studies. </w:t>
      </w:r>
    </w:p>
    <w:p w:rsidR="00C561D4" w:rsidRDefault="00C561D4" w:rsidP="00C561D4">
      <w:r w:rsidRPr="00500F26">
        <w:t xml:space="preserve">FCA #7 </w:t>
      </w:r>
      <w:proofErr w:type="gramStart"/>
      <w:r w:rsidRPr="00500F26">
        <w:t>was held</w:t>
      </w:r>
      <w:proofErr w:type="gramEnd"/>
      <w:r w:rsidRPr="00500F26">
        <w:t xml:space="preserve"> in February 2013 for the 2016/2017 capacity commitment period. The ISO reviewed </w:t>
      </w:r>
      <w:r w:rsidRPr="002860F7">
        <w:t>and analyzed 268 delist bids, representing 1,560 MW.</w:t>
      </w:r>
      <w:r w:rsidRPr="002860F7">
        <w:rPr>
          <w:rStyle w:val="FootnoteReference"/>
        </w:rPr>
        <w:footnoteReference w:id="252"/>
      </w:r>
      <w:r w:rsidRPr="002860F7">
        <w:t xml:space="preserve"> The ISO accepted all delist bids. However, price</w:t>
      </w:r>
      <w:r w:rsidRPr="00F639E0">
        <w:t xml:space="preserve"> separation occurred between </w:t>
      </w:r>
      <w:r>
        <w:t xml:space="preserve">the </w:t>
      </w:r>
      <w:r w:rsidRPr="00F639E0">
        <w:t xml:space="preserve">NEMA/Boston area and the rest of New England. The </w:t>
      </w:r>
      <w:r>
        <w:t xml:space="preserve">addition of new market resources and the </w:t>
      </w:r>
      <w:r w:rsidRPr="00F639E0">
        <w:t>final</w:t>
      </w:r>
      <w:r>
        <w:t xml:space="preserve"> transmission solution for Greater Boston </w:t>
      </w:r>
      <w:proofErr w:type="gramStart"/>
      <w:r>
        <w:t>is expected</w:t>
      </w:r>
      <w:proofErr w:type="gramEnd"/>
      <w:r>
        <w:t xml:space="preserve"> to mitigate this concern by increasing the ability of the transmission system to move power into the area.</w:t>
      </w:r>
    </w:p>
    <w:p w:rsidR="00C561D4" w:rsidRDefault="00C561D4" w:rsidP="00C561D4">
      <w:bookmarkStart w:id="646" w:name="_Toc303086416"/>
      <w:bookmarkStart w:id="647" w:name="_Toc334601061"/>
      <w:bookmarkStart w:id="648" w:name="_Toc365441018"/>
      <w:r>
        <w:t xml:space="preserve">FCA #8 </w:t>
      </w:r>
      <w:proofErr w:type="gramStart"/>
      <w:r w:rsidRPr="00E82EB0">
        <w:t>was held</w:t>
      </w:r>
      <w:proofErr w:type="gramEnd"/>
      <w:r w:rsidRPr="00E82EB0">
        <w:t xml:space="preserve"> in February 2014 for the 2017/2018 capacity commitment period. The ISO reviewed and analyzed 100 static delist bids, representing 4,170 MW</w:t>
      </w:r>
      <w:r>
        <w:t xml:space="preserve">. </w:t>
      </w:r>
      <w:r w:rsidR="003653F7">
        <w:t xml:space="preserve">No </w:t>
      </w:r>
      <w:r w:rsidRPr="00E82EB0">
        <w:t>delist bids</w:t>
      </w:r>
      <w:r w:rsidR="003653F7">
        <w:t xml:space="preserve"> were </w:t>
      </w:r>
      <w:r w:rsidR="003653F7" w:rsidRPr="0064585B">
        <w:t xml:space="preserve">rejected </w:t>
      </w:r>
      <w:r w:rsidR="00132472" w:rsidRPr="0064585B">
        <w:t>to meet reliability requirements</w:t>
      </w:r>
      <w:r w:rsidRPr="0064585B">
        <w:t>. In August 2013, Entergy announced the retirement of</w:t>
      </w:r>
      <w:r>
        <w:t xml:space="preserve"> the Vermont Yankee nuclear plant (604 MW) and submitted a</w:t>
      </w:r>
      <w:r w:rsidR="004D35E1">
        <w:t xml:space="preserve"> </w:t>
      </w:r>
      <w:proofErr w:type="spellStart"/>
      <w:r w:rsidRPr="004A4375">
        <w:t>n</w:t>
      </w:r>
      <w:r w:rsidR="004D35E1" w:rsidRPr="004A4375">
        <w:t>onprice</w:t>
      </w:r>
      <w:proofErr w:type="spellEnd"/>
      <w:r w:rsidR="004D35E1" w:rsidRPr="004A4375">
        <w:t xml:space="preserve"> retirement request</w:t>
      </w:r>
      <w:r w:rsidRPr="004A4375">
        <w:t xml:space="preserve">. On October 16, 2013, the ISO determined the resource </w:t>
      </w:r>
      <w:proofErr w:type="gramStart"/>
      <w:r w:rsidRPr="004A4375">
        <w:t>was not</w:t>
      </w:r>
      <w:r>
        <w:t xml:space="preserve"> needed</w:t>
      </w:r>
      <w:proofErr w:type="gramEnd"/>
      <w:r>
        <w:t xml:space="preserve"> for reliability. In late September/early October 2013, nearly 2,400 MW additionally requested to </w:t>
      </w:r>
      <w:r w:rsidRPr="004A4375">
        <w:t>leave the market by submitting NPRRs, specifically, five resources representing 1,535 MW from the</w:t>
      </w:r>
      <w:r>
        <w:t xml:space="preserve"> </w:t>
      </w:r>
      <w:proofErr w:type="spellStart"/>
      <w:r>
        <w:t>Brayton</w:t>
      </w:r>
      <w:proofErr w:type="spellEnd"/>
      <w:r>
        <w:t xml:space="preserve"> Point Station, three resources representing 342 MW from Norwalk Harbor Station, and 554 MW of demand-response resources. On December 20, 2013, the ISO issued the reliability determination for these resources. Only the </w:t>
      </w:r>
      <w:proofErr w:type="spellStart"/>
      <w:r>
        <w:t>Brayton</w:t>
      </w:r>
      <w:proofErr w:type="spellEnd"/>
      <w:r>
        <w:t xml:space="preserve"> Point Station #1–#4 generators </w:t>
      </w:r>
      <w:proofErr w:type="gramStart"/>
      <w:r>
        <w:t>were needed</w:t>
      </w:r>
      <w:proofErr w:type="gramEnd"/>
      <w:r>
        <w:t xml:space="preserve"> for reliability</w:t>
      </w:r>
      <w:r w:rsidRPr="00E82EB0">
        <w:t>.</w:t>
      </w:r>
    </w:p>
    <w:p w:rsidR="00E63D3A" w:rsidRDefault="00C561D4">
      <w:pPr>
        <w:pStyle w:val="Heading2"/>
      </w:pPr>
      <w:bookmarkStart w:id="649" w:name="_Ref388452655"/>
      <w:bookmarkStart w:id="650" w:name="_Toc396807648"/>
      <w:r w:rsidRPr="00976287">
        <w:t>Other Needed and Elective Transmission Upgrades</w:t>
      </w:r>
      <w:bookmarkEnd w:id="646"/>
      <w:bookmarkEnd w:id="647"/>
      <w:bookmarkEnd w:id="648"/>
      <w:bookmarkEnd w:id="649"/>
      <w:bookmarkEnd w:id="650"/>
    </w:p>
    <w:p w:rsidR="00C561D4" w:rsidRDefault="00C561D4" w:rsidP="00C561D4">
      <w:r w:rsidRPr="00976287">
        <w:t>This section discusses Market-Efficiency-Related Transmission Upgrades. It also provides information on several transmission upgrades developed and paid for by generator developers</w:t>
      </w:r>
      <w:r>
        <w:t>.</w:t>
      </w:r>
      <w:r w:rsidRPr="00976287">
        <w:t xml:space="preserve"> The transmission upgrades must meet reliability performance requirements.</w:t>
      </w:r>
    </w:p>
    <w:p w:rsidR="00C561D4" w:rsidRDefault="00C561D4" w:rsidP="005C6088">
      <w:pPr>
        <w:pStyle w:val="Heading3"/>
        <w:spacing w:before="120"/>
      </w:pPr>
      <w:bookmarkStart w:id="651" w:name="_Toc303086417"/>
      <w:bookmarkStart w:id="652" w:name="_Toc334601062"/>
      <w:bookmarkStart w:id="653" w:name="_Toc365441019"/>
      <w:bookmarkStart w:id="654" w:name="_Toc396807649"/>
      <w:r w:rsidRPr="001E327B">
        <w:t>Needed Market-Efficiency-Related Transmission Upgrades</w:t>
      </w:r>
      <w:bookmarkEnd w:id="651"/>
      <w:bookmarkEnd w:id="652"/>
      <w:bookmarkEnd w:id="653"/>
      <w:bookmarkEnd w:id="654"/>
    </w:p>
    <w:p w:rsidR="00C561D4" w:rsidRDefault="00C561D4" w:rsidP="00C561D4">
      <w:r>
        <w:t xml:space="preserve">The purpose of and requirements for Market-Efficiency Transmission Upgrades are described in </w:t>
      </w:r>
      <w:r w:rsidRPr="004A4375">
        <w:t>Section </w:t>
      </w:r>
      <w:fldSimple w:instr=" REF _Ref297214789 \r \h  \* MERGEFORMAT ">
        <w:r w:rsidR="00284CE3">
          <w:t>5.2.2</w:t>
        </w:r>
      </w:fldSimple>
      <w:r>
        <w:t xml:space="preserve">. However, market-efficiency benefits also may be associated with Reliability Transmission Upgrades, particularly when out-of-merit operating costs </w:t>
      </w:r>
      <w:proofErr w:type="gramStart"/>
      <w:r>
        <w:t>are reduced</w:t>
      </w:r>
      <w:proofErr w:type="gramEnd"/>
      <w:r>
        <w:t>.</w:t>
      </w:r>
    </w:p>
    <w:p w:rsidR="00C561D4" w:rsidRPr="00D111D2" w:rsidRDefault="00C561D4" w:rsidP="005C6088">
      <w:pPr>
        <w:pStyle w:val="Heading3"/>
        <w:spacing w:before="120"/>
      </w:pPr>
      <w:bookmarkStart w:id="655" w:name="_Ref298857085"/>
      <w:bookmarkStart w:id="656" w:name="_Toc303086418"/>
      <w:bookmarkStart w:id="657" w:name="_Toc334601063"/>
      <w:bookmarkStart w:id="658" w:name="_Toc365441020"/>
      <w:bookmarkStart w:id="659" w:name="_Toc396807650"/>
      <w:r w:rsidRPr="00D111D2">
        <w:t>Transmission Improvements to Mitigate Congestion</w:t>
      </w:r>
      <w:bookmarkEnd w:id="655"/>
      <w:bookmarkEnd w:id="656"/>
      <w:bookmarkEnd w:id="657"/>
      <w:bookmarkEnd w:id="658"/>
      <w:bookmarkEnd w:id="659"/>
    </w:p>
    <w:p w:rsidR="00C561D4" w:rsidRDefault="00C561D4" w:rsidP="00206D36">
      <w:r w:rsidRPr="00EA2E47">
        <w:t xml:space="preserve">Recent experience has demonstrated that the regional transmission system has little congestion among the New England load zones relative to the Hub. </w:t>
      </w:r>
      <w:r w:rsidR="00D06E28">
        <w:t>The highest mean annual positive congestion costs were $0.10</w:t>
      </w:r>
      <w:r w:rsidR="0064585B">
        <w:t>/</w:t>
      </w:r>
      <w:proofErr w:type="spellStart"/>
      <w:r w:rsidR="00D06E28">
        <w:t>MWh</w:t>
      </w:r>
      <w:proofErr w:type="spellEnd"/>
      <w:r w:rsidR="00D06E28">
        <w:t xml:space="preserve"> at both the BOSTON and RI RSP subareas.</w:t>
      </w:r>
      <w:r w:rsidR="00772B18">
        <w:rPr>
          <w:rStyle w:val="FootnoteReference"/>
        </w:rPr>
        <w:footnoteReference w:id="253"/>
      </w:r>
      <w:r w:rsidR="00D06E28">
        <w:rPr>
          <w:rStyle w:val="CommentReference"/>
        </w:rPr>
        <w:t> </w:t>
      </w:r>
      <w:r w:rsidR="00F31D2D">
        <w:rPr>
          <w:rStyle w:val="CommentReference"/>
          <w:sz w:val="20"/>
          <w:szCs w:val="20"/>
        </w:rPr>
        <w:t>At approximately $175,000 in 2013, c</w:t>
      </w:r>
      <w:r w:rsidR="00D06E28">
        <w:t xml:space="preserve">ongestion costs remain low, and mitigation by additional transmission upgrades </w:t>
      </w:r>
      <w:proofErr w:type="gramStart"/>
      <w:r w:rsidR="00D06E28">
        <w:t>is not warranted</w:t>
      </w:r>
      <w:proofErr w:type="gramEnd"/>
      <w:r w:rsidR="00D06E28">
        <w:t>. Planned Reliability Transmission Upgrades might reduce congestion costs further, as well as potentially reduce transmission system losses.</w:t>
      </w:r>
      <w:r w:rsidR="00D06E28">
        <w:rPr>
          <w:rFonts w:ascii="Times New Roman" w:eastAsia="Times New Roman" w:hAnsi="Times New Roman"/>
          <w:sz w:val="24"/>
          <w:szCs w:val="24"/>
        </w:rPr>
        <w:t xml:space="preserve"> </w:t>
      </w:r>
    </w:p>
    <w:p w:rsidR="00C561D4" w:rsidRDefault="00C561D4" w:rsidP="005C6088">
      <w:pPr>
        <w:pStyle w:val="Heading3"/>
        <w:spacing w:before="120"/>
      </w:pPr>
      <w:bookmarkStart w:id="660" w:name="_Toc303086419"/>
      <w:bookmarkStart w:id="661" w:name="_Toc334601064"/>
      <w:bookmarkStart w:id="662" w:name="_Toc365441021"/>
      <w:bookmarkStart w:id="663" w:name="_Toc396807651"/>
      <w:r w:rsidRPr="009F1C66">
        <w:t>Reliability Transmission Upgrade Improvements to Load and Generation Pockets</w:t>
      </w:r>
      <w:bookmarkEnd w:id="660"/>
      <w:bookmarkEnd w:id="661"/>
      <w:bookmarkEnd w:id="662"/>
      <w:bookmarkEnd w:id="663"/>
    </w:p>
    <w:p w:rsidR="00C561D4" w:rsidRDefault="00C561D4" w:rsidP="00C561D4">
      <w:r w:rsidRPr="00817F7F">
        <w:t xml:space="preserve">Transmission solutions continue to </w:t>
      </w:r>
      <w:proofErr w:type="gramStart"/>
      <w:r w:rsidRPr="00817F7F">
        <w:t>be put</w:t>
      </w:r>
      <w:proofErr w:type="gramEnd"/>
      <w:r w:rsidRPr="00817F7F">
        <w:t xml:space="preserve"> in place where proposed generating or </w:t>
      </w:r>
      <w:r w:rsidR="00D24CD4" w:rsidRPr="00817F7F">
        <w:t>demand</w:t>
      </w:r>
      <w:r w:rsidRPr="00817F7F">
        <w:t xml:space="preserve"> resources</w:t>
      </w:r>
      <w:r>
        <w:t xml:space="preserve"> have not relieved </w:t>
      </w:r>
      <w:r w:rsidRPr="00B2022E">
        <w:t>transmission system performance concerns</w:t>
      </w:r>
      <w:r w:rsidRPr="00D20A4C">
        <w:t xml:space="preserve">. The ISO is studying many of these areas, and while transmission projects </w:t>
      </w:r>
      <w:proofErr w:type="gramStart"/>
      <w:r w:rsidRPr="00D20A4C">
        <w:t>are still being planned</w:t>
      </w:r>
      <w:proofErr w:type="gramEnd"/>
      <w:r w:rsidRPr="00D20A4C">
        <w:t xml:space="preserve"> for some areas, other areas already have projects under construction and in service to mitigate dependence on generating units. Reliability Transmission Upgrades </w:t>
      </w:r>
      <w:proofErr w:type="gramStart"/>
      <w:r w:rsidRPr="00D20A4C">
        <w:t>were used</w:t>
      </w:r>
      <w:proofErr w:type="gramEnd"/>
      <w:r w:rsidRPr="00D20A4C">
        <w:t xml:space="preserve"> to </w:t>
      </w:r>
      <w:r w:rsidRPr="00B2022E">
        <w:t xml:space="preserve">address these system performance concerns, which </w:t>
      </w:r>
      <w:r w:rsidRPr="00601E3E">
        <w:t>contributed to a substantial reduction in out-of-merit operating costs.</w:t>
      </w:r>
    </w:p>
    <w:p w:rsidR="00C561D4" w:rsidRDefault="00C561D4" w:rsidP="00C561D4">
      <w:r>
        <w:t>Generating units in load pockets may receive second-contingency or voltage-control payments for must-</w:t>
      </w:r>
      <w:r w:rsidRPr="004A4375">
        <w:t xml:space="preserve">run situations. </w:t>
      </w:r>
      <w:fldSimple w:instr=" REF _Ref301632394 \h  \* MERGEFORMAT ">
        <w:r w:rsidR="00284CE3" w:rsidRPr="00430795">
          <w:t xml:space="preserve">Table </w:t>
        </w:r>
        <w:r w:rsidR="00284CE3">
          <w:rPr>
            <w:noProof/>
          </w:rPr>
          <w:t>5</w:t>
        </w:r>
        <w:r w:rsidR="00284CE3">
          <w:rPr>
            <w:noProof/>
          </w:rPr>
          <w:noBreakHyphen/>
          <w:t>3</w:t>
        </w:r>
      </w:fldSimple>
      <w:r w:rsidRPr="004A4375">
        <w:t xml:space="preserve"> shows the NCPC by type and year.</w:t>
      </w:r>
    </w:p>
    <w:p w:rsidR="00C561D4" w:rsidRPr="008B01CD" w:rsidRDefault="00C561D4" w:rsidP="00C561D4">
      <w:pPr>
        <w:pStyle w:val="Caption"/>
      </w:pPr>
      <w:bookmarkStart w:id="664" w:name="_Ref301632394"/>
      <w:bookmarkStart w:id="665" w:name="_Toc303086942"/>
      <w:bookmarkStart w:id="666" w:name="_Toc330401267"/>
      <w:bookmarkStart w:id="667" w:name="_Toc334541941"/>
      <w:bookmarkStart w:id="668" w:name="_Toc334541978"/>
      <w:bookmarkStart w:id="669" w:name="_Toc365440717"/>
      <w:bookmarkStart w:id="670" w:name="_Toc391985618"/>
      <w:r w:rsidRPr="00430795">
        <w:t xml:space="preserve">Table </w:t>
      </w:r>
      <w:fldSimple w:instr=" STYLEREF 1 \s ">
        <w:r w:rsidR="00284CE3">
          <w:rPr>
            <w:noProof/>
          </w:rPr>
          <w:t>5</w:t>
        </w:r>
      </w:fldSimple>
      <w:r w:rsidR="00BD7584">
        <w:noBreakHyphen/>
      </w:r>
      <w:fldSimple w:instr=" SEQ Table \* ARABIC \s 1 ">
        <w:r w:rsidR="00284CE3">
          <w:rPr>
            <w:noProof/>
          </w:rPr>
          <w:t>3</w:t>
        </w:r>
      </w:fldSimple>
      <w:bookmarkEnd w:id="664"/>
      <w:r>
        <w:br/>
      </w:r>
      <w:r w:rsidRPr="00F746C6">
        <w:t>Net Commitment-Period Compensation by Type and Year (Million $)</w:t>
      </w:r>
      <w:bookmarkEnd w:id="665"/>
      <w:bookmarkEnd w:id="666"/>
      <w:bookmarkEnd w:id="667"/>
      <w:bookmarkEnd w:id="668"/>
      <w:bookmarkEnd w:id="669"/>
      <w:bookmarkEnd w:id="670"/>
    </w:p>
    <w:tbl>
      <w:tblPr>
        <w:tblW w:w="2576" w:type="pct"/>
        <w:jc w:val="center"/>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899"/>
        <w:gridCol w:w="1388"/>
        <w:gridCol w:w="1192"/>
        <w:gridCol w:w="1276"/>
      </w:tblGrid>
      <w:tr w:rsidR="00C561D4" w:rsidRPr="00053A2D" w:rsidTr="00C561D4">
        <w:trPr>
          <w:trHeight w:val="360"/>
          <w:jc w:val="center"/>
        </w:trPr>
        <w:tc>
          <w:tcPr>
            <w:tcW w:w="899" w:type="dxa"/>
            <w:shd w:val="clear" w:color="auto" w:fill="85AFF2" w:themeFill="text2" w:themeFillTint="66"/>
            <w:tcMar>
              <w:left w:w="115" w:type="dxa"/>
              <w:right w:w="115" w:type="dxa"/>
            </w:tcMar>
            <w:vAlign w:val="center"/>
          </w:tcPr>
          <w:p w:rsidR="00C561D4" w:rsidRPr="001A16C2" w:rsidRDefault="00C561D4" w:rsidP="00C561D4">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Year</w:t>
            </w:r>
          </w:p>
        </w:tc>
        <w:tc>
          <w:tcPr>
            <w:tcW w:w="1388" w:type="dxa"/>
            <w:shd w:val="clear" w:color="auto" w:fill="85AFF2" w:themeFill="text2" w:themeFillTint="66"/>
            <w:tcMar>
              <w:left w:w="115" w:type="dxa"/>
              <w:right w:w="115" w:type="dxa"/>
            </w:tcMar>
            <w:vAlign w:val="center"/>
          </w:tcPr>
          <w:p w:rsidR="00C561D4" w:rsidRPr="001A16C2" w:rsidRDefault="00C561D4" w:rsidP="00C561D4">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Second Contingency</w:t>
            </w:r>
            <w:r w:rsidRPr="001A16C2">
              <w:rPr>
                <w:rFonts w:asciiTheme="minorHAnsi" w:hAnsiTheme="minorHAnsi" w:cstheme="minorHAnsi"/>
                <w:b/>
                <w:color w:val="FFFFFF" w:themeColor="background1"/>
                <w:sz w:val="18"/>
                <w:szCs w:val="18"/>
                <w:vertAlign w:val="superscript"/>
              </w:rPr>
              <w:t>(a)</w:t>
            </w:r>
          </w:p>
        </w:tc>
        <w:tc>
          <w:tcPr>
            <w:tcW w:w="1192" w:type="dxa"/>
            <w:shd w:val="clear" w:color="auto" w:fill="85AFF2" w:themeFill="text2" w:themeFillTint="66"/>
            <w:tcMar>
              <w:left w:w="115" w:type="dxa"/>
              <w:right w:w="115" w:type="dxa"/>
            </w:tcMar>
            <w:vAlign w:val="center"/>
          </w:tcPr>
          <w:p w:rsidR="00C561D4" w:rsidRPr="001A16C2" w:rsidRDefault="00C561D4" w:rsidP="00C561D4">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Voltage</w:t>
            </w:r>
          </w:p>
        </w:tc>
        <w:tc>
          <w:tcPr>
            <w:tcW w:w="1276" w:type="dxa"/>
            <w:shd w:val="clear" w:color="auto" w:fill="85AFF2" w:themeFill="text2" w:themeFillTint="66"/>
            <w:tcMar>
              <w:left w:w="115" w:type="dxa"/>
              <w:right w:w="115" w:type="dxa"/>
            </w:tcMar>
            <w:vAlign w:val="center"/>
          </w:tcPr>
          <w:p w:rsidR="00C561D4" w:rsidRPr="001A16C2" w:rsidRDefault="00C561D4" w:rsidP="00C561D4">
            <w:pPr>
              <w:keepNext/>
              <w:spacing w:after="0" w:line="240" w:lineRule="auto"/>
              <w:jc w:val="center"/>
              <w:rPr>
                <w:rFonts w:asciiTheme="minorHAnsi" w:hAnsiTheme="minorHAnsi" w:cstheme="minorHAnsi"/>
                <w:b/>
                <w:color w:val="FFFFFF" w:themeColor="background1"/>
                <w:sz w:val="18"/>
                <w:szCs w:val="18"/>
              </w:rPr>
            </w:pPr>
            <w:r w:rsidRPr="001A16C2">
              <w:rPr>
                <w:rFonts w:asciiTheme="minorHAnsi" w:hAnsiTheme="minorHAnsi" w:cstheme="minorHAnsi"/>
                <w:b/>
                <w:color w:val="FFFFFF" w:themeColor="background1"/>
                <w:sz w:val="18"/>
                <w:szCs w:val="18"/>
              </w:rPr>
              <w:t>Total</w:t>
            </w:r>
          </w:p>
        </w:tc>
      </w:tr>
      <w:tr w:rsidR="00C561D4" w:rsidRPr="00053A2D" w:rsidTr="00C561D4">
        <w:trPr>
          <w:trHeight w:val="360"/>
          <w:jc w:val="center"/>
        </w:trPr>
        <w:tc>
          <w:tcPr>
            <w:tcW w:w="899" w:type="dxa"/>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2003</w:t>
            </w:r>
            <w:r w:rsidRPr="00053A2D">
              <w:rPr>
                <w:rFonts w:asciiTheme="minorHAnsi" w:hAnsiTheme="minorHAnsi" w:cstheme="minorHAnsi"/>
                <w:b/>
                <w:sz w:val="18"/>
                <w:szCs w:val="18"/>
                <w:vertAlign w:val="superscript"/>
              </w:rPr>
              <w:t>(b)</w:t>
            </w:r>
          </w:p>
        </w:tc>
        <w:tc>
          <w:tcPr>
            <w:tcW w:w="1388"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36.0</w:t>
            </w:r>
          </w:p>
        </w:tc>
        <w:tc>
          <w:tcPr>
            <w:tcW w:w="1192"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14.4</w:t>
            </w:r>
          </w:p>
        </w:tc>
        <w:tc>
          <w:tcPr>
            <w:tcW w:w="1276"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50.4</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2004</w:t>
            </w:r>
          </w:p>
        </w:tc>
        <w:tc>
          <w:tcPr>
            <w:tcW w:w="1388"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43.9</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68.0</w:t>
            </w:r>
          </w:p>
        </w:tc>
        <w:tc>
          <w:tcPr>
            <w:tcW w:w="1276"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111.9</w:t>
            </w:r>
          </w:p>
        </w:tc>
      </w:tr>
      <w:tr w:rsidR="00C561D4" w:rsidRPr="00053A2D" w:rsidTr="00C561D4">
        <w:trPr>
          <w:trHeight w:val="360"/>
          <w:jc w:val="center"/>
        </w:trPr>
        <w:tc>
          <w:tcPr>
            <w:tcW w:w="899" w:type="dxa"/>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2005</w:t>
            </w:r>
          </w:p>
        </w:tc>
        <w:tc>
          <w:tcPr>
            <w:tcW w:w="1388"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133.7</w:t>
            </w:r>
          </w:p>
        </w:tc>
        <w:tc>
          <w:tcPr>
            <w:tcW w:w="1192"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75.1</w:t>
            </w:r>
          </w:p>
        </w:tc>
        <w:tc>
          <w:tcPr>
            <w:tcW w:w="1276"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208.8</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2006</w:t>
            </w:r>
          </w:p>
        </w:tc>
        <w:tc>
          <w:tcPr>
            <w:tcW w:w="1388"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179.9</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19.0</w:t>
            </w:r>
          </w:p>
        </w:tc>
        <w:tc>
          <w:tcPr>
            <w:tcW w:w="1276"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198.9</w:t>
            </w:r>
          </w:p>
        </w:tc>
      </w:tr>
      <w:tr w:rsidR="00C561D4" w:rsidRPr="00053A2D" w:rsidTr="00C561D4">
        <w:trPr>
          <w:trHeight w:val="360"/>
          <w:jc w:val="center"/>
        </w:trPr>
        <w:tc>
          <w:tcPr>
            <w:tcW w:w="899" w:type="dxa"/>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2007</w:t>
            </w:r>
          </w:p>
        </w:tc>
        <w:tc>
          <w:tcPr>
            <w:tcW w:w="1388"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169.5</w:t>
            </w:r>
          </w:p>
        </w:tc>
        <w:tc>
          <w:tcPr>
            <w:tcW w:w="1192"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46.0</w:t>
            </w:r>
          </w:p>
        </w:tc>
        <w:tc>
          <w:tcPr>
            <w:tcW w:w="1276"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215.5</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2008</w:t>
            </w:r>
          </w:p>
        </w:tc>
        <w:tc>
          <w:tcPr>
            <w:tcW w:w="1388"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182.5</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29.4</w:t>
            </w:r>
          </w:p>
        </w:tc>
        <w:tc>
          <w:tcPr>
            <w:tcW w:w="1276"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211.9</w:t>
            </w:r>
          </w:p>
        </w:tc>
      </w:tr>
      <w:tr w:rsidR="00C561D4" w:rsidRPr="00053A2D" w:rsidTr="00C561D4">
        <w:trPr>
          <w:trHeight w:val="360"/>
          <w:jc w:val="center"/>
        </w:trPr>
        <w:tc>
          <w:tcPr>
            <w:tcW w:w="899" w:type="dxa"/>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2009</w:t>
            </w:r>
          </w:p>
        </w:tc>
        <w:tc>
          <w:tcPr>
            <w:tcW w:w="1388"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17.2</w:t>
            </w:r>
          </w:p>
        </w:tc>
        <w:tc>
          <w:tcPr>
            <w:tcW w:w="1192"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5.0</w:t>
            </w:r>
          </w:p>
        </w:tc>
        <w:tc>
          <w:tcPr>
            <w:tcW w:w="1276" w:type="dxa"/>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22.2</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2010</w:t>
            </w:r>
          </w:p>
        </w:tc>
        <w:tc>
          <w:tcPr>
            <w:tcW w:w="1388"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3.9</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5.1</w:t>
            </w:r>
          </w:p>
        </w:tc>
        <w:tc>
          <w:tcPr>
            <w:tcW w:w="1276"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eastAsia="Times New Roman" w:hAnsiTheme="minorHAnsi" w:cstheme="minorHAnsi"/>
                <w:bCs/>
                <w:color w:val="11479D" w:themeColor="text2"/>
                <w:sz w:val="18"/>
                <w:szCs w:val="18"/>
              </w:rPr>
            </w:pPr>
            <w:r w:rsidRPr="00053A2D">
              <w:rPr>
                <w:rFonts w:asciiTheme="minorHAnsi" w:hAnsiTheme="minorHAnsi" w:cstheme="minorHAnsi"/>
                <w:sz w:val="18"/>
                <w:szCs w:val="18"/>
              </w:rPr>
              <w:t>9.0</w:t>
            </w:r>
          </w:p>
        </w:tc>
      </w:tr>
      <w:tr w:rsidR="00C561D4" w:rsidRPr="00053A2D" w:rsidTr="00C561D4">
        <w:trPr>
          <w:trHeight w:val="360"/>
          <w:jc w:val="center"/>
        </w:trPr>
        <w:tc>
          <w:tcPr>
            <w:tcW w:w="899" w:type="dxa"/>
            <w:shd w:val="clear" w:color="auto" w:fill="auto"/>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sidRPr="00053A2D">
              <w:rPr>
                <w:rFonts w:asciiTheme="minorHAnsi" w:hAnsiTheme="minorHAnsi" w:cstheme="minorHAnsi"/>
                <w:b/>
                <w:sz w:val="18"/>
                <w:szCs w:val="18"/>
              </w:rPr>
              <w:t>2011</w:t>
            </w:r>
          </w:p>
        </w:tc>
        <w:tc>
          <w:tcPr>
            <w:tcW w:w="1388" w:type="dxa"/>
            <w:shd w:val="clear" w:color="auto" w:fill="auto"/>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6.0</w:t>
            </w:r>
          </w:p>
        </w:tc>
        <w:tc>
          <w:tcPr>
            <w:tcW w:w="1192" w:type="dxa"/>
            <w:shd w:val="clear" w:color="auto" w:fill="auto"/>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5.9</w:t>
            </w:r>
          </w:p>
        </w:tc>
        <w:tc>
          <w:tcPr>
            <w:tcW w:w="1276" w:type="dxa"/>
            <w:shd w:val="clear" w:color="auto" w:fill="auto"/>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sidRPr="00053A2D">
              <w:rPr>
                <w:rFonts w:asciiTheme="minorHAnsi" w:hAnsiTheme="minorHAnsi" w:cstheme="minorHAnsi"/>
                <w:sz w:val="18"/>
                <w:szCs w:val="18"/>
              </w:rPr>
              <w:t>11.9</w:t>
            </w:r>
          </w:p>
        </w:tc>
      </w:tr>
      <w:tr w:rsidR="00C561D4" w:rsidRPr="00053A2D" w:rsidTr="00C561D4">
        <w:trPr>
          <w:trHeight w:val="360"/>
          <w:jc w:val="center"/>
        </w:trPr>
        <w:tc>
          <w:tcPr>
            <w:tcW w:w="899" w:type="dxa"/>
            <w:shd w:val="clear" w:color="auto" w:fill="C2D7F8" w:themeFill="text2" w:themeFillTint="33"/>
            <w:tcMar>
              <w:left w:w="115" w:type="dxa"/>
              <w:right w:w="115" w:type="dxa"/>
            </w:tcMar>
            <w:vAlign w:val="center"/>
          </w:tcPr>
          <w:p w:rsidR="00C561D4" w:rsidRPr="00053A2D" w:rsidRDefault="00C561D4" w:rsidP="00C561D4">
            <w:pPr>
              <w:keepNext/>
              <w:spacing w:after="0" w:line="240" w:lineRule="auto"/>
              <w:rPr>
                <w:rFonts w:asciiTheme="minorHAnsi" w:hAnsiTheme="minorHAnsi" w:cstheme="minorHAnsi"/>
                <w:b/>
                <w:sz w:val="18"/>
                <w:szCs w:val="18"/>
              </w:rPr>
            </w:pPr>
            <w:r>
              <w:rPr>
                <w:rFonts w:asciiTheme="minorHAnsi" w:hAnsiTheme="minorHAnsi" w:cstheme="minorHAnsi"/>
                <w:b/>
                <w:sz w:val="18"/>
                <w:szCs w:val="18"/>
              </w:rPr>
              <w:t>2012</w:t>
            </w:r>
            <w:r w:rsidR="00772B18" w:rsidRPr="00772B18">
              <w:rPr>
                <w:rFonts w:asciiTheme="minorHAnsi" w:hAnsiTheme="minorHAnsi" w:cstheme="minorHAnsi"/>
                <w:b/>
                <w:sz w:val="18"/>
                <w:szCs w:val="18"/>
                <w:vertAlign w:val="superscript"/>
              </w:rPr>
              <w:t>(c)</w:t>
            </w:r>
          </w:p>
        </w:tc>
        <w:tc>
          <w:tcPr>
            <w:tcW w:w="1388" w:type="dxa"/>
            <w:shd w:val="clear" w:color="auto" w:fill="C2D7F8" w:themeFill="text2" w:themeFillTint="33"/>
            <w:tcMar>
              <w:left w:w="288" w:type="dxa"/>
              <w:right w:w="288" w:type="dxa"/>
            </w:tcMar>
            <w:vAlign w:val="center"/>
          </w:tcPr>
          <w:p w:rsidR="00C561D4" w:rsidRPr="00053A2D" w:rsidRDefault="00C561D4" w:rsidP="00772B18">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8.</w:t>
            </w:r>
            <w:r w:rsidR="00772B18">
              <w:rPr>
                <w:rFonts w:asciiTheme="minorHAnsi" w:hAnsiTheme="minorHAnsi" w:cstheme="minorHAnsi"/>
                <w:sz w:val="18"/>
                <w:szCs w:val="18"/>
              </w:rPr>
              <w:t>7</w:t>
            </w:r>
          </w:p>
        </w:tc>
        <w:tc>
          <w:tcPr>
            <w:tcW w:w="1192" w:type="dxa"/>
            <w:shd w:val="clear" w:color="auto" w:fill="C2D7F8" w:themeFill="text2" w:themeFillTint="33"/>
            <w:tcMar>
              <w:left w:w="288" w:type="dxa"/>
              <w:right w:w="288" w:type="dxa"/>
            </w:tcMar>
            <w:vAlign w:val="center"/>
          </w:tcPr>
          <w:p w:rsidR="00C561D4" w:rsidRPr="00053A2D" w:rsidRDefault="00C561D4" w:rsidP="00C561D4">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14.9</w:t>
            </w:r>
          </w:p>
        </w:tc>
        <w:tc>
          <w:tcPr>
            <w:tcW w:w="1276" w:type="dxa"/>
            <w:shd w:val="clear" w:color="auto" w:fill="C2D7F8" w:themeFill="text2" w:themeFillTint="33"/>
            <w:tcMar>
              <w:left w:w="288" w:type="dxa"/>
              <w:right w:w="288" w:type="dxa"/>
            </w:tcMar>
            <w:vAlign w:val="center"/>
          </w:tcPr>
          <w:p w:rsidR="00C561D4" w:rsidRPr="00053A2D" w:rsidRDefault="00C561D4" w:rsidP="00772B18">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23.</w:t>
            </w:r>
            <w:r w:rsidR="00772B18">
              <w:rPr>
                <w:rFonts w:asciiTheme="minorHAnsi" w:hAnsiTheme="minorHAnsi" w:cstheme="minorHAnsi"/>
                <w:sz w:val="18"/>
                <w:szCs w:val="18"/>
              </w:rPr>
              <w:t>6</w:t>
            </w:r>
          </w:p>
        </w:tc>
      </w:tr>
      <w:tr w:rsidR="00C561D4" w:rsidRPr="00053A2D" w:rsidTr="006A44B0">
        <w:trPr>
          <w:trHeight w:val="360"/>
          <w:jc w:val="center"/>
        </w:trPr>
        <w:tc>
          <w:tcPr>
            <w:tcW w:w="899" w:type="dxa"/>
            <w:shd w:val="clear" w:color="auto" w:fill="auto"/>
            <w:tcMar>
              <w:left w:w="115" w:type="dxa"/>
              <w:right w:w="115" w:type="dxa"/>
            </w:tcMar>
            <w:vAlign w:val="center"/>
          </w:tcPr>
          <w:p w:rsidR="00C561D4" w:rsidRDefault="00C561D4" w:rsidP="00C561D4">
            <w:pPr>
              <w:keepNext/>
              <w:spacing w:after="0" w:line="240" w:lineRule="auto"/>
              <w:rPr>
                <w:rFonts w:asciiTheme="minorHAnsi" w:hAnsiTheme="minorHAnsi" w:cstheme="minorHAnsi"/>
                <w:b/>
                <w:sz w:val="18"/>
                <w:szCs w:val="18"/>
              </w:rPr>
            </w:pPr>
            <w:r>
              <w:rPr>
                <w:rFonts w:asciiTheme="minorHAnsi" w:hAnsiTheme="minorHAnsi" w:cstheme="minorHAnsi"/>
                <w:b/>
                <w:sz w:val="18"/>
                <w:szCs w:val="18"/>
              </w:rPr>
              <w:t>2013</w:t>
            </w:r>
            <w:r w:rsidR="00772B18" w:rsidRPr="00772B18">
              <w:rPr>
                <w:rFonts w:asciiTheme="minorHAnsi" w:hAnsiTheme="minorHAnsi" w:cstheme="minorHAnsi"/>
                <w:b/>
                <w:sz w:val="18"/>
                <w:szCs w:val="18"/>
                <w:vertAlign w:val="superscript"/>
              </w:rPr>
              <w:t>(c)</w:t>
            </w:r>
          </w:p>
        </w:tc>
        <w:tc>
          <w:tcPr>
            <w:tcW w:w="1388" w:type="dxa"/>
            <w:shd w:val="clear" w:color="auto" w:fill="auto"/>
            <w:tcMar>
              <w:left w:w="288" w:type="dxa"/>
              <w:right w:w="288" w:type="dxa"/>
            </w:tcMar>
            <w:vAlign w:val="center"/>
          </w:tcPr>
          <w:p w:rsidR="00C561D4" w:rsidRDefault="00C561D4" w:rsidP="00C561D4">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38.0</w:t>
            </w:r>
          </w:p>
        </w:tc>
        <w:tc>
          <w:tcPr>
            <w:tcW w:w="1192" w:type="dxa"/>
            <w:shd w:val="clear" w:color="auto" w:fill="auto"/>
            <w:tcMar>
              <w:left w:w="288" w:type="dxa"/>
              <w:right w:w="288" w:type="dxa"/>
            </w:tcMar>
            <w:vAlign w:val="center"/>
          </w:tcPr>
          <w:p w:rsidR="00C561D4" w:rsidRDefault="00C561D4" w:rsidP="00C561D4">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16.6</w:t>
            </w:r>
          </w:p>
        </w:tc>
        <w:tc>
          <w:tcPr>
            <w:tcW w:w="1276" w:type="dxa"/>
            <w:shd w:val="clear" w:color="auto" w:fill="auto"/>
            <w:tcMar>
              <w:left w:w="288" w:type="dxa"/>
              <w:right w:w="288" w:type="dxa"/>
            </w:tcMar>
            <w:vAlign w:val="center"/>
          </w:tcPr>
          <w:p w:rsidR="00C561D4" w:rsidRDefault="00C561D4" w:rsidP="00C561D4">
            <w:pPr>
              <w:keepNext/>
              <w:spacing w:after="0" w:line="240" w:lineRule="auto"/>
              <w:jc w:val="right"/>
              <w:rPr>
                <w:rFonts w:asciiTheme="minorHAnsi" w:hAnsiTheme="minorHAnsi" w:cstheme="minorHAnsi"/>
                <w:sz w:val="18"/>
                <w:szCs w:val="18"/>
              </w:rPr>
            </w:pPr>
            <w:r>
              <w:rPr>
                <w:rFonts w:asciiTheme="minorHAnsi" w:hAnsiTheme="minorHAnsi" w:cstheme="minorHAnsi"/>
                <w:sz w:val="18"/>
                <w:szCs w:val="18"/>
              </w:rPr>
              <w:t>54.6</w:t>
            </w:r>
          </w:p>
        </w:tc>
      </w:tr>
    </w:tbl>
    <w:p w:rsidR="00C561D4" w:rsidRPr="00EE1EC5" w:rsidRDefault="00C561D4" w:rsidP="00A82DE3">
      <w:pPr>
        <w:keepNext/>
        <w:keepLines/>
        <w:tabs>
          <w:tab w:val="left" w:pos="6840"/>
          <w:tab w:val="left" w:pos="7110"/>
        </w:tabs>
        <w:spacing w:before="120" w:after="80" w:line="240" w:lineRule="auto"/>
        <w:ind w:left="2430" w:right="2160" w:hanging="270"/>
        <w:rPr>
          <w:rFonts w:asciiTheme="minorHAnsi" w:hAnsiTheme="minorHAnsi" w:cs="Arial"/>
          <w:sz w:val="18"/>
          <w:szCs w:val="18"/>
        </w:rPr>
      </w:pPr>
      <w:r w:rsidRPr="00EE1EC5">
        <w:rPr>
          <w:rFonts w:asciiTheme="minorHAnsi" w:hAnsiTheme="minorHAnsi" w:cs="Arial"/>
          <w:sz w:val="18"/>
          <w:szCs w:val="18"/>
        </w:rPr>
        <w:t xml:space="preserve">(a) </w:t>
      </w:r>
      <w:r w:rsidRPr="00EE1EC5">
        <w:rPr>
          <w:rFonts w:asciiTheme="minorHAnsi" w:hAnsiTheme="minorHAnsi" w:cs="Arial"/>
          <w:sz w:val="18"/>
          <w:szCs w:val="18"/>
        </w:rPr>
        <w:tab/>
        <w:t>NCPC for first-contingency commitment and distribution support is not included.</w:t>
      </w:r>
    </w:p>
    <w:p w:rsidR="00C561D4" w:rsidRPr="00EE1EC5" w:rsidRDefault="00C561D4" w:rsidP="00A82DE3">
      <w:pPr>
        <w:tabs>
          <w:tab w:val="left" w:pos="6840"/>
          <w:tab w:val="left" w:pos="7110"/>
        </w:tabs>
        <w:spacing w:after="80" w:line="240" w:lineRule="auto"/>
        <w:ind w:left="2430" w:right="2160" w:hanging="274"/>
        <w:rPr>
          <w:rFonts w:asciiTheme="minorHAnsi" w:hAnsiTheme="minorHAnsi" w:cs="Arial"/>
          <w:sz w:val="18"/>
          <w:szCs w:val="18"/>
        </w:rPr>
      </w:pPr>
      <w:r w:rsidRPr="00EE1EC5">
        <w:rPr>
          <w:rFonts w:asciiTheme="minorHAnsi" w:hAnsiTheme="minorHAnsi" w:cs="Arial"/>
          <w:sz w:val="18"/>
          <w:szCs w:val="18"/>
        </w:rPr>
        <w:t xml:space="preserve">(b) </w:t>
      </w:r>
      <w:r w:rsidRPr="00EE1EC5">
        <w:rPr>
          <w:rFonts w:asciiTheme="minorHAnsi" w:hAnsiTheme="minorHAnsi" w:cs="Arial"/>
          <w:sz w:val="18"/>
          <w:szCs w:val="18"/>
        </w:rPr>
        <w:tab/>
        <w:t>NCPC under Standard Market Design began in March 2003.</w:t>
      </w:r>
    </w:p>
    <w:p w:rsidR="00772B18" w:rsidRPr="00EE1EC5" w:rsidRDefault="00772B18" w:rsidP="00A82DE3">
      <w:pPr>
        <w:tabs>
          <w:tab w:val="left" w:pos="6840"/>
          <w:tab w:val="left" w:pos="7110"/>
        </w:tabs>
        <w:spacing w:line="240" w:lineRule="auto"/>
        <w:ind w:left="2430" w:right="2160" w:hanging="274"/>
        <w:rPr>
          <w:rFonts w:asciiTheme="minorHAnsi" w:hAnsiTheme="minorHAnsi" w:cs="Arial"/>
          <w:sz w:val="18"/>
          <w:szCs w:val="18"/>
        </w:rPr>
      </w:pPr>
      <w:r w:rsidRPr="00EE1EC5">
        <w:rPr>
          <w:rFonts w:asciiTheme="minorHAnsi" w:hAnsiTheme="minorHAnsi" w:cs="Arial"/>
          <w:sz w:val="18"/>
          <w:szCs w:val="18"/>
        </w:rPr>
        <w:t xml:space="preserve">(c) </w:t>
      </w:r>
      <w:r w:rsidR="00A82DE3">
        <w:rPr>
          <w:rFonts w:asciiTheme="minorHAnsi" w:hAnsiTheme="minorHAnsi" w:cs="Arial"/>
          <w:sz w:val="18"/>
          <w:szCs w:val="18"/>
        </w:rPr>
        <w:tab/>
      </w:r>
      <w:r w:rsidRPr="00EE1EC5">
        <w:rPr>
          <w:rFonts w:asciiTheme="minorHAnsi" w:hAnsiTheme="minorHAnsi" w:cs="Arial"/>
          <w:sz w:val="18"/>
          <w:szCs w:val="18"/>
        </w:rPr>
        <w:t xml:space="preserve">Source: ISO New England, </w:t>
      </w:r>
      <w:r w:rsidRPr="00EE1EC5">
        <w:rPr>
          <w:rFonts w:asciiTheme="minorHAnsi" w:hAnsiTheme="minorHAnsi" w:cs="Arial"/>
          <w:i/>
          <w:sz w:val="18"/>
          <w:szCs w:val="18"/>
        </w:rPr>
        <w:t>2013 Annual Markets Report</w:t>
      </w:r>
      <w:r w:rsidRPr="00EE1EC5">
        <w:rPr>
          <w:rFonts w:asciiTheme="minorHAnsi" w:hAnsiTheme="minorHAnsi" w:cs="Arial"/>
          <w:sz w:val="18"/>
          <w:szCs w:val="18"/>
        </w:rPr>
        <w:t>, Table 2-20.</w:t>
      </w:r>
    </w:p>
    <w:p w:rsidR="00C561D4" w:rsidRDefault="00C561D4" w:rsidP="00C561D4">
      <w:r>
        <w:t xml:space="preserve">The 2009, 2010, 2011, and 2012 figures showed a significant decrease from the preceding years, </w:t>
      </w:r>
      <w:r w:rsidRPr="00DC57E0">
        <w:t>averaging less than $17 million per year. While 2013 showed a</w:t>
      </w:r>
      <w:r w:rsidR="00772B18">
        <w:t xml:space="preserve"> modest</w:t>
      </w:r>
      <w:r w:rsidRPr="00DC57E0">
        <w:t xml:space="preserve"> upturn in charges, Section</w:t>
      </w:r>
      <w:r w:rsidR="00DC57E0">
        <w:t xml:space="preserve"> </w:t>
      </w:r>
      <w:fldSimple w:instr=" REF _Ref387772884 \r \h  \* MERGEFORMAT ">
        <w:r w:rsidR="00284CE3">
          <w:t>5.6</w:t>
        </w:r>
      </w:fldSimple>
      <w:r>
        <w:t xml:space="preserve"> describes ongoing studies and upcoming system upgrades expected to mitigate these charges. Therefore, the incentives are limited for pursuing transmission upgrades solely to reduce dependence on these generating units and improve </w:t>
      </w:r>
      <w:r w:rsidRPr="0052026F">
        <w:t>the economic performance of the system.</w:t>
      </w:r>
    </w:p>
    <w:p w:rsidR="00C561D4" w:rsidRDefault="00C561D4" w:rsidP="005C6088">
      <w:pPr>
        <w:pStyle w:val="Heading3"/>
        <w:spacing w:before="120"/>
      </w:pPr>
      <w:bookmarkStart w:id="671" w:name="_Toc303086420"/>
      <w:bookmarkStart w:id="672" w:name="_Toc334601065"/>
      <w:bookmarkStart w:id="673" w:name="_Toc365441022"/>
      <w:bookmarkStart w:id="674" w:name="_Toc396807652"/>
      <w:r w:rsidRPr="00640DB3">
        <w:t>Required Generator-Interconnection-Related Upgrades</w:t>
      </w:r>
      <w:bookmarkEnd w:id="671"/>
      <w:bookmarkEnd w:id="672"/>
      <w:bookmarkEnd w:id="673"/>
      <w:bookmarkEnd w:id="674"/>
    </w:p>
    <w:p w:rsidR="00C561D4" w:rsidRDefault="00C561D4" w:rsidP="00C561D4">
      <w:r>
        <w:t xml:space="preserve">No significant transmission system upgrades resulted from the interconnection of generators. Most of the Generator-Interconnection-Related Upgrades are </w:t>
      </w:r>
      <w:proofErr w:type="gramStart"/>
      <w:r>
        <w:t>fairly local</w:t>
      </w:r>
      <w:proofErr w:type="gramEnd"/>
      <w:r>
        <w:t xml:space="preserve"> to the point of interconnection of the generator. The </w:t>
      </w:r>
      <w:r w:rsidRPr="001E327B">
        <w:rPr>
          <w:i/>
        </w:rPr>
        <w:t>RSP Project List</w:t>
      </w:r>
      <w:r>
        <w:rPr>
          <w:i/>
        </w:rPr>
        <w:t xml:space="preserve"> </w:t>
      </w:r>
      <w:r>
        <w:t xml:space="preserve">identifies the PTF upgrades (see </w:t>
      </w:r>
      <w:r w:rsidR="0027038E">
        <w:t>Section </w:t>
      </w:r>
      <w:fldSimple w:instr=" REF _Ref297216341 \r \h  \* MERGEFORMAT ">
        <w:r w:rsidR="00284CE3">
          <w:t>5.3</w:t>
        </w:r>
      </w:fldSimple>
      <w:r>
        <w:t>).</w:t>
      </w:r>
    </w:p>
    <w:p w:rsidR="00C561D4" w:rsidRPr="004A6CA3" w:rsidRDefault="00C561D4" w:rsidP="005C6088">
      <w:pPr>
        <w:pStyle w:val="Heading3"/>
        <w:spacing w:before="120"/>
      </w:pPr>
      <w:bookmarkStart w:id="675" w:name="_Ref298087591"/>
      <w:bookmarkStart w:id="676" w:name="_Toc303086421"/>
      <w:bookmarkStart w:id="677" w:name="_Toc334601066"/>
      <w:bookmarkStart w:id="678" w:name="_Toc365441023"/>
      <w:bookmarkStart w:id="679" w:name="_Toc396807653"/>
      <w:r w:rsidRPr="00640DB3">
        <w:t xml:space="preserve">Elective Transmission </w:t>
      </w:r>
      <w:r w:rsidRPr="00EA2E47">
        <w:t>Upgrades</w:t>
      </w:r>
      <w:bookmarkEnd w:id="675"/>
      <w:bookmarkEnd w:id="676"/>
      <w:bookmarkEnd w:id="677"/>
      <w:bookmarkEnd w:id="678"/>
      <w:bookmarkEnd w:id="679"/>
    </w:p>
    <w:p w:rsidR="00C561D4" w:rsidRDefault="00C561D4" w:rsidP="00C561D4">
      <w:r>
        <w:t xml:space="preserve">A number of new Elective Transmission Upgrades </w:t>
      </w:r>
      <w:proofErr w:type="gramStart"/>
      <w:r>
        <w:t>have been added</w:t>
      </w:r>
      <w:proofErr w:type="gramEnd"/>
      <w:r>
        <w:t xml:space="preserve"> to the ISO Generator Interconnection Queue. Many of these </w:t>
      </w:r>
      <w:proofErr w:type="gramStart"/>
      <w:r>
        <w:t>are focused</w:t>
      </w:r>
      <w:proofErr w:type="gramEnd"/>
      <w:r>
        <w:t xml:space="preserve"> on delivering zero or low-carbon resources to New England. </w:t>
      </w:r>
      <w:r w:rsidRPr="003D0C60">
        <w:t>As of</w:t>
      </w:r>
      <w:r>
        <w:t xml:space="preserve"> </w:t>
      </w:r>
      <w:r w:rsidR="00206D36" w:rsidRPr="00CB21B9">
        <w:t>June </w:t>
      </w:r>
      <w:r w:rsidRPr="00CB21B9">
        <w:t>1, 2014</w:t>
      </w:r>
      <w:r w:rsidRPr="00386337">
        <w:t xml:space="preserve">, </w:t>
      </w:r>
      <w:r w:rsidR="000E5E01" w:rsidRPr="00386337">
        <w:t>20 projects</w:t>
      </w:r>
      <w:r w:rsidRPr="00386337">
        <w:t xml:space="preserve"> are</w:t>
      </w:r>
      <w:r w:rsidRPr="00CB21B9">
        <w:t xml:space="preserve"> under study as Elective Transmission Upgrades:</w:t>
      </w:r>
      <w:r w:rsidR="00BD1DC8">
        <w:t xml:space="preserve"> </w:t>
      </w:r>
    </w:p>
    <w:p w:rsidR="00C561D4" w:rsidRPr="00386337" w:rsidRDefault="00C561D4" w:rsidP="00386337">
      <w:pPr>
        <w:pStyle w:val="Bullet-Solid"/>
        <w:numPr>
          <w:ilvl w:val="0"/>
          <w:numId w:val="322"/>
        </w:numPr>
      </w:pPr>
      <w:r w:rsidRPr="00386337">
        <w:t xml:space="preserve">Two-terminal, HVDC line between Maine Yankee substation and South Boston, MA </w:t>
      </w:r>
    </w:p>
    <w:p w:rsidR="00C561D4" w:rsidRPr="00386337" w:rsidRDefault="00C561D4" w:rsidP="00386337">
      <w:pPr>
        <w:pStyle w:val="Bullet-Solid"/>
        <w:numPr>
          <w:ilvl w:val="0"/>
          <w:numId w:val="322"/>
        </w:numPr>
      </w:pPr>
      <w:r w:rsidRPr="00386337">
        <w:t>HVDC line between Orrington, ME, and Boston</w:t>
      </w:r>
    </w:p>
    <w:p w:rsidR="0026082F" w:rsidRPr="00386337" w:rsidRDefault="0026082F" w:rsidP="00386337">
      <w:pPr>
        <w:pStyle w:val="Bullet-Solid"/>
        <w:numPr>
          <w:ilvl w:val="0"/>
          <w:numId w:val="322"/>
        </w:numPr>
      </w:pPr>
      <w:r w:rsidRPr="00386337">
        <w:t xml:space="preserve">345/230 kV AC line between Plattsburgh, NY, and Burlington, VT </w:t>
      </w:r>
    </w:p>
    <w:p w:rsidR="0026082F" w:rsidRPr="00386337" w:rsidRDefault="0026082F" w:rsidP="00386337">
      <w:pPr>
        <w:pStyle w:val="Bullet-Solid"/>
        <w:numPr>
          <w:ilvl w:val="0"/>
          <w:numId w:val="322"/>
        </w:numPr>
      </w:pPr>
      <w:r w:rsidRPr="00386337">
        <w:t xml:space="preserve">345 kV tie line between Houlton, ME, and the Maine Electric Power Company (MEPCO) 345 kV tie </w:t>
      </w:r>
    </w:p>
    <w:p w:rsidR="00C561D4" w:rsidRPr="00386337" w:rsidRDefault="00C561D4" w:rsidP="00386337">
      <w:pPr>
        <w:pStyle w:val="Bullet-Solid"/>
        <w:numPr>
          <w:ilvl w:val="0"/>
          <w:numId w:val="322"/>
        </w:numPr>
      </w:pPr>
      <w:r w:rsidRPr="00386337">
        <w:t>345 kV tie line between Bridgewater, ME, and MEPCO</w:t>
      </w:r>
    </w:p>
    <w:p w:rsidR="00C561D4" w:rsidRPr="00386337" w:rsidRDefault="00C561D4" w:rsidP="00386337">
      <w:pPr>
        <w:pStyle w:val="Bullet-Solid"/>
        <w:numPr>
          <w:ilvl w:val="0"/>
          <w:numId w:val="322"/>
        </w:numPr>
      </w:pPr>
      <w:r w:rsidRPr="00386337">
        <w:t>HVDC line connecting offshore wind to south of Boston or Cape Cod</w:t>
      </w:r>
    </w:p>
    <w:p w:rsidR="00C561D4" w:rsidRPr="00386337" w:rsidRDefault="00C561D4" w:rsidP="00386337">
      <w:pPr>
        <w:pStyle w:val="Bullet-Solid"/>
        <w:numPr>
          <w:ilvl w:val="0"/>
          <w:numId w:val="322"/>
        </w:numPr>
      </w:pPr>
      <w:r w:rsidRPr="00386337">
        <w:t>Keene Road export enhancement</w:t>
      </w:r>
    </w:p>
    <w:p w:rsidR="00C561D4" w:rsidRPr="00386337" w:rsidRDefault="000E5E01" w:rsidP="00386337">
      <w:pPr>
        <w:pStyle w:val="Bullet-Solid"/>
        <w:numPr>
          <w:ilvl w:val="0"/>
          <w:numId w:val="322"/>
        </w:numPr>
      </w:pPr>
      <w:r w:rsidRPr="00386337">
        <w:t>HVDC line between Québec and the 345 kV Coolidge substation in Vermont</w:t>
      </w:r>
    </w:p>
    <w:p w:rsidR="00C561D4" w:rsidRPr="00386337" w:rsidRDefault="00C561D4" w:rsidP="00386337">
      <w:pPr>
        <w:pStyle w:val="Bullet-Solid"/>
        <w:numPr>
          <w:ilvl w:val="0"/>
          <w:numId w:val="322"/>
        </w:numPr>
      </w:pPr>
      <w:r w:rsidRPr="00386337">
        <w:t>HVDC line between Qu</w:t>
      </w:r>
      <w:r w:rsidR="00206D36" w:rsidRPr="00386337">
        <w:t>é</w:t>
      </w:r>
      <w:r w:rsidRPr="00386337">
        <w:t>bec and the 345 kV West Rutland substation in Vermont</w:t>
      </w:r>
    </w:p>
    <w:p w:rsidR="00C561D4" w:rsidRPr="00386337" w:rsidRDefault="00C561D4" w:rsidP="00386337">
      <w:pPr>
        <w:pStyle w:val="Bullet-Solid"/>
        <w:numPr>
          <w:ilvl w:val="0"/>
          <w:numId w:val="322"/>
        </w:numPr>
      </w:pPr>
      <w:r w:rsidRPr="00386337">
        <w:t>HVDC line between Qu</w:t>
      </w:r>
      <w:r w:rsidR="00206D36" w:rsidRPr="00386337">
        <w:t>é</w:t>
      </w:r>
      <w:r w:rsidRPr="00386337">
        <w:t>bec and the 345 kV New Haven substation in Vermont</w:t>
      </w:r>
    </w:p>
    <w:p w:rsidR="00386337" w:rsidRPr="00386337" w:rsidRDefault="00386337" w:rsidP="00386337">
      <w:pPr>
        <w:pStyle w:val="Bullet-Solid"/>
        <w:numPr>
          <w:ilvl w:val="0"/>
          <w:numId w:val="322"/>
        </w:numPr>
      </w:pPr>
      <w:r w:rsidRPr="00386337">
        <w:t>HVDC line between New Brunswick and the 345 kV Wakefield substation in Massachusetts</w:t>
      </w:r>
    </w:p>
    <w:p w:rsidR="00386337" w:rsidRPr="00386337" w:rsidRDefault="00386337" w:rsidP="00386337">
      <w:pPr>
        <w:pStyle w:val="Bullet-Solid"/>
        <w:numPr>
          <w:ilvl w:val="0"/>
          <w:numId w:val="322"/>
        </w:numPr>
      </w:pPr>
      <w:r w:rsidRPr="00386337">
        <w:t>Transmission expansion in Coos County, NH</w:t>
      </w:r>
    </w:p>
    <w:p w:rsidR="00386337" w:rsidRPr="00386337" w:rsidRDefault="00386337" w:rsidP="00386337">
      <w:pPr>
        <w:pStyle w:val="Bullet-Solid"/>
        <w:numPr>
          <w:ilvl w:val="0"/>
          <w:numId w:val="322"/>
        </w:numPr>
      </w:pPr>
      <w:r w:rsidRPr="00386337">
        <w:t>Transmission expansion of the New Brunswick–New England interface</w:t>
      </w:r>
    </w:p>
    <w:p w:rsidR="00386337" w:rsidRPr="00386337" w:rsidRDefault="000E5E01" w:rsidP="00386337">
      <w:pPr>
        <w:pStyle w:val="Bullet-Solid"/>
        <w:numPr>
          <w:ilvl w:val="0"/>
          <w:numId w:val="322"/>
        </w:numPr>
      </w:pPr>
      <w:r w:rsidRPr="00386337">
        <w:t>HVDC line between Québec and the 345 kV Coolidge substation in Vermont</w:t>
      </w:r>
      <w:r w:rsidR="00386337" w:rsidRPr="00386337">
        <w:t xml:space="preserve"> </w:t>
      </w:r>
      <w:r w:rsidR="0026082F" w:rsidRPr="00386337">
        <w:t xml:space="preserve">(A second project </w:t>
      </w:r>
      <w:r w:rsidR="00386337">
        <w:t>for this upgrade is under study</w:t>
      </w:r>
      <w:r w:rsidR="00386337" w:rsidRPr="00386337">
        <w:t>.</w:t>
      </w:r>
      <w:r w:rsidR="0026082F" w:rsidRPr="00386337">
        <w:t>)</w:t>
      </w:r>
    </w:p>
    <w:p w:rsidR="00386337" w:rsidRPr="00386337" w:rsidRDefault="00386337" w:rsidP="00386337">
      <w:pPr>
        <w:pStyle w:val="Bullet-Solid"/>
        <w:numPr>
          <w:ilvl w:val="0"/>
          <w:numId w:val="322"/>
        </w:numPr>
      </w:pPr>
      <w:r w:rsidRPr="00386337">
        <w:t>HVDC line between Québec and the 345 kV Mystic substation in Massachusetts</w:t>
      </w:r>
    </w:p>
    <w:p w:rsidR="00386337" w:rsidRPr="00386337" w:rsidRDefault="00386337" w:rsidP="00386337">
      <w:pPr>
        <w:pStyle w:val="Bullet-Solid"/>
        <w:numPr>
          <w:ilvl w:val="0"/>
          <w:numId w:val="322"/>
        </w:numPr>
      </w:pPr>
      <w:r w:rsidRPr="00386337">
        <w:t>HVDC line between Québec and the 115 kV Georgia substation in Vermont</w:t>
      </w:r>
    </w:p>
    <w:p w:rsidR="00386337" w:rsidRPr="00386337" w:rsidRDefault="00386337" w:rsidP="00386337">
      <w:pPr>
        <w:pStyle w:val="Bullet-Solid"/>
        <w:numPr>
          <w:ilvl w:val="0"/>
          <w:numId w:val="322"/>
        </w:numPr>
      </w:pPr>
      <w:r w:rsidRPr="00386337">
        <w:t>HVDC line between Québec and the 115 kV Williston substation in Vermont</w:t>
      </w:r>
    </w:p>
    <w:p w:rsidR="00386337" w:rsidRPr="00386337" w:rsidRDefault="00386337" w:rsidP="00386337">
      <w:pPr>
        <w:pStyle w:val="Bullet-Solid"/>
        <w:numPr>
          <w:ilvl w:val="0"/>
          <w:numId w:val="322"/>
        </w:numPr>
      </w:pPr>
      <w:r w:rsidRPr="00386337">
        <w:t>HVDC line between northern Maine and the 345 kV K Street substation in Massachusetts</w:t>
      </w:r>
    </w:p>
    <w:p w:rsidR="00386337" w:rsidRPr="00386337" w:rsidRDefault="00386337" w:rsidP="00386337">
      <w:pPr>
        <w:pStyle w:val="Bullet-Solid"/>
        <w:numPr>
          <w:ilvl w:val="0"/>
          <w:numId w:val="322"/>
        </w:numPr>
      </w:pPr>
      <w:r w:rsidRPr="00386337">
        <w:t>HVDC line between Québec and the 345 kV New Haven substation in Vermont</w:t>
      </w:r>
    </w:p>
    <w:p w:rsidR="00B83B94" w:rsidRPr="00386337" w:rsidRDefault="00B83B94" w:rsidP="00386337">
      <w:pPr>
        <w:pStyle w:val="Bullet-Solid"/>
        <w:numPr>
          <w:ilvl w:val="0"/>
          <w:numId w:val="322"/>
        </w:numPr>
        <w:spacing w:after="240"/>
      </w:pPr>
      <w:r w:rsidRPr="00386337">
        <w:t>AC line between northern Maine and the Keene Road substation in Maine</w:t>
      </w:r>
    </w:p>
    <w:p w:rsidR="00C561D4" w:rsidRDefault="00C561D4" w:rsidP="00C561D4">
      <w:bookmarkStart w:id="680" w:name="_Toc303086422"/>
      <w:bookmarkStart w:id="681" w:name="_Toc334601067"/>
      <w:bookmarkStart w:id="682" w:name="_Toc365441024"/>
      <w:r>
        <w:t>The Northern Pass Transmission (NPT) Project received Propose</w:t>
      </w:r>
      <w:r w:rsidR="00EC1508">
        <w:t>d</w:t>
      </w:r>
      <w:r>
        <w:t xml:space="preserve"> Plan Application approval on </w:t>
      </w:r>
      <w:r w:rsidR="00DB3A4E">
        <w:t>December </w:t>
      </w:r>
      <w:r>
        <w:t xml:space="preserve">31, 2013. This project includes several upgrades and system changes, </w:t>
      </w:r>
      <w:r w:rsidR="003A7B6E">
        <w:t xml:space="preserve">as </w:t>
      </w:r>
      <w:r>
        <w:t>summarized below:</w:t>
      </w:r>
    </w:p>
    <w:p w:rsidR="00C561D4" w:rsidRPr="00DB3A4E" w:rsidRDefault="00C561D4" w:rsidP="00DB3A4E">
      <w:pPr>
        <w:numPr>
          <w:ilvl w:val="0"/>
          <w:numId w:val="502"/>
        </w:numPr>
        <w:spacing w:after="120"/>
      </w:pPr>
      <w:r w:rsidRPr="00D302A3">
        <w:t xml:space="preserve">Install </w:t>
      </w:r>
      <w:r>
        <w:t xml:space="preserve">a </w:t>
      </w:r>
      <w:r w:rsidRPr="00D302A3">
        <w:t xml:space="preserve">1,200 MW nominal, HVDC </w:t>
      </w:r>
      <w:r>
        <w:t>converter</w:t>
      </w:r>
      <w:r w:rsidRPr="00D302A3">
        <w:t xml:space="preserve"> terminal </w:t>
      </w:r>
      <w:r>
        <w:t xml:space="preserve">at </w:t>
      </w:r>
      <w:r w:rsidRPr="00D302A3">
        <w:t xml:space="preserve">a </w:t>
      </w:r>
      <w:r>
        <w:t xml:space="preserve">new </w:t>
      </w:r>
      <w:r w:rsidRPr="00D302A3">
        <w:t xml:space="preserve">345 kV substation in Franklin, </w:t>
      </w:r>
      <w:r w:rsidRPr="00DB3A4E">
        <w:t xml:space="preserve">NH, and a 0/100 </w:t>
      </w:r>
      <w:r w:rsidR="00BC0453" w:rsidRPr="00BC0453">
        <w:t>MVAR</w:t>
      </w:r>
      <w:r w:rsidRPr="00DB3A4E">
        <w:t xml:space="preserve"> static </w:t>
      </w:r>
      <w:r w:rsidR="00BC0453" w:rsidRPr="00BC0453">
        <w:t>VAR</w:t>
      </w:r>
      <w:r w:rsidRPr="00DB3A4E">
        <w:t xml:space="preserve"> compensator (SVC). </w:t>
      </w:r>
    </w:p>
    <w:p w:rsidR="00C561D4" w:rsidRDefault="00C561D4" w:rsidP="00DB3A4E">
      <w:pPr>
        <w:numPr>
          <w:ilvl w:val="0"/>
          <w:numId w:val="502"/>
        </w:numPr>
        <w:spacing w:after="120"/>
      </w:pPr>
      <w:r w:rsidRPr="00D302A3">
        <w:t xml:space="preserve">Install </w:t>
      </w:r>
      <w:r>
        <w:t xml:space="preserve">a </w:t>
      </w:r>
      <w:r w:rsidRPr="00D302A3">
        <w:t>new 345 kV AC transmission line</w:t>
      </w:r>
      <w:r>
        <w:t xml:space="preserve"> (</w:t>
      </w:r>
      <w:r w:rsidRPr="00D302A3">
        <w:t>3132</w:t>
      </w:r>
      <w:r>
        <w:t>)</w:t>
      </w:r>
      <w:r w:rsidRPr="00D302A3">
        <w:t xml:space="preserve"> from the </w:t>
      </w:r>
      <w:r w:rsidRPr="00A94156">
        <w:t>Franklin converter terminal</w:t>
      </w:r>
      <w:r w:rsidRPr="00D302A3">
        <w:t xml:space="preserve"> </w:t>
      </w:r>
      <w:r>
        <w:t>s</w:t>
      </w:r>
      <w:r w:rsidRPr="00D302A3">
        <w:t xml:space="preserve">ubstation to the Deerfield 345 kV </w:t>
      </w:r>
      <w:r>
        <w:t>s</w:t>
      </w:r>
      <w:r w:rsidRPr="00D302A3">
        <w:t>ubstation.</w:t>
      </w:r>
    </w:p>
    <w:p w:rsidR="00C561D4" w:rsidRDefault="00C561D4" w:rsidP="00DB3A4E">
      <w:pPr>
        <w:numPr>
          <w:ilvl w:val="0"/>
          <w:numId w:val="502"/>
        </w:numPr>
        <w:spacing w:after="120"/>
      </w:pPr>
      <w:r w:rsidRPr="00D302A3">
        <w:t xml:space="preserve">Reconfigure the Deerfield 345 kV </w:t>
      </w:r>
      <w:r>
        <w:t>s</w:t>
      </w:r>
      <w:r w:rsidRPr="00D302A3">
        <w:t xml:space="preserve">ubstation </w:t>
      </w:r>
      <w:r>
        <w:t xml:space="preserve">and </w:t>
      </w:r>
      <w:r w:rsidRPr="00D302A3">
        <w:t>add 200 M</w:t>
      </w:r>
      <w:r>
        <w:t>VAR</w:t>
      </w:r>
      <w:r w:rsidRPr="00D302A3">
        <w:t xml:space="preserve"> </w:t>
      </w:r>
      <w:r>
        <w:t xml:space="preserve">of </w:t>
      </w:r>
      <w:r w:rsidRPr="00D302A3">
        <w:t xml:space="preserve">shunt capacitor banks and one </w:t>
      </w:r>
      <w:proofErr w:type="gramStart"/>
      <w:r w:rsidRPr="00D302A3">
        <w:t>0</w:t>
      </w:r>
      <w:proofErr w:type="gramEnd"/>
      <w:r w:rsidRPr="00D302A3">
        <w:t>/+400 M</w:t>
      </w:r>
      <w:r>
        <w:t>VAR</w:t>
      </w:r>
      <w:r w:rsidRPr="00D302A3">
        <w:t xml:space="preserve"> SVC. The existing 345 kV AC transmission line </w:t>
      </w:r>
      <w:r>
        <w:t>(</w:t>
      </w:r>
      <w:r w:rsidRPr="00D302A3">
        <w:t>391</w:t>
      </w:r>
      <w:r>
        <w:t>)</w:t>
      </w:r>
      <w:r w:rsidRPr="00D302A3">
        <w:t xml:space="preserve"> will be looped into the 345 kV Deerfield </w:t>
      </w:r>
      <w:r>
        <w:t>s</w:t>
      </w:r>
      <w:r w:rsidRPr="00D302A3">
        <w:t>ubstation</w:t>
      </w:r>
      <w:r>
        <w:t>.</w:t>
      </w:r>
    </w:p>
    <w:p w:rsidR="00C561D4" w:rsidRDefault="00C561D4" w:rsidP="00DB3A4E">
      <w:pPr>
        <w:numPr>
          <w:ilvl w:val="0"/>
          <w:numId w:val="502"/>
        </w:numPr>
        <w:spacing w:after="120"/>
      </w:pPr>
      <w:r>
        <w:t xml:space="preserve">Install 210 MVAR of 345 kV capacitor banks at the 345 kV </w:t>
      </w:r>
      <w:proofErr w:type="spellStart"/>
      <w:r>
        <w:t>Scobie</w:t>
      </w:r>
      <w:proofErr w:type="spellEnd"/>
      <w:r>
        <w:t xml:space="preserve"> Pond substation. In </w:t>
      </w:r>
      <w:proofErr w:type="gramStart"/>
      <w:r>
        <w:t>addition</w:t>
      </w:r>
      <w:proofErr w:type="gramEnd"/>
      <w:r>
        <w:t xml:space="preserve"> two new 345 kV circuit breakers will be installed in series with the existing circuit breakers.</w:t>
      </w:r>
    </w:p>
    <w:p w:rsidR="00C561D4" w:rsidRDefault="00C561D4" w:rsidP="00DB3A4E">
      <w:pPr>
        <w:numPr>
          <w:ilvl w:val="0"/>
          <w:numId w:val="502"/>
        </w:numPr>
        <w:spacing w:after="120"/>
      </w:pPr>
      <w:r w:rsidRPr="00D302A3">
        <w:t xml:space="preserve">Upgrade the 345 kV 373 </w:t>
      </w:r>
      <w:proofErr w:type="gramStart"/>
      <w:r w:rsidRPr="00D302A3">
        <w:t>line</w:t>
      </w:r>
      <w:proofErr w:type="gramEnd"/>
      <w:r w:rsidRPr="00D302A3">
        <w:t xml:space="preserve"> from Deerfield to </w:t>
      </w:r>
      <w:proofErr w:type="spellStart"/>
      <w:r w:rsidRPr="00D302A3">
        <w:t>Scobie</w:t>
      </w:r>
      <w:proofErr w:type="spellEnd"/>
      <w:r w:rsidRPr="00D302A3">
        <w:t xml:space="preserve"> Pond</w:t>
      </w:r>
      <w:r>
        <w:t>.</w:t>
      </w:r>
    </w:p>
    <w:p w:rsidR="00C561D4" w:rsidRPr="00DB3A4E" w:rsidRDefault="00C561D4" w:rsidP="00C561D4">
      <w:pPr>
        <w:numPr>
          <w:ilvl w:val="0"/>
          <w:numId w:val="502"/>
        </w:numPr>
      </w:pPr>
      <w:r w:rsidRPr="00DB3A4E">
        <w:t xml:space="preserve">Increase the </w:t>
      </w:r>
      <w:proofErr w:type="gramStart"/>
      <w:r w:rsidRPr="00DB3A4E">
        <w:t>326 line</w:t>
      </w:r>
      <w:proofErr w:type="gramEnd"/>
      <w:r w:rsidRPr="00DB3A4E">
        <w:t xml:space="preserve"> SPS summer thermal-mode </w:t>
      </w:r>
      <w:proofErr w:type="spellStart"/>
      <w:r w:rsidRPr="00DB3A4E">
        <w:t>setpoint</w:t>
      </w:r>
      <w:proofErr w:type="spellEnd"/>
      <w:r w:rsidRPr="00DB3A4E">
        <w:t>.</w:t>
      </w:r>
    </w:p>
    <w:p w:rsidR="00E63D3A" w:rsidRDefault="00C561D4">
      <w:pPr>
        <w:pStyle w:val="Heading2"/>
      </w:pPr>
      <w:bookmarkStart w:id="683" w:name="_Toc396807654"/>
      <w:r>
        <w:t>Summary</w:t>
      </w:r>
      <w:bookmarkEnd w:id="680"/>
      <w:bookmarkEnd w:id="681"/>
      <w:bookmarkEnd w:id="682"/>
      <w:bookmarkEnd w:id="683"/>
    </w:p>
    <w:p w:rsidR="00C561D4" w:rsidRDefault="00DB3A4E" w:rsidP="00C561D4">
      <w:r>
        <w:t xml:space="preserve">From 2002 to </w:t>
      </w:r>
      <w:r w:rsidR="00C561D4">
        <w:t>J</w:t>
      </w:r>
      <w:r w:rsidR="00C561D4" w:rsidRPr="00E621E9">
        <w:t>une 1, 201</w:t>
      </w:r>
      <w:r w:rsidR="00C561D4">
        <w:t>4</w:t>
      </w:r>
      <w:r w:rsidR="00C561D4" w:rsidRPr="00E621E9">
        <w:t>,</w:t>
      </w:r>
      <w:r w:rsidR="00C561D4" w:rsidRPr="00F60EA8">
        <w:t xml:space="preserve"> </w:t>
      </w:r>
      <w:r>
        <w:t>11</w:t>
      </w:r>
      <w:r w:rsidR="00C561D4" w:rsidRPr="00F60EA8">
        <w:t xml:space="preserve"> major 345</w:t>
      </w:r>
      <w:r w:rsidR="00C561D4" w:rsidRPr="0053609E">
        <w:t xml:space="preserve"> kV transmission projects </w:t>
      </w:r>
      <w:proofErr w:type="gramStart"/>
      <w:r w:rsidR="00C561D4" w:rsidRPr="0053609E">
        <w:t>have been completed</w:t>
      </w:r>
      <w:proofErr w:type="gramEnd"/>
      <w:r w:rsidR="00C561D4" w:rsidRPr="0053609E">
        <w:t xml:space="preserve"> in five states</w:t>
      </w:r>
      <w:r>
        <w:t>,</w:t>
      </w:r>
      <w:r w:rsidR="00C561D4" w:rsidRPr="00386AF5">
        <w:t xml:space="preserve"> and one other </w:t>
      </w:r>
      <w:r w:rsidR="00660BEE">
        <w:t>has recently been approved</w:t>
      </w:r>
      <w:r w:rsidR="00C561D4" w:rsidRPr="0053609E">
        <w:t>. These projects reinforce critical load pockets, such as in Southwest Connecticut and Boston, and areas that have experienced significant load growth, such as northwest Vermont. These projects also</w:t>
      </w:r>
      <w:r w:rsidR="00C561D4">
        <w:t xml:space="preserve"> include a new interconnection to New Brunswick, which increases the ability of New England to import power from Canada.</w:t>
      </w:r>
    </w:p>
    <w:p w:rsidR="00C561D4" w:rsidRDefault="00C561D4" w:rsidP="00C561D4">
      <w:r>
        <w:t xml:space="preserve">The MPUC has approved the </w:t>
      </w:r>
      <w:proofErr w:type="spellStart"/>
      <w:r>
        <w:t>siting</w:t>
      </w:r>
      <w:proofErr w:type="spellEnd"/>
      <w:r>
        <w:t xml:space="preserve"> of most of the component projects of the Maine Power Reliability Program, and many components are under construction. The MPRP will establish a second 345 kV line in the north from Orrington to </w:t>
      </w:r>
      <w:proofErr w:type="spellStart"/>
      <w:r>
        <w:t>Surowiec</w:t>
      </w:r>
      <w:proofErr w:type="spellEnd"/>
      <w:r>
        <w:t xml:space="preserve"> and will add new 345 kV lines in southern Maine, creating a third parallel path from </w:t>
      </w:r>
      <w:proofErr w:type="spellStart"/>
      <w:r>
        <w:t>Surowiec</w:t>
      </w:r>
      <w:proofErr w:type="spellEnd"/>
      <w:r>
        <w:t xml:space="preserve"> to Eliot (Three Rivers) in southern Maine. This program will reinforce and augment the 345/115 kV transformation capability in various load centers of Maine for greater reliability to area loads. These new paths provide basic infrastructure to increase the ability to move power into Maine from New Hampshire and improve the ability of the transmission system within Maine to move power into the load pockets as </w:t>
      </w:r>
      <w:r w:rsidRPr="00F52FB2">
        <w:t xml:space="preserve">necessary. </w:t>
      </w:r>
      <w:r w:rsidRPr="007D5442">
        <w:t xml:space="preserve">The studies necessary to evaluate any changes in transfer capability from Maine to New Hampshire </w:t>
      </w:r>
      <w:proofErr w:type="gramStart"/>
      <w:r>
        <w:t>were</w:t>
      </w:r>
      <w:r w:rsidRPr="007D5442">
        <w:t xml:space="preserve"> complete</w:t>
      </w:r>
      <w:r>
        <w:t>d</w:t>
      </w:r>
      <w:proofErr w:type="gramEnd"/>
      <w:r w:rsidRPr="007D5442">
        <w:t xml:space="preserve"> in 2012.</w:t>
      </w:r>
      <w:r>
        <w:t xml:space="preserve"> To address potential system reliability </w:t>
      </w:r>
      <w:r w:rsidRPr="00C017DE">
        <w:t xml:space="preserve">concerns associated with the upcoming unavailability of Salem Harbor and the potential unavailability of Vermont Yankee, specific transmission upgrades </w:t>
      </w:r>
      <w:proofErr w:type="gramStart"/>
      <w:r w:rsidRPr="00C017DE">
        <w:t>have been advanced</w:t>
      </w:r>
      <w:proofErr w:type="gramEnd"/>
      <w:r w:rsidRPr="00C017DE">
        <w:t xml:space="preserve">. For the retirement of the generation at Salem Harbor, 115 kV line </w:t>
      </w:r>
      <w:proofErr w:type="spellStart"/>
      <w:r w:rsidRPr="00C017DE">
        <w:t>reconductoring</w:t>
      </w:r>
      <w:proofErr w:type="spellEnd"/>
      <w:r w:rsidRPr="00C017DE">
        <w:t xml:space="preserve"> projects </w:t>
      </w:r>
      <w:proofErr w:type="gramStart"/>
      <w:r>
        <w:t>were completed</w:t>
      </w:r>
      <w:proofErr w:type="gramEnd"/>
      <w:r w:rsidRPr="00C017DE">
        <w:t xml:space="preserve"> in the North Shore area. For Vermont Yankee, upgrades at Flagg Pond </w:t>
      </w:r>
      <w:proofErr w:type="gramStart"/>
      <w:r w:rsidRPr="00C017DE">
        <w:t>have been installed</w:t>
      </w:r>
      <w:proofErr w:type="gramEnd"/>
      <w:r w:rsidRPr="00C017DE">
        <w:t xml:space="preserve"> to address potential thermal overloads if Vermont Yankee is unavailable.</w:t>
      </w:r>
    </w:p>
    <w:p w:rsidR="00C561D4" w:rsidRDefault="00C561D4" w:rsidP="00C561D4">
      <w:r w:rsidRPr="00056A9D">
        <w:t xml:space="preserve">The New England East–West Solution series of projects </w:t>
      </w:r>
      <w:proofErr w:type="gramStart"/>
      <w:r w:rsidRPr="00056A9D">
        <w:t>has been identified</w:t>
      </w:r>
      <w:proofErr w:type="gramEnd"/>
      <w:r w:rsidRPr="00056A9D">
        <w:t xml:space="preserve"> to improve system </w:t>
      </w:r>
      <w:r w:rsidRPr="00127E2A">
        <w:t xml:space="preserve">reliability. The updated review of the need for </w:t>
      </w:r>
      <w:r w:rsidR="0028427D" w:rsidRPr="00127E2A">
        <w:t>the Interstate</w:t>
      </w:r>
      <w:r w:rsidRPr="00127E2A">
        <w:t xml:space="preserve"> Reliability Project component of</w:t>
      </w:r>
      <w:r w:rsidRPr="00056A9D">
        <w:t xml:space="preserve"> NEEWS is complete, and the preferred solution is unchanged. A reevaluation of the Central Connecticut Reliability Project </w:t>
      </w:r>
      <w:proofErr w:type="gramStart"/>
      <w:r w:rsidRPr="00056A9D">
        <w:t>has been completed</w:t>
      </w:r>
      <w:proofErr w:type="gramEnd"/>
      <w:r w:rsidRPr="00056A9D">
        <w:t xml:space="preserve"> with the Greater Hartford</w:t>
      </w:r>
      <w:r w:rsidR="000322EB">
        <w:t>/</w:t>
      </w:r>
      <w:r w:rsidRPr="00056A9D">
        <w:t xml:space="preserve">Central Connecticut study. </w:t>
      </w:r>
      <w:r>
        <w:t>T</w:t>
      </w:r>
      <w:r w:rsidRPr="00056A9D">
        <w:t xml:space="preserve">he project </w:t>
      </w:r>
      <w:proofErr w:type="gramStart"/>
      <w:r>
        <w:t>has been replaced</w:t>
      </w:r>
      <w:proofErr w:type="gramEnd"/>
      <w:r>
        <w:t xml:space="preserve"> with a number of 115 kV upgrades, which </w:t>
      </w:r>
      <w:r w:rsidRPr="00127E2A">
        <w:t xml:space="preserve">address both local </w:t>
      </w:r>
      <w:r w:rsidR="00772B18" w:rsidRPr="00127E2A">
        <w:t xml:space="preserve">Hartford area </w:t>
      </w:r>
      <w:r w:rsidRPr="00127E2A">
        <w:t>concerns and issues associated with imports into western</w:t>
      </w:r>
      <w:r>
        <w:t xml:space="preserve"> Connecticut.</w:t>
      </w:r>
    </w:p>
    <w:p w:rsidR="00C561D4" w:rsidRDefault="00C561D4" w:rsidP="00C561D4">
      <w:r>
        <w:t xml:space="preserve">Costs associated with </w:t>
      </w:r>
      <w:proofErr w:type="gramStart"/>
      <w:r>
        <w:t>second-contingency</w:t>
      </w:r>
      <w:proofErr w:type="gramEnd"/>
      <w:r>
        <w:t xml:space="preserve"> and voltage-control payments have been mitigated through transmission improvements. Additional transmission plans </w:t>
      </w:r>
      <w:proofErr w:type="gramStart"/>
      <w:r>
        <w:t>have been developed</w:t>
      </w:r>
      <w:proofErr w:type="gramEnd"/>
      <w:r>
        <w:t>, which reduce the dependence on generating units needed for reliability. An example is the Lower SEMA projects, whereby short-term improvements already have reduced dependence on the Cape Cod Canal generating units; further long-term improvements will eliminate the need to commit generation for second-contingency protection.</w:t>
      </w:r>
    </w:p>
    <w:p w:rsidR="00C561D4" w:rsidRDefault="00C561D4" w:rsidP="00C561D4">
      <w:r w:rsidRPr="0093517C">
        <w:t xml:space="preserve">From 2002 through </w:t>
      </w:r>
      <w:r>
        <w:t xml:space="preserve">June </w:t>
      </w:r>
      <w:r w:rsidRPr="000D051A">
        <w:t>201</w:t>
      </w:r>
      <w:r>
        <w:t>4</w:t>
      </w:r>
      <w:r w:rsidRPr="000D051A">
        <w:t xml:space="preserve">, </w:t>
      </w:r>
      <w:r w:rsidR="00B83B94">
        <w:t>559</w:t>
      </w:r>
      <w:r w:rsidRPr="000D051A">
        <w:t xml:space="preserve"> projects</w:t>
      </w:r>
      <w:r w:rsidRPr="0093517C">
        <w:t xml:space="preserve"> </w:t>
      </w:r>
      <w:proofErr w:type="gramStart"/>
      <w:r w:rsidRPr="0093517C">
        <w:t>have been put</w:t>
      </w:r>
      <w:proofErr w:type="gramEnd"/>
      <w:r w:rsidRPr="0093517C">
        <w:t xml:space="preserve"> into service, with an investment totaling </w:t>
      </w:r>
      <w:r w:rsidRPr="00AD0612">
        <w:t>approximately $</w:t>
      </w:r>
      <w:r w:rsidR="00B83B94">
        <w:t>6.6</w:t>
      </w:r>
      <w:r w:rsidRPr="00AD0612">
        <w:t xml:space="preserve"> billion.</w:t>
      </w:r>
      <w:r w:rsidRPr="00AD0612">
        <w:rPr>
          <w:rStyle w:val="FootnoteReference"/>
        </w:rPr>
        <w:footnoteReference w:id="254"/>
      </w:r>
      <w:r w:rsidRPr="00AD0612">
        <w:t xml:space="preserve"> Additional projects (proposed, planned, or under construction), totaling approximately $</w:t>
      </w:r>
      <w:r w:rsidR="00B83B94">
        <w:t>4.5</w:t>
      </w:r>
      <w:r w:rsidRPr="00AD0612">
        <w:t xml:space="preserve"> billion, are summarized in the </w:t>
      </w:r>
      <w:r w:rsidRPr="00AD0612">
        <w:rPr>
          <w:i/>
        </w:rPr>
        <w:t>RSP Project List</w:t>
      </w:r>
      <w:r w:rsidRPr="00AD0612">
        <w:t>, which is updated periodically.</w:t>
      </w:r>
    </w:p>
    <w:p w:rsidR="00C561D4" w:rsidRDefault="00C561D4" w:rsidP="00C561D4">
      <w:r w:rsidRPr="00A94156">
        <w:t xml:space="preserve">Many new Elective Transmission Upgrades </w:t>
      </w:r>
      <w:proofErr w:type="gramStart"/>
      <w:r w:rsidRPr="00A94156">
        <w:t>have been proposed</w:t>
      </w:r>
      <w:proofErr w:type="gramEnd"/>
      <w:r w:rsidRPr="00A94156">
        <w:t>, which focus on delivering zero or low-</w:t>
      </w:r>
      <w:r w:rsidRPr="00386337">
        <w:t xml:space="preserve">carbon resources to New England. As of June 1, 2014, </w:t>
      </w:r>
      <w:r w:rsidR="000E5E01" w:rsidRPr="00386337">
        <w:t>20 projects</w:t>
      </w:r>
      <w:r w:rsidRPr="00386337">
        <w:t xml:space="preserve"> are under study as Elective</w:t>
      </w:r>
      <w:r w:rsidRPr="00A94156">
        <w:t xml:space="preserve"> Transmission Upgrades</w:t>
      </w:r>
      <w:r w:rsidR="004E3C1C">
        <w:t>, and one has received its Proposed Plan Application approval</w:t>
      </w:r>
      <w:r w:rsidRPr="00A94156">
        <w:t>.</w:t>
      </w:r>
    </w:p>
    <w:p w:rsidR="00441E32" w:rsidRDefault="00C561D4" w:rsidP="00C561D4">
      <w:pPr>
        <w:sectPr w:rsidR="00441E32" w:rsidSect="00E24A7B">
          <w:pgSz w:w="12240" w:h="15840"/>
          <w:pgMar w:top="1440" w:right="1440" w:bottom="1440" w:left="1800" w:header="720" w:footer="720" w:gutter="0"/>
          <w:cols w:space="720"/>
          <w:docGrid w:linePitch="360"/>
        </w:sectPr>
      </w:pPr>
      <w:r>
        <w:t xml:space="preserve">All transmission projects </w:t>
      </w:r>
      <w:proofErr w:type="gramStart"/>
      <w:r>
        <w:t>are developed</w:t>
      </w:r>
      <w:proofErr w:type="gramEnd"/>
      <w:r>
        <w:t xml:space="preserve"> to </w:t>
      </w:r>
      <w:r w:rsidR="00772B18">
        <w:t xml:space="preserve">meet </w:t>
      </w:r>
      <w:r w:rsidRPr="009A2634">
        <w:t xml:space="preserve">the reliability </w:t>
      </w:r>
      <w:r w:rsidR="00772B18">
        <w:t xml:space="preserve">requirements </w:t>
      </w:r>
      <w:r w:rsidRPr="009A2634">
        <w:t>of the entire region and</w:t>
      </w:r>
      <w:r>
        <w:t xml:space="preserve"> are fully coordinated regionally and </w:t>
      </w:r>
      <w:proofErr w:type="spellStart"/>
      <w:r>
        <w:t>interregionally</w:t>
      </w:r>
      <w:proofErr w:type="spellEnd"/>
      <w:r>
        <w:t xml:space="preserve">. Most projects on the </w:t>
      </w:r>
      <w:r w:rsidRPr="001E327B">
        <w:rPr>
          <w:i/>
        </w:rPr>
        <w:t>RSP Project List</w:t>
      </w:r>
      <w:r>
        <w:t xml:space="preserve"> remain subject to regional cost allocation. </w:t>
      </w:r>
      <w:r w:rsidR="003A7B6E">
        <w:t xml:space="preserve">With </w:t>
      </w:r>
      <w:r>
        <w:t>transmission expansion</w:t>
      </w:r>
      <w:r w:rsidR="003A7B6E">
        <w:t xml:space="preserve"> in the region</w:t>
      </w:r>
      <w:r>
        <w:t>, the ISO meets all required transmission planning requirements, and little congestion is currently evident on the system.</w:t>
      </w:r>
    </w:p>
    <w:p w:rsidR="00F80F36" w:rsidRDefault="00F80F36" w:rsidP="005C6088">
      <w:pPr>
        <w:pStyle w:val="Heading1"/>
      </w:pPr>
      <w:bookmarkStart w:id="684" w:name="_Ref387650525"/>
      <w:r>
        <w:rPr>
          <w:rFonts w:eastAsiaTheme="minorHAnsi"/>
        </w:rPr>
        <w:br/>
      </w:r>
      <w:bookmarkStart w:id="685" w:name="_Ref359250204"/>
      <w:bookmarkStart w:id="686" w:name="_Ref359251389"/>
      <w:bookmarkStart w:id="687" w:name="_Ref359399517"/>
      <w:bookmarkStart w:id="688" w:name="_Ref359776343"/>
      <w:bookmarkStart w:id="689" w:name="_Ref360782548"/>
      <w:bookmarkStart w:id="690" w:name="_Ref360782554"/>
      <w:bookmarkStart w:id="691" w:name="_Ref360782755"/>
      <w:bookmarkStart w:id="692" w:name="_Ref360782773"/>
      <w:bookmarkStart w:id="693" w:name="_Ref360782802"/>
      <w:bookmarkStart w:id="694" w:name="_Ref360784281"/>
      <w:bookmarkStart w:id="695" w:name="_Ref360784505"/>
      <w:bookmarkStart w:id="696" w:name="_Ref360800056"/>
      <w:bookmarkStart w:id="697" w:name="_Toc365441025"/>
      <w:bookmarkStart w:id="698" w:name="_Toc396807655"/>
      <w:r>
        <w:rPr>
          <w:rFonts w:eastAsiaTheme="minorHAnsi"/>
        </w:rPr>
        <w:t xml:space="preserve">Studies and Other Actions Supporting the </w:t>
      </w:r>
      <w:r w:rsidRPr="00FF2804">
        <w:rPr>
          <w:rFonts w:eastAsiaTheme="minorHAnsi"/>
        </w:rPr>
        <w:t xml:space="preserve">Strategic Planning </w:t>
      </w:r>
      <w:r>
        <w:rPr>
          <w:rFonts w:eastAsiaTheme="minorHAnsi"/>
        </w:rPr>
        <w:t>of the Region</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Pr>
          <w:rFonts w:eastAsiaTheme="minorHAnsi"/>
        </w:rPr>
        <w:t xml:space="preserve"> </w:t>
      </w:r>
    </w:p>
    <w:p w:rsidR="00905CB8" w:rsidRDefault="00D2141F" w:rsidP="00905CB8">
      <w:r w:rsidRPr="00BD1D8F">
        <w:t>New England has fuel diversity, certainty, and flexibility issues. The region</w:t>
      </w:r>
      <w:r w:rsidR="0079044C" w:rsidRPr="00BD1D8F">
        <w:t xml:space="preserve"> relies heavily </w:t>
      </w:r>
      <w:r w:rsidRPr="00BD1D8F">
        <w:t>on natural-gas-fired capacity</w:t>
      </w:r>
      <w:r w:rsidR="0079044C" w:rsidRPr="00BD1D8F">
        <w:t xml:space="preserve">, </w:t>
      </w:r>
      <w:r w:rsidR="000E5942">
        <w:t>and</w:t>
      </w:r>
      <w:r w:rsidR="0079044C" w:rsidRPr="00BD1D8F">
        <w:t xml:space="preserve"> </w:t>
      </w:r>
      <w:r w:rsidR="009E1F04" w:rsidRPr="00BD1D8F">
        <w:t xml:space="preserve">serious and growing reliability problems have emerged </w:t>
      </w:r>
      <w:r w:rsidR="000B5C58" w:rsidRPr="007705A1">
        <w:t xml:space="preserve">because of fuel constraints </w:t>
      </w:r>
      <w:r w:rsidR="000B5C58" w:rsidRPr="00F43157">
        <w:t>of the natural gas delivery system and both the cost and availability of liquefied natural gas (LNG).</w:t>
      </w:r>
      <w:r w:rsidR="001930F6" w:rsidRPr="00F43157">
        <w:t xml:space="preserve"> </w:t>
      </w:r>
      <w:r w:rsidR="00757404" w:rsidRPr="00F43157">
        <w:t>The</w:t>
      </w:r>
      <w:r w:rsidR="00757404">
        <w:t xml:space="preserve"> lack </w:t>
      </w:r>
      <w:r w:rsidR="00757404" w:rsidRPr="00214D6C">
        <w:t xml:space="preserve">of firm contracts for natural gas has limited </w:t>
      </w:r>
      <w:r w:rsidR="00EA60BB" w:rsidRPr="00214D6C">
        <w:t xml:space="preserve">the availability of the fuel </w:t>
      </w:r>
      <w:r w:rsidR="00FC4C79" w:rsidRPr="00214D6C">
        <w:t>and</w:t>
      </w:r>
      <w:r w:rsidR="00EA60BB" w:rsidRPr="00214D6C">
        <w:t xml:space="preserve"> </w:t>
      </w:r>
      <w:r w:rsidR="00757404" w:rsidRPr="00214D6C">
        <w:t xml:space="preserve">funding for natural gas infrastructure expansion, and the gas units with dual-fuel capability </w:t>
      </w:r>
      <w:r w:rsidR="00757404" w:rsidRPr="00214D6C">
        <w:rPr>
          <w:color w:val="000000" w:themeColor="text1"/>
        </w:rPr>
        <w:t xml:space="preserve">have not always been effective </w:t>
      </w:r>
      <w:r w:rsidR="00A233FB" w:rsidRPr="00214D6C">
        <w:t xml:space="preserve">due to limited fuel </w:t>
      </w:r>
      <w:r w:rsidR="00662DB0" w:rsidRPr="00214D6C">
        <w:t xml:space="preserve">storage and the extended time required </w:t>
      </w:r>
      <w:proofErr w:type="gramStart"/>
      <w:r w:rsidR="00662DB0" w:rsidRPr="00214D6C">
        <w:t>to switch</w:t>
      </w:r>
      <w:proofErr w:type="gramEnd"/>
      <w:r w:rsidR="00662DB0" w:rsidRPr="00214D6C">
        <w:t xml:space="preserve"> fuels</w:t>
      </w:r>
      <w:r w:rsidR="00D837D8" w:rsidRPr="00214D6C">
        <w:t xml:space="preserve">. </w:t>
      </w:r>
      <w:r w:rsidR="00D837D8" w:rsidRPr="00214D6C">
        <w:rPr>
          <w:color w:val="000000" w:themeColor="text1"/>
        </w:rPr>
        <w:t>Infrequently operated</w:t>
      </w:r>
      <w:r w:rsidR="00CE7709" w:rsidRPr="00214D6C">
        <w:rPr>
          <w:color w:val="000000" w:themeColor="text1"/>
        </w:rPr>
        <w:t xml:space="preserve"> and o</w:t>
      </w:r>
      <w:r w:rsidR="001930F6" w:rsidRPr="00214D6C">
        <w:t xml:space="preserve">lder oil and coal resources have </w:t>
      </w:r>
      <w:r w:rsidR="00DD2FE5" w:rsidRPr="00214D6C">
        <w:t>shown</w:t>
      </w:r>
      <w:r w:rsidR="001930F6" w:rsidRPr="00214D6C">
        <w:t xml:space="preserve"> </w:t>
      </w:r>
      <w:r w:rsidR="00D837D8" w:rsidRPr="00214D6C">
        <w:t>diminished operating performance</w:t>
      </w:r>
      <w:r w:rsidR="00593AED" w:rsidRPr="00214D6C">
        <w:t xml:space="preserve"> </w:t>
      </w:r>
      <w:r w:rsidR="00D837D8" w:rsidRPr="00214D6C">
        <w:t xml:space="preserve">as well as </w:t>
      </w:r>
      <w:r w:rsidR="00EE36F8" w:rsidRPr="00214D6C">
        <w:t>limited energy production</w:t>
      </w:r>
      <w:r w:rsidR="00D837D8" w:rsidRPr="00214D6C">
        <w:t>,</w:t>
      </w:r>
      <w:r w:rsidR="001930F6" w:rsidRPr="00214D6C">
        <w:t xml:space="preserve"> </w:t>
      </w:r>
      <w:r w:rsidR="00757404" w:rsidRPr="00214D6C">
        <w:t xml:space="preserve">with </w:t>
      </w:r>
      <w:r w:rsidR="00B41F73" w:rsidRPr="00214D6C">
        <w:t>oil units</w:t>
      </w:r>
      <w:r w:rsidR="00DD2FE5" w:rsidRPr="00214D6C">
        <w:t xml:space="preserve"> experiencing issues with fuel availability, delivery, and other challenges caused by the </w:t>
      </w:r>
      <w:r w:rsidR="00D837D8" w:rsidRPr="00214D6C">
        <w:t>sporadic operation of the units</w:t>
      </w:r>
      <w:r w:rsidR="00593AED" w:rsidRPr="00214D6C">
        <w:t>.</w:t>
      </w:r>
      <w:r w:rsidR="00CE7709" w:rsidRPr="00214D6C">
        <w:t xml:space="preserve"> </w:t>
      </w:r>
      <w:r w:rsidR="00001620" w:rsidRPr="00214D6C">
        <w:t>New</w:t>
      </w:r>
      <w:r w:rsidR="00001620">
        <w:t xml:space="preserve"> England</w:t>
      </w:r>
      <w:r w:rsidRPr="00BD1D8F">
        <w:t xml:space="preserve"> also faces the retirement of non-gas-fired generation</w:t>
      </w:r>
      <w:r w:rsidR="00CE7709">
        <w:t xml:space="preserve">, </w:t>
      </w:r>
      <w:r w:rsidR="00A233FB">
        <w:t>which will likely increase the regional reliance on natural-gas-fired generation. In addition,</w:t>
      </w:r>
      <w:r w:rsidR="00CE7709">
        <w:t xml:space="preserve"> </w:t>
      </w:r>
      <w:r w:rsidR="00CE7709" w:rsidRPr="00CE7709">
        <w:t>t</w:t>
      </w:r>
      <w:r w:rsidR="0058019A" w:rsidRPr="0058019A">
        <w:t>he development of intermittent resources increases the need for system flexibility</w:t>
      </w:r>
      <w:r w:rsidR="009E1F04" w:rsidRPr="00BD1D8F">
        <w:t xml:space="preserve">. </w:t>
      </w:r>
      <w:r w:rsidR="00D431C1" w:rsidRPr="0037638D">
        <w:t xml:space="preserve">RSP14 discusses these overarching and overlapping regional risks and </w:t>
      </w:r>
      <w:r w:rsidR="00D431C1" w:rsidRPr="0037638D">
        <w:rPr>
          <w:color w:val="000000" w:themeColor="text1"/>
        </w:rPr>
        <w:t>the major</w:t>
      </w:r>
      <w:r w:rsidR="00D431C1" w:rsidRPr="0037638D">
        <w:t xml:space="preserve"> actions the region is taking</w:t>
      </w:r>
      <w:r w:rsidR="00173F1B" w:rsidRPr="0037638D">
        <w:t xml:space="preserve">, </w:t>
      </w:r>
      <w:r w:rsidR="00D431C1" w:rsidRPr="0037638D">
        <w:t>including those</w:t>
      </w:r>
      <w:r w:rsidR="00173F1B" w:rsidRPr="0037638D">
        <w:t xml:space="preserve"> </w:t>
      </w:r>
      <w:r w:rsidR="00D431C1" w:rsidRPr="0037638D">
        <w:t>through the ISO’s Strategic Planning Initiative.</w:t>
      </w:r>
      <w:r w:rsidR="00D431C1" w:rsidRPr="0037638D">
        <w:rPr>
          <w:vertAlign w:val="superscript"/>
        </w:rPr>
        <w:footnoteReference w:id="255"/>
      </w:r>
      <w:r w:rsidRPr="00BD1D8F">
        <w:t xml:space="preserve"> </w:t>
      </w:r>
    </w:p>
    <w:p w:rsidR="00D2141F" w:rsidRPr="006A6D4E" w:rsidRDefault="00D2141F" w:rsidP="00D2141F">
      <w:pPr>
        <w:spacing w:after="200" w:line="276" w:lineRule="auto"/>
      </w:pPr>
      <w:r w:rsidRPr="006A6D4E">
        <w:t xml:space="preserve">The ISO and other entities have been conducting </w:t>
      </w:r>
      <w:r w:rsidRPr="009021EE">
        <w:t xml:space="preserve">many studies </w:t>
      </w:r>
      <w:r w:rsidRPr="006A6D4E">
        <w:t xml:space="preserve">to </w:t>
      </w:r>
      <w:r w:rsidRPr="009021EE">
        <w:t>provid</w:t>
      </w:r>
      <w:r w:rsidRPr="006A6D4E">
        <w:t xml:space="preserve">e </w:t>
      </w:r>
      <w:r w:rsidRPr="009021EE">
        <w:t xml:space="preserve">information and data </w:t>
      </w:r>
      <w:r w:rsidRPr="006A6D4E">
        <w:t xml:space="preserve">to regional stakeholders </w:t>
      </w:r>
      <w:r w:rsidRPr="009021EE">
        <w:t>on the</w:t>
      </w:r>
      <w:r w:rsidRPr="006A6D4E">
        <w:t>se</w:t>
      </w:r>
      <w:r w:rsidRPr="009021EE">
        <w:t xml:space="preserve"> broad planning issues facing the region, the extent of these issues, and </w:t>
      </w:r>
      <w:r w:rsidRPr="00BD1D8F">
        <w:t xml:space="preserve">potential solutions. Listed below and discussed in this section </w:t>
      </w:r>
      <w:proofErr w:type="gramStart"/>
      <w:r w:rsidRPr="00BD1D8F">
        <w:t>are some of the more specific topics</w:t>
      </w:r>
      <w:r w:rsidRPr="009021EE">
        <w:t xml:space="preserve"> </w:t>
      </w:r>
      <w:r w:rsidRPr="006A6D4E">
        <w:t>analyzed</w:t>
      </w:r>
      <w:proofErr w:type="gramEnd"/>
      <w:r w:rsidRPr="006A6D4E">
        <w:t xml:space="preserve"> </w:t>
      </w:r>
      <w:r w:rsidRPr="009021EE">
        <w:t>to</w:t>
      </w:r>
      <w:r w:rsidRPr="006A6D4E">
        <w:t xml:space="preserve"> </w:t>
      </w:r>
      <w:r w:rsidRPr="009021EE">
        <w:t>address the region’s strategic risks:</w:t>
      </w:r>
      <w:r w:rsidRPr="006A6D4E">
        <w:t xml:space="preserve"> </w:t>
      </w:r>
    </w:p>
    <w:p w:rsidR="00D2141F" w:rsidRPr="006A6D4E" w:rsidRDefault="00D2141F" w:rsidP="00D2141F">
      <w:pPr>
        <w:numPr>
          <w:ilvl w:val="0"/>
          <w:numId w:val="566"/>
        </w:numPr>
        <w:spacing w:after="120"/>
      </w:pPr>
      <w:r w:rsidRPr="009021EE">
        <w:t>Operating experience</w:t>
      </w:r>
      <w:r w:rsidRPr="006A6D4E">
        <w:t xml:space="preserve"> for the winter 2013/2014, which shows the effects of limited fuel supplie</w:t>
      </w:r>
      <w:r w:rsidRPr="009021EE">
        <w:t>s on electric energy production and the results of regional actions to address this issue</w:t>
      </w:r>
    </w:p>
    <w:p w:rsidR="00D2141F" w:rsidRPr="006A6D4E" w:rsidRDefault="00D2141F" w:rsidP="00D2141F">
      <w:pPr>
        <w:numPr>
          <w:ilvl w:val="0"/>
          <w:numId w:val="566"/>
        </w:numPr>
        <w:spacing w:after="120"/>
      </w:pPr>
      <w:r w:rsidRPr="009021EE">
        <w:t>The interaction between the natural</w:t>
      </w:r>
      <w:r w:rsidR="005A7AB8">
        <w:t xml:space="preserve"> </w:t>
      </w:r>
      <w:r w:rsidRPr="009021EE">
        <w:t xml:space="preserve">gas and electric </w:t>
      </w:r>
      <w:r w:rsidR="00872D52">
        <w:t xml:space="preserve">power </w:t>
      </w:r>
      <w:r w:rsidRPr="009021EE">
        <w:t>system</w:t>
      </w:r>
      <w:r w:rsidR="005A7AB8">
        <w:t>s</w:t>
      </w:r>
      <w:r w:rsidRPr="009021EE">
        <w:t>, which quantify the need for improving fuel certainty to the region</w:t>
      </w:r>
    </w:p>
    <w:p w:rsidR="00D2141F" w:rsidRPr="006A6D4E" w:rsidRDefault="00D2141F" w:rsidP="00D2141F">
      <w:pPr>
        <w:numPr>
          <w:ilvl w:val="0"/>
          <w:numId w:val="566"/>
        </w:numPr>
        <w:spacing w:after="120"/>
      </w:pPr>
      <w:r w:rsidRPr="009021EE">
        <w:t>Environmental regulations</w:t>
      </w:r>
      <w:r w:rsidRPr="006A6D4E">
        <w:t>, which potentially affect generating units</w:t>
      </w:r>
    </w:p>
    <w:p w:rsidR="00D2141F" w:rsidRPr="00BD1D8F" w:rsidRDefault="00D2141F" w:rsidP="00D2141F">
      <w:pPr>
        <w:numPr>
          <w:ilvl w:val="0"/>
          <w:numId w:val="566"/>
        </w:numPr>
        <w:spacing w:after="120"/>
      </w:pPr>
      <w:r w:rsidRPr="00BD1D8F">
        <w:t>The development of variable resources, which affect</w:t>
      </w:r>
      <w:r w:rsidR="005A7AB8">
        <w:t>s</w:t>
      </w:r>
      <w:r w:rsidRPr="00BD1D8F">
        <w:t xml:space="preserve"> system operations and planning</w:t>
      </w:r>
    </w:p>
    <w:p w:rsidR="00D944C8" w:rsidRPr="00BD1D8F" w:rsidRDefault="0007592E" w:rsidP="00D944C8">
      <w:pPr>
        <w:numPr>
          <w:ilvl w:val="0"/>
          <w:numId w:val="566"/>
        </w:numPr>
        <w:spacing w:after="120"/>
      </w:pPr>
      <w:r w:rsidRPr="00BD1D8F">
        <w:t>Economic</w:t>
      </w:r>
      <w:r w:rsidR="00217F74" w:rsidRPr="00BD1D8F">
        <w:t xml:space="preserve"> </w:t>
      </w:r>
      <w:r w:rsidRPr="00BD1D8F">
        <w:t>impacts of developing market resources in specific load pockets, which provide information to resource developers and policy makers</w:t>
      </w:r>
    </w:p>
    <w:p w:rsidR="00D2141F" w:rsidRPr="00217BF0" w:rsidRDefault="00D2141F" w:rsidP="0037638D">
      <w:pPr>
        <w:numPr>
          <w:ilvl w:val="0"/>
          <w:numId w:val="566"/>
        </w:numPr>
      </w:pPr>
      <w:r w:rsidRPr="009021EE">
        <w:t>Improvements to</w:t>
      </w:r>
      <w:r w:rsidRPr="006A6D4E">
        <w:t xml:space="preserve"> the wholesale electricity markets and system operations and planning, which</w:t>
      </w:r>
      <w:r w:rsidRPr="009021EE">
        <w:t xml:space="preserve"> affect the reliable supply of electric energy to the region</w:t>
      </w:r>
    </w:p>
    <w:p w:rsidR="00D2141F" w:rsidRPr="00643D5C" w:rsidRDefault="00D2141F" w:rsidP="005E14EF">
      <w:pPr>
        <w:pStyle w:val="Heading2"/>
      </w:pPr>
      <w:bookmarkStart w:id="699" w:name="_Ref390423940"/>
      <w:bookmarkStart w:id="700" w:name="_Toc396807656"/>
      <w:r w:rsidRPr="00643D5C">
        <w:t>Capacity and Electric Energy Production in the Region by Fuel Type</w:t>
      </w:r>
      <w:bookmarkEnd w:id="699"/>
      <w:bookmarkEnd w:id="700"/>
      <w:r w:rsidRPr="00643D5C" w:rsidDel="00BF3EC6">
        <w:t xml:space="preserve"> </w:t>
      </w:r>
    </w:p>
    <w:p w:rsidR="00D2141F" w:rsidRDefault="00D2141F" w:rsidP="00D2141F">
      <w:r w:rsidRPr="00217BF0">
        <w:rPr>
          <w:rFonts w:asciiTheme="majorHAnsi" w:eastAsia="Times New Roman" w:hAnsiTheme="majorHAnsi"/>
        </w:rPr>
        <w:t>New England</w:t>
      </w:r>
      <w:r>
        <w:rPr>
          <w:rFonts w:asciiTheme="majorHAnsi" w:eastAsia="Times New Roman" w:hAnsiTheme="majorHAnsi"/>
        </w:rPr>
        <w:t>’s capacity and electric energy production in 2013 indicates that the region</w:t>
      </w:r>
      <w:r w:rsidRPr="00217BF0">
        <w:rPr>
          <w:rFonts w:asciiTheme="majorHAnsi" w:eastAsia="Times New Roman" w:hAnsiTheme="majorHAnsi"/>
        </w:rPr>
        <w:t xml:space="preserve"> </w:t>
      </w:r>
      <w:r>
        <w:rPr>
          <w:rFonts w:asciiTheme="majorHAnsi" w:eastAsia="Times New Roman" w:hAnsiTheme="majorHAnsi"/>
        </w:rPr>
        <w:t xml:space="preserve">is highly dependent on natural gas-fired generation and lacks </w:t>
      </w:r>
      <w:r w:rsidRPr="00217BF0">
        <w:rPr>
          <w:rFonts w:asciiTheme="majorHAnsi" w:eastAsia="Times New Roman" w:hAnsiTheme="majorHAnsi"/>
        </w:rPr>
        <w:t>a more balanced mix of oil, coal, nuclear</w:t>
      </w:r>
      <w:r>
        <w:rPr>
          <w:rFonts w:asciiTheme="majorHAnsi" w:eastAsia="Times New Roman" w:hAnsiTheme="majorHAnsi"/>
        </w:rPr>
        <w:t>,</w:t>
      </w:r>
      <w:r w:rsidRPr="00217BF0">
        <w:rPr>
          <w:rFonts w:asciiTheme="majorHAnsi" w:eastAsia="Times New Roman" w:hAnsiTheme="majorHAnsi"/>
        </w:rPr>
        <w:t xml:space="preserve"> and </w:t>
      </w:r>
      <w:r>
        <w:rPr>
          <w:rFonts w:asciiTheme="majorHAnsi" w:eastAsia="Times New Roman" w:hAnsiTheme="majorHAnsi"/>
        </w:rPr>
        <w:t xml:space="preserve">hydro and other renewable resources. As shown in Figure 6-1, approximately </w:t>
      </w:r>
      <w:r w:rsidRPr="00AD7B29">
        <w:rPr>
          <w:rFonts w:asciiTheme="majorHAnsi" w:eastAsia="Times New Roman" w:hAnsiTheme="majorHAnsi"/>
        </w:rPr>
        <w:t>43.0%</w:t>
      </w:r>
      <w:r w:rsidRPr="00217BF0">
        <w:rPr>
          <w:rFonts w:asciiTheme="majorHAnsi" w:eastAsia="Times New Roman" w:hAnsiTheme="majorHAnsi"/>
        </w:rPr>
        <w:t xml:space="preserve"> </w:t>
      </w:r>
      <w:r>
        <w:rPr>
          <w:rFonts w:asciiTheme="majorHAnsi" w:eastAsia="Times New Roman" w:hAnsiTheme="majorHAnsi"/>
        </w:rPr>
        <w:t>of the regional capacity in 2013 was natural</w:t>
      </w:r>
      <w:r w:rsidR="008A36C0">
        <w:rPr>
          <w:rFonts w:asciiTheme="majorHAnsi" w:eastAsia="Times New Roman" w:hAnsiTheme="majorHAnsi"/>
        </w:rPr>
        <w:t>-</w:t>
      </w:r>
      <w:r>
        <w:rPr>
          <w:rFonts w:asciiTheme="majorHAnsi" w:eastAsia="Times New Roman" w:hAnsiTheme="majorHAnsi"/>
        </w:rPr>
        <w:t xml:space="preserve">gas-fired generation. This is almost twice as large as oil-fired capacity, which was the next-largest type of generation resource in the region. Figure 6-1 also depicts </w:t>
      </w:r>
      <w:r w:rsidRPr="00217BF0">
        <w:rPr>
          <w:rFonts w:asciiTheme="majorHAnsi" w:eastAsia="Times New Roman" w:hAnsiTheme="majorHAnsi"/>
        </w:rPr>
        <w:t>the electric energy produced in the region</w:t>
      </w:r>
      <w:r>
        <w:rPr>
          <w:rFonts w:asciiTheme="majorHAnsi" w:eastAsia="Times New Roman" w:hAnsiTheme="majorHAnsi"/>
        </w:rPr>
        <w:t xml:space="preserve"> for 2013. The electric energy produced </w:t>
      </w:r>
      <w:r w:rsidRPr="00217BF0">
        <w:rPr>
          <w:rFonts w:asciiTheme="majorHAnsi" w:eastAsia="Times New Roman" w:hAnsiTheme="majorHAnsi"/>
        </w:rPr>
        <w:t xml:space="preserve">by natural gas power plants </w:t>
      </w:r>
      <w:r>
        <w:rPr>
          <w:rFonts w:asciiTheme="majorHAnsi" w:eastAsia="Times New Roman" w:hAnsiTheme="majorHAnsi"/>
        </w:rPr>
        <w:t xml:space="preserve">was approximately 45% of the regional mix. Nuclear generation supplied approximately 33% of the electric energy, but each of the other types </w:t>
      </w:r>
      <w:r w:rsidR="008A36C0">
        <w:rPr>
          <w:rFonts w:asciiTheme="majorHAnsi" w:eastAsia="Times New Roman" w:hAnsiTheme="majorHAnsi"/>
        </w:rPr>
        <w:t xml:space="preserve">of </w:t>
      </w:r>
      <w:r>
        <w:rPr>
          <w:rFonts w:asciiTheme="majorHAnsi" w:eastAsia="Times New Roman" w:hAnsiTheme="majorHAnsi"/>
        </w:rPr>
        <w:t xml:space="preserve">generating resources produced </w:t>
      </w:r>
      <w:r w:rsidR="008A36C0">
        <w:rPr>
          <w:rFonts w:asciiTheme="majorHAnsi" w:eastAsia="Times New Roman" w:hAnsiTheme="majorHAnsi"/>
        </w:rPr>
        <w:t>less than</w:t>
      </w:r>
      <w:r>
        <w:rPr>
          <w:rFonts w:asciiTheme="majorHAnsi" w:eastAsia="Times New Roman" w:hAnsiTheme="majorHAnsi"/>
        </w:rPr>
        <w:t xml:space="preserve"> </w:t>
      </w:r>
      <w:r w:rsidRPr="00AD7B29">
        <w:rPr>
          <w:rFonts w:asciiTheme="majorHAnsi" w:eastAsia="Times New Roman" w:hAnsiTheme="majorHAnsi"/>
        </w:rPr>
        <w:t>6.5%</w:t>
      </w:r>
      <w:r>
        <w:rPr>
          <w:rFonts w:asciiTheme="majorHAnsi" w:eastAsia="Times New Roman" w:hAnsiTheme="majorHAnsi"/>
        </w:rPr>
        <w:t>.</w:t>
      </w:r>
    </w:p>
    <w:p w:rsidR="00D2141F" w:rsidRPr="00217BF0" w:rsidRDefault="00E82840" w:rsidP="00D2141F">
      <w:pPr>
        <w:spacing w:after="0" w:line="240" w:lineRule="auto"/>
        <w:jc w:val="center"/>
      </w:pPr>
      <w:r w:rsidRPr="00E82840">
        <w:rPr>
          <w:noProof/>
        </w:rPr>
        <w:drawing>
          <wp:inline distT="0" distB="0" distL="0" distR="0">
            <wp:extent cx="5073650" cy="2862059"/>
            <wp:effectExtent l="19050" t="19050" r="12700" b="14491"/>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073650" cy="2862059"/>
                    </a:xfrm>
                    <a:prstGeom prst="rect">
                      <a:avLst/>
                    </a:prstGeom>
                    <a:noFill/>
                    <a:ln w="3175">
                      <a:solidFill>
                        <a:schemeClr val="tx1"/>
                      </a:solidFill>
                      <a:miter lim="800000"/>
                      <a:headEnd/>
                      <a:tailEnd/>
                    </a:ln>
                  </pic:spPr>
                </pic:pic>
              </a:graphicData>
            </a:graphic>
          </wp:inline>
        </w:drawing>
      </w:r>
    </w:p>
    <w:p w:rsidR="00D2141F" w:rsidRPr="00BB32AC" w:rsidRDefault="00D2141F" w:rsidP="00D2141F">
      <w:pPr>
        <w:keepNext/>
        <w:keepLines/>
        <w:spacing w:before="120" w:after="80" w:line="240" w:lineRule="auto"/>
        <w:ind w:left="540" w:right="540"/>
        <w:rPr>
          <w:rFonts w:asciiTheme="minorHAnsi" w:hAnsiTheme="minorHAnsi"/>
          <w:b/>
          <w:bCs/>
          <w:szCs w:val="18"/>
        </w:rPr>
      </w:pPr>
      <w:bookmarkStart w:id="701" w:name="_Toc391985576"/>
      <w:r w:rsidRPr="005D52F4">
        <w:rPr>
          <w:rFonts w:asciiTheme="minorHAnsi" w:hAnsiTheme="minorHAnsi"/>
          <w:b/>
          <w:bCs/>
          <w:szCs w:val="18"/>
        </w:rPr>
        <w:t xml:space="preserve">Figure </w:t>
      </w:r>
      <w:r w:rsidR="00927965">
        <w:rPr>
          <w:rFonts w:asciiTheme="minorHAnsi" w:hAnsiTheme="minorHAnsi"/>
          <w:b/>
          <w:bCs/>
          <w:szCs w:val="18"/>
        </w:rPr>
        <w:fldChar w:fldCharType="begin"/>
      </w:r>
      <w:r w:rsidR="0011163E">
        <w:rPr>
          <w:rFonts w:asciiTheme="minorHAnsi" w:hAnsiTheme="minorHAnsi"/>
          <w:b/>
          <w:bCs/>
          <w:szCs w:val="18"/>
        </w:rPr>
        <w:instrText xml:space="preserve"> STYLEREF 1 \s </w:instrText>
      </w:r>
      <w:r w:rsidR="00927965">
        <w:rPr>
          <w:rFonts w:asciiTheme="minorHAnsi" w:hAnsiTheme="minorHAnsi"/>
          <w:b/>
          <w:bCs/>
          <w:szCs w:val="18"/>
        </w:rPr>
        <w:fldChar w:fldCharType="separate"/>
      </w:r>
      <w:r w:rsidR="00284CE3">
        <w:rPr>
          <w:rFonts w:asciiTheme="minorHAnsi" w:hAnsiTheme="minorHAnsi"/>
          <w:b/>
          <w:bCs/>
          <w:noProof/>
          <w:szCs w:val="18"/>
        </w:rPr>
        <w:t>6</w:t>
      </w:r>
      <w:r w:rsidR="00927965">
        <w:rPr>
          <w:rFonts w:asciiTheme="minorHAnsi" w:hAnsiTheme="minorHAnsi"/>
          <w:b/>
          <w:bCs/>
          <w:szCs w:val="18"/>
        </w:rPr>
        <w:fldChar w:fldCharType="end"/>
      </w:r>
      <w:r w:rsidR="0011163E">
        <w:rPr>
          <w:rFonts w:asciiTheme="minorHAnsi" w:hAnsiTheme="minorHAnsi"/>
          <w:b/>
          <w:bCs/>
          <w:szCs w:val="18"/>
        </w:rPr>
        <w:noBreakHyphen/>
      </w:r>
      <w:r w:rsidR="00927965">
        <w:rPr>
          <w:rFonts w:asciiTheme="minorHAnsi" w:hAnsiTheme="minorHAnsi"/>
          <w:b/>
          <w:bCs/>
          <w:szCs w:val="18"/>
        </w:rPr>
        <w:fldChar w:fldCharType="begin"/>
      </w:r>
      <w:r w:rsidR="0011163E">
        <w:rPr>
          <w:rFonts w:asciiTheme="minorHAnsi" w:hAnsiTheme="minorHAnsi"/>
          <w:b/>
          <w:bCs/>
          <w:szCs w:val="18"/>
        </w:rPr>
        <w:instrText xml:space="preserve"> SEQ Figure \* ARABIC \s 1 </w:instrText>
      </w:r>
      <w:r w:rsidR="00927965">
        <w:rPr>
          <w:rFonts w:asciiTheme="minorHAnsi" w:hAnsiTheme="minorHAnsi"/>
          <w:b/>
          <w:bCs/>
          <w:szCs w:val="18"/>
        </w:rPr>
        <w:fldChar w:fldCharType="separate"/>
      </w:r>
      <w:r w:rsidR="00284CE3">
        <w:rPr>
          <w:rFonts w:asciiTheme="minorHAnsi" w:hAnsiTheme="minorHAnsi"/>
          <w:b/>
          <w:bCs/>
          <w:noProof/>
          <w:szCs w:val="18"/>
        </w:rPr>
        <w:t>1</w:t>
      </w:r>
      <w:r w:rsidR="00927965">
        <w:rPr>
          <w:rFonts w:asciiTheme="minorHAnsi" w:hAnsiTheme="minorHAnsi"/>
          <w:b/>
          <w:bCs/>
          <w:szCs w:val="18"/>
        </w:rPr>
        <w:fldChar w:fldCharType="end"/>
      </w:r>
      <w:r w:rsidRPr="005D52F4">
        <w:rPr>
          <w:rFonts w:asciiTheme="minorHAnsi" w:hAnsiTheme="minorHAnsi"/>
          <w:b/>
          <w:bCs/>
          <w:szCs w:val="18"/>
        </w:rPr>
        <w:t xml:space="preserve">: New England’s </w:t>
      </w:r>
      <w:r>
        <w:rPr>
          <w:rFonts w:asciiTheme="minorHAnsi" w:hAnsiTheme="minorHAnsi"/>
          <w:b/>
          <w:bCs/>
          <w:szCs w:val="18"/>
        </w:rPr>
        <w:t xml:space="preserve">summer seasonal claimed capability </w:t>
      </w:r>
      <w:r w:rsidRPr="005D52F4">
        <w:rPr>
          <w:rFonts w:asciiTheme="minorHAnsi" w:hAnsiTheme="minorHAnsi"/>
          <w:b/>
          <w:bCs/>
          <w:szCs w:val="18"/>
        </w:rPr>
        <w:t>and electric energy production by fuel type for 2013.</w:t>
      </w:r>
      <w:bookmarkEnd w:id="701"/>
    </w:p>
    <w:p w:rsidR="00D2141F" w:rsidRPr="001F1A28" w:rsidRDefault="0028427D" w:rsidP="0066132A">
      <w:pPr>
        <w:keepNext/>
        <w:keepLines/>
        <w:spacing w:after="80" w:line="240" w:lineRule="auto"/>
        <w:ind w:left="540" w:right="450"/>
        <w:rPr>
          <w:rFonts w:asciiTheme="minorHAnsi" w:hAnsiTheme="minorHAnsi"/>
          <w:bCs/>
          <w:sz w:val="16"/>
          <w:szCs w:val="16"/>
        </w:rPr>
      </w:pPr>
      <w:r w:rsidRPr="001F1A28">
        <w:rPr>
          <w:rFonts w:asciiTheme="minorHAnsi" w:hAnsiTheme="minorHAnsi"/>
          <w:b/>
          <w:bCs/>
          <w:sz w:val="16"/>
          <w:szCs w:val="16"/>
        </w:rPr>
        <w:t>Note:</w:t>
      </w:r>
      <w:r w:rsidRPr="001F1A28">
        <w:rPr>
          <w:rFonts w:asciiTheme="minorHAnsi" w:hAnsiTheme="minorHAnsi"/>
          <w:bCs/>
          <w:sz w:val="16"/>
          <w:szCs w:val="16"/>
        </w:rPr>
        <w:t xml:space="preserve"> The capacity and energy statistics illustrated in the figure </w:t>
      </w:r>
      <w:r w:rsidR="00B617E0" w:rsidRPr="001F1A28">
        <w:rPr>
          <w:rFonts w:asciiTheme="minorHAnsi" w:hAnsiTheme="minorHAnsi"/>
          <w:bCs/>
          <w:sz w:val="16"/>
          <w:szCs w:val="16"/>
        </w:rPr>
        <w:t xml:space="preserve">exclude the </w:t>
      </w:r>
      <w:r w:rsidRPr="001F1A28">
        <w:rPr>
          <w:rFonts w:asciiTheme="minorHAnsi" w:hAnsiTheme="minorHAnsi"/>
          <w:bCs/>
          <w:sz w:val="16"/>
          <w:szCs w:val="16"/>
        </w:rPr>
        <w:t xml:space="preserve">capacity and energy associated with imports </w:t>
      </w:r>
      <w:r w:rsidR="00B617E0" w:rsidRPr="001F1A28">
        <w:rPr>
          <w:rFonts w:asciiTheme="minorHAnsi" w:hAnsiTheme="minorHAnsi"/>
          <w:bCs/>
          <w:sz w:val="16"/>
          <w:szCs w:val="16"/>
        </w:rPr>
        <w:t>and</w:t>
      </w:r>
      <w:r w:rsidRPr="001F1A28">
        <w:rPr>
          <w:rFonts w:asciiTheme="minorHAnsi" w:hAnsiTheme="minorHAnsi"/>
          <w:bCs/>
          <w:sz w:val="16"/>
          <w:szCs w:val="16"/>
        </w:rPr>
        <w:t xml:space="preserve"> </w:t>
      </w:r>
      <w:r w:rsidR="00D431C1" w:rsidRPr="001F1A28">
        <w:rPr>
          <w:rFonts w:asciiTheme="minorHAnsi" w:hAnsiTheme="minorHAnsi"/>
          <w:bCs/>
          <w:sz w:val="16"/>
          <w:szCs w:val="16"/>
        </w:rPr>
        <w:t>behind-the-meter generation</w:t>
      </w:r>
      <w:r w:rsidRPr="001F1A28">
        <w:rPr>
          <w:rFonts w:asciiTheme="minorHAnsi" w:hAnsiTheme="minorHAnsi"/>
          <w:bCs/>
          <w:sz w:val="16"/>
          <w:szCs w:val="16"/>
        </w:rPr>
        <w:t xml:space="preserve"> </w:t>
      </w:r>
      <w:r w:rsidR="00D431C1" w:rsidRPr="001F1A28">
        <w:rPr>
          <w:rFonts w:asciiTheme="minorHAnsi" w:hAnsiTheme="minorHAnsi"/>
          <w:bCs/>
          <w:color w:val="000000" w:themeColor="text1"/>
          <w:sz w:val="16"/>
          <w:szCs w:val="16"/>
        </w:rPr>
        <w:t>not registered</w:t>
      </w:r>
      <w:r w:rsidRPr="001F1A28">
        <w:rPr>
          <w:rFonts w:asciiTheme="minorHAnsi" w:hAnsiTheme="minorHAnsi"/>
          <w:bCs/>
          <w:sz w:val="16"/>
          <w:szCs w:val="16"/>
        </w:rPr>
        <w:t xml:space="preserve"> in the region’s wholesale energy market</w:t>
      </w:r>
      <w:r w:rsidR="008A36C0" w:rsidRPr="001F1A28">
        <w:rPr>
          <w:rFonts w:asciiTheme="minorHAnsi" w:hAnsiTheme="minorHAnsi"/>
          <w:bCs/>
          <w:sz w:val="16"/>
          <w:szCs w:val="16"/>
        </w:rPr>
        <w:t>s</w:t>
      </w:r>
      <w:r w:rsidRPr="001F1A28">
        <w:rPr>
          <w:rFonts w:asciiTheme="minorHAnsi" w:hAnsiTheme="minorHAnsi"/>
          <w:bCs/>
          <w:sz w:val="16"/>
          <w:szCs w:val="16"/>
        </w:rPr>
        <w:t>. In 2013, the NEL was 129,377</w:t>
      </w:r>
      <w:r w:rsidR="0066132A">
        <w:rPr>
          <w:rFonts w:asciiTheme="minorHAnsi" w:hAnsiTheme="minorHAnsi"/>
          <w:bCs/>
          <w:sz w:val="16"/>
          <w:szCs w:val="16"/>
        </w:rPr>
        <w:t> </w:t>
      </w:r>
      <w:proofErr w:type="spellStart"/>
      <w:r w:rsidRPr="001F1A28">
        <w:rPr>
          <w:rFonts w:asciiTheme="minorHAnsi" w:hAnsiTheme="minorHAnsi"/>
          <w:bCs/>
          <w:sz w:val="16"/>
          <w:szCs w:val="16"/>
        </w:rPr>
        <w:t>GWh</w:t>
      </w:r>
      <w:proofErr w:type="spellEnd"/>
      <w:r w:rsidRPr="001F1A28">
        <w:rPr>
          <w:rFonts w:asciiTheme="minorHAnsi" w:hAnsiTheme="minorHAnsi"/>
          <w:bCs/>
          <w:sz w:val="16"/>
          <w:szCs w:val="16"/>
        </w:rPr>
        <w:t xml:space="preserve">, pumped storage consumed an additional of 1,624 </w:t>
      </w:r>
      <w:proofErr w:type="spellStart"/>
      <w:r w:rsidRPr="001F1A28">
        <w:rPr>
          <w:rFonts w:asciiTheme="minorHAnsi" w:hAnsiTheme="minorHAnsi"/>
          <w:bCs/>
          <w:sz w:val="16"/>
          <w:szCs w:val="16"/>
        </w:rPr>
        <w:t>GWh</w:t>
      </w:r>
      <w:proofErr w:type="spellEnd"/>
      <w:r w:rsidRPr="001F1A28">
        <w:rPr>
          <w:rFonts w:asciiTheme="minorHAnsi" w:hAnsiTheme="minorHAnsi"/>
          <w:bCs/>
          <w:sz w:val="16"/>
          <w:szCs w:val="16"/>
        </w:rPr>
        <w:t>, and the net imports into the region were 18,961 </w:t>
      </w:r>
      <w:proofErr w:type="spellStart"/>
      <w:r w:rsidRPr="001F1A28">
        <w:rPr>
          <w:rFonts w:asciiTheme="minorHAnsi" w:hAnsiTheme="minorHAnsi"/>
          <w:bCs/>
          <w:sz w:val="16"/>
          <w:szCs w:val="16"/>
        </w:rPr>
        <w:t>GWh</w:t>
      </w:r>
      <w:proofErr w:type="spellEnd"/>
      <w:r w:rsidRPr="001F1A28">
        <w:rPr>
          <w:rFonts w:asciiTheme="minorHAnsi" w:hAnsiTheme="minorHAnsi"/>
          <w:bCs/>
          <w:sz w:val="16"/>
          <w:szCs w:val="16"/>
        </w:rPr>
        <w:t xml:space="preserve">. </w:t>
      </w:r>
    </w:p>
    <w:p w:rsidR="00D2141F" w:rsidRPr="001F1A28" w:rsidRDefault="00D2141F" w:rsidP="0066132A">
      <w:pPr>
        <w:keepNext/>
        <w:keepLines/>
        <w:spacing w:line="240" w:lineRule="auto"/>
        <w:ind w:left="540" w:right="450"/>
        <w:rPr>
          <w:rFonts w:asciiTheme="minorHAnsi" w:hAnsiTheme="minorHAnsi"/>
          <w:bCs/>
          <w:sz w:val="16"/>
          <w:szCs w:val="16"/>
        </w:rPr>
      </w:pPr>
      <w:r w:rsidRPr="001F1A28">
        <w:rPr>
          <w:rFonts w:asciiTheme="minorHAnsi" w:hAnsiTheme="minorHAnsi"/>
          <w:b/>
          <w:bCs/>
          <w:sz w:val="16"/>
          <w:szCs w:val="16"/>
        </w:rPr>
        <w:t>Sources:</w:t>
      </w:r>
      <w:r w:rsidRPr="001F1A28">
        <w:rPr>
          <w:rFonts w:asciiTheme="minorHAnsi" w:hAnsiTheme="minorHAnsi"/>
          <w:bCs/>
          <w:sz w:val="16"/>
          <w:szCs w:val="16"/>
        </w:rPr>
        <w:t xml:space="preserve"> The capacity data are RSP13 data and the same as 2013 CELT Report data (</w:t>
      </w:r>
      <w:hyperlink r:id="rId53" w:history="1">
        <w:r w:rsidR="005D7686" w:rsidRPr="001F1A28">
          <w:rPr>
            <w:rStyle w:val="Hyperlink"/>
            <w:rFonts w:asciiTheme="minorHAnsi" w:hAnsiTheme="minorHAnsi"/>
            <w:sz w:val="16"/>
            <w:szCs w:val="16"/>
          </w:rPr>
          <w:t>http://www.iso-ne.com/static-assets/documents/trans/celt/report/2013/2013_celt_report.pdf</w:t>
        </w:r>
      </w:hyperlink>
      <w:r w:rsidRPr="001F1A28">
        <w:rPr>
          <w:rFonts w:asciiTheme="minorHAnsi" w:hAnsiTheme="minorHAnsi"/>
          <w:bCs/>
          <w:sz w:val="16"/>
          <w:szCs w:val="16"/>
        </w:rPr>
        <w:t xml:space="preserve">). The energy data </w:t>
      </w:r>
      <w:proofErr w:type="gramStart"/>
      <w:r w:rsidRPr="001F1A28">
        <w:rPr>
          <w:rFonts w:asciiTheme="minorHAnsi" w:hAnsiTheme="minorHAnsi"/>
          <w:bCs/>
          <w:sz w:val="16"/>
          <w:szCs w:val="16"/>
        </w:rPr>
        <w:t>are based</w:t>
      </w:r>
      <w:proofErr w:type="gramEnd"/>
      <w:r w:rsidRPr="001F1A28">
        <w:rPr>
          <w:rFonts w:asciiTheme="minorHAnsi" w:hAnsiTheme="minorHAnsi"/>
          <w:bCs/>
          <w:sz w:val="16"/>
          <w:szCs w:val="16"/>
        </w:rPr>
        <w:t xml:space="preserve"> on the March 1, 2014, 90-day resettlement of total electric energy production for 2013.</w:t>
      </w:r>
    </w:p>
    <w:p w:rsidR="00D2141F" w:rsidRDefault="00D2141F" w:rsidP="00D2141F">
      <w:r w:rsidRPr="00681A39">
        <w:rPr>
          <w:rFonts w:asciiTheme="majorHAnsi" w:eastAsia="Times New Roman" w:hAnsiTheme="majorHAnsi"/>
        </w:rPr>
        <w:t>The future fuel mix of the region will show continued dependence on natural-gas-fired generation and</w:t>
      </w:r>
      <w:r w:rsidRPr="00217BF0">
        <w:rPr>
          <w:rFonts w:asciiTheme="majorHAnsi" w:eastAsia="Times New Roman" w:hAnsiTheme="majorHAnsi"/>
        </w:rPr>
        <w:t xml:space="preserve"> the </w:t>
      </w:r>
      <w:r w:rsidRPr="00F1378E">
        <w:rPr>
          <w:rFonts w:asciiTheme="majorHAnsi" w:eastAsia="Times New Roman" w:hAnsiTheme="majorHAnsi"/>
        </w:rPr>
        <w:t>addition of intermittent renewable resources</w:t>
      </w:r>
      <w:r w:rsidRPr="002C05A1">
        <w:rPr>
          <w:rFonts w:asciiTheme="majorHAnsi" w:eastAsia="Times New Roman" w:hAnsiTheme="majorHAnsi"/>
        </w:rPr>
        <w:t>. Recent FCM auction results have shown the retirement of coal- and oil-fired generators in the region</w:t>
      </w:r>
      <w:r>
        <w:rPr>
          <w:rFonts w:asciiTheme="majorHAnsi" w:eastAsia="Times New Roman" w:hAnsiTheme="majorHAnsi"/>
        </w:rPr>
        <w:t xml:space="preserve"> and</w:t>
      </w:r>
      <w:r w:rsidRPr="002C05A1">
        <w:rPr>
          <w:rFonts w:asciiTheme="majorHAnsi" w:eastAsia="Times New Roman" w:hAnsiTheme="majorHAnsi"/>
        </w:rPr>
        <w:t xml:space="preserve"> </w:t>
      </w:r>
      <w:r>
        <w:rPr>
          <w:rFonts w:asciiTheme="majorHAnsi" w:eastAsia="Times New Roman" w:hAnsiTheme="majorHAnsi"/>
        </w:rPr>
        <w:t>the loss of the Vermont Yankee nucle</w:t>
      </w:r>
      <w:r w:rsidRPr="002C05A1">
        <w:rPr>
          <w:rFonts w:asciiTheme="majorHAnsi" w:eastAsia="Times New Roman" w:hAnsiTheme="majorHAnsi"/>
        </w:rPr>
        <w:t>a</w:t>
      </w:r>
      <w:r>
        <w:rPr>
          <w:rFonts w:asciiTheme="majorHAnsi" w:eastAsia="Times New Roman" w:hAnsiTheme="majorHAnsi"/>
        </w:rPr>
        <w:t>r plant</w:t>
      </w:r>
      <w:r w:rsidRPr="002C05A1">
        <w:rPr>
          <w:rFonts w:asciiTheme="majorHAnsi" w:eastAsia="Times New Roman" w:hAnsiTheme="majorHAnsi"/>
        </w:rPr>
        <w:t>.</w:t>
      </w:r>
      <w:r w:rsidRPr="002C05A1">
        <w:rPr>
          <w:rFonts w:eastAsia="Times New Roman"/>
          <w:vertAlign w:val="superscript"/>
        </w:rPr>
        <w:footnoteReference w:id="256"/>
      </w:r>
      <w:r w:rsidRPr="002C05A1">
        <w:rPr>
          <w:rFonts w:asciiTheme="majorHAnsi" w:eastAsia="Times New Roman" w:hAnsiTheme="majorHAnsi"/>
        </w:rPr>
        <w:t xml:space="preserve"> As </w:t>
      </w:r>
      <w:r w:rsidRPr="00681A39">
        <w:rPr>
          <w:rFonts w:asciiTheme="majorHAnsi" w:eastAsia="Times New Roman" w:hAnsiTheme="majorHAnsi"/>
        </w:rPr>
        <w:t>additional</w:t>
      </w:r>
      <w:r w:rsidRPr="002C05A1">
        <w:rPr>
          <w:rFonts w:asciiTheme="majorHAnsi" w:eastAsia="Times New Roman" w:hAnsiTheme="majorHAnsi"/>
        </w:rPr>
        <w:t xml:space="preserve"> generators retire, units in the ISO Generator Interconnection Queue,</w:t>
      </w:r>
      <w:r w:rsidRPr="00370AEC">
        <w:rPr>
          <w:rFonts w:asciiTheme="majorHAnsi" w:eastAsia="Times New Roman" w:hAnsiTheme="majorHAnsi"/>
        </w:rPr>
        <w:t xml:space="preserve"> which primarily </w:t>
      </w:r>
      <w:r>
        <w:rPr>
          <w:rFonts w:asciiTheme="majorHAnsi" w:eastAsia="Times New Roman" w:hAnsiTheme="majorHAnsi"/>
        </w:rPr>
        <w:t>are</w:t>
      </w:r>
      <w:r w:rsidRPr="00370AEC">
        <w:rPr>
          <w:rFonts w:asciiTheme="majorHAnsi" w:eastAsia="Times New Roman" w:hAnsiTheme="majorHAnsi"/>
        </w:rPr>
        <w:t xml:space="preserve"> </w:t>
      </w:r>
      <w:r w:rsidRPr="005A6039">
        <w:rPr>
          <w:rFonts w:asciiTheme="majorHAnsi" w:eastAsia="Times New Roman" w:hAnsiTheme="majorHAnsi"/>
        </w:rPr>
        <w:t>natural-gas-fired generation and wind resources (see Section </w:t>
      </w:r>
      <w:fldSimple w:instr=" REF _Ref329080869 \r \h  \* MERGEFORMAT ">
        <w:r w:rsidR="00284CE3" w:rsidRPr="00284CE3">
          <w:rPr>
            <w:rFonts w:asciiTheme="majorHAnsi" w:eastAsia="Times New Roman" w:hAnsiTheme="majorHAnsi"/>
          </w:rPr>
          <w:t>4.5.2</w:t>
        </w:r>
      </w:fldSimple>
      <w:r w:rsidRPr="005A6039">
        <w:rPr>
          <w:rFonts w:asciiTheme="majorHAnsi" w:eastAsia="Times New Roman" w:hAnsiTheme="majorHAnsi"/>
        </w:rPr>
        <w:t>)</w:t>
      </w:r>
      <w:r w:rsidR="0007263D">
        <w:rPr>
          <w:rFonts w:asciiTheme="majorHAnsi" w:eastAsia="Times New Roman" w:hAnsiTheme="majorHAnsi"/>
        </w:rPr>
        <w:t>,</w:t>
      </w:r>
      <w:r w:rsidRPr="005A6039">
        <w:rPr>
          <w:rFonts w:asciiTheme="majorHAnsi" w:eastAsia="Times New Roman" w:hAnsiTheme="majorHAnsi"/>
        </w:rPr>
        <w:t xml:space="preserve"> will likely replace them. </w:t>
      </w:r>
      <w:r w:rsidRPr="005A6039">
        <w:t>Further</w:t>
      </w:r>
      <w:r w:rsidRPr="001225AC">
        <w:t xml:space="preserve"> </w:t>
      </w:r>
      <w:r w:rsidRPr="00681A39">
        <w:t>increases in the use of natural-gas-fired generation will likely occur, resulting from the loss of other types</w:t>
      </w:r>
      <w:r w:rsidRPr="001225AC">
        <w:t xml:space="preserve"> of generation subject to risks, such as nuclear and hydro units that </w:t>
      </w:r>
      <w:proofErr w:type="gramStart"/>
      <w:r w:rsidRPr="001225AC">
        <w:t>may not be relicensed</w:t>
      </w:r>
      <w:proofErr w:type="gramEnd"/>
      <w:r w:rsidRPr="001225AC">
        <w:t xml:space="preserve">. </w:t>
      </w:r>
      <w:r w:rsidRPr="001225AC">
        <w:rPr>
          <w:rFonts w:asciiTheme="majorHAnsi" w:eastAsia="Times New Roman" w:hAnsiTheme="majorHAnsi"/>
        </w:rPr>
        <w:t>The</w:t>
      </w:r>
      <w:r w:rsidRPr="00993828">
        <w:rPr>
          <w:rFonts w:asciiTheme="majorHAnsi" w:eastAsia="Times New Roman" w:hAnsiTheme="majorHAnsi"/>
        </w:rPr>
        <w:t xml:space="preserve"> </w:t>
      </w:r>
      <w:r w:rsidRPr="00016593">
        <w:rPr>
          <w:rFonts w:asciiTheme="majorHAnsi" w:eastAsia="Times New Roman" w:hAnsiTheme="majorHAnsi"/>
        </w:rPr>
        <w:t>regi</w:t>
      </w:r>
      <w:r w:rsidRPr="00370AEC">
        <w:rPr>
          <w:rFonts w:asciiTheme="majorHAnsi" w:eastAsia="Times New Roman" w:hAnsiTheme="majorHAnsi"/>
        </w:rPr>
        <w:t xml:space="preserve">on also </w:t>
      </w:r>
      <w:r>
        <w:rPr>
          <w:rFonts w:asciiTheme="majorHAnsi" w:eastAsia="Times New Roman" w:hAnsiTheme="majorHAnsi"/>
        </w:rPr>
        <w:t xml:space="preserve">is </w:t>
      </w:r>
      <w:r w:rsidRPr="00370AEC">
        <w:rPr>
          <w:rFonts w:asciiTheme="majorHAnsi" w:eastAsia="Times New Roman" w:hAnsiTheme="majorHAnsi"/>
        </w:rPr>
        <w:t xml:space="preserve">beginning to experience the addition of </w:t>
      </w:r>
      <w:r>
        <w:rPr>
          <w:rFonts w:asciiTheme="majorHAnsi" w:eastAsia="Times New Roman" w:hAnsiTheme="majorHAnsi"/>
        </w:rPr>
        <w:t>wind</w:t>
      </w:r>
      <w:r w:rsidR="00E643C5">
        <w:rPr>
          <w:rFonts w:asciiTheme="majorHAnsi" w:eastAsia="Times New Roman" w:hAnsiTheme="majorHAnsi"/>
        </w:rPr>
        <w:t>-</w:t>
      </w:r>
      <w:r>
        <w:rPr>
          <w:rFonts w:asciiTheme="majorHAnsi" w:eastAsia="Times New Roman" w:hAnsiTheme="majorHAnsi"/>
        </w:rPr>
        <w:t xml:space="preserve">powered generation and </w:t>
      </w:r>
      <w:r w:rsidRPr="00370AEC">
        <w:rPr>
          <w:rFonts w:asciiTheme="majorHAnsi" w:eastAsia="Times New Roman" w:hAnsiTheme="majorHAnsi"/>
        </w:rPr>
        <w:t xml:space="preserve">photovoltaic </w:t>
      </w:r>
      <w:r>
        <w:rPr>
          <w:rFonts w:asciiTheme="majorHAnsi" w:eastAsia="Times New Roman" w:hAnsiTheme="majorHAnsi"/>
        </w:rPr>
        <w:t xml:space="preserve">(PV) </w:t>
      </w:r>
      <w:r w:rsidRPr="00370AEC">
        <w:rPr>
          <w:rFonts w:asciiTheme="majorHAnsi" w:eastAsia="Times New Roman" w:hAnsiTheme="majorHAnsi"/>
        </w:rPr>
        <w:t>resources, and future growth is expected.</w:t>
      </w:r>
      <w:r w:rsidRPr="00E52B20">
        <w:t xml:space="preserve"> </w:t>
      </w:r>
    </w:p>
    <w:p w:rsidR="00D2141F" w:rsidRDefault="00927965" w:rsidP="00D2141F">
      <w:r>
        <w:fldChar w:fldCharType="begin"/>
      </w:r>
      <w:r w:rsidR="004D0255">
        <w:instrText xml:space="preserve"> REF _Ref389733631 \h </w:instrText>
      </w:r>
      <w:r>
        <w:fldChar w:fldCharType="separate"/>
      </w:r>
      <w:r w:rsidR="00284CE3">
        <w:t xml:space="preserve">Figure </w:t>
      </w:r>
      <w:r w:rsidR="00284CE3">
        <w:rPr>
          <w:noProof/>
        </w:rPr>
        <w:t>6</w:t>
      </w:r>
      <w:r w:rsidR="00284CE3">
        <w:noBreakHyphen/>
      </w:r>
      <w:r w:rsidR="00284CE3">
        <w:rPr>
          <w:noProof/>
        </w:rPr>
        <w:t>2</w:t>
      </w:r>
      <w:r>
        <w:fldChar w:fldCharType="end"/>
      </w:r>
      <w:r w:rsidR="00D2141F">
        <w:t xml:space="preserve"> shows the expected regional resource capacity mix for 2014, 2017, and 2023. As indicated, natural gas-fired generation</w:t>
      </w:r>
      <w:r w:rsidR="00872D52">
        <w:t xml:space="preserve"> in the capacity mix </w:t>
      </w:r>
      <w:proofErr w:type="gramStart"/>
      <w:r w:rsidR="00D2141F">
        <w:t>is expected</w:t>
      </w:r>
      <w:proofErr w:type="gramEnd"/>
      <w:r w:rsidR="00D2141F">
        <w:t xml:space="preserve"> to grow from </w:t>
      </w:r>
      <w:r w:rsidR="00D2141F" w:rsidRPr="00AD7B29">
        <w:t>43%</w:t>
      </w:r>
      <w:r w:rsidR="00D2141F">
        <w:t xml:space="preserve"> from summer 2014 </w:t>
      </w:r>
      <w:r w:rsidR="00D2141F" w:rsidRPr="00AD7B29">
        <w:t>to 52%</w:t>
      </w:r>
      <w:r w:rsidR="00D2141F">
        <w:t xml:space="preserve"> in 2023. In addition, public policies are encouraging the development of distributed resources, such as distributed generation, active demand response, and energy efficiency. </w:t>
      </w:r>
    </w:p>
    <w:p w:rsidR="00D2141F" w:rsidRDefault="00D2141F" w:rsidP="00D2141F">
      <w:pPr>
        <w:spacing w:after="0" w:line="240" w:lineRule="auto"/>
        <w:jc w:val="center"/>
      </w:pPr>
      <w:r w:rsidRPr="00D1434B">
        <w:rPr>
          <w:noProof/>
        </w:rPr>
        <w:drawing>
          <wp:inline distT="0" distB="0" distL="0" distR="0">
            <wp:extent cx="4568267" cy="3280741"/>
            <wp:effectExtent l="19050" t="19050" r="22783" b="14909"/>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4569591" cy="3281692"/>
                    </a:xfrm>
                    <a:prstGeom prst="rect">
                      <a:avLst/>
                    </a:prstGeom>
                    <a:noFill/>
                    <a:ln w="3175">
                      <a:solidFill>
                        <a:schemeClr val="tx1"/>
                      </a:solidFill>
                      <a:miter lim="800000"/>
                      <a:headEnd/>
                      <a:tailEnd/>
                    </a:ln>
                  </pic:spPr>
                </pic:pic>
              </a:graphicData>
            </a:graphic>
          </wp:inline>
        </w:drawing>
      </w:r>
    </w:p>
    <w:p w:rsidR="00B9155E" w:rsidRDefault="00D2141F">
      <w:pPr>
        <w:pStyle w:val="Caption-Figure"/>
        <w:spacing w:after="80"/>
        <w:ind w:left="907" w:right="907"/>
      </w:pPr>
      <w:bookmarkStart w:id="702" w:name="_Ref389733631"/>
      <w:bookmarkStart w:id="703" w:name="_Toc391985577"/>
      <w:r>
        <w:t xml:space="preserve">Figure </w:t>
      </w:r>
      <w:r w:rsidR="00927965">
        <w:fldChar w:fldCharType="begin"/>
      </w:r>
      <w:r w:rsidR="0011163E">
        <w:instrText xml:space="preserve"> STYLEREF 1 \s </w:instrText>
      </w:r>
      <w:r w:rsidR="00927965">
        <w:fldChar w:fldCharType="separate"/>
      </w:r>
      <w:r w:rsidR="00284CE3">
        <w:rPr>
          <w:noProof/>
        </w:rPr>
        <w:t>6</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2</w:t>
      </w:r>
      <w:r w:rsidR="00927965">
        <w:fldChar w:fldCharType="end"/>
      </w:r>
      <w:bookmarkEnd w:id="702"/>
      <w:r w:rsidR="00065349">
        <w:t>:</w:t>
      </w:r>
      <w:r w:rsidRPr="000E278C">
        <w:t xml:space="preserve"> Generating </w:t>
      </w:r>
      <w:r>
        <w:t>r</w:t>
      </w:r>
      <w:r w:rsidRPr="000E278C">
        <w:t>esource</w:t>
      </w:r>
      <w:r>
        <w:t xml:space="preserve"> summer capability </w:t>
      </w:r>
      <w:r w:rsidRPr="000E278C">
        <w:t xml:space="preserve">by </w:t>
      </w:r>
      <w:r>
        <w:t>f</w:t>
      </w:r>
      <w:r w:rsidRPr="000E278C">
        <w:t xml:space="preserve">uel </w:t>
      </w:r>
      <w:r>
        <w:t>t</w:t>
      </w:r>
      <w:r w:rsidRPr="000E278C">
        <w:t xml:space="preserve">ype based on the 2014 CELT Report and the </w:t>
      </w:r>
      <w:r>
        <w:t>i</w:t>
      </w:r>
      <w:r w:rsidRPr="000E278C">
        <w:t xml:space="preserve">nterconnection </w:t>
      </w:r>
      <w:r>
        <w:t>q</w:t>
      </w:r>
      <w:r w:rsidRPr="000E278C">
        <w:t>ueue</w:t>
      </w:r>
      <w:r>
        <w:t xml:space="preserve"> (MW, %)</w:t>
      </w:r>
      <w:r w:rsidRPr="000E278C">
        <w:t>.</w:t>
      </w:r>
      <w:bookmarkEnd w:id="703"/>
      <w:r w:rsidRPr="000E278C">
        <w:t xml:space="preserve"> </w:t>
      </w:r>
    </w:p>
    <w:p w:rsidR="00D2141F" w:rsidRPr="001F1A28" w:rsidRDefault="00132472" w:rsidP="00D2141F">
      <w:pPr>
        <w:spacing w:line="240" w:lineRule="auto"/>
        <w:ind w:left="900" w:right="900"/>
        <w:rPr>
          <w:rFonts w:asciiTheme="minorHAnsi" w:eastAsia="Times New Roman" w:hAnsiTheme="minorHAnsi"/>
          <w:sz w:val="16"/>
          <w:szCs w:val="16"/>
        </w:rPr>
      </w:pPr>
      <w:r w:rsidRPr="001F1A28">
        <w:rPr>
          <w:rFonts w:asciiTheme="minorHAnsi" w:eastAsia="Times New Roman" w:hAnsiTheme="minorHAnsi"/>
          <w:b/>
          <w:sz w:val="16"/>
          <w:szCs w:val="16"/>
        </w:rPr>
        <w:t>Note:</w:t>
      </w:r>
      <w:r w:rsidRPr="001F1A28">
        <w:rPr>
          <w:rFonts w:asciiTheme="minorHAnsi" w:eastAsia="Times New Roman" w:hAnsiTheme="minorHAnsi"/>
          <w:sz w:val="16"/>
          <w:szCs w:val="16"/>
        </w:rPr>
        <w:t xml:space="preserve"> The 2014 values reflect the seasonal claimed capability of generating resources in the 2014 CELT </w:t>
      </w:r>
      <w:r w:rsidR="00AC460A" w:rsidRPr="001F1A28">
        <w:rPr>
          <w:rFonts w:asciiTheme="minorHAnsi" w:eastAsia="Times New Roman" w:hAnsiTheme="minorHAnsi"/>
          <w:sz w:val="16"/>
          <w:szCs w:val="16"/>
        </w:rPr>
        <w:t>R</w:t>
      </w:r>
      <w:r w:rsidRPr="001F1A28">
        <w:rPr>
          <w:rFonts w:asciiTheme="minorHAnsi" w:eastAsia="Times New Roman" w:hAnsiTheme="minorHAnsi"/>
          <w:sz w:val="16"/>
          <w:szCs w:val="16"/>
        </w:rPr>
        <w:t xml:space="preserve">eport. The 2017 capacity reflects the qualified capacity of new resources cleared in the </w:t>
      </w:r>
      <w:r w:rsidR="00230D85" w:rsidRPr="001F1A28">
        <w:rPr>
          <w:rFonts w:asciiTheme="minorHAnsi" w:eastAsia="Times New Roman" w:hAnsiTheme="minorHAnsi"/>
          <w:sz w:val="16"/>
          <w:szCs w:val="16"/>
        </w:rPr>
        <w:t>FCA </w:t>
      </w:r>
      <w:r w:rsidRPr="001F1A28">
        <w:rPr>
          <w:rFonts w:asciiTheme="minorHAnsi" w:eastAsia="Times New Roman" w:hAnsiTheme="minorHAnsi"/>
          <w:sz w:val="16"/>
          <w:szCs w:val="16"/>
        </w:rPr>
        <w:t xml:space="preserve">#8 (net of </w:t>
      </w:r>
      <w:proofErr w:type="spellStart"/>
      <w:r w:rsidRPr="001F1A28">
        <w:rPr>
          <w:rFonts w:asciiTheme="minorHAnsi" w:eastAsia="Times New Roman" w:hAnsiTheme="minorHAnsi"/>
          <w:sz w:val="16"/>
          <w:szCs w:val="16"/>
        </w:rPr>
        <w:t>nonprice</w:t>
      </w:r>
      <w:proofErr w:type="spellEnd"/>
      <w:r w:rsidRPr="001F1A28">
        <w:rPr>
          <w:rFonts w:asciiTheme="minorHAnsi" w:eastAsia="Times New Roman" w:hAnsiTheme="minorHAnsi"/>
          <w:sz w:val="16"/>
          <w:szCs w:val="16"/>
        </w:rPr>
        <w:t xml:space="preserve"> retirements and </w:t>
      </w:r>
      <w:proofErr w:type="spellStart"/>
      <w:r w:rsidRPr="001F1A28">
        <w:rPr>
          <w:rFonts w:asciiTheme="minorHAnsi" w:eastAsia="Times New Roman" w:hAnsiTheme="minorHAnsi"/>
          <w:sz w:val="16"/>
          <w:szCs w:val="16"/>
        </w:rPr>
        <w:t>nonprice</w:t>
      </w:r>
      <w:proofErr w:type="spellEnd"/>
      <w:r w:rsidRPr="001F1A28">
        <w:rPr>
          <w:rFonts w:asciiTheme="minorHAnsi" w:eastAsia="Times New Roman" w:hAnsiTheme="minorHAnsi"/>
          <w:sz w:val="16"/>
          <w:szCs w:val="16"/>
        </w:rPr>
        <w:t xml:space="preserve"> retirement requests for coal, oil, nuclear, and a few NPRR</w:t>
      </w:r>
      <w:r w:rsidR="00236D2D" w:rsidRPr="001F1A28">
        <w:rPr>
          <w:rFonts w:asciiTheme="minorHAnsi" w:eastAsia="Times New Roman" w:hAnsiTheme="minorHAnsi"/>
          <w:sz w:val="16"/>
          <w:szCs w:val="16"/>
        </w:rPr>
        <w:t>s</w:t>
      </w:r>
      <w:r w:rsidRPr="001F1A28">
        <w:rPr>
          <w:rFonts w:asciiTheme="minorHAnsi" w:eastAsia="Times New Roman" w:hAnsiTheme="minorHAnsi"/>
          <w:sz w:val="16"/>
          <w:szCs w:val="16"/>
        </w:rPr>
        <w:t xml:space="preserve"> for hydro and natural gas resources). The 2017 capacity also reflects projects in the April 2014 ISO interconnection queue considered likely to develop. The 2023 capacity reflects the 2017 resources </w:t>
      </w:r>
      <w:proofErr w:type="gramStart"/>
      <w:r w:rsidRPr="001F1A28">
        <w:rPr>
          <w:rFonts w:asciiTheme="minorHAnsi" w:eastAsia="Times New Roman" w:hAnsiTheme="minorHAnsi"/>
          <w:sz w:val="16"/>
          <w:szCs w:val="16"/>
        </w:rPr>
        <w:t>plus</w:t>
      </w:r>
      <w:proofErr w:type="gramEnd"/>
      <w:r w:rsidRPr="001F1A28">
        <w:rPr>
          <w:rFonts w:asciiTheme="minorHAnsi" w:eastAsia="Times New Roman" w:hAnsiTheme="minorHAnsi"/>
          <w:sz w:val="16"/>
          <w:szCs w:val="16"/>
        </w:rPr>
        <w:t xml:space="preserve"> other resources proposed in the ISO queue as of April 2014. While not all resources in the ISO queue </w:t>
      </w:r>
      <w:proofErr w:type="gramStart"/>
      <w:r w:rsidRPr="001F1A28">
        <w:rPr>
          <w:rFonts w:asciiTheme="minorHAnsi" w:eastAsia="Times New Roman" w:hAnsiTheme="minorHAnsi"/>
          <w:sz w:val="16"/>
          <w:szCs w:val="16"/>
        </w:rPr>
        <w:t>are expected</w:t>
      </w:r>
      <w:proofErr w:type="gramEnd"/>
      <w:r w:rsidRPr="001F1A28">
        <w:rPr>
          <w:rFonts w:asciiTheme="minorHAnsi" w:eastAsia="Times New Roman" w:hAnsiTheme="minorHAnsi"/>
          <w:sz w:val="16"/>
          <w:szCs w:val="16"/>
        </w:rPr>
        <w:t xml:space="preserve"> to develop, the resources are representative of the types of resources that will likely develop in the region. The active resources in the queue consist primarily of natural gas and wind generating resources. The wind resources have been </w:t>
      </w:r>
      <w:proofErr w:type="spellStart"/>
      <w:r w:rsidRPr="001F1A28">
        <w:rPr>
          <w:rFonts w:asciiTheme="minorHAnsi" w:eastAsia="Times New Roman" w:hAnsiTheme="minorHAnsi"/>
          <w:sz w:val="16"/>
          <w:szCs w:val="16"/>
        </w:rPr>
        <w:t>derated</w:t>
      </w:r>
      <w:proofErr w:type="spellEnd"/>
      <w:r w:rsidRPr="001F1A28">
        <w:rPr>
          <w:rFonts w:asciiTheme="minorHAnsi" w:eastAsia="Times New Roman" w:hAnsiTheme="minorHAnsi"/>
          <w:sz w:val="16"/>
          <w:szCs w:val="16"/>
        </w:rPr>
        <w:t xml:space="preserve"> to reflect their on-peak ratings used in transmission planning studies (i.e., onshore wind generation is modeled at 5% of nameplate; offshore wind is modeled at 20% of nameplate). (See </w:t>
      </w:r>
      <w:r w:rsidR="00230D85" w:rsidRPr="001F1A28">
        <w:rPr>
          <w:rFonts w:asciiTheme="minorHAnsi" w:eastAsia="Times New Roman" w:hAnsiTheme="minorHAnsi"/>
          <w:sz w:val="16"/>
          <w:szCs w:val="16"/>
        </w:rPr>
        <w:t>Section </w:t>
      </w:r>
      <w:fldSimple w:instr=" REF _Ref388861471 \r \h  \* MERGEFORMAT ">
        <w:r w:rsidR="00284CE3" w:rsidRPr="00284CE3">
          <w:rPr>
            <w:rFonts w:asciiTheme="minorHAnsi" w:eastAsia="Times New Roman" w:hAnsiTheme="minorHAnsi"/>
            <w:sz w:val="16"/>
            <w:szCs w:val="16"/>
          </w:rPr>
          <w:t>7.1.6</w:t>
        </w:r>
      </w:fldSimple>
      <w:r w:rsidRPr="001F1A28">
        <w:rPr>
          <w:rFonts w:asciiTheme="minorHAnsi" w:eastAsia="Times New Roman" w:hAnsiTheme="minorHAnsi"/>
          <w:sz w:val="16"/>
          <w:szCs w:val="16"/>
        </w:rPr>
        <w:t xml:space="preserve"> for a discussion of interchange with neighboring regions.)</w:t>
      </w:r>
    </w:p>
    <w:p w:rsidR="00D2141F" w:rsidRPr="007B2EBD" w:rsidRDefault="00D2141F" w:rsidP="005E14EF">
      <w:pPr>
        <w:pStyle w:val="Heading2"/>
      </w:pPr>
      <w:bookmarkStart w:id="704" w:name="_Ref388876647"/>
      <w:bookmarkStart w:id="705" w:name="_Toc396807657"/>
      <w:r w:rsidRPr="007B2EBD">
        <w:t>Natural Gas and Oil Fuel-Certainty Issues for Power Generation</w:t>
      </w:r>
      <w:bookmarkEnd w:id="704"/>
      <w:bookmarkEnd w:id="705"/>
      <w:r w:rsidRPr="001B6391">
        <w:t xml:space="preserve"> </w:t>
      </w:r>
    </w:p>
    <w:p w:rsidR="00D2141F" w:rsidRPr="006A2C25" w:rsidRDefault="00D2141F" w:rsidP="00D2141F">
      <w:r w:rsidRPr="00A52228">
        <w:t xml:space="preserve">ISO New England has immediate and growing concerns about the availability and flexibility of generating resources—particularly natural gas and oil-fired resources—to reliably serve the daily, round-the-clock demands of electricity consumers in New England. These concerns </w:t>
      </w:r>
      <w:proofErr w:type="gramStart"/>
      <w:r w:rsidRPr="00A52228">
        <w:t>have been documented</w:t>
      </w:r>
      <w:proofErr w:type="gramEnd"/>
      <w:r w:rsidRPr="00A52228">
        <w:t xml:space="preserve"> through the </w:t>
      </w:r>
      <w:r w:rsidRPr="009C3FC7">
        <w:t>ISO’s Strategic Planning Initiative</w:t>
      </w:r>
      <w:r w:rsidR="00217F74" w:rsidRPr="009C3FC7">
        <w:t xml:space="preserve"> and were highlighted in the winter 2013/2014 period</w:t>
      </w:r>
      <w:r w:rsidRPr="009C3FC7">
        <w:t>. The electric</w:t>
      </w:r>
      <w:r w:rsidRPr="00A94428">
        <w:t xml:space="preserve"> power system is the </w:t>
      </w:r>
      <w:r w:rsidRPr="00A94428">
        <w:rPr>
          <w:rFonts w:asciiTheme="majorHAnsi" w:hAnsiTheme="majorHAnsi"/>
        </w:rPr>
        <w:t>largest consumer of natural gas in New England.</w:t>
      </w:r>
      <w:r w:rsidRPr="00A94428">
        <w:rPr>
          <w:rStyle w:val="FootnoteReference"/>
        </w:rPr>
        <w:footnoteReference w:id="257"/>
      </w:r>
      <w:r w:rsidRPr="00A94428">
        <w:rPr>
          <w:rFonts w:asciiTheme="majorHAnsi" w:hAnsiTheme="majorHAnsi"/>
        </w:rPr>
        <w:t xml:space="preserve"> This </w:t>
      </w:r>
      <w:r w:rsidRPr="00A94428">
        <w:t xml:space="preserve">dependence on the natural-gas fuel-delivery system that </w:t>
      </w:r>
      <w:r w:rsidR="0075722F">
        <w:t xml:space="preserve">has limited </w:t>
      </w:r>
      <w:r w:rsidRPr="00A94428">
        <w:t xml:space="preserve">local storage, combined with the economic pressures experienced by gas- and oil-fired generating facilities to participate in the wholesale electricity markets while attempting </w:t>
      </w:r>
      <w:r w:rsidRPr="009C3FC7">
        <w:t xml:space="preserve">to minimize operating costs, are causing persistent reliability concerns. These concerns, while </w:t>
      </w:r>
      <w:r w:rsidR="00217F74" w:rsidRPr="009C3FC7">
        <w:t xml:space="preserve">possible </w:t>
      </w:r>
      <w:r w:rsidRPr="009C3FC7">
        <w:t>year-round, are most acute during extended cold-weather periods when natural gas demand by LDCs is high. Cold-weather conditions and the subsequent heavy demand for natural gas also can lead to natural gas pipeline constraints when electrical imports from neighboring regions may not be as readily available.</w:t>
      </w:r>
    </w:p>
    <w:p w:rsidR="00D2141F" w:rsidRPr="00674427" w:rsidRDefault="00D2141F" w:rsidP="00D2141F">
      <w:r w:rsidRPr="00A94428">
        <w:t xml:space="preserve">Operating experience has demonstrated the </w:t>
      </w:r>
      <w:proofErr w:type="gramStart"/>
      <w:r w:rsidRPr="00A94428">
        <w:t>region’s</w:t>
      </w:r>
      <w:proofErr w:type="gramEnd"/>
      <w:r w:rsidRPr="00A94428">
        <w:t xml:space="preserve"> increased reliance on natural-gas-fired capacity, the </w:t>
      </w:r>
      <w:r w:rsidRPr="00A611FE">
        <w:t xml:space="preserve">system’s energy production limitations (e.g., through resource nonperformance and lack of flexibility), and the challenges of achieving greater fuel certainty. </w:t>
      </w:r>
      <w:r w:rsidR="009C133F" w:rsidRPr="00A611FE">
        <w:t xml:space="preserve">In </w:t>
      </w:r>
      <w:r w:rsidRPr="00A611FE">
        <w:t>winter 2013/2014</w:t>
      </w:r>
      <w:r w:rsidR="009C133F" w:rsidRPr="00A611FE">
        <w:t xml:space="preserve">, New England </w:t>
      </w:r>
      <w:r w:rsidRPr="00A611FE">
        <w:t xml:space="preserve">experienced </w:t>
      </w:r>
      <w:r w:rsidRPr="00D56C58">
        <w:t>con</w:t>
      </w:r>
      <w:r w:rsidR="00426AFF" w:rsidRPr="00D56C58">
        <w:t>s</w:t>
      </w:r>
      <w:r w:rsidRPr="00D56C58">
        <w:t xml:space="preserve">trained natural gas pipelines and low inventories of both oil and LNG, </w:t>
      </w:r>
      <w:r w:rsidR="00D837D8" w:rsidRPr="00D56C58">
        <w:t>which required</w:t>
      </w:r>
      <w:r w:rsidR="001F1A28" w:rsidRPr="00D56C58">
        <w:t xml:space="preserve"> extended</w:t>
      </w:r>
      <w:r w:rsidR="00D837D8" w:rsidRPr="00D56C58">
        <w:t xml:space="preserve"> time</w:t>
      </w:r>
      <w:r w:rsidRPr="00A611FE">
        <w:t xml:space="preserve"> to replenish</w:t>
      </w:r>
      <w:r w:rsidR="00B731DF">
        <w:t xml:space="preserve">. </w:t>
      </w:r>
      <w:r w:rsidR="00D837D8" w:rsidRPr="00D56C58">
        <w:t xml:space="preserve">Colder </w:t>
      </w:r>
      <w:r w:rsidR="00D56C58">
        <w:t xml:space="preserve">New England </w:t>
      </w:r>
      <w:r w:rsidR="00D837D8" w:rsidRPr="00D56C58">
        <w:t>temperatures, which have commonly occurred</w:t>
      </w:r>
      <w:r w:rsidR="00D56C58">
        <w:t>,</w:t>
      </w:r>
      <w:r w:rsidR="00D837D8" w:rsidRPr="00D56C58">
        <w:t xml:space="preserve"> and the subsequent increase in electricity demand and decrease in the availability of natural gas for electric power generators would have exacerbated the operating situation.</w:t>
      </w:r>
      <w:r w:rsidRPr="00D56C58">
        <w:t xml:space="preserve"> Another issue during cold spells is that fuel oil inventories can be depleted rapidly for those units that have switched from burning natural gas to burning oil for economic</w:t>
      </w:r>
      <w:r w:rsidRPr="00A611FE">
        <w:t xml:space="preserve"> reasons or because the ISO committed them for reliability reasons or to manage the inflexibility of fuel deliveries to gas-fired generators. </w:t>
      </w:r>
      <w:r w:rsidRPr="00A611FE">
        <w:rPr>
          <w:rFonts w:asciiTheme="majorHAnsi" w:hAnsiTheme="majorHAnsi"/>
        </w:rPr>
        <w:t xml:space="preserve">Market rules that </w:t>
      </w:r>
      <w:r w:rsidRPr="00A611FE">
        <w:t>allow resources to constrain their operation when they have</w:t>
      </w:r>
      <w:r w:rsidRPr="00A94428">
        <w:t xml:space="preserve"> limited fuel have added to these concerns. </w:t>
      </w:r>
    </w:p>
    <w:p w:rsidR="00EA60BB" w:rsidRDefault="00D2141F" w:rsidP="00EA60BB">
      <w:r w:rsidRPr="00A94428">
        <w:t xml:space="preserve">Most natural-gas-fired generators in New England have not made long-term financial commitments that would </w:t>
      </w:r>
      <w:r w:rsidR="00827842">
        <w:t xml:space="preserve">support </w:t>
      </w:r>
      <w:r w:rsidRPr="00A94428">
        <w:t xml:space="preserve">the </w:t>
      </w:r>
      <w:r w:rsidR="00827842">
        <w:t xml:space="preserve">natural gas </w:t>
      </w:r>
      <w:r w:rsidRPr="00A94428">
        <w:t xml:space="preserve">delivery infrastructure and storage facilities and, in turn, the reliability of the natural gas supply. </w:t>
      </w:r>
      <w:r w:rsidR="00217F74">
        <w:t xml:space="preserve">The lack of alignment between the natural gas and wholesale electricity market days and </w:t>
      </w:r>
      <w:r w:rsidRPr="00A94428">
        <w:t xml:space="preserve">the structural mismatch between the “24 x 7” demands of the electric power system and the less-liquid, overnight and weekend market for gas supply creates additional uncertainty </w:t>
      </w:r>
      <w:r w:rsidR="00B731DF">
        <w:t xml:space="preserve">regarding the commitment and dispatch of gas </w:t>
      </w:r>
      <w:r w:rsidR="00B731DF" w:rsidRPr="00D56C58">
        <w:t>units</w:t>
      </w:r>
      <w:r w:rsidR="00D837D8" w:rsidRPr="00D56C58">
        <w:t xml:space="preserve"> during overnight and weekend hours.</w:t>
      </w:r>
      <w:r w:rsidR="00217F74" w:rsidRPr="00D56C58">
        <w:rPr>
          <w:rStyle w:val="FootnoteReference"/>
        </w:rPr>
        <w:footnoteReference w:id="258"/>
      </w:r>
      <w:r w:rsidRPr="00D56C58">
        <w:rPr>
          <w:vertAlign w:val="superscript"/>
        </w:rPr>
        <w:t xml:space="preserve"> </w:t>
      </w:r>
      <w:r w:rsidRPr="002962F6">
        <w:t xml:space="preserve">Other concerns have </w:t>
      </w:r>
      <w:r w:rsidR="005D4359">
        <w:t>occurred</w:t>
      </w:r>
      <w:r w:rsidRPr="002962F6">
        <w:t xml:space="preserve"> when the interstate natural gas pipelines </w:t>
      </w:r>
      <w:proofErr w:type="gramStart"/>
      <w:r w:rsidRPr="002962F6">
        <w:t>were being maintained or otherwise constrained,</w:t>
      </w:r>
      <w:proofErr w:type="gramEnd"/>
      <w:r w:rsidRPr="002962F6">
        <w:t xml:space="preserve"> </w:t>
      </w:r>
      <w:r w:rsidR="00366577">
        <w:t xml:space="preserve">and </w:t>
      </w:r>
      <w:r w:rsidRPr="002962F6">
        <w:t>when LNG inventories or injections into the interstate pipelines were low</w:t>
      </w:r>
      <w:r w:rsidRPr="00025453">
        <w:t xml:space="preserve">. </w:t>
      </w:r>
      <w:r w:rsidR="0058019A" w:rsidRPr="00025453">
        <w:t>LNG deliveries are subject to a worldwide market</w:t>
      </w:r>
      <w:r w:rsidR="00040842">
        <w:t xml:space="preserve"> demand</w:t>
      </w:r>
      <w:r w:rsidR="0058019A" w:rsidRPr="00025453">
        <w:t>, increased costs stemming from shipping and processing, and weather-related interruptions.</w:t>
      </w:r>
      <w:r w:rsidR="00EA60BB">
        <w:t xml:space="preserve"> </w:t>
      </w:r>
    </w:p>
    <w:p w:rsidR="00D2141F" w:rsidRDefault="00D2141F" w:rsidP="00D2141F">
      <w:r w:rsidRPr="00A94428">
        <w:t xml:space="preserve">This section discusses the region’s operational shortfalls and institutional barriers exacerbating fuel-certainty issues, relevant studies </w:t>
      </w:r>
      <w:proofErr w:type="gramStart"/>
      <w:r w:rsidRPr="00A94428">
        <w:t>being conducted</w:t>
      </w:r>
      <w:proofErr w:type="gramEnd"/>
      <w:r w:rsidRPr="00A94428">
        <w:t xml:space="preserve"> on the natural gas supply and delivery systems, and the market and operational solutions being implemented to address the</w:t>
      </w:r>
      <w:r>
        <w:t>se</w:t>
      </w:r>
      <w:r w:rsidRPr="00A94428">
        <w:t xml:space="preserve"> issues.</w:t>
      </w:r>
    </w:p>
    <w:p w:rsidR="00D2141F" w:rsidRPr="006065F7" w:rsidRDefault="00D2141F" w:rsidP="005C6088">
      <w:pPr>
        <w:pStyle w:val="Heading3"/>
      </w:pPr>
      <w:bookmarkStart w:id="706" w:name="_Ref388710255"/>
      <w:bookmarkStart w:id="707" w:name="_Ref388869094"/>
      <w:bookmarkStart w:id="708" w:name="_Ref388872853"/>
      <w:bookmarkStart w:id="709" w:name="_Toc396807658"/>
      <w:r w:rsidRPr="00A94428">
        <w:t>Natural Gas Infrastructure—Issues and Improvements</w:t>
      </w:r>
      <w:bookmarkEnd w:id="706"/>
      <w:bookmarkEnd w:id="707"/>
      <w:bookmarkEnd w:id="708"/>
      <w:bookmarkEnd w:id="709"/>
      <w:r w:rsidRPr="00A94428">
        <w:t xml:space="preserve"> </w:t>
      </w:r>
    </w:p>
    <w:p w:rsidR="00D2141F" w:rsidRPr="00A92103" w:rsidRDefault="00D2141F" w:rsidP="00D2141F">
      <w:r w:rsidRPr="00A94428">
        <w:t>New England’s natural gas supply and delivery infrastructure, and its limitations, have become an area of focus for improving the region’s fuel availability</w:t>
      </w:r>
      <w:r w:rsidRPr="00674427">
        <w:t>.</w:t>
      </w:r>
      <w:r>
        <w:t xml:space="preserve"> </w:t>
      </w:r>
      <w:r w:rsidRPr="009021EE">
        <w:t>Six interstate</w:t>
      </w:r>
      <w:r w:rsidRPr="00217564">
        <w:t xml:space="preserve"> pipelines </w:t>
      </w:r>
      <w:r>
        <w:t xml:space="preserve">presently </w:t>
      </w:r>
      <w:r w:rsidRPr="00217564">
        <w:t>serv</w:t>
      </w:r>
      <w:r>
        <w:t>e</w:t>
      </w:r>
      <w:r w:rsidRPr="00217564">
        <w:t xml:space="preserve"> New England</w:t>
      </w:r>
      <w:r>
        <w:t>:</w:t>
      </w:r>
    </w:p>
    <w:p w:rsidR="00D2141F" w:rsidRDefault="00D2141F" w:rsidP="00D2141F">
      <w:pPr>
        <w:numPr>
          <w:ilvl w:val="0"/>
          <w:numId w:val="573"/>
        </w:numPr>
        <w:spacing w:after="120"/>
      </w:pPr>
      <w:r>
        <w:t>Four originate from the south and west:</w:t>
      </w:r>
    </w:p>
    <w:p w:rsidR="00D2141F" w:rsidRDefault="00D2141F" w:rsidP="00D2141F">
      <w:pPr>
        <w:numPr>
          <w:ilvl w:val="1"/>
          <w:numId w:val="573"/>
        </w:numPr>
        <w:spacing w:after="120"/>
      </w:pPr>
      <w:r w:rsidRPr="00E01BE4">
        <w:t xml:space="preserve">Algonquin Gas Transmission </w:t>
      </w:r>
      <w:r>
        <w:t>(AGT) P</w:t>
      </w:r>
      <w:r w:rsidRPr="00E01BE4">
        <w:t>ipeline</w:t>
      </w:r>
    </w:p>
    <w:p w:rsidR="00D2141F" w:rsidRDefault="00D2141F" w:rsidP="00D2141F">
      <w:pPr>
        <w:numPr>
          <w:ilvl w:val="1"/>
          <w:numId w:val="573"/>
        </w:numPr>
        <w:spacing w:after="120"/>
      </w:pPr>
      <w:r w:rsidRPr="009021EE">
        <w:t>Tennessee Gas Pipeline</w:t>
      </w:r>
      <w:r>
        <w:t xml:space="preserve"> (TGP)</w:t>
      </w:r>
    </w:p>
    <w:p w:rsidR="00D2141F" w:rsidRPr="00BA2357" w:rsidRDefault="00D2141F" w:rsidP="00D2141F">
      <w:pPr>
        <w:numPr>
          <w:ilvl w:val="1"/>
          <w:numId w:val="573"/>
        </w:numPr>
        <w:spacing w:after="120"/>
      </w:pPr>
      <w:r w:rsidRPr="00BA2357">
        <w:t>Portland Natural Gas Transmission System (PNGTS)</w:t>
      </w:r>
    </w:p>
    <w:p w:rsidR="00D2141F" w:rsidRPr="00BA2357" w:rsidRDefault="00D2141F" w:rsidP="008D0940">
      <w:pPr>
        <w:numPr>
          <w:ilvl w:val="1"/>
          <w:numId w:val="573"/>
        </w:numPr>
      </w:pPr>
      <w:r w:rsidRPr="00BA2357">
        <w:t>Iroquois Gas Transmission System (IGTS)</w:t>
      </w:r>
    </w:p>
    <w:p w:rsidR="00D2141F" w:rsidRPr="00BA2357" w:rsidRDefault="00D2141F" w:rsidP="00D2141F">
      <w:pPr>
        <w:numPr>
          <w:ilvl w:val="0"/>
          <w:numId w:val="573"/>
        </w:numPr>
        <w:spacing w:after="120"/>
      </w:pPr>
      <w:r w:rsidRPr="00BA2357">
        <w:t>The Maritimes and Northeast</w:t>
      </w:r>
      <w:r w:rsidR="00437AB0">
        <w:t xml:space="preserve"> </w:t>
      </w:r>
      <w:r w:rsidR="00437AB0" w:rsidRPr="00BA2357">
        <w:t xml:space="preserve">(M&amp;N) </w:t>
      </w:r>
      <w:r w:rsidRPr="00BA2357">
        <w:t xml:space="preserve">Pipeline originates in the Canadian Maritime provinces. </w:t>
      </w:r>
    </w:p>
    <w:p w:rsidR="00D2141F" w:rsidRPr="00BA2357" w:rsidRDefault="00D2141F" w:rsidP="00D2141F">
      <w:pPr>
        <w:numPr>
          <w:ilvl w:val="0"/>
          <w:numId w:val="573"/>
        </w:numPr>
      </w:pPr>
      <w:r w:rsidRPr="00BA2357">
        <w:t xml:space="preserve">The Granite State Gas Transmission System </w:t>
      </w:r>
      <w:r>
        <w:t xml:space="preserve">(GSGT) </w:t>
      </w:r>
      <w:r w:rsidRPr="00BA2357">
        <w:t>is in New Hampshire</w:t>
      </w:r>
      <w:r>
        <w:t xml:space="preserve"> and </w:t>
      </w:r>
      <w:r w:rsidRPr="005462AE">
        <w:t>does not bring gas from outside New England into New England.</w:t>
      </w:r>
    </w:p>
    <w:p w:rsidR="001C2DE5" w:rsidRDefault="00D2141F" w:rsidP="00D2141F">
      <w:pPr>
        <w:rPr>
          <w:rFonts w:asciiTheme="majorHAnsi" w:hAnsiTheme="majorHAnsi"/>
        </w:rPr>
      </w:pPr>
      <w:r w:rsidRPr="00BA0703">
        <w:rPr>
          <w:rFonts w:asciiTheme="majorHAnsi" w:hAnsiTheme="majorHAnsi"/>
        </w:rPr>
        <w:t>Four LNG import terminals also serve New England</w:t>
      </w:r>
      <w:r w:rsidR="001C2DE5">
        <w:rPr>
          <w:rFonts w:asciiTheme="majorHAnsi" w:hAnsiTheme="majorHAnsi"/>
        </w:rPr>
        <w:t>, two onshore and two offshore</w:t>
      </w:r>
      <w:r w:rsidRPr="00BA0703">
        <w:rPr>
          <w:rFonts w:asciiTheme="majorHAnsi" w:hAnsiTheme="majorHAnsi"/>
        </w:rPr>
        <w:t xml:space="preserve">: </w:t>
      </w:r>
    </w:p>
    <w:p w:rsidR="00540F55" w:rsidRDefault="00D2141F">
      <w:pPr>
        <w:numPr>
          <w:ilvl w:val="0"/>
          <w:numId w:val="580"/>
        </w:numPr>
        <w:spacing w:after="120"/>
        <w:rPr>
          <w:rFonts w:asciiTheme="majorHAnsi" w:hAnsiTheme="majorHAnsi"/>
        </w:rPr>
      </w:pPr>
      <w:r w:rsidRPr="00BA0703">
        <w:rPr>
          <w:rFonts w:asciiTheme="majorHAnsi" w:hAnsiTheme="majorHAnsi"/>
        </w:rPr>
        <w:t xml:space="preserve">Everett LNG in Massachusetts and Canada’s </w:t>
      </w:r>
      <w:proofErr w:type="spellStart"/>
      <w:r w:rsidRPr="00BA0703">
        <w:rPr>
          <w:rFonts w:asciiTheme="majorHAnsi" w:hAnsiTheme="majorHAnsi"/>
        </w:rPr>
        <w:t>Canaport</w:t>
      </w:r>
      <w:proofErr w:type="spellEnd"/>
      <w:r w:rsidRPr="00BA0703">
        <w:rPr>
          <w:rFonts w:asciiTheme="majorHAnsi" w:hAnsiTheme="majorHAnsi"/>
        </w:rPr>
        <w:t xml:space="preserve"> LNG onshore</w:t>
      </w:r>
      <w:r w:rsidR="001C2DE5">
        <w:rPr>
          <w:rFonts w:asciiTheme="majorHAnsi" w:hAnsiTheme="majorHAnsi"/>
        </w:rPr>
        <w:t xml:space="preserve"> </w:t>
      </w:r>
      <w:r w:rsidRPr="00BA0703">
        <w:rPr>
          <w:rFonts w:asciiTheme="majorHAnsi" w:hAnsiTheme="majorHAnsi"/>
        </w:rPr>
        <w:t>terminals</w:t>
      </w:r>
    </w:p>
    <w:p w:rsidR="00540F55" w:rsidRDefault="00D2141F">
      <w:pPr>
        <w:numPr>
          <w:ilvl w:val="0"/>
          <w:numId w:val="580"/>
        </w:numPr>
        <w:rPr>
          <w:rFonts w:asciiTheme="majorHAnsi" w:hAnsiTheme="majorHAnsi"/>
        </w:rPr>
      </w:pPr>
      <w:r w:rsidRPr="00BA0703">
        <w:rPr>
          <w:rFonts w:asciiTheme="majorHAnsi" w:hAnsiTheme="majorHAnsi"/>
        </w:rPr>
        <w:t>Neptune LNG and Northeast Gateway LNG offshore</w:t>
      </w:r>
      <w:r w:rsidRPr="009021EE">
        <w:rPr>
          <w:rFonts w:asciiTheme="majorHAnsi" w:hAnsiTheme="majorHAnsi"/>
        </w:rPr>
        <w:t xml:space="preserve"> terminals</w:t>
      </w:r>
      <w:r w:rsidR="002F3637">
        <w:rPr>
          <w:rStyle w:val="FootnoteReference"/>
        </w:rPr>
        <w:footnoteReference w:id="259"/>
      </w:r>
      <w:r w:rsidRPr="009021EE">
        <w:rPr>
          <w:rFonts w:asciiTheme="majorHAnsi" w:hAnsiTheme="majorHAnsi"/>
        </w:rPr>
        <w:t xml:space="preserve"> </w:t>
      </w:r>
    </w:p>
    <w:p w:rsidR="00D2141F" w:rsidRDefault="00D2141F" w:rsidP="00D2141F">
      <w:r w:rsidRPr="009021EE">
        <w:rPr>
          <w:rFonts w:asciiTheme="majorHAnsi" w:hAnsiTheme="majorHAnsi"/>
        </w:rPr>
        <w:t xml:space="preserve">The Everett terminal </w:t>
      </w:r>
      <w:proofErr w:type="gramStart"/>
      <w:r w:rsidRPr="009021EE">
        <w:rPr>
          <w:rFonts w:asciiTheme="majorHAnsi" w:hAnsiTheme="majorHAnsi"/>
        </w:rPr>
        <w:t>is connected</w:t>
      </w:r>
      <w:proofErr w:type="gramEnd"/>
      <w:r w:rsidRPr="009021EE">
        <w:rPr>
          <w:rFonts w:asciiTheme="majorHAnsi" w:hAnsiTheme="majorHAnsi"/>
        </w:rPr>
        <w:t xml:space="preserve"> with the </w:t>
      </w:r>
      <w:r w:rsidRPr="004133B9">
        <w:rPr>
          <w:rFonts w:asciiTheme="majorHAnsi" w:hAnsiTheme="majorHAnsi"/>
        </w:rPr>
        <w:t>AGT and T</w:t>
      </w:r>
      <w:r w:rsidR="00437AB0">
        <w:rPr>
          <w:rFonts w:asciiTheme="majorHAnsi" w:hAnsiTheme="majorHAnsi"/>
        </w:rPr>
        <w:t xml:space="preserve">ennessee </w:t>
      </w:r>
      <w:r w:rsidRPr="004133B9">
        <w:rPr>
          <w:rFonts w:asciiTheme="majorHAnsi" w:hAnsiTheme="majorHAnsi"/>
        </w:rPr>
        <w:t>G</w:t>
      </w:r>
      <w:r w:rsidR="00437AB0">
        <w:rPr>
          <w:rFonts w:asciiTheme="majorHAnsi" w:hAnsiTheme="majorHAnsi"/>
        </w:rPr>
        <w:t>as</w:t>
      </w:r>
      <w:r w:rsidRPr="004133B9">
        <w:rPr>
          <w:rFonts w:asciiTheme="majorHAnsi" w:hAnsiTheme="majorHAnsi"/>
        </w:rPr>
        <w:t xml:space="preserve"> pipelines.</w:t>
      </w:r>
      <w:r w:rsidRPr="009021EE">
        <w:rPr>
          <w:rFonts w:asciiTheme="majorHAnsi" w:hAnsiTheme="majorHAnsi"/>
        </w:rPr>
        <w:t xml:space="preserve"> </w:t>
      </w:r>
      <w:r w:rsidRPr="004133B9">
        <w:rPr>
          <w:rFonts w:asciiTheme="majorHAnsi" w:hAnsiTheme="majorHAnsi"/>
        </w:rPr>
        <w:t xml:space="preserve">The </w:t>
      </w:r>
      <w:proofErr w:type="spellStart"/>
      <w:r w:rsidRPr="009021EE">
        <w:rPr>
          <w:rFonts w:asciiTheme="majorHAnsi" w:hAnsiTheme="majorHAnsi"/>
        </w:rPr>
        <w:t>Canaport</w:t>
      </w:r>
      <w:proofErr w:type="spellEnd"/>
      <w:r w:rsidRPr="009021EE">
        <w:rPr>
          <w:rFonts w:asciiTheme="majorHAnsi" w:hAnsiTheme="majorHAnsi"/>
        </w:rPr>
        <w:t xml:space="preserve"> terminal sends natural gas through the M&amp;N </w:t>
      </w:r>
      <w:r w:rsidR="00437AB0">
        <w:rPr>
          <w:rFonts w:asciiTheme="majorHAnsi" w:hAnsiTheme="majorHAnsi"/>
        </w:rPr>
        <w:t>P</w:t>
      </w:r>
      <w:r w:rsidRPr="009021EE">
        <w:rPr>
          <w:rFonts w:asciiTheme="majorHAnsi" w:hAnsiTheme="majorHAnsi"/>
        </w:rPr>
        <w:t xml:space="preserve">ipeline, which has the option of delivering natural gas to New England from the offshore natural gas production fields of the Sable Offshore Energy Project (SOEP) and Deep </w:t>
      </w:r>
      <w:proofErr w:type="spellStart"/>
      <w:r w:rsidRPr="009021EE">
        <w:rPr>
          <w:rFonts w:asciiTheme="majorHAnsi" w:hAnsiTheme="majorHAnsi"/>
        </w:rPr>
        <w:t>Panuke</w:t>
      </w:r>
      <w:proofErr w:type="spellEnd"/>
      <w:r w:rsidRPr="009021EE">
        <w:rPr>
          <w:rFonts w:asciiTheme="majorHAnsi" w:hAnsiTheme="majorHAnsi"/>
        </w:rPr>
        <w:t xml:space="preserve"> in Nova Scotia, Canada</w:t>
      </w:r>
      <w:r>
        <w:rPr>
          <w:rFonts w:asciiTheme="majorHAnsi" w:hAnsiTheme="majorHAnsi"/>
        </w:rPr>
        <w:t xml:space="preserve">. </w:t>
      </w:r>
      <w:r w:rsidR="00927965">
        <w:fldChar w:fldCharType="begin"/>
      </w:r>
      <w:r w:rsidR="007F3A39">
        <w:rPr>
          <w:rFonts w:asciiTheme="majorHAnsi" w:hAnsiTheme="majorHAnsi"/>
        </w:rPr>
        <w:instrText xml:space="preserve"> REF _Ref388529830 \h </w:instrText>
      </w:r>
      <w:r w:rsidR="00927965">
        <w:fldChar w:fldCharType="separate"/>
      </w:r>
      <w:r w:rsidR="00284CE3" w:rsidRPr="00AA4AC2">
        <w:t xml:space="preserve">Figure </w:t>
      </w:r>
      <w:r w:rsidR="00284CE3">
        <w:rPr>
          <w:noProof/>
        </w:rPr>
        <w:t>6</w:t>
      </w:r>
      <w:r w:rsidR="00284CE3" w:rsidRPr="00AA4AC2">
        <w:noBreakHyphen/>
      </w:r>
      <w:r w:rsidR="00284CE3">
        <w:rPr>
          <w:noProof/>
        </w:rPr>
        <w:t>3</w:t>
      </w:r>
      <w:r w:rsidR="00927965">
        <w:fldChar w:fldCharType="end"/>
      </w:r>
      <w:r w:rsidR="001C2DE5">
        <w:t xml:space="preserve"> </w:t>
      </w:r>
      <w:r w:rsidRPr="00E01BE4">
        <w:t>shows the major existing natural gas infrastructure serving New England</w:t>
      </w:r>
      <w:r>
        <w:t>.</w:t>
      </w:r>
    </w:p>
    <w:p w:rsidR="00D2141F" w:rsidRPr="00AA4AC2" w:rsidRDefault="009D618E" w:rsidP="008D61C8">
      <w:pPr>
        <w:keepNext/>
        <w:keepLines/>
        <w:spacing w:before="120" w:after="80" w:line="240" w:lineRule="auto"/>
        <w:jc w:val="center"/>
      </w:pPr>
      <w:r w:rsidRPr="00AA4AC2">
        <w:rPr>
          <w:noProof/>
        </w:rPr>
        <w:drawing>
          <wp:inline distT="0" distB="0" distL="0" distR="0">
            <wp:extent cx="5765800" cy="3397250"/>
            <wp:effectExtent l="19050" t="0" r="6350" b="0"/>
            <wp:docPr id="17"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5" cstate="print"/>
                    <a:srcRect/>
                    <a:stretch>
                      <a:fillRect/>
                    </a:stretch>
                  </pic:blipFill>
                  <pic:spPr bwMode="auto">
                    <a:xfrm>
                      <a:off x="0" y="0"/>
                      <a:ext cx="5770691" cy="3400132"/>
                    </a:xfrm>
                    <a:prstGeom prst="rect">
                      <a:avLst/>
                    </a:prstGeom>
                    <a:noFill/>
                  </pic:spPr>
                </pic:pic>
              </a:graphicData>
            </a:graphic>
          </wp:inline>
        </w:drawing>
      </w:r>
    </w:p>
    <w:p w:rsidR="0025411B" w:rsidRPr="00AA4AC2" w:rsidRDefault="00D2141F" w:rsidP="008D61C8">
      <w:pPr>
        <w:pStyle w:val="Caption"/>
        <w:tabs>
          <w:tab w:val="left" w:pos="0"/>
        </w:tabs>
        <w:spacing w:after="80"/>
        <w:ind w:left="90" w:right="-90"/>
        <w:jc w:val="left"/>
        <w:rPr>
          <w:rFonts w:asciiTheme="minorHAnsi" w:hAnsiTheme="minorHAnsi"/>
        </w:rPr>
      </w:pPr>
      <w:bookmarkStart w:id="710" w:name="_Ref388529830"/>
      <w:bookmarkStart w:id="711" w:name="_Toc391985578"/>
      <w:r w:rsidRPr="00AA4AC2">
        <w:t xml:space="preserve">Figure </w:t>
      </w:r>
      <w:r w:rsidR="00927965" w:rsidRPr="00AA4AC2">
        <w:fldChar w:fldCharType="begin"/>
      </w:r>
      <w:r w:rsidR="0011163E" w:rsidRPr="00AA4AC2">
        <w:instrText xml:space="preserve"> STYLEREF 1 \s </w:instrText>
      </w:r>
      <w:r w:rsidR="00927965" w:rsidRPr="00AA4AC2">
        <w:fldChar w:fldCharType="separate"/>
      </w:r>
      <w:r w:rsidR="00284CE3">
        <w:rPr>
          <w:noProof/>
        </w:rPr>
        <w:t>6</w:t>
      </w:r>
      <w:r w:rsidR="00927965" w:rsidRPr="00AA4AC2">
        <w:fldChar w:fldCharType="end"/>
      </w:r>
      <w:r w:rsidR="0011163E" w:rsidRPr="00AA4AC2">
        <w:noBreakHyphen/>
      </w:r>
      <w:r w:rsidR="00927965" w:rsidRPr="00AA4AC2">
        <w:fldChar w:fldCharType="begin"/>
      </w:r>
      <w:r w:rsidR="0011163E" w:rsidRPr="00AA4AC2">
        <w:instrText xml:space="preserve"> SEQ Figure \* ARABIC \s 1 </w:instrText>
      </w:r>
      <w:r w:rsidR="00927965" w:rsidRPr="00AA4AC2">
        <w:fldChar w:fldCharType="separate"/>
      </w:r>
      <w:r w:rsidR="00284CE3">
        <w:rPr>
          <w:noProof/>
        </w:rPr>
        <w:t>3</w:t>
      </w:r>
      <w:r w:rsidR="00927965" w:rsidRPr="00AA4AC2">
        <w:fldChar w:fldCharType="end"/>
      </w:r>
      <w:bookmarkEnd w:id="710"/>
      <w:r w:rsidRPr="00AA4AC2">
        <w:rPr>
          <w:rFonts w:asciiTheme="minorHAnsi" w:hAnsiTheme="minorHAnsi"/>
        </w:rPr>
        <w:t>: Overview map of the natural gas infrastructure serving New England.</w:t>
      </w:r>
      <w:bookmarkEnd w:id="711"/>
    </w:p>
    <w:p w:rsidR="00C21EAA" w:rsidRPr="00684E3F" w:rsidRDefault="00D45F77" w:rsidP="008D61C8">
      <w:pPr>
        <w:pStyle w:val="Caption"/>
        <w:tabs>
          <w:tab w:val="left" w:pos="0"/>
        </w:tabs>
        <w:spacing w:after="80"/>
        <w:ind w:left="90" w:right="-90"/>
        <w:jc w:val="left"/>
        <w:rPr>
          <w:rFonts w:asciiTheme="minorHAnsi" w:hAnsiTheme="minorHAnsi"/>
          <w:b w:val="0"/>
          <w:sz w:val="16"/>
          <w:szCs w:val="16"/>
        </w:rPr>
      </w:pPr>
      <w:r w:rsidRPr="00684E3F">
        <w:rPr>
          <w:sz w:val="16"/>
          <w:szCs w:val="16"/>
        </w:rPr>
        <w:t>Source</w:t>
      </w:r>
      <w:r w:rsidRPr="00684E3F">
        <w:rPr>
          <w:rFonts w:asciiTheme="minorHAnsi" w:hAnsiTheme="minorHAnsi"/>
          <w:sz w:val="16"/>
          <w:szCs w:val="16"/>
        </w:rPr>
        <w:t xml:space="preserve">: </w:t>
      </w:r>
      <w:r w:rsidRPr="00684E3F">
        <w:rPr>
          <w:rFonts w:asciiTheme="minorHAnsi" w:hAnsiTheme="minorHAnsi"/>
          <w:b w:val="0"/>
          <w:sz w:val="16"/>
          <w:szCs w:val="16"/>
        </w:rPr>
        <w:t xml:space="preserve">ICF International </w:t>
      </w:r>
      <w:r w:rsidR="00CF20A4" w:rsidRPr="00684E3F">
        <w:rPr>
          <w:rFonts w:asciiTheme="minorHAnsi" w:hAnsiTheme="minorHAnsi"/>
          <w:b w:val="0"/>
          <w:sz w:val="16"/>
          <w:szCs w:val="16"/>
        </w:rPr>
        <w:t>(ICF)</w:t>
      </w:r>
    </w:p>
    <w:p w:rsidR="00D2141F" w:rsidRPr="00684E3F" w:rsidRDefault="00C50436" w:rsidP="00AA4AC2">
      <w:pPr>
        <w:pStyle w:val="Caption"/>
        <w:tabs>
          <w:tab w:val="left" w:pos="0"/>
        </w:tabs>
        <w:spacing w:after="240"/>
        <w:ind w:left="86" w:right="-86"/>
        <w:jc w:val="left"/>
        <w:rPr>
          <w:rFonts w:asciiTheme="minorHAnsi" w:hAnsiTheme="minorHAnsi"/>
          <w:sz w:val="16"/>
          <w:szCs w:val="16"/>
        </w:rPr>
      </w:pPr>
      <w:r w:rsidRPr="00684E3F">
        <w:rPr>
          <w:sz w:val="16"/>
          <w:szCs w:val="16"/>
        </w:rPr>
        <w:t>Notes</w:t>
      </w:r>
      <w:r w:rsidRPr="00684E3F">
        <w:rPr>
          <w:rFonts w:asciiTheme="minorHAnsi" w:hAnsiTheme="minorHAnsi"/>
          <w:sz w:val="16"/>
          <w:szCs w:val="16"/>
        </w:rPr>
        <w:t xml:space="preserve">: </w:t>
      </w:r>
      <w:r w:rsidR="002E7DBB" w:rsidRPr="00684E3F">
        <w:rPr>
          <w:rFonts w:asciiTheme="minorHAnsi" w:hAnsiTheme="minorHAnsi"/>
          <w:b w:val="0"/>
          <w:sz w:val="16"/>
          <w:szCs w:val="16"/>
        </w:rPr>
        <w:t xml:space="preserve">Several pipelines shown in the map do not serve New England: </w:t>
      </w:r>
      <w:r w:rsidRPr="00684E3F">
        <w:rPr>
          <w:rFonts w:asciiTheme="minorHAnsi" w:hAnsiTheme="minorHAnsi"/>
          <w:b w:val="0"/>
          <w:sz w:val="16"/>
          <w:szCs w:val="16"/>
        </w:rPr>
        <w:t>Brunswick Pipeline</w:t>
      </w:r>
      <w:r w:rsidR="00AA4AC2" w:rsidRPr="00684E3F">
        <w:rPr>
          <w:rFonts w:asciiTheme="minorHAnsi" w:hAnsiTheme="minorHAnsi"/>
          <w:b w:val="0"/>
          <w:sz w:val="16"/>
          <w:szCs w:val="16"/>
        </w:rPr>
        <w:t xml:space="preserve"> </w:t>
      </w:r>
      <w:proofErr w:type="gramStart"/>
      <w:r w:rsidR="00AA4AC2" w:rsidRPr="00684E3F">
        <w:rPr>
          <w:rFonts w:asciiTheme="minorHAnsi" w:hAnsiTheme="minorHAnsi"/>
          <w:b w:val="0"/>
          <w:sz w:val="16"/>
          <w:szCs w:val="16"/>
        </w:rPr>
        <w:t xml:space="preserve">is </w:t>
      </w:r>
      <w:r w:rsidRPr="00684E3F">
        <w:rPr>
          <w:rFonts w:asciiTheme="minorHAnsi" w:hAnsiTheme="minorHAnsi"/>
          <w:b w:val="0"/>
          <w:sz w:val="16"/>
          <w:szCs w:val="16"/>
        </w:rPr>
        <w:t xml:space="preserve">owned and operated by </w:t>
      </w:r>
      <w:proofErr w:type="spellStart"/>
      <w:r w:rsidRPr="00684E3F">
        <w:rPr>
          <w:rFonts w:asciiTheme="minorHAnsi" w:hAnsiTheme="minorHAnsi"/>
          <w:b w:val="0"/>
          <w:sz w:val="16"/>
          <w:szCs w:val="16"/>
        </w:rPr>
        <w:t>Emera</w:t>
      </w:r>
      <w:proofErr w:type="spellEnd"/>
      <w:r w:rsidRPr="00684E3F">
        <w:rPr>
          <w:rFonts w:asciiTheme="minorHAnsi" w:hAnsiTheme="minorHAnsi"/>
          <w:b w:val="0"/>
          <w:sz w:val="16"/>
          <w:szCs w:val="16"/>
        </w:rPr>
        <w:t xml:space="preserve"> New Brunswick</w:t>
      </w:r>
      <w:proofErr w:type="gramEnd"/>
      <w:r w:rsidR="00AA4AC2" w:rsidRPr="00684E3F">
        <w:rPr>
          <w:rFonts w:asciiTheme="minorHAnsi" w:hAnsiTheme="minorHAnsi"/>
          <w:b w:val="0"/>
          <w:sz w:val="16"/>
          <w:szCs w:val="16"/>
        </w:rPr>
        <w:t xml:space="preserve">. </w:t>
      </w:r>
      <w:r w:rsidR="00684E3F">
        <w:rPr>
          <w:rFonts w:asciiTheme="minorHAnsi" w:hAnsiTheme="minorHAnsi"/>
          <w:b w:val="0"/>
          <w:sz w:val="16"/>
          <w:szCs w:val="16"/>
        </w:rPr>
        <w:t xml:space="preserve">The </w:t>
      </w:r>
      <w:r w:rsidR="002E7DBB" w:rsidRPr="00684E3F">
        <w:rPr>
          <w:rFonts w:asciiTheme="minorHAnsi" w:hAnsiTheme="minorHAnsi"/>
          <w:b w:val="0"/>
          <w:sz w:val="16"/>
          <w:szCs w:val="16"/>
        </w:rPr>
        <w:t>T</w:t>
      </w:r>
      <w:r w:rsidRPr="00684E3F">
        <w:rPr>
          <w:rFonts w:asciiTheme="minorHAnsi" w:hAnsiTheme="minorHAnsi"/>
          <w:b w:val="0"/>
          <w:sz w:val="16"/>
          <w:szCs w:val="16"/>
        </w:rPr>
        <w:t>rans Québec and Maritimes Pipeline</w:t>
      </w:r>
      <w:r w:rsidR="00AA4AC2" w:rsidRPr="00684E3F">
        <w:rPr>
          <w:rFonts w:asciiTheme="minorHAnsi" w:hAnsiTheme="minorHAnsi"/>
          <w:b w:val="0"/>
          <w:sz w:val="16"/>
          <w:szCs w:val="16"/>
        </w:rPr>
        <w:t xml:space="preserve"> </w:t>
      </w:r>
      <w:proofErr w:type="gramStart"/>
      <w:r w:rsidR="00AA4AC2" w:rsidRPr="00684E3F">
        <w:rPr>
          <w:rFonts w:asciiTheme="minorHAnsi" w:hAnsiTheme="minorHAnsi"/>
          <w:b w:val="0"/>
          <w:sz w:val="16"/>
          <w:szCs w:val="16"/>
        </w:rPr>
        <w:t>is</w:t>
      </w:r>
      <w:proofErr w:type="gramEnd"/>
      <w:r w:rsidR="00AA4AC2" w:rsidRPr="00684E3F">
        <w:rPr>
          <w:rFonts w:asciiTheme="minorHAnsi" w:hAnsiTheme="minorHAnsi"/>
          <w:b w:val="0"/>
          <w:sz w:val="16"/>
          <w:szCs w:val="16"/>
        </w:rPr>
        <w:t xml:space="preserve"> </w:t>
      </w:r>
      <w:r w:rsidR="002E7DBB" w:rsidRPr="00684E3F">
        <w:rPr>
          <w:rFonts w:asciiTheme="minorHAnsi" w:hAnsiTheme="minorHAnsi"/>
          <w:b w:val="0"/>
          <w:sz w:val="16"/>
          <w:szCs w:val="16"/>
        </w:rPr>
        <w:t xml:space="preserve">owned by </w:t>
      </w:r>
      <w:r w:rsidRPr="00684E3F">
        <w:rPr>
          <w:rFonts w:asciiTheme="minorHAnsi" w:hAnsiTheme="minorHAnsi"/>
          <w:b w:val="0"/>
          <w:sz w:val="16"/>
          <w:szCs w:val="16"/>
        </w:rPr>
        <w:t xml:space="preserve">a subsidiary of </w:t>
      </w:r>
      <w:proofErr w:type="spellStart"/>
      <w:r w:rsidRPr="00684E3F">
        <w:rPr>
          <w:rFonts w:asciiTheme="minorHAnsi" w:hAnsiTheme="minorHAnsi"/>
          <w:b w:val="0"/>
          <w:sz w:val="16"/>
          <w:szCs w:val="16"/>
        </w:rPr>
        <w:t>Gaz</w:t>
      </w:r>
      <w:proofErr w:type="spellEnd"/>
      <w:r w:rsidRPr="00684E3F">
        <w:rPr>
          <w:rFonts w:asciiTheme="minorHAnsi" w:hAnsiTheme="minorHAnsi"/>
          <w:b w:val="0"/>
          <w:sz w:val="16"/>
          <w:szCs w:val="16"/>
        </w:rPr>
        <w:t xml:space="preserve"> Metro (Montreal, Québec)</w:t>
      </w:r>
      <w:r w:rsidR="00AA4AC2" w:rsidRPr="00684E3F">
        <w:rPr>
          <w:rFonts w:asciiTheme="minorHAnsi" w:hAnsiTheme="minorHAnsi"/>
          <w:b w:val="0"/>
          <w:sz w:val="16"/>
          <w:szCs w:val="16"/>
        </w:rPr>
        <w:t xml:space="preserve"> and </w:t>
      </w:r>
      <w:r w:rsidRPr="00684E3F">
        <w:rPr>
          <w:rFonts w:asciiTheme="minorHAnsi" w:hAnsiTheme="minorHAnsi"/>
          <w:b w:val="0"/>
          <w:sz w:val="16"/>
          <w:szCs w:val="16"/>
        </w:rPr>
        <w:t>is solely an intrastate distribution pipeline network serving northern Vermont</w:t>
      </w:r>
      <w:r w:rsidR="00AA4AC2" w:rsidRPr="00684E3F">
        <w:rPr>
          <w:rFonts w:asciiTheme="minorHAnsi" w:hAnsiTheme="minorHAnsi"/>
          <w:b w:val="0"/>
          <w:sz w:val="16"/>
          <w:szCs w:val="16"/>
        </w:rPr>
        <w:t>.</w:t>
      </w:r>
    </w:p>
    <w:p w:rsidR="00C50436" w:rsidRDefault="00D2141F" w:rsidP="00C50436">
      <w:pPr>
        <w:tabs>
          <w:tab w:val="left" w:pos="0"/>
        </w:tabs>
        <w:ind w:left="90" w:right="-90"/>
      </w:pPr>
      <w:r>
        <w:t xml:space="preserve">As shown in </w:t>
      </w:r>
      <w:r w:rsidR="00927965">
        <w:fldChar w:fldCharType="begin"/>
      </w:r>
      <w:r w:rsidR="007F3A39">
        <w:instrText xml:space="preserve"> REF _Ref388529854 \h </w:instrText>
      </w:r>
      <w:r w:rsidR="00927965">
        <w:fldChar w:fldCharType="separate"/>
      </w:r>
      <w:r w:rsidR="00284CE3">
        <w:t xml:space="preserve">Figure </w:t>
      </w:r>
      <w:r w:rsidR="00284CE3">
        <w:rPr>
          <w:noProof/>
        </w:rPr>
        <w:t>6</w:t>
      </w:r>
      <w:r w:rsidR="00284CE3">
        <w:noBreakHyphen/>
      </w:r>
      <w:r w:rsidR="00284CE3">
        <w:rPr>
          <w:noProof/>
        </w:rPr>
        <w:t>4</w:t>
      </w:r>
      <w:r w:rsidR="00927965">
        <w:fldChar w:fldCharType="end"/>
      </w:r>
      <w:r>
        <w:t>, t</w:t>
      </w:r>
      <w:r w:rsidRPr="00EA2E47">
        <w:t xml:space="preserve">he liquefied natural gas deliveries to LNG import terminals have declined </w:t>
      </w:r>
      <w:r w:rsidRPr="00CE20EA">
        <w:t>substantially in recent years</w:t>
      </w:r>
      <w:r w:rsidR="00544921">
        <w:t xml:space="preserve">, as reported by </w:t>
      </w:r>
      <w:r w:rsidR="008B069B">
        <w:t>the Energy Information Administration (</w:t>
      </w:r>
      <w:r w:rsidR="00544921">
        <w:t>EIA</w:t>
      </w:r>
      <w:r w:rsidR="008B069B">
        <w:t>) of the US Department of Energy (DOE)</w:t>
      </w:r>
      <w:r w:rsidRPr="00CE20EA">
        <w:t>.</w:t>
      </w:r>
      <w:r w:rsidR="00544921" w:rsidRPr="00EA2E47">
        <w:rPr>
          <w:rStyle w:val="FootnoteReference"/>
        </w:rPr>
        <w:footnoteReference w:id="260"/>
      </w:r>
      <w:r w:rsidRPr="00CE20EA">
        <w:t xml:space="preserve"> </w:t>
      </w:r>
      <w:r w:rsidR="00544921" w:rsidRPr="00CE20EA">
        <w:t>ISO system</w:t>
      </w:r>
      <w:r w:rsidR="00544921">
        <w:t xml:space="preserve"> operations </w:t>
      </w:r>
      <w:r w:rsidR="00544921" w:rsidRPr="00EA2E47">
        <w:t xml:space="preserve">forecasters </w:t>
      </w:r>
      <w:r w:rsidR="00544921">
        <w:t>also have observed t</w:t>
      </w:r>
      <w:r w:rsidRPr="00CE20EA">
        <w:t>his decline</w:t>
      </w:r>
      <w:r w:rsidR="00544921">
        <w:t xml:space="preserve"> </w:t>
      </w:r>
      <w:r w:rsidRPr="00EA2E47">
        <w:t>on the pipeline electronic bulletin boards</w:t>
      </w:r>
      <w:r>
        <w:t xml:space="preserve">. This has </w:t>
      </w:r>
      <w:r w:rsidRPr="00EA2E47">
        <w:t xml:space="preserve">limited the </w:t>
      </w:r>
      <w:r>
        <w:t xml:space="preserve">availability of </w:t>
      </w:r>
      <w:r w:rsidRPr="00EA2E47">
        <w:t xml:space="preserve">spot-market gas within the Northeast. </w:t>
      </w:r>
    </w:p>
    <w:p w:rsidR="00D2141F" w:rsidRDefault="00D2141F" w:rsidP="00D2141F">
      <w:pPr>
        <w:spacing w:after="0" w:line="240" w:lineRule="auto"/>
        <w:jc w:val="center"/>
      </w:pPr>
      <w:r>
        <w:rPr>
          <w:noProof/>
        </w:rPr>
        <w:drawing>
          <wp:inline distT="0" distB="0" distL="0" distR="0">
            <wp:extent cx="5146343" cy="3081959"/>
            <wp:effectExtent l="19050" t="19050" r="16207" b="23191"/>
            <wp:docPr id="44" name="Picture 13" descr="http://www.eia.gov/naturalgas/issuesandtrends/deliverysystem/2013/images/figure_4.png"/>
            <wp:cNvGraphicFramePr/>
            <a:graphic xmlns:a="http://schemas.openxmlformats.org/drawingml/2006/main">
              <a:graphicData uri="http://schemas.openxmlformats.org/drawingml/2006/picture">
                <pic:pic xmlns:pic="http://schemas.openxmlformats.org/drawingml/2006/picture">
                  <pic:nvPicPr>
                    <pic:cNvPr id="5122" name="Picture 2" descr="http://www.eia.gov/naturalgas/issuesandtrends/deliverysystem/2013/images/figure_4.png"/>
                    <pic:cNvPicPr>
                      <a:picLocks noChangeAspect="1" noChangeArrowheads="1"/>
                    </pic:cNvPicPr>
                  </pic:nvPicPr>
                  <pic:blipFill>
                    <a:blip r:embed="rId56" cstate="print"/>
                    <a:srcRect t="8247"/>
                    <a:stretch>
                      <a:fillRect/>
                    </a:stretch>
                  </pic:blipFill>
                  <pic:spPr bwMode="auto">
                    <a:xfrm>
                      <a:off x="0" y="0"/>
                      <a:ext cx="5154389" cy="3086777"/>
                    </a:xfrm>
                    <a:prstGeom prst="rect">
                      <a:avLst/>
                    </a:prstGeom>
                    <a:noFill/>
                    <a:ln>
                      <a:solidFill>
                        <a:schemeClr val="tx1"/>
                      </a:solidFill>
                    </a:ln>
                  </pic:spPr>
                </pic:pic>
              </a:graphicData>
            </a:graphic>
          </wp:inline>
        </w:drawing>
      </w:r>
    </w:p>
    <w:p w:rsidR="00D2141F" w:rsidRPr="00AA5B70" w:rsidRDefault="00D2141F" w:rsidP="00D2141F">
      <w:pPr>
        <w:pStyle w:val="Caption-Figure"/>
        <w:spacing w:after="80"/>
        <w:ind w:left="446" w:right="446"/>
      </w:pPr>
      <w:bookmarkStart w:id="712" w:name="_Ref388529854"/>
      <w:bookmarkStart w:id="713" w:name="_Toc391985579"/>
      <w:r>
        <w:t xml:space="preserve">Figure </w:t>
      </w:r>
      <w:r w:rsidR="00927965">
        <w:fldChar w:fldCharType="begin"/>
      </w:r>
      <w:r w:rsidR="0011163E">
        <w:instrText xml:space="preserve"> STYLEREF 1 \s </w:instrText>
      </w:r>
      <w:r w:rsidR="00927965">
        <w:fldChar w:fldCharType="separate"/>
      </w:r>
      <w:r w:rsidR="00284CE3">
        <w:rPr>
          <w:noProof/>
        </w:rPr>
        <w:t>6</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4</w:t>
      </w:r>
      <w:r w:rsidR="00927965">
        <w:fldChar w:fldCharType="end"/>
      </w:r>
      <w:bookmarkEnd w:id="712"/>
      <w:r>
        <w:t xml:space="preserve">: </w:t>
      </w:r>
      <w:r w:rsidRPr="0025099F">
        <w:t xml:space="preserve">LNG </w:t>
      </w:r>
      <w:proofErr w:type="spellStart"/>
      <w:r w:rsidRPr="0025099F">
        <w:t>sendout</w:t>
      </w:r>
      <w:proofErr w:type="spellEnd"/>
      <w:r w:rsidRPr="0025099F">
        <w:t xml:space="preserve"> from </w:t>
      </w:r>
      <w:proofErr w:type="spellStart"/>
      <w:r w:rsidRPr="0025099F">
        <w:t>Canaport</w:t>
      </w:r>
      <w:proofErr w:type="spellEnd"/>
      <w:r w:rsidRPr="0025099F">
        <w:t xml:space="preserve"> LNG terminal/Maritime pipeline and Everett LNG</w:t>
      </w:r>
      <w:r>
        <w:t xml:space="preserve"> terminal, November 2010 to May 2013 (</w:t>
      </w:r>
      <w:proofErr w:type="spellStart"/>
      <w:r>
        <w:t>MMcf</w:t>
      </w:r>
      <w:proofErr w:type="spellEnd"/>
      <w:r>
        <w:t>/d)</w:t>
      </w:r>
      <w:r w:rsidRPr="007A650C">
        <w:t>.</w:t>
      </w:r>
      <w:bookmarkEnd w:id="713"/>
    </w:p>
    <w:p w:rsidR="00D2141F" w:rsidRPr="00684E3F" w:rsidRDefault="00D2141F" w:rsidP="00D2141F">
      <w:pPr>
        <w:spacing w:line="240" w:lineRule="auto"/>
        <w:ind w:left="450" w:right="450"/>
        <w:rPr>
          <w:rFonts w:asciiTheme="minorHAnsi" w:hAnsiTheme="minorHAnsi"/>
          <w:sz w:val="16"/>
          <w:szCs w:val="16"/>
        </w:rPr>
      </w:pPr>
      <w:r w:rsidRPr="00684E3F">
        <w:rPr>
          <w:rFonts w:asciiTheme="minorHAnsi" w:hAnsiTheme="minorHAnsi"/>
          <w:b/>
          <w:sz w:val="16"/>
          <w:szCs w:val="16"/>
        </w:rPr>
        <w:t>Source:</w:t>
      </w:r>
      <w:r w:rsidRPr="00684E3F">
        <w:rPr>
          <w:rFonts w:asciiTheme="minorHAnsi" w:hAnsiTheme="minorHAnsi"/>
          <w:sz w:val="16"/>
          <w:szCs w:val="16"/>
        </w:rPr>
        <w:t xml:space="preserve"> </w:t>
      </w:r>
      <w:r w:rsidR="00D25D74" w:rsidRPr="00684E3F">
        <w:rPr>
          <w:rFonts w:asciiTheme="minorHAnsi" w:hAnsiTheme="minorHAnsi"/>
          <w:sz w:val="16"/>
          <w:szCs w:val="16"/>
        </w:rPr>
        <w:t>EIA</w:t>
      </w:r>
      <w:r w:rsidRPr="00684E3F">
        <w:rPr>
          <w:rFonts w:asciiTheme="minorHAnsi" w:hAnsiTheme="minorHAnsi"/>
          <w:sz w:val="16"/>
          <w:szCs w:val="16"/>
        </w:rPr>
        <w:t xml:space="preserve">, </w:t>
      </w:r>
      <w:r w:rsidR="007A0DB2">
        <w:rPr>
          <w:rFonts w:asciiTheme="minorHAnsi" w:hAnsiTheme="minorHAnsi"/>
          <w:sz w:val="16"/>
          <w:szCs w:val="16"/>
        </w:rPr>
        <w:t>“</w:t>
      </w:r>
      <w:r w:rsidR="00684E3F">
        <w:rPr>
          <w:rFonts w:asciiTheme="minorHAnsi" w:hAnsiTheme="minorHAnsi"/>
          <w:sz w:val="16"/>
          <w:szCs w:val="16"/>
        </w:rPr>
        <w:t>High Prices Show Stresses in New England Natural Gas Delivery System,” article, ”</w:t>
      </w:r>
      <w:hyperlink r:id="rId57" w:history="1">
        <w:r w:rsidRPr="00684E3F">
          <w:rPr>
            <w:rStyle w:val="Hyperlink"/>
            <w:rFonts w:asciiTheme="minorHAnsi" w:hAnsiTheme="minorHAnsi"/>
            <w:bCs/>
            <w:sz w:val="16"/>
            <w:szCs w:val="16"/>
          </w:rPr>
          <w:t>Issues &amp; Trend</w:t>
        </w:r>
        <w:r w:rsidR="00544921" w:rsidRPr="00684E3F">
          <w:rPr>
            <w:rStyle w:val="Hyperlink"/>
            <w:rFonts w:asciiTheme="minorHAnsi" w:hAnsiTheme="minorHAnsi"/>
            <w:bCs/>
            <w:sz w:val="16"/>
            <w:szCs w:val="16"/>
          </w:rPr>
          <w:t>s</w:t>
        </w:r>
        <w:r w:rsidR="00684E3F">
          <w:rPr>
            <w:rStyle w:val="Hyperlink"/>
            <w:rFonts w:asciiTheme="minorHAnsi" w:hAnsiTheme="minorHAnsi"/>
            <w:bCs/>
            <w:sz w:val="16"/>
            <w:szCs w:val="16"/>
          </w:rPr>
          <w:t xml:space="preserve">: Natural Gas,” webpage </w:t>
        </w:r>
      </w:hyperlink>
      <w:r w:rsidRPr="00684E3F">
        <w:rPr>
          <w:rFonts w:asciiTheme="minorHAnsi" w:hAnsiTheme="minorHAnsi"/>
          <w:sz w:val="16"/>
          <w:szCs w:val="16"/>
        </w:rPr>
        <w:t xml:space="preserve">(February </w:t>
      </w:r>
      <w:r w:rsidR="00D25D74" w:rsidRPr="00684E3F">
        <w:rPr>
          <w:rFonts w:asciiTheme="minorHAnsi" w:hAnsiTheme="minorHAnsi"/>
          <w:sz w:val="16"/>
          <w:szCs w:val="16"/>
        </w:rPr>
        <w:t>7</w:t>
      </w:r>
      <w:r w:rsidRPr="00684E3F">
        <w:rPr>
          <w:rFonts w:asciiTheme="minorHAnsi" w:hAnsiTheme="minorHAnsi"/>
          <w:sz w:val="16"/>
          <w:szCs w:val="16"/>
        </w:rPr>
        <w:t>, 2014)</w:t>
      </w:r>
      <w:r w:rsidR="00684E3F">
        <w:rPr>
          <w:rFonts w:asciiTheme="minorHAnsi" w:hAnsiTheme="minorHAnsi"/>
          <w:sz w:val="16"/>
          <w:szCs w:val="16"/>
        </w:rPr>
        <w:t xml:space="preserve">, </w:t>
      </w:r>
      <w:r w:rsidR="00684E3F" w:rsidRPr="00684E3F">
        <w:rPr>
          <w:rFonts w:asciiTheme="minorHAnsi" w:hAnsiTheme="minorHAnsi"/>
          <w:sz w:val="16"/>
          <w:szCs w:val="16"/>
        </w:rPr>
        <w:t>http://www.eia.gov/naturalgas/issuesandtrends/deliverysystem/2013/</w:t>
      </w:r>
      <w:r w:rsidRPr="00684E3F">
        <w:rPr>
          <w:rFonts w:asciiTheme="minorHAnsi" w:hAnsiTheme="minorHAnsi"/>
          <w:sz w:val="16"/>
          <w:szCs w:val="16"/>
        </w:rPr>
        <w:t xml:space="preserve">. </w:t>
      </w:r>
    </w:p>
    <w:p w:rsidR="00D2141F" w:rsidRDefault="00D2141F" w:rsidP="00D2141F">
      <w:pPr>
        <w:spacing w:after="200" w:line="276" w:lineRule="auto"/>
        <w:rPr>
          <w:rFonts w:asciiTheme="majorHAnsi" w:hAnsiTheme="majorHAnsi"/>
        </w:rPr>
      </w:pPr>
      <w:r w:rsidRPr="00BA2357">
        <w:t>While the interstate pipeline companies that serve the Northeast region have added numerous</w:t>
      </w:r>
      <w:r w:rsidRPr="00217BF0">
        <w:t xml:space="preserve"> interconnects from the area’s large and small producers</w:t>
      </w:r>
      <w:r>
        <w:t xml:space="preserve">, and annual natural gas </w:t>
      </w:r>
      <w:r w:rsidRPr="00217BF0">
        <w:t xml:space="preserve">production volumes </w:t>
      </w:r>
      <w:r>
        <w:t xml:space="preserve">in </w:t>
      </w:r>
      <w:r w:rsidRPr="00BD1D8F">
        <w:t xml:space="preserve">the Northeast </w:t>
      </w:r>
      <w:proofErr w:type="gramStart"/>
      <w:r w:rsidRPr="00BD1D8F">
        <w:t>are forecast</w:t>
      </w:r>
      <w:r w:rsidR="00544921">
        <w:t>ed</w:t>
      </w:r>
      <w:proofErr w:type="gramEnd"/>
      <w:r w:rsidRPr="00BD1D8F">
        <w:t xml:space="preserve"> to rise from 3.92 </w:t>
      </w:r>
      <w:r w:rsidR="0007592E" w:rsidRPr="00BD1D8F">
        <w:t>trillion cubic feet (</w:t>
      </w:r>
      <w:proofErr w:type="spellStart"/>
      <w:r w:rsidR="0007592E" w:rsidRPr="00BD1D8F">
        <w:t>Tcf</w:t>
      </w:r>
      <w:proofErr w:type="spellEnd"/>
      <w:r w:rsidR="0007592E" w:rsidRPr="00BD1D8F">
        <w:t>)</w:t>
      </w:r>
      <w:r w:rsidR="0007592E" w:rsidRPr="00BD1D8F">
        <w:rPr>
          <w:sz w:val="22"/>
        </w:rPr>
        <w:t xml:space="preserve"> i</w:t>
      </w:r>
      <w:r w:rsidRPr="00BD1D8F">
        <w:t>n 2013 to 6.</w:t>
      </w:r>
      <w:r w:rsidR="003B3097" w:rsidRPr="00BD1D8F">
        <w:t>66 </w:t>
      </w:r>
      <w:proofErr w:type="spellStart"/>
      <w:r w:rsidRPr="00BD1D8F">
        <w:t>Tcf</w:t>
      </w:r>
      <w:proofErr w:type="spellEnd"/>
      <w:r w:rsidRPr="00BD1D8F">
        <w:t xml:space="preserve"> in 2024,</w:t>
      </w:r>
      <w:r w:rsidRPr="00BD1D8F">
        <w:rPr>
          <w:color w:val="000000"/>
          <w:sz w:val="28"/>
          <w:szCs w:val="28"/>
        </w:rPr>
        <w:t xml:space="preserve"> </w:t>
      </w:r>
      <w:r w:rsidRPr="00BD1D8F">
        <w:rPr>
          <w:rFonts w:asciiTheme="majorHAnsi" w:hAnsiTheme="majorHAnsi"/>
        </w:rPr>
        <w:t>New</w:t>
      </w:r>
      <w:r w:rsidRPr="00217BF0">
        <w:rPr>
          <w:rFonts w:asciiTheme="majorHAnsi" w:hAnsiTheme="majorHAnsi"/>
        </w:rPr>
        <w:t xml:space="preserve"> England cannot access the full benefit of Marcellus shale production</w:t>
      </w:r>
      <w:r>
        <w:rPr>
          <w:rFonts w:asciiTheme="majorHAnsi" w:hAnsiTheme="majorHAnsi"/>
        </w:rPr>
        <w:t>.</w:t>
      </w:r>
      <w:r w:rsidRPr="00217BF0">
        <w:rPr>
          <w:vertAlign w:val="superscript"/>
        </w:rPr>
        <w:footnoteReference w:id="261"/>
      </w:r>
      <w:r w:rsidRPr="004133B9">
        <w:rPr>
          <w:rFonts w:asciiTheme="majorHAnsi" w:hAnsiTheme="majorHAnsi"/>
        </w:rPr>
        <w:t xml:space="preserve"> </w:t>
      </w:r>
      <w:r w:rsidR="00927965">
        <w:rPr>
          <w:rFonts w:asciiTheme="majorHAnsi" w:hAnsiTheme="majorHAnsi"/>
        </w:rPr>
        <w:fldChar w:fldCharType="begin"/>
      </w:r>
      <w:r w:rsidR="007F3A39">
        <w:rPr>
          <w:rFonts w:asciiTheme="majorHAnsi" w:hAnsiTheme="majorHAnsi"/>
        </w:rPr>
        <w:instrText xml:space="preserve"> REF _Ref388529907 \h </w:instrText>
      </w:r>
      <w:r w:rsidR="00927965">
        <w:rPr>
          <w:rFonts w:asciiTheme="majorHAnsi" w:hAnsiTheme="majorHAnsi"/>
        </w:rPr>
      </w:r>
      <w:r w:rsidR="00927965">
        <w:rPr>
          <w:rFonts w:asciiTheme="majorHAnsi" w:hAnsiTheme="majorHAnsi"/>
        </w:rPr>
        <w:fldChar w:fldCharType="separate"/>
      </w:r>
      <w:r w:rsidR="00284CE3" w:rsidRPr="00D944C8">
        <w:t xml:space="preserve">Figure </w:t>
      </w:r>
      <w:r w:rsidR="00284CE3">
        <w:rPr>
          <w:noProof/>
        </w:rPr>
        <w:t>6</w:t>
      </w:r>
      <w:r w:rsidR="00284CE3" w:rsidRPr="00D944C8">
        <w:noBreakHyphen/>
      </w:r>
      <w:r w:rsidR="00284CE3">
        <w:rPr>
          <w:noProof/>
        </w:rPr>
        <w:t>5</w:t>
      </w:r>
      <w:r w:rsidR="00927965">
        <w:rPr>
          <w:rFonts w:asciiTheme="majorHAnsi" w:hAnsiTheme="majorHAnsi"/>
        </w:rPr>
        <w:fldChar w:fldCharType="end"/>
      </w:r>
      <w:r>
        <w:rPr>
          <w:rFonts w:asciiTheme="majorHAnsi" w:hAnsiTheme="majorHAnsi"/>
        </w:rPr>
        <w:t xml:space="preserve"> shows </w:t>
      </w:r>
      <w:r w:rsidRPr="00217BF0">
        <w:rPr>
          <w:rFonts w:asciiTheme="majorHAnsi" w:hAnsiTheme="majorHAnsi"/>
        </w:rPr>
        <w:t xml:space="preserve">existing pipeline capacity constraints </w:t>
      </w:r>
      <w:r w:rsidRPr="00BA2357">
        <w:rPr>
          <w:rFonts w:asciiTheme="majorHAnsi" w:hAnsiTheme="majorHAnsi"/>
        </w:rPr>
        <w:t>leading into the region from the west and southwest, as well as recent regional pipeline capacity additions.</w:t>
      </w:r>
      <w:r>
        <w:rPr>
          <w:rFonts w:asciiTheme="majorHAnsi" w:hAnsiTheme="majorHAnsi"/>
        </w:rPr>
        <w:t xml:space="preserve"> </w:t>
      </w:r>
    </w:p>
    <w:p w:rsidR="00D2141F" w:rsidRDefault="00D2141F" w:rsidP="00D2141F">
      <w:pPr>
        <w:spacing w:line="240" w:lineRule="auto"/>
        <w:ind w:left="360" w:right="274"/>
        <w:rPr>
          <w:rFonts w:asciiTheme="minorHAnsi" w:hAnsiTheme="minorHAnsi"/>
          <w:sz w:val="18"/>
          <w:szCs w:val="18"/>
        </w:rPr>
      </w:pPr>
    </w:p>
    <w:p w:rsidR="00D2141F" w:rsidRPr="00217BF0" w:rsidRDefault="00CA14E0" w:rsidP="00D2141F">
      <w:pPr>
        <w:spacing w:after="0" w:line="240" w:lineRule="auto"/>
      </w:pPr>
      <w:r w:rsidRPr="00CA14E0">
        <w:rPr>
          <w:noProof/>
        </w:rPr>
        <w:drawing>
          <wp:inline distT="0" distB="0" distL="0" distR="0">
            <wp:extent cx="5715000" cy="2640619"/>
            <wp:effectExtent l="19050" t="19050" r="19050" b="26381"/>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715000" cy="2640619"/>
                    </a:xfrm>
                    <a:prstGeom prst="rect">
                      <a:avLst/>
                    </a:prstGeom>
                    <a:noFill/>
                    <a:ln w="3175">
                      <a:solidFill>
                        <a:schemeClr val="tx1"/>
                      </a:solidFill>
                      <a:miter lim="800000"/>
                      <a:headEnd/>
                      <a:tailEnd/>
                    </a:ln>
                  </pic:spPr>
                </pic:pic>
              </a:graphicData>
            </a:graphic>
          </wp:inline>
        </w:drawing>
      </w:r>
    </w:p>
    <w:p w:rsidR="00D2141F" w:rsidRDefault="00D2141F" w:rsidP="00CA14E0">
      <w:pPr>
        <w:pStyle w:val="Caption-Figure"/>
        <w:spacing w:after="80"/>
        <w:ind w:left="90"/>
        <w:rPr>
          <w:rFonts w:asciiTheme="minorHAnsi" w:hAnsiTheme="minorHAnsi"/>
          <w:sz w:val="18"/>
        </w:rPr>
      </w:pPr>
      <w:bookmarkStart w:id="714" w:name="_Ref388529907"/>
      <w:bookmarkStart w:id="715" w:name="_Toc391985580"/>
      <w:r w:rsidRPr="00D944C8">
        <w:t xml:space="preserve">Figure </w:t>
      </w:r>
      <w:r w:rsidR="00927965" w:rsidRPr="00D944C8">
        <w:fldChar w:fldCharType="begin"/>
      </w:r>
      <w:r w:rsidR="0011163E" w:rsidRPr="00D944C8">
        <w:instrText xml:space="preserve"> STYLEREF 1 \s </w:instrText>
      </w:r>
      <w:r w:rsidR="00927965" w:rsidRPr="00D944C8">
        <w:fldChar w:fldCharType="separate"/>
      </w:r>
      <w:r w:rsidR="00284CE3">
        <w:rPr>
          <w:noProof/>
        </w:rPr>
        <w:t>6</w:t>
      </w:r>
      <w:r w:rsidR="00927965" w:rsidRPr="00D944C8">
        <w:fldChar w:fldCharType="end"/>
      </w:r>
      <w:r w:rsidR="0011163E" w:rsidRPr="00D944C8">
        <w:noBreakHyphen/>
      </w:r>
      <w:r w:rsidR="00927965" w:rsidRPr="00D944C8">
        <w:fldChar w:fldCharType="begin"/>
      </w:r>
      <w:r w:rsidR="0011163E" w:rsidRPr="00D944C8">
        <w:instrText xml:space="preserve"> SEQ Figure \* ARABIC \s 1 </w:instrText>
      </w:r>
      <w:r w:rsidR="00927965" w:rsidRPr="00D944C8">
        <w:fldChar w:fldCharType="separate"/>
      </w:r>
      <w:r w:rsidR="00284CE3">
        <w:rPr>
          <w:noProof/>
        </w:rPr>
        <w:t>5</w:t>
      </w:r>
      <w:r w:rsidR="00927965" w:rsidRPr="00D944C8">
        <w:fldChar w:fldCharType="end"/>
      </w:r>
      <w:bookmarkEnd w:id="714"/>
      <w:r w:rsidRPr="00D944C8">
        <w:t>: Northeast natural gas pipeline constraints (left) and recent pipeline-capacity additions, 2011 (right).</w:t>
      </w:r>
      <w:bookmarkEnd w:id="715"/>
    </w:p>
    <w:p w:rsidR="00D2141F" w:rsidRPr="007073F2" w:rsidRDefault="00D2141F" w:rsidP="00CA14E0">
      <w:pPr>
        <w:spacing w:line="240" w:lineRule="auto"/>
        <w:ind w:left="90"/>
        <w:rPr>
          <w:rFonts w:asciiTheme="minorHAnsi" w:hAnsiTheme="minorHAnsi"/>
          <w:sz w:val="16"/>
          <w:szCs w:val="16"/>
        </w:rPr>
      </w:pPr>
      <w:r w:rsidRPr="007073F2">
        <w:rPr>
          <w:rFonts w:asciiTheme="minorHAnsi" w:hAnsiTheme="minorHAnsi"/>
          <w:b/>
          <w:sz w:val="16"/>
          <w:szCs w:val="16"/>
        </w:rPr>
        <w:t>Source:</w:t>
      </w:r>
      <w:r w:rsidRPr="007073F2">
        <w:rPr>
          <w:rFonts w:asciiTheme="minorHAnsi" w:hAnsiTheme="minorHAnsi"/>
          <w:sz w:val="16"/>
          <w:szCs w:val="16"/>
        </w:rPr>
        <w:t xml:space="preserve"> EIA, “New Northeast </w:t>
      </w:r>
      <w:r w:rsidR="007073F2">
        <w:rPr>
          <w:rFonts w:asciiTheme="minorHAnsi" w:hAnsiTheme="minorHAnsi"/>
          <w:sz w:val="16"/>
          <w:szCs w:val="16"/>
        </w:rPr>
        <w:t>N</w:t>
      </w:r>
      <w:r w:rsidRPr="007073F2">
        <w:rPr>
          <w:rFonts w:asciiTheme="minorHAnsi" w:hAnsiTheme="minorHAnsi"/>
          <w:sz w:val="16"/>
          <w:szCs w:val="16"/>
        </w:rPr>
        <w:t xml:space="preserve">atural </w:t>
      </w:r>
      <w:r w:rsidR="007073F2">
        <w:rPr>
          <w:rFonts w:asciiTheme="minorHAnsi" w:hAnsiTheme="minorHAnsi"/>
          <w:sz w:val="16"/>
          <w:szCs w:val="16"/>
        </w:rPr>
        <w:t>G</w:t>
      </w:r>
      <w:r w:rsidRPr="007073F2">
        <w:rPr>
          <w:rFonts w:asciiTheme="minorHAnsi" w:hAnsiTheme="minorHAnsi"/>
          <w:sz w:val="16"/>
          <w:szCs w:val="16"/>
        </w:rPr>
        <w:t xml:space="preserve">as </w:t>
      </w:r>
      <w:r w:rsidR="007073F2">
        <w:rPr>
          <w:rFonts w:asciiTheme="minorHAnsi" w:hAnsiTheme="minorHAnsi"/>
          <w:sz w:val="16"/>
          <w:szCs w:val="16"/>
        </w:rPr>
        <w:t>P</w:t>
      </w:r>
      <w:r w:rsidRPr="007073F2">
        <w:rPr>
          <w:rFonts w:asciiTheme="minorHAnsi" w:hAnsiTheme="minorHAnsi"/>
          <w:sz w:val="16"/>
          <w:szCs w:val="16"/>
        </w:rPr>
        <w:t xml:space="preserve">ipeline </w:t>
      </w:r>
      <w:r w:rsidR="007073F2">
        <w:rPr>
          <w:rFonts w:asciiTheme="minorHAnsi" w:hAnsiTheme="minorHAnsi"/>
          <w:sz w:val="16"/>
          <w:szCs w:val="16"/>
        </w:rPr>
        <w:t>C</w:t>
      </w:r>
      <w:r w:rsidRPr="007073F2">
        <w:rPr>
          <w:rFonts w:asciiTheme="minorHAnsi" w:hAnsiTheme="minorHAnsi"/>
          <w:sz w:val="16"/>
          <w:szCs w:val="16"/>
        </w:rPr>
        <w:t xml:space="preserve">apacity </w:t>
      </w:r>
      <w:r w:rsidR="007073F2">
        <w:rPr>
          <w:rFonts w:asciiTheme="minorHAnsi" w:hAnsiTheme="minorHAnsi"/>
          <w:sz w:val="16"/>
          <w:szCs w:val="16"/>
        </w:rPr>
        <w:t>Comes On Line</w:t>
      </w:r>
      <w:r w:rsidRPr="007073F2">
        <w:rPr>
          <w:rFonts w:asciiTheme="minorHAnsi" w:hAnsiTheme="minorHAnsi"/>
          <w:sz w:val="16"/>
          <w:szCs w:val="16"/>
        </w:rPr>
        <w:t>”</w:t>
      </w:r>
      <w:r w:rsidR="00CF409B">
        <w:rPr>
          <w:rFonts w:asciiTheme="minorHAnsi" w:hAnsiTheme="minorHAnsi"/>
          <w:sz w:val="16"/>
          <w:szCs w:val="16"/>
        </w:rPr>
        <w:t xml:space="preserve"> </w:t>
      </w:r>
      <w:r w:rsidR="00CF409B" w:rsidRPr="007073F2">
        <w:rPr>
          <w:rFonts w:asciiTheme="minorHAnsi" w:hAnsiTheme="minorHAnsi"/>
          <w:sz w:val="16"/>
          <w:szCs w:val="16"/>
        </w:rPr>
        <w:t>(January 27, 2012),</w:t>
      </w:r>
      <w:r w:rsidR="00CF409B">
        <w:rPr>
          <w:rFonts w:asciiTheme="minorHAnsi" w:hAnsiTheme="minorHAnsi"/>
          <w:sz w:val="16"/>
          <w:szCs w:val="16"/>
        </w:rPr>
        <w:t xml:space="preserve"> </w:t>
      </w:r>
      <w:hyperlink r:id="rId59" w:history="1">
        <w:r w:rsidRPr="007073F2">
          <w:rPr>
            <w:rStyle w:val="Hyperlink"/>
            <w:rFonts w:asciiTheme="minorHAnsi" w:hAnsiTheme="minorHAnsi"/>
            <w:sz w:val="16"/>
            <w:szCs w:val="16"/>
          </w:rPr>
          <w:t>http://www.eia.gov/todayinenergy/detail.cfm?id=4750</w:t>
        </w:r>
      </w:hyperlink>
      <w:r w:rsidR="00B1708A">
        <w:rPr>
          <w:sz w:val="16"/>
          <w:szCs w:val="16"/>
        </w:rPr>
        <w:t>, and “</w:t>
      </w:r>
      <w:r w:rsidR="00CF409B" w:rsidRPr="00B1708A">
        <w:rPr>
          <w:sz w:val="16"/>
          <w:szCs w:val="16"/>
        </w:rPr>
        <w:t xml:space="preserve">New Pipeline Project Could Lower Natural Gas Transportation Costs </w:t>
      </w:r>
      <w:r w:rsidR="00CF409B">
        <w:rPr>
          <w:sz w:val="16"/>
          <w:szCs w:val="16"/>
        </w:rPr>
        <w:t>t</w:t>
      </w:r>
      <w:r w:rsidR="00CF409B" w:rsidRPr="00B1708A">
        <w:rPr>
          <w:sz w:val="16"/>
          <w:szCs w:val="16"/>
        </w:rPr>
        <w:t>o New York City</w:t>
      </w:r>
      <w:r w:rsidR="00CF409B">
        <w:rPr>
          <w:sz w:val="16"/>
          <w:szCs w:val="16"/>
        </w:rPr>
        <w:t xml:space="preserve">” (July 3, 2012), articles, </w:t>
      </w:r>
      <w:r w:rsidR="00CF409B">
        <w:rPr>
          <w:rFonts w:asciiTheme="minorHAnsi" w:hAnsiTheme="minorHAnsi"/>
          <w:sz w:val="16"/>
          <w:szCs w:val="16"/>
        </w:rPr>
        <w:t>“Today in Energy,” webpage</w:t>
      </w:r>
      <w:r w:rsidR="00CF409B" w:rsidRPr="007073F2">
        <w:rPr>
          <w:rFonts w:asciiTheme="minorHAnsi" w:hAnsiTheme="minorHAnsi"/>
          <w:sz w:val="16"/>
          <w:szCs w:val="16"/>
        </w:rPr>
        <w:t>.</w:t>
      </w:r>
    </w:p>
    <w:p w:rsidR="00D2141F" w:rsidRPr="00811E16" w:rsidRDefault="00D2141F" w:rsidP="00D2141F">
      <w:pPr>
        <w:spacing w:after="200" w:line="276" w:lineRule="auto"/>
      </w:pPr>
      <w:r w:rsidRPr="00811E16">
        <w:t xml:space="preserve">At present, of </w:t>
      </w:r>
      <w:r>
        <w:t>the 30 proposed pipeline-</w:t>
      </w:r>
      <w:r w:rsidRPr="00811E16">
        <w:t xml:space="preserve">expansion projects under development across the Northeast, only </w:t>
      </w:r>
      <w:r w:rsidRPr="00BA2357">
        <w:t>the following six projects would specifically bring either new or incremental pipeline</w:t>
      </w:r>
      <w:r w:rsidRPr="009A2ECF">
        <w:t xml:space="preserve"> capacity and </w:t>
      </w:r>
      <w:r>
        <w:t xml:space="preserve">access to additional </w:t>
      </w:r>
      <w:r w:rsidRPr="009A2ECF">
        <w:t xml:space="preserve">natural gas </w:t>
      </w:r>
      <w:r>
        <w:t xml:space="preserve">supplies </w:t>
      </w:r>
      <w:r w:rsidRPr="009A2ECF">
        <w:t>to New England</w:t>
      </w:r>
      <w:r w:rsidRPr="00811E16">
        <w:t>:</w:t>
      </w:r>
    </w:p>
    <w:p w:rsidR="00D2141F" w:rsidRDefault="00D2141F" w:rsidP="00D2141F">
      <w:pPr>
        <w:numPr>
          <w:ilvl w:val="0"/>
          <w:numId w:val="252"/>
        </w:numPr>
        <w:spacing w:after="120"/>
      </w:pPr>
      <w:r>
        <w:t xml:space="preserve">Portland Natural Gas Transmission System’s Continent-to-Coast “C2C” project, combined with upstream expansion to provide more capacity on the TransCanada and Trans-Québec and Maritimes (TQM) pipelines could result in PNGTS’ total capacity of approximately 350 </w:t>
      </w:r>
      <w:r w:rsidR="00F61899" w:rsidRPr="00EA5234">
        <w:t>thousand</w:t>
      </w:r>
      <w:r w:rsidR="00F61899" w:rsidRPr="008C31C8">
        <w:t xml:space="preserve"> dekatherms per day </w:t>
      </w:r>
      <w:r w:rsidR="00F61899">
        <w:t>(</w:t>
      </w:r>
      <w:proofErr w:type="spellStart"/>
      <w:r>
        <w:t>MDth</w:t>
      </w:r>
      <w:proofErr w:type="spellEnd"/>
      <w:r>
        <w:t>/d</w:t>
      </w:r>
      <w:r w:rsidR="00F61899">
        <w:t>)</w:t>
      </w:r>
      <w:r>
        <w:t xml:space="preserve"> by November 2016. No construction </w:t>
      </w:r>
      <w:proofErr w:type="gramStart"/>
      <w:r>
        <w:t>would be needed</w:t>
      </w:r>
      <w:proofErr w:type="gramEnd"/>
      <w:r>
        <w:t xml:space="preserve"> on the PNGTS system.</w:t>
      </w:r>
    </w:p>
    <w:p w:rsidR="00D2141F" w:rsidRDefault="00D2141F" w:rsidP="00D2141F">
      <w:pPr>
        <w:numPr>
          <w:ilvl w:val="0"/>
          <w:numId w:val="252"/>
        </w:numPr>
        <w:spacing w:after="120"/>
      </w:pPr>
      <w:r w:rsidRPr="00811E16">
        <w:t>Spectra Energy’s Algonquin Incremental Market (AIM) Project, with a projected in</w:t>
      </w:r>
      <w:r>
        <w:t>-</w:t>
      </w:r>
      <w:r w:rsidRPr="00811E16">
        <w:t xml:space="preserve">service date of November 1, 2016, would expand the capacity of the existing Algonquin pipeline in southern New York, Connecticut, and Massachusetts, and increase New England’s pipeline </w:t>
      </w:r>
      <w:r w:rsidRPr="008C31C8">
        <w:t xml:space="preserve">capacity by </w:t>
      </w:r>
      <w:r w:rsidRPr="00EA5234">
        <w:t>34</w:t>
      </w:r>
      <w:r>
        <w:t>2</w:t>
      </w:r>
      <w:r w:rsidRPr="00EA5234">
        <w:t> </w:t>
      </w:r>
      <w:proofErr w:type="spellStart"/>
      <w:r w:rsidRPr="008C31C8">
        <w:t>MDth</w:t>
      </w:r>
      <w:proofErr w:type="spellEnd"/>
      <w:r w:rsidRPr="008C31C8">
        <w:t>/d.</w:t>
      </w:r>
      <w:r w:rsidRPr="008C31C8">
        <w:rPr>
          <w:vertAlign w:val="superscript"/>
        </w:rPr>
        <w:footnoteReference w:id="262"/>
      </w:r>
      <w:r w:rsidRPr="008C31C8">
        <w:t xml:space="preserve"> </w:t>
      </w:r>
    </w:p>
    <w:p w:rsidR="00D2141F" w:rsidRDefault="00D2141F" w:rsidP="00D2141F">
      <w:pPr>
        <w:numPr>
          <w:ilvl w:val="0"/>
          <w:numId w:val="252"/>
        </w:numPr>
        <w:spacing w:after="120"/>
      </w:pPr>
      <w:r>
        <w:t xml:space="preserve">Kinder </w:t>
      </w:r>
      <w:proofErr w:type="gramStart"/>
      <w:r>
        <w:t>Morgan’s</w:t>
      </w:r>
      <w:proofErr w:type="gramEnd"/>
      <w:r>
        <w:t xml:space="preserve"> Connecticut Expansion Project, with a projected in-service date of November 2016, involves minor pipeline looping and increased compression primarily within Connecticut. </w:t>
      </w:r>
      <w:r w:rsidRPr="00BA2357">
        <w:t xml:space="preserve">This should provide Connecticut gas LDCs with access to another 72,100 </w:t>
      </w:r>
      <w:r w:rsidR="00F61899">
        <w:t>dekatherms per day (</w:t>
      </w:r>
      <w:proofErr w:type="spellStart"/>
      <w:r w:rsidRPr="00BA2357">
        <w:t>Dth</w:t>
      </w:r>
      <w:proofErr w:type="spellEnd"/>
      <w:r w:rsidRPr="00BA2357">
        <w:t>/d</w:t>
      </w:r>
      <w:r w:rsidR="00F61899">
        <w:t>)</w:t>
      </w:r>
      <w:r w:rsidRPr="00BA2357">
        <w:t xml:space="preserve"> of </w:t>
      </w:r>
      <w:r>
        <w:t xml:space="preserve">pipeline </w:t>
      </w:r>
      <w:r w:rsidRPr="00BA2357">
        <w:t>capacity with</w:t>
      </w:r>
      <w:r>
        <w:t xml:space="preserve"> access to Marcellus production sources.</w:t>
      </w:r>
    </w:p>
    <w:p w:rsidR="00D2141F" w:rsidRDefault="00D2141F" w:rsidP="00D2141F">
      <w:pPr>
        <w:numPr>
          <w:ilvl w:val="0"/>
          <w:numId w:val="252"/>
        </w:numPr>
        <w:spacing w:after="120"/>
      </w:pPr>
      <w:r w:rsidRPr="00811E16">
        <w:t xml:space="preserve">Kinder Morgan’s Northeast Expansion Project, with an in-service date of </w:t>
      </w:r>
      <w:r>
        <w:t>November 1, 2018</w:t>
      </w:r>
      <w:r w:rsidRPr="00811E16">
        <w:t xml:space="preserve">, involves </w:t>
      </w:r>
      <w:r>
        <w:t xml:space="preserve">the construction of approximately 179 miles of pipeline looping and new construction </w:t>
      </w:r>
      <w:r w:rsidRPr="00BA2357">
        <w:t>primarily within New York and Massachusetts. This could provide New England with access to</w:t>
      </w:r>
      <w:r>
        <w:t xml:space="preserve"> </w:t>
      </w:r>
      <w:r w:rsidRPr="00811E16">
        <w:t xml:space="preserve">Marcellus </w:t>
      </w:r>
      <w:r>
        <w:t>and other production sources.</w:t>
      </w:r>
      <w:r w:rsidRPr="00811E16">
        <w:rPr>
          <w:vertAlign w:val="superscript"/>
        </w:rPr>
        <w:footnoteReference w:id="263"/>
      </w:r>
      <w:r w:rsidRPr="00811E16">
        <w:t xml:space="preserve"> </w:t>
      </w:r>
    </w:p>
    <w:p w:rsidR="00D2141F" w:rsidRDefault="00D2141F" w:rsidP="00D2141F">
      <w:pPr>
        <w:numPr>
          <w:ilvl w:val="0"/>
          <w:numId w:val="252"/>
        </w:numPr>
        <w:spacing w:after="120"/>
      </w:pPr>
      <w:r w:rsidRPr="00EA5234">
        <w:t xml:space="preserve">Iroquois Gas Transmission’s Wright Interconnection Project (WIP), near Wright, New York, in conjunction with the proposed Constitution Pipeline (from northeastern Pennsylvania to upstate New York) would provide additional access to </w:t>
      </w:r>
      <w:r>
        <w:t xml:space="preserve">Marcellus </w:t>
      </w:r>
      <w:r w:rsidRPr="00EA5234">
        <w:t xml:space="preserve">gas supplies up to 650 </w:t>
      </w:r>
      <w:proofErr w:type="spellStart"/>
      <w:r w:rsidRPr="00EA5234">
        <w:t>MDth</w:t>
      </w:r>
      <w:proofErr w:type="spellEnd"/>
      <w:r w:rsidRPr="00EA5234">
        <w:t>/d.</w:t>
      </w:r>
      <w:r>
        <w:t xml:space="preserve"> An early 2016 in-service date is projected.</w:t>
      </w:r>
    </w:p>
    <w:p w:rsidR="00D2141F" w:rsidRDefault="00D2141F" w:rsidP="00D2141F">
      <w:pPr>
        <w:numPr>
          <w:ilvl w:val="0"/>
          <w:numId w:val="252"/>
        </w:numPr>
      </w:pPr>
      <w:r w:rsidRPr="002F653A">
        <w:t>The Atlantic Bridge Project, a proposed expansion of the A</w:t>
      </w:r>
      <w:r w:rsidR="00B906C3">
        <w:t>GT</w:t>
      </w:r>
      <w:r w:rsidRPr="002F653A">
        <w:t xml:space="preserve"> and M</w:t>
      </w:r>
      <w:r w:rsidR="00B906C3">
        <w:t>&amp;N</w:t>
      </w:r>
      <w:r w:rsidRPr="002F653A">
        <w:t xml:space="preserve"> </w:t>
      </w:r>
      <w:r w:rsidR="00B906C3">
        <w:t>p</w:t>
      </w:r>
      <w:r w:rsidRPr="002F653A">
        <w:t xml:space="preserve">ipeline systems, will connect abundant North American natural gas supplies with markets in the New England states and the Maritime </w:t>
      </w:r>
      <w:proofErr w:type="gramStart"/>
      <w:r w:rsidRPr="002F653A">
        <w:t>provinces</w:t>
      </w:r>
      <w:proofErr w:type="gramEnd"/>
      <w:r w:rsidRPr="002F653A">
        <w:t>.</w:t>
      </w:r>
      <w:r w:rsidRPr="003C6A7B">
        <w:rPr>
          <w:rFonts w:ascii="Verdana" w:hAnsi="Verdana"/>
          <w:color w:val="000000"/>
        </w:rPr>
        <w:t xml:space="preserve"> </w:t>
      </w:r>
      <w:r w:rsidRPr="002F653A">
        <w:t xml:space="preserve">Atlantic Bridge recently completed an </w:t>
      </w:r>
      <w:hyperlink r:id="rId60" w:tgtFrame="_blank" w:history="1">
        <w:r w:rsidRPr="002F653A">
          <w:t>open season</w:t>
        </w:r>
      </w:hyperlink>
      <w:r w:rsidRPr="002F653A">
        <w:t xml:space="preserve"> for customers to submit requests for additional natural gas service with a tar</w:t>
      </w:r>
      <w:r w:rsidR="00B935F1">
        <w:t xml:space="preserve">get in-service date of November </w:t>
      </w:r>
      <w:r w:rsidRPr="002F653A">
        <w:t>2017.</w:t>
      </w:r>
    </w:p>
    <w:p w:rsidR="00D2141F" w:rsidRPr="005462AE" w:rsidRDefault="008F742F" w:rsidP="00D2141F">
      <w:r w:rsidRPr="00D56C58">
        <w:t xml:space="preserve">As of </w:t>
      </w:r>
      <w:r w:rsidR="00D56C58">
        <w:t>the publication date</w:t>
      </w:r>
      <w:r w:rsidR="00D2141F" w:rsidRPr="00D56C58">
        <w:t xml:space="preserve">, the ISO </w:t>
      </w:r>
      <w:r w:rsidR="0091255C" w:rsidRPr="00D56C58">
        <w:t>wa</w:t>
      </w:r>
      <w:r w:rsidR="00D2141F" w:rsidRPr="00D56C58">
        <w:t>s not aware of any electric power generator within New England that</w:t>
      </w:r>
      <w:r w:rsidR="00D2141F" w:rsidRPr="00045EBF">
        <w:t xml:space="preserve"> has signed </w:t>
      </w:r>
      <w:r w:rsidR="007F6339">
        <w:t xml:space="preserve">a </w:t>
      </w:r>
      <w:r w:rsidR="00113C54" w:rsidRPr="00045EBF">
        <w:t>firm</w:t>
      </w:r>
      <w:r w:rsidR="00D2141F" w:rsidRPr="00045EBF">
        <w:t xml:space="preserve"> contract for any portion of these</w:t>
      </w:r>
      <w:r w:rsidR="00D2141F" w:rsidRPr="005462AE">
        <w:t xml:space="preserve"> regional upgrades. </w:t>
      </w:r>
    </w:p>
    <w:p w:rsidR="00D2141F" w:rsidRDefault="00D2141F" w:rsidP="00D2141F">
      <w:pPr>
        <w:rPr>
          <w:rFonts w:eastAsia="Times New Roman"/>
          <w:b/>
          <w:bCs/>
          <w:iCs/>
          <w:color w:val="000000" w:themeColor="text1"/>
          <w:sz w:val="24"/>
          <w:szCs w:val="28"/>
        </w:rPr>
      </w:pPr>
      <w:r w:rsidRPr="005462AE">
        <w:rPr>
          <w:rFonts w:cs="Arial"/>
        </w:rPr>
        <w:t xml:space="preserve">Unlike the electric power industry, which builds infrastructure in anticipation of demand, </w:t>
      </w:r>
      <w:r w:rsidRPr="005462AE">
        <w:t xml:space="preserve">interstate natural gas pipeline companies </w:t>
      </w:r>
      <w:r w:rsidR="007F6339">
        <w:t xml:space="preserve">build or expand </w:t>
      </w:r>
      <w:r w:rsidRPr="005462AE">
        <w:t xml:space="preserve">pipeline capacity </w:t>
      </w:r>
      <w:r w:rsidR="007F6339">
        <w:t xml:space="preserve">using </w:t>
      </w:r>
      <w:r w:rsidRPr="00D56C58">
        <w:t xml:space="preserve">a business and regulatory model that requires </w:t>
      </w:r>
      <w:r w:rsidR="00D837D8" w:rsidRPr="00D56C58">
        <w:t>gas</w:t>
      </w:r>
      <w:r w:rsidRPr="00D56C58">
        <w:t xml:space="preserve"> shippers and customers to enter into</w:t>
      </w:r>
      <w:r w:rsidRPr="00C57933">
        <w:t xml:space="preserve"> long-term </w:t>
      </w:r>
      <w:r w:rsidR="00113C54" w:rsidRPr="00113C54">
        <w:t>firm</w:t>
      </w:r>
      <w:r w:rsidRPr="00C57933">
        <w:t xml:space="preserve"> commitments before </w:t>
      </w:r>
      <w:r w:rsidR="007F6339">
        <w:t xml:space="preserve">the </w:t>
      </w:r>
      <w:r w:rsidRPr="00C57933">
        <w:t xml:space="preserve">infrastructure </w:t>
      </w:r>
      <w:proofErr w:type="gramStart"/>
      <w:r w:rsidRPr="00C57933">
        <w:t xml:space="preserve">can be </w:t>
      </w:r>
      <w:r w:rsidR="007F6339">
        <w:t>developed</w:t>
      </w:r>
      <w:proofErr w:type="gramEnd"/>
      <w:r w:rsidRPr="00C57933">
        <w:t xml:space="preserve">. </w:t>
      </w:r>
      <w:r w:rsidRPr="00C57933">
        <w:rPr>
          <w:rFonts w:cs="Arial"/>
        </w:rPr>
        <w:t xml:space="preserve">Although the natural gas pipelines serving the region are at or near capacity, they </w:t>
      </w:r>
      <w:proofErr w:type="gramStart"/>
      <w:r w:rsidRPr="00C57933">
        <w:rPr>
          <w:rFonts w:cs="Arial"/>
        </w:rPr>
        <w:t>will not be expanded</w:t>
      </w:r>
      <w:proofErr w:type="gramEnd"/>
      <w:r w:rsidRPr="00C57933">
        <w:rPr>
          <w:rFonts w:cs="Arial"/>
        </w:rPr>
        <w:t xml:space="preserve"> until customers make </w:t>
      </w:r>
      <w:r w:rsidR="00113C54" w:rsidRPr="00113C54">
        <w:rPr>
          <w:rFonts w:cs="Arial"/>
        </w:rPr>
        <w:t>firm</w:t>
      </w:r>
      <w:r w:rsidRPr="00C57933">
        <w:rPr>
          <w:rFonts w:cs="Arial"/>
        </w:rPr>
        <w:t xml:space="preserve"> commitments. In fact, FERC, which must approve interstate pipeline projects, bases its decision that a pipeline project is in the public convenience and a necessity in large part on the existence of </w:t>
      </w:r>
      <w:r w:rsidR="00113C54" w:rsidRPr="00113C54">
        <w:rPr>
          <w:rFonts w:cs="Arial"/>
        </w:rPr>
        <w:t>firm</w:t>
      </w:r>
      <w:r w:rsidRPr="00C57933">
        <w:rPr>
          <w:rFonts w:cs="Arial"/>
        </w:rPr>
        <w:t xml:space="preserve"> contractual commitments.</w:t>
      </w:r>
      <w:r w:rsidRPr="00BF55BC">
        <w:rPr>
          <w:rFonts w:eastAsia="Times New Roman"/>
          <w:b/>
          <w:bCs/>
          <w:iCs/>
          <w:color w:val="000000" w:themeColor="text1"/>
          <w:sz w:val="24"/>
          <w:szCs w:val="28"/>
        </w:rPr>
        <w:t xml:space="preserve"> </w:t>
      </w:r>
    </w:p>
    <w:p w:rsidR="00D2141F" w:rsidRPr="001947A9" w:rsidRDefault="00D2141F" w:rsidP="00D2141F">
      <w:r w:rsidRPr="00D56C58">
        <w:t xml:space="preserve">The recent and planned </w:t>
      </w:r>
      <w:r w:rsidR="00D837D8" w:rsidRPr="00D56C58">
        <w:t xml:space="preserve">expansion and other upgrades </w:t>
      </w:r>
      <w:r w:rsidRPr="00D56C58">
        <w:t>to the regional and interregional</w:t>
      </w:r>
      <w:r w:rsidRPr="003D59DA">
        <w:t xml:space="preserve"> natural gas infrastructure provide </w:t>
      </w:r>
      <w:r w:rsidR="00050EC2" w:rsidRPr="003D59DA">
        <w:t>initial steps</w:t>
      </w:r>
      <w:r w:rsidRPr="003D59DA">
        <w:t xml:space="preserve"> for expanding access to natural gas sources to meet New </w:t>
      </w:r>
      <w:r w:rsidRPr="00D56C58">
        <w:t xml:space="preserve">England’s increasing demand for natural gas to generate electric power. </w:t>
      </w:r>
      <w:r w:rsidR="00D837D8" w:rsidRPr="00D56C58">
        <w:t>More expansion will most likely be required, however.</w:t>
      </w:r>
    </w:p>
    <w:p w:rsidR="00D2141F" w:rsidRPr="00B03E5B" w:rsidRDefault="00D2141F" w:rsidP="005C6088">
      <w:pPr>
        <w:pStyle w:val="Heading3"/>
        <w:rPr>
          <w:rFonts w:eastAsia="Times New Roman"/>
        </w:rPr>
      </w:pPr>
      <w:bookmarkStart w:id="716" w:name="_Ref388448569"/>
      <w:bookmarkStart w:id="717" w:name="_Ref388709806"/>
      <w:bookmarkStart w:id="718" w:name="_Ref388710190"/>
      <w:bookmarkStart w:id="719" w:name="_Ref388710723"/>
      <w:bookmarkStart w:id="720" w:name="_Toc396807659"/>
      <w:r>
        <w:rPr>
          <w:rFonts w:eastAsia="Times New Roman"/>
        </w:rPr>
        <w:t xml:space="preserve">Overview of </w:t>
      </w:r>
      <w:proofErr w:type="gramStart"/>
      <w:r w:rsidRPr="00993828">
        <w:rPr>
          <w:rFonts w:eastAsia="Times New Roman"/>
        </w:rPr>
        <w:t>Winter</w:t>
      </w:r>
      <w:proofErr w:type="gramEnd"/>
      <w:r w:rsidRPr="00993828">
        <w:rPr>
          <w:rFonts w:eastAsia="Times New Roman"/>
        </w:rPr>
        <w:t xml:space="preserve"> 201</w:t>
      </w:r>
      <w:r>
        <w:rPr>
          <w:rFonts w:eastAsia="Times New Roman"/>
        </w:rPr>
        <w:t>3</w:t>
      </w:r>
      <w:r w:rsidRPr="00993828">
        <w:rPr>
          <w:rFonts w:eastAsia="Times New Roman"/>
        </w:rPr>
        <w:t>/201</w:t>
      </w:r>
      <w:r>
        <w:rPr>
          <w:rFonts w:eastAsia="Times New Roman"/>
        </w:rPr>
        <w:t>4</w:t>
      </w:r>
      <w:r w:rsidRPr="00993828">
        <w:rPr>
          <w:rFonts w:eastAsia="Times New Roman"/>
        </w:rPr>
        <w:t xml:space="preserve"> Operations</w:t>
      </w:r>
      <w:bookmarkEnd w:id="716"/>
      <w:bookmarkEnd w:id="717"/>
      <w:bookmarkEnd w:id="718"/>
      <w:bookmarkEnd w:id="719"/>
      <w:bookmarkEnd w:id="720"/>
    </w:p>
    <w:p w:rsidR="00D2141F" w:rsidRDefault="00D2141F" w:rsidP="00B906C3">
      <w:r w:rsidRPr="00217BF0">
        <w:t xml:space="preserve">While the region already recognized </w:t>
      </w:r>
      <w:r>
        <w:t xml:space="preserve">several </w:t>
      </w:r>
      <w:r w:rsidRPr="00217BF0">
        <w:t>risks to the reliable operation of the regional power system, these risks became significantly more evident during 201</w:t>
      </w:r>
      <w:r>
        <w:t>3</w:t>
      </w:r>
      <w:r w:rsidRPr="00217BF0">
        <w:t>/201</w:t>
      </w:r>
      <w:r>
        <w:t>4</w:t>
      </w:r>
      <w:r w:rsidRPr="00217BF0">
        <w:t xml:space="preserve"> winter operations</w:t>
      </w:r>
      <w:r>
        <w:t xml:space="preserve">. System operators faced challenges due to the combination of high winter loads resulting from cold weather and </w:t>
      </w:r>
      <w:r w:rsidR="0048193B">
        <w:t xml:space="preserve">the </w:t>
      </w:r>
      <w:r>
        <w:t xml:space="preserve">limited </w:t>
      </w:r>
      <w:r w:rsidR="0048193B">
        <w:t xml:space="preserve">supply of </w:t>
      </w:r>
      <w:r>
        <w:t xml:space="preserve">natural gas and oil used to fuel generating units, which limited the energy production of these </w:t>
      </w:r>
      <w:r w:rsidRPr="001D0239">
        <w:t>units. The sections that follow summarize the specifics of these winter events.</w:t>
      </w:r>
    </w:p>
    <w:p w:rsidR="00D2141F" w:rsidRDefault="00D2141F" w:rsidP="00B906C3">
      <w:r w:rsidRPr="001D0239">
        <w:t xml:space="preserve">According to the EIA, winter temperatures across much of the eastern United States (east of the Rocky Mountains) were significantly colder in 2013/2014 compared with the same period in 2012/2013 (October to February). The Northeast was 13% colder than </w:t>
      </w:r>
      <w:r w:rsidR="0048193B">
        <w:t>winter 2012/2013</w:t>
      </w:r>
      <w:r w:rsidRPr="001D0239">
        <w:t>, which led to increased consumption and prices for the fuels used for space heating and electric energy production.</w:t>
      </w:r>
      <w:r w:rsidRPr="001D0239">
        <w:rPr>
          <w:rStyle w:val="FootnoteReference"/>
        </w:rPr>
        <w:footnoteReference w:id="264"/>
      </w:r>
      <w:r w:rsidRPr="001D0239" w:rsidDel="00FA63DF">
        <w:t xml:space="preserve"> </w:t>
      </w:r>
      <w:r w:rsidRPr="001D0239">
        <w:t>While the overall winter seasonal temperatures in New England were close to the long-term average, several cold snaps were very severe.</w:t>
      </w:r>
      <w:r w:rsidRPr="001D0239">
        <w:rPr>
          <w:rStyle w:val="FootnoteReference"/>
        </w:rPr>
        <w:footnoteReference w:id="265"/>
      </w:r>
      <w:r w:rsidRPr="00130DF8">
        <w:t xml:space="preserve"> </w:t>
      </w:r>
    </w:p>
    <w:p w:rsidR="0048193B" w:rsidRDefault="00D2141F" w:rsidP="00B906C3">
      <w:r w:rsidRPr="001D0239">
        <w:t xml:space="preserve">New England experienced </w:t>
      </w:r>
      <w:r w:rsidRPr="001D0239">
        <w:rPr>
          <w:iCs/>
        </w:rPr>
        <w:t>sustained</w:t>
      </w:r>
      <w:r w:rsidRPr="001D0239">
        <w:t>, high natural gas prices during the winter, result</w:t>
      </w:r>
      <w:r w:rsidR="0048193B">
        <w:t>ing</w:t>
      </w:r>
      <w:r w:rsidRPr="001D0239">
        <w:t xml:space="preserve"> in many oil-fired generators operating in economic merit.</w:t>
      </w:r>
      <w:r w:rsidRPr="001D0239">
        <w:rPr>
          <w:rStyle w:val="FootnoteReference"/>
        </w:rPr>
        <w:footnoteReference w:id="266"/>
      </w:r>
      <w:r w:rsidRPr="001D0239">
        <w:t xml:space="preserve"> Although gas pipelines were often operating at their maximum levels to supply local distribution companies (LDCs) that in turn supply retail natural gas </w:t>
      </w:r>
      <w:r w:rsidRPr="00B163DA">
        <w:t>customers (with fuel for space heating), the ISO frequently operated with little gas-fired power</w:t>
      </w:r>
      <w:r w:rsidRPr="009021EE">
        <w:t xml:space="preserve"> generation</w:t>
      </w:r>
      <w:r w:rsidRPr="00454C79">
        <w:t xml:space="preserve">. </w:t>
      </w:r>
      <w:r>
        <w:t>Because of the limitations of natural gas fuel for generators, the region relied on oil-fired generation for electric system reliability at a time when o</w:t>
      </w:r>
      <w:r w:rsidRPr="00CD4C0E">
        <w:t>il supply chain</w:t>
      </w:r>
      <w:r>
        <w:t>s</w:t>
      </w:r>
      <w:r w:rsidRPr="00CD4C0E">
        <w:t xml:space="preserve"> </w:t>
      </w:r>
      <w:r>
        <w:t xml:space="preserve">also became </w:t>
      </w:r>
      <w:r w:rsidRPr="00CD4C0E">
        <w:t>increasingly constrained</w:t>
      </w:r>
      <w:r>
        <w:t xml:space="preserve">. The oil steam units often ran at full output, even during the </w:t>
      </w:r>
      <w:r w:rsidR="009830FD">
        <w:t>over</w:t>
      </w:r>
      <w:r>
        <w:t>night</w:t>
      </w:r>
      <w:r w:rsidR="009830FD">
        <w:t xml:space="preserve"> hours</w:t>
      </w:r>
      <w:r>
        <w:t xml:space="preserve">, which reduced their oil inventories. Internal combustion units (ICUs) had extensive run times but limited onsite </w:t>
      </w:r>
      <w:r w:rsidR="0020565C">
        <w:t xml:space="preserve">capabilities for </w:t>
      </w:r>
      <w:r>
        <w:t xml:space="preserve">oil storage. </w:t>
      </w:r>
    </w:p>
    <w:p w:rsidR="00D2141F" w:rsidRDefault="00D2141F" w:rsidP="00B906C3">
      <w:r>
        <w:t>With v</w:t>
      </w:r>
      <w:r w:rsidRPr="00CD4C0E">
        <w:t xml:space="preserve">irtually </w:t>
      </w:r>
      <w:r>
        <w:t xml:space="preserve">all the natural gas- and oil-fired generators </w:t>
      </w:r>
      <w:r w:rsidRPr="00CD4C0E">
        <w:t>operating with limited fuel inventories</w:t>
      </w:r>
      <w:r>
        <w:t xml:space="preserve"> and constrained energy-production capabilities, the reliable operation of the grid proved </w:t>
      </w:r>
      <w:r w:rsidRPr="001D0239">
        <w:t>challenging for the ISO. During the coldest days, the ISO carried gas-fired units as reserves, but the increased dispatches to provide these reserves further stressed the gas pipelines for covering non-gas-fired contingencies. Carrying these reserves also</w:t>
      </w:r>
      <w:r w:rsidRPr="00454C79">
        <w:t xml:space="preserve"> increased out-of-market generation because </w:t>
      </w:r>
      <w:r w:rsidR="009830FD">
        <w:t xml:space="preserve">certain </w:t>
      </w:r>
      <w:r w:rsidRPr="00454C79">
        <w:t xml:space="preserve">gas units have high </w:t>
      </w:r>
      <w:r w:rsidRPr="00B1114A">
        <w:t>start-up and no-load costs, further exacerbated by high natural gas prices</w:t>
      </w:r>
      <w:r w:rsidR="00B1114A" w:rsidRPr="00B1114A">
        <w:t xml:space="preserve"> during this winter</w:t>
      </w:r>
      <w:r w:rsidRPr="00B1114A">
        <w:t>.</w:t>
      </w:r>
      <w:r>
        <w:t xml:space="preserve"> </w:t>
      </w:r>
    </w:p>
    <w:p w:rsidR="00D2141F" w:rsidRDefault="00927965" w:rsidP="00B906C3">
      <w:fldSimple w:instr=" REF _Ref388529934 \h  \* MERGEFORMAT ">
        <w:r w:rsidR="00284CE3" w:rsidRPr="0026405F">
          <w:t xml:space="preserve">Figure </w:t>
        </w:r>
        <w:r w:rsidR="00284CE3">
          <w:rPr>
            <w:noProof/>
          </w:rPr>
          <w:t>6</w:t>
        </w:r>
        <w:r w:rsidR="00284CE3" w:rsidRPr="0026405F">
          <w:rPr>
            <w:noProof/>
          </w:rPr>
          <w:noBreakHyphen/>
        </w:r>
        <w:r w:rsidR="00284CE3">
          <w:rPr>
            <w:noProof/>
          </w:rPr>
          <w:t>6</w:t>
        </w:r>
      </w:fldSimple>
      <w:r w:rsidR="00D2141F" w:rsidRPr="001D0239">
        <w:t xml:space="preserve"> shows the monthly generation energy production by fuel type for winter 2013/2014. The ISO’s </w:t>
      </w:r>
      <w:r w:rsidR="007D5419">
        <w:t xml:space="preserve">2013/2014 </w:t>
      </w:r>
      <w:r w:rsidR="00D2141F" w:rsidRPr="001D0239">
        <w:t>Winter Reliability Solutions Program was instrumental in maintaining required fuel supplies during this time.</w:t>
      </w:r>
      <w:r w:rsidR="00D2141F" w:rsidRPr="001D0239">
        <w:rPr>
          <w:rStyle w:val="FootnoteReference"/>
        </w:rPr>
        <w:footnoteReference w:id="267"/>
      </w:r>
      <w:r w:rsidR="00D2141F" w:rsidRPr="001D0239">
        <w:t xml:space="preserve"> The use of oil-fired generators was vitally important to the reliability of the ISO system, and units that</w:t>
      </w:r>
      <w:r w:rsidR="00D2141F">
        <w:t xml:space="preserve"> </w:t>
      </w:r>
      <w:r w:rsidR="00D2141F" w:rsidRPr="00CD4C0E">
        <w:t xml:space="preserve">had </w:t>
      </w:r>
      <w:r w:rsidR="00D2141F" w:rsidRPr="00130DF8">
        <w:t xml:space="preserve">significant oil inventory at the beginning of winter showed the </w:t>
      </w:r>
      <w:r w:rsidR="00D2141F">
        <w:t>most reliable</w:t>
      </w:r>
      <w:r w:rsidR="00D2141F" w:rsidRPr="001D0239">
        <w:t xml:space="preserve"> performance</w:t>
      </w:r>
      <w:r w:rsidR="00D2141F">
        <w:t xml:space="preserve">, although </w:t>
      </w:r>
      <w:r w:rsidR="00D2141F" w:rsidRPr="00130DF8">
        <w:t>replenish</w:t>
      </w:r>
      <w:r w:rsidR="00D2141F">
        <w:t xml:space="preserve">ing the </w:t>
      </w:r>
      <w:r w:rsidR="00D2141F" w:rsidRPr="00130DF8">
        <w:t>oil</w:t>
      </w:r>
      <w:r w:rsidR="00D2141F">
        <w:t xml:space="preserve"> midwinter </w:t>
      </w:r>
      <w:r w:rsidR="00D2141F" w:rsidRPr="00130DF8">
        <w:t xml:space="preserve">proved difficult. </w:t>
      </w:r>
      <w:fldSimple w:instr=" REF _Ref388529959 \h  \* MERGEFORMAT ">
        <w:r w:rsidR="00284CE3">
          <w:t xml:space="preserve">Figure </w:t>
        </w:r>
        <w:r w:rsidR="00284CE3">
          <w:rPr>
            <w:noProof/>
          </w:rPr>
          <w:t>6</w:t>
        </w:r>
        <w:r w:rsidR="00284CE3">
          <w:rPr>
            <w:noProof/>
          </w:rPr>
          <w:noBreakHyphen/>
          <w:t>7</w:t>
        </w:r>
      </w:fldSimple>
      <w:r w:rsidR="0048193B">
        <w:t xml:space="preserve"> </w:t>
      </w:r>
      <w:r w:rsidR="00D2141F">
        <w:t>shows the depletion of oil storage over winter 2013/2014 based on ISO surveys conducted the first of every month.</w:t>
      </w:r>
      <w:r w:rsidR="009830FD">
        <w:t xml:space="preserve"> The amount of oil storage </w:t>
      </w:r>
      <w:proofErr w:type="gramStart"/>
      <w:r w:rsidR="009830FD">
        <w:t>is expressed</w:t>
      </w:r>
      <w:proofErr w:type="gramEnd"/>
      <w:r w:rsidR="009830FD">
        <w:t xml:space="preserve"> as the number of 24-hour days the oil generators could run at the indicated megawatt output.</w:t>
      </w:r>
    </w:p>
    <w:p w:rsidR="00D2141F" w:rsidRDefault="00D2141F" w:rsidP="00B906C3"/>
    <w:p w:rsidR="00D2141F" w:rsidRDefault="00D2141F" w:rsidP="00D2141F">
      <w:pPr>
        <w:spacing w:after="0" w:line="240" w:lineRule="auto"/>
        <w:jc w:val="center"/>
      </w:pPr>
    </w:p>
    <w:p w:rsidR="005B461D" w:rsidRDefault="005B461D" w:rsidP="00D2141F">
      <w:pPr>
        <w:spacing w:after="0" w:line="240" w:lineRule="auto"/>
        <w:jc w:val="center"/>
      </w:pPr>
    </w:p>
    <w:p w:rsidR="008B6C59" w:rsidRDefault="008B6C59" w:rsidP="00D2141F">
      <w:pPr>
        <w:spacing w:after="0" w:line="240" w:lineRule="auto"/>
        <w:jc w:val="center"/>
      </w:pPr>
    </w:p>
    <w:p w:rsidR="008B6C59" w:rsidRDefault="008B6C59" w:rsidP="00D2141F">
      <w:pPr>
        <w:spacing w:after="0" w:line="240" w:lineRule="auto"/>
        <w:jc w:val="center"/>
      </w:pPr>
      <w:r>
        <w:rPr>
          <w:noProof/>
        </w:rPr>
        <w:drawing>
          <wp:inline distT="0" distB="0" distL="0" distR="0">
            <wp:extent cx="5486231" cy="3227733"/>
            <wp:effectExtent l="19050" t="19050" r="19219" b="10767"/>
            <wp:docPr id="27" name="Picture 26" descr="carol_renew_rs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_renew_rsp.emf"/>
                    <pic:cNvPicPr/>
                  </pic:nvPicPr>
                  <pic:blipFill>
                    <a:blip r:embed="rId61" cstate="print"/>
                    <a:stretch>
                      <a:fillRect/>
                    </a:stretch>
                  </pic:blipFill>
                  <pic:spPr>
                    <a:xfrm>
                      <a:off x="0" y="0"/>
                      <a:ext cx="5488649" cy="3229156"/>
                    </a:xfrm>
                    <a:prstGeom prst="rect">
                      <a:avLst/>
                    </a:prstGeom>
                    <a:ln w="3175">
                      <a:solidFill>
                        <a:schemeClr val="tx1"/>
                      </a:solidFill>
                    </a:ln>
                  </pic:spPr>
                </pic:pic>
              </a:graphicData>
            </a:graphic>
          </wp:inline>
        </w:drawing>
      </w:r>
    </w:p>
    <w:p w:rsidR="00D2141F" w:rsidRDefault="00D837D8" w:rsidP="00E82840">
      <w:pPr>
        <w:pStyle w:val="Caption-Figure"/>
        <w:spacing w:after="240"/>
        <w:ind w:left="180" w:right="90"/>
      </w:pPr>
      <w:bookmarkStart w:id="721" w:name="_Ref388529934"/>
      <w:bookmarkStart w:id="722" w:name="_Toc391985581"/>
      <w:r w:rsidRPr="0026405F">
        <w:t xml:space="preserve">Figure </w:t>
      </w:r>
      <w:fldSimple w:instr=" STYLEREF 1 \s ">
        <w:r w:rsidR="00284CE3">
          <w:rPr>
            <w:noProof/>
          </w:rPr>
          <w:t>6</w:t>
        </w:r>
      </w:fldSimple>
      <w:r w:rsidRPr="0026405F">
        <w:noBreakHyphen/>
      </w:r>
      <w:fldSimple w:instr=" SEQ Figure \* ARABIC \s 1 ">
        <w:r w:rsidR="00284CE3">
          <w:rPr>
            <w:noProof/>
          </w:rPr>
          <w:t>6</w:t>
        </w:r>
      </w:fldSimple>
      <w:bookmarkEnd w:id="721"/>
      <w:r w:rsidRPr="0026405F">
        <w:t>: Generator energy production by fuel type for December 2013, and January, February, and March 2014.</w:t>
      </w:r>
      <w:bookmarkEnd w:id="722"/>
    </w:p>
    <w:p w:rsidR="00D2141F" w:rsidRDefault="00C27315" w:rsidP="008D61C8">
      <w:pPr>
        <w:spacing w:after="0" w:line="240" w:lineRule="auto"/>
        <w:jc w:val="center"/>
      </w:pPr>
      <w:r w:rsidRPr="00C27315">
        <w:rPr>
          <w:noProof/>
        </w:rPr>
        <w:drawing>
          <wp:inline distT="0" distB="0" distL="0" distR="0">
            <wp:extent cx="5490371" cy="3092450"/>
            <wp:effectExtent l="19050" t="19050" r="15079" b="1270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490371" cy="3092450"/>
                    </a:xfrm>
                    <a:prstGeom prst="rect">
                      <a:avLst/>
                    </a:prstGeom>
                    <a:noFill/>
                    <a:ln w="3175">
                      <a:solidFill>
                        <a:schemeClr val="tx1"/>
                      </a:solidFill>
                      <a:miter lim="800000"/>
                      <a:headEnd/>
                      <a:tailEnd/>
                    </a:ln>
                  </pic:spPr>
                </pic:pic>
              </a:graphicData>
            </a:graphic>
          </wp:inline>
        </w:drawing>
      </w:r>
    </w:p>
    <w:p w:rsidR="00D2141F" w:rsidRDefault="00D2141F" w:rsidP="00E82840">
      <w:pPr>
        <w:pStyle w:val="Caption-Figure"/>
        <w:spacing w:after="240"/>
        <w:ind w:left="180"/>
      </w:pPr>
      <w:bookmarkStart w:id="723" w:name="_Ref388529959"/>
      <w:bookmarkStart w:id="724" w:name="_Toc391985582"/>
      <w:r>
        <w:t xml:space="preserve">Figure </w:t>
      </w:r>
      <w:r w:rsidR="00927965">
        <w:fldChar w:fldCharType="begin"/>
      </w:r>
      <w:r w:rsidR="0011163E">
        <w:instrText xml:space="preserve"> STYLEREF 1 \s </w:instrText>
      </w:r>
      <w:r w:rsidR="00927965">
        <w:fldChar w:fldCharType="separate"/>
      </w:r>
      <w:r w:rsidR="00284CE3">
        <w:rPr>
          <w:noProof/>
        </w:rPr>
        <w:t>6</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7</w:t>
      </w:r>
      <w:r w:rsidR="00927965">
        <w:fldChar w:fldCharType="end"/>
      </w:r>
      <w:bookmarkEnd w:id="723"/>
      <w:r w:rsidRPr="00AC0CE3">
        <w:t>: Depletion of oil storage inventories at regional generation facilities</w:t>
      </w:r>
      <w:r>
        <w:t>.</w:t>
      </w:r>
      <w:bookmarkEnd w:id="724"/>
      <w:r>
        <w:t xml:space="preserve"> </w:t>
      </w:r>
    </w:p>
    <w:p w:rsidR="00D2141F" w:rsidRDefault="00DE3371" w:rsidP="00D2141F">
      <w:r>
        <w:t>Replenishing o</w:t>
      </w:r>
      <w:r w:rsidR="00D2141F" w:rsidRPr="0082333C">
        <w:t xml:space="preserve">il </w:t>
      </w:r>
      <w:r>
        <w:t xml:space="preserve">during cold weather </w:t>
      </w:r>
      <w:r w:rsidR="00D2141F" w:rsidRPr="0082333C">
        <w:t xml:space="preserve">is challenging </w:t>
      </w:r>
      <w:r>
        <w:t xml:space="preserve">for </w:t>
      </w:r>
      <w:r w:rsidR="00076798" w:rsidRPr="009D2948">
        <w:t>generating units</w:t>
      </w:r>
      <w:r w:rsidR="00CD0FB3" w:rsidRPr="009D2948">
        <w:t xml:space="preserve">. This was </w:t>
      </w:r>
      <w:r w:rsidR="00D2141F" w:rsidRPr="009D2948">
        <w:t xml:space="preserve">demonstrated by </w:t>
      </w:r>
      <w:r w:rsidRPr="009D2948">
        <w:t xml:space="preserve">the difficulties with oil </w:t>
      </w:r>
      <w:proofErr w:type="gramStart"/>
      <w:r w:rsidRPr="009D2948">
        <w:t xml:space="preserve">transportation and availability </w:t>
      </w:r>
      <w:r w:rsidR="00D2141F" w:rsidRPr="009D2948">
        <w:t xml:space="preserve">in New England and other regions </w:t>
      </w:r>
      <w:r w:rsidR="00D431C1" w:rsidRPr="009D2948">
        <w:t>during win</w:t>
      </w:r>
      <w:r w:rsidR="00C104AA" w:rsidRPr="009D2948">
        <w:t>t</w:t>
      </w:r>
      <w:r w:rsidR="00D431C1" w:rsidRPr="009D2948">
        <w:t>er 2013/2014</w:t>
      </w:r>
      <w:r w:rsidR="00CD0FB3" w:rsidRPr="009D2948">
        <w:t xml:space="preserve"> </w:t>
      </w:r>
      <w:r w:rsidR="00D2141F" w:rsidRPr="009D2948">
        <w:t xml:space="preserve">and </w:t>
      </w:r>
      <w:r w:rsidR="0020565C">
        <w:t xml:space="preserve">the </w:t>
      </w:r>
      <w:r w:rsidR="00D2141F" w:rsidRPr="009D2948">
        <w:t xml:space="preserve">environmental concerns </w:t>
      </w:r>
      <w:r w:rsidRPr="009D2948">
        <w:t>about</w:t>
      </w:r>
      <w:r w:rsidR="00D2141F" w:rsidRPr="009D2948">
        <w:t xml:space="preserve"> greater emissions from</w:t>
      </w:r>
      <w:r w:rsidR="00D2141F" w:rsidRPr="001D0239">
        <w:t xml:space="preserve"> oil-fired plants compared with natural-gas-fired and other lower-emitting facilities (see Sectio</w:t>
      </w:r>
      <w:r w:rsidR="00D2141F" w:rsidRPr="00FC6FA0">
        <w:t xml:space="preserve">n </w:t>
      </w:r>
      <w:r w:rsidR="00927965">
        <w:fldChar w:fldCharType="begin"/>
      </w:r>
      <w:r w:rsidR="005A39F4">
        <w:instrText xml:space="preserve"> REF _Ref388962881 \r \h </w:instrText>
      </w:r>
      <w:r w:rsidR="00927965">
        <w:fldChar w:fldCharType="separate"/>
      </w:r>
      <w:r w:rsidR="00284CE3">
        <w:t>6.3</w:t>
      </w:r>
      <w:r w:rsidR="00927965">
        <w:fldChar w:fldCharType="end"/>
      </w:r>
      <w:proofErr w:type="gramEnd"/>
      <w:r w:rsidR="00D2141F" w:rsidRPr="00FC6FA0">
        <w:t>)</w:t>
      </w:r>
      <w:r w:rsidR="00D2141F">
        <w:t>.</w:t>
      </w:r>
      <w:r w:rsidR="00D2141F" w:rsidRPr="00FC6FA0">
        <w:t xml:space="preserve"> Barge</w:t>
      </w:r>
      <w:r w:rsidR="00D2141F" w:rsidRPr="0082333C">
        <w:t xml:space="preserve"> transportation</w:t>
      </w:r>
      <w:r w:rsidR="00D2141F">
        <w:t xml:space="preserve"> is difficult to secure and often slowed in the Northeast when </w:t>
      </w:r>
      <w:r w:rsidR="00D2141F" w:rsidRPr="00643D5C">
        <w:t>winter</w:t>
      </w:r>
      <w:r w:rsidR="00D2141F">
        <w:t xml:space="preserve"> </w:t>
      </w:r>
      <w:r w:rsidR="00D2141F" w:rsidRPr="0082333C">
        <w:t xml:space="preserve">weather </w:t>
      </w:r>
      <w:r w:rsidR="00D2141F" w:rsidRPr="00F24AD4">
        <w:t xml:space="preserve">is a concern (but also with the limited ability to transport cargo through shallow areas any time of the year). </w:t>
      </w:r>
      <w:r w:rsidR="00CD0FB3">
        <w:t xml:space="preserve">The limited availability of trucks and restrictions on the number of hours drivers </w:t>
      </w:r>
      <w:proofErr w:type="gramStart"/>
      <w:r w:rsidR="00CD0FB3">
        <w:t>are permitted</w:t>
      </w:r>
      <w:proofErr w:type="gramEnd"/>
      <w:r w:rsidR="00CD0FB3">
        <w:t xml:space="preserve"> to operate constrain t</w:t>
      </w:r>
      <w:r w:rsidR="00D2141F" w:rsidRPr="00F24AD4">
        <w:t xml:space="preserve">he availability of </w:t>
      </w:r>
      <w:r w:rsidR="00D431C1" w:rsidRPr="009D2948">
        <w:t xml:space="preserve">trucking </w:t>
      </w:r>
      <w:r w:rsidR="00D2141F" w:rsidRPr="009D2948">
        <w:t>oil, especially no. 6 oil</w:t>
      </w:r>
      <w:r w:rsidR="00D2141F">
        <w:t>.</w:t>
      </w:r>
      <w:r w:rsidR="00D2141F">
        <w:rPr>
          <w:rStyle w:val="FootnoteReference"/>
        </w:rPr>
        <w:footnoteReference w:id="268"/>
      </w:r>
      <w:r w:rsidR="00D2141F">
        <w:t xml:space="preserve"> </w:t>
      </w:r>
      <w:r w:rsidR="00C30556">
        <w:t>Additionally</w:t>
      </w:r>
      <w:r w:rsidR="00D2141F">
        <w:t xml:space="preserve">, because </w:t>
      </w:r>
      <w:r w:rsidR="00CD0FB3">
        <w:t xml:space="preserve">no. 6 oil </w:t>
      </w:r>
      <w:r w:rsidR="00D2141F">
        <w:t xml:space="preserve">is </w:t>
      </w:r>
      <w:proofErr w:type="gramStart"/>
      <w:r w:rsidR="00D2141F">
        <w:t>a specialty</w:t>
      </w:r>
      <w:proofErr w:type="gramEnd"/>
      <w:r w:rsidR="00D2141F">
        <w:t xml:space="preserve"> oil primarily used by a limited number of electric power generators, </w:t>
      </w:r>
      <w:r w:rsidR="005F095D">
        <w:t>the</w:t>
      </w:r>
      <w:r w:rsidR="00C30556">
        <w:t xml:space="preserve"> delivery of this oil </w:t>
      </w:r>
      <w:r w:rsidR="005F095D">
        <w:t xml:space="preserve">must </w:t>
      </w:r>
      <w:r w:rsidR="00C30556">
        <w:t xml:space="preserve">be </w:t>
      </w:r>
      <w:r w:rsidR="00D2141F">
        <w:t>plann</w:t>
      </w:r>
      <w:r w:rsidR="00C30556">
        <w:t>ed in advance</w:t>
      </w:r>
      <w:r w:rsidR="00D2141F">
        <w:t xml:space="preserve">. Thus, no. 6 oil is less available during the winter months and not readily available on short </w:t>
      </w:r>
      <w:r w:rsidR="00D2141F" w:rsidRPr="00F24AD4">
        <w:t>notice</w:t>
      </w:r>
      <w:r w:rsidR="00D2141F">
        <w:t>.</w:t>
      </w:r>
    </w:p>
    <w:p w:rsidR="00D2141F" w:rsidRDefault="00D2141F" w:rsidP="00D2141F">
      <w:r>
        <w:t xml:space="preserve">The 2013/2014 </w:t>
      </w:r>
      <w:r w:rsidR="007D5419">
        <w:t xml:space="preserve">Winter </w:t>
      </w:r>
      <w:r>
        <w:t>Reliability Solutions Program expired after winter 2013/2014. T</w:t>
      </w:r>
      <w:r w:rsidRPr="00CD4C0E">
        <w:t xml:space="preserve">he ISO </w:t>
      </w:r>
      <w:r w:rsidR="00C30556">
        <w:t>has</w:t>
      </w:r>
      <w:r>
        <w:t xml:space="preserve"> </w:t>
      </w:r>
      <w:r w:rsidRPr="009D2948">
        <w:t>initiate</w:t>
      </w:r>
      <w:r w:rsidR="00C30556">
        <w:t>d</w:t>
      </w:r>
      <w:r w:rsidRPr="009D2948">
        <w:t xml:space="preserve"> a modified program for winter 2014/2015, which </w:t>
      </w:r>
      <w:r w:rsidR="00D431C1" w:rsidRPr="009D2948">
        <w:t>could prove</w:t>
      </w:r>
      <w:r w:rsidR="00CB4A4B" w:rsidRPr="009D2948">
        <w:t xml:space="preserve"> </w:t>
      </w:r>
      <w:r w:rsidRPr="009D2948">
        <w:t>more challenging, given the</w:t>
      </w:r>
      <w:r>
        <w:t xml:space="preserve"> </w:t>
      </w:r>
      <w:r w:rsidRPr="00CD4C0E">
        <w:t xml:space="preserve">retirement of </w:t>
      </w:r>
      <w:r>
        <w:t xml:space="preserve">the 619 MW Vermont Yankee nuclear unit by the end of </w:t>
      </w:r>
      <w:r w:rsidRPr="008D61C8">
        <w:t>2014 (</w:t>
      </w:r>
      <w:r w:rsidRPr="00BC3F33">
        <w:t xml:space="preserve">see Section </w:t>
      </w:r>
      <w:fldSimple w:instr=" REF _Ref387743694 \r \h  \* MERGEFORMAT ">
        <w:r w:rsidR="00284CE3">
          <w:t>4.1.3.3</w:t>
        </w:r>
      </w:fldSimple>
      <w:r w:rsidRPr="00BC3F33">
        <w:t>).</w:t>
      </w:r>
      <w:r w:rsidR="009830FD" w:rsidRPr="00BC3F33">
        <w:rPr>
          <w:rStyle w:val="FootnoteReference"/>
        </w:rPr>
        <w:footnoteReference w:id="269"/>
      </w:r>
      <w:r w:rsidRPr="00BC3F33">
        <w:t xml:space="preserve"> Actual operating conditions, however, will depend on a number of factors:</w:t>
      </w:r>
      <w:r>
        <w:t xml:space="preserve"> </w:t>
      </w:r>
    </w:p>
    <w:p w:rsidR="00D2141F" w:rsidRPr="00F24AD4" w:rsidRDefault="00D2141F" w:rsidP="00D2141F">
      <w:pPr>
        <w:numPr>
          <w:ilvl w:val="0"/>
          <w:numId w:val="567"/>
        </w:numPr>
        <w:spacing w:after="120"/>
      </w:pPr>
      <w:r w:rsidRPr="00F24AD4">
        <w:t>The severity of the winter weather</w:t>
      </w:r>
    </w:p>
    <w:p w:rsidR="00D2141F" w:rsidRPr="00F24AD4" w:rsidRDefault="00D2141F" w:rsidP="00D2141F">
      <w:pPr>
        <w:numPr>
          <w:ilvl w:val="0"/>
          <w:numId w:val="567"/>
        </w:numPr>
        <w:spacing w:after="120"/>
      </w:pPr>
      <w:r w:rsidRPr="00F24AD4">
        <w:t xml:space="preserve">The </w:t>
      </w:r>
      <w:r w:rsidR="00037461">
        <w:t xml:space="preserve">2014 year-end </w:t>
      </w:r>
      <w:r w:rsidRPr="00F24AD4">
        <w:t xml:space="preserve">implementation of market rule changes on offer flexibility, which will allow market participants to change their energy market offers during the operating day and improve their ability to reflect in their offers the </w:t>
      </w:r>
      <w:r w:rsidR="00037461">
        <w:t xml:space="preserve">real-time </w:t>
      </w:r>
      <w:r w:rsidRPr="00F24AD4">
        <w:t>cost</w:t>
      </w:r>
      <w:r w:rsidR="00037461">
        <w:t>s</w:t>
      </w:r>
      <w:r w:rsidRPr="00F24AD4">
        <w:t xml:space="preserve"> of obtaining fuel</w:t>
      </w:r>
      <w:r w:rsidRPr="00F24AD4">
        <w:rPr>
          <w:vertAlign w:val="superscript"/>
        </w:rPr>
        <w:footnoteReference w:id="270"/>
      </w:r>
    </w:p>
    <w:p w:rsidR="00D2141F" w:rsidRDefault="00D2141F" w:rsidP="00D2141F">
      <w:pPr>
        <w:numPr>
          <w:ilvl w:val="0"/>
          <w:numId w:val="567"/>
        </w:numPr>
        <w:spacing w:after="120"/>
      </w:pPr>
      <w:r>
        <w:t>FERC’s determination that generators have the obligation to procure fuel</w:t>
      </w:r>
      <w:r>
        <w:rPr>
          <w:rStyle w:val="FootnoteReference"/>
        </w:rPr>
        <w:footnoteReference w:id="271"/>
      </w:r>
    </w:p>
    <w:p w:rsidR="00D2141F" w:rsidRDefault="00D2141F" w:rsidP="00D2141F">
      <w:pPr>
        <w:numPr>
          <w:ilvl w:val="0"/>
          <w:numId w:val="567"/>
        </w:numPr>
      </w:pPr>
      <w:r>
        <w:t xml:space="preserve">Additional ISO actions that would mitigate fuel supply risks </w:t>
      </w:r>
    </w:p>
    <w:p w:rsidR="00D2141F" w:rsidRPr="000E27C8" w:rsidRDefault="00D2141F" w:rsidP="00D2141F">
      <w:r>
        <w:t>T</w:t>
      </w:r>
      <w:r w:rsidRPr="009E5A33">
        <w:t>he region is in a precarious position for the next several winters as major resources other than gas continue to retire and longer-term proposed market enhancements and energy</w:t>
      </w:r>
      <w:r w:rsidRPr="00CD4C0E">
        <w:t xml:space="preserve"> infrastructure </w:t>
      </w:r>
      <w:r w:rsidRPr="000E27C8">
        <w:t>improvements are years away.</w:t>
      </w:r>
    </w:p>
    <w:p w:rsidR="00D2141F" w:rsidRPr="000E27C8" w:rsidRDefault="00D2141F" w:rsidP="005C6088">
      <w:pPr>
        <w:pStyle w:val="Heading4"/>
      </w:pPr>
      <w:bookmarkStart w:id="725" w:name="_Ref388869235"/>
      <w:r w:rsidRPr="000E27C8">
        <w:t>Winter 2013/2014 Events</w:t>
      </w:r>
      <w:bookmarkEnd w:id="725"/>
    </w:p>
    <w:p w:rsidR="00D2141F" w:rsidRPr="00176C8A" w:rsidRDefault="00D2141F" w:rsidP="00D2141F">
      <w:r w:rsidRPr="000E27C8">
        <w:t xml:space="preserve">Two events during the winter 2013/2014 proved particularly challenging for ISO system operators. During December 2013, </w:t>
      </w:r>
      <w:r w:rsidR="00D837D8" w:rsidRPr="000E27C8">
        <w:t xml:space="preserve">loads higher than forecasted </w:t>
      </w:r>
      <w:r w:rsidR="0004175A" w:rsidRPr="000E27C8">
        <w:t>coupled with</w:t>
      </w:r>
      <w:r w:rsidR="00D837D8" w:rsidRPr="000E27C8">
        <w:t xml:space="preserve"> other conditions led to the</w:t>
      </w:r>
      <w:r w:rsidR="00075A35">
        <w:t xml:space="preserve"> </w:t>
      </w:r>
      <w:r w:rsidR="00D837D8" w:rsidRPr="000E27C8">
        <w:t xml:space="preserve">implementation of ISO operating </w:t>
      </w:r>
      <w:r w:rsidR="00B731DF" w:rsidRPr="000E27C8">
        <w:t>procedures</w:t>
      </w:r>
      <w:r w:rsidR="00D837D8" w:rsidRPr="000E27C8">
        <w:t xml:space="preserve"> </w:t>
      </w:r>
      <w:r w:rsidRPr="000E27C8">
        <w:t xml:space="preserve">to address capacity deficiencies. In January 2014, </w:t>
      </w:r>
      <w:r w:rsidR="00D837D8" w:rsidRPr="000E27C8">
        <w:t xml:space="preserve">ISO </w:t>
      </w:r>
      <w:r w:rsidR="004948B6" w:rsidRPr="000E27C8">
        <w:t xml:space="preserve">Operations </w:t>
      </w:r>
      <w:r w:rsidR="00D837D8" w:rsidRPr="000E27C8">
        <w:t xml:space="preserve">faced difficulties </w:t>
      </w:r>
      <w:r w:rsidR="00936C81" w:rsidRPr="000E27C8">
        <w:t>during extensive resource outages resulting from weather</w:t>
      </w:r>
      <w:r w:rsidR="00D837D8" w:rsidRPr="000E27C8">
        <w:t>, equipment failures, fuel constraints,</w:t>
      </w:r>
      <w:r w:rsidR="00DC62C4" w:rsidRPr="000E27C8">
        <w:t xml:space="preserve"> </w:t>
      </w:r>
      <w:r w:rsidR="00936C81" w:rsidRPr="000E27C8">
        <w:t>and other reasons.</w:t>
      </w:r>
      <w:r w:rsidR="004948B6" w:rsidRPr="000E27C8">
        <w:t xml:space="preserve"> </w:t>
      </w:r>
      <w:r w:rsidRPr="000E27C8">
        <w:t>Operating experience</w:t>
      </w:r>
      <w:r w:rsidRPr="00BA2357">
        <w:t xml:space="preserve"> during these events </w:t>
      </w:r>
      <w:r>
        <w:t>showed t</w:t>
      </w:r>
      <w:r w:rsidRPr="00176C8A">
        <w:t xml:space="preserve">he </w:t>
      </w:r>
      <w:r w:rsidRPr="00BA2357">
        <w:t>importance of communications between the ISO and the natural gas pipeline sector.</w:t>
      </w:r>
    </w:p>
    <w:p w:rsidR="00D2141F" w:rsidRPr="00176C8A" w:rsidRDefault="00D2141F" w:rsidP="00D2141F">
      <w:r w:rsidRPr="004E06CF">
        <w:rPr>
          <w:i/>
        </w:rPr>
        <w:t>Winter Events—December 2013.</w:t>
      </w:r>
      <w:r w:rsidRPr="004E06CF">
        <w:t xml:space="preserve"> On Saturday evening, December 14, 2013, the New England </w:t>
      </w:r>
      <w:r w:rsidRPr="009021EE">
        <w:t xml:space="preserve">Balancing </w:t>
      </w:r>
      <w:r w:rsidRPr="004E06CF">
        <w:t xml:space="preserve">Authority Area implemented M/LCC #2, </w:t>
      </w:r>
      <w:r w:rsidRPr="004E06CF">
        <w:rPr>
          <w:i/>
        </w:rPr>
        <w:t>Abnormal Conditions Alert,</w:t>
      </w:r>
      <w:r w:rsidRPr="004E06CF">
        <w:t xml:space="preserve"> and OP 4, </w:t>
      </w:r>
      <w:r w:rsidRPr="004E06CF">
        <w:rPr>
          <w:i/>
        </w:rPr>
        <w:t xml:space="preserve">Action </w:t>
      </w:r>
      <w:r>
        <w:rPr>
          <w:i/>
        </w:rPr>
        <w:t>d</w:t>
      </w:r>
      <w:r w:rsidRPr="004E06CF">
        <w:rPr>
          <w:i/>
        </w:rPr>
        <w:t xml:space="preserve">uring </w:t>
      </w:r>
      <w:r>
        <w:rPr>
          <w:i/>
        </w:rPr>
        <w:t>a</w:t>
      </w:r>
      <w:r w:rsidRPr="004E06CF">
        <w:rPr>
          <w:i/>
        </w:rPr>
        <w:t xml:space="preserve"> Capacity</w:t>
      </w:r>
      <w:r w:rsidRPr="00A83E3A">
        <w:rPr>
          <w:i/>
        </w:rPr>
        <w:t xml:space="preserve"> Deficiency</w:t>
      </w:r>
      <w:r>
        <w:t>,</w:t>
      </w:r>
      <w:r w:rsidRPr="003C079B">
        <w:t xml:space="preserve"> to manage a reserve deficiency on the system.</w:t>
      </w:r>
      <w:r>
        <w:rPr>
          <w:rStyle w:val="FootnoteReference"/>
        </w:rPr>
        <w:footnoteReference w:id="272"/>
      </w:r>
      <w:r>
        <w:t xml:space="preserve"> </w:t>
      </w:r>
      <w:r w:rsidRPr="003C079B">
        <w:t xml:space="preserve">The </w:t>
      </w:r>
      <w:r>
        <w:t>principal c</w:t>
      </w:r>
      <w:r w:rsidRPr="003C079B">
        <w:t xml:space="preserve">ontributing </w:t>
      </w:r>
      <w:r>
        <w:t>f</w:t>
      </w:r>
      <w:r w:rsidRPr="003C079B">
        <w:t xml:space="preserve">actors </w:t>
      </w:r>
      <w:r>
        <w:t xml:space="preserve">of </w:t>
      </w:r>
      <w:r w:rsidRPr="003C079B">
        <w:t>the deficiency included</w:t>
      </w:r>
      <w:r>
        <w:t xml:space="preserve"> net i</w:t>
      </w:r>
      <w:r w:rsidRPr="003C079B">
        <w:t xml:space="preserve">nterchange </w:t>
      </w:r>
      <w:r>
        <w:t>c</w:t>
      </w:r>
      <w:r w:rsidRPr="003C079B">
        <w:t xml:space="preserve">urtailments from </w:t>
      </w:r>
      <w:r>
        <w:t>n</w:t>
      </w:r>
      <w:r w:rsidRPr="003C079B">
        <w:t>eighboring systems</w:t>
      </w:r>
      <w:r w:rsidR="007013F2">
        <w:t>,</w:t>
      </w:r>
      <w:r>
        <w:t xml:space="preserve"> loads running over the forecast</w:t>
      </w:r>
      <w:r w:rsidR="007013F2">
        <w:t>,</w:t>
      </w:r>
      <w:r>
        <w:t xml:space="preserve"> and unexpected g</w:t>
      </w:r>
      <w:r w:rsidRPr="003C079B">
        <w:t xml:space="preserve">enerator </w:t>
      </w:r>
      <w:r>
        <w:t>o</w:t>
      </w:r>
      <w:r w:rsidRPr="003C079B">
        <w:t xml:space="preserve">utages and </w:t>
      </w:r>
      <w:r>
        <w:t>r</w:t>
      </w:r>
      <w:r w:rsidRPr="003C079B">
        <w:t xml:space="preserve">eductions </w:t>
      </w:r>
      <w:r>
        <w:t xml:space="preserve">of </w:t>
      </w:r>
      <w:r w:rsidRPr="003C079B">
        <w:t>approximately 400 MW</w:t>
      </w:r>
      <w:r>
        <w:t xml:space="preserve">. </w:t>
      </w:r>
      <w:r w:rsidRPr="003C079B">
        <w:t>The expected net deliveries for the peak hour were 3,277</w:t>
      </w:r>
      <w:r>
        <w:t xml:space="preserve"> </w:t>
      </w:r>
      <w:r w:rsidRPr="00BA2357">
        <w:t xml:space="preserve">MW, but the actual net deliveries were 2,591 MW </w:t>
      </w:r>
      <w:r w:rsidR="007013F2">
        <w:t xml:space="preserve">because of </w:t>
      </w:r>
      <w:r w:rsidRPr="00BA2357">
        <w:t>the curtailments. For the first 16 hours on that Saturday, the actual load and forecasted load were very</w:t>
      </w:r>
      <w:r w:rsidRPr="003C079B">
        <w:t xml:space="preserve"> close</w:t>
      </w:r>
      <w:r>
        <w:t>, but d</w:t>
      </w:r>
      <w:r w:rsidRPr="003C079B">
        <w:t>uring h</w:t>
      </w:r>
      <w:r>
        <w:t>our</w:t>
      </w:r>
      <w:r w:rsidR="007013F2">
        <w:t xml:space="preserve"> </w:t>
      </w:r>
      <w:r>
        <w:t>ending (HE) 5</w:t>
      </w:r>
      <w:r w:rsidRPr="003C079B">
        <w:t>:</w:t>
      </w:r>
      <w:r w:rsidR="00B44E45" w:rsidRPr="003C079B">
        <w:t>00</w:t>
      </w:r>
      <w:r w:rsidR="00B44E45">
        <w:t> </w:t>
      </w:r>
      <w:r>
        <w:t>p.m.</w:t>
      </w:r>
      <w:r w:rsidRPr="003C079B">
        <w:t>, the actual load started to diverge above the forecast value significantly</w:t>
      </w:r>
      <w:r>
        <w:t>,</w:t>
      </w:r>
      <w:r w:rsidRPr="003C079B">
        <w:t xml:space="preserve"> and </w:t>
      </w:r>
      <w:r w:rsidRPr="00176C8A">
        <w:t xml:space="preserve">ultimately </w:t>
      </w:r>
      <w:r>
        <w:t xml:space="preserve">it </w:t>
      </w:r>
      <w:r w:rsidRPr="00176C8A">
        <w:t>was 632 MW above the forecast.</w:t>
      </w:r>
      <w:r w:rsidRPr="00176C8A">
        <w:rPr>
          <w:rStyle w:val="FootnoteReference"/>
        </w:rPr>
        <w:footnoteReference w:id="273"/>
      </w:r>
      <w:r w:rsidRPr="00176C8A">
        <w:t xml:space="preserve"> </w:t>
      </w:r>
    </w:p>
    <w:p w:rsidR="00D2141F" w:rsidRDefault="00927965" w:rsidP="00D2141F">
      <w:r>
        <w:fldChar w:fldCharType="begin"/>
      </w:r>
      <w:r w:rsidR="007F3A39">
        <w:instrText xml:space="preserve"> REF _Ref388529978 \h </w:instrText>
      </w:r>
      <w:r>
        <w:fldChar w:fldCharType="separate"/>
      </w:r>
      <w:r w:rsidR="00284CE3" w:rsidRPr="002A1ABF">
        <w:t xml:space="preserve">Figure </w:t>
      </w:r>
      <w:r w:rsidR="00284CE3">
        <w:rPr>
          <w:noProof/>
        </w:rPr>
        <w:t>6</w:t>
      </w:r>
      <w:r w:rsidR="00284CE3" w:rsidRPr="002A1ABF">
        <w:noBreakHyphen/>
      </w:r>
      <w:r w:rsidR="00284CE3">
        <w:rPr>
          <w:noProof/>
        </w:rPr>
        <w:t>8</w:t>
      </w:r>
      <w:r>
        <w:fldChar w:fldCharType="end"/>
      </w:r>
      <w:r w:rsidR="00B30CBB">
        <w:t xml:space="preserve"> </w:t>
      </w:r>
      <w:r w:rsidR="00D2141F" w:rsidRPr="0032388E">
        <w:t xml:space="preserve">provides an overview of the system’s hourly real-time </w:t>
      </w:r>
      <w:r w:rsidR="00D2141F" w:rsidRPr="009021EE">
        <w:t>LMPs</w:t>
      </w:r>
      <w:r w:rsidR="00D2141F" w:rsidRPr="0032388E">
        <w:t xml:space="preserve"> for December 2013. The system</w:t>
      </w:r>
      <w:r w:rsidR="00D2141F" w:rsidRPr="00176C8A">
        <w:t xml:space="preserve"> experienced price variability </w:t>
      </w:r>
      <w:r w:rsidR="00D2141F">
        <w:t xml:space="preserve">because of the </w:t>
      </w:r>
      <w:r w:rsidR="00D2141F" w:rsidRPr="00176C8A">
        <w:t xml:space="preserve">tight capacity situations and fuel limitations to natural-gas-fired units during </w:t>
      </w:r>
      <w:r w:rsidR="00D2141F">
        <w:t xml:space="preserve">the </w:t>
      </w:r>
      <w:r w:rsidR="00D2141F" w:rsidRPr="00176C8A">
        <w:t>cold weather.</w:t>
      </w:r>
    </w:p>
    <w:p w:rsidR="00D2141F" w:rsidRDefault="00927965" w:rsidP="005C2E1B">
      <w:pPr>
        <w:keepNext/>
        <w:keepLines/>
        <w:autoSpaceDE w:val="0"/>
        <w:autoSpaceDN w:val="0"/>
        <w:adjustRightInd w:val="0"/>
        <w:spacing w:after="0" w:line="240" w:lineRule="auto"/>
        <w:rPr>
          <w:rFonts w:asciiTheme="majorHAnsi" w:hAnsiTheme="majorHAnsi"/>
          <w:color w:val="000000"/>
        </w:rPr>
      </w:pPr>
      <w:r>
        <w:rPr>
          <w:rFonts w:asciiTheme="majorHAnsi" w:hAnsiTheme="majorHAnsi"/>
          <w:color w:val="000000"/>
        </w:rPr>
      </w:r>
      <w:r>
        <w:rPr>
          <w:rFonts w:asciiTheme="majorHAnsi" w:hAnsiTheme="majorHAnsi"/>
          <w:color w:val="000000"/>
        </w:rPr>
        <w:pict>
          <v:group id="_x0000_s1027" editas="canvas" style="width:450pt;height:288.6pt;mso-position-horizontal-relative:char;mso-position-vertical-relative:line" coordsize="9000,57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000;height:5772" o:preferrelative="f" stroked="t" strokeweight=".25pt">
              <v:fill o:detectmouseclick="t"/>
              <v:path o:extrusionok="t" o:connecttype="none"/>
              <o:lock v:ext="edit" text="t"/>
            </v:shape>
            <v:shape id="_x0000_s1029" type="#_x0000_t75" style="position:absolute;left:11;top:11;width:8989;height:5761">
              <v:imagedata r:id="rId63" o:title=""/>
            </v:shape>
            <v:shape id="_x0000_s1030" type="#_x0000_t75" style="position:absolute;left:11;top:11;width:8989;height:5761">
              <v:imagedata r:id="rId64" o:title=""/>
            </v:shape>
            <w10:wrap type="none"/>
            <w10:anchorlock/>
          </v:group>
        </w:pict>
      </w:r>
    </w:p>
    <w:p w:rsidR="00D2141F" w:rsidRPr="002A1ABF" w:rsidRDefault="00D2141F" w:rsidP="005C2E1B">
      <w:pPr>
        <w:pStyle w:val="Caption-Figure"/>
      </w:pPr>
      <w:bookmarkStart w:id="726" w:name="_Ref388529978"/>
      <w:bookmarkStart w:id="727" w:name="_Toc391985583"/>
      <w:r w:rsidRPr="002A1ABF">
        <w:t xml:space="preserve">Figure </w:t>
      </w:r>
      <w:r w:rsidR="00927965" w:rsidRPr="002A1ABF">
        <w:fldChar w:fldCharType="begin"/>
      </w:r>
      <w:r w:rsidR="0011163E" w:rsidRPr="002A1ABF">
        <w:instrText xml:space="preserve"> STYLEREF 1 \s </w:instrText>
      </w:r>
      <w:r w:rsidR="00927965" w:rsidRPr="002A1ABF">
        <w:fldChar w:fldCharType="separate"/>
      </w:r>
      <w:r w:rsidR="00284CE3">
        <w:rPr>
          <w:noProof/>
        </w:rPr>
        <w:t>6</w:t>
      </w:r>
      <w:r w:rsidR="00927965" w:rsidRPr="002A1ABF">
        <w:fldChar w:fldCharType="end"/>
      </w:r>
      <w:r w:rsidR="0011163E" w:rsidRPr="002A1ABF">
        <w:noBreakHyphen/>
      </w:r>
      <w:r w:rsidR="00927965" w:rsidRPr="002A1ABF">
        <w:fldChar w:fldCharType="begin"/>
      </w:r>
      <w:r w:rsidR="0011163E" w:rsidRPr="002A1ABF">
        <w:instrText xml:space="preserve"> SEQ Figure \* ARABIC \s 1 </w:instrText>
      </w:r>
      <w:r w:rsidR="00927965" w:rsidRPr="002A1ABF">
        <w:fldChar w:fldCharType="separate"/>
      </w:r>
      <w:r w:rsidR="00284CE3">
        <w:rPr>
          <w:noProof/>
        </w:rPr>
        <w:t>8</w:t>
      </w:r>
      <w:r w:rsidR="00927965" w:rsidRPr="002A1ABF">
        <w:fldChar w:fldCharType="end"/>
      </w:r>
      <w:bookmarkEnd w:id="726"/>
      <w:r w:rsidRPr="002A1ABF">
        <w:t xml:space="preserve">: Hourly real-time </w:t>
      </w:r>
      <w:proofErr w:type="spellStart"/>
      <w:r w:rsidRPr="002A1ABF">
        <w:t>locational</w:t>
      </w:r>
      <w:proofErr w:type="spellEnd"/>
      <w:r w:rsidRPr="002A1ABF">
        <w:t xml:space="preserve"> marginal prices, December 1 to 31, 2013</w:t>
      </w:r>
      <w:r w:rsidR="0007592E" w:rsidRPr="002A1ABF">
        <w:t>.</w:t>
      </w:r>
      <w:bookmarkEnd w:id="727"/>
      <w:r w:rsidR="006E46EF" w:rsidRPr="002A1ABF">
        <w:t xml:space="preserve"> </w:t>
      </w:r>
    </w:p>
    <w:p w:rsidR="00DC62C4" w:rsidRDefault="00C50436">
      <w:pPr>
        <w:autoSpaceDE w:val="0"/>
        <w:autoSpaceDN w:val="0"/>
        <w:adjustRightInd w:val="0"/>
        <w:spacing w:line="240" w:lineRule="auto"/>
        <w:rPr>
          <w:rFonts w:asciiTheme="minorHAnsi" w:hAnsiTheme="minorHAnsi"/>
          <w:color w:val="000000"/>
          <w:sz w:val="18"/>
          <w:szCs w:val="18"/>
        </w:rPr>
      </w:pPr>
      <w:r w:rsidRPr="002A1ABF">
        <w:rPr>
          <w:rFonts w:asciiTheme="minorHAnsi" w:hAnsiTheme="minorHAnsi"/>
          <w:b/>
          <w:color w:val="000000"/>
          <w:sz w:val="18"/>
          <w:szCs w:val="18"/>
        </w:rPr>
        <w:t>Notes:</w:t>
      </w:r>
      <w:r w:rsidRPr="002A1ABF">
        <w:rPr>
          <w:rFonts w:asciiTheme="minorHAnsi" w:hAnsiTheme="minorHAnsi"/>
          <w:color w:val="000000"/>
          <w:sz w:val="18"/>
          <w:szCs w:val="18"/>
        </w:rPr>
        <w:t xml:space="preserve"> OP 4, Action 1</w:t>
      </w:r>
      <w:r w:rsidR="002A1ABF" w:rsidRPr="002A1ABF">
        <w:rPr>
          <w:rFonts w:asciiTheme="minorHAnsi" w:hAnsiTheme="minorHAnsi"/>
          <w:color w:val="000000"/>
          <w:sz w:val="18"/>
          <w:szCs w:val="18"/>
        </w:rPr>
        <w:t>,</w:t>
      </w:r>
      <w:r w:rsidRPr="002A1ABF">
        <w:rPr>
          <w:rFonts w:asciiTheme="minorHAnsi" w:hAnsiTheme="minorHAnsi"/>
          <w:color w:val="000000"/>
          <w:sz w:val="18"/>
          <w:szCs w:val="18"/>
        </w:rPr>
        <w:t xml:space="preserve"> calls for the ISO to inform all resources that a capacity shortage exists. </w:t>
      </w:r>
      <w:r w:rsidR="001E7570" w:rsidRPr="002A1ABF">
        <w:rPr>
          <w:rFonts w:asciiTheme="minorHAnsi" w:hAnsiTheme="minorHAnsi"/>
          <w:color w:val="000000"/>
          <w:sz w:val="18"/>
          <w:szCs w:val="18"/>
        </w:rPr>
        <w:t>A</w:t>
      </w:r>
      <w:r w:rsidRPr="002A1ABF">
        <w:rPr>
          <w:rFonts w:asciiTheme="minorHAnsi" w:hAnsiTheme="minorHAnsi"/>
          <w:color w:val="000000"/>
          <w:sz w:val="18"/>
          <w:szCs w:val="18"/>
        </w:rPr>
        <w:t xml:space="preserve">ction 2 calls for </w:t>
      </w:r>
      <w:r w:rsidRPr="002A1ABF">
        <w:rPr>
          <w:rFonts w:asciiTheme="minorHAnsi" w:hAnsiTheme="minorHAnsi"/>
          <w:sz w:val="18"/>
          <w:szCs w:val="18"/>
        </w:rPr>
        <w:t>the ISO to dispatch real-time demand resources in the amount and location required</w:t>
      </w:r>
      <w:r w:rsidRPr="002A1ABF">
        <w:rPr>
          <w:rFonts w:asciiTheme="minorHAnsi" w:hAnsiTheme="minorHAnsi"/>
          <w:color w:val="000000"/>
          <w:sz w:val="18"/>
          <w:szCs w:val="18"/>
        </w:rPr>
        <w:t>. Action 5 requires the ISO to arrange to purchase available emergency capacity an</w:t>
      </w:r>
      <w:r w:rsidR="009D61B7" w:rsidRPr="002A1ABF">
        <w:rPr>
          <w:rFonts w:asciiTheme="minorHAnsi" w:hAnsiTheme="minorHAnsi"/>
          <w:color w:val="000000"/>
          <w:sz w:val="18"/>
          <w:szCs w:val="18"/>
        </w:rPr>
        <w:t>d</w:t>
      </w:r>
      <w:r w:rsidRPr="002A1ABF">
        <w:rPr>
          <w:rFonts w:asciiTheme="minorHAnsi" w:hAnsiTheme="minorHAnsi"/>
          <w:color w:val="000000"/>
          <w:sz w:val="18"/>
          <w:szCs w:val="18"/>
        </w:rPr>
        <w:t xml:space="preserve"> energy, or energy only (if capacity is no</w:t>
      </w:r>
      <w:r w:rsidR="001E7570" w:rsidRPr="002A1ABF">
        <w:rPr>
          <w:rFonts w:asciiTheme="minorHAnsi" w:hAnsiTheme="minorHAnsi"/>
          <w:color w:val="000000"/>
          <w:sz w:val="18"/>
          <w:szCs w:val="18"/>
        </w:rPr>
        <w:t>t</w:t>
      </w:r>
      <w:r w:rsidRPr="002A1ABF">
        <w:rPr>
          <w:rFonts w:asciiTheme="minorHAnsi" w:hAnsiTheme="minorHAnsi"/>
          <w:color w:val="000000"/>
          <w:sz w:val="18"/>
          <w:szCs w:val="18"/>
        </w:rPr>
        <w:t xml:space="preserve"> available) from market participants or neighboring areas.</w:t>
      </w:r>
    </w:p>
    <w:p w:rsidR="00D2141F" w:rsidRDefault="00D2141F" w:rsidP="00D2141F">
      <w:proofErr w:type="gramStart"/>
      <w:r w:rsidRPr="00A83E3A">
        <w:rPr>
          <w:i/>
        </w:rPr>
        <w:t>Winter Events</w:t>
      </w:r>
      <w:r>
        <w:rPr>
          <w:i/>
        </w:rPr>
        <w:t>—</w:t>
      </w:r>
      <w:r w:rsidRPr="00A83E3A">
        <w:rPr>
          <w:i/>
        </w:rPr>
        <w:t>January 2014 (Polar Vortex).</w:t>
      </w:r>
      <w:proofErr w:type="gramEnd"/>
      <w:r>
        <w:t xml:space="preserve"> </w:t>
      </w:r>
      <w:r w:rsidRPr="00217564">
        <w:t>January 2, 3, 4, 7</w:t>
      </w:r>
      <w:r>
        <w:t>,</w:t>
      </w:r>
      <w:r w:rsidRPr="00217564">
        <w:t xml:space="preserve"> and 8 were among </w:t>
      </w:r>
      <w:r>
        <w:t xml:space="preserve">New England’s </w:t>
      </w:r>
      <w:r w:rsidRPr="00217564">
        <w:t>coldest 5% of days in the last 20 years, with daily average temperatures between 5</w:t>
      </w:r>
      <w:r>
        <w:t xml:space="preserve"> and </w:t>
      </w:r>
      <w:r w:rsidRPr="00217564">
        <w:t>12 degrees F</w:t>
      </w:r>
      <w:r>
        <w:t xml:space="preserve"> (°F)</w:t>
      </w:r>
      <w:r w:rsidRPr="00217564">
        <w:t>.</w:t>
      </w:r>
      <w:r>
        <w:rPr>
          <w:rStyle w:val="FootnoteReference"/>
        </w:rPr>
        <w:footnoteReference w:id="274"/>
      </w:r>
      <w:r w:rsidRPr="00217564">
        <w:t xml:space="preserve"> </w:t>
      </w:r>
      <w:r w:rsidRPr="00003857">
        <w:t>The</w:t>
      </w:r>
      <w:r>
        <w:rPr>
          <w:spacing w:val="-3"/>
        </w:rPr>
        <w:t xml:space="preserve"> </w:t>
      </w:r>
      <w:r>
        <w:rPr>
          <w:spacing w:val="-1"/>
        </w:rPr>
        <w:t>observed</w:t>
      </w:r>
      <w:r>
        <w:t xml:space="preserve"> </w:t>
      </w:r>
      <w:r>
        <w:rPr>
          <w:spacing w:val="-1"/>
        </w:rPr>
        <w:t>weather</w:t>
      </w:r>
      <w:r>
        <w:rPr>
          <w:spacing w:val="1"/>
        </w:rPr>
        <w:t xml:space="preserve"> </w:t>
      </w:r>
      <w:r>
        <w:rPr>
          <w:spacing w:val="-1"/>
        </w:rPr>
        <w:t>for</w:t>
      </w:r>
      <w:r>
        <w:rPr>
          <w:spacing w:val="-2"/>
        </w:rPr>
        <w:t xml:space="preserve"> </w:t>
      </w:r>
      <w:r>
        <w:rPr>
          <w:spacing w:val="-1"/>
        </w:rPr>
        <w:t>Hartford</w:t>
      </w:r>
      <w:r>
        <w:rPr>
          <w:spacing w:val="-3"/>
        </w:rPr>
        <w:t xml:space="preserve"> </w:t>
      </w:r>
      <w:r>
        <w:t xml:space="preserve">and </w:t>
      </w:r>
      <w:r>
        <w:rPr>
          <w:spacing w:val="-1"/>
        </w:rPr>
        <w:t>Boston</w:t>
      </w:r>
      <w:r>
        <w:rPr>
          <w:spacing w:val="-3"/>
        </w:rPr>
        <w:t xml:space="preserve"> </w:t>
      </w:r>
      <w:r>
        <w:rPr>
          <w:spacing w:val="-1"/>
        </w:rPr>
        <w:t>for</w:t>
      </w:r>
      <w:r>
        <w:rPr>
          <w:spacing w:val="-2"/>
        </w:rPr>
        <w:t xml:space="preserve"> </w:t>
      </w:r>
      <w:r>
        <w:rPr>
          <w:spacing w:val="-1"/>
        </w:rPr>
        <w:t>January</w:t>
      </w:r>
      <w:r>
        <w:rPr>
          <w:spacing w:val="-3"/>
        </w:rPr>
        <w:t xml:space="preserve"> </w:t>
      </w:r>
      <w:r>
        <w:rPr>
          <w:spacing w:val="-1"/>
        </w:rPr>
        <w:t>7</w:t>
      </w:r>
      <w:r>
        <w:rPr>
          <w:spacing w:val="17"/>
          <w:position w:val="10"/>
          <w:sz w:val="14"/>
        </w:rPr>
        <w:t xml:space="preserve"> </w:t>
      </w:r>
      <w:r>
        <w:rPr>
          <w:spacing w:val="-1"/>
        </w:rPr>
        <w:t>was</w:t>
      </w:r>
      <w:r>
        <w:t xml:space="preserve"> </w:t>
      </w:r>
      <w:r>
        <w:rPr>
          <w:spacing w:val="-1"/>
        </w:rPr>
        <w:t>colder</w:t>
      </w:r>
      <w:r>
        <w:t xml:space="preserve"> </w:t>
      </w:r>
      <w:r>
        <w:rPr>
          <w:spacing w:val="-1"/>
        </w:rPr>
        <w:t>than</w:t>
      </w:r>
      <w:r>
        <w:t xml:space="preserve"> </w:t>
      </w:r>
      <w:r>
        <w:rPr>
          <w:spacing w:val="-1"/>
        </w:rPr>
        <w:t xml:space="preserve">forecasted, </w:t>
      </w:r>
      <w:r>
        <w:t>and</w:t>
      </w:r>
      <w:r>
        <w:rPr>
          <w:spacing w:val="59"/>
        </w:rPr>
        <w:t xml:space="preserve"> </w:t>
      </w:r>
      <w:r>
        <w:t>loads</w:t>
      </w:r>
      <w:r>
        <w:rPr>
          <w:spacing w:val="-2"/>
        </w:rPr>
        <w:t xml:space="preserve"> </w:t>
      </w:r>
      <w:r>
        <w:rPr>
          <w:spacing w:val="-1"/>
        </w:rPr>
        <w:t>ran</w:t>
      </w:r>
      <w:r>
        <w:t xml:space="preserve"> approximately 370 MW </w:t>
      </w:r>
      <w:r>
        <w:rPr>
          <w:spacing w:val="-1"/>
        </w:rPr>
        <w:t>higher</w:t>
      </w:r>
      <w:r>
        <w:rPr>
          <w:spacing w:val="-2"/>
        </w:rPr>
        <w:t xml:space="preserve"> </w:t>
      </w:r>
      <w:r>
        <w:rPr>
          <w:spacing w:val="-1"/>
        </w:rPr>
        <w:t>than</w:t>
      </w:r>
      <w:r>
        <w:t xml:space="preserve"> </w:t>
      </w:r>
      <w:r>
        <w:rPr>
          <w:spacing w:val="-1"/>
        </w:rPr>
        <w:t>expected.</w:t>
      </w:r>
      <w:r>
        <w:rPr>
          <w:spacing w:val="-3"/>
        </w:rPr>
        <w:t xml:space="preserve"> </w:t>
      </w:r>
    </w:p>
    <w:p w:rsidR="00D2141F" w:rsidRDefault="00D2141F" w:rsidP="00D2141F">
      <w:r w:rsidRPr="00B34381">
        <w:t>Preparations made in advance of the cold snap enabled the ISO to manage the cold</w:t>
      </w:r>
      <w:r>
        <w:t xml:space="preserve"> </w:t>
      </w:r>
      <w:r w:rsidRPr="00B34381">
        <w:t>weather conditions and ensure that adequate resources were available to meet the load and operating</w:t>
      </w:r>
      <w:r w:rsidR="006664D8">
        <w:t>-</w:t>
      </w:r>
      <w:r w:rsidRPr="00B34381">
        <w:t>reserve requirements in a coordinated fashion.</w:t>
      </w:r>
      <w:r>
        <w:t xml:space="preserve"> The </w:t>
      </w:r>
      <w:r w:rsidRPr="00456BF6">
        <w:t xml:space="preserve">ISO </w:t>
      </w:r>
      <w:r>
        <w:t>closely communicated its operations with</w:t>
      </w:r>
      <w:r w:rsidRPr="00456BF6">
        <w:t xml:space="preserve"> neighboring ISOs/RTOs to confirm transmission interchange schedules</w:t>
      </w:r>
      <w:r>
        <w:t>.</w:t>
      </w:r>
    </w:p>
    <w:p w:rsidR="00D2141F" w:rsidRDefault="00D2141F" w:rsidP="00D2141F">
      <w:r w:rsidRPr="00217564">
        <w:t xml:space="preserve">System operation on January 7 and 8 was challenging </w:t>
      </w:r>
      <w:r>
        <w:t xml:space="preserve">because of </w:t>
      </w:r>
      <w:r w:rsidRPr="00217564">
        <w:t xml:space="preserve">forced outages and generator uncertainty in the ability to procure natural gas. The ISO was in close coordination with the Northeast </w:t>
      </w:r>
      <w:r w:rsidRPr="000654DD">
        <w:t>Gas Association and the six interstate pipelines serving the region’s generating resources to discuss the cold weather conditions and areas of concern for both the gas and electric</w:t>
      </w:r>
      <w:r w:rsidRPr="00217564">
        <w:t xml:space="preserve"> </w:t>
      </w:r>
      <w:r>
        <w:t xml:space="preserve">power </w:t>
      </w:r>
      <w:r w:rsidRPr="00217564">
        <w:t>industries. Most of the area pipelines were operating at or near capacity, with some re</w:t>
      </w:r>
      <w:r>
        <w:t xml:space="preserve">gistering </w:t>
      </w:r>
      <w:r w:rsidRPr="00217564">
        <w:t>record throughputs</w:t>
      </w:r>
      <w:r>
        <w:t>. H</w:t>
      </w:r>
      <w:r w:rsidRPr="00217564">
        <w:t>owever,</w:t>
      </w:r>
      <w:r>
        <w:t xml:space="preserve"> a</w:t>
      </w:r>
      <w:r w:rsidRPr="003D0935">
        <w:t xml:space="preserve"> </w:t>
      </w:r>
      <w:r w:rsidR="006C5780">
        <w:t>compressor failure at Delmont, PA, reduced gas nominations by 575,000 </w:t>
      </w:r>
      <w:proofErr w:type="spellStart"/>
      <w:r w:rsidR="006C5780">
        <w:t>MMBtu</w:t>
      </w:r>
      <w:proofErr w:type="spellEnd"/>
      <w:r w:rsidR="006C5780">
        <w:t xml:space="preserve"> on the Texas Eastern</w:t>
      </w:r>
      <w:r w:rsidRPr="005462AE">
        <w:t xml:space="preserve"> system, and the Iroquois </w:t>
      </w:r>
      <w:proofErr w:type="gramStart"/>
      <w:r w:rsidRPr="005462AE">
        <w:t>system also</w:t>
      </w:r>
      <w:proofErr w:type="gramEnd"/>
      <w:r w:rsidRPr="005462AE">
        <w:t xml:space="preserve"> </w:t>
      </w:r>
      <w:r w:rsidR="00BD6FCF">
        <w:t xml:space="preserve">was </w:t>
      </w:r>
      <w:r w:rsidRPr="005462AE">
        <w:t xml:space="preserve">constrained. The </w:t>
      </w:r>
      <w:proofErr w:type="spellStart"/>
      <w:r w:rsidRPr="005462AE">
        <w:t>interindustry</w:t>
      </w:r>
      <w:proofErr w:type="spellEnd"/>
      <w:r w:rsidRPr="005462AE">
        <w:t xml:space="preserve"> communications</w:t>
      </w:r>
      <w:r w:rsidRPr="003D0935">
        <w:t xml:space="preserve"> were extremely beneficial </w:t>
      </w:r>
      <w:r>
        <w:t>t</w:t>
      </w:r>
      <w:r w:rsidRPr="003D0935">
        <w:t>o</w:t>
      </w:r>
      <w:r>
        <w:t xml:space="preserve"> the </w:t>
      </w:r>
      <w:r w:rsidRPr="003D0935">
        <w:t>ISO</w:t>
      </w:r>
      <w:r>
        <w:t xml:space="preserve">’s </w:t>
      </w:r>
      <w:r w:rsidRPr="003D0935">
        <w:t>understand</w:t>
      </w:r>
      <w:r>
        <w:t>ing of</w:t>
      </w:r>
      <w:r w:rsidRPr="003D0935">
        <w:t xml:space="preserve"> the pipeline system</w:t>
      </w:r>
      <w:r>
        <w:t xml:space="preserve">’s ability to support electric </w:t>
      </w:r>
      <w:r w:rsidR="00DC62C4">
        <w:t xml:space="preserve">power </w:t>
      </w:r>
      <w:r>
        <w:t>system operations</w:t>
      </w:r>
      <w:r w:rsidRPr="003D0935">
        <w:t xml:space="preserve">. </w:t>
      </w:r>
    </w:p>
    <w:p w:rsidR="00D2141F" w:rsidRDefault="00D2141F" w:rsidP="00D2141F">
      <w:pPr>
        <w:rPr>
          <w:rFonts w:ascii="Times New Roman" w:hAnsi="Times New Roman"/>
          <w:szCs w:val="22"/>
        </w:rPr>
      </w:pPr>
      <w:r w:rsidRPr="007626FD">
        <w:t>During the afternoon load pickup on January 7, the New England system experienced 15 forced</w:t>
      </w:r>
      <w:r w:rsidRPr="00F97A8F">
        <w:t xml:space="preserve"> generation outages, totaling approximately 1,500 MW of capacity. Six natural-gas fired generators on the New England system could not initially confirm their fuel arrangements for January 7 and 8, 2014. Several New England resources eventually responded (intraday) that fuel arrangements were in place, and 500 MW of emergency electric energy </w:t>
      </w:r>
      <w:proofErr w:type="gramStart"/>
      <w:r w:rsidRPr="00F97A8F">
        <w:t>was then delivered</w:t>
      </w:r>
      <w:proofErr w:type="gramEnd"/>
      <w:r w:rsidRPr="00F97A8F">
        <w:t xml:space="preserve"> to PJM through New York. This indicates the need for close coordination among various electric power system and natural gas system operators and the difficulty of arranging for gas during tight pipeline conditions.</w:t>
      </w:r>
      <w:r w:rsidRPr="00B34381">
        <w:rPr>
          <w:rFonts w:ascii="Times New Roman" w:hAnsi="Times New Roman"/>
          <w:szCs w:val="22"/>
        </w:rPr>
        <w:t xml:space="preserve"> </w:t>
      </w:r>
    </w:p>
    <w:p w:rsidR="00D2141F" w:rsidRDefault="00927965" w:rsidP="00D2141F">
      <w:pPr>
        <w:rPr>
          <w:spacing w:val="-1"/>
        </w:rPr>
      </w:pPr>
      <w:fldSimple w:instr=" REF _Ref388529995 \h  \* MERGEFORMAT ">
        <w:r w:rsidR="00284CE3">
          <w:t xml:space="preserve">Figure </w:t>
        </w:r>
        <w:r w:rsidR="00284CE3">
          <w:rPr>
            <w:noProof/>
          </w:rPr>
          <w:t>6</w:t>
        </w:r>
        <w:r w:rsidR="00284CE3">
          <w:rPr>
            <w:noProof/>
          </w:rPr>
          <w:noBreakHyphen/>
          <w:t>9</w:t>
        </w:r>
      </w:fldSimple>
      <w:r w:rsidR="00D2141F" w:rsidRPr="006459F6">
        <w:t xml:space="preserve"> compares the total</w:t>
      </w:r>
      <w:r w:rsidR="00D2141F" w:rsidRPr="006459F6">
        <w:rPr>
          <w:spacing w:val="-2"/>
        </w:rPr>
        <w:t xml:space="preserve"> megawatts </w:t>
      </w:r>
      <w:r w:rsidR="00D2141F" w:rsidRPr="006459F6">
        <w:t>generated during</w:t>
      </w:r>
      <w:r w:rsidR="00D2141F" w:rsidRPr="006459F6">
        <w:rPr>
          <w:spacing w:val="-3"/>
        </w:rPr>
        <w:t xml:space="preserve"> </w:t>
      </w:r>
      <w:r w:rsidR="00D2141F" w:rsidRPr="006459F6">
        <w:t>the</w:t>
      </w:r>
      <w:r w:rsidR="00D2141F" w:rsidRPr="006459F6">
        <w:rPr>
          <w:spacing w:val="-2"/>
        </w:rPr>
        <w:t xml:space="preserve"> </w:t>
      </w:r>
      <w:r w:rsidR="00D2141F" w:rsidRPr="006459F6">
        <w:t>January</w:t>
      </w:r>
      <w:r w:rsidR="00D2141F" w:rsidRPr="006459F6">
        <w:rPr>
          <w:spacing w:val="-3"/>
        </w:rPr>
        <w:t xml:space="preserve"> </w:t>
      </w:r>
      <w:r w:rsidR="00D2141F" w:rsidRPr="006459F6">
        <w:t>7, 2014, evening</w:t>
      </w:r>
      <w:r w:rsidR="00D2141F" w:rsidRPr="006459F6">
        <w:rPr>
          <w:spacing w:val="-3"/>
        </w:rPr>
        <w:t xml:space="preserve"> </w:t>
      </w:r>
      <w:r w:rsidR="00D2141F" w:rsidRPr="006459F6">
        <w:t>peak</w:t>
      </w:r>
      <w:r w:rsidR="00D2141F" w:rsidRPr="006459F6">
        <w:rPr>
          <w:spacing w:val="-3"/>
        </w:rPr>
        <w:t xml:space="preserve"> with </w:t>
      </w:r>
      <w:r w:rsidR="00D2141F" w:rsidRPr="006459F6">
        <w:t>the total CSO for</w:t>
      </w:r>
      <w:r w:rsidR="00D2141F" w:rsidRPr="006459F6">
        <w:rPr>
          <w:spacing w:val="49"/>
        </w:rPr>
        <w:t xml:space="preserve"> </w:t>
      </w:r>
      <w:r w:rsidR="00D2141F" w:rsidRPr="006459F6">
        <w:t>each</w:t>
      </w:r>
      <w:r w:rsidR="00D2141F" w:rsidRPr="006459F6">
        <w:rPr>
          <w:spacing w:val="-3"/>
        </w:rPr>
        <w:t xml:space="preserve"> </w:t>
      </w:r>
      <w:r w:rsidR="00D2141F" w:rsidRPr="006459F6">
        <w:t>fuel</w:t>
      </w:r>
      <w:r w:rsidR="00D2141F" w:rsidRPr="006459F6">
        <w:rPr>
          <w:spacing w:val="1"/>
        </w:rPr>
        <w:t xml:space="preserve"> </w:t>
      </w:r>
      <w:r w:rsidR="00D2141F" w:rsidRPr="006459F6">
        <w:t>type. The figure shows that</w:t>
      </w:r>
      <w:r w:rsidR="00D2141F" w:rsidRPr="006459F6">
        <w:rPr>
          <w:spacing w:val="-2"/>
        </w:rPr>
        <w:t xml:space="preserve"> </w:t>
      </w:r>
      <w:r w:rsidR="00D837D8" w:rsidRPr="006459F6">
        <w:rPr>
          <w:spacing w:val="-2"/>
        </w:rPr>
        <w:t xml:space="preserve">total </w:t>
      </w:r>
      <w:r w:rsidR="00D837D8" w:rsidRPr="006459F6">
        <w:t>natural</w:t>
      </w:r>
      <w:r w:rsidR="00D837D8" w:rsidRPr="006459F6">
        <w:rPr>
          <w:spacing w:val="1"/>
        </w:rPr>
        <w:t xml:space="preserve"> </w:t>
      </w:r>
      <w:r w:rsidR="00D837D8" w:rsidRPr="006459F6">
        <w:t xml:space="preserve">gas generation </w:t>
      </w:r>
      <w:r w:rsidR="004948B6" w:rsidRPr="006459F6">
        <w:t xml:space="preserve">during this time </w:t>
      </w:r>
      <w:r w:rsidR="00D837D8" w:rsidRPr="006459F6">
        <w:t>was</w:t>
      </w:r>
      <w:r w:rsidR="00D2141F" w:rsidRPr="006459F6">
        <w:t xml:space="preserve"> </w:t>
      </w:r>
      <w:proofErr w:type="gramStart"/>
      <w:r w:rsidR="00D2141F" w:rsidRPr="006459F6">
        <w:t>under</w:t>
      </w:r>
      <w:proofErr w:type="gramEnd"/>
      <w:r w:rsidR="00D2141F" w:rsidRPr="006459F6">
        <w:t xml:space="preserve"> 50% of </w:t>
      </w:r>
      <w:r w:rsidR="00D837D8" w:rsidRPr="006459F6">
        <w:t>the total CSO for this fuel</w:t>
      </w:r>
      <w:r w:rsidR="00A84154" w:rsidRPr="006459F6">
        <w:t xml:space="preserve">. </w:t>
      </w:r>
      <w:r w:rsidR="00D2141F" w:rsidRPr="006459F6">
        <w:t>Generation outages and</w:t>
      </w:r>
      <w:r w:rsidR="00D2141F" w:rsidRPr="00BA2357">
        <w:t xml:space="preserve"> reductions totaled approximately 3,100</w:t>
      </w:r>
      <w:r w:rsidR="00186597">
        <w:t> </w:t>
      </w:r>
      <w:r w:rsidR="00D2141F" w:rsidRPr="00BA2357">
        <w:t xml:space="preserve">MW on that day. </w:t>
      </w:r>
      <w:r>
        <w:fldChar w:fldCharType="begin"/>
      </w:r>
      <w:r w:rsidR="007F3A39">
        <w:instrText xml:space="preserve"> REF _Ref388530017 \h </w:instrText>
      </w:r>
      <w:r>
        <w:fldChar w:fldCharType="separate"/>
      </w:r>
      <w:r w:rsidR="00284CE3" w:rsidRPr="0072362C">
        <w:t xml:space="preserve">Figure </w:t>
      </w:r>
      <w:r w:rsidR="00284CE3">
        <w:rPr>
          <w:noProof/>
        </w:rPr>
        <w:t>6</w:t>
      </w:r>
      <w:r w:rsidR="00284CE3" w:rsidRPr="0072362C">
        <w:noBreakHyphen/>
      </w:r>
      <w:r w:rsidR="00284CE3">
        <w:rPr>
          <w:noProof/>
        </w:rPr>
        <w:t>10</w:t>
      </w:r>
      <w:r>
        <w:fldChar w:fldCharType="end"/>
      </w:r>
      <w:r w:rsidR="00D2141F" w:rsidRPr="00BA2357">
        <w:t xml:space="preserve"> shows the generation percentages by fuel type for this same day.</w:t>
      </w:r>
    </w:p>
    <w:p w:rsidR="00D2141F" w:rsidRPr="00A92103" w:rsidRDefault="00F20135" w:rsidP="00F20135">
      <w:pPr>
        <w:keepNext/>
        <w:keepLines/>
        <w:spacing w:after="0" w:line="240" w:lineRule="auto"/>
        <w:jc w:val="center"/>
      </w:pPr>
      <w:r w:rsidRPr="00F20135">
        <w:rPr>
          <w:noProof/>
        </w:rPr>
        <w:drawing>
          <wp:inline distT="0" distB="0" distL="0" distR="0">
            <wp:extent cx="4905067" cy="3315462"/>
            <wp:effectExtent l="19050" t="19050" r="9833" b="18288"/>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4906782" cy="3316621"/>
                    </a:xfrm>
                    <a:prstGeom prst="rect">
                      <a:avLst/>
                    </a:prstGeom>
                    <a:noFill/>
                    <a:ln w="3175">
                      <a:solidFill>
                        <a:schemeClr val="tx1"/>
                      </a:solidFill>
                      <a:miter lim="800000"/>
                      <a:headEnd/>
                      <a:tailEnd/>
                    </a:ln>
                  </pic:spPr>
                </pic:pic>
              </a:graphicData>
            </a:graphic>
          </wp:inline>
        </w:drawing>
      </w:r>
    </w:p>
    <w:p w:rsidR="00D2141F" w:rsidRDefault="00D2141F" w:rsidP="0072362C">
      <w:pPr>
        <w:pStyle w:val="Caption"/>
        <w:keepNext w:val="0"/>
        <w:keepLines w:val="0"/>
        <w:spacing w:before="120" w:after="240"/>
        <w:ind w:left="630" w:right="-90"/>
        <w:jc w:val="left"/>
      </w:pPr>
      <w:bookmarkStart w:id="728" w:name="_Ref388529995"/>
      <w:bookmarkStart w:id="729" w:name="_Toc391985584"/>
      <w:r>
        <w:t xml:space="preserve">Figure </w:t>
      </w:r>
      <w:r w:rsidR="00927965">
        <w:fldChar w:fldCharType="begin"/>
      </w:r>
      <w:r w:rsidR="0011163E">
        <w:instrText xml:space="preserve"> STYLEREF 1 \s </w:instrText>
      </w:r>
      <w:r w:rsidR="00927965">
        <w:fldChar w:fldCharType="separate"/>
      </w:r>
      <w:r w:rsidR="00284CE3">
        <w:rPr>
          <w:noProof/>
        </w:rPr>
        <w:t>6</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9</w:t>
      </w:r>
      <w:r w:rsidR="00927965">
        <w:fldChar w:fldCharType="end"/>
      </w:r>
      <w:bookmarkEnd w:id="728"/>
      <w:r>
        <w:t xml:space="preserve">: </w:t>
      </w:r>
      <w:r w:rsidRPr="009021EE">
        <w:rPr>
          <w:rFonts w:asciiTheme="minorHAnsi" w:hAnsiTheme="minorHAnsi"/>
          <w:bCs w:val="0"/>
        </w:rPr>
        <w:t>Generation by fuel type compared with CSO</w:t>
      </w:r>
      <w:r w:rsidR="005126AD">
        <w:rPr>
          <w:rFonts w:asciiTheme="minorHAnsi" w:hAnsiTheme="minorHAnsi"/>
          <w:bCs w:val="0"/>
        </w:rPr>
        <w:t>s</w:t>
      </w:r>
      <w:r w:rsidRPr="009021EE">
        <w:rPr>
          <w:rFonts w:asciiTheme="minorHAnsi" w:hAnsiTheme="minorHAnsi"/>
          <w:bCs w:val="0"/>
        </w:rPr>
        <w:t>, January 7, 2014, evening peak (MW).</w:t>
      </w:r>
      <w:bookmarkEnd w:id="729"/>
      <w:r w:rsidRPr="009021EE">
        <w:rPr>
          <w:rFonts w:asciiTheme="minorHAnsi" w:hAnsiTheme="minorHAnsi"/>
          <w:bCs w:val="0"/>
        </w:rPr>
        <w:t xml:space="preserve"> </w:t>
      </w:r>
    </w:p>
    <w:p w:rsidR="00D2141F" w:rsidRDefault="00B10FFA" w:rsidP="00B10FFA">
      <w:pPr>
        <w:autoSpaceDE w:val="0"/>
        <w:autoSpaceDN w:val="0"/>
        <w:adjustRightInd w:val="0"/>
        <w:spacing w:after="0" w:line="240" w:lineRule="auto"/>
        <w:jc w:val="center"/>
        <w:rPr>
          <w:rFonts w:asciiTheme="minorHAnsi" w:hAnsiTheme="minorHAnsi"/>
          <w:b/>
          <w:color w:val="000000"/>
          <w:sz w:val="16"/>
          <w:szCs w:val="16"/>
        </w:rPr>
      </w:pPr>
      <w:r w:rsidRPr="00B10FFA">
        <w:rPr>
          <w:noProof/>
          <w:szCs w:val="16"/>
        </w:rPr>
        <w:drawing>
          <wp:inline distT="0" distB="0" distL="0" distR="0">
            <wp:extent cx="4262636" cy="3254237"/>
            <wp:effectExtent l="19050" t="19050" r="23614" b="223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4263708" cy="3255055"/>
                    </a:xfrm>
                    <a:prstGeom prst="rect">
                      <a:avLst/>
                    </a:prstGeom>
                    <a:noFill/>
                    <a:ln w="3175">
                      <a:solidFill>
                        <a:schemeClr val="tx1"/>
                      </a:solidFill>
                      <a:miter lim="800000"/>
                      <a:headEnd/>
                      <a:tailEnd/>
                    </a:ln>
                  </pic:spPr>
                </pic:pic>
              </a:graphicData>
            </a:graphic>
          </wp:inline>
        </w:drawing>
      </w:r>
    </w:p>
    <w:p w:rsidR="00D2141F" w:rsidRPr="0072362C" w:rsidRDefault="00D2141F" w:rsidP="005B19E6">
      <w:pPr>
        <w:pStyle w:val="Caption"/>
        <w:tabs>
          <w:tab w:val="left" w:pos="6660"/>
        </w:tabs>
        <w:spacing w:before="120" w:after="80"/>
        <w:ind w:left="1170" w:right="1080"/>
        <w:jc w:val="left"/>
        <w:rPr>
          <w:szCs w:val="16"/>
        </w:rPr>
      </w:pPr>
      <w:bookmarkStart w:id="730" w:name="_Ref388530017"/>
      <w:bookmarkStart w:id="731" w:name="_Toc391985585"/>
      <w:r w:rsidRPr="0072362C">
        <w:t xml:space="preserve">Figure </w:t>
      </w:r>
      <w:r w:rsidR="00927965" w:rsidRPr="0072362C">
        <w:fldChar w:fldCharType="begin"/>
      </w:r>
      <w:r w:rsidR="0011163E" w:rsidRPr="0072362C">
        <w:instrText xml:space="preserve"> STYLEREF 1 \s </w:instrText>
      </w:r>
      <w:r w:rsidR="00927965" w:rsidRPr="0072362C">
        <w:fldChar w:fldCharType="separate"/>
      </w:r>
      <w:r w:rsidR="00284CE3">
        <w:rPr>
          <w:noProof/>
        </w:rPr>
        <w:t>6</w:t>
      </w:r>
      <w:r w:rsidR="00927965" w:rsidRPr="0072362C">
        <w:fldChar w:fldCharType="end"/>
      </w:r>
      <w:r w:rsidR="0011163E" w:rsidRPr="0072362C">
        <w:noBreakHyphen/>
      </w:r>
      <w:r w:rsidR="00927965" w:rsidRPr="0072362C">
        <w:fldChar w:fldCharType="begin"/>
      </w:r>
      <w:r w:rsidR="0011163E" w:rsidRPr="0072362C">
        <w:instrText xml:space="preserve"> SEQ Figure \* ARABIC \s 1 </w:instrText>
      </w:r>
      <w:r w:rsidR="00927965" w:rsidRPr="0072362C">
        <w:fldChar w:fldCharType="separate"/>
      </w:r>
      <w:r w:rsidR="00284CE3">
        <w:rPr>
          <w:noProof/>
        </w:rPr>
        <w:t>10</w:t>
      </w:r>
      <w:r w:rsidR="00927965" w:rsidRPr="0072362C">
        <w:fldChar w:fldCharType="end"/>
      </w:r>
      <w:bookmarkEnd w:id="730"/>
      <w:r w:rsidRPr="0072362C">
        <w:t xml:space="preserve">: </w:t>
      </w:r>
      <w:r w:rsidRPr="0072362C">
        <w:rPr>
          <w:szCs w:val="16"/>
        </w:rPr>
        <w:t>Generation by fuel type, January 7, 2014, evening peak (</w:t>
      </w:r>
      <w:proofErr w:type="gramStart"/>
      <w:r w:rsidRPr="0072362C">
        <w:rPr>
          <w:szCs w:val="16"/>
        </w:rPr>
        <w:t>%</w:t>
      </w:r>
      <w:proofErr w:type="gramEnd"/>
      <w:r w:rsidRPr="0072362C">
        <w:rPr>
          <w:szCs w:val="16"/>
        </w:rPr>
        <w:t>)</w:t>
      </w:r>
      <w:bookmarkEnd w:id="731"/>
    </w:p>
    <w:p w:rsidR="00D2141F" w:rsidRPr="00833CAC" w:rsidRDefault="00D2141F" w:rsidP="0072362C">
      <w:pPr>
        <w:tabs>
          <w:tab w:val="left" w:pos="6660"/>
        </w:tabs>
        <w:autoSpaceDE w:val="0"/>
        <w:autoSpaceDN w:val="0"/>
        <w:adjustRightInd w:val="0"/>
        <w:spacing w:line="240" w:lineRule="auto"/>
        <w:ind w:left="1170" w:right="1170"/>
        <w:rPr>
          <w:rFonts w:asciiTheme="minorHAnsi" w:hAnsiTheme="minorHAnsi"/>
          <w:color w:val="000000"/>
          <w:sz w:val="18"/>
          <w:szCs w:val="18"/>
        </w:rPr>
      </w:pPr>
      <w:r w:rsidRPr="00833CAC">
        <w:rPr>
          <w:rFonts w:asciiTheme="minorHAnsi" w:hAnsiTheme="minorHAnsi"/>
          <w:b/>
          <w:color w:val="000000"/>
          <w:sz w:val="18"/>
          <w:szCs w:val="18"/>
        </w:rPr>
        <w:t>Notes</w:t>
      </w:r>
      <w:r w:rsidRPr="00833CAC">
        <w:rPr>
          <w:rFonts w:asciiTheme="minorHAnsi" w:hAnsiTheme="minorHAnsi"/>
          <w:color w:val="000000"/>
          <w:sz w:val="18"/>
          <w:szCs w:val="18"/>
        </w:rPr>
        <w:t>: The pie chart shows the mix of generation by fuel type in New England during the evening peak load hour (HE 6:00 p.m.) of January 7, 2014, arranged by percentage of total generation. Natural gas includes generation fueled by LNG.</w:t>
      </w:r>
      <w:r w:rsidR="0072362C" w:rsidRPr="00833CAC">
        <w:rPr>
          <w:rFonts w:asciiTheme="minorHAnsi" w:hAnsiTheme="minorHAnsi"/>
          <w:color w:val="000000"/>
          <w:sz w:val="18"/>
          <w:szCs w:val="18"/>
        </w:rPr>
        <w:t xml:space="preserve"> The “Other” and “Wind” categories are each 1%.</w:t>
      </w:r>
    </w:p>
    <w:p w:rsidR="00D2141F" w:rsidRDefault="00D2141F" w:rsidP="005C6088">
      <w:pPr>
        <w:pStyle w:val="Heading4"/>
      </w:pPr>
      <w:r w:rsidRPr="0044212D">
        <w:t>Limited-Energy</w:t>
      </w:r>
      <w:r w:rsidR="00FA227B">
        <w:t xml:space="preserve"> </w:t>
      </w:r>
      <w:r w:rsidRPr="0044212D">
        <w:t xml:space="preserve">Generation Resources </w:t>
      </w:r>
    </w:p>
    <w:p w:rsidR="00D2141F" w:rsidRDefault="00D2141F" w:rsidP="00D2141F">
      <w:pPr>
        <w:rPr>
          <w:b/>
        </w:rPr>
      </w:pPr>
      <w:r w:rsidRPr="00375555">
        <w:t xml:space="preserve">The </w:t>
      </w:r>
      <w:r w:rsidRPr="00A94428">
        <w:t>limited-energy generation (LEG)</w:t>
      </w:r>
      <w:r w:rsidRPr="00375555">
        <w:t xml:space="preserve"> provisions of the market rules further reduce generator availability,</w:t>
      </w:r>
      <w:r w:rsidRPr="00BF55BC">
        <w:t xml:space="preserve"> </w:t>
      </w:r>
      <w:r>
        <w:t xml:space="preserve">essentially </w:t>
      </w:r>
      <w:r w:rsidRPr="00BF55BC">
        <w:t>by</w:t>
      </w:r>
      <w:r>
        <w:t xml:space="preserve"> </w:t>
      </w:r>
      <w:r w:rsidRPr="00BF55BC">
        <w:t>allowing resources to limit their operation when they have limited fuel.</w:t>
      </w:r>
      <w:r w:rsidRPr="003F0B11">
        <w:rPr>
          <w:vertAlign w:val="superscript"/>
        </w:rPr>
        <w:footnoteReference w:id="275"/>
      </w:r>
      <w:r w:rsidRPr="00BF55BC">
        <w:t> </w:t>
      </w:r>
      <w:r>
        <w:t xml:space="preserve">During most of </w:t>
      </w:r>
      <w:r w:rsidR="007D5419">
        <w:t>w</w:t>
      </w:r>
      <w:r>
        <w:t xml:space="preserve">inter 2013/2014, all nonnuclear and non-coal-fired generators became LEGs, distorting market efficiency and resulting in unusual commitment and dispatch patterns. System operators experienced considerable difficulty in maintaining security-constrained economic dispatch when such a large portion </w:t>
      </w:r>
      <w:r w:rsidRPr="006459F6">
        <w:t xml:space="preserve">of the generator fleet </w:t>
      </w:r>
      <w:r w:rsidR="00235567">
        <w:t xml:space="preserve">had </w:t>
      </w:r>
      <w:r w:rsidRPr="006459F6">
        <w:t>a limited fuel inventory.</w:t>
      </w:r>
      <w:r w:rsidRPr="006459F6">
        <w:rPr>
          <w:vertAlign w:val="superscript"/>
        </w:rPr>
        <w:footnoteReference w:id="276"/>
      </w:r>
      <w:r w:rsidRPr="006459F6">
        <w:t xml:space="preserve"> </w:t>
      </w:r>
      <w:r w:rsidR="00426146" w:rsidRPr="006459F6">
        <w:t>Because of these tight supply</w:t>
      </w:r>
      <w:r w:rsidR="00426146">
        <w:t xml:space="preserve"> conditions, o</w:t>
      </w:r>
      <w:r w:rsidRPr="00F97A8F">
        <w:t>ver the past year, the ISO implemented operating procedures that prohibit cancelling the start up of natural-gas-fired generators (except for reliability reasons). This action improved system reliability but increased out-of-market costs</w:t>
      </w:r>
      <w:r>
        <w:t xml:space="preserve"> from $20.4 million in December 2013 to $73.3 million in January 2014. </w:t>
      </w:r>
    </w:p>
    <w:p w:rsidR="00D2141F" w:rsidRDefault="00D2141F" w:rsidP="00D2141F">
      <w:r w:rsidRPr="00217BF0">
        <w:t xml:space="preserve">While </w:t>
      </w:r>
      <w:r>
        <w:t xml:space="preserve">system operators value information on </w:t>
      </w:r>
      <w:r w:rsidRPr="00217BF0">
        <w:t xml:space="preserve">whether a generator has </w:t>
      </w:r>
      <w:r>
        <w:t xml:space="preserve">a </w:t>
      </w:r>
      <w:r w:rsidRPr="00217BF0">
        <w:t>limited fuel</w:t>
      </w:r>
      <w:r>
        <w:t xml:space="preserve"> supply</w:t>
      </w:r>
      <w:r w:rsidRPr="00217BF0">
        <w:t xml:space="preserve">, increases in the use of </w:t>
      </w:r>
      <w:r>
        <w:t xml:space="preserve">the </w:t>
      </w:r>
      <w:r w:rsidRPr="00217BF0">
        <w:t>LEG provisions by natural-gas-fired generators</w:t>
      </w:r>
      <w:r>
        <w:t xml:space="preserve"> </w:t>
      </w:r>
      <w:r w:rsidRPr="00217BF0">
        <w:t xml:space="preserve">adds to the complexity of system operations, particularly during the types of operating conditions that occurred </w:t>
      </w:r>
      <w:r>
        <w:t>during winter 2013/2014</w:t>
      </w:r>
      <w:r w:rsidRPr="00DE1B5A">
        <w:t xml:space="preserve">. </w:t>
      </w:r>
    </w:p>
    <w:p w:rsidR="00D2141F" w:rsidRPr="00EA60BB" w:rsidRDefault="00D2141F" w:rsidP="005C6088">
      <w:pPr>
        <w:pStyle w:val="Heading4"/>
      </w:pPr>
      <w:r w:rsidRPr="00EA60BB">
        <w:t>Natural Gas Price Volatility</w:t>
      </w:r>
    </w:p>
    <w:p w:rsidR="00D2141F" w:rsidRDefault="00D2141F" w:rsidP="00D2141F">
      <w:pPr>
        <w:rPr>
          <w:sz w:val="16"/>
          <w:szCs w:val="16"/>
        </w:rPr>
      </w:pPr>
      <w:r>
        <w:t xml:space="preserve">As shown in </w:t>
      </w:r>
      <w:r w:rsidR="00927965">
        <w:fldChar w:fldCharType="begin"/>
      </w:r>
      <w:r w:rsidR="007F3A39">
        <w:instrText xml:space="preserve"> REF _Ref388530035 \h </w:instrText>
      </w:r>
      <w:r w:rsidR="00927965">
        <w:fldChar w:fldCharType="separate"/>
      </w:r>
      <w:r w:rsidR="00284CE3">
        <w:t xml:space="preserve">Figure </w:t>
      </w:r>
      <w:r w:rsidR="00284CE3">
        <w:rPr>
          <w:noProof/>
        </w:rPr>
        <w:t>6</w:t>
      </w:r>
      <w:r w:rsidR="00284CE3">
        <w:noBreakHyphen/>
      </w:r>
      <w:r w:rsidR="00284CE3">
        <w:rPr>
          <w:noProof/>
        </w:rPr>
        <w:t>11</w:t>
      </w:r>
      <w:r w:rsidR="00927965">
        <w:fldChar w:fldCharType="end"/>
      </w:r>
      <w:r w:rsidRPr="00131103">
        <w:rPr>
          <w:sz w:val="16"/>
          <w:szCs w:val="16"/>
        </w:rPr>
        <w:t>,</w:t>
      </w:r>
      <w:r w:rsidRPr="006F3A0C">
        <w:t xml:space="preserve"> New</w:t>
      </w:r>
      <w:r w:rsidRPr="003B1E7C">
        <w:t xml:space="preserve"> England’s heavy reliance on </w:t>
      </w:r>
      <w:r>
        <w:t xml:space="preserve">natural gas-fired generation has resulted in </w:t>
      </w:r>
      <w:r w:rsidRPr="003B1E7C">
        <w:t xml:space="preserve">natural gas </w:t>
      </w:r>
      <w:r>
        <w:t xml:space="preserve">fuel prices </w:t>
      </w:r>
      <w:r w:rsidRPr="003B1E7C">
        <w:t>typically set</w:t>
      </w:r>
      <w:r>
        <w:t>ting</w:t>
      </w:r>
      <w:r w:rsidRPr="003B1E7C">
        <w:t xml:space="preserve"> the price for wholesale electricity.</w:t>
      </w:r>
      <w:r>
        <w:t xml:space="preserve"> Despite the increased use of oil-fired generators during January 2014, wholesale electricity prices reflected the volatility in natural gas fuel prices, as shown in </w:t>
      </w:r>
      <w:r w:rsidR="00927965">
        <w:fldChar w:fldCharType="begin"/>
      </w:r>
      <w:r w:rsidR="007F3A39">
        <w:instrText xml:space="preserve"> REF _Ref388530067 \h </w:instrText>
      </w:r>
      <w:r w:rsidR="00927965">
        <w:fldChar w:fldCharType="separate"/>
      </w:r>
      <w:r w:rsidR="00284CE3">
        <w:t xml:space="preserve">Figure </w:t>
      </w:r>
      <w:r w:rsidR="00284CE3">
        <w:rPr>
          <w:noProof/>
        </w:rPr>
        <w:t>6</w:t>
      </w:r>
      <w:r w:rsidR="00284CE3">
        <w:noBreakHyphen/>
      </w:r>
      <w:r w:rsidR="00284CE3">
        <w:rPr>
          <w:noProof/>
        </w:rPr>
        <w:t>12</w:t>
      </w:r>
      <w:r w:rsidR="00927965">
        <w:fldChar w:fldCharType="end"/>
      </w:r>
      <w:r w:rsidRPr="007A2CFF">
        <w:rPr>
          <w:sz w:val="16"/>
          <w:szCs w:val="16"/>
        </w:rPr>
        <w:t>.</w:t>
      </w:r>
    </w:p>
    <w:p w:rsidR="000C680F" w:rsidRDefault="000C680F" w:rsidP="00D2141F">
      <w:pPr>
        <w:keepNext/>
        <w:keepLines/>
        <w:spacing w:after="0" w:line="240" w:lineRule="auto"/>
        <w:jc w:val="center"/>
      </w:pPr>
      <w:r w:rsidRPr="000C680F">
        <w:rPr>
          <w:noProof/>
        </w:rPr>
        <w:drawing>
          <wp:inline distT="0" distB="0" distL="0" distR="0">
            <wp:extent cx="4589450" cy="3330787"/>
            <wp:effectExtent l="19050" t="19050" r="20650" b="22013"/>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4592210" cy="3332790"/>
                    </a:xfrm>
                    <a:prstGeom prst="rect">
                      <a:avLst/>
                    </a:prstGeom>
                    <a:noFill/>
                    <a:ln w="3175">
                      <a:solidFill>
                        <a:schemeClr val="tx1"/>
                      </a:solidFill>
                      <a:miter lim="800000"/>
                      <a:headEnd/>
                      <a:tailEnd/>
                    </a:ln>
                  </pic:spPr>
                </pic:pic>
              </a:graphicData>
            </a:graphic>
          </wp:inline>
        </w:drawing>
      </w:r>
    </w:p>
    <w:p w:rsidR="004D2ADE" w:rsidRDefault="00D2141F" w:rsidP="00074EAB">
      <w:pPr>
        <w:pStyle w:val="Caption-Figure"/>
        <w:keepNext w:val="0"/>
        <w:keepLines w:val="0"/>
        <w:tabs>
          <w:tab w:val="left" w:pos="7200"/>
        </w:tabs>
        <w:spacing w:before="80" w:after="240"/>
        <w:ind w:left="900" w:right="810"/>
      </w:pPr>
      <w:bookmarkStart w:id="732" w:name="_Ref388530035"/>
      <w:bookmarkStart w:id="733" w:name="_Toc391985586"/>
      <w:r>
        <w:t xml:space="preserve">Figure </w:t>
      </w:r>
      <w:r w:rsidR="00927965">
        <w:fldChar w:fldCharType="begin"/>
      </w:r>
      <w:r w:rsidR="0011163E">
        <w:instrText xml:space="preserve"> STYLEREF 1 \s </w:instrText>
      </w:r>
      <w:r w:rsidR="00927965">
        <w:fldChar w:fldCharType="separate"/>
      </w:r>
      <w:r w:rsidR="00284CE3">
        <w:rPr>
          <w:noProof/>
        </w:rPr>
        <w:t>6</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11</w:t>
      </w:r>
      <w:r w:rsidR="00927965">
        <w:fldChar w:fldCharType="end"/>
      </w:r>
      <w:bookmarkEnd w:id="732"/>
      <w:r>
        <w:t>: Real-time energy prices compared with regional natural gas prices ($/</w:t>
      </w:r>
      <w:proofErr w:type="spellStart"/>
      <w:r>
        <w:t>MWh</w:t>
      </w:r>
      <w:proofErr w:type="spellEnd"/>
      <w:r>
        <w:t>; $/</w:t>
      </w:r>
      <w:proofErr w:type="spellStart"/>
      <w:r>
        <w:t>MMbtu</w:t>
      </w:r>
      <w:proofErr w:type="spellEnd"/>
      <w:r>
        <w:t>).</w:t>
      </w:r>
      <w:bookmarkEnd w:id="733"/>
    </w:p>
    <w:p w:rsidR="000C680F" w:rsidRDefault="000C680F" w:rsidP="000C680F">
      <w:pPr>
        <w:spacing w:after="0"/>
      </w:pPr>
    </w:p>
    <w:p w:rsidR="00C21EAA" w:rsidRDefault="00403688" w:rsidP="008D61C8">
      <w:pPr>
        <w:keepNext/>
        <w:keepLines/>
        <w:spacing w:after="0" w:line="240" w:lineRule="auto"/>
      </w:pPr>
      <w:r w:rsidRPr="00403688">
        <w:rPr>
          <w:noProof/>
        </w:rPr>
        <w:drawing>
          <wp:inline distT="0" distB="0" distL="0" distR="0">
            <wp:extent cx="5715000" cy="2998430"/>
            <wp:effectExtent l="19050" t="19050" r="19050" b="1147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715000" cy="2998430"/>
                    </a:xfrm>
                    <a:prstGeom prst="rect">
                      <a:avLst/>
                    </a:prstGeom>
                    <a:noFill/>
                    <a:ln w="3175">
                      <a:solidFill>
                        <a:schemeClr val="tx1"/>
                      </a:solidFill>
                      <a:miter lim="800000"/>
                      <a:headEnd/>
                      <a:tailEnd/>
                    </a:ln>
                  </pic:spPr>
                </pic:pic>
              </a:graphicData>
            </a:graphic>
          </wp:inline>
        </w:drawing>
      </w:r>
    </w:p>
    <w:p w:rsidR="00D2141F" w:rsidRDefault="00D2141F" w:rsidP="009D618E">
      <w:pPr>
        <w:pStyle w:val="Caption-Figure"/>
        <w:keepNext w:val="0"/>
        <w:keepLines w:val="0"/>
        <w:spacing w:after="80"/>
      </w:pPr>
      <w:bookmarkStart w:id="734" w:name="_Ref388530067"/>
      <w:bookmarkStart w:id="735" w:name="_Toc391985587"/>
      <w:r>
        <w:t xml:space="preserve">Figure </w:t>
      </w:r>
      <w:r w:rsidR="00927965">
        <w:fldChar w:fldCharType="begin"/>
      </w:r>
      <w:r w:rsidR="0011163E">
        <w:instrText xml:space="preserve"> STYLEREF 1 \s </w:instrText>
      </w:r>
      <w:r w:rsidR="00927965">
        <w:fldChar w:fldCharType="separate"/>
      </w:r>
      <w:r w:rsidR="00284CE3">
        <w:rPr>
          <w:noProof/>
        </w:rPr>
        <w:t>6</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12</w:t>
      </w:r>
      <w:r w:rsidR="00927965">
        <w:fldChar w:fldCharType="end"/>
      </w:r>
      <w:bookmarkEnd w:id="734"/>
      <w:r>
        <w:t>:</w:t>
      </w:r>
      <w:r w:rsidRPr="00130520">
        <w:t xml:space="preserve"> </w:t>
      </w:r>
      <w:r w:rsidRPr="006F3A0C">
        <w:t xml:space="preserve">Daily </w:t>
      </w:r>
      <w:r>
        <w:t>day-ahead</w:t>
      </w:r>
      <w:r w:rsidRPr="006F3A0C">
        <w:t xml:space="preserve"> and </w:t>
      </w:r>
      <w:r>
        <w:t xml:space="preserve">real-time </w:t>
      </w:r>
      <w:r w:rsidRPr="006F3A0C">
        <w:t>ISO</w:t>
      </w:r>
      <w:r>
        <w:t xml:space="preserve"> New England </w:t>
      </w:r>
      <w:r w:rsidRPr="006F3A0C">
        <w:t xml:space="preserve">Hub </w:t>
      </w:r>
      <w:r>
        <w:t>p</w:t>
      </w:r>
      <w:r w:rsidRPr="006F3A0C">
        <w:t xml:space="preserve">rices and </w:t>
      </w:r>
      <w:r>
        <w:t>i</w:t>
      </w:r>
      <w:r w:rsidRPr="006F3A0C">
        <w:t xml:space="preserve">nput </w:t>
      </w:r>
      <w:r>
        <w:t>f</w:t>
      </w:r>
      <w:r w:rsidRPr="006F3A0C">
        <w:t xml:space="preserve">uel </w:t>
      </w:r>
      <w:r>
        <w:t>p</w:t>
      </w:r>
      <w:r w:rsidRPr="006F3A0C">
        <w:t>rices</w:t>
      </w:r>
      <w:r>
        <w:t xml:space="preserve">, </w:t>
      </w:r>
      <w:r w:rsidRPr="006F3A0C">
        <w:t>January 1</w:t>
      </w:r>
      <w:r>
        <w:t xml:space="preserve"> to </w:t>
      </w:r>
      <w:r w:rsidRPr="006F3A0C">
        <w:t>31, 2014</w:t>
      </w:r>
      <w:r>
        <w:t xml:space="preserve"> ($/</w:t>
      </w:r>
      <w:proofErr w:type="spellStart"/>
      <w:r>
        <w:t>MWh</w:t>
      </w:r>
      <w:proofErr w:type="spellEnd"/>
      <w:r>
        <w:t>; $/</w:t>
      </w:r>
      <w:proofErr w:type="spellStart"/>
      <w:r>
        <w:t>MMBtu</w:t>
      </w:r>
      <w:proofErr w:type="spellEnd"/>
      <w:r>
        <w:t>).</w:t>
      </w:r>
      <w:bookmarkEnd w:id="735"/>
      <w:r>
        <w:t xml:space="preserve"> </w:t>
      </w:r>
    </w:p>
    <w:p w:rsidR="00C50436" w:rsidRPr="00426146" w:rsidRDefault="00C50436" w:rsidP="00C50436">
      <w:pPr>
        <w:pStyle w:val="Caption-Figure"/>
        <w:keepNext w:val="0"/>
        <w:keepLines w:val="0"/>
        <w:spacing w:before="0" w:after="240"/>
        <w:rPr>
          <w:sz w:val="16"/>
          <w:szCs w:val="16"/>
        </w:rPr>
      </w:pPr>
      <w:r w:rsidRPr="00426146">
        <w:rPr>
          <w:sz w:val="16"/>
          <w:szCs w:val="16"/>
        </w:rPr>
        <w:t xml:space="preserve">Notes: </w:t>
      </w:r>
      <w:r w:rsidRPr="00426146">
        <w:rPr>
          <w:b w:val="0"/>
          <w:sz w:val="16"/>
          <w:szCs w:val="16"/>
        </w:rPr>
        <w:t xml:space="preserve">Average price difference over this period (day ahead </w:t>
      </w:r>
      <w:r w:rsidR="00A36158" w:rsidRPr="00426146">
        <w:rPr>
          <w:b w:val="0"/>
          <w:sz w:val="16"/>
          <w:szCs w:val="16"/>
        </w:rPr>
        <w:t>−</w:t>
      </w:r>
      <w:r w:rsidRPr="00426146">
        <w:rPr>
          <w:b w:val="0"/>
          <w:sz w:val="16"/>
          <w:szCs w:val="16"/>
        </w:rPr>
        <w:t xml:space="preserve"> real time)</w:t>
      </w:r>
      <w:r w:rsidR="00CF20A4" w:rsidRPr="00426146">
        <w:rPr>
          <w:b w:val="0"/>
          <w:sz w:val="16"/>
          <w:szCs w:val="16"/>
        </w:rPr>
        <w:t xml:space="preserve"> =</w:t>
      </w:r>
      <w:r w:rsidRPr="00426146">
        <w:rPr>
          <w:b w:val="0"/>
          <w:sz w:val="16"/>
          <w:szCs w:val="16"/>
        </w:rPr>
        <w:t xml:space="preserve"> $5.93.</w:t>
      </w:r>
      <w:r w:rsidR="007F7B8D" w:rsidRPr="00426146">
        <w:rPr>
          <w:b w:val="0"/>
          <w:sz w:val="16"/>
          <w:szCs w:val="16"/>
        </w:rPr>
        <w:br/>
      </w:r>
      <w:r w:rsidRPr="00426146">
        <w:rPr>
          <w:b w:val="0"/>
          <w:sz w:val="16"/>
          <w:szCs w:val="16"/>
        </w:rPr>
        <w:t xml:space="preserve">Average price difference over this period </w:t>
      </w:r>
      <w:r w:rsidR="008D61C8" w:rsidRPr="00426146">
        <w:rPr>
          <w:b w:val="0"/>
          <w:sz w:val="16"/>
          <w:szCs w:val="16"/>
        </w:rPr>
        <w:t>(absolute value; ABS)</w:t>
      </w:r>
      <w:r w:rsidRPr="00426146">
        <w:rPr>
          <w:b w:val="0"/>
          <w:sz w:val="16"/>
          <w:szCs w:val="16"/>
        </w:rPr>
        <w:t xml:space="preserve"> (day ahead </w:t>
      </w:r>
      <w:r w:rsidR="00A36158" w:rsidRPr="00426146">
        <w:rPr>
          <w:b w:val="0"/>
          <w:sz w:val="16"/>
          <w:szCs w:val="16"/>
        </w:rPr>
        <w:t>−</w:t>
      </w:r>
      <w:r w:rsidRPr="00426146">
        <w:rPr>
          <w:b w:val="0"/>
          <w:sz w:val="16"/>
          <w:szCs w:val="16"/>
        </w:rPr>
        <w:t xml:space="preserve"> real time)</w:t>
      </w:r>
      <w:r w:rsidR="00CF20A4" w:rsidRPr="00426146">
        <w:rPr>
          <w:b w:val="0"/>
          <w:sz w:val="16"/>
          <w:szCs w:val="16"/>
        </w:rPr>
        <w:t xml:space="preserve"> =</w:t>
      </w:r>
      <w:r w:rsidRPr="00426146">
        <w:rPr>
          <w:b w:val="0"/>
          <w:sz w:val="16"/>
          <w:szCs w:val="16"/>
        </w:rPr>
        <w:t xml:space="preserve"> $25.99.</w:t>
      </w:r>
      <w:r w:rsidR="007F7B8D" w:rsidRPr="00426146">
        <w:rPr>
          <w:b w:val="0"/>
          <w:sz w:val="16"/>
          <w:szCs w:val="16"/>
        </w:rPr>
        <w:br/>
      </w:r>
      <w:r w:rsidRPr="00426146">
        <w:rPr>
          <w:b w:val="0"/>
          <w:sz w:val="16"/>
          <w:szCs w:val="16"/>
        </w:rPr>
        <w:t>Average percentage difference over this period ABS (</w:t>
      </w:r>
      <w:r w:rsidR="00A36158" w:rsidRPr="00426146">
        <w:rPr>
          <w:b w:val="0"/>
          <w:sz w:val="16"/>
          <w:szCs w:val="16"/>
        </w:rPr>
        <w:t>day ahead – real time</w:t>
      </w:r>
      <w:r w:rsidRPr="00426146">
        <w:rPr>
          <w:b w:val="0"/>
          <w:sz w:val="16"/>
          <w:szCs w:val="16"/>
        </w:rPr>
        <w:t>)/</w:t>
      </w:r>
      <w:r w:rsidR="007F7B8D" w:rsidRPr="00426146">
        <w:rPr>
          <w:b w:val="0"/>
          <w:sz w:val="16"/>
          <w:szCs w:val="16"/>
        </w:rPr>
        <w:t>r</w:t>
      </w:r>
      <w:r w:rsidR="00A36158" w:rsidRPr="00426146">
        <w:rPr>
          <w:b w:val="0"/>
          <w:sz w:val="16"/>
          <w:szCs w:val="16"/>
        </w:rPr>
        <w:t>eal</w:t>
      </w:r>
      <w:r w:rsidR="007F7B8D" w:rsidRPr="00426146">
        <w:rPr>
          <w:b w:val="0"/>
          <w:sz w:val="16"/>
          <w:szCs w:val="16"/>
        </w:rPr>
        <w:t>-time a</w:t>
      </w:r>
      <w:r w:rsidRPr="00426146">
        <w:rPr>
          <w:b w:val="0"/>
          <w:sz w:val="16"/>
          <w:szCs w:val="16"/>
        </w:rPr>
        <w:t>verage LMP</w:t>
      </w:r>
      <w:r w:rsidR="00CF20A4" w:rsidRPr="00426146">
        <w:rPr>
          <w:b w:val="0"/>
          <w:sz w:val="16"/>
          <w:szCs w:val="16"/>
        </w:rPr>
        <w:t xml:space="preserve"> =</w:t>
      </w:r>
      <w:r w:rsidRPr="00426146">
        <w:rPr>
          <w:b w:val="0"/>
          <w:sz w:val="16"/>
          <w:szCs w:val="16"/>
        </w:rPr>
        <w:t xml:space="preserve"> 16%.</w:t>
      </w:r>
      <w:r w:rsidR="007F7B8D" w:rsidRPr="00426146">
        <w:rPr>
          <w:b w:val="0"/>
          <w:sz w:val="16"/>
          <w:szCs w:val="16"/>
        </w:rPr>
        <w:br/>
      </w:r>
      <w:r w:rsidRPr="00426146">
        <w:rPr>
          <w:b w:val="0"/>
          <w:sz w:val="16"/>
          <w:szCs w:val="16"/>
        </w:rPr>
        <w:t xml:space="preserve">Gas price is average of Massachusetts delivery points; </w:t>
      </w:r>
      <w:r w:rsidR="00DC32CD" w:rsidRPr="00426146">
        <w:rPr>
          <w:b w:val="0"/>
          <w:sz w:val="16"/>
          <w:szCs w:val="16"/>
        </w:rPr>
        <w:t>n</w:t>
      </w:r>
      <w:r w:rsidRPr="00426146">
        <w:rPr>
          <w:b w:val="0"/>
          <w:sz w:val="16"/>
          <w:szCs w:val="16"/>
        </w:rPr>
        <w:t>o. 6 oil is New York spot price from the EIA</w:t>
      </w:r>
      <w:r w:rsidR="00CF20A4" w:rsidRPr="00426146">
        <w:rPr>
          <w:b w:val="0"/>
          <w:sz w:val="16"/>
          <w:szCs w:val="16"/>
        </w:rPr>
        <w:t>.</w:t>
      </w:r>
    </w:p>
    <w:p w:rsidR="00D2141F" w:rsidRDefault="00D2141F" w:rsidP="00D2141F">
      <w:r>
        <w:t xml:space="preserve">Although the development of Marcellus Shale is a growing source of natural gas, pipeline limitations into New England typically cause price separation between New England and Marcellus supplies. During winter 2013/2014, however, natural gas prices in New England were often similar to the areas west of the region because of high demand across much of the Eastern Interconnection. </w:t>
      </w:r>
    </w:p>
    <w:p w:rsidR="00D2141F" w:rsidRPr="003F0B11" w:rsidRDefault="00D2141F" w:rsidP="005C6088">
      <w:pPr>
        <w:pStyle w:val="Heading3"/>
        <w:rPr>
          <w:rFonts w:eastAsia="Times New Roman"/>
        </w:rPr>
      </w:pPr>
      <w:bookmarkStart w:id="736" w:name="_Ref388711316"/>
      <w:bookmarkStart w:id="737" w:name="_Ref388712413"/>
      <w:bookmarkStart w:id="738" w:name="_Toc396807660"/>
      <w:r w:rsidRPr="003F0B11">
        <w:rPr>
          <w:rFonts w:eastAsia="Times New Roman"/>
        </w:rPr>
        <w:t xml:space="preserve">Studies on Natural Gas Supply and Delivery </w:t>
      </w:r>
      <w:r>
        <w:rPr>
          <w:rFonts w:eastAsia="Times New Roman"/>
        </w:rPr>
        <w:t>to Power Generators</w:t>
      </w:r>
      <w:bookmarkEnd w:id="736"/>
      <w:bookmarkEnd w:id="737"/>
      <w:bookmarkEnd w:id="738"/>
    </w:p>
    <w:p w:rsidR="00D2141F" w:rsidRPr="003B197F" w:rsidRDefault="00D2141F" w:rsidP="00D2141F">
      <w:r w:rsidRPr="00217BF0">
        <w:t xml:space="preserve">Several studies have quantified potential </w:t>
      </w:r>
      <w:r w:rsidRPr="00851B7A">
        <w:t xml:space="preserve">shortfalls in natural gas supply to electric power generators, and additional studies are underway. The ISO commissioned a </w:t>
      </w:r>
      <w:r>
        <w:t xml:space="preserve">white paper </w:t>
      </w:r>
      <w:r w:rsidRPr="00851B7A">
        <w:t>to quantify the extent of the regional fuel</w:t>
      </w:r>
      <w:r>
        <w:t>-</w:t>
      </w:r>
      <w:r w:rsidRPr="00851B7A">
        <w:t xml:space="preserve">diversity risk and assess the ability of the regional gas supply and delivery system to serve </w:t>
      </w:r>
      <w:r w:rsidRPr="00235567">
        <w:t>the gas demands of New England’s power supply.</w:t>
      </w:r>
      <w:r w:rsidR="00B272C2" w:rsidRPr="00235567">
        <w:rPr>
          <w:rStyle w:val="FootnoteReference"/>
        </w:rPr>
        <w:footnoteReference w:id="277"/>
      </w:r>
      <w:r w:rsidRPr="00235567">
        <w:t xml:space="preserve"> The ISO also commissioned </w:t>
      </w:r>
      <w:r w:rsidR="00D837D8" w:rsidRPr="00235567">
        <w:t>a scenario analysis</w:t>
      </w:r>
      <w:r w:rsidRPr="00235567">
        <w:t xml:space="preserve"> that identified potential shortfalls of natural gas supply to generating units.</w:t>
      </w:r>
      <w:r w:rsidRPr="00235567">
        <w:rPr>
          <w:rStyle w:val="FootnoteReference"/>
        </w:rPr>
        <w:footnoteReference w:id="278"/>
      </w:r>
      <w:r w:rsidRPr="00235567">
        <w:t xml:space="preserve"> In addition, the</w:t>
      </w:r>
      <w:r w:rsidRPr="003B197F">
        <w:t xml:space="preserve"> Eastern Interconnection Planning Collaborative (EIPC) is conducting a study of the interactions between the natural gas and the electric power systems across the Eastern Interconnection (refer to </w:t>
      </w:r>
      <w:r w:rsidR="00761E03" w:rsidRPr="003B197F">
        <w:t>Section </w:t>
      </w:r>
      <w:fldSimple w:instr=" REF _Ref388951448 \r \h  \* MERGEFORMAT ">
        <w:r w:rsidR="00284CE3">
          <w:t>7.1.1</w:t>
        </w:r>
      </w:fldSimple>
      <w:r w:rsidRPr="003B197F">
        <w:t>).</w:t>
      </w:r>
      <w:r w:rsidRPr="003B197F">
        <w:rPr>
          <w:vertAlign w:val="superscript"/>
        </w:rPr>
        <w:footnoteReference w:id="279"/>
      </w:r>
      <w:r w:rsidRPr="003B197F">
        <w:rPr>
          <w:vertAlign w:val="superscript"/>
        </w:rPr>
        <w:t xml:space="preserve"> </w:t>
      </w:r>
    </w:p>
    <w:p w:rsidR="00D2141F" w:rsidRPr="003B197F" w:rsidRDefault="00D2141F" w:rsidP="005C6088">
      <w:pPr>
        <w:pStyle w:val="Heading4"/>
      </w:pPr>
      <w:r w:rsidRPr="003B197F">
        <w:t>Gas-Fired Power Generation in Eastern New York and its Impact on New England’s Gas Supplies</w:t>
      </w:r>
    </w:p>
    <w:p w:rsidR="00D2141F" w:rsidRDefault="00D2141F" w:rsidP="00D2141F">
      <w:r w:rsidRPr="00092C80">
        <w:t xml:space="preserve">This </w:t>
      </w:r>
      <w:r w:rsidR="00D45F77" w:rsidRPr="00092C80">
        <w:t>ICF</w:t>
      </w:r>
      <w:r w:rsidRPr="00092C80">
        <w:t xml:space="preserve"> </w:t>
      </w:r>
      <w:r w:rsidR="00CF20A4" w:rsidRPr="00092C80">
        <w:t xml:space="preserve">International </w:t>
      </w:r>
      <w:r w:rsidRPr="00092C80">
        <w:t xml:space="preserve">white paper assesses the effects </w:t>
      </w:r>
      <w:r w:rsidR="00936C81" w:rsidRPr="00092C80">
        <w:t xml:space="preserve">of new and existing sources of electric power demand located downstream of </w:t>
      </w:r>
      <w:r w:rsidR="00D837D8" w:rsidRPr="00092C80">
        <w:t>existing pipeline constraints in New York affecting both the New England natural gas and electric power system markets.</w:t>
      </w:r>
      <w:r w:rsidR="00B272C2" w:rsidRPr="00092C80">
        <w:rPr>
          <w:rStyle w:val="FootnoteReference"/>
        </w:rPr>
        <w:footnoteReference w:id="280"/>
      </w:r>
      <w:r w:rsidRPr="00092C80">
        <w:t xml:space="preserve"> The paper evaluates the methods by which</w:t>
      </w:r>
      <w:r w:rsidRPr="003B197F">
        <w:t xml:space="preserve"> similar power </w:t>
      </w:r>
      <w:r w:rsidRPr="00C57933">
        <w:t xml:space="preserve">plants compete for both </w:t>
      </w:r>
      <w:r w:rsidR="00113C54" w:rsidRPr="00113C54">
        <w:t>firm</w:t>
      </w:r>
      <w:r w:rsidRPr="00C57933">
        <w:t xml:space="preserve"> and interruptible natural gas transportation, which includes capacity released by </w:t>
      </w:r>
      <w:r w:rsidR="00113C54" w:rsidRPr="00113C54">
        <w:t>firm</w:t>
      </w:r>
      <w:r w:rsidRPr="00C57933">
        <w:t xml:space="preserve"> contact holders (primarily LDCs). This paper also discusses the impacts to gas flows into</w:t>
      </w:r>
      <w:r w:rsidRPr="005520CF">
        <w:t xml:space="preserve"> and within New England from unauthorized overruns</w:t>
      </w:r>
      <w:r w:rsidRPr="005520CF">
        <w:rPr>
          <w:b/>
          <w:bCs/>
          <w:i/>
          <w:iCs/>
        </w:rPr>
        <w:t xml:space="preserve"> </w:t>
      </w:r>
      <w:r w:rsidRPr="005520CF">
        <w:t>by gas consumers who take gas in excess of the</w:t>
      </w:r>
      <w:r>
        <w:t>ir</w:t>
      </w:r>
      <w:r w:rsidRPr="005520CF">
        <w:t xml:space="preserve"> scheduled volumes</w:t>
      </w:r>
      <w:r w:rsidR="00075A35">
        <w:t>,</w:t>
      </w:r>
      <w:r w:rsidRPr="005520CF">
        <w:t xml:space="preserve"> upstream of or within New England. Additionally, the paper assesses the conflicting physical requirements and economic incentives that natural-gas-fired generators face as they compete within both the electric power and gas markets.</w:t>
      </w:r>
      <w:r w:rsidRPr="005520CF">
        <w:rPr>
          <w:sz w:val="13"/>
          <w:szCs w:val="13"/>
        </w:rPr>
        <w:t xml:space="preserve"> </w:t>
      </w:r>
      <w:r w:rsidRPr="005520CF">
        <w:t xml:space="preserve">The measures that ensure compliance with established pipeline operating tariffs and applicable ISO and RTO market and operating rules </w:t>
      </w:r>
      <w:proofErr w:type="gramStart"/>
      <w:r w:rsidRPr="005520CF">
        <w:t>are also presented</w:t>
      </w:r>
      <w:proofErr w:type="gramEnd"/>
      <w:r w:rsidRPr="005520CF">
        <w:t>.</w:t>
      </w:r>
    </w:p>
    <w:p w:rsidR="00D2141F" w:rsidRDefault="00D2141F" w:rsidP="00D2141F">
      <w:r>
        <w:t>Regarding natural gas delivery into the region, the paper states that t</w:t>
      </w:r>
      <w:r w:rsidRPr="00217564">
        <w:t xml:space="preserve">hree of the six pipelines that serve New England </w:t>
      </w:r>
      <w:r>
        <w:t>(</w:t>
      </w:r>
      <w:r w:rsidRPr="00217564">
        <w:t>Algonquin, Iroquois, and Tennessee</w:t>
      </w:r>
      <w:r>
        <w:t xml:space="preserve">) </w:t>
      </w:r>
      <w:r w:rsidRPr="00217564">
        <w:t>also provide service to markets in New York. Several eastern New York gas-fired power generators are located upstream of New England generators but downstream of existing pipeline constraints</w:t>
      </w:r>
      <w:r>
        <w:t xml:space="preserve">. </w:t>
      </w:r>
      <w:r w:rsidRPr="00217564">
        <w:t>These New York generators compete for regional gas supply and transportation services with New England’s generators</w:t>
      </w:r>
      <w:r>
        <w:t>. T</w:t>
      </w:r>
      <w:r w:rsidRPr="00217564">
        <w:t>he</w:t>
      </w:r>
      <w:r>
        <w:t xml:space="preserve"> New York generators</w:t>
      </w:r>
      <w:r w:rsidRPr="00217564">
        <w:t xml:space="preserve"> affect physical conditions that influence pipeline deliveries into and within New England</w:t>
      </w:r>
      <w:r>
        <w:t xml:space="preserve">. </w:t>
      </w:r>
    </w:p>
    <w:p w:rsidR="00D2141F" w:rsidRDefault="0058019A" w:rsidP="00C57933">
      <w:r w:rsidRPr="0058019A">
        <w:t>As summarized</w:t>
      </w:r>
      <w:r w:rsidR="00D2141F" w:rsidRPr="00C57933">
        <w:t xml:space="preserve"> in the white paper, consumers have benefitted from relatively low gas prices, but New </w:t>
      </w:r>
      <w:r w:rsidR="00D2141F" w:rsidRPr="00384E48">
        <w:t xml:space="preserve">England faces </w:t>
      </w:r>
      <w:r w:rsidR="00050EC2" w:rsidRPr="00384E48">
        <w:t>fuel</w:t>
      </w:r>
      <w:r w:rsidR="00384E48">
        <w:t xml:space="preserve"> </w:t>
      </w:r>
      <w:r w:rsidR="00050EC2" w:rsidRPr="00384E48">
        <w:t>supply</w:t>
      </w:r>
      <w:r w:rsidR="00D2141F" w:rsidRPr="00384E48">
        <w:t xml:space="preserve"> challenges resulting from pipeline infrastructure constraints. One challenge is</w:t>
      </w:r>
      <w:r w:rsidR="00D2141F" w:rsidRPr="00C57933">
        <w:t xml:space="preserve"> that FERC tariffs require pipeline developers to secure </w:t>
      </w:r>
      <w:r w:rsidRPr="0058019A">
        <w:t>firm</w:t>
      </w:r>
      <w:r w:rsidR="00D2141F" w:rsidRPr="00C57933">
        <w:t xml:space="preserve"> natural gas contracts to be able to recover the costs for improving the pipeline system (see Section</w:t>
      </w:r>
      <w:r w:rsidR="00CC196F" w:rsidRPr="00C57933">
        <w:t xml:space="preserve"> </w:t>
      </w:r>
      <w:fldSimple w:instr=" REF _Ref388869094 \r \h  \* MERGEFORMAT ">
        <w:r w:rsidR="00284CE3">
          <w:t>6.2.1</w:t>
        </w:r>
      </w:fldSimple>
      <w:r w:rsidR="00D2141F" w:rsidRPr="00C57933">
        <w:t xml:space="preserve">), but electric power market participants in the Northeast have failed to make these </w:t>
      </w:r>
      <w:r w:rsidRPr="0058019A">
        <w:t>firm</w:t>
      </w:r>
      <w:r w:rsidR="00D2141F" w:rsidRPr="00C57933">
        <w:t xml:space="preserve"> contracts. Operational challenges </w:t>
      </w:r>
      <w:r w:rsidRPr="0058019A">
        <w:t xml:space="preserve">year round, particularly </w:t>
      </w:r>
      <w:r w:rsidR="00D2141F" w:rsidRPr="00C57933">
        <w:t xml:space="preserve">during peak </w:t>
      </w:r>
      <w:r w:rsidR="00235591" w:rsidRPr="00C57933">
        <w:t xml:space="preserve">winter </w:t>
      </w:r>
      <w:r w:rsidR="00D2141F" w:rsidRPr="00C57933">
        <w:t>electric power demand periods</w:t>
      </w:r>
      <w:r w:rsidR="001F2460" w:rsidRPr="00C57933">
        <w:t>,</w:t>
      </w:r>
      <w:r w:rsidR="00D2141F" w:rsidRPr="00C57933">
        <w:t xml:space="preserve"> are likely to become more severe as gas consumption by electric power generating units continues to grow without these </w:t>
      </w:r>
      <w:r w:rsidR="006855A9" w:rsidRPr="00C57933">
        <w:t>firm</w:t>
      </w:r>
      <w:r w:rsidR="00D2141F">
        <w:t xml:space="preserve"> contracts</w:t>
      </w:r>
      <w:r w:rsidR="00827842">
        <w:t xml:space="preserve"> or other firm fuel arrangements</w:t>
      </w:r>
      <w:r w:rsidR="00D2141F">
        <w:t xml:space="preserve">. </w:t>
      </w:r>
    </w:p>
    <w:p w:rsidR="00D2141F" w:rsidRDefault="00D2141F" w:rsidP="005C6088">
      <w:pPr>
        <w:pStyle w:val="Heading4"/>
      </w:pPr>
      <w:r w:rsidRPr="00217564">
        <w:t>Assessment of New England’s Natural Gas Pipeline Capacity to Satisfy Short</w:t>
      </w:r>
      <w:r>
        <w:t>-</w:t>
      </w:r>
      <w:r w:rsidR="008C49C9">
        <w:t>Term</w:t>
      </w:r>
      <w:r w:rsidRPr="00217564">
        <w:t xml:space="preserve"> and Near-Term Electric Generation Needs: Phase II </w:t>
      </w:r>
    </w:p>
    <w:p w:rsidR="00D2141F" w:rsidRPr="00247BD3" w:rsidRDefault="00D2141F" w:rsidP="00D2141F">
      <w:pPr>
        <w:rPr>
          <w:szCs w:val="22"/>
        </w:rPr>
      </w:pPr>
      <w:r w:rsidRPr="00217564">
        <w:t>The ISO commissioned studies to quantify the extent of the regional fuel</w:t>
      </w:r>
      <w:r>
        <w:t>-</w:t>
      </w:r>
      <w:r w:rsidRPr="00217564">
        <w:t>diversity risk</w:t>
      </w:r>
      <w:r>
        <w:t xml:space="preserve"> by </w:t>
      </w:r>
      <w:r w:rsidRPr="00217564">
        <w:t>assess</w:t>
      </w:r>
      <w:r>
        <w:t>ing</w:t>
      </w:r>
      <w:r w:rsidRPr="00217564">
        <w:t xml:space="preserve"> the ability of the regional gas supply and delivery system to serve the gas demands of the New England’s power supply. The Phase </w:t>
      </w:r>
      <w:proofErr w:type="gramStart"/>
      <w:r w:rsidRPr="00217564">
        <w:t>I</w:t>
      </w:r>
      <w:proofErr w:type="gramEnd"/>
      <w:r w:rsidRPr="00217564">
        <w:t xml:space="preserve"> study compared natural gas supply capabilities (contracted pipeline capacity, peak</w:t>
      </w:r>
      <w:r>
        <w:t>-</w:t>
      </w:r>
      <w:r w:rsidRPr="00217564">
        <w:t>shaving capabilities, and LNG import facilities) with projections of growth in peak winter day and summer day gas loads for the region through 2020.</w:t>
      </w:r>
      <w:r w:rsidRPr="005F717B">
        <w:rPr>
          <w:vertAlign w:val="superscript"/>
        </w:rPr>
        <w:footnoteReference w:id="281"/>
      </w:r>
      <w:r w:rsidRPr="00217564">
        <w:t xml:space="preserve"> The Phase II study examined a variety of scenarios for New England gas supply and power sector demand. The four categories of scenarios considered retirements of non-gas-fired generators</w:t>
      </w:r>
      <w:r>
        <w:t xml:space="preserve">, </w:t>
      </w:r>
      <w:r w:rsidRPr="00217564">
        <w:t>growth of electrical energy efficiency</w:t>
      </w:r>
      <w:r>
        <w:t xml:space="preserve">, </w:t>
      </w:r>
      <w:r w:rsidRPr="00217564">
        <w:t>decreased LNG supply</w:t>
      </w:r>
      <w:r>
        <w:t xml:space="preserve">, </w:t>
      </w:r>
      <w:r w:rsidRPr="00217564">
        <w:t>and winter near</w:t>
      </w:r>
      <w:r>
        <w:t>-</w:t>
      </w:r>
      <w:r w:rsidRPr="00217564">
        <w:t>peak conditions.</w:t>
      </w:r>
      <w:r w:rsidR="00761E03">
        <w:rPr>
          <w:rStyle w:val="FootnoteReference"/>
        </w:rPr>
        <w:footnoteReference w:id="282"/>
      </w:r>
      <w:r w:rsidRPr="00217564">
        <w:t xml:space="preserve"> </w:t>
      </w:r>
    </w:p>
    <w:p w:rsidR="00D2141F" w:rsidRPr="008C49C9" w:rsidRDefault="00D2141F" w:rsidP="00D2141F">
      <w:r w:rsidRPr="00217564">
        <w:t>The Phase II study show</w:t>
      </w:r>
      <w:r>
        <w:t>s</w:t>
      </w:r>
      <w:r w:rsidRPr="00217564">
        <w:t xml:space="preserve"> </w:t>
      </w:r>
      <w:r>
        <w:t xml:space="preserve">that </w:t>
      </w:r>
      <w:r w:rsidRPr="00217564">
        <w:t xml:space="preserve">the New England </w:t>
      </w:r>
      <w:r>
        <w:t xml:space="preserve">natural gas </w:t>
      </w:r>
      <w:r w:rsidRPr="00217564">
        <w:t xml:space="preserve">market is likely to remain constrained through 2020. The </w:t>
      </w:r>
      <w:r>
        <w:t>w</w:t>
      </w:r>
      <w:r w:rsidRPr="00217564">
        <w:t xml:space="preserve">inter </w:t>
      </w:r>
      <w:r>
        <w:t>n</w:t>
      </w:r>
      <w:r w:rsidRPr="00217564">
        <w:t>ear-</w:t>
      </w:r>
      <w:r>
        <w:t>p</w:t>
      </w:r>
      <w:r w:rsidRPr="00217564">
        <w:t>eak analysis indicates that gas</w:t>
      </w:r>
      <w:r>
        <w:t>-</w:t>
      </w:r>
      <w:r w:rsidRPr="00217564">
        <w:t xml:space="preserve">supply deficits may occur on </w:t>
      </w:r>
      <w:r>
        <w:t xml:space="preserve">both </w:t>
      </w:r>
      <w:r w:rsidRPr="00217564">
        <w:t>peak days</w:t>
      </w:r>
      <w:r>
        <w:t xml:space="preserve"> and</w:t>
      </w:r>
      <w:r w:rsidRPr="00217564">
        <w:t xml:space="preserve"> on multiple high</w:t>
      </w:r>
      <w:r>
        <w:t>-</w:t>
      </w:r>
      <w:r w:rsidRPr="00217564">
        <w:t>demand days throughout the winter. B</w:t>
      </w:r>
      <w:r>
        <w:t>ecause of</w:t>
      </w:r>
      <w:r w:rsidRPr="00217564">
        <w:t xml:space="preserve"> projected gas supplies, </w:t>
      </w:r>
      <w:r w:rsidR="00D837D8" w:rsidRPr="002100EA">
        <w:t>LDC demand</w:t>
      </w:r>
      <w:r w:rsidRPr="002100EA">
        <w:t xml:space="preserve">, </w:t>
      </w:r>
      <w:r w:rsidRPr="000079BA">
        <w:t>and electric generator gas demands, the electric</w:t>
      </w:r>
      <w:r w:rsidR="004762EF">
        <w:t>ity</w:t>
      </w:r>
      <w:r w:rsidRPr="000079BA">
        <w:t xml:space="preserve"> sector will most likely</w:t>
      </w:r>
      <w:r>
        <w:t xml:space="preserve"> </w:t>
      </w:r>
      <w:r w:rsidRPr="00217564">
        <w:t>have a gas</w:t>
      </w:r>
      <w:r>
        <w:t>-</w:t>
      </w:r>
      <w:r w:rsidRPr="00217564">
        <w:t xml:space="preserve">supply deficit </w:t>
      </w:r>
      <w:r w:rsidRPr="008C49C9">
        <w:t>on 24 to 34 days per winter by 2019/2020.</w:t>
      </w:r>
      <w:r w:rsidR="00C57933">
        <w:rPr>
          <w:rStyle w:val="FootnoteReference"/>
        </w:rPr>
        <w:footnoteReference w:id="283"/>
      </w:r>
    </w:p>
    <w:p w:rsidR="00D2141F" w:rsidRPr="00F13B14" w:rsidRDefault="00C50436" w:rsidP="00D2141F">
      <w:pPr>
        <w:rPr>
          <w:rFonts w:asciiTheme="minorHAnsi" w:hAnsiTheme="minorHAnsi" w:cs="Arial"/>
          <w:szCs w:val="22"/>
        </w:rPr>
      </w:pPr>
      <w:r w:rsidRPr="004728F0">
        <w:t>The analysis considered increases in the currently contracted capacity on the interstate pipelines and the like</w:t>
      </w:r>
      <w:r w:rsidR="0083420B" w:rsidRPr="004728F0">
        <w:t xml:space="preserve">ly addition of </w:t>
      </w:r>
      <w:r w:rsidRPr="004728F0">
        <w:t xml:space="preserve">450 </w:t>
      </w:r>
      <w:proofErr w:type="spellStart"/>
      <w:r w:rsidRPr="004728F0">
        <w:t>MMcf</w:t>
      </w:r>
      <w:proofErr w:type="spellEnd"/>
      <w:r w:rsidRPr="004728F0">
        <w:t xml:space="preserve">/d of </w:t>
      </w:r>
      <w:r w:rsidR="0083420B" w:rsidRPr="004728F0">
        <w:t>new</w:t>
      </w:r>
      <w:r w:rsidR="008C49C9" w:rsidRPr="004728F0">
        <w:t xml:space="preserve"> </w:t>
      </w:r>
      <w:r w:rsidRPr="004728F0">
        <w:t xml:space="preserve">capacity by the end of 2016. The </w:t>
      </w:r>
      <w:r w:rsidR="008C49C9" w:rsidRPr="004728F0">
        <w:t xml:space="preserve">reduced </w:t>
      </w:r>
      <w:r w:rsidRPr="004728F0">
        <w:t>consumption in the energy-efficiency cases w</w:t>
      </w:r>
      <w:r w:rsidR="008C49C9" w:rsidRPr="004728F0">
        <w:t>as</w:t>
      </w:r>
      <w:r w:rsidRPr="004728F0">
        <w:t xml:space="preserve"> not</w:t>
      </w:r>
      <w:r w:rsidRPr="00C50436">
        <w:t xml:space="preserve"> sufficient to eliminate the projected supply deficits</w:t>
      </w:r>
      <w:r w:rsidR="00723388">
        <w:t xml:space="preserve"> for </w:t>
      </w:r>
      <w:r w:rsidR="00723388" w:rsidRPr="00C50436">
        <w:t>winter peak day</w:t>
      </w:r>
      <w:r w:rsidR="00723388">
        <w:t>s</w:t>
      </w:r>
      <w:r w:rsidRPr="00C50436">
        <w:t xml:space="preserve">. Future imports of LNG into the region (Phase II decreased LNG) are likely to be well below the rated capacity of the import terminals. As in the Phase </w:t>
      </w:r>
      <w:proofErr w:type="gramStart"/>
      <w:r w:rsidRPr="00C50436">
        <w:t>I</w:t>
      </w:r>
      <w:proofErr w:type="gramEnd"/>
      <w:r w:rsidRPr="00C50436">
        <w:t xml:space="preserve"> study, neither Northeast Gateway nor Neptune are projected to receive any future LNG shipments.</w:t>
      </w:r>
      <w:r w:rsidR="00D2141F" w:rsidRPr="00217564">
        <w:t xml:space="preserve"> </w:t>
      </w:r>
    </w:p>
    <w:p w:rsidR="00D2141F" w:rsidRPr="008C49C9" w:rsidRDefault="00C50436" w:rsidP="005C6088">
      <w:pPr>
        <w:pStyle w:val="Heading4"/>
      </w:pPr>
      <w:r w:rsidRPr="00C50436">
        <w:t>Winter 2013/2014 Benchmark and Revised Projections for New England Natural Gas Supplies and Demand</w:t>
      </w:r>
    </w:p>
    <w:p w:rsidR="00D2141F" w:rsidRDefault="00D2141F" w:rsidP="00D2141F">
      <w:pPr>
        <w:rPr>
          <w:rFonts w:asciiTheme="majorHAnsi" w:hAnsiTheme="majorHAnsi"/>
        </w:rPr>
      </w:pPr>
      <w:r w:rsidRPr="00B163DA">
        <w:rPr>
          <w:rFonts w:asciiTheme="majorHAnsi" w:hAnsiTheme="majorHAnsi"/>
        </w:rPr>
        <w:t>This ICF study reevaluated the Phase II projections (discussed above) for New England natural gas</w:t>
      </w:r>
      <w:r w:rsidRPr="00217564">
        <w:rPr>
          <w:rFonts w:asciiTheme="majorHAnsi" w:hAnsiTheme="majorHAnsi"/>
        </w:rPr>
        <w:t xml:space="preserve"> </w:t>
      </w:r>
      <w:r w:rsidRPr="002100EA">
        <w:rPr>
          <w:rFonts w:asciiTheme="majorHAnsi" w:hAnsiTheme="majorHAnsi"/>
        </w:rPr>
        <w:t>supplies</w:t>
      </w:r>
      <w:r w:rsidR="00D837D8" w:rsidRPr="002100EA">
        <w:rPr>
          <w:rFonts w:asciiTheme="majorHAnsi" w:hAnsiTheme="majorHAnsi"/>
        </w:rPr>
        <w:t>, firm LDC demand</w:t>
      </w:r>
      <w:r w:rsidRPr="002100EA">
        <w:rPr>
          <w:rFonts w:asciiTheme="majorHAnsi" w:hAnsiTheme="majorHAnsi"/>
        </w:rPr>
        <w:t xml:space="preserve">, and gas supplies remaining for electric </w:t>
      </w:r>
      <w:r w:rsidR="004762EF" w:rsidRPr="002100EA">
        <w:rPr>
          <w:rFonts w:asciiTheme="majorHAnsi" w:hAnsiTheme="majorHAnsi"/>
        </w:rPr>
        <w:t xml:space="preserve">power </w:t>
      </w:r>
      <w:r w:rsidRPr="002100EA">
        <w:rPr>
          <w:rFonts w:asciiTheme="majorHAnsi" w:hAnsiTheme="majorHAnsi"/>
        </w:rPr>
        <w:t>generators. The study used</w:t>
      </w:r>
      <w:r w:rsidRPr="00C57933">
        <w:rPr>
          <w:rFonts w:asciiTheme="majorHAnsi" w:hAnsiTheme="majorHAnsi"/>
        </w:rPr>
        <w:t xml:space="preserve"> data for</w:t>
      </w:r>
      <w:r w:rsidRPr="00217564">
        <w:rPr>
          <w:rFonts w:asciiTheme="majorHAnsi" w:hAnsiTheme="majorHAnsi"/>
        </w:rPr>
        <w:t xml:space="preserve"> </w:t>
      </w:r>
      <w:r>
        <w:rPr>
          <w:rFonts w:asciiTheme="majorHAnsi" w:hAnsiTheme="majorHAnsi"/>
        </w:rPr>
        <w:t xml:space="preserve">natural </w:t>
      </w:r>
      <w:r w:rsidRPr="00217564">
        <w:rPr>
          <w:rFonts w:asciiTheme="majorHAnsi" w:hAnsiTheme="majorHAnsi"/>
        </w:rPr>
        <w:t>gas system performance during the winter of 2013/</w:t>
      </w:r>
      <w:r>
        <w:rPr>
          <w:rFonts w:asciiTheme="majorHAnsi" w:hAnsiTheme="majorHAnsi"/>
        </w:rPr>
        <w:t>20</w:t>
      </w:r>
      <w:r w:rsidRPr="00217564">
        <w:rPr>
          <w:rFonts w:asciiTheme="majorHAnsi" w:hAnsiTheme="majorHAnsi"/>
        </w:rPr>
        <w:t>14 (particularly during the polar vortex events</w:t>
      </w:r>
      <w:r>
        <w:rPr>
          <w:rFonts w:asciiTheme="majorHAnsi" w:hAnsiTheme="majorHAnsi"/>
        </w:rPr>
        <w:t xml:space="preserve">; see Section </w:t>
      </w:r>
      <w:r w:rsidR="00927965">
        <w:rPr>
          <w:rFonts w:asciiTheme="majorHAnsi" w:hAnsiTheme="majorHAnsi"/>
        </w:rPr>
        <w:fldChar w:fldCharType="begin"/>
      </w:r>
      <w:r w:rsidR="00CC196F">
        <w:rPr>
          <w:rFonts w:asciiTheme="majorHAnsi" w:hAnsiTheme="majorHAnsi"/>
        </w:rPr>
        <w:instrText xml:space="preserve"> REF _Ref388869235 \r \h </w:instrText>
      </w:r>
      <w:r w:rsidR="00927965">
        <w:rPr>
          <w:rFonts w:asciiTheme="majorHAnsi" w:hAnsiTheme="majorHAnsi"/>
        </w:rPr>
      </w:r>
      <w:r w:rsidR="00927965">
        <w:rPr>
          <w:rFonts w:asciiTheme="majorHAnsi" w:hAnsiTheme="majorHAnsi"/>
        </w:rPr>
        <w:fldChar w:fldCharType="separate"/>
      </w:r>
      <w:r w:rsidR="00284CE3">
        <w:rPr>
          <w:rFonts w:asciiTheme="majorHAnsi" w:hAnsiTheme="majorHAnsi"/>
        </w:rPr>
        <w:t>6.2.2.1</w:t>
      </w:r>
      <w:r w:rsidR="00927965">
        <w:rPr>
          <w:rFonts w:asciiTheme="majorHAnsi" w:hAnsiTheme="majorHAnsi"/>
        </w:rPr>
        <w:fldChar w:fldCharType="end"/>
      </w:r>
      <w:r w:rsidRPr="00217564">
        <w:rPr>
          <w:rFonts w:asciiTheme="majorHAnsi" w:hAnsiTheme="majorHAnsi"/>
        </w:rPr>
        <w:t>), new projections for peak day winter and summer gas demand</w:t>
      </w:r>
      <w:r w:rsidRPr="00063ED5">
        <w:rPr>
          <w:rFonts w:asciiTheme="majorHAnsi" w:hAnsiTheme="majorHAnsi"/>
        </w:rPr>
        <w:t xml:space="preserve"> </w:t>
      </w:r>
      <w:r>
        <w:rPr>
          <w:rFonts w:asciiTheme="majorHAnsi" w:hAnsiTheme="majorHAnsi"/>
        </w:rPr>
        <w:t xml:space="preserve">by </w:t>
      </w:r>
      <w:r w:rsidRPr="00217564">
        <w:rPr>
          <w:rFonts w:asciiTheme="majorHAnsi" w:hAnsiTheme="majorHAnsi"/>
        </w:rPr>
        <w:t xml:space="preserve">electric </w:t>
      </w:r>
      <w:r>
        <w:rPr>
          <w:rFonts w:asciiTheme="majorHAnsi" w:hAnsiTheme="majorHAnsi"/>
        </w:rPr>
        <w:t xml:space="preserve">power </w:t>
      </w:r>
      <w:r w:rsidRPr="00217564">
        <w:rPr>
          <w:rFonts w:asciiTheme="majorHAnsi" w:hAnsiTheme="majorHAnsi"/>
        </w:rPr>
        <w:t>generat</w:t>
      </w:r>
      <w:r>
        <w:rPr>
          <w:rFonts w:asciiTheme="majorHAnsi" w:hAnsiTheme="majorHAnsi"/>
        </w:rPr>
        <w:t xml:space="preserve">ors </w:t>
      </w:r>
      <w:r w:rsidRPr="00217564">
        <w:rPr>
          <w:rFonts w:asciiTheme="majorHAnsi" w:hAnsiTheme="majorHAnsi"/>
        </w:rPr>
        <w:t>through 2020</w:t>
      </w:r>
      <w:r>
        <w:rPr>
          <w:rFonts w:asciiTheme="majorHAnsi" w:hAnsiTheme="majorHAnsi"/>
        </w:rPr>
        <w:t xml:space="preserve">, and the results of </w:t>
      </w:r>
      <w:r w:rsidRPr="00217564">
        <w:rPr>
          <w:rFonts w:asciiTheme="majorHAnsi" w:hAnsiTheme="majorHAnsi"/>
        </w:rPr>
        <w:t xml:space="preserve">FCA </w:t>
      </w:r>
      <w:r>
        <w:rPr>
          <w:rFonts w:asciiTheme="majorHAnsi" w:hAnsiTheme="majorHAnsi"/>
        </w:rPr>
        <w:t>#</w:t>
      </w:r>
      <w:r w:rsidRPr="00217564">
        <w:rPr>
          <w:rFonts w:asciiTheme="majorHAnsi" w:hAnsiTheme="majorHAnsi"/>
        </w:rPr>
        <w:t>8</w:t>
      </w:r>
      <w:r>
        <w:rPr>
          <w:rFonts w:asciiTheme="majorHAnsi" w:hAnsiTheme="majorHAnsi"/>
        </w:rPr>
        <w:t xml:space="preserve"> (see Section </w:t>
      </w:r>
      <w:r w:rsidR="00927965">
        <w:rPr>
          <w:rFonts w:asciiTheme="majorHAnsi" w:hAnsiTheme="majorHAnsi"/>
        </w:rPr>
        <w:fldChar w:fldCharType="begin"/>
      </w:r>
      <w:r w:rsidR="00CC196F">
        <w:rPr>
          <w:rFonts w:asciiTheme="majorHAnsi" w:hAnsiTheme="majorHAnsi"/>
        </w:rPr>
        <w:instrText xml:space="preserve"> REF _Ref388869264 \r \h </w:instrText>
      </w:r>
      <w:r w:rsidR="00927965">
        <w:rPr>
          <w:rFonts w:asciiTheme="majorHAnsi" w:hAnsiTheme="majorHAnsi"/>
        </w:rPr>
      </w:r>
      <w:r w:rsidR="00927965">
        <w:rPr>
          <w:rFonts w:asciiTheme="majorHAnsi" w:hAnsiTheme="majorHAnsi"/>
        </w:rPr>
        <w:fldChar w:fldCharType="separate"/>
      </w:r>
      <w:r w:rsidR="00284CE3">
        <w:rPr>
          <w:rFonts w:asciiTheme="majorHAnsi" w:hAnsiTheme="majorHAnsi"/>
        </w:rPr>
        <w:t>4.1.3</w:t>
      </w:r>
      <w:r w:rsidR="00927965">
        <w:rPr>
          <w:rFonts w:asciiTheme="majorHAnsi" w:hAnsiTheme="majorHAnsi"/>
        </w:rPr>
        <w:fldChar w:fldCharType="end"/>
      </w:r>
      <w:r>
        <w:rPr>
          <w:rFonts w:asciiTheme="majorHAnsi" w:hAnsiTheme="majorHAnsi"/>
        </w:rPr>
        <w:t>)</w:t>
      </w:r>
      <w:r w:rsidRPr="00217564">
        <w:rPr>
          <w:rFonts w:asciiTheme="majorHAnsi" w:hAnsiTheme="majorHAnsi"/>
        </w:rPr>
        <w:t>.</w:t>
      </w:r>
      <w:r>
        <w:rPr>
          <w:rFonts w:asciiTheme="majorHAnsi" w:hAnsiTheme="majorHAnsi"/>
        </w:rPr>
        <w:t xml:space="preserve"> </w:t>
      </w:r>
      <w:r w:rsidRPr="00217564">
        <w:rPr>
          <w:rFonts w:asciiTheme="majorHAnsi" w:hAnsiTheme="majorHAnsi"/>
        </w:rPr>
        <w:t xml:space="preserve">ICF </w:t>
      </w:r>
      <w:r>
        <w:rPr>
          <w:rFonts w:asciiTheme="majorHAnsi" w:hAnsiTheme="majorHAnsi"/>
        </w:rPr>
        <w:t xml:space="preserve">then </w:t>
      </w:r>
      <w:r w:rsidRPr="00217564">
        <w:rPr>
          <w:rFonts w:asciiTheme="majorHAnsi" w:hAnsiTheme="majorHAnsi"/>
        </w:rPr>
        <w:t>calculate</w:t>
      </w:r>
      <w:r>
        <w:rPr>
          <w:rFonts w:asciiTheme="majorHAnsi" w:hAnsiTheme="majorHAnsi"/>
        </w:rPr>
        <w:t>d</w:t>
      </w:r>
      <w:r w:rsidRPr="00217564">
        <w:rPr>
          <w:rFonts w:asciiTheme="majorHAnsi" w:hAnsiTheme="majorHAnsi"/>
        </w:rPr>
        <w:t xml:space="preserve"> potential gas</w:t>
      </w:r>
      <w:r>
        <w:rPr>
          <w:rFonts w:asciiTheme="majorHAnsi" w:hAnsiTheme="majorHAnsi"/>
        </w:rPr>
        <w:t>-</w:t>
      </w:r>
      <w:r w:rsidRPr="00217564">
        <w:rPr>
          <w:rFonts w:asciiTheme="majorHAnsi" w:hAnsiTheme="majorHAnsi"/>
        </w:rPr>
        <w:t xml:space="preserve">supply margins during peak winter and summer days through 2020. The revised projections for gas supplies available to electric </w:t>
      </w:r>
      <w:r>
        <w:rPr>
          <w:rFonts w:asciiTheme="majorHAnsi" w:hAnsiTheme="majorHAnsi"/>
        </w:rPr>
        <w:t xml:space="preserve">power </w:t>
      </w:r>
      <w:r w:rsidRPr="00217564">
        <w:rPr>
          <w:rFonts w:asciiTheme="majorHAnsi" w:hAnsiTheme="majorHAnsi"/>
        </w:rPr>
        <w:t>generation throughout the winter average</w:t>
      </w:r>
      <w:r>
        <w:rPr>
          <w:rFonts w:asciiTheme="majorHAnsi" w:hAnsiTheme="majorHAnsi"/>
        </w:rPr>
        <w:t>d</w:t>
      </w:r>
      <w:r w:rsidRPr="00217564">
        <w:rPr>
          <w:rFonts w:asciiTheme="majorHAnsi" w:hAnsiTheme="majorHAnsi"/>
        </w:rPr>
        <w:t xml:space="preserve"> nearly 500 </w:t>
      </w:r>
      <w:proofErr w:type="spellStart"/>
      <w:r w:rsidRPr="00217564">
        <w:rPr>
          <w:rFonts w:asciiTheme="majorHAnsi" w:hAnsiTheme="majorHAnsi"/>
        </w:rPr>
        <w:t>MMcf</w:t>
      </w:r>
      <w:proofErr w:type="spellEnd"/>
      <w:r w:rsidRPr="00217564">
        <w:rPr>
          <w:rFonts w:asciiTheme="majorHAnsi" w:hAnsiTheme="majorHAnsi"/>
        </w:rPr>
        <w:t>/d lower than the original Phase II analysis</w:t>
      </w:r>
      <w:r>
        <w:rPr>
          <w:rFonts w:asciiTheme="majorHAnsi" w:hAnsiTheme="majorHAnsi"/>
        </w:rPr>
        <w:t xml:space="preserve"> throughout the study horizon.</w:t>
      </w:r>
    </w:p>
    <w:p w:rsidR="00D2141F" w:rsidRDefault="006229A8" w:rsidP="00D2141F">
      <w:pPr>
        <w:rPr>
          <w:rFonts w:asciiTheme="majorHAnsi" w:hAnsiTheme="majorHAnsi"/>
        </w:rPr>
      </w:pPr>
      <w:r w:rsidRPr="00953D29">
        <w:rPr>
          <w:rFonts w:asciiTheme="majorHAnsi" w:hAnsiTheme="majorHAnsi"/>
        </w:rPr>
        <w:t xml:space="preserve">Given the projected gas supplies, electric power system reliability during the winter months </w:t>
      </w:r>
      <w:proofErr w:type="gramStart"/>
      <w:r w:rsidRPr="00953D29">
        <w:rPr>
          <w:rFonts w:asciiTheme="majorHAnsi" w:hAnsiTheme="majorHAnsi"/>
        </w:rPr>
        <w:t>would be compromised</w:t>
      </w:r>
      <w:proofErr w:type="gramEnd"/>
      <w:r w:rsidRPr="00953D29">
        <w:rPr>
          <w:rFonts w:asciiTheme="majorHAnsi" w:hAnsiTheme="majorHAnsi"/>
        </w:rPr>
        <w:t xml:space="preserve"> by sustained cold weather. Assuming “extreme gas prices” (&gt;$20/</w:t>
      </w:r>
      <w:proofErr w:type="spellStart"/>
      <w:r w:rsidRPr="00953D29">
        <w:rPr>
          <w:rFonts w:asciiTheme="majorHAnsi" w:hAnsiTheme="majorHAnsi"/>
        </w:rPr>
        <w:t>MMBtu</w:t>
      </w:r>
      <w:proofErr w:type="spellEnd"/>
      <w:r w:rsidRPr="00953D29">
        <w:rPr>
          <w:rFonts w:asciiTheme="majorHAnsi" w:hAnsiTheme="majorHAnsi"/>
        </w:rPr>
        <w:t xml:space="preserve">, which would mean many oil units would </w:t>
      </w:r>
      <w:r w:rsidR="00C50436" w:rsidRPr="00953D29">
        <w:rPr>
          <w:rFonts w:asciiTheme="majorHAnsi" w:hAnsiTheme="majorHAnsi"/>
        </w:rPr>
        <w:t xml:space="preserve">be </w:t>
      </w:r>
      <w:r w:rsidR="006312A3" w:rsidRPr="00953D29">
        <w:rPr>
          <w:rFonts w:asciiTheme="majorHAnsi" w:hAnsiTheme="majorHAnsi"/>
        </w:rPr>
        <w:t>economically dispatched</w:t>
      </w:r>
      <w:r w:rsidR="00C50436" w:rsidRPr="00953D29">
        <w:rPr>
          <w:rFonts w:asciiTheme="majorHAnsi" w:hAnsiTheme="majorHAnsi"/>
        </w:rPr>
        <w:t xml:space="preserve">) </w:t>
      </w:r>
      <w:r w:rsidRPr="00953D29">
        <w:rPr>
          <w:rFonts w:asciiTheme="majorHAnsi" w:hAnsiTheme="majorHAnsi"/>
        </w:rPr>
        <w:t xml:space="preserve">and the same weather conditions as this past winter, winter peak-day gas supplies will be barely adequate or slightly in deficit through 2020. Outages of </w:t>
      </w:r>
      <w:r w:rsidR="00316208" w:rsidRPr="00953D29">
        <w:rPr>
          <w:rFonts w:asciiTheme="majorHAnsi" w:hAnsiTheme="majorHAnsi"/>
        </w:rPr>
        <w:t>non-gas</w:t>
      </w:r>
      <w:r w:rsidR="008C49C9" w:rsidRPr="00953D29">
        <w:rPr>
          <w:rFonts w:asciiTheme="majorHAnsi" w:hAnsiTheme="majorHAnsi"/>
        </w:rPr>
        <w:t>-</w:t>
      </w:r>
      <w:r w:rsidR="00316208" w:rsidRPr="00953D29">
        <w:rPr>
          <w:rFonts w:asciiTheme="majorHAnsi" w:hAnsiTheme="majorHAnsi"/>
        </w:rPr>
        <w:t xml:space="preserve">fired </w:t>
      </w:r>
      <w:r w:rsidRPr="00953D29">
        <w:rPr>
          <w:rFonts w:asciiTheme="majorHAnsi" w:hAnsiTheme="majorHAnsi"/>
        </w:rPr>
        <w:t xml:space="preserve">capacity, such as a disruption to a nuclear unit, and contingency outages of natural gas </w:t>
      </w:r>
      <w:r w:rsidRPr="00E77043">
        <w:rPr>
          <w:rFonts w:asciiTheme="majorHAnsi" w:hAnsiTheme="majorHAnsi"/>
        </w:rPr>
        <w:t xml:space="preserve">supplies would result in a </w:t>
      </w:r>
      <w:r w:rsidR="00C50436" w:rsidRPr="00E77043">
        <w:rPr>
          <w:rFonts w:asciiTheme="majorHAnsi" w:hAnsiTheme="majorHAnsi"/>
        </w:rPr>
        <w:t xml:space="preserve">serious </w:t>
      </w:r>
      <w:r w:rsidR="008C49C9" w:rsidRPr="00E77043">
        <w:rPr>
          <w:rFonts w:asciiTheme="majorHAnsi" w:hAnsiTheme="majorHAnsi"/>
        </w:rPr>
        <w:t xml:space="preserve">deficit in the </w:t>
      </w:r>
      <w:r w:rsidR="00C50436" w:rsidRPr="00E77043">
        <w:rPr>
          <w:rFonts w:asciiTheme="majorHAnsi" w:hAnsiTheme="majorHAnsi"/>
        </w:rPr>
        <w:t xml:space="preserve">gas </w:t>
      </w:r>
      <w:r w:rsidR="00D837D8" w:rsidRPr="00E77043">
        <w:rPr>
          <w:rFonts w:asciiTheme="majorHAnsi" w:hAnsiTheme="majorHAnsi"/>
        </w:rPr>
        <w:t>supply in New England</w:t>
      </w:r>
      <w:r w:rsidR="00953D29" w:rsidRPr="00E77043">
        <w:rPr>
          <w:rFonts w:asciiTheme="majorHAnsi" w:hAnsiTheme="majorHAnsi"/>
        </w:rPr>
        <w:t>.</w:t>
      </w:r>
    </w:p>
    <w:p w:rsidR="00D2141F" w:rsidRPr="00217564" w:rsidRDefault="00D2141F" w:rsidP="00D2141F">
      <w:pPr>
        <w:rPr>
          <w:rFonts w:asciiTheme="majorHAnsi" w:hAnsiTheme="majorHAnsi"/>
        </w:rPr>
      </w:pPr>
      <w:r w:rsidRPr="00C57933">
        <w:rPr>
          <w:rFonts w:asciiTheme="majorHAnsi" w:hAnsiTheme="majorHAnsi"/>
        </w:rPr>
        <w:t xml:space="preserve">The LDC </w:t>
      </w:r>
      <w:r w:rsidR="0058019A" w:rsidRPr="0058019A">
        <w:rPr>
          <w:rFonts w:asciiTheme="majorHAnsi" w:hAnsiTheme="majorHAnsi"/>
        </w:rPr>
        <w:t>firm</w:t>
      </w:r>
      <w:r w:rsidRPr="00C57933">
        <w:rPr>
          <w:rFonts w:asciiTheme="majorHAnsi" w:hAnsiTheme="majorHAnsi"/>
        </w:rPr>
        <w:t xml:space="preserve"> demand during summer is about 20% of the winter peak</w:t>
      </w:r>
      <w:r w:rsidR="0059198A">
        <w:rPr>
          <w:rFonts w:asciiTheme="majorHAnsi" w:hAnsiTheme="majorHAnsi"/>
        </w:rPr>
        <w:t xml:space="preserve">; thus, </w:t>
      </w:r>
      <w:r w:rsidRPr="00C57933">
        <w:rPr>
          <w:rFonts w:asciiTheme="majorHAnsi" w:hAnsiTheme="majorHAnsi"/>
        </w:rPr>
        <w:t>pipeline capacity is less likely</w:t>
      </w:r>
      <w:r w:rsidRPr="00217564">
        <w:rPr>
          <w:rFonts w:asciiTheme="majorHAnsi" w:hAnsiTheme="majorHAnsi"/>
        </w:rPr>
        <w:t xml:space="preserve"> to be constrained</w:t>
      </w:r>
      <w:r>
        <w:rPr>
          <w:rFonts w:asciiTheme="majorHAnsi" w:hAnsiTheme="majorHAnsi"/>
        </w:rPr>
        <w:t xml:space="preserve"> in the summer</w:t>
      </w:r>
      <w:r w:rsidRPr="00217564">
        <w:rPr>
          <w:rFonts w:asciiTheme="majorHAnsi" w:hAnsiTheme="majorHAnsi"/>
        </w:rPr>
        <w:t>. However, gas supplies could be constrained even in summer</w:t>
      </w:r>
      <w:r>
        <w:rPr>
          <w:rFonts w:asciiTheme="majorHAnsi" w:hAnsiTheme="majorHAnsi"/>
        </w:rPr>
        <w:t xml:space="preserve"> because of </w:t>
      </w:r>
      <w:r w:rsidRPr="00217564">
        <w:rPr>
          <w:rFonts w:asciiTheme="majorHAnsi" w:hAnsiTheme="majorHAnsi"/>
        </w:rPr>
        <w:t>high load conditions</w:t>
      </w:r>
      <w:r>
        <w:rPr>
          <w:rFonts w:asciiTheme="majorHAnsi" w:hAnsiTheme="majorHAnsi"/>
        </w:rPr>
        <w:t>;</w:t>
      </w:r>
      <w:r w:rsidRPr="00217564">
        <w:rPr>
          <w:rFonts w:asciiTheme="majorHAnsi" w:hAnsiTheme="majorHAnsi"/>
        </w:rPr>
        <w:t xml:space="preserve"> reductions in pipeline capacity resulting from forced outages or maintenance conditions</w:t>
      </w:r>
      <w:r>
        <w:rPr>
          <w:rFonts w:asciiTheme="majorHAnsi" w:hAnsiTheme="majorHAnsi"/>
        </w:rPr>
        <w:t>;</w:t>
      </w:r>
      <w:r w:rsidRPr="00217564">
        <w:rPr>
          <w:rFonts w:asciiTheme="majorHAnsi" w:hAnsiTheme="majorHAnsi"/>
        </w:rPr>
        <w:t xml:space="preserve"> and outages of non-gas-fired generators, such as nuclear units that would increase the need for natural gas-fired generators</w:t>
      </w:r>
      <w:r>
        <w:rPr>
          <w:rFonts w:asciiTheme="majorHAnsi" w:hAnsiTheme="majorHAnsi"/>
        </w:rPr>
        <w:t>.</w:t>
      </w:r>
    </w:p>
    <w:p w:rsidR="00D2141F" w:rsidRPr="00E77043" w:rsidRDefault="00D2141F" w:rsidP="005C6088">
      <w:pPr>
        <w:pStyle w:val="Heading4"/>
      </w:pPr>
      <w:bookmarkStart w:id="739" w:name="_Ref389736022"/>
      <w:r w:rsidRPr="00E77043">
        <w:t>EIPC Gas-Electric System Interface Study</w:t>
      </w:r>
      <w:bookmarkEnd w:id="739"/>
    </w:p>
    <w:p w:rsidR="00D2141F" w:rsidRPr="005520CF" w:rsidRDefault="00D2141F" w:rsidP="00D2141F">
      <w:proofErr w:type="gramStart"/>
      <w:r w:rsidRPr="00E77043">
        <w:t xml:space="preserve">During its review of the draft Phase II EIPC Report, DOE identified a gap between </w:t>
      </w:r>
      <w:r w:rsidR="00E77043" w:rsidRPr="00E77043">
        <w:t xml:space="preserve">the </w:t>
      </w:r>
      <w:r w:rsidRPr="00E77043">
        <w:t xml:space="preserve">electric power and natural gas system infrastructures and </w:t>
      </w:r>
      <w:r w:rsidR="00E73F2D" w:rsidRPr="00E77043">
        <w:t xml:space="preserve">anticipates </w:t>
      </w:r>
      <w:r w:rsidR="00547E54">
        <w:t xml:space="preserve">greater </w:t>
      </w:r>
      <w:r w:rsidR="00D837D8" w:rsidRPr="00E77043">
        <w:t>rel</w:t>
      </w:r>
      <w:r w:rsidR="00E73F2D" w:rsidRPr="00E77043">
        <w:t>iance</w:t>
      </w:r>
      <w:r w:rsidR="00D837D8" w:rsidRPr="00E77043">
        <w:t xml:space="preserve"> on natural gas for power generation</w:t>
      </w:r>
      <w:r w:rsidR="00C77499">
        <w:t>.</w:t>
      </w:r>
      <w:proofErr w:type="gramEnd"/>
      <w:r w:rsidR="00C77499">
        <w:t xml:space="preserve"> </w:t>
      </w:r>
      <w:r w:rsidRPr="00E77043">
        <w:t>DOE requested</w:t>
      </w:r>
      <w:r w:rsidRPr="0013329C">
        <w:t xml:space="preserve"> that the </w:t>
      </w:r>
      <w:r w:rsidRPr="00C77499">
        <w:t xml:space="preserve">EIPC </w:t>
      </w:r>
      <w:r w:rsidR="00936C81" w:rsidRPr="00C77499">
        <w:t>evaluate</w:t>
      </w:r>
      <w:r w:rsidR="00936C81">
        <w:t xml:space="preserve"> the interactions between natural gas and electricity operations and planning</w:t>
      </w:r>
      <w:r w:rsidR="00D3720A">
        <w:t>,</w:t>
      </w:r>
      <w:r w:rsidRPr="00D3720A">
        <w:t xml:space="preserve"> and </w:t>
      </w:r>
      <w:r w:rsidR="00D3720A" w:rsidRPr="00C77499">
        <w:t>d</w:t>
      </w:r>
      <w:r w:rsidR="00936C81" w:rsidRPr="00C77499">
        <w:t>uring 2013, six of the EIPC</w:t>
      </w:r>
      <w:r w:rsidRPr="00C77499">
        <w:t xml:space="preserve"> planning authorities (ISO New</w:t>
      </w:r>
      <w:r>
        <w:t xml:space="preserve"> </w:t>
      </w:r>
      <w:r w:rsidRPr="00CC196F">
        <w:t xml:space="preserve">England, NYISO, PJM, </w:t>
      </w:r>
      <w:r w:rsidR="00CC196F">
        <w:t xml:space="preserve">the Tennessee Valley Authority </w:t>
      </w:r>
      <w:r w:rsidR="00CC196F" w:rsidRPr="007D5040">
        <w:t>[</w:t>
      </w:r>
      <w:r w:rsidRPr="007D5040">
        <w:t>TVA</w:t>
      </w:r>
      <w:r w:rsidR="00CC196F" w:rsidRPr="007D5040">
        <w:t>]</w:t>
      </w:r>
      <w:r w:rsidRPr="007D5040">
        <w:t xml:space="preserve">, </w:t>
      </w:r>
      <w:r w:rsidR="007D5040">
        <w:t xml:space="preserve">the </w:t>
      </w:r>
      <w:r w:rsidR="00CC196F" w:rsidRPr="007D5040">
        <w:t>Midcontinent ISO [</w:t>
      </w:r>
      <w:r w:rsidRPr="007D5040">
        <w:t>MISO</w:t>
      </w:r>
      <w:r w:rsidR="00CC196F" w:rsidRPr="007D5040">
        <w:t>]</w:t>
      </w:r>
      <w:r w:rsidRPr="007D5040">
        <w:t xml:space="preserve">, and </w:t>
      </w:r>
      <w:r w:rsidR="007D5040">
        <w:t xml:space="preserve">the </w:t>
      </w:r>
      <w:r w:rsidR="007D5040" w:rsidRPr="007D5040">
        <w:t>Independent Electricity System Operator [</w:t>
      </w:r>
      <w:r w:rsidRPr="007D5040">
        <w:t>IESO</w:t>
      </w:r>
      <w:r w:rsidR="007D5040" w:rsidRPr="007D5040">
        <w:t>] of Ontario</w:t>
      </w:r>
      <w:r w:rsidRPr="007D5040">
        <w:t>),</w:t>
      </w:r>
      <w:r w:rsidRPr="0013329C">
        <w:t xml:space="preserve"> </w:t>
      </w:r>
      <w:r w:rsidRPr="005520CF">
        <w:t xml:space="preserve">reconvened the Stakeholder Steering Committee (SSC). With the addition of a gas sector, the </w:t>
      </w:r>
      <w:r w:rsidRPr="00874D04">
        <w:t>SSC developed a statement of work, solicited stakeholder comments, and issued a</w:t>
      </w:r>
      <w:r w:rsidR="00997C02">
        <w:t xml:space="preserve"> request for proposals (</w:t>
      </w:r>
      <w:r w:rsidRPr="00874D04">
        <w:t>RFP</w:t>
      </w:r>
      <w:r w:rsidR="00997C02">
        <w:t>)</w:t>
      </w:r>
      <w:r w:rsidRPr="00874D04">
        <w:t xml:space="preserve"> for</w:t>
      </w:r>
      <w:r w:rsidRPr="005520CF">
        <w:t xml:space="preserve"> competitive bid</w:t>
      </w:r>
      <w:r w:rsidR="00997C02">
        <w:t>s</w:t>
      </w:r>
      <w:r w:rsidRPr="005520CF">
        <w:t xml:space="preserve"> to perform the Gas-Electric System Interface Study technical analysis</w:t>
      </w:r>
      <w:r>
        <w:t>. T</w:t>
      </w:r>
      <w:r w:rsidRPr="005520CF">
        <w:t xml:space="preserve">he </w:t>
      </w:r>
      <w:r>
        <w:t xml:space="preserve">project </w:t>
      </w:r>
      <w:proofErr w:type="gramStart"/>
      <w:r w:rsidRPr="005520CF">
        <w:t>was awarded</w:t>
      </w:r>
      <w:proofErr w:type="gramEnd"/>
      <w:r w:rsidRPr="005520CF">
        <w:t xml:space="preserve"> to </w:t>
      </w:r>
      <w:proofErr w:type="spellStart"/>
      <w:r w:rsidRPr="005520CF">
        <w:t>Levitan</w:t>
      </w:r>
      <w:proofErr w:type="spellEnd"/>
      <w:r w:rsidRPr="005520CF">
        <w:t xml:space="preserve"> and Associates</w:t>
      </w:r>
      <w:r>
        <w:t xml:space="preserve"> in October 2013.</w:t>
      </w:r>
    </w:p>
    <w:p w:rsidR="00D2141F" w:rsidRPr="0013329C" w:rsidRDefault="00D2141F" w:rsidP="00D2141F">
      <w:r w:rsidRPr="005520CF">
        <w:t>The Gas-Electric System Interface Study consists of four principal</w:t>
      </w:r>
      <w:r w:rsidRPr="0013329C">
        <w:t xml:space="preserve"> tasks or </w:t>
      </w:r>
      <w:r>
        <w:t>“ta</w:t>
      </w:r>
      <w:r w:rsidRPr="0013329C">
        <w:t>rgets</w:t>
      </w:r>
      <w:r>
        <w:t>,</w:t>
      </w:r>
      <w:r w:rsidRPr="0013329C">
        <w:t>” as follows:</w:t>
      </w:r>
    </w:p>
    <w:p w:rsidR="00D2141F" w:rsidRPr="00C77499" w:rsidRDefault="00D2141F" w:rsidP="00D2141F">
      <w:pPr>
        <w:pStyle w:val="ListParagraph"/>
        <w:numPr>
          <w:ilvl w:val="0"/>
          <w:numId w:val="555"/>
        </w:numPr>
        <w:autoSpaceDE w:val="0"/>
        <w:autoSpaceDN w:val="0"/>
        <w:adjustRightInd w:val="0"/>
        <w:spacing w:after="120" w:line="260" w:lineRule="atLeast"/>
        <w:contextualSpacing w:val="0"/>
        <w:rPr>
          <w:rFonts w:asciiTheme="majorHAnsi" w:hAnsiTheme="majorHAnsi" w:cs="Arial"/>
          <w:sz w:val="20"/>
          <w:szCs w:val="20"/>
        </w:rPr>
      </w:pPr>
      <w:r w:rsidRPr="00C77499">
        <w:rPr>
          <w:rFonts w:asciiTheme="majorHAnsi" w:hAnsiTheme="majorHAnsi" w:cs="Arial,Bold"/>
          <w:b/>
          <w:bCs/>
          <w:sz w:val="20"/>
          <w:szCs w:val="20"/>
        </w:rPr>
        <w:t>Target 1</w:t>
      </w:r>
      <w:r w:rsidRPr="00C77499">
        <w:rPr>
          <w:rFonts w:asciiTheme="majorHAnsi" w:hAnsiTheme="majorHAnsi" w:cs="Arial"/>
          <w:sz w:val="20"/>
          <w:szCs w:val="20"/>
        </w:rPr>
        <w:t xml:space="preserve">: Develop a baseline assessment, including </w:t>
      </w:r>
      <w:r w:rsidRPr="00C77499">
        <w:rPr>
          <w:rFonts w:asciiTheme="majorHAnsi" w:hAnsiTheme="majorHAnsi" w:cs="Arial,Bold"/>
          <w:bCs/>
          <w:sz w:val="20"/>
          <w:szCs w:val="20"/>
        </w:rPr>
        <w:t>descript</w:t>
      </w:r>
      <w:r w:rsidRPr="00C77499">
        <w:rPr>
          <w:rFonts w:asciiTheme="majorHAnsi" w:hAnsiTheme="majorHAnsi" w:cs="Arial"/>
          <w:sz w:val="20"/>
          <w:szCs w:val="20"/>
        </w:rPr>
        <w:t xml:space="preserve">ions of the natural gas-electric power system </w:t>
      </w:r>
      <w:r w:rsidRPr="00C77499">
        <w:rPr>
          <w:rFonts w:asciiTheme="majorHAnsi" w:hAnsiTheme="majorHAnsi" w:cs="Arial,Bold"/>
          <w:bCs/>
          <w:sz w:val="20"/>
          <w:szCs w:val="20"/>
        </w:rPr>
        <w:t>interfac</w:t>
      </w:r>
      <w:r w:rsidRPr="00C77499">
        <w:rPr>
          <w:rFonts w:asciiTheme="majorHAnsi" w:hAnsiTheme="majorHAnsi" w:cs="Arial"/>
          <w:sz w:val="20"/>
          <w:szCs w:val="20"/>
        </w:rPr>
        <w:t>es, interaction effects, and specific drivers</w:t>
      </w:r>
      <w:r w:rsidRPr="00C77499">
        <w:rPr>
          <w:rFonts w:asciiTheme="majorHAnsi" w:hAnsiTheme="majorHAnsi" w:cs="Arial,Bold"/>
          <w:bCs/>
          <w:sz w:val="20"/>
          <w:szCs w:val="20"/>
        </w:rPr>
        <w:t xml:space="preserve"> of the </w:t>
      </w:r>
      <w:r w:rsidR="00D837D8" w:rsidRPr="00C77499">
        <w:rPr>
          <w:rFonts w:asciiTheme="majorHAnsi" w:hAnsiTheme="majorHAnsi" w:cs="Arial,Bold"/>
          <w:bCs/>
          <w:sz w:val="20"/>
          <w:szCs w:val="20"/>
        </w:rPr>
        <w:t>pipeline</w:t>
      </w:r>
      <w:r w:rsidR="00D837D8" w:rsidRPr="00C77499">
        <w:rPr>
          <w:rFonts w:asciiTheme="majorHAnsi" w:hAnsiTheme="majorHAnsi" w:cs="Arial"/>
          <w:sz w:val="20"/>
          <w:szCs w:val="20"/>
        </w:rPr>
        <w:t>/LDC planning processes</w:t>
      </w:r>
    </w:p>
    <w:p w:rsidR="00D2141F" w:rsidRPr="000A158A" w:rsidRDefault="00D2141F" w:rsidP="00D2141F">
      <w:pPr>
        <w:pStyle w:val="ListParagraph"/>
        <w:numPr>
          <w:ilvl w:val="0"/>
          <w:numId w:val="555"/>
        </w:numPr>
        <w:autoSpaceDE w:val="0"/>
        <w:autoSpaceDN w:val="0"/>
        <w:adjustRightInd w:val="0"/>
        <w:spacing w:after="120" w:line="260" w:lineRule="atLeast"/>
        <w:contextualSpacing w:val="0"/>
        <w:rPr>
          <w:rFonts w:asciiTheme="majorHAnsi" w:hAnsiTheme="majorHAnsi" w:cs="Arial"/>
          <w:sz w:val="20"/>
          <w:szCs w:val="20"/>
        </w:rPr>
      </w:pPr>
      <w:r w:rsidRPr="000A158A">
        <w:rPr>
          <w:rFonts w:asciiTheme="majorHAnsi" w:hAnsiTheme="majorHAnsi" w:cs="Arial"/>
          <w:b/>
          <w:bCs/>
          <w:sz w:val="20"/>
          <w:szCs w:val="20"/>
        </w:rPr>
        <w:t>Target 2</w:t>
      </w:r>
      <w:r w:rsidRPr="000A158A">
        <w:rPr>
          <w:rFonts w:asciiTheme="majorHAnsi" w:hAnsiTheme="majorHAnsi" w:cs="Arial"/>
          <w:sz w:val="20"/>
          <w:szCs w:val="20"/>
        </w:rPr>
        <w:t>: Evaluate</w:t>
      </w:r>
      <w:r w:rsidRPr="000A158A">
        <w:rPr>
          <w:rFonts w:asciiTheme="majorHAnsi" w:hAnsiTheme="majorHAnsi" w:cs="Arial,Bold"/>
          <w:bCs/>
          <w:sz w:val="20"/>
          <w:szCs w:val="20"/>
        </w:rPr>
        <w:t xml:space="preserve"> the cap</w:t>
      </w:r>
      <w:r w:rsidRPr="000A158A">
        <w:rPr>
          <w:rFonts w:asciiTheme="majorHAnsi" w:hAnsiTheme="majorHAnsi" w:cs="Arial"/>
          <w:sz w:val="20"/>
          <w:szCs w:val="20"/>
        </w:rPr>
        <w:t xml:space="preserve">ability of the natural gas </w:t>
      </w:r>
      <w:r w:rsidRPr="000A158A">
        <w:rPr>
          <w:rFonts w:asciiTheme="majorHAnsi" w:hAnsiTheme="majorHAnsi" w:cs="Arial"/>
          <w:bCs/>
          <w:sz w:val="20"/>
          <w:szCs w:val="20"/>
        </w:rPr>
        <w:t xml:space="preserve">system </w:t>
      </w:r>
      <w:r w:rsidRPr="000A158A">
        <w:rPr>
          <w:rFonts w:asciiTheme="majorHAnsi" w:hAnsiTheme="majorHAnsi" w:cs="Arial"/>
          <w:sz w:val="20"/>
          <w:szCs w:val="20"/>
        </w:rPr>
        <w:t>to meet in</w:t>
      </w:r>
      <w:r w:rsidRPr="000A158A">
        <w:rPr>
          <w:rFonts w:asciiTheme="majorHAnsi" w:hAnsiTheme="majorHAnsi" w:cs="Arial,Bold"/>
          <w:bCs/>
          <w:sz w:val="20"/>
          <w:szCs w:val="20"/>
        </w:rPr>
        <w:t>dividual</w:t>
      </w:r>
      <w:r w:rsidRPr="000A158A">
        <w:rPr>
          <w:rFonts w:asciiTheme="majorHAnsi" w:hAnsiTheme="majorHAnsi" w:cs="Arial"/>
          <w:sz w:val="20"/>
          <w:szCs w:val="20"/>
        </w:rPr>
        <w:t xml:space="preserve"> and aggregate core and noncore </w:t>
      </w:r>
      <w:r w:rsidRPr="000A158A">
        <w:rPr>
          <w:rFonts w:asciiTheme="majorHAnsi" w:hAnsiTheme="majorHAnsi" w:cs="Arial"/>
          <w:bCs/>
          <w:sz w:val="20"/>
          <w:szCs w:val="20"/>
        </w:rPr>
        <w:t>gas dema</w:t>
      </w:r>
      <w:r w:rsidRPr="000A158A">
        <w:rPr>
          <w:rFonts w:asciiTheme="majorHAnsi" w:hAnsiTheme="majorHAnsi" w:cs="Arial"/>
          <w:sz w:val="20"/>
          <w:szCs w:val="20"/>
        </w:rPr>
        <w:t>nd over a five</w:t>
      </w:r>
      <w:r w:rsidRPr="000A158A">
        <w:rPr>
          <w:rFonts w:asciiTheme="majorHAnsi" w:hAnsiTheme="majorHAnsi" w:cs="Arial,Bold"/>
          <w:bCs/>
          <w:sz w:val="20"/>
          <w:szCs w:val="20"/>
        </w:rPr>
        <w:t>- and 1</w:t>
      </w:r>
      <w:r w:rsidRPr="000A158A">
        <w:rPr>
          <w:rFonts w:asciiTheme="majorHAnsi" w:hAnsiTheme="majorHAnsi" w:cs="Arial"/>
          <w:sz w:val="20"/>
          <w:szCs w:val="20"/>
        </w:rPr>
        <w:t>0-year horizon</w:t>
      </w:r>
    </w:p>
    <w:p w:rsidR="00D2141F" w:rsidRPr="000A158A" w:rsidRDefault="00D2141F" w:rsidP="00D2141F">
      <w:pPr>
        <w:pStyle w:val="ListParagraph"/>
        <w:numPr>
          <w:ilvl w:val="0"/>
          <w:numId w:val="555"/>
        </w:numPr>
        <w:autoSpaceDE w:val="0"/>
        <w:autoSpaceDN w:val="0"/>
        <w:adjustRightInd w:val="0"/>
        <w:spacing w:after="120" w:line="260" w:lineRule="atLeast"/>
        <w:contextualSpacing w:val="0"/>
        <w:rPr>
          <w:rFonts w:asciiTheme="majorHAnsi" w:hAnsiTheme="majorHAnsi" w:cs="Arial"/>
          <w:i/>
          <w:iCs/>
          <w:sz w:val="20"/>
          <w:szCs w:val="20"/>
        </w:rPr>
      </w:pPr>
      <w:r w:rsidRPr="000A158A">
        <w:rPr>
          <w:rFonts w:asciiTheme="majorHAnsi" w:hAnsiTheme="majorHAnsi" w:cs="Arial"/>
          <w:b/>
          <w:bCs/>
          <w:sz w:val="20"/>
          <w:szCs w:val="20"/>
        </w:rPr>
        <w:t>Target 3</w:t>
      </w:r>
      <w:r w:rsidRPr="000A158A">
        <w:rPr>
          <w:rFonts w:asciiTheme="majorHAnsi" w:hAnsiTheme="majorHAnsi" w:cs="Arial"/>
          <w:sz w:val="20"/>
          <w:szCs w:val="20"/>
        </w:rPr>
        <w:t xml:space="preserve">: Identify contingencies on the natural gas </w:t>
      </w:r>
      <w:r w:rsidRPr="000A158A">
        <w:rPr>
          <w:rFonts w:asciiTheme="majorHAnsi" w:hAnsiTheme="majorHAnsi" w:cs="Arial"/>
          <w:bCs/>
          <w:sz w:val="20"/>
          <w:szCs w:val="20"/>
        </w:rPr>
        <w:t>syst</w:t>
      </w:r>
      <w:r w:rsidRPr="000A158A">
        <w:rPr>
          <w:rFonts w:asciiTheme="majorHAnsi" w:hAnsiTheme="majorHAnsi" w:cs="Arial,Bold"/>
          <w:bCs/>
          <w:sz w:val="20"/>
          <w:szCs w:val="20"/>
        </w:rPr>
        <w:t>em t</w:t>
      </w:r>
      <w:r w:rsidRPr="000A158A">
        <w:rPr>
          <w:rFonts w:asciiTheme="majorHAnsi" w:hAnsiTheme="majorHAnsi" w:cs="Arial"/>
          <w:sz w:val="20"/>
          <w:szCs w:val="20"/>
        </w:rPr>
        <w:t xml:space="preserve">hat could adversely affect electric power system </w:t>
      </w:r>
      <w:r w:rsidRPr="000A158A">
        <w:rPr>
          <w:rFonts w:asciiTheme="majorHAnsi" w:hAnsiTheme="majorHAnsi" w:cs="Arial,Bold"/>
          <w:bCs/>
          <w:sz w:val="20"/>
          <w:szCs w:val="20"/>
        </w:rPr>
        <w:t>reliabil</w:t>
      </w:r>
      <w:r w:rsidRPr="000A158A">
        <w:rPr>
          <w:rFonts w:asciiTheme="majorHAnsi" w:hAnsiTheme="majorHAnsi" w:cs="Arial"/>
          <w:sz w:val="20"/>
          <w:szCs w:val="20"/>
        </w:rPr>
        <w:t xml:space="preserve">ity, and </w:t>
      </w:r>
      <w:r w:rsidRPr="000A158A">
        <w:rPr>
          <w:rFonts w:asciiTheme="majorHAnsi" w:hAnsiTheme="majorHAnsi" w:cs="Arial"/>
          <w:iCs/>
          <w:sz w:val="20"/>
          <w:szCs w:val="20"/>
        </w:rPr>
        <w:t>vice versa</w:t>
      </w:r>
    </w:p>
    <w:p w:rsidR="00D2141F" w:rsidRPr="000A158A" w:rsidRDefault="00D2141F" w:rsidP="00D2141F">
      <w:pPr>
        <w:pStyle w:val="ListParagraph"/>
        <w:numPr>
          <w:ilvl w:val="0"/>
          <w:numId w:val="555"/>
        </w:numPr>
        <w:autoSpaceDE w:val="0"/>
        <w:autoSpaceDN w:val="0"/>
        <w:adjustRightInd w:val="0"/>
        <w:spacing w:after="240" w:line="260" w:lineRule="atLeast"/>
        <w:contextualSpacing w:val="0"/>
        <w:rPr>
          <w:rFonts w:asciiTheme="majorHAnsi" w:hAnsiTheme="majorHAnsi" w:cs="Arial"/>
          <w:sz w:val="20"/>
          <w:szCs w:val="20"/>
        </w:rPr>
      </w:pPr>
      <w:r w:rsidRPr="000A158A">
        <w:rPr>
          <w:rFonts w:asciiTheme="majorHAnsi" w:hAnsiTheme="majorHAnsi" w:cs="Arial"/>
          <w:b/>
          <w:bCs/>
          <w:sz w:val="20"/>
          <w:szCs w:val="20"/>
        </w:rPr>
        <w:t>Target 4</w:t>
      </w:r>
      <w:r w:rsidRPr="000A158A">
        <w:rPr>
          <w:rFonts w:asciiTheme="majorHAnsi" w:hAnsiTheme="majorHAnsi" w:cs="Arial"/>
          <w:sz w:val="20"/>
          <w:szCs w:val="20"/>
        </w:rPr>
        <w:t>: Review operational</w:t>
      </w:r>
      <w:r w:rsidR="00E73F2D">
        <w:rPr>
          <w:rFonts w:asciiTheme="majorHAnsi" w:hAnsiTheme="majorHAnsi" w:cs="Arial"/>
          <w:sz w:val="20"/>
          <w:szCs w:val="20"/>
        </w:rPr>
        <w:t xml:space="preserve"> and </w:t>
      </w:r>
      <w:r w:rsidRPr="000A158A">
        <w:rPr>
          <w:rFonts w:asciiTheme="majorHAnsi" w:hAnsiTheme="majorHAnsi" w:cs="Arial"/>
          <w:sz w:val="20"/>
          <w:szCs w:val="20"/>
        </w:rPr>
        <w:t xml:space="preserve">planning issues, including fuel-assurance objectives, affecting the availability of dual-fuel-capable generation </w:t>
      </w:r>
    </w:p>
    <w:p w:rsidR="00D2141F" w:rsidRPr="0013329C" w:rsidRDefault="00D2141F" w:rsidP="00D2141F">
      <w:r w:rsidRPr="0013329C">
        <w:rPr>
          <w:rFonts w:cs="Arial"/>
        </w:rPr>
        <w:t>The</w:t>
      </w:r>
      <w:r w:rsidRPr="0013329C">
        <w:rPr>
          <w:rFonts w:cs="Arial"/>
          <w:i/>
          <w:iCs/>
        </w:rPr>
        <w:t xml:space="preserve"> </w:t>
      </w:r>
      <w:r>
        <w:rPr>
          <w:rFonts w:cs="Arial"/>
          <w:iCs/>
        </w:rPr>
        <w:t>s</w:t>
      </w:r>
      <w:r w:rsidRPr="00A83E3A">
        <w:rPr>
          <w:rFonts w:cs="Arial"/>
          <w:iCs/>
        </w:rPr>
        <w:t xml:space="preserve">tudy </w:t>
      </w:r>
      <w:r w:rsidRPr="0013329C">
        <w:rPr>
          <w:rFonts w:cs="Arial"/>
          <w:iCs/>
        </w:rPr>
        <w:t>sched</w:t>
      </w:r>
      <w:r w:rsidRPr="0013329C">
        <w:rPr>
          <w:rFonts w:cs="Arial"/>
        </w:rPr>
        <w:t xml:space="preserve">ule calls for </w:t>
      </w:r>
      <w:r>
        <w:rPr>
          <w:rFonts w:cs="Arial"/>
        </w:rPr>
        <w:t xml:space="preserve">conducting </w:t>
      </w:r>
      <w:r w:rsidRPr="0013329C">
        <w:rPr>
          <w:rFonts w:cs="Arial"/>
        </w:rPr>
        <w:t>the bulk of the technical analy</w:t>
      </w:r>
      <w:r w:rsidRPr="0013329C">
        <w:t xml:space="preserve">sis during 2014. Draft reports </w:t>
      </w:r>
      <w:proofErr w:type="gramStart"/>
      <w:r w:rsidRPr="0013329C">
        <w:t>will be provided</w:t>
      </w:r>
      <w:proofErr w:type="gramEnd"/>
      <w:r w:rsidRPr="0013329C">
        <w:t xml:space="preserve"> for stakeholder input for each of the above </w:t>
      </w:r>
      <w:r>
        <w:t>t</w:t>
      </w:r>
      <w:r w:rsidRPr="0013329C">
        <w:t xml:space="preserve">argets. A draft report will be developed, posted </w:t>
      </w:r>
      <w:r w:rsidRPr="00C77499">
        <w:t xml:space="preserve">for comments, revised, and finalized for submission to the </w:t>
      </w:r>
      <w:r w:rsidR="00D837D8" w:rsidRPr="00C77499">
        <w:t>DOE by mid-2015</w:t>
      </w:r>
      <w:r w:rsidRPr="00C77499">
        <w:t>.</w:t>
      </w:r>
    </w:p>
    <w:p w:rsidR="00D2141F" w:rsidRPr="0082756D" w:rsidRDefault="00D2141F" w:rsidP="005C6088">
      <w:pPr>
        <w:pStyle w:val="Heading3"/>
        <w:rPr>
          <w:rFonts w:eastAsia="Times New Roman"/>
        </w:rPr>
      </w:pPr>
      <w:bookmarkStart w:id="740" w:name="_Toc396807661"/>
      <w:r w:rsidRPr="0082756D">
        <w:rPr>
          <w:rFonts w:eastAsia="Times New Roman"/>
        </w:rPr>
        <w:t xml:space="preserve">Addressing Regional </w:t>
      </w:r>
      <w:r w:rsidR="00863398" w:rsidRPr="00863398">
        <w:rPr>
          <w:rFonts w:eastAsia="Times New Roman"/>
        </w:rPr>
        <w:t>Fuel-Certainty</w:t>
      </w:r>
      <w:r w:rsidRPr="0082756D">
        <w:rPr>
          <w:rFonts w:eastAsia="Times New Roman"/>
        </w:rPr>
        <w:t xml:space="preserve"> Issues</w:t>
      </w:r>
      <w:bookmarkEnd w:id="740"/>
    </w:p>
    <w:p w:rsidR="0079044C" w:rsidRDefault="00D2141F" w:rsidP="007D5040">
      <w:r w:rsidRPr="00A94428">
        <w:t>The operating conditions during the past two winters have exposed the urgency of address</w:t>
      </w:r>
      <w:r w:rsidR="00D3720A">
        <w:t>ing</w:t>
      </w:r>
      <w:r w:rsidRPr="00A94428">
        <w:t xml:space="preserve"> </w:t>
      </w:r>
      <w:r w:rsidRPr="00761E03">
        <w:t xml:space="preserve">the </w:t>
      </w:r>
      <w:r w:rsidR="0007592E" w:rsidRPr="00761E03">
        <w:t>growing limitations in electric energy production due to fuel constraints.</w:t>
      </w:r>
      <w:r w:rsidRPr="00761E03">
        <w:t xml:space="preserve"> The</w:t>
      </w:r>
      <w:r w:rsidRPr="00A94428">
        <w:t xml:space="preserve"> region has begun to address the risks associated with fuel certainty for winter 2014/2015 a</w:t>
      </w:r>
      <w:r w:rsidR="00076798">
        <w:t>s</w:t>
      </w:r>
      <w:r w:rsidRPr="00A94428">
        <w:t xml:space="preserve"> well as longer term. These measures include market redesign, electric power and gas sector coordination, policy developments, and other actions.</w:t>
      </w:r>
    </w:p>
    <w:p w:rsidR="00D2141F" w:rsidRPr="00B163DA" w:rsidRDefault="00D2141F" w:rsidP="005C6088">
      <w:pPr>
        <w:pStyle w:val="Heading4"/>
      </w:pPr>
      <w:bookmarkStart w:id="741" w:name="_Ref388791268"/>
      <w:r w:rsidRPr="00A94428">
        <w:t>Market</w:t>
      </w:r>
      <w:r>
        <w:t xml:space="preserve"> </w:t>
      </w:r>
      <w:r w:rsidRPr="00A94428">
        <w:t>Solutions to Address Fuel Certainty</w:t>
      </w:r>
      <w:bookmarkEnd w:id="741"/>
      <w:r w:rsidRPr="00A94428">
        <w:t xml:space="preserve"> </w:t>
      </w:r>
    </w:p>
    <w:p w:rsidR="00D2141F" w:rsidRDefault="00D2141F" w:rsidP="00D2141F">
      <w:r>
        <w:t>T</w:t>
      </w:r>
      <w:r w:rsidRPr="00217564">
        <w:t xml:space="preserve">he ISO has been actively collaborating with stakeholders on comprehensive, near- and long-term rule changes across the region’s suite of energy, reserve, and capacity markets to address the challenges identified through the Strategic Planning Initiative. The changes share overriding </w:t>
      </w:r>
      <w:r w:rsidRPr="0017362E">
        <w:t>goals for contributing to the reliable operation of the power system:</w:t>
      </w:r>
    </w:p>
    <w:p w:rsidR="00D2141F" w:rsidRDefault="00D2141F" w:rsidP="00D2141F">
      <w:pPr>
        <w:pStyle w:val="REOBulletedlist"/>
        <w:spacing w:after="120" w:line="260" w:lineRule="atLeast"/>
        <w:rPr>
          <w:rFonts w:ascii="Cambria" w:hAnsi="Cambria" w:cs="Times New Roman"/>
          <w:szCs w:val="20"/>
        </w:rPr>
      </w:pPr>
      <w:r w:rsidRPr="00217564">
        <w:rPr>
          <w:rFonts w:ascii="Cambria" w:hAnsi="Cambria" w:cs="Times New Roman"/>
          <w:szCs w:val="20"/>
        </w:rPr>
        <w:t xml:space="preserve">Enhancing market </w:t>
      </w:r>
      <w:r w:rsidR="00CA2FCE">
        <w:rPr>
          <w:rFonts w:ascii="Cambria" w:hAnsi="Cambria" w:cs="Times New Roman"/>
          <w:szCs w:val="20"/>
        </w:rPr>
        <w:t xml:space="preserve">rules </w:t>
      </w:r>
      <w:r w:rsidRPr="00217564">
        <w:rPr>
          <w:rFonts w:ascii="Cambria" w:hAnsi="Cambria" w:cs="Times New Roman"/>
          <w:szCs w:val="20"/>
        </w:rPr>
        <w:t xml:space="preserve">to </w:t>
      </w:r>
      <w:r w:rsidR="00CA2FCE">
        <w:rPr>
          <w:rFonts w:ascii="Cambria" w:hAnsi="Cambria" w:cs="Times New Roman"/>
          <w:szCs w:val="20"/>
        </w:rPr>
        <w:t xml:space="preserve">improve the dispatch of </w:t>
      </w:r>
      <w:r w:rsidRPr="00217564">
        <w:rPr>
          <w:rFonts w:ascii="Cambria" w:hAnsi="Cambria" w:cs="Times New Roman"/>
          <w:szCs w:val="20"/>
        </w:rPr>
        <w:t>resource</w:t>
      </w:r>
      <w:r w:rsidR="00CA2FCE">
        <w:rPr>
          <w:rFonts w:ascii="Cambria" w:hAnsi="Cambria" w:cs="Times New Roman"/>
          <w:szCs w:val="20"/>
        </w:rPr>
        <w:t>s</w:t>
      </w:r>
    </w:p>
    <w:p w:rsidR="00D2141F" w:rsidRDefault="00D2141F" w:rsidP="00D2141F">
      <w:pPr>
        <w:pStyle w:val="REOBulletedlist"/>
        <w:spacing w:after="120" w:line="260" w:lineRule="atLeast"/>
        <w:rPr>
          <w:rFonts w:ascii="Cambria" w:hAnsi="Cambria" w:cs="Times New Roman"/>
          <w:szCs w:val="20"/>
        </w:rPr>
      </w:pPr>
      <w:r w:rsidRPr="00217564">
        <w:rPr>
          <w:rFonts w:ascii="Cambria" w:hAnsi="Cambria" w:cs="Times New Roman"/>
          <w:szCs w:val="20"/>
        </w:rPr>
        <w:t xml:space="preserve">Improving market incentives for </w:t>
      </w:r>
      <w:r w:rsidR="00CA2FCE">
        <w:rPr>
          <w:rFonts w:ascii="Cambria" w:hAnsi="Cambria" w:cs="Times New Roman"/>
          <w:szCs w:val="20"/>
        </w:rPr>
        <w:t xml:space="preserve">more reliable resource </w:t>
      </w:r>
      <w:r w:rsidRPr="00217564">
        <w:rPr>
          <w:rFonts w:ascii="Cambria" w:hAnsi="Cambria" w:cs="Times New Roman"/>
          <w:szCs w:val="20"/>
        </w:rPr>
        <w:t>performance</w:t>
      </w:r>
    </w:p>
    <w:p w:rsidR="00D2141F" w:rsidRDefault="00D2141F" w:rsidP="00D2141F">
      <w:pPr>
        <w:pStyle w:val="REOBulletedlist"/>
        <w:spacing w:after="240" w:line="260" w:lineRule="atLeast"/>
        <w:rPr>
          <w:rFonts w:ascii="Cambria" w:hAnsi="Cambria" w:cs="Times New Roman"/>
          <w:szCs w:val="20"/>
        </w:rPr>
      </w:pPr>
      <w:r w:rsidRPr="00217564">
        <w:rPr>
          <w:rFonts w:ascii="Cambria" w:hAnsi="Cambria" w:cs="Times New Roman"/>
          <w:szCs w:val="20"/>
        </w:rPr>
        <w:t xml:space="preserve">Procuring sufficient resources to meet the region’s electricity needs </w:t>
      </w:r>
    </w:p>
    <w:p w:rsidR="00D2141F" w:rsidRPr="0056260C" w:rsidRDefault="00D2141F" w:rsidP="00D2141F">
      <w:r w:rsidRPr="00217564">
        <w:t>The ISO has been working on major rule changes to both the</w:t>
      </w:r>
      <w:r>
        <w:t xml:space="preserve"> Day-Ahead </w:t>
      </w:r>
      <w:r w:rsidR="000C36FA">
        <w:t xml:space="preserve">Energy Market </w:t>
      </w:r>
      <w:r>
        <w:t>and Real-Time Energy M</w:t>
      </w:r>
      <w:r w:rsidRPr="00217564">
        <w:t xml:space="preserve">arket to bolster the ISO’s ability to dispatch resources effectively, to improve how resources perform and respond to these dispatch instructions and schedules, and to ensure </w:t>
      </w:r>
      <w:r>
        <w:t xml:space="preserve">that </w:t>
      </w:r>
      <w:r w:rsidRPr="00217564">
        <w:t xml:space="preserve">prices accurately reflect current </w:t>
      </w:r>
      <w:r w:rsidRPr="0056260C">
        <w:t xml:space="preserve">system conditions. </w:t>
      </w:r>
    </w:p>
    <w:p w:rsidR="00D2141F" w:rsidRPr="00FF49DD" w:rsidRDefault="0058019A" w:rsidP="00D2141F">
      <w:r w:rsidRPr="0058019A">
        <w:t xml:space="preserve">The challenges identified through the SPI have increased the need for flexible operations and reliable reserves and thus enhancements to the Forward Reserve Market and real-time reserve pricing (see Sections </w:t>
      </w:r>
      <w:fldSimple w:instr=" REF _Ref388870530 \r \h  \* MERGEFORMAT ">
        <w:r w:rsidR="00284CE3">
          <w:t>4.3.2</w:t>
        </w:r>
      </w:fldSimple>
      <w:r w:rsidRPr="0058019A">
        <w:t>).</w:t>
      </w:r>
      <w:r w:rsidR="00D2141F" w:rsidRPr="0056260C">
        <w:t xml:space="preserve"> The</w:t>
      </w:r>
      <w:r w:rsidR="00D2141F" w:rsidRPr="00217564">
        <w:t xml:space="preserve"> changes will </w:t>
      </w:r>
      <w:r w:rsidR="00D2141F">
        <w:t xml:space="preserve">improve the </w:t>
      </w:r>
      <w:r w:rsidR="00D2141F" w:rsidRPr="00217564">
        <w:t>ability to manage intraday fuel</w:t>
      </w:r>
      <w:r w:rsidR="000C36FA">
        <w:t>-</w:t>
      </w:r>
      <w:r w:rsidR="00D2141F" w:rsidRPr="00217564">
        <w:t xml:space="preserve">supply contingencies and produce prices and compensation more reflective of </w:t>
      </w:r>
      <w:r w:rsidR="0016213F">
        <w:t xml:space="preserve">the </w:t>
      </w:r>
      <w:r w:rsidR="00D2141F" w:rsidRPr="00217564">
        <w:t>true costs for these services.</w:t>
      </w:r>
    </w:p>
    <w:p w:rsidR="00D2141F" w:rsidRDefault="00D2141F" w:rsidP="00D2141F">
      <w:r>
        <w:t xml:space="preserve">The ISO also is working to enhance the FCM market. </w:t>
      </w:r>
      <w:proofErr w:type="gramStart"/>
      <w:r>
        <w:t xml:space="preserve">The goals of these improvements </w:t>
      </w:r>
      <w:r w:rsidR="001E1E2D">
        <w:t>are</w:t>
      </w:r>
      <w:r>
        <w:t xml:space="preserve"> to </w:t>
      </w:r>
      <w:r w:rsidR="001E1E2D">
        <w:t xml:space="preserve">(1) </w:t>
      </w:r>
      <w:r>
        <w:t xml:space="preserve">provide sufficient incentives for generators to perform during stressed system conditions, </w:t>
      </w:r>
      <w:r w:rsidR="001E1E2D">
        <w:t xml:space="preserve">(2) </w:t>
      </w:r>
      <w:r>
        <w:t xml:space="preserve">send price signals for new resources to locate in the areas of New England where new capacity is needed most, and </w:t>
      </w:r>
      <w:r w:rsidR="001E1E2D">
        <w:t xml:space="preserve">(3) </w:t>
      </w:r>
      <w:r>
        <w:t xml:space="preserve">reduce the volatility of auction clearing prices as the market moves from periods of excess supply to periods when </w:t>
      </w:r>
      <w:r w:rsidRPr="00023862">
        <w:t>new resources are needed.</w:t>
      </w:r>
      <w:proofErr w:type="gramEnd"/>
      <w:r w:rsidRPr="00023862">
        <w:t xml:space="preserve"> </w:t>
      </w:r>
      <w:r>
        <w:t>Several market improvements are already in place and others are in various stages of development.</w:t>
      </w:r>
      <w:r>
        <w:rPr>
          <w:rStyle w:val="FootnoteReference"/>
        </w:rPr>
        <w:footnoteReference w:id="284"/>
      </w:r>
      <w:r>
        <w:t xml:space="preserve"> </w:t>
      </w:r>
      <w:r w:rsidRPr="002D082B">
        <w:t xml:space="preserve">Three key changes to the markets are </w:t>
      </w:r>
      <w:proofErr w:type="gramStart"/>
      <w:r w:rsidR="00A73073">
        <w:t>energy market offer flexibility</w:t>
      </w:r>
      <w:proofErr w:type="gramEnd"/>
      <w:r w:rsidR="00A73073">
        <w:t>, FCM pay-for-performance (PFP), and the FCM sloped demand</w:t>
      </w:r>
      <w:r w:rsidR="00E017B0">
        <w:t xml:space="preserve"> curve</w:t>
      </w:r>
      <w:r w:rsidR="000D5EC6">
        <w:t>.</w:t>
      </w:r>
    </w:p>
    <w:p w:rsidR="00D2141F" w:rsidRDefault="00D837D8" w:rsidP="00D2141F">
      <w:proofErr w:type="gramStart"/>
      <w:r w:rsidRPr="00D837D8">
        <w:rPr>
          <w:i/>
        </w:rPr>
        <w:t>Energy Market Offer Flexibility.</w:t>
      </w:r>
      <w:proofErr w:type="gramEnd"/>
      <w:r w:rsidR="00D2141F" w:rsidRPr="005944D4">
        <w:t xml:space="preserve"> </w:t>
      </w:r>
      <w:r w:rsidR="00D2141F" w:rsidRPr="009021EE">
        <w:t xml:space="preserve">The ISO is implementing rule changes that allow generators </w:t>
      </w:r>
      <w:proofErr w:type="gramStart"/>
      <w:r w:rsidR="00D2141F" w:rsidRPr="009021EE">
        <w:t>to better reflect</w:t>
      </w:r>
      <w:proofErr w:type="gramEnd"/>
      <w:r w:rsidR="00D2141F" w:rsidRPr="009021EE">
        <w:t xml:space="preserve"> the real-time price of fuel in their supply offers. This will improve generators’ financial incentives </w:t>
      </w:r>
      <w:r w:rsidR="00D2141F" w:rsidRPr="00C77499">
        <w:t xml:space="preserve">to follow ISO dispatch </w:t>
      </w:r>
      <w:r w:rsidR="00C77499">
        <w:t>instructions</w:t>
      </w:r>
      <w:r w:rsidR="001B7910" w:rsidRPr="00C77499">
        <w:t xml:space="preserve"> </w:t>
      </w:r>
      <w:r w:rsidR="00D2141F" w:rsidRPr="00C77499">
        <w:t xml:space="preserve">and will set </w:t>
      </w:r>
      <w:proofErr w:type="gramStart"/>
      <w:r w:rsidR="00D2141F" w:rsidRPr="00C77499">
        <w:t>more accurate prices</w:t>
      </w:r>
      <w:proofErr w:type="gramEnd"/>
      <w:r w:rsidR="00D2141F" w:rsidRPr="00C77499">
        <w:t xml:space="preserve"> in the energy market. A primary</w:t>
      </w:r>
      <w:r w:rsidR="00D2141F" w:rsidRPr="009021EE">
        <w:t xml:space="preserve"> project on the ISO’s 2014 work plan, these changes require a significant effort to modify business processes and tools across many ISO departments, including system operations; market administration, settlements, and monitoring; </w:t>
      </w:r>
      <w:r w:rsidR="00D2141F" w:rsidRPr="000D7F97">
        <w:t>and IT infrastructure</w:t>
      </w:r>
      <w:r w:rsidR="00D2141F" w:rsidRPr="009021EE">
        <w:t xml:space="preserve"> and software. Starting in December 2014, market participants will be able to submit the following:</w:t>
      </w:r>
      <w:r w:rsidR="00D2141F" w:rsidRPr="000D7F97">
        <w:rPr>
          <w:vertAlign w:val="superscript"/>
        </w:rPr>
        <w:footnoteReference w:id="285"/>
      </w:r>
      <w:r w:rsidR="00D2141F" w:rsidRPr="000D7F97">
        <w:rPr>
          <w:vertAlign w:val="superscript"/>
        </w:rPr>
        <w:t xml:space="preserve"> </w:t>
      </w:r>
    </w:p>
    <w:p w:rsidR="00D2141F" w:rsidRDefault="00D2141F" w:rsidP="00D2141F">
      <w:pPr>
        <w:numPr>
          <w:ilvl w:val="0"/>
          <w:numId w:val="553"/>
        </w:numPr>
        <w:spacing w:after="120"/>
      </w:pPr>
      <w:r w:rsidRPr="00844107">
        <w:t>Power supply offers that vary by hour in the Day-Ahead Energy Market</w:t>
      </w:r>
      <w:r>
        <w:t>, in contrast with current rules requiring</w:t>
      </w:r>
      <w:r w:rsidRPr="00844107">
        <w:t xml:space="preserve"> the same offer for </w:t>
      </w:r>
      <w:r>
        <w:t>the entire</w:t>
      </w:r>
      <w:r w:rsidRPr="00844107">
        <w:t xml:space="preserve"> operating day</w:t>
      </w:r>
    </w:p>
    <w:p w:rsidR="00D2141F" w:rsidRPr="0017362E" w:rsidRDefault="00D2141F" w:rsidP="00D2141F">
      <w:pPr>
        <w:numPr>
          <w:ilvl w:val="0"/>
          <w:numId w:val="553"/>
        </w:numPr>
        <w:spacing w:after="120"/>
      </w:pPr>
      <w:r w:rsidRPr="00844107">
        <w:t>Timely changes to offers (until 30 minutes before the hour in which the off</w:t>
      </w:r>
      <w:r>
        <w:t>er applies) in the Real-Time Energy M</w:t>
      </w:r>
      <w:r w:rsidRPr="00844107">
        <w:t>arket</w:t>
      </w:r>
      <w:r>
        <w:t xml:space="preserve"> versus the </w:t>
      </w:r>
      <w:r w:rsidRPr="00844107">
        <w:t xml:space="preserve">current rules </w:t>
      </w:r>
      <w:r>
        <w:t xml:space="preserve">that </w:t>
      </w:r>
      <w:r w:rsidRPr="00844107">
        <w:t xml:space="preserve">restrict changes to a brief “reoffer period” the </w:t>
      </w:r>
      <w:r w:rsidRPr="0017362E">
        <w:t>previous day</w:t>
      </w:r>
    </w:p>
    <w:p w:rsidR="00D2141F" w:rsidRPr="003B2F01" w:rsidRDefault="00D837D8" w:rsidP="00D2141F">
      <w:pPr>
        <w:numPr>
          <w:ilvl w:val="0"/>
          <w:numId w:val="553"/>
        </w:numPr>
      </w:pPr>
      <w:r w:rsidRPr="00C77499">
        <w:t xml:space="preserve">Negative offers in </w:t>
      </w:r>
      <w:r w:rsidR="00C77499" w:rsidRPr="00C77499">
        <w:t xml:space="preserve">day-ahead and real-time </w:t>
      </w:r>
      <w:r w:rsidRPr="00C77499">
        <w:t>markets</w:t>
      </w:r>
      <w:r w:rsidR="00601A39" w:rsidRPr="00C77499">
        <w:t xml:space="preserve"> </w:t>
      </w:r>
      <w:r w:rsidR="00D2141F" w:rsidRPr="00C77499">
        <w:t>as low as –$150/</w:t>
      </w:r>
      <w:proofErr w:type="spellStart"/>
      <w:r w:rsidR="00D2141F" w:rsidRPr="00C77499">
        <w:t>MWh</w:t>
      </w:r>
      <w:proofErr w:type="spellEnd"/>
      <w:r w:rsidR="00D2141F" w:rsidRPr="00C77499">
        <w:t xml:space="preserve">, which will provide an improved price signal for suppliers in </w:t>
      </w:r>
      <w:r w:rsidRPr="00C77499">
        <w:t>the energy market</w:t>
      </w:r>
      <w:r w:rsidR="00C77499" w:rsidRPr="00C77499">
        <w:t>s</w:t>
      </w:r>
      <w:r w:rsidR="00D2141F" w:rsidRPr="00C77499">
        <w:t xml:space="preserve"> to reduce output or shutdown in</w:t>
      </w:r>
      <w:r w:rsidR="00D2141F" w:rsidRPr="0017362E">
        <w:t xml:space="preserve"> anticipation of </w:t>
      </w:r>
      <w:r w:rsidR="00D2141F" w:rsidRPr="003B2F01">
        <w:t>minimum generation conditions</w:t>
      </w:r>
      <w:r w:rsidR="00D2141F" w:rsidRPr="003B2F01">
        <w:rPr>
          <w:rStyle w:val="FootnoteReference"/>
        </w:rPr>
        <w:footnoteReference w:id="286"/>
      </w:r>
    </w:p>
    <w:p w:rsidR="0079044C" w:rsidRDefault="004A2083">
      <w:proofErr w:type="gramStart"/>
      <w:r w:rsidRPr="004A2083">
        <w:rPr>
          <w:i/>
        </w:rPr>
        <w:t>FCM Pay-for-Performance.</w:t>
      </w:r>
      <w:proofErr w:type="gramEnd"/>
      <w:r w:rsidR="00D2141F">
        <w:t xml:space="preserve"> </w:t>
      </w:r>
      <w:r w:rsidR="00D2141F" w:rsidRPr="000F3C89">
        <w:rPr>
          <w:rFonts w:asciiTheme="majorHAnsi" w:hAnsiTheme="majorHAnsi"/>
        </w:rPr>
        <w:t>The ISO is developing a new “pay-for-performance” mechanism in the FCM</w:t>
      </w:r>
      <w:r w:rsidR="00B511B0">
        <w:rPr>
          <w:rFonts w:asciiTheme="majorHAnsi" w:hAnsiTheme="majorHAnsi"/>
        </w:rPr>
        <w:t xml:space="preserve">, </w:t>
      </w:r>
      <w:r w:rsidR="00B511B0" w:rsidRPr="0058019A">
        <w:rPr>
          <w:color w:val="000000" w:themeColor="text1"/>
        </w:rPr>
        <w:t xml:space="preserve">to </w:t>
      </w:r>
      <w:proofErr w:type="gramStart"/>
      <w:r w:rsidR="00B511B0" w:rsidRPr="0058019A">
        <w:rPr>
          <w:color w:val="000000" w:themeColor="text1"/>
        </w:rPr>
        <w:t>be implemented</w:t>
      </w:r>
      <w:proofErr w:type="gramEnd"/>
      <w:r w:rsidR="00B511B0" w:rsidRPr="0058019A">
        <w:rPr>
          <w:color w:val="000000" w:themeColor="text1"/>
        </w:rPr>
        <w:t xml:space="preserve"> on June 1, 2018</w:t>
      </w:r>
      <w:r w:rsidR="00B511B0">
        <w:rPr>
          <w:color w:val="000000" w:themeColor="text1"/>
        </w:rPr>
        <w:t xml:space="preserve">, which </w:t>
      </w:r>
      <w:r w:rsidR="00D2141F" w:rsidRPr="000F3C89">
        <w:rPr>
          <w:rFonts w:asciiTheme="majorHAnsi" w:hAnsiTheme="majorHAnsi"/>
        </w:rPr>
        <w:t>will create stronger financial incentives for capacity suppliers to act as follows:</w:t>
      </w:r>
    </w:p>
    <w:p w:rsidR="00B84E70" w:rsidRDefault="00D2141F">
      <w:pPr>
        <w:pStyle w:val="REOBulletedlist"/>
        <w:spacing w:after="240" w:line="260" w:lineRule="atLeast"/>
        <w:ind w:right="0"/>
        <w:rPr>
          <w:rFonts w:ascii="Cambria" w:hAnsi="Cambria" w:cs="Times New Roman"/>
          <w:szCs w:val="20"/>
        </w:rPr>
      </w:pPr>
      <w:r w:rsidRPr="001F2B4B">
        <w:rPr>
          <w:rFonts w:ascii="Cambria" w:hAnsi="Cambria" w:cs="Times New Roman"/>
          <w:b/>
          <w:szCs w:val="20"/>
        </w:rPr>
        <w:t>Perform when called on during periods of system stress:</w:t>
      </w:r>
      <w:r w:rsidRPr="00596E6E">
        <w:rPr>
          <w:rFonts w:ascii="Cambria" w:hAnsi="Cambria" w:cs="Times New Roman"/>
          <w:szCs w:val="20"/>
        </w:rPr>
        <w:t xml:space="preserve"> With PFP, a resource that underperforms will forfeit some or all capacity payments awarded in a Forward Capacity Auction; resources that perform in its place will get the payment instead. This means that the financial risk of nonperformance </w:t>
      </w:r>
      <w:proofErr w:type="gramStart"/>
      <w:r w:rsidRPr="00596E6E">
        <w:rPr>
          <w:rFonts w:ascii="Cambria" w:hAnsi="Cambria" w:cs="Times New Roman"/>
          <w:szCs w:val="20"/>
        </w:rPr>
        <w:t>is placed</w:t>
      </w:r>
      <w:proofErr w:type="gramEnd"/>
      <w:r w:rsidRPr="00596E6E">
        <w:rPr>
          <w:rFonts w:ascii="Cambria" w:hAnsi="Cambria" w:cs="Times New Roman"/>
          <w:szCs w:val="20"/>
        </w:rPr>
        <w:t xml:space="preserve"> on resource owners who have accepted capacity obligations; the capacity market price will not be affected during times of system stress, thus protecting consumers.</w:t>
      </w:r>
      <w:r w:rsidR="00442850" w:rsidRPr="00596E6E">
        <w:rPr>
          <w:rFonts w:ascii="Cambria" w:hAnsi="Cambria" w:cs="Times New Roman"/>
          <w:szCs w:val="20"/>
        </w:rPr>
        <w:t xml:space="preserve"> </w:t>
      </w:r>
    </w:p>
    <w:p w:rsidR="00D2141F" w:rsidRDefault="00D2141F" w:rsidP="00D2141F">
      <w:pPr>
        <w:pStyle w:val="REOBulletedlist"/>
        <w:spacing w:after="240" w:line="260" w:lineRule="atLeast"/>
        <w:ind w:right="0"/>
        <w:rPr>
          <w:rFonts w:ascii="Cambria" w:hAnsi="Cambria" w:cs="Times New Roman"/>
          <w:szCs w:val="20"/>
        </w:rPr>
      </w:pPr>
      <w:r w:rsidRPr="001F2B4B">
        <w:rPr>
          <w:rFonts w:ascii="Cambria" w:hAnsi="Cambria" w:cs="Times New Roman"/>
          <w:b/>
          <w:szCs w:val="20"/>
        </w:rPr>
        <w:t>Make investments to ensure performance:</w:t>
      </w:r>
      <w:r w:rsidRPr="00596E6E">
        <w:rPr>
          <w:rFonts w:ascii="Cambria" w:hAnsi="Cambria" w:cs="Times New Roman"/>
          <w:szCs w:val="20"/>
        </w:rPr>
        <w:t xml:space="preserve"> Facing the risk of forfeiting capacity payments for underperformance—as well as the chance to receive more compensation for </w:t>
      </w:r>
      <w:proofErr w:type="spellStart"/>
      <w:r w:rsidRPr="00596E6E">
        <w:rPr>
          <w:rFonts w:ascii="Cambria" w:hAnsi="Cambria" w:cs="Times New Roman"/>
          <w:szCs w:val="20"/>
        </w:rPr>
        <w:t>overperformance</w:t>
      </w:r>
      <w:proofErr w:type="spellEnd"/>
      <w:r w:rsidRPr="00596E6E">
        <w:rPr>
          <w:rFonts w:ascii="Cambria" w:hAnsi="Cambria" w:cs="Times New Roman"/>
          <w:szCs w:val="20"/>
        </w:rPr>
        <w:t>—resource owners will have the incentive to make investments that ensure their resource can perform. They have a variety of options, such as upgrading to dual-fuel capability</w:t>
      </w:r>
      <w:r w:rsidR="001F2B4B">
        <w:rPr>
          <w:rFonts w:ascii="Cambria" w:hAnsi="Cambria" w:cs="Times New Roman"/>
          <w:szCs w:val="20"/>
        </w:rPr>
        <w:t>,</w:t>
      </w:r>
      <w:r w:rsidRPr="00596E6E">
        <w:rPr>
          <w:rFonts w:ascii="Cambria" w:hAnsi="Cambria" w:cs="Times New Roman"/>
          <w:szCs w:val="20"/>
        </w:rPr>
        <w:t xml:space="preserve"> entering in short-notice or </w:t>
      </w:r>
      <w:proofErr w:type="spellStart"/>
      <w:r w:rsidRPr="00596E6E">
        <w:rPr>
          <w:rFonts w:ascii="Cambria" w:hAnsi="Cambria" w:cs="Times New Roman"/>
          <w:szCs w:val="20"/>
        </w:rPr>
        <w:t>noninterruptible</w:t>
      </w:r>
      <w:proofErr w:type="spellEnd"/>
      <w:r w:rsidRPr="00596E6E">
        <w:rPr>
          <w:rFonts w:ascii="Cambria" w:hAnsi="Cambria" w:cs="Times New Roman"/>
          <w:szCs w:val="20"/>
        </w:rPr>
        <w:t xml:space="preserve"> gas supply agreements</w:t>
      </w:r>
      <w:r w:rsidR="001F2B4B">
        <w:rPr>
          <w:rFonts w:ascii="Cambria" w:hAnsi="Cambria" w:cs="Times New Roman"/>
          <w:szCs w:val="20"/>
        </w:rPr>
        <w:t>,</w:t>
      </w:r>
      <w:r w:rsidRPr="00596E6E">
        <w:rPr>
          <w:rFonts w:ascii="Cambria" w:hAnsi="Cambria" w:cs="Times New Roman"/>
          <w:szCs w:val="20"/>
        </w:rPr>
        <w:t xml:space="preserve"> investing in new fast-start assets</w:t>
      </w:r>
      <w:r w:rsidR="001F2B4B">
        <w:rPr>
          <w:rFonts w:ascii="Cambria" w:hAnsi="Cambria" w:cs="Times New Roman"/>
          <w:szCs w:val="20"/>
        </w:rPr>
        <w:t>,</w:t>
      </w:r>
      <w:r w:rsidRPr="00596E6E">
        <w:rPr>
          <w:rFonts w:ascii="Cambria" w:hAnsi="Cambria" w:cs="Times New Roman"/>
          <w:szCs w:val="20"/>
        </w:rPr>
        <w:t xml:space="preserve"> or simply ensuring robust maintenance practices and adequate staffing. FCM rules will not dictate the technology or other means by which suppliers elect to do this but will merely create th</w:t>
      </w:r>
      <w:r w:rsidRPr="00217564">
        <w:rPr>
          <w:rFonts w:ascii="Cambria" w:hAnsi="Cambria" w:cs="Times New Roman"/>
          <w:szCs w:val="20"/>
        </w:rPr>
        <w:t>e incentive for resource owners to make cost-effective investments that meet the needs of operating a reliable system.</w:t>
      </w:r>
    </w:p>
    <w:p w:rsidR="0079044C" w:rsidRPr="008F070E" w:rsidRDefault="004A2083">
      <w:r w:rsidRPr="004A2083">
        <w:rPr>
          <w:i/>
        </w:rPr>
        <w:t>FCM Sloped Demand Curve.</w:t>
      </w:r>
      <w:r w:rsidR="00D2141F">
        <w:t xml:space="preserve"> </w:t>
      </w:r>
      <w:r w:rsidR="00D2141F" w:rsidRPr="00C657BB">
        <w:t xml:space="preserve">The Forward Capacity Auctions have always procured a fixed quantity of capacity regardless of the </w:t>
      </w:r>
      <w:proofErr w:type="gramStart"/>
      <w:r w:rsidR="00D2141F" w:rsidRPr="00C657BB">
        <w:t>auction clearing</w:t>
      </w:r>
      <w:proofErr w:type="gramEnd"/>
      <w:r w:rsidR="00D2141F" w:rsidRPr="00C657BB">
        <w:t xml:space="preserve"> price. In contrast, capacity auctions in other regions use a downward-sloping demand curve for capacity, in which the total quantity procured depends on the clearing price.</w:t>
      </w:r>
      <w:r w:rsidR="00D2141F" w:rsidRPr="00A94428">
        <w:rPr>
          <w:i/>
        </w:rPr>
        <w:t xml:space="preserve"> </w:t>
      </w:r>
      <w:r w:rsidR="00F90C67" w:rsidRPr="00217564">
        <w:t xml:space="preserve">Introducing a downward-sloping demand curve into New England’s FCA has the potential </w:t>
      </w:r>
      <w:r w:rsidR="00F90C67">
        <w:t>to accomplish the following:</w:t>
      </w:r>
    </w:p>
    <w:p w:rsidR="00F90C67" w:rsidRDefault="00F90C67" w:rsidP="00D2141F">
      <w:pPr>
        <w:pStyle w:val="REOBulletedlist"/>
        <w:spacing w:after="120" w:line="260" w:lineRule="atLeast"/>
        <w:ind w:right="0"/>
        <w:rPr>
          <w:rFonts w:ascii="Cambria" w:hAnsi="Cambria" w:cs="Times New Roman"/>
          <w:szCs w:val="20"/>
        </w:rPr>
      </w:pPr>
      <w:r>
        <w:rPr>
          <w:rFonts w:ascii="Cambria" w:hAnsi="Cambria" w:cs="Times New Roman"/>
          <w:szCs w:val="20"/>
        </w:rPr>
        <w:t>R</w:t>
      </w:r>
      <w:r w:rsidR="00D2141F" w:rsidRPr="00217564">
        <w:rPr>
          <w:rFonts w:ascii="Cambria" w:hAnsi="Cambria" w:cs="Times New Roman"/>
          <w:szCs w:val="20"/>
        </w:rPr>
        <w:t>educe price volatility over time, yielding smaller swings in capacity prices when the market moves from conditions of excess supply to periods when new capacity resources are needed, which may occur as aging plants retire</w:t>
      </w:r>
    </w:p>
    <w:p w:rsidR="00D2141F" w:rsidRDefault="00F90C67" w:rsidP="00D2141F">
      <w:pPr>
        <w:pStyle w:val="REOBulletedlist"/>
        <w:spacing w:after="120" w:line="260" w:lineRule="atLeast"/>
        <w:ind w:right="0"/>
        <w:rPr>
          <w:rFonts w:ascii="Cambria" w:hAnsi="Cambria" w:cs="Times New Roman"/>
          <w:szCs w:val="20"/>
        </w:rPr>
      </w:pPr>
      <w:r>
        <w:rPr>
          <w:rFonts w:ascii="Cambria" w:hAnsi="Cambria" w:cs="Times New Roman"/>
          <w:szCs w:val="20"/>
        </w:rPr>
        <w:t>A</w:t>
      </w:r>
      <w:r w:rsidR="00D2141F" w:rsidRPr="00217564">
        <w:rPr>
          <w:rFonts w:ascii="Cambria" w:hAnsi="Cambria" w:cs="Times New Roman"/>
          <w:szCs w:val="20"/>
        </w:rPr>
        <w:t>llow the removal of other administrative pricing triggers that have proven difficult to implement</w:t>
      </w:r>
    </w:p>
    <w:p w:rsidR="00B511B0" w:rsidRPr="00B511B0" w:rsidRDefault="004A2083" w:rsidP="00F90C67">
      <w:r w:rsidRPr="004A2083">
        <w:t xml:space="preserve">The ISO, joined by the NEPOOL Participants Committee, filed tariff changes, effective July 14, 2014, to incorporate a </w:t>
      </w:r>
      <w:proofErr w:type="spellStart"/>
      <w:r w:rsidRPr="004A2083">
        <w:t>systemwide</w:t>
      </w:r>
      <w:proofErr w:type="spellEnd"/>
      <w:r w:rsidRPr="004A2083">
        <w:t xml:space="preserve"> </w:t>
      </w:r>
      <w:proofErr w:type="gramStart"/>
      <w:r w:rsidRPr="004A2083">
        <w:t>sloped</w:t>
      </w:r>
      <w:proofErr w:type="gramEnd"/>
      <w:r w:rsidRPr="004A2083">
        <w:t xml:space="preserve"> demand curve and associated parameters for use in New England’s FCM.</w:t>
      </w:r>
      <w:r w:rsidRPr="004A2083">
        <w:rPr>
          <w:rStyle w:val="FootnoteReference"/>
        </w:rPr>
        <w:footnoteReference w:id="287"/>
      </w:r>
      <w:r w:rsidRPr="004A2083">
        <w:t xml:space="preserve"> It </w:t>
      </w:r>
      <w:proofErr w:type="gramStart"/>
      <w:r w:rsidRPr="004A2083">
        <w:t>will be used</w:t>
      </w:r>
      <w:proofErr w:type="gramEnd"/>
      <w:r w:rsidRPr="004A2083">
        <w:t xml:space="preserve"> in the FCAs beginning February 2015 for FCA #9 and for</w:t>
      </w:r>
      <w:r w:rsidR="00B511B0" w:rsidRPr="00B511B0">
        <w:t xml:space="preserve"> the reconfigurations auctions</w:t>
      </w:r>
      <w:r w:rsidR="00D2141F" w:rsidRPr="00B511B0">
        <w:t>.</w:t>
      </w:r>
      <w:r w:rsidR="00B511B0" w:rsidRPr="00A92103">
        <w:t xml:space="preserve"> </w:t>
      </w:r>
    </w:p>
    <w:p w:rsidR="00D2141F" w:rsidRDefault="00D2141F" w:rsidP="005C6088">
      <w:pPr>
        <w:pStyle w:val="Heading4"/>
        <w:rPr>
          <w:color w:val="FF0000"/>
        </w:rPr>
      </w:pPr>
      <w:r w:rsidRPr="000E3C8B">
        <w:t>Electric Power System and Natural Gas Sector Coordination</w:t>
      </w:r>
      <w:r>
        <w:t xml:space="preserve"> </w:t>
      </w:r>
    </w:p>
    <w:p w:rsidR="00D2141F" w:rsidRDefault="00D2141F" w:rsidP="00D2141F">
      <w:pPr>
        <w:rPr>
          <w:rFonts w:asciiTheme="majorHAnsi" w:hAnsiTheme="majorHAnsi"/>
        </w:rPr>
      </w:pPr>
      <w:r w:rsidRPr="007C1F71">
        <w:t xml:space="preserve">The implementation of operating procedures and improved communications between electric power and natural gas system operators over the past several years </w:t>
      </w:r>
      <w:r w:rsidRPr="00101FB7">
        <w:t xml:space="preserve">have improved the coordination between the natural gas supply and transportation systems and have prevented certain operational risks. </w:t>
      </w:r>
      <w:r w:rsidRPr="00101FB7">
        <w:rPr>
          <w:rFonts w:asciiTheme="majorHAnsi" w:hAnsiTheme="majorHAnsi"/>
        </w:rPr>
        <w:t>The ISO continues to work with the natural gas industry</w:t>
      </w:r>
      <w:r w:rsidRPr="00EA2E47">
        <w:rPr>
          <w:rFonts w:asciiTheme="majorHAnsi" w:hAnsiTheme="majorHAnsi"/>
        </w:rPr>
        <w:t xml:space="preserve"> to address the challenges of </w:t>
      </w:r>
      <w:r>
        <w:rPr>
          <w:rFonts w:asciiTheme="majorHAnsi" w:hAnsiTheme="majorHAnsi"/>
        </w:rPr>
        <w:t xml:space="preserve">the </w:t>
      </w:r>
      <w:r w:rsidRPr="00EA2E47">
        <w:rPr>
          <w:rFonts w:asciiTheme="majorHAnsi" w:hAnsiTheme="majorHAnsi"/>
        </w:rPr>
        <w:t xml:space="preserve">increasing </w:t>
      </w:r>
      <w:r w:rsidRPr="00A522A9">
        <w:rPr>
          <w:rFonts w:asciiTheme="majorHAnsi" w:hAnsiTheme="majorHAnsi"/>
        </w:rPr>
        <w:t xml:space="preserve">interdependency between the gas and electric power industries. Ways in which the gas sector could assist with reliability efforts include having gas suppliers provide generators with additional opportunities to obtain fuel outside normal business hours or having pipelines offer more flexible scheduling and additional services and provide real-time information on the status of the pipeline system. </w:t>
      </w:r>
      <w:r w:rsidR="00D837D8" w:rsidRPr="00A522A9">
        <w:rPr>
          <w:rFonts w:asciiTheme="majorHAnsi" w:hAnsiTheme="majorHAnsi"/>
        </w:rPr>
        <w:t xml:space="preserve">In addition, </w:t>
      </w:r>
      <w:r w:rsidR="00A522A9" w:rsidRPr="00A522A9">
        <w:rPr>
          <w:rFonts w:asciiTheme="majorHAnsi" w:hAnsiTheme="majorHAnsi"/>
        </w:rPr>
        <w:t xml:space="preserve">the ISO monitors planned upgrades </w:t>
      </w:r>
      <w:r w:rsidR="00D837D8" w:rsidRPr="00A522A9">
        <w:rPr>
          <w:rFonts w:asciiTheme="majorHAnsi" w:hAnsiTheme="majorHAnsi"/>
        </w:rPr>
        <w:t xml:space="preserve">in </w:t>
      </w:r>
      <w:r w:rsidR="00A522A9" w:rsidRPr="00A522A9">
        <w:rPr>
          <w:rFonts w:asciiTheme="majorHAnsi" w:hAnsiTheme="majorHAnsi"/>
        </w:rPr>
        <w:t xml:space="preserve">the </w:t>
      </w:r>
      <w:r w:rsidR="00D837D8" w:rsidRPr="00A522A9">
        <w:rPr>
          <w:rFonts w:asciiTheme="majorHAnsi" w:hAnsiTheme="majorHAnsi"/>
        </w:rPr>
        <w:t>natural gas infrastructure</w:t>
      </w:r>
      <w:r w:rsidR="008A771E">
        <w:rPr>
          <w:rFonts w:asciiTheme="majorHAnsi" w:hAnsiTheme="majorHAnsi"/>
        </w:rPr>
        <w:t xml:space="preserve"> to maintain operational awareness of the natural gas system</w:t>
      </w:r>
      <w:r w:rsidR="00A522A9" w:rsidRPr="00A522A9">
        <w:rPr>
          <w:rFonts w:asciiTheme="majorHAnsi" w:hAnsiTheme="majorHAnsi"/>
        </w:rPr>
        <w:t>.</w:t>
      </w:r>
      <w:r>
        <w:rPr>
          <w:rFonts w:asciiTheme="majorHAnsi" w:hAnsiTheme="majorHAnsi"/>
        </w:rPr>
        <w:t xml:space="preserve"> </w:t>
      </w:r>
    </w:p>
    <w:p w:rsidR="00D2141F" w:rsidRPr="00536B4E" w:rsidRDefault="00BC2C54" w:rsidP="00D2141F">
      <w:r>
        <w:t>I</w:t>
      </w:r>
      <w:r w:rsidR="00D2141F">
        <w:t xml:space="preserve">n </w:t>
      </w:r>
      <w:r>
        <w:t xml:space="preserve">November </w:t>
      </w:r>
      <w:r w:rsidR="00D2141F" w:rsidRPr="00980671">
        <w:t>201</w:t>
      </w:r>
      <w:r>
        <w:t>3</w:t>
      </w:r>
      <w:r w:rsidR="00D2141F" w:rsidRPr="00980671">
        <w:t xml:space="preserve">, </w:t>
      </w:r>
      <w:r w:rsidR="00D2141F">
        <w:t xml:space="preserve">FERC </w:t>
      </w:r>
      <w:r w:rsidR="00D2141F" w:rsidRPr="00980671">
        <w:t xml:space="preserve">issued regulations that allow the ISO and operators of the gas transmission system to share a broad range of nonpublic information to promote the reliability and integrity of </w:t>
      </w:r>
      <w:r w:rsidR="00D2141F">
        <w:t>each</w:t>
      </w:r>
      <w:r w:rsidR="00D2141F" w:rsidRPr="00980671">
        <w:t xml:space="preserve"> system.</w:t>
      </w:r>
      <w:r w:rsidR="00D2141F">
        <w:rPr>
          <w:rStyle w:val="FootnoteReference"/>
        </w:rPr>
        <w:footnoteReference w:id="288"/>
      </w:r>
      <w:r w:rsidR="00D2141F" w:rsidRPr="00980671">
        <w:t xml:space="preserve"> </w:t>
      </w:r>
      <w:r w:rsidR="00D2141F" w:rsidRPr="000079BA">
        <w:t>The ISO filed tariff revisions to permit the newly authorized communications in New England starting in early 2014.</w:t>
      </w:r>
      <w:r w:rsidR="00D2141F" w:rsidRPr="000079BA">
        <w:rPr>
          <w:rStyle w:val="FootnoteReference"/>
        </w:rPr>
        <w:footnoteReference w:id="289"/>
      </w:r>
      <w:r w:rsidR="00D2141F" w:rsidRPr="000079BA">
        <w:t xml:space="preserve"> The changes are improving </w:t>
      </w:r>
      <w:r w:rsidR="00D2141F" w:rsidRPr="00A522A9">
        <w:t xml:space="preserve">communications </w:t>
      </w:r>
      <w:r w:rsidR="00D837D8" w:rsidRPr="00A522A9">
        <w:t xml:space="preserve">and information exchange between the control rooms of the gas and electricity networks for more informed </w:t>
      </w:r>
      <w:proofErr w:type="gramStart"/>
      <w:r w:rsidR="00D837D8" w:rsidRPr="00A522A9">
        <w:t>decision making</w:t>
      </w:r>
      <w:proofErr w:type="gramEnd"/>
      <w:r w:rsidR="00D837D8" w:rsidRPr="00A522A9">
        <w:t>.</w:t>
      </w:r>
      <w:r w:rsidR="00D2141F" w:rsidRPr="00A522A9">
        <w:t xml:space="preserve"> Other ISO efforts include mining data from various sources to estimate the availability of natural gas for energy purposes, analyzing</w:t>
      </w:r>
      <w:r w:rsidR="00D2141F" w:rsidRPr="00980671">
        <w:t xml:space="preserve"> capacity scenarios across different seasons </w:t>
      </w:r>
      <w:r w:rsidR="00D2141F">
        <w:t xml:space="preserve">using </w:t>
      </w:r>
      <w:r w:rsidR="00D2141F" w:rsidRPr="00980671">
        <w:t>information gathered from fuel surveys and pipelines</w:t>
      </w:r>
      <w:r w:rsidR="00D2141F">
        <w:t>,</w:t>
      </w:r>
      <w:r w:rsidR="00D2141F" w:rsidRPr="00980671">
        <w:t xml:space="preserve"> and establishing operating plans to deal with different system conditions.</w:t>
      </w:r>
    </w:p>
    <w:p w:rsidR="00D2141F" w:rsidRPr="00C57933" w:rsidRDefault="0058019A" w:rsidP="005C6088">
      <w:pPr>
        <w:pStyle w:val="Heading4"/>
      </w:pPr>
      <w:r w:rsidRPr="0058019A">
        <w:t xml:space="preserve">Other Fuel-Certainty Improvements for </w:t>
      </w:r>
      <w:proofErr w:type="gramStart"/>
      <w:r w:rsidRPr="0058019A">
        <w:t>Winter</w:t>
      </w:r>
      <w:proofErr w:type="gramEnd"/>
      <w:r w:rsidRPr="0058019A">
        <w:t xml:space="preserve"> 2014/2015</w:t>
      </w:r>
    </w:p>
    <w:p w:rsidR="00D2141F" w:rsidRDefault="0058019A" w:rsidP="00D2141F">
      <w:pPr>
        <w:spacing w:after="120"/>
        <w:rPr>
          <w:rFonts w:asciiTheme="majorHAnsi" w:hAnsiTheme="majorHAnsi"/>
        </w:rPr>
      </w:pPr>
      <w:r w:rsidRPr="0058019A">
        <w:rPr>
          <w:rFonts w:asciiTheme="majorHAnsi" w:hAnsiTheme="majorHAnsi"/>
        </w:rPr>
        <w:t xml:space="preserve">The ISO is working with stakeholders to change the allocation of Net Commitment-Period Compensation. This </w:t>
      </w:r>
      <w:proofErr w:type="gramStart"/>
      <w:r w:rsidRPr="0058019A">
        <w:rPr>
          <w:rFonts w:asciiTheme="majorHAnsi" w:hAnsiTheme="majorHAnsi"/>
        </w:rPr>
        <w:t>is expected</w:t>
      </w:r>
      <w:proofErr w:type="gramEnd"/>
      <w:r w:rsidRPr="0058019A">
        <w:rPr>
          <w:rFonts w:asciiTheme="majorHAnsi" w:hAnsiTheme="majorHAnsi"/>
        </w:rPr>
        <w:t xml:space="preserve"> to improve the accuracy of day-ahead commitments by increasing incentives for load to bid into the day-ahead market</w:t>
      </w:r>
      <w:r w:rsidR="006855A9" w:rsidRPr="00447F49">
        <w:rPr>
          <w:rFonts w:asciiTheme="majorHAnsi" w:hAnsiTheme="majorHAnsi"/>
        </w:rPr>
        <w:t>.</w:t>
      </w:r>
      <w:r w:rsidR="00447F49" w:rsidRPr="00447F49">
        <w:rPr>
          <w:rFonts w:asciiTheme="majorHAnsi" w:hAnsiTheme="majorHAnsi"/>
        </w:rPr>
        <w:t xml:space="preserve"> </w:t>
      </w:r>
      <w:r w:rsidRPr="0058019A">
        <w:rPr>
          <w:rFonts w:asciiTheme="majorHAnsi" w:hAnsiTheme="majorHAnsi"/>
        </w:rPr>
        <w:t xml:space="preserve">The ISO, in response to stakeholder comments, will not reallocate </w:t>
      </w:r>
      <w:r w:rsidRPr="00CA2FCE">
        <w:rPr>
          <w:rFonts w:asciiTheme="majorHAnsi" w:hAnsiTheme="majorHAnsi"/>
        </w:rPr>
        <w:t>NCPC</w:t>
      </w:r>
      <w:r w:rsidR="00CA2FCE">
        <w:rPr>
          <w:rFonts w:asciiTheme="majorHAnsi" w:hAnsiTheme="majorHAnsi"/>
        </w:rPr>
        <w:t xml:space="preserve"> </w:t>
      </w:r>
      <w:r w:rsidR="00662DB0" w:rsidRPr="00CA2FCE">
        <w:rPr>
          <w:rFonts w:asciiTheme="majorHAnsi" w:hAnsiTheme="majorHAnsi"/>
        </w:rPr>
        <w:t>i</w:t>
      </w:r>
      <w:r w:rsidRPr="00CA2FCE">
        <w:rPr>
          <w:rFonts w:asciiTheme="majorHAnsi" w:hAnsiTheme="majorHAnsi"/>
        </w:rPr>
        <w:t xml:space="preserve">n the short term. However, the ISO plans </w:t>
      </w:r>
      <w:r w:rsidR="00E820D9" w:rsidRPr="00CA2FCE">
        <w:rPr>
          <w:rFonts w:asciiTheme="majorHAnsi" w:hAnsiTheme="majorHAnsi"/>
        </w:rPr>
        <w:t>to</w:t>
      </w:r>
      <w:r w:rsidRPr="00CA2FCE">
        <w:rPr>
          <w:rFonts w:asciiTheme="majorHAnsi" w:hAnsiTheme="majorHAnsi"/>
        </w:rPr>
        <w:t xml:space="preserve"> conduct a comprehensive evaluation of the</w:t>
      </w:r>
      <w:r w:rsidRPr="0058019A">
        <w:rPr>
          <w:rFonts w:asciiTheme="majorHAnsi" w:hAnsiTheme="majorHAnsi"/>
        </w:rPr>
        <w:t xml:space="preserve"> NCPC cost-allocation methodology and anticipates that new recommendations </w:t>
      </w:r>
      <w:proofErr w:type="gramStart"/>
      <w:r w:rsidRPr="0058019A">
        <w:rPr>
          <w:rFonts w:asciiTheme="majorHAnsi" w:hAnsiTheme="majorHAnsi"/>
        </w:rPr>
        <w:t>will be discussed</w:t>
      </w:r>
      <w:proofErr w:type="gramEnd"/>
      <w:r w:rsidRPr="0058019A">
        <w:rPr>
          <w:rFonts w:asciiTheme="majorHAnsi" w:hAnsiTheme="majorHAnsi"/>
        </w:rPr>
        <w:t xml:space="preserve"> through the stakeholder process.</w:t>
      </w:r>
    </w:p>
    <w:p w:rsidR="00D2141F" w:rsidRDefault="00D2141F" w:rsidP="00D2141F">
      <w:pPr>
        <w:rPr>
          <w:rFonts w:asciiTheme="majorHAnsi" w:hAnsiTheme="majorHAnsi"/>
        </w:rPr>
      </w:pPr>
      <w:r>
        <w:rPr>
          <w:rFonts w:asciiTheme="majorHAnsi" w:hAnsiTheme="majorHAnsi"/>
        </w:rPr>
        <w:t xml:space="preserve">FERC has clarified the obligations of oil-fired generators to maintain sufficient inventory of fuel. </w:t>
      </w:r>
      <w:r w:rsidRPr="000079BA">
        <w:rPr>
          <w:rFonts w:asciiTheme="majorHAnsi" w:hAnsiTheme="majorHAnsi"/>
        </w:rPr>
        <w:t>Under good utility practice, cost-of-service oil-fired units must meet their load obligations. Capacity</w:t>
      </w:r>
      <w:r>
        <w:rPr>
          <w:rFonts w:asciiTheme="majorHAnsi" w:hAnsiTheme="majorHAnsi"/>
        </w:rPr>
        <w:t xml:space="preserve"> units </w:t>
      </w:r>
      <w:r w:rsidR="00740F2A">
        <w:rPr>
          <w:rFonts w:asciiTheme="majorHAnsi" w:hAnsiTheme="majorHAnsi"/>
        </w:rPr>
        <w:t xml:space="preserve">also </w:t>
      </w:r>
      <w:r>
        <w:rPr>
          <w:rFonts w:asciiTheme="majorHAnsi" w:hAnsiTheme="majorHAnsi"/>
        </w:rPr>
        <w:t>must meet strict performance requirements. Because oil cannot be procured in real time,</w:t>
      </w:r>
      <w:r w:rsidR="00740F2A">
        <w:rPr>
          <w:rFonts w:asciiTheme="majorHAnsi" w:hAnsiTheme="majorHAnsi"/>
        </w:rPr>
        <w:t xml:space="preserve"> </w:t>
      </w:r>
      <w:proofErr w:type="gramStart"/>
      <w:r w:rsidR="00740F2A">
        <w:rPr>
          <w:rFonts w:asciiTheme="majorHAnsi" w:hAnsiTheme="majorHAnsi"/>
        </w:rPr>
        <w:t>sometimes taking</w:t>
      </w:r>
      <w:proofErr w:type="gramEnd"/>
      <w:r w:rsidR="00740F2A">
        <w:rPr>
          <w:rFonts w:asciiTheme="majorHAnsi" w:hAnsiTheme="majorHAnsi"/>
        </w:rPr>
        <w:t xml:space="preserve"> days or month</w:t>
      </w:r>
      <w:r w:rsidR="007D7D14">
        <w:rPr>
          <w:rFonts w:asciiTheme="majorHAnsi" w:hAnsiTheme="majorHAnsi"/>
        </w:rPr>
        <w:t>s</w:t>
      </w:r>
      <w:r w:rsidR="00740F2A">
        <w:rPr>
          <w:rFonts w:asciiTheme="majorHAnsi" w:hAnsiTheme="majorHAnsi"/>
        </w:rPr>
        <w:t xml:space="preserve"> to replenish inventories, </w:t>
      </w:r>
      <w:r>
        <w:rPr>
          <w:rFonts w:asciiTheme="majorHAnsi" w:hAnsiTheme="majorHAnsi"/>
        </w:rPr>
        <w:t xml:space="preserve">oil-fired generators must make arrangements in advance to ensure that they will have sufficient oil inventory for producing energy when dispatched during the </w:t>
      </w:r>
      <w:r w:rsidRPr="0072362C">
        <w:rPr>
          <w:rFonts w:asciiTheme="majorHAnsi" w:hAnsiTheme="majorHAnsi"/>
        </w:rPr>
        <w:t>winter.</w:t>
      </w:r>
      <w:r w:rsidR="00F06421" w:rsidRPr="0072362C">
        <w:rPr>
          <w:rFonts w:asciiTheme="majorHAnsi" w:hAnsiTheme="majorHAnsi"/>
        </w:rPr>
        <w:t xml:space="preserve"> The ISO has worked with stakeholders on modifying the </w:t>
      </w:r>
      <w:r w:rsidR="007D5419" w:rsidRPr="0072362C">
        <w:rPr>
          <w:rFonts w:asciiTheme="majorHAnsi" w:hAnsiTheme="majorHAnsi"/>
        </w:rPr>
        <w:t>w</w:t>
      </w:r>
      <w:r w:rsidR="00F06421" w:rsidRPr="0072362C">
        <w:rPr>
          <w:rFonts w:asciiTheme="majorHAnsi" w:hAnsiTheme="majorHAnsi"/>
        </w:rPr>
        <w:t xml:space="preserve">inter 2013/2014 fuel-reliability </w:t>
      </w:r>
      <w:r w:rsidR="00F06421" w:rsidRPr="00A522A9">
        <w:rPr>
          <w:rFonts w:asciiTheme="majorHAnsi" w:hAnsiTheme="majorHAnsi"/>
        </w:rPr>
        <w:t xml:space="preserve">program. </w:t>
      </w:r>
      <w:proofErr w:type="gramStart"/>
      <w:r w:rsidR="00F06421" w:rsidRPr="00A522A9">
        <w:rPr>
          <w:rFonts w:asciiTheme="majorHAnsi" w:hAnsiTheme="majorHAnsi"/>
        </w:rPr>
        <w:t>The modifications</w:t>
      </w:r>
      <w:r w:rsidR="00B4724B" w:rsidRPr="00A522A9">
        <w:rPr>
          <w:rFonts w:asciiTheme="majorHAnsi" w:hAnsiTheme="majorHAnsi"/>
        </w:rPr>
        <w:t>, submitted to</w:t>
      </w:r>
      <w:r w:rsidR="00415DB1" w:rsidRPr="00A522A9">
        <w:rPr>
          <w:rFonts w:asciiTheme="majorHAnsi" w:hAnsiTheme="majorHAnsi"/>
        </w:rPr>
        <w:t xml:space="preserve"> </w:t>
      </w:r>
      <w:r w:rsidR="00D837D8" w:rsidRPr="00A522A9">
        <w:rPr>
          <w:rFonts w:asciiTheme="majorHAnsi" w:hAnsiTheme="majorHAnsi"/>
        </w:rPr>
        <w:t>and approved by FERC</w:t>
      </w:r>
      <w:r w:rsidR="00B4724B" w:rsidRPr="00A522A9">
        <w:rPr>
          <w:rFonts w:asciiTheme="majorHAnsi" w:hAnsiTheme="majorHAnsi"/>
        </w:rPr>
        <w:t xml:space="preserve"> </w:t>
      </w:r>
      <w:r w:rsidR="00C745C5" w:rsidRPr="00A522A9">
        <w:rPr>
          <w:rFonts w:asciiTheme="majorHAnsi" w:hAnsiTheme="majorHAnsi"/>
        </w:rPr>
        <w:t>for a winter 2014/2015</w:t>
      </w:r>
      <w:r w:rsidR="00C745C5" w:rsidRPr="0072362C">
        <w:rPr>
          <w:rFonts w:asciiTheme="majorHAnsi" w:hAnsiTheme="majorHAnsi"/>
        </w:rPr>
        <w:t xml:space="preserve"> reliability program</w:t>
      </w:r>
      <w:r w:rsidR="00B4724B" w:rsidRPr="0072362C">
        <w:rPr>
          <w:rFonts w:asciiTheme="majorHAnsi" w:hAnsiTheme="majorHAnsi"/>
        </w:rPr>
        <w:t>,</w:t>
      </w:r>
      <w:r w:rsidR="00F06421" w:rsidRPr="0072362C">
        <w:rPr>
          <w:rFonts w:asciiTheme="majorHAnsi" w:hAnsiTheme="majorHAnsi"/>
        </w:rPr>
        <w:t xml:space="preserve"> are intended to encourage generators to use dual-fuel capability and to compensate </w:t>
      </w:r>
      <w:r w:rsidR="0072362C" w:rsidRPr="0072362C">
        <w:rPr>
          <w:rFonts w:asciiTheme="majorHAnsi" w:hAnsiTheme="majorHAnsi"/>
        </w:rPr>
        <w:t xml:space="preserve">(1) </w:t>
      </w:r>
      <w:r w:rsidR="00F06421" w:rsidRPr="0072362C">
        <w:rPr>
          <w:rFonts w:asciiTheme="majorHAnsi" w:hAnsiTheme="majorHAnsi"/>
        </w:rPr>
        <w:t xml:space="preserve">active demand resources that provide 30-minute reserves (see Section </w:t>
      </w:r>
      <w:fldSimple w:instr=" REF _Ref327457751 \r \h  \* MERGEFORMAT ">
        <w:r w:rsidR="00284CE3" w:rsidRPr="00284CE3">
          <w:rPr>
            <w:rFonts w:asciiTheme="majorHAnsi" w:hAnsiTheme="majorHAnsi"/>
          </w:rPr>
          <w:t>4.3</w:t>
        </w:r>
      </w:fldSimple>
      <w:r w:rsidR="00F06421" w:rsidRPr="0072362C">
        <w:rPr>
          <w:rFonts w:asciiTheme="majorHAnsi" w:hAnsiTheme="majorHAnsi"/>
        </w:rPr>
        <w:t>)</w:t>
      </w:r>
      <w:r w:rsidR="00DD024E" w:rsidRPr="0072362C">
        <w:rPr>
          <w:rFonts w:asciiTheme="majorHAnsi" w:hAnsiTheme="majorHAnsi"/>
        </w:rPr>
        <w:t>,</w:t>
      </w:r>
      <w:r w:rsidR="00C745C5" w:rsidRPr="0072362C">
        <w:rPr>
          <w:rFonts w:asciiTheme="majorHAnsi" w:hAnsiTheme="majorHAnsi"/>
        </w:rPr>
        <w:t xml:space="preserve"> </w:t>
      </w:r>
      <w:r w:rsidR="0072362C" w:rsidRPr="0072362C">
        <w:rPr>
          <w:rFonts w:asciiTheme="majorHAnsi" w:hAnsiTheme="majorHAnsi"/>
        </w:rPr>
        <w:t xml:space="preserve">(2) </w:t>
      </w:r>
      <w:r w:rsidR="00DD024E" w:rsidRPr="0072362C">
        <w:rPr>
          <w:rFonts w:asciiTheme="majorHAnsi" w:hAnsiTheme="majorHAnsi"/>
        </w:rPr>
        <w:t xml:space="preserve">participating oil generators for unused oil inventory, and </w:t>
      </w:r>
      <w:r w:rsidR="0072362C" w:rsidRPr="0072362C">
        <w:rPr>
          <w:rFonts w:asciiTheme="majorHAnsi" w:hAnsiTheme="majorHAnsi"/>
        </w:rPr>
        <w:t xml:space="preserve">(3) </w:t>
      </w:r>
      <w:r w:rsidR="00DD024E" w:rsidRPr="0072362C">
        <w:rPr>
          <w:rFonts w:asciiTheme="majorHAnsi" w:hAnsiTheme="majorHAnsi"/>
        </w:rPr>
        <w:t>generators that contract for LNG to offset the risk of unused contract volumes</w:t>
      </w:r>
      <w:r w:rsidR="00B4724B" w:rsidRPr="0072362C">
        <w:rPr>
          <w:rFonts w:asciiTheme="majorHAnsi" w:hAnsiTheme="majorHAnsi"/>
        </w:rPr>
        <w:t>.</w:t>
      </w:r>
      <w:r w:rsidR="00B4724B" w:rsidRPr="0072362C">
        <w:rPr>
          <w:rStyle w:val="FootnoteReference"/>
        </w:rPr>
        <w:footnoteReference w:id="290"/>
      </w:r>
      <w:proofErr w:type="gramEnd"/>
      <w:r w:rsidR="00415DB1">
        <w:rPr>
          <w:rFonts w:asciiTheme="majorHAnsi" w:hAnsiTheme="majorHAnsi"/>
        </w:rPr>
        <w:t xml:space="preserve"> </w:t>
      </w:r>
    </w:p>
    <w:p w:rsidR="00D2141F" w:rsidRPr="00A56921" w:rsidRDefault="00D2141F" w:rsidP="005C6088">
      <w:pPr>
        <w:pStyle w:val="Heading4"/>
        <w:rPr>
          <w:rFonts w:eastAsia="Times New Roman"/>
        </w:rPr>
      </w:pPr>
      <w:bookmarkStart w:id="742" w:name="_Ref388888912"/>
      <w:r w:rsidRPr="00A56921">
        <w:rPr>
          <w:rFonts w:eastAsia="Times New Roman"/>
        </w:rPr>
        <w:t>Policy Developments</w:t>
      </w:r>
      <w:bookmarkEnd w:id="742"/>
      <w:r w:rsidRPr="00A56921">
        <w:rPr>
          <w:rFonts w:eastAsia="Times New Roman"/>
        </w:rPr>
        <w:t xml:space="preserve"> </w:t>
      </w:r>
    </w:p>
    <w:p w:rsidR="00D2141F" w:rsidRDefault="00D2141F" w:rsidP="00D2141F">
      <w:pPr>
        <w:rPr>
          <w:color w:val="1F497D"/>
        </w:rPr>
      </w:pPr>
      <w:r w:rsidRPr="00475842">
        <w:t xml:space="preserve">The New England </w:t>
      </w:r>
      <w:r>
        <w:t>g</w:t>
      </w:r>
      <w:r w:rsidRPr="00475842">
        <w:t xml:space="preserve">overnors recently expressed their collective perspective about </w:t>
      </w:r>
      <w:r>
        <w:t xml:space="preserve">the diversification of </w:t>
      </w:r>
      <w:r w:rsidRPr="00475842">
        <w:t>energy</w:t>
      </w:r>
      <w:r>
        <w:t xml:space="preserve"> </w:t>
      </w:r>
      <w:r w:rsidRPr="00475842">
        <w:t xml:space="preserve">infrastructure in a statement entitled the </w:t>
      </w:r>
      <w:r>
        <w:t>“</w:t>
      </w:r>
      <w:r w:rsidRPr="00475842">
        <w:t>New England Governors’ Commitment</w:t>
      </w:r>
      <w:r>
        <w:t xml:space="preserve"> </w:t>
      </w:r>
      <w:r w:rsidRPr="00475842">
        <w:t>to Regional Cooperation on Energy Infrastructure Issues,</w:t>
      </w:r>
      <w:r w:rsidR="00076798">
        <w:t>”</w:t>
      </w:r>
      <w:r w:rsidRPr="00475842">
        <w:t xml:space="preserve"> dated December 2013.</w:t>
      </w:r>
      <w:r>
        <w:rPr>
          <w:rStyle w:val="FootnoteReference"/>
        </w:rPr>
        <w:footnoteReference w:id="291"/>
      </w:r>
      <w:r>
        <w:t xml:space="preserve"> </w:t>
      </w:r>
      <w:r w:rsidR="00685011">
        <w:t>In addition, FERC is advancing better alignment of the natural gas and wholesale electricity markets.</w:t>
      </w:r>
    </w:p>
    <w:p w:rsidR="00D2141F" w:rsidRDefault="00685011" w:rsidP="00D2141F">
      <w:proofErr w:type="gramStart"/>
      <w:r w:rsidRPr="00685011">
        <w:rPr>
          <w:i/>
        </w:rPr>
        <w:t>NESCOE Projects.</w:t>
      </w:r>
      <w:proofErr w:type="gramEnd"/>
      <w:r>
        <w:t xml:space="preserve"> </w:t>
      </w:r>
      <w:r w:rsidR="00D2141F" w:rsidRPr="00475842">
        <w:t xml:space="preserve">In furtherance of the New England </w:t>
      </w:r>
      <w:r w:rsidR="00D2141F">
        <w:t>s</w:t>
      </w:r>
      <w:r w:rsidR="00D2141F" w:rsidRPr="00475842">
        <w:t>tates’</w:t>
      </w:r>
      <w:r w:rsidR="00D2141F">
        <w:t xml:space="preserve"> </w:t>
      </w:r>
      <w:r w:rsidR="00D2141F" w:rsidRPr="00475842">
        <w:t>energy and environmental policy requirements and other statutory objectives</w:t>
      </w:r>
      <w:r w:rsidR="00D2141F">
        <w:t xml:space="preserve"> (see Section </w:t>
      </w:r>
      <w:r w:rsidR="00927965">
        <w:fldChar w:fldCharType="begin"/>
      </w:r>
      <w:r w:rsidR="00D2141F">
        <w:instrText xml:space="preserve"> REF _Ref388278661 \r \h </w:instrText>
      </w:r>
      <w:r w:rsidR="00927965">
        <w:fldChar w:fldCharType="separate"/>
      </w:r>
      <w:r w:rsidR="00284CE3">
        <w:t>7.5</w:t>
      </w:r>
      <w:r w:rsidR="00927965">
        <w:fldChar w:fldCharType="end"/>
      </w:r>
      <w:r w:rsidR="00D2141F">
        <w:t>)</w:t>
      </w:r>
      <w:r w:rsidR="00D2141F" w:rsidRPr="00475842">
        <w:t>,</w:t>
      </w:r>
      <w:r w:rsidR="00D2141F">
        <w:t xml:space="preserve"> </w:t>
      </w:r>
      <w:r w:rsidR="00D2141F" w:rsidRPr="00475842">
        <w:t xml:space="preserve">the New England </w:t>
      </w:r>
      <w:r w:rsidR="00D2141F">
        <w:t>s</w:t>
      </w:r>
      <w:r w:rsidR="00D2141F" w:rsidRPr="00475842">
        <w:t xml:space="preserve">tates, through </w:t>
      </w:r>
      <w:r w:rsidR="00D2141F">
        <w:t>the New England States Committee on Energy (</w:t>
      </w:r>
      <w:r w:rsidR="00D2141F" w:rsidRPr="00475842">
        <w:t>NESCOE</w:t>
      </w:r>
      <w:r w:rsidR="00D2141F">
        <w:t xml:space="preserve">) (see Section </w:t>
      </w:r>
      <w:r w:rsidR="00927965">
        <w:fldChar w:fldCharType="begin"/>
      </w:r>
      <w:r w:rsidR="00D2141F">
        <w:instrText xml:space="preserve"> REF _Ref388278697 \r \h </w:instrText>
      </w:r>
      <w:r w:rsidR="00927965">
        <w:fldChar w:fldCharType="separate"/>
      </w:r>
      <w:r w:rsidR="00284CE3">
        <w:t>7.3.1</w:t>
      </w:r>
      <w:r w:rsidR="00927965">
        <w:fldChar w:fldCharType="end"/>
      </w:r>
      <w:r w:rsidR="00D2141F">
        <w:t>)</w:t>
      </w:r>
      <w:r w:rsidR="00D2141F" w:rsidRPr="00475842">
        <w:t>, have agreed that one or more requests for</w:t>
      </w:r>
      <w:r w:rsidR="00D2141F">
        <w:t xml:space="preserve"> </w:t>
      </w:r>
      <w:r w:rsidR="00D2141F" w:rsidRPr="00475842">
        <w:t>proposals will be issued to advance the development of transmission infrastructure</w:t>
      </w:r>
      <w:r w:rsidR="00D2141F">
        <w:t xml:space="preserve">. This infrastructure </w:t>
      </w:r>
      <w:r w:rsidR="00D2141F" w:rsidRPr="00475842">
        <w:t xml:space="preserve">would enable </w:t>
      </w:r>
      <w:r w:rsidR="00D2141F">
        <w:t xml:space="preserve">the </w:t>
      </w:r>
      <w:r w:rsidR="00D2141F" w:rsidRPr="00475842">
        <w:t>delivery of at least 1</w:t>
      </w:r>
      <w:r w:rsidR="00D2141F">
        <w:t>,</w:t>
      </w:r>
      <w:r w:rsidR="00D2141F" w:rsidRPr="00475842">
        <w:t>200 MW</w:t>
      </w:r>
      <w:r w:rsidR="00D2141F">
        <w:t>,</w:t>
      </w:r>
      <w:r w:rsidR="00D2141F" w:rsidRPr="00475842">
        <w:t xml:space="preserve"> and as much as 3</w:t>
      </w:r>
      <w:r w:rsidR="00D2141F">
        <w:t>,</w:t>
      </w:r>
      <w:r w:rsidR="00D2141F" w:rsidRPr="00475842">
        <w:t>600 MW</w:t>
      </w:r>
      <w:r w:rsidR="00D2141F">
        <w:t>,</w:t>
      </w:r>
      <w:r w:rsidR="00D2141F" w:rsidRPr="00475842">
        <w:t xml:space="preserve"> </w:t>
      </w:r>
      <w:r w:rsidR="00D2141F" w:rsidRPr="00A56921">
        <w:t>of “clean”</w:t>
      </w:r>
      <w:r w:rsidR="00D2141F" w:rsidRPr="00475842">
        <w:t xml:space="preserve"> energy into</w:t>
      </w:r>
      <w:r w:rsidR="00D2141F">
        <w:t xml:space="preserve"> </w:t>
      </w:r>
      <w:r w:rsidR="00D2141F" w:rsidRPr="00475842">
        <w:t xml:space="preserve">the New England electric </w:t>
      </w:r>
      <w:r w:rsidR="00BB7FD5">
        <w:t xml:space="preserve">power </w:t>
      </w:r>
      <w:r w:rsidR="00D2141F" w:rsidRPr="00475842">
        <w:t xml:space="preserve">system from </w:t>
      </w:r>
      <w:r w:rsidR="00D2141F">
        <w:t xml:space="preserve">a combination of </w:t>
      </w:r>
      <w:r w:rsidR="00D2141F" w:rsidRPr="00475842">
        <w:t>no</w:t>
      </w:r>
      <w:r w:rsidR="00D2141F">
        <w:t xml:space="preserve">- </w:t>
      </w:r>
      <w:r w:rsidR="00D2141F" w:rsidRPr="00475842">
        <w:t>and</w:t>
      </w:r>
      <w:r w:rsidR="00D2141F">
        <w:t xml:space="preserve"> </w:t>
      </w:r>
      <w:r w:rsidR="00D2141F" w:rsidRPr="00475842">
        <w:t>low</w:t>
      </w:r>
      <w:r w:rsidR="00D2141F">
        <w:t>-</w:t>
      </w:r>
      <w:r w:rsidR="00D2141F" w:rsidRPr="00475842">
        <w:t xml:space="preserve">carbon emissions </w:t>
      </w:r>
      <w:r w:rsidR="00D2141F" w:rsidRPr="00447F49">
        <w:t xml:space="preserve">resources. The states are also pursuing to increase the amount of </w:t>
      </w:r>
      <w:r w:rsidR="0058019A" w:rsidRPr="0058019A">
        <w:t>firm</w:t>
      </w:r>
      <w:r w:rsidR="00D2141F" w:rsidRPr="00447F49">
        <w:t xml:space="preserve"> pipeline capacity into New England</w:t>
      </w:r>
      <w:r w:rsidR="00D2141F" w:rsidRPr="00475842">
        <w:t xml:space="preserve"> of 1</w:t>
      </w:r>
      <w:r w:rsidR="00D2141F">
        <w:t>,</w:t>
      </w:r>
      <w:r w:rsidR="00D2141F" w:rsidRPr="007569CD">
        <w:t xml:space="preserve">000 </w:t>
      </w:r>
      <w:proofErr w:type="spellStart"/>
      <w:r w:rsidR="00D2141F" w:rsidRPr="007569CD">
        <w:t>MMcf</w:t>
      </w:r>
      <w:proofErr w:type="spellEnd"/>
      <w:r w:rsidR="00D2141F" w:rsidRPr="007569CD">
        <w:t>/day</w:t>
      </w:r>
      <w:r w:rsidR="00D2141F" w:rsidRPr="00475842">
        <w:t xml:space="preserve"> above 2013 levels</w:t>
      </w:r>
      <w:r w:rsidR="00D2141F">
        <w:t>,</w:t>
      </w:r>
      <w:r w:rsidR="00D2141F" w:rsidRPr="00475842">
        <w:t xml:space="preserve"> or </w:t>
      </w:r>
      <w:r w:rsidR="00A63784" w:rsidRPr="00475842">
        <w:t>600</w:t>
      </w:r>
      <w:r w:rsidR="00A63784">
        <w:t> </w:t>
      </w:r>
      <w:proofErr w:type="spellStart"/>
      <w:r w:rsidR="00D2141F">
        <w:t>MM</w:t>
      </w:r>
      <w:r w:rsidR="00D2141F" w:rsidRPr="00475842">
        <w:t>cf</w:t>
      </w:r>
      <w:proofErr w:type="spellEnd"/>
      <w:r w:rsidR="00D2141F" w:rsidRPr="00475842">
        <w:t>/day</w:t>
      </w:r>
      <w:r w:rsidR="00D2141F">
        <w:t xml:space="preserve"> </w:t>
      </w:r>
      <w:r w:rsidR="00A63784">
        <w:t xml:space="preserve">(see Section </w:t>
      </w:r>
      <w:r w:rsidR="00927965">
        <w:fldChar w:fldCharType="begin"/>
      </w:r>
      <w:r w:rsidR="005A39F4">
        <w:instrText xml:space="preserve"> REF _Ref388962933 \r \h </w:instrText>
      </w:r>
      <w:r w:rsidR="00927965">
        <w:fldChar w:fldCharType="separate"/>
      </w:r>
      <w:r w:rsidR="00284CE3">
        <w:t>7.3.1</w:t>
      </w:r>
      <w:r w:rsidR="00927965">
        <w:fldChar w:fldCharType="end"/>
      </w:r>
      <w:r w:rsidR="00A63784">
        <w:t xml:space="preserve">), </w:t>
      </w:r>
      <w:r w:rsidR="00D2141F" w:rsidRPr="00475842">
        <w:t xml:space="preserve">beyond what has already been announced for </w:t>
      </w:r>
      <w:r w:rsidR="00D2141F" w:rsidRPr="00A56921">
        <w:t xml:space="preserve">the </w:t>
      </w:r>
      <w:r w:rsidR="00D2141F" w:rsidRPr="00A94428">
        <w:t xml:space="preserve">AIM and </w:t>
      </w:r>
      <w:r w:rsidR="00A63784" w:rsidRPr="00A63784">
        <w:t>Connec</w:t>
      </w:r>
      <w:r w:rsidR="00744C05">
        <w:t>ticut</w:t>
      </w:r>
      <w:r w:rsidR="00D2141F" w:rsidRPr="00A63784">
        <w:t xml:space="preserve"> expansion projects (Section </w:t>
      </w:r>
      <w:fldSimple w:instr=" REF _Ref388872853 \r \h  \* MERGEFORMAT ">
        <w:r w:rsidR="00284CE3">
          <w:t>6.2.1</w:t>
        </w:r>
      </w:fldSimple>
      <w:r w:rsidR="00D2141F" w:rsidRPr="00A63784">
        <w:t>).</w:t>
      </w:r>
      <w:r w:rsidR="00D2141F">
        <w:t xml:space="preserve"> </w:t>
      </w:r>
    </w:p>
    <w:p w:rsidR="00D2141F" w:rsidRDefault="00D2141F" w:rsidP="00D2141F">
      <w:r w:rsidRPr="00475842">
        <w:t xml:space="preserve">To assist in these efforts, NESCOE </w:t>
      </w:r>
      <w:r>
        <w:t>requested</w:t>
      </w:r>
      <w:r w:rsidRPr="00475842">
        <w:t xml:space="preserve"> </w:t>
      </w:r>
      <w:r>
        <w:t xml:space="preserve">the </w:t>
      </w:r>
      <w:r w:rsidRPr="00475842">
        <w:t xml:space="preserve">ISO </w:t>
      </w:r>
      <w:r>
        <w:t xml:space="preserve">to </w:t>
      </w:r>
      <w:r w:rsidRPr="00475842">
        <w:t xml:space="preserve">provide </w:t>
      </w:r>
      <w:r>
        <w:t xml:space="preserve">the following </w:t>
      </w:r>
      <w:r w:rsidRPr="00475842">
        <w:t xml:space="preserve">to the </w:t>
      </w:r>
      <w:r>
        <w:t>s</w:t>
      </w:r>
      <w:r w:rsidRPr="00475842">
        <w:t>tates</w:t>
      </w:r>
      <w:r>
        <w:t>:</w:t>
      </w:r>
    </w:p>
    <w:p w:rsidR="00D2141F" w:rsidRPr="0086035D" w:rsidRDefault="00D2141F" w:rsidP="00D2141F">
      <w:pPr>
        <w:numPr>
          <w:ilvl w:val="0"/>
          <w:numId w:val="564"/>
        </w:numPr>
        <w:spacing w:after="120"/>
      </w:pPr>
      <w:r w:rsidRPr="0086035D">
        <w:t>Technical electrical system planning and associated support</w:t>
      </w:r>
    </w:p>
    <w:p w:rsidR="00D2141F" w:rsidRDefault="00D2141F" w:rsidP="00D2141F">
      <w:pPr>
        <w:numPr>
          <w:ilvl w:val="0"/>
          <w:numId w:val="564"/>
        </w:numPr>
        <w:autoSpaceDE w:val="0"/>
        <w:autoSpaceDN w:val="0"/>
        <w:adjustRightInd w:val="0"/>
        <w:spacing w:line="240" w:lineRule="auto"/>
      </w:pPr>
      <w:r>
        <w:t>S</w:t>
      </w:r>
      <w:r w:rsidRPr="00475842">
        <w:t>upport in develop</w:t>
      </w:r>
      <w:r>
        <w:t>ing</w:t>
      </w:r>
      <w:r w:rsidRPr="00475842">
        <w:t xml:space="preserve"> and filing any tariff changes needed to advance the </w:t>
      </w:r>
      <w:r>
        <w:t>s</w:t>
      </w:r>
      <w:r w:rsidRPr="00475842">
        <w:t>tates’ objectives,</w:t>
      </w:r>
      <w:r>
        <w:t xml:space="preserve"> </w:t>
      </w:r>
      <w:r w:rsidRPr="00475842">
        <w:t xml:space="preserve">including, as necessary, working together with </w:t>
      </w:r>
      <w:r>
        <w:t>the s</w:t>
      </w:r>
      <w:r w:rsidRPr="00475842">
        <w:t>tates and transmission owners responsibl</w:t>
      </w:r>
      <w:r>
        <w:t xml:space="preserve">e </w:t>
      </w:r>
      <w:r w:rsidRPr="00475842">
        <w:t>for cost</w:t>
      </w:r>
      <w:r w:rsidR="0086035D">
        <w:t>-</w:t>
      </w:r>
      <w:r w:rsidRPr="00475842">
        <w:t>allocation filings with</w:t>
      </w:r>
      <w:r w:rsidRPr="00475842" w:rsidDel="00EE17E5">
        <w:t xml:space="preserve"> </w:t>
      </w:r>
      <w:r w:rsidRPr="00475842">
        <w:t>FERC</w:t>
      </w:r>
    </w:p>
    <w:p w:rsidR="00D2141F" w:rsidRDefault="00D2141F" w:rsidP="00D2141F">
      <w:r w:rsidRPr="00953D29">
        <w:t xml:space="preserve">The New England states preliminarily agree, through NESCOE, that the recovery of the net cost of any </w:t>
      </w:r>
      <w:r w:rsidRPr="00447F49">
        <w:t xml:space="preserve">such procurement of </w:t>
      </w:r>
      <w:r w:rsidR="0058019A" w:rsidRPr="0058019A">
        <w:t>firm</w:t>
      </w:r>
      <w:r w:rsidRPr="00447F49">
        <w:t xml:space="preserve"> pipeline capacity </w:t>
      </w:r>
      <w:proofErr w:type="gramStart"/>
      <w:r w:rsidRPr="00447F49">
        <w:t>should be collected</w:t>
      </w:r>
      <w:proofErr w:type="gramEnd"/>
      <w:r w:rsidRPr="00447F49">
        <w:t xml:space="preserve"> regionally and that NESCOE should work</w:t>
      </w:r>
      <w:r w:rsidRPr="00953D29">
        <w:t xml:space="preserve"> with </w:t>
      </w:r>
      <w:r w:rsidR="00EC12A4" w:rsidRPr="00953D29">
        <w:t xml:space="preserve">the ISO and </w:t>
      </w:r>
      <w:r w:rsidRPr="00953D29">
        <w:t>NEPOOL to achieve this goal.</w:t>
      </w:r>
      <w:r>
        <w:t xml:space="preserve"> </w:t>
      </w:r>
    </w:p>
    <w:p w:rsidR="00685011" w:rsidRDefault="00685011" w:rsidP="00685011">
      <w:r>
        <w:rPr>
          <w:i/>
        </w:rPr>
        <w:t xml:space="preserve">FERC NOPR </w:t>
      </w:r>
      <w:proofErr w:type="gramStart"/>
      <w:r>
        <w:rPr>
          <w:i/>
        </w:rPr>
        <w:t>to Better Align</w:t>
      </w:r>
      <w:proofErr w:type="gramEnd"/>
      <w:r>
        <w:rPr>
          <w:i/>
        </w:rPr>
        <w:t xml:space="preserve"> Natural Gas and Wholesale Electric</w:t>
      </w:r>
      <w:r w:rsidR="00BB7FD5">
        <w:rPr>
          <w:i/>
        </w:rPr>
        <w:t>ity</w:t>
      </w:r>
      <w:r>
        <w:rPr>
          <w:i/>
        </w:rPr>
        <w:t xml:space="preserve"> Markets</w:t>
      </w:r>
      <w:r>
        <w:t xml:space="preserve">. FERC recently issued a </w:t>
      </w:r>
      <w:r w:rsidR="00CC5D68">
        <w:t>n</w:t>
      </w:r>
      <w:r>
        <w:t xml:space="preserve">otice of </w:t>
      </w:r>
      <w:r w:rsidR="00CC5D68">
        <w:t>p</w:t>
      </w:r>
      <w:r>
        <w:t xml:space="preserve">roposed </w:t>
      </w:r>
      <w:r w:rsidR="00CC5D68">
        <w:t>r</w:t>
      </w:r>
      <w:r w:rsidRPr="00EA6023">
        <w:t>ulemaking (NOPR), proposing</w:t>
      </w:r>
      <w:r>
        <w:t xml:space="preserve"> revisions to the natural gas operating </w:t>
      </w:r>
      <w:proofErr w:type="gramStart"/>
      <w:r>
        <w:t>day</w:t>
      </w:r>
      <w:proofErr w:type="gramEnd"/>
      <w:r>
        <w:t xml:space="preserve"> and scheduling practices used by interstate pipelines.</w:t>
      </w:r>
      <w:r>
        <w:rPr>
          <w:rStyle w:val="FootnoteReference"/>
        </w:rPr>
        <w:footnoteReference w:id="292"/>
      </w:r>
      <w:r>
        <w:t xml:space="preserve"> The proposed revisions include starting the natural </w:t>
      </w:r>
      <w:r w:rsidRPr="00685011">
        <w:t>gas operating day earlier, moving the timely nomination cycle later, and increasing the number of</w:t>
      </w:r>
      <w:r>
        <w:t xml:space="preserve"> intraday nomination opportunities. FERC simultaneously initiated parallel proceedings </w:t>
      </w:r>
      <w:proofErr w:type="gramStart"/>
      <w:r>
        <w:t>to further improve</w:t>
      </w:r>
      <w:proofErr w:type="gramEnd"/>
      <w:r>
        <w:t xml:space="preserve"> the coordination and scheduling of natural gas pipeline capacity with electricity markets.</w:t>
      </w:r>
      <w:r>
        <w:rPr>
          <w:rStyle w:val="FootnoteReference"/>
        </w:rPr>
        <w:footnoteReference w:id="293"/>
      </w:r>
      <w:r>
        <w:t xml:space="preserve"> </w:t>
      </w:r>
    </w:p>
    <w:p w:rsidR="00B4202D" w:rsidRPr="005E14EF" w:rsidRDefault="00B272C2" w:rsidP="005E14EF">
      <w:pPr>
        <w:pStyle w:val="Heading2"/>
      </w:pPr>
      <w:bookmarkStart w:id="743" w:name="_Ref388962881"/>
      <w:bookmarkStart w:id="744" w:name="_Ref390423179"/>
      <w:bookmarkStart w:id="745" w:name="_Ref390424093"/>
      <w:bookmarkStart w:id="746" w:name="_Toc396807662"/>
      <w:bookmarkStart w:id="747" w:name="_Ref388713428"/>
      <w:r w:rsidRPr="005E14EF">
        <w:t>Impacts of Environmental Regulations on Generators and the Power System Overall</w:t>
      </w:r>
      <w:bookmarkEnd w:id="743"/>
      <w:bookmarkEnd w:id="744"/>
      <w:bookmarkEnd w:id="745"/>
      <w:bookmarkEnd w:id="746"/>
      <w:r w:rsidRPr="005E14EF">
        <w:t xml:space="preserve"> </w:t>
      </w:r>
      <w:bookmarkEnd w:id="747"/>
    </w:p>
    <w:p w:rsidR="00D2141F" w:rsidRPr="00217BF0" w:rsidRDefault="0011163E" w:rsidP="00103799">
      <w:r>
        <w:t xml:space="preserve">Compliance obligations for generators </w:t>
      </w:r>
      <w:r w:rsidR="00103799">
        <w:t xml:space="preserve">from </w:t>
      </w:r>
      <w:r>
        <w:t xml:space="preserve">existing and pending state, regional, and federal environmental requirements are likely to impose operational limits on new and existing generators but pose </w:t>
      </w:r>
      <w:r w:rsidR="00BC2C54">
        <w:t>reduced r</w:t>
      </w:r>
      <w:r>
        <w:t>etirement risk</w:t>
      </w:r>
      <w:r w:rsidR="00BC2C54">
        <w:t>s</w:t>
      </w:r>
      <w:r>
        <w:t xml:space="preserve"> and lower </w:t>
      </w:r>
      <w:r w:rsidR="00BC2C54">
        <w:t xml:space="preserve">adverse </w:t>
      </w:r>
      <w:r>
        <w:t xml:space="preserve">reliability impacts compared </w:t>
      </w:r>
      <w:r w:rsidR="00AB5059">
        <w:t>with</w:t>
      </w:r>
      <w:r>
        <w:t xml:space="preserve"> earlier assessments</w:t>
      </w:r>
      <w:r w:rsidR="00103799">
        <w:t xml:space="preserve">. </w:t>
      </w:r>
      <w:r>
        <w:t>F</w:t>
      </w:r>
      <w:r w:rsidR="00D2141F">
        <w:t>ederal air</w:t>
      </w:r>
      <w:r>
        <w:t>,</w:t>
      </w:r>
      <w:r w:rsidR="00D2141F">
        <w:t xml:space="preserve"> water</w:t>
      </w:r>
      <w:r>
        <w:t xml:space="preserve">, and carbon standards </w:t>
      </w:r>
      <w:r w:rsidR="00D2141F">
        <w:t xml:space="preserve">could </w:t>
      </w:r>
      <w:r w:rsidR="00D2141F" w:rsidRPr="00217BF0">
        <w:t xml:space="preserve">affect the economic performance of </w:t>
      </w:r>
      <w:r w:rsidR="00AB5059">
        <w:t xml:space="preserve">nuclear and </w:t>
      </w:r>
      <w:r w:rsidR="00D2141F" w:rsidRPr="00217BF0">
        <w:t>fossil</w:t>
      </w:r>
      <w:r w:rsidR="00AB5059">
        <w:t>-fired</w:t>
      </w:r>
      <w:r w:rsidR="00D2141F" w:rsidRPr="00217BF0">
        <w:t xml:space="preserve"> (coal, oil, and natural</w:t>
      </w:r>
      <w:r w:rsidR="00AB5059">
        <w:t xml:space="preserve"> </w:t>
      </w:r>
      <w:r w:rsidR="00D2141F" w:rsidRPr="00217BF0">
        <w:t>gas</w:t>
      </w:r>
      <w:r w:rsidR="00AB5059">
        <w:t xml:space="preserve">) </w:t>
      </w:r>
      <w:r w:rsidR="00D2141F" w:rsidRPr="00217BF0">
        <w:t xml:space="preserve">generators by increasing operating costs and </w:t>
      </w:r>
      <w:r w:rsidR="00D2141F">
        <w:t xml:space="preserve">imposing additional </w:t>
      </w:r>
      <w:r w:rsidR="00D2141F" w:rsidRPr="00217BF0">
        <w:t xml:space="preserve">capital costs for </w:t>
      </w:r>
      <w:r w:rsidR="00D2141F">
        <w:t xml:space="preserve">needed </w:t>
      </w:r>
      <w:r w:rsidR="00D2141F" w:rsidRPr="00217BF0">
        <w:t xml:space="preserve">controls or facility modifications. Other </w:t>
      </w:r>
      <w:r>
        <w:t xml:space="preserve">state and regional air, water, and carbon standards </w:t>
      </w:r>
      <w:r w:rsidR="00D2141F" w:rsidRPr="00217BF0">
        <w:t xml:space="preserve">could require certain generators to </w:t>
      </w:r>
      <w:r w:rsidR="00D2141F">
        <w:t xml:space="preserve">reduce emissions further through the extended operation of pollution control devices, the </w:t>
      </w:r>
      <w:r w:rsidR="00D2141F" w:rsidRPr="00217BF0">
        <w:t>use additional reagents</w:t>
      </w:r>
      <w:r w:rsidR="00D2141F">
        <w:t>,</w:t>
      </w:r>
      <w:r w:rsidR="00D2141F" w:rsidRPr="00217BF0">
        <w:t xml:space="preserve"> </w:t>
      </w:r>
      <w:r w:rsidR="00D2141F">
        <w:t xml:space="preserve">or the </w:t>
      </w:r>
      <w:r w:rsidR="00D2141F" w:rsidRPr="00217BF0">
        <w:t>procure</w:t>
      </w:r>
      <w:r w:rsidR="00D2141F">
        <w:t>ment of</w:t>
      </w:r>
      <w:r w:rsidR="00D2141F" w:rsidRPr="00217BF0">
        <w:t xml:space="preserve"> </w:t>
      </w:r>
      <w:r w:rsidR="00D2141F" w:rsidRPr="00D052D9">
        <w:t>additional emissions allowances.</w:t>
      </w:r>
      <w:r w:rsidR="00D2141F" w:rsidRPr="00D052D9">
        <w:rPr>
          <w:rStyle w:val="FootnoteReference"/>
        </w:rPr>
        <w:footnoteReference w:id="294"/>
      </w:r>
      <w:r w:rsidR="00D2141F" w:rsidRPr="00D052D9">
        <w:t xml:space="preserve"> </w:t>
      </w:r>
      <w:r w:rsidR="004C0E17">
        <w:t>Various elements of the power system are also subject to state, regional, federal</w:t>
      </w:r>
      <w:r w:rsidR="00643012">
        <w:t>,</w:t>
      </w:r>
      <w:r w:rsidR="004C0E17">
        <w:t xml:space="preserve"> and </w:t>
      </w:r>
      <w:r w:rsidR="004C0E17" w:rsidRPr="00643012">
        <w:t>international environmental land use, permitting</w:t>
      </w:r>
      <w:r w:rsidR="00643012" w:rsidRPr="00643012">
        <w:t>,</w:t>
      </w:r>
      <w:r w:rsidR="004C0E17" w:rsidRPr="00643012">
        <w:t xml:space="preserve"> and </w:t>
      </w:r>
      <w:proofErr w:type="spellStart"/>
      <w:r w:rsidR="004C0E17" w:rsidRPr="00643012">
        <w:t>siting</w:t>
      </w:r>
      <w:proofErr w:type="spellEnd"/>
      <w:r w:rsidR="004C0E17" w:rsidRPr="00643012">
        <w:t xml:space="preserve"> regulations</w:t>
      </w:r>
      <w:r w:rsidR="00643012" w:rsidRPr="00643012">
        <w:t>, m</w:t>
      </w:r>
      <w:r w:rsidR="00D44B9F" w:rsidRPr="00643012">
        <w:t xml:space="preserve">any </w:t>
      </w:r>
      <w:r w:rsidR="00643012" w:rsidRPr="00643012">
        <w:t xml:space="preserve">of which </w:t>
      </w:r>
      <w:r w:rsidR="00D44B9F" w:rsidRPr="00643012">
        <w:t>have protracted</w:t>
      </w:r>
      <w:r w:rsidR="00D44B9F">
        <w:t xml:space="preserve"> review periods</w:t>
      </w:r>
      <w:r w:rsidR="004C0E17">
        <w:t xml:space="preserve"> that can complicate </w:t>
      </w:r>
      <w:r w:rsidR="00002D24">
        <w:t xml:space="preserve">or delay </w:t>
      </w:r>
      <w:r w:rsidR="004C0E17">
        <w:t xml:space="preserve">planning, development, </w:t>
      </w:r>
      <w:r w:rsidR="009F058D">
        <w:t>or</w:t>
      </w:r>
      <w:r w:rsidR="004C0E17">
        <w:t xml:space="preserve"> </w:t>
      </w:r>
      <w:r w:rsidR="00643012">
        <w:t xml:space="preserve">the </w:t>
      </w:r>
      <w:r w:rsidR="004C0E17">
        <w:t>implementation of proposed transmission and generation improvements</w:t>
      </w:r>
      <w:r w:rsidR="00D44B9F">
        <w:t>.</w:t>
      </w:r>
      <w:r w:rsidR="00643012">
        <w:t xml:space="preserve"> </w:t>
      </w:r>
    </w:p>
    <w:p w:rsidR="00D2141F" w:rsidRPr="00217BF0" w:rsidRDefault="00D2141F" w:rsidP="00103799">
      <w:r w:rsidRPr="00945399">
        <w:t xml:space="preserve">The US Environmental Protection Agency (EPA) is developing and implementing several air and water quality rules </w:t>
      </w:r>
      <w:r>
        <w:t xml:space="preserve">in the following areas </w:t>
      </w:r>
      <w:r w:rsidRPr="00945399">
        <w:t>that will have an impact on existing and new generators:</w:t>
      </w:r>
    </w:p>
    <w:p w:rsidR="00D2141F" w:rsidRPr="00691A09" w:rsidRDefault="00D2141F" w:rsidP="00D2141F">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Surface water withdrawals (for cooling water use and consumption)</w:t>
      </w:r>
    </w:p>
    <w:p w:rsidR="00D2141F" w:rsidRPr="00691A09" w:rsidRDefault="00D2141F" w:rsidP="00D2141F">
      <w:pPr>
        <w:numPr>
          <w:ilvl w:val="0"/>
          <w:numId w:val="455"/>
        </w:numPr>
        <w:spacing w:after="120" w:line="276" w:lineRule="auto"/>
        <w:rPr>
          <w:rFonts w:asciiTheme="majorHAnsi" w:eastAsia="Times New Roman" w:hAnsiTheme="majorHAnsi"/>
        </w:rPr>
      </w:pPr>
      <w:r w:rsidRPr="00691A09">
        <w:rPr>
          <w:rFonts w:asciiTheme="majorHAnsi" w:eastAsia="Times New Roman" w:hAnsiTheme="majorHAnsi"/>
        </w:rPr>
        <w:t>Wastewater discharges into surface water</w:t>
      </w:r>
    </w:p>
    <w:p w:rsidR="00D2141F" w:rsidRPr="00A522A9" w:rsidRDefault="00D837D8" w:rsidP="00D2141F">
      <w:pPr>
        <w:numPr>
          <w:ilvl w:val="0"/>
          <w:numId w:val="455"/>
        </w:numPr>
        <w:spacing w:after="120" w:line="276" w:lineRule="auto"/>
        <w:rPr>
          <w:rFonts w:asciiTheme="majorHAnsi" w:eastAsia="Times New Roman" w:hAnsiTheme="majorHAnsi"/>
        </w:rPr>
      </w:pPr>
      <w:r w:rsidRPr="00A522A9">
        <w:rPr>
          <w:rFonts w:asciiTheme="majorHAnsi" w:eastAsia="Times New Roman" w:hAnsiTheme="majorHAnsi"/>
        </w:rPr>
        <w:t>Mercury, acid gas, and other air toxic emissions</w:t>
      </w:r>
    </w:p>
    <w:p w:rsidR="00D2141F" w:rsidRPr="00A522A9" w:rsidRDefault="00D837D8" w:rsidP="00D2141F">
      <w:pPr>
        <w:numPr>
          <w:ilvl w:val="0"/>
          <w:numId w:val="455"/>
        </w:numPr>
        <w:spacing w:after="120" w:line="276" w:lineRule="auto"/>
        <w:rPr>
          <w:rFonts w:asciiTheme="majorHAnsi" w:eastAsia="Times New Roman" w:hAnsiTheme="majorHAnsi"/>
        </w:rPr>
      </w:pPr>
      <w:r w:rsidRPr="00A522A9">
        <w:rPr>
          <w:rFonts w:asciiTheme="majorHAnsi" w:eastAsia="Times New Roman" w:hAnsiTheme="majorHAnsi"/>
        </w:rPr>
        <w:t>Ozone (O</w:t>
      </w:r>
      <w:r w:rsidRPr="00A522A9">
        <w:rPr>
          <w:rFonts w:asciiTheme="majorHAnsi" w:eastAsia="Times New Roman" w:hAnsiTheme="majorHAnsi"/>
          <w:vertAlign w:val="subscript"/>
        </w:rPr>
        <w:t>3</w:t>
      </w:r>
      <w:r w:rsidRPr="00A522A9">
        <w:rPr>
          <w:rFonts w:asciiTheme="majorHAnsi" w:eastAsia="Times New Roman" w:hAnsiTheme="majorHAnsi"/>
        </w:rPr>
        <w:t xml:space="preserve">) </w:t>
      </w:r>
      <w:r w:rsidR="00D55A67" w:rsidRPr="00A522A9">
        <w:rPr>
          <w:rFonts w:asciiTheme="majorHAnsi" w:eastAsia="Times New Roman" w:hAnsiTheme="majorHAnsi"/>
        </w:rPr>
        <w:t>transport</w:t>
      </w:r>
      <w:r w:rsidRPr="00A522A9">
        <w:rPr>
          <w:rFonts w:asciiTheme="majorHAnsi" w:eastAsia="Times New Roman" w:hAnsiTheme="majorHAnsi"/>
        </w:rPr>
        <w:t xml:space="preserve"> and fine particulate matter (PM</w:t>
      </w:r>
      <w:r w:rsidRPr="00A522A9">
        <w:rPr>
          <w:rFonts w:asciiTheme="majorHAnsi" w:eastAsia="Times New Roman" w:hAnsiTheme="majorHAnsi"/>
          <w:vertAlign w:val="subscript"/>
        </w:rPr>
        <w:t>2.5</w:t>
      </w:r>
      <w:r w:rsidRPr="00A522A9">
        <w:rPr>
          <w:rFonts w:asciiTheme="majorHAnsi" w:eastAsia="Times New Roman" w:hAnsiTheme="majorHAnsi"/>
        </w:rPr>
        <w:t>) and sulfur dioxide (SO</w:t>
      </w:r>
      <w:r w:rsidRPr="00A522A9">
        <w:rPr>
          <w:rFonts w:asciiTheme="majorHAnsi" w:eastAsia="Times New Roman" w:hAnsiTheme="majorHAnsi"/>
          <w:vertAlign w:val="subscript"/>
        </w:rPr>
        <w:t>2</w:t>
      </w:r>
      <w:r w:rsidRPr="00A522A9">
        <w:rPr>
          <w:rFonts w:asciiTheme="majorHAnsi" w:eastAsia="Times New Roman" w:hAnsiTheme="majorHAnsi"/>
        </w:rPr>
        <w:t xml:space="preserve">) emissions </w:t>
      </w:r>
    </w:p>
    <w:p w:rsidR="00D2141F" w:rsidRPr="00691A09" w:rsidRDefault="00D2141F" w:rsidP="00D2141F">
      <w:pPr>
        <w:numPr>
          <w:ilvl w:val="0"/>
          <w:numId w:val="455"/>
        </w:numPr>
        <w:spacing w:after="200" w:line="276" w:lineRule="auto"/>
        <w:rPr>
          <w:rFonts w:asciiTheme="majorHAnsi" w:eastAsia="Times New Roman" w:hAnsiTheme="majorHAnsi"/>
        </w:rPr>
      </w:pPr>
      <w:r w:rsidRPr="00691A09">
        <w:rPr>
          <w:rFonts w:asciiTheme="majorHAnsi" w:eastAsia="Times New Roman" w:hAnsiTheme="majorHAnsi"/>
        </w:rPr>
        <w:t>Greenhouse gases</w:t>
      </w:r>
      <w:r w:rsidR="003825E2">
        <w:rPr>
          <w:rFonts w:asciiTheme="majorHAnsi" w:eastAsia="Times New Roman" w:hAnsiTheme="majorHAnsi"/>
        </w:rPr>
        <w:t xml:space="preserve"> (GHGs)</w:t>
      </w:r>
      <w:r w:rsidRPr="00691A09">
        <w:rPr>
          <w:rFonts w:asciiTheme="majorHAnsi" w:eastAsia="Times New Roman" w:hAnsiTheme="majorHAnsi"/>
        </w:rPr>
        <w:t>/carbon emissions</w:t>
      </w:r>
    </w:p>
    <w:p w:rsidR="00D2141F" w:rsidRDefault="00D2141F" w:rsidP="00D2141F">
      <w:r w:rsidRPr="00460C75">
        <w:t xml:space="preserve">Several New England </w:t>
      </w:r>
      <w:r>
        <w:t>s</w:t>
      </w:r>
      <w:r w:rsidRPr="00460C75">
        <w:t xml:space="preserve">tates are developing or </w:t>
      </w:r>
      <w:r>
        <w:t>implementing</w:t>
      </w:r>
      <w:r w:rsidRPr="00460C75">
        <w:t xml:space="preserve"> air and water quality requirements for generators </w:t>
      </w:r>
      <w:r w:rsidRPr="00BF55BC">
        <w:t xml:space="preserve">and GHG reduction targets under the Regional Greenhouse Gas Initiative (RGGI) or through </w:t>
      </w:r>
      <w:r>
        <w:t>C</w:t>
      </w:r>
      <w:r w:rsidRPr="00BF55BC">
        <w:t xml:space="preserve">lean </w:t>
      </w:r>
      <w:r>
        <w:t>E</w:t>
      </w:r>
      <w:r w:rsidRPr="00BF55BC">
        <w:t>nergy</w:t>
      </w:r>
      <w:r w:rsidRPr="00460C75">
        <w:t xml:space="preserve"> </w:t>
      </w:r>
      <w:r>
        <w:t>P</w:t>
      </w:r>
      <w:r w:rsidRPr="00460C75">
        <w:t xml:space="preserve">erformance </w:t>
      </w:r>
      <w:r>
        <w:t>S</w:t>
      </w:r>
      <w:r w:rsidRPr="00460C75">
        <w:t>tandards.</w:t>
      </w:r>
      <w:r>
        <w:rPr>
          <w:rStyle w:val="FootnoteReference"/>
        </w:rPr>
        <w:footnoteReference w:id="295"/>
      </w:r>
      <w:r w:rsidRPr="00460C75">
        <w:t xml:space="preserve"> The Ozone Transport Commission, </w:t>
      </w:r>
      <w:r w:rsidR="00D55A67">
        <w:t xml:space="preserve">of </w:t>
      </w:r>
      <w:r w:rsidRPr="00460C75">
        <w:t xml:space="preserve">which all New England </w:t>
      </w:r>
      <w:r>
        <w:t>s</w:t>
      </w:r>
      <w:r w:rsidRPr="00460C75">
        <w:t xml:space="preserve">tates are members, also </w:t>
      </w:r>
      <w:r w:rsidRPr="003969A6">
        <w:t xml:space="preserve">is developing model </w:t>
      </w:r>
      <w:r w:rsidR="00880291">
        <w:t xml:space="preserve">rules </w:t>
      </w:r>
      <w:r w:rsidR="00D55A67" w:rsidRPr="003969A6">
        <w:t>that states may adopt</w:t>
      </w:r>
      <w:r w:rsidR="00D55A67">
        <w:t xml:space="preserve"> to </w:t>
      </w:r>
      <w:r w:rsidR="00880291">
        <w:t>reduc</w:t>
      </w:r>
      <w:r w:rsidR="00D55A67">
        <w:t>e</w:t>
      </w:r>
      <w:r w:rsidR="00880291">
        <w:t xml:space="preserve"> </w:t>
      </w:r>
      <w:r w:rsidRPr="003969A6">
        <w:t>air pollution</w:t>
      </w:r>
      <w:r w:rsidR="00D55A67">
        <w:t xml:space="preserve">, </w:t>
      </w:r>
      <w:r w:rsidRPr="003969A6">
        <w:t xml:space="preserve">and which </w:t>
      </w:r>
      <w:r w:rsidR="0011163E">
        <w:t>may</w:t>
      </w:r>
      <w:r w:rsidRPr="003969A6">
        <w:t xml:space="preserve"> affect generators within and upwind of the region.</w:t>
      </w:r>
    </w:p>
    <w:p w:rsidR="00D2141F" w:rsidRPr="00217BF0" w:rsidRDefault="00D2141F" w:rsidP="008B3682">
      <w:pPr>
        <w:rPr>
          <w:szCs w:val="36"/>
        </w:rPr>
      </w:pPr>
      <w:r w:rsidRPr="00DA0C2C">
        <w:t xml:space="preserve">System reliability </w:t>
      </w:r>
      <w:r>
        <w:t xml:space="preserve">could </w:t>
      </w:r>
      <w:r w:rsidRPr="00DA0C2C">
        <w:t xml:space="preserve">suffer if the aggregate impact and timing of all these requirements limit generator energy production, reduce capacity output, or contribute to unit retirements. </w:t>
      </w:r>
      <w:r w:rsidR="0011163E">
        <w:t xml:space="preserve">However, EPA has provided compliance options in several major </w:t>
      </w:r>
      <w:r w:rsidR="003F70EF">
        <w:t xml:space="preserve">recent </w:t>
      </w:r>
      <w:r w:rsidR="0011163E">
        <w:t>rules, recognizing the reliability value that low</w:t>
      </w:r>
      <w:r w:rsidR="008D06BF">
        <w:t>-</w:t>
      </w:r>
      <w:r w:rsidR="0011163E">
        <w:t>capacity fossil steam generators provide in maintaining system fuel diversity (see Section</w:t>
      </w:r>
      <w:r w:rsidR="008D06BF">
        <w:t xml:space="preserve"> </w:t>
      </w:r>
      <w:fldSimple w:instr=" REF _Ref388876647 \r \h  \* MERGEFORMAT ">
        <w:r w:rsidR="00284CE3">
          <w:t>6.2</w:t>
        </w:r>
      </w:fldSimple>
      <w:r w:rsidR="0011163E">
        <w:t xml:space="preserve">). </w:t>
      </w:r>
      <w:proofErr w:type="gramStart"/>
      <w:r w:rsidRPr="00DA0C2C">
        <w:t xml:space="preserve">Compliance with many of these requirements </w:t>
      </w:r>
      <w:r w:rsidR="0011163E">
        <w:t>begins in</w:t>
      </w:r>
      <w:r w:rsidRPr="00DA0C2C">
        <w:t xml:space="preserve"> 2015 and </w:t>
      </w:r>
      <w:r w:rsidR="0011163E">
        <w:t xml:space="preserve">will </w:t>
      </w:r>
      <w:r w:rsidRPr="00DA0C2C">
        <w:t>continu</w:t>
      </w:r>
      <w:r w:rsidR="0011163E">
        <w:t xml:space="preserve">e </w:t>
      </w:r>
      <w:r w:rsidRPr="00DA0C2C">
        <w:t>through 2022.</w:t>
      </w:r>
      <w:proofErr w:type="gramEnd"/>
      <w:r w:rsidRPr="00DA0C2C">
        <w:t xml:space="preserve"> </w:t>
      </w:r>
    </w:p>
    <w:p w:rsidR="00D2141F" w:rsidRPr="00573AD9" w:rsidRDefault="00D2141F" w:rsidP="005C6088">
      <w:pPr>
        <w:pStyle w:val="Heading3"/>
      </w:pPr>
      <w:bookmarkStart w:id="748" w:name="_Toc396807663"/>
      <w:r w:rsidRPr="00F1378E">
        <w:t xml:space="preserve">Emerging Impacts of </w:t>
      </w:r>
      <w:r w:rsidRPr="00F1378E">
        <w:rPr>
          <w:i/>
        </w:rPr>
        <w:t>Clean Water Act</w:t>
      </w:r>
      <w:r w:rsidRPr="00F1378E">
        <w:t xml:space="preserve"> Regulations on the Region’s Generators</w:t>
      </w:r>
      <w:bookmarkEnd w:id="748"/>
    </w:p>
    <w:p w:rsidR="00D2141F" w:rsidRDefault="00D2141F" w:rsidP="00D2141F">
      <w:pPr>
        <w:widowControl w:val="0"/>
        <w:autoSpaceDE w:val="0"/>
        <w:autoSpaceDN w:val="0"/>
        <w:adjustRightInd w:val="0"/>
        <w:spacing w:after="200" w:line="276" w:lineRule="auto"/>
        <w:rPr>
          <w:rFonts w:asciiTheme="majorHAnsi" w:hAnsiTheme="majorHAnsi" w:cs="Arial"/>
          <w:color w:val="000000"/>
          <w:spacing w:val="-1"/>
        </w:rPr>
      </w:pPr>
      <w:r w:rsidRPr="008D06BF">
        <w:rPr>
          <w:rFonts w:asciiTheme="majorHAnsi" w:hAnsiTheme="majorHAnsi" w:cs="Arial"/>
          <w:color w:val="000000"/>
          <w:spacing w:val="-1"/>
        </w:rPr>
        <w:t xml:space="preserve">Major revisions of </w:t>
      </w:r>
      <w:r w:rsidRPr="008D06BF">
        <w:rPr>
          <w:rFonts w:asciiTheme="majorHAnsi" w:hAnsiTheme="majorHAnsi" w:cs="Arial"/>
          <w:i/>
          <w:color w:val="000000"/>
          <w:spacing w:val="-1"/>
        </w:rPr>
        <w:t>Clean Water Act</w:t>
      </w:r>
      <w:r w:rsidRPr="008D06BF">
        <w:rPr>
          <w:rFonts w:asciiTheme="majorHAnsi" w:hAnsiTheme="majorHAnsi" w:cs="Arial"/>
          <w:color w:val="000000"/>
          <w:spacing w:val="-1"/>
        </w:rPr>
        <w:t xml:space="preserve"> standards</w:t>
      </w:r>
      <w:r w:rsidR="00D55A67">
        <w:rPr>
          <w:rFonts w:asciiTheme="majorHAnsi" w:hAnsiTheme="majorHAnsi" w:cs="Arial"/>
          <w:color w:val="000000"/>
          <w:spacing w:val="-1"/>
        </w:rPr>
        <w:t>,</w:t>
      </w:r>
      <w:r w:rsidRPr="008D06BF">
        <w:rPr>
          <w:rFonts w:asciiTheme="majorHAnsi" w:hAnsiTheme="majorHAnsi" w:cs="Arial"/>
          <w:color w:val="000000"/>
          <w:spacing w:val="-1"/>
        </w:rPr>
        <w:t xml:space="preserve"> including the </w:t>
      </w:r>
      <w:r w:rsidR="0011163E" w:rsidRPr="008D06BF">
        <w:rPr>
          <w:rFonts w:asciiTheme="majorHAnsi" w:hAnsiTheme="majorHAnsi" w:cs="Arial"/>
          <w:color w:val="000000"/>
          <w:spacing w:val="-1"/>
        </w:rPr>
        <w:t xml:space="preserve">final </w:t>
      </w:r>
      <w:r w:rsidRPr="008D06BF">
        <w:rPr>
          <w:rFonts w:asciiTheme="majorHAnsi" w:hAnsiTheme="majorHAnsi" w:cs="Arial"/>
          <w:color w:val="000000"/>
          <w:spacing w:val="-1"/>
        </w:rPr>
        <w:t>§ 316(b) Cooling Water Intake Rule and the</w:t>
      </w:r>
      <w:r w:rsidR="0011163E" w:rsidRPr="008D06BF">
        <w:rPr>
          <w:rFonts w:asciiTheme="majorHAnsi" w:hAnsiTheme="majorHAnsi" w:cs="Arial"/>
          <w:color w:val="000000"/>
          <w:spacing w:val="-1"/>
        </w:rPr>
        <w:t xml:space="preserve"> proposed</w:t>
      </w:r>
      <w:r w:rsidRPr="008D06BF">
        <w:rPr>
          <w:rFonts w:asciiTheme="majorHAnsi" w:hAnsiTheme="majorHAnsi" w:cs="Arial"/>
          <w:color w:val="000000"/>
          <w:spacing w:val="-1"/>
        </w:rPr>
        <w:t xml:space="preserve"> § 304 Effluent Limitation Guidelines (ELGs) for Electric Steam Generators</w:t>
      </w:r>
      <w:r w:rsidR="00D55A67">
        <w:rPr>
          <w:rFonts w:asciiTheme="majorHAnsi" w:hAnsiTheme="majorHAnsi" w:cs="Arial"/>
          <w:color w:val="000000"/>
          <w:spacing w:val="-1"/>
        </w:rPr>
        <w:t>,</w:t>
      </w:r>
      <w:r w:rsidRPr="008D06BF">
        <w:rPr>
          <w:rFonts w:asciiTheme="majorHAnsi" w:hAnsiTheme="majorHAnsi" w:cs="Arial"/>
          <w:color w:val="000000"/>
          <w:spacing w:val="-1"/>
        </w:rPr>
        <w:t xml:space="preserve"> will require capital expenditures and increased overhead and maintenance costs for existing fossil and nuclear generators.</w:t>
      </w:r>
      <w:r w:rsidRPr="008D06BF">
        <w:rPr>
          <w:rStyle w:val="FootnoteReference"/>
          <w:color w:val="000000"/>
          <w:spacing w:val="-1"/>
        </w:rPr>
        <w:footnoteReference w:id="296"/>
      </w:r>
      <w:r w:rsidRPr="008D06BF">
        <w:rPr>
          <w:rFonts w:asciiTheme="majorHAnsi" w:hAnsiTheme="majorHAnsi" w:cs="Arial"/>
          <w:color w:val="000000"/>
          <w:spacing w:val="-1"/>
        </w:rPr>
        <w:t xml:space="preserve"> New electric energy generation projects will likely require dry, hybrid, or closed-cycle cooling systems and the elimination of most wastewater discharges under zero-liquid discharge </w:t>
      </w:r>
      <w:r w:rsidRPr="001F2F42">
        <w:rPr>
          <w:rFonts w:asciiTheme="majorHAnsi" w:hAnsiTheme="majorHAnsi" w:cs="Arial"/>
          <w:color w:val="000000"/>
          <w:spacing w:val="-1"/>
        </w:rPr>
        <w:t>requirements.</w:t>
      </w:r>
      <w:r w:rsidR="0011163E" w:rsidRPr="001F2F42">
        <w:rPr>
          <w:rFonts w:asciiTheme="majorHAnsi" w:hAnsiTheme="majorHAnsi" w:cs="Arial"/>
          <w:color w:val="000000"/>
          <w:spacing w:val="-1"/>
        </w:rPr>
        <w:t xml:space="preserve"> </w:t>
      </w:r>
      <w:fldSimple w:instr=" REF _Ref388607609 \h  \* MERGEFORMAT ">
        <w:r w:rsidR="00284CE3">
          <w:t xml:space="preserve">Figure </w:t>
        </w:r>
        <w:r w:rsidR="00284CE3">
          <w:rPr>
            <w:noProof/>
          </w:rPr>
          <w:t>6</w:t>
        </w:r>
        <w:r w:rsidR="00284CE3">
          <w:rPr>
            <w:noProof/>
          </w:rPr>
          <w:noBreakHyphen/>
          <w:t>13</w:t>
        </w:r>
      </w:fldSimple>
      <w:r w:rsidR="00D837D8" w:rsidRPr="001F2F42">
        <w:rPr>
          <w:rFonts w:asciiTheme="majorHAnsi" w:hAnsiTheme="majorHAnsi" w:cs="Arial"/>
          <w:color w:val="000000"/>
          <w:spacing w:val="-1"/>
        </w:rPr>
        <w:t xml:space="preserve"> shows the number of cooling systems by primary energy source in 2012 nationwide.</w:t>
      </w:r>
    </w:p>
    <w:p w:rsidR="0079044C" w:rsidRDefault="00CF1960">
      <w:pPr>
        <w:widowControl w:val="0"/>
        <w:autoSpaceDE w:val="0"/>
        <w:autoSpaceDN w:val="0"/>
        <w:adjustRightInd w:val="0"/>
        <w:spacing w:after="0" w:line="240" w:lineRule="auto"/>
        <w:jc w:val="center"/>
        <w:rPr>
          <w:rFonts w:asciiTheme="majorHAnsi" w:hAnsiTheme="majorHAnsi" w:cs="Arial"/>
          <w:color w:val="000000"/>
          <w:spacing w:val="-1"/>
        </w:rPr>
      </w:pPr>
      <w:r w:rsidRPr="00CF1960">
        <w:rPr>
          <w:noProof/>
        </w:rPr>
        <w:drawing>
          <wp:inline distT="0" distB="0" distL="0" distR="0">
            <wp:extent cx="4578350" cy="2641600"/>
            <wp:effectExtent l="19050" t="19050" r="12700" b="254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578350" cy="2641600"/>
                    </a:xfrm>
                    <a:prstGeom prst="rect">
                      <a:avLst/>
                    </a:prstGeom>
                    <a:noFill/>
                    <a:ln w="3175">
                      <a:solidFill>
                        <a:schemeClr val="tx1"/>
                      </a:solidFill>
                      <a:miter lim="800000"/>
                      <a:headEnd/>
                      <a:tailEnd/>
                    </a:ln>
                  </pic:spPr>
                </pic:pic>
              </a:graphicData>
            </a:graphic>
          </wp:inline>
        </w:drawing>
      </w:r>
    </w:p>
    <w:p w:rsidR="0079044C" w:rsidRDefault="0011163E">
      <w:pPr>
        <w:pStyle w:val="Caption"/>
        <w:spacing w:before="120" w:after="80"/>
        <w:ind w:left="900" w:right="810"/>
        <w:jc w:val="left"/>
      </w:pPr>
      <w:bookmarkStart w:id="749" w:name="_Ref388607609"/>
      <w:bookmarkStart w:id="750" w:name="_Toc391985588"/>
      <w:r>
        <w:t xml:space="preserve">Figure </w:t>
      </w:r>
      <w:fldSimple w:instr=" STYLEREF 1 \s ">
        <w:r w:rsidR="00284CE3">
          <w:rPr>
            <w:noProof/>
          </w:rPr>
          <w:t>6</w:t>
        </w:r>
      </w:fldSimple>
      <w:r>
        <w:noBreakHyphen/>
      </w:r>
      <w:fldSimple w:instr=" SEQ Figure \* ARABIC \s 1 ">
        <w:r w:rsidR="00284CE3">
          <w:rPr>
            <w:noProof/>
          </w:rPr>
          <w:t>13</w:t>
        </w:r>
      </w:fldSimple>
      <w:bookmarkEnd w:id="749"/>
      <w:r w:rsidRPr="00BE5F64">
        <w:t xml:space="preserve">: </w:t>
      </w:r>
      <w:r>
        <w:t xml:space="preserve">Number of </w:t>
      </w:r>
      <w:r w:rsidR="00BC2C54">
        <w:t>c</w:t>
      </w:r>
      <w:r>
        <w:t xml:space="preserve">ooling </w:t>
      </w:r>
      <w:r w:rsidR="00BC2C54" w:rsidRPr="008D06BF">
        <w:t>s</w:t>
      </w:r>
      <w:r w:rsidRPr="008D06BF">
        <w:t xml:space="preserve">ystems </w:t>
      </w:r>
      <w:r w:rsidR="008F742F" w:rsidRPr="008D06BF">
        <w:rPr>
          <w:sz w:val="22"/>
        </w:rPr>
        <w:t>in the United States</w:t>
      </w:r>
      <w:r w:rsidRPr="008D06BF">
        <w:t xml:space="preserve"> by</w:t>
      </w:r>
      <w:r>
        <w:t xml:space="preserve"> </w:t>
      </w:r>
      <w:r w:rsidR="00BC2C54">
        <w:t>p</w:t>
      </w:r>
      <w:r>
        <w:t xml:space="preserve">rimary </w:t>
      </w:r>
      <w:r w:rsidR="00BC2C54">
        <w:t>e</w:t>
      </w:r>
      <w:r>
        <w:t xml:space="preserve">nergy </w:t>
      </w:r>
      <w:r w:rsidR="00BC2C54">
        <w:t>s</w:t>
      </w:r>
      <w:r>
        <w:t>ource, 2012</w:t>
      </w:r>
      <w:r w:rsidR="00BC2C54">
        <w:t>.</w:t>
      </w:r>
      <w:bookmarkEnd w:id="750"/>
    </w:p>
    <w:p w:rsidR="0011163E" w:rsidRPr="00D55A67" w:rsidRDefault="008F742F" w:rsidP="0011163E">
      <w:pPr>
        <w:keepNext/>
        <w:keepLines/>
        <w:spacing w:after="80" w:line="240" w:lineRule="auto"/>
        <w:ind w:left="900" w:right="810"/>
        <w:rPr>
          <w:rFonts w:asciiTheme="minorHAnsi" w:hAnsiTheme="minorHAnsi"/>
          <w:b/>
          <w:bCs/>
          <w:sz w:val="16"/>
          <w:szCs w:val="16"/>
        </w:rPr>
      </w:pPr>
      <w:r w:rsidRPr="00D55A67">
        <w:rPr>
          <w:rFonts w:asciiTheme="minorHAnsi" w:hAnsiTheme="minorHAnsi"/>
          <w:b/>
          <w:sz w:val="16"/>
          <w:szCs w:val="16"/>
        </w:rPr>
        <w:t>Note:</w:t>
      </w:r>
      <w:r w:rsidRPr="00D55A67">
        <w:rPr>
          <w:rFonts w:asciiTheme="minorHAnsi" w:hAnsiTheme="minorHAnsi"/>
          <w:sz w:val="16"/>
          <w:szCs w:val="16"/>
        </w:rPr>
        <w:t xml:space="preserve"> Of the 1,655 operable cooling systems in the United States, 875 (53%) reuse water through a cooling tower or a cooling pond, while 719 (43%) do not reuse water. The remaining systems are dry (56 systems) or hybrid (5 systems), which can switch between dry and some sort of wet cooling</w:t>
      </w:r>
      <w:r w:rsidR="008D06BF" w:rsidRPr="00D55A67">
        <w:rPr>
          <w:rFonts w:asciiTheme="minorHAnsi" w:hAnsiTheme="minorHAnsi"/>
          <w:sz w:val="16"/>
          <w:szCs w:val="16"/>
        </w:rPr>
        <w:t>,</w:t>
      </w:r>
      <w:r w:rsidRPr="00D55A67">
        <w:rPr>
          <w:rFonts w:asciiTheme="minorHAnsi" w:hAnsiTheme="minorHAnsi"/>
          <w:sz w:val="16"/>
          <w:szCs w:val="16"/>
        </w:rPr>
        <w:t xml:space="preserve"> depending on the temperature and availability of water.</w:t>
      </w:r>
      <w:r w:rsidRPr="00D55A67">
        <w:rPr>
          <w:rFonts w:asciiTheme="minorHAnsi" w:hAnsiTheme="minorHAnsi"/>
          <w:b/>
          <w:bCs/>
          <w:sz w:val="16"/>
          <w:szCs w:val="16"/>
        </w:rPr>
        <w:t xml:space="preserve"> </w:t>
      </w:r>
    </w:p>
    <w:p w:rsidR="0011163E" w:rsidRPr="00D55A67" w:rsidRDefault="0011163E" w:rsidP="008D06BF">
      <w:pPr>
        <w:spacing w:line="240" w:lineRule="auto"/>
        <w:ind w:left="907" w:right="806"/>
        <w:rPr>
          <w:rFonts w:asciiTheme="majorHAnsi" w:hAnsiTheme="majorHAnsi" w:cs="Arial"/>
          <w:color w:val="000000"/>
          <w:spacing w:val="-1"/>
          <w:sz w:val="16"/>
          <w:szCs w:val="16"/>
        </w:rPr>
      </w:pPr>
      <w:proofErr w:type="gramStart"/>
      <w:r w:rsidRPr="00D55A67">
        <w:rPr>
          <w:rFonts w:asciiTheme="minorHAnsi" w:hAnsiTheme="minorHAnsi"/>
          <w:b/>
          <w:sz w:val="16"/>
          <w:szCs w:val="16"/>
        </w:rPr>
        <w:t>Source:</w:t>
      </w:r>
      <w:r w:rsidRPr="00D55A67">
        <w:rPr>
          <w:rFonts w:asciiTheme="minorHAnsi" w:hAnsiTheme="minorHAnsi"/>
          <w:sz w:val="16"/>
          <w:szCs w:val="16"/>
        </w:rPr>
        <w:t xml:space="preserve"> </w:t>
      </w:r>
      <w:r w:rsidR="008D06BF" w:rsidRPr="00D55A67">
        <w:rPr>
          <w:rFonts w:asciiTheme="minorHAnsi" w:hAnsiTheme="minorHAnsi"/>
          <w:sz w:val="16"/>
          <w:szCs w:val="16"/>
        </w:rPr>
        <w:t>EIA</w:t>
      </w:r>
      <w:r w:rsidR="008F742F" w:rsidRPr="00D55A67">
        <w:rPr>
          <w:rFonts w:asciiTheme="minorHAnsi" w:hAnsiTheme="minorHAnsi"/>
          <w:i/>
          <w:sz w:val="16"/>
          <w:szCs w:val="16"/>
        </w:rPr>
        <w:t>, Form EIA-860, Annual Electric Generator Report.</w:t>
      </w:r>
      <w:proofErr w:type="gramEnd"/>
    </w:p>
    <w:p w:rsidR="00B4202D" w:rsidRPr="00CD1E63" w:rsidRDefault="00D2141F" w:rsidP="00CD1E63">
      <w:pPr>
        <w:pStyle w:val="Heading4"/>
      </w:pPr>
      <w:r w:rsidRPr="00CD1E63">
        <w:t>Cooling Water Intake Rule Requirements</w:t>
      </w:r>
    </w:p>
    <w:p w:rsidR="00076D94" w:rsidRDefault="00076D94" w:rsidP="00076D94">
      <w:r w:rsidRPr="00B1114A">
        <w:t xml:space="preserve">On </w:t>
      </w:r>
      <w:r w:rsidR="006C5780" w:rsidRPr="00B1114A">
        <w:t>August 15, 2014</w:t>
      </w:r>
      <w:r w:rsidRPr="00B1114A">
        <w:t xml:space="preserve">, </w:t>
      </w:r>
      <w:r w:rsidR="00D2141F" w:rsidRPr="00B1114A">
        <w:t xml:space="preserve">EPA finalized </w:t>
      </w:r>
      <w:r w:rsidR="003F70EF" w:rsidRPr="00B1114A">
        <w:t xml:space="preserve">the </w:t>
      </w:r>
      <w:r w:rsidR="003F70EF" w:rsidRPr="00B1114A">
        <w:rPr>
          <w:rFonts w:asciiTheme="majorHAnsi" w:eastAsia="Times New Roman" w:hAnsiTheme="majorHAnsi" w:cs="Arial"/>
          <w:i/>
        </w:rPr>
        <w:t>Clean Water Act</w:t>
      </w:r>
      <w:r w:rsidR="003F70EF" w:rsidRPr="00B1114A">
        <w:rPr>
          <w:rFonts w:asciiTheme="majorHAnsi" w:eastAsia="Times New Roman" w:hAnsiTheme="majorHAnsi" w:cs="Arial"/>
        </w:rPr>
        <w:t xml:space="preserve"> 316(b) Cooling Water Intake Structure</w:t>
      </w:r>
      <w:r w:rsidR="003F70EF">
        <w:rPr>
          <w:rFonts w:asciiTheme="majorHAnsi" w:eastAsia="Times New Roman" w:hAnsiTheme="majorHAnsi" w:cs="Arial"/>
        </w:rPr>
        <w:t xml:space="preserve"> Rule</w:t>
      </w:r>
      <w:r w:rsidR="003F70EF">
        <w:t xml:space="preserve"> </w:t>
      </w:r>
      <w:r w:rsidR="00D2141F">
        <w:t xml:space="preserve">requirements for the design </w:t>
      </w:r>
      <w:r>
        <w:t xml:space="preserve">and operation </w:t>
      </w:r>
      <w:r w:rsidR="00D2141F">
        <w:t xml:space="preserve">of </w:t>
      </w:r>
      <w:r w:rsidR="00D2141F" w:rsidRPr="00217BF0">
        <w:t xml:space="preserve">cooling water </w:t>
      </w:r>
      <w:r w:rsidR="00D2141F">
        <w:t xml:space="preserve">intake structures at </w:t>
      </w:r>
      <w:r>
        <w:t xml:space="preserve">existing and new </w:t>
      </w:r>
      <w:r w:rsidR="00D2141F">
        <w:t xml:space="preserve">thermal power plants to mitigate the adverse impacts of these structures. </w:t>
      </w:r>
      <w:r>
        <w:t>E</w:t>
      </w:r>
      <w:r w:rsidRPr="00A43D84">
        <w:rPr>
          <w:rFonts w:asciiTheme="majorHAnsi" w:eastAsia="Times New Roman" w:hAnsiTheme="majorHAnsi" w:cs="Arial"/>
        </w:rPr>
        <w:t xml:space="preserve">xisting </w:t>
      </w:r>
      <w:r>
        <w:rPr>
          <w:rFonts w:asciiTheme="majorHAnsi" w:eastAsia="Times New Roman" w:hAnsiTheme="majorHAnsi" w:cs="Arial"/>
        </w:rPr>
        <w:t>generators</w:t>
      </w:r>
      <w:r w:rsidRPr="00A43D84">
        <w:rPr>
          <w:rFonts w:asciiTheme="majorHAnsi" w:eastAsia="Times New Roman" w:hAnsiTheme="majorHAnsi" w:cs="Arial"/>
        </w:rPr>
        <w:t xml:space="preserve"> withdraw</w:t>
      </w:r>
      <w:r>
        <w:rPr>
          <w:rFonts w:asciiTheme="majorHAnsi" w:eastAsia="Times New Roman" w:hAnsiTheme="majorHAnsi" w:cs="Arial"/>
        </w:rPr>
        <w:t>ing</w:t>
      </w:r>
      <w:r w:rsidRPr="00A43D84">
        <w:rPr>
          <w:rFonts w:asciiTheme="majorHAnsi" w:eastAsia="Times New Roman" w:hAnsiTheme="majorHAnsi" w:cs="Arial"/>
        </w:rPr>
        <w:t xml:space="preserve"> at least 25</w:t>
      </w:r>
      <w:r>
        <w:rPr>
          <w:rFonts w:asciiTheme="majorHAnsi" w:eastAsia="Times New Roman" w:hAnsiTheme="majorHAnsi" w:cs="Arial"/>
        </w:rPr>
        <w:t>%</w:t>
      </w:r>
      <w:r w:rsidRPr="00A43D84">
        <w:rPr>
          <w:rFonts w:asciiTheme="majorHAnsi" w:eastAsia="Times New Roman" w:hAnsiTheme="majorHAnsi" w:cs="Arial"/>
        </w:rPr>
        <w:t xml:space="preserve"> of their water from an adjacent </w:t>
      </w:r>
      <w:r w:rsidRPr="008D06BF">
        <w:rPr>
          <w:rFonts w:asciiTheme="majorHAnsi" w:eastAsia="Times New Roman" w:hAnsiTheme="majorHAnsi" w:cs="Arial"/>
        </w:rPr>
        <w:t>water</w:t>
      </w:r>
      <w:r w:rsidR="008D06BF">
        <w:rPr>
          <w:rFonts w:asciiTheme="majorHAnsi" w:eastAsia="Times New Roman" w:hAnsiTheme="majorHAnsi" w:cs="Arial"/>
        </w:rPr>
        <w:t xml:space="preserve"> </w:t>
      </w:r>
      <w:r w:rsidRPr="008D06BF">
        <w:rPr>
          <w:rFonts w:asciiTheme="majorHAnsi" w:eastAsia="Times New Roman" w:hAnsiTheme="majorHAnsi" w:cs="Arial"/>
        </w:rPr>
        <w:t xml:space="preserve">body exclusively for cooling purposes and have a design intake flow of greater than two </w:t>
      </w:r>
      <w:r w:rsidR="008F742F" w:rsidRPr="008D06BF">
        <w:rPr>
          <w:rFonts w:asciiTheme="majorHAnsi" w:eastAsia="Times New Roman" w:hAnsiTheme="majorHAnsi" w:cs="Arial"/>
        </w:rPr>
        <w:t>million gallons per day (MGD)</w:t>
      </w:r>
      <w:r w:rsidRPr="00A43D84">
        <w:rPr>
          <w:rFonts w:asciiTheme="majorHAnsi" w:eastAsia="Times New Roman" w:hAnsiTheme="majorHAnsi" w:cs="Arial"/>
        </w:rPr>
        <w:t xml:space="preserve"> are required to reduce fish </w:t>
      </w:r>
      <w:r w:rsidR="008F742F" w:rsidRPr="008F742F">
        <w:rPr>
          <w:rFonts w:asciiTheme="majorHAnsi" w:eastAsia="Times New Roman" w:hAnsiTheme="majorHAnsi" w:cs="Arial"/>
          <w:i/>
        </w:rPr>
        <w:t>impingement</w:t>
      </w:r>
      <w:r>
        <w:rPr>
          <w:rFonts w:asciiTheme="majorHAnsi" w:eastAsia="Times New Roman" w:hAnsiTheme="majorHAnsi" w:cs="Arial"/>
        </w:rPr>
        <w:t xml:space="preserve"> </w:t>
      </w:r>
      <w:r w:rsidRPr="001F2F42">
        <w:t xml:space="preserve">(i.e., when fish or wildlife are trapped against the intake structure due to the velocity of </w:t>
      </w:r>
      <w:r w:rsidR="00D837D8" w:rsidRPr="001F2F42">
        <w:t>a facility’s</w:t>
      </w:r>
      <w:r w:rsidR="001B058B" w:rsidRPr="001F2F42">
        <w:t xml:space="preserve"> </w:t>
      </w:r>
      <w:r w:rsidRPr="001F2F42">
        <w:t>water withdrawals</w:t>
      </w:r>
      <w:r w:rsidRPr="001F2F42">
        <w:rPr>
          <w:rFonts w:asciiTheme="majorHAnsi" w:eastAsia="Times New Roman" w:hAnsiTheme="majorHAnsi" w:cs="Arial"/>
        </w:rPr>
        <w:t>)</w:t>
      </w:r>
      <w:r w:rsidR="003F70EF" w:rsidRPr="001F2F42">
        <w:rPr>
          <w:rFonts w:asciiTheme="majorHAnsi" w:eastAsia="Times New Roman" w:hAnsiTheme="majorHAnsi" w:cs="Arial"/>
        </w:rPr>
        <w:t>. Regulators will</w:t>
      </w:r>
      <w:r w:rsidRPr="001F2F42">
        <w:rPr>
          <w:rFonts w:asciiTheme="majorHAnsi" w:eastAsia="Times New Roman" w:hAnsiTheme="majorHAnsi" w:cs="Arial"/>
        </w:rPr>
        <w:t xml:space="preserve"> select from </w:t>
      </w:r>
      <w:r w:rsidR="003F70EF" w:rsidRPr="001F2F42">
        <w:rPr>
          <w:rFonts w:asciiTheme="majorHAnsi" w:eastAsia="Times New Roman" w:hAnsiTheme="majorHAnsi" w:cs="Arial"/>
        </w:rPr>
        <w:t>amon</w:t>
      </w:r>
      <w:r w:rsidR="00016E80" w:rsidRPr="001F2F42">
        <w:rPr>
          <w:rFonts w:asciiTheme="majorHAnsi" w:eastAsia="Times New Roman" w:hAnsiTheme="majorHAnsi" w:cs="Arial"/>
        </w:rPr>
        <w:t>g</w:t>
      </w:r>
      <w:r w:rsidR="003F70EF" w:rsidRPr="001F2F42">
        <w:rPr>
          <w:rFonts w:asciiTheme="majorHAnsi" w:eastAsia="Times New Roman" w:hAnsiTheme="majorHAnsi" w:cs="Arial"/>
        </w:rPr>
        <w:t xml:space="preserve"> </w:t>
      </w:r>
      <w:r w:rsidRPr="001F2F42">
        <w:rPr>
          <w:rFonts w:asciiTheme="majorHAnsi" w:eastAsia="Times New Roman" w:hAnsiTheme="majorHAnsi" w:cs="Arial"/>
        </w:rPr>
        <w:t>seven mitigation technolog</w:t>
      </w:r>
      <w:r w:rsidR="000746F2" w:rsidRPr="001F2F42">
        <w:rPr>
          <w:rFonts w:asciiTheme="majorHAnsi" w:eastAsia="Times New Roman" w:hAnsiTheme="majorHAnsi" w:cs="Arial"/>
        </w:rPr>
        <w:t>ies</w:t>
      </w:r>
      <w:r w:rsidRPr="001F2F42">
        <w:rPr>
          <w:rFonts w:asciiTheme="majorHAnsi" w:eastAsia="Times New Roman" w:hAnsiTheme="majorHAnsi" w:cs="Arial"/>
        </w:rPr>
        <w:t xml:space="preserve"> or operational options to satisfy the </w:t>
      </w:r>
      <w:r w:rsidRPr="001F2F42">
        <w:rPr>
          <w:rFonts w:asciiTheme="majorHAnsi" w:eastAsia="Times New Roman" w:hAnsiTheme="majorHAnsi" w:cs="Arial"/>
          <w:i/>
        </w:rPr>
        <w:t>Clean Water Act</w:t>
      </w:r>
      <w:r w:rsidRPr="001F2F42">
        <w:rPr>
          <w:rFonts w:asciiTheme="majorHAnsi" w:eastAsia="Times New Roman" w:hAnsiTheme="majorHAnsi" w:cs="Arial"/>
        </w:rPr>
        <w:t xml:space="preserve"> 316(b) </w:t>
      </w:r>
      <w:r w:rsidR="008D06BF" w:rsidRPr="001F2F42">
        <w:rPr>
          <w:rFonts w:asciiTheme="majorHAnsi" w:eastAsia="Times New Roman" w:hAnsiTheme="majorHAnsi" w:cs="Arial"/>
        </w:rPr>
        <w:t xml:space="preserve">requirement for </w:t>
      </w:r>
      <w:r w:rsidR="00D837D8" w:rsidRPr="001F2F42">
        <w:rPr>
          <w:rFonts w:asciiTheme="majorHAnsi" w:eastAsia="Times New Roman" w:hAnsiTheme="majorHAnsi" w:cs="Arial"/>
        </w:rPr>
        <w:t>best technology available (BTA)</w:t>
      </w:r>
      <w:r w:rsidR="001B058B" w:rsidRPr="001F2F42">
        <w:rPr>
          <w:rFonts w:asciiTheme="majorHAnsi" w:eastAsia="Times New Roman" w:hAnsiTheme="majorHAnsi" w:cs="Arial"/>
        </w:rPr>
        <w:t xml:space="preserve"> </w:t>
      </w:r>
      <w:r w:rsidRPr="001F2F42">
        <w:rPr>
          <w:rFonts w:asciiTheme="majorHAnsi" w:eastAsia="Times New Roman" w:hAnsiTheme="majorHAnsi" w:cs="Arial"/>
        </w:rPr>
        <w:t>for reducing impingement.</w:t>
      </w:r>
      <w:r w:rsidRPr="001F2F42">
        <w:rPr>
          <w:rStyle w:val="FootnoteReference"/>
          <w:rFonts w:eastAsia="Times New Roman"/>
        </w:rPr>
        <w:footnoteReference w:id="297"/>
      </w:r>
    </w:p>
    <w:p w:rsidR="00391224" w:rsidRDefault="00D2141F" w:rsidP="00D2141F">
      <w:pPr>
        <w:pStyle w:val="CommentText"/>
        <w:spacing w:line="260" w:lineRule="atLeast"/>
      </w:pPr>
      <w:r>
        <w:t xml:space="preserve">The agency and delegated states in New England will implement the latest </w:t>
      </w:r>
      <w:r w:rsidRPr="00E97DE5">
        <w:rPr>
          <w:i/>
        </w:rPr>
        <w:t>Clean Water Act</w:t>
      </w:r>
      <w:r>
        <w:t xml:space="preserve"> 316(b) rule, </w:t>
      </w:r>
      <w:r w:rsidR="00076D94">
        <w:t xml:space="preserve">including design enhancements and </w:t>
      </w:r>
      <w:r>
        <w:t xml:space="preserve">operational requirements </w:t>
      </w:r>
      <w:r w:rsidR="00076D94">
        <w:t>to reduce impingement</w:t>
      </w:r>
      <w:r w:rsidR="003F70EF">
        <w:t xml:space="preserve"> mortality </w:t>
      </w:r>
      <w:r w:rsidR="00AE19E9">
        <w:t xml:space="preserve">and </w:t>
      </w:r>
      <w:r w:rsidR="003F70EF">
        <w:t xml:space="preserve">new </w:t>
      </w:r>
      <w:r w:rsidR="003F70EF" w:rsidRPr="00453D35">
        <w:t xml:space="preserve">requirements to protect </w:t>
      </w:r>
      <w:r w:rsidR="00D837D8" w:rsidRPr="00453D35">
        <w:t>threatened and endangered species and critical habitats federally listed and</w:t>
      </w:r>
      <w:r w:rsidR="00AE19E9" w:rsidRPr="00453D35">
        <w:t xml:space="preserve"> </w:t>
      </w:r>
      <w:r w:rsidR="00FC5500" w:rsidRPr="00453D35">
        <w:t xml:space="preserve">designated under the </w:t>
      </w:r>
      <w:r w:rsidR="00FC5500" w:rsidRPr="00453D35">
        <w:rPr>
          <w:i/>
        </w:rPr>
        <w:t>US Endangered Species Act</w:t>
      </w:r>
      <w:r w:rsidR="00FC5500" w:rsidRPr="00453D35">
        <w:t>.</w:t>
      </w:r>
      <w:r w:rsidR="00391224" w:rsidRPr="00453D35">
        <w:rPr>
          <w:rStyle w:val="FootnoteReference"/>
        </w:rPr>
        <w:footnoteReference w:id="298"/>
      </w:r>
      <w:r w:rsidR="00FC5500" w:rsidRPr="00453D35">
        <w:t xml:space="preserve">Additional interim and </w:t>
      </w:r>
      <w:r w:rsidR="006229A8" w:rsidRPr="00453D35">
        <w:t>permanent</w:t>
      </w:r>
      <w:r w:rsidR="006229A8" w:rsidRPr="005F7C93">
        <w:t xml:space="preserve"> measures also may be required to protect shellfish and fragile species. EPA considered, but did not adopt, a specific BTA</w:t>
      </w:r>
      <w:r w:rsidR="005F7C93" w:rsidRPr="005F7C93">
        <w:t xml:space="preserve"> </w:t>
      </w:r>
      <w:r w:rsidR="006229A8" w:rsidRPr="005F7C93">
        <w:rPr>
          <w:color w:val="000000" w:themeColor="text1"/>
        </w:rPr>
        <w:t>standard or technology</w:t>
      </w:r>
      <w:r w:rsidR="006229A8" w:rsidRPr="001B6391">
        <w:rPr>
          <w:color w:val="000000" w:themeColor="text1"/>
        </w:rPr>
        <w:t xml:space="preserve"> </w:t>
      </w:r>
      <w:r w:rsidR="006229A8" w:rsidRPr="006229A8">
        <w:t xml:space="preserve">or process categories </w:t>
      </w:r>
      <w:r w:rsidR="00FC5500" w:rsidRPr="00764960">
        <w:t xml:space="preserve">for </w:t>
      </w:r>
      <w:r w:rsidR="00764960">
        <w:t xml:space="preserve">mitigating </w:t>
      </w:r>
      <w:r w:rsidR="00391224">
        <w:t xml:space="preserve">fish and wildlife </w:t>
      </w:r>
      <w:r w:rsidR="00764960">
        <w:t xml:space="preserve">mortalities caused by </w:t>
      </w:r>
      <w:r w:rsidR="00FC5500" w:rsidRPr="00764960">
        <w:rPr>
          <w:i/>
        </w:rPr>
        <w:t>entrainment</w:t>
      </w:r>
      <w:r w:rsidR="00FC5500" w:rsidRPr="00764960">
        <w:t xml:space="preserve"> </w:t>
      </w:r>
      <w:r w:rsidR="00764960" w:rsidRPr="00744C05">
        <w:t>(i.e., when fish and wildlife are</w:t>
      </w:r>
      <w:r w:rsidR="00764960" w:rsidRPr="004A1C8F">
        <w:t xml:space="preserve"> removed into the cooling system)</w:t>
      </w:r>
      <w:r w:rsidR="00764960">
        <w:t xml:space="preserve">, </w:t>
      </w:r>
      <w:r w:rsidR="00FC5500" w:rsidRPr="00764960">
        <w:t>instead opt</w:t>
      </w:r>
      <w:r w:rsidR="00764960">
        <w:t>ing</w:t>
      </w:r>
      <w:r w:rsidR="00FC5500" w:rsidRPr="00764960">
        <w:t xml:space="preserve"> to require site-specific entrainment BTA assessments. </w:t>
      </w:r>
      <w:r w:rsidR="00076D94" w:rsidRPr="00764960">
        <w:t>Generators</w:t>
      </w:r>
      <w:r w:rsidR="00076D94">
        <w:t xml:space="preserve"> withdrawing 125 MGD for </w:t>
      </w:r>
      <w:r>
        <w:t xml:space="preserve">once-through </w:t>
      </w:r>
      <w:r w:rsidRPr="00391224">
        <w:t xml:space="preserve">cooling systems </w:t>
      </w:r>
      <w:r w:rsidR="00076D94" w:rsidRPr="00391224">
        <w:t xml:space="preserve">for noncontact cooling on their steam cycles </w:t>
      </w:r>
      <w:r w:rsidRPr="00391224">
        <w:t xml:space="preserve">will need to </w:t>
      </w:r>
      <w:r w:rsidR="0007592E" w:rsidRPr="00391224">
        <w:t>assess the characteristics of their units’ entrainment</w:t>
      </w:r>
      <w:r w:rsidR="004A1C8F" w:rsidRPr="00391224">
        <w:t>.</w:t>
      </w:r>
      <w:r w:rsidR="00076D94" w:rsidRPr="00391224">
        <w:t xml:space="preserve"> </w:t>
      </w:r>
    </w:p>
    <w:p w:rsidR="00D2141F" w:rsidRPr="00744C05" w:rsidRDefault="00F1730A" w:rsidP="00D2141F">
      <w:pPr>
        <w:pStyle w:val="CommentText"/>
        <w:spacing w:line="260" w:lineRule="atLeast"/>
      </w:pPr>
      <w:r>
        <w:t>C</w:t>
      </w:r>
      <w:r w:rsidR="00FC5500" w:rsidRPr="00391224">
        <w:t>ompliance with the impingement standards are due as soon as possible</w:t>
      </w:r>
      <w:r>
        <w:t xml:space="preserve"> a</w:t>
      </w:r>
      <w:r w:rsidRPr="00391224">
        <w:t xml:space="preserve">fter final facility permits </w:t>
      </w:r>
      <w:proofErr w:type="gramStart"/>
      <w:r w:rsidRPr="00391224">
        <w:t>are issued</w:t>
      </w:r>
      <w:proofErr w:type="gramEnd"/>
      <w:r w:rsidRPr="00391224">
        <w:t xml:space="preserve"> with the new 316(b) entrainment requirements</w:t>
      </w:r>
      <w:r w:rsidR="00FC5500" w:rsidRPr="00391224">
        <w:t xml:space="preserve">, with EPA anticipating most retrofits occurring between 2018 and 2022. Entrainment characterization studies are due 45 months after the effective date </w:t>
      </w:r>
      <w:r w:rsidR="00FC5500" w:rsidRPr="00CD1E63">
        <w:t>of the final rule (</w:t>
      </w:r>
      <w:r w:rsidR="00AE7E50">
        <w:t>October 14</w:t>
      </w:r>
      <w:r w:rsidR="00CD1E63" w:rsidRPr="00CD1E63">
        <w:t>, 201</w:t>
      </w:r>
      <w:r w:rsidR="00AE7E50">
        <w:t>4</w:t>
      </w:r>
      <w:r w:rsidR="00FC5500" w:rsidRPr="00CD1E63">
        <w:t>).</w:t>
      </w:r>
      <w:r w:rsidR="003F70EF" w:rsidRPr="00CD1E63">
        <w:t xml:space="preserve"> Using these studies, regulators will </w:t>
      </w:r>
      <w:r w:rsidR="00C50436" w:rsidRPr="00CD1E63">
        <w:t>need to balance</w:t>
      </w:r>
      <w:r w:rsidR="00C50436" w:rsidRPr="007C4974">
        <w:t xml:space="preserve"> system reliability, the severity of the impacts to fish and wildlife populations, including protected and threatened species, and other factors, and they may require affected generator owners to replace existing cooling water intake structures or convert them to </w:t>
      </w:r>
      <w:proofErr w:type="spellStart"/>
      <w:r w:rsidR="00C50436" w:rsidRPr="007C4974">
        <w:t>recirculating</w:t>
      </w:r>
      <w:proofErr w:type="spellEnd"/>
      <w:r w:rsidR="00C50436" w:rsidRPr="007C4974">
        <w:t xml:space="preserve"> cooling systems</w:t>
      </w:r>
      <w:r w:rsidR="0007592E" w:rsidRPr="007C4974">
        <w:t>.</w:t>
      </w:r>
      <w:r w:rsidR="000572CE" w:rsidRPr="007C4974">
        <w:t xml:space="preserve"> Unlike</w:t>
      </w:r>
      <w:r w:rsidR="000572CE" w:rsidRPr="00744C05">
        <w:t xml:space="preserve"> the proposal, which has an eight-year compliance window, the final rule does not </w:t>
      </w:r>
      <w:r w:rsidR="00880291" w:rsidRPr="00744C05">
        <w:t>specify</w:t>
      </w:r>
      <w:r w:rsidR="000572CE" w:rsidRPr="00744C05">
        <w:t xml:space="preserve"> deadlines for operators to conduct </w:t>
      </w:r>
      <w:r w:rsidR="00D2141F" w:rsidRPr="00744C05">
        <w:t>all necessary engineering, procurement, contracting</w:t>
      </w:r>
      <w:r w:rsidR="000572CE" w:rsidRPr="00744C05">
        <w:t>, and construction</w:t>
      </w:r>
      <w:r w:rsidR="00D2141F" w:rsidRPr="00744C05">
        <w:t xml:space="preserve"> activities </w:t>
      </w:r>
      <w:r w:rsidR="000572CE" w:rsidRPr="00744C05">
        <w:t>for such retrofits.</w:t>
      </w:r>
    </w:p>
    <w:p w:rsidR="00D2141F" w:rsidRDefault="00D2141F" w:rsidP="00D2141F">
      <w:pPr>
        <w:pStyle w:val="CommentText"/>
        <w:spacing w:line="260" w:lineRule="atLeast"/>
      </w:pPr>
      <w:r w:rsidRPr="007569CD">
        <w:t xml:space="preserve">As much as 12.1 </w:t>
      </w:r>
      <w:proofErr w:type="spellStart"/>
      <w:r w:rsidRPr="007569CD">
        <w:t>gigawatts</w:t>
      </w:r>
      <w:proofErr w:type="spellEnd"/>
      <w:r w:rsidRPr="007569CD">
        <w:t xml:space="preserve"> (GW) of existing fossil fuel and nuclear capacity</w:t>
      </w:r>
      <w:r w:rsidR="00BE6DCF">
        <w:t xml:space="preserve"> </w:t>
      </w:r>
      <w:r w:rsidRPr="007569CD">
        <w:t>in New England may need to</w:t>
      </w:r>
      <w:r w:rsidRPr="00BE5F64">
        <w:t xml:space="preserve"> </w:t>
      </w:r>
      <w:r w:rsidRPr="00453D35">
        <w:t>modify their cooling water intake structures</w:t>
      </w:r>
      <w:r w:rsidR="00AE7E50" w:rsidRPr="00453D35">
        <w:t xml:space="preserve"> </w:t>
      </w:r>
      <w:r w:rsidRPr="00453D35">
        <w:t xml:space="preserve">for </w:t>
      </w:r>
      <w:r w:rsidR="004E633F" w:rsidRPr="00453D35">
        <w:t>impingement mitigation</w:t>
      </w:r>
      <w:r w:rsidR="00BE6DCF" w:rsidRPr="00453D35">
        <w:t xml:space="preserve">. </w:t>
      </w:r>
      <w:r w:rsidR="000572CE" w:rsidRPr="00453D35">
        <w:rPr>
          <w:rFonts w:asciiTheme="majorHAnsi" w:hAnsiTheme="majorHAnsi"/>
        </w:rPr>
        <w:t>EPA</w:t>
      </w:r>
      <w:r w:rsidR="000572CE">
        <w:rPr>
          <w:rFonts w:asciiTheme="majorHAnsi" w:hAnsiTheme="majorHAnsi"/>
        </w:rPr>
        <w:t xml:space="preserve"> exempted existing generators with low capacity factors (i.e., below 8% averaged over two</w:t>
      </w:r>
      <w:r w:rsidR="008B3682">
        <w:rPr>
          <w:rFonts w:asciiTheme="majorHAnsi" w:hAnsiTheme="majorHAnsi"/>
        </w:rPr>
        <w:t>-</w:t>
      </w:r>
      <w:r w:rsidR="000572CE">
        <w:rPr>
          <w:rFonts w:asciiTheme="majorHAnsi" w:hAnsiTheme="majorHAnsi"/>
        </w:rPr>
        <w:t>year consecutive periods). Generators that meet the eligibility thresholds for th</w:t>
      </w:r>
      <w:r w:rsidR="008B3682">
        <w:rPr>
          <w:rFonts w:asciiTheme="majorHAnsi" w:hAnsiTheme="majorHAnsi"/>
        </w:rPr>
        <w:t>e</w:t>
      </w:r>
      <w:r w:rsidR="000572CE">
        <w:rPr>
          <w:rFonts w:asciiTheme="majorHAnsi" w:hAnsiTheme="majorHAnsi"/>
        </w:rPr>
        <w:t xml:space="preserve">se safe harbors </w:t>
      </w:r>
      <w:proofErr w:type="gramStart"/>
      <w:r w:rsidR="000572CE">
        <w:rPr>
          <w:rFonts w:asciiTheme="majorHAnsi" w:hAnsiTheme="majorHAnsi"/>
        </w:rPr>
        <w:t>are exempted</w:t>
      </w:r>
      <w:proofErr w:type="gramEnd"/>
      <w:r w:rsidR="000572CE">
        <w:rPr>
          <w:rFonts w:asciiTheme="majorHAnsi" w:hAnsiTheme="majorHAnsi"/>
        </w:rPr>
        <w:t xml:space="preserve"> from more intensive compliance obligations.</w:t>
      </w:r>
      <w:r w:rsidR="00F5118C">
        <w:rPr>
          <w:rFonts w:asciiTheme="majorHAnsi" w:hAnsiTheme="majorHAnsi"/>
        </w:rPr>
        <w:t xml:space="preserve"> </w:t>
      </w:r>
      <w:proofErr w:type="gramStart"/>
      <w:r>
        <w:t xml:space="preserve">A total of </w:t>
      </w:r>
      <w:r w:rsidRPr="00217BF0">
        <w:t>5.6</w:t>
      </w:r>
      <w:proofErr w:type="gramEnd"/>
      <w:r w:rsidRPr="00217BF0">
        <w:t xml:space="preserve"> GW </w:t>
      </w:r>
      <w:r>
        <w:t xml:space="preserve">of </w:t>
      </w:r>
      <w:r w:rsidRPr="00217BF0">
        <w:t xml:space="preserve">facilities with larger </w:t>
      </w:r>
      <w:r w:rsidR="00F5118C">
        <w:t xml:space="preserve">water withdrawals of </w:t>
      </w:r>
      <w:r w:rsidRPr="00217BF0">
        <w:t>once-through cooling systems</w:t>
      </w:r>
      <w:r>
        <w:t xml:space="preserve"> </w:t>
      </w:r>
      <w:r w:rsidR="00F5118C">
        <w:t>will need to also prepare and submit entrainment characterization reports to regulators by 2018</w:t>
      </w:r>
      <w:r w:rsidRPr="00217BF0">
        <w:t>.</w:t>
      </w:r>
    </w:p>
    <w:p w:rsidR="00B4202D" w:rsidRPr="00CD1E63" w:rsidRDefault="00D2141F" w:rsidP="00CD1E63">
      <w:pPr>
        <w:pStyle w:val="Heading4"/>
      </w:pPr>
      <w:r w:rsidRPr="00CD1E63">
        <w:t>Changing Wastewater Discharge Requirements</w:t>
      </w:r>
    </w:p>
    <w:p w:rsidR="00D2141F" w:rsidRPr="00217BF0" w:rsidRDefault="00D2141F" w:rsidP="008B3682">
      <w:pPr>
        <w:rPr>
          <w:szCs w:val="36"/>
        </w:rPr>
      </w:pPr>
      <w:r w:rsidRPr="00217BF0">
        <w:t xml:space="preserve">To address changes in the toxicity of wastewater discharges from power plants, EPA proposed revisions to the Effluent Limitation Guidelines under the </w:t>
      </w:r>
      <w:r w:rsidRPr="00217BF0">
        <w:rPr>
          <w:i/>
        </w:rPr>
        <w:t>Clean Water Act</w:t>
      </w:r>
      <w:r w:rsidRPr="00217BF0">
        <w:t xml:space="preserve">, which would require many thermal generating stations to reduce or remove certain contaminants from their wastewater discharges beginning in 2017. EPA projects </w:t>
      </w:r>
      <w:r>
        <w:t xml:space="preserve">that </w:t>
      </w:r>
      <w:r w:rsidRPr="009F7D8F">
        <w:t>up to 16</w:t>
      </w:r>
      <w:r w:rsidRPr="00217BF0">
        <w:t xml:space="preserve"> GW in the NPCC region may be affected.</w:t>
      </w:r>
      <w:r>
        <w:rPr>
          <w:rStyle w:val="FootnoteReference"/>
        </w:rPr>
        <w:footnoteReference w:id="299"/>
      </w:r>
      <w:r>
        <w:t xml:space="preserve"> EPA agreed to finalize the ELGs for power plants by March 2015.</w:t>
      </w:r>
    </w:p>
    <w:p w:rsidR="00D2141F" w:rsidRPr="007569CD" w:rsidRDefault="00D2141F" w:rsidP="008B3682">
      <w:pPr>
        <w:rPr>
          <w:rFonts w:asciiTheme="majorHAnsi" w:hAnsiTheme="majorHAnsi"/>
        </w:rPr>
      </w:pPr>
      <w:r w:rsidRPr="00217BF0">
        <w:rPr>
          <w:rFonts w:asciiTheme="majorHAnsi" w:hAnsiTheme="majorHAnsi"/>
        </w:rPr>
        <w:t xml:space="preserve">The proposed power plant ELGs present the largest uncertainty in the near term for those generators </w:t>
      </w:r>
      <w:r w:rsidRPr="00CC7438">
        <w:rPr>
          <w:rFonts w:asciiTheme="majorHAnsi" w:hAnsiTheme="majorHAnsi"/>
        </w:rPr>
        <w:t xml:space="preserve">creating wastewater discharges of concern and operating </w:t>
      </w:r>
      <w:proofErr w:type="gramStart"/>
      <w:r w:rsidRPr="00CC7438">
        <w:rPr>
          <w:rFonts w:asciiTheme="majorHAnsi" w:hAnsiTheme="majorHAnsi"/>
        </w:rPr>
        <w:t>air pollution control devices</w:t>
      </w:r>
      <w:proofErr w:type="gramEnd"/>
      <w:r w:rsidRPr="00CC7438">
        <w:rPr>
          <w:rFonts w:asciiTheme="majorHAnsi" w:hAnsiTheme="majorHAnsi"/>
        </w:rPr>
        <w:t>.</w:t>
      </w:r>
      <w:r w:rsidRPr="00217BF0">
        <w:rPr>
          <w:rFonts w:asciiTheme="majorHAnsi" w:hAnsiTheme="majorHAnsi"/>
        </w:rPr>
        <w:t xml:space="preserve"> These units </w:t>
      </w:r>
      <w:r w:rsidRPr="007569CD">
        <w:rPr>
          <w:rFonts w:asciiTheme="majorHAnsi" w:hAnsiTheme="majorHAnsi"/>
        </w:rPr>
        <w:t xml:space="preserve">mainly are coal-fired generators that use wet ash-management systems equipped with wet scrubbers. </w:t>
      </w:r>
    </w:p>
    <w:p w:rsidR="00D2141F" w:rsidRPr="007569CD" w:rsidRDefault="00D2141F" w:rsidP="005C6088">
      <w:pPr>
        <w:pStyle w:val="Heading3"/>
      </w:pPr>
      <w:r w:rsidRPr="007569CD">
        <w:rPr>
          <w:i/>
        </w:rPr>
        <w:t xml:space="preserve"> </w:t>
      </w:r>
      <w:bookmarkStart w:id="751" w:name="_Toc396807664"/>
      <w:r w:rsidRPr="007569CD">
        <w:rPr>
          <w:i/>
        </w:rPr>
        <w:t>Clean Air Act</w:t>
      </w:r>
      <w:r w:rsidRPr="007569CD">
        <w:t xml:space="preserve"> Requirements and Regional and Federal Greenhouse Gas Regulations</w:t>
      </w:r>
      <w:bookmarkEnd w:id="751"/>
    </w:p>
    <w:p w:rsidR="00D2141F" w:rsidRDefault="00D2141F" w:rsidP="00D2141F">
      <w:pPr>
        <w:rPr>
          <w:rFonts w:eastAsiaTheme="majorEastAsia" w:cstheme="majorBidi"/>
          <w:bCs/>
          <w:iCs/>
        </w:rPr>
      </w:pPr>
      <w:r w:rsidRPr="007569CD">
        <w:t xml:space="preserve">Many </w:t>
      </w:r>
      <w:r w:rsidRPr="007569CD">
        <w:rPr>
          <w:i/>
        </w:rPr>
        <w:t xml:space="preserve">Clean Air Act </w:t>
      </w:r>
      <w:r w:rsidRPr="007569CD">
        <w:t>actions are ongoing that affect New England’s fossil-fuel power generators and the region’s air emissions. The</w:t>
      </w:r>
      <w:r w:rsidRPr="007569CD">
        <w:rPr>
          <w:i/>
        </w:rPr>
        <w:t xml:space="preserve"> </w:t>
      </w:r>
      <w:r w:rsidRPr="007569CD">
        <w:rPr>
          <w:rFonts w:eastAsiaTheme="majorEastAsia" w:cstheme="majorBidi"/>
          <w:bCs/>
          <w:iCs/>
        </w:rPr>
        <w:t xml:space="preserve">Mercury and Air Toxics Standards (MATS) and other air-quality rules </w:t>
      </w:r>
      <w:proofErr w:type="gramStart"/>
      <w:r w:rsidRPr="007569CD">
        <w:rPr>
          <w:rFonts w:eastAsiaTheme="majorEastAsia" w:cstheme="majorBidi"/>
          <w:bCs/>
          <w:iCs/>
        </w:rPr>
        <w:t>are being implemented</w:t>
      </w:r>
      <w:proofErr w:type="gramEnd"/>
      <w:r w:rsidRPr="007569CD">
        <w:rPr>
          <w:rFonts w:eastAsiaTheme="majorEastAsia" w:cstheme="majorBidi"/>
          <w:bCs/>
          <w:iCs/>
        </w:rPr>
        <w:t>, the impacts of which are shown by the trends in regional emissions. Regional and federal greenhouse gas regulations in various stages of implementation also will have a range of environmental and economic implications.</w:t>
      </w:r>
    </w:p>
    <w:p w:rsidR="00B4202D" w:rsidRPr="0033415D" w:rsidRDefault="00D2141F">
      <w:pPr>
        <w:pStyle w:val="Heading4"/>
      </w:pPr>
      <w:r w:rsidRPr="0033415D">
        <w:rPr>
          <w:bCs w:val="0"/>
          <w:iCs w:val="0"/>
        </w:rPr>
        <w:t>Implementation of Mercury and Air Toxics Standards</w:t>
      </w:r>
      <w:r w:rsidRPr="0033415D">
        <w:t xml:space="preserve"> </w:t>
      </w:r>
    </w:p>
    <w:p w:rsidR="00D2141F" w:rsidRDefault="00D2141F" w:rsidP="00D2141F">
      <w:pPr>
        <w:rPr>
          <w:rFonts w:eastAsiaTheme="majorEastAsia" w:cstheme="majorBidi"/>
          <w:bCs/>
          <w:i/>
          <w:iCs/>
        </w:rPr>
      </w:pPr>
      <w:r w:rsidRPr="00217BF0">
        <w:t>Recent revisions to air quality standards limiting ambient concentrations of ozone and its precursors</w:t>
      </w:r>
      <w:r>
        <w:t>—</w:t>
      </w:r>
      <w:r w:rsidRPr="00217BF0">
        <w:t>fine particulate matter and sulfur dioxide</w:t>
      </w:r>
      <w:r>
        <w:t>—</w:t>
      </w:r>
      <w:r w:rsidRPr="00217BF0">
        <w:t>will require additional reductions from larger fossil</w:t>
      </w:r>
      <w:r>
        <w:t>-</w:t>
      </w:r>
      <w:r w:rsidRPr="00217BF0">
        <w:t>fuel-fired generators, while technology-based performance standards affect other generators.</w:t>
      </w:r>
      <w:r w:rsidRPr="00217BF0">
        <w:rPr>
          <w:vertAlign w:val="superscript"/>
        </w:rPr>
        <w:footnoteReference w:id="300"/>
      </w:r>
      <w:r w:rsidRPr="00217BF0">
        <w:t xml:space="preserve"> </w:t>
      </w:r>
    </w:p>
    <w:p w:rsidR="00D2141F" w:rsidRPr="00391224" w:rsidRDefault="00D2141F" w:rsidP="00D2141F">
      <w:pPr>
        <w:rPr>
          <w:color w:val="000000" w:themeColor="text1"/>
        </w:rPr>
      </w:pPr>
      <w:r w:rsidRPr="00453D35">
        <w:rPr>
          <w:color w:val="000000" w:themeColor="text1"/>
        </w:rPr>
        <w:t xml:space="preserve">Approximately 7.9 GW of existing coal- </w:t>
      </w:r>
      <w:r w:rsidR="00D837D8" w:rsidRPr="00453D35">
        <w:rPr>
          <w:color w:val="000000" w:themeColor="text1"/>
        </w:rPr>
        <w:t>and</w:t>
      </w:r>
      <w:r w:rsidRPr="00453D35">
        <w:rPr>
          <w:color w:val="000000" w:themeColor="text1"/>
        </w:rPr>
        <w:t xml:space="preserve"> oil-fired capacity in the region are subject to EPA’s final</w:t>
      </w:r>
      <w:r w:rsidRPr="00391224">
        <w:rPr>
          <w:color w:val="000000" w:themeColor="text1"/>
        </w:rPr>
        <w:t xml:space="preserve"> Mercury and Air Toxics Standards</w:t>
      </w:r>
      <w:r w:rsidR="00391224" w:rsidRPr="00391224">
        <w:rPr>
          <w:color w:val="000000" w:themeColor="text1"/>
        </w:rPr>
        <w:t>. By April 2015, f</w:t>
      </w:r>
      <w:r w:rsidR="00FC5500" w:rsidRPr="00391224">
        <w:rPr>
          <w:color w:val="000000" w:themeColor="text1"/>
        </w:rPr>
        <w:t>ossil steam generators greater than 25 MW in capacity</w:t>
      </w:r>
      <w:r w:rsidR="00391224" w:rsidRPr="00391224">
        <w:rPr>
          <w:color w:val="000000" w:themeColor="text1"/>
        </w:rPr>
        <w:t xml:space="preserve"> must </w:t>
      </w:r>
      <w:r w:rsidR="00FC5500" w:rsidRPr="00391224">
        <w:rPr>
          <w:color w:val="000000" w:themeColor="text1"/>
        </w:rPr>
        <w:t xml:space="preserve">comply with </w:t>
      </w:r>
      <w:r w:rsidR="00391224" w:rsidRPr="00391224">
        <w:rPr>
          <w:color w:val="000000" w:themeColor="text1"/>
        </w:rPr>
        <w:t xml:space="preserve">the standard’s </w:t>
      </w:r>
      <w:r w:rsidR="00FC5500" w:rsidRPr="00391224">
        <w:rPr>
          <w:color w:val="000000" w:themeColor="text1"/>
        </w:rPr>
        <w:t>emissions limits for acid gases, toxic metals</w:t>
      </w:r>
      <w:r w:rsidR="00391224" w:rsidRPr="00391224">
        <w:rPr>
          <w:color w:val="000000" w:themeColor="text1"/>
        </w:rPr>
        <w:t>,</w:t>
      </w:r>
      <w:r w:rsidR="00FC5500" w:rsidRPr="00391224">
        <w:rPr>
          <w:color w:val="000000" w:themeColor="text1"/>
        </w:rPr>
        <w:t xml:space="preserve"> and mercury </w:t>
      </w:r>
      <w:proofErr w:type="gramStart"/>
      <w:r w:rsidR="0081230D">
        <w:rPr>
          <w:color w:val="000000" w:themeColor="text1"/>
        </w:rPr>
        <w:t xml:space="preserve">on the </w:t>
      </w:r>
      <w:r w:rsidR="00FC5500" w:rsidRPr="00391224">
        <w:rPr>
          <w:color w:val="000000" w:themeColor="text1"/>
        </w:rPr>
        <w:t>bas</w:t>
      </w:r>
      <w:r w:rsidR="0081230D">
        <w:rPr>
          <w:color w:val="000000" w:themeColor="text1"/>
        </w:rPr>
        <w:t xml:space="preserve">is </w:t>
      </w:r>
      <w:r w:rsidR="00FC5500" w:rsidRPr="00391224">
        <w:rPr>
          <w:color w:val="000000" w:themeColor="text1"/>
        </w:rPr>
        <w:t>o</w:t>
      </w:r>
      <w:r w:rsidR="0081230D">
        <w:rPr>
          <w:color w:val="000000" w:themeColor="text1"/>
        </w:rPr>
        <w:t>f</w:t>
      </w:r>
      <w:proofErr w:type="gramEnd"/>
      <w:r w:rsidR="00FC5500" w:rsidRPr="00391224">
        <w:rPr>
          <w:color w:val="000000" w:themeColor="text1"/>
        </w:rPr>
        <w:t xml:space="preserve"> maximum achievable control technologies (MACT)</w:t>
      </w:r>
      <w:r w:rsidRPr="00391224">
        <w:rPr>
          <w:color w:val="000000" w:themeColor="text1"/>
        </w:rPr>
        <w:t>.</w:t>
      </w:r>
      <w:r w:rsidRPr="00391224">
        <w:rPr>
          <w:rStyle w:val="FootnoteReference"/>
          <w:color w:val="000000" w:themeColor="text1"/>
        </w:rPr>
        <w:footnoteReference w:id="301"/>
      </w:r>
      <w:r w:rsidRPr="00391224">
        <w:rPr>
          <w:color w:val="000000" w:themeColor="text1"/>
        </w:rPr>
        <w:t xml:space="preserve"> However, most remaining coal-fired generators already </w:t>
      </w:r>
      <w:proofErr w:type="gramStart"/>
      <w:r w:rsidRPr="00391224">
        <w:rPr>
          <w:color w:val="000000" w:themeColor="text1"/>
        </w:rPr>
        <w:t>are retrofitted</w:t>
      </w:r>
      <w:proofErr w:type="gramEnd"/>
      <w:r w:rsidRPr="00391224">
        <w:rPr>
          <w:color w:val="000000" w:themeColor="text1"/>
        </w:rPr>
        <w:t xml:space="preserve"> with needed controls to comply with state air toxics regulations. In New England, an operator petitioned its state air quality regulator and </w:t>
      </w:r>
      <w:proofErr w:type="gramStart"/>
      <w:r w:rsidRPr="00391224">
        <w:rPr>
          <w:color w:val="000000" w:themeColor="text1"/>
        </w:rPr>
        <w:t>was granted</w:t>
      </w:r>
      <w:proofErr w:type="gramEnd"/>
      <w:r w:rsidRPr="00391224">
        <w:rPr>
          <w:color w:val="000000" w:themeColor="text1"/>
        </w:rPr>
        <w:t xml:space="preserve"> a one-year compliance extension request until April 2016 to complete the design and retrofit activities at two coal-fired generators. </w:t>
      </w:r>
    </w:p>
    <w:p w:rsidR="00D2141F" w:rsidRDefault="00D2141F" w:rsidP="00D2141F">
      <w:pPr>
        <w:rPr>
          <w:rFonts w:asciiTheme="majorHAnsi" w:eastAsiaTheme="majorEastAsia" w:hAnsiTheme="majorHAnsi" w:cstheme="majorBidi"/>
          <w:bCs/>
          <w:i/>
          <w:iCs/>
        </w:rPr>
      </w:pPr>
      <w:r>
        <w:t xml:space="preserve">Most remaining larger oil-fired generators in New England are </w:t>
      </w:r>
      <w:r w:rsidR="00C46DB2">
        <w:t xml:space="preserve">only </w:t>
      </w:r>
      <w:r>
        <w:t xml:space="preserve">subject to </w:t>
      </w:r>
      <w:r w:rsidRPr="00990EB4">
        <w:rPr>
          <w:i/>
        </w:rPr>
        <w:t xml:space="preserve">de </w:t>
      </w:r>
      <w:proofErr w:type="spellStart"/>
      <w:r w:rsidRPr="00990EB4">
        <w:rPr>
          <w:i/>
        </w:rPr>
        <w:t>minimis</w:t>
      </w:r>
      <w:proofErr w:type="spellEnd"/>
      <w:r>
        <w:t xml:space="preserve"> work practice standards under MATS and are not required to add any emission control devices. Under MATS, oil-fired generators</w:t>
      </w:r>
      <w:r w:rsidRPr="00E90271">
        <w:t xml:space="preserve"> </w:t>
      </w:r>
      <w:r>
        <w:t>used as peaking units to help preserve system reliability and that maintain a capacity factor below 8% on two-year block average are exempt from otherwise applicable MATS emissions limits. Overall, l</w:t>
      </w:r>
      <w:r w:rsidRPr="00E90271">
        <w:t xml:space="preserve">ess than 1 GW of affected </w:t>
      </w:r>
      <w:r>
        <w:t xml:space="preserve">fossil </w:t>
      </w:r>
      <w:r w:rsidRPr="00E90271">
        <w:t>capacity</w:t>
      </w:r>
      <w:r>
        <w:t xml:space="preserve"> </w:t>
      </w:r>
      <w:r w:rsidRPr="003969A6">
        <w:t>in New England</w:t>
      </w:r>
      <w:r w:rsidRPr="00E90271">
        <w:t xml:space="preserve"> </w:t>
      </w:r>
      <w:proofErr w:type="gramStart"/>
      <w:r w:rsidRPr="00E90271">
        <w:t xml:space="preserve">is </w:t>
      </w:r>
      <w:r>
        <w:t>considered</w:t>
      </w:r>
      <w:proofErr w:type="gramEnd"/>
      <w:r>
        <w:t xml:space="preserve"> at risk for retirement because of an inability to comply with </w:t>
      </w:r>
      <w:r w:rsidRPr="00E90271">
        <w:t>MATS</w:t>
      </w:r>
      <w:r>
        <w:t xml:space="preserve"> requirements</w:t>
      </w:r>
      <w:r w:rsidRPr="00E90271">
        <w:t xml:space="preserve">. </w:t>
      </w:r>
    </w:p>
    <w:p w:rsidR="00B4202D" w:rsidRPr="0033415D" w:rsidRDefault="00D2141F" w:rsidP="0033415D">
      <w:pPr>
        <w:pStyle w:val="Heading4"/>
      </w:pPr>
      <w:r w:rsidRPr="0033415D">
        <w:t>Clean Air Act Regional Air Pollution Reduction</w:t>
      </w:r>
    </w:p>
    <w:p w:rsidR="00D2141F" w:rsidRDefault="00D2141F" w:rsidP="003D1F55">
      <w:pPr>
        <w:pStyle w:val="CommentText"/>
        <w:spacing w:line="260" w:lineRule="atLeast"/>
        <w:rPr>
          <w:rFonts w:asciiTheme="majorHAnsi" w:hAnsiTheme="majorHAnsi"/>
        </w:rPr>
      </w:pPr>
      <w:r w:rsidRPr="00391224">
        <w:t xml:space="preserve">As much as </w:t>
      </w:r>
      <w:r w:rsidR="00C46DB2" w:rsidRPr="00391224">
        <w:t xml:space="preserve">22 to </w:t>
      </w:r>
      <w:r w:rsidR="00FC5500" w:rsidRPr="00391224">
        <w:t>24 GW</w:t>
      </w:r>
      <w:r w:rsidR="008C49C9" w:rsidRPr="00391224">
        <w:t xml:space="preserve"> </w:t>
      </w:r>
      <w:r w:rsidRPr="00391224">
        <w:t xml:space="preserve">of existing fossil capacity in New England potentially </w:t>
      </w:r>
      <w:proofErr w:type="gramStart"/>
      <w:r w:rsidRPr="00391224">
        <w:t>will be affected</w:t>
      </w:r>
      <w:proofErr w:type="gramEnd"/>
      <w:r w:rsidRPr="00391224">
        <w:t xml:space="preserve"> by future</w:t>
      </w:r>
      <w:r w:rsidRPr="00217BF0">
        <w:t xml:space="preserve"> state</w:t>
      </w:r>
      <w:r>
        <w:t>, regional,</w:t>
      </w:r>
      <w:r w:rsidRPr="00217BF0">
        <w:t xml:space="preserve"> and federal rules implementing </w:t>
      </w:r>
      <w:r w:rsidR="00C46DB2">
        <w:t xml:space="preserve">various </w:t>
      </w:r>
      <w:r w:rsidRPr="00217BF0">
        <w:t xml:space="preserve">air quality and performance standards required under the </w:t>
      </w:r>
      <w:r w:rsidRPr="00217BF0">
        <w:rPr>
          <w:i/>
        </w:rPr>
        <w:t>Clean Air Act</w:t>
      </w:r>
      <w:r w:rsidRPr="00217BF0">
        <w:t xml:space="preserve"> for </w:t>
      </w:r>
      <w:r>
        <w:t xml:space="preserve">a range of </w:t>
      </w:r>
      <w:r w:rsidRPr="00217BF0">
        <w:t xml:space="preserve">air pollutants. </w:t>
      </w:r>
      <w:r w:rsidR="00316208" w:rsidRPr="00316208">
        <w:t>State and federal air regulators</w:t>
      </w:r>
      <w:r w:rsidRPr="007C4974">
        <w:t xml:space="preserve"> are</w:t>
      </w:r>
      <w:r>
        <w:t xml:space="preserve"> expected to address </w:t>
      </w:r>
      <w:r w:rsidRPr="00460C75">
        <w:t>deteriorating air quality trends across southern New England</w:t>
      </w:r>
      <w:r>
        <w:t xml:space="preserve"> (particularly due to ozone</w:t>
      </w:r>
      <w:r w:rsidR="00C46DB2">
        <w:t xml:space="preserve"> and fine particulate matter</w:t>
      </w:r>
      <w:r>
        <w:t>)</w:t>
      </w:r>
      <w:r w:rsidRPr="00460C75">
        <w:t xml:space="preserve">, </w:t>
      </w:r>
      <w:r w:rsidR="00C46DB2">
        <w:t xml:space="preserve">possibly resulting in </w:t>
      </w:r>
      <w:r>
        <w:t xml:space="preserve">more stringent emissions </w:t>
      </w:r>
      <w:r w:rsidR="00C46DB2">
        <w:t xml:space="preserve">limits for </w:t>
      </w:r>
      <w:r>
        <w:t>fossil generators</w:t>
      </w:r>
      <w:r w:rsidR="00C50436" w:rsidRPr="00C50436">
        <w:t xml:space="preserve">. </w:t>
      </w:r>
      <w:r w:rsidR="00C50436" w:rsidRPr="00C50436">
        <w:rPr>
          <w:rFonts w:asciiTheme="majorHAnsi" w:hAnsiTheme="majorHAnsi"/>
        </w:rPr>
        <w:t xml:space="preserve">Ozone and fine particulate matter </w:t>
      </w:r>
      <w:r w:rsidR="00C50436" w:rsidRPr="007C4974">
        <w:rPr>
          <w:rFonts w:asciiTheme="majorHAnsi" w:hAnsiTheme="majorHAnsi"/>
        </w:rPr>
        <w:t xml:space="preserve">generated far upwind of </w:t>
      </w:r>
      <w:r w:rsidR="00451976" w:rsidRPr="007C4974">
        <w:rPr>
          <w:rFonts w:asciiTheme="majorHAnsi" w:hAnsiTheme="majorHAnsi"/>
        </w:rPr>
        <w:t>New England</w:t>
      </w:r>
      <w:r w:rsidR="00C50436" w:rsidRPr="007C4974">
        <w:rPr>
          <w:rFonts w:asciiTheme="majorHAnsi" w:hAnsiTheme="majorHAnsi"/>
        </w:rPr>
        <w:t xml:space="preserve"> has hampered </w:t>
      </w:r>
      <w:r w:rsidR="00275F95" w:rsidRPr="007C4974">
        <w:rPr>
          <w:rFonts w:asciiTheme="majorHAnsi" w:hAnsiTheme="majorHAnsi"/>
        </w:rPr>
        <w:t xml:space="preserve">considerable </w:t>
      </w:r>
      <w:r w:rsidR="00C50436" w:rsidRPr="007C4974">
        <w:rPr>
          <w:rFonts w:asciiTheme="majorHAnsi" w:hAnsiTheme="majorHAnsi"/>
        </w:rPr>
        <w:t>regulator efforts to</w:t>
      </w:r>
      <w:r w:rsidR="00C50436" w:rsidRPr="00C50436">
        <w:rPr>
          <w:rFonts w:asciiTheme="majorHAnsi" w:hAnsiTheme="majorHAnsi"/>
        </w:rPr>
        <w:t xml:space="preserve"> improve local air quality</w:t>
      </w:r>
      <w:r w:rsidR="00FC5500" w:rsidRPr="002D0D6C">
        <w:rPr>
          <w:rFonts w:asciiTheme="majorHAnsi" w:hAnsiTheme="majorHAnsi"/>
        </w:rPr>
        <w:t xml:space="preserve">. </w:t>
      </w:r>
      <w:r w:rsidR="002E0FA6">
        <w:rPr>
          <w:rFonts w:asciiTheme="majorHAnsi" w:hAnsiTheme="majorHAnsi"/>
        </w:rPr>
        <w:t xml:space="preserve">While </w:t>
      </w:r>
      <w:r w:rsidR="00FC5500" w:rsidRPr="002D0D6C">
        <w:rPr>
          <w:rFonts w:asciiTheme="majorHAnsi" w:hAnsiTheme="majorHAnsi"/>
        </w:rPr>
        <w:t>EPA has repeatedly attempted to address the matter</w:t>
      </w:r>
      <w:r w:rsidR="002E0FA6">
        <w:rPr>
          <w:rFonts w:asciiTheme="majorHAnsi" w:hAnsiTheme="majorHAnsi"/>
        </w:rPr>
        <w:t xml:space="preserve"> by </w:t>
      </w:r>
      <w:r w:rsidR="00FC5500" w:rsidRPr="002D0D6C">
        <w:rPr>
          <w:rFonts w:asciiTheme="majorHAnsi" w:hAnsiTheme="majorHAnsi"/>
        </w:rPr>
        <w:t xml:space="preserve">enacting </w:t>
      </w:r>
      <w:r w:rsidR="004C04FB">
        <w:rPr>
          <w:rFonts w:asciiTheme="majorHAnsi" w:hAnsiTheme="majorHAnsi"/>
        </w:rPr>
        <w:t xml:space="preserve">a number of rules </w:t>
      </w:r>
      <w:r w:rsidR="00C50436" w:rsidRPr="00C50436">
        <w:rPr>
          <w:rFonts w:asciiTheme="majorHAnsi" w:hAnsiTheme="majorHAnsi"/>
        </w:rPr>
        <w:t xml:space="preserve">to satisfy </w:t>
      </w:r>
      <w:r w:rsidR="00316208" w:rsidRPr="00316208">
        <w:rPr>
          <w:rFonts w:asciiTheme="majorHAnsi" w:hAnsiTheme="majorHAnsi"/>
        </w:rPr>
        <w:t>the “good neighbor” requiremen</w:t>
      </w:r>
      <w:r w:rsidR="00FC5500" w:rsidRPr="00A027D9">
        <w:rPr>
          <w:rFonts w:asciiTheme="majorHAnsi" w:hAnsiTheme="majorHAnsi"/>
        </w:rPr>
        <w:t xml:space="preserve">ts of the </w:t>
      </w:r>
      <w:r w:rsidR="00FC5500" w:rsidRPr="00A027D9">
        <w:rPr>
          <w:rFonts w:asciiTheme="majorHAnsi" w:hAnsiTheme="majorHAnsi"/>
          <w:i/>
        </w:rPr>
        <w:t>Clean Air Act</w:t>
      </w:r>
      <w:r w:rsidR="002E0FA6" w:rsidRPr="00A027D9">
        <w:rPr>
          <w:rFonts w:asciiTheme="majorHAnsi" w:hAnsiTheme="majorHAnsi"/>
        </w:rPr>
        <w:t xml:space="preserve">, it has </w:t>
      </w:r>
      <w:r w:rsidR="00FC5500" w:rsidRPr="00A027D9">
        <w:rPr>
          <w:rFonts w:asciiTheme="majorHAnsi" w:hAnsiTheme="majorHAnsi"/>
        </w:rPr>
        <w:t xml:space="preserve">only </w:t>
      </w:r>
      <w:r w:rsidR="002E0FA6" w:rsidRPr="00A027D9">
        <w:rPr>
          <w:rFonts w:asciiTheme="majorHAnsi" w:hAnsiTheme="majorHAnsi"/>
        </w:rPr>
        <w:t xml:space="preserve">had </w:t>
      </w:r>
      <w:r w:rsidR="00FC5500" w:rsidRPr="00A027D9">
        <w:rPr>
          <w:rFonts w:asciiTheme="majorHAnsi" w:hAnsiTheme="majorHAnsi"/>
        </w:rPr>
        <w:t>mixed results</w:t>
      </w:r>
      <w:r w:rsidR="002D0D6C" w:rsidRPr="00A027D9">
        <w:rPr>
          <w:rFonts w:asciiTheme="majorHAnsi" w:hAnsiTheme="majorHAnsi"/>
        </w:rPr>
        <w:t>,</w:t>
      </w:r>
      <w:r w:rsidR="00FC5500" w:rsidRPr="00A027D9">
        <w:rPr>
          <w:rFonts w:asciiTheme="majorHAnsi" w:hAnsiTheme="majorHAnsi"/>
        </w:rPr>
        <w:t xml:space="preserve"> </w:t>
      </w:r>
      <w:r w:rsidR="002D0D6C" w:rsidRPr="00A027D9">
        <w:rPr>
          <w:rFonts w:asciiTheme="majorHAnsi" w:hAnsiTheme="majorHAnsi"/>
        </w:rPr>
        <w:t>stemming from</w:t>
      </w:r>
      <w:r w:rsidR="00FC5500" w:rsidRPr="00A027D9">
        <w:rPr>
          <w:rFonts w:asciiTheme="majorHAnsi" w:hAnsiTheme="majorHAnsi"/>
        </w:rPr>
        <w:t xml:space="preserve"> design flaws and litigation </w:t>
      </w:r>
      <w:r w:rsidR="002D0D6C" w:rsidRPr="00A027D9">
        <w:rPr>
          <w:rFonts w:asciiTheme="majorHAnsi" w:hAnsiTheme="majorHAnsi"/>
        </w:rPr>
        <w:t xml:space="preserve">that </w:t>
      </w:r>
      <w:r w:rsidR="00C50436" w:rsidRPr="00A027D9">
        <w:rPr>
          <w:rFonts w:asciiTheme="majorHAnsi" w:hAnsiTheme="majorHAnsi"/>
        </w:rPr>
        <w:t xml:space="preserve">limited </w:t>
      </w:r>
      <w:r w:rsidR="00C50436" w:rsidRPr="00E83A7A">
        <w:rPr>
          <w:rFonts w:asciiTheme="majorHAnsi" w:hAnsiTheme="majorHAnsi"/>
        </w:rPr>
        <w:t>their</w:t>
      </w:r>
      <w:r w:rsidR="00FC5500" w:rsidRPr="001B6391">
        <w:rPr>
          <w:rFonts w:asciiTheme="majorHAnsi" w:hAnsiTheme="majorHAnsi"/>
        </w:rPr>
        <w:t xml:space="preserve"> </w:t>
      </w:r>
      <w:r w:rsidR="00C50436" w:rsidRPr="00E83A7A">
        <w:rPr>
          <w:rFonts w:asciiTheme="majorHAnsi" w:hAnsiTheme="majorHAnsi"/>
        </w:rPr>
        <w:t>effects.</w:t>
      </w:r>
      <w:r w:rsidR="00C50436" w:rsidRPr="00E83A7A">
        <w:rPr>
          <w:rStyle w:val="FootnoteReference"/>
        </w:rPr>
        <w:footnoteReference w:id="302"/>
      </w:r>
      <w:r w:rsidR="004C04FB" w:rsidRPr="00E83A7A">
        <w:rPr>
          <w:rFonts w:asciiTheme="majorHAnsi" w:hAnsiTheme="majorHAnsi"/>
        </w:rPr>
        <w:t xml:space="preserve"> These rules </w:t>
      </w:r>
      <w:r w:rsidR="004C04FB" w:rsidRPr="006851B1">
        <w:rPr>
          <w:rFonts w:asciiTheme="majorHAnsi" w:hAnsiTheme="majorHAnsi"/>
        </w:rPr>
        <w:t xml:space="preserve">included the </w:t>
      </w:r>
      <w:r w:rsidR="00316208" w:rsidRPr="006851B1">
        <w:rPr>
          <w:rFonts w:asciiTheme="majorHAnsi" w:hAnsiTheme="majorHAnsi"/>
        </w:rPr>
        <w:t>NO</w:t>
      </w:r>
      <w:r w:rsidR="00E83A7A" w:rsidRPr="006851B1">
        <w:rPr>
          <w:rFonts w:asciiTheme="majorHAnsi" w:hAnsiTheme="majorHAnsi"/>
          <w:vertAlign w:val="subscript"/>
        </w:rPr>
        <w:t xml:space="preserve">X </w:t>
      </w:r>
      <w:r w:rsidR="00316208" w:rsidRPr="006851B1">
        <w:rPr>
          <w:rFonts w:asciiTheme="majorHAnsi" w:hAnsiTheme="majorHAnsi"/>
        </w:rPr>
        <w:t>“SIP Call</w:t>
      </w:r>
      <w:r w:rsidR="00E83A7A" w:rsidRPr="006851B1">
        <w:rPr>
          <w:rFonts w:asciiTheme="majorHAnsi" w:hAnsiTheme="majorHAnsi"/>
        </w:rPr>
        <w:t>,</w:t>
      </w:r>
      <w:r w:rsidR="00316208" w:rsidRPr="006851B1">
        <w:rPr>
          <w:rFonts w:asciiTheme="majorHAnsi" w:hAnsiTheme="majorHAnsi"/>
        </w:rPr>
        <w:t>”</w:t>
      </w:r>
      <w:r w:rsidR="00E83A7A" w:rsidRPr="006851B1">
        <w:rPr>
          <w:rFonts w:asciiTheme="majorHAnsi" w:hAnsiTheme="majorHAnsi"/>
        </w:rPr>
        <w:t xml:space="preserve"> </w:t>
      </w:r>
      <w:r w:rsidR="00316208" w:rsidRPr="006851B1">
        <w:rPr>
          <w:rFonts w:asciiTheme="majorHAnsi" w:hAnsiTheme="majorHAnsi"/>
        </w:rPr>
        <w:t xml:space="preserve">the Clean Air Interstate Rule (CAIR), </w:t>
      </w:r>
      <w:r w:rsidR="00C50436" w:rsidRPr="006851B1">
        <w:rPr>
          <w:rFonts w:asciiTheme="majorHAnsi" w:hAnsiTheme="majorHAnsi"/>
        </w:rPr>
        <w:t>and the Cross-State Air Pollution Rule</w:t>
      </w:r>
      <w:r w:rsidR="00C50436" w:rsidRPr="00A027D9">
        <w:rPr>
          <w:rFonts w:asciiTheme="majorHAnsi" w:hAnsiTheme="majorHAnsi"/>
        </w:rPr>
        <w:t xml:space="preserve"> (CSAPR).</w:t>
      </w:r>
      <w:r w:rsidR="00C50436" w:rsidRPr="00A027D9">
        <w:rPr>
          <w:rStyle w:val="FootnoteReference"/>
        </w:rPr>
        <w:footnoteReference w:id="303"/>
      </w:r>
      <w:r w:rsidR="00C50436" w:rsidRPr="00A027D9">
        <w:rPr>
          <w:rFonts w:asciiTheme="majorHAnsi" w:hAnsiTheme="majorHAnsi"/>
        </w:rPr>
        <w:t xml:space="preserve"> However, on April 29, 2014, the Supreme Court overturned</w:t>
      </w:r>
      <w:r w:rsidR="00B272C2" w:rsidRPr="001B6391">
        <w:rPr>
          <w:rFonts w:asciiTheme="majorHAnsi" w:hAnsiTheme="majorHAnsi"/>
        </w:rPr>
        <w:t xml:space="preserve"> </w:t>
      </w:r>
      <w:r w:rsidR="00C50436" w:rsidRPr="00A027D9">
        <w:rPr>
          <w:rFonts w:asciiTheme="majorHAnsi" w:hAnsiTheme="majorHAnsi"/>
        </w:rPr>
        <w:t xml:space="preserve">the CSAPR </w:t>
      </w:r>
      <w:proofErr w:type="spellStart"/>
      <w:r w:rsidR="00C50436" w:rsidRPr="00A027D9">
        <w:rPr>
          <w:rFonts w:asciiTheme="majorHAnsi" w:hAnsiTheme="majorHAnsi"/>
        </w:rPr>
        <w:t>vacatur</w:t>
      </w:r>
      <w:proofErr w:type="spellEnd"/>
      <w:r w:rsidR="00C50436" w:rsidRPr="00A027D9">
        <w:rPr>
          <w:rFonts w:asciiTheme="majorHAnsi" w:hAnsiTheme="majorHAnsi"/>
        </w:rPr>
        <w:t>, deeming EPA’s finding</w:t>
      </w:r>
      <w:r w:rsidR="00E474E3" w:rsidRPr="00A027D9">
        <w:rPr>
          <w:rFonts w:asciiTheme="majorHAnsi" w:hAnsiTheme="majorHAnsi"/>
        </w:rPr>
        <w:t xml:space="preserve"> and approach </w:t>
      </w:r>
      <w:r w:rsidR="00C50436" w:rsidRPr="00A027D9">
        <w:rPr>
          <w:rFonts w:asciiTheme="majorHAnsi" w:hAnsiTheme="majorHAnsi"/>
        </w:rPr>
        <w:t>adopted</w:t>
      </w:r>
      <w:r w:rsidR="00275F95" w:rsidRPr="00A027D9">
        <w:rPr>
          <w:rFonts w:asciiTheme="majorHAnsi" w:hAnsiTheme="majorHAnsi"/>
        </w:rPr>
        <w:t xml:space="preserve"> </w:t>
      </w:r>
      <w:r w:rsidR="00C50436" w:rsidRPr="00A027D9">
        <w:rPr>
          <w:rFonts w:asciiTheme="majorHAnsi" w:hAnsiTheme="majorHAnsi"/>
        </w:rPr>
        <w:t xml:space="preserve">in CSAPR acceptable </w:t>
      </w:r>
      <w:r w:rsidR="00E474E3" w:rsidRPr="00A027D9">
        <w:rPr>
          <w:rFonts w:asciiTheme="majorHAnsi" w:hAnsiTheme="majorHAnsi"/>
        </w:rPr>
        <w:t xml:space="preserve">(i.e., </w:t>
      </w:r>
      <w:r w:rsidR="00C50436" w:rsidRPr="00A027D9">
        <w:rPr>
          <w:rFonts w:asciiTheme="majorHAnsi" w:hAnsiTheme="majorHAnsi"/>
        </w:rPr>
        <w:t>that emissions from upwind states contribute to downwind states' problems attaining federal air standards</w:t>
      </w:r>
      <w:r w:rsidR="00E474E3" w:rsidRPr="00A027D9">
        <w:rPr>
          <w:rFonts w:asciiTheme="majorHAnsi" w:hAnsiTheme="majorHAnsi"/>
        </w:rPr>
        <w:t>)</w:t>
      </w:r>
      <w:r w:rsidR="00C50436" w:rsidRPr="00A027D9">
        <w:rPr>
          <w:rFonts w:asciiTheme="majorHAnsi" w:hAnsiTheme="majorHAnsi"/>
        </w:rPr>
        <w:t>.</w:t>
      </w:r>
    </w:p>
    <w:p w:rsidR="00C03070" w:rsidRDefault="00C46DB2" w:rsidP="00D2141F">
      <w:pPr>
        <w:spacing w:after="200" w:line="276" w:lineRule="auto"/>
        <w:rPr>
          <w:rFonts w:asciiTheme="majorHAnsi" w:hAnsiTheme="majorHAnsi"/>
        </w:rPr>
      </w:pPr>
      <w:r>
        <w:rPr>
          <w:rFonts w:asciiTheme="majorHAnsi" w:hAnsiTheme="majorHAnsi"/>
        </w:rPr>
        <w:t xml:space="preserve">EPA must first address remaining administrative and litigation </w:t>
      </w:r>
      <w:r w:rsidRPr="00C03070">
        <w:rPr>
          <w:rFonts w:asciiTheme="majorHAnsi" w:hAnsiTheme="majorHAnsi"/>
        </w:rPr>
        <w:t xml:space="preserve">challenges to </w:t>
      </w:r>
      <w:r w:rsidR="00316208" w:rsidRPr="00316208">
        <w:rPr>
          <w:rFonts w:asciiTheme="majorHAnsi" w:hAnsiTheme="majorHAnsi"/>
        </w:rPr>
        <w:t>CSAPR and</w:t>
      </w:r>
      <w:r>
        <w:rPr>
          <w:rFonts w:asciiTheme="majorHAnsi" w:hAnsiTheme="majorHAnsi"/>
        </w:rPr>
        <w:t xml:space="preserve"> then decide </w:t>
      </w:r>
      <w:r w:rsidRPr="00453D35">
        <w:rPr>
          <w:rFonts w:asciiTheme="majorHAnsi" w:hAnsiTheme="majorHAnsi"/>
        </w:rPr>
        <w:t xml:space="preserve">whether to </w:t>
      </w:r>
      <w:r w:rsidR="00D837D8" w:rsidRPr="00453D35">
        <w:rPr>
          <w:rFonts w:asciiTheme="majorHAnsi" w:hAnsiTheme="majorHAnsi"/>
        </w:rPr>
        <w:t>revise</w:t>
      </w:r>
      <w:r w:rsidR="00F11502" w:rsidRPr="00453D35">
        <w:rPr>
          <w:rFonts w:asciiTheme="majorHAnsi" w:hAnsiTheme="majorHAnsi"/>
        </w:rPr>
        <w:t xml:space="preserve"> </w:t>
      </w:r>
      <w:r w:rsidR="004E633F" w:rsidRPr="00453D35">
        <w:rPr>
          <w:rFonts w:asciiTheme="majorHAnsi" w:hAnsiTheme="majorHAnsi"/>
        </w:rPr>
        <w:t>the rule</w:t>
      </w:r>
      <w:r w:rsidR="00C03070" w:rsidRPr="00453D35">
        <w:rPr>
          <w:rFonts w:asciiTheme="majorHAnsi" w:hAnsiTheme="majorHAnsi"/>
        </w:rPr>
        <w:t>. Another option would be</w:t>
      </w:r>
      <w:r w:rsidR="00C03070">
        <w:rPr>
          <w:rFonts w:asciiTheme="majorHAnsi" w:hAnsiTheme="majorHAnsi"/>
        </w:rPr>
        <w:t xml:space="preserve"> for the agency to </w:t>
      </w:r>
      <w:r>
        <w:rPr>
          <w:rFonts w:asciiTheme="majorHAnsi" w:hAnsiTheme="majorHAnsi"/>
        </w:rPr>
        <w:t xml:space="preserve">pursue a follow-up regional transported air pollution rule, which </w:t>
      </w:r>
      <w:proofErr w:type="gramStart"/>
      <w:r>
        <w:rPr>
          <w:rFonts w:asciiTheme="majorHAnsi" w:hAnsiTheme="majorHAnsi"/>
        </w:rPr>
        <w:t>had been originally anticipated</w:t>
      </w:r>
      <w:proofErr w:type="gramEnd"/>
      <w:r>
        <w:rPr>
          <w:rFonts w:asciiTheme="majorHAnsi" w:hAnsiTheme="majorHAnsi"/>
        </w:rPr>
        <w:t xml:space="preserve"> as a follow-up rule to CSAPR</w:t>
      </w:r>
      <w:r w:rsidR="00C03070">
        <w:rPr>
          <w:rFonts w:asciiTheme="majorHAnsi" w:hAnsiTheme="majorHAnsi"/>
        </w:rPr>
        <w:t>.</w:t>
      </w:r>
    </w:p>
    <w:p w:rsidR="00D2141F" w:rsidRDefault="00D2141F" w:rsidP="00D2141F">
      <w:pPr>
        <w:spacing w:after="200" w:line="276" w:lineRule="auto"/>
        <w:rPr>
          <w:rFonts w:asciiTheme="majorHAnsi" w:hAnsiTheme="majorHAnsi"/>
        </w:rPr>
      </w:pPr>
      <w:r w:rsidRPr="00217BF0">
        <w:rPr>
          <w:rFonts w:asciiTheme="majorHAnsi" w:hAnsiTheme="majorHAnsi"/>
        </w:rPr>
        <w:t>Such uncertainty makes it difficult to gauge the possible range of capital expenditures and annual compliance cost risk</w:t>
      </w:r>
      <w:r w:rsidR="00F11502">
        <w:rPr>
          <w:rFonts w:asciiTheme="majorHAnsi" w:hAnsiTheme="majorHAnsi"/>
        </w:rPr>
        <w:t>s</w:t>
      </w:r>
      <w:r w:rsidRPr="00217BF0">
        <w:rPr>
          <w:rFonts w:asciiTheme="majorHAnsi" w:hAnsiTheme="majorHAnsi"/>
        </w:rPr>
        <w:t xml:space="preserve"> during the current planning period. This uncertainty already is having an impact on generators’ prices for future emissions allowances subject to the </w:t>
      </w:r>
      <w:r w:rsidRPr="00217BF0">
        <w:rPr>
          <w:rFonts w:asciiTheme="majorHAnsi" w:hAnsiTheme="majorHAnsi"/>
          <w:i/>
        </w:rPr>
        <w:t>Clean Air Act</w:t>
      </w:r>
      <w:r w:rsidRPr="00217BF0">
        <w:rPr>
          <w:rFonts w:asciiTheme="majorHAnsi" w:hAnsiTheme="majorHAnsi"/>
        </w:rPr>
        <w:t xml:space="preserve"> Acid Rain Program and CAIR.</w:t>
      </w:r>
      <w:r>
        <w:rPr>
          <w:rStyle w:val="FootnoteReference"/>
        </w:rPr>
        <w:footnoteReference w:id="304"/>
      </w:r>
      <w:r w:rsidRPr="00217BF0">
        <w:rPr>
          <w:rFonts w:asciiTheme="majorHAnsi" w:hAnsiTheme="majorHAnsi"/>
        </w:rPr>
        <w:t xml:space="preserve"> In recent </w:t>
      </w:r>
      <w:r w:rsidRPr="00703A30">
        <w:rPr>
          <w:rFonts w:asciiTheme="majorHAnsi" w:hAnsiTheme="majorHAnsi"/>
        </w:rPr>
        <w:t xml:space="preserve">years, </w:t>
      </w:r>
      <w:r w:rsidRPr="009021EE">
        <w:rPr>
          <w:rFonts w:asciiTheme="majorHAnsi" w:hAnsiTheme="majorHAnsi"/>
        </w:rPr>
        <w:t>NO</w:t>
      </w:r>
      <w:r w:rsidRPr="009021EE">
        <w:rPr>
          <w:rFonts w:asciiTheme="majorHAnsi" w:hAnsiTheme="majorHAnsi"/>
          <w:vertAlign w:val="subscript"/>
        </w:rPr>
        <w:t>X</w:t>
      </w:r>
      <w:r w:rsidRPr="00F77AE9">
        <w:rPr>
          <w:rFonts w:asciiTheme="majorHAnsi" w:hAnsiTheme="majorHAnsi"/>
        </w:rPr>
        <w:t xml:space="preserve"> and SO</w:t>
      </w:r>
      <w:r w:rsidRPr="00F77AE9">
        <w:rPr>
          <w:rFonts w:asciiTheme="majorHAnsi" w:hAnsiTheme="majorHAnsi"/>
          <w:vertAlign w:val="subscript"/>
        </w:rPr>
        <w:t>2</w:t>
      </w:r>
      <w:r w:rsidRPr="00F77AE9">
        <w:rPr>
          <w:rFonts w:asciiTheme="majorHAnsi" w:hAnsiTheme="majorHAnsi"/>
        </w:rPr>
        <w:t xml:space="preserve"> allowance</w:t>
      </w:r>
      <w:r w:rsidRPr="00217BF0">
        <w:rPr>
          <w:rFonts w:asciiTheme="majorHAnsi" w:hAnsiTheme="majorHAnsi"/>
        </w:rPr>
        <w:t xml:space="preserve"> prices have fallen to levels that make compliance costs essentially negligible, although historically</w:t>
      </w:r>
      <w:r>
        <w:rPr>
          <w:rFonts w:asciiTheme="majorHAnsi" w:hAnsiTheme="majorHAnsi"/>
        </w:rPr>
        <w:t>,</w:t>
      </w:r>
      <w:r w:rsidRPr="00217BF0">
        <w:rPr>
          <w:rFonts w:asciiTheme="majorHAnsi" w:hAnsiTheme="majorHAnsi"/>
        </w:rPr>
        <w:t xml:space="preserve"> allowance costs comprised </w:t>
      </w:r>
      <w:r w:rsidRPr="00DF4291">
        <w:rPr>
          <w:rFonts w:asciiTheme="majorHAnsi" w:hAnsiTheme="majorHAnsi"/>
        </w:rPr>
        <w:t>a significant part of operating costs for coal- and oil-fired generators.</w:t>
      </w:r>
      <w:r w:rsidRPr="00DF4291">
        <w:rPr>
          <w:vertAlign w:val="superscript"/>
        </w:rPr>
        <w:footnoteReference w:id="305"/>
      </w:r>
      <w:r w:rsidRPr="00DF4291">
        <w:rPr>
          <w:rFonts w:asciiTheme="majorHAnsi" w:hAnsiTheme="majorHAnsi"/>
        </w:rPr>
        <w:t xml:space="preserve"> The ISO and generators use</w:t>
      </w:r>
      <w:r w:rsidRPr="00217BF0">
        <w:rPr>
          <w:rFonts w:asciiTheme="majorHAnsi" w:hAnsiTheme="majorHAnsi"/>
        </w:rPr>
        <w:t xml:space="preserve"> such pricing to gauge compliance costs and inform analyses </w:t>
      </w:r>
      <w:r>
        <w:rPr>
          <w:rFonts w:asciiTheme="majorHAnsi" w:hAnsiTheme="majorHAnsi"/>
        </w:rPr>
        <w:t xml:space="preserve">that account for </w:t>
      </w:r>
      <w:r w:rsidRPr="00217BF0">
        <w:rPr>
          <w:rFonts w:asciiTheme="majorHAnsi" w:hAnsiTheme="majorHAnsi"/>
        </w:rPr>
        <w:t>the timing, magnitude, and location of unit retirements that could result from generators</w:t>
      </w:r>
      <w:r>
        <w:rPr>
          <w:rFonts w:asciiTheme="majorHAnsi" w:hAnsiTheme="majorHAnsi"/>
        </w:rPr>
        <w:t>’</w:t>
      </w:r>
      <w:r w:rsidRPr="00217BF0">
        <w:rPr>
          <w:rFonts w:asciiTheme="majorHAnsi" w:hAnsiTheme="majorHAnsi"/>
        </w:rPr>
        <w:t xml:space="preserve"> opting not to comply with environmental </w:t>
      </w:r>
      <w:r w:rsidRPr="00DF4291">
        <w:rPr>
          <w:rFonts w:asciiTheme="majorHAnsi" w:hAnsiTheme="majorHAnsi"/>
        </w:rPr>
        <w:t>regulations.</w:t>
      </w:r>
    </w:p>
    <w:p w:rsidR="00D2141F" w:rsidRDefault="00D2141F" w:rsidP="00D2141F">
      <w:pPr>
        <w:spacing w:after="200" w:line="276" w:lineRule="auto"/>
        <w:rPr>
          <w:rFonts w:asciiTheme="majorHAnsi" w:eastAsia="Times New Roman" w:hAnsiTheme="majorHAnsi"/>
        </w:rPr>
      </w:pPr>
      <w:r w:rsidRPr="002C1B9B">
        <w:rPr>
          <w:rFonts w:asciiTheme="majorHAnsi" w:eastAsia="Times New Roman" w:hAnsiTheme="majorHAnsi"/>
        </w:rPr>
        <w:t>Other efforts have addressed air pollution</w:t>
      </w:r>
      <w:r w:rsidRPr="002C1B9B">
        <w:t xml:space="preserve"> </w:t>
      </w:r>
      <w:r w:rsidRPr="002C1B9B">
        <w:rPr>
          <w:rFonts w:asciiTheme="majorHAnsi" w:eastAsia="Times New Roman" w:hAnsiTheme="majorHAnsi"/>
        </w:rPr>
        <w:t>transported into New England. On</w:t>
      </w:r>
      <w:r w:rsidRPr="00217564">
        <w:rPr>
          <w:rFonts w:asciiTheme="majorHAnsi" w:eastAsia="Times New Roman" w:hAnsiTheme="majorHAnsi"/>
        </w:rPr>
        <w:t xml:space="preserve"> December 9, </w:t>
      </w:r>
      <w:r>
        <w:rPr>
          <w:rFonts w:asciiTheme="majorHAnsi" w:eastAsia="Times New Roman" w:hAnsiTheme="majorHAnsi"/>
        </w:rPr>
        <w:t xml:space="preserve">2013, </w:t>
      </w:r>
      <w:r w:rsidRPr="00217564">
        <w:rPr>
          <w:rFonts w:asciiTheme="majorHAnsi" w:eastAsia="Times New Roman" w:hAnsiTheme="majorHAnsi"/>
        </w:rPr>
        <w:t>eight northeastern states petitioned the EPA</w:t>
      </w:r>
      <w:r w:rsidR="00F11502">
        <w:rPr>
          <w:rFonts w:asciiTheme="majorHAnsi" w:eastAsia="Times New Roman" w:hAnsiTheme="majorHAnsi"/>
        </w:rPr>
        <w:t>,</w:t>
      </w:r>
      <w:r w:rsidRPr="00217564">
        <w:rPr>
          <w:rFonts w:asciiTheme="majorHAnsi" w:eastAsia="Times New Roman" w:hAnsiTheme="majorHAnsi"/>
        </w:rPr>
        <w:t xml:space="preserve"> requesting it add nine </w:t>
      </w:r>
      <w:r w:rsidR="00F706B6">
        <w:rPr>
          <w:rFonts w:asciiTheme="majorHAnsi" w:eastAsia="Times New Roman" w:hAnsiTheme="majorHAnsi"/>
        </w:rPr>
        <w:t>M</w:t>
      </w:r>
      <w:r w:rsidRPr="00217564">
        <w:rPr>
          <w:rFonts w:asciiTheme="majorHAnsi" w:eastAsia="Times New Roman" w:hAnsiTheme="majorHAnsi"/>
        </w:rPr>
        <w:t xml:space="preserve">idwestern and </w:t>
      </w:r>
      <w:r>
        <w:rPr>
          <w:rFonts w:asciiTheme="majorHAnsi" w:eastAsia="Times New Roman" w:hAnsiTheme="majorHAnsi"/>
        </w:rPr>
        <w:t>s</w:t>
      </w:r>
      <w:r w:rsidRPr="00217564">
        <w:rPr>
          <w:rFonts w:asciiTheme="majorHAnsi" w:eastAsia="Times New Roman" w:hAnsiTheme="majorHAnsi"/>
        </w:rPr>
        <w:t>outhern states to the Ozone Transport Region (OTR).</w:t>
      </w:r>
      <w:r>
        <w:rPr>
          <w:rStyle w:val="FootnoteReference"/>
          <w:rFonts w:eastAsia="Times New Roman"/>
        </w:rPr>
        <w:footnoteReference w:id="306"/>
      </w:r>
      <w:r w:rsidRPr="00217564">
        <w:rPr>
          <w:rFonts w:asciiTheme="majorHAnsi" w:eastAsia="Times New Roman" w:hAnsiTheme="majorHAnsi"/>
        </w:rPr>
        <w:t xml:space="preserve"> The petitioners, filing under a provision of the </w:t>
      </w:r>
      <w:r w:rsidRPr="00FA006F">
        <w:rPr>
          <w:rFonts w:asciiTheme="majorHAnsi" w:eastAsia="Times New Roman" w:hAnsiTheme="majorHAnsi"/>
          <w:i/>
        </w:rPr>
        <w:t xml:space="preserve">Clean Air Act </w:t>
      </w:r>
      <w:r w:rsidRPr="00217564">
        <w:rPr>
          <w:rFonts w:asciiTheme="majorHAnsi" w:eastAsia="Times New Roman" w:hAnsiTheme="majorHAnsi"/>
        </w:rPr>
        <w:t xml:space="preserve">(§ 176A), cited EPA modeling and their own analysis showing that emissions from the nine non-OTR states contribute significantly to violations of ozone standards in the eight </w:t>
      </w:r>
      <w:r>
        <w:rPr>
          <w:rFonts w:asciiTheme="majorHAnsi" w:eastAsia="Times New Roman" w:hAnsiTheme="majorHAnsi"/>
        </w:rPr>
        <w:t>n</w:t>
      </w:r>
      <w:r w:rsidRPr="00217564">
        <w:rPr>
          <w:rFonts w:asciiTheme="majorHAnsi" w:eastAsia="Times New Roman" w:hAnsiTheme="majorHAnsi"/>
        </w:rPr>
        <w:t>ortheastern states.</w:t>
      </w:r>
      <w:r>
        <w:rPr>
          <w:rFonts w:asciiTheme="majorHAnsi" w:eastAsia="Times New Roman" w:hAnsiTheme="majorHAnsi"/>
        </w:rPr>
        <w:t xml:space="preserve"> The OTC also released a white paper in April 2014 proposing hourly NO</w:t>
      </w:r>
      <w:r w:rsidRPr="00236120">
        <w:rPr>
          <w:rFonts w:asciiTheme="majorHAnsi" w:eastAsia="Times New Roman" w:hAnsiTheme="majorHAnsi"/>
          <w:vertAlign w:val="subscript"/>
        </w:rPr>
        <w:t>X</w:t>
      </w:r>
      <w:r>
        <w:rPr>
          <w:rFonts w:asciiTheme="majorHAnsi" w:eastAsia="Times New Roman" w:hAnsiTheme="majorHAnsi"/>
        </w:rPr>
        <w:t xml:space="preserve"> emission limits on </w:t>
      </w:r>
      <w:r w:rsidRPr="00DD78A4">
        <w:rPr>
          <w:rFonts w:asciiTheme="majorHAnsi" w:eastAsia="Times New Roman" w:hAnsiTheme="majorHAnsi"/>
        </w:rPr>
        <w:t>all steam fossil, simple- and combined-cycle generators across</w:t>
      </w:r>
      <w:r>
        <w:rPr>
          <w:rFonts w:asciiTheme="majorHAnsi" w:eastAsia="Times New Roman" w:hAnsiTheme="majorHAnsi"/>
        </w:rPr>
        <w:t xml:space="preserve"> the Northeast between May and September to reduce the severity of ozone pollution.</w:t>
      </w:r>
    </w:p>
    <w:p w:rsidR="00D2141F" w:rsidRDefault="00D2141F" w:rsidP="00D2141F">
      <w:pPr>
        <w:spacing w:after="200" w:line="276" w:lineRule="auto"/>
        <w:rPr>
          <w:rFonts w:asciiTheme="majorHAnsi" w:eastAsia="Times New Roman" w:hAnsiTheme="majorHAnsi"/>
        </w:rPr>
      </w:pPr>
      <w:r w:rsidRPr="00217564">
        <w:rPr>
          <w:rFonts w:asciiTheme="majorHAnsi" w:eastAsia="Times New Roman" w:hAnsiTheme="majorHAnsi"/>
        </w:rPr>
        <w:t xml:space="preserve">Under the federal </w:t>
      </w:r>
      <w:r w:rsidRPr="00A83E3A">
        <w:rPr>
          <w:rFonts w:asciiTheme="majorHAnsi" w:eastAsia="Times New Roman" w:hAnsiTheme="majorHAnsi"/>
          <w:i/>
        </w:rPr>
        <w:t>Clean Air Act</w:t>
      </w:r>
      <w:r w:rsidRPr="00217564">
        <w:rPr>
          <w:rFonts w:asciiTheme="majorHAnsi" w:eastAsia="Times New Roman" w:hAnsiTheme="majorHAnsi"/>
        </w:rPr>
        <w:t xml:space="preserve">, states added to the OTR would have to use readily available control technologies </w:t>
      </w:r>
      <w:r>
        <w:rPr>
          <w:rFonts w:asciiTheme="majorHAnsi" w:eastAsia="Times New Roman" w:hAnsiTheme="majorHAnsi"/>
        </w:rPr>
        <w:t xml:space="preserve">and rely on cleaner fuels to generate power, </w:t>
      </w:r>
      <w:r w:rsidRPr="00217564">
        <w:rPr>
          <w:rFonts w:asciiTheme="majorHAnsi" w:eastAsia="Times New Roman" w:hAnsiTheme="majorHAnsi"/>
        </w:rPr>
        <w:t xml:space="preserve">consistent with the </w:t>
      </w:r>
      <w:proofErr w:type="gramStart"/>
      <w:r w:rsidRPr="00217564">
        <w:rPr>
          <w:rFonts w:asciiTheme="majorHAnsi" w:eastAsia="Times New Roman" w:hAnsiTheme="majorHAnsi"/>
        </w:rPr>
        <w:t>air pollution control efforts</w:t>
      </w:r>
      <w:proofErr w:type="gramEnd"/>
      <w:r w:rsidRPr="00217564">
        <w:rPr>
          <w:rFonts w:asciiTheme="majorHAnsi" w:eastAsia="Times New Roman" w:hAnsiTheme="majorHAnsi"/>
        </w:rPr>
        <w:t xml:space="preserve"> of the downwind states. If approved by the EPA, generators in New England may have an easier and less costly time meeting federal clean air standards </w:t>
      </w:r>
      <w:r>
        <w:rPr>
          <w:rFonts w:asciiTheme="majorHAnsi" w:eastAsia="Times New Roman" w:hAnsiTheme="majorHAnsi"/>
        </w:rPr>
        <w:t xml:space="preserve">resulting from </w:t>
      </w:r>
      <w:r w:rsidRPr="00217564">
        <w:rPr>
          <w:rFonts w:asciiTheme="majorHAnsi" w:eastAsia="Times New Roman" w:hAnsiTheme="majorHAnsi"/>
        </w:rPr>
        <w:t>reduced emissions from new upwind OTR states.</w:t>
      </w:r>
    </w:p>
    <w:p w:rsidR="00B4202D" w:rsidRPr="00CD1E63" w:rsidRDefault="00D2141F" w:rsidP="00CD1E63">
      <w:pPr>
        <w:pStyle w:val="Heading4"/>
      </w:pPr>
      <w:r w:rsidRPr="00CD1E63">
        <w:t xml:space="preserve">Regional Emissions Trends </w:t>
      </w:r>
    </w:p>
    <w:p w:rsidR="00D2141F" w:rsidRPr="00CD7467" w:rsidRDefault="00D2141F" w:rsidP="00D2141F">
      <w:pPr>
        <w:spacing w:after="200" w:line="276" w:lineRule="auto"/>
        <w:rPr>
          <w:szCs w:val="36"/>
        </w:rPr>
      </w:pPr>
      <w:r w:rsidRPr="0031595E">
        <w:rPr>
          <w:szCs w:val="36"/>
        </w:rPr>
        <w:t>Since 2001, the ISO has tracked the system emission rates and trends for NO</w:t>
      </w:r>
      <w:r w:rsidRPr="0031595E">
        <w:rPr>
          <w:szCs w:val="36"/>
          <w:vertAlign w:val="subscript"/>
        </w:rPr>
        <w:t>X</w:t>
      </w:r>
      <w:r w:rsidRPr="0031595E">
        <w:rPr>
          <w:szCs w:val="36"/>
        </w:rPr>
        <w:t>, SO</w:t>
      </w:r>
      <w:r w:rsidRPr="0031595E">
        <w:rPr>
          <w:szCs w:val="36"/>
          <w:vertAlign w:val="subscript"/>
        </w:rPr>
        <w:t>X</w:t>
      </w:r>
      <w:r w:rsidRPr="0031595E">
        <w:rPr>
          <w:szCs w:val="36"/>
        </w:rPr>
        <w:t>, and CO</w:t>
      </w:r>
      <w:r w:rsidRPr="0031595E">
        <w:rPr>
          <w:szCs w:val="36"/>
          <w:vertAlign w:val="subscript"/>
        </w:rPr>
        <w:t>2</w:t>
      </w:r>
      <w:r w:rsidRPr="0031595E">
        <w:rPr>
          <w:szCs w:val="36"/>
        </w:rPr>
        <w:t xml:space="preserve"> to help gauge</w:t>
      </w:r>
      <w:r w:rsidRPr="00217BF0">
        <w:rPr>
          <w:szCs w:val="36"/>
        </w:rPr>
        <w:t xml:space="preserve"> the </w:t>
      </w:r>
      <w:r w:rsidRPr="00CD7467">
        <w:rPr>
          <w:szCs w:val="36"/>
        </w:rPr>
        <w:t>potential impact of future environmental regulations on the system</w:t>
      </w:r>
      <w:r>
        <w:rPr>
          <w:szCs w:val="36"/>
        </w:rPr>
        <w:t xml:space="preserve"> and in response to a request from the states for emissions data</w:t>
      </w:r>
      <w:r w:rsidRPr="00CD7467">
        <w:rPr>
          <w:szCs w:val="36"/>
        </w:rPr>
        <w:t xml:space="preserve">. </w:t>
      </w:r>
      <w:r w:rsidRPr="00217BF0">
        <w:rPr>
          <w:szCs w:val="36"/>
        </w:rPr>
        <w:t xml:space="preserve">The </w:t>
      </w:r>
      <w:r>
        <w:rPr>
          <w:szCs w:val="36"/>
        </w:rPr>
        <w:t xml:space="preserve">ISO’s </w:t>
      </w:r>
      <w:r w:rsidRPr="00217BF0">
        <w:rPr>
          <w:szCs w:val="36"/>
        </w:rPr>
        <w:t>most recent</w:t>
      </w:r>
      <w:r>
        <w:rPr>
          <w:szCs w:val="36"/>
        </w:rPr>
        <w:t xml:space="preserve"> air emissions report</w:t>
      </w:r>
      <w:r w:rsidRPr="00217BF0">
        <w:rPr>
          <w:szCs w:val="36"/>
        </w:rPr>
        <w:t xml:space="preserve">, the </w:t>
      </w:r>
      <w:r w:rsidRPr="00291654">
        <w:rPr>
          <w:i/>
          <w:szCs w:val="36"/>
        </w:rPr>
        <w:t>2012 ISO</w:t>
      </w:r>
      <w:r w:rsidRPr="00217BF0">
        <w:rPr>
          <w:i/>
          <w:szCs w:val="36"/>
        </w:rPr>
        <w:t xml:space="preserve"> New England Electric Generator Air Emissions Report</w:t>
      </w:r>
      <w:r>
        <w:rPr>
          <w:szCs w:val="36"/>
        </w:rPr>
        <w:t>,</w:t>
      </w:r>
      <w:r w:rsidRPr="00217BF0">
        <w:rPr>
          <w:szCs w:val="36"/>
        </w:rPr>
        <w:t xml:space="preserve"> provides detailed historical trends and emissions rate data using </w:t>
      </w:r>
      <w:r>
        <w:rPr>
          <w:szCs w:val="36"/>
        </w:rPr>
        <w:t xml:space="preserve">a </w:t>
      </w:r>
      <w:r w:rsidRPr="00217BF0">
        <w:rPr>
          <w:szCs w:val="36"/>
        </w:rPr>
        <w:t>methodology developed with input from stakeholders.</w:t>
      </w:r>
      <w:r w:rsidRPr="00217BF0">
        <w:rPr>
          <w:szCs w:val="36"/>
          <w:vertAlign w:val="superscript"/>
        </w:rPr>
        <w:footnoteReference w:id="307"/>
      </w:r>
      <w:r w:rsidRPr="00217BF0">
        <w:rPr>
          <w:szCs w:val="36"/>
        </w:rPr>
        <w:t xml:space="preserve"> </w:t>
      </w:r>
    </w:p>
    <w:p w:rsidR="00D2141F" w:rsidRPr="008D3FDD" w:rsidRDefault="00D2141F" w:rsidP="00D2141F">
      <w:pPr>
        <w:spacing w:after="200" w:line="276" w:lineRule="auto"/>
        <w:rPr>
          <w:rFonts w:asciiTheme="majorHAnsi" w:hAnsiTheme="majorHAnsi"/>
          <w:szCs w:val="36"/>
        </w:rPr>
      </w:pPr>
      <w:r w:rsidRPr="00BE1C42">
        <w:t>Since 2001, the annual average NO</w:t>
      </w:r>
      <w:r w:rsidRPr="00BE1C42">
        <w:rPr>
          <w:vertAlign w:val="subscript"/>
        </w:rPr>
        <w:t>X</w:t>
      </w:r>
      <w:r w:rsidRPr="00BE1C42">
        <w:t xml:space="preserve"> emission rate has decreased by 67%</w:t>
      </w:r>
      <w:r w:rsidR="00F11502">
        <w:t>;</w:t>
      </w:r>
      <w:r w:rsidRPr="00BE1C42">
        <w:t xml:space="preserve"> SO</w:t>
      </w:r>
      <w:r w:rsidRPr="00BE1C42">
        <w:rPr>
          <w:vertAlign w:val="subscript"/>
        </w:rPr>
        <w:t>2</w:t>
      </w:r>
      <w:r w:rsidR="00F11502">
        <w:t>,</w:t>
      </w:r>
      <w:r w:rsidRPr="00BE1C42">
        <w:t xml:space="preserve"> by 92%</w:t>
      </w:r>
      <w:r w:rsidR="00F11502">
        <w:t>;</w:t>
      </w:r>
      <w:r w:rsidRPr="00BE1C42">
        <w:t xml:space="preserve"> and CO</w:t>
      </w:r>
      <w:r w:rsidRPr="00BE1C42">
        <w:rPr>
          <w:vertAlign w:val="subscript"/>
        </w:rPr>
        <w:t>2</w:t>
      </w:r>
      <w:r w:rsidR="00F11502">
        <w:t>,</w:t>
      </w:r>
      <w:r w:rsidRPr="00BE1C42">
        <w:t xml:space="preserve"> by 23%</w:t>
      </w:r>
      <w:r>
        <w:t xml:space="preserve"> </w:t>
      </w:r>
      <w:r w:rsidRPr="008D3FDD">
        <w:rPr>
          <w:rFonts w:asciiTheme="majorHAnsi" w:hAnsiTheme="majorHAnsi"/>
        </w:rPr>
        <w:t xml:space="preserve">(see </w:t>
      </w:r>
      <w:fldSimple w:instr=" REF _Ref388530100 \h  \* MERGEFORMAT ">
        <w:r w:rsidR="00284CE3" w:rsidRPr="00284CE3">
          <w:rPr>
            <w:rFonts w:asciiTheme="majorHAnsi" w:hAnsiTheme="majorHAnsi"/>
            <w:bCs/>
            <w:szCs w:val="18"/>
          </w:rPr>
          <w:t xml:space="preserve">Figure </w:t>
        </w:r>
        <w:r w:rsidR="00284CE3" w:rsidRPr="00284CE3">
          <w:rPr>
            <w:rFonts w:asciiTheme="majorHAnsi" w:hAnsiTheme="majorHAnsi"/>
            <w:bCs/>
            <w:noProof/>
            <w:szCs w:val="18"/>
          </w:rPr>
          <w:t>6</w:t>
        </w:r>
        <w:r w:rsidR="00284CE3" w:rsidRPr="00284CE3">
          <w:rPr>
            <w:rFonts w:asciiTheme="majorHAnsi" w:hAnsiTheme="majorHAnsi"/>
            <w:bCs/>
            <w:noProof/>
            <w:szCs w:val="18"/>
          </w:rPr>
          <w:noBreakHyphen/>
          <w:t>14</w:t>
        </w:r>
      </w:fldSimple>
      <w:r w:rsidRPr="008D3FDD">
        <w:rPr>
          <w:rFonts w:asciiTheme="majorHAnsi" w:hAnsiTheme="majorHAnsi"/>
        </w:rPr>
        <w:t xml:space="preserve">). </w:t>
      </w:r>
    </w:p>
    <w:p w:rsidR="00D2141F" w:rsidRDefault="00D2141F" w:rsidP="00D2141F">
      <w:pPr>
        <w:spacing w:after="0" w:line="240" w:lineRule="auto"/>
        <w:jc w:val="center"/>
        <w:rPr>
          <w:szCs w:val="36"/>
        </w:rPr>
      </w:pPr>
      <w:r>
        <w:rPr>
          <w:noProof/>
          <w:szCs w:val="36"/>
        </w:rPr>
        <w:drawing>
          <wp:inline distT="0" distB="0" distL="0" distR="0">
            <wp:extent cx="4827905" cy="2328378"/>
            <wp:effectExtent l="19050" t="19050" r="10795" b="14772"/>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4831466" cy="2330096"/>
                    </a:xfrm>
                    <a:prstGeom prst="rect">
                      <a:avLst/>
                    </a:prstGeom>
                    <a:noFill/>
                    <a:ln w="9525">
                      <a:solidFill>
                        <a:schemeClr val="tx1"/>
                      </a:solidFill>
                      <a:miter lim="800000"/>
                      <a:headEnd/>
                      <a:tailEnd/>
                    </a:ln>
                  </pic:spPr>
                </pic:pic>
              </a:graphicData>
            </a:graphic>
          </wp:inline>
        </w:drawing>
      </w:r>
    </w:p>
    <w:p w:rsidR="00D2141F" w:rsidRDefault="00D2141F" w:rsidP="00D2141F">
      <w:pPr>
        <w:keepNext/>
        <w:keepLines/>
        <w:spacing w:before="120" w:after="80" w:line="240" w:lineRule="auto"/>
        <w:ind w:left="720" w:right="720"/>
        <w:rPr>
          <w:rFonts w:ascii="Calibri" w:hAnsi="Calibri"/>
          <w:b/>
          <w:bCs/>
          <w:szCs w:val="18"/>
        </w:rPr>
      </w:pPr>
      <w:bookmarkStart w:id="752" w:name="_Ref388530100"/>
      <w:bookmarkStart w:id="753" w:name="_Toc391985589"/>
      <w:r w:rsidRPr="00BE5F64">
        <w:rPr>
          <w:rFonts w:ascii="Calibri" w:hAnsi="Calibri"/>
          <w:b/>
          <w:bCs/>
          <w:szCs w:val="18"/>
        </w:rPr>
        <w:t xml:space="preserve">Figure </w:t>
      </w:r>
      <w:r w:rsidR="00927965">
        <w:rPr>
          <w:rFonts w:ascii="Calibri" w:hAnsi="Calibri"/>
          <w:b/>
          <w:bCs/>
          <w:szCs w:val="18"/>
        </w:rPr>
        <w:fldChar w:fldCharType="begin"/>
      </w:r>
      <w:r w:rsidR="0011163E">
        <w:rPr>
          <w:rFonts w:ascii="Calibri" w:hAnsi="Calibri"/>
          <w:b/>
          <w:bCs/>
          <w:szCs w:val="18"/>
        </w:rPr>
        <w:instrText xml:space="preserve"> STYLEREF 1 \s </w:instrText>
      </w:r>
      <w:r w:rsidR="00927965">
        <w:rPr>
          <w:rFonts w:ascii="Calibri" w:hAnsi="Calibri"/>
          <w:b/>
          <w:bCs/>
          <w:szCs w:val="18"/>
        </w:rPr>
        <w:fldChar w:fldCharType="separate"/>
      </w:r>
      <w:r w:rsidR="00284CE3">
        <w:rPr>
          <w:rFonts w:ascii="Calibri" w:hAnsi="Calibri"/>
          <w:b/>
          <w:bCs/>
          <w:noProof/>
          <w:szCs w:val="18"/>
        </w:rPr>
        <w:t>6</w:t>
      </w:r>
      <w:r w:rsidR="00927965">
        <w:rPr>
          <w:rFonts w:ascii="Calibri" w:hAnsi="Calibri"/>
          <w:b/>
          <w:bCs/>
          <w:szCs w:val="18"/>
        </w:rPr>
        <w:fldChar w:fldCharType="end"/>
      </w:r>
      <w:r w:rsidR="0011163E">
        <w:rPr>
          <w:rFonts w:ascii="Calibri" w:hAnsi="Calibri"/>
          <w:b/>
          <w:bCs/>
          <w:szCs w:val="18"/>
        </w:rPr>
        <w:noBreakHyphen/>
      </w:r>
      <w:r w:rsidR="00927965">
        <w:rPr>
          <w:rFonts w:ascii="Calibri" w:hAnsi="Calibri"/>
          <w:b/>
          <w:bCs/>
          <w:szCs w:val="18"/>
        </w:rPr>
        <w:fldChar w:fldCharType="begin"/>
      </w:r>
      <w:r w:rsidR="0011163E">
        <w:rPr>
          <w:rFonts w:ascii="Calibri" w:hAnsi="Calibri"/>
          <w:b/>
          <w:bCs/>
          <w:szCs w:val="18"/>
        </w:rPr>
        <w:instrText xml:space="preserve"> SEQ Figure \* ARABIC \s 1 </w:instrText>
      </w:r>
      <w:r w:rsidR="00927965">
        <w:rPr>
          <w:rFonts w:ascii="Calibri" w:hAnsi="Calibri"/>
          <w:b/>
          <w:bCs/>
          <w:szCs w:val="18"/>
        </w:rPr>
        <w:fldChar w:fldCharType="separate"/>
      </w:r>
      <w:r w:rsidR="00284CE3">
        <w:rPr>
          <w:rFonts w:ascii="Calibri" w:hAnsi="Calibri"/>
          <w:b/>
          <w:bCs/>
          <w:noProof/>
          <w:szCs w:val="18"/>
        </w:rPr>
        <w:t>14</w:t>
      </w:r>
      <w:r w:rsidR="00927965">
        <w:rPr>
          <w:rFonts w:ascii="Calibri" w:hAnsi="Calibri"/>
          <w:b/>
          <w:bCs/>
          <w:szCs w:val="18"/>
        </w:rPr>
        <w:fldChar w:fldCharType="end"/>
      </w:r>
      <w:bookmarkEnd w:id="752"/>
      <w:r w:rsidRPr="00BE5F64">
        <w:rPr>
          <w:rFonts w:ascii="Calibri" w:hAnsi="Calibri"/>
          <w:b/>
          <w:bCs/>
          <w:szCs w:val="18"/>
        </w:rPr>
        <w:t>: Annual average NO</w:t>
      </w:r>
      <w:r w:rsidRPr="00BE5F64">
        <w:rPr>
          <w:rFonts w:ascii="Calibri" w:hAnsi="Calibri"/>
          <w:b/>
          <w:bCs/>
          <w:szCs w:val="18"/>
          <w:vertAlign w:val="subscript"/>
        </w:rPr>
        <w:t>X</w:t>
      </w:r>
      <w:r w:rsidRPr="00BE5F64">
        <w:rPr>
          <w:rFonts w:ascii="Calibri" w:hAnsi="Calibri"/>
          <w:b/>
          <w:bCs/>
          <w:szCs w:val="18"/>
        </w:rPr>
        <w:t>, SO</w:t>
      </w:r>
      <w:r w:rsidRPr="00BE5F64">
        <w:rPr>
          <w:rFonts w:ascii="Calibri" w:hAnsi="Calibri"/>
          <w:b/>
          <w:bCs/>
          <w:szCs w:val="18"/>
          <w:vertAlign w:val="subscript"/>
        </w:rPr>
        <w:t>2</w:t>
      </w:r>
      <w:r w:rsidRPr="00BE5F64">
        <w:rPr>
          <w:rFonts w:ascii="Calibri" w:hAnsi="Calibri"/>
          <w:b/>
          <w:bCs/>
          <w:szCs w:val="18"/>
        </w:rPr>
        <w:t xml:space="preserve"> and CO</w:t>
      </w:r>
      <w:r w:rsidRPr="00BE5F64">
        <w:rPr>
          <w:rFonts w:ascii="Calibri" w:hAnsi="Calibri"/>
          <w:b/>
          <w:bCs/>
          <w:szCs w:val="18"/>
          <w:vertAlign w:val="subscript"/>
        </w:rPr>
        <w:t>2</w:t>
      </w:r>
      <w:r w:rsidRPr="00BE5F64">
        <w:rPr>
          <w:rFonts w:ascii="Calibri" w:hAnsi="Calibri"/>
          <w:b/>
          <w:bCs/>
          <w:szCs w:val="18"/>
        </w:rPr>
        <w:t xml:space="preserve"> emission rates, 2001 to 2012 (lb/</w:t>
      </w:r>
      <w:proofErr w:type="spellStart"/>
      <w:r w:rsidRPr="00BE5F64">
        <w:rPr>
          <w:rFonts w:ascii="Calibri" w:hAnsi="Calibri"/>
          <w:b/>
          <w:bCs/>
          <w:szCs w:val="18"/>
        </w:rPr>
        <w:t>MWh</w:t>
      </w:r>
      <w:proofErr w:type="spellEnd"/>
      <w:r w:rsidRPr="00BE5F64">
        <w:rPr>
          <w:rFonts w:ascii="Calibri" w:hAnsi="Calibri"/>
          <w:b/>
          <w:bCs/>
          <w:szCs w:val="18"/>
        </w:rPr>
        <w:t>).</w:t>
      </w:r>
      <w:bookmarkEnd w:id="753"/>
    </w:p>
    <w:p w:rsidR="00D2141F" w:rsidRPr="007B3882" w:rsidRDefault="00D2141F" w:rsidP="00D2141F">
      <w:pPr>
        <w:keepNext/>
        <w:keepLines/>
        <w:spacing w:after="80" w:line="240" w:lineRule="auto"/>
        <w:ind w:left="720" w:right="720"/>
        <w:rPr>
          <w:rFonts w:asciiTheme="minorHAnsi" w:hAnsiTheme="minorHAnsi"/>
          <w:b/>
          <w:bCs/>
          <w:sz w:val="16"/>
          <w:szCs w:val="16"/>
        </w:rPr>
      </w:pPr>
      <w:r w:rsidRPr="007B3882">
        <w:rPr>
          <w:rFonts w:asciiTheme="minorHAnsi" w:hAnsiTheme="minorHAnsi"/>
          <w:b/>
          <w:sz w:val="16"/>
          <w:szCs w:val="16"/>
        </w:rPr>
        <w:t>Note:</w:t>
      </w:r>
      <w:r w:rsidRPr="007B3882">
        <w:rPr>
          <w:rFonts w:asciiTheme="minorHAnsi" w:hAnsiTheme="minorHAnsi"/>
          <w:sz w:val="16"/>
          <w:szCs w:val="16"/>
        </w:rPr>
        <w:t xml:space="preserve"> These annual emission rates </w:t>
      </w:r>
      <w:proofErr w:type="gramStart"/>
      <w:r w:rsidRPr="007B3882">
        <w:rPr>
          <w:rFonts w:asciiTheme="minorHAnsi" w:hAnsiTheme="minorHAnsi"/>
          <w:sz w:val="16"/>
          <w:szCs w:val="16"/>
        </w:rPr>
        <w:t>were calculated</w:t>
      </w:r>
      <w:proofErr w:type="gramEnd"/>
      <w:r w:rsidRPr="007B3882">
        <w:rPr>
          <w:rFonts w:asciiTheme="minorHAnsi" w:hAnsiTheme="minorHAnsi"/>
          <w:sz w:val="16"/>
          <w:szCs w:val="16"/>
        </w:rPr>
        <w:t xml:space="preserve"> by dividing the total air emissions by the total generation from all units.</w:t>
      </w:r>
      <w:r w:rsidRPr="007B3882">
        <w:rPr>
          <w:rFonts w:asciiTheme="minorHAnsi" w:hAnsiTheme="minorHAnsi"/>
          <w:b/>
          <w:bCs/>
          <w:sz w:val="16"/>
          <w:szCs w:val="16"/>
        </w:rPr>
        <w:t xml:space="preserve"> </w:t>
      </w:r>
    </w:p>
    <w:p w:rsidR="00D2141F" w:rsidRPr="007B3882" w:rsidRDefault="00D2141F" w:rsidP="00D2141F">
      <w:pPr>
        <w:spacing w:line="240" w:lineRule="auto"/>
        <w:ind w:left="720" w:right="720"/>
        <w:rPr>
          <w:rFonts w:asciiTheme="minorHAnsi" w:hAnsiTheme="minorHAnsi"/>
          <w:i/>
          <w:sz w:val="16"/>
          <w:szCs w:val="16"/>
        </w:rPr>
      </w:pPr>
      <w:r w:rsidRPr="007B3882">
        <w:rPr>
          <w:rFonts w:asciiTheme="minorHAnsi" w:hAnsiTheme="minorHAnsi"/>
          <w:b/>
          <w:sz w:val="16"/>
          <w:szCs w:val="16"/>
        </w:rPr>
        <w:t>Source:</w:t>
      </w:r>
      <w:r w:rsidRPr="007B3882">
        <w:rPr>
          <w:rFonts w:asciiTheme="minorHAnsi" w:hAnsiTheme="minorHAnsi"/>
          <w:sz w:val="16"/>
          <w:szCs w:val="16"/>
        </w:rPr>
        <w:t xml:space="preserve"> </w:t>
      </w:r>
      <w:r w:rsidRPr="007B3882">
        <w:rPr>
          <w:rFonts w:asciiTheme="minorHAnsi" w:hAnsiTheme="minorHAnsi"/>
          <w:i/>
          <w:sz w:val="16"/>
          <w:szCs w:val="16"/>
        </w:rPr>
        <w:t>2012 ISO New England System Air Emissions Report</w:t>
      </w:r>
      <w:r w:rsidR="00EA5DBF" w:rsidRPr="007B3882">
        <w:rPr>
          <w:rFonts w:asciiTheme="minorHAnsi" w:hAnsiTheme="minorHAnsi"/>
          <w:i/>
          <w:sz w:val="16"/>
          <w:szCs w:val="16"/>
        </w:rPr>
        <w:t>.</w:t>
      </w:r>
    </w:p>
    <w:p w:rsidR="00D2141F" w:rsidRDefault="00D2141F" w:rsidP="00D2141F">
      <w:r w:rsidRPr="00DF4291">
        <w:t>The declines in NO</w:t>
      </w:r>
      <w:r w:rsidRPr="00DF4291">
        <w:rPr>
          <w:vertAlign w:val="subscript"/>
        </w:rPr>
        <w:t>X</w:t>
      </w:r>
      <w:r w:rsidRPr="00DF4291">
        <w:t>, SO</w:t>
      </w:r>
      <w:r w:rsidRPr="00DF4291">
        <w:rPr>
          <w:vertAlign w:val="subscript"/>
        </w:rPr>
        <w:t>2</w:t>
      </w:r>
      <w:r w:rsidRPr="00DF4291">
        <w:t>, and CO</w:t>
      </w:r>
      <w:r w:rsidRPr="00DF4291">
        <w:rPr>
          <w:vertAlign w:val="subscript"/>
        </w:rPr>
        <w:t>2</w:t>
      </w:r>
      <w:r w:rsidRPr="00DF4291">
        <w:t xml:space="preserve"> marginal emission rates on the system between 2001 and 201</w:t>
      </w:r>
      <w:r>
        <w:t>2</w:t>
      </w:r>
      <w:r w:rsidRPr="00DF4291">
        <w:t xml:space="preserve"> reflect </w:t>
      </w:r>
      <w:r w:rsidRPr="0027707B">
        <w:t>declining capacity factors for coal- and oil-fired generators</w:t>
      </w:r>
      <w:r>
        <w:t xml:space="preserve"> during a decade when </w:t>
      </w:r>
      <w:r w:rsidRPr="0027707B">
        <w:t xml:space="preserve">natural-gas-fired combined-cycle and nuclear generators increased or maintained their share of </w:t>
      </w:r>
      <w:r w:rsidR="007B3882">
        <w:t xml:space="preserve">the </w:t>
      </w:r>
      <w:r w:rsidRPr="0027707B">
        <w:t>capacity factor.</w:t>
      </w:r>
      <w:r w:rsidRPr="00DF4291">
        <w:t xml:space="preserve"> </w:t>
      </w:r>
      <w:r>
        <w:t>T</w:t>
      </w:r>
      <w:r w:rsidRPr="002337F7">
        <w:t xml:space="preserve">otal energy generation </w:t>
      </w:r>
      <w:r>
        <w:t xml:space="preserve">for 2012 </w:t>
      </w:r>
      <w:r w:rsidRPr="002337F7">
        <w:t xml:space="preserve">was </w:t>
      </w:r>
      <w:r>
        <w:t>3% lower</w:t>
      </w:r>
      <w:r w:rsidRPr="002337F7">
        <w:t xml:space="preserve"> than </w:t>
      </w:r>
      <w:r>
        <w:t xml:space="preserve">the </w:t>
      </w:r>
      <w:r w:rsidRPr="002337F7">
        <w:t>total energy generation</w:t>
      </w:r>
      <w:r>
        <w:t xml:space="preserve"> for 2011</w:t>
      </w:r>
      <w:r w:rsidRPr="002337F7">
        <w:t>.</w:t>
      </w:r>
      <w:r>
        <w:t xml:space="preserve"> </w:t>
      </w:r>
      <w:r w:rsidRPr="002337F7">
        <w:t>This was reflected in</w:t>
      </w:r>
      <w:r>
        <w:t xml:space="preserve"> decreases in the total system emissions for </w:t>
      </w:r>
      <w:r w:rsidRPr="002337F7">
        <w:t>NO</w:t>
      </w:r>
      <w:r w:rsidRPr="002337F7">
        <w:rPr>
          <w:vertAlign w:val="subscript"/>
        </w:rPr>
        <w:t>X</w:t>
      </w:r>
      <w:r w:rsidRPr="00FB7A26">
        <w:t xml:space="preserve"> </w:t>
      </w:r>
      <w:r w:rsidRPr="00A83E3A">
        <w:t>by 19.7%</w:t>
      </w:r>
      <w:r w:rsidR="007B3882">
        <w:t>;</w:t>
      </w:r>
      <w:r w:rsidRPr="002337F7">
        <w:t xml:space="preserve"> SO</w:t>
      </w:r>
      <w:r w:rsidRPr="002337F7">
        <w:rPr>
          <w:vertAlign w:val="subscript"/>
        </w:rPr>
        <w:t>2</w:t>
      </w:r>
      <w:r w:rsidR="007B3882">
        <w:t>,</w:t>
      </w:r>
      <w:r w:rsidRPr="002337F7">
        <w:t xml:space="preserve"> </w:t>
      </w:r>
      <w:r>
        <w:t>by 70.9%</w:t>
      </w:r>
      <w:r w:rsidR="007B3882">
        <w:t>;</w:t>
      </w:r>
      <w:r>
        <w:t xml:space="preserve"> </w:t>
      </w:r>
      <w:r w:rsidRPr="002337F7">
        <w:t>and CO</w:t>
      </w:r>
      <w:r w:rsidRPr="002337F7">
        <w:rPr>
          <w:vertAlign w:val="subscript"/>
        </w:rPr>
        <w:t>2</w:t>
      </w:r>
      <w:r w:rsidR="007B3882">
        <w:t>,</w:t>
      </w:r>
      <w:r w:rsidRPr="004151CC">
        <w:t xml:space="preserve"> </w:t>
      </w:r>
      <w:r>
        <w:t>by 10.6%</w:t>
      </w:r>
      <w:r w:rsidRPr="002337F7">
        <w:t xml:space="preserve">. </w:t>
      </w:r>
      <w:r>
        <w:t>T</w:t>
      </w:r>
      <w:r w:rsidRPr="002337F7">
        <w:t xml:space="preserve">he calculated system emission rates for </w:t>
      </w:r>
      <w:r>
        <w:t>2012</w:t>
      </w:r>
      <w:r w:rsidRPr="002337F7">
        <w:t xml:space="preserve"> </w:t>
      </w:r>
      <w:r>
        <w:t>are also lower than</w:t>
      </w:r>
      <w:r w:rsidRPr="002337F7">
        <w:t xml:space="preserve"> the </w:t>
      </w:r>
      <w:r>
        <w:t>2011</w:t>
      </w:r>
      <w:r w:rsidRPr="002337F7">
        <w:t xml:space="preserve"> values</w:t>
      </w:r>
      <w:r>
        <w:t>, and t</w:t>
      </w:r>
      <w:r w:rsidRPr="002337F7">
        <w:t>he NO</w:t>
      </w:r>
      <w:r w:rsidRPr="002337F7">
        <w:rPr>
          <w:vertAlign w:val="subscript"/>
        </w:rPr>
        <w:t>X</w:t>
      </w:r>
      <w:r>
        <w:t>, SO</w:t>
      </w:r>
      <w:r w:rsidRPr="00B05D6A">
        <w:rPr>
          <w:vertAlign w:val="subscript"/>
        </w:rPr>
        <w:t>2</w:t>
      </w:r>
      <w:r>
        <w:t>,</w:t>
      </w:r>
      <w:r w:rsidRPr="002337F7">
        <w:t xml:space="preserve"> and CO</w:t>
      </w:r>
      <w:r w:rsidRPr="002337F7">
        <w:rPr>
          <w:vertAlign w:val="subscript"/>
        </w:rPr>
        <w:t xml:space="preserve">2 </w:t>
      </w:r>
      <w:r w:rsidRPr="002337F7">
        <w:t xml:space="preserve">rates </w:t>
      </w:r>
      <w:r>
        <w:t>have decreased by 16.7%, 70.5%, and 7.8%, respectively</w:t>
      </w:r>
      <w:r w:rsidRPr="002337F7">
        <w:t>.</w:t>
      </w:r>
      <w:r>
        <w:t xml:space="preserve"> The decrease in average emission rates </w:t>
      </w:r>
      <w:r w:rsidRPr="00BB64AB">
        <w:t xml:space="preserve">from 2001 to 2012 can be attributed to a decline in the cost of natural gas leading to the increased use of new, more efficient natural-gas-fired power </w:t>
      </w:r>
      <w:proofErr w:type="gramStart"/>
      <w:r w:rsidRPr="00BB64AB">
        <w:t>plants</w:t>
      </w:r>
      <w:proofErr w:type="gramEnd"/>
      <w:r w:rsidRPr="00BB64AB">
        <w:t xml:space="preserve"> and the decreased use of oil- and coal-fired power plants, plus the implementation of new emission controls on some of the region’s oil- and coal-fired units.</w:t>
      </w:r>
    </w:p>
    <w:p w:rsidR="00D2141F" w:rsidRPr="00CA2E83" w:rsidRDefault="00D2141F" w:rsidP="00D2141F">
      <w:r>
        <w:t xml:space="preserve">The increased use of non-gas-fired fossil generation, however, would increase emissions in the region. Given the increased use of oil-fired generators, especially during the winter months, annual emissions may increase in the short-term for New England. </w:t>
      </w:r>
    </w:p>
    <w:p w:rsidR="00B4202D" w:rsidRPr="009621B1" w:rsidRDefault="00D2141F" w:rsidP="009621B1">
      <w:pPr>
        <w:pStyle w:val="Heading4"/>
      </w:pPr>
      <w:bookmarkStart w:id="754" w:name="_Ref388774308"/>
      <w:r w:rsidRPr="009621B1">
        <w:t>Implications of Regional and Federal Greenhouse Gas Regulations</w:t>
      </w:r>
      <w:bookmarkEnd w:id="754"/>
      <w:r w:rsidRPr="009621B1">
        <w:t xml:space="preserve"> </w:t>
      </w:r>
    </w:p>
    <w:p w:rsidR="00D35620" w:rsidRDefault="00D2141F" w:rsidP="00D2141F">
      <w:pPr>
        <w:spacing w:after="200" w:line="276" w:lineRule="auto"/>
        <w:rPr>
          <w:szCs w:val="36"/>
        </w:rPr>
      </w:pPr>
      <w:r w:rsidRPr="00217BF0">
        <w:rPr>
          <w:szCs w:val="36"/>
        </w:rPr>
        <w:t xml:space="preserve">Fossil fuel-fired generators above 25 MW in New England are subject to </w:t>
      </w:r>
      <w:r>
        <w:rPr>
          <w:szCs w:val="36"/>
        </w:rPr>
        <w:t xml:space="preserve">the Regional Greenhouse Gas </w:t>
      </w:r>
      <w:r w:rsidRPr="00453D35">
        <w:rPr>
          <w:szCs w:val="36"/>
        </w:rPr>
        <w:t>Initiative</w:t>
      </w:r>
      <w:r w:rsidR="00D35620" w:rsidRPr="00453D35">
        <w:rPr>
          <w:szCs w:val="36"/>
        </w:rPr>
        <w:t xml:space="preserve"> </w:t>
      </w:r>
      <w:r w:rsidR="00D837D8" w:rsidRPr="00453D35">
        <w:rPr>
          <w:szCs w:val="36"/>
        </w:rPr>
        <w:t>and to potential federal regulations of</w:t>
      </w:r>
      <w:r w:rsidR="00D35620" w:rsidRPr="00453D35">
        <w:rPr>
          <w:szCs w:val="36"/>
        </w:rPr>
        <w:t xml:space="preserve"> </w:t>
      </w:r>
      <w:r w:rsidR="00D837D8" w:rsidRPr="00453D35">
        <w:rPr>
          <w:szCs w:val="36"/>
        </w:rPr>
        <w:t>greenhouse gases</w:t>
      </w:r>
      <w:r w:rsidRPr="00453D35">
        <w:rPr>
          <w:szCs w:val="36"/>
        </w:rPr>
        <w:t>.</w:t>
      </w:r>
      <w:r w:rsidRPr="00453D35">
        <w:rPr>
          <w:szCs w:val="36"/>
          <w:vertAlign w:val="superscript"/>
        </w:rPr>
        <w:footnoteReference w:id="308"/>
      </w:r>
      <w:r>
        <w:rPr>
          <w:szCs w:val="36"/>
        </w:rPr>
        <w:t xml:space="preserve"> </w:t>
      </w:r>
    </w:p>
    <w:p w:rsidR="00D2141F" w:rsidRPr="00217BF0" w:rsidRDefault="00D2141F" w:rsidP="00D2141F">
      <w:pPr>
        <w:spacing w:after="200" w:line="276" w:lineRule="auto"/>
        <w:rPr>
          <w:szCs w:val="36"/>
        </w:rPr>
      </w:pPr>
      <w:r w:rsidRPr="00217BF0">
        <w:rPr>
          <w:szCs w:val="36"/>
        </w:rPr>
        <w:t xml:space="preserve">RGGI states completed a comprehensive program review early in 2013 and issued program changes </w:t>
      </w:r>
      <w:r>
        <w:rPr>
          <w:szCs w:val="36"/>
        </w:rPr>
        <w:t xml:space="preserve">that RGGI states </w:t>
      </w:r>
      <w:r w:rsidRPr="00217BF0">
        <w:rPr>
          <w:szCs w:val="36"/>
        </w:rPr>
        <w:t>adopt</w:t>
      </w:r>
      <w:r>
        <w:rPr>
          <w:szCs w:val="36"/>
        </w:rPr>
        <w:t>ed</w:t>
      </w:r>
      <w:r w:rsidRPr="00217BF0">
        <w:rPr>
          <w:szCs w:val="36"/>
        </w:rPr>
        <w:t xml:space="preserve"> for the </w:t>
      </w:r>
      <w:r>
        <w:rPr>
          <w:szCs w:val="36"/>
        </w:rPr>
        <w:t xml:space="preserve">succeeding </w:t>
      </w:r>
      <w:r w:rsidRPr="00217BF0">
        <w:rPr>
          <w:szCs w:val="36"/>
        </w:rPr>
        <w:t xml:space="preserve">compliance period, </w:t>
      </w:r>
      <w:r>
        <w:rPr>
          <w:szCs w:val="36"/>
        </w:rPr>
        <w:t xml:space="preserve">which </w:t>
      </w:r>
      <w:r w:rsidRPr="00217BF0">
        <w:rPr>
          <w:szCs w:val="36"/>
        </w:rPr>
        <w:t>beg</w:t>
      </w:r>
      <w:r>
        <w:rPr>
          <w:szCs w:val="36"/>
        </w:rPr>
        <w:t>a</w:t>
      </w:r>
      <w:r w:rsidRPr="00217BF0">
        <w:rPr>
          <w:szCs w:val="36"/>
        </w:rPr>
        <w:t xml:space="preserve">n </w:t>
      </w:r>
      <w:r>
        <w:rPr>
          <w:szCs w:val="36"/>
        </w:rPr>
        <w:t>on January 1,</w:t>
      </w:r>
      <w:r w:rsidRPr="00217BF0">
        <w:rPr>
          <w:szCs w:val="36"/>
        </w:rPr>
        <w:t xml:space="preserve"> 2014.</w:t>
      </w:r>
      <w:r w:rsidRPr="00217BF0">
        <w:rPr>
          <w:szCs w:val="36"/>
          <w:vertAlign w:val="superscript"/>
        </w:rPr>
        <w:footnoteReference w:id="309"/>
      </w:r>
      <w:r w:rsidRPr="00217BF0">
        <w:rPr>
          <w:szCs w:val="36"/>
        </w:rPr>
        <w:t xml:space="preserve"> </w:t>
      </w:r>
      <w:r>
        <w:rPr>
          <w:szCs w:val="36"/>
        </w:rPr>
        <w:t xml:space="preserve">As shown in </w:t>
      </w:r>
      <w:r w:rsidR="00927965">
        <w:rPr>
          <w:szCs w:val="36"/>
        </w:rPr>
        <w:fldChar w:fldCharType="begin"/>
      </w:r>
      <w:r w:rsidR="005A39F4">
        <w:rPr>
          <w:szCs w:val="36"/>
        </w:rPr>
        <w:instrText xml:space="preserve"> REF _Ref388962981 \h </w:instrText>
      </w:r>
      <w:r w:rsidR="00927965">
        <w:rPr>
          <w:szCs w:val="36"/>
        </w:rPr>
      </w:r>
      <w:r w:rsidR="00927965">
        <w:rPr>
          <w:szCs w:val="36"/>
        </w:rPr>
        <w:fldChar w:fldCharType="separate"/>
      </w:r>
      <w:proofErr w:type="gramStart"/>
      <w:r w:rsidR="00284CE3">
        <w:t xml:space="preserve">Figure </w:t>
      </w:r>
      <w:r w:rsidR="00284CE3">
        <w:rPr>
          <w:noProof/>
        </w:rPr>
        <w:t>6</w:t>
      </w:r>
      <w:r w:rsidR="00284CE3">
        <w:noBreakHyphen/>
      </w:r>
      <w:r w:rsidR="00284CE3">
        <w:rPr>
          <w:noProof/>
        </w:rPr>
        <w:t>15</w:t>
      </w:r>
      <w:r w:rsidR="00927965">
        <w:rPr>
          <w:szCs w:val="36"/>
        </w:rPr>
        <w:fldChar w:fldCharType="end"/>
      </w:r>
      <w:r>
        <w:rPr>
          <w:szCs w:val="36"/>
        </w:rPr>
        <w:t>, t</w:t>
      </w:r>
      <w:r w:rsidRPr="00685166">
        <w:rPr>
          <w:szCs w:val="36"/>
        </w:rPr>
        <w:t>he RGGI model rule revisions lower</w:t>
      </w:r>
      <w:proofErr w:type="gramEnd"/>
      <w:r w:rsidRPr="00685166">
        <w:rPr>
          <w:szCs w:val="36"/>
        </w:rPr>
        <w:t xml:space="preserve"> the overall CO</w:t>
      </w:r>
      <w:r w:rsidRPr="00685166">
        <w:rPr>
          <w:szCs w:val="36"/>
          <w:vertAlign w:val="subscript"/>
        </w:rPr>
        <w:t>2</w:t>
      </w:r>
      <w:r w:rsidRPr="00685166">
        <w:rPr>
          <w:szCs w:val="36"/>
        </w:rPr>
        <w:t xml:space="preserve"> budget (annual cap) to 91 million </w:t>
      </w:r>
      <w:r w:rsidRPr="00BC5E18">
        <w:rPr>
          <w:szCs w:val="36"/>
        </w:rPr>
        <w:t>tons (</w:t>
      </w:r>
      <w:proofErr w:type="spellStart"/>
      <w:r w:rsidRPr="007C175E">
        <w:rPr>
          <w:szCs w:val="36"/>
        </w:rPr>
        <w:t>mtons</w:t>
      </w:r>
      <w:proofErr w:type="spellEnd"/>
      <w:r w:rsidRPr="00BC5E18">
        <w:rPr>
          <w:szCs w:val="36"/>
        </w:rPr>
        <w:t>) annually</w:t>
      </w:r>
      <w:r w:rsidRPr="00217BF0">
        <w:rPr>
          <w:szCs w:val="36"/>
        </w:rPr>
        <w:t xml:space="preserve"> beginning in 2014</w:t>
      </w:r>
      <w:r>
        <w:rPr>
          <w:szCs w:val="36"/>
        </w:rPr>
        <w:t>,</w:t>
      </w:r>
      <w:r w:rsidRPr="00217BF0">
        <w:rPr>
          <w:szCs w:val="36"/>
        </w:rPr>
        <w:t xml:space="preserve"> with 2.5% </w:t>
      </w:r>
      <w:r>
        <w:rPr>
          <w:szCs w:val="36"/>
        </w:rPr>
        <w:t xml:space="preserve">reductions </w:t>
      </w:r>
      <w:r w:rsidRPr="00217BF0">
        <w:rPr>
          <w:szCs w:val="36"/>
        </w:rPr>
        <w:t xml:space="preserve">each year through 2020. </w:t>
      </w:r>
    </w:p>
    <w:p w:rsidR="00D2141F" w:rsidRDefault="00D2141F" w:rsidP="00D2141F">
      <w:pPr>
        <w:keepNext/>
        <w:keepLines/>
        <w:spacing w:after="0" w:line="240" w:lineRule="auto"/>
        <w:jc w:val="center"/>
        <w:rPr>
          <w:szCs w:val="36"/>
        </w:rPr>
      </w:pPr>
      <w:r>
        <w:rPr>
          <w:noProof/>
        </w:rPr>
        <w:drawing>
          <wp:inline distT="0" distB="0" distL="0" distR="0">
            <wp:extent cx="5446560" cy="2690356"/>
            <wp:effectExtent l="19050" t="19050" r="20790" b="14744"/>
            <wp:docPr id="49" name="Picture 1" descr="Graph of RGGI CO2 emissions cap vs actual emissions, as explain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of RGGI CO2 emissions cap vs actual emissions, as explained in the article text"/>
                    <pic:cNvPicPr>
                      <a:picLocks noChangeAspect="1" noChangeArrowheads="1"/>
                    </pic:cNvPicPr>
                  </pic:nvPicPr>
                  <pic:blipFill>
                    <a:blip r:embed="rId71" cstate="print"/>
                    <a:srcRect/>
                    <a:stretch>
                      <a:fillRect/>
                    </a:stretch>
                  </pic:blipFill>
                  <pic:spPr bwMode="auto">
                    <a:xfrm>
                      <a:off x="0" y="0"/>
                      <a:ext cx="5449222" cy="2691671"/>
                    </a:xfrm>
                    <a:prstGeom prst="rect">
                      <a:avLst/>
                    </a:prstGeom>
                    <a:ln w="3175" cap="sq">
                      <a:solidFill>
                        <a:srgbClr val="000000"/>
                      </a:solidFill>
                      <a:prstDash val="solid"/>
                      <a:miter lim="800000"/>
                    </a:ln>
                    <a:effectLst/>
                  </pic:spPr>
                </pic:pic>
              </a:graphicData>
            </a:graphic>
          </wp:inline>
        </w:drawing>
      </w:r>
    </w:p>
    <w:p w:rsidR="00D2141F" w:rsidRDefault="00D2141F" w:rsidP="001466AD">
      <w:pPr>
        <w:pStyle w:val="Caption"/>
        <w:spacing w:before="120" w:after="80"/>
        <w:ind w:left="270" w:right="180"/>
        <w:jc w:val="left"/>
      </w:pPr>
      <w:bookmarkStart w:id="755" w:name="_Ref388962981"/>
      <w:bookmarkStart w:id="756" w:name="_Toc391985590"/>
      <w:r>
        <w:t xml:space="preserve">Figure </w:t>
      </w:r>
      <w:r w:rsidR="00927965">
        <w:fldChar w:fldCharType="begin"/>
      </w:r>
      <w:r w:rsidR="0011163E">
        <w:instrText xml:space="preserve"> STYLEREF 1 \s </w:instrText>
      </w:r>
      <w:r w:rsidR="00927965">
        <w:fldChar w:fldCharType="separate"/>
      </w:r>
      <w:r w:rsidR="00284CE3">
        <w:rPr>
          <w:noProof/>
        </w:rPr>
        <w:t>6</w:t>
      </w:r>
      <w:r w:rsidR="00927965">
        <w:fldChar w:fldCharType="end"/>
      </w:r>
      <w:r w:rsidR="0011163E">
        <w:noBreakHyphen/>
      </w:r>
      <w:r w:rsidR="00927965">
        <w:fldChar w:fldCharType="begin"/>
      </w:r>
      <w:r w:rsidR="0011163E">
        <w:instrText xml:space="preserve"> SEQ Figure \* ARABIC \s 1 </w:instrText>
      </w:r>
      <w:r w:rsidR="00927965">
        <w:fldChar w:fldCharType="separate"/>
      </w:r>
      <w:r w:rsidR="00284CE3">
        <w:rPr>
          <w:noProof/>
        </w:rPr>
        <w:t>15</w:t>
      </w:r>
      <w:r w:rsidR="00927965">
        <w:fldChar w:fldCharType="end"/>
      </w:r>
      <w:bookmarkEnd w:id="755"/>
      <w:r>
        <w:t>:</w:t>
      </w:r>
      <w:r w:rsidRPr="00217BF0">
        <w:t xml:space="preserve"> </w:t>
      </w:r>
      <w:r>
        <w:t>RGGI CO</w:t>
      </w:r>
      <w:r w:rsidRPr="00A83E3A">
        <w:rPr>
          <w:vertAlign w:val="subscript"/>
        </w:rPr>
        <w:t>2</w:t>
      </w:r>
      <w:r>
        <w:t xml:space="preserve"> emissions cap compared with actual/projected emissions (2005 to 2020)</w:t>
      </w:r>
      <w:r w:rsidRPr="00217BF0">
        <w:t>.</w:t>
      </w:r>
      <w:bookmarkEnd w:id="756"/>
      <w:r>
        <w:t xml:space="preserve"> </w:t>
      </w:r>
    </w:p>
    <w:p w:rsidR="00D2141F" w:rsidRPr="007B3882" w:rsidRDefault="00D2141F" w:rsidP="001466AD">
      <w:pPr>
        <w:pStyle w:val="Caption-Figure"/>
        <w:spacing w:before="0" w:after="80"/>
        <w:ind w:left="270" w:right="180"/>
        <w:rPr>
          <w:sz w:val="16"/>
          <w:szCs w:val="16"/>
        </w:rPr>
      </w:pPr>
      <w:r w:rsidRPr="007B3882">
        <w:rPr>
          <w:rFonts w:asciiTheme="minorHAnsi" w:hAnsiTheme="minorHAnsi"/>
          <w:sz w:val="16"/>
          <w:szCs w:val="16"/>
        </w:rPr>
        <w:t xml:space="preserve">Notes: </w:t>
      </w:r>
      <w:r w:rsidRPr="007B3882">
        <w:rPr>
          <w:b w:val="0"/>
          <w:sz w:val="16"/>
          <w:szCs w:val="16"/>
        </w:rPr>
        <w:t>States participating in the current program include Maine, New Hampshire, Vermont, Massachusetts, Rhode Island, Connecticut, New York, Delaware, and Maryland. New Jersey withdrew from the RGGI program in 2012. As a result, the program cap and associated emissions declined starting in 2012.</w:t>
      </w:r>
    </w:p>
    <w:p w:rsidR="00D2141F" w:rsidRPr="00A317DE" w:rsidRDefault="004E633F" w:rsidP="001466AD">
      <w:pPr>
        <w:pStyle w:val="Caption-Figure"/>
        <w:keepNext w:val="0"/>
        <w:keepLines w:val="0"/>
        <w:spacing w:before="0" w:after="240"/>
        <w:ind w:left="270" w:right="180"/>
        <w:rPr>
          <w:rFonts w:asciiTheme="minorHAnsi" w:hAnsiTheme="minorHAnsi"/>
          <w:i/>
          <w:sz w:val="16"/>
          <w:szCs w:val="16"/>
        </w:rPr>
      </w:pPr>
      <w:r>
        <w:rPr>
          <w:rFonts w:asciiTheme="minorHAnsi" w:hAnsiTheme="minorHAnsi"/>
          <w:sz w:val="16"/>
          <w:szCs w:val="16"/>
        </w:rPr>
        <w:t xml:space="preserve">Source: </w:t>
      </w:r>
      <w:r>
        <w:rPr>
          <w:rFonts w:asciiTheme="minorHAnsi" w:hAnsiTheme="minorHAnsi"/>
          <w:b w:val="0"/>
          <w:sz w:val="16"/>
          <w:szCs w:val="16"/>
        </w:rPr>
        <w:t xml:space="preserve">EIA, </w:t>
      </w:r>
      <w:hyperlink r:id="rId72" w:history="1">
        <w:r>
          <w:rPr>
            <w:rStyle w:val="Hyperlink"/>
            <w:rFonts w:asciiTheme="minorHAnsi" w:hAnsiTheme="minorHAnsi"/>
            <w:b w:val="0"/>
            <w:i/>
            <w:sz w:val="16"/>
            <w:szCs w:val="16"/>
          </w:rPr>
          <w:t>Lower Emissions Cap for Regional Greenhouse Gas Initiative Takes Effect in 2014</w:t>
        </w:r>
      </w:hyperlink>
      <w:r w:rsidR="00D837D8" w:rsidRPr="00D837D8">
        <w:rPr>
          <w:rFonts w:asciiTheme="minorHAnsi" w:hAnsiTheme="minorHAnsi"/>
          <w:b w:val="0"/>
          <w:i/>
          <w:sz w:val="16"/>
          <w:szCs w:val="16"/>
        </w:rPr>
        <w:t xml:space="preserve">, </w:t>
      </w:r>
      <w:r w:rsidR="00D837D8" w:rsidRPr="00D837D8">
        <w:rPr>
          <w:rFonts w:asciiTheme="minorHAnsi" w:hAnsiTheme="minorHAnsi"/>
          <w:b w:val="0"/>
          <w:sz w:val="16"/>
          <w:szCs w:val="16"/>
        </w:rPr>
        <w:t>(February 3, 2014).</w:t>
      </w:r>
    </w:p>
    <w:p w:rsidR="00D2141F" w:rsidRDefault="00D837D8" w:rsidP="00D2141F">
      <w:pPr>
        <w:spacing w:after="200" w:line="276" w:lineRule="auto"/>
        <w:rPr>
          <w:szCs w:val="36"/>
        </w:rPr>
      </w:pPr>
      <w:r w:rsidRPr="00AC59D7">
        <w:rPr>
          <w:szCs w:val="36"/>
        </w:rPr>
        <w:t>To account for the existing privately held CO</w:t>
      </w:r>
      <w:r w:rsidRPr="00AC59D7">
        <w:rPr>
          <w:szCs w:val="36"/>
          <w:vertAlign w:val="subscript"/>
        </w:rPr>
        <w:t>2</w:t>
      </w:r>
      <w:r w:rsidRPr="00AC59D7">
        <w:rPr>
          <w:szCs w:val="36"/>
        </w:rPr>
        <w:t xml:space="preserve"> allowances remaining from the first two compliance periods (2009 to 2011 and 2012 to 2013), in 2014, the RGGI program adjusted each state’s share of the regional CO</w:t>
      </w:r>
      <w:r w:rsidRPr="00AC59D7">
        <w:rPr>
          <w:szCs w:val="36"/>
          <w:vertAlign w:val="subscript"/>
        </w:rPr>
        <w:t>2</w:t>
      </w:r>
      <w:r w:rsidRPr="00AC59D7">
        <w:rPr>
          <w:szCs w:val="36"/>
        </w:rPr>
        <w:t xml:space="preserve"> budget by 100% of the private bank of allowances. This adjustment </w:t>
      </w:r>
      <w:proofErr w:type="gramStart"/>
      <w:r w:rsidR="00D2141F" w:rsidRPr="00AC59D7">
        <w:rPr>
          <w:szCs w:val="36"/>
        </w:rPr>
        <w:t>will be phased</w:t>
      </w:r>
      <w:proofErr w:type="gramEnd"/>
      <w:r w:rsidR="00D2141F" w:rsidRPr="00AC59D7">
        <w:rPr>
          <w:szCs w:val="36"/>
        </w:rPr>
        <w:t xml:space="preserve"> in between 2014 and 2020. Other RGGI program revisions include adding an allowance reserve to manage allowance</w:t>
      </w:r>
      <w:r w:rsidR="00D2141F" w:rsidRPr="00217BF0">
        <w:rPr>
          <w:szCs w:val="36"/>
        </w:rPr>
        <w:t xml:space="preserve"> market volatility (</w:t>
      </w:r>
      <w:r w:rsidR="00D2141F">
        <w:rPr>
          <w:szCs w:val="36"/>
        </w:rPr>
        <w:t>c</w:t>
      </w:r>
      <w:r w:rsidR="00D2141F" w:rsidRPr="00217BF0">
        <w:rPr>
          <w:szCs w:val="36"/>
        </w:rPr>
        <w:t>ost</w:t>
      </w:r>
      <w:r w:rsidR="00D2141F">
        <w:rPr>
          <w:szCs w:val="36"/>
        </w:rPr>
        <w:t>-c</w:t>
      </w:r>
      <w:r w:rsidR="00D2141F" w:rsidRPr="00217BF0">
        <w:rPr>
          <w:szCs w:val="36"/>
        </w:rPr>
        <w:t xml:space="preserve">ontainment </w:t>
      </w:r>
      <w:r w:rsidR="00D2141F">
        <w:rPr>
          <w:szCs w:val="36"/>
        </w:rPr>
        <w:t>r</w:t>
      </w:r>
      <w:r w:rsidR="00D2141F" w:rsidRPr="00217BF0">
        <w:rPr>
          <w:szCs w:val="36"/>
        </w:rPr>
        <w:t>eserve) and impos</w:t>
      </w:r>
      <w:r w:rsidR="00D2141F">
        <w:rPr>
          <w:szCs w:val="36"/>
        </w:rPr>
        <w:t>ing</w:t>
      </w:r>
      <w:r w:rsidR="00D2141F" w:rsidRPr="00217BF0">
        <w:rPr>
          <w:szCs w:val="36"/>
        </w:rPr>
        <w:t xml:space="preserve"> an interim compliance deadline requiring affected generators to hold allowances covering at least 50% of their emissions during the first two years of each three-year compliance period. RGGI states expect that these and other </w:t>
      </w:r>
      <w:r w:rsidR="00D2141F" w:rsidRPr="00CC7438">
        <w:rPr>
          <w:szCs w:val="36"/>
        </w:rPr>
        <w:t>minor technical amendments will</w:t>
      </w:r>
      <w:r w:rsidR="00D2141F" w:rsidRPr="00217BF0">
        <w:rPr>
          <w:szCs w:val="36"/>
        </w:rPr>
        <w:t xml:space="preserve"> promote a more robust and efficient allowance market.</w:t>
      </w:r>
    </w:p>
    <w:p w:rsidR="00D2141F" w:rsidRPr="00217BF0" w:rsidRDefault="00D2141F" w:rsidP="00D2141F">
      <w:pPr>
        <w:spacing w:after="200" w:line="276" w:lineRule="auto"/>
        <w:rPr>
          <w:szCs w:val="36"/>
        </w:rPr>
      </w:pPr>
      <w:r>
        <w:rPr>
          <w:szCs w:val="36"/>
        </w:rPr>
        <w:t xml:space="preserve">On January 8, 2014, </w:t>
      </w:r>
      <w:r w:rsidRPr="00217BF0">
        <w:rPr>
          <w:szCs w:val="36"/>
        </w:rPr>
        <w:t xml:space="preserve">EPA </w:t>
      </w:r>
      <w:proofErr w:type="spellStart"/>
      <w:r>
        <w:rPr>
          <w:szCs w:val="36"/>
        </w:rPr>
        <w:t>re</w:t>
      </w:r>
      <w:r w:rsidRPr="00217BF0">
        <w:rPr>
          <w:szCs w:val="36"/>
        </w:rPr>
        <w:t>proposed</w:t>
      </w:r>
      <w:proofErr w:type="spellEnd"/>
      <w:r w:rsidRPr="00217BF0">
        <w:rPr>
          <w:szCs w:val="36"/>
        </w:rPr>
        <w:t xml:space="preserve"> a GHG New Source Performance Standard (NSPS) for new fossil</w:t>
      </w:r>
      <w:r>
        <w:rPr>
          <w:szCs w:val="36"/>
        </w:rPr>
        <w:t>-</w:t>
      </w:r>
      <w:r w:rsidRPr="00217BF0">
        <w:rPr>
          <w:szCs w:val="36"/>
        </w:rPr>
        <w:t xml:space="preserve">fuel-fired combustion generators greater than 25 MW, requiring them to meet </w:t>
      </w:r>
      <w:r w:rsidRPr="00217BF0">
        <w:t xml:space="preserve">an output-based standard of </w:t>
      </w:r>
      <w:r w:rsidRPr="00217B1B">
        <w:t xml:space="preserve">1,000 pounds of </w:t>
      </w:r>
      <w:r w:rsidRPr="00217B1B">
        <w:rPr>
          <w:szCs w:val="36"/>
        </w:rPr>
        <w:t>CO</w:t>
      </w:r>
      <w:r w:rsidRPr="00217B1B">
        <w:rPr>
          <w:szCs w:val="36"/>
          <w:vertAlign w:val="subscript"/>
        </w:rPr>
        <w:t>2</w:t>
      </w:r>
      <w:r w:rsidRPr="00217B1B">
        <w:rPr>
          <w:szCs w:val="36"/>
        </w:rPr>
        <w:t>/</w:t>
      </w:r>
      <w:proofErr w:type="spellStart"/>
      <w:r w:rsidRPr="00217B1B">
        <w:rPr>
          <w:szCs w:val="36"/>
        </w:rPr>
        <w:t>MWh</w:t>
      </w:r>
      <w:proofErr w:type="spellEnd"/>
      <w:r w:rsidRPr="00217B1B">
        <w:t xml:space="preserve"> generated (lbs CO</w:t>
      </w:r>
      <w:r w:rsidRPr="00217B1B">
        <w:rPr>
          <w:vertAlign w:val="subscript"/>
        </w:rPr>
        <w:t>2</w:t>
      </w:r>
      <w:r w:rsidRPr="00217B1B">
        <w:t>/</w:t>
      </w:r>
      <w:proofErr w:type="spellStart"/>
      <w:r w:rsidRPr="00217B1B">
        <w:t>MWh</w:t>
      </w:r>
      <w:r w:rsidRPr="00217B1B">
        <w:rPr>
          <w:vertAlign w:val="subscript"/>
        </w:rPr>
        <w:t>gross</w:t>
      </w:r>
      <w:proofErr w:type="spellEnd"/>
      <w:r w:rsidRPr="007117AB">
        <w:t>).</w:t>
      </w:r>
      <w:r w:rsidRPr="007117AB">
        <w:rPr>
          <w:rStyle w:val="FootnoteReference"/>
        </w:rPr>
        <w:footnoteReference w:id="310"/>
      </w:r>
      <w:r w:rsidRPr="007117AB">
        <w:t xml:space="preserve"> At the same time, the agency withdrew an earlier proposal published in April 2012.</w:t>
      </w:r>
      <w:r w:rsidRPr="007117AB">
        <w:rPr>
          <w:vertAlign w:val="superscript"/>
        </w:rPr>
        <w:footnoteReference w:id="311"/>
      </w:r>
      <w:r w:rsidRPr="007117AB">
        <w:t xml:space="preserve"> Average CO</w:t>
      </w:r>
      <w:r w:rsidRPr="007117AB">
        <w:rPr>
          <w:vertAlign w:val="subscript"/>
        </w:rPr>
        <w:t>2</w:t>
      </w:r>
      <w:r w:rsidRPr="007117AB">
        <w:t xml:space="preserve"> emission</w:t>
      </w:r>
      <w:r w:rsidRPr="00217B1B">
        <w:t xml:space="preserve"> rates for pulverized coal steam-turbine generators </w:t>
      </w:r>
      <w:r w:rsidR="00744C05" w:rsidRPr="00217B1B">
        <w:t xml:space="preserve">range between </w:t>
      </w:r>
      <w:r w:rsidRPr="00217B1B">
        <w:t>1,</w:t>
      </w:r>
      <w:r w:rsidR="00744C05" w:rsidRPr="00217B1B">
        <w:t>8</w:t>
      </w:r>
      <w:r w:rsidRPr="00217B1B">
        <w:t xml:space="preserve">00 </w:t>
      </w:r>
      <w:r w:rsidR="00744C05" w:rsidRPr="00217B1B">
        <w:t xml:space="preserve">and 2,200 </w:t>
      </w:r>
      <w:r w:rsidRPr="00217B1B">
        <w:t>lb CO</w:t>
      </w:r>
      <w:r w:rsidRPr="00217B1B">
        <w:rPr>
          <w:vertAlign w:val="subscript"/>
        </w:rPr>
        <w:t>2</w:t>
      </w:r>
      <w:r w:rsidRPr="00217B1B">
        <w:t>/</w:t>
      </w:r>
      <w:proofErr w:type="spellStart"/>
      <w:r w:rsidRPr="00217B1B">
        <w:t>MWh</w:t>
      </w:r>
      <w:proofErr w:type="spellEnd"/>
      <w:r w:rsidRPr="00217B1B">
        <w:t>, while many natural gas combined-cycle combustion turbines in New England emit below 9</w:t>
      </w:r>
      <w:r w:rsidR="00744C05" w:rsidRPr="00217B1B">
        <w:t>5</w:t>
      </w:r>
      <w:r w:rsidRPr="00217B1B">
        <w:t>0 lb/</w:t>
      </w:r>
      <w:proofErr w:type="spellStart"/>
      <w:r w:rsidRPr="00217B1B">
        <w:t>MWh</w:t>
      </w:r>
      <w:proofErr w:type="spellEnd"/>
      <w:r w:rsidRPr="00217B1B">
        <w:t xml:space="preserve"> of CO</w:t>
      </w:r>
      <w:r w:rsidRPr="00217B1B">
        <w:rPr>
          <w:vertAlign w:val="subscript"/>
        </w:rPr>
        <w:t>2</w:t>
      </w:r>
      <w:r w:rsidRPr="00217B1B">
        <w:t xml:space="preserve"> on average. </w:t>
      </w:r>
      <w:r w:rsidR="00217B1B" w:rsidRPr="00217B1B">
        <w:t>I</w:t>
      </w:r>
      <w:r w:rsidR="00C46DB2" w:rsidRPr="00217B1B">
        <w:t xml:space="preserve">n </w:t>
      </w:r>
      <w:r w:rsidR="00217B1B" w:rsidRPr="00217B1B">
        <w:t xml:space="preserve">its </w:t>
      </w:r>
      <w:r w:rsidR="00B272C2" w:rsidRPr="00217B1B">
        <w:rPr>
          <w:i/>
        </w:rPr>
        <w:t>Annual Energy Outlook 2014</w:t>
      </w:r>
      <w:r w:rsidR="00B272C2" w:rsidRPr="00217B1B">
        <w:t xml:space="preserve"> (AEO</w:t>
      </w:r>
      <w:r w:rsidR="00C076E0">
        <w:t xml:space="preserve"> </w:t>
      </w:r>
      <w:r w:rsidR="00B272C2" w:rsidRPr="00217B1B">
        <w:t>2014)</w:t>
      </w:r>
      <w:r w:rsidR="00217B1B" w:rsidRPr="00217B1B">
        <w:t>, the EIA anticipates</w:t>
      </w:r>
      <w:r w:rsidR="00B272C2" w:rsidRPr="00217B1B">
        <w:t xml:space="preserve"> only limited construction of new coal-fired generators, </w:t>
      </w:r>
      <w:r w:rsidR="00217B1B">
        <w:t>both</w:t>
      </w:r>
      <w:r w:rsidR="00B272C2" w:rsidRPr="00217B1B">
        <w:t xml:space="preserve"> </w:t>
      </w:r>
      <w:r w:rsidR="00324D5C">
        <w:t xml:space="preserve">for </w:t>
      </w:r>
      <w:r w:rsidR="00B272C2" w:rsidRPr="00217B1B">
        <w:t xml:space="preserve">pulverized coal steam turbines </w:t>
      </w:r>
      <w:r w:rsidR="00217B1B">
        <w:t>and</w:t>
      </w:r>
      <w:r w:rsidR="00B272C2" w:rsidRPr="00217B1B">
        <w:t xml:space="preserve"> integrated gasification combined-cycle generators without carbon </w:t>
      </w:r>
      <w:r w:rsidR="00B272C2" w:rsidRPr="00324D5C">
        <w:t>capture and storage</w:t>
      </w:r>
      <w:r w:rsidR="00217B1B" w:rsidRPr="00324D5C">
        <w:t>. Th</w:t>
      </w:r>
      <w:r w:rsidR="00324D5C" w:rsidRPr="00324D5C">
        <w:t xml:space="preserve">e EIA attributes this limitation to </w:t>
      </w:r>
      <w:r w:rsidR="00B272C2" w:rsidRPr="00324D5C">
        <w:t>uncertainty about future carbon regulations, notwithstanding EPA’s flurry carbon rulemaking pursuant to the June 2, 2013</w:t>
      </w:r>
      <w:r w:rsidR="00217B1B" w:rsidRPr="00324D5C">
        <w:t>,</w:t>
      </w:r>
      <w:r w:rsidR="00B272C2" w:rsidRPr="00324D5C">
        <w:t xml:space="preserve"> Presidential Memorandum.</w:t>
      </w:r>
      <w:r w:rsidR="00B272C2" w:rsidRPr="00324D5C">
        <w:rPr>
          <w:vertAlign w:val="superscript"/>
        </w:rPr>
        <w:footnoteReference w:id="312"/>
      </w:r>
      <w:r w:rsidRPr="00217BF0">
        <w:rPr>
          <w:szCs w:val="36"/>
        </w:rPr>
        <w:t xml:space="preserve"> </w:t>
      </w:r>
    </w:p>
    <w:p w:rsidR="00D2141F" w:rsidRDefault="00D2141F" w:rsidP="00D2141F">
      <w:pPr>
        <w:spacing w:after="200" w:line="276" w:lineRule="auto"/>
        <w:rPr>
          <w:szCs w:val="36"/>
        </w:rPr>
      </w:pPr>
      <w:r w:rsidRPr="00217BF0">
        <w:rPr>
          <w:szCs w:val="36"/>
        </w:rPr>
        <w:t>EPA included new natural</w:t>
      </w:r>
      <w:r>
        <w:rPr>
          <w:szCs w:val="36"/>
        </w:rPr>
        <w:t xml:space="preserve"> </w:t>
      </w:r>
      <w:r w:rsidRPr="00217BF0">
        <w:rPr>
          <w:szCs w:val="36"/>
        </w:rPr>
        <w:t xml:space="preserve">gas </w:t>
      </w:r>
      <w:r>
        <w:rPr>
          <w:szCs w:val="36"/>
        </w:rPr>
        <w:t xml:space="preserve">combined-cycle </w:t>
      </w:r>
      <w:r w:rsidRPr="00217BF0">
        <w:rPr>
          <w:szCs w:val="36"/>
        </w:rPr>
        <w:t>generators in the proposed GHG NSPS but excluded new natural</w:t>
      </w:r>
      <w:r>
        <w:rPr>
          <w:szCs w:val="36"/>
        </w:rPr>
        <w:t xml:space="preserve"> </w:t>
      </w:r>
      <w:r w:rsidRPr="00217BF0">
        <w:rPr>
          <w:szCs w:val="36"/>
        </w:rPr>
        <w:t>gas simple-cycle combustion turbines from the standard, citing their lower GHG emissions when used primarily for peaking duty.</w:t>
      </w:r>
      <w:r w:rsidRPr="00217BF0">
        <w:rPr>
          <w:szCs w:val="36"/>
          <w:vertAlign w:val="superscript"/>
        </w:rPr>
        <w:footnoteReference w:id="313"/>
      </w:r>
      <w:r w:rsidRPr="00217BF0">
        <w:rPr>
          <w:szCs w:val="36"/>
        </w:rPr>
        <w:t xml:space="preserve"> </w:t>
      </w:r>
    </w:p>
    <w:p w:rsidR="00324D5C" w:rsidRPr="00513574" w:rsidRDefault="00492993" w:rsidP="00C46DB2">
      <w:pPr>
        <w:spacing w:after="200" w:line="276" w:lineRule="auto"/>
        <w:rPr>
          <w:color w:val="000000" w:themeColor="text1"/>
        </w:rPr>
      </w:pPr>
      <w:r>
        <w:rPr>
          <w:szCs w:val="36"/>
        </w:rPr>
        <w:t>In</w:t>
      </w:r>
      <w:r w:rsidR="00324D5C">
        <w:rPr>
          <w:szCs w:val="36"/>
        </w:rPr>
        <w:t xml:space="preserve"> June </w:t>
      </w:r>
      <w:r w:rsidR="0082756D">
        <w:rPr>
          <w:szCs w:val="36"/>
        </w:rPr>
        <w:t>2</w:t>
      </w:r>
      <w:r w:rsidR="00324D5C">
        <w:rPr>
          <w:szCs w:val="36"/>
        </w:rPr>
        <w:t xml:space="preserve">014, </w:t>
      </w:r>
      <w:r w:rsidR="00B272C2" w:rsidRPr="00324D5C">
        <w:rPr>
          <w:szCs w:val="36"/>
        </w:rPr>
        <w:t xml:space="preserve">EPA proposed </w:t>
      </w:r>
      <w:r>
        <w:rPr>
          <w:szCs w:val="36"/>
        </w:rPr>
        <w:t>Carbon Emission Guidelines for e</w:t>
      </w:r>
      <w:r w:rsidR="00B272C2" w:rsidRPr="00324D5C">
        <w:rPr>
          <w:szCs w:val="36"/>
        </w:rPr>
        <w:t xml:space="preserve">xisting </w:t>
      </w:r>
      <w:r>
        <w:rPr>
          <w:szCs w:val="36"/>
        </w:rPr>
        <w:t>fossil</w:t>
      </w:r>
      <w:r w:rsidR="00275AA2">
        <w:rPr>
          <w:szCs w:val="36"/>
        </w:rPr>
        <w:t>-</w:t>
      </w:r>
      <w:r>
        <w:rPr>
          <w:szCs w:val="36"/>
        </w:rPr>
        <w:t>fuel-fired p</w:t>
      </w:r>
      <w:r w:rsidR="00B272C2" w:rsidRPr="00324D5C">
        <w:rPr>
          <w:szCs w:val="36"/>
        </w:rPr>
        <w:t xml:space="preserve">ower </w:t>
      </w:r>
      <w:r>
        <w:rPr>
          <w:szCs w:val="36"/>
        </w:rPr>
        <w:t>p</w:t>
      </w:r>
      <w:r w:rsidR="00B272C2" w:rsidRPr="00324D5C">
        <w:rPr>
          <w:szCs w:val="36"/>
        </w:rPr>
        <w:t>lant</w:t>
      </w:r>
      <w:r>
        <w:rPr>
          <w:szCs w:val="36"/>
        </w:rPr>
        <w:t>s</w:t>
      </w:r>
      <w:r w:rsidR="00B272C2" w:rsidRPr="00324D5C">
        <w:rPr>
          <w:szCs w:val="36"/>
        </w:rPr>
        <w:t xml:space="preserve"> under </w:t>
      </w:r>
      <w:r w:rsidR="00B272C2" w:rsidRPr="00BC7A59">
        <w:rPr>
          <w:szCs w:val="36"/>
        </w:rPr>
        <w:t xml:space="preserve">Section 111(d) </w:t>
      </w:r>
      <w:r w:rsidRPr="00BC7A59">
        <w:rPr>
          <w:szCs w:val="36"/>
        </w:rPr>
        <w:t xml:space="preserve">of the </w:t>
      </w:r>
      <w:r w:rsidRPr="00BC7A59">
        <w:rPr>
          <w:i/>
          <w:szCs w:val="36"/>
        </w:rPr>
        <w:t>Clean Air Act</w:t>
      </w:r>
      <w:r w:rsidR="00B272C2" w:rsidRPr="00BC7A59">
        <w:rPr>
          <w:szCs w:val="36"/>
        </w:rPr>
        <w:t>.</w:t>
      </w:r>
      <w:r w:rsidR="00B272C2" w:rsidRPr="00BC7A59">
        <w:rPr>
          <w:rStyle w:val="FootnoteReference"/>
          <w:szCs w:val="36"/>
        </w:rPr>
        <w:footnoteReference w:id="314"/>
      </w:r>
      <w:r w:rsidR="00B272C2" w:rsidRPr="00BC7A59">
        <w:rPr>
          <w:szCs w:val="36"/>
        </w:rPr>
        <w:t xml:space="preserve"> The proposed </w:t>
      </w:r>
      <w:r w:rsidR="00BC7A59" w:rsidRPr="00BC7A59">
        <w:rPr>
          <w:szCs w:val="36"/>
        </w:rPr>
        <w:t>N</w:t>
      </w:r>
      <w:r w:rsidR="00B272C2" w:rsidRPr="00BC7A59">
        <w:rPr>
          <w:szCs w:val="36"/>
        </w:rPr>
        <w:t xml:space="preserve">SPS requires </w:t>
      </w:r>
      <w:r w:rsidR="00324D5C" w:rsidRPr="00BC7A59">
        <w:rPr>
          <w:szCs w:val="36"/>
        </w:rPr>
        <w:t xml:space="preserve">nationwide </w:t>
      </w:r>
      <w:r w:rsidR="00B272C2" w:rsidRPr="00BC7A59">
        <w:rPr>
          <w:szCs w:val="36"/>
        </w:rPr>
        <w:t>a 30</w:t>
      </w:r>
      <w:r w:rsidR="00324D5C" w:rsidRPr="00BC7A59">
        <w:rPr>
          <w:szCs w:val="36"/>
        </w:rPr>
        <w:t>%</w:t>
      </w:r>
      <w:r w:rsidR="00B272C2" w:rsidRPr="00BC7A59">
        <w:rPr>
          <w:szCs w:val="36"/>
        </w:rPr>
        <w:t xml:space="preserve"> reduction in</w:t>
      </w:r>
      <w:r w:rsidR="00B272C2" w:rsidRPr="00324D5C">
        <w:rPr>
          <w:szCs w:val="36"/>
        </w:rPr>
        <w:t xml:space="preserve"> carbon emissions from affected fossil power plants from a 2005 baseline by 2030, with much of the reductions due by an interim deadline in 2020. </w:t>
      </w:r>
      <w:r w:rsidR="00B272C2" w:rsidRPr="00513574">
        <w:rPr>
          <w:color w:val="000000" w:themeColor="text1"/>
          <w:szCs w:val="36"/>
        </w:rPr>
        <w:t>Nationwide and in New England</w:t>
      </w:r>
      <w:r w:rsidR="00513574" w:rsidRPr="00513574">
        <w:rPr>
          <w:color w:val="000000" w:themeColor="text1"/>
          <w:szCs w:val="36"/>
        </w:rPr>
        <w:t xml:space="preserve"> (shown below)</w:t>
      </w:r>
      <w:r w:rsidR="00B272C2" w:rsidRPr="00513574">
        <w:rPr>
          <w:color w:val="000000" w:themeColor="text1"/>
          <w:szCs w:val="36"/>
        </w:rPr>
        <w:t xml:space="preserve">, </w:t>
      </w:r>
      <w:r w:rsidR="00513574" w:rsidRPr="00513574">
        <w:rPr>
          <w:color w:val="000000" w:themeColor="text1"/>
          <w:szCs w:val="36"/>
        </w:rPr>
        <w:t xml:space="preserve">the </w:t>
      </w:r>
      <w:r w:rsidR="00324D5C" w:rsidRPr="00513574">
        <w:rPr>
          <w:color w:val="000000" w:themeColor="text1"/>
          <w:szCs w:val="36"/>
        </w:rPr>
        <w:t>s</w:t>
      </w:r>
      <w:r w:rsidR="00B272C2" w:rsidRPr="00513574">
        <w:rPr>
          <w:color w:val="000000" w:themeColor="text1"/>
        </w:rPr>
        <w:t xml:space="preserve">tates have differing </w:t>
      </w:r>
      <w:r w:rsidR="007117AB" w:rsidRPr="00513574">
        <w:rPr>
          <w:color w:val="000000" w:themeColor="text1"/>
        </w:rPr>
        <w:t>obligations</w:t>
      </w:r>
      <w:r w:rsidR="00513574" w:rsidRPr="00513574">
        <w:rPr>
          <w:color w:val="000000" w:themeColor="text1"/>
        </w:rPr>
        <w:t xml:space="preserve"> for reducing </w:t>
      </w:r>
      <w:r w:rsidR="00B272C2" w:rsidRPr="00513574">
        <w:rPr>
          <w:color w:val="000000" w:themeColor="text1"/>
        </w:rPr>
        <w:t>carbon emission</w:t>
      </w:r>
      <w:r w:rsidR="00513574" w:rsidRPr="00513574">
        <w:rPr>
          <w:color w:val="000000" w:themeColor="text1"/>
        </w:rPr>
        <w:t>s</w:t>
      </w:r>
      <w:r w:rsidR="00B272C2" w:rsidRPr="00513574">
        <w:rPr>
          <w:color w:val="000000" w:themeColor="text1"/>
        </w:rPr>
        <w:t xml:space="preserve"> by 2030, depending on their existing fossil generating capacity: </w:t>
      </w:r>
    </w:p>
    <w:p w:rsidR="00324D5C" w:rsidRPr="00513574" w:rsidRDefault="00B272C2" w:rsidP="00324D5C">
      <w:pPr>
        <w:numPr>
          <w:ilvl w:val="0"/>
          <w:numId w:val="584"/>
        </w:numPr>
        <w:spacing w:after="120"/>
        <w:rPr>
          <w:color w:val="000000" w:themeColor="text1"/>
        </w:rPr>
      </w:pPr>
      <w:r w:rsidRPr="00513574">
        <w:rPr>
          <w:color w:val="000000" w:themeColor="text1"/>
        </w:rPr>
        <w:t>New Hampshire (46.3%)</w:t>
      </w:r>
    </w:p>
    <w:p w:rsidR="00324D5C" w:rsidRPr="00513574" w:rsidRDefault="00B272C2" w:rsidP="00324D5C">
      <w:pPr>
        <w:numPr>
          <w:ilvl w:val="0"/>
          <w:numId w:val="584"/>
        </w:numPr>
        <w:spacing w:after="120"/>
        <w:rPr>
          <w:color w:val="000000" w:themeColor="text1"/>
        </w:rPr>
      </w:pPr>
      <w:r w:rsidRPr="00513574">
        <w:rPr>
          <w:color w:val="000000" w:themeColor="text1"/>
        </w:rPr>
        <w:t>Massachusetts (37.7%)</w:t>
      </w:r>
    </w:p>
    <w:p w:rsidR="00324D5C" w:rsidRPr="00513574" w:rsidRDefault="00B272C2" w:rsidP="00324D5C">
      <w:pPr>
        <w:numPr>
          <w:ilvl w:val="0"/>
          <w:numId w:val="584"/>
        </w:numPr>
        <w:spacing w:after="120"/>
        <w:rPr>
          <w:color w:val="000000" w:themeColor="text1"/>
        </w:rPr>
      </w:pPr>
      <w:r w:rsidRPr="00513574">
        <w:rPr>
          <w:color w:val="000000" w:themeColor="text1"/>
        </w:rPr>
        <w:t>Connecticut (29.4%)</w:t>
      </w:r>
    </w:p>
    <w:p w:rsidR="00324D5C" w:rsidRPr="00513574" w:rsidRDefault="00B272C2" w:rsidP="00324D5C">
      <w:pPr>
        <w:numPr>
          <w:ilvl w:val="0"/>
          <w:numId w:val="584"/>
        </w:numPr>
        <w:spacing w:after="120"/>
        <w:rPr>
          <w:color w:val="000000" w:themeColor="text1"/>
        </w:rPr>
      </w:pPr>
      <w:r w:rsidRPr="00513574">
        <w:rPr>
          <w:color w:val="000000" w:themeColor="text1"/>
        </w:rPr>
        <w:t>Rhode Island (13.8%)</w:t>
      </w:r>
    </w:p>
    <w:p w:rsidR="00324D5C" w:rsidRPr="00513574" w:rsidRDefault="00B272C2" w:rsidP="00324D5C">
      <w:pPr>
        <w:numPr>
          <w:ilvl w:val="0"/>
          <w:numId w:val="584"/>
        </w:numPr>
        <w:spacing w:after="120"/>
        <w:rPr>
          <w:color w:val="000000" w:themeColor="text1"/>
        </w:rPr>
      </w:pPr>
      <w:r w:rsidRPr="00513574">
        <w:rPr>
          <w:color w:val="000000" w:themeColor="text1"/>
        </w:rPr>
        <w:t>Maine (13.5%)</w:t>
      </w:r>
    </w:p>
    <w:p w:rsidR="00324D5C" w:rsidRPr="00513574" w:rsidRDefault="00324D5C" w:rsidP="00324D5C">
      <w:pPr>
        <w:numPr>
          <w:ilvl w:val="0"/>
          <w:numId w:val="584"/>
        </w:numPr>
        <w:rPr>
          <w:color w:val="000000" w:themeColor="text1"/>
        </w:rPr>
      </w:pPr>
      <w:r w:rsidRPr="00513574">
        <w:rPr>
          <w:color w:val="000000" w:themeColor="text1"/>
        </w:rPr>
        <w:t>Vermont (0%)</w:t>
      </w:r>
      <w:r w:rsidR="00B272C2" w:rsidRPr="00513574">
        <w:rPr>
          <w:color w:val="000000" w:themeColor="text1"/>
        </w:rPr>
        <w:t xml:space="preserve"> </w:t>
      </w:r>
    </w:p>
    <w:p w:rsidR="00C46DB2" w:rsidRPr="004D5D18" w:rsidRDefault="00B272C2" w:rsidP="00C46DB2">
      <w:pPr>
        <w:spacing w:after="200" w:line="276" w:lineRule="auto"/>
        <w:rPr>
          <w:szCs w:val="36"/>
        </w:rPr>
      </w:pPr>
      <w:r w:rsidRPr="00BC7A59">
        <w:rPr>
          <w:szCs w:val="36"/>
        </w:rPr>
        <w:t xml:space="preserve">Once finalized (expected by June 2015), the </w:t>
      </w:r>
      <w:r w:rsidR="00BC7A59" w:rsidRPr="00BC7A59">
        <w:rPr>
          <w:szCs w:val="36"/>
        </w:rPr>
        <w:t>N</w:t>
      </w:r>
      <w:r w:rsidRPr="00BC7A59">
        <w:rPr>
          <w:szCs w:val="36"/>
        </w:rPr>
        <w:t>SPS requires states opting for individual compliance</w:t>
      </w:r>
      <w:r w:rsidRPr="004D5D18">
        <w:rPr>
          <w:szCs w:val="36"/>
        </w:rPr>
        <w:t xml:space="preserve"> approaches to submit 111(d) S</w:t>
      </w:r>
      <w:r w:rsidR="004D5D18" w:rsidRPr="004D5D18">
        <w:rPr>
          <w:szCs w:val="36"/>
        </w:rPr>
        <w:t xml:space="preserve">IPs </w:t>
      </w:r>
      <w:r w:rsidRPr="004D5D18">
        <w:rPr>
          <w:szCs w:val="36"/>
        </w:rPr>
        <w:t xml:space="preserve">by June 2016, while states participating in multistate 111(d) submittals have until June 2018 to submit joint </w:t>
      </w:r>
      <w:r w:rsidR="004D5D18" w:rsidRPr="004D5D18">
        <w:rPr>
          <w:szCs w:val="36"/>
        </w:rPr>
        <w:t>plans</w:t>
      </w:r>
      <w:r w:rsidRPr="004D5D18">
        <w:rPr>
          <w:szCs w:val="36"/>
        </w:rPr>
        <w:t>. A wide</w:t>
      </w:r>
      <w:r w:rsidR="00092FE5">
        <w:rPr>
          <w:szCs w:val="36"/>
        </w:rPr>
        <w:t xml:space="preserve"> </w:t>
      </w:r>
      <w:r w:rsidRPr="004D5D18">
        <w:rPr>
          <w:szCs w:val="36"/>
        </w:rPr>
        <w:t xml:space="preserve">range of approaches are expected in individual 111(d) SIP submittals; however, in New England, states are expected to seek approval for RGGI participation as satisfying all 111(d) obligations. Such an approach, in turn, would minimize the compliance obligations for existing fossil fuel generators in New England. </w:t>
      </w:r>
    </w:p>
    <w:p w:rsidR="00D2141F" w:rsidRPr="00DF4291" w:rsidRDefault="00D2141F" w:rsidP="005C6088">
      <w:pPr>
        <w:pStyle w:val="Heading3"/>
        <w:rPr>
          <w:rFonts w:asciiTheme="minorHAnsi" w:hAnsiTheme="minorHAnsi"/>
        </w:rPr>
      </w:pPr>
      <w:bookmarkStart w:id="757" w:name="_Toc396807665"/>
      <w:r w:rsidRPr="00DF4291">
        <w:rPr>
          <w:rFonts w:asciiTheme="minorHAnsi" w:hAnsiTheme="minorHAnsi"/>
        </w:rPr>
        <w:t>Cost of Compliance with Environmental Regulations</w:t>
      </w:r>
      <w:bookmarkEnd w:id="757"/>
    </w:p>
    <w:p w:rsidR="00D2141F" w:rsidRPr="00730505" w:rsidRDefault="00D2141F" w:rsidP="005C4057">
      <w:r w:rsidRPr="00FB0EDA">
        <w:t xml:space="preserve">The Strategic Planning Initiative identified as a near-term issue the retirement of generating units </w:t>
      </w:r>
      <w:r>
        <w:t>resulting from the</w:t>
      </w:r>
      <w:r w:rsidRPr="00FB0EDA">
        <w:t xml:space="preserve"> costs to comply with environmental obligations. Most of the at-risk capacity faces compliance or retirement decisions later this decade and</w:t>
      </w:r>
      <w:r w:rsidRPr="00FB0EDA">
        <w:rPr>
          <w:rFonts w:asciiTheme="majorHAnsi" w:hAnsiTheme="majorHAnsi"/>
        </w:rPr>
        <w:t xml:space="preserve"> extending into the early part of the next decade</w:t>
      </w:r>
      <w:r w:rsidRPr="00FB0EDA">
        <w:t xml:space="preserve">, which </w:t>
      </w:r>
      <w:proofErr w:type="gramStart"/>
      <w:r w:rsidRPr="00FB0EDA">
        <w:t>is</w:t>
      </w:r>
      <w:r>
        <w:t xml:space="preserve"> </w:t>
      </w:r>
      <w:r w:rsidRPr="00217BF0">
        <w:t>expected</w:t>
      </w:r>
      <w:proofErr w:type="gramEnd"/>
      <w:r w:rsidRPr="00217BF0">
        <w:t xml:space="preserve"> to affect positions in upcoming FCA auctions.</w:t>
      </w:r>
      <w:r w:rsidRPr="00182F68">
        <w:rPr>
          <w:rFonts w:asciiTheme="majorHAnsi" w:hAnsiTheme="majorHAnsi"/>
        </w:rPr>
        <w:t xml:space="preserve"> </w:t>
      </w:r>
      <w:r w:rsidRPr="00217BF0">
        <w:rPr>
          <w:rFonts w:asciiTheme="majorHAnsi" w:hAnsiTheme="majorHAnsi"/>
        </w:rPr>
        <w:t xml:space="preserve">The actual compliance </w:t>
      </w:r>
      <w:r w:rsidRPr="00DF4291">
        <w:rPr>
          <w:rFonts w:asciiTheme="majorHAnsi" w:hAnsiTheme="majorHAnsi"/>
        </w:rPr>
        <w:t>timelines and costs</w:t>
      </w:r>
      <w:r>
        <w:rPr>
          <w:rFonts w:asciiTheme="majorHAnsi" w:hAnsiTheme="majorHAnsi"/>
        </w:rPr>
        <w:t xml:space="preserve"> </w:t>
      </w:r>
      <w:r w:rsidRPr="00217BF0">
        <w:rPr>
          <w:rFonts w:asciiTheme="majorHAnsi" w:hAnsiTheme="majorHAnsi"/>
        </w:rPr>
        <w:t>will depend on the timing and substance of the final regulations and site-specific circumstances of the electric ge</w:t>
      </w:r>
      <w:r w:rsidRPr="00FB0EDA">
        <w:rPr>
          <w:rFonts w:asciiTheme="majorHAnsi" w:hAnsiTheme="majorHAnsi"/>
        </w:rPr>
        <w:t xml:space="preserve">nerating facilities. </w:t>
      </w:r>
      <w:r w:rsidRPr="00FB0EDA">
        <w:t xml:space="preserve">The ISO continues to identify such generators and study </w:t>
      </w:r>
      <w:r w:rsidRPr="00730505">
        <w:t>potential impacts.</w:t>
      </w:r>
    </w:p>
    <w:p w:rsidR="00D2141F" w:rsidRPr="00730505" w:rsidRDefault="00D2141F" w:rsidP="005E14EF">
      <w:pPr>
        <w:pStyle w:val="Heading2"/>
      </w:pPr>
      <w:bookmarkStart w:id="758" w:name="_Ref388713432"/>
      <w:bookmarkStart w:id="759" w:name="_Toc396807666"/>
      <w:r w:rsidRPr="00730505">
        <w:t>Update of Regional Nuclear Generation Licensing Renewals</w:t>
      </w:r>
      <w:bookmarkEnd w:id="758"/>
      <w:bookmarkEnd w:id="759"/>
      <w:r>
        <w:t xml:space="preserve"> </w:t>
      </w:r>
    </w:p>
    <w:p w:rsidR="00D2141F" w:rsidRPr="00C017DE" w:rsidRDefault="00D2141F" w:rsidP="00D2141F">
      <w:r w:rsidRPr="00C017DE">
        <w:t xml:space="preserve">New England has five nuclear generating generators: two in Waterford, Connecticut (Millstone), and one each in Seabrook, New Hampshire; Vernon, Vermont (Vermont Yankee); and Plymouth, Massachusetts (Pilgrim). </w:t>
      </w:r>
      <w:r>
        <w:t>Vermont Yankee notified the ISO on August 27, 2013, that it would cease commercial operation and negotiated an agreement with the State of Vermont to retire by the end of 2014 after exhausting its current fuel cycle.</w:t>
      </w:r>
      <w:r>
        <w:rPr>
          <w:rStyle w:val="FootnoteReference"/>
        </w:rPr>
        <w:footnoteReference w:id="315"/>
      </w:r>
      <w:r>
        <w:t xml:space="preserve"> </w:t>
      </w:r>
      <w:r w:rsidRPr="00C017DE">
        <w:t xml:space="preserve">All </w:t>
      </w:r>
      <w:r>
        <w:t xml:space="preserve">remaining </w:t>
      </w:r>
      <w:r w:rsidRPr="00C017DE">
        <w:t xml:space="preserve">nuclear generators require an operating license, which is subject to renewals or extensions, as summarized in </w:t>
      </w:r>
      <w:r w:rsidR="00927965">
        <w:fldChar w:fldCharType="begin"/>
      </w:r>
      <w:r w:rsidR="005A39F4">
        <w:instrText xml:space="preserve"> REF _Ref388963014 \h </w:instrText>
      </w:r>
      <w:r w:rsidR="00927965">
        <w:fldChar w:fldCharType="separate"/>
      </w:r>
      <w:r w:rsidR="00284CE3" w:rsidRPr="00C017DE">
        <w:t xml:space="preserve">Table </w:t>
      </w:r>
      <w:r w:rsidR="00284CE3">
        <w:rPr>
          <w:noProof/>
        </w:rPr>
        <w:t>6</w:t>
      </w:r>
      <w:r w:rsidR="00284CE3" w:rsidRPr="00C017DE">
        <w:noBreakHyphen/>
      </w:r>
      <w:r w:rsidR="00284CE3">
        <w:rPr>
          <w:noProof/>
        </w:rPr>
        <w:t>1</w:t>
      </w:r>
      <w:r w:rsidR="00927965">
        <w:fldChar w:fldCharType="end"/>
      </w:r>
      <w:r w:rsidRPr="00C017DE">
        <w:t>.</w:t>
      </w:r>
      <w:r>
        <w:t xml:space="preserve"> </w:t>
      </w:r>
    </w:p>
    <w:p w:rsidR="00D2141F" w:rsidRPr="00C017DE" w:rsidRDefault="00D2141F" w:rsidP="005C4057">
      <w:pPr>
        <w:pStyle w:val="Caption"/>
      </w:pPr>
      <w:bookmarkStart w:id="760" w:name="_Ref388963014"/>
      <w:bookmarkStart w:id="761" w:name="_Toc391985619"/>
      <w:r w:rsidRPr="00C017DE">
        <w:t xml:space="preserve">Table </w:t>
      </w:r>
      <w:r w:rsidR="00927965">
        <w:fldChar w:fldCharType="begin"/>
      </w:r>
      <w:r>
        <w:instrText xml:space="preserve"> STYLEREF 1 \s </w:instrText>
      </w:r>
      <w:r w:rsidR="00927965">
        <w:fldChar w:fldCharType="separate"/>
      </w:r>
      <w:r w:rsidR="00284CE3">
        <w:rPr>
          <w:noProof/>
        </w:rPr>
        <w:t>6</w:t>
      </w:r>
      <w:r w:rsidR="00927965">
        <w:fldChar w:fldCharType="end"/>
      </w:r>
      <w:r w:rsidRPr="00C017DE">
        <w:noBreakHyphen/>
      </w:r>
      <w:r w:rsidR="00927965">
        <w:fldChar w:fldCharType="begin"/>
      </w:r>
      <w:r>
        <w:instrText xml:space="preserve"> SEQ Table \* ARABIC \s 1 </w:instrText>
      </w:r>
      <w:r w:rsidR="00927965">
        <w:fldChar w:fldCharType="separate"/>
      </w:r>
      <w:r w:rsidR="00284CE3">
        <w:rPr>
          <w:noProof/>
        </w:rPr>
        <w:t>1</w:t>
      </w:r>
      <w:r w:rsidR="00927965">
        <w:fldChar w:fldCharType="end"/>
      </w:r>
      <w:bookmarkEnd w:id="760"/>
      <w:r w:rsidRPr="00C017DE">
        <w:br/>
        <w:t>New England Operating Nuclear Power Plants</w:t>
      </w:r>
      <w:bookmarkEnd w:id="76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188"/>
        <w:gridCol w:w="2250"/>
        <w:gridCol w:w="1260"/>
        <w:gridCol w:w="1113"/>
        <w:gridCol w:w="1228"/>
        <w:gridCol w:w="1456"/>
      </w:tblGrid>
      <w:tr w:rsidR="00D2141F" w:rsidRPr="00C017DE" w:rsidTr="00FB0184">
        <w:trPr>
          <w:jc w:val="center"/>
        </w:trPr>
        <w:tc>
          <w:tcPr>
            <w:tcW w:w="1188"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Unit Name</w:t>
            </w:r>
          </w:p>
        </w:tc>
        <w:tc>
          <w:tcPr>
            <w:tcW w:w="2250"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Operating (OP)/</w:t>
            </w:r>
            <w:r w:rsidRPr="00C017DE">
              <w:rPr>
                <w:rFonts w:asciiTheme="minorHAnsi" w:hAnsiTheme="minorHAnsi"/>
                <w:b/>
                <w:bCs/>
                <w:color w:val="FFFFFF"/>
                <w:sz w:val="18"/>
                <w:szCs w:val="18"/>
              </w:rPr>
              <w:br/>
              <w:t>Renewed License Date</w:t>
            </w:r>
          </w:p>
        </w:tc>
        <w:tc>
          <w:tcPr>
            <w:tcW w:w="1260"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License Expiration Date</w:t>
            </w:r>
          </w:p>
        </w:tc>
        <w:tc>
          <w:tcPr>
            <w:tcW w:w="1113"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Reactor Type</w:t>
            </w:r>
          </w:p>
        </w:tc>
        <w:tc>
          <w:tcPr>
            <w:tcW w:w="1228"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Electrical Output (</w:t>
            </w:r>
            <w:proofErr w:type="spellStart"/>
            <w:r w:rsidRPr="00C017DE">
              <w:rPr>
                <w:rFonts w:asciiTheme="minorHAnsi" w:hAnsiTheme="minorHAnsi"/>
                <w:b/>
                <w:bCs/>
                <w:color w:val="FFFFFF"/>
                <w:sz w:val="18"/>
                <w:szCs w:val="18"/>
              </w:rPr>
              <w:t>MWe</w:t>
            </w:r>
            <w:proofErr w:type="spellEnd"/>
            <w:r w:rsidRPr="00C017DE">
              <w:rPr>
                <w:rFonts w:asciiTheme="minorHAnsi" w:hAnsiTheme="minorHAnsi"/>
                <w:b/>
                <w:bCs/>
                <w:color w:val="FFFFFF"/>
                <w:sz w:val="18"/>
                <w:szCs w:val="18"/>
              </w:rPr>
              <w:t>)</w:t>
            </w:r>
            <w:r w:rsidRPr="00C017DE">
              <w:rPr>
                <w:rFonts w:asciiTheme="minorHAnsi" w:hAnsiTheme="minorHAnsi"/>
                <w:b/>
                <w:bCs/>
                <w:color w:val="FFFFFF"/>
                <w:sz w:val="18"/>
                <w:szCs w:val="18"/>
                <w:vertAlign w:val="superscript"/>
              </w:rPr>
              <w:t>(a)</w:t>
            </w:r>
          </w:p>
        </w:tc>
        <w:tc>
          <w:tcPr>
            <w:tcW w:w="1456" w:type="dxa"/>
            <w:shd w:val="clear" w:color="auto" w:fill="85AFF2" w:themeFill="text2" w:themeFillTint="66"/>
            <w:tcMar>
              <w:top w:w="29" w:type="dxa"/>
              <w:left w:w="115" w:type="dxa"/>
              <w:bottom w:w="29" w:type="dxa"/>
              <w:right w:w="115" w:type="dxa"/>
            </w:tcMar>
            <w:vAlign w:val="center"/>
            <w:hideMark/>
          </w:tcPr>
          <w:p w:rsidR="00D2141F" w:rsidRPr="00C017DE" w:rsidRDefault="00D2141F" w:rsidP="005C4057">
            <w:pPr>
              <w:keepNext/>
              <w:keepLines/>
              <w:spacing w:after="0" w:line="240" w:lineRule="auto"/>
              <w:jc w:val="center"/>
              <w:rPr>
                <w:rFonts w:asciiTheme="minorHAnsi" w:hAnsiTheme="minorHAnsi"/>
                <w:b/>
                <w:bCs/>
                <w:color w:val="FFFFFF"/>
                <w:sz w:val="18"/>
                <w:szCs w:val="18"/>
              </w:rPr>
            </w:pPr>
            <w:r w:rsidRPr="00C017DE">
              <w:rPr>
                <w:rFonts w:asciiTheme="minorHAnsi" w:hAnsiTheme="minorHAnsi"/>
                <w:b/>
                <w:bCs/>
                <w:color w:val="FFFFFF"/>
                <w:sz w:val="18"/>
                <w:szCs w:val="18"/>
              </w:rPr>
              <w:t>Reactor Vendor/Type</w:t>
            </w:r>
          </w:p>
        </w:tc>
      </w:tr>
      <w:tr w:rsidR="00D2141F" w:rsidRPr="00C017DE" w:rsidTr="00FB0184">
        <w:trPr>
          <w:jc w:val="center"/>
        </w:trPr>
        <w:tc>
          <w:tcPr>
            <w:tcW w:w="1188"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Millstone 2</w:t>
            </w:r>
          </w:p>
        </w:tc>
        <w:tc>
          <w:tcPr>
            <w:tcW w:w="225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September 26, 1975/</w:t>
            </w:r>
            <w:r w:rsidRPr="00C017DE">
              <w:rPr>
                <w:rFonts w:asciiTheme="minorHAnsi" w:hAnsiTheme="minorHAnsi"/>
                <w:sz w:val="18"/>
                <w:szCs w:val="18"/>
              </w:rPr>
              <w:br/>
              <w:t>November 28, 2005</w:t>
            </w:r>
          </w:p>
        </w:tc>
        <w:tc>
          <w:tcPr>
            <w:tcW w:w="126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July 31, 2035</w:t>
            </w:r>
          </w:p>
        </w:tc>
        <w:tc>
          <w:tcPr>
            <w:tcW w:w="1113"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884</w:t>
            </w:r>
          </w:p>
        </w:tc>
        <w:tc>
          <w:tcPr>
            <w:tcW w:w="1456"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Combustion Engineering (vendor)</w:t>
            </w:r>
          </w:p>
        </w:tc>
      </w:tr>
      <w:tr w:rsidR="00D2141F" w:rsidRPr="00C017DE" w:rsidTr="00FB0184">
        <w:trPr>
          <w:jc w:val="center"/>
        </w:trPr>
        <w:tc>
          <w:tcPr>
            <w:tcW w:w="1188"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Millstone 3</w:t>
            </w:r>
          </w:p>
        </w:tc>
        <w:tc>
          <w:tcPr>
            <w:tcW w:w="2250"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January 31, 1986/</w:t>
            </w:r>
          </w:p>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November 28,</w:t>
            </w:r>
            <w:r>
              <w:rPr>
                <w:rFonts w:asciiTheme="minorHAnsi" w:hAnsiTheme="minorHAnsi"/>
                <w:sz w:val="18"/>
                <w:szCs w:val="18"/>
              </w:rPr>
              <w:t xml:space="preserve"> </w:t>
            </w:r>
            <w:r w:rsidRPr="00C017DE">
              <w:rPr>
                <w:rFonts w:asciiTheme="minorHAnsi" w:hAnsiTheme="minorHAnsi"/>
                <w:sz w:val="18"/>
                <w:szCs w:val="18"/>
              </w:rPr>
              <w:t>2005</w:t>
            </w:r>
          </w:p>
        </w:tc>
        <w:tc>
          <w:tcPr>
            <w:tcW w:w="1260"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November 25, 2045</w:t>
            </w:r>
          </w:p>
        </w:tc>
        <w:tc>
          <w:tcPr>
            <w:tcW w:w="1113"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shd w:val="clear" w:color="auto" w:fill="C2D7F8" w:themeFill="text2" w:themeFillTint="33"/>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1,227</w:t>
            </w:r>
          </w:p>
        </w:tc>
        <w:tc>
          <w:tcPr>
            <w:tcW w:w="1456"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Westinghouse/ four-loop</w:t>
            </w:r>
          </w:p>
        </w:tc>
      </w:tr>
      <w:tr w:rsidR="00D2141F" w:rsidRPr="00C017DE" w:rsidTr="00FB0184">
        <w:trPr>
          <w:jc w:val="center"/>
        </w:trPr>
        <w:tc>
          <w:tcPr>
            <w:tcW w:w="1188"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Pilgrim</w:t>
            </w:r>
          </w:p>
        </w:tc>
        <w:tc>
          <w:tcPr>
            <w:tcW w:w="225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June 8, 1972/</w:t>
            </w:r>
          </w:p>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May 29, 2012</w:t>
            </w:r>
          </w:p>
        </w:tc>
        <w:tc>
          <w:tcPr>
            <w:tcW w:w="126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June 8, 2032</w:t>
            </w:r>
          </w:p>
        </w:tc>
        <w:tc>
          <w:tcPr>
            <w:tcW w:w="1113"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Boiling water</w:t>
            </w:r>
          </w:p>
        </w:tc>
        <w:tc>
          <w:tcPr>
            <w:tcW w:w="1228" w:type="dxa"/>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685</w:t>
            </w:r>
          </w:p>
        </w:tc>
        <w:tc>
          <w:tcPr>
            <w:tcW w:w="1456"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General Electric/</w:t>
            </w:r>
          </w:p>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type 3</w:t>
            </w:r>
          </w:p>
        </w:tc>
      </w:tr>
      <w:tr w:rsidR="00D2141F" w:rsidRPr="00C017DE" w:rsidTr="00FB0184">
        <w:trPr>
          <w:jc w:val="center"/>
        </w:trPr>
        <w:tc>
          <w:tcPr>
            <w:tcW w:w="1188"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Seabrook</w:t>
            </w:r>
          </w:p>
        </w:tc>
        <w:tc>
          <w:tcPr>
            <w:tcW w:w="2250"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OP: March 15, 1990</w:t>
            </w:r>
          </w:p>
        </w:tc>
        <w:tc>
          <w:tcPr>
            <w:tcW w:w="1260"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March 15, 2030</w:t>
            </w:r>
          </w:p>
        </w:tc>
        <w:tc>
          <w:tcPr>
            <w:tcW w:w="1113"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Pressurized water</w:t>
            </w:r>
          </w:p>
        </w:tc>
        <w:tc>
          <w:tcPr>
            <w:tcW w:w="1228" w:type="dxa"/>
            <w:shd w:val="clear" w:color="auto" w:fill="C2D7F8" w:themeFill="text2" w:themeFillTint="33"/>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1,295</w:t>
            </w:r>
          </w:p>
        </w:tc>
        <w:tc>
          <w:tcPr>
            <w:tcW w:w="1456" w:type="dxa"/>
            <w:shd w:val="clear" w:color="auto" w:fill="C2D7F8" w:themeFill="text2" w:themeFillTint="33"/>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Westinghouse/ four-loop</w:t>
            </w:r>
          </w:p>
        </w:tc>
      </w:tr>
      <w:tr w:rsidR="00D2141F" w:rsidRPr="00C017DE" w:rsidTr="00FB0184">
        <w:trPr>
          <w:jc w:val="center"/>
        </w:trPr>
        <w:tc>
          <w:tcPr>
            <w:tcW w:w="1188"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b/>
                <w:bCs/>
                <w:sz w:val="18"/>
                <w:szCs w:val="18"/>
              </w:rPr>
              <w:t>Vermont Yankee</w:t>
            </w:r>
            <w:r w:rsidRPr="00D35B05">
              <w:rPr>
                <w:rFonts w:asciiTheme="minorHAnsi" w:hAnsiTheme="minorHAnsi"/>
                <w:b/>
                <w:bCs/>
                <w:sz w:val="18"/>
                <w:szCs w:val="18"/>
                <w:vertAlign w:val="superscript"/>
              </w:rPr>
              <w:t>(b)</w:t>
            </w:r>
          </w:p>
        </w:tc>
        <w:tc>
          <w:tcPr>
            <w:tcW w:w="225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March 21, 1972/</w:t>
            </w:r>
            <w:r w:rsidRPr="00C017DE">
              <w:rPr>
                <w:rFonts w:asciiTheme="minorHAnsi" w:hAnsiTheme="minorHAnsi"/>
                <w:sz w:val="18"/>
                <w:szCs w:val="18"/>
              </w:rPr>
              <w:br/>
              <w:t>March 21, 2012</w:t>
            </w:r>
          </w:p>
        </w:tc>
        <w:tc>
          <w:tcPr>
            <w:tcW w:w="1260"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March 21, 2032</w:t>
            </w:r>
          </w:p>
        </w:tc>
        <w:tc>
          <w:tcPr>
            <w:tcW w:w="1113"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Boiling water</w:t>
            </w:r>
          </w:p>
        </w:tc>
        <w:tc>
          <w:tcPr>
            <w:tcW w:w="1228" w:type="dxa"/>
            <w:tcMar>
              <w:top w:w="29" w:type="dxa"/>
              <w:left w:w="115" w:type="dxa"/>
              <w:bottom w:w="29" w:type="dxa"/>
              <w:right w:w="115" w:type="dxa"/>
            </w:tcMar>
            <w:vAlign w:val="center"/>
            <w:hideMark/>
          </w:tcPr>
          <w:p w:rsidR="00D2141F" w:rsidRPr="00F34369" w:rsidRDefault="00D2141F" w:rsidP="005C4057">
            <w:pPr>
              <w:keepNext/>
              <w:keepLines/>
              <w:spacing w:after="0" w:line="240" w:lineRule="auto"/>
              <w:jc w:val="center"/>
              <w:rPr>
                <w:rFonts w:asciiTheme="minorHAnsi" w:eastAsiaTheme="majorEastAsia" w:hAnsiTheme="minorHAnsi" w:cstheme="majorBidi"/>
                <w:b/>
                <w:bCs/>
                <w:color w:val="0070C0"/>
                <w:sz w:val="18"/>
                <w:szCs w:val="18"/>
              </w:rPr>
            </w:pPr>
            <w:r w:rsidRPr="00F34369">
              <w:rPr>
                <w:rFonts w:asciiTheme="minorHAnsi" w:hAnsiTheme="minorHAnsi"/>
                <w:sz w:val="18"/>
                <w:szCs w:val="18"/>
              </w:rPr>
              <w:t>510</w:t>
            </w:r>
          </w:p>
        </w:tc>
        <w:tc>
          <w:tcPr>
            <w:tcW w:w="1456" w:type="dxa"/>
            <w:tcMar>
              <w:top w:w="29" w:type="dxa"/>
              <w:left w:w="115" w:type="dxa"/>
              <w:bottom w:w="29" w:type="dxa"/>
              <w:right w:w="115" w:type="dxa"/>
            </w:tcMar>
            <w:vAlign w:val="center"/>
            <w:hideMark/>
          </w:tcPr>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General Electric/</w:t>
            </w:r>
          </w:p>
          <w:p w:rsidR="00D2141F" w:rsidRPr="00C017DE" w:rsidRDefault="00D2141F" w:rsidP="005C4057">
            <w:pPr>
              <w:keepNext/>
              <w:keepLines/>
              <w:spacing w:after="0" w:line="240" w:lineRule="auto"/>
              <w:rPr>
                <w:rFonts w:asciiTheme="minorHAnsi" w:hAnsiTheme="minorHAnsi"/>
                <w:b/>
                <w:bCs/>
                <w:color w:val="0070C0"/>
                <w:sz w:val="18"/>
                <w:szCs w:val="18"/>
              </w:rPr>
            </w:pPr>
            <w:r w:rsidRPr="00C017DE">
              <w:rPr>
                <w:rFonts w:asciiTheme="minorHAnsi" w:hAnsiTheme="minorHAnsi"/>
                <w:sz w:val="18"/>
                <w:szCs w:val="18"/>
              </w:rPr>
              <w:t>type 4</w:t>
            </w:r>
          </w:p>
        </w:tc>
      </w:tr>
    </w:tbl>
    <w:p w:rsidR="00D2141F" w:rsidRPr="00246676" w:rsidRDefault="009F604E" w:rsidP="005C4057">
      <w:pPr>
        <w:keepNext/>
        <w:keepLines/>
        <w:numPr>
          <w:ilvl w:val="4"/>
          <w:numId w:val="427"/>
        </w:numPr>
        <w:spacing w:before="120" w:after="80" w:line="240" w:lineRule="auto"/>
        <w:ind w:left="548" w:hanging="274"/>
        <w:rPr>
          <w:rFonts w:asciiTheme="minorHAnsi" w:hAnsiTheme="minorHAnsi"/>
          <w:sz w:val="16"/>
          <w:szCs w:val="16"/>
        </w:rPr>
      </w:pPr>
      <w:r w:rsidRPr="00246676">
        <w:rPr>
          <w:rFonts w:asciiTheme="minorHAnsi" w:hAnsiTheme="minorHAnsi"/>
          <w:sz w:val="16"/>
          <w:szCs w:val="16"/>
        </w:rPr>
        <w:t>“</w:t>
      </w:r>
      <w:proofErr w:type="spellStart"/>
      <w:r w:rsidR="00D2141F" w:rsidRPr="00246676">
        <w:rPr>
          <w:rFonts w:asciiTheme="minorHAnsi" w:hAnsiTheme="minorHAnsi"/>
          <w:sz w:val="16"/>
          <w:szCs w:val="16"/>
        </w:rPr>
        <w:t>MWe</w:t>
      </w:r>
      <w:proofErr w:type="spellEnd"/>
      <w:r w:rsidRPr="00246676">
        <w:rPr>
          <w:rFonts w:asciiTheme="minorHAnsi" w:hAnsiTheme="minorHAnsi"/>
          <w:sz w:val="16"/>
          <w:szCs w:val="16"/>
        </w:rPr>
        <w:t>”</w:t>
      </w:r>
      <w:r w:rsidR="00D2141F" w:rsidRPr="00246676">
        <w:rPr>
          <w:rFonts w:asciiTheme="minorHAnsi" w:hAnsiTheme="minorHAnsi"/>
          <w:sz w:val="16"/>
          <w:szCs w:val="16"/>
        </w:rPr>
        <w:t xml:space="preserve"> stands for electrical megawatts. Nameplate electrical output </w:t>
      </w:r>
      <w:proofErr w:type="gramStart"/>
      <w:r w:rsidR="00D2141F" w:rsidRPr="00246676">
        <w:rPr>
          <w:rFonts w:asciiTheme="minorHAnsi" w:hAnsiTheme="minorHAnsi"/>
          <w:sz w:val="16"/>
          <w:szCs w:val="16"/>
        </w:rPr>
        <w:t>was obtained</w:t>
      </w:r>
      <w:proofErr w:type="gramEnd"/>
      <w:r w:rsidR="00D2141F" w:rsidRPr="00246676">
        <w:rPr>
          <w:rFonts w:asciiTheme="minorHAnsi" w:hAnsiTheme="minorHAnsi"/>
          <w:sz w:val="16"/>
          <w:szCs w:val="16"/>
        </w:rPr>
        <w:t xml:space="preserve"> from the Nuclear Regulatory Commission’s (NRC) website, </w:t>
      </w:r>
      <w:hyperlink r:id="rId73" w:history="1">
        <w:r w:rsidR="00D2141F" w:rsidRPr="00246676">
          <w:rPr>
            <w:rStyle w:val="Hyperlink"/>
            <w:rFonts w:asciiTheme="minorHAnsi" w:hAnsiTheme="minorHAnsi"/>
            <w:sz w:val="16"/>
            <w:szCs w:val="16"/>
          </w:rPr>
          <w:t>http://www.nrc.gov/info-finder/reactor/</w:t>
        </w:r>
      </w:hyperlink>
      <w:r w:rsidR="00D2141F" w:rsidRPr="00246676">
        <w:rPr>
          <w:rFonts w:asciiTheme="minorHAnsi" w:hAnsiTheme="minorHAnsi"/>
          <w:sz w:val="16"/>
          <w:szCs w:val="16"/>
        </w:rPr>
        <w:t>.</w:t>
      </w:r>
    </w:p>
    <w:p w:rsidR="00D2141F" w:rsidRPr="00246676" w:rsidRDefault="00D2141F" w:rsidP="00246676">
      <w:pPr>
        <w:numPr>
          <w:ilvl w:val="4"/>
          <w:numId w:val="427"/>
        </w:numPr>
        <w:spacing w:before="120" w:line="240" w:lineRule="auto"/>
        <w:ind w:left="540" w:hanging="270"/>
        <w:rPr>
          <w:rFonts w:asciiTheme="minorHAnsi" w:hAnsiTheme="minorHAnsi"/>
          <w:sz w:val="16"/>
          <w:szCs w:val="16"/>
        </w:rPr>
      </w:pPr>
      <w:r w:rsidRPr="00246676">
        <w:rPr>
          <w:rFonts w:asciiTheme="minorHAnsi" w:hAnsiTheme="minorHAnsi"/>
          <w:sz w:val="16"/>
          <w:szCs w:val="16"/>
        </w:rPr>
        <w:t>Entergy Nuclear Power Marketing intends to retire Vermont Yankee during 2014.</w:t>
      </w:r>
    </w:p>
    <w:p w:rsidR="00D2141F" w:rsidRDefault="00D2141F" w:rsidP="00246676">
      <w:pPr>
        <w:spacing w:before="120"/>
        <w:rPr>
          <w:color w:val="000000" w:themeColor="text1"/>
        </w:rPr>
      </w:pPr>
      <w:r w:rsidRPr="002A3D07">
        <w:t xml:space="preserve">Operating license renewals for several reactors in the region cannot be finalized until the </w:t>
      </w:r>
      <w:r w:rsidRPr="002A3D07">
        <w:rPr>
          <w:color w:val="000000" w:themeColor="text1"/>
        </w:rPr>
        <w:t xml:space="preserve">NRC </w:t>
      </w:r>
      <w:r>
        <w:rPr>
          <w:color w:val="000000" w:themeColor="text1"/>
        </w:rPr>
        <w:t>revises</w:t>
      </w:r>
      <w:r w:rsidRPr="002A3D07">
        <w:rPr>
          <w:color w:val="000000" w:themeColor="text1"/>
        </w:rPr>
        <w:t xml:space="preserve"> two regulations (the Temporary Storage Rule and the Waste Confidence Decision Update)</w:t>
      </w:r>
      <w:r>
        <w:rPr>
          <w:color w:val="000000" w:themeColor="text1"/>
        </w:rPr>
        <w:t xml:space="preserve"> vacated </w:t>
      </w:r>
      <w:r w:rsidRPr="002A3D07">
        <w:rPr>
          <w:color w:val="000000" w:themeColor="text1"/>
        </w:rPr>
        <w:t>by</w:t>
      </w:r>
      <w:r w:rsidRPr="007B539C">
        <w:rPr>
          <w:color w:val="000000" w:themeColor="text1"/>
        </w:rPr>
        <w:t xml:space="preserve"> </w:t>
      </w:r>
      <w:r>
        <w:rPr>
          <w:color w:val="000000" w:themeColor="text1"/>
        </w:rPr>
        <w:t>the DC Circuit Court of Appeals</w:t>
      </w:r>
      <w:r w:rsidRPr="007B539C">
        <w:rPr>
          <w:color w:val="000000" w:themeColor="text1"/>
        </w:rPr>
        <w:t>.</w:t>
      </w:r>
      <w:r w:rsidRPr="007B539C">
        <w:rPr>
          <w:rStyle w:val="FootnoteReference"/>
          <w:color w:val="000000" w:themeColor="text1"/>
        </w:rPr>
        <w:footnoteReference w:id="316"/>
      </w:r>
      <w:r w:rsidRPr="007B539C">
        <w:rPr>
          <w:color w:val="000000" w:themeColor="text1"/>
        </w:rPr>
        <w:t xml:space="preserve"> The NRC expects to complete the replacement rulemaking for these </w:t>
      </w:r>
      <w:r w:rsidRPr="002A3D07">
        <w:rPr>
          <w:color w:val="000000" w:themeColor="text1"/>
        </w:rPr>
        <w:t>matters no later than September 2014. In the meantime, licensing proceedings continue</w:t>
      </w:r>
      <w:r w:rsidRPr="00BF55BC">
        <w:rPr>
          <w:color w:val="000000" w:themeColor="text1"/>
        </w:rPr>
        <w:t xml:space="preserve">, and </w:t>
      </w:r>
      <w:r w:rsidRPr="002A3D07">
        <w:rPr>
          <w:color w:val="000000" w:themeColor="text1"/>
        </w:rPr>
        <w:t>the ISO continues to monitor the proceedings for potential impacts.</w:t>
      </w:r>
    </w:p>
    <w:p w:rsidR="00D2141F" w:rsidRDefault="00D2141F" w:rsidP="00D2141F">
      <w:pPr>
        <w:spacing w:before="120"/>
        <w:rPr>
          <w:color w:val="000000" w:themeColor="text1"/>
        </w:rPr>
      </w:pPr>
      <w:r>
        <w:rPr>
          <w:color w:val="000000" w:themeColor="text1"/>
        </w:rPr>
        <w:t xml:space="preserve">The ISO is also tracking an EPA rulemaking updating radiation standards for commercial nuclear power plants, issued in 1977, triggered by advances in radiation exposure research and radiation risk assessment, the extension of nuclear reactor operating licenses, </w:t>
      </w:r>
      <w:r w:rsidRPr="003969A6">
        <w:rPr>
          <w:color w:val="000000" w:themeColor="text1"/>
        </w:rPr>
        <w:t xml:space="preserve">growing volumes </w:t>
      </w:r>
      <w:r>
        <w:rPr>
          <w:color w:val="000000" w:themeColor="text1"/>
        </w:rPr>
        <w:t>of spent nuclear fuels onsite, and the risk of groundwater contamination.</w:t>
      </w:r>
      <w:r>
        <w:rPr>
          <w:rStyle w:val="FootnoteReference"/>
          <w:color w:val="000000" w:themeColor="text1"/>
        </w:rPr>
        <w:footnoteReference w:id="317"/>
      </w:r>
      <w:r>
        <w:rPr>
          <w:color w:val="000000" w:themeColor="text1"/>
        </w:rPr>
        <w:t xml:space="preserve"> T</w:t>
      </w:r>
      <w:r w:rsidRPr="002A3D07">
        <w:rPr>
          <w:color w:val="000000" w:themeColor="text1"/>
        </w:rPr>
        <w:t>he ISO</w:t>
      </w:r>
      <w:r>
        <w:rPr>
          <w:color w:val="000000" w:themeColor="text1"/>
        </w:rPr>
        <w:t xml:space="preserve"> will track this rulemaking and assess its potential impact on the remaining nuclear generators in New England</w:t>
      </w:r>
      <w:r w:rsidRPr="002A3D07">
        <w:rPr>
          <w:color w:val="000000" w:themeColor="text1"/>
        </w:rPr>
        <w:t>.</w:t>
      </w:r>
    </w:p>
    <w:p w:rsidR="00D2141F" w:rsidRPr="00730505" w:rsidRDefault="00D2141F" w:rsidP="005E14EF">
      <w:pPr>
        <w:pStyle w:val="Heading2"/>
      </w:pPr>
      <w:bookmarkStart w:id="762" w:name="_Toc396807667"/>
      <w:r w:rsidRPr="00730505">
        <w:t>Update on Hydroelectric Generation Relicensing</w:t>
      </w:r>
      <w:bookmarkEnd w:id="762"/>
    </w:p>
    <w:p w:rsidR="0079044C" w:rsidRDefault="00D2141F">
      <w:pPr>
        <w:rPr>
          <w:color w:val="000000" w:themeColor="text1"/>
        </w:rPr>
      </w:pPr>
      <w:r>
        <w:t xml:space="preserve">Most of the oldest generators on the system are hydroelectric generators, which include </w:t>
      </w:r>
      <w:r w:rsidRPr="009021EE">
        <w:t>1,</w:t>
      </w:r>
      <w:r w:rsidR="00ED3C25" w:rsidRPr="009021EE">
        <w:t>374</w:t>
      </w:r>
      <w:r w:rsidR="00ED3C25">
        <w:t> </w:t>
      </w:r>
      <w:r>
        <w:t xml:space="preserve">MW, or 4.3%, of installed capacity </w:t>
      </w:r>
      <w:r w:rsidRPr="00730505">
        <w:t>available</w:t>
      </w:r>
      <w:r>
        <w:t>,</w:t>
      </w:r>
      <w:r w:rsidRPr="00730505">
        <w:t xml:space="preserve"> and represent </w:t>
      </w:r>
      <w:r>
        <w:t>7,177</w:t>
      </w:r>
      <w:r w:rsidRPr="00730505">
        <w:t xml:space="preserve"> </w:t>
      </w:r>
      <w:proofErr w:type="spellStart"/>
      <w:r w:rsidRPr="00730505">
        <w:t>GWh</w:t>
      </w:r>
      <w:proofErr w:type="spellEnd"/>
      <w:r w:rsidRPr="00730505">
        <w:t xml:space="preserve">, or </w:t>
      </w:r>
      <w:r>
        <w:t>6.4</w:t>
      </w:r>
      <w:r w:rsidRPr="00730505">
        <w:t>%, of all generation in 201</w:t>
      </w:r>
      <w:r>
        <w:t>3</w:t>
      </w:r>
      <w:r w:rsidRPr="00730505">
        <w:t>. In addition to providing capacity and electric energy, hydroelectric units traditionally have been well suited to provide regulation and reserves, but they may lose</w:t>
      </w:r>
      <w:r w:rsidRPr="00BF55BC">
        <w:rPr>
          <w:color w:val="000000" w:themeColor="text1"/>
        </w:rPr>
        <w:t xml:space="preserve"> some of their ability to operate flexibly as part of </w:t>
      </w:r>
      <w:r>
        <w:rPr>
          <w:color w:val="000000" w:themeColor="text1"/>
        </w:rPr>
        <w:t xml:space="preserve">their relicensing requirements. </w:t>
      </w:r>
    </w:p>
    <w:p w:rsidR="00C50436" w:rsidRDefault="00B21AB0" w:rsidP="00AB7965">
      <w:pPr>
        <w:pStyle w:val="CommentText"/>
        <w:spacing w:line="260" w:lineRule="atLeast"/>
      </w:pPr>
      <w:r>
        <w:t xml:space="preserve">The licenses for </w:t>
      </w:r>
      <w:r w:rsidR="00316208" w:rsidRPr="00316208">
        <w:t>1,945</w:t>
      </w:r>
      <w:r w:rsidR="00D2141F" w:rsidRPr="00A027D9">
        <w:t xml:space="preserve"> MW of existing hydroelectric generators</w:t>
      </w:r>
      <w:r>
        <w:t xml:space="preserve">, </w:t>
      </w:r>
      <w:r w:rsidRPr="00A027D9">
        <w:t>including 1,720 MW of pumped-storage capacity</w:t>
      </w:r>
      <w:r>
        <w:t xml:space="preserve">, will </w:t>
      </w:r>
      <w:r w:rsidR="00D2141F" w:rsidRPr="00A027D9">
        <w:t>expir</w:t>
      </w:r>
      <w:r>
        <w:t>e</w:t>
      </w:r>
      <w:r w:rsidR="00D2141F" w:rsidRPr="00A027D9">
        <w:t xml:space="preserve"> between 2014 and 2022</w:t>
      </w:r>
      <w:r w:rsidR="00316208" w:rsidRPr="00316208">
        <w:t>.</w:t>
      </w:r>
      <w:r w:rsidR="00C50436" w:rsidRPr="00A027D9">
        <w:rPr>
          <w:rStyle w:val="FootnoteReference"/>
          <w:sz w:val="22"/>
          <w:szCs w:val="22"/>
        </w:rPr>
        <w:footnoteReference w:id="318"/>
      </w:r>
      <w:r w:rsidR="00316208" w:rsidRPr="00316208">
        <w:t xml:space="preserve"> </w:t>
      </w:r>
      <w:r w:rsidR="00D2141F" w:rsidRPr="00A027D9">
        <w:t>FERC is pursuing an integrated relicensing review</w:t>
      </w:r>
      <w:r w:rsidR="00D2141F" w:rsidRPr="009F077B">
        <w:t xml:space="preserve"> for several hydroelectric projects located on the Connecticut River with a completion deadline of April 2018 for all relicensing activities.</w:t>
      </w:r>
      <w:r w:rsidR="00D2141F" w:rsidRPr="009F077B">
        <w:rPr>
          <w:rStyle w:val="FootnoteReference"/>
          <w:sz w:val="22"/>
          <w:szCs w:val="22"/>
        </w:rPr>
        <w:footnoteReference w:id="319"/>
      </w:r>
      <w:r w:rsidR="00D2141F" w:rsidRPr="009F077B">
        <w:t xml:space="preserve"> Relicensing must take into consideration the requirements for adequately and equitably protecting and mitigating damage to fish and wildlife (and their habitats) and the recommendations of state and federal fish and wildlife agencies. The ISO is monitoring such proceedings to assess the impacts of operational restrictions, including the maintenance of minimum flows, on the ability of hydroelectric generators to offer regulation and reserve services.</w:t>
      </w:r>
    </w:p>
    <w:p w:rsidR="00D2141F" w:rsidRPr="008B07F4" w:rsidRDefault="00D2141F" w:rsidP="00AB7965">
      <w:r w:rsidRPr="008B07F4">
        <w:t xml:space="preserve">Changes enacted in FERC’s hydroelectric generation licensing requirements of the </w:t>
      </w:r>
      <w:r w:rsidRPr="008B07F4">
        <w:rPr>
          <w:i/>
        </w:rPr>
        <w:t xml:space="preserve">Hydropower Regulatory Efficiency Act of 2013 </w:t>
      </w:r>
      <w:proofErr w:type="gramStart"/>
      <w:r w:rsidRPr="008B07F4">
        <w:t>are expected</w:t>
      </w:r>
      <w:proofErr w:type="gramEnd"/>
      <w:r w:rsidRPr="008B07F4">
        <w:t xml:space="preserve"> to have modest impacts on hydroelectric capacity in New England.</w:t>
      </w:r>
      <w:r w:rsidRPr="008B07F4">
        <w:rPr>
          <w:rStyle w:val="FootnoteReference"/>
          <w:color w:val="222222"/>
        </w:rPr>
        <w:footnoteReference w:id="320"/>
      </w:r>
      <w:r w:rsidRPr="008B07F4">
        <w:t xml:space="preserve"> The changes increase the small-hydro license exemption from </w:t>
      </w:r>
      <w:proofErr w:type="gramStart"/>
      <w:r w:rsidRPr="008B07F4">
        <w:t>5</w:t>
      </w:r>
      <w:proofErr w:type="gramEnd"/>
      <w:r w:rsidRPr="008B07F4">
        <w:t> MW to 10 MW, remove conduit projects under 5 MW from FERC’s jurisdiction while preserving public review, and increase the FERC conduit license exemption to 40 MW for all projects.</w:t>
      </w:r>
    </w:p>
    <w:p w:rsidR="00B4202D" w:rsidRDefault="00D2141F" w:rsidP="005E14EF">
      <w:pPr>
        <w:pStyle w:val="Heading2"/>
      </w:pPr>
      <w:bookmarkStart w:id="763" w:name="_Ref388709721"/>
      <w:bookmarkStart w:id="764" w:name="_Ref388714679"/>
      <w:bookmarkStart w:id="765" w:name="_Ref388776132"/>
      <w:bookmarkStart w:id="766" w:name="_Ref388800922"/>
      <w:bookmarkStart w:id="767" w:name="_Ref388890795"/>
      <w:bookmarkStart w:id="768" w:name="_Toc396807668"/>
      <w:r w:rsidRPr="00FB19A1">
        <w:t>Wind and Photovoltaic Integration Activities</w:t>
      </w:r>
      <w:bookmarkEnd w:id="763"/>
      <w:bookmarkEnd w:id="764"/>
      <w:bookmarkEnd w:id="765"/>
      <w:bookmarkEnd w:id="766"/>
      <w:bookmarkEnd w:id="767"/>
      <w:bookmarkEnd w:id="768"/>
    </w:p>
    <w:p w:rsidR="00D2141F" w:rsidRDefault="00D2141F" w:rsidP="00D2141F">
      <w:r w:rsidRPr="00DF54EB">
        <w:t xml:space="preserve">The integration of large amounts of </w:t>
      </w:r>
      <w:r>
        <w:t>intermittent</w:t>
      </w:r>
      <w:r w:rsidRPr="00DF54EB">
        <w:t xml:space="preserve"> resources poses </w:t>
      </w:r>
      <w:r>
        <w:t xml:space="preserve">new </w:t>
      </w:r>
      <w:r w:rsidRPr="00DF54EB">
        <w:t xml:space="preserve">challenges to the electric power system. To address these challenges, the ISO has been conducting a number of </w:t>
      </w:r>
      <w:r w:rsidRPr="008A695B">
        <w:t>studies, gathering operational data and observations, and participating in other projects.</w:t>
      </w:r>
    </w:p>
    <w:p w:rsidR="00D2141F" w:rsidRPr="00533927" w:rsidRDefault="00D2141F" w:rsidP="005C6088">
      <w:pPr>
        <w:pStyle w:val="Heading3"/>
      </w:pPr>
      <w:bookmarkStart w:id="769" w:name="_Toc396807669"/>
      <w:r>
        <w:t>Potential System Impact</w:t>
      </w:r>
      <w:r w:rsidR="00294C06">
        <w:t>s</w:t>
      </w:r>
      <w:r>
        <w:t xml:space="preserve"> </w:t>
      </w:r>
      <w:r w:rsidR="00294C06">
        <w:t xml:space="preserve">on Fossil Fuel Generators </w:t>
      </w:r>
      <w:r>
        <w:t xml:space="preserve">of </w:t>
      </w:r>
      <w:r w:rsidR="00294C06">
        <w:t xml:space="preserve">Integrating </w:t>
      </w:r>
      <w:r>
        <w:t>Wind and Solar Resource</w:t>
      </w:r>
      <w:r w:rsidR="00294C06">
        <w:t>s</w:t>
      </w:r>
      <w:r>
        <w:t xml:space="preserve"> </w:t>
      </w:r>
      <w:bookmarkEnd w:id="769"/>
    </w:p>
    <w:p w:rsidR="00D2141F" w:rsidRDefault="00D2141F" w:rsidP="00ED3C25">
      <w:r>
        <w:t>The</w:t>
      </w:r>
      <w:r w:rsidRPr="00217564">
        <w:t xml:space="preserve"> US Department of Energy's National Renewable Energy Laboratory </w:t>
      </w:r>
      <w:r>
        <w:t xml:space="preserve">(NREL) released the second phase study examining </w:t>
      </w:r>
      <w:r w:rsidRPr="00217564">
        <w:t>the potential impacts of increasing wind and solar power generation on the operators of coal and gas plants in the West (including parts of</w:t>
      </w:r>
      <w:r>
        <w:t xml:space="preserve"> </w:t>
      </w:r>
      <w:r w:rsidRPr="00217564">
        <w:t>Canada and Mexico).</w:t>
      </w:r>
      <w:r>
        <w:rPr>
          <w:rStyle w:val="FootnoteReference"/>
        </w:rPr>
        <w:footnoteReference w:id="321"/>
      </w:r>
      <w:r w:rsidRPr="00217564">
        <w:t xml:space="preserve"> The report found that to accommodate higher amounts of wind and solar power on the electric grid, utilities will need to ramp up and ramp down </w:t>
      </w:r>
      <w:r>
        <w:t>(</w:t>
      </w:r>
      <w:r w:rsidRPr="00217564">
        <w:t>or start and stop</w:t>
      </w:r>
      <w:r>
        <w:t xml:space="preserve">) </w:t>
      </w:r>
      <w:r w:rsidRPr="00217564">
        <w:t>conventional generators more frequently than with less wind and solar</w:t>
      </w:r>
      <w:r>
        <w:t xml:space="preserve"> </w:t>
      </w:r>
      <w:r w:rsidRPr="00662BB7">
        <w:t>on the grid.</w:t>
      </w:r>
      <w:r w:rsidRPr="00217564">
        <w:t xml:space="preserve"> This report </w:t>
      </w:r>
      <w:r>
        <w:t xml:space="preserve">assessed </w:t>
      </w:r>
      <w:r w:rsidRPr="00217564">
        <w:t xml:space="preserve">various scenarios of wind and solar penetration and </w:t>
      </w:r>
      <w:r>
        <w:t xml:space="preserve">concluded </w:t>
      </w:r>
      <w:r w:rsidRPr="00217564">
        <w:t xml:space="preserve">that with about 25% of power </w:t>
      </w:r>
      <w:r>
        <w:t xml:space="preserve">supplied by </w:t>
      </w:r>
      <w:r w:rsidRPr="00217564">
        <w:t xml:space="preserve">wind and solar </w:t>
      </w:r>
      <w:r>
        <w:t xml:space="preserve">facilities </w:t>
      </w:r>
      <w:r w:rsidRPr="00217564">
        <w:t xml:space="preserve">in 2020, the </w:t>
      </w:r>
      <w:r w:rsidRPr="00662BB7">
        <w:t xml:space="preserve">projected cost savings resulting from the need for less fuel far outweighed the costs associated with increased ramping. </w:t>
      </w:r>
      <w:proofErr w:type="gramStart"/>
      <w:r w:rsidRPr="00662BB7">
        <w:t>Also</w:t>
      </w:r>
      <w:proofErr w:type="gramEnd"/>
      <w:r w:rsidRPr="00662BB7">
        <w:t>, according to this report, overall</w:t>
      </w:r>
      <w:r w:rsidRPr="00217564">
        <w:t xml:space="preserve"> emissions of SO</w:t>
      </w:r>
      <w:r w:rsidRPr="00A83E3A">
        <w:rPr>
          <w:vertAlign w:val="subscript"/>
        </w:rPr>
        <w:t>2</w:t>
      </w:r>
      <w:r>
        <w:t xml:space="preserve"> </w:t>
      </w:r>
      <w:r w:rsidRPr="00217564">
        <w:t>and NO</w:t>
      </w:r>
      <w:r w:rsidRPr="00A83E3A">
        <w:rPr>
          <w:vertAlign w:val="subscript"/>
        </w:rPr>
        <w:t>X</w:t>
      </w:r>
      <w:r>
        <w:t xml:space="preserve"> </w:t>
      </w:r>
      <w:r w:rsidRPr="00217564">
        <w:t>would be reduced despite the impacts of increased ramping.</w:t>
      </w:r>
    </w:p>
    <w:p w:rsidR="00D2141F" w:rsidRDefault="00D2141F" w:rsidP="005C6088">
      <w:pPr>
        <w:pStyle w:val="Heading3"/>
      </w:pPr>
      <w:bookmarkStart w:id="770" w:name="_Ref388714958"/>
      <w:bookmarkStart w:id="771" w:name="_Toc396807670"/>
      <w:r>
        <w:t>Wind Forecasting and Dispatch</w:t>
      </w:r>
      <w:bookmarkEnd w:id="770"/>
      <w:bookmarkEnd w:id="771"/>
      <w:r>
        <w:t xml:space="preserve"> </w:t>
      </w:r>
    </w:p>
    <w:p w:rsidR="00D2141F" w:rsidRDefault="00D2141F" w:rsidP="00D2141F">
      <w:r w:rsidRPr="008966E3">
        <w:t>On January 15, 2014, the ISO began incorporating wind forecasting into ISO processes, scheduling, and dispatch services. (</w:t>
      </w:r>
      <w:r>
        <w:t>As of May 2013, t</w:t>
      </w:r>
      <w:r w:rsidRPr="008966E3">
        <w:t>he ISO ha</w:t>
      </w:r>
      <w:r>
        <w:t xml:space="preserve">s </w:t>
      </w:r>
      <w:r w:rsidRPr="008966E3">
        <w:t>offered a preliminary informational wind power forecast.) In addition to the ISO’s use</w:t>
      </w:r>
      <w:r>
        <w:t xml:space="preserve"> of the wind forecast</w:t>
      </w:r>
      <w:r w:rsidRPr="008966E3">
        <w:t xml:space="preserve">, wind resources can download the forecast of expected output for their individual units, which can help them build a strategy for bidding in the Day-Ahead Energy Market. As part of phase 1 of this project, the ISO has also created displays that improve operators’ situational awareness and is now maintaining historical wind data for future use by the </w:t>
      </w:r>
      <w:r w:rsidRPr="005E14EF">
        <w:t xml:space="preserve">forecast service and in auditing and other analyses. </w:t>
      </w:r>
      <w:r w:rsidR="005E14EF">
        <w:t>T</w:t>
      </w:r>
      <w:r w:rsidRPr="000E1F8D">
        <w:t>he ISO will be working toward the full economic dispatch of wind resources</w:t>
      </w:r>
      <w:r w:rsidR="007D7D14" w:rsidRPr="000E1F8D">
        <w:t>, as</w:t>
      </w:r>
      <w:r w:rsidR="007D7D14">
        <w:t xml:space="preserve"> well as publishing the aggregate wind energy forecast for the region</w:t>
      </w:r>
      <w:r w:rsidRPr="008966E3">
        <w:t xml:space="preserve"> in phase 2 of this project.</w:t>
      </w:r>
    </w:p>
    <w:p w:rsidR="00D2141F" w:rsidRPr="00217BF0" w:rsidRDefault="00D2141F" w:rsidP="005C6088">
      <w:pPr>
        <w:pStyle w:val="Heading3"/>
      </w:pPr>
      <w:bookmarkStart w:id="772" w:name="_Toc396807671"/>
      <w:r w:rsidRPr="008D0A14">
        <w:t>Strategic Transmission</w:t>
      </w:r>
      <w:r>
        <w:t xml:space="preserve"> Analyses—</w:t>
      </w:r>
      <w:r w:rsidRPr="00217BF0">
        <w:t>Wind</w:t>
      </w:r>
      <w:r w:rsidR="004732CA">
        <w:t xml:space="preserve"> </w:t>
      </w:r>
      <w:r w:rsidRPr="00217BF0">
        <w:t xml:space="preserve">Integration </w:t>
      </w:r>
      <w:r>
        <w:t>Study</w:t>
      </w:r>
      <w:bookmarkEnd w:id="772"/>
      <w:r>
        <w:t xml:space="preserve"> </w:t>
      </w:r>
    </w:p>
    <w:p w:rsidR="00D2141F" w:rsidRDefault="00D2141F" w:rsidP="00D2141F">
      <w:r>
        <w:t xml:space="preserve">ISO New England is conducting </w:t>
      </w:r>
      <w:proofErr w:type="gramStart"/>
      <w:r>
        <w:t>transmission system reliability assessments</w:t>
      </w:r>
      <w:proofErr w:type="gramEnd"/>
      <w:r>
        <w:t xml:space="preserve"> to identify the nature of the transmission system reinforcements necessary to integrate significant amounts of wind resources into the system. The most recent study effort focused on determining how much additional wind energy </w:t>
      </w:r>
      <w:proofErr w:type="gramStart"/>
      <w:r>
        <w:t>could be integrated</w:t>
      </w:r>
      <w:proofErr w:type="gramEnd"/>
      <w:r>
        <w:t xml:space="preserve"> in the State of Maine without major transmission system investment, </w:t>
      </w:r>
      <w:r w:rsidR="004B06B9">
        <w:t>particularly</w:t>
      </w:r>
      <w:r>
        <w:t xml:space="preserve"> new lines. The first step was to examine the constraints of the local area transmission system</w:t>
      </w:r>
      <w:r w:rsidR="004B06B9">
        <w:t xml:space="preserve">, which are </w:t>
      </w:r>
      <w:r>
        <w:t>the types of constraints that have been the most restrictive in actual system operations. The assessment examined four specific regions:</w:t>
      </w:r>
      <w:r>
        <w:rPr>
          <w:rStyle w:val="FootnoteReference"/>
        </w:rPr>
        <w:footnoteReference w:id="322"/>
      </w:r>
    </w:p>
    <w:p w:rsidR="00D2141F" w:rsidRDefault="00D2141F" w:rsidP="00D2141F">
      <w:pPr>
        <w:pStyle w:val="ListParagraph"/>
        <w:numPr>
          <w:ilvl w:val="0"/>
          <w:numId w:val="563"/>
        </w:numPr>
        <w:spacing w:after="120" w:line="260" w:lineRule="atLeast"/>
        <w:ind w:left="763"/>
        <w:contextualSpacing w:val="0"/>
        <w:rPr>
          <w:rFonts w:asciiTheme="majorHAnsi" w:hAnsiTheme="majorHAnsi"/>
          <w:sz w:val="20"/>
          <w:szCs w:val="20"/>
        </w:rPr>
      </w:pPr>
      <w:r w:rsidRPr="0021572C">
        <w:rPr>
          <w:rFonts w:asciiTheme="majorHAnsi" w:hAnsiTheme="majorHAnsi"/>
          <w:sz w:val="20"/>
          <w:szCs w:val="20"/>
        </w:rPr>
        <w:t>Keene Road</w:t>
      </w:r>
      <w:r>
        <w:rPr>
          <w:rFonts w:asciiTheme="majorHAnsi" w:hAnsiTheme="majorHAnsi"/>
          <w:sz w:val="20"/>
          <w:szCs w:val="20"/>
        </w:rPr>
        <w:t xml:space="preserve"> region</w:t>
      </w:r>
    </w:p>
    <w:p w:rsidR="00D2141F" w:rsidRPr="00FB19A1" w:rsidRDefault="00D2141F" w:rsidP="00D2141F">
      <w:pPr>
        <w:pStyle w:val="ListParagraph"/>
        <w:numPr>
          <w:ilvl w:val="0"/>
          <w:numId w:val="563"/>
        </w:numPr>
        <w:spacing w:after="120" w:line="260" w:lineRule="atLeast"/>
        <w:ind w:left="763"/>
        <w:contextualSpacing w:val="0"/>
        <w:rPr>
          <w:rFonts w:asciiTheme="majorHAnsi" w:hAnsiTheme="majorHAnsi"/>
          <w:sz w:val="20"/>
          <w:szCs w:val="20"/>
        </w:rPr>
      </w:pPr>
      <w:r w:rsidRPr="00FB19A1">
        <w:rPr>
          <w:rFonts w:asciiTheme="majorHAnsi" w:hAnsiTheme="majorHAnsi"/>
          <w:sz w:val="20"/>
          <w:szCs w:val="20"/>
        </w:rPr>
        <w:t xml:space="preserve">Bangor export </w:t>
      </w:r>
      <w:r>
        <w:rPr>
          <w:rFonts w:asciiTheme="majorHAnsi" w:hAnsiTheme="majorHAnsi"/>
          <w:sz w:val="20"/>
          <w:szCs w:val="20"/>
        </w:rPr>
        <w:t>region</w:t>
      </w:r>
    </w:p>
    <w:p w:rsidR="00D2141F" w:rsidRPr="00002585" w:rsidRDefault="00D2141F" w:rsidP="00D2141F">
      <w:pPr>
        <w:pStyle w:val="ListParagraph"/>
        <w:numPr>
          <w:ilvl w:val="0"/>
          <w:numId w:val="563"/>
        </w:numPr>
        <w:spacing w:after="120" w:line="260" w:lineRule="atLeast"/>
        <w:ind w:left="763"/>
        <w:contextualSpacing w:val="0"/>
        <w:rPr>
          <w:rFonts w:asciiTheme="majorHAnsi" w:hAnsiTheme="majorHAnsi"/>
          <w:sz w:val="20"/>
          <w:szCs w:val="20"/>
        </w:rPr>
      </w:pPr>
      <w:r w:rsidRPr="00A94428">
        <w:rPr>
          <w:rFonts w:asciiTheme="majorHAnsi" w:hAnsiTheme="majorHAnsi"/>
          <w:sz w:val="20"/>
          <w:szCs w:val="20"/>
        </w:rPr>
        <w:t>Wyman Hydro region</w:t>
      </w:r>
    </w:p>
    <w:p w:rsidR="00D2141F" w:rsidRPr="00FB19A1" w:rsidRDefault="00D2141F" w:rsidP="00D2141F">
      <w:pPr>
        <w:pStyle w:val="ListParagraph"/>
        <w:numPr>
          <w:ilvl w:val="0"/>
          <w:numId w:val="563"/>
        </w:numPr>
        <w:spacing w:after="240" w:line="260" w:lineRule="atLeast"/>
        <w:ind w:left="763"/>
        <w:contextualSpacing w:val="0"/>
        <w:rPr>
          <w:rFonts w:asciiTheme="majorHAnsi" w:hAnsiTheme="majorHAnsi"/>
          <w:sz w:val="20"/>
          <w:szCs w:val="20"/>
        </w:rPr>
      </w:pPr>
      <w:r w:rsidRPr="00FB19A1">
        <w:rPr>
          <w:rFonts w:asciiTheme="majorHAnsi" w:hAnsiTheme="majorHAnsi"/>
          <w:sz w:val="20"/>
          <w:szCs w:val="20"/>
        </w:rPr>
        <w:t xml:space="preserve">Rumford export </w:t>
      </w:r>
      <w:r>
        <w:rPr>
          <w:rFonts w:asciiTheme="majorHAnsi" w:hAnsiTheme="majorHAnsi"/>
          <w:sz w:val="20"/>
          <w:szCs w:val="20"/>
        </w:rPr>
        <w:t>region</w:t>
      </w:r>
    </w:p>
    <w:p w:rsidR="00D2141F" w:rsidRDefault="00D2141F" w:rsidP="00D2141F">
      <w:pPr>
        <w:ind w:left="47"/>
      </w:pPr>
      <w:r>
        <w:t>The assessments analyzed thermal, voltage, and stability-limit testing on local transmission interfaces.</w:t>
      </w:r>
      <w:r w:rsidR="00B05C26">
        <w:t xml:space="preserve"> </w:t>
      </w:r>
      <w:r w:rsidR="004B06B9">
        <w:t xml:space="preserve">The second step of the analysis was to examine </w:t>
      </w:r>
      <w:r w:rsidRPr="00ED20D5">
        <w:t>broader regional constraints to moving the aggregate wind and other resources from the four</w:t>
      </w:r>
      <w:r>
        <w:t xml:space="preserve"> regions. </w:t>
      </w:r>
    </w:p>
    <w:p w:rsidR="00D2141F" w:rsidRDefault="00D2141F" w:rsidP="005C6088">
      <w:pPr>
        <w:pStyle w:val="Heading4"/>
      </w:pPr>
      <w:r w:rsidRPr="00522DA8">
        <w:t>Study Approach</w:t>
      </w:r>
    </w:p>
    <w:p w:rsidR="00D2141F" w:rsidRPr="008921EA" w:rsidRDefault="00D2141F" w:rsidP="00D2141F">
      <w:proofErr w:type="gramStart"/>
      <w:r>
        <w:t>Base case power</w:t>
      </w:r>
      <w:r w:rsidR="00B64163">
        <w:t xml:space="preserve"> </w:t>
      </w:r>
      <w:r>
        <w:t>flow models</w:t>
      </w:r>
      <w:proofErr w:type="gramEnd"/>
      <w:r>
        <w:t xml:space="preserve"> were developed by adding representative stations for all wind resources in the ISO’s queue as of October 2013. The generators </w:t>
      </w:r>
      <w:proofErr w:type="gramStart"/>
      <w:r>
        <w:t>were interconnected</w:t>
      </w:r>
      <w:proofErr w:type="gramEnd"/>
      <w:r>
        <w:t xml:space="preserve"> </w:t>
      </w:r>
      <w:r w:rsidR="007D7D14">
        <w:t xml:space="preserve">with </w:t>
      </w:r>
      <w:r>
        <w:t>robust voltage</w:t>
      </w:r>
      <w:r w:rsidR="007D7D14">
        <w:t xml:space="preserve"> control capability</w:t>
      </w:r>
      <w:r>
        <w:t xml:space="preserve">, which avoided the further significant depletion of system performance margins. Several load conditions </w:t>
      </w:r>
      <w:proofErr w:type="gramStart"/>
      <w:r>
        <w:t>were examined</w:t>
      </w:r>
      <w:proofErr w:type="gramEnd"/>
      <w:r>
        <w:t xml:space="preserve">, and all wind resources within the area being investigated were increased from zero until a thermal limit was reached for transfer out of the region. System voltage and stability performance </w:t>
      </w:r>
      <w:proofErr w:type="gramStart"/>
      <w:r>
        <w:t>were then tested</w:t>
      </w:r>
      <w:proofErr w:type="gramEnd"/>
      <w:r>
        <w:t xml:space="preserve"> at these thermal limits to determine whether these limits were more constraining. </w:t>
      </w:r>
      <w:r w:rsidRPr="008B07F4">
        <w:t>The study identified the lower</w:t>
      </w:r>
      <w:r>
        <w:t>-</w:t>
      </w:r>
      <w:r w:rsidRPr="008B07F4">
        <w:t>cost improvements that increased the transfer limit for a</w:t>
      </w:r>
      <w:r>
        <w:t xml:space="preserve"> region</w:t>
      </w:r>
      <w:r w:rsidRPr="008B07F4">
        <w:t>, such as adding reactive devices or series circuit breakers or rebuilding a short transmission line.</w:t>
      </w:r>
      <w:r>
        <w:t xml:space="preserve"> </w:t>
      </w:r>
    </w:p>
    <w:p w:rsidR="00D2141F" w:rsidRDefault="00D2141F" w:rsidP="005C6088">
      <w:pPr>
        <w:pStyle w:val="Heading4"/>
      </w:pPr>
      <w:bookmarkStart w:id="773" w:name="_Ref388605970"/>
      <w:r w:rsidRPr="00522DA8">
        <w:t>Results</w:t>
      </w:r>
      <w:bookmarkEnd w:id="773"/>
    </w:p>
    <w:p w:rsidR="004B06B9" w:rsidRDefault="00D2141F" w:rsidP="00D2141F">
      <w:r w:rsidRPr="008B07F4">
        <w:t xml:space="preserve">The results showed that additional wind resources would displace traditional synchronous machine technology and the stability performance benefits of these types of machines. </w:t>
      </w:r>
      <w:r>
        <w:t xml:space="preserve">A dynamic device of up to </w:t>
      </w:r>
      <w:r w:rsidRPr="008B07F4">
        <w:t xml:space="preserve">500 MVAR capability </w:t>
      </w:r>
      <w:r>
        <w:t xml:space="preserve">located </w:t>
      </w:r>
      <w:r w:rsidRPr="008B07F4">
        <w:t xml:space="preserve">in central Maine </w:t>
      </w:r>
      <w:proofErr w:type="gramStart"/>
      <w:r>
        <w:t>w</w:t>
      </w:r>
      <w:r w:rsidRPr="008B07F4">
        <w:t xml:space="preserve">ould likely </w:t>
      </w:r>
      <w:r>
        <w:t xml:space="preserve">be </w:t>
      </w:r>
      <w:r w:rsidRPr="008B07F4">
        <w:t>need</w:t>
      </w:r>
      <w:r>
        <w:t>ed</w:t>
      </w:r>
      <w:proofErr w:type="gramEnd"/>
      <w:r w:rsidRPr="008B07F4">
        <w:t xml:space="preserve"> to integrate new wind resources effectively</w:t>
      </w:r>
      <w:r>
        <w:t>. A</w:t>
      </w:r>
      <w:r w:rsidRPr="008B07F4">
        <w:t>t the same time</w:t>
      </w:r>
      <w:r>
        <w:t>,</w:t>
      </w:r>
      <w:r w:rsidRPr="008B07F4">
        <w:t xml:space="preserve"> ensuring that these </w:t>
      </w:r>
      <w:r>
        <w:t xml:space="preserve">wind </w:t>
      </w:r>
      <w:r w:rsidRPr="008B07F4">
        <w:t xml:space="preserve">resources </w:t>
      </w:r>
      <w:r>
        <w:t xml:space="preserve">directly </w:t>
      </w:r>
      <w:r w:rsidRPr="008B07F4">
        <w:t xml:space="preserve">aid dynamic voltage control </w:t>
      </w:r>
      <w:r>
        <w:t xml:space="preserve">would improve the overall </w:t>
      </w:r>
      <w:r w:rsidRPr="008B07F4">
        <w:t xml:space="preserve">system performance during </w:t>
      </w:r>
      <w:r>
        <w:t xml:space="preserve">both normal and </w:t>
      </w:r>
      <w:r w:rsidRPr="008B07F4">
        <w:t>critical extreme</w:t>
      </w:r>
      <w:r>
        <w:t xml:space="preserve"> contingencies</w:t>
      </w:r>
      <w:r w:rsidRPr="008B07F4">
        <w:t>.</w:t>
      </w:r>
    </w:p>
    <w:p w:rsidR="00D2141F" w:rsidRDefault="00D2141F" w:rsidP="00D2141F">
      <w:r w:rsidRPr="00BA0703">
        <w:t>The testing of the region</w:t>
      </w:r>
      <w:r w:rsidR="004B06B9">
        <w:t>al</w:t>
      </w:r>
      <w:r w:rsidRPr="00BA0703">
        <w:t xml:space="preserve"> transmission interfaces identif</w:t>
      </w:r>
      <w:r w:rsidR="004B06B9">
        <w:t>ied</w:t>
      </w:r>
      <w:r w:rsidRPr="00BA0703">
        <w:t xml:space="preserve"> </w:t>
      </w:r>
      <w:r w:rsidR="0051476D">
        <w:t xml:space="preserve">the need for </w:t>
      </w:r>
      <w:r w:rsidRPr="00BA0703">
        <w:t>additional system</w:t>
      </w:r>
      <w:r w:rsidRPr="008B07F4">
        <w:t xml:space="preserve"> reinforcements.</w:t>
      </w:r>
      <w:r w:rsidR="004B06B9">
        <w:t xml:space="preserve"> </w:t>
      </w:r>
      <w:r w:rsidR="004B06B9" w:rsidRPr="004B06B9">
        <w:t xml:space="preserve">These reinforcements include </w:t>
      </w:r>
      <w:proofErr w:type="gramStart"/>
      <w:r w:rsidR="004B06B9" w:rsidRPr="004B06B9">
        <w:t>two</w:t>
      </w:r>
      <w:proofErr w:type="gramEnd"/>
      <w:r w:rsidR="004B06B9" w:rsidRPr="004B06B9">
        <w:t xml:space="preserve"> 25 </w:t>
      </w:r>
      <w:r w:rsidR="004B06B9" w:rsidRPr="00ED3C25">
        <w:t>ohm</w:t>
      </w:r>
      <w:r w:rsidR="004B06B9" w:rsidRPr="004B06B9">
        <w:t xml:space="preserve"> </w:t>
      </w:r>
      <w:proofErr w:type="spellStart"/>
      <w:r w:rsidR="004B06B9">
        <w:t>t</w:t>
      </w:r>
      <w:r w:rsidR="004B06B9" w:rsidRPr="004B06B9">
        <w:t>hyristor</w:t>
      </w:r>
      <w:proofErr w:type="spellEnd"/>
      <w:r w:rsidR="004B06B9" w:rsidRPr="004B06B9">
        <w:t>-</w:t>
      </w:r>
      <w:r w:rsidR="004B06B9">
        <w:t>c</w:t>
      </w:r>
      <w:r w:rsidR="004B06B9" w:rsidRPr="004B06B9">
        <w:t xml:space="preserve">ontrolled </w:t>
      </w:r>
      <w:r w:rsidR="004B06B9">
        <w:t>s</w:t>
      </w:r>
      <w:r w:rsidR="004B06B9" w:rsidRPr="004B06B9">
        <w:t>eries</w:t>
      </w:r>
      <w:r w:rsidR="0056074C">
        <w:t>-</w:t>
      </w:r>
      <w:r w:rsidR="004B06B9">
        <w:t>c</w:t>
      </w:r>
      <w:r w:rsidR="004B06B9" w:rsidRPr="004B06B9">
        <w:t xml:space="preserve">ompensation (TCSC) devices and </w:t>
      </w:r>
      <w:r w:rsidR="00104C42" w:rsidRPr="004B06B9">
        <w:t>275</w:t>
      </w:r>
      <w:r w:rsidR="00104C42">
        <w:t> </w:t>
      </w:r>
      <w:r w:rsidR="004B06B9" w:rsidRPr="004B06B9">
        <w:t>MVAR of 115 kV shunt capacitors in western and southern Maine.</w:t>
      </w:r>
      <w:r w:rsidR="00104C42">
        <w:rPr>
          <w:rStyle w:val="FootnoteReference"/>
        </w:rPr>
        <w:footnoteReference w:id="323"/>
      </w:r>
      <w:r w:rsidR="004B06B9" w:rsidRPr="004B06B9">
        <w:t xml:space="preserve"> The TCSC devices are necessary to prevent system separation and the interruption of large amounts of resources following severe contingency events in southern New England. The shunt capacitors are required for voltage support in western and southern Maine.</w:t>
      </w:r>
    </w:p>
    <w:p w:rsidR="00D2141F" w:rsidRDefault="00D2141F" w:rsidP="00D2141F">
      <w:r>
        <w:t xml:space="preserve">Summary results for the four local regions </w:t>
      </w:r>
      <w:proofErr w:type="gramStart"/>
      <w:r>
        <w:t>are discussed</w:t>
      </w:r>
      <w:proofErr w:type="gramEnd"/>
      <w:r>
        <w:t xml:space="preserve"> below:</w:t>
      </w:r>
    </w:p>
    <w:p w:rsidR="00D2141F" w:rsidRDefault="00D2141F" w:rsidP="00744C05">
      <w:pPr>
        <w:numPr>
          <w:ilvl w:val="0"/>
          <w:numId w:val="574"/>
        </w:numPr>
        <w:spacing w:after="120"/>
      </w:pPr>
      <w:proofErr w:type="gramStart"/>
      <w:r w:rsidRPr="00522DA8">
        <w:rPr>
          <w:i/>
        </w:rPr>
        <w:t xml:space="preserve">Keene Road </w:t>
      </w:r>
      <w:r>
        <w:rPr>
          <w:i/>
        </w:rPr>
        <w:t>Region.</w:t>
      </w:r>
      <w:proofErr w:type="gramEnd"/>
      <w:r>
        <w:rPr>
          <w:i/>
        </w:rPr>
        <w:t xml:space="preserve"> </w:t>
      </w:r>
      <w:r w:rsidRPr="00C35905">
        <w:t xml:space="preserve">The ability to add </w:t>
      </w:r>
      <w:r w:rsidR="0010591B">
        <w:t>85</w:t>
      </w:r>
      <w:r w:rsidRPr="00C35905">
        <w:t xml:space="preserve"> MW </w:t>
      </w:r>
      <w:r w:rsidR="0010591B">
        <w:t xml:space="preserve">to the existing 144 MW </w:t>
      </w:r>
      <w:r w:rsidRPr="00C35905">
        <w:t xml:space="preserve">of wind capacity to this </w:t>
      </w:r>
      <w:r>
        <w:t>region</w:t>
      </w:r>
      <w:r w:rsidRPr="00C35905">
        <w:t xml:space="preserve"> </w:t>
      </w:r>
      <w:proofErr w:type="gramStart"/>
      <w:r w:rsidRPr="00C35905">
        <w:t>was analyzed</w:t>
      </w:r>
      <w:proofErr w:type="gramEnd"/>
      <w:r>
        <w:t xml:space="preserve">. </w:t>
      </w:r>
      <w:r w:rsidRPr="00C35905">
        <w:t xml:space="preserve">The current system would probably not experience </w:t>
      </w:r>
      <w:r>
        <w:t>t</w:t>
      </w:r>
      <w:r w:rsidRPr="00C35905">
        <w:t xml:space="preserve">hermal violations </w:t>
      </w:r>
      <w:r>
        <w:t>at this generation level. A v</w:t>
      </w:r>
      <w:r w:rsidRPr="00666E46">
        <w:t>oltage stability</w:t>
      </w:r>
      <w:r w:rsidRPr="00D45715">
        <w:t xml:space="preserve"> </w:t>
      </w:r>
      <w:r w:rsidRPr="00666E46">
        <w:t xml:space="preserve">issue </w:t>
      </w:r>
      <w:r>
        <w:t xml:space="preserve">would occur </w:t>
      </w:r>
      <w:r w:rsidRPr="00666E46">
        <w:t xml:space="preserve">on the 115 kV </w:t>
      </w:r>
      <w:proofErr w:type="gramStart"/>
      <w:r w:rsidRPr="00666E46">
        <w:t>path</w:t>
      </w:r>
      <w:proofErr w:type="gramEnd"/>
      <w:r w:rsidRPr="00666E46">
        <w:t xml:space="preserve"> south of Keene </w:t>
      </w:r>
      <w:r w:rsidRPr="00A10221">
        <w:t xml:space="preserve">Road due to </w:t>
      </w:r>
      <w:r w:rsidR="0010591B" w:rsidRPr="00A10221">
        <w:t>local contingencies</w:t>
      </w:r>
      <w:r w:rsidR="00050EC2" w:rsidRPr="00A10221">
        <w:t>,</w:t>
      </w:r>
      <w:r w:rsidRPr="00A10221">
        <w:t xml:space="preserve"> and the</w:t>
      </w:r>
      <w:r w:rsidRPr="0056144B">
        <w:t xml:space="preserve"> performance of the system could be unacceptably degraded during extreme contingency conditions. Local</w:t>
      </w:r>
      <w:r w:rsidRPr="00666E46">
        <w:t xml:space="preserve"> constraints to existing and proposed generation </w:t>
      </w:r>
      <w:proofErr w:type="gramStart"/>
      <w:r>
        <w:t xml:space="preserve">could not likely </w:t>
      </w:r>
      <w:r w:rsidRPr="00666E46">
        <w:t>be addressed</w:t>
      </w:r>
      <w:proofErr w:type="gramEnd"/>
      <w:r w:rsidRPr="00666E46">
        <w:t xml:space="preserve"> without major transmission construction</w:t>
      </w:r>
      <w:r>
        <w:t>.</w:t>
      </w:r>
    </w:p>
    <w:p w:rsidR="00D2141F" w:rsidRDefault="00D2141F" w:rsidP="00744C05">
      <w:pPr>
        <w:numPr>
          <w:ilvl w:val="0"/>
          <w:numId w:val="574"/>
        </w:numPr>
        <w:spacing w:after="120"/>
      </w:pPr>
      <w:proofErr w:type="gramStart"/>
      <w:r w:rsidRPr="00522DA8">
        <w:rPr>
          <w:i/>
        </w:rPr>
        <w:t xml:space="preserve">Bangor </w:t>
      </w:r>
      <w:proofErr w:type="spellStart"/>
      <w:r>
        <w:rPr>
          <w:i/>
        </w:rPr>
        <w:t>Downeast</w:t>
      </w:r>
      <w:proofErr w:type="spellEnd"/>
      <w:r>
        <w:rPr>
          <w:i/>
        </w:rPr>
        <w:t xml:space="preserve"> Region.</w:t>
      </w:r>
      <w:proofErr w:type="gramEnd"/>
      <w:r>
        <w:rPr>
          <w:i/>
        </w:rPr>
        <w:t xml:space="preserve"> </w:t>
      </w:r>
      <w:r w:rsidRPr="00C35905">
        <w:t xml:space="preserve">The ability to add </w:t>
      </w:r>
      <w:r w:rsidR="0010591B">
        <w:t>143 MW to the existing 34</w:t>
      </w:r>
      <w:r w:rsidRPr="00C35905">
        <w:t xml:space="preserve"> MW of wind capacity to this area </w:t>
      </w:r>
      <w:proofErr w:type="gramStart"/>
      <w:r w:rsidRPr="00C35905">
        <w:t>was analyzed</w:t>
      </w:r>
      <w:proofErr w:type="gramEnd"/>
      <w:r>
        <w:t xml:space="preserve">. </w:t>
      </w:r>
      <w:r w:rsidRPr="00C35905">
        <w:t xml:space="preserve">The </w:t>
      </w:r>
      <w:r>
        <w:t xml:space="preserve">115 kV loop in this region is vulnerable to thermal overloads when a </w:t>
      </w:r>
      <w:r w:rsidRPr="00A10221">
        <w:t xml:space="preserve">contingency </w:t>
      </w:r>
      <w:r w:rsidR="00050EC2" w:rsidRPr="00A10221">
        <w:t>occurs.</w:t>
      </w:r>
      <w:r w:rsidRPr="00A10221">
        <w:t xml:space="preserve"> Low 115 kV voltages also would occur at exports</w:t>
      </w:r>
      <w:r>
        <w:t xml:space="preserve"> above approximately </w:t>
      </w:r>
      <w:r w:rsidRPr="0056144B">
        <w:t xml:space="preserve">130 MW, and the performance of the system </w:t>
      </w:r>
      <w:proofErr w:type="gramStart"/>
      <w:r w:rsidRPr="0056144B">
        <w:t>could be unacceptably degraded</w:t>
      </w:r>
      <w:proofErr w:type="gramEnd"/>
      <w:r w:rsidRPr="0056144B">
        <w:t xml:space="preserve"> during</w:t>
      </w:r>
      <w:r>
        <w:t xml:space="preserve"> extreme contingency conditions.</w:t>
      </w:r>
    </w:p>
    <w:p w:rsidR="00D2141F" w:rsidRDefault="00D2141F" w:rsidP="00744C05">
      <w:pPr>
        <w:tabs>
          <w:tab w:val="num" w:pos="1440"/>
        </w:tabs>
        <w:spacing w:after="120"/>
        <w:ind w:left="720"/>
      </w:pPr>
      <w:r>
        <w:t>E</w:t>
      </w:r>
      <w:r w:rsidRPr="0031488F">
        <w:t>xisting and proposed generation</w:t>
      </w:r>
      <w:r>
        <w:t xml:space="preserve"> </w:t>
      </w:r>
      <w:proofErr w:type="gramStart"/>
      <w:r>
        <w:t>could be integrated</w:t>
      </w:r>
      <w:proofErr w:type="gramEnd"/>
      <w:r>
        <w:t xml:space="preserve"> with a few relatively small transmission </w:t>
      </w:r>
      <w:r w:rsidRPr="00B41F73">
        <w:t xml:space="preserve">upgrades. Study results are </w:t>
      </w:r>
      <w:r w:rsidR="0058019A" w:rsidRPr="0058019A">
        <w:t>highly</w:t>
      </w:r>
      <w:r w:rsidRPr="00B41F73">
        <w:t xml:space="preserve"> sensitive to the location of new plants and the electrical</w:t>
      </w:r>
      <w:r w:rsidRPr="0031488F">
        <w:t xml:space="preserve"> distance from the 115 kV loop</w:t>
      </w:r>
      <w:r w:rsidRPr="00135D58">
        <w:t xml:space="preserve">. </w:t>
      </w:r>
      <w:r w:rsidRPr="009021EE">
        <w:t>Voltage/transient</w:t>
      </w:r>
      <w:r w:rsidRPr="00135D58">
        <w:t xml:space="preserve"> stability</w:t>
      </w:r>
      <w:r w:rsidRPr="0031488F">
        <w:t xml:space="preserve"> problems </w:t>
      </w:r>
      <w:proofErr w:type="gramStart"/>
      <w:r>
        <w:t>are anticipated</w:t>
      </w:r>
      <w:proofErr w:type="gramEnd"/>
      <w:r>
        <w:t xml:space="preserve"> </w:t>
      </w:r>
      <w:r w:rsidRPr="0031488F">
        <w:t>with amounts of generation</w:t>
      </w:r>
      <w:r w:rsidR="007D7D14">
        <w:t xml:space="preserve"> greater than the 177 MW studied</w:t>
      </w:r>
      <w:r>
        <w:t xml:space="preserve">, and these </w:t>
      </w:r>
      <w:r w:rsidRPr="0031488F">
        <w:t xml:space="preserve">voltage/stability constraints </w:t>
      </w:r>
      <w:r>
        <w:t>could</w:t>
      </w:r>
      <w:r w:rsidRPr="0031488F">
        <w:t xml:space="preserve"> </w:t>
      </w:r>
      <w:r>
        <w:t xml:space="preserve">not likely </w:t>
      </w:r>
      <w:r w:rsidRPr="0031488F">
        <w:t>be addressed without major transmission construction</w:t>
      </w:r>
      <w:r>
        <w:t xml:space="preserve">. </w:t>
      </w:r>
    </w:p>
    <w:p w:rsidR="00D2141F" w:rsidRDefault="00D2141F" w:rsidP="00744C05">
      <w:pPr>
        <w:numPr>
          <w:ilvl w:val="0"/>
          <w:numId w:val="575"/>
        </w:numPr>
        <w:spacing w:after="120"/>
      </w:pPr>
      <w:proofErr w:type="gramStart"/>
      <w:r w:rsidRPr="005F6563">
        <w:rPr>
          <w:i/>
        </w:rPr>
        <w:t>Wyman Hydro Region.</w:t>
      </w:r>
      <w:proofErr w:type="gramEnd"/>
      <w:r w:rsidRPr="005F6563">
        <w:rPr>
          <w:i/>
        </w:rPr>
        <w:t xml:space="preserve"> </w:t>
      </w:r>
      <w:r w:rsidRPr="005F6563">
        <w:t>The ability to integrate approximately</w:t>
      </w:r>
      <w:r>
        <w:t xml:space="preserve"> 400</w:t>
      </w:r>
      <w:r w:rsidRPr="00C35905">
        <w:t xml:space="preserve"> MW of wind capacity</w:t>
      </w:r>
      <w:r>
        <w:t>, including existing resources,</w:t>
      </w:r>
      <w:r w:rsidRPr="00C35905">
        <w:t xml:space="preserve"> </w:t>
      </w:r>
      <w:r>
        <w:t>in</w:t>
      </w:r>
      <w:r w:rsidRPr="00C35905">
        <w:t xml:space="preserve"> this </w:t>
      </w:r>
      <w:r>
        <w:t>region</w:t>
      </w:r>
      <w:r w:rsidRPr="00C35905">
        <w:t xml:space="preserve"> </w:t>
      </w:r>
      <w:proofErr w:type="gramStart"/>
      <w:r w:rsidRPr="00C35905">
        <w:t>was analyzed</w:t>
      </w:r>
      <w:proofErr w:type="gramEnd"/>
      <w:r>
        <w:t xml:space="preserve">. </w:t>
      </w:r>
      <w:r w:rsidRPr="00C35905">
        <w:t xml:space="preserve">The current system would probably not experience significant thermal violations during the summer and winter but likely would experience thermal constraints during spring and fall </w:t>
      </w:r>
      <w:r>
        <w:t>when</w:t>
      </w:r>
      <w:r w:rsidRPr="00C35905">
        <w:t xml:space="preserve"> high hydro and wind conditions</w:t>
      </w:r>
      <w:r>
        <w:t xml:space="preserve"> exist. Low 115 kV and 345 kV voltages </w:t>
      </w:r>
      <w:proofErr w:type="gramStart"/>
      <w:r>
        <w:t>could be experienced</w:t>
      </w:r>
      <w:proofErr w:type="gramEnd"/>
      <w:r>
        <w:t>,</w:t>
      </w:r>
      <w:r w:rsidRPr="00C35905">
        <w:t xml:space="preserve"> </w:t>
      </w:r>
      <w:r>
        <w:t>and the performance of the BPS could be unacceptably degraded during extreme contingency conditions.</w:t>
      </w:r>
    </w:p>
    <w:p w:rsidR="00D2141F" w:rsidRDefault="00D2141F" w:rsidP="00744C05">
      <w:pPr>
        <w:tabs>
          <w:tab w:val="num" w:pos="1440"/>
        </w:tabs>
        <w:spacing w:after="120"/>
        <w:ind w:left="720"/>
      </w:pPr>
      <w:r>
        <w:t>These l</w:t>
      </w:r>
      <w:r w:rsidRPr="00C35905">
        <w:t xml:space="preserve">ocal constraints to </w:t>
      </w:r>
      <w:r>
        <w:t>the added wind</w:t>
      </w:r>
      <w:r w:rsidRPr="00C35905">
        <w:t xml:space="preserve"> generation may be addressed without major transmission construction</w:t>
      </w:r>
      <w:r>
        <w:t xml:space="preserve"> f</w:t>
      </w:r>
      <w:r w:rsidRPr="00C35905">
        <w:t xml:space="preserve">or up to </w:t>
      </w:r>
      <w:r>
        <w:t>approximately 4</w:t>
      </w:r>
      <w:r w:rsidRPr="00C35905">
        <w:t xml:space="preserve">00 </w:t>
      </w:r>
      <w:r w:rsidRPr="007117AB">
        <w:t xml:space="preserve">MW </w:t>
      </w:r>
      <w:r w:rsidR="00316208" w:rsidRPr="00316208">
        <w:t>(nameplate capability)</w:t>
      </w:r>
      <w:r w:rsidR="0079273B" w:rsidRPr="007117AB">
        <w:t xml:space="preserve"> </w:t>
      </w:r>
      <w:r w:rsidRPr="007117AB">
        <w:t>of</w:t>
      </w:r>
      <w:r w:rsidRPr="00C35905">
        <w:t xml:space="preserve"> wind </w:t>
      </w:r>
      <w:r>
        <w:t>capacity</w:t>
      </w:r>
      <w:r w:rsidR="0079273B">
        <w:t xml:space="preserve">, recognizing reasonably anticipated seasonal </w:t>
      </w:r>
      <w:r w:rsidR="00C50436" w:rsidRPr="00050666">
        <w:t>variation</w:t>
      </w:r>
      <w:r w:rsidR="004F7662" w:rsidRPr="00050666">
        <w:t>s</w:t>
      </w:r>
      <w:r w:rsidR="00C50436" w:rsidRPr="00050666">
        <w:t xml:space="preserve"> of </w:t>
      </w:r>
      <w:r w:rsidR="0079273B" w:rsidRPr="00050666">
        <w:t>plant</w:t>
      </w:r>
      <w:r w:rsidR="0079273B" w:rsidRPr="006F7C04">
        <w:t xml:space="preserve"> output</w:t>
      </w:r>
      <w:r w:rsidR="0079273B">
        <w:t xml:space="preserve">, </w:t>
      </w:r>
      <w:proofErr w:type="gramStart"/>
      <w:r w:rsidRPr="00135D58">
        <w:t>provided that</w:t>
      </w:r>
      <w:proofErr w:type="gramEnd"/>
      <w:r w:rsidRPr="00135D58">
        <w:t xml:space="preserve"> each new wind plant is interconnected </w:t>
      </w:r>
      <w:r w:rsidRPr="00ED20D5">
        <w:t>with a physically and economically realistic amount of dynamic reactive compensation. Transmissi</w:t>
      </w:r>
      <w:r>
        <w:t xml:space="preserve">on improvements would include items such as the addition of series circuit breakers, the rebuilding of short sections of transmission lines, and the addition of reactive devices. This analysis did not </w:t>
      </w:r>
      <w:r w:rsidRPr="0056144B">
        <w:t xml:space="preserve">address constraints that exist </w:t>
      </w:r>
      <w:proofErr w:type="gramStart"/>
      <w:r w:rsidRPr="0056144B">
        <w:t>as a result</w:t>
      </w:r>
      <w:proofErr w:type="gramEnd"/>
      <w:r w:rsidRPr="0056144B">
        <w:t xml:space="preserve"> of the major regional transmission interfaces.</w:t>
      </w:r>
    </w:p>
    <w:p w:rsidR="00D2141F" w:rsidRDefault="00D2141F" w:rsidP="00D2141F">
      <w:pPr>
        <w:numPr>
          <w:ilvl w:val="0"/>
          <w:numId w:val="576"/>
        </w:numPr>
      </w:pPr>
      <w:r w:rsidRPr="00522DA8">
        <w:rPr>
          <w:i/>
        </w:rPr>
        <w:t xml:space="preserve">Rumford </w:t>
      </w:r>
      <w:r>
        <w:rPr>
          <w:i/>
        </w:rPr>
        <w:t xml:space="preserve">Region. </w:t>
      </w:r>
      <w:r w:rsidRPr="00C35905">
        <w:t xml:space="preserve">The ability to add </w:t>
      </w:r>
      <w:r>
        <w:t>130</w:t>
      </w:r>
      <w:r w:rsidRPr="00C35905">
        <w:t xml:space="preserve"> MW of wind capacity to this area </w:t>
      </w:r>
      <w:proofErr w:type="gramStart"/>
      <w:r w:rsidRPr="00C35905">
        <w:t>was analyzed</w:t>
      </w:r>
      <w:proofErr w:type="gramEnd"/>
      <w:r>
        <w:t xml:space="preserve">. No thermal limitations </w:t>
      </w:r>
      <w:proofErr w:type="gramStart"/>
      <w:r>
        <w:t>would be expected</w:t>
      </w:r>
      <w:proofErr w:type="gramEnd"/>
      <w:r>
        <w:t xml:space="preserve"> at this generation level. Low 115 kV and 345 kV voltages </w:t>
      </w:r>
      <w:proofErr w:type="gramStart"/>
      <w:r>
        <w:t>could be experienced</w:t>
      </w:r>
      <w:proofErr w:type="gramEnd"/>
      <w:r>
        <w:t xml:space="preserve"> for normal design contingencies,</w:t>
      </w:r>
      <w:r w:rsidRPr="00C35905">
        <w:t xml:space="preserve"> </w:t>
      </w:r>
      <w:r>
        <w:t>and the performance of the system could be unacceptably degraded during extreme contingency conditions.</w:t>
      </w:r>
    </w:p>
    <w:p w:rsidR="00D2141F" w:rsidRPr="00C35905" w:rsidRDefault="00D2141F" w:rsidP="007D7D14">
      <w:pPr>
        <w:ind w:left="720"/>
      </w:pPr>
      <w:r w:rsidRPr="0031488F">
        <w:t xml:space="preserve">Upgrades </w:t>
      </w:r>
      <w:proofErr w:type="gramStart"/>
      <w:r>
        <w:t>would be needed</w:t>
      </w:r>
      <w:proofErr w:type="gramEnd"/>
      <w:r>
        <w:t xml:space="preserve"> </w:t>
      </w:r>
      <w:r w:rsidRPr="0031488F">
        <w:t>to integrate existing and proposed generation</w:t>
      </w:r>
      <w:r>
        <w:t>. L</w:t>
      </w:r>
      <w:r w:rsidRPr="00BD6DD1">
        <w:t xml:space="preserve">ocal constraints </w:t>
      </w:r>
      <w:proofErr w:type="gramStart"/>
      <w:r>
        <w:t>could be addressed</w:t>
      </w:r>
      <w:proofErr w:type="gramEnd"/>
      <w:r>
        <w:t xml:space="preserve"> </w:t>
      </w:r>
      <w:r w:rsidRPr="00BD6DD1">
        <w:t xml:space="preserve">without major transmission </w:t>
      </w:r>
      <w:r w:rsidR="0079273B">
        <w:t xml:space="preserve">line </w:t>
      </w:r>
      <w:r w:rsidRPr="00BD6DD1">
        <w:t>construction</w:t>
      </w:r>
      <w:r>
        <w:t xml:space="preserve">. </w:t>
      </w:r>
      <w:r w:rsidRPr="00BD6DD1">
        <w:t xml:space="preserve">System performance is interdependent with </w:t>
      </w:r>
      <w:r w:rsidRPr="00920D33">
        <w:t xml:space="preserve">the </w:t>
      </w:r>
      <w:r w:rsidRPr="00ED20D5">
        <w:t>Wyman Hydro region, and the transmission upgrades indicated for this region</w:t>
      </w:r>
      <w:r>
        <w:t xml:space="preserve"> </w:t>
      </w:r>
      <w:proofErr w:type="gramStart"/>
      <w:r>
        <w:t>would also</w:t>
      </w:r>
      <w:proofErr w:type="gramEnd"/>
      <w:r>
        <w:t xml:space="preserve"> address </w:t>
      </w:r>
      <w:r w:rsidRPr="002919CD">
        <w:t xml:space="preserve">constraints for Rumford </w:t>
      </w:r>
      <w:r>
        <w:t>region’s</w:t>
      </w:r>
      <w:r w:rsidRPr="002919CD">
        <w:t xml:space="preserve"> generators</w:t>
      </w:r>
      <w:r w:rsidRPr="00256575">
        <w:t xml:space="preserve">. This analysis does not indicate the extent to which generation </w:t>
      </w:r>
      <w:proofErr w:type="gramStart"/>
      <w:r w:rsidRPr="00256575">
        <w:t>could be added</w:t>
      </w:r>
      <w:proofErr w:type="gramEnd"/>
      <w:r w:rsidRPr="00256575">
        <w:t xml:space="preserve"> before minor or major transmission construction would become necessary. </w:t>
      </w:r>
      <w:r w:rsidRPr="0056144B">
        <w:t>Again, this analysis did not address constraints that might exist due to the major regional</w:t>
      </w:r>
      <w:r w:rsidRPr="00256575">
        <w:t xml:space="preserve"> transmission interfaces</w:t>
      </w:r>
      <w:r>
        <w:t xml:space="preserve">. </w:t>
      </w:r>
    </w:p>
    <w:p w:rsidR="00D2141F" w:rsidRDefault="00D2141F" w:rsidP="005C6088">
      <w:pPr>
        <w:pStyle w:val="Heading4"/>
      </w:pPr>
      <w:r w:rsidRPr="00522DA8">
        <w:t>Conclusion</w:t>
      </w:r>
      <w:r>
        <w:t xml:space="preserve">s </w:t>
      </w:r>
    </w:p>
    <w:p w:rsidR="00D2141F" w:rsidRDefault="00D2141F" w:rsidP="00D2141F">
      <w:pPr>
        <w:rPr>
          <w:color w:val="000000"/>
        </w:rPr>
      </w:pPr>
      <w:r>
        <w:rPr>
          <w:color w:val="000000" w:themeColor="text1"/>
        </w:rPr>
        <w:t xml:space="preserve">The Strategic Transmission Analysis examined the integration of </w:t>
      </w:r>
      <w:r w:rsidR="004B06B9">
        <w:rPr>
          <w:color w:val="000000" w:themeColor="text1"/>
        </w:rPr>
        <w:t xml:space="preserve">approximately 1,100 MW of </w:t>
      </w:r>
      <w:r>
        <w:rPr>
          <w:color w:val="000000" w:themeColor="text1"/>
        </w:rPr>
        <w:t>wind resources in Maine</w:t>
      </w:r>
      <w:r w:rsidR="004B06B9">
        <w:rPr>
          <w:color w:val="000000" w:themeColor="text1"/>
        </w:rPr>
        <w:t xml:space="preserve"> that </w:t>
      </w:r>
      <w:proofErr w:type="gramStart"/>
      <w:r w:rsidR="004B06B9">
        <w:rPr>
          <w:color w:val="000000" w:themeColor="text1"/>
        </w:rPr>
        <w:t>could be accommodated</w:t>
      </w:r>
      <w:proofErr w:type="gramEnd"/>
      <w:r w:rsidR="004B06B9">
        <w:rPr>
          <w:color w:val="000000" w:themeColor="text1"/>
        </w:rPr>
        <w:t xml:space="preserve"> without major new transmission lines</w:t>
      </w:r>
      <w:r w:rsidR="00B0566B">
        <w:rPr>
          <w:color w:val="000000" w:themeColor="text1"/>
        </w:rPr>
        <w:t>.</w:t>
      </w:r>
      <w:r w:rsidR="004B06B9">
        <w:rPr>
          <w:color w:val="000000" w:themeColor="text1"/>
        </w:rPr>
        <w:t xml:space="preserve"> Transmission system improvements are necessary to address a combination of local and regional transmission constraints</w:t>
      </w:r>
      <w:r>
        <w:rPr>
          <w:color w:val="000000" w:themeColor="text1"/>
        </w:rPr>
        <w:t xml:space="preserve">. Additional </w:t>
      </w:r>
      <w:r w:rsidRPr="0056144B">
        <w:rPr>
          <w:color w:val="000000" w:themeColor="text1"/>
        </w:rPr>
        <w:t xml:space="preserve">wind resources planned for the Wyman Hydro and Rumford regions </w:t>
      </w:r>
      <w:proofErr w:type="gramStart"/>
      <w:r w:rsidRPr="0056144B">
        <w:rPr>
          <w:color w:val="000000" w:themeColor="text1"/>
        </w:rPr>
        <w:t>could likely be accommodated</w:t>
      </w:r>
      <w:proofErr w:type="gramEnd"/>
      <w:r w:rsidRPr="0056144B">
        <w:rPr>
          <w:color w:val="000000" w:themeColor="text1"/>
        </w:rPr>
        <w:t xml:space="preserve"> without a major new transmission line to the local regions. However, the Keene</w:t>
      </w:r>
      <w:r w:rsidRPr="00256575">
        <w:rPr>
          <w:color w:val="000000" w:themeColor="text1"/>
        </w:rPr>
        <w:t xml:space="preserve"> Road and</w:t>
      </w:r>
      <w:r>
        <w:rPr>
          <w:color w:val="000000" w:themeColor="text1"/>
        </w:rPr>
        <w:t xml:space="preserve"> Bangor regions </w:t>
      </w:r>
      <w:r w:rsidRPr="00256575">
        <w:rPr>
          <w:color w:val="000000" w:themeColor="text1"/>
        </w:rPr>
        <w:t xml:space="preserve">cannot support much additional wind capacity </w:t>
      </w:r>
      <w:r w:rsidR="007D7D14">
        <w:rPr>
          <w:color w:val="000000" w:themeColor="text1"/>
        </w:rPr>
        <w:t xml:space="preserve">beyond the amount studied </w:t>
      </w:r>
      <w:r w:rsidRPr="00256575">
        <w:rPr>
          <w:color w:val="000000" w:themeColor="text1"/>
        </w:rPr>
        <w:t>without major new transmission facilities. The addition of</w:t>
      </w:r>
      <w:r>
        <w:rPr>
          <w:color w:val="000000" w:themeColor="text1"/>
        </w:rPr>
        <w:t xml:space="preserve"> generation to the Aroostook region will require a new major transmission facility.</w:t>
      </w:r>
    </w:p>
    <w:p w:rsidR="00B4202D" w:rsidRDefault="00D2141F" w:rsidP="005E14EF">
      <w:pPr>
        <w:pStyle w:val="Heading2"/>
      </w:pPr>
      <w:bookmarkStart w:id="774" w:name="_Ref388715573"/>
      <w:bookmarkStart w:id="775" w:name="_Toc396807672"/>
      <w:r w:rsidRPr="008A3931">
        <w:t>Large-Scale Adoption of Photovoltaic Resources</w:t>
      </w:r>
      <w:r>
        <w:t xml:space="preserve"> and Other Distributed Generation Resources</w:t>
      </w:r>
      <w:bookmarkEnd w:id="774"/>
      <w:bookmarkEnd w:id="775"/>
      <w:r>
        <w:t xml:space="preserve"> </w:t>
      </w:r>
    </w:p>
    <w:p w:rsidR="0079044C" w:rsidRPr="00050666" w:rsidRDefault="00D2141F">
      <w:r w:rsidRPr="00DA0B7D">
        <w:t>New England has witnessed significant growth in the development of solar photovoltaic resources</w:t>
      </w:r>
      <w:r w:rsidRPr="00217BF0">
        <w:t xml:space="preserve"> over the past few years, and continued growth of PV </w:t>
      </w:r>
      <w:proofErr w:type="gramStart"/>
      <w:r w:rsidRPr="00217BF0">
        <w:t xml:space="preserve">is </w:t>
      </w:r>
      <w:r w:rsidRPr="00EA2E47">
        <w:t>anticipated</w:t>
      </w:r>
      <w:proofErr w:type="gramEnd"/>
      <w:r>
        <w:t xml:space="preserve"> (see Section </w:t>
      </w:r>
      <w:r w:rsidR="00927965">
        <w:fldChar w:fldCharType="begin"/>
      </w:r>
      <w:r w:rsidR="00800FD7">
        <w:instrText xml:space="preserve"> REF _Ref387327878 \r \h </w:instrText>
      </w:r>
      <w:r w:rsidR="00927965">
        <w:fldChar w:fldCharType="separate"/>
      </w:r>
      <w:r w:rsidR="00284CE3">
        <w:t>3.4</w:t>
      </w:r>
      <w:r w:rsidR="00927965">
        <w:fldChar w:fldCharType="end"/>
      </w:r>
      <w:r>
        <w:t>).</w:t>
      </w:r>
      <w:r w:rsidRPr="00EA2E47">
        <w:t xml:space="preserve"> </w:t>
      </w:r>
      <w:r w:rsidRPr="00646BA1">
        <w:t xml:space="preserve">PV installations not counted as ISO resources reduce the summer peak load, and while the technology holds promise as a </w:t>
      </w:r>
      <w:proofErr w:type="spellStart"/>
      <w:r w:rsidRPr="009021EE">
        <w:t>non</w:t>
      </w:r>
      <w:r w:rsidRPr="00050666">
        <w:t>emitting</w:t>
      </w:r>
      <w:proofErr w:type="spellEnd"/>
      <w:r w:rsidRPr="00050666">
        <w:t xml:space="preserve"> source of electric energy, it poses many challenges.</w:t>
      </w:r>
    </w:p>
    <w:p w:rsidR="00C50436" w:rsidRDefault="00C50436" w:rsidP="00AB7965">
      <w:pPr>
        <w:pStyle w:val="CommentText"/>
        <w:spacing w:line="260" w:lineRule="atLeast"/>
      </w:pPr>
      <w:r w:rsidRPr="00050666">
        <w:t>Regional PV installations are predominantly small (i.e., less than 10 MW) and state-jurisdictionally interconnected to the distribution system.</w:t>
      </w:r>
      <w:r w:rsidR="006F7C04" w:rsidRPr="00050666">
        <w:t xml:space="preserve"> </w:t>
      </w:r>
      <w:r w:rsidR="00D2141F" w:rsidRPr="00050666">
        <w:t>State</w:t>
      </w:r>
      <w:r w:rsidR="00D2141F">
        <w:t xml:space="preserve"> policies largely influence t</w:t>
      </w:r>
      <w:r w:rsidR="00D2141F" w:rsidRPr="00217BF0">
        <w:t xml:space="preserve">he spatial distribution of PV, such that states with policies </w:t>
      </w:r>
      <w:proofErr w:type="gramStart"/>
      <w:r w:rsidR="00D2141F" w:rsidRPr="00217BF0">
        <w:t>more supportive</w:t>
      </w:r>
      <w:proofErr w:type="gramEnd"/>
      <w:r w:rsidR="00D2141F" w:rsidRPr="00217BF0">
        <w:t xml:space="preserve"> of PV (e.g., Massachusetts) are experiencing the most growth </w:t>
      </w:r>
      <w:r w:rsidR="00D2141F" w:rsidRPr="00F733F5">
        <w:t xml:space="preserve">of the resource. Existing amounts of PV have not caused noticeable effects on system operation, but impacts </w:t>
      </w:r>
      <w:proofErr w:type="gramStart"/>
      <w:r w:rsidR="00D2141F" w:rsidRPr="00F733F5">
        <w:t>are anticipated</w:t>
      </w:r>
      <w:proofErr w:type="gramEnd"/>
      <w:r w:rsidR="00D2141F" w:rsidRPr="00F733F5">
        <w:t xml:space="preserve"> as penetrations grow.</w:t>
      </w:r>
      <w:r w:rsidR="00D2141F" w:rsidRPr="00217BF0">
        <w:t xml:space="preserve"> To examine and prepare for the potential effects of large-scale PV development in the region, the ISO has engaged in the initiatives </w:t>
      </w:r>
      <w:r w:rsidR="00D2141F">
        <w:t>summarized</w:t>
      </w:r>
      <w:r w:rsidR="00D2141F" w:rsidRPr="00217BF0">
        <w:t xml:space="preserve"> below.</w:t>
      </w:r>
    </w:p>
    <w:p w:rsidR="00D2141F" w:rsidRPr="00217BF0" w:rsidRDefault="00D2141F" w:rsidP="005C6088">
      <w:pPr>
        <w:pStyle w:val="Heading3"/>
      </w:pPr>
      <w:bookmarkStart w:id="776" w:name="_Toc396807673"/>
      <w:r w:rsidRPr="00217BF0">
        <w:t>Operational Solar Forecasting</w:t>
      </w:r>
      <w:bookmarkEnd w:id="776"/>
    </w:p>
    <w:p w:rsidR="0079044C" w:rsidRDefault="00D2141F">
      <w:r w:rsidRPr="00217BF0">
        <w:t xml:space="preserve">Given that PV will predominantly consist of relatively small projects interconnected to the </w:t>
      </w:r>
      <w:r>
        <w:t>distribution</w:t>
      </w:r>
      <w:r w:rsidRPr="00217BF0">
        <w:t xml:space="preserve"> system</w:t>
      </w:r>
      <w:r>
        <w:t xml:space="preserve">—that the regional system operator can </w:t>
      </w:r>
      <w:proofErr w:type="gramStart"/>
      <w:r w:rsidRPr="00217BF0">
        <w:t>neither observ</w:t>
      </w:r>
      <w:r>
        <w:t>e or</w:t>
      </w:r>
      <w:proofErr w:type="gramEnd"/>
      <w:r>
        <w:t xml:space="preserve"> </w:t>
      </w:r>
      <w:r w:rsidRPr="00217BF0">
        <w:t>dispatch</w:t>
      </w:r>
      <w:r>
        <w:t>—</w:t>
      </w:r>
      <w:r w:rsidRPr="00217BF0">
        <w:t>the</w:t>
      </w:r>
      <w:r>
        <w:t xml:space="preserve">se projects are </w:t>
      </w:r>
      <w:r w:rsidRPr="00217BF0">
        <w:t>effectively a weather-dependent modifier of system load. As penetrations continue to grow</w:t>
      </w:r>
      <w:r>
        <w:t xml:space="preserve"> and displace energy production from other resources</w:t>
      </w:r>
      <w:r w:rsidRPr="00217BF0">
        <w:t>, the weather</w:t>
      </w:r>
      <w:r>
        <w:t>-</w:t>
      </w:r>
      <w:r w:rsidRPr="00217BF0">
        <w:t xml:space="preserve">influencing PV power production will introduce increased variability and uncertainty to the system and eventually </w:t>
      </w:r>
      <w:r>
        <w:t xml:space="preserve">will </w:t>
      </w:r>
      <w:r w:rsidRPr="00217BF0">
        <w:t xml:space="preserve">have an impact on </w:t>
      </w:r>
      <w:r w:rsidRPr="00EA2E47">
        <w:t>system operations (e.g., result in the need for increased reserve, regulation, and ramping). As such, new</w:t>
      </w:r>
      <w:r w:rsidRPr="00217BF0">
        <w:t xml:space="preserve"> forecasting techniques eventually will be required to account for PV generation</w:t>
      </w:r>
      <w:r w:rsidRPr="00F475D8">
        <w:t xml:space="preserve"> </w:t>
      </w:r>
      <w:r w:rsidRPr="00217BF0">
        <w:t xml:space="preserve">appropriately. </w:t>
      </w:r>
    </w:p>
    <w:p w:rsidR="00D2141F" w:rsidRDefault="00D2141F" w:rsidP="009F077B">
      <w:r w:rsidRPr="00217BF0">
        <w:t>In early 2013, the ISO began working on a three-year, DOE-funded project to improve the state of the science of solar forecasting.</w:t>
      </w:r>
      <w:r w:rsidRPr="00217BF0">
        <w:rPr>
          <w:vertAlign w:val="superscript"/>
        </w:rPr>
        <w:footnoteReference w:id="324"/>
      </w:r>
      <w:r w:rsidRPr="00217BF0">
        <w:t xml:space="preserve"> The results of this project will assist the ISO in develop</w:t>
      </w:r>
      <w:r>
        <w:t>ing</w:t>
      </w:r>
      <w:r w:rsidRPr="00217BF0">
        <w:t xml:space="preserve"> a centralized solar forecasting system that eventually </w:t>
      </w:r>
      <w:r>
        <w:t xml:space="preserve">will </w:t>
      </w:r>
      <w:r w:rsidRPr="00217BF0">
        <w:t xml:space="preserve">be required to support the efficient and reliable integration of increasing amounts of PV. </w:t>
      </w:r>
      <w:r>
        <w:t xml:space="preserve">In the interim, the ISO is examining internal methods to improve its operational forecasts using </w:t>
      </w:r>
      <w:r w:rsidRPr="0056144B">
        <w:t>artificial neural</w:t>
      </w:r>
      <w:r>
        <w:t>-</w:t>
      </w:r>
      <w:r w:rsidRPr="0056144B">
        <w:t xml:space="preserve">network </w:t>
      </w:r>
      <w:r>
        <w:t>calculations.</w:t>
      </w:r>
      <w:r>
        <w:rPr>
          <w:rStyle w:val="FootnoteReference"/>
        </w:rPr>
        <w:footnoteReference w:id="325"/>
      </w:r>
      <w:r>
        <w:t xml:space="preserve"> </w:t>
      </w:r>
    </w:p>
    <w:p w:rsidR="00D2141F" w:rsidRPr="00217BF0" w:rsidRDefault="00D2141F" w:rsidP="005C6088">
      <w:pPr>
        <w:pStyle w:val="Heading3"/>
      </w:pPr>
      <w:bookmarkStart w:id="777" w:name="_Toc396807674"/>
      <w:r w:rsidRPr="00217BF0">
        <w:t>PV and Long-Term Planning</w:t>
      </w:r>
      <w:bookmarkEnd w:id="777"/>
    </w:p>
    <w:p w:rsidR="0079044C" w:rsidRDefault="00D2141F">
      <w:r w:rsidRPr="002919CD">
        <w:t>Long-term system planners consider PV in one of two ways.</w:t>
      </w:r>
      <w:r>
        <w:t xml:space="preserve"> First, </w:t>
      </w:r>
      <w:r w:rsidRPr="00EA2E47">
        <w:t xml:space="preserve">capacity supply obligations associated </w:t>
      </w:r>
      <w:r w:rsidRPr="00A3797D">
        <w:t>with PV projects that clear in the FCM can satisfy the Installed Capacity Requirement (see Section</w:t>
      </w:r>
      <w:r>
        <w:t xml:space="preserve"> </w:t>
      </w:r>
      <w:fldSimple w:instr=" REF _Ref387673339 \r \h  \* MERGEFORMAT ">
        <w:r w:rsidR="00284CE3">
          <w:t>4.1.1</w:t>
        </w:r>
      </w:fldSimple>
      <w:r w:rsidRPr="00A3797D">
        <w:t>).</w:t>
      </w:r>
      <w:r w:rsidRPr="00EA2E47">
        <w:t xml:space="preserve"> </w:t>
      </w:r>
      <w:r>
        <w:t>Second,</w:t>
      </w:r>
      <w:r w:rsidRPr="00EA2E47">
        <w:t xml:space="preserve"> energy production or load reductions from operating PV assets are embedded in the historic loads used to develop the ISO’s 10-year load forecast, which in turn are used in planning studies (</w:t>
      </w:r>
      <w:r>
        <w:t xml:space="preserve">such as </w:t>
      </w:r>
      <w:r w:rsidRPr="00EA2E47">
        <w:t xml:space="preserve">the ICR calculation, transmission planning studies, </w:t>
      </w:r>
      <w:r>
        <w:t>and economic studies</w:t>
      </w:r>
      <w:r w:rsidRPr="00EA2E47">
        <w:t>). In fall 2013, the ISO initiate</w:t>
      </w:r>
      <w:r>
        <w:t>d</w:t>
      </w:r>
      <w:r w:rsidRPr="00EA2E47">
        <w:t xml:space="preserve"> a</w:t>
      </w:r>
      <w:r w:rsidRPr="00217BF0">
        <w:t xml:space="preserve"> stakeholder process to develop a long-term forecast of PV that accounts for the current and future growth of PV</w:t>
      </w:r>
      <w:r>
        <w:t xml:space="preserve"> (see Section </w:t>
      </w:r>
      <w:fldSimple w:instr=" REF _Ref387327878 \r \h  \* MERGEFORMAT ">
        <w:r w:rsidR="00284CE3">
          <w:t>3.4</w:t>
        </w:r>
      </w:fldSimple>
      <w:r>
        <w:t>)</w:t>
      </w:r>
      <w:r w:rsidRPr="00217BF0">
        <w:t xml:space="preserve">. </w:t>
      </w:r>
      <w:r>
        <w:t>The ISO and stakeholders are discussing the use of the PV forecast in long-term transmission planning by 2015, and economic studies already consider the PV forecast.</w:t>
      </w:r>
      <w:r>
        <w:rPr>
          <w:rStyle w:val="FootnoteReference"/>
        </w:rPr>
        <w:footnoteReference w:id="326"/>
      </w:r>
      <w:r>
        <w:t xml:space="preserve"> In 2015, the ISO will evaluate the use of the PV forecast in other planning studies. </w:t>
      </w:r>
    </w:p>
    <w:p w:rsidR="00D2141F" w:rsidRPr="00217BF0" w:rsidRDefault="00D2141F" w:rsidP="005C6088">
      <w:pPr>
        <w:pStyle w:val="Heading3"/>
      </w:pPr>
      <w:bookmarkStart w:id="778" w:name="_Toc396807675"/>
      <w:r w:rsidRPr="00217BF0">
        <w:t>Potential Reliability Impacts of PV</w:t>
      </w:r>
      <w:bookmarkEnd w:id="778"/>
    </w:p>
    <w:p w:rsidR="0079044C" w:rsidRDefault="00D2141F">
      <w:r w:rsidRPr="00564E8E">
        <w:t xml:space="preserve">Because of the differences between the state-jurisdictional interconnection standards that apply to most PV resources and the FERC-jurisdictional standards that apply to larger, conventional generators, PV exhibits different electrical characteristics during system conditions typical </w:t>
      </w:r>
      <w:r>
        <w:t xml:space="preserve">of </w:t>
      </w:r>
      <w:r w:rsidRPr="00564E8E">
        <w:t xml:space="preserve">grid disturbances (e.g., low-voltage conditions during an unexpected outage of a large generator or transmission facility). The ISO is participating in a DOE project evaluating the potential reliability impacts of large amounts of distributed generation, such as PV. </w:t>
      </w:r>
    </w:p>
    <w:p w:rsidR="0079044C" w:rsidRDefault="00D2141F">
      <w:r w:rsidRPr="00564E8E">
        <w:t xml:space="preserve">The ISO </w:t>
      </w:r>
      <w:r w:rsidR="002F3693">
        <w:t>asked</w:t>
      </w:r>
      <w:r w:rsidRPr="00564E8E">
        <w:t xml:space="preserve"> the region’s utilities about their interconnection standards, and </w:t>
      </w:r>
      <w:r>
        <w:t xml:space="preserve">the </w:t>
      </w:r>
      <w:r w:rsidRPr="00564E8E">
        <w:t>responses indicated that most PV meets the existing IEEE 1547 standards.</w:t>
      </w:r>
      <w:r>
        <w:rPr>
          <w:rStyle w:val="FootnoteReference"/>
        </w:rPr>
        <w:footnoteReference w:id="327"/>
      </w:r>
      <w:r w:rsidRPr="00564E8E">
        <w:t xml:space="preserve"> These standards were designed for relatively small penetrations of DG and do not require PV resources to be able to “ride through” a fault on the transmission system.</w:t>
      </w:r>
    </w:p>
    <w:p w:rsidR="0079044C" w:rsidRDefault="00D2141F">
      <w:r w:rsidRPr="00564E8E">
        <w:t xml:space="preserve">A high-level screening conducted by the ISO showed the potential loss of PV resulting from faults on the </w:t>
      </w:r>
      <w:r w:rsidRPr="00A3797D">
        <w:t xml:space="preserve">transmission system. The following maps in </w:t>
      </w:r>
      <w:fldSimple w:instr=" REF _Ref388963055 \h  \* MERGEFORMAT ">
        <w:r w:rsidR="00284CE3" w:rsidRPr="00284CE3">
          <w:rPr>
            <w:rFonts w:asciiTheme="majorHAnsi" w:hAnsiTheme="majorHAnsi"/>
          </w:rPr>
          <w:t>Figure 6</w:t>
        </w:r>
        <w:r w:rsidR="00284CE3" w:rsidRPr="00284CE3">
          <w:rPr>
            <w:rFonts w:asciiTheme="majorHAnsi" w:hAnsiTheme="majorHAnsi"/>
          </w:rPr>
          <w:noBreakHyphen/>
          <w:t>16</w:t>
        </w:r>
      </w:fldSimple>
      <w:r w:rsidRPr="009021EE">
        <w:t>,</w:t>
      </w:r>
      <w:r w:rsidRPr="00A3797D">
        <w:t xml:space="preserve"> of </w:t>
      </w:r>
      <w:r w:rsidR="00DB29EE">
        <w:t>Connecticut</w:t>
      </w:r>
      <w:r w:rsidRPr="00A3797D">
        <w:t xml:space="preserve"> (left) and </w:t>
      </w:r>
      <w:r w:rsidR="00DB29EE">
        <w:t>Massachusetts</w:t>
      </w:r>
      <w:r w:rsidRPr="00A3797D">
        <w:t xml:space="preserve"> (right),</w:t>
      </w:r>
      <w:r w:rsidRPr="00564E8E">
        <w:t xml:space="preserve"> show the areas where PV resources are likely to trip off line </w:t>
      </w:r>
      <w:r>
        <w:t xml:space="preserve">because of </w:t>
      </w:r>
      <w:r w:rsidRPr="00564E8E">
        <w:t xml:space="preserve">low voltage in the event of a fault on the 345 kV transmission system. This could result in thermal or stability problems and could cause the need for additional transmission upgrades. As PV penetrations grow, the severity of this potential problem will also grow. </w:t>
      </w:r>
    </w:p>
    <w:p w:rsidR="00D2141F" w:rsidRPr="004E1CA4" w:rsidRDefault="00A50074" w:rsidP="004D1851">
      <w:pPr>
        <w:pStyle w:val="NoSpacing"/>
        <w:keepNext/>
        <w:keepLines/>
        <w:numPr>
          <w:ilvl w:val="0"/>
          <w:numId w:val="0"/>
        </w:numPr>
        <w:spacing w:after="0" w:line="240" w:lineRule="auto"/>
        <w:jc w:val="center"/>
      </w:pPr>
      <w:r w:rsidRPr="00A50074">
        <w:rPr>
          <w:noProof/>
        </w:rPr>
        <w:drawing>
          <wp:inline distT="0" distB="0" distL="0" distR="0">
            <wp:extent cx="5715000" cy="2309895"/>
            <wp:effectExtent l="19050" t="19050" r="19050" b="142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5715000" cy="2309895"/>
                    </a:xfrm>
                    <a:prstGeom prst="rect">
                      <a:avLst/>
                    </a:prstGeom>
                    <a:noFill/>
                    <a:ln w="3175">
                      <a:solidFill>
                        <a:schemeClr val="tx1"/>
                      </a:solidFill>
                      <a:miter lim="800000"/>
                      <a:headEnd/>
                      <a:tailEnd/>
                    </a:ln>
                  </pic:spPr>
                </pic:pic>
              </a:graphicData>
            </a:graphic>
          </wp:inline>
        </w:drawing>
      </w:r>
    </w:p>
    <w:p w:rsidR="00A50074" w:rsidRPr="00A92103" w:rsidRDefault="00BB5C0C" w:rsidP="00F44162">
      <w:pPr>
        <w:pStyle w:val="CommentText"/>
        <w:spacing w:before="120" w:after="80"/>
        <w:ind w:left="90" w:right="-90"/>
        <w:rPr>
          <w:rFonts w:asciiTheme="minorHAnsi" w:hAnsiTheme="minorHAnsi"/>
        </w:rPr>
      </w:pPr>
      <w:bookmarkStart w:id="779" w:name="_Ref388963055"/>
      <w:bookmarkStart w:id="780" w:name="_Toc391985591"/>
      <w:r w:rsidRPr="00BB5C0C">
        <w:rPr>
          <w:rStyle w:val="Caption-FigureChar"/>
        </w:rPr>
        <w:t xml:space="preserve">Figure </w:t>
      </w:r>
      <w:r w:rsidR="00927965" w:rsidRPr="00BB5C0C">
        <w:rPr>
          <w:rStyle w:val="Caption-FigureChar"/>
        </w:rPr>
        <w:fldChar w:fldCharType="begin"/>
      </w:r>
      <w:r w:rsidRPr="00BB5C0C">
        <w:rPr>
          <w:rStyle w:val="Caption-FigureChar"/>
        </w:rPr>
        <w:instrText xml:space="preserve"> STYLEREF 1 \s </w:instrText>
      </w:r>
      <w:r w:rsidR="00927965" w:rsidRPr="00BB5C0C">
        <w:rPr>
          <w:rStyle w:val="Caption-FigureChar"/>
        </w:rPr>
        <w:fldChar w:fldCharType="separate"/>
      </w:r>
      <w:r w:rsidR="00284CE3">
        <w:rPr>
          <w:rStyle w:val="Caption-FigureChar"/>
          <w:noProof/>
        </w:rPr>
        <w:t>6</w:t>
      </w:r>
      <w:r w:rsidR="00927965" w:rsidRPr="00BB5C0C">
        <w:rPr>
          <w:rStyle w:val="Caption-FigureChar"/>
        </w:rPr>
        <w:fldChar w:fldCharType="end"/>
      </w:r>
      <w:r w:rsidRPr="00BB5C0C">
        <w:rPr>
          <w:rStyle w:val="Caption-FigureChar"/>
        </w:rPr>
        <w:noBreakHyphen/>
      </w:r>
      <w:r w:rsidR="00927965" w:rsidRPr="00BB5C0C">
        <w:rPr>
          <w:rStyle w:val="Caption-FigureChar"/>
        </w:rPr>
        <w:fldChar w:fldCharType="begin"/>
      </w:r>
      <w:r w:rsidRPr="00BB5C0C">
        <w:rPr>
          <w:rStyle w:val="Caption-FigureChar"/>
        </w:rPr>
        <w:instrText xml:space="preserve"> SEQ Figure \* ARABIC \s 1 </w:instrText>
      </w:r>
      <w:r w:rsidR="00927965" w:rsidRPr="00BB5C0C">
        <w:rPr>
          <w:rStyle w:val="Caption-FigureChar"/>
        </w:rPr>
        <w:fldChar w:fldCharType="separate"/>
      </w:r>
      <w:r w:rsidR="00284CE3">
        <w:rPr>
          <w:rStyle w:val="Caption-FigureChar"/>
          <w:noProof/>
        </w:rPr>
        <w:t>16</w:t>
      </w:r>
      <w:r w:rsidR="00927965" w:rsidRPr="00BB5C0C">
        <w:rPr>
          <w:rStyle w:val="Caption-FigureChar"/>
        </w:rPr>
        <w:fldChar w:fldCharType="end"/>
      </w:r>
      <w:bookmarkEnd w:id="779"/>
      <w:r w:rsidRPr="00BB5C0C">
        <w:rPr>
          <w:rStyle w:val="Caption-FigureChar"/>
        </w:rPr>
        <w:t xml:space="preserve">: Areas (in blue), in </w:t>
      </w:r>
      <w:r w:rsidR="004D1851">
        <w:rPr>
          <w:rStyle w:val="Caption-FigureChar"/>
        </w:rPr>
        <w:t>Connecticut</w:t>
      </w:r>
      <w:r w:rsidRPr="00BB5C0C">
        <w:rPr>
          <w:rStyle w:val="Caption-FigureChar"/>
        </w:rPr>
        <w:t xml:space="preserve"> (left) and </w:t>
      </w:r>
      <w:r w:rsidR="004D1851">
        <w:rPr>
          <w:rStyle w:val="Caption-FigureChar"/>
        </w:rPr>
        <w:t>Massachusetts</w:t>
      </w:r>
      <w:r w:rsidRPr="00BB5C0C">
        <w:rPr>
          <w:rStyle w:val="Caption-FigureChar"/>
        </w:rPr>
        <w:t xml:space="preserve"> (right), where PV resources are likely to trip off line because of low voltage in the event of a fault on the 345 kV transmission syste</w:t>
      </w:r>
      <w:r w:rsidRPr="00F44162">
        <w:rPr>
          <w:rStyle w:val="Caption-FigureChar"/>
        </w:rPr>
        <w:t>m</w:t>
      </w:r>
      <w:r w:rsidR="00D2141F" w:rsidRPr="00F44162">
        <w:rPr>
          <w:rFonts w:asciiTheme="minorHAnsi" w:hAnsiTheme="minorHAnsi"/>
        </w:rPr>
        <w:t>.</w:t>
      </w:r>
      <w:bookmarkEnd w:id="780"/>
    </w:p>
    <w:p w:rsidR="004D1851" w:rsidRPr="000F5A96" w:rsidRDefault="00A50074" w:rsidP="00F44162">
      <w:pPr>
        <w:pStyle w:val="CommentText"/>
        <w:ind w:left="90" w:right="-90"/>
        <w:rPr>
          <w:b/>
          <w:sz w:val="16"/>
          <w:szCs w:val="16"/>
        </w:rPr>
      </w:pPr>
      <w:r w:rsidRPr="000F5A96">
        <w:rPr>
          <w:rStyle w:val="Caption-FigureChar"/>
          <w:sz w:val="16"/>
          <w:szCs w:val="16"/>
        </w:rPr>
        <w:t>Note</w:t>
      </w:r>
      <w:r w:rsidRPr="000F5A96">
        <w:rPr>
          <w:rFonts w:asciiTheme="minorHAnsi" w:hAnsiTheme="minorHAnsi"/>
          <w:sz w:val="16"/>
          <w:szCs w:val="16"/>
        </w:rPr>
        <w:t xml:space="preserve">: The key refers to </w:t>
      </w:r>
      <w:r w:rsidR="003D6FD0" w:rsidRPr="000F5A96">
        <w:rPr>
          <w:rFonts w:asciiTheme="minorHAnsi" w:hAnsiTheme="minorHAnsi"/>
          <w:sz w:val="16"/>
          <w:szCs w:val="16"/>
        </w:rPr>
        <w:t xml:space="preserve">per-unit </w:t>
      </w:r>
      <w:r w:rsidRPr="000F5A96">
        <w:rPr>
          <w:rFonts w:asciiTheme="minorHAnsi" w:hAnsiTheme="minorHAnsi"/>
          <w:sz w:val="16"/>
          <w:szCs w:val="16"/>
        </w:rPr>
        <w:t>voltage.</w:t>
      </w:r>
    </w:p>
    <w:p w:rsidR="00D2141F" w:rsidRDefault="00D2141F" w:rsidP="00D2141F">
      <w:pPr>
        <w:spacing w:after="120" w:line="276" w:lineRule="auto"/>
        <w:rPr>
          <w:rFonts w:asciiTheme="majorHAnsi" w:hAnsiTheme="majorHAnsi"/>
        </w:rPr>
      </w:pPr>
      <w:r w:rsidRPr="00564E8E">
        <w:rPr>
          <w:rFonts w:asciiTheme="majorHAnsi" w:hAnsiTheme="majorHAnsi"/>
        </w:rPr>
        <w:t xml:space="preserve">A sensitivity analysis </w:t>
      </w:r>
      <w:r w:rsidR="008B3B77">
        <w:rPr>
          <w:rFonts w:asciiTheme="majorHAnsi" w:hAnsiTheme="majorHAnsi"/>
        </w:rPr>
        <w:t xml:space="preserve">also </w:t>
      </w:r>
      <w:proofErr w:type="gramStart"/>
      <w:r w:rsidRPr="00564E8E">
        <w:rPr>
          <w:rFonts w:asciiTheme="majorHAnsi" w:hAnsiTheme="majorHAnsi"/>
        </w:rPr>
        <w:t xml:space="preserve">was </w:t>
      </w:r>
      <w:r>
        <w:rPr>
          <w:rFonts w:asciiTheme="majorHAnsi" w:hAnsiTheme="majorHAnsi"/>
        </w:rPr>
        <w:t>conducted</w:t>
      </w:r>
      <w:proofErr w:type="gramEnd"/>
      <w:r>
        <w:rPr>
          <w:rFonts w:asciiTheme="majorHAnsi" w:hAnsiTheme="majorHAnsi"/>
        </w:rPr>
        <w:t>,</w:t>
      </w:r>
      <w:r w:rsidRPr="00564E8E">
        <w:rPr>
          <w:rFonts w:asciiTheme="majorHAnsi" w:hAnsiTheme="majorHAnsi"/>
        </w:rPr>
        <w:t xml:space="preserve"> which indicates that low voltage will be more widespread when local generation is not operating, for example, on a spring day with light load and h</w:t>
      </w:r>
      <w:r>
        <w:rPr>
          <w:rFonts w:asciiTheme="majorHAnsi" w:hAnsiTheme="majorHAnsi"/>
        </w:rPr>
        <w:t xml:space="preserve">igh wind and solar generation. </w:t>
      </w:r>
    </w:p>
    <w:p w:rsidR="00D2141F" w:rsidRPr="00217BF0" w:rsidRDefault="00D2141F" w:rsidP="002F3693">
      <w:r w:rsidRPr="00F65120">
        <w:t xml:space="preserve">The ISO is working with the New England states, distribution utilities, and IEEE and other international experts to ensure that the future interconnection standards for PV (and other inverter-interfaced DG resources) </w:t>
      </w:r>
      <w:proofErr w:type="gramStart"/>
      <w:r w:rsidRPr="00F65120">
        <w:t>better</w:t>
      </w:r>
      <w:proofErr w:type="gramEnd"/>
      <w:r w:rsidRPr="00F65120">
        <w:t xml:space="preserve"> coordinate with broader system reliability requirements.</w:t>
      </w:r>
      <w:r w:rsidRPr="00F65120">
        <w:rPr>
          <w:rStyle w:val="FootnoteReference"/>
        </w:rPr>
        <w:footnoteReference w:id="328"/>
      </w:r>
      <w:r w:rsidRPr="00564E8E">
        <w:t xml:space="preserve"> The ISO will participate in the revision of the IEEE standard with the aim of improving the coordination of distribution system needs and </w:t>
      </w:r>
      <w:proofErr w:type="gramStart"/>
      <w:r w:rsidRPr="00564E8E">
        <w:t>transmission system performance requirements</w:t>
      </w:r>
      <w:proofErr w:type="gramEnd"/>
      <w:r w:rsidRPr="00564E8E">
        <w:t>.</w:t>
      </w:r>
    </w:p>
    <w:p w:rsidR="00D2141F" w:rsidRPr="00217BF0" w:rsidRDefault="00D2141F" w:rsidP="002F3693">
      <w:r w:rsidRPr="00F65120">
        <w:t xml:space="preserve">The ISO </w:t>
      </w:r>
      <w:r w:rsidRPr="009021EE">
        <w:t xml:space="preserve">also will </w:t>
      </w:r>
      <w:r w:rsidRPr="00F65120">
        <w:t>continue to actively track the growth of PV in the region and evaluate its potential impacts on the efficient administration of wholesale electricity markets and the reliable operation and planning of the region’s electric power system. Because many other regions of North America also are</w:t>
      </w:r>
      <w:r w:rsidRPr="00217BF0">
        <w:t xml:space="preserve"> witnessing the large-scale adoption of PV, the ISO also is engaging with other ISO/RTOs to share relevant methods and experience.</w:t>
      </w:r>
    </w:p>
    <w:p w:rsidR="00B4202D" w:rsidRDefault="00D2141F" w:rsidP="005E14EF">
      <w:pPr>
        <w:pStyle w:val="Heading2"/>
      </w:pPr>
      <w:bookmarkStart w:id="781" w:name="_Ref388730879"/>
      <w:bookmarkStart w:id="782" w:name="_Toc396807676"/>
      <w:r w:rsidRPr="0000669E">
        <w:t xml:space="preserve">Economic Performance of the System and </w:t>
      </w:r>
      <w:r>
        <w:t xml:space="preserve">Other </w:t>
      </w:r>
      <w:r w:rsidRPr="0000669E">
        <w:t>Studies</w:t>
      </w:r>
      <w:bookmarkEnd w:id="781"/>
      <w:bookmarkEnd w:id="782"/>
      <w:r w:rsidRPr="0000669E">
        <w:t xml:space="preserve"> </w:t>
      </w:r>
    </w:p>
    <w:p w:rsidR="00D2141F" w:rsidRDefault="00D2141F" w:rsidP="00D2141F">
      <w:pPr>
        <w:rPr>
          <w:rFonts w:asciiTheme="majorHAnsi" w:hAnsiTheme="majorHAnsi"/>
        </w:rPr>
      </w:pPr>
      <w:r w:rsidRPr="0013329C">
        <w:rPr>
          <w:rFonts w:asciiTheme="majorHAnsi" w:hAnsiTheme="majorHAnsi"/>
        </w:rPr>
        <w:t xml:space="preserve">Economic studies of various system-expansion scenarios have used metrics such as potential production costs, transmission congestion, and a number of others to suggest the most economical locations for resource development and the least economical locations for resource retirements. Other economic studies are showing the effects of possible new imports from Canada. </w:t>
      </w:r>
    </w:p>
    <w:p w:rsidR="00D2141F" w:rsidRPr="0013329C" w:rsidRDefault="00D2141F" w:rsidP="005C6088">
      <w:pPr>
        <w:pStyle w:val="Heading3"/>
      </w:pPr>
      <w:bookmarkStart w:id="783" w:name="_Ref388714829"/>
      <w:bookmarkStart w:id="784" w:name="_Ref388716252"/>
      <w:bookmarkStart w:id="785" w:name="_Ref388730848"/>
      <w:bookmarkStart w:id="786" w:name="_Toc396807677"/>
      <w:r>
        <w:t>Economic Studies</w:t>
      </w:r>
      <w:bookmarkEnd w:id="783"/>
      <w:bookmarkEnd w:id="784"/>
      <w:bookmarkEnd w:id="785"/>
      <w:bookmarkEnd w:id="786"/>
    </w:p>
    <w:p w:rsidR="00F72A94" w:rsidRPr="0013329C" w:rsidRDefault="00F72A94" w:rsidP="00F72A94">
      <w:pPr>
        <w:tabs>
          <w:tab w:val="left" w:pos="720"/>
        </w:tabs>
        <w:rPr>
          <w:rFonts w:asciiTheme="majorHAnsi" w:hAnsiTheme="majorHAnsi"/>
        </w:rPr>
      </w:pPr>
      <w:r>
        <w:rPr>
          <w:rFonts w:asciiTheme="majorHAnsi" w:hAnsiTheme="majorHAnsi"/>
        </w:rPr>
        <w:t>The</w:t>
      </w:r>
      <w:r w:rsidRPr="0013329C">
        <w:rPr>
          <w:rFonts w:asciiTheme="majorHAnsi" w:hAnsiTheme="majorHAnsi"/>
        </w:rPr>
        <w:t xml:space="preserve"> 2011</w:t>
      </w:r>
      <w:r>
        <w:rPr>
          <w:rFonts w:asciiTheme="majorHAnsi" w:hAnsiTheme="majorHAnsi"/>
        </w:rPr>
        <w:t>,</w:t>
      </w:r>
      <w:r w:rsidRPr="0013329C">
        <w:rPr>
          <w:rFonts w:asciiTheme="majorHAnsi" w:hAnsiTheme="majorHAnsi"/>
        </w:rPr>
        <w:t xml:space="preserve"> 2012</w:t>
      </w:r>
      <w:r>
        <w:rPr>
          <w:rFonts w:asciiTheme="majorHAnsi" w:hAnsiTheme="majorHAnsi"/>
        </w:rPr>
        <w:t>, and 2013</w:t>
      </w:r>
      <w:r w:rsidRPr="0013329C">
        <w:rPr>
          <w:rFonts w:asciiTheme="majorHAnsi" w:hAnsiTheme="majorHAnsi"/>
        </w:rPr>
        <w:t xml:space="preserve"> </w:t>
      </w:r>
      <w:r>
        <w:rPr>
          <w:rFonts w:asciiTheme="majorHAnsi" w:hAnsiTheme="majorHAnsi"/>
        </w:rPr>
        <w:t>E</w:t>
      </w:r>
      <w:r w:rsidRPr="0013329C">
        <w:rPr>
          <w:rFonts w:asciiTheme="majorHAnsi" w:hAnsiTheme="majorHAnsi"/>
        </w:rPr>
        <w:t xml:space="preserve">conomic </w:t>
      </w:r>
      <w:r>
        <w:rPr>
          <w:rFonts w:asciiTheme="majorHAnsi" w:hAnsiTheme="majorHAnsi"/>
        </w:rPr>
        <w:t>S</w:t>
      </w:r>
      <w:r w:rsidRPr="0013329C">
        <w:rPr>
          <w:rFonts w:asciiTheme="majorHAnsi" w:hAnsiTheme="majorHAnsi"/>
        </w:rPr>
        <w:t>tudies analyzed several of the strategic issues the region is addressing.</w:t>
      </w:r>
      <w:r w:rsidRPr="001B6391">
        <w:rPr>
          <w:rStyle w:val="FootnoteReference"/>
          <w:rFonts w:asciiTheme="majorHAnsi" w:hAnsiTheme="majorHAnsi"/>
        </w:rPr>
        <w:footnoteReference w:id="329"/>
      </w:r>
      <w:r w:rsidRPr="0013329C">
        <w:rPr>
          <w:rFonts w:asciiTheme="majorHAnsi" w:hAnsiTheme="majorHAnsi"/>
        </w:rPr>
        <w:t xml:space="preserve"> The </w:t>
      </w:r>
      <w:r w:rsidRPr="00163894">
        <w:rPr>
          <w:rFonts w:asciiTheme="majorHAnsi" w:hAnsiTheme="majorHAnsi"/>
          <w:i/>
        </w:rPr>
        <w:t>2011 Economic Study</w:t>
      </w:r>
      <w:r w:rsidRPr="0013329C">
        <w:rPr>
          <w:rFonts w:asciiTheme="majorHAnsi" w:hAnsiTheme="majorHAnsi"/>
        </w:rPr>
        <w:t xml:space="preserve"> examined the effects of integrating varying amounts of wind on production costs, load-serving </w:t>
      </w:r>
      <w:r>
        <w:rPr>
          <w:rFonts w:asciiTheme="majorHAnsi" w:hAnsiTheme="majorHAnsi"/>
        </w:rPr>
        <w:t>entity</w:t>
      </w:r>
      <w:r w:rsidR="00E820D9">
        <w:rPr>
          <w:rFonts w:asciiTheme="majorHAnsi" w:hAnsiTheme="majorHAnsi"/>
        </w:rPr>
        <w:t xml:space="preserve"> (LSE)</w:t>
      </w:r>
      <w:r w:rsidRPr="0013329C">
        <w:rPr>
          <w:rFonts w:asciiTheme="majorHAnsi" w:hAnsiTheme="majorHAnsi"/>
        </w:rPr>
        <w:t xml:space="preserve"> expenses, and emissions, as well as the need for transmission development, to enable wind resources to serve the region’s load centers. The </w:t>
      </w:r>
      <w:r w:rsidRPr="00163894">
        <w:rPr>
          <w:rFonts w:asciiTheme="majorHAnsi" w:hAnsiTheme="majorHAnsi"/>
          <w:i/>
        </w:rPr>
        <w:t>2012 Economic Study</w:t>
      </w:r>
      <w:r w:rsidRPr="0013329C">
        <w:rPr>
          <w:rFonts w:asciiTheme="majorHAnsi" w:hAnsiTheme="majorHAnsi"/>
        </w:rPr>
        <w:t xml:space="preserve"> highlighted the least suitable locations for unit retirements and the most suitable locations for developing different resources without causing congestion. The study showed the effects of using various amounts of energy efficiency and low-emitting resources, including renewable energy</w:t>
      </w:r>
      <w:r w:rsidRPr="008D4E78">
        <w:rPr>
          <w:rFonts w:asciiTheme="majorHAnsi" w:hAnsiTheme="majorHAnsi"/>
        </w:rPr>
        <w:t xml:space="preserve">. </w:t>
      </w:r>
      <w:r>
        <w:rPr>
          <w:rFonts w:asciiTheme="majorHAnsi" w:hAnsiTheme="majorHAnsi"/>
        </w:rPr>
        <w:t xml:space="preserve">The </w:t>
      </w:r>
      <w:r w:rsidRPr="00163894">
        <w:rPr>
          <w:rFonts w:asciiTheme="majorHAnsi" w:hAnsiTheme="majorHAnsi"/>
          <w:i/>
        </w:rPr>
        <w:t>2013 Economic Study</w:t>
      </w:r>
      <w:r>
        <w:rPr>
          <w:rFonts w:asciiTheme="majorHAnsi" w:hAnsiTheme="majorHAnsi"/>
        </w:rPr>
        <w:t xml:space="preserve">, still in draft form, </w:t>
      </w:r>
      <w:r>
        <w:rPr>
          <w:rFonts w:eastAsia="Calibri"/>
        </w:rPr>
        <w:t xml:space="preserve">examined the economic and environmental </w:t>
      </w:r>
      <w:r>
        <w:t>effects</w:t>
      </w:r>
      <w:r>
        <w:rPr>
          <w:rFonts w:eastAsia="Calibri"/>
        </w:rPr>
        <w:t xml:space="preserve"> of increasing the acceptable loss-of-source (LOS) limits in New England</w:t>
      </w:r>
      <w:r w:rsidRPr="00114221">
        <w:rPr>
          <w:rFonts w:eastAsia="Calibri"/>
        </w:rPr>
        <w:t>.</w:t>
      </w:r>
      <w:r w:rsidRPr="009021EE">
        <w:rPr>
          <w:rFonts w:eastAsia="Calibri"/>
        </w:rPr>
        <w:t xml:space="preserve"> </w:t>
      </w:r>
    </w:p>
    <w:p w:rsidR="00F72A94" w:rsidRDefault="00F72A94" w:rsidP="00F72A94">
      <w:pPr>
        <w:spacing w:after="200" w:line="276" w:lineRule="auto"/>
        <w:rPr>
          <w:rFonts w:asciiTheme="majorHAnsi" w:hAnsiTheme="majorHAnsi"/>
        </w:rPr>
      </w:pPr>
      <w:r w:rsidRPr="000C0E6A">
        <w:rPr>
          <w:rFonts w:asciiTheme="majorHAnsi" w:hAnsiTheme="majorHAnsi"/>
        </w:rPr>
        <w:t xml:space="preserve">The </w:t>
      </w:r>
      <w:r>
        <w:rPr>
          <w:rFonts w:asciiTheme="majorHAnsi" w:hAnsiTheme="majorHAnsi"/>
        </w:rPr>
        <w:t xml:space="preserve">2011 and 2012 </w:t>
      </w:r>
      <w:r w:rsidRPr="000C0E6A">
        <w:rPr>
          <w:rFonts w:asciiTheme="majorHAnsi" w:hAnsiTheme="majorHAnsi"/>
        </w:rPr>
        <w:t>studies</w:t>
      </w:r>
      <w:r>
        <w:rPr>
          <w:rFonts w:asciiTheme="majorHAnsi" w:hAnsiTheme="majorHAnsi"/>
        </w:rPr>
        <w:t xml:space="preserve"> </w:t>
      </w:r>
      <w:r w:rsidR="00950ACE">
        <w:rPr>
          <w:rFonts w:asciiTheme="majorHAnsi" w:hAnsiTheme="majorHAnsi"/>
        </w:rPr>
        <w:t xml:space="preserve">with </w:t>
      </w:r>
      <w:r>
        <w:rPr>
          <w:rFonts w:asciiTheme="majorHAnsi" w:hAnsiTheme="majorHAnsi"/>
        </w:rPr>
        <w:t xml:space="preserve">similar objectives </w:t>
      </w:r>
      <w:r w:rsidRPr="000C0E6A">
        <w:rPr>
          <w:rFonts w:asciiTheme="majorHAnsi" w:hAnsiTheme="majorHAnsi"/>
        </w:rPr>
        <w:t>showed several key results</w:t>
      </w:r>
      <w:r>
        <w:rPr>
          <w:rFonts w:asciiTheme="majorHAnsi" w:hAnsiTheme="majorHAnsi"/>
        </w:rPr>
        <w:t>:</w:t>
      </w:r>
      <w:r w:rsidRPr="000C0E6A">
        <w:rPr>
          <w:rFonts w:asciiTheme="majorHAnsi" w:hAnsiTheme="majorHAnsi"/>
        </w:rPr>
        <w:t xml:space="preserve"> Accessing the onshore wind energy located in</w:t>
      </w:r>
      <w:r w:rsidRPr="0013329C">
        <w:rPr>
          <w:rFonts w:asciiTheme="majorHAnsi" w:hAnsiTheme="majorHAnsi"/>
        </w:rPr>
        <w:t xml:space="preserve"> northern New England remote from load centers will require transmission expansion. Replacing older high-emitting coal- and oil-fired units with cleaner-burning natural gas generation will decrease environmental emissions but increase New England’s dependence on natural </w:t>
      </w:r>
      <w:r w:rsidRPr="00A94E56">
        <w:rPr>
          <w:rFonts w:asciiTheme="majorHAnsi" w:hAnsiTheme="majorHAnsi"/>
        </w:rPr>
        <w:t xml:space="preserve">gas and put additional demands on the natural gas infrastructure. The addition of resources with low </w:t>
      </w:r>
      <w:r w:rsidRPr="00E820D9">
        <w:rPr>
          <w:rFonts w:asciiTheme="majorHAnsi" w:hAnsiTheme="majorHAnsi"/>
        </w:rPr>
        <w:t>energy production costs decreases electric energy expenses for LSEs but also decreases energy market</w:t>
      </w:r>
      <w:r w:rsidRPr="0013329C">
        <w:rPr>
          <w:rFonts w:asciiTheme="majorHAnsi" w:hAnsiTheme="majorHAnsi"/>
        </w:rPr>
        <w:t xml:space="preserve"> revenues to </w:t>
      </w:r>
      <w:r>
        <w:rPr>
          <w:rFonts w:asciiTheme="majorHAnsi" w:hAnsiTheme="majorHAnsi"/>
        </w:rPr>
        <w:t xml:space="preserve">other </w:t>
      </w:r>
      <w:r w:rsidRPr="0013329C">
        <w:rPr>
          <w:rFonts w:asciiTheme="majorHAnsi" w:hAnsiTheme="majorHAnsi"/>
        </w:rPr>
        <w:t xml:space="preserve">resources, which may then require increases in other revenue sources </w:t>
      </w:r>
      <w:r>
        <w:rPr>
          <w:rFonts w:asciiTheme="majorHAnsi" w:hAnsiTheme="majorHAnsi"/>
        </w:rPr>
        <w:t xml:space="preserve">for these resources </w:t>
      </w:r>
      <w:r w:rsidRPr="0013329C">
        <w:rPr>
          <w:rFonts w:asciiTheme="majorHAnsi" w:hAnsiTheme="majorHAnsi"/>
        </w:rPr>
        <w:t>to remain economically viable.</w:t>
      </w:r>
    </w:p>
    <w:p w:rsidR="00F72A94" w:rsidRPr="000C0E6A" w:rsidRDefault="00F72A94" w:rsidP="00F72A94">
      <w:pPr>
        <w:spacing w:after="200" w:line="276" w:lineRule="auto"/>
      </w:pPr>
      <w:r>
        <w:t>In general, t</w:t>
      </w:r>
      <w:r w:rsidRPr="000C0E6A" w:rsidDel="000C0E6A">
        <w:t xml:space="preserve">he results of the </w:t>
      </w:r>
      <w:r w:rsidRPr="00163894" w:rsidDel="000C0E6A">
        <w:rPr>
          <w:i/>
        </w:rPr>
        <w:t>2011 Economic Study</w:t>
      </w:r>
      <w:r w:rsidRPr="000C0E6A" w:rsidDel="000C0E6A">
        <w:t xml:space="preserve"> and </w:t>
      </w:r>
      <w:r>
        <w:t>its</w:t>
      </w:r>
      <w:r w:rsidRPr="000C0E6A" w:rsidDel="000C0E6A">
        <w:t xml:space="preserve"> follow-up analysis</w:t>
      </w:r>
      <w:r w:rsidRPr="000C0E6A">
        <w:t xml:space="preserve"> </w:t>
      </w:r>
      <w:r w:rsidRPr="000C0E6A" w:rsidDel="000C0E6A">
        <w:t>us</w:t>
      </w:r>
      <w:r w:rsidRPr="000C0E6A">
        <w:t xml:space="preserve">ing </w:t>
      </w:r>
      <w:proofErr w:type="spellStart"/>
      <w:r w:rsidRPr="000C0E6A" w:rsidDel="000C0E6A">
        <w:t>GridView</w:t>
      </w:r>
      <w:proofErr w:type="spellEnd"/>
      <w:r>
        <w:t xml:space="preserve"> </w:t>
      </w:r>
      <w:proofErr w:type="gramStart"/>
      <w:r>
        <w:t>were in agreement</w:t>
      </w:r>
      <w:proofErr w:type="gramEnd"/>
      <w:r>
        <w:t>.</w:t>
      </w:r>
      <w:r w:rsidR="00F00E29">
        <w:rPr>
          <w:rStyle w:val="FootnoteReference"/>
        </w:rPr>
        <w:footnoteReference w:id="330"/>
      </w:r>
      <w:r>
        <w:t xml:space="preserve"> </w:t>
      </w:r>
      <w:r w:rsidRPr="000C0E6A">
        <w:t>H</w:t>
      </w:r>
      <w:r w:rsidRPr="000C0E6A">
        <w:rPr>
          <w:szCs w:val="22"/>
        </w:rPr>
        <w:t xml:space="preserve">ighlights </w:t>
      </w:r>
      <w:r>
        <w:rPr>
          <w:szCs w:val="22"/>
        </w:rPr>
        <w:t>of these results are as follows:</w:t>
      </w:r>
    </w:p>
    <w:p w:rsidR="00F72A94" w:rsidRPr="00F00E29" w:rsidRDefault="00F72A94" w:rsidP="00F72A94">
      <w:pPr>
        <w:numPr>
          <w:ilvl w:val="0"/>
          <w:numId w:val="292"/>
        </w:numPr>
        <w:spacing w:after="120" w:line="276" w:lineRule="auto"/>
      </w:pPr>
      <w:r w:rsidRPr="00F00E29">
        <w:t xml:space="preserve">Transmission system limitations </w:t>
      </w:r>
      <w:r w:rsidR="006C5780" w:rsidRPr="00F00E29">
        <w:t xml:space="preserve">would not bottle in significant amounts of wind energy if up to 600 MW of wind resources </w:t>
      </w:r>
      <w:proofErr w:type="gramStart"/>
      <w:r w:rsidR="006C5780" w:rsidRPr="00F00E29">
        <w:t>were added</w:t>
      </w:r>
      <w:proofErr w:type="gramEnd"/>
      <w:r w:rsidR="006C5780" w:rsidRPr="00F00E29">
        <w:t xml:space="preserve"> in the Rumford area of Maine.</w:t>
      </w:r>
      <w:r w:rsidRPr="00F00E29">
        <w:t xml:space="preserve"> However, the Wyman/Bigelow area, also in Maine, would become export constrained with 600 MW of wind development.</w:t>
      </w:r>
    </w:p>
    <w:p w:rsidR="00F72A94" w:rsidRPr="00F00E29" w:rsidRDefault="00F72A94" w:rsidP="00F72A94">
      <w:pPr>
        <w:numPr>
          <w:ilvl w:val="0"/>
          <w:numId w:val="292"/>
        </w:numPr>
        <w:spacing w:after="120" w:line="276" w:lineRule="auto"/>
      </w:pPr>
      <w:r w:rsidRPr="00F00E29">
        <w:t xml:space="preserve">The </w:t>
      </w:r>
      <w:proofErr w:type="spellStart"/>
      <w:r w:rsidRPr="00F00E29">
        <w:t>Surowiec</w:t>
      </w:r>
      <w:proofErr w:type="spellEnd"/>
      <w:r w:rsidRPr="00F00E29">
        <w:t xml:space="preserve"> South interface likely could limit wind production in north–central Maine, but the interaction of wind generation with the existing resources requires further investigation.</w:t>
      </w:r>
    </w:p>
    <w:p w:rsidR="00F72A94" w:rsidRPr="00F00E29" w:rsidRDefault="006C5780" w:rsidP="00F72A94">
      <w:pPr>
        <w:numPr>
          <w:ilvl w:val="0"/>
          <w:numId w:val="292"/>
        </w:numPr>
        <w:spacing w:after="120" w:line="276" w:lineRule="auto"/>
      </w:pPr>
      <w:r w:rsidRPr="00F00E29">
        <w:t>Northern New Hampshire would be able to accommodate approximately 150 MW of wind without the need for major transmission upgrades to alleviate significant levels of congestion.</w:t>
      </w:r>
    </w:p>
    <w:p w:rsidR="00F72A94" w:rsidRPr="000C0E6A" w:rsidRDefault="00F72A94" w:rsidP="00F72A94">
      <w:pPr>
        <w:numPr>
          <w:ilvl w:val="0"/>
          <w:numId w:val="292"/>
        </w:numPr>
        <w:spacing w:after="200" w:line="276" w:lineRule="auto"/>
      </w:pPr>
      <w:r>
        <w:t>SEMA/RI would be able to accommodate much more wind generation than the SEMA/RI wind resources currently in the interconnection queue likely would produce.</w:t>
      </w:r>
    </w:p>
    <w:p w:rsidR="00F72A94" w:rsidRPr="000C0E6A" w:rsidRDefault="00F72A94" w:rsidP="00F72A94">
      <w:pPr>
        <w:spacing w:after="200" w:line="276" w:lineRule="auto"/>
      </w:pPr>
      <w:r>
        <w:t xml:space="preserve">Additionally, the results show decreased </w:t>
      </w:r>
      <w:proofErr w:type="spellStart"/>
      <w:r>
        <w:t>systemwide</w:t>
      </w:r>
      <w:proofErr w:type="spellEnd"/>
      <w:r>
        <w:t xml:space="preserve"> emissions and natural gas consumption because the generation from wind resources displaces production from generating units burning coal, oil, and mostly natural gas. </w:t>
      </w:r>
    </w:p>
    <w:p w:rsidR="00F72A94" w:rsidRPr="002B4F3F" w:rsidRDefault="00F72A94" w:rsidP="00F72A94">
      <w:pPr>
        <w:spacing w:after="200" w:line="276" w:lineRule="auto"/>
      </w:pPr>
      <w:r>
        <w:t xml:space="preserve"> The </w:t>
      </w:r>
      <w:r w:rsidRPr="00163894">
        <w:rPr>
          <w:i/>
        </w:rPr>
        <w:t>2012 Economic Study</w:t>
      </w:r>
      <w:r>
        <w:t xml:space="preserve"> showed the most suitable locations for developing various types of resources without causing congestion, including </w:t>
      </w:r>
      <w:proofErr w:type="spellStart"/>
      <w:r>
        <w:t>baseload</w:t>
      </w:r>
      <w:proofErr w:type="spellEnd"/>
      <w:r>
        <w:t xml:space="preserve">, wind, photovoltaic, and energy efficiency, among other </w:t>
      </w:r>
      <w:r w:rsidRPr="00E820D9">
        <w:t>resource types.</w:t>
      </w:r>
      <w:r w:rsidRPr="00E820D9">
        <w:rPr>
          <w:rStyle w:val="FootnoteReference"/>
        </w:rPr>
        <w:footnoteReference w:id="331"/>
      </w:r>
      <w:r w:rsidRPr="00E820D9">
        <w:t xml:space="preserve"> The study also showed the least suitable locations for resource retirements. The study compared a “business-as-usual” scenario of currently obligated and envisioned FCM resource additions with the effects of increases and decreases in several resource types. These types include active demand resources; energy</w:t>
      </w:r>
      <w:r w:rsidRPr="00616D7D">
        <w:t xml:space="preserve"> efficiency; a mix of renewable resources based on </w:t>
      </w:r>
      <w:r w:rsidRPr="00E820D9">
        <w:t>the ISO Generator Interconnection Queue; “behind-the-meter,” distributed generators; and efficient natu</w:t>
      </w:r>
      <w:r w:rsidRPr="00616D7D">
        <w:t xml:space="preserve">ral gas, combined-cycle units. In addition to the typical metrics the ISO has provided in past economic studies (e.g., production costs, LSE </w:t>
      </w:r>
      <w:r w:rsidRPr="00381DE5">
        <w:t xml:space="preserve">energy expenses, and congestion), the simulation results showed where the system </w:t>
      </w:r>
      <w:r w:rsidR="00D837D8" w:rsidRPr="00381DE5">
        <w:t>could</w:t>
      </w:r>
      <w:r w:rsidRPr="00381DE5">
        <w:t xml:space="preserve"> have potential transmission bottlenecks </w:t>
      </w:r>
      <w:r w:rsidR="00D837D8" w:rsidRPr="00381DE5">
        <w:t>from</w:t>
      </w:r>
      <w:r w:rsidRPr="00381DE5">
        <w:t xml:space="preserve"> changes in resources in various locations and the effects of</w:t>
      </w:r>
      <w:r w:rsidRPr="00616D7D">
        <w:t xml:space="preserve"> relieving these transmission constraints. </w:t>
      </w:r>
    </w:p>
    <w:p w:rsidR="00F72A94" w:rsidRPr="00FA7A33" w:rsidRDefault="00F72A94" w:rsidP="00F72A94">
      <w:pPr>
        <w:spacing w:after="200" w:line="276" w:lineRule="auto"/>
      </w:pPr>
      <w:r w:rsidRPr="00616D7D">
        <w:t xml:space="preserve">In general, the </w:t>
      </w:r>
      <w:r w:rsidRPr="00163894">
        <w:rPr>
          <w:i/>
        </w:rPr>
        <w:t>2012 Economic Study</w:t>
      </w:r>
      <w:r w:rsidRPr="00616D7D">
        <w:t xml:space="preserve"> confirmed that developing resources with low production costs near load centers reduce </w:t>
      </w:r>
      <w:proofErr w:type="spellStart"/>
      <w:r w:rsidRPr="00616D7D">
        <w:t>systemwide</w:t>
      </w:r>
      <w:proofErr w:type="spellEnd"/>
      <w:r w:rsidRPr="00616D7D">
        <w:t xml:space="preserve"> production costs, LSE </w:t>
      </w:r>
      <w:r>
        <w:t>e</w:t>
      </w:r>
      <w:r w:rsidRPr="00616D7D">
        <w:t xml:space="preserve">nergy </w:t>
      </w:r>
      <w:r>
        <w:t>e</w:t>
      </w:r>
      <w:r w:rsidRPr="00616D7D">
        <w:t>xpenses, and congestion. Developing resources remote from the load centers, such as northern Maine, could be subject to congestion. Retiring resources near load centers had more of an adverse effect on system performance than retiring resources in generation</w:t>
      </w:r>
      <w:r>
        <w:t>-</w:t>
      </w:r>
      <w:r w:rsidRPr="00616D7D">
        <w:t>rich areas remote from load centers, such as northern Maine.</w:t>
      </w:r>
    </w:p>
    <w:p w:rsidR="00F72A94" w:rsidRPr="00A94E56" w:rsidRDefault="00F72A94" w:rsidP="00F72A94">
      <w:pPr>
        <w:spacing w:after="200" w:line="276" w:lineRule="auto"/>
      </w:pPr>
      <w:r w:rsidRPr="00616D7D">
        <w:t xml:space="preserve">The </w:t>
      </w:r>
      <w:r w:rsidRPr="00E55609">
        <w:rPr>
          <w:i/>
        </w:rPr>
        <w:t>2012 Economic Study</w:t>
      </w:r>
      <w:r w:rsidRPr="00616D7D">
        <w:t xml:space="preserve"> also analyzed specific scenarios of resource mixes. The addition of resources with low or no fuel costs, such as combinations of efficient natural-gas-fired generators, wind, photovoltaic, energy efficiency, and demand response, showed reductions in the </w:t>
      </w:r>
      <w:proofErr w:type="spellStart"/>
      <w:r w:rsidRPr="00616D7D">
        <w:t>systemwide</w:t>
      </w:r>
      <w:proofErr w:type="spellEnd"/>
      <w:r w:rsidRPr="00616D7D">
        <w:t xml:space="preserve"> production </w:t>
      </w:r>
      <w:r w:rsidRPr="00E93E1C">
        <w:t>cost and total LSE energy expenses. The study showed the estimated supportable $/kW-year capital costs plus technology costs for each type of resource based on its revenues from the</w:t>
      </w:r>
      <w:r w:rsidRPr="00A94E56">
        <w:t xml:space="preserve"> electric energy markets. These</w:t>
      </w:r>
      <w:r w:rsidRPr="00FA7A33">
        <w:t xml:space="preserve"> revenues</w:t>
      </w:r>
      <w:r>
        <w:t xml:space="preserve">, </w:t>
      </w:r>
      <w:r w:rsidRPr="00FA7A33">
        <w:t>however, were insufficient to support the</w:t>
      </w:r>
      <w:r>
        <w:t xml:space="preserve"> postulated resources’ </w:t>
      </w:r>
      <w:r w:rsidRPr="00616D7D">
        <w:t>annual carrying charges</w:t>
      </w:r>
      <w:r>
        <w:t xml:space="preserve">, </w:t>
      </w:r>
      <w:r w:rsidRPr="00616D7D">
        <w:t>suggest</w:t>
      </w:r>
      <w:r>
        <w:t>ing</w:t>
      </w:r>
      <w:r w:rsidRPr="00616D7D">
        <w:t xml:space="preserve"> that other sources of revenue would be required to support the resource additions</w:t>
      </w:r>
      <w:r>
        <w:t xml:space="preserve">. </w:t>
      </w:r>
      <w:r w:rsidRPr="00FA7A33">
        <w:t xml:space="preserve">Possible sources of revenues could </w:t>
      </w:r>
      <w:r>
        <w:t xml:space="preserve">be </w:t>
      </w:r>
      <w:r w:rsidRPr="00616D7D">
        <w:t xml:space="preserve">other wholesale electricity markets, such as the FCM and FRM, </w:t>
      </w:r>
      <w:r w:rsidRPr="008119AC">
        <w:t xml:space="preserve">as well as </w:t>
      </w:r>
      <w:r w:rsidRPr="00616D7D">
        <w:t xml:space="preserve">other </w:t>
      </w:r>
      <w:r w:rsidRPr="00A94E56">
        <w:t xml:space="preserve">incentives, such as production tax credits. </w:t>
      </w:r>
    </w:p>
    <w:p w:rsidR="00F72A94" w:rsidRPr="00D32B20" w:rsidRDefault="00F72A94" w:rsidP="00F72A94">
      <w:pPr>
        <w:autoSpaceDE w:val="0"/>
        <w:autoSpaceDN w:val="0"/>
        <w:rPr>
          <w:rFonts w:eastAsia="Calibri"/>
        </w:rPr>
      </w:pPr>
      <w:r w:rsidRPr="00A94E56">
        <w:rPr>
          <w:rFonts w:eastAsia="Calibri"/>
        </w:rPr>
        <w:t xml:space="preserve">The ISO is currently completing an economic study in response to a stakeholder request received in 2013. This study, scheduled for completion in the second half of 2014, is examining the economic and environmental </w:t>
      </w:r>
      <w:r w:rsidRPr="00A94E56">
        <w:t>effects</w:t>
      </w:r>
      <w:r w:rsidRPr="00A94E56">
        <w:rPr>
          <w:rFonts w:eastAsia="Calibri"/>
        </w:rPr>
        <w:t xml:space="preserve"> of increasing the </w:t>
      </w:r>
      <w:r w:rsidRPr="00A94E56">
        <w:t xml:space="preserve">largest loss-of-source contingency allowed in New England </w:t>
      </w:r>
      <w:r w:rsidRPr="00E820D9">
        <w:t xml:space="preserve">resulting from an increase in needed operating reserves. </w:t>
      </w:r>
      <w:r w:rsidRPr="00E820D9">
        <w:rPr>
          <w:rFonts w:eastAsia="Calibri"/>
        </w:rPr>
        <w:t>The study assumes that both NYISO and PJM</w:t>
      </w:r>
      <w:r w:rsidRPr="009021EE">
        <w:rPr>
          <w:rFonts w:eastAsia="Calibri"/>
        </w:rPr>
        <w:t xml:space="preserve"> could accommodate a</w:t>
      </w:r>
      <w:r>
        <w:rPr>
          <w:rFonts w:eastAsia="Calibri"/>
        </w:rPr>
        <w:t>n LOS</w:t>
      </w:r>
      <w:r w:rsidRPr="009021EE">
        <w:rPr>
          <w:rFonts w:eastAsia="Calibri"/>
        </w:rPr>
        <w:t xml:space="preserve"> contingency up to 2,000 MW.</w:t>
      </w:r>
      <w:r w:rsidRPr="009021EE">
        <w:rPr>
          <w:rStyle w:val="FootnoteReference"/>
          <w:rFonts w:eastAsia="Calibri"/>
        </w:rPr>
        <w:footnoteReference w:id="332"/>
      </w:r>
      <w:r w:rsidRPr="009021EE">
        <w:rPr>
          <w:rFonts w:eastAsia="Calibri"/>
        </w:rPr>
        <w:t xml:space="preserve"> The study considers scenarios of imports over </w:t>
      </w:r>
      <w:r w:rsidRPr="00D32B20">
        <w:rPr>
          <w:rFonts w:eastAsia="Calibri"/>
        </w:rPr>
        <w:t xml:space="preserve">HQ </w:t>
      </w:r>
      <w:r w:rsidRPr="009021EE">
        <w:rPr>
          <w:rFonts w:eastAsia="Calibri"/>
        </w:rPr>
        <w:t xml:space="preserve">Phase II that varied several parameters, such as </w:t>
      </w:r>
      <w:r w:rsidRPr="00A94E56">
        <w:rPr>
          <w:rFonts w:eastAsia="Calibri"/>
        </w:rPr>
        <w:t>the energy profile</w:t>
      </w:r>
      <w:r w:rsidRPr="00A94E56">
        <w:t xml:space="preserve"> </w:t>
      </w:r>
      <w:r w:rsidRPr="00A94E56">
        <w:rPr>
          <w:rFonts w:eastAsia="Calibri"/>
        </w:rPr>
        <w:t>(i.e., import transfer levels, dispatch price, and hourly import schedules) and the modeling of operating reserves.</w:t>
      </w:r>
      <w:r w:rsidRPr="009021EE">
        <w:rPr>
          <w:rFonts w:eastAsia="Calibri"/>
        </w:rPr>
        <w:t xml:space="preserve"> As with other economic studies, the results show various metrics, such as the </w:t>
      </w:r>
      <w:proofErr w:type="spellStart"/>
      <w:r w:rsidRPr="009021EE">
        <w:rPr>
          <w:rFonts w:eastAsia="Calibri"/>
        </w:rPr>
        <w:t>systemwide</w:t>
      </w:r>
      <w:proofErr w:type="spellEnd"/>
      <w:r w:rsidRPr="009021EE">
        <w:rPr>
          <w:rFonts w:eastAsia="Calibri"/>
        </w:rPr>
        <w:t xml:space="preserve"> production costs, load-serving entity energy costs, LMPs, and emissions. </w:t>
      </w:r>
      <w:r>
        <w:t xml:space="preserve">The study included the following conclusions for </w:t>
      </w:r>
      <w:r w:rsidRPr="00D32B20">
        <w:rPr>
          <w:rFonts w:eastAsia="Calibri"/>
        </w:rPr>
        <w:t xml:space="preserve">when the HQ Phase II import level increases and </w:t>
      </w:r>
      <w:r w:rsidRPr="009021EE">
        <w:rPr>
          <w:rFonts w:eastAsia="Calibri"/>
        </w:rPr>
        <w:t xml:space="preserve">the resource mix </w:t>
      </w:r>
      <w:proofErr w:type="gramStart"/>
      <w:r w:rsidRPr="009021EE">
        <w:rPr>
          <w:rFonts w:eastAsia="Calibri"/>
        </w:rPr>
        <w:t>is assumed</w:t>
      </w:r>
      <w:proofErr w:type="gramEnd"/>
      <w:r w:rsidRPr="009021EE">
        <w:rPr>
          <w:rFonts w:eastAsia="Calibri"/>
        </w:rPr>
        <w:t xml:space="preserve"> not to change:</w:t>
      </w:r>
    </w:p>
    <w:p w:rsidR="00F72A94" w:rsidRPr="00A94E56" w:rsidRDefault="00F72A94" w:rsidP="00F72A94">
      <w:pPr>
        <w:numPr>
          <w:ilvl w:val="0"/>
          <w:numId w:val="569"/>
        </w:numPr>
        <w:autoSpaceDE w:val="0"/>
        <w:autoSpaceDN w:val="0"/>
        <w:spacing w:after="120"/>
        <w:rPr>
          <w:rFonts w:eastAsia="Times New Roman"/>
        </w:rPr>
      </w:pPr>
      <w:proofErr w:type="spellStart"/>
      <w:r w:rsidRPr="009021EE">
        <w:rPr>
          <w:rFonts w:eastAsia="Times New Roman"/>
        </w:rPr>
        <w:t>Systemwide</w:t>
      </w:r>
      <w:proofErr w:type="spellEnd"/>
      <w:r w:rsidRPr="009021EE">
        <w:rPr>
          <w:rFonts w:eastAsia="Times New Roman"/>
        </w:rPr>
        <w:t xml:space="preserve"> production costs may increase or decrease, depending on </w:t>
      </w:r>
      <w:r w:rsidR="00E55609">
        <w:rPr>
          <w:rFonts w:eastAsia="Times New Roman"/>
        </w:rPr>
        <w:t xml:space="preserve">the </w:t>
      </w:r>
      <w:r w:rsidRPr="009021EE">
        <w:rPr>
          <w:rFonts w:eastAsia="Times New Roman"/>
        </w:rPr>
        <w:t xml:space="preserve">HQ Phase II import profile, </w:t>
      </w:r>
      <w:r w:rsidRPr="00A94E56">
        <w:rPr>
          <w:rFonts w:eastAsia="Times New Roman"/>
        </w:rPr>
        <w:t>reserve requirement assumptions, and the valuation of the energy at the point of interconnection (i.e., the LMP).</w:t>
      </w:r>
    </w:p>
    <w:p w:rsidR="00910A50" w:rsidRDefault="00F72A94" w:rsidP="00F72A94">
      <w:pPr>
        <w:numPr>
          <w:ilvl w:val="0"/>
          <w:numId w:val="569"/>
        </w:numPr>
        <w:autoSpaceDE w:val="0"/>
        <w:autoSpaceDN w:val="0"/>
        <w:spacing w:after="120"/>
        <w:rPr>
          <w:rFonts w:eastAsia="Times New Roman"/>
        </w:rPr>
      </w:pPr>
      <w:r w:rsidRPr="00A94E56">
        <w:rPr>
          <w:rFonts w:eastAsia="Times New Roman"/>
        </w:rPr>
        <w:t>Unit commitment costs and “make-whole” NCPC expenses increase.</w:t>
      </w:r>
      <w:r w:rsidR="00910A50">
        <w:rPr>
          <w:rFonts w:eastAsia="Times New Roman"/>
        </w:rPr>
        <w:t xml:space="preserve"> </w:t>
      </w:r>
    </w:p>
    <w:p w:rsidR="00F72A94" w:rsidRPr="00DE2164" w:rsidRDefault="00F72A94" w:rsidP="00F72A94">
      <w:pPr>
        <w:numPr>
          <w:ilvl w:val="0"/>
          <w:numId w:val="569"/>
        </w:numPr>
        <w:autoSpaceDE w:val="0"/>
        <w:autoSpaceDN w:val="0"/>
        <w:spacing w:after="120"/>
        <w:rPr>
          <w:rFonts w:eastAsia="Times New Roman"/>
        </w:rPr>
      </w:pPr>
      <w:r>
        <w:rPr>
          <w:rFonts w:eastAsia="Times New Roman"/>
        </w:rPr>
        <w:t>Load-serving entity energy expenses decrease.</w:t>
      </w:r>
    </w:p>
    <w:p w:rsidR="00F72A94" w:rsidRPr="00D32B20" w:rsidRDefault="00F72A94" w:rsidP="00F72A94">
      <w:pPr>
        <w:numPr>
          <w:ilvl w:val="0"/>
          <w:numId w:val="569"/>
        </w:numPr>
        <w:autoSpaceDE w:val="0"/>
        <w:autoSpaceDN w:val="0"/>
        <w:spacing w:after="120"/>
        <w:rPr>
          <w:rFonts w:eastAsia="Times New Roman"/>
        </w:rPr>
      </w:pPr>
      <w:r>
        <w:rPr>
          <w:rFonts w:eastAsia="Times New Roman"/>
        </w:rPr>
        <w:t>System LMPs decr</w:t>
      </w:r>
      <w:r w:rsidRPr="009021EE">
        <w:rPr>
          <w:rFonts w:eastAsia="Times New Roman"/>
        </w:rPr>
        <w:t>ease.</w:t>
      </w:r>
    </w:p>
    <w:p w:rsidR="00F72A94" w:rsidRPr="00D32B20" w:rsidRDefault="00F72A94" w:rsidP="00F72A94">
      <w:pPr>
        <w:numPr>
          <w:ilvl w:val="0"/>
          <w:numId w:val="569"/>
        </w:numPr>
        <w:autoSpaceDE w:val="0"/>
        <w:autoSpaceDN w:val="0"/>
        <w:rPr>
          <w:rFonts w:eastAsia="Times New Roman"/>
        </w:rPr>
      </w:pPr>
      <w:r w:rsidRPr="00915624">
        <w:rPr>
          <w:rFonts w:eastAsia="Times New Roman"/>
        </w:rPr>
        <w:t>SO</w:t>
      </w:r>
      <w:r w:rsidRPr="00915624">
        <w:rPr>
          <w:rFonts w:eastAsia="Times New Roman"/>
          <w:vertAlign w:val="subscript"/>
        </w:rPr>
        <w:t>2</w:t>
      </w:r>
      <w:r w:rsidRPr="00915624">
        <w:rPr>
          <w:rFonts w:eastAsia="Times New Roman"/>
        </w:rPr>
        <w:t>, NO</w:t>
      </w:r>
      <w:r w:rsidRPr="00915624">
        <w:rPr>
          <w:rFonts w:eastAsia="Times New Roman"/>
          <w:vertAlign w:val="subscript"/>
        </w:rPr>
        <w:t>X</w:t>
      </w:r>
      <w:r w:rsidRPr="00915624">
        <w:rPr>
          <w:rFonts w:eastAsia="Times New Roman"/>
        </w:rPr>
        <w:t>, and CO</w:t>
      </w:r>
      <w:r w:rsidRPr="00915624">
        <w:rPr>
          <w:rFonts w:eastAsia="Times New Roman"/>
          <w:vertAlign w:val="subscript"/>
        </w:rPr>
        <w:t>2</w:t>
      </w:r>
      <w:r w:rsidRPr="00915624">
        <w:rPr>
          <w:rFonts w:eastAsia="Times New Roman"/>
        </w:rPr>
        <w:t xml:space="preserve"> emissions may increase or decrease, depending on the HQ Phase II import</w:t>
      </w:r>
      <w:r w:rsidRPr="009021EE">
        <w:rPr>
          <w:rFonts w:eastAsia="Times New Roman"/>
        </w:rPr>
        <w:t xml:space="preserve"> profile and reserve requirement assumptions.</w:t>
      </w:r>
    </w:p>
    <w:p w:rsidR="00D2141F" w:rsidRPr="00A92103" w:rsidRDefault="00F72A94" w:rsidP="00D2141F">
      <w:pPr>
        <w:rPr>
          <w:rFonts w:asciiTheme="majorHAnsi" w:hAnsiTheme="majorHAnsi"/>
        </w:rPr>
      </w:pPr>
      <w:r>
        <w:t>The ISO will not perform a</w:t>
      </w:r>
      <w:r w:rsidR="00E55609">
        <w:t xml:space="preserve">n economic study for </w:t>
      </w:r>
      <w:r w:rsidRPr="00E55609">
        <w:t xml:space="preserve">2014 </w:t>
      </w:r>
      <w:r>
        <w:t xml:space="preserve">because it did not receive any requests for one or propose one. However, it will be updating the production cost database and performing other studies. As may be required, the PAC </w:t>
      </w:r>
      <w:proofErr w:type="gramStart"/>
      <w:r>
        <w:t>will be kept</w:t>
      </w:r>
      <w:proofErr w:type="gramEnd"/>
      <w:r>
        <w:t xml:space="preserve"> advised of these studies.</w:t>
      </w:r>
      <w:r w:rsidR="00802AE8">
        <w:t xml:space="preserve"> </w:t>
      </w:r>
    </w:p>
    <w:p w:rsidR="00D2141F" w:rsidRDefault="00D2141F" w:rsidP="005C6088">
      <w:pPr>
        <w:pStyle w:val="Heading3"/>
      </w:pPr>
      <w:bookmarkStart w:id="787" w:name="_Toc396807678"/>
      <w:r w:rsidRPr="00E47194">
        <w:t>Generic Capital Costs of New Supply Resources</w:t>
      </w:r>
      <w:bookmarkEnd w:id="787"/>
    </w:p>
    <w:p w:rsidR="00D2141F" w:rsidRPr="00B6557E" w:rsidRDefault="00D2141F" w:rsidP="00D2141F">
      <w:r w:rsidRPr="00E47194">
        <w:t xml:space="preserve">The comparison of the energy market revenues with the annual revenue requirements (also called annual carrying charges) provides some relative measures of the economic viability of different resource types and how these measures change under various scenarios. Each resource type’s annual fixed costs include its capital, operations, and maintenance costs. These fixed costs </w:t>
      </w:r>
      <w:proofErr w:type="gramStart"/>
      <w:r w:rsidRPr="00E47194">
        <w:t>can be calculated</w:t>
      </w:r>
      <w:proofErr w:type="gramEnd"/>
      <w:r w:rsidRPr="00E47194">
        <w:t xml:space="preserve"> from estimates of annual carrying charges derived from representative capital costs for each resource type. These typically </w:t>
      </w:r>
      <w:r>
        <w:t xml:space="preserve">are </w:t>
      </w:r>
      <w:r w:rsidRPr="00E47194">
        <w:t>15% to 25% of the capital costs.</w:t>
      </w:r>
    </w:p>
    <w:p w:rsidR="00D2141F" w:rsidRDefault="00D2141F" w:rsidP="00D2141F">
      <w:r>
        <w:t>In support of the economic studies, a 2014</w:t>
      </w:r>
      <w:r w:rsidRPr="005E0BEE">
        <w:t xml:space="preserve"> update of generic capital costs for new resources </w:t>
      </w:r>
      <w:proofErr w:type="gramStart"/>
      <w:r w:rsidRPr="005E0BEE">
        <w:t>was developed</w:t>
      </w:r>
      <w:proofErr w:type="gramEnd"/>
      <w:r>
        <w:t xml:space="preserve">, as shown </w:t>
      </w:r>
      <w:r w:rsidRPr="0019330F">
        <w:t xml:space="preserve">in </w:t>
      </w:r>
      <w:r w:rsidR="00927965">
        <w:fldChar w:fldCharType="begin"/>
      </w:r>
      <w:r w:rsidR="005A39F4">
        <w:instrText xml:space="preserve"> REF _Ref388963099 \h </w:instrText>
      </w:r>
      <w:r w:rsidR="00927965">
        <w:fldChar w:fldCharType="separate"/>
      </w:r>
      <w:r w:rsidR="00284CE3" w:rsidRPr="009021EE">
        <w:t xml:space="preserve">Table </w:t>
      </w:r>
      <w:r w:rsidR="00284CE3">
        <w:rPr>
          <w:noProof/>
        </w:rPr>
        <w:t>6</w:t>
      </w:r>
      <w:r w:rsidR="00284CE3" w:rsidRPr="009021EE">
        <w:noBreakHyphen/>
      </w:r>
      <w:r w:rsidR="00284CE3">
        <w:rPr>
          <w:noProof/>
        </w:rPr>
        <w:t>2</w:t>
      </w:r>
      <w:r w:rsidR="00927965">
        <w:fldChar w:fldCharType="end"/>
      </w:r>
      <w:r w:rsidRPr="002F653A">
        <w:t>.</w:t>
      </w:r>
      <w:r w:rsidRPr="002F653A">
        <w:rPr>
          <w:rStyle w:val="FootnoteReference"/>
        </w:rPr>
        <w:footnoteReference w:id="333"/>
      </w:r>
      <w:r w:rsidRPr="0019330F">
        <w:t xml:space="preserve"> The</w:t>
      </w:r>
      <w:r w:rsidRPr="00274705">
        <w:t xml:space="preserve"> focus of this </w:t>
      </w:r>
      <w:r w:rsidR="000072CC">
        <w:t xml:space="preserve">update on </w:t>
      </w:r>
      <w:r w:rsidR="008A771E">
        <w:t xml:space="preserve">capital costs </w:t>
      </w:r>
      <w:r w:rsidRPr="00274705">
        <w:t>was on th</w:t>
      </w:r>
      <w:r>
        <w:t>e</w:t>
      </w:r>
      <w:r w:rsidRPr="00274705">
        <w:t xml:space="preserve"> resource technologies in the ISO Generator Interconnection Queue and </w:t>
      </w:r>
      <w:r>
        <w:t xml:space="preserve">those </w:t>
      </w:r>
      <w:r w:rsidRPr="00274705">
        <w:t xml:space="preserve">participating in the FCM. </w:t>
      </w:r>
      <w:r>
        <w:t xml:space="preserve">The updated plant costs are from the </w:t>
      </w:r>
      <w:r w:rsidRPr="002F653A">
        <w:t>EIA</w:t>
      </w:r>
      <w:r>
        <w:t>,</w:t>
      </w:r>
      <w:r w:rsidRPr="002F653A">
        <w:t xml:space="preserve"> the Electric Power Research Institute (EPRI)</w:t>
      </w:r>
      <w:r>
        <w:t>, and the Brattle Group.</w:t>
      </w:r>
      <w:r>
        <w:rPr>
          <w:rStyle w:val="FootnoteReference"/>
        </w:rPr>
        <w:footnoteReference w:id="334"/>
      </w:r>
      <w:r>
        <w:t xml:space="preserve"> </w:t>
      </w:r>
    </w:p>
    <w:p w:rsidR="00D2141F" w:rsidRPr="00277EF7" w:rsidRDefault="00D2141F" w:rsidP="00890522">
      <w:pPr>
        <w:pStyle w:val="Caption"/>
        <w:rPr>
          <w:noProof/>
        </w:rPr>
      </w:pPr>
      <w:bookmarkStart w:id="788" w:name="_Ref388963099"/>
      <w:bookmarkStart w:id="789" w:name="_Toc391985620"/>
      <w:r w:rsidRPr="009021EE">
        <w:t xml:space="preserve">Table </w:t>
      </w:r>
      <w:r w:rsidR="00927965">
        <w:fldChar w:fldCharType="begin"/>
      </w:r>
      <w:r>
        <w:instrText xml:space="preserve"> STYLEREF 1 \s </w:instrText>
      </w:r>
      <w:r w:rsidR="00927965">
        <w:fldChar w:fldCharType="separate"/>
      </w:r>
      <w:r w:rsidR="00284CE3">
        <w:rPr>
          <w:noProof/>
        </w:rPr>
        <w:t>6</w:t>
      </w:r>
      <w:r w:rsidR="00927965">
        <w:fldChar w:fldCharType="end"/>
      </w:r>
      <w:r w:rsidRPr="009021EE">
        <w:noBreakHyphen/>
      </w:r>
      <w:r w:rsidR="00927965">
        <w:fldChar w:fldCharType="begin"/>
      </w:r>
      <w:r>
        <w:instrText xml:space="preserve"> SEQ Table \* ARABIC \s 1 </w:instrText>
      </w:r>
      <w:r w:rsidR="00927965">
        <w:fldChar w:fldCharType="separate"/>
      </w:r>
      <w:r w:rsidR="00284CE3">
        <w:rPr>
          <w:noProof/>
        </w:rPr>
        <w:t>2</w:t>
      </w:r>
      <w:r w:rsidR="00927965">
        <w:fldChar w:fldCharType="end"/>
      </w:r>
      <w:bookmarkEnd w:id="788"/>
      <w:r w:rsidRPr="009021EE">
        <w:t xml:space="preserve"> </w:t>
      </w:r>
      <w:r w:rsidRPr="009021EE">
        <w:br/>
        <w:t>Generic Capital Costs</w:t>
      </w:r>
      <w:r w:rsidRPr="009021EE">
        <w:rPr>
          <w:noProof/>
        </w:rPr>
        <w:t xml:space="preserve"> of New Supply-Side Resources</w:t>
      </w:r>
      <w:bookmarkEnd w:id="789"/>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37"/>
        <w:gridCol w:w="1620"/>
        <w:gridCol w:w="1800"/>
        <w:gridCol w:w="1710"/>
      </w:tblGrid>
      <w:tr w:rsidR="00D2141F" w:rsidRPr="00277EF7" w:rsidTr="003C014A">
        <w:trPr>
          <w:jc w:val="center"/>
        </w:trPr>
        <w:tc>
          <w:tcPr>
            <w:tcW w:w="1937" w:type="dxa"/>
            <w:shd w:val="clear" w:color="auto" w:fill="85AFF2" w:themeFill="text2" w:themeFillTint="66"/>
            <w:vAlign w:val="center"/>
          </w:tcPr>
          <w:p w:rsidR="00D2141F" w:rsidRPr="00277EF7" w:rsidRDefault="00D2141F" w:rsidP="00890522">
            <w:pPr>
              <w:keepNext/>
              <w:keepLines/>
              <w:spacing w:before="20" w:after="20" w:line="240" w:lineRule="auto"/>
              <w:jc w:val="center"/>
              <w:rPr>
                <w:rFonts w:asciiTheme="minorHAnsi" w:hAnsiTheme="minorHAnsi"/>
                <w:b/>
                <w:color w:val="FFFFFF" w:themeColor="background1"/>
                <w:sz w:val="18"/>
                <w:szCs w:val="18"/>
              </w:rPr>
            </w:pPr>
            <w:r w:rsidRPr="00277EF7">
              <w:rPr>
                <w:rFonts w:asciiTheme="minorHAnsi" w:hAnsiTheme="minorHAnsi"/>
                <w:b/>
                <w:color w:val="FFFFFF" w:themeColor="background1"/>
                <w:sz w:val="18"/>
                <w:szCs w:val="18"/>
              </w:rPr>
              <w:t>Technology Type</w:t>
            </w:r>
            <w:r w:rsidRPr="00277EF7">
              <w:rPr>
                <w:rFonts w:asciiTheme="minorHAnsi" w:hAnsiTheme="minorHAnsi"/>
                <w:b/>
                <w:color w:val="FFFFFF" w:themeColor="background1"/>
                <w:sz w:val="18"/>
                <w:szCs w:val="18"/>
                <w:vertAlign w:val="superscript"/>
              </w:rPr>
              <w:t>(a)</w:t>
            </w:r>
          </w:p>
        </w:tc>
        <w:tc>
          <w:tcPr>
            <w:tcW w:w="1620" w:type="dxa"/>
            <w:shd w:val="clear" w:color="auto" w:fill="85AFF2" w:themeFill="text2" w:themeFillTint="66"/>
            <w:vAlign w:val="center"/>
          </w:tcPr>
          <w:p w:rsidR="00D2141F" w:rsidRPr="00277EF7" w:rsidRDefault="00D2141F" w:rsidP="00890522">
            <w:pPr>
              <w:keepNext/>
              <w:keepLines/>
              <w:spacing w:before="20" w:after="20" w:line="240" w:lineRule="auto"/>
              <w:jc w:val="center"/>
              <w:rPr>
                <w:rFonts w:asciiTheme="minorHAnsi" w:hAnsiTheme="minorHAnsi"/>
                <w:b/>
                <w:color w:val="FFFFFF" w:themeColor="background1"/>
                <w:sz w:val="18"/>
                <w:szCs w:val="18"/>
              </w:rPr>
            </w:pPr>
            <w:r w:rsidRPr="009021EE">
              <w:rPr>
                <w:rFonts w:asciiTheme="minorHAnsi" w:hAnsiTheme="minorHAnsi"/>
                <w:b/>
                <w:color w:val="FFFFFF" w:themeColor="background1"/>
                <w:sz w:val="18"/>
                <w:szCs w:val="18"/>
              </w:rPr>
              <w:t>Plant Size</w:t>
            </w:r>
            <w:r>
              <w:rPr>
                <w:rFonts w:asciiTheme="minorHAnsi" w:hAnsiTheme="minorHAnsi"/>
                <w:b/>
                <w:color w:val="FFFFFF" w:themeColor="background1"/>
                <w:sz w:val="18"/>
                <w:szCs w:val="18"/>
                <w:vertAlign w:val="superscript"/>
              </w:rPr>
              <w:t>(b)</w:t>
            </w:r>
            <w:r w:rsidRPr="009021EE">
              <w:rPr>
                <w:rFonts w:asciiTheme="minorHAnsi" w:hAnsiTheme="minorHAnsi"/>
                <w:b/>
                <w:color w:val="FFFFFF" w:themeColor="background1"/>
                <w:sz w:val="18"/>
                <w:szCs w:val="18"/>
              </w:rPr>
              <w:br/>
              <w:t>(MW)</w:t>
            </w:r>
          </w:p>
        </w:tc>
        <w:tc>
          <w:tcPr>
            <w:tcW w:w="1800" w:type="dxa"/>
            <w:shd w:val="clear" w:color="auto" w:fill="85AFF2" w:themeFill="text2" w:themeFillTint="66"/>
            <w:vAlign w:val="center"/>
          </w:tcPr>
          <w:p w:rsidR="00D2141F" w:rsidRPr="00277EF7" w:rsidRDefault="00D2141F" w:rsidP="00890522">
            <w:pPr>
              <w:keepNext/>
              <w:keepLines/>
              <w:spacing w:before="20" w:after="20" w:line="240" w:lineRule="auto"/>
              <w:jc w:val="center"/>
              <w:rPr>
                <w:rFonts w:asciiTheme="minorHAnsi" w:hAnsiTheme="minorHAnsi"/>
                <w:b/>
                <w:color w:val="FFFFFF" w:themeColor="background1"/>
                <w:sz w:val="18"/>
                <w:szCs w:val="18"/>
              </w:rPr>
            </w:pPr>
            <w:r w:rsidRPr="009021EE">
              <w:rPr>
                <w:rFonts w:asciiTheme="minorHAnsi" w:hAnsiTheme="minorHAnsi"/>
                <w:b/>
                <w:color w:val="FFFFFF" w:themeColor="background1"/>
                <w:sz w:val="18"/>
                <w:szCs w:val="18"/>
              </w:rPr>
              <w:t>Heat Rate</w:t>
            </w:r>
            <w:r>
              <w:rPr>
                <w:rFonts w:asciiTheme="minorHAnsi" w:hAnsiTheme="minorHAnsi"/>
                <w:b/>
                <w:color w:val="FFFFFF" w:themeColor="background1"/>
                <w:sz w:val="18"/>
                <w:szCs w:val="18"/>
                <w:vertAlign w:val="superscript"/>
              </w:rPr>
              <w:t>(b)</w:t>
            </w:r>
            <w:r w:rsidRPr="009021EE">
              <w:rPr>
                <w:rFonts w:asciiTheme="minorHAnsi" w:hAnsiTheme="minorHAnsi"/>
                <w:b/>
                <w:color w:val="FFFFFF" w:themeColor="background1"/>
                <w:sz w:val="18"/>
                <w:szCs w:val="18"/>
              </w:rPr>
              <w:br/>
              <w:t>(Btu/kWh)</w:t>
            </w:r>
          </w:p>
        </w:tc>
        <w:tc>
          <w:tcPr>
            <w:tcW w:w="1710" w:type="dxa"/>
            <w:shd w:val="clear" w:color="auto" w:fill="85AFF2" w:themeFill="text2" w:themeFillTint="66"/>
            <w:vAlign w:val="center"/>
          </w:tcPr>
          <w:p w:rsidR="00D2141F" w:rsidRPr="00277EF7" w:rsidRDefault="00D2141F" w:rsidP="00890522">
            <w:pPr>
              <w:keepNext/>
              <w:keepLines/>
              <w:spacing w:before="20" w:after="20" w:line="240" w:lineRule="auto"/>
              <w:jc w:val="center"/>
              <w:rPr>
                <w:rFonts w:asciiTheme="minorHAnsi" w:hAnsiTheme="minorHAnsi"/>
                <w:b/>
                <w:color w:val="FFFFFF" w:themeColor="background1"/>
                <w:sz w:val="18"/>
                <w:szCs w:val="18"/>
              </w:rPr>
            </w:pPr>
            <w:r w:rsidRPr="009021EE">
              <w:rPr>
                <w:rFonts w:asciiTheme="minorHAnsi" w:hAnsiTheme="minorHAnsi"/>
                <w:b/>
                <w:color w:val="FFFFFF" w:themeColor="background1"/>
                <w:sz w:val="18"/>
                <w:szCs w:val="18"/>
              </w:rPr>
              <w:t>Total Plant Cost</w:t>
            </w:r>
            <w:r>
              <w:rPr>
                <w:rFonts w:asciiTheme="minorHAnsi" w:hAnsiTheme="minorHAnsi"/>
                <w:b/>
                <w:color w:val="FFFFFF" w:themeColor="background1"/>
                <w:sz w:val="18"/>
                <w:szCs w:val="18"/>
                <w:vertAlign w:val="superscript"/>
              </w:rPr>
              <w:t>(b)</w:t>
            </w:r>
            <w:r w:rsidRPr="009021EE">
              <w:rPr>
                <w:rFonts w:asciiTheme="minorHAnsi" w:hAnsiTheme="minorHAnsi"/>
                <w:b/>
                <w:color w:val="FFFFFF" w:themeColor="background1"/>
                <w:sz w:val="18"/>
                <w:szCs w:val="18"/>
              </w:rPr>
              <w:t xml:space="preserve"> ($/kW)</w:t>
            </w:r>
          </w:p>
        </w:tc>
      </w:tr>
      <w:tr w:rsidR="00D2141F" w:rsidRPr="00277EF7"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Advanced combined cycle (CC)</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277EF7">
              <w:rPr>
                <w:rFonts w:asciiTheme="minorHAnsi" w:hAnsiTheme="minorHAnsi"/>
                <w:sz w:val="18"/>
                <w:szCs w:val="18"/>
              </w:rPr>
              <w:t>340–400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6,430–7,525</w:t>
            </w:r>
          </w:p>
        </w:tc>
        <w:tc>
          <w:tcPr>
            <w:tcW w:w="171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1,025–2,095</w:t>
            </w:r>
          </w:p>
        </w:tc>
      </w:tr>
      <w:tr w:rsidR="00D2141F" w:rsidRPr="00277EF7" w:rsidTr="003C014A">
        <w:trPr>
          <w:jc w:val="center"/>
        </w:trPr>
        <w:tc>
          <w:tcPr>
            <w:tcW w:w="1937" w:type="dxa"/>
            <w:shd w:val="clear" w:color="auto" w:fill="C2D7F8" w:themeFill="text2" w:themeFillTint="33"/>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Advanced gas turbine (GT)</w:t>
            </w:r>
          </w:p>
        </w:tc>
        <w:tc>
          <w:tcPr>
            <w:tcW w:w="162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277EF7">
              <w:rPr>
                <w:rFonts w:asciiTheme="minorHAnsi" w:hAnsiTheme="minorHAnsi"/>
                <w:sz w:val="18"/>
                <w:szCs w:val="18"/>
              </w:rPr>
              <w:t>190–210</w:t>
            </w:r>
          </w:p>
        </w:tc>
        <w:tc>
          <w:tcPr>
            <w:tcW w:w="180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9,130–9,750</w:t>
            </w:r>
          </w:p>
        </w:tc>
        <w:tc>
          <w:tcPr>
            <w:tcW w:w="171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675–1,260</w:t>
            </w:r>
          </w:p>
        </w:tc>
      </w:tr>
      <w:tr w:rsidR="00D2141F" w:rsidRPr="00277EF7"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Biomass</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20–100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12,350–13,500</w:t>
            </w:r>
          </w:p>
        </w:tc>
        <w:tc>
          <w:tcPr>
            <w:tcW w:w="171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3,600–8,180</w:t>
            </w:r>
          </w:p>
        </w:tc>
      </w:tr>
      <w:tr w:rsidR="00D2141F" w:rsidRPr="00277EF7" w:rsidTr="003C014A">
        <w:trPr>
          <w:jc w:val="center"/>
        </w:trPr>
        <w:tc>
          <w:tcPr>
            <w:tcW w:w="1937" w:type="dxa"/>
            <w:shd w:val="clear" w:color="auto" w:fill="C2D7F8" w:themeFill="text2" w:themeFillTint="33"/>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Conventional CC</w:t>
            </w:r>
          </w:p>
        </w:tc>
        <w:tc>
          <w:tcPr>
            <w:tcW w:w="162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550–730</w:t>
            </w:r>
          </w:p>
        </w:tc>
        <w:tc>
          <w:tcPr>
            <w:tcW w:w="180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7,000–7,525</w:t>
            </w:r>
          </w:p>
        </w:tc>
        <w:tc>
          <w:tcPr>
            <w:tcW w:w="171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820–1,150</w:t>
            </w:r>
          </w:p>
        </w:tc>
      </w:tr>
      <w:tr w:rsidR="00D2141F" w:rsidRPr="00277EF7"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Conventional GT</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85–420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10,580–10,850</w:t>
            </w:r>
          </w:p>
        </w:tc>
        <w:tc>
          <w:tcPr>
            <w:tcW w:w="171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640–975</w:t>
            </w:r>
          </w:p>
        </w:tc>
      </w:tr>
      <w:tr w:rsidR="00D2141F" w:rsidRPr="00277EF7" w:rsidTr="003C014A">
        <w:trPr>
          <w:jc w:val="center"/>
        </w:trPr>
        <w:tc>
          <w:tcPr>
            <w:tcW w:w="1937" w:type="dxa"/>
            <w:shd w:val="clear" w:color="auto" w:fill="C2D7F8" w:themeFill="text2" w:themeFillTint="33"/>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Natural gas</w:t>
            </w:r>
            <w:r w:rsidR="00330F03">
              <w:rPr>
                <w:rFonts w:asciiTheme="minorHAnsi" w:hAnsiTheme="minorHAnsi"/>
                <w:b/>
                <w:sz w:val="18"/>
                <w:szCs w:val="18"/>
              </w:rPr>
              <w:t xml:space="preserve"> </w:t>
            </w:r>
            <w:r w:rsidRPr="00277EF7">
              <w:rPr>
                <w:rFonts w:asciiTheme="minorHAnsi" w:hAnsiTheme="minorHAnsi"/>
                <w:b/>
                <w:sz w:val="18"/>
                <w:szCs w:val="18"/>
              </w:rPr>
              <w:t>fuel c</w:t>
            </w:r>
            <w:r w:rsidRPr="009021EE">
              <w:rPr>
                <w:rFonts w:asciiTheme="minorHAnsi" w:hAnsiTheme="minorHAnsi"/>
                <w:b/>
                <w:sz w:val="18"/>
                <w:szCs w:val="18"/>
              </w:rPr>
              <w:t>ells</w:t>
            </w:r>
          </w:p>
        </w:tc>
        <w:tc>
          <w:tcPr>
            <w:tcW w:w="162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10</w:t>
            </w:r>
          </w:p>
        </w:tc>
        <w:tc>
          <w:tcPr>
            <w:tcW w:w="180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9,500</w:t>
            </w:r>
          </w:p>
        </w:tc>
        <w:tc>
          <w:tcPr>
            <w:tcW w:w="171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7,110</w:t>
            </w:r>
          </w:p>
        </w:tc>
      </w:tr>
      <w:tr w:rsidR="00D2141F" w:rsidRPr="00277EF7"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Offshore wind</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200–400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N/A</w:t>
            </w:r>
          </w:p>
        </w:tc>
        <w:tc>
          <w:tcPr>
            <w:tcW w:w="171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3,100–6,230</w:t>
            </w:r>
          </w:p>
        </w:tc>
      </w:tr>
      <w:tr w:rsidR="00D2141F" w:rsidRPr="00277EF7" w:rsidTr="003C014A">
        <w:trPr>
          <w:jc w:val="center"/>
        </w:trPr>
        <w:tc>
          <w:tcPr>
            <w:tcW w:w="1937" w:type="dxa"/>
            <w:shd w:val="clear" w:color="auto" w:fill="C2D7F8" w:themeFill="text2" w:themeFillTint="33"/>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Onshore wind</w:t>
            </w:r>
          </w:p>
        </w:tc>
        <w:tc>
          <w:tcPr>
            <w:tcW w:w="162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50–200</w:t>
            </w:r>
          </w:p>
        </w:tc>
        <w:tc>
          <w:tcPr>
            <w:tcW w:w="180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N/A</w:t>
            </w:r>
          </w:p>
        </w:tc>
        <w:tc>
          <w:tcPr>
            <w:tcW w:w="1710" w:type="dxa"/>
            <w:shd w:val="clear" w:color="auto" w:fill="C2D7F8" w:themeFill="text2" w:themeFillTint="33"/>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1,750–2,400</w:t>
            </w:r>
          </w:p>
        </w:tc>
      </w:tr>
      <w:tr w:rsidR="00D2141F" w:rsidRPr="00B65F71" w:rsidTr="003C014A">
        <w:trPr>
          <w:jc w:val="center"/>
        </w:trPr>
        <w:tc>
          <w:tcPr>
            <w:tcW w:w="1937" w:type="dxa"/>
            <w:vAlign w:val="center"/>
          </w:tcPr>
          <w:p w:rsidR="00D2141F" w:rsidRPr="00277EF7" w:rsidRDefault="00D2141F" w:rsidP="00890522">
            <w:pPr>
              <w:keepNext/>
              <w:keepLines/>
              <w:spacing w:before="20" w:after="20" w:line="240" w:lineRule="auto"/>
              <w:rPr>
                <w:rFonts w:asciiTheme="minorHAnsi" w:hAnsiTheme="minorHAnsi"/>
                <w:b/>
                <w:sz w:val="18"/>
                <w:szCs w:val="18"/>
              </w:rPr>
            </w:pPr>
            <w:r w:rsidRPr="009021EE">
              <w:rPr>
                <w:rFonts w:asciiTheme="minorHAnsi" w:hAnsiTheme="minorHAnsi"/>
                <w:b/>
                <w:sz w:val="18"/>
                <w:szCs w:val="18"/>
              </w:rPr>
              <w:t>Solar photovoltaic</w:t>
            </w:r>
          </w:p>
        </w:tc>
        <w:tc>
          <w:tcPr>
            <w:tcW w:w="162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5–150</w:t>
            </w:r>
          </w:p>
        </w:tc>
        <w:tc>
          <w:tcPr>
            <w:tcW w:w="1800" w:type="dxa"/>
            <w:vAlign w:val="center"/>
          </w:tcPr>
          <w:p w:rsidR="00D2141F" w:rsidRPr="00277EF7"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N/A</w:t>
            </w:r>
          </w:p>
        </w:tc>
        <w:tc>
          <w:tcPr>
            <w:tcW w:w="1710" w:type="dxa"/>
            <w:vAlign w:val="center"/>
          </w:tcPr>
          <w:p w:rsidR="00D2141F" w:rsidRPr="00B65F71" w:rsidRDefault="00D2141F" w:rsidP="00890522">
            <w:pPr>
              <w:keepNext/>
              <w:keepLines/>
              <w:spacing w:before="20" w:after="20" w:line="240" w:lineRule="auto"/>
              <w:jc w:val="right"/>
              <w:rPr>
                <w:rFonts w:asciiTheme="minorHAnsi" w:hAnsiTheme="minorHAnsi"/>
                <w:sz w:val="18"/>
                <w:szCs w:val="18"/>
              </w:rPr>
            </w:pPr>
            <w:r w:rsidRPr="009021EE">
              <w:rPr>
                <w:rFonts w:asciiTheme="minorHAnsi" w:hAnsiTheme="minorHAnsi"/>
                <w:sz w:val="18"/>
                <w:szCs w:val="18"/>
              </w:rPr>
              <w:t>2,000–4,185</w:t>
            </w:r>
          </w:p>
        </w:tc>
      </w:tr>
    </w:tbl>
    <w:p w:rsidR="00D2141F" w:rsidRPr="00833CAC" w:rsidRDefault="00D2141F" w:rsidP="005C6088">
      <w:pPr>
        <w:keepNext/>
        <w:keepLines/>
        <w:numPr>
          <w:ilvl w:val="4"/>
          <w:numId w:val="288"/>
        </w:numPr>
        <w:spacing w:before="120" w:after="80" w:line="240" w:lineRule="auto"/>
        <w:ind w:left="1260" w:right="1080" w:hanging="270"/>
        <w:rPr>
          <w:rFonts w:asciiTheme="minorHAnsi" w:hAnsiTheme="minorHAnsi"/>
          <w:sz w:val="18"/>
          <w:szCs w:val="18"/>
        </w:rPr>
      </w:pPr>
      <w:r w:rsidRPr="00833CAC">
        <w:rPr>
          <w:rFonts w:asciiTheme="minorHAnsi" w:hAnsiTheme="minorHAnsi"/>
          <w:sz w:val="18"/>
          <w:szCs w:val="18"/>
        </w:rPr>
        <w:t>Technology types in the queue as of April 1, 2014.</w:t>
      </w:r>
    </w:p>
    <w:p w:rsidR="00D2141F" w:rsidRPr="00833CAC" w:rsidRDefault="00D2141F" w:rsidP="00890522">
      <w:pPr>
        <w:keepNext/>
        <w:keepLines/>
        <w:spacing w:line="240" w:lineRule="auto"/>
        <w:ind w:left="1260" w:right="1080" w:hanging="270"/>
        <w:rPr>
          <w:rFonts w:asciiTheme="minorHAnsi" w:hAnsiTheme="minorHAnsi" w:cs="Calibri"/>
          <w:sz w:val="18"/>
          <w:szCs w:val="18"/>
        </w:rPr>
      </w:pPr>
      <w:r w:rsidRPr="00833CAC">
        <w:rPr>
          <w:rFonts w:asciiTheme="minorHAnsi" w:hAnsiTheme="minorHAnsi"/>
          <w:sz w:val="18"/>
          <w:szCs w:val="18"/>
        </w:rPr>
        <w:t xml:space="preserve">(b) Additional information about these data is available in the ISO PAC presentation, </w:t>
      </w:r>
      <w:r w:rsidRPr="00833CAC">
        <w:rPr>
          <w:rFonts w:asciiTheme="minorHAnsi" w:hAnsiTheme="minorHAnsi"/>
          <w:i/>
          <w:sz w:val="18"/>
          <w:szCs w:val="18"/>
        </w:rPr>
        <w:t>Generic Capital Costs of Supply-Side Resources</w:t>
      </w:r>
      <w:r w:rsidRPr="00833CAC">
        <w:rPr>
          <w:rFonts w:asciiTheme="minorHAnsi" w:hAnsiTheme="minorHAnsi"/>
          <w:sz w:val="18"/>
          <w:szCs w:val="18"/>
        </w:rPr>
        <w:t xml:space="preserve"> (April 29, 201</w:t>
      </w:r>
      <w:r w:rsidR="00C269AA" w:rsidRPr="00833CAC">
        <w:rPr>
          <w:rFonts w:asciiTheme="minorHAnsi" w:hAnsiTheme="minorHAnsi"/>
          <w:sz w:val="18"/>
          <w:szCs w:val="18"/>
        </w:rPr>
        <w:t>4</w:t>
      </w:r>
      <w:r w:rsidRPr="00833CAC">
        <w:rPr>
          <w:rFonts w:asciiTheme="minorHAnsi" w:hAnsiTheme="minorHAnsi"/>
          <w:sz w:val="18"/>
          <w:szCs w:val="18"/>
        </w:rPr>
        <w:t xml:space="preserve">), </w:t>
      </w:r>
      <w:hyperlink r:id="rId75" w:history="1">
        <w:r w:rsidR="00C269AA" w:rsidRPr="00833CAC">
          <w:rPr>
            <w:rStyle w:val="Hyperlink"/>
            <w:rFonts w:asciiTheme="minorHAnsi" w:hAnsiTheme="minorHAnsi"/>
            <w:sz w:val="18"/>
            <w:szCs w:val="18"/>
          </w:rPr>
          <w:t>http://www.iso-ne.com/static-assets/documents/committees/comm_wkgrps/prtcpnts_comm/pac/mtrls/2014/apr292014/a8_generic_capital_costs_of_supply_side_resources_rev2.pdf</w:t>
        </w:r>
      </w:hyperlink>
      <w:r w:rsidRPr="00833CAC">
        <w:rPr>
          <w:rFonts w:asciiTheme="minorHAnsi" w:hAnsiTheme="minorHAnsi"/>
          <w:sz w:val="18"/>
          <w:szCs w:val="18"/>
        </w:rPr>
        <w:t xml:space="preserve">. </w:t>
      </w:r>
    </w:p>
    <w:p w:rsidR="00D2141F" w:rsidRDefault="00D2141F" w:rsidP="00D2141F">
      <w:r>
        <w:t>The actual capital costs of new resources may be different from these generic estimates because of the following factors:</w:t>
      </w:r>
    </w:p>
    <w:p w:rsidR="00D2141F" w:rsidRDefault="00D2141F" w:rsidP="00D2141F">
      <w:pPr>
        <w:numPr>
          <w:ilvl w:val="0"/>
          <w:numId w:val="267"/>
        </w:numPr>
        <w:spacing w:after="120"/>
      </w:pPr>
      <w:r>
        <w:t>State of technology development</w:t>
      </w:r>
    </w:p>
    <w:p w:rsidR="00D2141F" w:rsidRDefault="00D2141F" w:rsidP="00D2141F">
      <w:pPr>
        <w:numPr>
          <w:ilvl w:val="0"/>
          <w:numId w:val="267"/>
        </w:numPr>
        <w:spacing w:after="120"/>
      </w:pPr>
      <w:r>
        <w:t>Changes in material, labor, and overhead costs</w:t>
      </w:r>
    </w:p>
    <w:p w:rsidR="00D2141F" w:rsidRDefault="00D2141F" w:rsidP="00D2141F">
      <w:pPr>
        <w:numPr>
          <w:ilvl w:val="0"/>
          <w:numId w:val="267"/>
        </w:numPr>
        <w:spacing w:after="120"/>
      </w:pPr>
      <w:r>
        <w:t>Supply-chain backlogs or oversupply</w:t>
      </w:r>
    </w:p>
    <w:p w:rsidR="00D2141F" w:rsidRDefault="00D2141F" w:rsidP="00D2141F">
      <w:pPr>
        <w:numPr>
          <w:ilvl w:val="0"/>
          <w:numId w:val="267"/>
        </w:numPr>
        <w:spacing w:after="120"/>
      </w:pPr>
      <w:r>
        <w:t>Specific site requirements</w:t>
      </w:r>
    </w:p>
    <w:p w:rsidR="00D2141F" w:rsidRDefault="00D2141F" w:rsidP="00D2141F">
      <w:pPr>
        <w:numPr>
          <w:ilvl w:val="0"/>
          <w:numId w:val="267"/>
        </w:numPr>
        <w:spacing w:after="120"/>
      </w:pPr>
      <w:r>
        <w:t>Regional cost differences</w:t>
      </w:r>
    </w:p>
    <w:p w:rsidR="00D2141F" w:rsidRDefault="00D2141F" w:rsidP="00D2141F">
      <w:pPr>
        <w:numPr>
          <w:ilvl w:val="0"/>
          <w:numId w:val="267"/>
        </w:numPr>
      </w:pPr>
      <w:r>
        <w:t>Difficulties in obtaining site and technology approvals</w:t>
      </w:r>
    </w:p>
    <w:p w:rsidR="00D2141F" w:rsidRDefault="00D2141F" w:rsidP="00D2141F">
      <w:pPr>
        <w:rPr>
          <w:rFonts w:asciiTheme="minorHAnsi" w:eastAsia="Times New Roman" w:hAnsiTheme="minorHAnsi"/>
          <w:b/>
          <w:bCs/>
          <w:iCs/>
          <w:color w:val="000000" w:themeColor="text1"/>
          <w:sz w:val="24"/>
          <w:szCs w:val="28"/>
        </w:rPr>
      </w:pPr>
      <w:r w:rsidRPr="0022269A">
        <w:t>In addition, experience suggests that many construction projects encounter unforeseen design and construction problems that tend to increase costs.</w:t>
      </w:r>
    </w:p>
    <w:p w:rsidR="00D2141F" w:rsidRDefault="00D2141F" w:rsidP="005E14EF">
      <w:pPr>
        <w:pStyle w:val="Heading2"/>
      </w:pPr>
      <w:bookmarkStart w:id="790" w:name="_Ref390423204"/>
      <w:bookmarkStart w:id="791" w:name="_Toc396807679"/>
      <w:r w:rsidRPr="007A650C">
        <w:t>Strategic Transmission Analyses</w:t>
      </w:r>
      <w:r>
        <w:t>—Generator Retirement Analysis</w:t>
      </w:r>
      <w:bookmarkEnd w:id="790"/>
      <w:bookmarkEnd w:id="791"/>
      <w:r>
        <w:t xml:space="preserve"> </w:t>
      </w:r>
    </w:p>
    <w:p w:rsidR="00D2141F" w:rsidRDefault="00D2141F" w:rsidP="00D2141F">
      <w:pPr>
        <w:rPr>
          <w:rFonts w:ascii="Times New Roman" w:hAnsi="Times New Roman"/>
          <w:color w:val="000000"/>
          <w:sz w:val="24"/>
          <w:szCs w:val="24"/>
        </w:rPr>
      </w:pPr>
      <w:r>
        <w:rPr>
          <w:rFonts w:eastAsia="Times New Roman"/>
        </w:rPr>
        <w:t xml:space="preserve">Another aspect of the </w:t>
      </w:r>
      <w:r w:rsidRPr="00217BF0">
        <w:rPr>
          <w:rFonts w:eastAsia="Times New Roman"/>
        </w:rPr>
        <w:t>Strategic Transmission Analyses has assessed transmission issues associated with potential generator retirements</w:t>
      </w:r>
      <w:r>
        <w:rPr>
          <w:rFonts w:eastAsia="Times New Roman"/>
        </w:rPr>
        <w:t>.</w:t>
      </w:r>
      <w:r w:rsidRPr="00217BF0">
        <w:rPr>
          <w:rFonts w:eastAsia="Times New Roman"/>
        </w:rPr>
        <w:t xml:space="preserve"> </w:t>
      </w:r>
      <w:r w:rsidRPr="00217BF0">
        <w:rPr>
          <w:color w:val="000000"/>
        </w:rPr>
        <w:t>The initial</w:t>
      </w:r>
      <w:r>
        <w:rPr>
          <w:color w:val="000000"/>
        </w:rPr>
        <w:t xml:space="preserve"> </w:t>
      </w:r>
      <w:r w:rsidRPr="00217BF0">
        <w:rPr>
          <w:color w:val="000000"/>
        </w:rPr>
        <w:t xml:space="preserve">phase of the generator retirement study </w:t>
      </w:r>
      <w:proofErr w:type="gramStart"/>
      <w:r w:rsidRPr="00217BF0">
        <w:rPr>
          <w:color w:val="000000"/>
        </w:rPr>
        <w:t>was completed</w:t>
      </w:r>
      <w:proofErr w:type="gramEnd"/>
      <w:r w:rsidRPr="00217BF0">
        <w:rPr>
          <w:color w:val="000000"/>
        </w:rPr>
        <w:t xml:space="preserve"> in 2012, with additional sensitivity analyses continuing through 2013</w:t>
      </w:r>
      <w:r>
        <w:rPr>
          <w:color w:val="000000"/>
        </w:rPr>
        <w:t xml:space="preserve"> and 2014</w:t>
      </w:r>
      <w:r w:rsidRPr="00217BF0">
        <w:rPr>
          <w:color w:val="000000"/>
        </w:rPr>
        <w:t xml:space="preserve">. </w:t>
      </w:r>
    </w:p>
    <w:p w:rsidR="00D2141F" w:rsidRPr="001B6391" w:rsidRDefault="00D2141F" w:rsidP="00D2141F">
      <w:pPr>
        <w:rPr>
          <w:rFonts w:eastAsia="Times New Roman"/>
        </w:rPr>
      </w:pPr>
      <w:r>
        <w:rPr>
          <w:rFonts w:eastAsia="Times New Roman"/>
        </w:rPr>
        <w:t>The Strategic Transmission Analysis Generator Retirement Analysis examined t</w:t>
      </w:r>
      <w:r w:rsidRPr="00217BF0">
        <w:rPr>
          <w:rFonts w:eastAsia="Times New Roman"/>
        </w:rPr>
        <w:t xml:space="preserve">he loss of </w:t>
      </w:r>
      <w:r>
        <w:rPr>
          <w:rFonts w:eastAsia="Times New Roman"/>
        </w:rPr>
        <w:t xml:space="preserve">approximately </w:t>
      </w:r>
      <w:r w:rsidRPr="00217BF0">
        <w:rPr>
          <w:rFonts w:eastAsia="Times New Roman"/>
        </w:rPr>
        <w:t xml:space="preserve">8,300 MW </w:t>
      </w:r>
      <w:r>
        <w:rPr>
          <w:rFonts w:eastAsia="Times New Roman"/>
        </w:rPr>
        <w:t>of coal- and oil-fired generating units.</w:t>
      </w:r>
      <w:r>
        <w:rPr>
          <w:rStyle w:val="FootnoteReference"/>
          <w:rFonts w:eastAsia="Times New Roman"/>
        </w:rPr>
        <w:footnoteReference w:id="335"/>
      </w:r>
      <w:r>
        <w:rPr>
          <w:rFonts w:eastAsia="Times New Roman"/>
        </w:rPr>
        <w:t xml:space="preserve"> The results showed these retirements would </w:t>
      </w:r>
      <w:r w:rsidRPr="00217BF0">
        <w:rPr>
          <w:rFonts w:eastAsia="Times New Roman"/>
        </w:rPr>
        <w:t xml:space="preserve">cause resource shortages and, to a lesser degree, transmission-reliability constraints in New England that would require over 6,000 MW of resources to be retained, repowered, or replaced to satisfy the region’s </w:t>
      </w:r>
      <w:r w:rsidRPr="0082289A">
        <w:rPr>
          <w:rFonts w:eastAsia="Times New Roman"/>
        </w:rPr>
        <w:t xml:space="preserve">Installed Capacity Requirement (see </w:t>
      </w:r>
      <w:r w:rsidR="00890522" w:rsidRPr="0082289A">
        <w:rPr>
          <w:rFonts w:eastAsia="Times New Roman"/>
        </w:rPr>
        <w:t>Section</w:t>
      </w:r>
      <w:r w:rsidR="00890522">
        <w:rPr>
          <w:rFonts w:eastAsia="Times New Roman"/>
        </w:rPr>
        <w:t> </w:t>
      </w:r>
      <w:fldSimple w:instr=" REF _Ref387673339 \r \h  \* MERGEFORMAT ">
        <w:r w:rsidR="00284CE3" w:rsidRPr="00284CE3">
          <w:rPr>
            <w:rFonts w:eastAsia="Times New Roman"/>
          </w:rPr>
          <w:t>4.1.1</w:t>
        </w:r>
      </w:fldSimple>
      <w:r w:rsidRPr="0082289A">
        <w:rPr>
          <w:rFonts w:eastAsia="Times New Roman"/>
        </w:rPr>
        <w:t>). The repowering of many of these existing</w:t>
      </w:r>
      <w:r w:rsidRPr="00217BF0">
        <w:rPr>
          <w:rFonts w:eastAsia="Times New Roman"/>
        </w:rPr>
        <w:t xml:space="preserve"> generators with natural gas would not require a major expansion of new system resources or improvements to the transmission system</w:t>
      </w:r>
      <w:r>
        <w:rPr>
          <w:rFonts w:eastAsia="Times New Roman"/>
        </w:rPr>
        <w:t xml:space="preserve">, although more natural gas transportation would be </w:t>
      </w:r>
      <w:r w:rsidRPr="00EA2E47">
        <w:rPr>
          <w:rFonts w:eastAsia="Times New Roman"/>
        </w:rPr>
        <w:t>required.</w:t>
      </w:r>
      <w:r>
        <w:rPr>
          <w:rStyle w:val="FootnoteReference"/>
          <w:rFonts w:eastAsia="Times New Roman"/>
        </w:rPr>
        <w:footnoteReference w:id="336"/>
      </w:r>
      <w:r>
        <w:rPr>
          <w:rFonts w:eastAsia="Times New Roman"/>
        </w:rPr>
        <w:t xml:space="preserve"> </w:t>
      </w:r>
      <w:r w:rsidRPr="00217BF0">
        <w:rPr>
          <w:rFonts w:eastAsia="Times New Roman"/>
        </w:rPr>
        <w:t xml:space="preserve">The addition of </w:t>
      </w:r>
      <w:r w:rsidRPr="0082289A">
        <w:rPr>
          <w:rFonts w:eastAsia="Times New Roman"/>
        </w:rPr>
        <w:t xml:space="preserve">new capacity electrically located at the region’s energy trading hub (the Hub) (see Section </w:t>
      </w:r>
      <w:fldSimple w:instr=" REF _Ref356659320 \r \h  \* MERGEFORMAT ">
        <w:r w:rsidR="00284CE3" w:rsidRPr="00284CE3">
          <w:rPr>
            <w:rFonts w:eastAsia="Times New Roman"/>
          </w:rPr>
          <w:t>2.4</w:t>
        </w:r>
      </w:fldSimple>
      <w:r w:rsidRPr="0082289A">
        <w:rPr>
          <w:rFonts w:eastAsia="Times New Roman"/>
        </w:rPr>
        <w:t>), or the</w:t>
      </w:r>
      <w:r w:rsidRPr="00371FBC">
        <w:rPr>
          <w:rFonts w:eastAsia="Times New Roman"/>
        </w:rPr>
        <w:t xml:space="preserve"> addition</w:t>
      </w:r>
      <w:r w:rsidRPr="00217BF0">
        <w:rPr>
          <w:rFonts w:eastAsia="Times New Roman"/>
        </w:rPr>
        <w:t xml:space="preserve"> of new capacity deliverable to the Hub, would allow the region to serve most of its load reliably.</w:t>
      </w:r>
      <w:r w:rsidRPr="001B6391">
        <w:rPr>
          <w:rFonts w:eastAsia="Times New Roman"/>
        </w:rPr>
        <w:t xml:space="preserve"> </w:t>
      </w:r>
    </w:p>
    <w:p w:rsidR="00D2141F" w:rsidRDefault="00D2141F" w:rsidP="00D2141F">
      <w:pPr>
        <w:rPr>
          <w:rFonts w:asciiTheme="majorHAnsi" w:eastAsia="Times New Roman" w:hAnsiTheme="majorHAnsi"/>
        </w:rPr>
      </w:pPr>
      <w:r w:rsidRPr="00217BF0">
        <w:rPr>
          <w:rFonts w:eastAsia="Times New Roman"/>
        </w:rPr>
        <w:t>The Southeast Massachusetts and Connecticut load</w:t>
      </w:r>
      <w:r w:rsidRPr="00F13B14">
        <w:rPr>
          <w:rFonts w:asciiTheme="minorHAnsi" w:eastAsia="Times New Roman" w:hAnsiTheme="minorHAnsi"/>
          <w:sz w:val="16"/>
        </w:rPr>
        <w:t xml:space="preserve"> </w:t>
      </w:r>
      <w:r w:rsidRPr="00217BF0">
        <w:rPr>
          <w:rFonts w:asciiTheme="majorHAnsi" w:eastAsia="Times New Roman" w:hAnsiTheme="majorHAnsi"/>
        </w:rPr>
        <w:t xml:space="preserve">zones, however, may need some resources to address zonal or </w:t>
      </w:r>
      <w:proofErr w:type="gramStart"/>
      <w:r w:rsidRPr="00217BF0">
        <w:rPr>
          <w:rFonts w:asciiTheme="majorHAnsi" w:eastAsia="Times New Roman" w:hAnsiTheme="majorHAnsi"/>
        </w:rPr>
        <w:t>more local</w:t>
      </w:r>
      <w:proofErr w:type="gramEnd"/>
      <w:r w:rsidRPr="00217BF0">
        <w:rPr>
          <w:rFonts w:asciiTheme="majorHAnsi" w:eastAsia="Times New Roman" w:hAnsiTheme="majorHAnsi"/>
        </w:rPr>
        <w:t xml:space="preserve"> transmission reliability concerns that would vary depending on the timing and </w:t>
      </w:r>
      <w:r w:rsidRPr="0082289A">
        <w:rPr>
          <w:rFonts w:asciiTheme="majorHAnsi" w:eastAsia="Times New Roman" w:hAnsiTheme="majorHAnsi"/>
        </w:rPr>
        <w:t xml:space="preserve">location of retirement requests. As noted in Section </w:t>
      </w:r>
      <w:fldSimple w:instr=" REF _Ref387743694 \r \h  \* MERGEFORMAT ">
        <w:r w:rsidR="00284CE3" w:rsidRPr="00284CE3">
          <w:rPr>
            <w:rFonts w:asciiTheme="majorHAnsi" w:eastAsia="Times New Roman" w:hAnsiTheme="majorHAnsi"/>
          </w:rPr>
          <w:t>4.1.3.3</w:t>
        </w:r>
      </w:fldSimple>
      <w:r w:rsidRPr="0082289A">
        <w:rPr>
          <w:rFonts w:asciiTheme="majorHAnsi" w:eastAsia="Times New Roman" w:hAnsiTheme="majorHAnsi"/>
        </w:rPr>
        <w:t>, of the potential generation retirements</w:t>
      </w:r>
      <w:r>
        <w:rPr>
          <w:rFonts w:asciiTheme="majorHAnsi" w:eastAsia="Times New Roman" w:hAnsiTheme="majorHAnsi"/>
        </w:rPr>
        <w:t xml:space="preserve"> studied, both </w:t>
      </w:r>
      <w:proofErr w:type="spellStart"/>
      <w:r>
        <w:rPr>
          <w:rFonts w:asciiTheme="majorHAnsi" w:eastAsia="Times New Roman" w:hAnsiTheme="majorHAnsi"/>
        </w:rPr>
        <w:t>Brayton</w:t>
      </w:r>
      <w:proofErr w:type="spellEnd"/>
      <w:r>
        <w:rPr>
          <w:rFonts w:asciiTheme="majorHAnsi" w:eastAsia="Times New Roman" w:hAnsiTheme="majorHAnsi"/>
        </w:rPr>
        <w:t xml:space="preserve"> Point and Norwalk Harbor have submitted </w:t>
      </w:r>
      <w:proofErr w:type="spellStart"/>
      <w:r>
        <w:rPr>
          <w:rFonts w:asciiTheme="majorHAnsi" w:eastAsia="Times New Roman" w:hAnsiTheme="majorHAnsi"/>
        </w:rPr>
        <w:t>nonprice</w:t>
      </w:r>
      <w:proofErr w:type="spellEnd"/>
      <w:r>
        <w:rPr>
          <w:rFonts w:asciiTheme="majorHAnsi" w:eastAsia="Times New Roman" w:hAnsiTheme="majorHAnsi"/>
        </w:rPr>
        <w:t xml:space="preserve"> retirement requests.</w:t>
      </w:r>
    </w:p>
    <w:p w:rsidR="00D2141F" w:rsidRPr="0082289A" w:rsidRDefault="00D2141F" w:rsidP="005E14EF">
      <w:pPr>
        <w:pStyle w:val="Heading2"/>
      </w:pPr>
      <w:bookmarkStart w:id="792" w:name="_Ref388716796"/>
      <w:bookmarkStart w:id="793" w:name="_Toc396807680"/>
      <w:r w:rsidRPr="0082289A">
        <w:t>Analysis of Market-Resource Alternatives (MRAs) in Load Pockets</w:t>
      </w:r>
      <w:bookmarkEnd w:id="792"/>
      <w:bookmarkEnd w:id="793"/>
      <w:r w:rsidRPr="0082289A">
        <w:t xml:space="preserve"> </w:t>
      </w:r>
    </w:p>
    <w:p w:rsidR="00D2141F" w:rsidRPr="0082289A" w:rsidRDefault="00D2141F" w:rsidP="00890522">
      <w:r w:rsidRPr="0082289A">
        <w:t>Regional System Plans provide considerable information on the desired amounts, types, locations, and performance requirements of resources for meeting system needs. In general, developing resources in load pockets is beneficial, especially the load pockets with exposure to potential generator retirements. However, assessing the suitability of resources during the planning process can be challenging because of the wide variability of the characteristics, locations, and possible combinations of resources, such as central station and distributed</w:t>
      </w:r>
      <w:r w:rsidR="004732CA">
        <w:t xml:space="preserve"> </w:t>
      </w:r>
      <w:r w:rsidRPr="0082289A">
        <w:t xml:space="preserve">generation resources, end-use efficiency, and storage technologies. </w:t>
      </w:r>
    </w:p>
    <w:p w:rsidR="00D2141F" w:rsidRDefault="00D2141F" w:rsidP="00890522">
      <w:r w:rsidRPr="009C2F8D">
        <w:t>In response to PAC requests for more details about resources that could meet system needs, t</w:t>
      </w:r>
      <w:r w:rsidRPr="009021EE">
        <w:t>he ISO applied the lessons learned from the V</w:t>
      </w:r>
      <w:r w:rsidR="008E72AC">
        <w:t>ermont</w:t>
      </w:r>
      <w:r w:rsidRPr="009021EE">
        <w:t>/N</w:t>
      </w:r>
      <w:r w:rsidR="008E72AC">
        <w:t xml:space="preserve">ew </w:t>
      </w:r>
      <w:r w:rsidRPr="009021EE">
        <w:t>H</w:t>
      </w:r>
      <w:r w:rsidR="008E72AC">
        <w:t>ampshire</w:t>
      </w:r>
      <w:r w:rsidRPr="009021EE">
        <w:t xml:space="preserve"> and G</w:t>
      </w:r>
      <w:r w:rsidR="008E72AC">
        <w:t xml:space="preserve">reater </w:t>
      </w:r>
      <w:r w:rsidRPr="009021EE">
        <w:t>H</w:t>
      </w:r>
      <w:r w:rsidR="008E72AC">
        <w:t xml:space="preserve">artford </w:t>
      </w:r>
      <w:r w:rsidRPr="009021EE">
        <w:t>C</w:t>
      </w:r>
      <w:r w:rsidR="008E72AC">
        <w:t xml:space="preserve">entral </w:t>
      </w:r>
      <w:r w:rsidRPr="009021EE">
        <w:t>C</w:t>
      </w:r>
      <w:r w:rsidR="008E72AC">
        <w:t>onnecticut</w:t>
      </w:r>
      <w:r w:rsidRPr="009021EE">
        <w:t xml:space="preserve"> studies to a study of the </w:t>
      </w:r>
      <w:r w:rsidRPr="009C2F8D">
        <w:t xml:space="preserve">Southeast Massachusetts/Rhode Island </w:t>
      </w:r>
      <w:r w:rsidRPr="009021EE">
        <w:t>area.</w:t>
      </w:r>
      <w:r w:rsidRPr="009021EE">
        <w:rPr>
          <w:vertAlign w:val="superscript"/>
        </w:rPr>
        <w:footnoteReference w:id="337"/>
      </w:r>
      <w:r w:rsidRPr="009021EE">
        <w:t xml:space="preserve"> </w:t>
      </w:r>
      <w:r>
        <w:t xml:space="preserve">The study </w:t>
      </w:r>
      <w:r w:rsidRPr="009C2F8D">
        <w:t xml:space="preserve">demonstrated how resources of various sizes and at various locations could meet thermal system performance requirements for 2022. </w:t>
      </w:r>
    </w:p>
    <w:p w:rsidR="00D2141F" w:rsidRDefault="00D2141F" w:rsidP="00890522">
      <w:r w:rsidRPr="008E72AC">
        <w:t xml:space="preserve">The study identified the critical load levels and </w:t>
      </w:r>
      <w:r w:rsidR="008E72AC" w:rsidRPr="008E72AC">
        <w:t xml:space="preserve">a </w:t>
      </w:r>
      <w:r w:rsidRPr="008E72AC">
        <w:t xml:space="preserve">hypothetical combination of generation, demand reduction, and transmission that could address thermal and voltage issues in the area. This combination of generation and load-reduction measures, located at the proper locations, </w:t>
      </w:r>
      <w:proofErr w:type="gramStart"/>
      <w:r w:rsidRPr="008E72AC">
        <w:t>were shown</w:t>
      </w:r>
      <w:proofErr w:type="gramEnd"/>
      <w:r w:rsidRPr="008E72AC">
        <w:t xml:space="preserve"> to help mitigate</w:t>
      </w:r>
      <w:r w:rsidRPr="00950340">
        <w:t xml:space="preserve"> thermal needs, coupled with a minimal amount of transmission upgrades to mitigate voltage violations.</w:t>
      </w:r>
      <w:r w:rsidRPr="009021EE">
        <w:t xml:space="preserve"> </w:t>
      </w:r>
    </w:p>
    <w:p w:rsidR="00D2141F" w:rsidRPr="009C2F8D" w:rsidRDefault="00D2141F" w:rsidP="00890522">
      <w:r w:rsidRPr="009021EE">
        <w:t xml:space="preserve">In total, approximately 940 MW of MRAs </w:t>
      </w:r>
      <w:proofErr w:type="gramStart"/>
      <w:r w:rsidRPr="009021EE">
        <w:t>were needed</w:t>
      </w:r>
      <w:proofErr w:type="gramEnd"/>
      <w:r w:rsidRPr="009021EE">
        <w:t xml:space="preserve">. Specifically, approximately 900 MW of generation and 40 MW of demand reductions </w:t>
      </w:r>
      <w:r>
        <w:t xml:space="preserve">were </w:t>
      </w:r>
      <w:r w:rsidRPr="009021EE">
        <w:t>needed</w:t>
      </w:r>
      <w:r>
        <w:t xml:space="preserve"> </w:t>
      </w:r>
      <w:r w:rsidRPr="009021EE">
        <w:t xml:space="preserve">as well as 43 MVAR of reactive support to resolve thermal and voltage system needs under </w:t>
      </w:r>
      <w:r>
        <w:t xml:space="preserve">system normal and </w:t>
      </w:r>
      <w:r w:rsidRPr="009021EE">
        <w:t>N-1 conditions. This load pocket MRA study used the same N-1</w:t>
      </w:r>
      <w:r>
        <w:t xml:space="preserve"> </w:t>
      </w:r>
      <w:r w:rsidRPr="009021EE">
        <w:t>assumptions as the SEMA/RI Needs Assessment and addressed the same violations identified in that study.</w:t>
      </w:r>
    </w:p>
    <w:p w:rsidR="00D2141F" w:rsidRDefault="00D2141F" w:rsidP="00890522">
      <w:proofErr w:type="gramStart"/>
      <w:r w:rsidRPr="00D43AAD">
        <w:t xml:space="preserve">The ISO intends to </w:t>
      </w:r>
      <w:r w:rsidRPr="00DC3251">
        <w:t xml:space="preserve">continue </w:t>
      </w:r>
      <w:r w:rsidR="00457530" w:rsidRPr="00DC3251">
        <w:t>analyzing</w:t>
      </w:r>
      <w:r w:rsidR="00D431C1" w:rsidRPr="00DC3251">
        <w:t xml:space="preserve"> MRAs in</w:t>
      </w:r>
      <w:r w:rsidRPr="00DC3251">
        <w:t xml:space="preserve"> </w:t>
      </w:r>
      <w:r w:rsidR="009D0A43" w:rsidRPr="00DC3251">
        <w:t xml:space="preserve">load pockets </w:t>
      </w:r>
      <w:r w:rsidRPr="00DC3251">
        <w:t xml:space="preserve">and will undertake </w:t>
      </w:r>
      <w:r w:rsidR="009D0A43" w:rsidRPr="00DC3251">
        <w:t xml:space="preserve">additional </w:t>
      </w:r>
      <w:r w:rsidRPr="00DC3251">
        <w:t>MRA analysis in early 2015.</w:t>
      </w:r>
      <w:proofErr w:type="gramEnd"/>
    </w:p>
    <w:p w:rsidR="00E63D3A" w:rsidRDefault="00D2141F">
      <w:pPr>
        <w:pStyle w:val="Heading2"/>
      </w:pPr>
      <w:bookmarkStart w:id="794" w:name="_Toc396807681"/>
      <w:r w:rsidRPr="00217BF0">
        <w:t>Summary</w:t>
      </w:r>
      <w:bookmarkEnd w:id="794"/>
      <w:r w:rsidRPr="00217BF0">
        <w:t xml:space="preserve"> </w:t>
      </w:r>
    </w:p>
    <w:p w:rsidR="00D2141F" w:rsidRDefault="00D2141F" w:rsidP="00890522">
      <w:r w:rsidRPr="00217BF0">
        <w:t xml:space="preserve">The ISO is conducting a number of studies to </w:t>
      </w:r>
      <w:r>
        <w:t xml:space="preserve">quantify </w:t>
      </w:r>
      <w:r w:rsidRPr="00217BF0">
        <w:t>the risks identified through the Strategic Planning Initiative, many of which are interrelated</w:t>
      </w:r>
      <w:r>
        <w:t xml:space="preserve">, and </w:t>
      </w:r>
      <w:r w:rsidRPr="00217BF0">
        <w:t>inform</w:t>
      </w:r>
      <w:r>
        <w:t xml:space="preserve"> </w:t>
      </w:r>
      <w:r w:rsidRPr="00217BF0">
        <w:t xml:space="preserve">stakeholders of other strategic planning issues facing the region. The region has implemented several measures and is developing others to improve the reliable and economic performance of the power </w:t>
      </w:r>
      <w:r w:rsidRPr="00D51D39">
        <w:t xml:space="preserve">system. </w:t>
      </w:r>
    </w:p>
    <w:p w:rsidR="00D2141F" w:rsidRDefault="00D2141F" w:rsidP="00890522">
      <w:r w:rsidRPr="00D51D39">
        <w:t xml:space="preserve">The operational challenges experienced </w:t>
      </w:r>
      <w:r w:rsidR="00453FF0">
        <w:t>during winter 2013/2014</w:t>
      </w:r>
      <w:r w:rsidRPr="00D51D39">
        <w:t xml:space="preserve"> highlighted the </w:t>
      </w:r>
      <w:r>
        <w:t xml:space="preserve">need for the ISO to manage energy production limitations of electric power generators. The </w:t>
      </w:r>
      <w:proofErr w:type="gramStart"/>
      <w:r>
        <w:t>region’s</w:t>
      </w:r>
      <w:proofErr w:type="gramEnd"/>
      <w:r>
        <w:t xml:space="preserve"> </w:t>
      </w:r>
      <w:r w:rsidRPr="00D51D39">
        <w:t xml:space="preserve">unsustainable </w:t>
      </w:r>
      <w:r>
        <w:t>and</w:t>
      </w:r>
      <w:r w:rsidRPr="00D51D39">
        <w:t xml:space="preserve"> steadily increasing dependence on natural gas for power generation</w:t>
      </w:r>
      <w:r>
        <w:t xml:space="preserve"> is evident</w:t>
      </w:r>
      <w:r w:rsidRPr="00D51D39">
        <w:t xml:space="preserve">. </w:t>
      </w:r>
      <w:r>
        <w:t>T</w:t>
      </w:r>
      <w:r w:rsidRPr="00D51D39">
        <w:t>he diminished operating performance of infrequently operated oil and coal generators</w:t>
      </w:r>
      <w:r>
        <w:t>,</w:t>
      </w:r>
      <w:r w:rsidRPr="00D51D39">
        <w:t xml:space="preserve"> </w:t>
      </w:r>
      <w:r>
        <w:t xml:space="preserve">the </w:t>
      </w:r>
      <w:r w:rsidRPr="00D51D39">
        <w:t>potential fuel</w:t>
      </w:r>
      <w:r>
        <w:t>-</w:t>
      </w:r>
      <w:r w:rsidRPr="00D51D39">
        <w:t>availability issues</w:t>
      </w:r>
      <w:r>
        <w:t>,</w:t>
      </w:r>
      <w:r w:rsidRPr="00D51D39">
        <w:t xml:space="preserve"> and other physical challenges</w:t>
      </w:r>
      <w:r>
        <w:t xml:space="preserve"> amplify t</w:t>
      </w:r>
      <w:r w:rsidRPr="00D51D39">
        <w:t>h</w:t>
      </w:r>
      <w:r>
        <w:t xml:space="preserve">is reliability </w:t>
      </w:r>
      <w:r w:rsidRPr="00D51D39">
        <w:t xml:space="preserve">risk. </w:t>
      </w:r>
    </w:p>
    <w:p w:rsidR="00E63D3A" w:rsidRPr="00677FE6" w:rsidRDefault="00D2141F" w:rsidP="005424AA">
      <w:pPr>
        <w:rPr>
          <w:rFonts w:asciiTheme="majorHAnsi" w:hAnsiTheme="majorHAnsi"/>
        </w:rPr>
      </w:pPr>
      <w:r w:rsidRPr="00D51D39">
        <w:t>Many improvements to system operations and the region’s wholesale electricity markets</w:t>
      </w:r>
      <w:r>
        <w:t>,</w:t>
      </w:r>
      <w:r w:rsidRPr="00D51D39">
        <w:t xml:space="preserve"> actively under </w:t>
      </w:r>
      <w:r w:rsidRPr="00C9196A">
        <w:t xml:space="preserve">development, will address these issues. The region has developed short-term mitigation measures that bolstered 2013/2014 winter reliability. Modifications to the day-ahead and real-time markets, as well as efforts to procure additional reserves, will help reach medium-term solutions, while changes to the Forward Capacity Market will achieve the longer-term solutions. Recent and planned improvements to the regional and interregional natural gas infrastructure also </w:t>
      </w:r>
      <w:proofErr w:type="gramStart"/>
      <w:r w:rsidRPr="00C9196A">
        <w:t>have been analyzed</w:t>
      </w:r>
      <w:proofErr w:type="gramEnd"/>
      <w:r w:rsidRPr="00C9196A">
        <w:t xml:space="preserve"> to assess the likelihood of its expansion for meeting New England’s increasing demand for natural gas to produce electric power.</w:t>
      </w:r>
      <w:r w:rsidR="005424AA">
        <w:t xml:space="preserve"> </w:t>
      </w:r>
      <w:r w:rsidR="00E63D3A" w:rsidRPr="00677FE6">
        <w:rPr>
          <w:rFonts w:asciiTheme="majorHAnsi" w:hAnsiTheme="majorHAnsi"/>
        </w:rPr>
        <w:t>F</w:t>
      </w:r>
      <w:r w:rsidR="006C5780" w:rsidRPr="00677FE6">
        <w:rPr>
          <w:rFonts w:asciiTheme="majorHAnsi" w:hAnsiTheme="majorHAnsi"/>
        </w:rPr>
        <w:t xml:space="preserve">uel certainty </w:t>
      </w:r>
      <w:proofErr w:type="gramStart"/>
      <w:r w:rsidR="006C5780" w:rsidRPr="00677FE6">
        <w:rPr>
          <w:rFonts w:asciiTheme="majorHAnsi" w:hAnsiTheme="majorHAnsi"/>
        </w:rPr>
        <w:t>could be improv</w:t>
      </w:r>
      <w:r w:rsidR="00E63D3A" w:rsidRPr="00677FE6">
        <w:rPr>
          <w:rFonts w:asciiTheme="majorHAnsi" w:hAnsiTheme="majorHAnsi"/>
        </w:rPr>
        <w:t>ed</w:t>
      </w:r>
      <w:proofErr w:type="gramEnd"/>
      <w:r w:rsidR="00E63D3A" w:rsidRPr="00677FE6">
        <w:rPr>
          <w:rFonts w:asciiTheme="majorHAnsi" w:hAnsiTheme="majorHAnsi"/>
        </w:rPr>
        <w:t xml:space="preserve"> in a number of ways:</w:t>
      </w:r>
    </w:p>
    <w:p w:rsidR="00052582" w:rsidRDefault="00E63D3A" w:rsidP="00E63D3A">
      <w:pPr>
        <w:pStyle w:val="ListParagraph"/>
        <w:numPr>
          <w:ilvl w:val="0"/>
          <w:numId w:val="592"/>
        </w:numPr>
        <w:spacing w:after="120" w:line="260" w:lineRule="atLeast"/>
        <w:contextualSpacing w:val="0"/>
        <w:rPr>
          <w:rFonts w:asciiTheme="majorHAnsi" w:hAnsiTheme="majorHAnsi"/>
          <w:sz w:val="20"/>
          <w:szCs w:val="20"/>
        </w:rPr>
      </w:pPr>
      <w:r w:rsidRPr="00052582">
        <w:rPr>
          <w:rFonts w:asciiTheme="majorHAnsi" w:hAnsiTheme="majorHAnsi"/>
          <w:sz w:val="20"/>
          <w:szCs w:val="20"/>
        </w:rPr>
        <w:t xml:space="preserve">Firm contracts with natural gas pipeline operators would </w:t>
      </w:r>
      <w:r w:rsidR="004C1226" w:rsidRPr="00052582">
        <w:rPr>
          <w:rFonts w:asciiTheme="majorHAnsi" w:hAnsiTheme="majorHAnsi"/>
          <w:sz w:val="20"/>
          <w:szCs w:val="20"/>
        </w:rPr>
        <w:t xml:space="preserve">allow existing infrastructure to </w:t>
      </w:r>
      <w:proofErr w:type="gramStart"/>
      <w:r w:rsidR="004C1226" w:rsidRPr="00052582">
        <w:rPr>
          <w:rFonts w:asciiTheme="majorHAnsi" w:hAnsiTheme="majorHAnsi"/>
          <w:sz w:val="20"/>
          <w:szCs w:val="20"/>
        </w:rPr>
        <w:t>be more fully utilized</w:t>
      </w:r>
      <w:proofErr w:type="gramEnd"/>
      <w:r w:rsidR="004C1226" w:rsidRPr="00052582">
        <w:rPr>
          <w:rFonts w:asciiTheme="majorHAnsi" w:hAnsiTheme="majorHAnsi"/>
          <w:sz w:val="20"/>
          <w:szCs w:val="20"/>
        </w:rPr>
        <w:t xml:space="preserve"> and </w:t>
      </w:r>
      <w:r w:rsidR="00052582">
        <w:rPr>
          <w:rFonts w:asciiTheme="majorHAnsi" w:hAnsiTheme="majorHAnsi"/>
          <w:sz w:val="20"/>
          <w:szCs w:val="20"/>
        </w:rPr>
        <w:t xml:space="preserve">would </w:t>
      </w:r>
      <w:r w:rsidR="00052582" w:rsidRPr="00052582">
        <w:rPr>
          <w:rFonts w:asciiTheme="majorHAnsi" w:hAnsiTheme="majorHAnsi"/>
          <w:sz w:val="20"/>
          <w:szCs w:val="20"/>
        </w:rPr>
        <w:t>support</w:t>
      </w:r>
      <w:r w:rsidR="004C1226" w:rsidRPr="00052582">
        <w:rPr>
          <w:rFonts w:asciiTheme="majorHAnsi" w:hAnsiTheme="majorHAnsi"/>
          <w:sz w:val="20"/>
          <w:szCs w:val="20"/>
        </w:rPr>
        <w:t xml:space="preserve"> the building of new natural gas pipeline capacity</w:t>
      </w:r>
      <w:r w:rsidR="00052582">
        <w:rPr>
          <w:rFonts w:asciiTheme="majorHAnsi" w:hAnsiTheme="majorHAnsi"/>
          <w:sz w:val="20"/>
          <w:szCs w:val="20"/>
        </w:rPr>
        <w:t xml:space="preserve">. </w:t>
      </w:r>
    </w:p>
    <w:p w:rsidR="00E63D3A" w:rsidRPr="00052582" w:rsidRDefault="00052582" w:rsidP="00E63D3A">
      <w:pPr>
        <w:pStyle w:val="ListParagraph"/>
        <w:numPr>
          <w:ilvl w:val="0"/>
          <w:numId w:val="592"/>
        </w:numPr>
        <w:spacing w:after="120" w:line="260" w:lineRule="atLeast"/>
        <w:contextualSpacing w:val="0"/>
        <w:rPr>
          <w:rFonts w:asciiTheme="majorHAnsi" w:hAnsiTheme="majorHAnsi"/>
          <w:sz w:val="20"/>
          <w:szCs w:val="20"/>
        </w:rPr>
      </w:pPr>
      <w:r w:rsidRPr="00052582">
        <w:rPr>
          <w:rFonts w:asciiTheme="majorHAnsi" w:hAnsiTheme="majorHAnsi"/>
          <w:sz w:val="20"/>
          <w:szCs w:val="20"/>
        </w:rPr>
        <w:t>Firm contract with supplie</w:t>
      </w:r>
      <w:r>
        <w:rPr>
          <w:rFonts w:asciiTheme="majorHAnsi" w:hAnsiTheme="majorHAnsi"/>
          <w:sz w:val="20"/>
          <w:szCs w:val="20"/>
        </w:rPr>
        <w:t>r</w:t>
      </w:r>
      <w:r w:rsidRPr="00052582">
        <w:rPr>
          <w:rFonts w:asciiTheme="majorHAnsi" w:hAnsiTheme="majorHAnsi"/>
          <w:sz w:val="20"/>
          <w:szCs w:val="20"/>
        </w:rPr>
        <w:t xml:space="preserve">s, including </w:t>
      </w:r>
      <w:r w:rsidR="004C1226" w:rsidRPr="00052582">
        <w:rPr>
          <w:rFonts w:asciiTheme="majorHAnsi" w:hAnsiTheme="majorHAnsi"/>
          <w:sz w:val="20"/>
          <w:szCs w:val="20"/>
        </w:rPr>
        <w:t xml:space="preserve">LNG operators, </w:t>
      </w:r>
      <w:r w:rsidRPr="00052582">
        <w:rPr>
          <w:rFonts w:asciiTheme="majorHAnsi" w:hAnsiTheme="majorHAnsi"/>
          <w:sz w:val="20"/>
          <w:szCs w:val="20"/>
        </w:rPr>
        <w:t xml:space="preserve">would </w:t>
      </w:r>
      <w:r w:rsidR="004C1226" w:rsidRPr="00052582">
        <w:rPr>
          <w:rFonts w:asciiTheme="majorHAnsi" w:hAnsiTheme="majorHAnsi"/>
          <w:sz w:val="20"/>
          <w:szCs w:val="20"/>
        </w:rPr>
        <w:t>improve the likelihood of generators procuring natural gas.</w:t>
      </w:r>
    </w:p>
    <w:p w:rsidR="00E63D3A" w:rsidRPr="00677FE6" w:rsidRDefault="00E63D3A" w:rsidP="00E63D3A">
      <w:pPr>
        <w:pStyle w:val="ListParagraph"/>
        <w:numPr>
          <w:ilvl w:val="0"/>
          <w:numId w:val="592"/>
        </w:numPr>
        <w:spacing w:after="120" w:line="260" w:lineRule="atLeast"/>
        <w:contextualSpacing w:val="0"/>
        <w:rPr>
          <w:rFonts w:asciiTheme="majorHAnsi" w:hAnsiTheme="majorHAnsi"/>
          <w:sz w:val="20"/>
          <w:szCs w:val="20"/>
        </w:rPr>
      </w:pPr>
      <w:r w:rsidRPr="00677FE6">
        <w:rPr>
          <w:rFonts w:asciiTheme="majorHAnsi" w:hAnsiTheme="majorHAnsi"/>
          <w:sz w:val="20"/>
          <w:szCs w:val="20"/>
        </w:rPr>
        <w:t>Increased flexibility of scheduling natural gas would allow generators to respond better to changing system conditions.</w:t>
      </w:r>
    </w:p>
    <w:p w:rsidR="00E63D3A" w:rsidRPr="00677FE6" w:rsidRDefault="00E63D3A" w:rsidP="00E63D3A">
      <w:pPr>
        <w:pStyle w:val="ListParagraph"/>
        <w:numPr>
          <w:ilvl w:val="0"/>
          <w:numId w:val="592"/>
        </w:numPr>
        <w:spacing w:after="120" w:line="260" w:lineRule="atLeast"/>
        <w:contextualSpacing w:val="0"/>
        <w:rPr>
          <w:rFonts w:asciiTheme="majorHAnsi" w:hAnsiTheme="majorHAnsi"/>
          <w:sz w:val="20"/>
          <w:szCs w:val="20"/>
        </w:rPr>
      </w:pPr>
      <w:r w:rsidRPr="00677FE6">
        <w:rPr>
          <w:rFonts w:asciiTheme="majorHAnsi" w:hAnsiTheme="majorHAnsi"/>
          <w:sz w:val="20"/>
          <w:szCs w:val="20"/>
        </w:rPr>
        <w:t>Use of existing and new dual-fuel capability at generating plants would provide alternative supplies of fuel when natural gas supplies are limited.</w:t>
      </w:r>
    </w:p>
    <w:p w:rsidR="00E63D3A" w:rsidRPr="00677FE6" w:rsidRDefault="00E63D3A" w:rsidP="00E63D3A">
      <w:pPr>
        <w:pStyle w:val="ListParagraph"/>
        <w:numPr>
          <w:ilvl w:val="0"/>
          <w:numId w:val="592"/>
        </w:numPr>
        <w:spacing w:after="120" w:line="260" w:lineRule="atLeast"/>
        <w:contextualSpacing w:val="0"/>
        <w:rPr>
          <w:rFonts w:asciiTheme="majorHAnsi" w:hAnsiTheme="majorHAnsi"/>
          <w:sz w:val="20"/>
          <w:szCs w:val="20"/>
        </w:rPr>
      </w:pPr>
      <w:r w:rsidRPr="00677FE6">
        <w:rPr>
          <w:rFonts w:asciiTheme="majorHAnsi" w:hAnsiTheme="majorHAnsi"/>
          <w:sz w:val="20"/>
          <w:szCs w:val="20"/>
        </w:rPr>
        <w:t xml:space="preserve">Adequate local storage of dual fuel, especially oil, would </w:t>
      </w:r>
      <w:r w:rsidR="0046361D">
        <w:rPr>
          <w:rFonts w:asciiTheme="majorHAnsi" w:hAnsiTheme="majorHAnsi"/>
          <w:sz w:val="20"/>
          <w:szCs w:val="20"/>
        </w:rPr>
        <w:t xml:space="preserve">increase </w:t>
      </w:r>
      <w:r w:rsidRPr="00677FE6">
        <w:rPr>
          <w:rFonts w:asciiTheme="majorHAnsi" w:hAnsiTheme="majorHAnsi"/>
          <w:sz w:val="20"/>
          <w:szCs w:val="20"/>
        </w:rPr>
        <w:t>generat</w:t>
      </w:r>
      <w:r w:rsidR="0046361D">
        <w:rPr>
          <w:rFonts w:asciiTheme="majorHAnsi" w:hAnsiTheme="majorHAnsi"/>
          <w:sz w:val="20"/>
          <w:szCs w:val="20"/>
        </w:rPr>
        <w:t>ion reliability</w:t>
      </w:r>
      <w:r w:rsidRPr="00677FE6">
        <w:rPr>
          <w:rFonts w:asciiTheme="majorHAnsi" w:hAnsiTheme="majorHAnsi"/>
          <w:sz w:val="20"/>
          <w:szCs w:val="20"/>
        </w:rPr>
        <w:t xml:space="preserve">. </w:t>
      </w:r>
    </w:p>
    <w:p w:rsidR="00E63D3A" w:rsidRPr="00677FE6" w:rsidRDefault="00E63D3A" w:rsidP="00E63D3A">
      <w:pPr>
        <w:pStyle w:val="ListParagraph"/>
        <w:numPr>
          <w:ilvl w:val="0"/>
          <w:numId w:val="592"/>
        </w:numPr>
        <w:spacing w:after="240" w:line="260" w:lineRule="atLeast"/>
        <w:contextualSpacing w:val="0"/>
        <w:rPr>
          <w:rFonts w:asciiTheme="majorHAnsi" w:hAnsiTheme="majorHAnsi"/>
          <w:sz w:val="20"/>
          <w:szCs w:val="20"/>
        </w:rPr>
      </w:pPr>
      <w:r w:rsidRPr="006170C6">
        <w:rPr>
          <w:rFonts w:asciiTheme="majorHAnsi" w:hAnsiTheme="majorHAnsi"/>
          <w:sz w:val="20"/>
          <w:szCs w:val="20"/>
        </w:rPr>
        <w:t xml:space="preserve">Increased </w:t>
      </w:r>
      <w:r w:rsidR="00D837D8" w:rsidRPr="006170C6">
        <w:rPr>
          <w:rFonts w:asciiTheme="majorHAnsi" w:hAnsiTheme="majorHAnsi"/>
          <w:sz w:val="20"/>
          <w:szCs w:val="20"/>
        </w:rPr>
        <w:t>efficien</w:t>
      </w:r>
      <w:r w:rsidR="00381DE5" w:rsidRPr="006170C6">
        <w:rPr>
          <w:rFonts w:asciiTheme="majorHAnsi" w:hAnsiTheme="majorHAnsi"/>
          <w:sz w:val="20"/>
          <w:szCs w:val="20"/>
        </w:rPr>
        <w:t xml:space="preserve">t use </w:t>
      </w:r>
      <w:r w:rsidR="00D837D8" w:rsidRPr="006170C6">
        <w:rPr>
          <w:rFonts w:asciiTheme="majorHAnsi" w:hAnsiTheme="majorHAnsi"/>
          <w:sz w:val="20"/>
          <w:szCs w:val="20"/>
        </w:rPr>
        <w:t>of natural gas and electricity</w:t>
      </w:r>
      <w:r w:rsidR="00381DE5" w:rsidRPr="006170C6">
        <w:rPr>
          <w:rFonts w:asciiTheme="majorHAnsi" w:hAnsiTheme="majorHAnsi"/>
          <w:sz w:val="20"/>
          <w:szCs w:val="20"/>
        </w:rPr>
        <w:t xml:space="preserve"> </w:t>
      </w:r>
      <w:r w:rsidRPr="006170C6">
        <w:rPr>
          <w:rFonts w:asciiTheme="majorHAnsi" w:hAnsiTheme="majorHAnsi"/>
          <w:sz w:val="20"/>
          <w:szCs w:val="20"/>
        </w:rPr>
        <w:t xml:space="preserve">would allow </w:t>
      </w:r>
      <w:r w:rsidRPr="00677FE6">
        <w:rPr>
          <w:rFonts w:asciiTheme="majorHAnsi" w:hAnsiTheme="majorHAnsi"/>
          <w:sz w:val="20"/>
          <w:szCs w:val="20"/>
        </w:rPr>
        <w:t>greater use of available pipeline capacity by generators</w:t>
      </w:r>
      <w:r w:rsidR="007F158F">
        <w:rPr>
          <w:rFonts w:asciiTheme="majorHAnsi" w:hAnsiTheme="majorHAnsi"/>
          <w:sz w:val="20"/>
          <w:szCs w:val="20"/>
        </w:rPr>
        <w:t>.</w:t>
      </w:r>
    </w:p>
    <w:p w:rsidR="00D2141F" w:rsidRPr="00217BF0" w:rsidRDefault="00D2141F" w:rsidP="00890522">
      <w:r w:rsidRPr="00217BF0">
        <w:t>Existing and pending state, regional, and federal environmental regulations will require many generators to consider</w:t>
      </w:r>
      <w:r>
        <w:t>,</w:t>
      </w:r>
      <w:r w:rsidRPr="00FC671F">
        <w:t xml:space="preserve"> </w:t>
      </w:r>
      <w:r w:rsidRPr="00217BF0">
        <w:t>between 2015 and 202</w:t>
      </w:r>
      <w:r w:rsidR="00024666">
        <w:t>2</w:t>
      </w:r>
      <w:r>
        <w:t xml:space="preserve">, </w:t>
      </w:r>
      <w:r w:rsidRPr="00217BF0">
        <w:t>add</w:t>
      </w:r>
      <w:r>
        <w:t>ing</w:t>
      </w:r>
      <w:r w:rsidRPr="00217BF0">
        <w:t xml:space="preserve"> air pollution control devices; modif</w:t>
      </w:r>
      <w:r>
        <w:t xml:space="preserve">ying </w:t>
      </w:r>
      <w:r w:rsidRPr="00217BF0">
        <w:t>or reduc</w:t>
      </w:r>
      <w:r>
        <w:t>ing</w:t>
      </w:r>
      <w:r w:rsidRPr="00217BF0">
        <w:t xml:space="preserve"> water use and wastewater discharges; and in some cases, limit</w:t>
      </w:r>
      <w:r>
        <w:t>ing</w:t>
      </w:r>
      <w:r w:rsidRPr="00217BF0">
        <w:t xml:space="preserve"> operations. Environmental controls necessary for compliance with these regulations will likely add capital investment at some generators, increase operating compliance costs at many generators, and involve additional operational restrictions at certain generators. Most of the at-risk capacity faces compliance or retirement decisions later this decade, which </w:t>
      </w:r>
      <w:proofErr w:type="gramStart"/>
      <w:r w:rsidRPr="00217BF0">
        <w:t>is expected</w:t>
      </w:r>
      <w:proofErr w:type="gramEnd"/>
      <w:r w:rsidRPr="00217BF0">
        <w:t xml:space="preserve"> to affect positions in upcoming F</w:t>
      </w:r>
      <w:r>
        <w:t xml:space="preserve">orward </w:t>
      </w:r>
      <w:r w:rsidRPr="00217BF0">
        <w:t>C</w:t>
      </w:r>
      <w:r>
        <w:t>apacity A</w:t>
      </w:r>
      <w:r w:rsidRPr="00217BF0">
        <w:t>uctions. The ISO continues to identify such generators and study potential impacts.</w:t>
      </w:r>
    </w:p>
    <w:p w:rsidR="00024666" w:rsidRPr="00E93E1C" w:rsidRDefault="00D2141F" w:rsidP="00890522">
      <w:proofErr w:type="gramStart"/>
      <w:r w:rsidRPr="00217BF0">
        <w:t xml:space="preserve">The ISO </w:t>
      </w:r>
      <w:r w:rsidR="009A7C35">
        <w:t xml:space="preserve">also </w:t>
      </w:r>
      <w:r w:rsidRPr="00217BF0">
        <w:t xml:space="preserve">continues to </w:t>
      </w:r>
      <w:r w:rsidRPr="00E93E1C">
        <w:t>analyze wind</w:t>
      </w:r>
      <w:r w:rsidR="000C0045" w:rsidRPr="00E93E1C">
        <w:t>-</w:t>
      </w:r>
      <w:r w:rsidRPr="00E93E1C">
        <w:t>integration issues and has made progress implementing wind forecasting and dispatch.</w:t>
      </w:r>
      <w:proofErr w:type="gramEnd"/>
      <w:r w:rsidRPr="00E93E1C">
        <w:t xml:space="preserve"> </w:t>
      </w:r>
      <w:r w:rsidR="00024666" w:rsidRPr="00E93E1C">
        <w:t xml:space="preserve">While the level of wind resources has not yet triggered additional requirements, </w:t>
      </w:r>
      <w:r w:rsidR="00BA1EBC" w:rsidRPr="00E93E1C">
        <w:t xml:space="preserve">the </w:t>
      </w:r>
      <w:r w:rsidR="00024666" w:rsidRPr="00E93E1C">
        <w:t>ISO is working toward increasing system flexibility and has increased its operating reserve</w:t>
      </w:r>
      <w:r w:rsidR="006146D7" w:rsidRPr="00E93E1C">
        <w:t xml:space="preserve"> </w:t>
      </w:r>
      <w:r w:rsidR="0058019A" w:rsidRPr="00E93E1C">
        <w:t xml:space="preserve">to </w:t>
      </w:r>
      <w:r w:rsidR="005E14EF">
        <w:t>address resource performance issues</w:t>
      </w:r>
      <w:r w:rsidR="0058019A" w:rsidRPr="00E93E1C">
        <w:t>.</w:t>
      </w:r>
      <w:r w:rsidR="00024666" w:rsidRPr="00E93E1C">
        <w:t xml:space="preserve"> </w:t>
      </w:r>
      <w:r w:rsidR="00457530" w:rsidRPr="00E93E1C">
        <w:t xml:space="preserve">The </w:t>
      </w:r>
      <w:r w:rsidR="00024666" w:rsidRPr="00E93E1C">
        <w:t xml:space="preserve">ISO is improving the modeling of wind resources and is updating the process for pursuing </w:t>
      </w:r>
      <w:r w:rsidR="00BA1EBC" w:rsidRPr="00E93E1C">
        <w:t>e</w:t>
      </w:r>
      <w:r w:rsidR="00024666" w:rsidRPr="00E93E1C">
        <w:t xml:space="preserve">lective </w:t>
      </w:r>
      <w:r w:rsidR="00BA1EBC" w:rsidRPr="00E93E1C">
        <w:t>u</w:t>
      </w:r>
      <w:r w:rsidR="00024666" w:rsidRPr="00E93E1C">
        <w:t>pgrades.</w:t>
      </w:r>
    </w:p>
    <w:p w:rsidR="00D2141F" w:rsidRDefault="00D2141F" w:rsidP="00890522">
      <w:r w:rsidRPr="00E93E1C">
        <w:t>The wind</w:t>
      </w:r>
      <w:r w:rsidR="000C0045" w:rsidRPr="00E93E1C">
        <w:t>-</w:t>
      </w:r>
      <w:r w:rsidRPr="00E93E1C">
        <w:t>integration component</w:t>
      </w:r>
      <w:r w:rsidRPr="00961DAB">
        <w:t xml:space="preserve"> of the Strategic Transmission Analysis is developing conceptual additions to the transmission system that would enable onshore wind </w:t>
      </w:r>
      <w:r w:rsidRPr="00036A28">
        <w:t xml:space="preserve">resources </w:t>
      </w:r>
      <w:proofErr w:type="gramStart"/>
      <w:r w:rsidRPr="00036A28">
        <w:t>to reliably serve</w:t>
      </w:r>
      <w:proofErr w:type="gramEnd"/>
      <w:r w:rsidRPr="00036A28">
        <w:t xml:space="preserve"> load. The </w:t>
      </w:r>
      <w:r w:rsidRPr="009A7C35">
        <w:rPr>
          <w:i/>
        </w:rPr>
        <w:t>2011 Economic Study</w:t>
      </w:r>
      <w:r w:rsidRPr="00036A28">
        <w:t xml:space="preserve"> show</w:t>
      </w:r>
      <w:r>
        <w:t>ed</w:t>
      </w:r>
      <w:r w:rsidRPr="00036A28">
        <w:t xml:space="preserve"> the effects of</w:t>
      </w:r>
      <w:r w:rsidRPr="00961DAB">
        <w:t xml:space="preserve"> integrating varying amounts of wind on</w:t>
      </w:r>
      <w:r w:rsidRPr="00217BF0">
        <w:t xml:space="preserve"> production cost, load-serving energy expense, and </w:t>
      </w:r>
      <w:r>
        <w:t>congestion</w:t>
      </w:r>
      <w:r w:rsidRPr="00217BF0">
        <w:t>, as well as the need for transmission development to enable wind resources to serve the region’s load centers.</w:t>
      </w:r>
      <w:r>
        <w:t xml:space="preserve"> </w:t>
      </w:r>
      <w:r w:rsidRPr="00217BF0">
        <w:t>The ISO will continue to engage stakeholders on the issues challenging the wind</w:t>
      </w:r>
      <w:r w:rsidR="00E643C5">
        <w:t>-</w:t>
      </w:r>
      <w:r w:rsidRPr="00217BF0">
        <w:t>interconnection process and the performance of the system with wind resources in locally</w:t>
      </w:r>
      <w:r>
        <w:t xml:space="preserve"> </w:t>
      </w:r>
      <w:r w:rsidRPr="00217BF0">
        <w:t xml:space="preserve">constrained areas. </w:t>
      </w:r>
    </w:p>
    <w:p w:rsidR="00F82629" w:rsidRDefault="00D2141F" w:rsidP="00890522">
      <w:r w:rsidRPr="00217BF0">
        <w:t xml:space="preserve">While existing amounts of PV have yet to have a significant impact on system operations, the ISO is </w:t>
      </w:r>
      <w:r w:rsidRPr="00EA2E47">
        <w:t xml:space="preserve">working on several initiatives aimed at facilitating its reliable and efficient integration. The regional goal is to have </w:t>
      </w:r>
      <w:r>
        <w:t xml:space="preserve">over 2,000 </w:t>
      </w:r>
      <w:r w:rsidRPr="00EA2E47">
        <w:t xml:space="preserve">MW of </w:t>
      </w:r>
      <w:r>
        <w:t xml:space="preserve">distributed generation </w:t>
      </w:r>
      <w:r w:rsidRPr="00EA2E47">
        <w:t>by 202</w:t>
      </w:r>
      <w:r>
        <w:t>3</w:t>
      </w:r>
      <w:r w:rsidRPr="00EA2E47">
        <w:t xml:space="preserve">, </w:t>
      </w:r>
      <w:r>
        <w:t>of which 1,</w:t>
      </w:r>
      <w:r w:rsidR="00BA1EBC">
        <w:t>800 </w:t>
      </w:r>
      <w:r>
        <w:t>MW</w:t>
      </w:r>
      <w:r w:rsidRPr="00EA2E47">
        <w:t xml:space="preserve"> </w:t>
      </w:r>
      <w:proofErr w:type="gramStart"/>
      <w:r w:rsidRPr="00EA2E47">
        <w:t>is expected</w:t>
      </w:r>
      <w:proofErr w:type="gramEnd"/>
      <w:r w:rsidRPr="00EA2E47">
        <w:t xml:space="preserve"> to be PV. </w:t>
      </w:r>
      <w:proofErr w:type="gramStart"/>
      <w:r>
        <w:t xml:space="preserve">The ISO successfully completed the first multistate forecast of PV </w:t>
      </w:r>
      <w:r w:rsidRPr="00163AF4">
        <w:t xml:space="preserve">development and is working with stakeholders to </w:t>
      </w:r>
      <w:r w:rsidR="00F82629">
        <w:t>accomplish the following:</w:t>
      </w:r>
      <w:proofErr w:type="gramEnd"/>
    </w:p>
    <w:p w:rsidR="00F82629" w:rsidRDefault="00F82629" w:rsidP="00F82629">
      <w:pPr>
        <w:numPr>
          <w:ilvl w:val="0"/>
          <w:numId w:val="593"/>
        </w:numPr>
        <w:spacing w:after="120"/>
      </w:pPr>
      <w:r>
        <w:t>D</w:t>
      </w:r>
      <w:r w:rsidR="00D2141F" w:rsidRPr="00E95855">
        <w:t>evelop a short-term solar forecast for use by system operators</w:t>
      </w:r>
    </w:p>
    <w:p w:rsidR="00F82629" w:rsidRDefault="00F82629" w:rsidP="00F82629">
      <w:pPr>
        <w:numPr>
          <w:ilvl w:val="0"/>
          <w:numId w:val="593"/>
        </w:numPr>
        <w:spacing w:after="120"/>
      </w:pPr>
      <w:r>
        <w:t>D</w:t>
      </w:r>
      <w:r w:rsidR="00D2141F" w:rsidRPr="00E95855">
        <w:t>evelop a</w:t>
      </w:r>
      <w:r w:rsidR="00D2141F" w:rsidRPr="00EA2E47">
        <w:t xml:space="preserve"> method to consider expected amounts of PV in long-term planning</w:t>
      </w:r>
    </w:p>
    <w:p w:rsidR="00D2141F" w:rsidRPr="00217BF0" w:rsidRDefault="00F82629" w:rsidP="00F82629">
      <w:pPr>
        <w:numPr>
          <w:ilvl w:val="0"/>
          <w:numId w:val="593"/>
        </w:numPr>
      </w:pPr>
      <w:r>
        <w:t>A</w:t>
      </w:r>
      <w:r w:rsidR="00D2141F">
        <w:t xml:space="preserve">ddress </w:t>
      </w:r>
      <w:r w:rsidR="00D2141F" w:rsidRPr="00EA2E47">
        <w:t>the</w:t>
      </w:r>
      <w:r w:rsidR="00D2141F" w:rsidRPr="00217BF0">
        <w:t xml:space="preserve"> potential reliability risks posed by growing penetrations of PV</w:t>
      </w:r>
    </w:p>
    <w:p w:rsidR="00D2141F" w:rsidRPr="00217BF0" w:rsidRDefault="00D2141F" w:rsidP="00890522">
      <w:r w:rsidRPr="00217BF0">
        <w:t xml:space="preserve">The results of the </w:t>
      </w:r>
      <w:r w:rsidRPr="009A7C35">
        <w:rPr>
          <w:i/>
        </w:rPr>
        <w:t>2012 Economic Study</w:t>
      </w:r>
      <w:r w:rsidRPr="00217BF0">
        <w:t xml:space="preserve"> highlighted the most suitable locations for developing different resources without causing congestion; the effects of using efficient, low-emitting resources, increased amounts of renewable energy, and energy efficiency; and the least suitable locations for unit retirements. The ISO has </w:t>
      </w:r>
      <w:r>
        <w:t xml:space="preserve">presented the PAC with draft results for </w:t>
      </w:r>
      <w:r w:rsidRPr="00217BF0">
        <w:t xml:space="preserve">the </w:t>
      </w:r>
      <w:r w:rsidRPr="009A7C35">
        <w:rPr>
          <w:i/>
        </w:rPr>
        <w:t>2013 Economic Study</w:t>
      </w:r>
      <w:r w:rsidRPr="00217BF0">
        <w:t xml:space="preserve">, which </w:t>
      </w:r>
      <w:r>
        <w:t xml:space="preserve">is </w:t>
      </w:r>
      <w:r w:rsidRPr="00217BF0">
        <w:t>evaluat</w:t>
      </w:r>
      <w:r>
        <w:t>ing</w:t>
      </w:r>
      <w:r w:rsidRPr="00217BF0">
        <w:t xml:space="preserve"> the effect of increasing the acceptable loss-of-source limits in New England.</w:t>
      </w:r>
    </w:p>
    <w:p w:rsidR="00D2141F" w:rsidRPr="00217BF0" w:rsidRDefault="00D2141F" w:rsidP="00890522">
      <w:r w:rsidRPr="00961DAB">
        <w:t xml:space="preserve">The Strategic Transmission Analysis, which is assessing transmission issues associated with potential generator retirements, shows that the loss of these resources would cause resource shortages and transmission-reliability constraints requiring the retention, repowering, or replacement of much of the resource capacity. The study further showed that, in the event of these retirements, </w:t>
      </w:r>
      <w:r w:rsidRPr="00217BF0">
        <w:t>adding new capacity in electrical proximity to the Hub</w:t>
      </w:r>
      <w:r w:rsidRPr="00961DAB">
        <w:t xml:space="preserve"> </w:t>
      </w:r>
      <w:r>
        <w:t xml:space="preserve">could reliably serve </w:t>
      </w:r>
      <w:r w:rsidRPr="00961DAB">
        <w:t>most of the</w:t>
      </w:r>
      <w:r w:rsidRPr="00217BF0">
        <w:t xml:space="preserve"> region’s load.</w:t>
      </w:r>
      <w:r w:rsidRPr="00CF67A3">
        <w:rPr>
          <w:color w:val="000000"/>
        </w:rPr>
        <w:t xml:space="preserve"> </w:t>
      </w:r>
      <w:r w:rsidRPr="00151D68">
        <w:rPr>
          <w:color w:val="000000"/>
        </w:rPr>
        <w:t>The Strategic Transmission Analyses may provide insights to develop Strategic Planning Initiative solutions focusing on market design and transmission planning</w:t>
      </w:r>
      <w:r>
        <w:rPr>
          <w:color w:val="000000"/>
        </w:rPr>
        <w:t>.</w:t>
      </w:r>
    </w:p>
    <w:p w:rsidR="00D2141F" w:rsidRDefault="00D2141F" w:rsidP="00890522">
      <w:pPr>
        <w:sectPr w:rsidR="00D2141F" w:rsidSect="00E24A7B">
          <w:pgSz w:w="12240" w:h="15840"/>
          <w:pgMar w:top="1440" w:right="1440" w:bottom="1440" w:left="1800" w:header="720" w:footer="720" w:gutter="0"/>
          <w:cols w:space="720"/>
          <w:docGrid w:linePitch="360"/>
        </w:sectPr>
      </w:pPr>
      <w:r w:rsidRPr="00C9196A">
        <w:t>The ISO’s analysis of market resource alternatives in the S</w:t>
      </w:r>
      <w:r w:rsidR="009D0A43">
        <w:t>E</w:t>
      </w:r>
      <w:r w:rsidRPr="00C9196A">
        <w:t xml:space="preserve">MA/RI load pocket shows the critical load levels and hypothetical </w:t>
      </w:r>
      <w:r w:rsidRPr="00C9196A">
        <w:rPr>
          <w:rFonts w:cstheme="minorBidi"/>
        </w:rPr>
        <w:t xml:space="preserve">supply-side and load-reduction </w:t>
      </w:r>
      <w:r w:rsidR="009D0A43">
        <w:rPr>
          <w:rFonts w:cstheme="minorBidi"/>
        </w:rPr>
        <w:t>resources</w:t>
      </w:r>
      <w:r w:rsidRPr="00C9196A">
        <w:rPr>
          <w:rFonts w:cstheme="minorBidi"/>
        </w:rPr>
        <w:t xml:space="preserve"> that could eliminate </w:t>
      </w:r>
      <w:r w:rsidRPr="00C9196A">
        <w:t>thermal overloads for normal and N-1 contingency conditions.</w:t>
      </w:r>
    </w:p>
    <w:p w:rsidR="00441E32" w:rsidRPr="00441E32" w:rsidRDefault="00C73322" w:rsidP="005C6088">
      <w:pPr>
        <w:pStyle w:val="Heading1"/>
      </w:pPr>
      <w:bookmarkStart w:id="795" w:name="_bookmark18"/>
      <w:bookmarkStart w:id="796" w:name="_Ref325447976"/>
      <w:bookmarkStart w:id="797" w:name="_Toc330401271"/>
      <w:bookmarkStart w:id="798" w:name="_Toc334541982"/>
      <w:bookmarkStart w:id="799" w:name="_Toc352847489"/>
      <w:bookmarkEnd w:id="684"/>
      <w:bookmarkEnd w:id="795"/>
      <w:bookmarkEnd w:id="796"/>
      <w:bookmarkEnd w:id="797"/>
      <w:bookmarkEnd w:id="798"/>
      <w:bookmarkEnd w:id="799"/>
      <w:r>
        <w:t xml:space="preserve"> </w:t>
      </w:r>
      <w:r w:rsidR="00441E32" w:rsidRPr="00441E32">
        <w:br/>
      </w:r>
      <w:bookmarkStart w:id="800" w:name="_Ref356557380"/>
      <w:bookmarkStart w:id="801" w:name="_Toc356890308"/>
      <w:bookmarkStart w:id="802" w:name="_Toc365441052"/>
      <w:bookmarkStart w:id="803" w:name="_Toc396807682"/>
      <w:r w:rsidR="00441E32" w:rsidRPr="00441E32">
        <w:t>Planning Coordination, Studies, and Initiatives</w:t>
      </w:r>
      <w:bookmarkEnd w:id="800"/>
      <w:bookmarkEnd w:id="801"/>
      <w:bookmarkEnd w:id="802"/>
      <w:bookmarkEnd w:id="803"/>
    </w:p>
    <w:p w:rsidR="00441E32" w:rsidRPr="00F142F0" w:rsidRDefault="00441E32" w:rsidP="00441E32">
      <w:r w:rsidRPr="00F142F0">
        <w:t xml:space="preserve">ISO planning activities are coordinated with neighboring systems, across the Eastern Interconnection, and nationally with </w:t>
      </w:r>
      <w:r>
        <w:t xml:space="preserve">federal and regional </w:t>
      </w:r>
      <w:r w:rsidRPr="00F142F0">
        <w:t>governmental representatives and the six New England states</w:t>
      </w:r>
      <w:r>
        <w:t>. S</w:t>
      </w:r>
      <w:r w:rsidRPr="00F142F0">
        <w:t>tate initiatives and policies have a significant impact on the wholesale electricity markets and transmission developed to meet system needs, specifically influencing the timing, type, and location of resources and transmission infrastructure.</w:t>
      </w:r>
    </w:p>
    <w:p w:rsidR="00E63D3A" w:rsidRDefault="00441E32">
      <w:pPr>
        <w:pStyle w:val="Heading2"/>
      </w:pPr>
      <w:bookmarkStart w:id="804" w:name="_Ref360786969"/>
      <w:bookmarkStart w:id="805" w:name="_Toc365441056"/>
      <w:bookmarkStart w:id="806" w:name="_Toc396807683"/>
      <w:r w:rsidRPr="00D251EF">
        <w:t>Interregional Coordination and Initiatives</w:t>
      </w:r>
      <w:bookmarkEnd w:id="804"/>
      <w:bookmarkEnd w:id="805"/>
      <w:bookmarkEnd w:id="806"/>
      <w:r w:rsidRPr="00D251EF">
        <w:t xml:space="preserve"> </w:t>
      </w:r>
    </w:p>
    <w:p w:rsidR="00441E32" w:rsidRPr="00F142F0" w:rsidRDefault="00441E32" w:rsidP="00441E32">
      <w:r w:rsidRPr="00F142F0">
        <w:t xml:space="preserve">The ISO is participating in numerous national and interregional planning activities with DOE, the Northeast Power Coordinating Council, and other </w:t>
      </w:r>
      <w:r>
        <w:t>plann</w:t>
      </w:r>
      <w:r w:rsidRPr="00F142F0">
        <w:t>ing authority areas in the United States and Canada. The aim of these projects, as described in this section, is to ensure the coordination of planning efforts for enhancing the widespread reliability of the interregional electric power system. The ISO also conducts studies with other entities within and outside the region</w:t>
      </w:r>
      <w:r w:rsidR="00E94141">
        <w:t>, including</w:t>
      </w:r>
      <w:r w:rsidRPr="00F142F0">
        <w:t xml:space="preserve"> neighboring areas</w:t>
      </w:r>
      <w:r w:rsidR="00E94141">
        <w:t>. These projects</w:t>
      </w:r>
      <w:r w:rsidRPr="00F142F0">
        <w:t>, for example, improve production cost models</w:t>
      </w:r>
      <w:r w:rsidR="00E94141">
        <w:t>,</w:t>
      </w:r>
      <w:r w:rsidRPr="00F142F0">
        <w:t xml:space="preserve"> share simulation results, investigate the challenges to and possibilities for integrating renewable resources, and address other common issues affecting the planning of the overall system.</w:t>
      </w:r>
    </w:p>
    <w:p w:rsidR="00441E32" w:rsidRPr="00F142F0" w:rsidRDefault="00441E32" w:rsidP="00441E32">
      <w:pPr>
        <w:rPr>
          <w:color w:val="000000"/>
        </w:rPr>
      </w:pPr>
      <w:r w:rsidRPr="00D251EF">
        <w:t>The ISO must identify and resolve interregional planning issues, as identified in needs assessments and solutions studies, consistent with the mandatory reliability requirements of the North American Electric Reliability Corporation.</w:t>
      </w:r>
      <w:r w:rsidRPr="00F142F0">
        <w:rPr>
          <w:vertAlign w:val="superscript"/>
        </w:rPr>
        <w:footnoteReference w:id="338"/>
      </w:r>
      <w:r w:rsidRPr="00F142F0">
        <w:t xml:space="preserve"> </w:t>
      </w:r>
      <w:r w:rsidRPr="00F142F0">
        <w:rPr>
          <w:rFonts w:eastAsia="Times New Roman"/>
          <w:color w:val="000000"/>
        </w:rPr>
        <w:t xml:space="preserve">Interconnections with neighboring systems </w:t>
      </w:r>
      <w:r w:rsidR="00E94141">
        <w:rPr>
          <w:rFonts w:eastAsia="Times New Roman"/>
          <w:color w:val="000000"/>
        </w:rPr>
        <w:t xml:space="preserve">allow </w:t>
      </w:r>
      <w:r w:rsidRPr="00F142F0">
        <w:rPr>
          <w:rFonts w:eastAsia="Times New Roman"/>
          <w:color w:val="000000"/>
        </w:rPr>
        <w:t xml:space="preserve">for the exchange of capacity </w:t>
      </w:r>
      <w:r w:rsidRPr="0027461F">
        <w:rPr>
          <w:rFonts w:eastAsia="Times New Roman"/>
          <w:color w:val="000000"/>
        </w:rPr>
        <w:t xml:space="preserve">and energy, and tie lines </w:t>
      </w:r>
      <w:r w:rsidR="00F94905" w:rsidRPr="0027461F">
        <w:rPr>
          <w:rFonts w:eastAsia="Times New Roman"/>
          <w:color w:val="000000"/>
        </w:rPr>
        <w:t>facilitate</w:t>
      </w:r>
      <w:r w:rsidRPr="0027461F">
        <w:rPr>
          <w:rFonts w:eastAsia="Times New Roman"/>
          <w:color w:val="000000"/>
        </w:rPr>
        <w:t xml:space="preserve"> access to a diversity of resources and compliance with</w:t>
      </w:r>
      <w:r w:rsidRPr="00F142F0">
        <w:rPr>
          <w:rFonts w:eastAsia="Times New Roman"/>
          <w:color w:val="000000"/>
        </w:rPr>
        <w:t xml:space="preserve"> environmental obligations and </w:t>
      </w:r>
      <w:r w:rsidR="002C1D67">
        <w:rPr>
          <w:rFonts w:eastAsia="Times New Roman"/>
          <w:color w:val="000000"/>
        </w:rPr>
        <w:t xml:space="preserve">the </w:t>
      </w:r>
      <w:proofErr w:type="gramStart"/>
      <w:r w:rsidRPr="00F142F0">
        <w:rPr>
          <w:rFonts w:eastAsia="Times New Roman"/>
          <w:color w:val="000000"/>
        </w:rPr>
        <w:t>more economic</w:t>
      </w:r>
      <w:proofErr w:type="gramEnd"/>
      <w:r w:rsidR="002C1D67">
        <w:rPr>
          <w:rFonts w:eastAsia="Times New Roman"/>
          <w:color w:val="000000"/>
        </w:rPr>
        <w:t>,</w:t>
      </w:r>
      <w:r w:rsidRPr="00F142F0">
        <w:rPr>
          <w:rFonts w:eastAsia="Times New Roman"/>
          <w:color w:val="000000"/>
        </w:rPr>
        <w:t xml:space="preserve"> interregional operation of the system. Quantifying these benefits, identifying potential needs for additional interconnections, and coordinating the planning of the interconnected system are becoming increasingly important</w:t>
      </w:r>
      <w:r>
        <w:rPr>
          <w:rFonts w:eastAsia="Times New Roman"/>
          <w:color w:val="000000"/>
        </w:rPr>
        <w:t>.</w:t>
      </w:r>
    </w:p>
    <w:p w:rsidR="00441E32" w:rsidRPr="001C4E40" w:rsidRDefault="00441E32" w:rsidP="005C6088">
      <w:pPr>
        <w:pStyle w:val="Heading3"/>
      </w:pPr>
      <w:bookmarkStart w:id="807" w:name="_Toc365441057"/>
      <w:bookmarkStart w:id="808" w:name="_Ref365621833"/>
      <w:bookmarkStart w:id="809" w:name="_Ref388717364"/>
      <w:bookmarkStart w:id="810" w:name="_Ref388951448"/>
      <w:bookmarkStart w:id="811" w:name="_Ref390424252"/>
      <w:bookmarkStart w:id="812" w:name="_Toc396807684"/>
      <w:bookmarkStart w:id="813" w:name="_Ref398112136"/>
      <w:r w:rsidRPr="001C4E40">
        <w:t>Eastern Interconnection Planning Collaborative Studies of the Eastern Interconnection</w:t>
      </w:r>
      <w:bookmarkEnd w:id="807"/>
      <w:bookmarkEnd w:id="808"/>
      <w:bookmarkEnd w:id="809"/>
      <w:bookmarkEnd w:id="810"/>
      <w:bookmarkEnd w:id="811"/>
      <w:bookmarkEnd w:id="812"/>
      <w:bookmarkEnd w:id="813"/>
      <w:r w:rsidRPr="001C4E40">
        <w:t xml:space="preserve"> </w:t>
      </w:r>
    </w:p>
    <w:p w:rsidR="00441E32" w:rsidRPr="00F142F0" w:rsidRDefault="00441E32" w:rsidP="00441E32">
      <w:r w:rsidRPr="00F142F0">
        <w:t>The electric power planning authorities of the Eastern Interconnection, including ISO New England, formed the Eastern Interconnection Planning Collaborative (EIPC) to address their portion of North American planning issues and manage the process for combining the existing regional transmission expansion plans and analyzing the interconnection-wide system.</w:t>
      </w:r>
      <w:r w:rsidRPr="00F142F0">
        <w:rPr>
          <w:vertAlign w:val="superscript"/>
        </w:rPr>
        <w:footnoteReference w:id="339"/>
      </w:r>
      <w:r w:rsidRPr="00F142F0">
        <w:t xml:space="preserve"> </w:t>
      </w:r>
      <w:r>
        <w:t xml:space="preserve">EIPC received a grant from DOE to conduct studies of the Eastern Interconnection, and EIPC is continuing to coordinate base cases and conduct analyses without DOE funding. </w:t>
      </w:r>
    </w:p>
    <w:p w:rsidR="00441E32" w:rsidRDefault="00441E32" w:rsidP="00441E32">
      <w:r w:rsidRPr="00F142F0">
        <w:t>EIPC is working with DOE to apply the remaining funds of the grant to support a</w:t>
      </w:r>
      <w:r w:rsidR="001F67F6">
        <w:t>n</w:t>
      </w:r>
      <w:r w:rsidR="00CD30F3">
        <w:t xml:space="preserve"> </w:t>
      </w:r>
      <w:r w:rsidRPr="00F142F0">
        <w:t xml:space="preserve">analysis of the electric power </w:t>
      </w:r>
      <w:proofErr w:type="spellStart"/>
      <w:r w:rsidRPr="00F142F0">
        <w:t>system</w:t>
      </w:r>
      <w:r w:rsidR="002C1D67">
        <w:t>’s</w:t>
      </w:r>
      <w:proofErr w:type="spellEnd"/>
      <w:r w:rsidRPr="00F142F0">
        <w:t xml:space="preserve"> interface with the natural gas sector. The study has four main objectives:</w:t>
      </w:r>
    </w:p>
    <w:p w:rsidR="00441E32" w:rsidRDefault="00441E32" w:rsidP="00441E32">
      <w:pPr>
        <w:numPr>
          <w:ilvl w:val="0"/>
          <w:numId w:val="536"/>
        </w:numPr>
        <w:spacing w:after="120"/>
      </w:pPr>
      <w:r>
        <w:t>Develop a baseline assessment of</w:t>
      </w:r>
      <w:r w:rsidRPr="00F142F0">
        <w:t xml:space="preserve"> the existing natural gas and electric </w:t>
      </w:r>
      <w:r w:rsidR="00E75BB4">
        <w:t xml:space="preserve">power </w:t>
      </w:r>
      <w:r w:rsidRPr="00F142F0">
        <w:t>system infrastructure</w:t>
      </w:r>
      <w:r w:rsidR="002C1D67">
        <w:t>s</w:t>
      </w:r>
    </w:p>
    <w:p w:rsidR="00441E32" w:rsidRDefault="00441E32" w:rsidP="00441E32">
      <w:pPr>
        <w:numPr>
          <w:ilvl w:val="0"/>
          <w:numId w:val="536"/>
        </w:numPr>
        <w:spacing w:after="120"/>
      </w:pPr>
      <w:r>
        <w:t>E</w:t>
      </w:r>
      <w:r w:rsidRPr="00F142F0">
        <w:t xml:space="preserve">valuate the capability of the natural gas system to meet the needs of the electric </w:t>
      </w:r>
      <w:r w:rsidR="00E75BB4">
        <w:t xml:space="preserve">power </w:t>
      </w:r>
      <w:r w:rsidRPr="00F142F0">
        <w:t>system</w:t>
      </w:r>
    </w:p>
    <w:p w:rsidR="00441E32" w:rsidRPr="001E4017" w:rsidRDefault="00441E32" w:rsidP="00441E32">
      <w:pPr>
        <w:numPr>
          <w:ilvl w:val="0"/>
          <w:numId w:val="536"/>
        </w:numPr>
        <w:spacing w:after="120"/>
      </w:pPr>
      <w:r w:rsidRPr="001E4017">
        <w:t xml:space="preserve">Identify contingencies on the natural gas system that could adversely affect electric </w:t>
      </w:r>
      <w:r w:rsidR="00E75BB4" w:rsidRPr="001E4017">
        <w:t xml:space="preserve">power </w:t>
      </w:r>
      <w:r w:rsidRPr="001E4017">
        <w:t>system reliability and vice versa</w:t>
      </w:r>
    </w:p>
    <w:p w:rsidR="00441E32" w:rsidRPr="001E4017" w:rsidRDefault="00BB5C0C" w:rsidP="00441E32">
      <w:pPr>
        <w:numPr>
          <w:ilvl w:val="0"/>
          <w:numId w:val="536"/>
        </w:numPr>
      </w:pPr>
      <w:r w:rsidRPr="001E4017">
        <w:t>Review operational and planning issues</w:t>
      </w:r>
      <w:r w:rsidR="001E4017" w:rsidRPr="001E4017">
        <w:t>, including fuel-assurance issues affecting the availability of dual-fuel-capable generation</w:t>
      </w:r>
    </w:p>
    <w:p w:rsidR="00441E32" w:rsidRPr="00F142F0" w:rsidRDefault="00441E32" w:rsidP="00441E32">
      <w:r w:rsidRPr="0027461F">
        <w:t xml:space="preserve">EIPC </w:t>
      </w:r>
      <w:r w:rsidR="00E75BB4" w:rsidRPr="0027461F">
        <w:t xml:space="preserve">must </w:t>
      </w:r>
      <w:r w:rsidRPr="0027461F">
        <w:t xml:space="preserve">submit a report to DOE in June 2015 on the gas-electric study. </w:t>
      </w:r>
      <w:r w:rsidR="000B7C99" w:rsidRPr="0027461F">
        <w:t xml:space="preserve">The six </w:t>
      </w:r>
      <w:r w:rsidR="0027461F" w:rsidRPr="0027461F">
        <w:t>p</w:t>
      </w:r>
      <w:r w:rsidR="000B7C99" w:rsidRPr="0027461F">
        <w:t xml:space="preserve">articipating </w:t>
      </w:r>
      <w:r w:rsidR="0027461F" w:rsidRPr="0027461F">
        <w:t>p</w:t>
      </w:r>
      <w:r w:rsidR="000B7C99" w:rsidRPr="0027461F">
        <w:t xml:space="preserve">lanning </w:t>
      </w:r>
      <w:r w:rsidR="0027461F" w:rsidRPr="0027461F">
        <w:t>a</w:t>
      </w:r>
      <w:r w:rsidR="000B7C99" w:rsidRPr="0027461F">
        <w:t xml:space="preserve">uthorities leading </w:t>
      </w:r>
      <w:r w:rsidR="002C1D67">
        <w:t>the</w:t>
      </w:r>
      <w:r w:rsidRPr="0027461F">
        <w:t xml:space="preserve"> </w:t>
      </w:r>
      <w:r w:rsidR="000B7C99" w:rsidRPr="0027461F">
        <w:t xml:space="preserve">study </w:t>
      </w:r>
      <w:r w:rsidRPr="0027461F">
        <w:t>effort</w:t>
      </w:r>
      <w:r w:rsidR="000B7C99" w:rsidRPr="0027461F">
        <w:t xml:space="preserve"> are ISO</w:t>
      </w:r>
      <w:r w:rsidR="00F94905" w:rsidRPr="0027461F">
        <w:t xml:space="preserve"> New England, New York, PJM, TVA, MISO</w:t>
      </w:r>
      <w:r w:rsidR="000B7C99" w:rsidRPr="0027461F">
        <w:t xml:space="preserve"> (including the Entergy System)</w:t>
      </w:r>
      <w:r w:rsidR="00F94905" w:rsidRPr="0027461F">
        <w:t xml:space="preserve">, and Ontario </w:t>
      </w:r>
      <w:r w:rsidRPr="0027461F">
        <w:t xml:space="preserve">(see Section </w:t>
      </w:r>
      <w:r w:rsidR="00927965">
        <w:fldChar w:fldCharType="begin"/>
      </w:r>
      <w:r w:rsidR="00330F03">
        <w:instrText xml:space="preserve"> REF _Ref389736022 \r \h </w:instrText>
      </w:r>
      <w:r w:rsidR="00927965">
        <w:fldChar w:fldCharType="separate"/>
      </w:r>
      <w:r w:rsidR="00284CE3">
        <w:t>6.2.3.4</w:t>
      </w:r>
      <w:r w:rsidR="00927965">
        <w:fldChar w:fldCharType="end"/>
      </w:r>
      <w:r w:rsidRPr="0027461F">
        <w:t>).</w:t>
      </w:r>
    </w:p>
    <w:p w:rsidR="00441E32" w:rsidRPr="00F142F0" w:rsidRDefault="00F94905" w:rsidP="00441E32">
      <w:pPr>
        <w:autoSpaceDE w:val="0"/>
        <w:autoSpaceDN w:val="0"/>
        <w:adjustRightInd w:val="0"/>
        <w:rPr>
          <w:rFonts w:eastAsia="Times New Roman"/>
          <w:sz w:val="24"/>
          <w:szCs w:val="24"/>
        </w:rPr>
      </w:pPr>
      <w:r w:rsidRPr="0027461F">
        <w:rPr>
          <w:rFonts w:asciiTheme="majorHAnsi" w:hAnsiTheme="majorHAnsi"/>
        </w:rPr>
        <w:t xml:space="preserve">EIPC’s work in 2013 </w:t>
      </w:r>
      <w:r w:rsidR="000B7C99" w:rsidRPr="0027461F">
        <w:rPr>
          <w:rFonts w:asciiTheme="majorHAnsi" w:hAnsiTheme="majorHAnsi"/>
        </w:rPr>
        <w:t xml:space="preserve">also </w:t>
      </w:r>
      <w:r w:rsidRPr="0027461F">
        <w:rPr>
          <w:rFonts w:asciiTheme="majorHAnsi" w:hAnsiTheme="majorHAnsi"/>
        </w:rPr>
        <w:t>included analyzing “</w:t>
      </w:r>
      <w:r w:rsidR="00CF54AB">
        <w:rPr>
          <w:rFonts w:asciiTheme="majorHAnsi" w:hAnsiTheme="majorHAnsi"/>
        </w:rPr>
        <w:t>r</w:t>
      </w:r>
      <w:r w:rsidRPr="0027461F">
        <w:rPr>
          <w:rFonts w:asciiTheme="majorHAnsi" w:hAnsiTheme="majorHAnsi"/>
        </w:rPr>
        <w:t>oll-</w:t>
      </w:r>
      <w:r w:rsidR="00CF54AB">
        <w:rPr>
          <w:rFonts w:asciiTheme="majorHAnsi" w:hAnsiTheme="majorHAnsi"/>
        </w:rPr>
        <w:t>u</w:t>
      </w:r>
      <w:r w:rsidRPr="0027461F">
        <w:rPr>
          <w:rFonts w:asciiTheme="majorHAnsi" w:hAnsiTheme="majorHAnsi"/>
        </w:rPr>
        <w:t>p” case</w:t>
      </w:r>
      <w:r w:rsidR="00CF54AB">
        <w:rPr>
          <w:rFonts w:asciiTheme="majorHAnsi" w:hAnsiTheme="majorHAnsi"/>
        </w:rPr>
        <w:t>s</w:t>
      </w:r>
      <w:r w:rsidRPr="0027461F">
        <w:rPr>
          <w:rFonts w:asciiTheme="majorHAnsi" w:hAnsiTheme="majorHAnsi"/>
        </w:rPr>
        <w:t xml:space="preserve">, which combined each region’s </w:t>
      </w:r>
      <w:r w:rsidR="000B7C99" w:rsidRPr="0027461F">
        <w:rPr>
          <w:rFonts w:asciiTheme="majorHAnsi" w:hAnsiTheme="majorHAnsi"/>
        </w:rPr>
        <w:t xml:space="preserve">electric </w:t>
      </w:r>
      <w:r w:rsidR="000B7C99" w:rsidRPr="00150B2F">
        <w:rPr>
          <w:rFonts w:asciiTheme="majorHAnsi" w:hAnsiTheme="majorHAnsi"/>
        </w:rPr>
        <w:t xml:space="preserve">power system </w:t>
      </w:r>
      <w:r w:rsidRPr="00150B2F">
        <w:rPr>
          <w:rFonts w:asciiTheme="majorHAnsi" w:hAnsiTheme="majorHAnsi"/>
        </w:rPr>
        <w:t xml:space="preserve">plan into a comprehensive model of the Eastern Interconnection. </w:t>
      </w:r>
      <w:r w:rsidR="00441E32" w:rsidRPr="00150B2F">
        <w:rPr>
          <w:rFonts w:asciiTheme="majorHAnsi" w:hAnsiTheme="majorHAnsi"/>
        </w:rPr>
        <w:t xml:space="preserve">A draft </w:t>
      </w:r>
      <w:r w:rsidR="00434F4A" w:rsidRPr="00150B2F">
        <w:rPr>
          <w:rFonts w:asciiTheme="majorHAnsi" w:hAnsiTheme="majorHAnsi"/>
        </w:rPr>
        <w:t>r</w:t>
      </w:r>
      <w:r w:rsidR="00441E32" w:rsidRPr="00150B2F">
        <w:rPr>
          <w:rFonts w:asciiTheme="majorHAnsi" w:hAnsiTheme="majorHAnsi"/>
        </w:rPr>
        <w:t xml:space="preserve">eport </w:t>
      </w:r>
      <w:r w:rsidR="00434F4A" w:rsidRPr="00150B2F">
        <w:rPr>
          <w:rFonts w:asciiTheme="majorHAnsi" w:hAnsiTheme="majorHAnsi"/>
        </w:rPr>
        <w:t xml:space="preserve">of the </w:t>
      </w:r>
      <w:r w:rsidR="00CF54AB">
        <w:rPr>
          <w:rFonts w:asciiTheme="majorHAnsi" w:hAnsiTheme="majorHAnsi"/>
        </w:rPr>
        <w:t>r</w:t>
      </w:r>
      <w:r w:rsidR="00434F4A" w:rsidRPr="00150B2F">
        <w:rPr>
          <w:rFonts w:asciiTheme="majorHAnsi" w:hAnsiTheme="majorHAnsi"/>
        </w:rPr>
        <w:t>oll-</w:t>
      </w:r>
      <w:r w:rsidR="00CF54AB">
        <w:rPr>
          <w:rFonts w:asciiTheme="majorHAnsi" w:hAnsiTheme="majorHAnsi"/>
        </w:rPr>
        <w:t>u</w:t>
      </w:r>
      <w:r w:rsidR="00434F4A" w:rsidRPr="00150B2F">
        <w:rPr>
          <w:rFonts w:asciiTheme="majorHAnsi" w:hAnsiTheme="majorHAnsi"/>
        </w:rPr>
        <w:t>p case</w:t>
      </w:r>
      <w:r w:rsidR="00CF54AB">
        <w:rPr>
          <w:rFonts w:asciiTheme="majorHAnsi" w:hAnsiTheme="majorHAnsi"/>
        </w:rPr>
        <w:t>s</w:t>
      </w:r>
      <w:r w:rsidR="00434F4A" w:rsidRPr="00150B2F">
        <w:rPr>
          <w:rFonts w:asciiTheme="majorHAnsi" w:hAnsiTheme="majorHAnsi"/>
        </w:rPr>
        <w:t xml:space="preserve"> </w:t>
      </w:r>
      <w:proofErr w:type="gramStart"/>
      <w:r w:rsidR="00441E32" w:rsidRPr="00150B2F">
        <w:rPr>
          <w:rFonts w:asciiTheme="majorHAnsi" w:hAnsiTheme="majorHAnsi"/>
        </w:rPr>
        <w:t>was posted</w:t>
      </w:r>
      <w:proofErr w:type="gramEnd"/>
      <w:r w:rsidR="00441E32" w:rsidRPr="00150B2F">
        <w:rPr>
          <w:rFonts w:asciiTheme="majorHAnsi" w:hAnsiTheme="majorHAnsi"/>
        </w:rPr>
        <w:t xml:space="preserve"> for comment in December 2013</w:t>
      </w:r>
      <w:r w:rsidR="00310505" w:rsidRPr="00150B2F">
        <w:rPr>
          <w:rFonts w:asciiTheme="majorHAnsi" w:hAnsiTheme="majorHAnsi"/>
        </w:rPr>
        <w:t>, and a</w:t>
      </w:r>
      <w:r w:rsidR="00434F4A" w:rsidRPr="00150B2F">
        <w:rPr>
          <w:rFonts w:asciiTheme="majorHAnsi" w:hAnsiTheme="majorHAnsi"/>
        </w:rPr>
        <w:t xml:space="preserve"> final report </w:t>
      </w:r>
      <w:r w:rsidR="00441E32" w:rsidRPr="00150B2F">
        <w:rPr>
          <w:rFonts w:asciiTheme="majorHAnsi" w:hAnsiTheme="majorHAnsi"/>
        </w:rPr>
        <w:t>address</w:t>
      </w:r>
      <w:r w:rsidR="00434F4A" w:rsidRPr="00150B2F">
        <w:rPr>
          <w:rFonts w:asciiTheme="majorHAnsi" w:hAnsiTheme="majorHAnsi"/>
        </w:rPr>
        <w:t>ing</w:t>
      </w:r>
      <w:r w:rsidR="00441E32" w:rsidRPr="00150B2F">
        <w:rPr>
          <w:rFonts w:asciiTheme="majorHAnsi" w:hAnsiTheme="majorHAnsi"/>
        </w:rPr>
        <w:t xml:space="preserve"> stakeholder comments</w:t>
      </w:r>
      <w:r w:rsidR="00434F4A" w:rsidRPr="00150B2F">
        <w:rPr>
          <w:rFonts w:asciiTheme="majorHAnsi" w:hAnsiTheme="majorHAnsi"/>
        </w:rPr>
        <w:t xml:space="preserve"> </w:t>
      </w:r>
      <w:r w:rsidR="00441E32" w:rsidRPr="00150B2F">
        <w:rPr>
          <w:rFonts w:asciiTheme="majorHAnsi" w:hAnsiTheme="majorHAnsi"/>
        </w:rPr>
        <w:t>was posted in February 2014.</w:t>
      </w:r>
      <w:r w:rsidR="00441E32" w:rsidRPr="00150B2F">
        <w:rPr>
          <w:rStyle w:val="FootnoteReference"/>
          <w:rFonts w:asciiTheme="majorHAnsi" w:hAnsiTheme="majorHAnsi"/>
        </w:rPr>
        <w:footnoteReference w:id="340"/>
      </w:r>
      <w:r w:rsidR="00441E32" w:rsidRPr="00150B2F">
        <w:rPr>
          <w:rFonts w:asciiTheme="majorHAnsi" w:hAnsiTheme="majorHAnsi"/>
        </w:rPr>
        <w:t xml:space="preserve"> </w:t>
      </w:r>
      <w:r w:rsidR="0020131A" w:rsidRPr="00150B2F">
        <w:rPr>
          <w:rFonts w:asciiTheme="majorHAnsi" w:hAnsiTheme="majorHAnsi"/>
        </w:rPr>
        <w:t xml:space="preserve">The results show that </w:t>
      </w:r>
      <w:r w:rsidR="0020131A" w:rsidRPr="00150B2F">
        <w:t xml:space="preserve">the future transmission system </w:t>
      </w:r>
      <w:r w:rsidR="00980DBD" w:rsidRPr="00150B2F">
        <w:t xml:space="preserve">as currently </w:t>
      </w:r>
      <w:r w:rsidR="00980DBD" w:rsidRPr="00A43858">
        <w:t xml:space="preserve">planned </w:t>
      </w:r>
      <w:r w:rsidR="0020131A" w:rsidRPr="00A43858">
        <w:t xml:space="preserve">is capable of transferring power </w:t>
      </w:r>
      <w:r w:rsidR="0007592E" w:rsidRPr="00A43858">
        <w:t>o</w:t>
      </w:r>
      <w:r w:rsidR="00150B2F" w:rsidRPr="00A43858">
        <w:t xml:space="preserve">ver long distances throughout the Eastern Interconnection </w:t>
      </w:r>
      <w:r w:rsidR="0020131A" w:rsidRPr="00DE452B">
        <w:t xml:space="preserve">above the long-term </w:t>
      </w:r>
      <w:r w:rsidR="0058019A" w:rsidRPr="0058019A">
        <w:t>firm</w:t>
      </w:r>
      <w:r w:rsidR="0020131A" w:rsidRPr="00DE452B">
        <w:t xml:space="preserve"> commitments modeled in </w:t>
      </w:r>
      <w:r w:rsidR="0020131A" w:rsidRPr="00CF54AB">
        <w:t xml:space="preserve">the </w:t>
      </w:r>
      <w:r w:rsidR="00CF54AB">
        <w:t>r</w:t>
      </w:r>
      <w:r w:rsidR="0020131A" w:rsidRPr="00CF54AB">
        <w:t>oll-</w:t>
      </w:r>
      <w:r w:rsidR="00CF54AB">
        <w:t>u</w:t>
      </w:r>
      <w:r w:rsidR="0020131A" w:rsidRPr="00CF54AB">
        <w:t>p cases.</w:t>
      </w:r>
      <w:r w:rsidR="0020131A" w:rsidRPr="00CF54AB">
        <w:rPr>
          <w:szCs w:val="22"/>
        </w:rPr>
        <w:t xml:space="preserve"> </w:t>
      </w:r>
      <w:r w:rsidR="00310505" w:rsidRPr="00CF54AB">
        <w:rPr>
          <w:rFonts w:asciiTheme="majorHAnsi" w:hAnsiTheme="majorHAnsi"/>
        </w:rPr>
        <w:t>T</w:t>
      </w:r>
      <w:r w:rsidR="00441E32" w:rsidRPr="00CF54AB">
        <w:rPr>
          <w:rFonts w:asciiTheme="majorHAnsi" w:hAnsiTheme="majorHAnsi"/>
        </w:rPr>
        <w:t>he</w:t>
      </w:r>
      <w:r w:rsidR="00441E32" w:rsidRPr="00DE452B">
        <w:rPr>
          <w:rFonts w:asciiTheme="majorHAnsi" w:hAnsiTheme="majorHAnsi"/>
        </w:rPr>
        <w:t xml:space="preserve"> EIPC </w:t>
      </w:r>
      <w:r w:rsidR="00310505" w:rsidRPr="00DE452B">
        <w:rPr>
          <w:rFonts w:asciiTheme="majorHAnsi" w:hAnsiTheme="majorHAnsi"/>
        </w:rPr>
        <w:t xml:space="preserve">has </w:t>
      </w:r>
      <w:r w:rsidR="00441E32" w:rsidRPr="00DE452B">
        <w:rPr>
          <w:rFonts w:asciiTheme="majorHAnsi" w:hAnsiTheme="majorHAnsi"/>
        </w:rPr>
        <w:t>developed a new</w:t>
      </w:r>
      <w:r w:rsidR="00441E32" w:rsidRPr="0013329C">
        <w:rPr>
          <w:rFonts w:asciiTheme="majorHAnsi" w:hAnsiTheme="majorHAnsi"/>
        </w:rPr>
        <w:t xml:space="preserve"> process for gathering stakeholder input based on the existing regional stakeholder processes</w:t>
      </w:r>
      <w:r w:rsidR="00310505">
        <w:rPr>
          <w:rFonts w:asciiTheme="majorHAnsi" w:hAnsiTheme="majorHAnsi"/>
        </w:rPr>
        <w:t>, and t</w:t>
      </w:r>
      <w:r w:rsidR="00441E32" w:rsidRPr="0013329C">
        <w:rPr>
          <w:rFonts w:asciiTheme="majorHAnsi" w:hAnsiTheme="majorHAnsi"/>
        </w:rPr>
        <w:t xml:space="preserve">he </w:t>
      </w:r>
      <w:r w:rsidR="00441E32">
        <w:rPr>
          <w:rFonts w:asciiTheme="majorHAnsi" w:hAnsiTheme="majorHAnsi"/>
        </w:rPr>
        <w:t>p</w:t>
      </w:r>
      <w:r w:rsidR="00441E32" w:rsidRPr="0013329C">
        <w:rPr>
          <w:rFonts w:asciiTheme="majorHAnsi" w:hAnsiTheme="majorHAnsi"/>
        </w:rPr>
        <w:t xml:space="preserve">lanning </w:t>
      </w:r>
      <w:r w:rsidR="00441E32">
        <w:rPr>
          <w:rFonts w:asciiTheme="majorHAnsi" w:hAnsiTheme="majorHAnsi"/>
        </w:rPr>
        <w:t>a</w:t>
      </w:r>
      <w:r w:rsidR="00441E32" w:rsidRPr="0013329C">
        <w:rPr>
          <w:rFonts w:asciiTheme="majorHAnsi" w:hAnsiTheme="majorHAnsi"/>
        </w:rPr>
        <w:t xml:space="preserve">uthorities are soliciting feedback from </w:t>
      </w:r>
      <w:r w:rsidR="00441E32">
        <w:rPr>
          <w:rFonts w:asciiTheme="majorHAnsi" w:hAnsiTheme="majorHAnsi"/>
        </w:rPr>
        <w:t>s</w:t>
      </w:r>
      <w:r w:rsidR="00441E32" w:rsidRPr="0013329C">
        <w:rPr>
          <w:rFonts w:asciiTheme="majorHAnsi" w:hAnsiTheme="majorHAnsi"/>
        </w:rPr>
        <w:t>takeholders on potential scenarios to be analyzed during 2014</w:t>
      </w:r>
      <w:r w:rsidR="00441E32">
        <w:rPr>
          <w:rFonts w:asciiTheme="majorHAnsi" w:hAnsiTheme="majorHAnsi"/>
        </w:rPr>
        <w:t xml:space="preserve">. </w:t>
      </w:r>
      <w:r w:rsidR="00406867">
        <w:rPr>
          <w:rFonts w:asciiTheme="majorHAnsi" w:hAnsiTheme="majorHAnsi"/>
        </w:rPr>
        <w:t>The EIPC will revise the base case for 2023</w:t>
      </w:r>
      <w:r w:rsidR="00CF54AB">
        <w:rPr>
          <w:rFonts w:asciiTheme="majorHAnsi" w:hAnsiTheme="majorHAnsi"/>
        </w:rPr>
        <w:t>, which</w:t>
      </w:r>
      <w:r w:rsidR="00406867">
        <w:rPr>
          <w:rFonts w:asciiTheme="majorHAnsi" w:hAnsiTheme="majorHAnsi"/>
        </w:rPr>
        <w:t xml:space="preserve"> the individual regions will use to analyze transmission build-outs and unit </w:t>
      </w:r>
      <w:r w:rsidR="006F7C04">
        <w:rPr>
          <w:rFonts w:asciiTheme="majorHAnsi" w:hAnsiTheme="majorHAnsi"/>
        </w:rPr>
        <w:t>retirements</w:t>
      </w:r>
      <w:r w:rsidR="00406867">
        <w:rPr>
          <w:rFonts w:asciiTheme="majorHAnsi" w:hAnsiTheme="majorHAnsi"/>
        </w:rPr>
        <w:t xml:space="preserve">. At EISPC’s request and with input from stakeholders, </w:t>
      </w:r>
      <w:r w:rsidR="00D6485D">
        <w:rPr>
          <w:rFonts w:asciiTheme="majorHAnsi" w:hAnsiTheme="majorHAnsi"/>
        </w:rPr>
        <w:t xml:space="preserve">the </w:t>
      </w:r>
      <w:r w:rsidR="00406867">
        <w:rPr>
          <w:rFonts w:asciiTheme="majorHAnsi" w:hAnsiTheme="majorHAnsi"/>
        </w:rPr>
        <w:t>EIPC will also examine heat wave and drought conditions.</w:t>
      </w:r>
      <w:r w:rsidR="00D6485D">
        <w:rPr>
          <w:rStyle w:val="FootnoteReference"/>
        </w:rPr>
        <w:footnoteReference w:id="341"/>
      </w:r>
    </w:p>
    <w:p w:rsidR="00441E32" w:rsidRPr="005807EC" w:rsidRDefault="00441E32" w:rsidP="005C6088">
      <w:pPr>
        <w:pStyle w:val="Heading3"/>
      </w:pPr>
      <w:bookmarkStart w:id="814" w:name="_Toc365441058"/>
      <w:bookmarkStart w:id="815" w:name="_Toc396807685"/>
      <w:r w:rsidRPr="00D7084F">
        <w:t>Electric Reliability Organization Overview</w:t>
      </w:r>
      <w:bookmarkEnd w:id="814"/>
      <w:bookmarkEnd w:id="815"/>
    </w:p>
    <w:p w:rsidR="00441E32" w:rsidRPr="00F142F0" w:rsidRDefault="00441E32" w:rsidP="00441E32">
      <w:r w:rsidRPr="00F142F0">
        <w:t xml:space="preserve"> As the RTO for New England, the ISO is responsible for ensuring that its operations and planning comply with applicable NERC standards. In addition, the ISO has participated in regional and interregional studies required for compliance. </w:t>
      </w:r>
    </w:p>
    <w:p w:rsidR="00441E32" w:rsidRDefault="00441E32" w:rsidP="00441E32">
      <w:r w:rsidRPr="00F142F0">
        <w:t>Through its committee structure, NERC, which is the FERC-designated Electric Reliability Organization (ERO), regularly publishes reports that assess the reliability of the North American electric power system.</w:t>
      </w:r>
      <w:r>
        <w:rPr>
          <w:vertAlign w:val="superscript"/>
        </w:rPr>
        <w:footnoteReference w:id="342"/>
      </w:r>
      <w:r w:rsidRPr="00D7084F">
        <w:t xml:space="preserve"> Annual long-term reliability assessments evaluate the future adequacy of the power system in the United States and Canada for a 10-year period. The reports project electricity supply and demand, evaluate resource and transmission system adequacy, and discuss key issues and trends that could affect reliability. Summer and winter assessments evaluate the adequacy of electricity supplies in the </w:t>
      </w:r>
      <w:smartTag w:uri="urn:schemas-microsoft-com:office:smarttags" w:element="country-region">
        <w:r w:rsidRPr="00D7084F">
          <w:t>United States</w:t>
        </w:r>
      </w:smartTag>
      <w:r w:rsidRPr="00D7084F">
        <w:t xml:space="preserve"> and </w:t>
      </w:r>
      <w:smartTag w:uri="urn:schemas-microsoft-com:office:smarttags" w:element="place">
        <w:smartTag w:uri="urn:schemas-microsoft-com:office:smarttags" w:element="country-region">
          <w:r w:rsidRPr="00D7084F">
            <w:t>Canada</w:t>
          </w:r>
        </w:smartTag>
      </w:smartTag>
      <w:r w:rsidRPr="00D7084F">
        <w:t xml:space="preserve"> for the upcoming summer and winter peak-demand periods. Special regional, interregional, or interconnection-wide assessments </w:t>
      </w:r>
      <w:proofErr w:type="gramStart"/>
      <w:r w:rsidRPr="00D7084F">
        <w:t>are conducted</w:t>
      </w:r>
      <w:proofErr w:type="gramEnd"/>
      <w:r w:rsidRPr="00D7084F">
        <w:t xml:space="preserve"> as needed.</w:t>
      </w:r>
    </w:p>
    <w:p w:rsidR="0075585E" w:rsidRPr="0027461F" w:rsidRDefault="0075585E" w:rsidP="00441E32">
      <w:r w:rsidRPr="0027461F">
        <w:t xml:space="preserve">In December 2013, NERC issued its annual </w:t>
      </w:r>
      <w:r w:rsidRPr="0027461F">
        <w:rPr>
          <w:i/>
        </w:rPr>
        <w:t>Long</w:t>
      </w:r>
      <w:r w:rsidR="0027461F" w:rsidRPr="0027461F">
        <w:rPr>
          <w:i/>
        </w:rPr>
        <w:t>-</w:t>
      </w:r>
      <w:r w:rsidRPr="0027461F">
        <w:rPr>
          <w:i/>
        </w:rPr>
        <w:t>Term Reliability Assessment</w:t>
      </w:r>
      <w:r w:rsidRPr="0027461F">
        <w:t xml:space="preserve"> (LTRA), analyzing reliability conditions across the North American </w:t>
      </w:r>
      <w:r w:rsidR="00980DBD" w:rsidRPr="00146468">
        <w:t>c</w:t>
      </w:r>
      <w:r w:rsidRPr="00146468">
        <w:t>ontinent.</w:t>
      </w:r>
      <w:r w:rsidR="001B6391" w:rsidRPr="00146468">
        <w:rPr>
          <w:rStyle w:val="FootnoteReference"/>
        </w:rPr>
        <w:footnoteReference w:id="343"/>
      </w:r>
      <w:r w:rsidRPr="0027461F">
        <w:t xml:space="preserve"> This report describes transmission additions, generation projections, and reserve capability by reliability council area. Within a </w:t>
      </w:r>
      <w:r w:rsidR="0027461F">
        <w:t>10</w:t>
      </w:r>
      <w:r w:rsidRPr="0027461F">
        <w:t xml:space="preserve">-year planning </w:t>
      </w:r>
      <w:r w:rsidRPr="006F224E">
        <w:t xml:space="preserve">horizon, both </w:t>
      </w:r>
      <w:proofErr w:type="spellStart"/>
      <w:r w:rsidR="00C857DA" w:rsidRPr="006F224E">
        <w:t>ReliabilityFirst</w:t>
      </w:r>
      <w:proofErr w:type="spellEnd"/>
      <w:r w:rsidR="00C857DA" w:rsidRPr="006F224E">
        <w:t xml:space="preserve"> Corporation (</w:t>
      </w:r>
      <w:r w:rsidRPr="006F224E">
        <w:t>RFC</w:t>
      </w:r>
      <w:r w:rsidR="00C857DA" w:rsidRPr="006F224E">
        <w:t>)</w:t>
      </w:r>
      <w:r w:rsidRPr="006F224E">
        <w:t xml:space="preserve"> and NPCC </w:t>
      </w:r>
      <w:proofErr w:type="gramStart"/>
      <w:r w:rsidRPr="006F224E">
        <w:t>are expected</w:t>
      </w:r>
      <w:proofErr w:type="gramEnd"/>
      <w:r w:rsidRPr="006F224E">
        <w:t xml:space="preserve"> to have sufficient reserves to</w:t>
      </w:r>
      <w:r w:rsidRPr="0027461F">
        <w:t xml:space="preserve"> </w:t>
      </w:r>
      <w:r w:rsidRPr="006F224E">
        <w:t>meet reliability needs.</w:t>
      </w:r>
      <w:r w:rsidR="00C857DA" w:rsidRPr="006F224E">
        <w:rPr>
          <w:rStyle w:val="FootnoteReference"/>
        </w:rPr>
        <w:footnoteReference w:id="344"/>
      </w:r>
      <w:r w:rsidR="00C857DA" w:rsidRPr="006F224E">
        <w:t xml:space="preserve"> </w:t>
      </w:r>
      <w:r w:rsidRPr="006F224E">
        <w:t xml:space="preserve">Projected load growth continues to be sluggish in </w:t>
      </w:r>
      <w:proofErr w:type="gramStart"/>
      <w:r w:rsidRPr="006F224E">
        <w:t>both areas</w:t>
      </w:r>
      <w:proofErr w:type="gramEnd"/>
      <w:r w:rsidRPr="006F224E">
        <w:t xml:space="preserve"> due to </w:t>
      </w:r>
      <w:r w:rsidRPr="0027461F">
        <w:t xml:space="preserve">slower </w:t>
      </w:r>
      <w:r w:rsidRPr="006E511B">
        <w:t xml:space="preserve">economic growth, </w:t>
      </w:r>
      <w:r w:rsidR="006E511B" w:rsidRPr="0027461F">
        <w:t>efficiency gains from new appliance standards</w:t>
      </w:r>
      <w:r w:rsidR="006E511B">
        <w:t xml:space="preserve">, </w:t>
      </w:r>
      <w:r w:rsidRPr="006E511B">
        <w:t>increased participation in demand-side management programs</w:t>
      </w:r>
      <w:r w:rsidR="006E511B">
        <w:t xml:space="preserve">, </w:t>
      </w:r>
      <w:r w:rsidRPr="0027461F">
        <w:t xml:space="preserve">and additional reliance on behind-the-meter generation. Challenges noted for NPCC include aging infrastructure issues, </w:t>
      </w:r>
      <w:r w:rsidR="0027461F">
        <w:t xml:space="preserve">the </w:t>
      </w:r>
      <w:r w:rsidRPr="0027461F">
        <w:t>integration of variable resources, growing dependence on natural gas generation</w:t>
      </w:r>
      <w:r w:rsidR="0027461F">
        <w:t>,</w:t>
      </w:r>
      <w:r w:rsidRPr="0027461F">
        <w:t xml:space="preserve"> and the retirement of fossil-fueled and nuclear </w:t>
      </w:r>
      <w:r w:rsidRPr="00C857DA">
        <w:t>generation. Challenges noted for the RFC area include a large amount of fossil-fueled generation at risk of</w:t>
      </w:r>
      <w:r w:rsidRPr="0027461F">
        <w:t xml:space="preserve"> retirement during the assessment period </w:t>
      </w:r>
      <w:r w:rsidRPr="008D5A21">
        <w:t>due to environmental retrofit costs.</w:t>
      </w:r>
      <w:r w:rsidR="006F224E">
        <w:t xml:space="preserve"> </w:t>
      </w:r>
      <w:r w:rsidRPr="008D5A21">
        <w:t>While resource adequacy</w:t>
      </w:r>
      <w:r w:rsidR="008D5A21" w:rsidRPr="008D5A21">
        <w:t xml:space="preserve"> is not an overall concern</w:t>
      </w:r>
      <w:r w:rsidRPr="008D5A21">
        <w:t xml:space="preserve">, localized reliability concerns may need to </w:t>
      </w:r>
      <w:proofErr w:type="gramStart"/>
      <w:r w:rsidRPr="008D5A21">
        <w:t>be addressed</w:t>
      </w:r>
      <w:proofErr w:type="gramEnd"/>
      <w:r w:rsidRPr="008D5A21">
        <w:t>.</w:t>
      </w:r>
    </w:p>
    <w:p w:rsidR="00441E32" w:rsidRPr="005807EC" w:rsidRDefault="00441E32" w:rsidP="005C6088">
      <w:pPr>
        <w:pStyle w:val="Heading3"/>
      </w:pPr>
      <w:bookmarkStart w:id="816" w:name="_Toc365441059"/>
      <w:bookmarkStart w:id="817" w:name="_Toc396807686"/>
      <w:r w:rsidRPr="00D7084F">
        <w:t>IRC Activities</w:t>
      </w:r>
      <w:bookmarkEnd w:id="816"/>
      <w:bookmarkEnd w:id="817"/>
      <w:r w:rsidRPr="00D7084F">
        <w:t xml:space="preserve"> </w:t>
      </w:r>
    </w:p>
    <w:p w:rsidR="00441E32" w:rsidRPr="00755CE1" w:rsidRDefault="00F94905" w:rsidP="00441E32">
      <w:r w:rsidRPr="00F94905">
        <w:t xml:space="preserve">Created in April 2003, the ISO/RTO Council (IRC) is an industry group consisting of the </w:t>
      </w:r>
      <w:r w:rsidR="0036352C">
        <w:t>nine</w:t>
      </w:r>
      <w:r w:rsidRPr="00F94905">
        <w:t xml:space="preserve"> functioning ISOs and RTOs in North America. These ISOs and RTOs serve two-thirds of the electricity customers in the United States and more than 50% of Canada‘s population. The IRC works collaboratively to develop </w:t>
      </w:r>
      <w:r w:rsidRPr="006E511B">
        <w:t xml:space="preserve">effective processes, tools, and standard methods for improving competitive electricity markets across much of North America. </w:t>
      </w:r>
      <w:r w:rsidR="006E511B" w:rsidRPr="006E511B">
        <w:t>E</w:t>
      </w:r>
      <w:r w:rsidRPr="006E511B">
        <w:t>ach ISO/RTO manages efficient, robust</w:t>
      </w:r>
      <w:r w:rsidR="00AB3B46" w:rsidRPr="006E511B">
        <w:t xml:space="preserve"> </w:t>
      </w:r>
      <w:r w:rsidR="00D837D8" w:rsidRPr="006E511B">
        <w:t>markets that provide competitive and reliable electricity service</w:t>
      </w:r>
      <w:r w:rsidR="006117CF" w:rsidRPr="006E511B">
        <w:t>,</w:t>
      </w:r>
      <w:r w:rsidRPr="006E511B">
        <w:t xml:space="preserve"> consistent</w:t>
      </w:r>
      <w:r w:rsidRPr="00F94905">
        <w:t xml:space="preserve"> with its individual market and reliability criteria.</w:t>
      </w:r>
    </w:p>
    <w:p w:rsidR="00CF1FCB" w:rsidRDefault="00F94905" w:rsidP="00441E32">
      <w:pPr>
        <w:rPr>
          <w:color w:val="000000" w:themeColor="text1"/>
        </w:rPr>
      </w:pPr>
      <w:r w:rsidRPr="00F94905">
        <w:t xml:space="preserve">While the IRC members have different authorities, they have many planning responsibilities in common because of their similar missions. As part of the ISO/RTO authorization to operate, each ISO/RTO </w:t>
      </w:r>
      <w:r w:rsidRPr="005E355A">
        <w:t>independently and fairly administers an open, transparent planning process among its participants</w:t>
      </w:r>
      <w:r w:rsidR="005E355A" w:rsidRPr="005E355A">
        <w:t xml:space="preserve">. These activities include </w:t>
      </w:r>
      <w:r w:rsidR="006170C6">
        <w:t xml:space="preserve">exchanging </w:t>
      </w:r>
      <w:r w:rsidRPr="005E355A">
        <w:t xml:space="preserve">information, </w:t>
      </w:r>
      <w:r w:rsidR="005E355A" w:rsidRPr="005E355A">
        <w:t xml:space="preserve">treating participants </w:t>
      </w:r>
      <w:r w:rsidRPr="005E355A">
        <w:t>comparab</w:t>
      </w:r>
      <w:r w:rsidR="005E355A" w:rsidRPr="005E355A">
        <w:t>ly</w:t>
      </w:r>
      <w:r w:rsidRPr="005E355A">
        <w:t xml:space="preserve">, </w:t>
      </w:r>
      <w:r w:rsidR="005E355A" w:rsidRPr="005E355A">
        <w:t xml:space="preserve">resolving </w:t>
      </w:r>
      <w:r w:rsidRPr="005E355A">
        <w:t>dispute</w:t>
      </w:r>
      <w:r w:rsidR="005E355A" w:rsidRPr="005E355A">
        <w:t xml:space="preserve">s, coordinating infrastructure improvements </w:t>
      </w:r>
      <w:r w:rsidR="00D837D8" w:rsidRPr="005E355A">
        <w:t>regional</w:t>
      </w:r>
      <w:r w:rsidR="005E355A" w:rsidRPr="005E355A">
        <w:t xml:space="preserve">ly and </w:t>
      </w:r>
      <w:proofErr w:type="spellStart"/>
      <w:r w:rsidR="005E355A" w:rsidRPr="005E355A">
        <w:t>interregionally</w:t>
      </w:r>
      <w:proofErr w:type="spellEnd"/>
      <w:r w:rsidR="005E355A" w:rsidRPr="005E355A">
        <w:t xml:space="preserve">, </w:t>
      </w:r>
      <w:r w:rsidR="006170C6">
        <w:t>conducting</w:t>
      </w:r>
      <w:r w:rsidR="005E355A" w:rsidRPr="005E355A">
        <w:t xml:space="preserve"> </w:t>
      </w:r>
      <w:r w:rsidRPr="005E355A">
        <w:t xml:space="preserve">economic planning studies, and </w:t>
      </w:r>
      <w:r w:rsidR="005E355A" w:rsidRPr="005E355A">
        <w:t xml:space="preserve">allocating </w:t>
      </w:r>
      <w:r w:rsidRPr="005E355A">
        <w:t>cost</w:t>
      </w:r>
      <w:r w:rsidR="005E355A" w:rsidRPr="005E355A">
        <w:t>s</w:t>
      </w:r>
      <w:r w:rsidRPr="005E355A">
        <w:t>. This</w:t>
      </w:r>
      <w:r w:rsidRPr="00F94905">
        <w:t xml:space="preserve"> ensures a level playing field for </w:t>
      </w:r>
      <w:r w:rsidRPr="00F94905">
        <w:rPr>
          <w:color w:val="000000" w:themeColor="text1"/>
        </w:rPr>
        <w:t>infrastructure development driven efficiently by competition and meeting all reliability requirements.</w:t>
      </w:r>
      <w:r w:rsidR="00CF1FCB">
        <w:rPr>
          <w:color w:val="000000" w:themeColor="text1"/>
        </w:rPr>
        <w:t xml:space="preserve"> </w:t>
      </w:r>
    </w:p>
    <w:p w:rsidR="00441E32" w:rsidRDefault="0075585E" w:rsidP="00E60CEB">
      <w:pPr>
        <w:tabs>
          <w:tab w:val="left" w:pos="3060"/>
        </w:tabs>
      </w:pPr>
      <w:r>
        <w:t>The IRC has coordinated a number of reports,</w:t>
      </w:r>
      <w:r w:rsidR="00CF1FCB">
        <w:t xml:space="preserve"> </w:t>
      </w:r>
      <w:r>
        <w:t>and filings and presentations with national government agencies.</w:t>
      </w:r>
      <w:r w:rsidR="0027461F">
        <w:rPr>
          <w:rStyle w:val="FootnoteReference"/>
        </w:rPr>
        <w:footnoteReference w:id="345"/>
      </w:r>
      <w:r>
        <w:t xml:space="preserve"> The </w:t>
      </w:r>
      <w:r w:rsidR="00CF1FCB" w:rsidRPr="0027461F">
        <w:rPr>
          <w:i/>
        </w:rPr>
        <w:t xml:space="preserve">2013 </w:t>
      </w:r>
      <w:r w:rsidRPr="0027461F">
        <w:rPr>
          <w:i/>
        </w:rPr>
        <w:t>North American Wholesale Electricity Demand</w:t>
      </w:r>
      <w:r w:rsidR="0027461F" w:rsidRPr="0027461F">
        <w:rPr>
          <w:i/>
        </w:rPr>
        <w:t>-</w:t>
      </w:r>
      <w:r w:rsidRPr="0027461F">
        <w:rPr>
          <w:i/>
        </w:rPr>
        <w:t>Response Comparison</w:t>
      </w:r>
      <w:r>
        <w:t xml:space="preserve"> summarizes wholesale electricity demand</w:t>
      </w:r>
      <w:r w:rsidR="0027461F">
        <w:t>-</w:t>
      </w:r>
      <w:r>
        <w:t>response programs, products, and services administered by the ISOs and RTOs in North America. T</w:t>
      </w:r>
      <w:r w:rsidR="00F94905" w:rsidRPr="00F94905">
        <w:t xml:space="preserve">he IRC has worked with EPA, the </w:t>
      </w:r>
      <w:r w:rsidR="0027461F">
        <w:t>s</w:t>
      </w:r>
      <w:r w:rsidR="00F94905" w:rsidRPr="00F94905">
        <w:t>tates</w:t>
      </w:r>
      <w:r w:rsidR="004032BF">
        <w:t>,</w:t>
      </w:r>
      <w:r w:rsidR="00F94905" w:rsidRPr="00F94905">
        <w:t xml:space="preserve"> and all interested parties on proposed CO</w:t>
      </w:r>
      <w:r w:rsidR="00F94905" w:rsidRPr="0027461F">
        <w:rPr>
          <w:vertAlign w:val="subscript"/>
        </w:rPr>
        <w:t>2</w:t>
      </w:r>
      <w:r w:rsidR="00F94905" w:rsidRPr="00F94905">
        <w:t xml:space="preserve"> regulations that respect electric </w:t>
      </w:r>
      <w:r w:rsidR="004032BF">
        <w:t xml:space="preserve">power </w:t>
      </w:r>
      <w:r w:rsidR="00F94905" w:rsidRPr="00F94905">
        <w:t>system reliability and are compatible with the efficient dispatch of the electric grid.</w:t>
      </w:r>
      <w:r w:rsidR="00CF1FCB" w:rsidRPr="00CF1FCB">
        <w:rPr>
          <w:color w:val="000000" w:themeColor="text1"/>
        </w:rPr>
        <w:t xml:space="preserve"> </w:t>
      </w:r>
      <w:r w:rsidR="00CF1FCB">
        <w:rPr>
          <w:color w:val="000000" w:themeColor="text1"/>
        </w:rPr>
        <w:t xml:space="preserve">Common issues </w:t>
      </w:r>
      <w:proofErr w:type="gramStart"/>
      <w:r w:rsidR="00CF1FCB">
        <w:rPr>
          <w:color w:val="000000" w:themeColor="text1"/>
        </w:rPr>
        <w:t>have been identified</w:t>
      </w:r>
      <w:proofErr w:type="gramEnd"/>
      <w:r w:rsidR="00CF1FCB">
        <w:rPr>
          <w:color w:val="000000" w:themeColor="text1"/>
        </w:rPr>
        <w:t xml:space="preserve"> for FERC filings, such as compliance with FERC Order </w:t>
      </w:r>
      <w:r w:rsidR="005364C3">
        <w:rPr>
          <w:color w:val="000000" w:themeColor="text1"/>
        </w:rPr>
        <w:t xml:space="preserve">No. </w:t>
      </w:r>
      <w:r w:rsidR="00CF1FCB">
        <w:rPr>
          <w:color w:val="000000" w:themeColor="text1"/>
        </w:rPr>
        <w:t>1000</w:t>
      </w:r>
      <w:r w:rsidR="0027461F">
        <w:rPr>
          <w:color w:val="000000" w:themeColor="text1"/>
        </w:rPr>
        <w:t xml:space="preserve"> (see </w:t>
      </w:r>
      <w:r w:rsidR="00E95586">
        <w:rPr>
          <w:color w:val="000000" w:themeColor="text1"/>
        </w:rPr>
        <w:t>Section </w:t>
      </w:r>
      <w:r w:rsidR="00927965">
        <w:rPr>
          <w:color w:val="000000" w:themeColor="text1"/>
        </w:rPr>
        <w:fldChar w:fldCharType="begin"/>
      </w:r>
      <w:r w:rsidR="00E95586">
        <w:rPr>
          <w:color w:val="000000" w:themeColor="text1"/>
        </w:rPr>
        <w:instrText xml:space="preserve"> REF _Ref388888080 \r \h </w:instrText>
      </w:r>
      <w:r w:rsidR="00927965">
        <w:rPr>
          <w:color w:val="000000" w:themeColor="text1"/>
        </w:rPr>
      </w:r>
      <w:r w:rsidR="00927965">
        <w:rPr>
          <w:color w:val="000000" w:themeColor="text1"/>
        </w:rPr>
        <w:fldChar w:fldCharType="separate"/>
      </w:r>
      <w:r w:rsidR="00284CE3">
        <w:rPr>
          <w:color w:val="000000" w:themeColor="text1"/>
        </w:rPr>
        <w:t>7.2.1</w:t>
      </w:r>
      <w:r w:rsidR="00927965">
        <w:rPr>
          <w:color w:val="000000" w:themeColor="text1"/>
        </w:rPr>
        <w:fldChar w:fldCharType="end"/>
      </w:r>
      <w:r w:rsidR="0027461F">
        <w:rPr>
          <w:color w:val="000000" w:themeColor="text1"/>
        </w:rPr>
        <w:t>)</w:t>
      </w:r>
      <w:r w:rsidR="00CF1FCB">
        <w:rPr>
          <w:color w:val="000000" w:themeColor="text1"/>
        </w:rPr>
        <w:t xml:space="preserve">. IRC members </w:t>
      </w:r>
      <w:r w:rsidR="004032BF">
        <w:rPr>
          <w:color w:val="000000" w:themeColor="text1"/>
        </w:rPr>
        <w:t xml:space="preserve">also </w:t>
      </w:r>
      <w:r w:rsidR="00CF1FCB">
        <w:rPr>
          <w:color w:val="000000" w:themeColor="text1"/>
        </w:rPr>
        <w:t>have coordinated on a number of technical issues, such as the use of software and the sharing of planning techniques.</w:t>
      </w:r>
    </w:p>
    <w:p w:rsidR="00441E32" w:rsidRPr="006F55B1" w:rsidRDefault="00441E32" w:rsidP="005C6088">
      <w:pPr>
        <w:pStyle w:val="Heading3"/>
      </w:pPr>
      <w:bookmarkStart w:id="818" w:name="_Ref360798958"/>
      <w:bookmarkStart w:id="819" w:name="_Toc365441060"/>
      <w:bookmarkStart w:id="820" w:name="_Toc396807687"/>
      <w:r w:rsidRPr="006F55B1">
        <w:t>Northeast Power Coordinating Council Studies and Activities</w:t>
      </w:r>
      <w:bookmarkEnd w:id="818"/>
      <w:bookmarkEnd w:id="819"/>
      <w:bookmarkEnd w:id="820"/>
    </w:p>
    <w:p w:rsidR="00441E32" w:rsidRPr="00F142F0" w:rsidRDefault="00441E32" w:rsidP="00441E32">
      <w:r w:rsidRPr="00F142F0">
        <w:t>The Northeast Power Coordinating Council is one of eight regional entities located throughout the United States, Canada, and portions of Mexico responsible for enhancing and promoting the reliable and efficient operation of the interconnected bulk power system.</w:t>
      </w:r>
      <w:r w:rsidRPr="00F142F0">
        <w:rPr>
          <w:vertAlign w:val="superscript"/>
        </w:rPr>
        <w:footnoteReference w:id="346"/>
      </w:r>
      <w:r w:rsidRPr="00F142F0">
        <w:t xml:space="preserve"> NPCC has been delegated the authority by NERC to create regional standards to enhance the reliability of the international, interconnected bulk power system in northeastern North America. As a member of NPCC, the ISO fully participates in NPCC-coordinated interregional studies with its neighboring areas.</w:t>
      </w:r>
    </w:p>
    <w:p w:rsidR="00441E32" w:rsidRPr="00F142F0" w:rsidRDefault="00441E32" w:rsidP="00441E32">
      <w:r w:rsidRPr="00A07A62">
        <w:t xml:space="preserve">NPCC </w:t>
      </w:r>
      <w:r w:rsidR="00604F07">
        <w:t xml:space="preserve">assesses </w:t>
      </w:r>
      <w:r w:rsidRPr="00A07A62">
        <w:t>seasonal reliability</w:t>
      </w:r>
      <w:r w:rsidR="00604F07">
        <w:t xml:space="preserve"> and, periodically, the reliability of the planned NPCC bulk power system. It also </w:t>
      </w:r>
      <w:r w:rsidR="00FC0537">
        <w:t xml:space="preserve">evaluates </w:t>
      </w:r>
      <w:r w:rsidRPr="00A07A62">
        <w:t>annual long-range resource adequacy</w:t>
      </w:r>
      <w:r w:rsidR="00604F07">
        <w:t>.</w:t>
      </w:r>
      <w:r w:rsidRPr="00A07A62">
        <w:t xml:space="preserve"> All studies are well coordinated across neighboring area boundaries and include the development of common databases that can serve as the basis for internal studies by the ISO. Assessments of ISO New England demonstrate full compliance with NERC and NPCC requirements for meeting resource adequacy and transmission planning criteria and standards.</w:t>
      </w:r>
    </w:p>
    <w:p w:rsidR="00441E32" w:rsidRPr="00F1028E" w:rsidRDefault="00441E32" w:rsidP="005C6088">
      <w:pPr>
        <w:pStyle w:val="Heading3"/>
      </w:pPr>
      <w:bookmarkStart w:id="821" w:name="_Ref360798959"/>
      <w:bookmarkStart w:id="822" w:name="_Toc365441061"/>
      <w:bookmarkStart w:id="823" w:name="_Toc396807688"/>
      <w:r w:rsidRPr="00F1028E">
        <w:t>Northeastern ISO/RTO Planning Coordination Protocol</w:t>
      </w:r>
      <w:bookmarkEnd w:id="821"/>
      <w:bookmarkEnd w:id="822"/>
      <w:bookmarkEnd w:id="823"/>
    </w:p>
    <w:p w:rsidR="00441E32" w:rsidRPr="00F142F0" w:rsidRDefault="00441E32" w:rsidP="00441E32">
      <w:r w:rsidRPr="00F142F0">
        <w:t>ISO New England, NYISO, and PJM follow a planning protocol to enhance the coordination of planning activities and address planning seams issues among the interregional balancing authority areas.</w:t>
      </w:r>
      <w:r w:rsidRPr="00F142F0">
        <w:rPr>
          <w:vertAlign w:val="superscript"/>
        </w:rPr>
        <w:footnoteReference w:id="347"/>
      </w:r>
      <w:r w:rsidRPr="00F142F0">
        <w:t xml:space="preserve"> Hydro-Québec </w:t>
      </w:r>
      <w:proofErr w:type="spellStart"/>
      <w:r w:rsidRPr="00F142F0">
        <w:t>TransÉnergie</w:t>
      </w:r>
      <w:proofErr w:type="spellEnd"/>
      <w:r w:rsidRPr="00F142F0">
        <w:t>, the Independent Electric System Operator of Ontario,</w:t>
      </w:r>
      <w:r w:rsidRPr="00A07A62">
        <w:t xml:space="preserve"> and the Transmission </w:t>
      </w:r>
      <w:r>
        <w:t>and</w:t>
      </w:r>
      <w:r w:rsidRPr="00A07A62">
        <w:t xml:space="preserve"> System Operator Division of New Brunswick Power</w:t>
      </w:r>
      <w:r w:rsidRPr="00F142F0">
        <w:t xml:space="preserve"> participate on a limited basis to share data and information. The key elements of the protocol are to establish procedures that accomplish the following tasks:</w:t>
      </w:r>
    </w:p>
    <w:p w:rsidR="00441E32" w:rsidRPr="00F142F0" w:rsidRDefault="00441E32" w:rsidP="00441E32">
      <w:pPr>
        <w:numPr>
          <w:ilvl w:val="0"/>
          <w:numId w:val="297"/>
        </w:numPr>
        <w:spacing w:after="120"/>
        <w:rPr>
          <w:color w:val="000000"/>
        </w:rPr>
      </w:pPr>
      <w:r w:rsidRPr="00F142F0">
        <w:rPr>
          <w:color w:val="000000"/>
        </w:rPr>
        <w:t>Exchange data and information to ensure the proper coordination of databases and planning models for both individual and joint planning activities conducted by all parties</w:t>
      </w:r>
    </w:p>
    <w:p w:rsidR="00441E32" w:rsidRPr="00F142F0" w:rsidRDefault="00441E32" w:rsidP="00441E32">
      <w:pPr>
        <w:numPr>
          <w:ilvl w:val="0"/>
          <w:numId w:val="297"/>
        </w:numPr>
        <w:spacing w:after="120"/>
        <w:rPr>
          <w:color w:val="000000"/>
        </w:rPr>
      </w:pPr>
      <w:r w:rsidRPr="00F142F0">
        <w:rPr>
          <w:color w:val="000000"/>
        </w:rPr>
        <w:t>Coordinate interconnection requests likely to have cross-border impacts</w:t>
      </w:r>
    </w:p>
    <w:p w:rsidR="00441E32" w:rsidRPr="00DE452B" w:rsidRDefault="00441E32" w:rsidP="00441E32">
      <w:pPr>
        <w:numPr>
          <w:ilvl w:val="0"/>
          <w:numId w:val="297"/>
        </w:numPr>
        <w:spacing w:after="120"/>
        <w:rPr>
          <w:color w:val="000000"/>
        </w:rPr>
      </w:pPr>
      <w:r w:rsidRPr="00DE452B">
        <w:rPr>
          <w:color w:val="000000"/>
        </w:rPr>
        <w:t xml:space="preserve">Analyze </w:t>
      </w:r>
      <w:r w:rsidR="0058019A" w:rsidRPr="0058019A">
        <w:rPr>
          <w:color w:val="000000"/>
        </w:rPr>
        <w:t>firm</w:t>
      </w:r>
      <w:r w:rsidRPr="00DE452B">
        <w:rPr>
          <w:color w:val="000000"/>
        </w:rPr>
        <w:t xml:space="preserve"> transmission service requests likely to have cross-border impacts</w:t>
      </w:r>
    </w:p>
    <w:p w:rsidR="00441E32" w:rsidRPr="00F142F0" w:rsidRDefault="00441E32" w:rsidP="00441E32">
      <w:pPr>
        <w:numPr>
          <w:ilvl w:val="0"/>
          <w:numId w:val="297"/>
        </w:numPr>
        <w:spacing w:after="120"/>
        <w:rPr>
          <w:color w:val="000000"/>
        </w:rPr>
      </w:pPr>
      <w:r w:rsidRPr="00A07A62">
        <w:rPr>
          <w:color w:val="000000"/>
        </w:rPr>
        <w:t>Develop the Northeast Coordinated System Plan</w:t>
      </w:r>
    </w:p>
    <w:p w:rsidR="00441E32" w:rsidRPr="00F142F0" w:rsidRDefault="00441E32" w:rsidP="00441E32">
      <w:pPr>
        <w:numPr>
          <w:ilvl w:val="0"/>
          <w:numId w:val="297"/>
        </w:numPr>
        <w:rPr>
          <w:color w:val="000000"/>
        </w:rPr>
      </w:pPr>
      <w:r w:rsidRPr="00A07A62">
        <w:rPr>
          <w:color w:val="000000"/>
        </w:rPr>
        <w:t>Allocate the costs associated with projects having cross-border impacts consistent with each party’s tariff and applicable federal or provincial regulatory policy</w:t>
      </w:r>
    </w:p>
    <w:p w:rsidR="00441E32" w:rsidRPr="00F142F0" w:rsidRDefault="00441E32" w:rsidP="00441E32">
      <w:r w:rsidRPr="00A07A62">
        <w:t>To implement the protocol, the group formed the Joint ISO/RTO Planning Committee (JIPC) and the Inter-</w:t>
      </w:r>
      <w:r w:rsidRPr="00A84456">
        <w:t>Area Planning Stakeholder Advisory Committee (IPSAC) open stakeholder group.</w:t>
      </w:r>
      <w:r w:rsidRPr="00A84456">
        <w:rPr>
          <w:vertAlign w:val="superscript"/>
        </w:rPr>
        <w:footnoteReference w:id="348"/>
      </w:r>
      <w:r w:rsidRPr="00A84456">
        <w:t xml:space="preserve"> Through the open stakeholder process, the JIPC has addressed several interregional, balancing-authority-area issues. </w:t>
      </w:r>
      <w:r w:rsidR="00D837D8" w:rsidRPr="00A84456">
        <w:t xml:space="preserve">The following list shows several key planning issues summarized in the </w:t>
      </w:r>
      <w:r w:rsidR="00D837D8" w:rsidRPr="00A84456">
        <w:rPr>
          <w:i/>
        </w:rPr>
        <w:t xml:space="preserve">2013 Northeast Coordinated System Plan </w:t>
      </w:r>
      <w:r w:rsidR="00D837D8" w:rsidRPr="00A84456">
        <w:t>(NCSP13) that</w:t>
      </w:r>
      <w:r w:rsidR="00061D97" w:rsidRPr="00A84456">
        <w:t xml:space="preserve"> </w:t>
      </w:r>
      <w:r w:rsidR="00D837D8" w:rsidRPr="00A84456">
        <w:t xml:space="preserve">affect the broad region and additional studies </w:t>
      </w:r>
      <w:r w:rsidR="00061D97" w:rsidRPr="00A84456">
        <w:t xml:space="preserve">that </w:t>
      </w:r>
      <w:r w:rsidR="00D837D8" w:rsidRPr="00A84456">
        <w:t>have been presented to the IPSAC:</w:t>
      </w:r>
      <w:r w:rsidR="00D837D8" w:rsidRPr="00A84456">
        <w:rPr>
          <w:vertAlign w:val="superscript"/>
        </w:rPr>
        <w:footnoteReference w:id="349"/>
      </w:r>
    </w:p>
    <w:p w:rsidR="00441E32" w:rsidRPr="00F142F0" w:rsidRDefault="00441E32" w:rsidP="00441E32">
      <w:pPr>
        <w:numPr>
          <w:ilvl w:val="0"/>
          <w:numId w:val="298"/>
        </w:numPr>
        <w:spacing w:after="120"/>
        <w:rPr>
          <w:color w:val="000000"/>
        </w:rPr>
      </w:pPr>
      <w:r w:rsidRPr="00A07A62">
        <w:rPr>
          <w:color w:val="000000"/>
        </w:rPr>
        <w:t>Coordination and sharing of transmission study databases, critical contingency lists, and short-circuit equivalents</w:t>
      </w:r>
    </w:p>
    <w:p w:rsidR="00441E32" w:rsidRPr="00F142F0" w:rsidRDefault="00441E32" w:rsidP="00441E32">
      <w:pPr>
        <w:numPr>
          <w:ilvl w:val="0"/>
          <w:numId w:val="298"/>
        </w:numPr>
        <w:spacing w:after="120"/>
        <w:rPr>
          <w:color w:val="000000"/>
        </w:rPr>
      </w:pPr>
      <w:r w:rsidRPr="00A07A62">
        <w:rPr>
          <w:color w:val="000000"/>
        </w:rPr>
        <w:t xml:space="preserve">Identification of improved planning techniques, modeling, and software tools </w:t>
      </w:r>
    </w:p>
    <w:p w:rsidR="00441E32" w:rsidRPr="00F142F0" w:rsidRDefault="00441E32" w:rsidP="00441E32">
      <w:pPr>
        <w:numPr>
          <w:ilvl w:val="0"/>
          <w:numId w:val="298"/>
        </w:numPr>
        <w:spacing w:after="120"/>
        <w:rPr>
          <w:color w:val="000000"/>
        </w:rPr>
      </w:pPr>
      <w:r w:rsidRPr="00A07A62">
        <w:rPr>
          <w:color w:val="000000"/>
        </w:rPr>
        <w:t>Coordination of interconnection queue studies and transmission improvements, such as upgrades for interconnectin</w:t>
      </w:r>
      <w:r w:rsidR="00604F07">
        <w:rPr>
          <w:color w:val="000000"/>
        </w:rPr>
        <w:t>g</w:t>
      </w:r>
      <w:r w:rsidRPr="00A07A62">
        <w:rPr>
          <w:color w:val="000000"/>
        </w:rPr>
        <w:t xml:space="preserve"> the Cricket Valley Energy Center (Dover, NY) to the 345 kV </w:t>
      </w:r>
      <w:r>
        <w:rPr>
          <w:color w:val="000000"/>
        </w:rPr>
        <w:t>l</w:t>
      </w:r>
      <w:r w:rsidRPr="00A07A62">
        <w:rPr>
          <w:color w:val="000000"/>
        </w:rPr>
        <w:t>ine 398 (Pleasant Valley</w:t>
      </w:r>
      <w:r>
        <w:rPr>
          <w:color w:val="000000"/>
        </w:rPr>
        <w:t>–</w:t>
      </w:r>
      <w:r w:rsidRPr="00A07A62">
        <w:rPr>
          <w:color w:val="000000"/>
        </w:rPr>
        <w:t>Long Mountain)</w:t>
      </w:r>
    </w:p>
    <w:p w:rsidR="00441E32" w:rsidRPr="00A84456" w:rsidRDefault="00D837D8" w:rsidP="00441E32">
      <w:pPr>
        <w:numPr>
          <w:ilvl w:val="0"/>
          <w:numId w:val="298"/>
        </w:numPr>
        <w:spacing w:after="120"/>
        <w:rPr>
          <w:color w:val="000000"/>
        </w:rPr>
      </w:pPr>
      <w:r w:rsidRPr="00A84456">
        <w:rPr>
          <w:color w:val="000000"/>
        </w:rPr>
        <w:t>C</w:t>
      </w:r>
      <w:r w:rsidR="00441E32" w:rsidRPr="00A84456">
        <w:rPr>
          <w:color w:val="000000"/>
        </w:rPr>
        <w:t>oordinated production cost models and market-efficiency studies</w:t>
      </w:r>
    </w:p>
    <w:p w:rsidR="00441E32" w:rsidRPr="00F142F0" w:rsidRDefault="00441E32" w:rsidP="00441E32">
      <w:pPr>
        <w:numPr>
          <w:ilvl w:val="0"/>
          <w:numId w:val="298"/>
        </w:numPr>
        <w:spacing w:after="120"/>
        <w:rPr>
          <w:color w:val="000000"/>
        </w:rPr>
      </w:pPr>
      <w:r w:rsidRPr="00A07A62">
        <w:rPr>
          <w:color w:val="000000"/>
        </w:rPr>
        <w:t>Evaluations of environmental regulations and their potential effects on the power systems</w:t>
      </w:r>
    </w:p>
    <w:p w:rsidR="00441E32" w:rsidRPr="00F142F0" w:rsidRDefault="00441E32" w:rsidP="00441E32">
      <w:pPr>
        <w:numPr>
          <w:ilvl w:val="0"/>
          <w:numId w:val="298"/>
        </w:numPr>
        <w:spacing w:after="120"/>
        <w:rPr>
          <w:color w:val="000000"/>
        </w:rPr>
      </w:pPr>
      <w:r w:rsidRPr="00A07A62">
        <w:rPr>
          <w:color w:val="000000"/>
        </w:rPr>
        <w:t>Identification of issues and solutions facilitating the integration of intermittent resources</w:t>
      </w:r>
    </w:p>
    <w:p w:rsidR="00441E32" w:rsidRPr="00F142F0" w:rsidRDefault="00441E32" w:rsidP="00441E32">
      <w:pPr>
        <w:numPr>
          <w:ilvl w:val="0"/>
          <w:numId w:val="298"/>
        </w:numPr>
        <w:spacing w:after="120"/>
        <w:rPr>
          <w:color w:val="000000"/>
        </w:rPr>
      </w:pPr>
      <w:r w:rsidRPr="00A07A62">
        <w:rPr>
          <w:color w:val="000000"/>
        </w:rPr>
        <w:t>Assessment of fuel diversity issues, including coordinated studies of the natural gas system</w:t>
      </w:r>
    </w:p>
    <w:p w:rsidR="00441E32" w:rsidRPr="00F142F0" w:rsidRDefault="00441E32" w:rsidP="00441E32">
      <w:pPr>
        <w:numPr>
          <w:ilvl w:val="0"/>
          <w:numId w:val="298"/>
        </w:numPr>
        <w:rPr>
          <w:color w:val="000000"/>
        </w:rPr>
      </w:pPr>
      <w:r w:rsidRPr="00A07A62">
        <w:rPr>
          <w:color w:val="000000"/>
        </w:rPr>
        <w:t>Determination of the effect of demand-side resources on interregional planning</w:t>
      </w:r>
    </w:p>
    <w:p w:rsidR="00441E32" w:rsidRDefault="00441E32" w:rsidP="00441E32">
      <w:r w:rsidRPr="00A07A62">
        <w:t xml:space="preserve">NCSP13 also serves as a baseline for interregional planning as the planning process continues evolving to comply with FERC Order </w:t>
      </w:r>
      <w:r w:rsidR="005364C3">
        <w:t xml:space="preserve">No. </w:t>
      </w:r>
      <w:r w:rsidRPr="00A07A62">
        <w:t xml:space="preserve">1000. </w:t>
      </w:r>
      <w:r w:rsidRPr="00F142F0">
        <w:t xml:space="preserve">JIPC activities also have coordinated compliance filings for </w:t>
      </w:r>
      <w:r w:rsidR="00986F6F">
        <w:t xml:space="preserve">this </w:t>
      </w:r>
      <w:r w:rsidRPr="00F142F0">
        <w:t xml:space="preserve">FERC </w:t>
      </w:r>
      <w:r w:rsidR="00986F6F">
        <w:t>o</w:t>
      </w:r>
      <w:r w:rsidRPr="00F142F0">
        <w:t>rder, particularly on interregional planning and cost-allocation issues.</w:t>
      </w:r>
    </w:p>
    <w:p w:rsidR="00441E32" w:rsidRPr="00C846C1" w:rsidRDefault="00441E32" w:rsidP="005C6088">
      <w:pPr>
        <w:pStyle w:val="Heading3"/>
      </w:pPr>
      <w:bookmarkStart w:id="824" w:name="_Ref388717286"/>
      <w:bookmarkStart w:id="825" w:name="_Ref388861471"/>
      <w:bookmarkStart w:id="826" w:name="_Toc396807689"/>
      <w:r w:rsidRPr="00C846C1">
        <w:t>Interregional Transfers</w:t>
      </w:r>
      <w:bookmarkEnd w:id="824"/>
      <w:bookmarkEnd w:id="825"/>
      <w:bookmarkEnd w:id="826"/>
      <w:r w:rsidRPr="00C846C1">
        <w:t xml:space="preserve"> </w:t>
      </w:r>
    </w:p>
    <w:p w:rsidR="00441E32" w:rsidRDefault="00927965" w:rsidP="00441E32">
      <w:pPr>
        <w:autoSpaceDE w:val="0"/>
        <w:autoSpaceDN w:val="0"/>
        <w:adjustRightInd w:val="0"/>
        <w:rPr>
          <w:rFonts w:cs="Cambria"/>
          <w:color w:val="000000"/>
        </w:rPr>
      </w:pPr>
      <w:fldSimple w:instr=" REF _Ref386197284 \h  \* MERGEFORMAT ">
        <w:r w:rsidR="00284CE3" w:rsidRPr="007B1D28">
          <w:t xml:space="preserve">Figure </w:t>
        </w:r>
        <w:r w:rsidR="00284CE3">
          <w:t>7</w:t>
        </w:r>
        <w:r w:rsidR="00284CE3" w:rsidRPr="007B1D28">
          <w:noBreakHyphen/>
        </w:r>
        <w:r w:rsidR="00284CE3">
          <w:t>1</w:t>
        </w:r>
      </w:fldSimple>
      <w:r w:rsidR="00441E32" w:rsidRPr="00C846C1">
        <w:t xml:space="preserve"> shows the transfers that occurred with neighboring systems for 2013. The region imported </w:t>
      </w:r>
      <w:r w:rsidR="00441E32" w:rsidRPr="00443F39">
        <w:t>approximately 14.5% of</w:t>
      </w:r>
      <w:r w:rsidR="00441E32" w:rsidRPr="00C846C1">
        <w:t xml:space="preserve"> the net energy for load</w:t>
      </w:r>
      <w:r w:rsidR="00441E32">
        <w:rPr>
          <w:rFonts w:cs="Cambria"/>
          <w:color w:val="000000"/>
        </w:rPr>
        <w:t xml:space="preserve"> plus pumping load.</w:t>
      </w:r>
      <w:r w:rsidR="00441E32">
        <w:rPr>
          <w:rStyle w:val="FootnoteReference"/>
          <w:color w:val="000000"/>
        </w:rPr>
        <w:footnoteReference w:id="350"/>
      </w:r>
    </w:p>
    <w:p w:rsidR="00441E32" w:rsidRPr="00F142F0" w:rsidRDefault="00FE0D9A" w:rsidP="00FE0D9A">
      <w:pPr>
        <w:autoSpaceDE w:val="0"/>
        <w:autoSpaceDN w:val="0"/>
        <w:adjustRightInd w:val="0"/>
        <w:spacing w:after="0" w:line="240" w:lineRule="auto"/>
        <w:jc w:val="center"/>
        <w:rPr>
          <w:rFonts w:cs="Cambria"/>
          <w:color w:val="000000"/>
        </w:rPr>
      </w:pPr>
      <w:r w:rsidRPr="00FE0D9A">
        <w:rPr>
          <w:noProof/>
        </w:rPr>
        <w:drawing>
          <wp:inline distT="0" distB="0" distL="0" distR="0">
            <wp:extent cx="5033050" cy="3009900"/>
            <wp:effectExtent l="19050" t="19050" r="15200"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5029697" cy="3007895"/>
                    </a:xfrm>
                    <a:prstGeom prst="rect">
                      <a:avLst/>
                    </a:prstGeom>
                    <a:noFill/>
                    <a:ln w="3175">
                      <a:solidFill>
                        <a:schemeClr val="tx1"/>
                      </a:solidFill>
                      <a:miter lim="800000"/>
                      <a:headEnd/>
                      <a:tailEnd/>
                    </a:ln>
                  </pic:spPr>
                </pic:pic>
              </a:graphicData>
            </a:graphic>
          </wp:inline>
        </w:drawing>
      </w:r>
    </w:p>
    <w:p w:rsidR="00441E32" w:rsidRDefault="00CB23BB" w:rsidP="00116944">
      <w:pPr>
        <w:pStyle w:val="Caption"/>
        <w:spacing w:before="120" w:after="80"/>
        <w:ind w:right="907"/>
        <w:jc w:val="left"/>
        <w:rPr>
          <w:rFonts w:cs="Cambria"/>
          <w:color w:val="000000"/>
        </w:rPr>
      </w:pPr>
      <w:bookmarkStart w:id="827" w:name="_Ref386197284"/>
      <w:bookmarkStart w:id="828" w:name="_Toc391985592"/>
      <w:proofErr w:type="gramStart"/>
      <w:r w:rsidRPr="007B1D28">
        <w:t xml:space="preserve">Figure </w:t>
      </w:r>
      <w:r w:rsidR="00927965" w:rsidRPr="007B1D28">
        <w:fldChar w:fldCharType="begin"/>
      </w:r>
      <w:r w:rsidR="0011163E" w:rsidRPr="007B1D28">
        <w:instrText xml:space="preserve"> STYLEREF 1 \s </w:instrText>
      </w:r>
      <w:r w:rsidR="00927965" w:rsidRPr="007B1D28">
        <w:fldChar w:fldCharType="separate"/>
      </w:r>
      <w:r w:rsidR="00284CE3">
        <w:rPr>
          <w:noProof/>
        </w:rPr>
        <w:t>7</w:t>
      </w:r>
      <w:r w:rsidR="00927965" w:rsidRPr="007B1D28">
        <w:fldChar w:fldCharType="end"/>
      </w:r>
      <w:r w:rsidR="0011163E" w:rsidRPr="007B1D28">
        <w:noBreakHyphen/>
      </w:r>
      <w:r w:rsidR="00927965" w:rsidRPr="007B1D28">
        <w:fldChar w:fldCharType="begin"/>
      </w:r>
      <w:r w:rsidR="0011163E" w:rsidRPr="007B1D28">
        <w:instrText xml:space="preserve"> SEQ Figure \* ARABIC \s 1 </w:instrText>
      </w:r>
      <w:r w:rsidR="00927965" w:rsidRPr="007B1D28">
        <w:fldChar w:fldCharType="separate"/>
      </w:r>
      <w:r w:rsidR="00284CE3">
        <w:rPr>
          <w:noProof/>
        </w:rPr>
        <w:t>1</w:t>
      </w:r>
      <w:r w:rsidR="00927965" w:rsidRPr="007B1D28">
        <w:fldChar w:fldCharType="end"/>
      </w:r>
      <w:bookmarkEnd w:id="827"/>
      <w:r w:rsidR="00441E32" w:rsidRPr="007B1D28">
        <w:t xml:space="preserve">: </w:t>
      </w:r>
      <w:r w:rsidR="00441E32" w:rsidRPr="007B1D28">
        <w:rPr>
          <w:rFonts w:cs="Cambria"/>
          <w:color w:val="000000"/>
        </w:rPr>
        <w:t xml:space="preserve">2013 </w:t>
      </w:r>
      <w:r w:rsidR="00BA12BF">
        <w:rPr>
          <w:rFonts w:cs="Cambria"/>
          <w:color w:val="000000"/>
        </w:rPr>
        <w:t>e</w:t>
      </w:r>
      <w:r w:rsidR="00441E32" w:rsidRPr="007B1D28">
        <w:rPr>
          <w:rFonts w:cs="Cambria"/>
          <w:color w:val="000000"/>
        </w:rPr>
        <w:t>nergy</w:t>
      </w:r>
      <w:r w:rsidR="007B1D28">
        <w:rPr>
          <w:rFonts w:cs="Cambria"/>
          <w:color w:val="000000"/>
        </w:rPr>
        <w:t xml:space="preserve"> i</w:t>
      </w:r>
      <w:r w:rsidR="00441E32" w:rsidRPr="007B1D28">
        <w:rPr>
          <w:rFonts w:cs="Cambria"/>
          <w:color w:val="000000"/>
        </w:rPr>
        <w:t xml:space="preserve">mports and </w:t>
      </w:r>
      <w:r w:rsidR="007B1D28">
        <w:rPr>
          <w:rFonts w:cs="Cambria"/>
          <w:color w:val="000000"/>
        </w:rPr>
        <w:t>e</w:t>
      </w:r>
      <w:r w:rsidR="00441E32" w:rsidRPr="007B1D28">
        <w:rPr>
          <w:rFonts w:cs="Cambria"/>
          <w:color w:val="000000"/>
        </w:rPr>
        <w:t xml:space="preserve">xports by </w:t>
      </w:r>
      <w:r w:rsidR="007B1D28">
        <w:rPr>
          <w:rFonts w:cs="Cambria"/>
          <w:color w:val="000000"/>
        </w:rPr>
        <w:t>e</w:t>
      </w:r>
      <w:r w:rsidR="00441E32" w:rsidRPr="007B1D28">
        <w:rPr>
          <w:rFonts w:cs="Cambria"/>
          <w:color w:val="000000"/>
        </w:rPr>
        <w:t xml:space="preserve">xternal </w:t>
      </w:r>
      <w:r w:rsidR="007B1D28">
        <w:rPr>
          <w:rFonts w:cs="Cambria"/>
          <w:color w:val="000000"/>
        </w:rPr>
        <w:t>a</w:t>
      </w:r>
      <w:r w:rsidR="00441E32" w:rsidRPr="007B1D28">
        <w:rPr>
          <w:rFonts w:cs="Cambria"/>
          <w:color w:val="000000"/>
        </w:rPr>
        <w:t>rea (</w:t>
      </w:r>
      <w:proofErr w:type="spellStart"/>
      <w:r w:rsidR="00441E32" w:rsidRPr="007B1D28">
        <w:rPr>
          <w:rFonts w:cs="Cambria"/>
          <w:color w:val="000000"/>
        </w:rPr>
        <w:t>GWh</w:t>
      </w:r>
      <w:proofErr w:type="spellEnd"/>
      <w:r w:rsidR="00F94905" w:rsidRPr="007B1D28">
        <w:rPr>
          <w:rFonts w:cs="Cambria"/>
          <w:color w:val="000000"/>
        </w:rPr>
        <w:t>).</w:t>
      </w:r>
      <w:bookmarkEnd w:id="828"/>
      <w:proofErr w:type="gramEnd"/>
    </w:p>
    <w:p w:rsidR="003238BD" w:rsidRPr="003238BD" w:rsidRDefault="003238BD" w:rsidP="003238BD">
      <w:pPr>
        <w:spacing w:line="240" w:lineRule="auto"/>
        <w:ind w:left="547" w:right="907"/>
        <w:rPr>
          <w:rFonts w:asciiTheme="minorHAnsi" w:hAnsiTheme="minorHAnsi"/>
          <w:sz w:val="18"/>
          <w:szCs w:val="18"/>
        </w:rPr>
      </w:pPr>
      <w:r w:rsidRPr="00B617E0">
        <w:rPr>
          <w:rFonts w:asciiTheme="minorHAnsi" w:hAnsiTheme="minorHAnsi"/>
          <w:b/>
          <w:bCs/>
          <w:sz w:val="18"/>
          <w:szCs w:val="18"/>
        </w:rPr>
        <w:t>Notes:</w:t>
      </w:r>
      <w:r w:rsidRPr="00B617E0">
        <w:rPr>
          <w:rFonts w:asciiTheme="minorHAnsi" w:hAnsiTheme="minorHAnsi"/>
          <w:sz w:val="18"/>
          <w:szCs w:val="18"/>
        </w:rPr>
        <w:t xml:space="preserve"> Imports are show as positive values, and exports </w:t>
      </w:r>
      <w:proofErr w:type="gramStart"/>
      <w:r w:rsidRPr="00B617E0">
        <w:rPr>
          <w:rFonts w:asciiTheme="minorHAnsi" w:hAnsiTheme="minorHAnsi"/>
          <w:sz w:val="18"/>
          <w:szCs w:val="18"/>
        </w:rPr>
        <w:t>are shown</w:t>
      </w:r>
      <w:proofErr w:type="gramEnd"/>
      <w:r w:rsidRPr="00B617E0">
        <w:rPr>
          <w:rFonts w:asciiTheme="minorHAnsi" w:hAnsiTheme="minorHAnsi"/>
          <w:sz w:val="18"/>
          <w:szCs w:val="18"/>
        </w:rPr>
        <w:t xml:space="preserve"> as negative values. Data are current </w:t>
      </w:r>
      <w:r w:rsidR="00D431C1" w:rsidRPr="00B617E0">
        <w:rPr>
          <w:rFonts w:asciiTheme="minorHAnsi" w:hAnsiTheme="minorHAnsi"/>
          <w:sz w:val="18"/>
          <w:szCs w:val="18"/>
        </w:rPr>
        <w:t>as of the March 1, 2014, 90-day resettlement of 2013</w:t>
      </w:r>
      <w:r w:rsidRPr="00B617E0">
        <w:rPr>
          <w:rFonts w:asciiTheme="minorHAnsi" w:hAnsiTheme="minorHAnsi"/>
          <w:sz w:val="18"/>
          <w:szCs w:val="18"/>
        </w:rPr>
        <w:t>.</w:t>
      </w:r>
    </w:p>
    <w:p w:rsidR="00441E32" w:rsidRDefault="00441E32" w:rsidP="00441E32">
      <w:r w:rsidRPr="00C846C1">
        <w:t>The ISO and the New York ISO are committed to creating a broader regional market and improving the</w:t>
      </w:r>
      <w:r w:rsidRPr="00F142F0">
        <w:t xml:space="preserve"> efficiency of electricity trade between </w:t>
      </w:r>
      <w:r w:rsidR="00061D97">
        <w:t xml:space="preserve">the </w:t>
      </w:r>
      <w:r w:rsidRPr="00F142F0">
        <w:t xml:space="preserve">regions. In 2010, the two ISOs commenced a joint project to evaluate the economic and operating performance of energy flows across their interconnected transmission network. The project’s two central objectives are to improve the economics of using the transmission ties between the regions and to leverage the regions’ capabilities to minimize congestion. This long-term project has two phases. Phase </w:t>
      </w:r>
      <w:proofErr w:type="gramStart"/>
      <w:r w:rsidRPr="00F142F0">
        <w:t>I</w:t>
      </w:r>
      <w:proofErr w:type="gramEnd"/>
      <w:r w:rsidRPr="00F142F0">
        <w:t xml:space="preserve">, the </w:t>
      </w:r>
      <w:r w:rsidRPr="005E6BEC">
        <w:rPr>
          <w:iCs/>
        </w:rPr>
        <w:t>Coordinated Transaction Scheduling</w:t>
      </w:r>
      <w:r w:rsidRPr="00F142F0">
        <w:rPr>
          <w:i/>
          <w:iCs/>
        </w:rPr>
        <w:t xml:space="preserve"> </w:t>
      </w:r>
      <w:r w:rsidRPr="00A07A62">
        <w:t>project, seeks to improve the economic coordination between the two regions’ electricity markets. Phase II will focus on coordinated congestion management and network modeling.</w:t>
      </w:r>
    </w:p>
    <w:p w:rsidR="00E63D3A" w:rsidRDefault="00441E32">
      <w:pPr>
        <w:pStyle w:val="Heading2"/>
      </w:pPr>
      <w:bookmarkStart w:id="829" w:name="_Ref388717416"/>
      <w:bookmarkStart w:id="830" w:name="_Toc396807690"/>
      <w:r w:rsidRPr="00D251EF">
        <w:t>Federal Initiatives</w:t>
      </w:r>
      <w:bookmarkEnd w:id="829"/>
      <w:bookmarkEnd w:id="830"/>
      <w:r w:rsidRPr="00D251EF">
        <w:t xml:space="preserve"> </w:t>
      </w:r>
    </w:p>
    <w:p w:rsidR="00441E32" w:rsidRPr="00F142F0" w:rsidRDefault="00441E32" w:rsidP="00441E32">
      <w:r w:rsidRPr="00F142F0">
        <w:t xml:space="preserve">The </w:t>
      </w:r>
      <w:r w:rsidRPr="00F142F0">
        <w:rPr>
          <w:i/>
        </w:rPr>
        <w:t>Energy Policy Act of 2005</w:t>
      </w:r>
      <w:r w:rsidRPr="00F142F0">
        <w:t xml:space="preserve"> (</w:t>
      </w:r>
      <w:proofErr w:type="spellStart"/>
      <w:r w:rsidRPr="00F142F0">
        <w:t>EPAct</w:t>
      </w:r>
      <w:proofErr w:type="spellEnd"/>
      <w:r w:rsidRPr="00F142F0">
        <w:t>) requires the US Department of Energy and the Federal Energy Regulatory Commission to implement several reliability provisions.</w:t>
      </w:r>
      <w:r w:rsidRPr="00F142F0">
        <w:rPr>
          <w:vertAlign w:val="superscript"/>
        </w:rPr>
        <w:footnoteReference w:id="351"/>
      </w:r>
      <w:r w:rsidRPr="00F142F0">
        <w:t xml:space="preserve"> The requirements include ensuring the reliability of the transmission infrastructure and implementing enforceable reliability standards administered by the North American Electric Reliability Corporation.</w:t>
      </w:r>
    </w:p>
    <w:p w:rsidR="00441E32" w:rsidRPr="00C015EF" w:rsidRDefault="00441E32" w:rsidP="005C6088">
      <w:pPr>
        <w:pStyle w:val="Heading3"/>
      </w:pPr>
      <w:bookmarkStart w:id="831" w:name="_Toc396807691"/>
      <w:bookmarkStart w:id="832" w:name="_Ref388730544"/>
      <w:bookmarkStart w:id="833" w:name="_Ref388888080"/>
      <w:r w:rsidRPr="00D7084F">
        <w:t xml:space="preserve">FERC Order </w:t>
      </w:r>
      <w:r w:rsidR="001A0939">
        <w:t xml:space="preserve">No. </w:t>
      </w:r>
      <w:r w:rsidRPr="00D7084F">
        <w:t>1000</w:t>
      </w:r>
      <w:bookmarkEnd w:id="831"/>
      <w:r w:rsidRPr="00D7084F">
        <w:t xml:space="preserve"> </w:t>
      </w:r>
      <w:bookmarkEnd w:id="832"/>
      <w:bookmarkEnd w:id="833"/>
    </w:p>
    <w:p w:rsidR="00441E32" w:rsidRPr="007F2B06" w:rsidRDefault="00441E32" w:rsidP="00441E32">
      <w:pPr>
        <w:autoSpaceDE w:val="0"/>
        <w:autoSpaceDN w:val="0"/>
        <w:adjustRightInd w:val="0"/>
      </w:pPr>
      <w:r w:rsidRPr="00F142F0">
        <w:t xml:space="preserve">FERC Order </w:t>
      </w:r>
      <w:r w:rsidR="001A0939">
        <w:t xml:space="preserve">No. </w:t>
      </w:r>
      <w:proofErr w:type="gramStart"/>
      <w:r w:rsidRPr="00F142F0">
        <w:t>1000,</w:t>
      </w:r>
      <w:proofErr w:type="gramEnd"/>
      <w:r w:rsidRPr="00F142F0">
        <w:t xml:space="preserve"> issued on July 21, 2011, sets forth additional requirements that build on Order </w:t>
      </w:r>
      <w:r w:rsidR="001A0939">
        <w:t>No</w:t>
      </w:r>
      <w:r w:rsidR="00E47EBA">
        <w:t>. </w:t>
      </w:r>
      <w:r w:rsidRPr="00F142F0">
        <w:t>890, including regional and interregional planning procedures and cost allocation and the incorporation of</w:t>
      </w:r>
      <w:r w:rsidR="00F51A85">
        <w:t xml:space="preserve"> </w:t>
      </w:r>
      <w:r w:rsidRPr="00F142F0">
        <w:t>“public policy considerations” into the planning process.</w:t>
      </w:r>
      <w:r w:rsidRPr="00F142F0">
        <w:rPr>
          <w:vertAlign w:val="superscript"/>
        </w:rPr>
        <w:footnoteReference w:id="352"/>
      </w:r>
      <w:r w:rsidRPr="00F142F0">
        <w:t xml:space="preserve"> The ISO filed compliance filings with FERC on October 25, 2012, and July 10, 2013.</w:t>
      </w:r>
      <w:r w:rsidRPr="00F142F0">
        <w:rPr>
          <w:vertAlign w:val="superscript"/>
        </w:rPr>
        <w:footnoteReference w:id="353"/>
      </w:r>
      <w:r w:rsidRPr="00F142F0">
        <w:t xml:space="preserve"> The October 2012 filing describes the means to identify and consider transmission needs driven by state or federal public policies. The July 2013 filing describes </w:t>
      </w:r>
      <w:r w:rsidRPr="007F2B06">
        <w:t xml:space="preserve">improvements to both the interregional planning process and interregional cost allocation. </w:t>
      </w:r>
    </w:p>
    <w:p w:rsidR="00441E32" w:rsidRDefault="00441E32" w:rsidP="00441E32">
      <w:r w:rsidRPr="007F2B06">
        <w:t xml:space="preserve">On May 17, 2013, FERC issued a </w:t>
      </w:r>
      <w:r w:rsidR="00820C1F">
        <w:t xml:space="preserve">regional </w:t>
      </w:r>
      <w:r w:rsidRPr="007F2B06">
        <w:t xml:space="preserve">compliance order on the ISO’s and certain New England transmission owners’ proposed regional compliance with Order </w:t>
      </w:r>
      <w:r w:rsidR="001A0939">
        <w:t xml:space="preserve">No. </w:t>
      </w:r>
      <w:r w:rsidRPr="007F2B06">
        <w:t>1000.</w:t>
      </w:r>
      <w:r w:rsidRPr="007F2B06">
        <w:rPr>
          <w:rStyle w:val="FootnoteReference"/>
        </w:rPr>
        <w:footnoteReference w:id="354"/>
      </w:r>
      <w:r w:rsidRPr="007F2B06">
        <w:t xml:space="preserve"> On June 17, 2013, the ISO submitted a request for rehearing of several aspects of the May 17, 2013 order addressing planning for</w:t>
      </w:r>
      <w:r w:rsidRPr="00F142F0">
        <w:t xml:space="preserve"> public policy and rights of</w:t>
      </w:r>
      <w:r w:rsidRPr="00D251EF">
        <w:t xml:space="preserve"> participating transmission owners.</w:t>
      </w:r>
      <w:r w:rsidRPr="00F142F0">
        <w:rPr>
          <w:rStyle w:val="FootnoteReference"/>
        </w:rPr>
        <w:footnoteReference w:id="355"/>
      </w:r>
      <w:r w:rsidRPr="00F142F0">
        <w:t xml:space="preserve"> On November 15, 2013, the ISO file</w:t>
      </w:r>
      <w:r>
        <w:t>d</w:t>
      </w:r>
      <w:r w:rsidRPr="00F142F0">
        <w:t xml:space="preserve"> additional tariff changes to implement its compliance with this order. The ISO has worked with stakeholders to comply with the order and </w:t>
      </w:r>
      <w:r w:rsidR="00C857DA">
        <w:t xml:space="preserve">is awaiting the </w:t>
      </w:r>
      <w:r w:rsidRPr="00F142F0">
        <w:t xml:space="preserve">final </w:t>
      </w:r>
      <w:r>
        <w:t>FERC orders</w:t>
      </w:r>
      <w:r w:rsidRPr="00F142F0">
        <w:t>.</w:t>
      </w:r>
    </w:p>
    <w:p w:rsidR="00441E32" w:rsidRPr="00712BF0" w:rsidRDefault="00441E32" w:rsidP="005C6088">
      <w:pPr>
        <w:pStyle w:val="Heading3"/>
      </w:pPr>
      <w:bookmarkStart w:id="834" w:name="_Toc396807692"/>
      <w:r w:rsidRPr="00D7084F">
        <w:t>US Department of Energy Congestion Studies</w:t>
      </w:r>
      <w:bookmarkEnd w:id="834"/>
    </w:p>
    <w:p w:rsidR="00205CC2" w:rsidRDefault="00BC5640" w:rsidP="00205CC2">
      <w:r>
        <w:t>DOE is required to conduct a study every three years on electricity transmission congestion and constraints within the Eastern and Western Interconnections.</w:t>
      </w:r>
      <w:r>
        <w:rPr>
          <w:rStyle w:val="FootnoteReference"/>
        </w:rPr>
        <w:footnoteReference w:id="356"/>
      </w:r>
      <w:r>
        <w:t xml:space="preserve"> DOE posted the National Electric Transmission Congestion Study as a draft report for public comment in August 2014.</w:t>
      </w:r>
      <w:r w:rsidR="00205CC2">
        <w:rPr>
          <w:rStyle w:val="FootnoteReference"/>
        </w:rPr>
        <w:footnoteReference w:id="357"/>
      </w:r>
      <w:r>
        <w:t xml:space="preserve"> Using the results of these studies and comments provided by the states and other stakeholders, the US Secretary of Energy may then designate any geographic area experiencing constraints or congestion on electricity transmission capacity as a National Interest Electric Transmission Corridor (National Corridor). A designation as a National Corridor merits federal concern and may enable FERC to exercise “backstop” authority to site transmission facilities. This would occur only under limited circumstances, such as when a state agency has failed to act on a </w:t>
      </w:r>
      <w:proofErr w:type="spellStart"/>
      <w:r>
        <w:t>siting</w:t>
      </w:r>
      <w:proofErr w:type="spellEnd"/>
      <w:r>
        <w:t xml:space="preserve"> application within a National Corridor for more than one year.</w:t>
      </w:r>
      <w:r w:rsidR="00205CC2">
        <w:rPr>
          <w:rStyle w:val="FootnoteReference"/>
        </w:rPr>
        <w:footnoteReference w:id="358"/>
      </w:r>
      <w:r>
        <w:t> </w:t>
      </w:r>
    </w:p>
    <w:p w:rsidR="00BC5640" w:rsidRPr="00E93E1C" w:rsidRDefault="00BC5640" w:rsidP="00BC5640">
      <w:r w:rsidRPr="00E93E1C">
        <w:t>The draft Congestion Study showed the following key findings for the Northeast:</w:t>
      </w:r>
    </w:p>
    <w:p w:rsidR="00BC5640" w:rsidRPr="00C335C5" w:rsidRDefault="00BC5640" w:rsidP="00915624">
      <w:pPr>
        <w:numPr>
          <w:ilvl w:val="0"/>
          <w:numId w:val="589"/>
        </w:numPr>
        <w:spacing w:after="120"/>
        <w:ind w:left="720"/>
      </w:pPr>
      <w:r w:rsidRPr="00C335C5">
        <w:t xml:space="preserve">Generation and transmission additions in the Northeast have contributed to lower overall congestion for 2009 through 2011 compared with previous years, particularly in New England. </w:t>
      </w:r>
    </w:p>
    <w:p w:rsidR="00BC5640" w:rsidRPr="00C335C5" w:rsidRDefault="00BC5640" w:rsidP="00915624">
      <w:pPr>
        <w:numPr>
          <w:ilvl w:val="0"/>
          <w:numId w:val="589"/>
        </w:numPr>
        <w:spacing w:after="120"/>
        <w:ind w:left="720"/>
      </w:pPr>
      <w:r w:rsidRPr="00C335C5">
        <w:t xml:space="preserve">Congestion </w:t>
      </w:r>
      <w:proofErr w:type="gramStart"/>
      <w:r w:rsidRPr="00C335C5">
        <w:t>is also reduced</w:t>
      </w:r>
      <w:proofErr w:type="gramEnd"/>
      <w:r w:rsidRPr="00C335C5">
        <w:t xml:space="preserve"> because of lower demand, which is attributed to the economic recession of 2008</w:t>
      </w:r>
      <w:r w:rsidR="00A71C0A" w:rsidRPr="00C335C5">
        <w:t>–</w:t>
      </w:r>
      <w:r w:rsidRPr="00C335C5">
        <w:t xml:space="preserve">2009, energy efficiency, and demand-response programs. </w:t>
      </w:r>
    </w:p>
    <w:p w:rsidR="00B4202D" w:rsidRPr="00C335C5" w:rsidRDefault="00BC5640" w:rsidP="00915624">
      <w:pPr>
        <w:numPr>
          <w:ilvl w:val="0"/>
          <w:numId w:val="589"/>
        </w:numPr>
        <w:autoSpaceDE w:val="0"/>
        <w:autoSpaceDN w:val="0"/>
        <w:spacing w:after="120"/>
        <w:ind w:left="720"/>
      </w:pPr>
      <w:r w:rsidRPr="00C335C5">
        <w:t>Some congestion still exists, however. Much of the congestion that remains in the Northeast reflects three factors:</w:t>
      </w:r>
    </w:p>
    <w:p w:rsidR="00B4202D" w:rsidRPr="004C1226" w:rsidRDefault="00BC5640" w:rsidP="00915624">
      <w:pPr>
        <w:numPr>
          <w:ilvl w:val="0"/>
          <w:numId w:val="591"/>
        </w:numPr>
        <w:autoSpaceDE w:val="0"/>
        <w:autoSpaceDN w:val="0"/>
        <w:spacing w:after="120"/>
        <w:ind w:left="1080"/>
      </w:pPr>
      <w:r w:rsidRPr="00C335C5">
        <w:t xml:space="preserve">Transmission constraints continue to restrict the delivery of power into load centers in </w:t>
      </w:r>
      <w:r w:rsidRPr="004C1226">
        <w:t>central New York and the New York City and Long Island areas.</w:t>
      </w:r>
    </w:p>
    <w:p w:rsidR="00B4202D" w:rsidRPr="004C1226" w:rsidRDefault="0058019A" w:rsidP="00915624">
      <w:pPr>
        <w:numPr>
          <w:ilvl w:val="0"/>
          <w:numId w:val="591"/>
        </w:numPr>
        <w:autoSpaceDE w:val="0"/>
        <w:autoSpaceDN w:val="0"/>
        <w:spacing w:after="120"/>
        <w:ind w:left="1080"/>
      </w:pPr>
      <w:r w:rsidRPr="004C1226">
        <w:t xml:space="preserve">Increased levels of low‐cost wind generation in concentrated locations </w:t>
      </w:r>
      <w:r w:rsidR="006C5780" w:rsidRPr="004C1226">
        <w:t xml:space="preserve">west of </w:t>
      </w:r>
      <w:r w:rsidR="004C1226" w:rsidRPr="004C1226">
        <w:t xml:space="preserve">the </w:t>
      </w:r>
      <w:r w:rsidR="006C5780" w:rsidRPr="004C1226">
        <w:t>major load centers</w:t>
      </w:r>
      <w:r w:rsidRPr="004C1226">
        <w:t xml:space="preserve"> </w:t>
      </w:r>
      <w:r w:rsidR="004C1226" w:rsidRPr="004C1226">
        <w:t xml:space="preserve">of the Northeast </w:t>
      </w:r>
      <w:r w:rsidRPr="004C1226">
        <w:t>exceed the capability of transmission facilities.</w:t>
      </w:r>
    </w:p>
    <w:p w:rsidR="00B4202D" w:rsidRDefault="00BC5640">
      <w:pPr>
        <w:numPr>
          <w:ilvl w:val="0"/>
          <w:numId w:val="589"/>
        </w:numPr>
        <w:autoSpaceDE w:val="0"/>
        <w:autoSpaceDN w:val="0"/>
        <w:ind w:left="749"/>
      </w:pPr>
      <w:r>
        <w:t xml:space="preserve">The Northeast is addressing administrative and institutional issues arising from different market rules, scheduling practices, and transmission reservations that obstruct </w:t>
      </w:r>
      <w:r>
        <w:rPr>
          <w:color w:val="1F497D"/>
        </w:rPr>
        <w:t xml:space="preserve">the </w:t>
      </w:r>
      <w:r>
        <w:t>more effective use of facilities between neighboring RTOs and ISOs.</w:t>
      </w:r>
    </w:p>
    <w:p w:rsidR="00441E32" w:rsidRDefault="00441E32" w:rsidP="00441E32">
      <w:r w:rsidRPr="00205CC2">
        <w:t xml:space="preserve">The DOE intends to release a stand-alone transmission data document annually, rather than combining it with the triennial congestion studies. </w:t>
      </w:r>
      <w:proofErr w:type="gramStart"/>
      <w:r w:rsidRPr="00205CC2">
        <w:rPr>
          <w:i/>
        </w:rPr>
        <w:t>Transmission Constraints and Congestion in the Western and Eastern Interconnections, 2009-2012</w:t>
      </w:r>
      <w:r w:rsidRPr="00205CC2">
        <w:t xml:space="preserve"> compiles publicly available data on transmission constraints and congestion for 2009 through 2012.</w:t>
      </w:r>
      <w:proofErr w:type="gramEnd"/>
      <w:r w:rsidRPr="00205CC2">
        <w:rPr>
          <w:rStyle w:val="FootnoteReference"/>
        </w:rPr>
        <w:footnoteReference w:id="359"/>
      </w:r>
      <w:r w:rsidRPr="00205CC2">
        <w:t> The report provide</w:t>
      </w:r>
      <w:r w:rsidR="00B13185">
        <w:t>s</w:t>
      </w:r>
      <w:r w:rsidRPr="00205CC2">
        <w:t xml:space="preserve"> timely transmission data to the public </w:t>
      </w:r>
      <w:r w:rsidR="00B13185">
        <w:t xml:space="preserve">to </w:t>
      </w:r>
      <w:r w:rsidRPr="003F1C1F">
        <w:t>aid the development of public and private analyses on a range of electricity topics</w:t>
      </w:r>
      <w:r>
        <w:t>.</w:t>
      </w:r>
    </w:p>
    <w:p w:rsidR="00441E32" w:rsidRPr="00B1114A" w:rsidRDefault="00441E32" w:rsidP="005C6088">
      <w:pPr>
        <w:pStyle w:val="Heading3"/>
      </w:pPr>
      <w:bookmarkStart w:id="835" w:name="_Toc396807693"/>
      <w:r w:rsidRPr="00B1114A">
        <w:t>Quadrennial Energy Review</w:t>
      </w:r>
      <w:bookmarkEnd w:id="835"/>
      <w:r w:rsidRPr="00B1114A">
        <w:t xml:space="preserve"> </w:t>
      </w:r>
    </w:p>
    <w:p w:rsidR="00441E32" w:rsidRPr="00F142F0" w:rsidRDefault="00441E32" w:rsidP="00441E32">
      <w:pPr>
        <w:rPr>
          <w:color w:val="000000" w:themeColor="text1"/>
        </w:rPr>
      </w:pPr>
      <w:r w:rsidRPr="00F142F0">
        <w:rPr>
          <w:color w:val="000000" w:themeColor="text1"/>
        </w:rPr>
        <w:t>Since January</w:t>
      </w:r>
      <w:r>
        <w:rPr>
          <w:color w:val="000000" w:themeColor="text1"/>
        </w:rPr>
        <w:t xml:space="preserve"> 2014</w:t>
      </w:r>
      <w:r w:rsidRPr="00F142F0">
        <w:rPr>
          <w:color w:val="000000" w:themeColor="text1"/>
        </w:rPr>
        <w:t xml:space="preserve">, DOE has been developing the first part of its multi-year </w:t>
      </w:r>
      <w:hyperlink r:id="rId77" w:history="1">
        <w:r w:rsidRPr="00F142F0">
          <w:rPr>
            <w:rStyle w:val="Hyperlink"/>
            <w:i/>
          </w:rPr>
          <w:t>Quadrennial Energy Review</w:t>
        </w:r>
      </w:hyperlink>
      <w:r w:rsidRPr="00F142F0">
        <w:rPr>
          <w:color w:val="000000" w:themeColor="text1"/>
        </w:rPr>
        <w:t xml:space="preserve"> (QER), a comprehensive analysis of energy and electricity production and delivery systems in the United States</w:t>
      </w:r>
      <w:r>
        <w:rPr>
          <w:color w:val="000000" w:themeColor="text1"/>
        </w:rPr>
        <w:t xml:space="preserve">. </w:t>
      </w:r>
      <w:r w:rsidR="00226B8B">
        <w:rPr>
          <w:color w:val="000000" w:themeColor="text1"/>
        </w:rPr>
        <w:t xml:space="preserve">The </w:t>
      </w:r>
      <w:r w:rsidRPr="00F142F0">
        <w:rPr>
          <w:color w:val="000000" w:themeColor="text1"/>
        </w:rPr>
        <w:t>US Secretary of Energy</w:t>
      </w:r>
      <w:r w:rsidR="00226B8B">
        <w:rPr>
          <w:color w:val="000000" w:themeColor="text1"/>
        </w:rPr>
        <w:t>,</w:t>
      </w:r>
      <w:r w:rsidRPr="00F142F0">
        <w:rPr>
          <w:color w:val="000000" w:themeColor="text1"/>
        </w:rPr>
        <w:t xml:space="preserve"> Ernest Moniz</w:t>
      </w:r>
      <w:r w:rsidR="00226B8B">
        <w:rPr>
          <w:color w:val="000000" w:themeColor="text1"/>
        </w:rPr>
        <w:t>,</w:t>
      </w:r>
      <w:r w:rsidRPr="00F142F0">
        <w:rPr>
          <w:color w:val="000000" w:themeColor="text1"/>
        </w:rPr>
        <w:t xml:space="preserve"> described the QER as </w:t>
      </w:r>
      <w:r w:rsidRPr="00F142F0">
        <w:rPr>
          <w:rFonts w:cs="Arial"/>
          <w:color w:val="000000" w:themeColor="text1"/>
        </w:rPr>
        <w:t xml:space="preserve">a roadmap to modernize </w:t>
      </w:r>
      <w:r>
        <w:rPr>
          <w:rFonts w:cs="Arial"/>
          <w:color w:val="000000" w:themeColor="text1"/>
        </w:rPr>
        <w:t xml:space="preserve">the country’s </w:t>
      </w:r>
      <w:r w:rsidRPr="00F142F0">
        <w:rPr>
          <w:rFonts w:cs="Arial"/>
          <w:color w:val="000000" w:themeColor="text1"/>
        </w:rPr>
        <w:t xml:space="preserve">energy infrastructure in ways that will support the </w:t>
      </w:r>
      <w:r>
        <w:rPr>
          <w:rFonts w:cs="Arial"/>
          <w:color w:val="000000" w:themeColor="text1"/>
        </w:rPr>
        <w:t>n</w:t>
      </w:r>
      <w:r w:rsidRPr="00F142F0">
        <w:rPr>
          <w:rFonts w:cs="Arial"/>
          <w:color w:val="000000" w:themeColor="text1"/>
        </w:rPr>
        <w:t>ation’s economic competitiveness and energy security, a</w:t>
      </w:r>
      <w:r>
        <w:rPr>
          <w:rFonts w:cs="Arial"/>
          <w:color w:val="000000" w:themeColor="text1"/>
        </w:rPr>
        <w:t xml:space="preserve">s well as </w:t>
      </w:r>
      <w:r w:rsidRPr="00F142F0">
        <w:rPr>
          <w:rFonts w:cs="Arial"/>
          <w:color w:val="000000" w:themeColor="text1"/>
        </w:rPr>
        <w:t xml:space="preserve">enable </w:t>
      </w:r>
      <w:r>
        <w:rPr>
          <w:rFonts w:cs="Arial"/>
          <w:color w:val="000000" w:themeColor="text1"/>
        </w:rPr>
        <w:t xml:space="preserve">the country </w:t>
      </w:r>
      <w:r w:rsidRPr="00F142F0">
        <w:rPr>
          <w:rFonts w:cs="Arial"/>
          <w:color w:val="000000" w:themeColor="text1"/>
        </w:rPr>
        <w:t>to move toward a low-carbon future.</w:t>
      </w:r>
      <w:r w:rsidRPr="00F142F0">
        <w:rPr>
          <w:color w:val="000000" w:themeColor="text1"/>
        </w:rPr>
        <w:t xml:space="preserve"> In the first year of this analysis, which will conclude in January 2015, </w:t>
      </w:r>
      <w:r>
        <w:rPr>
          <w:color w:val="000000" w:themeColor="text1"/>
        </w:rPr>
        <w:t>DOE</w:t>
      </w:r>
      <w:r w:rsidRPr="00F142F0">
        <w:rPr>
          <w:color w:val="000000" w:themeColor="text1"/>
        </w:rPr>
        <w:t xml:space="preserve"> has focused on the nation’s energy infrastructure for transporting, transmitting, storing</w:t>
      </w:r>
      <w:r w:rsidR="00B13185">
        <w:rPr>
          <w:color w:val="000000" w:themeColor="text1"/>
        </w:rPr>
        <w:t>,</w:t>
      </w:r>
      <w:r w:rsidRPr="00F142F0">
        <w:rPr>
          <w:color w:val="000000" w:themeColor="text1"/>
        </w:rPr>
        <w:t xml:space="preserve"> and delivering energy. </w:t>
      </w:r>
    </w:p>
    <w:p w:rsidR="005D6FA3" w:rsidRPr="005D6FA3" w:rsidRDefault="00441E32" w:rsidP="005D6FA3">
      <w:r w:rsidRPr="00D251EF">
        <w:t>DOE continues to conduct extensive stakeholder outreach to better understand unique regional challenges, including the retirement of aging generators in New England and</w:t>
      </w:r>
      <w:r w:rsidR="005D6FA3">
        <w:t xml:space="preserve"> its</w:t>
      </w:r>
      <w:r w:rsidRPr="00D251EF">
        <w:t xml:space="preserve"> increased reliance on an </w:t>
      </w:r>
      <w:r w:rsidRPr="007C3D2D">
        <w:t>already-constrained natural gas system</w:t>
      </w:r>
      <w:r w:rsidR="007D4353" w:rsidRPr="007C3D2D">
        <w:t xml:space="preserve"> </w:t>
      </w:r>
      <w:r w:rsidR="00F94905" w:rsidRPr="007C3D2D">
        <w:t xml:space="preserve">(see Section </w:t>
      </w:r>
      <w:r w:rsidR="00927965">
        <w:fldChar w:fldCharType="begin"/>
      </w:r>
      <w:r w:rsidR="005A39F4">
        <w:instrText xml:space="preserve"> REF _Ref388876647 \r \h </w:instrText>
      </w:r>
      <w:r w:rsidR="00927965">
        <w:fldChar w:fldCharType="separate"/>
      </w:r>
      <w:r w:rsidR="00284CE3">
        <w:t>6.2</w:t>
      </w:r>
      <w:r w:rsidR="00927965">
        <w:fldChar w:fldCharType="end"/>
      </w:r>
      <w:r w:rsidR="00F94905" w:rsidRPr="007C3D2D">
        <w:t>).</w:t>
      </w:r>
      <w:r w:rsidRPr="007C3D2D">
        <w:t xml:space="preserve"> </w:t>
      </w:r>
      <w:r w:rsidR="001E4017">
        <w:t>This outreach included stakeholder meetings in Providence, RI, and Hartford, CT, on April 21, 2013.</w:t>
      </w:r>
      <w:r w:rsidR="00B33A96">
        <w:t xml:space="preserve"> </w:t>
      </w:r>
      <w:r w:rsidRPr="007C3D2D">
        <w:t>The QER will not only address short-term</w:t>
      </w:r>
      <w:r w:rsidRPr="00D251EF">
        <w:t xml:space="preserve"> energy infrastructure </w:t>
      </w:r>
      <w:proofErr w:type="gramStart"/>
      <w:r w:rsidRPr="00D251EF">
        <w:t>but</w:t>
      </w:r>
      <w:proofErr w:type="gramEnd"/>
      <w:r w:rsidRPr="00D251EF">
        <w:t xml:space="preserve"> the overall impacts of broader changes in climate and the challenges of both physical </w:t>
      </w:r>
      <w:r w:rsidR="005D6FA3">
        <w:t xml:space="preserve">security </w:t>
      </w:r>
      <w:r w:rsidRPr="00D251EF">
        <w:t xml:space="preserve">and </w:t>
      </w:r>
      <w:proofErr w:type="spellStart"/>
      <w:r w:rsidRPr="00D251EF">
        <w:t>cybersecurity</w:t>
      </w:r>
      <w:proofErr w:type="spellEnd"/>
      <w:r>
        <w:t>.</w:t>
      </w:r>
    </w:p>
    <w:p w:rsidR="00441E32" w:rsidRPr="00906C80" w:rsidRDefault="00441E32" w:rsidP="005C6088">
      <w:pPr>
        <w:pStyle w:val="Heading3"/>
      </w:pPr>
      <w:bookmarkStart w:id="836" w:name="_Toc396807694"/>
      <w:r w:rsidRPr="00D7084F">
        <w:t>Executive Order</w:t>
      </w:r>
      <w:r>
        <w:t>s</w:t>
      </w:r>
      <w:r w:rsidRPr="00D7084F">
        <w:t xml:space="preserve"> on </w:t>
      </w:r>
      <w:proofErr w:type="spellStart"/>
      <w:r w:rsidRPr="00D7084F">
        <w:t>Cyber</w:t>
      </w:r>
      <w:r>
        <w:t>s</w:t>
      </w:r>
      <w:r w:rsidRPr="00D7084F">
        <w:t>ecurity</w:t>
      </w:r>
      <w:bookmarkEnd w:id="836"/>
      <w:proofErr w:type="spellEnd"/>
    </w:p>
    <w:p w:rsidR="00441E32" w:rsidRPr="00F142F0" w:rsidRDefault="00441E32" w:rsidP="00441E32">
      <w:pPr>
        <w:rPr>
          <w:color w:val="000000" w:themeColor="text1"/>
        </w:rPr>
      </w:pPr>
      <w:r w:rsidRPr="00F142F0">
        <w:rPr>
          <w:color w:val="000000" w:themeColor="text1"/>
        </w:rPr>
        <w:t xml:space="preserve">Concurrent with the development of the QER, the Obama </w:t>
      </w:r>
      <w:r>
        <w:rPr>
          <w:color w:val="000000" w:themeColor="text1"/>
        </w:rPr>
        <w:t>a</w:t>
      </w:r>
      <w:r w:rsidRPr="00F142F0">
        <w:rPr>
          <w:color w:val="000000" w:themeColor="text1"/>
        </w:rPr>
        <w:t xml:space="preserve">dministration continues to direct federal resources toward </w:t>
      </w:r>
      <w:r>
        <w:rPr>
          <w:color w:val="000000" w:themeColor="text1"/>
        </w:rPr>
        <w:t xml:space="preserve">improving the </w:t>
      </w:r>
      <w:r w:rsidRPr="00F142F0">
        <w:rPr>
          <w:color w:val="000000" w:themeColor="text1"/>
        </w:rPr>
        <w:t>secur</w:t>
      </w:r>
      <w:r>
        <w:rPr>
          <w:color w:val="000000" w:themeColor="text1"/>
        </w:rPr>
        <w:t xml:space="preserve">ity of </w:t>
      </w:r>
      <w:r w:rsidRPr="00F142F0">
        <w:rPr>
          <w:color w:val="000000" w:themeColor="text1"/>
        </w:rPr>
        <w:t xml:space="preserve">the electric </w:t>
      </w:r>
      <w:r w:rsidR="00226B8B">
        <w:rPr>
          <w:color w:val="000000" w:themeColor="text1"/>
        </w:rPr>
        <w:t xml:space="preserve">power </w:t>
      </w:r>
      <w:r w:rsidRPr="00F142F0">
        <w:rPr>
          <w:color w:val="000000" w:themeColor="text1"/>
        </w:rPr>
        <w:t xml:space="preserve">grid. In February 2014, the National Institute of Standards and Technology released the </w:t>
      </w:r>
      <w:hyperlink r:id="rId78" w:history="1">
        <w:r w:rsidRPr="00F142F0">
          <w:rPr>
            <w:rStyle w:val="Hyperlink"/>
            <w:i/>
          </w:rPr>
          <w:t xml:space="preserve">Framework for Improving Critical Infrastructure </w:t>
        </w:r>
        <w:proofErr w:type="spellStart"/>
        <w:r w:rsidRPr="00F142F0">
          <w:rPr>
            <w:rStyle w:val="Hyperlink"/>
            <w:i/>
          </w:rPr>
          <w:t>Cybersecurity</w:t>
        </w:r>
        <w:proofErr w:type="spellEnd"/>
      </w:hyperlink>
      <w:r w:rsidRPr="00F142F0">
        <w:rPr>
          <w:color w:val="000000" w:themeColor="text1"/>
        </w:rPr>
        <w:t xml:space="preserve">, the culmination of a </w:t>
      </w:r>
      <w:proofErr w:type="gramStart"/>
      <w:r w:rsidRPr="00F142F0">
        <w:rPr>
          <w:color w:val="000000" w:themeColor="text1"/>
        </w:rPr>
        <w:t>year-long</w:t>
      </w:r>
      <w:proofErr w:type="gramEnd"/>
      <w:r w:rsidRPr="00F142F0">
        <w:rPr>
          <w:color w:val="000000" w:themeColor="text1"/>
        </w:rPr>
        <w:t xml:space="preserve"> effort to provide owners and operators of critical digital infrastructure with guidelines to better secure their assets.</w:t>
      </w:r>
      <w:r w:rsidR="00304001">
        <w:rPr>
          <w:rStyle w:val="FootnoteReference"/>
          <w:color w:val="000000" w:themeColor="text1"/>
        </w:rPr>
        <w:footnoteReference w:id="360"/>
      </w:r>
      <w:r w:rsidRPr="00F142F0">
        <w:rPr>
          <w:color w:val="000000" w:themeColor="text1"/>
        </w:rPr>
        <w:t xml:space="preserve"> The development of the </w:t>
      </w:r>
      <w:r w:rsidRPr="00D7084F">
        <w:rPr>
          <w:color w:val="000000" w:themeColor="text1"/>
        </w:rPr>
        <w:t xml:space="preserve">framework </w:t>
      </w:r>
      <w:proofErr w:type="gramStart"/>
      <w:r w:rsidRPr="00F142F0">
        <w:rPr>
          <w:color w:val="000000" w:themeColor="text1"/>
        </w:rPr>
        <w:t>was directed</w:t>
      </w:r>
      <w:proofErr w:type="gramEnd"/>
      <w:r w:rsidRPr="00F142F0">
        <w:rPr>
          <w:color w:val="000000" w:themeColor="text1"/>
        </w:rPr>
        <w:t xml:space="preserve"> by a February 2013 executive order and included participation from members of the ISO/RTO Council. </w:t>
      </w:r>
    </w:p>
    <w:p w:rsidR="00441E32" w:rsidRPr="00906C80" w:rsidRDefault="00441E32" w:rsidP="005C6088">
      <w:pPr>
        <w:pStyle w:val="Heading3"/>
      </w:pPr>
      <w:bookmarkStart w:id="837" w:name="_Toc396807695"/>
      <w:r w:rsidRPr="003F1C1F">
        <w:t>FERC Directive on Physical Security</w:t>
      </w:r>
      <w:bookmarkEnd w:id="837"/>
    </w:p>
    <w:p w:rsidR="00441E32" w:rsidRPr="00F142F0" w:rsidRDefault="00441E32" w:rsidP="00441E32">
      <w:pPr>
        <w:rPr>
          <w:color w:val="000000" w:themeColor="text1"/>
        </w:rPr>
      </w:pPr>
      <w:r w:rsidRPr="007E14C5">
        <w:rPr>
          <w:color w:val="000000" w:themeColor="text1"/>
        </w:rPr>
        <w:t xml:space="preserve">In March 2014, FERC directed </w:t>
      </w:r>
      <w:r w:rsidR="001E4017">
        <w:rPr>
          <w:color w:val="000000" w:themeColor="text1"/>
        </w:rPr>
        <w:t>the North American Reliability Corporation</w:t>
      </w:r>
      <w:r w:rsidRPr="007E14C5">
        <w:rPr>
          <w:color w:val="000000" w:themeColor="text1"/>
        </w:rPr>
        <w:t xml:space="preserve"> to initiate a process to develop a new standard to improve the physical security of critical components of the electric grid.</w:t>
      </w:r>
      <w:r w:rsidRPr="007E14C5">
        <w:rPr>
          <w:rStyle w:val="FootnoteReference"/>
          <w:color w:val="000000" w:themeColor="text1"/>
        </w:rPr>
        <w:footnoteReference w:id="361"/>
      </w:r>
      <w:r w:rsidRPr="007E14C5">
        <w:rPr>
          <w:color w:val="000000" w:themeColor="text1"/>
        </w:rPr>
        <w:t xml:space="preserve"> FERC gave </w:t>
      </w:r>
      <w:r w:rsidR="001E4017">
        <w:rPr>
          <w:color w:val="000000" w:themeColor="text1"/>
        </w:rPr>
        <w:t>NERC</w:t>
      </w:r>
      <w:r w:rsidRPr="007E14C5">
        <w:rPr>
          <w:color w:val="000000" w:themeColor="text1"/>
        </w:rPr>
        <w:t xml:space="preserve"> several months to work with industry to </w:t>
      </w:r>
      <w:proofErr w:type="gramStart"/>
      <w:r w:rsidRPr="007E14C5">
        <w:rPr>
          <w:color w:val="000000" w:themeColor="text1"/>
        </w:rPr>
        <w:t>craft</w:t>
      </w:r>
      <w:proofErr w:type="gramEnd"/>
      <w:r w:rsidRPr="007E14C5">
        <w:rPr>
          <w:color w:val="000000" w:themeColor="text1"/>
        </w:rPr>
        <w:t xml:space="preserve"> a standard that identifies critical assets and develops a strategy for protecting these facilities.</w:t>
      </w:r>
    </w:p>
    <w:p w:rsidR="00E63D3A" w:rsidRDefault="00441E32">
      <w:pPr>
        <w:pStyle w:val="Heading2"/>
      </w:pPr>
      <w:bookmarkStart w:id="838" w:name="_Ref360787033"/>
      <w:bookmarkStart w:id="839" w:name="_Toc365441062"/>
      <w:bookmarkStart w:id="840" w:name="_Toc396807696"/>
      <w:r w:rsidRPr="00D251EF">
        <w:t>Regional Initiatives</w:t>
      </w:r>
      <w:bookmarkEnd w:id="838"/>
      <w:bookmarkEnd w:id="839"/>
      <w:bookmarkEnd w:id="840"/>
    </w:p>
    <w:p w:rsidR="00441E32" w:rsidRPr="00F142F0" w:rsidRDefault="00441E32" w:rsidP="00441E32">
      <w:r w:rsidRPr="00F142F0">
        <w:t>State, regional, and federal initiatives and policies have a significant impact on the wholesale electricity markets and transmission developed to meet system needs, specifically influencing the timing, type, and location of resources and transmission infrastructure. While not an all-inclusive list, this section discusses several policies, laws, and activities affecting the regional power system.</w:t>
      </w:r>
    </w:p>
    <w:p w:rsidR="00441E32" w:rsidRPr="00627EC3" w:rsidRDefault="00441E32" w:rsidP="005C6088">
      <w:pPr>
        <w:pStyle w:val="Heading3"/>
      </w:pPr>
      <w:bookmarkStart w:id="841" w:name="_Toc365441063"/>
      <w:bookmarkStart w:id="842" w:name="_Ref388278697"/>
      <w:bookmarkStart w:id="843" w:name="_Ref388711066"/>
      <w:bookmarkStart w:id="844" w:name="_Ref388962933"/>
      <w:bookmarkStart w:id="845" w:name="_Toc396807697"/>
      <w:r w:rsidRPr="00627EC3">
        <w:t>Coordination among the New England States</w:t>
      </w:r>
      <w:bookmarkEnd w:id="841"/>
      <w:bookmarkEnd w:id="842"/>
      <w:bookmarkEnd w:id="843"/>
      <w:bookmarkEnd w:id="844"/>
      <w:bookmarkEnd w:id="845"/>
      <w:r w:rsidRPr="00627EC3">
        <w:t xml:space="preserve"> </w:t>
      </w:r>
    </w:p>
    <w:p w:rsidR="00441E32" w:rsidRPr="00F142F0" w:rsidRDefault="00441E32" w:rsidP="00441E32">
      <w:r w:rsidRPr="00F142F0">
        <w:t>The New England states have worked together continually to identify, discuss, and address energy issues of common interest. Even with this history of cooperation, each state has a unique set of energy policy objectives and goals.</w:t>
      </w:r>
    </w:p>
    <w:p w:rsidR="00441E32" w:rsidRPr="00F142F0" w:rsidRDefault="00441E32" w:rsidP="00441E32">
      <w:r w:rsidRPr="00F142F0">
        <w:t>Each of the New England states is actively involved in the ISO’s regional planning process, individually and through the New England States Committee on Electricity (NESCOE).</w:t>
      </w:r>
      <w:r w:rsidRPr="00F142F0">
        <w:rPr>
          <w:vertAlign w:val="superscript"/>
        </w:rPr>
        <w:footnoteReference w:id="362"/>
      </w:r>
      <w:r w:rsidRPr="00F142F0">
        <w:t xml:space="preserve"> NESCOE serves as a forum for representatives from the states to participate in the ISO's decision-making processes, including those dealing with resource adequacy and system planning and expansion. </w:t>
      </w:r>
    </w:p>
    <w:p w:rsidR="00540F55" w:rsidRDefault="00441E32">
      <w:pPr>
        <w:rPr>
          <w:rFonts w:cs="Arial"/>
        </w:rPr>
      </w:pPr>
      <w:r w:rsidRPr="00A07A62">
        <w:t>NESCOE has been active in the study of natural gas supply and electric power generation. In 2012 and 2013</w:t>
      </w:r>
      <w:r>
        <w:t>,</w:t>
      </w:r>
      <w:r w:rsidRPr="00A07A62">
        <w:t xml:space="preserve"> NESCOE completed a three</w:t>
      </w:r>
      <w:r>
        <w:t>-</w:t>
      </w:r>
      <w:r w:rsidRPr="00A07A62">
        <w:t>phase study to evaluate the sufficiency of gas infrastructure to support electric power generation in New England from 2014 to 2029.</w:t>
      </w:r>
      <w:r w:rsidRPr="00E00FDE">
        <w:rPr>
          <w:rStyle w:val="FootnoteReference"/>
        </w:rPr>
        <w:footnoteReference w:id="363"/>
      </w:r>
      <w:r w:rsidRPr="00A07A62">
        <w:t xml:space="preserve"> The most recent study recommended the construction of a cross-regional natural gas pipeline to alleviate long-term supply </w:t>
      </w:r>
      <w:r w:rsidRPr="002D42BC">
        <w:t>constraints</w:t>
      </w:r>
      <w:r w:rsidR="002D42BC" w:rsidRPr="002D42BC">
        <w:t xml:space="preserve"> under the study’s base case and high-demand scenarios</w:t>
      </w:r>
      <w:r w:rsidRPr="002D42BC">
        <w:t>.</w:t>
      </w:r>
      <w:r w:rsidRPr="002D42BC">
        <w:rPr>
          <w:rStyle w:val="FootnoteReference"/>
        </w:rPr>
        <w:footnoteReference w:id="364"/>
      </w:r>
      <w:r w:rsidR="00E7355B" w:rsidRPr="002D42BC">
        <w:t xml:space="preserve"> </w:t>
      </w:r>
      <w:r w:rsidRPr="002D42BC">
        <w:t>In January 2014, NESCOE also requested a</w:t>
      </w:r>
      <w:r w:rsidRPr="00D7084F">
        <w:t xml:space="preserve">ssistance </w:t>
      </w:r>
      <w:r>
        <w:t xml:space="preserve">from </w:t>
      </w:r>
      <w:r w:rsidR="004C1547">
        <w:t xml:space="preserve">the </w:t>
      </w:r>
      <w:r>
        <w:t xml:space="preserve">ISO </w:t>
      </w:r>
      <w:r w:rsidRPr="00D7084F">
        <w:t xml:space="preserve">in support of </w:t>
      </w:r>
      <w:r>
        <w:t xml:space="preserve">the governors’ agreement </w:t>
      </w:r>
      <w:r w:rsidRPr="00D7084F">
        <w:t>on improving electric transmission infrastructure for clean energy and increasing natural gas capacity</w:t>
      </w:r>
      <w:r w:rsidR="007B1D28">
        <w:t xml:space="preserve"> (refer to Section </w:t>
      </w:r>
      <w:r w:rsidR="00927965">
        <w:fldChar w:fldCharType="begin"/>
      </w:r>
      <w:r w:rsidR="007B1D28">
        <w:instrText xml:space="preserve"> REF _Ref388888912 \r \h </w:instrText>
      </w:r>
      <w:r w:rsidR="00927965">
        <w:fldChar w:fldCharType="separate"/>
      </w:r>
      <w:r w:rsidR="00284CE3">
        <w:t>6.2.4.4</w:t>
      </w:r>
      <w:r w:rsidR="00927965">
        <w:fldChar w:fldCharType="end"/>
      </w:r>
      <w:r w:rsidR="007B1D28">
        <w:t>)</w:t>
      </w:r>
      <w:r w:rsidRPr="00D7084F">
        <w:t>.</w:t>
      </w:r>
      <w:r w:rsidRPr="00D7084F">
        <w:rPr>
          <w:rStyle w:val="FootnoteReference"/>
        </w:rPr>
        <w:footnoteReference w:id="365"/>
      </w:r>
      <w:r w:rsidRPr="00D7084F">
        <w:t xml:space="preserve"> </w:t>
      </w:r>
      <w:r>
        <w:t>The ISO is committed to working with the states and NEPOOL participants on any proposed changes to its responsibilities under the OATT.</w:t>
      </w:r>
      <w:r w:rsidRPr="00F142F0">
        <w:rPr>
          <w:rStyle w:val="FootnoteReference"/>
        </w:rPr>
        <w:footnoteReference w:id="366"/>
      </w:r>
      <w:r>
        <w:t xml:space="preserve"> </w:t>
      </w:r>
    </w:p>
    <w:p w:rsidR="00441E32" w:rsidRPr="00F142F0" w:rsidRDefault="00441E32" w:rsidP="00441E32">
      <w:pPr>
        <w:pStyle w:val="CommentText"/>
        <w:spacing w:line="260" w:lineRule="atLeast"/>
      </w:pPr>
      <w:r w:rsidRPr="00F142F0">
        <w:t xml:space="preserve">In addition to NESCOE, the ISO works collaboratively with the New England Conference of Public Utilities </w:t>
      </w:r>
      <w:r w:rsidRPr="0013573C">
        <w:t>Commissioners (NECPUC), the New England governors’ offices, and the state</w:t>
      </w:r>
      <w:r w:rsidR="002D4F07">
        <w:t>s’</w:t>
      </w:r>
      <w:r w:rsidRPr="0013573C">
        <w:t xml:space="preserve"> consumer advocates. The</w:t>
      </w:r>
      <w:r w:rsidRPr="00F142F0">
        <w:t xml:space="preserve"> ISO provides monthly updates to the states on regional stakeholder discussions regarding the regional planning process and the wholesale electricity markets.</w:t>
      </w:r>
      <w:r w:rsidRPr="00F142F0">
        <w:rPr>
          <w:vertAlign w:val="superscript"/>
        </w:rPr>
        <w:footnoteReference w:id="367"/>
      </w:r>
      <w:r w:rsidRPr="00F142F0">
        <w:t xml:space="preserve"> </w:t>
      </w:r>
    </w:p>
    <w:p w:rsidR="00441E32" w:rsidRPr="00F142F0" w:rsidRDefault="00441E32" w:rsidP="00441E32">
      <w:r w:rsidRPr="00F142F0">
        <w:t>The New England states are active participants in the interconnection-wide planning for the Eastern Interconnection. The Eastern Interconnection States Planning Council (EI</w:t>
      </w:r>
      <w:r>
        <w:t>S</w:t>
      </w:r>
      <w:r w:rsidRPr="00F142F0">
        <w:t>PC) is an organization of 39 states and eight Canadian provinces in the Eastern Interconnection electric transmission grid, including representatives from New England, responsible for participating with the planning authorities that are part of the EIPC</w:t>
      </w:r>
      <w:r w:rsidR="009D4D53">
        <w:t xml:space="preserve"> (see Section </w:t>
      </w:r>
      <w:r w:rsidR="00927965">
        <w:fldChar w:fldCharType="begin"/>
      </w:r>
      <w:r w:rsidR="009D4D53">
        <w:instrText xml:space="preserve"> REF _Ref398112136 \r \h </w:instrText>
      </w:r>
      <w:r w:rsidR="00927965">
        <w:fldChar w:fldCharType="separate"/>
      </w:r>
      <w:r w:rsidR="00284CE3">
        <w:t>7.1.1</w:t>
      </w:r>
      <w:r w:rsidR="00927965">
        <w:fldChar w:fldCharType="end"/>
      </w:r>
      <w:r w:rsidR="009D4D53">
        <w:t>)</w:t>
      </w:r>
      <w:r w:rsidRPr="00F142F0">
        <w:t>.</w:t>
      </w:r>
      <w:r w:rsidRPr="00F142F0">
        <w:rPr>
          <w:vertAlign w:val="superscript"/>
        </w:rPr>
        <w:footnoteReference w:id="368"/>
      </w:r>
      <w:r w:rsidRPr="00F142F0">
        <w:t xml:space="preserve"> Funded by a DOE Funding Opportunity Announcement, the EISPC comprises public utilities commissions, governors' offices, energy offices, and other key government representatives and provides input to the EIPC study effort. As a planning authority, the ISO has provided technical support to the EISPC. </w:t>
      </w:r>
      <w:r>
        <w:t>The ISO</w:t>
      </w:r>
      <w:r w:rsidRPr="00F142F0">
        <w:t xml:space="preserve">, NESCOE, and NEPOOL work closely to coordinate New England’s participation in all EISPC and EIPC activities. </w:t>
      </w:r>
    </w:p>
    <w:p w:rsidR="00441E32" w:rsidRPr="00617AC5" w:rsidRDefault="00441E32" w:rsidP="005C6088">
      <w:pPr>
        <w:pStyle w:val="Heading3"/>
      </w:pPr>
      <w:bookmarkStart w:id="846" w:name="_Toc365441065"/>
      <w:bookmarkStart w:id="847" w:name="_Toc396807698"/>
      <w:r w:rsidRPr="00D7084F">
        <w:t>Consumer Liaison Group</w:t>
      </w:r>
      <w:bookmarkEnd w:id="846"/>
      <w:bookmarkEnd w:id="847"/>
    </w:p>
    <w:p w:rsidR="00441E32" w:rsidRPr="00F142F0" w:rsidRDefault="00441E32" w:rsidP="00441E32">
      <w:r>
        <w:t xml:space="preserve">The </w:t>
      </w:r>
      <w:r w:rsidRPr="00F142F0">
        <w:t>ISO and regional electricity market stakeholders created the Consumer Liaison Group (CLG) in 2009 to facilitate the consideration of consumer interests in determining the needs and solutions for the region’s power system.</w:t>
      </w:r>
      <w:r w:rsidRPr="00F142F0">
        <w:rPr>
          <w:vertAlign w:val="superscript"/>
        </w:rPr>
        <w:footnoteReference w:id="369"/>
      </w:r>
      <w:r w:rsidRPr="00F142F0">
        <w:t xml:space="preserve"> With representatives from state offices of consumer advocates and attorneys general, large industrial and commercial consumers, chambers of commerce, and others, the CLG meets quarterly to address various consumer issues. With the input of CLG members, a Coordinating Committee guides CLG meeting agendas and ideas for special guest speakers and discussion topics.</w:t>
      </w:r>
    </w:p>
    <w:p w:rsidR="00441E32" w:rsidRPr="00F142F0" w:rsidRDefault="00441E32" w:rsidP="00441E32">
      <w:r w:rsidRPr="00D7084F">
        <w:t xml:space="preserve">In 2013, the CLG’s discussions focused on New England’s dependence on natural gas for power generation, the </w:t>
      </w:r>
      <w:proofErr w:type="gramStart"/>
      <w:r w:rsidRPr="00D7084F">
        <w:t>region’s</w:t>
      </w:r>
      <w:proofErr w:type="gramEnd"/>
      <w:r w:rsidRPr="00D7084F">
        <w:t xml:space="preserve"> constrained natural gas pipeline system, and associated impacts on consumers. </w:t>
      </w:r>
      <w:r w:rsidR="006F7C04">
        <w:t>O</w:t>
      </w:r>
      <w:r w:rsidRPr="00D7084F">
        <w:t xml:space="preserve">n May </w:t>
      </w:r>
      <w:r w:rsidR="006F7C04">
        <w:t xml:space="preserve">28, </w:t>
      </w:r>
      <w:r w:rsidRPr="00D7084F">
        <w:t>2014, the CLG Coordinating Committee and the ISO issued the 2</w:t>
      </w:r>
      <w:r w:rsidRPr="00D7084F">
        <w:rPr>
          <w:i/>
        </w:rPr>
        <w:t>013 Report of the Consumer Liaison Grou</w:t>
      </w:r>
      <w:r w:rsidRPr="00D7084F">
        <w:t>p, which summarizes the activities of the CLG in 2013.</w:t>
      </w:r>
      <w:r w:rsidRPr="00F142F0">
        <w:rPr>
          <w:rStyle w:val="FootnoteReference"/>
        </w:rPr>
        <w:footnoteReference w:id="370"/>
      </w:r>
    </w:p>
    <w:p w:rsidR="00E63D3A" w:rsidRDefault="00441E32">
      <w:pPr>
        <w:pStyle w:val="Heading2"/>
      </w:pPr>
      <w:bookmarkStart w:id="848" w:name="_Toc365441066"/>
      <w:bookmarkStart w:id="849" w:name="_Toc396807699"/>
      <w:r w:rsidRPr="00A07A62">
        <w:t>ISO Initiatives</w:t>
      </w:r>
      <w:bookmarkEnd w:id="848"/>
      <w:bookmarkEnd w:id="849"/>
    </w:p>
    <w:p w:rsidR="00441E32" w:rsidRPr="00F142F0" w:rsidRDefault="00441E32" w:rsidP="00441E32">
      <w:r w:rsidRPr="00F142F0">
        <w:t xml:space="preserve">In addition to the Strategic Planning issues discussed in </w:t>
      </w:r>
      <w:fldSimple w:instr=" REF _Ref360800056 \r \h  \* MERGEFORMAT ">
        <w:r w:rsidR="00284CE3">
          <w:t>Section 6</w:t>
        </w:r>
      </w:fldSimple>
      <w:r w:rsidRPr="00F142F0">
        <w:t>, the ISO is involved in a number of other initiatives aimed at improving the wholesale electricity markets, developing and integrating new technologies, and enhancing operating and planning procedures to enhance system reliability.</w:t>
      </w:r>
    </w:p>
    <w:p w:rsidR="00441E32" w:rsidRPr="00194BB0" w:rsidRDefault="00441E32" w:rsidP="005C6088">
      <w:pPr>
        <w:pStyle w:val="Heading3"/>
      </w:pPr>
      <w:bookmarkStart w:id="850" w:name="_Ref364236047"/>
      <w:bookmarkStart w:id="851" w:name="_Toc365441067"/>
      <w:bookmarkStart w:id="852" w:name="_Toc396807700"/>
      <w:r w:rsidRPr="00D7084F">
        <w:t>Improving the Wholesale Electric</w:t>
      </w:r>
      <w:r w:rsidR="00341FB6">
        <w:t>ity</w:t>
      </w:r>
      <w:r w:rsidRPr="00D7084F">
        <w:t xml:space="preserve"> Markets</w:t>
      </w:r>
      <w:bookmarkEnd w:id="850"/>
      <w:bookmarkEnd w:id="851"/>
      <w:bookmarkEnd w:id="852"/>
      <w:r w:rsidRPr="00D7084F">
        <w:t xml:space="preserve"> </w:t>
      </w:r>
    </w:p>
    <w:p w:rsidR="00441E32" w:rsidRPr="00F142F0" w:rsidRDefault="00341FB6" w:rsidP="00441E32">
      <w:r>
        <w:t xml:space="preserve">The </w:t>
      </w:r>
      <w:r w:rsidR="00441E32" w:rsidRPr="00D7084F">
        <w:t>ISO annually assesses the wholesale electric</w:t>
      </w:r>
      <w:r>
        <w:t>ity</w:t>
      </w:r>
      <w:r w:rsidR="00441E32" w:rsidRPr="00D7084F">
        <w:t xml:space="preserve"> markets </w:t>
      </w:r>
      <w:proofErr w:type="gramStart"/>
      <w:r w:rsidR="00441E32" w:rsidRPr="00D7084F">
        <w:t>to better understand</w:t>
      </w:r>
      <w:proofErr w:type="gramEnd"/>
      <w:r w:rsidR="00441E32" w:rsidRPr="00D7084F">
        <w:t xml:space="preserve"> problems to be addressed and </w:t>
      </w:r>
      <w:r w:rsidR="00441E32" w:rsidRPr="007C3D2D">
        <w:t xml:space="preserve">to determine whether </w:t>
      </w:r>
      <w:r w:rsidR="00F94905" w:rsidRPr="007C3D2D">
        <w:t>the market design or other measures</w:t>
      </w:r>
      <w:r w:rsidR="00AA11AB" w:rsidRPr="007C3D2D">
        <w:t xml:space="preserve"> </w:t>
      </w:r>
      <w:r w:rsidR="00441E32" w:rsidRPr="007C3D2D">
        <w:t>warrant</w:t>
      </w:r>
      <w:r>
        <w:t xml:space="preserve"> any changes</w:t>
      </w:r>
      <w:r w:rsidR="00441E32" w:rsidRPr="007C3D2D">
        <w:t>. The ISO uses this information and the results of RSP studies to develop market</w:t>
      </w:r>
      <w:r w:rsidR="00441E32" w:rsidRPr="00D7084F">
        <w:t xml:space="preserve"> design changes through an open stakeholder process.</w:t>
      </w:r>
      <w:r w:rsidR="00441E32" w:rsidRPr="00F142F0">
        <w:rPr>
          <w:vertAlign w:val="superscript"/>
        </w:rPr>
        <w:footnoteReference w:id="371"/>
      </w:r>
      <w:r w:rsidR="00441E32" w:rsidRPr="00D7084F">
        <w:t xml:space="preserve"> Several market design projects address s</w:t>
      </w:r>
      <w:r>
        <w:t>ome</w:t>
      </w:r>
      <w:r w:rsidR="00441E32" w:rsidRPr="00D7084F">
        <w:t xml:space="preserve"> of the challenges identified in </w:t>
      </w:r>
      <w:r w:rsidR="00441E32" w:rsidRPr="00D7084F">
        <w:rPr>
          <w:rFonts w:cstheme="majorBidi"/>
        </w:rPr>
        <w:t xml:space="preserve">the Strategic Planning Initiative (as </w:t>
      </w:r>
      <w:r w:rsidR="00441E32">
        <w:rPr>
          <w:rFonts w:cstheme="majorBidi"/>
        </w:rPr>
        <w:t>discussed</w:t>
      </w:r>
      <w:r w:rsidR="00441E32" w:rsidRPr="00A07A62">
        <w:rPr>
          <w:rFonts w:cstheme="majorBidi"/>
        </w:rPr>
        <w:t xml:space="preserve"> in</w:t>
      </w:r>
      <w:r w:rsidR="00441E32" w:rsidRPr="00F142F0">
        <w:t xml:space="preserve"> </w:t>
      </w:r>
      <w:fldSimple w:instr=" REF _Ref360800056 \r \h  \* MERGEFORMAT ">
        <w:r w:rsidR="00284CE3">
          <w:t>Section 6</w:t>
        </w:r>
      </w:fldSimple>
      <w:r w:rsidR="00441E32" w:rsidRPr="00A07A62">
        <w:rPr>
          <w:rFonts w:cstheme="majorBidi"/>
        </w:rPr>
        <w:t xml:space="preserve">). For example, some projects will improve the coordination between the </w:t>
      </w:r>
      <w:r w:rsidR="00441E32" w:rsidRPr="00D7084F">
        <w:rPr>
          <w:rFonts w:cstheme="majorBidi"/>
        </w:rPr>
        <w:t xml:space="preserve">electric power and natural gas sectors and others </w:t>
      </w:r>
      <w:r>
        <w:rPr>
          <w:rFonts w:cstheme="majorBidi"/>
        </w:rPr>
        <w:t xml:space="preserve">(i.e., modifications to the FCM) </w:t>
      </w:r>
      <w:r w:rsidR="00441E32" w:rsidRPr="00D7084F">
        <w:rPr>
          <w:rFonts w:cstheme="majorBidi"/>
        </w:rPr>
        <w:t>will provide incentives</w:t>
      </w:r>
      <w:r w:rsidR="00441E32" w:rsidRPr="00D7084F">
        <w:t xml:space="preserve"> that improve </w:t>
      </w:r>
      <w:r>
        <w:t>resource</w:t>
      </w:r>
      <w:r w:rsidR="00441E32" w:rsidRPr="00D7084F">
        <w:t xml:space="preserve"> performance. One of these projects will allow demand response to set market-</w:t>
      </w:r>
      <w:r w:rsidR="00441E32" w:rsidRPr="00050666">
        <w:t xml:space="preserve">clearing </w:t>
      </w:r>
      <w:r w:rsidR="00C50436" w:rsidRPr="00050666">
        <w:t>prices</w:t>
      </w:r>
      <w:r w:rsidR="00F9677E" w:rsidRPr="00050666">
        <w:t xml:space="preserve"> </w:t>
      </w:r>
      <w:r w:rsidR="00441E32" w:rsidRPr="00050666">
        <w:t>that</w:t>
      </w:r>
      <w:r w:rsidR="00441E32" w:rsidRPr="00D7084F">
        <w:t xml:space="preserve"> more closely reflect the costs of activating these resources in the Day-Ahead </w:t>
      </w:r>
      <w:r w:rsidR="008376BB">
        <w:t xml:space="preserve">Energy Market </w:t>
      </w:r>
      <w:r w:rsidR="00441E32" w:rsidRPr="00D7084F">
        <w:t>and Real-</w:t>
      </w:r>
      <w:r w:rsidR="00AA11AB">
        <w:t>T</w:t>
      </w:r>
      <w:r w:rsidR="00441E32" w:rsidRPr="00D7084F">
        <w:t>ime Energy Market.</w:t>
      </w:r>
    </w:p>
    <w:p w:rsidR="00441E32" w:rsidRPr="004F0F75" w:rsidRDefault="00441E32" w:rsidP="005C6088">
      <w:pPr>
        <w:pStyle w:val="Heading3"/>
      </w:pPr>
      <w:bookmarkStart w:id="853" w:name="_Ref360786801"/>
      <w:bookmarkStart w:id="854" w:name="_Toc365441068"/>
      <w:bookmarkStart w:id="855" w:name="_Toc396807701"/>
      <w:r w:rsidRPr="004F0F75">
        <w:t>Updates on Developing and Integrating Smart Grid and Other New Technologies</w:t>
      </w:r>
      <w:bookmarkEnd w:id="853"/>
      <w:bookmarkEnd w:id="854"/>
      <w:bookmarkEnd w:id="855"/>
    </w:p>
    <w:p w:rsidR="00441E32" w:rsidRPr="00F142F0" w:rsidRDefault="00441E32" w:rsidP="00441E32">
      <w:r w:rsidRPr="00F142F0">
        <w:t>The ISO strives to keep up to date with new technologies that can have an impact on the region’s electric power grid. As policymakers set targets and allocate public funds for developing smart grid initiatives and renewable</w:t>
      </w:r>
      <w:r w:rsidR="00341FB6">
        <w:t xml:space="preserve"> resource</w:t>
      </w:r>
      <w:r w:rsidRPr="00F142F0">
        <w:t xml:space="preserve"> generation, the ISO analyzes the effects of these technologies on system </w:t>
      </w:r>
      <w:r w:rsidRPr="00A84456">
        <w:t>operations and reliability.</w:t>
      </w:r>
      <w:r w:rsidRPr="00A84456">
        <w:rPr>
          <w:vertAlign w:val="superscript"/>
        </w:rPr>
        <w:footnoteReference w:id="372"/>
      </w:r>
      <w:r w:rsidRPr="00A84456">
        <w:t xml:space="preserve"> </w:t>
      </w:r>
      <w:r w:rsidR="00D837D8" w:rsidRPr="00A84456">
        <w:t xml:space="preserve">Several of the technology developments and challenges affecting the planning of the New England region involve </w:t>
      </w:r>
      <w:r w:rsidRPr="00A84456">
        <w:t xml:space="preserve">integrating smart grid equipment, improving operator awareness and system modeling through </w:t>
      </w:r>
      <w:r w:rsidR="00D837D8" w:rsidRPr="00A84456">
        <w:t xml:space="preserve">the use </w:t>
      </w:r>
      <w:r w:rsidRPr="00A84456">
        <w:t xml:space="preserve">of </w:t>
      </w:r>
      <w:proofErr w:type="spellStart"/>
      <w:r w:rsidRPr="00A84456">
        <w:t>phasor</w:t>
      </w:r>
      <w:proofErr w:type="spellEnd"/>
      <w:r w:rsidRPr="00F142F0">
        <w:t xml:space="preserve"> measurement units (PMUs), and u</w:t>
      </w:r>
      <w:r w:rsidR="00491C37">
        <w:t>sing</w:t>
      </w:r>
      <w:r w:rsidRPr="00F142F0">
        <w:t xml:space="preserve"> high-voltage direct-current (HVDC) facilities and flexible alternating-current transmission system (FACTS) devices.</w:t>
      </w:r>
      <w:r w:rsidRPr="00F142F0">
        <w:rPr>
          <w:vertAlign w:val="superscript"/>
        </w:rPr>
        <w:footnoteReference w:id="373"/>
      </w:r>
    </w:p>
    <w:p w:rsidR="00B4202D" w:rsidRPr="00491C37" w:rsidRDefault="00441E32">
      <w:pPr>
        <w:pStyle w:val="Heading4"/>
        <w:rPr>
          <w:i w:val="0"/>
        </w:rPr>
      </w:pPr>
      <w:r w:rsidRPr="00491C37">
        <w:rPr>
          <w:rStyle w:val="Heading4Char1"/>
          <w:i/>
        </w:rPr>
        <w:t>Participation in Developing Industry Standards and Other Professional Activities</w:t>
      </w:r>
    </w:p>
    <w:p w:rsidR="00441E32" w:rsidRPr="00F142F0" w:rsidRDefault="00441E32" w:rsidP="00441E32">
      <w:r w:rsidRPr="00F142F0">
        <w:t>Several municipal electric utilities and distribution system owners have installed advanced metering infrastructure (AMI) and technology. These technologies facilitate the installation of distributed resources and price-responsive demand. The ISO currently participates in several research projects sponsored by DOE, the Power System Engineering Research Center (PSERC), and the Electric Power Research Institute (EPRI) that support the successful integration of advanced technologies.</w:t>
      </w:r>
      <w:r w:rsidRPr="00F142F0">
        <w:rPr>
          <w:rStyle w:val="FootnoteReference"/>
        </w:rPr>
        <w:footnoteReference w:id="374"/>
      </w:r>
      <w:r w:rsidRPr="00F142F0">
        <w:t xml:space="preserve"> </w:t>
      </w:r>
    </w:p>
    <w:p w:rsidR="00441E32" w:rsidRPr="00F142F0" w:rsidRDefault="00441E32" w:rsidP="00441E32">
      <w:pPr>
        <w:pStyle w:val="CommentText"/>
        <w:spacing w:line="260" w:lineRule="atLeast"/>
      </w:pPr>
      <w:r w:rsidRPr="00F142F0">
        <w:t>EIA notes that many commercial and industrial customers appear to have lower penetration rates for advanced metering infrastructure because they likely already have installed more sophisticated analog meters enabling participation in time-of-use or interruptible tariffs</w:t>
      </w:r>
      <w:r w:rsidRPr="00BC161A">
        <w:t xml:space="preserve">. </w:t>
      </w:r>
      <w:r w:rsidR="00D431C1" w:rsidRPr="00BC161A">
        <w:t>EIA reports that the 2012 AMI penetration rate in New England was 7.6%</w:t>
      </w:r>
      <w:r w:rsidR="00BC161A" w:rsidRPr="00BC161A">
        <w:t xml:space="preserve"> of all reported meters</w:t>
      </w:r>
      <w:r w:rsidR="00D431C1" w:rsidRPr="00BC161A">
        <w:t>.</w:t>
      </w:r>
      <w:r w:rsidR="00D431C1" w:rsidRPr="00BC161A">
        <w:rPr>
          <w:rStyle w:val="FootnoteReference"/>
        </w:rPr>
        <w:footnoteReference w:id="375"/>
      </w:r>
      <w:r w:rsidRPr="00302A52">
        <w:t xml:space="preserve"> Maine has the highest penetration rate at 99.1%, while</w:t>
      </w:r>
      <w:r w:rsidRPr="00A07A62">
        <w:t xml:space="preserve"> the rest </w:t>
      </w:r>
      <w:r w:rsidRPr="0013573C">
        <w:t>of the New England states have penetration rates of 0 to 27%.</w:t>
      </w:r>
      <w:r w:rsidRPr="00A07A62">
        <w:t xml:space="preserve"> </w:t>
      </w:r>
    </w:p>
    <w:p w:rsidR="00441E32" w:rsidRPr="00F142F0" w:rsidRDefault="00441E32" w:rsidP="00441E32">
      <w:r w:rsidRPr="003F1C1F">
        <w:t xml:space="preserve">The ISO also is actively participating in the development of the national smart grid interoperability standards, led by the National Institute of Standards and Technology, to establish protocols that provide </w:t>
      </w:r>
      <w:r w:rsidRPr="00A07A62">
        <w:t>common interfaces for smart grid equipment.</w:t>
      </w:r>
      <w:r w:rsidRPr="00A07A62">
        <w:rPr>
          <w:vertAlign w:val="superscript"/>
        </w:rPr>
        <w:footnoteReference w:id="376"/>
      </w:r>
      <w:r w:rsidRPr="00A07A62">
        <w:t xml:space="preserve"> Additionally, as a part of an ISO/RTO Council project with other ISOs/RTOs, </w:t>
      </w:r>
      <w:r>
        <w:t xml:space="preserve">the </w:t>
      </w:r>
      <w:r w:rsidRPr="00F142F0">
        <w:t>ISO is providing technical and other support for the development of demand-response-related standards by NIST and the North American Energy Standards Board (NAESB).</w:t>
      </w:r>
      <w:r w:rsidRPr="00F142F0">
        <w:rPr>
          <w:vertAlign w:val="superscript"/>
        </w:rPr>
        <w:footnoteReference w:id="377"/>
      </w:r>
      <w:r w:rsidRPr="00F142F0">
        <w:t xml:space="preserve"> ISO staff and stakeholders remain professionally active in the Institute of Electrical and Electronics Engineers (IEEE), a society that serves to educate its members and the public at large, as well as develop standards for the interconnection and operation of smart grid technologies.</w:t>
      </w:r>
      <w:r w:rsidRPr="00F142F0">
        <w:rPr>
          <w:vertAlign w:val="superscript"/>
        </w:rPr>
        <w:footnoteReference w:id="378"/>
      </w:r>
    </w:p>
    <w:p w:rsidR="00441E32" w:rsidRPr="009F19D8" w:rsidRDefault="009F19D8" w:rsidP="005C6088">
      <w:pPr>
        <w:pStyle w:val="Heading4"/>
      </w:pPr>
      <w:r w:rsidRPr="009F19D8">
        <w:t xml:space="preserve">PMU </w:t>
      </w:r>
      <w:r w:rsidR="00D431C1" w:rsidRPr="009F19D8">
        <w:t>Infrastructure</w:t>
      </w:r>
      <w:r w:rsidR="00441E32" w:rsidRPr="009F19D8">
        <w:t xml:space="preserve"> and Data Utilization</w:t>
      </w:r>
    </w:p>
    <w:p w:rsidR="003B24DB" w:rsidRPr="00B349A2" w:rsidRDefault="003B24DB" w:rsidP="00441E32">
      <w:pPr>
        <w:rPr>
          <w:color w:val="000000" w:themeColor="text1"/>
        </w:rPr>
      </w:pPr>
      <w:r w:rsidRPr="00B349A2">
        <w:t xml:space="preserve">In New England, PMUs </w:t>
      </w:r>
      <w:proofErr w:type="gramStart"/>
      <w:r w:rsidRPr="00B349A2">
        <w:t>are installed</w:t>
      </w:r>
      <w:proofErr w:type="gramEnd"/>
      <w:r w:rsidRPr="00B349A2">
        <w:t xml:space="preserve"> at 40 substations, one </w:t>
      </w:r>
      <w:proofErr w:type="spellStart"/>
      <w:r w:rsidRPr="00B349A2">
        <w:t>phasor</w:t>
      </w:r>
      <w:proofErr w:type="spellEnd"/>
      <w:r w:rsidRPr="00B349A2">
        <w:t xml:space="preserve"> data concentrator (PDC) is at the ISO, and seven PDCs are at participating transmission owners. Additionally, the region has communication infrastructure to support streaming PMU data from substations to transmission owners and then to the ISO.</w:t>
      </w:r>
      <w:r w:rsidRPr="00B349A2">
        <w:rPr>
          <w:color w:val="000000" w:themeColor="text1"/>
          <w:vertAlign w:val="superscript"/>
        </w:rPr>
        <w:footnoteReference w:id="379"/>
      </w:r>
      <w:r w:rsidRPr="00B349A2">
        <w:rPr>
          <w:color w:val="000000" w:themeColor="text1"/>
        </w:rPr>
        <w:t xml:space="preserve"> </w:t>
      </w:r>
    </w:p>
    <w:p w:rsidR="00441E32" w:rsidRPr="003B24DB" w:rsidRDefault="00533D9C" w:rsidP="00441E32">
      <w:r w:rsidRPr="00B349A2">
        <w:rPr>
          <w:color w:val="000000" w:themeColor="text1"/>
        </w:rPr>
        <w:t xml:space="preserve">PMUs have improved overall system security through wide-area monitoring and situational awareness. </w:t>
      </w:r>
      <w:r w:rsidR="00441E32" w:rsidRPr="00B349A2">
        <w:rPr>
          <w:color w:val="000000" w:themeColor="text1"/>
        </w:rPr>
        <w:t xml:space="preserve">The ISO has also improved the modeling of </w:t>
      </w:r>
      <w:r w:rsidR="00F94905" w:rsidRPr="00B349A2">
        <w:rPr>
          <w:color w:val="000000" w:themeColor="text1"/>
        </w:rPr>
        <w:t>generators</w:t>
      </w:r>
      <w:r w:rsidR="00441E32" w:rsidRPr="00B349A2">
        <w:rPr>
          <w:color w:val="000000" w:themeColor="text1"/>
        </w:rPr>
        <w:t xml:space="preserve"> and the system through the analysis of </w:t>
      </w:r>
      <w:r w:rsidR="00D431C1" w:rsidRPr="00B349A2">
        <w:rPr>
          <w:color w:val="000000" w:themeColor="text1"/>
        </w:rPr>
        <w:t>PMU</w:t>
      </w:r>
      <w:r w:rsidR="00441E32" w:rsidRPr="00B349A2">
        <w:rPr>
          <w:color w:val="000000" w:themeColor="text1"/>
        </w:rPr>
        <w:t xml:space="preserve"> data that helps identify </w:t>
      </w:r>
      <w:r w:rsidR="00D55DD7" w:rsidRPr="00B349A2">
        <w:rPr>
          <w:color w:val="000000" w:themeColor="text1"/>
        </w:rPr>
        <w:t>modeling</w:t>
      </w:r>
      <w:r w:rsidR="00F94905" w:rsidRPr="00B349A2">
        <w:rPr>
          <w:color w:val="000000" w:themeColor="text1"/>
        </w:rPr>
        <w:t xml:space="preserve"> parameters</w:t>
      </w:r>
      <w:r w:rsidR="00441E32" w:rsidRPr="00B349A2">
        <w:rPr>
          <w:color w:val="000000" w:themeColor="text1"/>
        </w:rPr>
        <w:t xml:space="preserve"> and reconstruc</w:t>
      </w:r>
      <w:r w:rsidRPr="00B349A2">
        <w:rPr>
          <w:color w:val="000000" w:themeColor="text1"/>
        </w:rPr>
        <w:t xml:space="preserve">t </w:t>
      </w:r>
      <w:r w:rsidR="00441E32" w:rsidRPr="00B349A2">
        <w:rPr>
          <w:color w:val="000000" w:themeColor="text1"/>
        </w:rPr>
        <w:t>system</w:t>
      </w:r>
      <w:r w:rsidR="00441E32" w:rsidRPr="00A07A62">
        <w:rPr>
          <w:color w:val="000000" w:themeColor="text1"/>
        </w:rPr>
        <w:t xml:space="preserve"> events. </w:t>
      </w:r>
      <w:r w:rsidRPr="00A07A62">
        <w:rPr>
          <w:color w:val="000000" w:themeColor="text1"/>
        </w:rPr>
        <w:t xml:space="preserve">The ISO currently </w:t>
      </w:r>
      <w:r w:rsidRPr="00B349A2">
        <w:rPr>
          <w:color w:val="000000" w:themeColor="text1"/>
        </w:rPr>
        <w:t>uses PMU data</w:t>
      </w:r>
      <w:r w:rsidRPr="00A07A62">
        <w:rPr>
          <w:color w:val="000000" w:themeColor="text1"/>
        </w:rPr>
        <w:t xml:space="preserve"> for an application called the Region of Stability Existence (ROSE), which computes operational voltage stability boundaries and margins and compares these limits </w:t>
      </w:r>
      <w:r>
        <w:rPr>
          <w:color w:val="000000" w:themeColor="text1"/>
        </w:rPr>
        <w:t>with</w:t>
      </w:r>
      <w:r w:rsidRPr="00A07A62">
        <w:rPr>
          <w:color w:val="000000" w:themeColor="text1"/>
        </w:rPr>
        <w:t xml:space="preserve"> actual operating conditions. </w:t>
      </w:r>
      <w:r w:rsidR="00441E32" w:rsidRPr="00A07A62">
        <w:rPr>
          <w:color w:val="000000" w:themeColor="text1"/>
        </w:rPr>
        <w:t xml:space="preserve">Longer-term, </w:t>
      </w:r>
      <w:r w:rsidR="00441E32">
        <w:rPr>
          <w:color w:val="000000" w:themeColor="text1"/>
        </w:rPr>
        <w:t xml:space="preserve">the </w:t>
      </w:r>
      <w:r w:rsidR="00441E32" w:rsidRPr="00A07A62">
        <w:rPr>
          <w:color w:val="000000" w:themeColor="text1"/>
        </w:rPr>
        <w:t xml:space="preserve">ISO is exploring the use </w:t>
      </w:r>
      <w:r w:rsidR="00441E32" w:rsidRPr="00B349A2">
        <w:rPr>
          <w:color w:val="000000" w:themeColor="text1"/>
        </w:rPr>
        <w:t xml:space="preserve">of </w:t>
      </w:r>
      <w:r w:rsidR="00D431C1" w:rsidRPr="00B349A2">
        <w:rPr>
          <w:color w:val="000000" w:themeColor="text1"/>
        </w:rPr>
        <w:t>PMU</w:t>
      </w:r>
      <w:r w:rsidR="00441E32" w:rsidRPr="00A07A62">
        <w:rPr>
          <w:color w:val="000000" w:themeColor="text1"/>
        </w:rPr>
        <w:t xml:space="preserve"> data to enhance the quality of the state estimator, which provides near real-time quantities of parameters necessary to operate the system</w:t>
      </w:r>
      <w:r w:rsidR="00441E32">
        <w:rPr>
          <w:color w:val="000000" w:themeColor="text1"/>
        </w:rPr>
        <w:t>.</w:t>
      </w:r>
    </w:p>
    <w:p w:rsidR="00441E32" w:rsidRPr="00F142F0" w:rsidRDefault="00441E32" w:rsidP="005C6088">
      <w:pPr>
        <w:pStyle w:val="Heading4"/>
      </w:pPr>
      <w:bookmarkStart w:id="856" w:name="_Ref388605466"/>
      <w:r w:rsidRPr="00A07A62">
        <w:t>HVDC and FACTS</w:t>
      </w:r>
      <w:bookmarkEnd w:id="856"/>
      <w:r w:rsidRPr="00A07A62">
        <w:t xml:space="preserve"> </w:t>
      </w:r>
    </w:p>
    <w:p w:rsidR="00441E32" w:rsidRPr="00F142F0" w:rsidRDefault="00441E32" w:rsidP="00441E32">
      <w:r w:rsidRPr="00F142F0">
        <w:t xml:space="preserve">The application of power electronics to the power system through high-voltage </w:t>
      </w:r>
      <w:proofErr w:type="gramStart"/>
      <w:r w:rsidRPr="00F142F0">
        <w:t>direct-current</w:t>
      </w:r>
      <w:proofErr w:type="gramEnd"/>
      <w:r w:rsidRPr="00F142F0">
        <w:t xml:space="preserve"> and flexible alternating-current transmission system technologies can enhance the performance of the transmission system. HVDC and FACTS use a combination of solid-state switches and computerized automation that enables nearly instantaneous customized control of real or reactive power flows—far faster than traditional electromechanical switches. HVDC </w:t>
      </w:r>
      <w:proofErr w:type="gramStart"/>
      <w:r w:rsidRPr="00F142F0">
        <w:t>has been applied</w:t>
      </w:r>
      <w:proofErr w:type="gramEnd"/>
      <w:r w:rsidRPr="00F142F0">
        <w:t xml:space="preserve"> to the New England system interconnections with Québec and to New York under the Long </w:t>
      </w:r>
      <w:r w:rsidRPr="00EC2694">
        <w:t xml:space="preserve">Island Sound. </w:t>
      </w:r>
      <w:r w:rsidR="008F742F" w:rsidRPr="00EC2694">
        <w:t xml:space="preserve">As mentioned in </w:t>
      </w:r>
      <w:r w:rsidR="00533D9C" w:rsidRPr="00EC2694">
        <w:t>Section</w:t>
      </w:r>
      <w:r w:rsidR="00533D9C">
        <w:t> </w:t>
      </w:r>
      <w:fldSimple w:instr=" REF _Ref388605970 \r \h  \* MERGEFORMAT ">
        <w:r w:rsidR="00284CE3">
          <w:t>6.6.3.2</w:t>
        </w:r>
      </w:fldSimple>
      <w:r w:rsidR="008F742F" w:rsidRPr="00EC2694">
        <w:t xml:space="preserve">, </w:t>
      </w:r>
      <w:r w:rsidR="0056074C" w:rsidRPr="00EC2694">
        <w:t>a part of the Strategic Transmission Analysis for wind</w:t>
      </w:r>
      <w:r w:rsidR="0056074C">
        <w:t xml:space="preserve"> is the study of </w:t>
      </w:r>
      <w:proofErr w:type="spellStart"/>
      <w:r w:rsidR="008F742F" w:rsidRPr="00EC2694">
        <w:t>thyristor</w:t>
      </w:r>
      <w:proofErr w:type="spellEnd"/>
      <w:r w:rsidR="008F742F" w:rsidRPr="00EC2694">
        <w:t>-controlled series</w:t>
      </w:r>
      <w:r w:rsidR="0056074C">
        <w:t>-</w:t>
      </w:r>
      <w:r w:rsidR="008F742F" w:rsidRPr="00EC2694">
        <w:t>compensation FACTS devices</w:t>
      </w:r>
      <w:r w:rsidR="00EC2694" w:rsidRPr="00EC2694">
        <w:t>.</w:t>
      </w:r>
      <w:r w:rsidR="00C62C04" w:rsidRPr="00EC2694">
        <w:t xml:space="preserve"> </w:t>
      </w:r>
      <w:r w:rsidRPr="00EC2694">
        <w:t>FACTS</w:t>
      </w:r>
      <w:r w:rsidRPr="00F142F0">
        <w:t xml:space="preserve"> applications have provided a much-needed boost to the transmission system and offer some other technical advantages, especially when dynamic voltage support </w:t>
      </w:r>
      <w:proofErr w:type="gramStart"/>
      <w:r w:rsidRPr="00F142F0">
        <w:t>is needed</w:t>
      </w:r>
      <w:proofErr w:type="gramEnd"/>
      <w:r w:rsidRPr="00F142F0">
        <w:t>.</w:t>
      </w:r>
      <w:r w:rsidRPr="00F142F0">
        <w:rPr>
          <w:vertAlign w:val="superscript"/>
        </w:rPr>
        <w:footnoteReference w:id="380"/>
      </w:r>
      <w:r w:rsidRPr="00F142F0">
        <w:t xml:space="preserve"> </w:t>
      </w:r>
      <w:fldSimple w:instr=" REF _Ref367345169 \h  \* MERGEFORMAT ">
        <w:r w:rsidR="00284CE3" w:rsidRPr="00284CE3">
          <w:rPr>
            <w:bCs/>
            <w:szCs w:val="18"/>
          </w:rPr>
          <w:t xml:space="preserve">Figure </w:t>
        </w:r>
        <w:r w:rsidR="00284CE3" w:rsidRPr="00284CE3">
          <w:rPr>
            <w:noProof/>
            <w:szCs w:val="18"/>
          </w:rPr>
          <w:t>7</w:t>
        </w:r>
        <w:r w:rsidR="00284CE3" w:rsidRPr="00284CE3">
          <w:rPr>
            <w:noProof/>
            <w:szCs w:val="18"/>
          </w:rPr>
          <w:noBreakHyphen/>
          <w:t>2</w:t>
        </w:r>
      </w:fldSimple>
      <w:r w:rsidRPr="00F142F0">
        <w:t xml:space="preserve"> shows the existing and planned FACTS devices in New England.</w:t>
      </w:r>
    </w:p>
    <w:p w:rsidR="00441E32" w:rsidRPr="00F142F0" w:rsidRDefault="00505E04" w:rsidP="00441E32">
      <w:pPr>
        <w:keepNext/>
        <w:keepLines/>
        <w:spacing w:after="0" w:line="240" w:lineRule="auto"/>
        <w:jc w:val="center"/>
      </w:pPr>
      <w:r w:rsidRPr="00505E04">
        <w:rPr>
          <w:noProof/>
        </w:rPr>
        <w:drawing>
          <wp:inline distT="0" distB="0" distL="0" distR="0">
            <wp:extent cx="4883178" cy="3435350"/>
            <wp:effectExtent l="19050" t="19050" r="12672" b="1270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4884385" cy="3436199"/>
                    </a:xfrm>
                    <a:prstGeom prst="rect">
                      <a:avLst/>
                    </a:prstGeom>
                    <a:noFill/>
                    <a:ln w="3175">
                      <a:solidFill>
                        <a:schemeClr val="tx1"/>
                      </a:solidFill>
                      <a:miter lim="800000"/>
                      <a:headEnd/>
                      <a:tailEnd/>
                    </a:ln>
                  </pic:spPr>
                </pic:pic>
              </a:graphicData>
            </a:graphic>
          </wp:inline>
        </w:drawing>
      </w:r>
    </w:p>
    <w:p w:rsidR="00441E32" w:rsidRPr="00507780" w:rsidRDefault="00441E32" w:rsidP="00441E32">
      <w:pPr>
        <w:keepNext/>
        <w:keepLines/>
        <w:tabs>
          <w:tab w:val="left" w:pos="8730"/>
        </w:tabs>
        <w:spacing w:before="120" w:after="80" w:line="240" w:lineRule="auto"/>
        <w:ind w:left="630" w:right="630"/>
        <w:rPr>
          <w:rFonts w:asciiTheme="minorHAnsi" w:hAnsiTheme="minorHAnsi"/>
          <w:b/>
          <w:bCs/>
          <w:sz w:val="18"/>
          <w:szCs w:val="18"/>
        </w:rPr>
      </w:pPr>
      <w:bookmarkStart w:id="857" w:name="_Ref367345169"/>
      <w:bookmarkStart w:id="858" w:name="_Toc365440696"/>
      <w:bookmarkStart w:id="859" w:name="_Toc391985593"/>
      <w:r w:rsidRPr="00507780">
        <w:rPr>
          <w:rFonts w:asciiTheme="minorHAnsi" w:hAnsiTheme="minorHAnsi"/>
          <w:b/>
          <w:bCs/>
          <w:sz w:val="18"/>
          <w:szCs w:val="18"/>
        </w:rPr>
        <w:t xml:space="preserve">Figure </w:t>
      </w:r>
      <w:r w:rsidR="00927965">
        <w:rPr>
          <w:rFonts w:asciiTheme="minorHAnsi" w:hAnsiTheme="minorHAnsi"/>
          <w:b/>
          <w:bCs/>
          <w:sz w:val="18"/>
          <w:szCs w:val="18"/>
        </w:rPr>
        <w:fldChar w:fldCharType="begin"/>
      </w:r>
      <w:r w:rsidR="0011163E">
        <w:rPr>
          <w:rFonts w:asciiTheme="minorHAnsi" w:hAnsiTheme="minorHAnsi"/>
          <w:b/>
          <w:bCs/>
          <w:sz w:val="18"/>
          <w:szCs w:val="18"/>
        </w:rPr>
        <w:instrText xml:space="preserve"> STYLEREF 1 \s </w:instrText>
      </w:r>
      <w:r w:rsidR="00927965">
        <w:rPr>
          <w:rFonts w:asciiTheme="minorHAnsi" w:hAnsiTheme="minorHAnsi"/>
          <w:b/>
          <w:bCs/>
          <w:sz w:val="18"/>
          <w:szCs w:val="18"/>
        </w:rPr>
        <w:fldChar w:fldCharType="separate"/>
      </w:r>
      <w:r w:rsidR="00284CE3">
        <w:rPr>
          <w:rFonts w:asciiTheme="minorHAnsi" w:hAnsiTheme="minorHAnsi"/>
          <w:b/>
          <w:bCs/>
          <w:noProof/>
          <w:sz w:val="18"/>
          <w:szCs w:val="18"/>
        </w:rPr>
        <w:t>7</w:t>
      </w:r>
      <w:r w:rsidR="00927965">
        <w:rPr>
          <w:rFonts w:asciiTheme="minorHAnsi" w:hAnsiTheme="minorHAnsi"/>
          <w:b/>
          <w:bCs/>
          <w:sz w:val="18"/>
          <w:szCs w:val="18"/>
        </w:rPr>
        <w:fldChar w:fldCharType="end"/>
      </w:r>
      <w:r w:rsidR="0011163E">
        <w:rPr>
          <w:rFonts w:asciiTheme="minorHAnsi" w:hAnsiTheme="minorHAnsi"/>
          <w:b/>
          <w:bCs/>
          <w:sz w:val="18"/>
          <w:szCs w:val="18"/>
        </w:rPr>
        <w:noBreakHyphen/>
      </w:r>
      <w:r w:rsidR="00927965">
        <w:rPr>
          <w:rFonts w:asciiTheme="minorHAnsi" w:hAnsiTheme="minorHAnsi"/>
          <w:b/>
          <w:bCs/>
          <w:sz w:val="18"/>
          <w:szCs w:val="18"/>
        </w:rPr>
        <w:fldChar w:fldCharType="begin"/>
      </w:r>
      <w:r w:rsidR="0011163E">
        <w:rPr>
          <w:rFonts w:asciiTheme="minorHAnsi" w:hAnsiTheme="minorHAnsi"/>
          <w:b/>
          <w:bCs/>
          <w:sz w:val="18"/>
          <w:szCs w:val="18"/>
        </w:rPr>
        <w:instrText xml:space="preserve"> SEQ Figure \* ARABIC \s 1 </w:instrText>
      </w:r>
      <w:r w:rsidR="00927965">
        <w:rPr>
          <w:rFonts w:asciiTheme="minorHAnsi" w:hAnsiTheme="minorHAnsi"/>
          <w:b/>
          <w:bCs/>
          <w:sz w:val="18"/>
          <w:szCs w:val="18"/>
        </w:rPr>
        <w:fldChar w:fldCharType="separate"/>
      </w:r>
      <w:r w:rsidR="00284CE3">
        <w:rPr>
          <w:rFonts w:asciiTheme="minorHAnsi" w:hAnsiTheme="minorHAnsi"/>
          <w:b/>
          <w:bCs/>
          <w:noProof/>
          <w:sz w:val="18"/>
          <w:szCs w:val="18"/>
        </w:rPr>
        <w:t>2</w:t>
      </w:r>
      <w:r w:rsidR="00927965">
        <w:rPr>
          <w:rFonts w:asciiTheme="minorHAnsi" w:hAnsiTheme="minorHAnsi"/>
          <w:b/>
          <w:bCs/>
          <w:sz w:val="18"/>
          <w:szCs w:val="18"/>
        </w:rPr>
        <w:fldChar w:fldCharType="end"/>
      </w:r>
      <w:bookmarkEnd w:id="857"/>
      <w:r w:rsidRPr="00507780">
        <w:rPr>
          <w:rFonts w:asciiTheme="minorHAnsi" w:hAnsiTheme="minorHAnsi"/>
          <w:b/>
          <w:bCs/>
          <w:sz w:val="18"/>
          <w:szCs w:val="18"/>
        </w:rPr>
        <w:t>: Existing and planned FACTS devices in New England</w:t>
      </w:r>
      <w:bookmarkEnd w:id="858"/>
      <w:r w:rsidRPr="00507780">
        <w:rPr>
          <w:rFonts w:asciiTheme="minorHAnsi" w:hAnsiTheme="minorHAnsi"/>
          <w:b/>
          <w:bCs/>
          <w:sz w:val="18"/>
          <w:szCs w:val="18"/>
        </w:rPr>
        <w:t>.</w:t>
      </w:r>
      <w:bookmarkEnd w:id="859"/>
    </w:p>
    <w:p w:rsidR="00441E32" w:rsidRPr="00833CAC" w:rsidRDefault="00441E32" w:rsidP="00441E32">
      <w:pPr>
        <w:keepNext/>
        <w:keepLines/>
        <w:tabs>
          <w:tab w:val="left" w:pos="8730"/>
        </w:tabs>
        <w:spacing w:line="240" w:lineRule="auto"/>
        <w:ind w:left="634" w:right="634"/>
        <w:rPr>
          <w:rFonts w:asciiTheme="minorHAnsi" w:hAnsiTheme="minorHAnsi"/>
          <w:sz w:val="18"/>
          <w:szCs w:val="18"/>
        </w:rPr>
      </w:pPr>
      <w:r w:rsidRPr="00833CAC">
        <w:rPr>
          <w:rFonts w:asciiTheme="minorHAnsi" w:hAnsiTheme="minorHAnsi"/>
          <w:b/>
          <w:sz w:val="18"/>
          <w:szCs w:val="18"/>
        </w:rPr>
        <w:t xml:space="preserve">Note: </w:t>
      </w:r>
      <w:r w:rsidRPr="00833CAC">
        <w:rPr>
          <w:rFonts w:asciiTheme="minorHAnsi" w:hAnsiTheme="minorHAnsi"/>
          <w:sz w:val="18"/>
          <w:szCs w:val="18"/>
        </w:rPr>
        <w:t xml:space="preserve">The acronyms and abbreviations in the key refer to the following terms: HVDC = high voltage, direct current. VSC = voltage source converter. SVC = static voltage ampere reactive (V) compensator. STATCOM = static synchronous compensator. DVAR = dynamic voltage ampere reactive. </w:t>
      </w:r>
    </w:p>
    <w:p w:rsidR="00AA43C5" w:rsidRDefault="00441E32" w:rsidP="00441E32">
      <w:r w:rsidRPr="00F142F0">
        <w:t xml:space="preserve">Both HVDC and FACTS </w:t>
      </w:r>
      <w:proofErr w:type="gramStart"/>
      <w:r w:rsidRPr="00F142F0">
        <w:t>are regularly considered</w:t>
      </w:r>
      <w:proofErr w:type="gramEnd"/>
      <w:r w:rsidRPr="00F142F0">
        <w:t xml:space="preserve"> as part of transmission planning studies when their applications economically meet system or generator interconnection needs. For example, the HVDC controls for </w:t>
      </w:r>
      <w:proofErr w:type="spellStart"/>
      <w:r w:rsidRPr="00F142F0">
        <w:t>Highgate</w:t>
      </w:r>
      <w:proofErr w:type="spellEnd"/>
      <w:r w:rsidRPr="00F142F0">
        <w:t xml:space="preserve"> </w:t>
      </w:r>
      <w:proofErr w:type="gramStart"/>
      <w:r w:rsidRPr="00A07A62">
        <w:t>were replaced</w:t>
      </w:r>
      <w:proofErr w:type="gramEnd"/>
      <w:r w:rsidRPr="00A07A62">
        <w:t xml:space="preserve"> in November 2012.</w:t>
      </w:r>
      <w:r>
        <w:rPr>
          <w:rStyle w:val="FootnoteReference"/>
        </w:rPr>
        <w:footnoteReference w:id="381"/>
      </w:r>
      <w:r w:rsidRPr="00A07A62">
        <w:t xml:space="preserve"> Changes to the Chester static VAR compensator (SVC) control settings </w:t>
      </w:r>
      <w:proofErr w:type="gramStart"/>
      <w:r w:rsidRPr="00A07A62">
        <w:t>were completed</w:t>
      </w:r>
      <w:proofErr w:type="gramEnd"/>
      <w:r w:rsidRPr="00A07A62">
        <w:t xml:space="preserve"> in 2010, and dynamic voltage ampere reactive systems (DVARs) have been applied to stabilize wind farms, such as </w:t>
      </w:r>
      <w:proofErr w:type="spellStart"/>
      <w:r w:rsidRPr="00A07A62">
        <w:t>Kibby</w:t>
      </w:r>
      <w:proofErr w:type="spellEnd"/>
      <w:r w:rsidRPr="00A07A62">
        <w:t xml:space="preserve"> and </w:t>
      </w:r>
      <w:r w:rsidRPr="0096250C">
        <w:t xml:space="preserve">Kingston </w:t>
      </w:r>
      <w:r w:rsidR="00F94905" w:rsidRPr="0096250C">
        <w:t xml:space="preserve">(see </w:t>
      </w:r>
      <w:r w:rsidR="005A52F5" w:rsidRPr="00DE452B">
        <w:t>Section </w:t>
      </w:r>
      <w:fldSimple w:instr=" REF _Ref388890017 \r \h  \* MERGEFORMAT ">
        <w:r w:rsidR="00284CE3">
          <w:t>5.4.1</w:t>
        </w:r>
      </w:fldSimple>
      <w:r w:rsidRPr="00DE452B">
        <w:t>).</w:t>
      </w:r>
      <w:r w:rsidRPr="00DE452B">
        <w:rPr>
          <w:vertAlign w:val="superscript"/>
        </w:rPr>
        <w:footnoteReference w:id="382"/>
      </w:r>
      <w:r w:rsidRPr="00DE452B">
        <w:t xml:space="preserve"> As shown in </w:t>
      </w:r>
      <w:fldSimple w:instr=" REF _Ref386198608 \h  \* MERGEFORMAT ">
        <w:r w:rsidR="00284CE3" w:rsidRPr="00F87073">
          <w:t xml:space="preserve">Figure </w:t>
        </w:r>
        <w:r w:rsidR="00284CE3">
          <w:rPr>
            <w:noProof/>
          </w:rPr>
          <w:t>7</w:t>
        </w:r>
        <w:r w:rsidR="00284CE3" w:rsidRPr="00F87073">
          <w:rPr>
            <w:noProof/>
          </w:rPr>
          <w:noBreakHyphen/>
        </w:r>
        <w:r w:rsidR="00284CE3">
          <w:rPr>
            <w:noProof/>
          </w:rPr>
          <w:t>3</w:t>
        </w:r>
      </w:fldSimple>
      <w:r w:rsidRPr="00DE452B">
        <w:t xml:space="preserve">, future </w:t>
      </w:r>
      <w:r w:rsidR="0058019A" w:rsidRPr="0058019A">
        <w:t>merchant</w:t>
      </w:r>
      <w:r w:rsidRPr="00DE452B">
        <w:t xml:space="preserve"> and elective HVDC projects are under</w:t>
      </w:r>
      <w:r w:rsidRPr="00507780">
        <w:t xml:space="preserve"> consideration as part of</w:t>
      </w:r>
      <w:r w:rsidRPr="00F142F0">
        <w:t xml:space="preserve"> additional interconnections with Québec, New Brunswick, and New York, and as part of </w:t>
      </w:r>
      <w:r w:rsidR="0056074C">
        <w:t xml:space="preserve">the </w:t>
      </w:r>
      <w:r w:rsidRPr="00F142F0">
        <w:t xml:space="preserve">interconnections within New England between areas with a large potential for wind power </w:t>
      </w:r>
      <w:r w:rsidRPr="0096250C">
        <w:t xml:space="preserve">development </w:t>
      </w:r>
      <w:r w:rsidR="003D1B23" w:rsidRPr="0096250C">
        <w:t xml:space="preserve">(see Section </w:t>
      </w:r>
      <w:fldSimple w:instr=" REF _Ref388890795 \r \h  \* MERGEFORMAT ">
        <w:r w:rsidR="00284CE3">
          <w:t>6.6</w:t>
        </w:r>
      </w:fldSimple>
      <w:r w:rsidR="003D1B23" w:rsidRPr="0096250C">
        <w:t xml:space="preserve">) </w:t>
      </w:r>
      <w:r w:rsidRPr="0096250C">
        <w:t>and regional load centers.</w:t>
      </w:r>
      <w:r w:rsidRPr="00F142F0">
        <w:t xml:space="preserve"> </w:t>
      </w:r>
    </w:p>
    <w:tbl>
      <w:tblPr>
        <w:tblpPr w:leftFromText="180" w:rightFromText="180" w:vertAnchor="text" w:tblpXSpec="center" w:tblpY="1"/>
        <w:tblOverlap w:val="never"/>
        <w:tblW w:w="8478" w:type="dxa"/>
        <w:tblBorders>
          <w:top w:val="single" w:sz="2" w:space="0" w:color="auto"/>
          <w:left w:val="single" w:sz="2" w:space="0" w:color="auto"/>
          <w:bottom w:val="single" w:sz="2" w:space="0" w:color="auto"/>
          <w:right w:val="single" w:sz="2" w:space="0" w:color="auto"/>
        </w:tblBorders>
        <w:tblLayout w:type="fixed"/>
        <w:tblLook w:val="01E0"/>
      </w:tblPr>
      <w:tblGrid>
        <w:gridCol w:w="5708"/>
        <w:gridCol w:w="2770"/>
      </w:tblGrid>
      <w:tr w:rsidR="00E94867" w:rsidRPr="00D24E77" w:rsidTr="001E3655">
        <w:trPr>
          <w:trHeight w:val="5125"/>
        </w:trPr>
        <w:tc>
          <w:tcPr>
            <w:tcW w:w="5708" w:type="dxa"/>
            <w:vAlign w:val="center"/>
          </w:tcPr>
          <w:p w:rsidR="00E94867" w:rsidRDefault="00E94867" w:rsidP="001E3655">
            <w:pPr>
              <w:widowControl w:val="0"/>
              <w:spacing w:after="0" w:line="240" w:lineRule="auto"/>
              <w:jc w:val="center"/>
            </w:pPr>
            <w:r>
              <w:rPr>
                <w:noProof/>
              </w:rPr>
              <w:drawing>
                <wp:inline distT="0" distB="0" distL="0" distR="0">
                  <wp:extent cx="3479524" cy="2994991"/>
                  <wp:effectExtent l="19050" t="0" r="6626" b="0"/>
                  <wp:docPr id="9" name="Picture 1" descr="cid:image001.png@01CF9F6B.327FB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9F6B.327FB120"/>
                          <pic:cNvPicPr>
                            <a:picLocks noChangeAspect="1" noChangeArrowheads="1"/>
                          </pic:cNvPicPr>
                        </pic:nvPicPr>
                        <pic:blipFill>
                          <a:blip r:embed="rId80" r:link="rId81" cstate="print"/>
                          <a:srcRect/>
                          <a:stretch>
                            <a:fillRect/>
                          </a:stretch>
                        </pic:blipFill>
                        <pic:spPr bwMode="auto">
                          <a:xfrm>
                            <a:off x="0" y="0"/>
                            <a:ext cx="3482090" cy="2997200"/>
                          </a:xfrm>
                          <a:prstGeom prst="rect">
                            <a:avLst/>
                          </a:prstGeom>
                          <a:noFill/>
                          <a:ln w="9525">
                            <a:noFill/>
                            <a:miter lim="800000"/>
                            <a:headEnd/>
                            <a:tailEnd/>
                          </a:ln>
                        </pic:spPr>
                      </pic:pic>
                    </a:graphicData>
                  </a:graphic>
                </wp:inline>
              </w:drawing>
            </w:r>
          </w:p>
        </w:tc>
        <w:tc>
          <w:tcPr>
            <w:tcW w:w="2770" w:type="dxa"/>
            <w:vAlign w:val="center"/>
          </w:tcPr>
          <w:p w:rsidR="00E94867" w:rsidRPr="00485674" w:rsidRDefault="00927965" w:rsidP="001E3655">
            <w:pPr>
              <w:widowControl w:val="0"/>
              <w:spacing w:after="0" w:line="240" w:lineRule="auto"/>
              <w:ind w:left="142" w:hanging="162"/>
              <w:rPr>
                <w:rFonts w:ascii="Arial" w:hAnsi="Arial" w:cs="Arial"/>
                <w:sz w:val="16"/>
                <w:szCs w:val="16"/>
              </w:rPr>
            </w:pPr>
            <w:r w:rsidRPr="00927965">
              <w:pict>
                <v:shape id="_x0000_s1026" type="#_x0000_t202" style="width:132.75pt;height:243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26">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
                          <w:gridCol w:w="2185"/>
                        </w:tblGrid>
                        <w:tr w:rsidR="001E3655" w:rsidRPr="00A5193B" w:rsidTr="001E3655">
                          <w:tc>
                            <w:tcPr>
                              <w:tcW w:w="2335" w:type="dxa"/>
                              <w:gridSpan w:val="2"/>
                              <w:tcMar>
                                <w:left w:w="0" w:type="dxa"/>
                                <w:right w:w="0" w:type="dxa"/>
                              </w:tcMar>
                            </w:tcPr>
                            <w:p w:rsidR="001E3655" w:rsidRPr="00DC6447" w:rsidRDefault="001E3655" w:rsidP="00B734E8">
                              <w:pPr>
                                <w:spacing w:after="40" w:line="240" w:lineRule="auto"/>
                                <w:jc w:val="center"/>
                                <w:rPr>
                                  <w:rFonts w:asciiTheme="minorHAnsi" w:hAnsiTheme="minorHAnsi"/>
                                  <w:sz w:val="18"/>
                                  <w:szCs w:val="18"/>
                                </w:rPr>
                              </w:pPr>
                              <w:r w:rsidRPr="00DC6447">
                                <w:rPr>
                                  <w:rFonts w:asciiTheme="minorHAnsi" w:hAnsiTheme="minorHAnsi" w:cs="Arial"/>
                                  <w:b/>
                                  <w:bCs/>
                                  <w:sz w:val="18"/>
                                  <w:szCs w:val="18"/>
                                </w:rPr>
                                <w:t>Representative Projects and</w:t>
                              </w:r>
                              <w:r w:rsidRPr="00DC6447">
                                <w:rPr>
                                  <w:rFonts w:asciiTheme="minorHAnsi" w:hAnsiTheme="minorHAnsi" w:cs="Arial"/>
                                  <w:b/>
                                  <w:bCs/>
                                  <w:sz w:val="18"/>
                                  <w:szCs w:val="18"/>
                                </w:rPr>
                                <w:br/>
                                <w:t>Concept Proposals</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A</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Northern Pass</w:t>
                              </w:r>
                              <w:r w:rsidRPr="00E94867">
                                <w:rPr>
                                  <w:rFonts w:asciiTheme="minorHAnsi" w:hAnsiTheme="minorHAnsi" w:cs="Arial"/>
                                  <w:sz w:val="16"/>
                                  <w:szCs w:val="16"/>
                                </w:rPr>
                                <w:t>—Hydro-Québec/ Northeast Utilities</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B</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Northeast Energy Link</w:t>
                              </w:r>
                              <w:r w:rsidRPr="00E94867">
                                <w:rPr>
                                  <w:rFonts w:asciiTheme="minorHAnsi" w:hAnsiTheme="minorHAnsi" w:cs="Arial"/>
                                  <w:sz w:val="16"/>
                                  <w:szCs w:val="16"/>
                                </w:rPr>
                                <w:t>—</w:t>
                              </w:r>
                              <w:r w:rsidRPr="00E94867">
                                <w:rPr>
                                  <w:rFonts w:asciiTheme="minorHAnsi" w:hAnsiTheme="minorHAnsi" w:cs="Arial"/>
                                  <w:sz w:val="16"/>
                                  <w:szCs w:val="16"/>
                                </w:rPr>
                                <w:br/>
                              </w:r>
                              <w:proofErr w:type="spellStart"/>
                              <w:r w:rsidRPr="00E94867">
                                <w:rPr>
                                  <w:rFonts w:asciiTheme="minorHAnsi" w:hAnsiTheme="minorHAnsi" w:cs="Arial"/>
                                  <w:sz w:val="16"/>
                                  <w:szCs w:val="16"/>
                                </w:rPr>
                                <w:t>Emera</w:t>
                              </w:r>
                              <w:proofErr w:type="spellEnd"/>
                              <w:r w:rsidRPr="00E94867">
                                <w:rPr>
                                  <w:rFonts w:asciiTheme="minorHAnsi" w:hAnsiTheme="minorHAnsi" w:cs="Arial"/>
                                  <w:sz w:val="16"/>
                                  <w:szCs w:val="16"/>
                                </w:rPr>
                                <w:t xml:space="preserve"> Maine/National Grid</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C</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Green Line</w:t>
                              </w:r>
                              <w:r w:rsidRPr="00E94867">
                                <w:rPr>
                                  <w:rFonts w:asciiTheme="minorHAnsi" w:hAnsiTheme="minorHAnsi" w:cs="Arial"/>
                                  <w:sz w:val="16"/>
                                  <w:szCs w:val="16"/>
                                </w:rPr>
                                <w:t>—New England ITC</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D</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Bay State Offshore Wind Transmission System</w:t>
                              </w:r>
                              <w:r w:rsidRPr="00E94867">
                                <w:rPr>
                                  <w:rFonts w:asciiTheme="minorHAnsi" w:hAnsiTheme="minorHAnsi" w:cs="Arial"/>
                                  <w:sz w:val="16"/>
                                  <w:szCs w:val="16"/>
                                </w:rPr>
                                <w:t>—</w:t>
                              </w:r>
                              <w:r w:rsidRPr="00E94867">
                                <w:rPr>
                                  <w:rFonts w:asciiTheme="minorHAnsi" w:hAnsiTheme="minorHAnsi" w:cs="Arial"/>
                                  <w:sz w:val="16"/>
                                  <w:szCs w:val="16"/>
                                </w:rPr>
                                <w:br/>
                              </w:r>
                              <w:proofErr w:type="spellStart"/>
                              <w:r w:rsidRPr="00E94867">
                                <w:rPr>
                                  <w:rFonts w:asciiTheme="minorHAnsi" w:hAnsiTheme="minorHAnsi" w:cs="Arial"/>
                                  <w:sz w:val="16"/>
                                  <w:szCs w:val="16"/>
                                </w:rPr>
                                <w:t>Anbaric</w:t>
                              </w:r>
                              <w:proofErr w:type="spellEnd"/>
                              <w:r w:rsidRPr="00E94867">
                                <w:rPr>
                                  <w:rFonts w:asciiTheme="minorHAnsi" w:hAnsiTheme="minorHAnsi" w:cs="Arial"/>
                                  <w:sz w:val="16"/>
                                  <w:szCs w:val="16"/>
                                </w:rPr>
                                <w:t xml:space="preserve"> Transmission</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E</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Northeast Energy Corridor</w:t>
                              </w:r>
                              <w:r w:rsidRPr="00E94867">
                                <w:rPr>
                                  <w:rFonts w:asciiTheme="minorHAnsi" w:hAnsiTheme="minorHAnsi" w:cs="Arial"/>
                                  <w:sz w:val="16"/>
                                  <w:szCs w:val="16"/>
                                </w:rPr>
                                <w:t xml:space="preserve">—Maine/New Brunswick/Irving </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F</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Muskrat Falls/Lower Churchill</w:t>
                              </w:r>
                              <w:r w:rsidRPr="00E94867">
                                <w:rPr>
                                  <w:rFonts w:asciiTheme="minorHAnsi" w:hAnsiTheme="minorHAnsi" w:cs="Arial"/>
                                  <w:sz w:val="16"/>
                                  <w:szCs w:val="16"/>
                                </w:rPr>
                                <w:t>—</w:t>
                              </w:r>
                              <w:proofErr w:type="spellStart"/>
                              <w:r w:rsidRPr="00E94867">
                                <w:rPr>
                                  <w:rFonts w:asciiTheme="minorHAnsi" w:hAnsiTheme="minorHAnsi" w:cs="Arial"/>
                                  <w:sz w:val="16"/>
                                  <w:szCs w:val="16"/>
                                </w:rPr>
                                <w:t>Nalcor</w:t>
                              </w:r>
                              <w:proofErr w:type="spellEnd"/>
                              <w:r w:rsidRPr="00E94867">
                                <w:rPr>
                                  <w:rFonts w:asciiTheme="minorHAnsi" w:hAnsiTheme="minorHAnsi" w:cs="Arial"/>
                                  <w:sz w:val="16"/>
                                  <w:szCs w:val="16"/>
                                </w:rPr>
                                <w:t xml:space="preserve"> Energy</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G</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 xml:space="preserve"> Maine Yankee</w:t>
                              </w:r>
                              <w:r w:rsidRPr="00E94867">
                                <w:rPr>
                                  <w:rFonts w:asciiTheme="minorHAnsi" w:hAnsiTheme="minorHAnsi" w:cs="Arial"/>
                                  <w:sz w:val="16"/>
                                  <w:szCs w:val="16"/>
                                </w:rPr>
                                <w:t>—</w:t>
                              </w:r>
                              <w:r w:rsidRPr="00E94867">
                                <w:rPr>
                                  <w:rFonts w:asciiTheme="minorHAnsi" w:hAnsiTheme="minorHAnsi" w:cs="Arial"/>
                                  <w:bCs/>
                                  <w:sz w:val="16"/>
                                  <w:szCs w:val="16"/>
                                </w:rPr>
                                <w:t>Greater Boston</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H</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Maine</w:t>
                              </w:r>
                              <w:r w:rsidRPr="00E94867">
                                <w:rPr>
                                  <w:rFonts w:asciiTheme="minorHAnsi" w:hAnsiTheme="minorHAnsi" w:cs="Arial"/>
                                  <w:sz w:val="16"/>
                                  <w:szCs w:val="16"/>
                                </w:rPr>
                                <w:t>—</w:t>
                              </w:r>
                              <w:r w:rsidRPr="00E94867">
                                <w:rPr>
                                  <w:rFonts w:asciiTheme="minorHAnsi" w:hAnsiTheme="minorHAnsi" w:cs="Arial"/>
                                  <w:bCs/>
                                  <w:sz w:val="16"/>
                                  <w:szCs w:val="16"/>
                                </w:rPr>
                                <w:t>Greater Boston</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I</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Northern Maine</w:t>
                              </w:r>
                              <w:r w:rsidRPr="00E94867">
                                <w:rPr>
                                  <w:rFonts w:asciiTheme="minorHAnsi" w:hAnsiTheme="minorHAnsi" w:cs="Arial"/>
                                  <w:sz w:val="16"/>
                                  <w:szCs w:val="16"/>
                                </w:rPr>
                                <w:t>—</w:t>
                              </w:r>
                              <w:r w:rsidRPr="00E94867">
                                <w:rPr>
                                  <w:rFonts w:asciiTheme="minorHAnsi" w:hAnsiTheme="minorHAnsi" w:cs="Arial"/>
                                  <w:b/>
                                  <w:bCs/>
                                  <w:sz w:val="16"/>
                                  <w:szCs w:val="16"/>
                                </w:rPr>
                                <w:t>New England</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J</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Plattsburgh, NY</w:t>
                              </w:r>
                              <w:r w:rsidRPr="00E94867">
                                <w:rPr>
                                  <w:rFonts w:asciiTheme="minorHAnsi" w:hAnsiTheme="minorHAnsi" w:cs="Arial"/>
                                  <w:sz w:val="16"/>
                                  <w:szCs w:val="16"/>
                                </w:rPr>
                                <w:t>—</w:t>
                              </w:r>
                              <w:r w:rsidRPr="00E94867">
                                <w:rPr>
                                  <w:rFonts w:asciiTheme="minorHAnsi" w:hAnsiTheme="minorHAnsi" w:cs="Arial"/>
                                  <w:b/>
                                  <w:bCs/>
                                  <w:sz w:val="16"/>
                                  <w:szCs w:val="16"/>
                                </w:rPr>
                                <w:t>New Haven, VT</w:t>
                              </w:r>
                            </w:p>
                          </w:tc>
                        </w:tr>
                        <w:tr w:rsidR="001E3655" w:rsidRPr="00A5193B" w:rsidTr="001E3655">
                          <w:tc>
                            <w:tcPr>
                              <w:tcW w:w="214" w:type="dxa"/>
                              <w:tcMar>
                                <w:left w:w="58" w:type="dxa"/>
                                <w:right w:w="0" w:type="dxa"/>
                              </w:tcMar>
                            </w:tcPr>
                            <w:p w:rsidR="001E3655" w:rsidRPr="00E94867" w:rsidRDefault="001E3655" w:rsidP="00B734E8">
                              <w:pPr>
                                <w:spacing w:after="40" w:line="240" w:lineRule="auto"/>
                                <w:rPr>
                                  <w:rFonts w:asciiTheme="minorHAnsi" w:hAnsiTheme="minorHAnsi"/>
                                  <w:b/>
                                  <w:sz w:val="16"/>
                                  <w:szCs w:val="16"/>
                                </w:rPr>
                              </w:pPr>
                              <w:r w:rsidRPr="00E94867">
                                <w:rPr>
                                  <w:rFonts w:asciiTheme="minorHAnsi" w:hAnsiTheme="minorHAnsi"/>
                                  <w:b/>
                                  <w:sz w:val="16"/>
                                  <w:szCs w:val="16"/>
                                </w:rPr>
                                <w:t>K</w:t>
                              </w:r>
                            </w:p>
                          </w:tc>
                          <w:tc>
                            <w:tcPr>
                              <w:tcW w:w="0" w:type="auto"/>
                              <w:tcMar>
                                <w:left w:w="58" w:type="dxa"/>
                                <w:right w:w="0" w:type="dxa"/>
                              </w:tcMar>
                            </w:tcPr>
                            <w:p w:rsidR="001E3655" w:rsidRPr="00E94867" w:rsidRDefault="001E3655" w:rsidP="00B734E8">
                              <w:pPr>
                                <w:spacing w:after="40" w:line="240" w:lineRule="auto"/>
                                <w:rPr>
                                  <w:rFonts w:asciiTheme="minorHAnsi" w:hAnsiTheme="minorHAnsi" w:cs="Arial"/>
                                  <w:sz w:val="16"/>
                                  <w:szCs w:val="16"/>
                                </w:rPr>
                              </w:pPr>
                              <w:r w:rsidRPr="00E94867">
                                <w:rPr>
                                  <w:rFonts w:asciiTheme="minorHAnsi" w:hAnsiTheme="minorHAnsi" w:cs="Arial"/>
                                  <w:b/>
                                  <w:bCs/>
                                  <w:sz w:val="16"/>
                                  <w:szCs w:val="16"/>
                                </w:rPr>
                                <w:t>New England Clean Power Link</w:t>
                              </w:r>
                              <w:r w:rsidRPr="00E94867">
                                <w:rPr>
                                  <w:rFonts w:asciiTheme="minorHAnsi" w:hAnsiTheme="minorHAnsi" w:cs="Arial"/>
                                  <w:sz w:val="16"/>
                                  <w:szCs w:val="16"/>
                                </w:rPr>
                                <w:t>— TDI New</w:t>
                              </w:r>
                            </w:p>
                          </w:tc>
                        </w:tr>
                      </w:tbl>
                      <w:p w:rsidR="001E3655" w:rsidRDefault="001E3655" w:rsidP="00E94867"/>
                    </w:txbxContent>
                  </v:textbox>
                  <w10:wrap type="none"/>
                  <w10:anchorlock/>
                </v:shape>
              </w:pict>
            </w:r>
          </w:p>
        </w:tc>
      </w:tr>
    </w:tbl>
    <w:p w:rsidR="00441E32" w:rsidRDefault="00B272C2" w:rsidP="00EE3367">
      <w:pPr>
        <w:pStyle w:val="Caption"/>
        <w:tabs>
          <w:tab w:val="left" w:pos="270"/>
        </w:tabs>
        <w:spacing w:before="120" w:after="240"/>
        <w:ind w:left="270" w:right="180"/>
        <w:jc w:val="left"/>
      </w:pPr>
      <w:bookmarkStart w:id="860" w:name="_Ref386198608"/>
      <w:bookmarkStart w:id="861" w:name="_Toc391985594"/>
      <w:r w:rsidRPr="00F87073">
        <w:t xml:space="preserve">Figure </w:t>
      </w:r>
      <w:fldSimple w:instr=" STYLEREF 1 \s ">
        <w:r w:rsidR="00284CE3">
          <w:rPr>
            <w:noProof/>
          </w:rPr>
          <w:t>7</w:t>
        </w:r>
      </w:fldSimple>
      <w:r w:rsidRPr="00F87073">
        <w:noBreakHyphen/>
      </w:r>
      <w:fldSimple w:instr=" SEQ Figure \* ARABIC \s 1 ">
        <w:r w:rsidR="00284CE3">
          <w:rPr>
            <w:noProof/>
          </w:rPr>
          <w:t>3</w:t>
        </w:r>
      </w:fldSimple>
      <w:bookmarkEnd w:id="860"/>
      <w:r w:rsidRPr="00F87073">
        <w:t xml:space="preserve">: Large-scale transmission in New England, including </w:t>
      </w:r>
      <w:r w:rsidRPr="00BC161A">
        <w:t xml:space="preserve">some </w:t>
      </w:r>
      <w:r w:rsidR="00D431C1" w:rsidRPr="00BC161A">
        <w:t>proposed</w:t>
      </w:r>
      <w:r w:rsidRPr="00F87073">
        <w:t xml:space="preserve"> direct-current transmission.</w:t>
      </w:r>
      <w:bookmarkEnd w:id="861"/>
      <w:r w:rsidR="00441E32">
        <w:t xml:space="preserve"> </w:t>
      </w:r>
    </w:p>
    <w:p w:rsidR="00441E32" w:rsidRPr="00780CFD" w:rsidRDefault="00441E32" w:rsidP="005C6088">
      <w:pPr>
        <w:pStyle w:val="Heading3"/>
      </w:pPr>
      <w:bookmarkStart w:id="862" w:name="_Toc365441069"/>
      <w:bookmarkStart w:id="863" w:name="_Ref365558373"/>
      <w:bookmarkStart w:id="864" w:name="_Ref388800249"/>
      <w:bookmarkStart w:id="865" w:name="_Toc396807702"/>
      <w:r w:rsidRPr="00780CFD">
        <w:t>Draft Transmission Planning Process Guide and Draft Transmission Planning Technical Guide</w:t>
      </w:r>
      <w:bookmarkEnd w:id="862"/>
      <w:bookmarkEnd w:id="863"/>
      <w:bookmarkEnd w:id="864"/>
      <w:bookmarkEnd w:id="865"/>
    </w:p>
    <w:p w:rsidR="000E10AC" w:rsidRDefault="00441E32" w:rsidP="00307888">
      <w:r w:rsidRPr="00DE452B">
        <w:t>The ISO developed guides that document both the implementation of the regional planning process</w:t>
      </w:r>
      <w:r w:rsidRPr="00F142F0">
        <w:t xml:space="preserve"> described in Attachment K of the OATT and the associated technical assumptions.</w:t>
      </w:r>
      <w:r w:rsidRPr="00F142F0">
        <w:rPr>
          <w:rStyle w:val="FootnoteReference"/>
        </w:rPr>
        <w:footnoteReference w:id="383"/>
      </w:r>
      <w:r w:rsidRPr="00F142F0">
        <w:t xml:space="preserve"> </w:t>
      </w:r>
      <w:r w:rsidR="000E10AC">
        <w:t xml:space="preserve">Both documents reflect stakeholder input. </w:t>
      </w:r>
      <w:r w:rsidRPr="00F142F0">
        <w:t xml:space="preserve">The </w:t>
      </w:r>
      <w:r w:rsidRPr="00F142F0">
        <w:rPr>
          <w:i/>
        </w:rPr>
        <w:t>Transmission Planning Process Guide</w:t>
      </w:r>
      <w:r w:rsidRPr="00F142F0">
        <w:t xml:space="preserve"> </w:t>
      </w:r>
      <w:r w:rsidR="006146D7">
        <w:t>(Process Guide</w:t>
      </w:r>
      <w:r w:rsidR="006146D7" w:rsidRPr="00DE452B">
        <w:t xml:space="preserve">), </w:t>
      </w:r>
      <w:r w:rsidR="0058019A" w:rsidRPr="0058019A">
        <w:t>finalized at the end of 2013</w:t>
      </w:r>
      <w:r w:rsidR="006146D7" w:rsidRPr="00DE452B">
        <w:t xml:space="preserve">, </w:t>
      </w:r>
      <w:r w:rsidRPr="00DE452B">
        <w:t>discusses the development of needs assessments and solution studies (see</w:t>
      </w:r>
      <w:r w:rsidRPr="00F142F0">
        <w:t xml:space="preserve"> Section</w:t>
      </w:r>
      <w:r w:rsidRPr="00D7084F">
        <w:t xml:space="preserve"> </w:t>
      </w:r>
      <w:fldSimple w:instr=" REF _Ref360800391 \r \h  \* MERGEFORMAT ">
        <w:r w:rsidR="00284CE3">
          <w:t>5.4</w:t>
        </w:r>
      </w:fldSimple>
      <w:r w:rsidRPr="00D7084F">
        <w:t xml:space="preserve">), including the opportunities for stakeholder involvement. The </w:t>
      </w:r>
      <w:r w:rsidRPr="00D7084F">
        <w:rPr>
          <w:i/>
        </w:rPr>
        <w:t>Transmission Planning Technical Guide</w:t>
      </w:r>
      <w:r w:rsidRPr="00D7084F">
        <w:t xml:space="preserve"> </w:t>
      </w:r>
      <w:r w:rsidR="006146D7">
        <w:t>(Technical Guide)</w:t>
      </w:r>
      <w:r w:rsidR="0093483E">
        <w:t>, still in draft form,</w:t>
      </w:r>
      <w:r w:rsidR="006146D7">
        <w:t xml:space="preserve"> </w:t>
      </w:r>
      <w:r w:rsidRPr="00D7084F">
        <w:t xml:space="preserve">describes the </w:t>
      </w:r>
      <w:r w:rsidR="006146D7">
        <w:t xml:space="preserve">current </w:t>
      </w:r>
      <w:r w:rsidRPr="00D7084F">
        <w:t>standards, criteria, and assumptions used in transmission planning studies of the regional power system</w:t>
      </w:r>
      <w:r w:rsidR="003D1B23">
        <w:t xml:space="preserve">. </w:t>
      </w:r>
    </w:p>
    <w:p w:rsidR="00190210" w:rsidRPr="00F142F0" w:rsidRDefault="00441E32" w:rsidP="00441E32">
      <w:r>
        <w:t xml:space="preserve"> </w:t>
      </w:r>
      <w:r w:rsidR="006146D7">
        <w:t xml:space="preserve">The Process Guide </w:t>
      </w:r>
      <w:r>
        <w:t xml:space="preserve">will need to </w:t>
      </w:r>
      <w:proofErr w:type="gramStart"/>
      <w:r>
        <w:t>be updated</w:t>
      </w:r>
      <w:proofErr w:type="gramEnd"/>
      <w:r>
        <w:t xml:space="preserve"> to reflect changes in the planning process required by FERC Order </w:t>
      </w:r>
      <w:r w:rsidR="005364C3">
        <w:t xml:space="preserve">No. </w:t>
      </w:r>
      <w:r>
        <w:t>1000</w:t>
      </w:r>
      <w:r w:rsidRPr="00DE452B">
        <w:t>.</w:t>
      </w:r>
      <w:r w:rsidR="000E10AC" w:rsidRPr="00DE452B">
        <w:t xml:space="preserve"> </w:t>
      </w:r>
      <w:r w:rsidR="0058019A" w:rsidRPr="0058019A">
        <w:t xml:space="preserve">In an update of the Technical Guide, the ISO is reflecting stakeholder comments on current practices and is examining updates to the planning process and assumptions, reflective of these comments. </w:t>
      </w:r>
      <w:r w:rsidRPr="00DE452B">
        <w:t>The ISO also</w:t>
      </w:r>
      <w:r>
        <w:t xml:space="preserve"> </w:t>
      </w:r>
      <w:r w:rsidR="00D36B17">
        <w:t xml:space="preserve">is </w:t>
      </w:r>
      <w:r>
        <w:t xml:space="preserve">examining the use of probabilities </w:t>
      </w:r>
      <w:proofErr w:type="gramStart"/>
      <w:r w:rsidR="0032381E">
        <w:t>to better represent</w:t>
      </w:r>
      <w:proofErr w:type="gramEnd"/>
      <w:r w:rsidR="0032381E">
        <w:t xml:space="preserve"> system conditions by reflecting </w:t>
      </w:r>
      <w:r>
        <w:t xml:space="preserve">the correlation of load levels, generator outages, </w:t>
      </w:r>
      <w:r w:rsidR="0011341D">
        <w:t xml:space="preserve">the </w:t>
      </w:r>
      <w:r>
        <w:t xml:space="preserve">dispatch of </w:t>
      </w:r>
      <w:r w:rsidR="0011341D">
        <w:t>intermittent</w:t>
      </w:r>
      <w:r>
        <w:t xml:space="preserve"> resources, and other factors. This </w:t>
      </w:r>
      <w:r w:rsidRPr="00DE452B">
        <w:t xml:space="preserve">analysis </w:t>
      </w:r>
      <w:r w:rsidR="0058019A" w:rsidRPr="0058019A">
        <w:t>may inform assumptions</w:t>
      </w:r>
      <w:r>
        <w:t xml:space="preserve"> used in planning studies and assist with identifying new simulation tools.</w:t>
      </w:r>
      <w:r w:rsidR="000E10AC">
        <w:t xml:space="preserve"> </w:t>
      </w:r>
      <w:r w:rsidR="000E10AC" w:rsidRPr="000E10AC">
        <w:t>The ISO is beginning the stakeholder process to discuss this</w:t>
      </w:r>
      <w:r w:rsidR="0032381E">
        <w:t xml:space="preserve"> </w:t>
      </w:r>
      <w:r w:rsidR="000E10AC" w:rsidRPr="000E10AC">
        <w:t>information, an effort that will likely extend beyond 2015.</w:t>
      </w:r>
    </w:p>
    <w:p w:rsidR="00E63D3A" w:rsidRDefault="00441E32">
      <w:pPr>
        <w:pStyle w:val="Heading2"/>
      </w:pPr>
      <w:bookmarkStart w:id="866" w:name="_Toc365441070"/>
      <w:bookmarkStart w:id="867" w:name="_Ref388278661"/>
      <w:bookmarkStart w:id="868" w:name="_Toc396807703"/>
      <w:r w:rsidRPr="00D251EF">
        <w:t>State Initiatives, Activities, and Policies</w:t>
      </w:r>
      <w:bookmarkEnd w:id="866"/>
      <w:bookmarkEnd w:id="867"/>
      <w:bookmarkEnd w:id="868"/>
    </w:p>
    <w:p w:rsidR="00441E32" w:rsidRPr="00F142F0" w:rsidRDefault="00441E32" w:rsidP="00441E32">
      <w:r w:rsidRPr="00F142F0">
        <w:t>The New England states have worked together continually to identify, discuss, and address energy issues of common interest. Over the past few years, the New England states have implemented numerous and varied energy policies and initiatives that have consistently focused on advancing energy efficiency, mitigating costs through long-term contracting, increasing the development of renewable resources, and reducing pollutants from certain generating facilities.</w:t>
      </w:r>
    </w:p>
    <w:p w:rsidR="00441E32" w:rsidRPr="00F142F0" w:rsidRDefault="00441E32" w:rsidP="00441E32">
      <w:r w:rsidRPr="00F142F0">
        <w:t>Even with this history of cooperation, each state has a unique set of energy policy objectives and goals. This section presents recently implemented laws, policies, and initiatives that affect regional system planning. While not an all-inclusive list of state initiatives, activities, and policies, this section discusses several policies recently considered and laws enacted in the six New England states.</w:t>
      </w:r>
    </w:p>
    <w:p w:rsidR="00441E32" w:rsidRPr="004F0F75" w:rsidRDefault="00441E32" w:rsidP="005C6088">
      <w:pPr>
        <w:pStyle w:val="Heading3"/>
      </w:pPr>
      <w:bookmarkStart w:id="869" w:name="_Toc365441071"/>
      <w:bookmarkStart w:id="870" w:name="_Toc396807704"/>
      <w:r w:rsidRPr="004F0F75">
        <w:t>Connecticut</w:t>
      </w:r>
      <w:bookmarkEnd w:id="869"/>
      <w:bookmarkEnd w:id="870"/>
      <w:r w:rsidRPr="004F0F75">
        <w:t xml:space="preserve"> </w:t>
      </w:r>
    </w:p>
    <w:p w:rsidR="00441E32" w:rsidRPr="00F142F0" w:rsidRDefault="00441E32" w:rsidP="00441E32">
      <w:r w:rsidRPr="00F142F0">
        <w:t xml:space="preserve">With greater demands on natural gas, </w:t>
      </w:r>
      <w:r w:rsidRPr="004C6B7B">
        <w:t xml:space="preserve">the </w:t>
      </w:r>
      <w:r>
        <w:t xml:space="preserve">Connecticut </w:t>
      </w:r>
      <w:r w:rsidRPr="004C6B7B">
        <w:t>Department of Energy and Environmental Protection (DEEP)</w:t>
      </w:r>
      <w:r w:rsidRPr="00F142F0">
        <w:t xml:space="preserve"> has stated that it will work with gas pipeline developers and local distribution companies to ensure that natural gas transmission capacity increases to meet the anticipated growth in demand.</w:t>
      </w:r>
      <w:r>
        <w:rPr>
          <w:rStyle w:val="FootnoteReference"/>
        </w:rPr>
        <w:footnoteReference w:id="384"/>
      </w:r>
      <w:r w:rsidRPr="00F142F0">
        <w:t xml:space="preserve"> DEEP has also stated that it will work with stakeholders, including </w:t>
      </w:r>
      <w:r>
        <w:t xml:space="preserve">the </w:t>
      </w:r>
      <w:r w:rsidRPr="00F142F0">
        <w:t xml:space="preserve">ISO, </w:t>
      </w:r>
      <w:proofErr w:type="gramStart"/>
      <w:r w:rsidRPr="00F142F0">
        <w:t xml:space="preserve">to </w:t>
      </w:r>
      <w:r w:rsidR="00997C02">
        <w:t xml:space="preserve">further </w:t>
      </w:r>
      <w:r w:rsidRPr="00F142F0">
        <w:t>coordinate</w:t>
      </w:r>
      <w:proofErr w:type="gramEnd"/>
      <w:r w:rsidRPr="00F142F0">
        <w:t xml:space="preserve"> efforts between the electric power and gas industries for addressing the </w:t>
      </w:r>
      <w:r w:rsidR="00997C02">
        <w:t xml:space="preserve">region’s </w:t>
      </w:r>
      <w:r w:rsidRPr="00F142F0">
        <w:t xml:space="preserve">increased dependence on natural gas and </w:t>
      </w:r>
      <w:r w:rsidR="00997C02">
        <w:t>the e</w:t>
      </w:r>
      <w:r w:rsidRPr="00F142F0">
        <w:t>ffect</w:t>
      </w:r>
      <w:r w:rsidR="00997C02">
        <w:t>s</w:t>
      </w:r>
      <w:r w:rsidRPr="00F142F0">
        <w:t xml:space="preserve"> on the reliability of the electric power system.</w:t>
      </w:r>
    </w:p>
    <w:p w:rsidR="00441E32" w:rsidRDefault="00441E32" w:rsidP="00441E32">
      <w:r>
        <w:t xml:space="preserve">In </w:t>
      </w:r>
      <w:r w:rsidRPr="00F142F0">
        <w:t xml:space="preserve">June 2013, Senate Bill 1138 </w:t>
      </w:r>
      <w:proofErr w:type="gramStart"/>
      <w:r>
        <w:t>was enacted</w:t>
      </w:r>
      <w:proofErr w:type="gramEnd"/>
      <w:r w:rsidRPr="00F142F0">
        <w:t>, restructuring the state’s Renewable Portfolio Standard (RPS).</w:t>
      </w:r>
      <w:r w:rsidRPr="00F142F0">
        <w:rPr>
          <w:rStyle w:val="FootnoteReference"/>
        </w:rPr>
        <w:footnoteReference w:id="385"/>
      </w:r>
      <w:r w:rsidRPr="00F142F0">
        <w:t xml:space="preserve"> The legislation </w:t>
      </w:r>
      <w:r>
        <w:t>accomplishes the following:</w:t>
      </w:r>
    </w:p>
    <w:p w:rsidR="00441E32" w:rsidRPr="005A39F4" w:rsidRDefault="00441E32" w:rsidP="00441E32">
      <w:pPr>
        <w:numPr>
          <w:ilvl w:val="0"/>
          <w:numId w:val="537"/>
        </w:numPr>
        <w:spacing w:after="120"/>
        <w:ind w:left="720"/>
      </w:pPr>
      <w:r w:rsidRPr="007C3D2D">
        <w:t xml:space="preserve">Allows large-scale hydro to count toward the RPS target but only in the event of a verified shortfall in </w:t>
      </w:r>
      <w:r w:rsidR="00F94905" w:rsidRPr="007C3D2D">
        <w:t>Class I supply</w:t>
      </w:r>
      <w:r w:rsidRPr="007C3D2D">
        <w:t xml:space="preserve"> (up to 1% of electric energy provided in 2016 and no more than 5% by </w:t>
      </w:r>
      <w:r w:rsidRPr="005A39F4">
        <w:t>2020)</w:t>
      </w:r>
      <w:r w:rsidR="000E4FFC" w:rsidRPr="005A39F4">
        <w:rPr>
          <w:rStyle w:val="FootnoteReference"/>
        </w:rPr>
        <w:footnoteReference w:id="386"/>
      </w:r>
    </w:p>
    <w:p w:rsidR="00441E32" w:rsidRDefault="00441E32" w:rsidP="00441E32">
      <w:pPr>
        <w:numPr>
          <w:ilvl w:val="0"/>
          <w:numId w:val="537"/>
        </w:numPr>
        <w:spacing w:after="120"/>
        <w:ind w:left="720"/>
      </w:pPr>
      <w:r>
        <w:t>G</w:t>
      </w:r>
      <w:r w:rsidRPr="00D7084F">
        <w:t>ives DEEP the authority to solicit proposals and direct electricity distribution companies to enter into long-term power</w:t>
      </w:r>
      <w:r>
        <w:t>-</w:t>
      </w:r>
      <w:r w:rsidRPr="00D7084F">
        <w:t>purchase agreements with various renewable energy sources</w:t>
      </w:r>
    </w:p>
    <w:p w:rsidR="00441E32" w:rsidRDefault="00441E32" w:rsidP="00441E32">
      <w:pPr>
        <w:numPr>
          <w:ilvl w:val="0"/>
          <w:numId w:val="537"/>
        </w:numPr>
        <w:spacing w:after="120"/>
        <w:ind w:left="720"/>
      </w:pPr>
      <w:r>
        <w:t>E</w:t>
      </w:r>
      <w:r w:rsidRPr="00D7084F">
        <w:t xml:space="preserve">xpands support for small hydropower by increasing Class I hydro eligibility from 5 MW to </w:t>
      </w:r>
      <w:r w:rsidR="000E4FFC" w:rsidRPr="00D7084F">
        <w:t>30</w:t>
      </w:r>
      <w:r w:rsidR="000E4FFC">
        <w:t> </w:t>
      </w:r>
      <w:r w:rsidRPr="00D7084F">
        <w:t>MW</w:t>
      </w:r>
    </w:p>
    <w:p w:rsidR="00441E32" w:rsidRDefault="00441E32" w:rsidP="00441E32">
      <w:pPr>
        <w:numPr>
          <w:ilvl w:val="0"/>
          <w:numId w:val="537"/>
        </w:numPr>
        <w:ind w:left="720"/>
      </w:pPr>
      <w:r>
        <w:t>C</w:t>
      </w:r>
      <w:r w:rsidRPr="00D7084F">
        <w:t>alls for a gradual reduction in the value of renewable energy certificates (RECs) received by biomass and landfill gas projects</w:t>
      </w:r>
      <w:r>
        <w:rPr>
          <w:rStyle w:val="FootnoteReference"/>
        </w:rPr>
        <w:footnoteReference w:id="387"/>
      </w:r>
    </w:p>
    <w:p w:rsidR="00441E32" w:rsidRPr="00F142F0" w:rsidRDefault="00441E32" w:rsidP="00441E32">
      <w:r w:rsidRPr="00D7084F">
        <w:t xml:space="preserve">On July 8, 2013, DEEP issued a </w:t>
      </w:r>
      <w:r w:rsidR="00997C02">
        <w:t>r</w:t>
      </w:r>
      <w:r w:rsidRPr="00D7084F">
        <w:t>equest</w:t>
      </w:r>
      <w:r w:rsidR="00997C02">
        <w:t xml:space="preserve"> </w:t>
      </w:r>
      <w:r w:rsidRPr="00D7084F">
        <w:t>for</w:t>
      </w:r>
      <w:r w:rsidR="00997C02">
        <w:t xml:space="preserve"> p</w:t>
      </w:r>
      <w:r w:rsidRPr="00D7084F">
        <w:t xml:space="preserve">roposals to solicit bids from developers of Class </w:t>
      </w:r>
      <w:proofErr w:type="gramStart"/>
      <w:r w:rsidRPr="00D7084F">
        <w:t>I</w:t>
      </w:r>
      <w:proofErr w:type="gramEnd"/>
      <w:r w:rsidRPr="00D7084F">
        <w:t xml:space="preserve"> renewable energy projects to serve up to 4% of Connecticut’s load. This RFP is the first of many </w:t>
      </w:r>
      <w:r w:rsidRPr="00A07A62">
        <w:t>solicitations authorized by the RPS restructuring bill.</w:t>
      </w:r>
      <w:r>
        <w:rPr>
          <w:rStyle w:val="FootnoteReference"/>
        </w:rPr>
        <w:footnoteReference w:id="388"/>
      </w:r>
      <w:r w:rsidRPr="00F142F0">
        <w:t xml:space="preserve"> Through long-term contracting, Connecticut hopes to procure enough renewable energy to meet its steadily increasing Class I RPS requirement and </w:t>
      </w:r>
      <w:r w:rsidRPr="004D56D4">
        <w:t xml:space="preserve">avoid alternative </w:t>
      </w:r>
      <w:r w:rsidRPr="00D7084F">
        <w:t>c</w:t>
      </w:r>
      <w:r w:rsidRPr="004D56D4">
        <w:t xml:space="preserve">ompliance </w:t>
      </w:r>
      <w:r w:rsidRPr="00D7084F">
        <w:t>p</w:t>
      </w:r>
      <w:r w:rsidRPr="004D56D4">
        <w:t xml:space="preserve">ayments </w:t>
      </w:r>
      <w:r w:rsidRPr="004D56D4">
        <w:rPr>
          <w:color w:val="000000" w:themeColor="text1"/>
        </w:rPr>
        <w:t xml:space="preserve">(ACPs) </w:t>
      </w:r>
      <w:r w:rsidRPr="004D56D4">
        <w:t>set at $55/</w:t>
      </w:r>
      <w:proofErr w:type="spellStart"/>
      <w:r w:rsidRPr="004D56D4">
        <w:t>MWh</w:t>
      </w:r>
      <w:proofErr w:type="spellEnd"/>
      <w:r w:rsidRPr="004D56D4">
        <w:t xml:space="preserve"> by statute. In 2014, Connecticut</w:t>
      </w:r>
      <w:r w:rsidRPr="00F142F0">
        <w:t xml:space="preserve"> utilities and suppliers must obtain 11% of their energy supply from Class </w:t>
      </w:r>
      <w:proofErr w:type="gramStart"/>
      <w:r w:rsidRPr="00F142F0">
        <w:t>I</w:t>
      </w:r>
      <w:proofErr w:type="gramEnd"/>
      <w:r w:rsidRPr="00F142F0">
        <w:t xml:space="preserve"> renewable energy sources, increasing to 20% by 2020.</w:t>
      </w:r>
    </w:p>
    <w:p w:rsidR="001E4017" w:rsidRPr="00F142F0" w:rsidRDefault="001E4017" w:rsidP="001E4017">
      <w:r>
        <w:t>On April 22, 2014, the state legislature’s Regulation Review Committee approved wind</w:t>
      </w:r>
      <w:r w:rsidR="002A7C14">
        <w:t>-</w:t>
      </w:r>
      <w:proofErr w:type="spellStart"/>
      <w:r>
        <w:t>siting</w:t>
      </w:r>
      <w:proofErr w:type="spellEnd"/>
      <w:r>
        <w:t xml:space="preserve"> regulations </w:t>
      </w:r>
      <w:r w:rsidRPr="006450D1">
        <w:t xml:space="preserve">developed by the Connecticut </w:t>
      </w:r>
      <w:proofErr w:type="spellStart"/>
      <w:r w:rsidRPr="006450D1">
        <w:t>Siting</w:t>
      </w:r>
      <w:proofErr w:type="spellEnd"/>
      <w:r w:rsidRPr="006450D1">
        <w:t xml:space="preserve"> Council, lifting a three-year moratorium on new wind projects</w:t>
      </w:r>
      <w:r>
        <w:t xml:space="preserve"> sited in Connecticut.</w:t>
      </w:r>
      <w:r>
        <w:rPr>
          <w:rStyle w:val="FootnoteReference"/>
        </w:rPr>
        <w:footnoteReference w:id="389"/>
      </w:r>
      <w:r>
        <w:t xml:space="preserve"> The regulations establish a new framework for evaluating wind proposals in the state, with consideration given to abutting properties, visual impacts, noise impacts, ice</w:t>
      </w:r>
      <w:r w:rsidR="005A2AAC">
        <w:t>-</w:t>
      </w:r>
      <w:r>
        <w:t>throw potential, blade shear, shadow flicker, setback distances, and decommissioning plans. The regulations became effective on May 1, 2014</w:t>
      </w:r>
      <w:r w:rsidR="00316208" w:rsidRPr="00316208">
        <w:t>.</w:t>
      </w:r>
      <w:r>
        <w:t xml:space="preserve"> </w:t>
      </w:r>
    </w:p>
    <w:p w:rsidR="00441E32" w:rsidRPr="00F142F0" w:rsidRDefault="00441E32" w:rsidP="00441E32">
      <w:r w:rsidRPr="00F142F0">
        <w:t>A</w:t>
      </w:r>
      <w:r w:rsidR="001E4017">
        <w:t>s</w:t>
      </w:r>
      <w:r w:rsidRPr="00F142F0">
        <w:t xml:space="preserve"> </w:t>
      </w:r>
      <w:r>
        <w:t xml:space="preserve">part of </w:t>
      </w:r>
      <w:r w:rsidRPr="00F142F0">
        <w:t>Connecticut’s 2013 Comprehensive Energy Strategy</w:t>
      </w:r>
      <w:r w:rsidR="001E4017">
        <w:t xml:space="preserve">, the state has </w:t>
      </w:r>
      <w:r w:rsidRPr="00F142F0">
        <w:t>commi</w:t>
      </w:r>
      <w:r w:rsidR="001E4017">
        <w:t>t</w:t>
      </w:r>
      <w:r w:rsidRPr="00F142F0">
        <w:t>t</w:t>
      </w:r>
      <w:r w:rsidR="001E4017">
        <w:t>ed</w:t>
      </w:r>
      <w:r w:rsidR="002A7C14">
        <w:t xml:space="preserve"> </w:t>
      </w:r>
      <w:r w:rsidRPr="00F142F0">
        <w:t>to invest</w:t>
      </w:r>
      <w:r w:rsidR="001E4017">
        <w:t>ing</w:t>
      </w:r>
      <w:r w:rsidRPr="00F142F0">
        <w:t xml:space="preserve"> in advanced metering and other technologies to further Connecticut’s demand</w:t>
      </w:r>
      <w:r>
        <w:t>-</w:t>
      </w:r>
      <w:r w:rsidRPr="00F142F0">
        <w:t>response programs. The vast majorit</w:t>
      </w:r>
      <w:r w:rsidRPr="00D7084F">
        <w:t>y of Connecticut</w:t>
      </w:r>
      <w:r w:rsidR="005A2AAC">
        <w:t>’s</w:t>
      </w:r>
      <w:r w:rsidRPr="00D7084F">
        <w:t xml:space="preserve"> electricity customers still have traditional meters, which only measure gross monthly usage and provide no information to consumers on their time of use, demand, or other usage characteristics. Connecticut sees the potential </w:t>
      </w:r>
      <w:proofErr w:type="gramStart"/>
      <w:r w:rsidRPr="00D7084F">
        <w:t>to further reduce</w:t>
      </w:r>
      <w:proofErr w:type="gramEnd"/>
      <w:r w:rsidRPr="00D7084F">
        <w:t xml:space="preserve"> peak energy demand through greater adoption of demand response and investment in technologies like advanced metering.</w:t>
      </w:r>
    </w:p>
    <w:p w:rsidR="00441E32" w:rsidRPr="00F142F0" w:rsidRDefault="00441E32" w:rsidP="00441E32">
      <w:r w:rsidRPr="00D7084F">
        <w:t xml:space="preserve">The Connecticut General Assembly passed no major energy legislation in 2014. </w:t>
      </w:r>
    </w:p>
    <w:p w:rsidR="00441E32" w:rsidRPr="004F0F75" w:rsidRDefault="00441E32" w:rsidP="005C6088">
      <w:pPr>
        <w:pStyle w:val="Heading3"/>
      </w:pPr>
      <w:bookmarkStart w:id="871" w:name="_Toc365441072"/>
      <w:bookmarkStart w:id="872" w:name="_Toc396807705"/>
      <w:r w:rsidRPr="00D7084F">
        <w:t>Maine</w:t>
      </w:r>
      <w:bookmarkEnd w:id="871"/>
      <w:bookmarkEnd w:id="872"/>
    </w:p>
    <w:p w:rsidR="00441E32" w:rsidRPr="00F142F0" w:rsidRDefault="00441E32" w:rsidP="00441E32">
      <w:r w:rsidRPr="00F142F0">
        <w:t xml:space="preserve">In January 2014, </w:t>
      </w:r>
      <w:r w:rsidRPr="00F142F0">
        <w:rPr>
          <w:rFonts w:eastAsia="Calibri"/>
        </w:rPr>
        <w:t>the Maine Public Utilities Commission (MPUC)</w:t>
      </w:r>
      <w:r w:rsidRPr="00F142F0">
        <w:t xml:space="preserve"> issued a report on geomagnetic </w:t>
      </w:r>
      <w:r w:rsidRPr="00A84456">
        <w:t xml:space="preserve">disturbance (GMD) and electromagnetic pulse (EMP) protections for the electric </w:t>
      </w:r>
      <w:r w:rsidR="008E0D5F" w:rsidRPr="00A84456">
        <w:t xml:space="preserve">power </w:t>
      </w:r>
      <w:r w:rsidRPr="00A84456">
        <w:t>grid.</w:t>
      </w:r>
      <w:r w:rsidRPr="00A84456">
        <w:rPr>
          <w:rStyle w:val="FootnoteReference"/>
        </w:rPr>
        <w:footnoteReference w:id="390"/>
      </w:r>
      <w:r w:rsidRPr="00A84456">
        <w:t xml:space="preserve"> This </w:t>
      </w:r>
      <w:r w:rsidR="00256C30" w:rsidRPr="00A84456">
        <w:t xml:space="preserve">report noted that GMD and EMP </w:t>
      </w:r>
      <w:r w:rsidR="00D837D8" w:rsidRPr="00A84456">
        <w:t>risks</w:t>
      </w:r>
      <w:r w:rsidR="00256C30" w:rsidRPr="00A84456">
        <w:t xml:space="preserve"> present a serious threat to the reliability of the power system and</w:t>
      </w:r>
      <w:r w:rsidRPr="00A84456">
        <w:t xml:space="preserve"> recommends that stakeholders examine the costs </w:t>
      </w:r>
      <w:r w:rsidR="00D837D8" w:rsidRPr="00A84456">
        <w:t xml:space="preserve">and benefits associated with </w:t>
      </w:r>
      <w:r w:rsidR="005A2AAC" w:rsidRPr="00A84456">
        <w:t xml:space="preserve">possible </w:t>
      </w:r>
      <w:r w:rsidR="00D837D8" w:rsidRPr="00A84456">
        <w:t xml:space="preserve">GMD and EMP </w:t>
      </w:r>
      <w:r w:rsidR="005A2AAC" w:rsidRPr="00A84456">
        <w:t>mitigation</w:t>
      </w:r>
      <w:r w:rsidRPr="00A84456">
        <w:t xml:space="preserve">. The </w:t>
      </w:r>
      <w:proofErr w:type="gramStart"/>
      <w:r w:rsidRPr="00A84456">
        <w:t>risk analysis study group</w:t>
      </w:r>
      <w:proofErr w:type="gramEnd"/>
      <w:r w:rsidRPr="00A84456">
        <w:t xml:space="preserve"> is meeting through 2014 and plans to identify a Maine-specific path forward </w:t>
      </w:r>
      <w:r w:rsidR="00913C33" w:rsidRPr="00A84456">
        <w:t>for</w:t>
      </w:r>
      <w:r w:rsidRPr="00A84456">
        <w:t xml:space="preserve"> identifying actual costs of mitigation and determining where such investment should be made.</w:t>
      </w:r>
    </w:p>
    <w:p w:rsidR="00441E32" w:rsidRPr="00F142F0" w:rsidRDefault="00441E32" w:rsidP="00441E32">
      <w:pPr>
        <w:rPr>
          <w:rFonts w:eastAsia="Calibri"/>
        </w:rPr>
      </w:pPr>
      <w:r w:rsidRPr="00F142F0">
        <w:rPr>
          <w:rFonts w:eastAsia="Calibri"/>
        </w:rPr>
        <w:t xml:space="preserve">In March 2014, MPUC, the Governor’s Energy Office, and the Office of Public Advocate released a study </w:t>
      </w:r>
      <w:r w:rsidRPr="00D7084F">
        <w:rPr>
          <w:rFonts w:eastAsia="Calibri"/>
        </w:rPr>
        <w:t xml:space="preserve">describing the need for additional natural gas pipeline capacity into New England to lower electricity prices. The study, </w:t>
      </w:r>
      <w:r w:rsidRPr="00D7084F">
        <w:rPr>
          <w:rFonts w:eastAsia="Calibri"/>
          <w:i/>
        </w:rPr>
        <w:t>A Review of Natural Gas Capacity Options,</w:t>
      </w:r>
      <w:r w:rsidRPr="00D7084F">
        <w:rPr>
          <w:rFonts w:eastAsia="Calibri"/>
        </w:rPr>
        <w:t xml:space="preserve"> </w:t>
      </w:r>
      <w:proofErr w:type="gramStart"/>
      <w:r w:rsidRPr="00D7084F">
        <w:rPr>
          <w:rFonts w:eastAsia="Calibri"/>
        </w:rPr>
        <w:t>was commissioned</w:t>
      </w:r>
      <w:proofErr w:type="gramEnd"/>
      <w:r w:rsidRPr="00D7084F">
        <w:rPr>
          <w:rFonts w:eastAsia="Calibri"/>
        </w:rPr>
        <w:t xml:space="preserve"> pursuant to the </w:t>
      </w:r>
      <w:r w:rsidRPr="00D7084F">
        <w:rPr>
          <w:rFonts w:eastAsia="Calibri"/>
          <w:i/>
        </w:rPr>
        <w:t>Omnibus Energy Act</w:t>
      </w:r>
      <w:r w:rsidRPr="00D7084F">
        <w:rPr>
          <w:rFonts w:eastAsia="Calibri"/>
        </w:rPr>
        <w:t xml:space="preserve"> passed in 2013, which directed MPUC to evaluate the costs and benefits of additional natural gas pipeline capacity into New England.</w:t>
      </w:r>
      <w:r>
        <w:rPr>
          <w:rStyle w:val="FootnoteReference"/>
          <w:rFonts w:eastAsia="Calibri"/>
        </w:rPr>
        <w:footnoteReference w:id="391"/>
      </w:r>
      <w:r w:rsidRPr="00D7084F">
        <w:rPr>
          <w:rFonts w:eastAsia="Calibri"/>
        </w:rPr>
        <w:t xml:space="preserve"> The report describes the impact </w:t>
      </w:r>
      <w:r w:rsidR="00913C33">
        <w:rPr>
          <w:rFonts w:eastAsia="Calibri"/>
        </w:rPr>
        <w:t xml:space="preserve">of </w:t>
      </w:r>
      <w:r w:rsidRPr="00D7084F">
        <w:rPr>
          <w:rFonts w:eastAsia="Calibri"/>
        </w:rPr>
        <w:t xml:space="preserve">pipeline capacity on electricity prices and concludes that incremental natural gas pipeline capacity into the region would </w:t>
      </w:r>
      <w:r w:rsidR="00F94905" w:rsidRPr="007C3D2D">
        <w:rPr>
          <w:rFonts w:eastAsia="Calibri"/>
        </w:rPr>
        <w:t>lower</w:t>
      </w:r>
      <w:r w:rsidRPr="007C3D2D">
        <w:rPr>
          <w:rFonts w:eastAsia="Calibri"/>
        </w:rPr>
        <w:t xml:space="preserve"> regional natural gas prices and benefit both Maine and New England</w:t>
      </w:r>
      <w:r w:rsidRPr="00D7084F">
        <w:rPr>
          <w:rFonts w:eastAsia="Calibri"/>
        </w:rPr>
        <w:t xml:space="preserve"> customers. </w:t>
      </w:r>
    </w:p>
    <w:p w:rsidR="00441E32" w:rsidRDefault="00441E32" w:rsidP="00441E32">
      <w:r w:rsidRPr="00A07A62">
        <w:t>MPUC has opened a proceeding to investigate how to improve the reliability of electric</w:t>
      </w:r>
      <w:r w:rsidR="007E2F45">
        <w:t>ity</w:t>
      </w:r>
      <w:r w:rsidRPr="00A07A62">
        <w:t xml:space="preserve"> service in the northern portion of the state</w:t>
      </w:r>
      <w:r w:rsidR="00913C33">
        <w:t xml:space="preserve"> </w:t>
      </w:r>
      <w:r>
        <w:t xml:space="preserve">not administered by the ISO. </w:t>
      </w:r>
      <w:r w:rsidRPr="00F142F0">
        <w:t xml:space="preserve">Potential solutions </w:t>
      </w:r>
      <w:proofErr w:type="gramStart"/>
      <w:r w:rsidRPr="00F142F0">
        <w:t>being considered</w:t>
      </w:r>
      <w:proofErr w:type="gramEnd"/>
      <w:r w:rsidRPr="00F142F0">
        <w:t xml:space="preserve"> includ</w:t>
      </w:r>
      <w:r w:rsidR="007E2F45">
        <w:t>e</w:t>
      </w:r>
      <w:r w:rsidRPr="00F142F0">
        <w:t xml:space="preserve"> adding local generation and demand response in northern Maine</w:t>
      </w:r>
      <w:r>
        <w:t>,</w:t>
      </w:r>
      <w:r w:rsidRPr="00F142F0">
        <w:t xml:space="preserve"> adding transmission reinforcements with New Brunswick</w:t>
      </w:r>
      <w:r>
        <w:t>,</w:t>
      </w:r>
      <w:r w:rsidRPr="00F142F0">
        <w:t xml:space="preserve"> and connecting Maine Public Service to the rest of New England. </w:t>
      </w:r>
    </w:p>
    <w:p w:rsidR="00A7582A" w:rsidRDefault="00A7582A" w:rsidP="00441E32">
      <w:r w:rsidRPr="00F437D5">
        <w:t xml:space="preserve">The </w:t>
      </w:r>
      <w:r w:rsidRPr="002A7C14">
        <w:rPr>
          <w:i/>
        </w:rPr>
        <w:t>Maine Solar Energy Act</w:t>
      </w:r>
      <w:r w:rsidRPr="00F437D5">
        <w:t xml:space="preserve"> </w:t>
      </w:r>
      <w:proofErr w:type="gramStart"/>
      <w:r w:rsidRPr="00F437D5">
        <w:t>was created</w:t>
      </w:r>
      <w:proofErr w:type="gramEnd"/>
      <w:r w:rsidRPr="00F437D5">
        <w:t xml:space="preserve"> in 2014.</w:t>
      </w:r>
      <w:r>
        <w:rPr>
          <w:rStyle w:val="FootnoteReference"/>
        </w:rPr>
        <w:footnoteReference w:id="392"/>
      </w:r>
      <w:r w:rsidRPr="00F437D5">
        <w:t> </w:t>
      </w:r>
      <w:r>
        <w:t>The</w:t>
      </w:r>
      <w:r w:rsidRPr="00F437D5">
        <w:t xml:space="preserve"> law notes that encourag</w:t>
      </w:r>
      <w:r>
        <w:t>ing</w:t>
      </w:r>
      <w:r w:rsidRPr="00F437D5">
        <w:t xml:space="preserve"> the development of solar energy in Maine </w:t>
      </w:r>
      <w:r>
        <w:t xml:space="preserve">is in the public interest </w:t>
      </w:r>
      <w:r w:rsidRPr="00F437D5">
        <w:t xml:space="preserve">and requires MPUC </w:t>
      </w:r>
      <w:r>
        <w:t xml:space="preserve">to </w:t>
      </w:r>
      <w:r w:rsidRPr="00F437D5">
        <w:t>develop a methodology and determine the value of distributed solar energy generation in the state. MPUC will summar</w:t>
      </w:r>
      <w:r>
        <w:t xml:space="preserve">ize </w:t>
      </w:r>
      <w:r w:rsidRPr="00F437D5">
        <w:t xml:space="preserve">solar implementation options as part of </w:t>
      </w:r>
      <w:r>
        <w:t xml:space="preserve">a </w:t>
      </w:r>
      <w:r w:rsidRPr="00F437D5">
        <w:t>report</w:t>
      </w:r>
      <w:r>
        <w:t xml:space="preserve"> and submit the report </w:t>
      </w:r>
      <w:r w:rsidRPr="00F437D5">
        <w:t>to the</w:t>
      </w:r>
      <w:r>
        <w:t xml:space="preserve"> </w:t>
      </w:r>
      <w:r w:rsidRPr="00F437D5">
        <w:t xml:space="preserve">legislature by February 15, 2015. </w:t>
      </w:r>
    </w:p>
    <w:p w:rsidR="00441E32" w:rsidRPr="004F0F75" w:rsidRDefault="00441E32" w:rsidP="005C6088">
      <w:pPr>
        <w:pStyle w:val="Heading3"/>
      </w:pPr>
      <w:bookmarkStart w:id="873" w:name="_Toc365441073"/>
      <w:bookmarkStart w:id="874" w:name="_Toc396807706"/>
      <w:r w:rsidRPr="00D7084F">
        <w:t>Massachusetts</w:t>
      </w:r>
      <w:bookmarkEnd w:id="873"/>
      <w:bookmarkEnd w:id="874"/>
    </w:p>
    <w:p w:rsidR="00441E32" w:rsidRPr="00F142F0" w:rsidRDefault="00441E32" w:rsidP="00441E32">
      <w:r w:rsidRPr="00F142F0">
        <w:rPr>
          <w:rFonts w:eastAsia="Calibri"/>
        </w:rPr>
        <w:t xml:space="preserve">In early January 2014, the Executive Office of Energy and Environmental Affairs released the first </w:t>
      </w:r>
      <w:r w:rsidRPr="00F142F0">
        <w:rPr>
          <w:rFonts w:eastAsia="Calibri"/>
          <w:i/>
        </w:rPr>
        <w:t>Massachusetts Global Warming Solutions Act (GWSA) Five-Year Progress Report</w:t>
      </w:r>
      <w:r w:rsidRPr="00F142F0">
        <w:rPr>
          <w:rFonts w:eastAsia="Calibri"/>
        </w:rPr>
        <w:t xml:space="preserve">. This report highlights the significant progress made and includes recommendations </w:t>
      </w:r>
      <w:proofErr w:type="gramStart"/>
      <w:r w:rsidRPr="00F142F0">
        <w:rPr>
          <w:rFonts w:eastAsia="Calibri"/>
        </w:rPr>
        <w:t>to more fully realize</w:t>
      </w:r>
      <w:proofErr w:type="gramEnd"/>
      <w:r w:rsidRPr="00F142F0">
        <w:rPr>
          <w:rFonts w:eastAsia="Calibri"/>
        </w:rPr>
        <w:t xml:space="preserve"> the potential of the GWSA</w:t>
      </w:r>
      <w:r>
        <w:rPr>
          <w:rFonts w:eastAsia="Calibri"/>
        </w:rPr>
        <w:t xml:space="preserve">. </w:t>
      </w:r>
      <w:r w:rsidR="002A7C14">
        <w:rPr>
          <w:rFonts w:eastAsia="Calibri"/>
        </w:rPr>
        <w:t>T</w:t>
      </w:r>
      <w:r w:rsidRPr="00F142F0">
        <w:rPr>
          <w:rFonts w:eastAsia="Calibri"/>
        </w:rPr>
        <w:t xml:space="preserve">he progress report recommends </w:t>
      </w:r>
      <w:r w:rsidR="004F4314">
        <w:rPr>
          <w:rFonts w:eastAsia="Calibri"/>
        </w:rPr>
        <w:t xml:space="preserve">the </w:t>
      </w:r>
      <w:r w:rsidRPr="00F142F0">
        <w:rPr>
          <w:rFonts w:eastAsia="Calibri"/>
        </w:rPr>
        <w:t xml:space="preserve">continued investment in information systems to support and manage </w:t>
      </w:r>
      <w:r w:rsidR="004F4314">
        <w:rPr>
          <w:rFonts w:eastAsia="Calibri"/>
        </w:rPr>
        <w:t xml:space="preserve">the </w:t>
      </w:r>
      <w:r w:rsidRPr="00F142F0">
        <w:rPr>
          <w:rFonts w:eastAsia="Calibri"/>
        </w:rPr>
        <w:t>effective implementation of the GWSA</w:t>
      </w:r>
      <w:r>
        <w:rPr>
          <w:rFonts w:eastAsia="Calibri"/>
        </w:rPr>
        <w:t xml:space="preserve">. </w:t>
      </w:r>
      <w:r w:rsidRPr="00F142F0">
        <w:t>The report also recommend</w:t>
      </w:r>
      <w:r w:rsidR="00062B54">
        <w:t xml:space="preserve">s actions </w:t>
      </w:r>
      <w:r w:rsidRPr="00F142F0">
        <w:t>for the next five years:</w:t>
      </w:r>
    </w:p>
    <w:p w:rsidR="00441E32" w:rsidRPr="00F142F0" w:rsidRDefault="00441E32" w:rsidP="00441E32">
      <w:pPr>
        <w:pStyle w:val="ListParagraph"/>
        <w:numPr>
          <w:ilvl w:val="0"/>
          <w:numId w:val="534"/>
        </w:numPr>
        <w:spacing w:after="120" w:line="260" w:lineRule="atLeast"/>
        <w:contextualSpacing w:val="0"/>
        <w:rPr>
          <w:rFonts w:ascii="Cambria" w:hAnsi="Cambria"/>
          <w:bCs/>
          <w:sz w:val="20"/>
          <w:szCs w:val="20"/>
        </w:rPr>
      </w:pPr>
      <w:r w:rsidRPr="00F142F0">
        <w:rPr>
          <w:rFonts w:ascii="Cambria" w:hAnsi="Cambria"/>
          <w:bCs/>
          <w:sz w:val="20"/>
          <w:szCs w:val="20"/>
        </w:rPr>
        <w:t>Focus on vehicle miles traveled, fuels</w:t>
      </w:r>
      <w:r>
        <w:rPr>
          <w:rFonts w:ascii="Cambria" w:hAnsi="Cambria"/>
          <w:bCs/>
          <w:sz w:val="20"/>
          <w:szCs w:val="20"/>
        </w:rPr>
        <w:t>,</w:t>
      </w:r>
      <w:r w:rsidRPr="00F142F0">
        <w:rPr>
          <w:rFonts w:ascii="Cambria" w:hAnsi="Cambria"/>
          <w:bCs/>
          <w:sz w:val="20"/>
          <w:szCs w:val="20"/>
        </w:rPr>
        <w:t xml:space="preserve"> and land use</w:t>
      </w:r>
    </w:p>
    <w:p w:rsidR="00441E32" w:rsidRPr="004F4314" w:rsidRDefault="00441E32" w:rsidP="00441E32">
      <w:pPr>
        <w:pStyle w:val="ListParagraph"/>
        <w:numPr>
          <w:ilvl w:val="0"/>
          <w:numId w:val="534"/>
        </w:numPr>
        <w:spacing w:after="120" w:line="260" w:lineRule="atLeast"/>
        <w:contextualSpacing w:val="0"/>
        <w:rPr>
          <w:rFonts w:ascii="Cambria" w:hAnsi="Cambria"/>
          <w:bCs/>
          <w:sz w:val="20"/>
          <w:szCs w:val="20"/>
        </w:rPr>
      </w:pPr>
      <w:r w:rsidRPr="004F4314">
        <w:rPr>
          <w:rFonts w:ascii="Cambria" w:hAnsi="Cambria"/>
          <w:bCs/>
          <w:sz w:val="20"/>
          <w:szCs w:val="20"/>
        </w:rPr>
        <w:t xml:space="preserve">Accelerate the implementation of </w:t>
      </w:r>
      <w:r w:rsidR="004F4314" w:rsidRPr="004F4314">
        <w:rPr>
          <w:rFonts w:ascii="Cambria" w:hAnsi="Cambria"/>
          <w:bCs/>
          <w:sz w:val="20"/>
          <w:szCs w:val="20"/>
        </w:rPr>
        <w:t>“</w:t>
      </w:r>
      <w:proofErr w:type="spellStart"/>
      <w:r w:rsidR="00F94905" w:rsidRPr="00F94905">
        <w:rPr>
          <w:rFonts w:ascii="Cambria" w:hAnsi="Cambria"/>
          <w:bCs/>
          <w:sz w:val="20"/>
          <w:szCs w:val="20"/>
        </w:rPr>
        <w:t>GreenDOT</w:t>
      </w:r>
      <w:proofErr w:type="spellEnd"/>
      <w:r w:rsidR="004F4314" w:rsidRPr="004F4314">
        <w:rPr>
          <w:rFonts w:ascii="Cambria" w:hAnsi="Cambria"/>
          <w:bCs/>
          <w:sz w:val="20"/>
          <w:szCs w:val="20"/>
        </w:rPr>
        <w:t>”</w:t>
      </w:r>
    </w:p>
    <w:p w:rsidR="00441E32" w:rsidRPr="00F142F0" w:rsidRDefault="00441E32" w:rsidP="00441E32">
      <w:pPr>
        <w:pStyle w:val="ListParagraph"/>
        <w:numPr>
          <w:ilvl w:val="0"/>
          <w:numId w:val="534"/>
        </w:numPr>
        <w:spacing w:after="120" w:line="260" w:lineRule="atLeast"/>
        <w:contextualSpacing w:val="0"/>
        <w:rPr>
          <w:rFonts w:ascii="Cambria" w:hAnsi="Cambria"/>
          <w:bCs/>
          <w:sz w:val="20"/>
          <w:szCs w:val="20"/>
        </w:rPr>
      </w:pPr>
      <w:r w:rsidRPr="00F142F0">
        <w:rPr>
          <w:rFonts w:ascii="Cambria" w:hAnsi="Cambria"/>
          <w:bCs/>
          <w:sz w:val="20"/>
          <w:szCs w:val="20"/>
        </w:rPr>
        <w:t xml:space="preserve">Continue </w:t>
      </w:r>
      <w:r w:rsidR="00062B54">
        <w:rPr>
          <w:rFonts w:ascii="Cambria" w:hAnsi="Cambria"/>
          <w:bCs/>
          <w:sz w:val="20"/>
          <w:szCs w:val="20"/>
        </w:rPr>
        <w:t xml:space="preserve">the </w:t>
      </w:r>
      <w:r w:rsidRPr="00F142F0">
        <w:rPr>
          <w:rFonts w:ascii="Cambria" w:hAnsi="Cambria"/>
          <w:bCs/>
          <w:sz w:val="20"/>
          <w:szCs w:val="20"/>
        </w:rPr>
        <w:t>aggressive implementation of energy efficiency</w:t>
      </w:r>
    </w:p>
    <w:p w:rsidR="00441E32" w:rsidRPr="00F142F0" w:rsidRDefault="00441E32" w:rsidP="00441E32">
      <w:pPr>
        <w:pStyle w:val="ListParagraph"/>
        <w:numPr>
          <w:ilvl w:val="0"/>
          <w:numId w:val="534"/>
        </w:numPr>
        <w:spacing w:after="120" w:line="260" w:lineRule="atLeast"/>
        <w:contextualSpacing w:val="0"/>
        <w:rPr>
          <w:rFonts w:ascii="Cambria" w:hAnsi="Cambria"/>
          <w:bCs/>
          <w:sz w:val="20"/>
          <w:szCs w:val="20"/>
        </w:rPr>
      </w:pPr>
      <w:r w:rsidRPr="00F142F0">
        <w:rPr>
          <w:rFonts w:ascii="Cambria" w:hAnsi="Cambria"/>
          <w:bCs/>
          <w:sz w:val="20"/>
          <w:szCs w:val="20"/>
        </w:rPr>
        <w:t xml:space="preserve">Expand access to new clean energy resources and imports </w:t>
      </w:r>
    </w:p>
    <w:p w:rsidR="00441E32" w:rsidRDefault="00441E32" w:rsidP="00441E32">
      <w:pPr>
        <w:pStyle w:val="ListParagraph"/>
        <w:numPr>
          <w:ilvl w:val="0"/>
          <w:numId w:val="534"/>
        </w:numPr>
        <w:spacing w:after="120" w:line="260" w:lineRule="atLeast"/>
        <w:contextualSpacing w:val="0"/>
        <w:rPr>
          <w:rFonts w:ascii="Cambria" w:hAnsi="Cambria"/>
          <w:bCs/>
          <w:sz w:val="20"/>
          <w:szCs w:val="20"/>
        </w:rPr>
      </w:pPr>
      <w:r w:rsidRPr="00F142F0">
        <w:rPr>
          <w:rFonts w:ascii="Cambria" w:hAnsi="Cambria"/>
          <w:bCs/>
          <w:sz w:val="20"/>
          <w:szCs w:val="20"/>
        </w:rPr>
        <w:t>Continue to pursue offshore wind energy</w:t>
      </w:r>
    </w:p>
    <w:p w:rsidR="004B48F9" w:rsidRDefault="004B48F9" w:rsidP="004B48F9">
      <w:pPr>
        <w:numPr>
          <w:ilvl w:val="0"/>
          <w:numId w:val="534"/>
        </w:numPr>
        <w:rPr>
          <w:bCs/>
        </w:rPr>
      </w:pPr>
      <w:r w:rsidRPr="00F142F0">
        <w:rPr>
          <w:bCs/>
        </w:rPr>
        <w:t xml:space="preserve">Aggressively pursue </w:t>
      </w:r>
      <w:r>
        <w:rPr>
          <w:bCs/>
        </w:rPr>
        <w:t>“</w:t>
      </w:r>
      <w:r w:rsidRPr="00F142F0">
        <w:rPr>
          <w:bCs/>
        </w:rPr>
        <w:t>supplemental</w:t>
      </w:r>
      <w:r>
        <w:rPr>
          <w:bCs/>
        </w:rPr>
        <w:t>”</w:t>
      </w:r>
      <w:r w:rsidRPr="00F142F0">
        <w:rPr>
          <w:bCs/>
        </w:rPr>
        <w:t xml:space="preserve"> strategies </w:t>
      </w:r>
    </w:p>
    <w:p w:rsidR="00A24B46" w:rsidRPr="001503C1" w:rsidRDefault="00A24B46" w:rsidP="00A24B46">
      <w:r w:rsidRPr="00F142F0">
        <w:t xml:space="preserve">In </w:t>
      </w:r>
      <w:r>
        <w:t>June</w:t>
      </w:r>
      <w:r w:rsidRPr="00F142F0">
        <w:t xml:space="preserve"> 201</w:t>
      </w:r>
      <w:r>
        <w:t>4</w:t>
      </w:r>
      <w:r w:rsidRPr="00F142F0">
        <w:t>, the Massachusetts’ Department of Public Utilities (DPU) issued a</w:t>
      </w:r>
      <w:r>
        <w:t>n order that outlined the anticipated policy framework for time-varying rates</w:t>
      </w:r>
      <w:r w:rsidR="00062B54">
        <w:t>.</w:t>
      </w:r>
      <w:r>
        <w:rPr>
          <w:rStyle w:val="FootnoteReference"/>
        </w:rPr>
        <w:footnoteReference w:id="393"/>
      </w:r>
      <w:r w:rsidRPr="001503C1">
        <w:t xml:space="preserve"> In this order, the department concluded that </w:t>
      </w:r>
      <w:r w:rsidR="00062B54">
        <w:t xml:space="preserve">the </w:t>
      </w:r>
      <w:r w:rsidRPr="001503C1">
        <w:t>basic service provided by utilities should include time</w:t>
      </w:r>
      <w:r>
        <w:t>-</w:t>
      </w:r>
      <w:r w:rsidRPr="001503C1">
        <w:t>varying rates for all classes of customers upon the deployment of advanced metering technology</w:t>
      </w:r>
      <w:r>
        <w:t xml:space="preserve">, which </w:t>
      </w:r>
      <w:r w:rsidRPr="001503C1">
        <w:t>should reduc</w:t>
      </w:r>
      <w:r>
        <w:t xml:space="preserve">e </w:t>
      </w:r>
      <w:r w:rsidRPr="001503C1">
        <w:t>cost</w:t>
      </w:r>
      <w:r>
        <w:t>s</w:t>
      </w:r>
      <w:r w:rsidRPr="001503C1">
        <w:t xml:space="preserve"> for everyone</w:t>
      </w:r>
      <w:r>
        <w:t>,</w:t>
      </w:r>
      <w:r w:rsidRPr="001503C1">
        <w:t xml:space="preserve"> </w:t>
      </w:r>
      <w:r>
        <w:t xml:space="preserve">including </w:t>
      </w:r>
      <w:r w:rsidRPr="001503C1">
        <w:t xml:space="preserve">those </w:t>
      </w:r>
      <w:r>
        <w:t xml:space="preserve">who </w:t>
      </w:r>
      <w:r w:rsidRPr="001503C1">
        <w:t xml:space="preserve">do not respond to price signals. </w:t>
      </w:r>
      <w:r>
        <w:t>T</w:t>
      </w:r>
      <w:r w:rsidRPr="001503C1">
        <w:t>he order suggested that implementing time</w:t>
      </w:r>
      <w:r>
        <w:t>-</w:t>
      </w:r>
      <w:r w:rsidRPr="001503C1">
        <w:t>of</w:t>
      </w:r>
      <w:r>
        <w:t>-</w:t>
      </w:r>
      <w:r w:rsidRPr="001503C1">
        <w:t>use rates</w:t>
      </w:r>
      <w:r w:rsidR="003C29BF">
        <w:t>, with</w:t>
      </w:r>
      <w:r>
        <w:t xml:space="preserve"> the deployment of </w:t>
      </w:r>
      <w:r w:rsidRPr="001503C1">
        <w:t>advanced metering, marketing, outreach, and education</w:t>
      </w:r>
      <w:r w:rsidR="003C29BF">
        <w:t xml:space="preserve">, </w:t>
      </w:r>
      <w:r w:rsidR="003C29BF" w:rsidRPr="001503C1">
        <w:t>would require additional time</w:t>
      </w:r>
      <w:r w:rsidR="003C29BF">
        <w:t>.</w:t>
      </w:r>
    </w:p>
    <w:p w:rsidR="00A24B46" w:rsidRPr="00F142F0" w:rsidRDefault="00A24B46" w:rsidP="00A24B46">
      <w:r w:rsidRPr="001503C1">
        <w:t xml:space="preserve">In a corresponding </w:t>
      </w:r>
      <w:r>
        <w:t>proceeding</w:t>
      </w:r>
      <w:r w:rsidRPr="001503C1">
        <w:t>, the DPU released an order that require</w:t>
      </w:r>
      <w:r w:rsidR="00EF2733">
        <w:t>s</w:t>
      </w:r>
      <w:r w:rsidRPr="001503C1">
        <w:t xml:space="preserve"> each electric </w:t>
      </w:r>
      <w:r w:rsidR="00EF2733">
        <w:t xml:space="preserve">power </w:t>
      </w:r>
      <w:r w:rsidRPr="001503C1">
        <w:t xml:space="preserve">distribution company to submit a </w:t>
      </w:r>
      <w:r>
        <w:t>10</w:t>
      </w:r>
      <w:r w:rsidRPr="001503C1">
        <w:t>-year grid</w:t>
      </w:r>
      <w:r>
        <w:t>-</w:t>
      </w:r>
      <w:r w:rsidRPr="001503C1">
        <w:t xml:space="preserve">modernization plan outlining </w:t>
      </w:r>
      <w:r w:rsidR="00EF2733">
        <w:t xml:space="preserve">how it will </w:t>
      </w:r>
      <w:r w:rsidRPr="001503C1">
        <w:t>achiev</w:t>
      </w:r>
      <w:r w:rsidR="00EF2733">
        <w:t>e</w:t>
      </w:r>
      <w:r w:rsidRPr="001503C1">
        <w:t xml:space="preserve"> four grid modernization goals, including </w:t>
      </w:r>
      <w:r w:rsidRPr="00A24B46">
        <w:t>(1)</w:t>
      </w:r>
      <w:r w:rsidRPr="00F142F0">
        <w:t xml:space="preserve"> reduc</w:t>
      </w:r>
      <w:r>
        <w:t>ing</w:t>
      </w:r>
      <w:r w:rsidRPr="00F142F0">
        <w:t xml:space="preserve"> the effects of outages; (2) optimiz</w:t>
      </w:r>
      <w:r>
        <w:t>ing</w:t>
      </w:r>
      <w:r w:rsidRPr="00F142F0">
        <w:t xml:space="preserve"> demand, which includes reducing system and customer costs; (3) integrat</w:t>
      </w:r>
      <w:r>
        <w:t>ing</w:t>
      </w:r>
      <w:r w:rsidRPr="00F142F0">
        <w:t xml:space="preserve"> distributed resources; and (4) improv</w:t>
      </w:r>
      <w:r>
        <w:t>ing</w:t>
      </w:r>
      <w:r w:rsidRPr="00F142F0">
        <w:t xml:space="preserve"> workforce and asset management.</w:t>
      </w:r>
      <w:r w:rsidRPr="00F142F0">
        <w:rPr>
          <w:rStyle w:val="FootnoteReference"/>
        </w:rPr>
        <w:footnoteReference w:id="394"/>
      </w:r>
      <w:r w:rsidRPr="00F142F0">
        <w:t xml:space="preserve"> </w:t>
      </w:r>
    </w:p>
    <w:p w:rsidR="00A24B46" w:rsidRPr="00C335C5" w:rsidRDefault="00A24B46" w:rsidP="00A24B46">
      <w:r w:rsidRPr="00F142F0">
        <w:t xml:space="preserve">In 2010, Governor Patrick established a goal of having 250 MW of </w:t>
      </w:r>
      <w:r w:rsidR="00825B50">
        <w:t>PV</w:t>
      </w:r>
      <w:r w:rsidRPr="00F142F0">
        <w:t xml:space="preserve"> installed in the state by 2017</w:t>
      </w:r>
      <w:r>
        <w:t>. In 2013</w:t>
      </w:r>
      <w:r w:rsidRPr="00F142F0">
        <w:t>, the governor announced that the state had reached the goal three years early</w:t>
      </w:r>
      <w:r>
        <w:t xml:space="preserve"> and subsequently </w:t>
      </w:r>
      <w:r w:rsidRPr="00C335C5">
        <w:t xml:space="preserve">increased the goal to 1,600 MW of </w:t>
      </w:r>
      <w:r w:rsidR="008A771E">
        <w:t xml:space="preserve">PV </w:t>
      </w:r>
      <w:r w:rsidRPr="00C335C5">
        <w:t>installed by 2020.</w:t>
      </w:r>
    </w:p>
    <w:p w:rsidR="00487612" w:rsidRPr="00C656A0" w:rsidRDefault="009A3ED6" w:rsidP="0094559F">
      <w:r w:rsidRPr="00C335C5">
        <w:t xml:space="preserve">In </w:t>
      </w:r>
      <w:r w:rsidR="00A24B46" w:rsidRPr="00C335C5">
        <w:t xml:space="preserve">2014, </w:t>
      </w:r>
      <w:r w:rsidR="0058019A" w:rsidRPr="00C335C5">
        <w:t xml:space="preserve">the Massachusetts’ legislature passed a bill, H 4385, </w:t>
      </w:r>
      <w:r w:rsidR="0058019A" w:rsidRPr="00C335C5">
        <w:rPr>
          <w:i/>
        </w:rPr>
        <w:t>An Act Relative to Credit for Thermal Energy</w:t>
      </w:r>
      <w:r w:rsidR="00C656A0" w:rsidRPr="00C335C5">
        <w:rPr>
          <w:i/>
        </w:rPr>
        <w:t xml:space="preserve"> Generated with Renewable Fuels</w:t>
      </w:r>
      <w:r w:rsidR="0058019A" w:rsidRPr="00C335C5">
        <w:t>, which increases the net-metering cap on public projects from 3</w:t>
      </w:r>
      <w:r w:rsidR="00A24B46" w:rsidRPr="00C335C5">
        <w:t>%</w:t>
      </w:r>
      <w:r w:rsidR="0058019A" w:rsidRPr="00C335C5">
        <w:t xml:space="preserve"> to 5%, and similarly raises the 1% </w:t>
      </w:r>
      <w:r w:rsidR="00A24B46" w:rsidRPr="00C335C5">
        <w:t xml:space="preserve">cap </w:t>
      </w:r>
      <w:r w:rsidR="0058019A" w:rsidRPr="00C335C5">
        <w:t>for private projects to 4%.</w:t>
      </w:r>
      <w:r w:rsidR="00C656A0" w:rsidRPr="00C335C5">
        <w:rPr>
          <w:rStyle w:val="FootnoteReference"/>
        </w:rPr>
        <w:footnoteReference w:id="395"/>
      </w:r>
      <w:r w:rsidR="0058019A" w:rsidRPr="00C335C5">
        <w:t xml:space="preserve"> This legislation also creates a 17-person task force to study the long-term viability of net metering. The task force </w:t>
      </w:r>
      <w:proofErr w:type="gramStart"/>
      <w:r w:rsidR="0058019A" w:rsidRPr="00C335C5">
        <w:t>is charged</w:t>
      </w:r>
      <w:proofErr w:type="gramEnd"/>
      <w:r w:rsidR="0058019A" w:rsidRPr="00C335C5">
        <w:t xml:space="preserve"> with developing recommendations on incentives and programs to support the deployment of </w:t>
      </w:r>
      <w:r w:rsidR="00662DB0" w:rsidRPr="00C335C5">
        <w:t>the state’s goal of</w:t>
      </w:r>
      <w:r w:rsidRPr="00C335C5">
        <w:t xml:space="preserve"> </w:t>
      </w:r>
      <w:r w:rsidR="00662DB0" w:rsidRPr="00C335C5">
        <w:t xml:space="preserve">1,600 </w:t>
      </w:r>
      <w:r w:rsidR="0058019A" w:rsidRPr="00C335C5">
        <w:t>MW</w:t>
      </w:r>
      <w:r w:rsidR="0058019A" w:rsidRPr="0058019A">
        <w:t xml:space="preserve"> of solar generation in the state. The task force </w:t>
      </w:r>
      <w:r w:rsidR="00A24B46">
        <w:t>must</w:t>
      </w:r>
      <w:r w:rsidR="0058019A" w:rsidRPr="0058019A">
        <w:t xml:space="preserve"> submit a report to the legislature before April 1, 2015, on the costs and benefits of the existing net-metering framework </w:t>
      </w:r>
      <w:r w:rsidR="00825B50">
        <w:t xml:space="preserve">that </w:t>
      </w:r>
      <w:r w:rsidR="00A24B46">
        <w:t>must</w:t>
      </w:r>
      <w:r w:rsidR="0058019A" w:rsidRPr="0058019A">
        <w:t xml:space="preserve"> include recommendations for legislative or regulatory reforms to encourage the continued expansion of solar generation in the state</w:t>
      </w:r>
      <w:r w:rsidR="00B41F73">
        <w:t>.</w:t>
      </w:r>
    </w:p>
    <w:p w:rsidR="00441E32" w:rsidRPr="004F0F75" w:rsidRDefault="00441E32" w:rsidP="005C6088">
      <w:pPr>
        <w:pStyle w:val="Heading3"/>
      </w:pPr>
      <w:bookmarkStart w:id="875" w:name="_Toc365441074"/>
      <w:bookmarkStart w:id="876" w:name="_Toc396807707"/>
      <w:r w:rsidRPr="00D7084F">
        <w:t>New Hampshire</w:t>
      </w:r>
      <w:bookmarkEnd w:id="875"/>
      <w:bookmarkEnd w:id="876"/>
    </w:p>
    <w:p w:rsidR="00441E32" w:rsidRPr="00F142F0" w:rsidRDefault="00441E32" w:rsidP="00441E32">
      <w:r w:rsidRPr="00F142F0">
        <w:t>In early 2013, the New Hampshire Public Utilities Commission (PUC) opened an investigation to evaluate, among other things, the generation owned by Public Service of New Hampshire (PSNH) and the long-term viability of the current “hybrid” model for providing default service to PSNH customers. In June 2013, PUC staff concluded in a report that the status quo is not viable.</w:t>
      </w:r>
      <w:r w:rsidRPr="00F142F0">
        <w:rPr>
          <w:rStyle w:val="FootnoteReference"/>
        </w:rPr>
        <w:footnoteReference w:id="396"/>
      </w:r>
      <w:r w:rsidRPr="00F142F0">
        <w:t xml:space="preserve"> Similarly, in November 201</w:t>
      </w:r>
      <w:r>
        <w:t>3</w:t>
      </w:r>
      <w:r w:rsidRPr="00F142F0">
        <w:t xml:space="preserve">, the Electric Utility Restructuring Legislative Oversight Committee requested the PUC </w:t>
      </w:r>
      <w:r>
        <w:t xml:space="preserve">to </w:t>
      </w:r>
      <w:r w:rsidRPr="00F142F0">
        <w:t xml:space="preserve">determine whether the sale of PSNH’s generation would be in the best overall economic interest of PSNH ratepayers and </w:t>
      </w:r>
      <w:r w:rsidR="00825B50">
        <w:t xml:space="preserve">to </w:t>
      </w:r>
      <w:r>
        <w:t xml:space="preserve">submit </w:t>
      </w:r>
      <w:r w:rsidRPr="00F142F0">
        <w:t>a preliminary report by April 1, 2014.</w:t>
      </w:r>
    </w:p>
    <w:p w:rsidR="00441E32" w:rsidRPr="00F142F0" w:rsidRDefault="00441E32" w:rsidP="00441E32">
      <w:r w:rsidRPr="00F90AD7">
        <w:t xml:space="preserve">The </w:t>
      </w:r>
      <w:r w:rsidRPr="00F90AD7">
        <w:rPr>
          <w:bCs/>
          <w:i/>
        </w:rPr>
        <w:t>Preliminary Status Report Addressing the Economic Interest of PSNH’s Retail Customers as it</w:t>
      </w:r>
      <w:r w:rsidRPr="00F142F0">
        <w:rPr>
          <w:bCs/>
          <w:i/>
        </w:rPr>
        <w:t xml:space="preserve"> Relates to the Potential Divestiture of </w:t>
      </w:r>
      <w:r w:rsidRPr="007C3D2D">
        <w:rPr>
          <w:bCs/>
          <w:i/>
        </w:rPr>
        <w:t>PSNH’s Generating Plants</w:t>
      </w:r>
      <w:r w:rsidRPr="007C3D2D">
        <w:rPr>
          <w:bCs/>
        </w:rPr>
        <w:t xml:space="preserve"> states that, in the long-term, PSNH’s energy service rate will likely exceed prevailing market rates</w:t>
      </w:r>
      <w:r w:rsidRPr="007C3D2D">
        <w:t>.</w:t>
      </w:r>
      <w:r w:rsidRPr="007C3D2D">
        <w:rPr>
          <w:rStyle w:val="FootnoteReference"/>
          <w:color w:val="000000"/>
        </w:rPr>
        <w:footnoteReference w:id="397"/>
      </w:r>
      <w:r w:rsidRPr="007C3D2D">
        <w:t xml:space="preserve"> </w:t>
      </w:r>
      <w:r w:rsidR="00F94905" w:rsidRPr="007C3D2D">
        <w:t>The report also states that divesti</w:t>
      </w:r>
      <w:r w:rsidR="0065433E" w:rsidRPr="007C3D2D">
        <w:t>ng</w:t>
      </w:r>
      <w:r w:rsidR="00F94905" w:rsidRPr="007C3D2D">
        <w:t xml:space="preserve"> PSNH assets would be more advantageous </w:t>
      </w:r>
      <w:r w:rsidR="0065433E" w:rsidRPr="007C3D2D">
        <w:t xml:space="preserve">for </w:t>
      </w:r>
      <w:r w:rsidR="00F94905" w:rsidRPr="007C3D2D">
        <w:t xml:space="preserve">PSNH default service customers, if the stranded costs </w:t>
      </w:r>
      <w:proofErr w:type="gramStart"/>
      <w:r w:rsidR="00F94905" w:rsidRPr="007C3D2D">
        <w:t>were recovered</w:t>
      </w:r>
      <w:proofErr w:type="gramEnd"/>
      <w:r w:rsidR="00F94905" w:rsidRPr="007C3D2D">
        <w:t xml:space="preserve"> from all customers.</w:t>
      </w:r>
      <w:r w:rsidR="00F94905" w:rsidRPr="007C3D2D">
        <w:rPr>
          <w:rStyle w:val="FootnoteReference"/>
        </w:rPr>
        <w:footnoteReference w:id="398"/>
      </w:r>
      <w:r w:rsidRPr="00F142F0">
        <w:t xml:space="preserve"> The report recommended that the PUC determine how to allocate the costs of the Merrimack Station scrubber and that the legislature should make changes to allow </w:t>
      </w:r>
      <w:r w:rsidR="0065433E">
        <w:t xml:space="preserve">the </w:t>
      </w:r>
      <w:r w:rsidRPr="00F142F0">
        <w:t>PUC to full</w:t>
      </w:r>
      <w:r w:rsidR="0065433E">
        <w:t>y</w:t>
      </w:r>
      <w:r w:rsidRPr="00F142F0">
        <w:t xml:space="preserve"> review </w:t>
      </w:r>
      <w:r w:rsidR="0065433E">
        <w:t xml:space="preserve">a </w:t>
      </w:r>
      <w:r w:rsidRPr="00F142F0">
        <w:t xml:space="preserve">divestiture. </w:t>
      </w:r>
      <w:r w:rsidR="002A7C14" w:rsidRPr="001A0905">
        <w:t>The legislature passed such a bill in June 2014</w:t>
      </w:r>
      <w:r w:rsidR="002A7C14">
        <w:t>,</w:t>
      </w:r>
      <w:r w:rsidR="002A7C14" w:rsidRPr="001A0905">
        <w:t xml:space="preserve"> which if enacted, will grant the PUC the authority to make a determination and potentially order PSNH to divest.</w:t>
      </w:r>
      <w:r w:rsidR="002A7C14" w:rsidRPr="001A0905">
        <w:rPr>
          <w:rStyle w:val="FootnoteReference"/>
        </w:rPr>
        <w:footnoteReference w:id="399"/>
      </w:r>
      <w:r w:rsidRPr="00F142F0">
        <w:t xml:space="preserve"> </w:t>
      </w:r>
    </w:p>
    <w:p w:rsidR="00441E32" w:rsidRPr="00F142F0" w:rsidRDefault="00441E32" w:rsidP="00441E32">
      <w:pPr>
        <w:rPr>
          <w:color w:val="000000"/>
        </w:rPr>
      </w:pPr>
      <w:r w:rsidRPr="00F142F0">
        <w:rPr>
          <w:rFonts w:eastAsia="Times New Roman"/>
        </w:rPr>
        <w:t xml:space="preserve">In July 2013, New Hampshire </w:t>
      </w:r>
      <w:r>
        <w:rPr>
          <w:rFonts w:eastAsia="Times New Roman"/>
        </w:rPr>
        <w:t>enacted</w:t>
      </w:r>
      <w:r w:rsidRPr="00F142F0">
        <w:rPr>
          <w:rFonts w:eastAsia="Times New Roman"/>
        </w:rPr>
        <w:t xml:space="preserve"> Senate Bill 191 directing the Office of Energy and Planning (OEP) and a new Energy Advisory Council (EAC) to review the state’s energy policies and develop a comprehensive 10-year energy strategy.</w:t>
      </w:r>
      <w:r w:rsidRPr="00F142F0">
        <w:rPr>
          <w:rStyle w:val="FootnoteReference"/>
          <w:rFonts w:eastAsia="Times New Roman"/>
        </w:rPr>
        <w:footnoteReference w:id="400"/>
      </w:r>
      <w:r w:rsidRPr="00F142F0">
        <w:rPr>
          <w:rFonts w:eastAsia="Times New Roman"/>
        </w:rPr>
        <w:t xml:space="preserve"> </w:t>
      </w:r>
      <w:r w:rsidR="002A7C14" w:rsidRPr="001A0905">
        <w:t xml:space="preserve">An initial draft of the strategy, released on May 1, 2014, focused on augmenting the </w:t>
      </w:r>
      <w:r w:rsidR="002A7C14">
        <w:t>state’s energy-</w:t>
      </w:r>
      <w:r w:rsidR="002A7C14" w:rsidRPr="001A0905">
        <w:t>efficiency programs, renewable power generation</w:t>
      </w:r>
      <w:r w:rsidR="002A7C14">
        <w:t>,</w:t>
      </w:r>
      <w:r w:rsidR="002A7C14" w:rsidRPr="001A0905">
        <w:t xml:space="preserve"> and use of smart grid technology. </w:t>
      </w:r>
      <w:r w:rsidR="002A7C14">
        <w:rPr>
          <w:rFonts w:eastAsia="Times New Roman"/>
        </w:rPr>
        <w:t>A</w:t>
      </w:r>
      <w:r w:rsidRPr="00F142F0">
        <w:rPr>
          <w:rFonts w:eastAsia="Times New Roman"/>
        </w:rPr>
        <w:t xml:space="preserve"> final report to the governor and the legislature is due by September 1, 2014.</w:t>
      </w:r>
      <w:r>
        <w:rPr>
          <w:rFonts w:eastAsia="Times New Roman"/>
        </w:rPr>
        <w:t xml:space="preserve"> Senate Bill 191 </w:t>
      </w:r>
      <w:r w:rsidRPr="00F142F0">
        <w:rPr>
          <w:color w:val="000000"/>
        </w:rPr>
        <w:t>requires the strategy to consider the following topics:</w:t>
      </w:r>
    </w:p>
    <w:p w:rsidR="00441E32" w:rsidRPr="00F142F0" w:rsidRDefault="00441E32" w:rsidP="00441E32">
      <w:pPr>
        <w:pStyle w:val="ListParagraph"/>
        <w:numPr>
          <w:ilvl w:val="0"/>
          <w:numId w:val="535"/>
        </w:numPr>
        <w:autoSpaceDE w:val="0"/>
        <w:autoSpaceDN w:val="0"/>
        <w:adjustRightInd w:val="0"/>
        <w:spacing w:after="120" w:line="260" w:lineRule="atLeast"/>
        <w:contextualSpacing w:val="0"/>
        <w:rPr>
          <w:rFonts w:ascii="Cambria" w:hAnsi="Cambria"/>
          <w:color w:val="000000"/>
          <w:sz w:val="20"/>
          <w:szCs w:val="20"/>
        </w:rPr>
      </w:pPr>
      <w:r>
        <w:rPr>
          <w:rFonts w:ascii="Cambria" w:hAnsi="Cambria"/>
          <w:color w:val="000000"/>
          <w:sz w:val="20"/>
          <w:szCs w:val="20"/>
        </w:rPr>
        <w:t>P</w:t>
      </w:r>
      <w:r w:rsidRPr="00A07A62">
        <w:rPr>
          <w:rFonts w:ascii="Cambria" w:hAnsi="Cambria"/>
          <w:color w:val="000000"/>
          <w:sz w:val="20"/>
          <w:szCs w:val="20"/>
        </w:rPr>
        <w:t>rojected demand for electricity and natural gas</w:t>
      </w:r>
    </w:p>
    <w:p w:rsidR="00441E32" w:rsidRPr="00F142F0" w:rsidRDefault="00441E32" w:rsidP="00441E32">
      <w:pPr>
        <w:pStyle w:val="ListParagraph"/>
        <w:numPr>
          <w:ilvl w:val="0"/>
          <w:numId w:val="535"/>
        </w:numPr>
        <w:autoSpaceDE w:val="0"/>
        <w:autoSpaceDN w:val="0"/>
        <w:adjustRightInd w:val="0"/>
        <w:spacing w:after="120" w:line="260" w:lineRule="atLeast"/>
        <w:contextualSpacing w:val="0"/>
        <w:rPr>
          <w:rFonts w:ascii="Cambria" w:hAnsi="Cambria"/>
          <w:color w:val="000000"/>
          <w:sz w:val="20"/>
          <w:szCs w:val="20"/>
        </w:rPr>
      </w:pPr>
      <w:r>
        <w:rPr>
          <w:rFonts w:ascii="Cambria" w:hAnsi="Cambria"/>
          <w:color w:val="000000"/>
          <w:sz w:val="20"/>
          <w:szCs w:val="20"/>
        </w:rPr>
        <w:t>E</w:t>
      </w:r>
      <w:r w:rsidRPr="00A07A62">
        <w:rPr>
          <w:rFonts w:ascii="Cambria" w:hAnsi="Cambria"/>
          <w:color w:val="000000"/>
          <w:sz w:val="20"/>
          <w:szCs w:val="20"/>
        </w:rPr>
        <w:t>xisting and proposed electricity and natural gas generation and transmission facilities</w:t>
      </w:r>
    </w:p>
    <w:p w:rsidR="00441E32" w:rsidRPr="00F142F0" w:rsidRDefault="00441E32" w:rsidP="00441E32">
      <w:pPr>
        <w:pStyle w:val="ListParagraph"/>
        <w:numPr>
          <w:ilvl w:val="0"/>
          <w:numId w:val="535"/>
        </w:numPr>
        <w:autoSpaceDE w:val="0"/>
        <w:autoSpaceDN w:val="0"/>
        <w:adjustRightInd w:val="0"/>
        <w:spacing w:after="120" w:line="260" w:lineRule="atLeast"/>
        <w:contextualSpacing w:val="0"/>
        <w:rPr>
          <w:rFonts w:ascii="Cambria" w:hAnsi="Cambria"/>
          <w:color w:val="000000"/>
          <w:sz w:val="20"/>
          <w:szCs w:val="20"/>
        </w:rPr>
      </w:pPr>
      <w:r>
        <w:rPr>
          <w:rFonts w:ascii="Cambria" w:hAnsi="Cambria"/>
          <w:color w:val="000000"/>
          <w:sz w:val="20"/>
          <w:szCs w:val="20"/>
        </w:rPr>
        <w:t>R</w:t>
      </w:r>
      <w:r w:rsidRPr="00A07A62">
        <w:rPr>
          <w:rFonts w:ascii="Cambria" w:hAnsi="Cambria"/>
          <w:color w:val="000000"/>
          <w:sz w:val="20"/>
          <w:szCs w:val="20"/>
        </w:rPr>
        <w:t>enewable energy and fuel diversity</w:t>
      </w:r>
    </w:p>
    <w:p w:rsidR="00441E32" w:rsidRPr="00F142F0" w:rsidRDefault="00441E32" w:rsidP="00441E32">
      <w:pPr>
        <w:pStyle w:val="ListParagraph"/>
        <w:numPr>
          <w:ilvl w:val="0"/>
          <w:numId w:val="535"/>
        </w:numPr>
        <w:autoSpaceDE w:val="0"/>
        <w:autoSpaceDN w:val="0"/>
        <w:adjustRightInd w:val="0"/>
        <w:spacing w:after="120" w:line="260" w:lineRule="atLeast"/>
        <w:contextualSpacing w:val="0"/>
        <w:rPr>
          <w:rFonts w:ascii="Cambria" w:hAnsi="Cambria"/>
          <w:color w:val="000000"/>
          <w:sz w:val="20"/>
          <w:szCs w:val="20"/>
        </w:rPr>
      </w:pPr>
      <w:r>
        <w:rPr>
          <w:rFonts w:ascii="Cambria" w:hAnsi="Cambria"/>
          <w:color w:val="000000"/>
          <w:sz w:val="20"/>
          <w:szCs w:val="20"/>
        </w:rPr>
        <w:t>S</w:t>
      </w:r>
      <w:r w:rsidRPr="00A07A62">
        <w:rPr>
          <w:rFonts w:ascii="Cambria" w:hAnsi="Cambria"/>
          <w:color w:val="000000"/>
          <w:sz w:val="20"/>
          <w:szCs w:val="20"/>
        </w:rPr>
        <w:t xml:space="preserve">mall-scale and distributed energy resources and energy storage technologies </w:t>
      </w:r>
    </w:p>
    <w:p w:rsidR="00441E32" w:rsidRPr="00F142F0" w:rsidRDefault="00441E32" w:rsidP="00441E32">
      <w:pPr>
        <w:pStyle w:val="ListParagraph"/>
        <w:numPr>
          <w:ilvl w:val="0"/>
          <w:numId w:val="535"/>
        </w:numPr>
        <w:autoSpaceDE w:val="0"/>
        <w:autoSpaceDN w:val="0"/>
        <w:adjustRightInd w:val="0"/>
        <w:spacing w:after="240" w:line="260" w:lineRule="atLeast"/>
        <w:contextualSpacing w:val="0"/>
        <w:rPr>
          <w:rFonts w:ascii="Cambria" w:hAnsi="Cambria"/>
          <w:color w:val="000000"/>
          <w:sz w:val="20"/>
          <w:szCs w:val="20"/>
        </w:rPr>
      </w:pPr>
      <w:r>
        <w:rPr>
          <w:rFonts w:ascii="Cambria" w:hAnsi="Cambria"/>
          <w:color w:val="000000"/>
          <w:sz w:val="20"/>
          <w:szCs w:val="20"/>
        </w:rPr>
        <w:t>E</w:t>
      </w:r>
      <w:r w:rsidRPr="00A07A62">
        <w:rPr>
          <w:rFonts w:ascii="Cambria" w:hAnsi="Cambria"/>
          <w:color w:val="000000"/>
          <w:sz w:val="20"/>
          <w:szCs w:val="20"/>
        </w:rPr>
        <w:t>nergy efficiency and demand-side resources</w:t>
      </w:r>
    </w:p>
    <w:p w:rsidR="00441E32" w:rsidRPr="00F142F0" w:rsidRDefault="00441E32" w:rsidP="00441E32">
      <w:pPr>
        <w:rPr>
          <w:color w:val="000000"/>
        </w:rPr>
      </w:pPr>
      <w:r w:rsidRPr="00F142F0">
        <w:rPr>
          <w:color w:val="000000"/>
        </w:rPr>
        <w:t xml:space="preserve">The legislation acknowledges that the state’s energy strategy is part of a regional planning framework. Specifically, OEP and the EAC </w:t>
      </w:r>
      <w:proofErr w:type="gramStart"/>
      <w:r w:rsidRPr="00F142F0">
        <w:rPr>
          <w:color w:val="000000"/>
        </w:rPr>
        <w:t>are charged</w:t>
      </w:r>
      <w:proofErr w:type="gramEnd"/>
      <w:r w:rsidRPr="00F142F0">
        <w:rPr>
          <w:color w:val="000000"/>
        </w:rPr>
        <w:t xml:space="preserve"> with evaluating New Hampshire’s role in the regional electric</w:t>
      </w:r>
      <w:r w:rsidR="00875113">
        <w:rPr>
          <w:color w:val="000000"/>
        </w:rPr>
        <w:t>ity</w:t>
      </w:r>
      <w:r w:rsidRPr="00F142F0">
        <w:rPr>
          <w:color w:val="000000"/>
        </w:rPr>
        <w:t xml:space="preserve"> markets, the </w:t>
      </w:r>
      <w:r w:rsidR="00875113">
        <w:rPr>
          <w:color w:val="000000"/>
        </w:rPr>
        <w:t xml:space="preserve">effects of the </w:t>
      </w:r>
      <w:r w:rsidRPr="00F142F0">
        <w:rPr>
          <w:color w:val="000000"/>
        </w:rPr>
        <w:t>regional market</w:t>
      </w:r>
      <w:r w:rsidR="00875113">
        <w:rPr>
          <w:color w:val="000000"/>
        </w:rPr>
        <w:t>s</w:t>
      </w:r>
      <w:r w:rsidRPr="00F142F0">
        <w:rPr>
          <w:color w:val="000000"/>
        </w:rPr>
        <w:t xml:space="preserve"> </w:t>
      </w:r>
      <w:r w:rsidR="00875113">
        <w:rPr>
          <w:color w:val="000000"/>
        </w:rPr>
        <w:t xml:space="preserve">on </w:t>
      </w:r>
      <w:r w:rsidRPr="00F142F0">
        <w:rPr>
          <w:color w:val="000000"/>
        </w:rPr>
        <w:t>the state’s energy policy goals, and how the state can most effectively participate at the regional level. The strategy requires the review and consideration of relevant ISO studies and plans.</w:t>
      </w:r>
    </w:p>
    <w:p w:rsidR="00441E32" w:rsidRDefault="0086571A" w:rsidP="00441E32">
      <w:pPr>
        <w:rPr>
          <w:rFonts w:eastAsia="Times New Roman"/>
          <w:color w:val="000000"/>
        </w:rPr>
      </w:pPr>
      <w:r>
        <w:rPr>
          <w:rFonts w:eastAsia="Times New Roman"/>
          <w:color w:val="000000"/>
        </w:rPr>
        <w:t xml:space="preserve">Adjustments to the </w:t>
      </w:r>
      <w:r w:rsidR="00765005">
        <w:rPr>
          <w:rFonts w:eastAsia="Times New Roman"/>
          <w:color w:val="000000"/>
        </w:rPr>
        <w:t>s</w:t>
      </w:r>
      <w:r>
        <w:rPr>
          <w:rFonts w:eastAsia="Times New Roman"/>
          <w:color w:val="000000"/>
        </w:rPr>
        <w:t>tate</w:t>
      </w:r>
      <w:r w:rsidR="00765005">
        <w:rPr>
          <w:rFonts w:eastAsia="Times New Roman"/>
          <w:color w:val="000000"/>
        </w:rPr>
        <w:t>’s</w:t>
      </w:r>
      <w:r>
        <w:rPr>
          <w:rFonts w:eastAsia="Times New Roman"/>
          <w:color w:val="000000"/>
        </w:rPr>
        <w:t xml:space="preserve"> Site Evaluation Committee (SEC) are proceeding along several fronts. </w:t>
      </w:r>
      <w:r w:rsidR="00441E32" w:rsidRPr="00D7084F">
        <w:rPr>
          <w:rFonts w:eastAsia="Times New Roman"/>
          <w:color w:val="000000"/>
        </w:rPr>
        <w:t>In December 2013, the OEP completed an expansive study of the SEC pursuant to legislation passed earlier that year. The study evaluat</w:t>
      </w:r>
      <w:r>
        <w:rPr>
          <w:rFonts w:eastAsia="Times New Roman"/>
          <w:color w:val="000000"/>
        </w:rPr>
        <w:t>ed</w:t>
      </w:r>
      <w:r w:rsidR="00441E32" w:rsidRPr="00D7084F">
        <w:rPr>
          <w:rFonts w:eastAsia="Times New Roman"/>
          <w:color w:val="000000"/>
        </w:rPr>
        <w:t xml:space="preserve"> the state’s energy facility </w:t>
      </w:r>
      <w:proofErr w:type="spellStart"/>
      <w:r w:rsidR="00441E32" w:rsidRPr="00D7084F">
        <w:rPr>
          <w:rFonts w:eastAsia="Times New Roman"/>
          <w:color w:val="000000"/>
        </w:rPr>
        <w:t>siting</w:t>
      </w:r>
      <w:proofErr w:type="spellEnd"/>
      <w:r w:rsidR="00441E32" w:rsidRPr="00D7084F">
        <w:rPr>
          <w:rFonts w:eastAsia="Times New Roman"/>
          <w:color w:val="000000"/>
        </w:rPr>
        <w:t xml:space="preserve"> process and</w:t>
      </w:r>
      <w:r w:rsidR="00886B0F">
        <w:rPr>
          <w:rFonts w:eastAsia="Times New Roman"/>
          <w:color w:val="000000"/>
        </w:rPr>
        <w:t>,</w:t>
      </w:r>
      <w:r w:rsidR="00441E32" w:rsidRPr="00D7084F">
        <w:rPr>
          <w:rFonts w:eastAsia="Times New Roman"/>
          <w:color w:val="000000"/>
        </w:rPr>
        <w:t xml:space="preserve"> specifically, opportunities for public input to the </w:t>
      </w:r>
      <w:proofErr w:type="spellStart"/>
      <w:r w:rsidR="00441E32" w:rsidRPr="00D7084F">
        <w:rPr>
          <w:rFonts w:eastAsia="Times New Roman"/>
          <w:color w:val="000000"/>
        </w:rPr>
        <w:t>siting</w:t>
      </w:r>
      <w:proofErr w:type="spellEnd"/>
      <w:r w:rsidR="00441E32" w:rsidRPr="00D7084F">
        <w:rPr>
          <w:rFonts w:eastAsia="Times New Roman"/>
          <w:color w:val="000000"/>
        </w:rPr>
        <w:t xml:space="preserve"> process.</w:t>
      </w:r>
      <w:r w:rsidR="00441E32" w:rsidRPr="00F142F0">
        <w:rPr>
          <w:rStyle w:val="FootnoteReference"/>
          <w:rFonts w:eastAsia="Times New Roman"/>
          <w:color w:val="000000"/>
        </w:rPr>
        <w:footnoteReference w:id="401"/>
      </w:r>
      <w:r w:rsidR="00441E32" w:rsidRPr="00D7084F">
        <w:rPr>
          <w:rFonts w:eastAsia="Times New Roman"/>
          <w:color w:val="000000"/>
        </w:rPr>
        <w:t xml:space="preserve"> The results of this study will be used to develop new administrative rules for the </w:t>
      </w:r>
      <w:proofErr w:type="gramStart"/>
      <w:r w:rsidR="00441E32" w:rsidRPr="00D7084F">
        <w:rPr>
          <w:rFonts w:eastAsia="Times New Roman"/>
          <w:color w:val="000000"/>
        </w:rPr>
        <w:t>SEC’s</w:t>
      </w:r>
      <w:proofErr w:type="gramEnd"/>
      <w:r w:rsidR="00441E32" w:rsidRPr="00D7084F">
        <w:rPr>
          <w:rFonts w:eastAsia="Times New Roman"/>
          <w:color w:val="000000"/>
        </w:rPr>
        <w:t xml:space="preserve"> </w:t>
      </w:r>
      <w:proofErr w:type="spellStart"/>
      <w:r w:rsidR="00441E32" w:rsidRPr="00D7084F">
        <w:rPr>
          <w:rFonts w:eastAsia="Times New Roman"/>
          <w:color w:val="000000"/>
        </w:rPr>
        <w:t>siting</w:t>
      </w:r>
      <w:proofErr w:type="spellEnd"/>
      <w:r w:rsidR="00441E32" w:rsidRPr="00D7084F">
        <w:rPr>
          <w:rFonts w:eastAsia="Times New Roman"/>
          <w:color w:val="000000"/>
        </w:rPr>
        <w:t xml:space="preserve"> criteria, which </w:t>
      </w:r>
      <w:r w:rsidR="00FD6CF2">
        <w:rPr>
          <w:rFonts w:eastAsia="Times New Roman"/>
          <w:color w:val="000000"/>
        </w:rPr>
        <w:t>are</w:t>
      </w:r>
      <w:r w:rsidR="00441E32" w:rsidRPr="00D7084F">
        <w:rPr>
          <w:rFonts w:eastAsia="Times New Roman"/>
          <w:color w:val="000000"/>
        </w:rPr>
        <w:t xml:space="preserve"> due on </w:t>
      </w:r>
      <w:r w:rsidR="00886B0F" w:rsidRPr="00D7084F">
        <w:rPr>
          <w:rFonts w:eastAsia="Times New Roman"/>
          <w:color w:val="000000"/>
        </w:rPr>
        <w:t>January</w:t>
      </w:r>
      <w:r w:rsidR="00886B0F">
        <w:rPr>
          <w:rFonts w:eastAsia="Times New Roman"/>
          <w:color w:val="000000"/>
        </w:rPr>
        <w:t> </w:t>
      </w:r>
      <w:r w:rsidR="00441E32" w:rsidRPr="00D7084F">
        <w:rPr>
          <w:rFonts w:eastAsia="Times New Roman"/>
          <w:color w:val="000000"/>
        </w:rPr>
        <w:t xml:space="preserve">1, 2015. </w:t>
      </w:r>
      <w:r w:rsidRPr="001A0905">
        <w:rPr>
          <w:color w:val="000000"/>
        </w:rPr>
        <w:t xml:space="preserve">In 2014, the state also passed legislation to change the composition of the </w:t>
      </w:r>
      <w:r>
        <w:rPr>
          <w:color w:val="000000"/>
        </w:rPr>
        <w:t>c</w:t>
      </w:r>
      <w:r w:rsidRPr="001A0905">
        <w:rPr>
          <w:color w:val="000000"/>
        </w:rPr>
        <w:t>ommittee, increase public participation in the application process</w:t>
      </w:r>
      <w:r>
        <w:rPr>
          <w:color w:val="000000"/>
        </w:rPr>
        <w:t>,</w:t>
      </w:r>
      <w:r w:rsidRPr="001A0905">
        <w:rPr>
          <w:color w:val="000000"/>
        </w:rPr>
        <w:t xml:space="preserve"> and create </w:t>
      </w:r>
      <w:proofErr w:type="gramStart"/>
      <w:r w:rsidRPr="001A0905">
        <w:rPr>
          <w:color w:val="000000"/>
        </w:rPr>
        <w:t>more specific criteria for wind projects</w:t>
      </w:r>
      <w:proofErr w:type="gramEnd"/>
      <w:r w:rsidRPr="001A0905">
        <w:rPr>
          <w:color w:val="000000"/>
        </w:rPr>
        <w:t>.</w:t>
      </w:r>
      <w:r w:rsidRPr="001A0905">
        <w:rPr>
          <w:rStyle w:val="FootnoteReference"/>
          <w:color w:val="000000"/>
        </w:rPr>
        <w:footnoteReference w:id="402"/>
      </w:r>
    </w:p>
    <w:p w:rsidR="0086571A" w:rsidRPr="001A0905" w:rsidRDefault="0086571A" w:rsidP="0086571A">
      <w:r w:rsidRPr="001A0905">
        <w:rPr>
          <w:color w:val="000000"/>
        </w:rPr>
        <w:t>House Bill 1129, passed in June 2014, requires the OEP to conduct a stakeholder process to develop a state energy</w:t>
      </w:r>
      <w:r>
        <w:rPr>
          <w:color w:val="000000"/>
        </w:rPr>
        <w:t>-</w:t>
      </w:r>
      <w:r w:rsidRPr="001A0905">
        <w:rPr>
          <w:color w:val="000000"/>
        </w:rPr>
        <w:t xml:space="preserve">efficiency implementation plan. The legislation instructs the OEP to examine </w:t>
      </w:r>
      <w:r w:rsidR="00206629" w:rsidRPr="00206629">
        <w:rPr>
          <w:color w:val="000000"/>
        </w:rPr>
        <w:t>recommended energy-efficiency goals</w:t>
      </w:r>
      <w:r w:rsidR="00206629">
        <w:rPr>
          <w:color w:val="000000"/>
        </w:rPr>
        <w:t xml:space="preserve">, </w:t>
      </w:r>
      <w:r w:rsidRPr="001A0905">
        <w:rPr>
          <w:color w:val="000000"/>
        </w:rPr>
        <w:t xml:space="preserve">various methods of expanding </w:t>
      </w:r>
      <w:r w:rsidRPr="00206629">
        <w:rPr>
          <w:color w:val="000000"/>
        </w:rPr>
        <w:t>energy efficiency in NH</w:t>
      </w:r>
      <w:r w:rsidR="00206629" w:rsidRPr="00206629">
        <w:rPr>
          <w:color w:val="000000"/>
        </w:rPr>
        <w:t>,</w:t>
      </w:r>
      <w:r w:rsidRPr="00206629">
        <w:rPr>
          <w:color w:val="000000"/>
        </w:rPr>
        <w:t xml:space="preserve"> , the ratification of energy codes for new and existing buildings, funding mechanisms to</w:t>
      </w:r>
      <w:r w:rsidR="005C42BD" w:rsidRPr="00206629">
        <w:rPr>
          <w:color w:val="000000"/>
        </w:rPr>
        <w:t xml:space="preserve"> provide </w:t>
      </w:r>
      <w:r w:rsidRPr="00206629">
        <w:rPr>
          <w:color w:val="000000"/>
        </w:rPr>
        <w:t>incent</w:t>
      </w:r>
      <w:r w:rsidR="005C42BD" w:rsidRPr="00206629">
        <w:rPr>
          <w:color w:val="000000"/>
        </w:rPr>
        <w:t>ives for</w:t>
      </w:r>
      <w:r w:rsidRPr="00206629">
        <w:rPr>
          <w:color w:val="000000"/>
        </w:rPr>
        <w:t xml:space="preserve"> energy efficiency</w:t>
      </w:r>
      <w:r w:rsidR="00206629" w:rsidRPr="00206629">
        <w:rPr>
          <w:color w:val="000000"/>
        </w:rPr>
        <w:t>, and other measures</w:t>
      </w:r>
      <w:r w:rsidRPr="00206629">
        <w:rPr>
          <w:color w:val="000000"/>
        </w:rPr>
        <w:t>. The OEP must submit an initial report by November 1, 2014, and a final report by July 1, 2015.</w:t>
      </w:r>
      <w:r w:rsidRPr="00206629">
        <w:rPr>
          <w:rStyle w:val="FootnoteReference"/>
          <w:color w:val="000000"/>
        </w:rPr>
        <w:footnoteReference w:id="403"/>
      </w:r>
    </w:p>
    <w:p w:rsidR="00441E32" w:rsidRPr="004F0F75" w:rsidRDefault="00441E32" w:rsidP="005C6088">
      <w:pPr>
        <w:pStyle w:val="Heading3"/>
      </w:pPr>
      <w:bookmarkStart w:id="877" w:name="_Toc365441075"/>
      <w:bookmarkStart w:id="878" w:name="_Toc396807708"/>
      <w:r w:rsidRPr="00D7084F">
        <w:t>Rhode Island</w:t>
      </w:r>
      <w:bookmarkEnd w:id="877"/>
      <w:bookmarkEnd w:id="878"/>
    </w:p>
    <w:p w:rsidR="00441E32" w:rsidRPr="00F142F0" w:rsidRDefault="00441E32" w:rsidP="00441E32">
      <w:r w:rsidRPr="00F142F0">
        <w:t>Rhode Island’s Office of Energy Resources (OER) has initiated a process of updating the State Energy Plan. The updated plan will address energy security, energy efficiency, renewable energy procurement, and other opportunities to help “lay the foundation for an energy system that is secure and reliable</w:t>
      </w:r>
      <w:r>
        <w:t>,</w:t>
      </w:r>
      <w:r w:rsidRPr="00F142F0">
        <w:t xml:space="preserve"> as well as clean, cost</w:t>
      </w:r>
      <w:r w:rsidR="002D3F07">
        <w:t xml:space="preserve"> </w:t>
      </w:r>
      <w:r w:rsidRPr="00F142F0">
        <w:t>effective</w:t>
      </w:r>
      <w:r>
        <w:t>,</w:t>
      </w:r>
      <w:r w:rsidRPr="00F142F0">
        <w:t xml:space="preserve"> and sustainable.” OER is in the process of finalizing the preliminary draft plan, which must undergo a technical and public review through the </w:t>
      </w:r>
      <w:proofErr w:type="gramStart"/>
      <w:r w:rsidRPr="00F142F0">
        <w:t>state’s</w:t>
      </w:r>
      <w:proofErr w:type="gramEnd"/>
      <w:r w:rsidRPr="00F142F0">
        <w:t xml:space="preserve"> planning program process before it is final. A final plan </w:t>
      </w:r>
      <w:proofErr w:type="gramStart"/>
      <w:r w:rsidRPr="00F142F0">
        <w:t>is expected</w:t>
      </w:r>
      <w:proofErr w:type="gramEnd"/>
      <w:r w:rsidRPr="00F142F0">
        <w:t xml:space="preserve"> by late 2014.</w:t>
      </w:r>
    </w:p>
    <w:p w:rsidR="00441E32" w:rsidRPr="00F142F0" w:rsidRDefault="00441E32" w:rsidP="00441E32">
      <w:r w:rsidRPr="00F142F0">
        <w:t xml:space="preserve">Rhode Island's Renewable Energy Standard (RES), established in June 2004, requires the state's retail electricity providers to supply 16% of their retail electricity sales from renewable energy resources by the end of 2019. Only 2% of the RES </w:t>
      </w:r>
      <w:proofErr w:type="gramStart"/>
      <w:r w:rsidRPr="00F142F0">
        <w:t>can be met</w:t>
      </w:r>
      <w:proofErr w:type="gramEnd"/>
      <w:r w:rsidRPr="00F142F0">
        <w:t xml:space="preserve"> with existing resources (in </w:t>
      </w:r>
      <w:r>
        <w:t>service</w:t>
      </w:r>
      <w:r w:rsidRPr="00F142F0">
        <w:t xml:space="preserve"> before December 31, 1997).</w:t>
      </w:r>
      <w:r>
        <w:rPr>
          <w:rStyle w:val="FootnoteReference"/>
        </w:rPr>
        <w:footnoteReference w:id="404"/>
      </w:r>
      <w:r w:rsidRPr="00F142F0">
        <w:t xml:space="preserve"> On February 10, 2014, the </w:t>
      </w:r>
      <w:r w:rsidR="00B36803">
        <w:t>R</w:t>
      </w:r>
      <w:r w:rsidR="0086571A">
        <w:t xml:space="preserve">hode </w:t>
      </w:r>
      <w:r w:rsidR="00B36803">
        <w:t>I</w:t>
      </w:r>
      <w:r w:rsidR="0086571A">
        <w:t>sland</w:t>
      </w:r>
      <w:r w:rsidR="00B36803">
        <w:t xml:space="preserve"> </w:t>
      </w:r>
      <w:r w:rsidRPr="00F142F0">
        <w:t>P</w:t>
      </w:r>
      <w:r w:rsidR="0086571A">
        <w:t xml:space="preserve">ublic </w:t>
      </w:r>
      <w:r w:rsidRPr="00F142F0">
        <w:t>U</w:t>
      </w:r>
      <w:r w:rsidR="0086571A">
        <w:t xml:space="preserve">tilities </w:t>
      </w:r>
      <w:r w:rsidRPr="00F142F0">
        <w:t>C</w:t>
      </w:r>
      <w:r w:rsidR="0086571A">
        <w:t>ommission</w:t>
      </w:r>
      <w:r w:rsidRPr="00F142F0">
        <w:t xml:space="preserve"> issued an order delaying the 1.5% increase in the state’s RES scheduled for 2015 upon a finding of potential inadequacy of renewable energy supplies during that period. With a one-year delay of the 1.5% increase in 2015, the state’s RES will reach 14.5% by the end of 2019 instead of 16%.</w:t>
      </w:r>
      <w:r w:rsidRPr="00F142F0">
        <w:rPr>
          <w:rStyle w:val="FootnoteReference"/>
        </w:rPr>
        <w:footnoteReference w:id="405"/>
      </w:r>
    </w:p>
    <w:p w:rsidR="00441E32" w:rsidRPr="002C7B1D" w:rsidRDefault="00441E32" w:rsidP="00441E32">
      <w:r w:rsidRPr="002C7B1D">
        <w:t xml:space="preserve">During the 2014 legislative session, the Rhode Island General Assembly passed legislation entitled the </w:t>
      </w:r>
      <w:r w:rsidR="00BB6A03" w:rsidRPr="002C7B1D">
        <w:rPr>
          <w:i/>
        </w:rPr>
        <w:t>Renewable Energy</w:t>
      </w:r>
      <w:r w:rsidRPr="002C7B1D">
        <w:rPr>
          <w:i/>
        </w:rPr>
        <w:t xml:space="preserve"> Growth Program</w:t>
      </w:r>
      <w:r w:rsidRPr="002C7B1D">
        <w:t xml:space="preserve">, which expands the state’s commitment to distributed renewable energy generation. The state’s current </w:t>
      </w:r>
      <w:r w:rsidR="002D3F07">
        <w:t>DG</w:t>
      </w:r>
      <w:r w:rsidRPr="002C7B1D">
        <w:t xml:space="preserve"> program</w:t>
      </w:r>
      <w:r w:rsidR="002C7B1D">
        <w:t xml:space="preserve">, which </w:t>
      </w:r>
      <w:r w:rsidRPr="002C7B1D">
        <w:t xml:space="preserve">expires </w:t>
      </w:r>
      <w:r w:rsidR="00BB6A03" w:rsidRPr="002C7B1D">
        <w:t xml:space="preserve">in </w:t>
      </w:r>
      <w:r w:rsidRPr="002C7B1D">
        <w:t>2014</w:t>
      </w:r>
      <w:r w:rsidR="00B36803" w:rsidRPr="002C7B1D">
        <w:t>,</w:t>
      </w:r>
      <w:r w:rsidRPr="002C7B1D">
        <w:t xml:space="preserve"> </w:t>
      </w:r>
      <w:r w:rsidR="002C7B1D">
        <w:t xml:space="preserve">has </w:t>
      </w:r>
      <w:r w:rsidRPr="002C7B1D">
        <w:t xml:space="preserve">a goal of installing 40 MW of distributed generation by the end of </w:t>
      </w:r>
      <w:r w:rsidR="002C7B1D">
        <w:t>2014</w:t>
      </w:r>
      <w:r w:rsidRPr="002C7B1D">
        <w:t xml:space="preserve">. The 2014 legislation </w:t>
      </w:r>
      <w:r w:rsidR="00BB6A03" w:rsidRPr="002C7B1D">
        <w:t>creates a new five-year program</w:t>
      </w:r>
      <w:r w:rsidR="002C7B1D">
        <w:t xml:space="preserve"> </w:t>
      </w:r>
      <w:r w:rsidRPr="002C7B1D">
        <w:t>with the goal of installing an additional 160 MW of distributed generation</w:t>
      </w:r>
      <w:r w:rsidR="0056313C" w:rsidRPr="002C7B1D">
        <w:t xml:space="preserve"> by the end of 2019. The new program will u</w:t>
      </w:r>
      <w:r w:rsidR="002C7B1D">
        <w:t>se</w:t>
      </w:r>
      <w:r w:rsidR="0056313C" w:rsidRPr="002C7B1D">
        <w:t xml:space="preserve"> electric distribution company tariffs to provide a multiyear stream of performance-based incentives to eligible renewable distributed generation projects</w:t>
      </w:r>
      <w:r w:rsidRPr="002C7B1D">
        <w:t>.</w:t>
      </w:r>
      <w:r w:rsidR="0056313C" w:rsidRPr="002C7B1D">
        <w:rPr>
          <w:rStyle w:val="FootnoteReference"/>
        </w:rPr>
        <w:footnoteReference w:id="406"/>
      </w:r>
      <w:r w:rsidRPr="002C7B1D">
        <w:t xml:space="preserve"> </w:t>
      </w:r>
    </w:p>
    <w:p w:rsidR="00441E32" w:rsidRDefault="0056313C" w:rsidP="00441E32">
      <w:r w:rsidRPr="002C7B1D">
        <w:t xml:space="preserve">The General Assembly also passed legislation establishing a framework for Rhode Island, in coordination with the other New England states, to make strategic investments in energy infrastructure and clean energy resources consistent with the New England </w:t>
      </w:r>
      <w:r w:rsidR="002C7B1D" w:rsidRPr="002C7B1D">
        <w:t>g</w:t>
      </w:r>
      <w:r w:rsidRPr="002C7B1D">
        <w:t xml:space="preserve">overnors’ regional energy infrastructure initiative. The </w:t>
      </w:r>
      <w:r w:rsidRPr="002C7B1D">
        <w:rPr>
          <w:i/>
        </w:rPr>
        <w:t xml:space="preserve">Affordable Clean Energy Security Act </w:t>
      </w:r>
      <w:r w:rsidRPr="002C7B1D">
        <w:t>gives Rhode Island the authority to participate in the development and issuance of regional or multistate competitive solicitations for the development and construction of regional natural gas pipeline infrastructure and regional electric transmission projects designed to bring renewable energy and large-scale hydropower to New England load centers.</w:t>
      </w:r>
      <w:r w:rsidR="00403BDB" w:rsidRPr="002C7B1D">
        <w:rPr>
          <w:rStyle w:val="FootnoteReference"/>
        </w:rPr>
        <w:footnoteReference w:id="407"/>
      </w:r>
      <w:r w:rsidRPr="002C7B1D">
        <w:t xml:space="preserve"> Natural gas and electric </w:t>
      </w:r>
      <w:r w:rsidR="00911694">
        <w:t xml:space="preserve">power </w:t>
      </w:r>
      <w:r w:rsidRPr="002C7B1D">
        <w:t>distribution companies must file regional energy procurement proposals with the Rhode Island P</w:t>
      </w:r>
      <w:r w:rsidR="002C7B1D" w:rsidRPr="002C7B1D">
        <w:t>UC</w:t>
      </w:r>
      <w:r w:rsidRPr="002C7B1D">
        <w:t xml:space="preserve"> for review and approval.</w:t>
      </w:r>
    </w:p>
    <w:p w:rsidR="00B84E70" w:rsidRPr="0098724E" w:rsidRDefault="00E64467" w:rsidP="00B84E70">
      <w:pPr>
        <w:rPr>
          <w:rFonts w:asciiTheme="majorHAnsi" w:hAnsiTheme="majorHAnsi"/>
          <w:color w:val="000000"/>
        </w:rPr>
      </w:pPr>
      <w:r>
        <w:rPr>
          <w:rFonts w:asciiTheme="majorHAnsi" w:hAnsiTheme="majorHAnsi"/>
        </w:rPr>
        <w:t>Additionally, t</w:t>
      </w:r>
      <w:r w:rsidR="00B84E70" w:rsidRPr="0098724E">
        <w:rPr>
          <w:rFonts w:asciiTheme="majorHAnsi" w:hAnsiTheme="majorHAnsi"/>
        </w:rPr>
        <w:t xml:space="preserve">he </w:t>
      </w:r>
      <w:r>
        <w:rPr>
          <w:rFonts w:asciiTheme="majorHAnsi" w:hAnsiTheme="majorHAnsi"/>
        </w:rPr>
        <w:t xml:space="preserve">RI </w:t>
      </w:r>
      <w:r w:rsidR="00B84E70" w:rsidRPr="0098724E">
        <w:rPr>
          <w:rFonts w:asciiTheme="majorHAnsi" w:hAnsiTheme="majorHAnsi"/>
        </w:rPr>
        <w:t xml:space="preserve">General Assembly passed the </w:t>
      </w:r>
      <w:r w:rsidR="00B84E70" w:rsidRPr="0098724E">
        <w:rPr>
          <w:rFonts w:asciiTheme="majorHAnsi" w:hAnsiTheme="majorHAnsi"/>
          <w:i/>
        </w:rPr>
        <w:t>Resilient Rhode Island Act</w:t>
      </w:r>
      <w:r w:rsidR="00B84E70" w:rsidRPr="0098724E">
        <w:rPr>
          <w:rFonts w:asciiTheme="majorHAnsi" w:hAnsiTheme="majorHAnsi"/>
        </w:rPr>
        <w:t>.</w:t>
      </w:r>
      <w:r w:rsidR="00B84E70">
        <w:rPr>
          <w:rStyle w:val="FootnoteReference"/>
        </w:rPr>
        <w:footnoteReference w:id="408"/>
      </w:r>
      <w:r w:rsidR="00B84E70" w:rsidRPr="0098724E">
        <w:rPr>
          <w:rFonts w:asciiTheme="majorHAnsi" w:hAnsiTheme="majorHAnsi"/>
        </w:rPr>
        <w:t xml:space="preserve"> This </w:t>
      </w:r>
      <w:r>
        <w:rPr>
          <w:rFonts w:asciiTheme="majorHAnsi" w:hAnsiTheme="majorHAnsi"/>
        </w:rPr>
        <w:t>a</w:t>
      </w:r>
      <w:r w:rsidR="00B84E70" w:rsidRPr="0098724E">
        <w:rPr>
          <w:rFonts w:asciiTheme="majorHAnsi" w:hAnsiTheme="majorHAnsi"/>
        </w:rPr>
        <w:t xml:space="preserve">ct replaces the existing Rhode Island Climate Change Commission with a new body, </w:t>
      </w:r>
      <w:r>
        <w:rPr>
          <w:rFonts w:asciiTheme="majorHAnsi" w:hAnsiTheme="majorHAnsi"/>
        </w:rPr>
        <w:t>called</w:t>
      </w:r>
      <w:r w:rsidR="00B84E70" w:rsidRPr="0098724E">
        <w:rPr>
          <w:rFonts w:asciiTheme="majorHAnsi" w:hAnsiTheme="majorHAnsi"/>
        </w:rPr>
        <w:t xml:space="preserve"> the Executive Climate Change Council, charged with several duties, including </w:t>
      </w:r>
      <w:r w:rsidR="00B84E70" w:rsidRPr="0098724E">
        <w:rPr>
          <w:rFonts w:asciiTheme="majorHAnsi" w:hAnsiTheme="majorHAnsi"/>
          <w:color w:val="000000"/>
        </w:rPr>
        <w:t xml:space="preserve">increasing the deployment of </w:t>
      </w:r>
      <w:r>
        <w:rPr>
          <w:rFonts w:asciiTheme="majorHAnsi" w:hAnsiTheme="majorHAnsi"/>
          <w:color w:val="000000"/>
        </w:rPr>
        <w:t xml:space="preserve">the </w:t>
      </w:r>
      <w:r w:rsidR="00B84E70" w:rsidRPr="0098724E">
        <w:rPr>
          <w:rFonts w:asciiTheme="majorHAnsi" w:hAnsiTheme="majorHAnsi"/>
          <w:color w:val="000000"/>
        </w:rPr>
        <w:t>in-state generation of renewable energy and energy efficiency</w:t>
      </w:r>
      <w:r w:rsidR="00B84E70">
        <w:rPr>
          <w:rFonts w:asciiTheme="majorHAnsi" w:hAnsiTheme="majorHAnsi"/>
          <w:color w:val="000000"/>
        </w:rPr>
        <w:t xml:space="preserve">. The </w:t>
      </w:r>
      <w:r>
        <w:rPr>
          <w:rFonts w:asciiTheme="majorHAnsi" w:hAnsiTheme="majorHAnsi"/>
          <w:color w:val="000000"/>
        </w:rPr>
        <w:t>a</w:t>
      </w:r>
      <w:r w:rsidR="00B84E70">
        <w:rPr>
          <w:rFonts w:asciiTheme="majorHAnsi" w:hAnsiTheme="majorHAnsi"/>
          <w:color w:val="000000"/>
        </w:rPr>
        <w:t>ct</w:t>
      </w:r>
      <w:r w:rsidR="00B84E70" w:rsidRPr="0098724E">
        <w:rPr>
          <w:rFonts w:asciiTheme="majorHAnsi" w:hAnsiTheme="majorHAnsi"/>
          <w:color w:val="000000"/>
        </w:rPr>
        <w:t xml:space="preserve"> requires the </w:t>
      </w:r>
      <w:r>
        <w:rPr>
          <w:rFonts w:asciiTheme="majorHAnsi" w:hAnsiTheme="majorHAnsi"/>
          <w:color w:val="000000"/>
        </w:rPr>
        <w:t>c</w:t>
      </w:r>
      <w:r w:rsidR="00B84E70" w:rsidRPr="0098724E">
        <w:rPr>
          <w:rFonts w:asciiTheme="majorHAnsi" w:hAnsiTheme="majorHAnsi"/>
          <w:color w:val="000000"/>
        </w:rPr>
        <w:t>ou</w:t>
      </w:r>
      <w:r w:rsidR="00B84E70">
        <w:rPr>
          <w:rFonts w:asciiTheme="majorHAnsi" w:hAnsiTheme="majorHAnsi"/>
          <w:color w:val="000000"/>
        </w:rPr>
        <w:t>n</w:t>
      </w:r>
      <w:r w:rsidR="00B84E70" w:rsidRPr="0098724E">
        <w:rPr>
          <w:rFonts w:asciiTheme="majorHAnsi" w:hAnsiTheme="majorHAnsi"/>
          <w:color w:val="000000"/>
        </w:rPr>
        <w:t>cil to submit</w:t>
      </w:r>
      <w:r w:rsidR="00B84E70">
        <w:rPr>
          <w:rFonts w:asciiTheme="majorHAnsi" w:hAnsiTheme="majorHAnsi"/>
          <w:color w:val="000000"/>
        </w:rPr>
        <w:t xml:space="preserve"> a plan</w:t>
      </w:r>
      <w:r w:rsidR="00B84E70" w:rsidRPr="0098724E">
        <w:rPr>
          <w:rFonts w:asciiTheme="majorHAnsi" w:hAnsiTheme="majorHAnsi"/>
          <w:color w:val="000000"/>
        </w:rPr>
        <w:t xml:space="preserve"> to the governor and general assembly, </w:t>
      </w:r>
      <w:r w:rsidR="00B84E70">
        <w:rPr>
          <w:rFonts w:asciiTheme="majorHAnsi" w:hAnsiTheme="majorHAnsi"/>
          <w:color w:val="000000"/>
        </w:rPr>
        <w:t>n</w:t>
      </w:r>
      <w:r w:rsidR="00B84E70" w:rsidRPr="0098724E">
        <w:rPr>
          <w:rFonts w:asciiTheme="majorHAnsi" w:hAnsiTheme="majorHAnsi"/>
          <w:color w:val="000000"/>
        </w:rPr>
        <w:t>o later</w:t>
      </w:r>
      <w:r w:rsidR="00B84E70">
        <w:rPr>
          <w:rFonts w:asciiTheme="majorHAnsi" w:hAnsiTheme="majorHAnsi"/>
          <w:color w:val="000000"/>
        </w:rPr>
        <w:t xml:space="preserve"> than December 31, 2016,</w:t>
      </w:r>
      <w:r w:rsidR="00B84E70" w:rsidRPr="0098724E">
        <w:rPr>
          <w:rFonts w:asciiTheme="majorHAnsi" w:hAnsiTheme="majorHAnsi"/>
          <w:color w:val="000000"/>
        </w:rPr>
        <w:t xml:space="preserve"> </w:t>
      </w:r>
      <w:r>
        <w:rPr>
          <w:rFonts w:asciiTheme="majorHAnsi" w:hAnsiTheme="majorHAnsi"/>
          <w:color w:val="000000"/>
        </w:rPr>
        <w:t xml:space="preserve">which must </w:t>
      </w:r>
      <w:r w:rsidR="00B84E70" w:rsidRPr="0098724E">
        <w:rPr>
          <w:rFonts w:asciiTheme="majorHAnsi" w:hAnsiTheme="majorHAnsi"/>
          <w:color w:val="000000"/>
        </w:rPr>
        <w:t>include strategies, programs</w:t>
      </w:r>
      <w:r>
        <w:rPr>
          <w:rFonts w:asciiTheme="majorHAnsi" w:hAnsiTheme="majorHAnsi"/>
          <w:color w:val="000000"/>
        </w:rPr>
        <w:t>,</w:t>
      </w:r>
      <w:r w:rsidR="00B84E70" w:rsidRPr="0098724E">
        <w:rPr>
          <w:rFonts w:asciiTheme="majorHAnsi" w:hAnsiTheme="majorHAnsi"/>
          <w:color w:val="000000"/>
        </w:rPr>
        <w:t xml:space="preserve"> and actions to meet targets for </w:t>
      </w:r>
      <w:r>
        <w:rPr>
          <w:rFonts w:asciiTheme="majorHAnsi" w:hAnsiTheme="majorHAnsi"/>
          <w:color w:val="000000"/>
        </w:rPr>
        <w:t xml:space="preserve">reducing </w:t>
      </w:r>
      <w:r w:rsidR="00B84E70" w:rsidRPr="0098724E">
        <w:rPr>
          <w:rFonts w:asciiTheme="majorHAnsi" w:hAnsiTheme="majorHAnsi"/>
          <w:color w:val="000000"/>
        </w:rPr>
        <w:t>greenhouse gas emissions as follows:</w:t>
      </w:r>
    </w:p>
    <w:p w:rsidR="00B4202D" w:rsidRDefault="00B84E70">
      <w:pPr>
        <w:numPr>
          <w:ilvl w:val="0"/>
          <w:numId w:val="586"/>
        </w:numPr>
        <w:spacing w:after="120"/>
        <w:rPr>
          <w:rFonts w:asciiTheme="majorHAnsi" w:hAnsiTheme="majorHAnsi"/>
          <w:color w:val="000000"/>
        </w:rPr>
      </w:pPr>
      <w:r w:rsidRPr="0098724E">
        <w:rPr>
          <w:rFonts w:asciiTheme="majorHAnsi" w:hAnsiTheme="majorHAnsi"/>
          <w:color w:val="000000"/>
        </w:rPr>
        <w:t>10% below 1990 levels by 2020</w:t>
      </w:r>
    </w:p>
    <w:p w:rsidR="00B4202D" w:rsidRDefault="00E64467">
      <w:pPr>
        <w:numPr>
          <w:ilvl w:val="0"/>
          <w:numId w:val="586"/>
        </w:numPr>
        <w:spacing w:after="120"/>
        <w:rPr>
          <w:rFonts w:asciiTheme="majorHAnsi" w:hAnsiTheme="majorHAnsi"/>
          <w:color w:val="000000"/>
        </w:rPr>
      </w:pPr>
      <w:r>
        <w:rPr>
          <w:rFonts w:asciiTheme="majorHAnsi" w:hAnsiTheme="majorHAnsi"/>
          <w:color w:val="000000"/>
        </w:rPr>
        <w:t>4</w:t>
      </w:r>
      <w:r w:rsidR="00B84E70" w:rsidRPr="0098724E">
        <w:rPr>
          <w:rFonts w:asciiTheme="majorHAnsi" w:hAnsiTheme="majorHAnsi"/>
          <w:color w:val="000000"/>
        </w:rPr>
        <w:t>5% below 1990 levels by 2035</w:t>
      </w:r>
    </w:p>
    <w:p w:rsidR="00B4202D" w:rsidRDefault="00B84E70">
      <w:pPr>
        <w:numPr>
          <w:ilvl w:val="0"/>
          <w:numId w:val="586"/>
        </w:numPr>
        <w:rPr>
          <w:rFonts w:asciiTheme="majorHAnsi" w:hAnsiTheme="majorHAnsi"/>
        </w:rPr>
      </w:pPr>
      <w:r w:rsidRPr="0098724E">
        <w:rPr>
          <w:rFonts w:asciiTheme="majorHAnsi" w:hAnsiTheme="majorHAnsi"/>
          <w:color w:val="000000"/>
        </w:rPr>
        <w:t>80% below 1990 levels by 2050</w:t>
      </w:r>
    </w:p>
    <w:p w:rsidR="00441E32" w:rsidRPr="004F0F75" w:rsidRDefault="00441E32" w:rsidP="005C6088">
      <w:pPr>
        <w:pStyle w:val="Heading3"/>
      </w:pPr>
      <w:bookmarkStart w:id="879" w:name="_Toc365441076"/>
      <w:bookmarkStart w:id="880" w:name="_Ref365541012"/>
      <w:bookmarkStart w:id="881" w:name="_Ref365543645"/>
      <w:bookmarkStart w:id="882" w:name="_Ref365544633"/>
      <w:bookmarkStart w:id="883" w:name="_Ref365555542"/>
      <w:bookmarkStart w:id="884" w:name="_Toc396807709"/>
      <w:r w:rsidRPr="00D7084F">
        <w:t>Vermont</w:t>
      </w:r>
      <w:bookmarkEnd w:id="879"/>
      <w:bookmarkEnd w:id="880"/>
      <w:bookmarkEnd w:id="881"/>
      <w:bookmarkEnd w:id="882"/>
      <w:bookmarkEnd w:id="883"/>
      <w:bookmarkEnd w:id="884"/>
    </w:p>
    <w:p w:rsidR="00441E32" w:rsidRPr="00F142F0" w:rsidRDefault="00441E32" w:rsidP="00441E32">
      <w:r w:rsidRPr="00F142F0">
        <w:t xml:space="preserve">While Vermont does not have a </w:t>
      </w:r>
      <w:r w:rsidR="00391CB0">
        <w:t>R</w:t>
      </w:r>
      <w:r w:rsidRPr="00F142F0">
        <w:t xml:space="preserve">enewable </w:t>
      </w:r>
      <w:r w:rsidR="00391CB0">
        <w:t>P</w:t>
      </w:r>
      <w:r w:rsidRPr="00F142F0">
        <w:t xml:space="preserve">ortfolio </w:t>
      </w:r>
      <w:r w:rsidR="00391CB0">
        <w:t>S</w:t>
      </w:r>
      <w:r w:rsidRPr="00F142F0">
        <w:t xml:space="preserve">tandard, it has adopted new policies aimed at increasing the amount of renewable resources in the state. In 2012, the </w:t>
      </w:r>
      <w:r>
        <w:t xml:space="preserve">initial </w:t>
      </w:r>
      <w:r w:rsidRPr="00F142F0">
        <w:t>50 MW program cap</w:t>
      </w:r>
      <w:r>
        <w:t>, adopted in 2009,</w:t>
      </w:r>
      <w:r w:rsidRPr="00F142F0">
        <w:t xml:space="preserve"> was increased to 127.5 MW over the </w:t>
      </w:r>
      <w:r>
        <w:t>10</w:t>
      </w:r>
      <w:r w:rsidRPr="00F142F0">
        <w:t xml:space="preserve">-year term of the program. In 2013, the Vermont Public Service Board issued an </w:t>
      </w:r>
      <w:r>
        <w:t>o</w:t>
      </w:r>
      <w:r w:rsidRPr="00F142F0">
        <w:t xml:space="preserve">rder finding that additional renewable resources above the annual </w:t>
      </w:r>
      <w:r>
        <w:t>megawatt</w:t>
      </w:r>
      <w:r w:rsidRPr="00F142F0">
        <w:t xml:space="preserve"> cap are eligible for standard-offer payments if they provide sufficient benefits to the operation and management of the electric </w:t>
      </w:r>
      <w:r>
        <w:t xml:space="preserve">power </w:t>
      </w:r>
      <w:r w:rsidRPr="00F142F0">
        <w:t xml:space="preserve">grid. This </w:t>
      </w:r>
      <w:proofErr w:type="gramStart"/>
      <w:r w:rsidRPr="00F142F0">
        <w:t>is specifically intended</w:t>
      </w:r>
      <w:proofErr w:type="gramEnd"/>
      <w:r w:rsidRPr="00F142F0">
        <w:t xml:space="preserve"> to mitigate transmission and distribution constraints. To date, no projects to meet such constraints </w:t>
      </w:r>
      <w:proofErr w:type="gramStart"/>
      <w:r w:rsidRPr="00F142F0">
        <w:t>have been identified</w:t>
      </w:r>
      <w:proofErr w:type="gramEnd"/>
      <w:r w:rsidRPr="00F142F0">
        <w:t>.</w:t>
      </w:r>
    </w:p>
    <w:p w:rsidR="00441E32" w:rsidRPr="00F142F0" w:rsidRDefault="00441E32" w:rsidP="00441E32">
      <w:r w:rsidRPr="00F142F0">
        <w:t>In 2014, Vermont</w:t>
      </w:r>
      <w:r>
        <w:t xml:space="preserve"> enacted legislation</w:t>
      </w:r>
      <w:r w:rsidRPr="00F142F0">
        <w:t xml:space="preserve"> that increased the amount of resources eligible for the state’s net</w:t>
      </w:r>
      <w:r w:rsidR="00A0560B">
        <w:t>-</w:t>
      </w:r>
      <w:r w:rsidRPr="00F142F0">
        <w:t>metering program.</w:t>
      </w:r>
      <w:r>
        <w:rPr>
          <w:rStyle w:val="FootnoteReference"/>
        </w:rPr>
        <w:footnoteReference w:id="409"/>
      </w:r>
      <w:r w:rsidRPr="00F142F0">
        <w:t xml:space="preserve"> </w:t>
      </w:r>
      <w:r>
        <w:t>Originally capped at 4% of a distribution utilities’ load, the quantity of renewable resources eligible for net metering increased to 15%</w:t>
      </w:r>
      <w:r w:rsidRPr="00F142F0">
        <w:t>.</w:t>
      </w:r>
    </w:p>
    <w:p w:rsidR="00441E32" w:rsidRPr="004F0F75" w:rsidRDefault="00441E32" w:rsidP="005C6088">
      <w:pPr>
        <w:pStyle w:val="Heading3"/>
      </w:pPr>
      <w:bookmarkStart w:id="885" w:name="_Ref360786528"/>
      <w:bookmarkStart w:id="886" w:name="_Toc365441077"/>
      <w:bookmarkStart w:id="887" w:name="_Toc396807710"/>
      <w:r w:rsidRPr="00D7084F">
        <w:t>Summary of Renewable Portfolio Standards</w:t>
      </w:r>
      <w:bookmarkEnd w:id="885"/>
      <w:bookmarkEnd w:id="886"/>
      <w:bookmarkEnd w:id="887"/>
    </w:p>
    <w:p w:rsidR="00441E32" w:rsidRPr="00F142F0" w:rsidRDefault="00441E32" w:rsidP="00441E32">
      <w:pPr>
        <w:rPr>
          <w:color w:val="000000" w:themeColor="text1"/>
        </w:rPr>
      </w:pPr>
      <w:r w:rsidRPr="00F142F0">
        <w:t xml:space="preserve">The New England states have targets for the proportion of electric energy </w:t>
      </w:r>
      <w:r w:rsidR="00391CB0">
        <w:t xml:space="preserve">that </w:t>
      </w:r>
      <w:r w:rsidRPr="00F142F0">
        <w:t xml:space="preserve">load-serving entities must provide using renewable resources and energy efficiency. Options for meeting, or exceeding, the region’s RPS targets include developing the renewable resources in the ISO queue, importing qualifying renewable resource energy from adjacent balancing authority areas, building new renewable resources in New England not yet in the queue, </w:t>
      </w:r>
      <w:r w:rsidRPr="00000E45">
        <w:t xml:space="preserve">developing </w:t>
      </w:r>
      <w:r w:rsidR="00F94905" w:rsidRPr="00F94905">
        <w:t>“behind-the-meter”</w:t>
      </w:r>
      <w:r w:rsidRPr="00000E45">
        <w:t xml:space="preserve"> projects, and using eligible </w:t>
      </w:r>
      <w:r w:rsidRPr="00A84456">
        <w:t xml:space="preserve">renewable fuels in existing generators. In addition, </w:t>
      </w:r>
      <w:r w:rsidR="00D837D8" w:rsidRPr="00A84456">
        <w:t xml:space="preserve">load-serving entities can </w:t>
      </w:r>
      <w:r w:rsidR="00D837D8" w:rsidRPr="00A84456">
        <w:rPr>
          <w:color w:val="000000" w:themeColor="text1"/>
        </w:rPr>
        <w:t xml:space="preserve">make state-established alternative compliance payments if their qualified renewable resources fall short of providing sufficient Renewable Energy Certificates to meet the RPSs. </w:t>
      </w:r>
      <w:r w:rsidRPr="00A84456">
        <w:rPr>
          <w:color w:val="000000" w:themeColor="text1"/>
        </w:rPr>
        <w:t>ACPs also can serve as a price cap on the cost</w:t>
      </w:r>
      <w:r w:rsidRPr="00F142F0">
        <w:rPr>
          <w:color w:val="000000" w:themeColor="text1"/>
        </w:rPr>
        <w:t xml:space="preserve"> of </w:t>
      </w:r>
      <w:proofErr w:type="spellStart"/>
      <w:r w:rsidRPr="00F142F0">
        <w:rPr>
          <w:color w:val="000000" w:themeColor="text1"/>
        </w:rPr>
        <w:t>RECs.</w:t>
      </w:r>
      <w:proofErr w:type="spellEnd"/>
    </w:p>
    <w:p w:rsidR="00E63D3A" w:rsidRDefault="00441E32">
      <w:pPr>
        <w:pStyle w:val="Heading2"/>
      </w:pPr>
      <w:bookmarkStart w:id="888" w:name="_Toc365441078"/>
      <w:bookmarkStart w:id="889" w:name="_Toc396807711"/>
      <w:r w:rsidRPr="00F142F0">
        <w:t>Summary of Initiatives</w:t>
      </w:r>
      <w:bookmarkEnd w:id="888"/>
      <w:bookmarkEnd w:id="889"/>
      <w:r w:rsidRPr="00F142F0">
        <w:t xml:space="preserve"> </w:t>
      </w:r>
    </w:p>
    <w:p w:rsidR="00FC1874" w:rsidRDefault="00441E32" w:rsidP="00441E32">
      <w:pPr>
        <w:sectPr w:rsidR="00FC1874" w:rsidSect="00E24A7B">
          <w:pgSz w:w="12240" w:h="15840"/>
          <w:pgMar w:top="1440" w:right="1440" w:bottom="1440" w:left="1800" w:header="720" w:footer="720" w:gutter="0"/>
          <w:cols w:space="720"/>
          <w:docGrid w:linePitch="360"/>
        </w:sectPr>
      </w:pPr>
      <w:r w:rsidRPr="00F142F0">
        <w:t xml:space="preserve">The ISO’s planning activities are closely coordinated among the six New England states, with neighboring systems, across the Eastern Interconnection, and nationally. The ISO has achieved full compliance with all required planning standards and has successfully implemented the Northeastern ISO/RTO Planning Protocol, which has further improved interregional planning among neighboring areas and will continue to do so as part of regional compliance with </w:t>
      </w:r>
      <w:r w:rsidR="00C47E35" w:rsidRPr="00F142F0">
        <w:t>Order</w:t>
      </w:r>
      <w:r w:rsidR="00C47E35">
        <w:t> </w:t>
      </w:r>
      <w:r w:rsidR="005364C3">
        <w:t xml:space="preserve">No. </w:t>
      </w:r>
      <w:r w:rsidRPr="00F142F0">
        <w:t>1000. Each New England state has a unique set of energy policy objectives and goals and continues to implement laws, policies, and initiatives that affect the regional system planning in New England.</w:t>
      </w:r>
    </w:p>
    <w:p w:rsidR="00FC1874" w:rsidRPr="00D53010" w:rsidRDefault="00FC1874" w:rsidP="005C6088">
      <w:pPr>
        <w:pStyle w:val="Heading1"/>
      </w:pPr>
      <w:bookmarkStart w:id="890" w:name="_Toc365441079"/>
      <w:r>
        <w:br/>
      </w:r>
      <w:bookmarkStart w:id="891" w:name="_Toc396807712"/>
      <w:r w:rsidRPr="00D53010">
        <w:t>Key Findings and Conclusions</w:t>
      </w:r>
      <w:bookmarkEnd w:id="890"/>
      <w:bookmarkEnd w:id="891"/>
      <w:r w:rsidRPr="00D53010">
        <w:t xml:space="preserve"> </w:t>
      </w:r>
    </w:p>
    <w:p w:rsidR="00FC1874" w:rsidRDefault="00FC1874" w:rsidP="00FC1874">
      <w:pPr>
        <w:rPr>
          <w:szCs w:val="36"/>
        </w:rPr>
      </w:pPr>
      <w:r>
        <w:rPr>
          <w:szCs w:val="36"/>
        </w:rPr>
        <w:t xml:space="preserve">In accordance with all requirements in the </w:t>
      </w:r>
      <w:r w:rsidRPr="008F101D">
        <w:rPr>
          <w:i/>
          <w:szCs w:val="36"/>
        </w:rPr>
        <w:t>Open Access Transmission Tariff</w:t>
      </w:r>
      <w:r>
        <w:rPr>
          <w:szCs w:val="36"/>
        </w:rPr>
        <w:t xml:space="preserve">, ISO New England’s </w:t>
      </w:r>
      <w:r w:rsidRPr="008F101D">
        <w:rPr>
          <w:i/>
          <w:szCs w:val="36"/>
        </w:rPr>
        <w:t>201</w:t>
      </w:r>
      <w:r>
        <w:rPr>
          <w:i/>
          <w:szCs w:val="36"/>
        </w:rPr>
        <w:t>4</w:t>
      </w:r>
      <w:r w:rsidRPr="008F101D">
        <w:rPr>
          <w:i/>
          <w:szCs w:val="36"/>
        </w:rPr>
        <w:t xml:space="preserve"> Regional System Plan</w:t>
      </w:r>
      <w:r>
        <w:rPr>
          <w:szCs w:val="36"/>
        </w:rPr>
        <w:t xml:space="preserve"> discusses the electrical system needs and the amounts, locations, and types of resource development that can meet these needs from 2014 through 2023. RSP14 also discusses the status of transmission system assessments, transmission system planning studies, and projects </w:t>
      </w:r>
      <w:r w:rsidR="00A43E02">
        <w:rPr>
          <w:szCs w:val="36"/>
        </w:rPr>
        <w:t>needed</w:t>
      </w:r>
      <w:r>
        <w:rPr>
          <w:szCs w:val="36"/>
        </w:rPr>
        <w:t xml:space="preserve"> </w:t>
      </w:r>
      <w:r w:rsidR="00A43E02">
        <w:rPr>
          <w:szCs w:val="36"/>
        </w:rPr>
        <w:t>for</w:t>
      </w:r>
      <w:r>
        <w:rPr>
          <w:szCs w:val="36"/>
        </w:rPr>
        <w:t xml:space="preserve"> meet</w:t>
      </w:r>
      <w:r w:rsidR="00A43E02">
        <w:rPr>
          <w:szCs w:val="36"/>
        </w:rPr>
        <w:t>ing</w:t>
      </w:r>
      <w:r>
        <w:rPr>
          <w:szCs w:val="36"/>
        </w:rPr>
        <w:t xml:space="preserve"> reliability requirements and improv</w:t>
      </w:r>
      <w:r w:rsidR="00A43E02">
        <w:rPr>
          <w:szCs w:val="36"/>
        </w:rPr>
        <w:t>ing</w:t>
      </w:r>
      <w:r>
        <w:rPr>
          <w:szCs w:val="36"/>
        </w:rPr>
        <w:t xml:space="preserve"> the economic performance of the system. Other discussions include strategic planning challenges expected over </w:t>
      </w:r>
      <w:proofErr w:type="gramStart"/>
      <w:r>
        <w:rPr>
          <w:szCs w:val="36"/>
        </w:rPr>
        <w:t>the same 10-year planning horizon and how the region is analyzing and addressing these challenges</w:t>
      </w:r>
      <w:proofErr w:type="gramEnd"/>
      <w:r>
        <w:rPr>
          <w:szCs w:val="36"/>
        </w:rPr>
        <w:t>. This section summarizes the key findings</w:t>
      </w:r>
      <w:r w:rsidR="00407911">
        <w:rPr>
          <w:szCs w:val="36"/>
        </w:rPr>
        <w:br/>
      </w:r>
      <w:r>
        <w:rPr>
          <w:szCs w:val="36"/>
        </w:rPr>
        <w:t>of RSP14 and conclusions about the outlook for New England’s electric power system over the next 10</w:t>
      </w:r>
      <w:r w:rsidR="00407911">
        <w:rPr>
          <w:szCs w:val="36"/>
        </w:rPr>
        <w:t> </w:t>
      </w:r>
      <w:r>
        <w:rPr>
          <w:szCs w:val="36"/>
        </w:rPr>
        <w:t>years.</w:t>
      </w:r>
    </w:p>
    <w:p w:rsidR="00E63D3A" w:rsidRDefault="00E70888">
      <w:pPr>
        <w:pStyle w:val="Heading2"/>
      </w:pPr>
      <w:bookmarkStart w:id="892" w:name="_Toc365441080"/>
      <w:bookmarkStart w:id="893" w:name="_Toc396807713"/>
      <w:r>
        <w:t xml:space="preserve">Forecasts of </w:t>
      </w:r>
      <w:r w:rsidR="00FC1874">
        <w:t>Peak Load, Energy Use, and Energy</w:t>
      </w:r>
      <w:r>
        <w:t xml:space="preserve"> </w:t>
      </w:r>
      <w:r w:rsidR="00FC1874">
        <w:t>Efficiency</w:t>
      </w:r>
      <w:bookmarkEnd w:id="892"/>
      <w:bookmarkEnd w:id="893"/>
    </w:p>
    <w:p w:rsidR="00FC1874" w:rsidRDefault="00FC1874" w:rsidP="00FC1874">
      <w:r>
        <w:t>RSP14’s 10-year forecast for the annual use of electric energy is a 1</w:t>
      </w:r>
      <w:r w:rsidRPr="006125DB">
        <w:t>.</w:t>
      </w:r>
      <w:r>
        <w:t>0</w:t>
      </w:r>
      <w:r w:rsidRPr="006125DB">
        <w:t xml:space="preserve">% </w:t>
      </w:r>
      <w:r>
        <w:t xml:space="preserve">increase </w:t>
      </w:r>
      <w:r w:rsidRPr="006125DB">
        <w:t>per year for 201</w:t>
      </w:r>
      <w:r>
        <w:t>4</w:t>
      </w:r>
      <w:r w:rsidRPr="006125DB">
        <w:t xml:space="preserve"> through 202</w:t>
      </w:r>
      <w:r>
        <w:t>3. T</w:t>
      </w:r>
      <w:r w:rsidRPr="006125DB">
        <w:t xml:space="preserve">he </w:t>
      </w:r>
      <w:r>
        <w:t xml:space="preserve">forecast for the </w:t>
      </w:r>
      <w:r w:rsidRPr="006125DB">
        <w:t xml:space="preserve">average growth in the summer peak demand </w:t>
      </w:r>
      <w:r>
        <w:t xml:space="preserve">is </w:t>
      </w:r>
      <w:r w:rsidRPr="006125DB">
        <w:t>1.</w:t>
      </w:r>
      <w:r>
        <w:t>3</w:t>
      </w:r>
      <w:r w:rsidRPr="006125DB">
        <w:t>%. Th</w:t>
      </w:r>
      <w:r>
        <w:t>e</w:t>
      </w:r>
      <w:r w:rsidRPr="006125DB">
        <w:t xml:space="preserve"> forecast </w:t>
      </w:r>
      <w:r>
        <w:t xml:space="preserve">is materially the same as </w:t>
      </w:r>
      <w:r w:rsidRPr="006125DB">
        <w:t>the RSP1</w:t>
      </w:r>
      <w:r>
        <w:t>3</w:t>
      </w:r>
      <w:r w:rsidRPr="006125DB">
        <w:t xml:space="preserve"> forecast. </w:t>
      </w:r>
      <w:r w:rsidRPr="00B8281E">
        <w:t xml:space="preserve">The 50/50 summer peak forecast </w:t>
      </w:r>
      <w:r>
        <w:t xml:space="preserve">for 2014 </w:t>
      </w:r>
      <w:r w:rsidRPr="00EF2D21">
        <w:t xml:space="preserve">is </w:t>
      </w:r>
      <w:r>
        <w:t>12</w:t>
      </w:r>
      <w:r w:rsidRPr="00300C42">
        <w:t>5</w:t>
      </w:r>
      <w:r w:rsidRPr="00EF2D21">
        <w:t xml:space="preserve"> MW </w:t>
      </w:r>
      <w:r>
        <w:t>lower</w:t>
      </w:r>
      <w:r w:rsidRPr="00EF2D21">
        <w:t xml:space="preserve"> than the RSP1</w:t>
      </w:r>
      <w:r>
        <w:t>3</w:t>
      </w:r>
      <w:r w:rsidRPr="00EF2D21">
        <w:t xml:space="preserve"> forecast and </w:t>
      </w:r>
      <w:r>
        <w:t>205</w:t>
      </w:r>
      <w:r w:rsidRPr="00EF2D21">
        <w:t xml:space="preserve"> MW lower </w:t>
      </w:r>
      <w:r>
        <w:t>for</w:t>
      </w:r>
      <w:r w:rsidRPr="00EF2D21">
        <w:t xml:space="preserve"> 202</w:t>
      </w:r>
      <w:r>
        <w:t>2</w:t>
      </w:r>
      <w:r w:rsidRPr="00EF2D21">
        <w:t>.</w:t>
      </w:r>
      <w:r>
        <w:t xml:space="preserve"> </w:t>
      </w:r>
    </w:p>
    <w:p w:rsidR="00FC1874" w:rsidRDefault="00FC1874" w:rsidP="00FC1874">
      <w:pPr>
        <w:rPr>
          <w:szCs w:val="36"/>
        </w:rPr>
      </w:pPr>
      <w:r>
        <w:rPr>
          <w:szCs w:val="36"/>
        </w:rPr>
        <w:t>T</w:t>
      </w:r>
      <w:r w:rsidRPr="006125DB">
        <w:rPr>
          <w:szCs w:val="36"/>
        </w:rPr>
        <w:t>he ISO</w:t>
      </w:r>
      <w:r>
        <w:rPr>
          <w:szCs w:val="36"/>
        </w:rPr>
        <w:t>’s</w:t>
      </w:r>
      <w:r w:rsidRPr="006125DB">
        <w:rPr>
          <w:szCs w:val="36"/>
        </w:rPr>
        <w:t xml:space="preserve"> </w:t>
      </w:r>
      <w:r>
        <w:rPr>
          <w:szCs w:val="36"/>
        </w:rPr>
        <w:t xml:space="preserve">2014 </w:t>
      </w:r>
      <w:r w:rsidRPr="006125DB">
        <w:rPr>
          <w:szCs w:val="36"/>
        </w:rPr>
        <w:t>energy-efficiency forecast for 201</w:t>
      </w:r>
      <w:r>
        <w:rPr>
          <w:szCs w:val="36"/>
        </w:rPr>
        <w:t>8</w:t>
      </w:r>
      <w:r w:rsidRPr="006125DB">
        <w:rPr>
          <w:szCs w:val="36"/>
        </w:rPr>
        <w:t xml:space="preserve"> to 202</w:t>
      </w:r>
      <w:r>
        <w:rPr>
          <w:szCs w:val="36"/>
        </w:rPr>
        <w:t xml:space="preserve">3, which also is similar to the EE forecast reported in RSP13, </w:t>
      </w:r>
      <w:r w:rsidRPr="006125DB">
        <w:rPr>
          <w:szCs w:val="36"/>
        </w:rPr>
        <w:t>show</w:t>
      </w:r>
      <w:r>
        <w:rPr>
          <w:szCs w:val="36"/>
        </w:rPr>
        <w:t>s</w:t>
      </w:r>
      <w:r w:rsidRPr="006125DB">
        <w:rPr>
          <w:szCs w:val="36"/>
        </w:rPr>
        <w:t xml:space="preserve"> a regional annual average energy savings of 1,</w:t>
      </w:r>
      <w:r>
        <w:rPr>
          <w:szCs w:val="36"/>
        </w:rPr>
        <w:t>518</w:t>
      </w:r>
      <w:r w:rsidRPr="006125DB">
        <w:rPr>
          <w:szCs w:val="36"/>
        </w:rPr>
        <w:t xml:space="preserve"> </w:t>
      </w:r>
      <w:proofErr w:type="spellStart"/>
      <w:r w:rsidRPr="006125DB">
        <w:rPr>
          <w:szCs w:val="36"/>
        </w:rPr>
        <w:t>GWh</w:t>
      </w:r>
      <w:proofErr w:type="spellEnd"/>
      <w:r w:rsidRPr="006125DB">
        <w:rPr>
          <w:szCs w:val="36"/>
        </w:rPr>
        <w:t xml:space="preserve">, an average annual </w:t>
      </w:r>
      <w:r w:rsidRPr="004452EF">
        <w:rPr>
          <w:szCs w:val="36"/>
        </w:rPr>
        <w:t xml:space="preserve">reduction in the peak demand by </w:t>
      </w:r>
      <w:r>
        <w:rPr>
          <w:szCs w:val="36"/>
        </w:rPr>
        <w:t>205</w:t>
      </w:r>
      <w:r w:rsidRPr="004452EF">
        <w:rPr>
          <w:szCs w:val="36"/>
        </w:rPr>
        <w:t xml:space="preserve"> MW, and a total reduction in the peak demand by 1,</w:t>
      </w:r>
      <w:r>
        <w:rPr>
          <w:szCs w:val="36"/>
        </w:rPr>
        <w:t>23</w:t>
      </w:r>
      <w:r w:rsidRPr="004452EF">
        <w:rPr>
          <w:szCs w:val="36"/>
        </w:rPr>
        <w:t>3 MW from 201</w:t>
      </w:r>
      <w:r>
        <w:rPr>
          <w:szCs w:val="36"/>
        </w:rPr>
        <w:t>8</w:t>
      </w:r>
      <w:r w:rsidRPr="004452EF">
        <w:rPr>
          <w:szCs w:val="36"/>
        </w:rPr>
        <w:t xml:space="preserve"> to 202</w:t>
      </w:r>
      <w:r>
        <w:rPr>
          <w:szCs w:val="36"/>
        </w:rPr>
        <w:t>3</w:t>
      </w:r>
      <w:r w:rsidRPr="004452EF">
        <w:rPr>
          <w:szCs w:val="36"/>
        </w:rPr>
        <w:t xml:space="preserve">. The </w:t>
      </w:r>
      <w:r w:rsidR="00C857DA">
        <w:rPr>
          <w:szCs w:val="36"/>
        </w:rPr>
        <w:t xml:space="preserve">summer </w:t>
      </w:r>
      <w:r w:rsidRPr="004452EF">
        <w:rPr>
          <w:szCs w:val="36"/>
        </w:rPr>
        <w:t xml:space="preserve">regional load forecast net of EE resources </w:t>
      </w:r>
      <w:proofErr w:type="gramStart"/>
      <w:r w:rsidRPr="004452EF">
        <w:rPr>
          <w:szCs w:val="36"/>
        </w:rPr>
        <w:t>is projected</w:t>
      </w:r>
      <w:proofErr w:type="gramEnd"/>
      <w:r w:rsidRPr="004452EF">
        <w:rPr>
          <w:szCs w:val="36"/>
        </w:rPr>
        <w:t xml:space="preserve"> to increase at approximately half the projected growth rate of the 90/10 forecast without EE. The </w:t>
      </w:r>
      <w:r>
        <w:rPr>
          <w:szCs w:val="36"/>
        </w:rPr>
        <w:t>projection</w:t>
      </w:r>
      <w:r w:rsidR="00C857DA">
        <w:rPr>
          <w:szCs w:val="36"/>
        </w:rPr>
        <w:t>s</w:t>
      </w:r>
      <w:r>
        <w:rPr>
          <w:szCs w:val="36"/>
        </w:rPr>
        <w:t xml:space="preserve"> for </w:t>
      </w:r>
      <w:r w:rsidRPr="004452EF">
        <w:rPr>
          <w:szCs w:val="36"/>
        </w:rPr>
        <w:t xml:space="preserve">net electric energy consumption </w:t>
      </w:r>
      <w:r w:rsidR="00C857DA">
        <w:rPr>
          <w:szCs w:val="36"/>
        </w:rPr>
        <w:t xml:space="preserve">and winter peak load show </w:t>
      </w:r>
      <w:r w:rsidRPr="004452EF">
        <w:rPr>
          <w:szCs w:val="36"/>
        </w:rPr>
        <w:t>essentially no growth.</w:t>
      </w:r>
    </w:p>
    <w:p w:rsidR="00E63D3A" w:rsidRDefault="00FC1874">
      <w:pPr>
        <w:pStyle w:val="Heading2"/>
      </w:pPr>
      <w:bookmarkStart w:id="894" w:name="_Toc396807714"/>
      <w:bookmarkStart w:id="895" w:name="_Toc365441081"/>
      <w:r>
        <w:t>Distributed Generation Forecast</w:t>
      </w:r>
      <w:bookmarkEnd w:id="894"/>
    </w:p>
    <w:p w:rsidR="00FC1874" w:rsidRDefault="00FC1874" w:rsidP="00FC1874">
      <w:r>
        <w:t xml:space="preserve">The nameplate amount of photovoltaic resources approximately doubled from 250 </w:t>
      </w:r>
      <w:r w:rsidRPr="002E0543">
        <w:t>MW</w:t>
      </w:r>
      <w:r>
        <w:rPr>
          <w:vertAlign w:val="subscript"/>
        </w:rPr>
        <w:t>A</w:t>
      </w:r>
      <w:r w:rsidRPr="00D60AD5">
        <w:rPr>
          <w:vertAlign w:val="subscript"/>
        </w:rPr>
        <w:t>C</w:t>
      </w:r>
      <w:r>
        <w:t xml:space="preserve"> in 2012 to about </w:t>
      </w:r>
      <w:r w:rsidRPr="002E0543">
        <w:t>500 MW</w:t>
      </w:r>
      <w:r>
        <w:rPr>
          <w:vertAlign w:val="subscript"/>
        </w:rPr>
        <w:t>A</w:t>
      </w:r>
      <w:r w:rsidRPr="00D60AD5">
        <w:rPr>
          <w:vertAlign w:val="subscript"/>
        </w:rPr>
        <w:t>C</w:t>
      </w:r>
      <w:r>
        <w:rPr>
          <w:vertAlign w:val="subscript"/>
        </w:rPr>
        <w:t xml:space="preserve"> </w:t>
      </w:r>
      <w:r>
        <w:t>in 2013 across the New England region. Projections of PV installations reach 1,</w:t>
      </w:r>
      <w:r w:rsidR="007C3D2D">
        <w:t>800 </w:t>
      </w:r>
      <w:r w:rsidRPr="002E0543">
        <w:t>MW</w:t>
      </w:r>
      <w:r>
        <w:rPr>
          <w:vertAlign w:val="subscript"/>
        </w:rPr>
        <w:t>A</w:t>
      </w:r>
      <w:r w:rsidRPr="00D60AD5">
        <w:rPr>
          <w:vertAlign w:val="subscript"/>
        </w:rPr>
        <w:t>C</w:t>
      </w:r>
      <w:r>
        <w:t xml:space="preserve"> by 2023, a forecast the ISO developed with stakeholder input. </w:t>
      </w:r>
    </w:p>
    <w:p w:rsidR="00FC1874" w:rsidRPr="00C874C2" w:rsidRDefault="00FC1874" w:rsidP="00FC1874">
      <w:r>
        <w:t xml:space="preserve">The expansion of PV and other forms of distributed generation presents several complex technical issues that </w:t>
      </w:r>
      <w:proofErr w:type="gramStart"/>
      <w:r>
        <w:t>must be addressed</w:t>
      </w:r>
      <w:proofErr w:type="gramEnd"/>
      <w:r>
        <w:t xml:space="preserve"> to successfully operate and plan the system. These issues include the need for improv</w:t>
      </w:r>
      <w:r w:rsidR="007A1865">
        <w:t>ing</w:t>
      </w:r>
      <w:r>
        <w:t xml:space="preserve"> </w:t>
      </w:r>
      <w:r w:rsidR="007A1865">
        <w:t xml:space="preserve">DG </w:t>
      </w:r>
      <w:r>
        <w:t>interconnection standards</w:t>
      </w:r>
      <w:r w:rsidR="007A1865">
        <w:t xml:space="preserve">, </w:t>
      </w:r>
      <w:r>
        <w:t>develop</w:t>
      </w:r>
      <w:r w:rsidR="007A1865">
        <w:t xml:space="preserve">ing a PV energy forecast, possibly extending the PV forecast to other forms </w:t>
      </w:r>
      <w:r>
        <w:t xml:space="preserve">of DG, </w:t>
      </w:r>
      <w:r w:rsidR="007A1865">
        <w:t xml:space="preserve">improving the </w:t>
      </w:r>
      <w:r>
        <w:t>operating and forecasting tools, and us</w:t>
      </w:r>
      <w:r w:rsidR="007A1865">
        <w:t>ing</w:t>
      </w:r>
      <w:r>
        <w:t xml:space="preserve"> the DG forecast in planning studies. The ISO looks forward to working with stakeholders to resolve these issues.</w:t>
      </w:r>
    </w:p>
    <w:p w:rsidR="00E63D3A" w:rsidRDefault="00FC1874">
      <w:pPr>
        <w:pStyle w:val="Heading2"/>
      </w:pPr>
      <w:bookmarkStart w:id="896" w:name="_Toc396807715"/>
      <w:proofErr w:type="spellStart"/>
      <w:r w:rsidRPr="008846A6">
        <w:t>Systemwide</w:t>
      </w:r>
      <w:proofErr w:type="spellEnd"/>
      <w:r w:rsidRPr="008846A6">
        <w:t xml:space="preserve"> and Local Area Needs for Capacity</w:t>
      </w:r>
      <w:bookmarkEnd w:id="895"/>
      <w:bookmarkEnd w:id="896"/>
    </w:p>
    <w:p w:rsidR="00FC1874" w:rsidRDefault="00FC1874" w:rsidP="00FC1874">
      <w:r w:rsidRPr="008846A6">
        <w:rPr>
          <w:szCs w:val="36"/>
        </w:rPr>
        <w:t xml:space="preserve">RSP14 shows projections of the </w:t>
      </w:r>
      <w:proofErr w:type="spellStart"/>
      <w:r w:rsidRPr="008846A6">
        <w:rPr>
          <w:szCs w:val="36"/>
        </w:rPr>
        <w:t>systemwide</w:t>
      </w:r>
      <w:proofErr w:type="spellEnd"/>
      <w:r w:rsidRPr="008846A6">
        <w:rPr>
          <w:szCs w:val="36"/>
        </w:rPr>
        <w:t xml:space="preserve"> need for capacity, the amounts of retirements the system can withstand, and the locations where fast-start operating reserves would be beneficial. Natural-gas-fired generation and renewable resources currently in the generator interconnection queue, which </w:t>
      </w:r>
      <w:r w:rsidRPr="008846A6">
        <w:t>shows 6,915 MW of active resource projects,</w:t>
      </w:r>
      <w:r w:rsidRPr="008846A6">
        <w:rPr>
          <w:szCs w:val="36"/>
        </w:rPr>
        <w:t xml:space="preserve"> may replace some of this retired capacity</w:t>
      </w:r>
      <w:r w:rsidRPr="008846A6">
        <w:t>.</w:t>
      </w:r>
      <w:r w:rsidRPr="008846A6">
        <w:rPr>
          <w:szCs w:val="36"/>
        </w:rPr>
        <w:t xml:space="preserve"> </w:t>
      </w:r>
      <w:r w:rsidRPr="008846A6">
        <w:t xml:space="preserve">Capacity zones </w:t>
      </w:r>
      <w:r w:rsidR="008C5D0C">
        <w:t xml:space="preserve">are </w:t>
      </w:r>
      <w:r w:rsidR="008C5D0C" w:rsidRPr="008846A6">
        <w:t xml:space="preserve">no longer </w:t>
      </w:r>
      <w:r w:rsidR="008C5D0C">
        <w:t xml:space="preserve">defined using </w:t>
      </w:r>
      <w:r w:rsidR="008C5D0C" w:rsidRPr="007C3D2D">
        <w:t>predefined boundaries</w:t>
      </w:r>
      <w:r w:rsidR="008C5D0C" w:rsidRPr="008846A6">
        <w:t xml:space="preserve"> </w:t>
      </w:r>
      <w:r w:rsidR="008C5D0C">
        <w:t xml:space="preserve">but by </w:t>
      </w:r>
      <w:r w:rsidRPr="008846A6">
        <w:t>objective criteria and studies</w:t>
      </w:r>
      <w:r w:rsidR="008C5D0C" w:rsidRPr="007C3D2D">
        <w:t xml:space="preserve">. The new zones </w:t>
      </w:r>
      <w:proofErr w:type="gramStart"/>
      <w:r w:rsidR="008C5D0C" w:rsidRPr="007C3D2D">
        <w:t xml:space="preserve">will be </w:t>
      </w:r>
      <w:r w:rsidRPr="007C3D2D">
        <w:t>updated</w:t>
      </w:r>
      <w:proofErr w:type="gramEnd"/>
      <w:r w:rsidRPr="007C3D2D">
        <w:t xml:space="preserve"> </w:t>
      </w:r>
      <w:r w:rsidR="00F94905" w:rsidRPr="007C3D2D">
        <w:t>for each Forward Capacity Auction</w:t>
      </w:r>
      <w:r w:rsidR="008C5D0C" w:rsidRPr="007C3D2D">
        <w:t xml:space="preserve"> </w:t>
      </w:r>
      <w:r w:rsidRPr="007C3D2D">
        <w:t>to reflect chang</w:t>
      </w:r>
      <w:r w:rsidRPr="008846A6">
        <w:t xml:space="preserve">ing system conditions. RSP14 shows that the most favorable locations for new resource development </w:t>
      </w:r>
      <w:r w:rsidR="00064C81">
        <w:t>are</w:t>
      </w:r>
      <w:r w:rsidRPr="008846A6">
        <w:t xml:space="preserve"> near</w:t>
      </w:r>
      <w:r>
        <w:t xml:space="preserve"> load centers, particularly NEMA/Boston and SEMA/RI. </w:t>
      </w:r>
    </w:p>
    <w:p w:rsidR="00FC1874" w:rsidRDefault="00FC1874" w:rsidP="00FC1874">
      <w:r>
        <w:t xml:space="preserve">As recently as fall 2013, a surplus of capacity resources (both new and existing) </w:t>
      </w:r>
      <w:proofErr w:type="gramStart"/>
      <w:r>
        <w:t>was considered</w:t>
      </w:r>
      <w:proofErr w:type="gramEnd"/>
      <w:r>
        <w:t xml:space="preserve"> likely for FCA</w:t>
      </w:r>
      <w:r w:rsidR="00B57F47">
        <w:t xml:space="preserve"> </w:t>
      </w:r>
      <w:r>
        <w:t xml:space="preserve">#8, but retirements were subsequently announced. </w:t>
      </w:r>
      <w:r w:rsidR="00E562BC">
        <w:t>Additional r</w:t>
      </w:r>
      <w:r w:rsidRPr="00DB1553">
        <w:t>esources</w:t>
      </w:r>
      <w:r w:rsidRPr="00DB1553">
        <w:rPr>
          <w:rFonts w:ascii="Calibri" w:hAnsi="Calibri"/>
          <w:color w:val="1F497D"/>
        </w:rPr>
        <w:t xml:space="preserve"> </w:t>
      </w:r>
      <w:proofErr w:type="gramStart"/>
      <w:r w:rsidRPr="00347459">
        <w:t>will be procured</w:t>
      </w:r>
      <w:proofErr w:type="gramEnd"/>
      <w:r w:rsidRPr="00DB1553">
        <w:t xml:space="preserve"> for the 201</w:t>
      </w:r>
      <w:r>
        <w:t>7</w:t>
      </w:r>
      <w:r w:rsidRPr="00DB1553">
        <w:t>/201</w:t>
      </w:r>
      <w:r>
        <w:t>8</w:t>
      </w:r>
      <w:r w:rsidRPr="00DB1553">
        <w:t xml:space="preserve"> capacity commitment period</w:t>
      </w:r>
      <w:r>
        <w:t xml:space="preserve"> if deemed necessary in upcoming </w:t>
      </w:r>
      <w:r w:rsidR="004A1469">
        <w:t>a</w:t>
      </w:r>
      <w:r>
        <w:t xml:space="preserve">nnual </w:t>
      </w:r>
      <w:r w:rsidR="004A1469">
        <w:t>r</w:t>
      </w:r>
      <w:r>
        <w:t xml:space="preserve">econfiguration </w:t>
      </w:r>
      <w:r w:rsidR="004A1469">
        <w:t>a</w:t>
      </w:r>
      <w:r>
        <w:t>uctions</w:t>
      </w:r>
      <w:r w:rsidRPr="00DB1553">
        <w:t>.</w:t>
      </w:r>
      <w:r w:rsidRPr="00146468">
        <w:t xml:space="preserve"> </w:t>
      </w:r>
      <w:r w:rsidRPr="00DB1553">
        <w:t xml:space="preserve">The region </w:t>
      </w:r>
      <w:proofErr w:type="gramStart"/>
      <w:r>
        <w:t>is projected</w:t>
      </w:r>
      <w:proofErr w:type="gramEnd"/>
      <w:r>
        <w:t xml:space="preserve"> to require 424 MW in 2019/2020</w:t>
      </w:r>
      <w:r w:rsidRPr="00DB1553">
        <w:t xml:space="preserve">, which would </w:t>
      </w:r>
      <w:r>
        <w:t>increase to a shortage of 1,155</w:t>
      </w:r>
      <w:r w:rsidRPr="00DB1553">
        <w:t xml:space="preserve"> MW in </w:t>
      </w:r>
      <w:r w:rsidRPr="007C3D2D">
        <w:t xml:space="preserve">2023/2024, accounting for the load and energy-efficiency forecasts </w:t>
      </w:r>
      <w:r w:rsidR="00F94905" w:rsidRPr="007C3D2D">
        <w:t>and known retirements</w:t>
      </w:r>
      <w:r w:rsidR="008C5D0C" w:rsidRPr="007C3D2D">
        <w:t xml:space="preserve"> </w:t>
      </w:r>
      <w:r w:rsidRPr="007C3D2D">
        <w:t>and</w:t>
      </w:r>
      <w:r w:rsidRPr="00DB1553">
        <w:t xml:space="preserve"> assuming all resources with capacity supply obligations for FCA #</w:t>
      </w:r>
      <w:r>
        <w:t>8</w:t>
      </w:r>
      <w:r w:rsidRPr="00DB1553">
        <w:t xml:space="preserve"> remain in service. </w:t>
      </w:r>
    </w:p>
    <w:p w:rsidR="00FC1874" w:rsidRPr="00372396" w:rsidRDefault="00FC1874" w:rsidP="00FC1874">
      <w:r>
        <w:t xml:space="preserve">Several </w:t>
      </w:r>
      <w:r w:rsidRPr="00695473">
        <w:t xml:space="preserve">older, </w:t>
      </w:r>
      <w:r>
        <w:t>fossil fuel</w:t>
      </w:r>
      <w:r w:rsidRPr="00695473">
        <w:t xml:space="preserve"> generating facilities</w:t>
      </w:r>
      <w:r>
        <w:t xml:space="preserve"> and a nuclear unit have announced retirements, and t</w:t>
      </w:r>
      <w:r w:rsidRPr="00695473">
        <w:t xml:space="preserve">he high </w:t>
      </w:r>
      <w:r>
        <w:t xml:space="preserve">probability </w:t>
      </w:r>
      <w:r w:rsidRPr="00695473">
        <w:t xml:space="preserve">of </w:t>
      </w:r>
      <w:r>
        <w:t xml:space="preserve">additional </w:t>
      </w:r>
      <w:r w:rsidRPr="00695473">
        <w:t xml:space="preserve">resource retirements will likely accelerate the need for new </w:t>
      </w:r>
      <w:r>
        <w:t xml:space="preserve">capacity in the region. </w:t>
      </w:r>
      <w:r w:rsidRPr="00695473">
        <w:t xml:space="preserve">Additionally, </w:t>
      </w:r>
      <w:r>
        <w:t xml:space="preserve">generation </w:t>
      </w:r>
      <w:r w:rsidRPr="00695473">
        <w:t xml:space="preserve">owners could choose not to invest in environmental remediation </w:t>
      </w:r>
      <w:r w:rsidRPr="00B238D7">
        <w:t xml:space="preserve">measures called for in pending or required regulations, which could force these units to shut down. Market incentives </w:t>
      </w:r>
      <w:proofErr w:type="gramStart"/>
      <w:r w:rsidRPr="00B238D7">
        <w:t xml:space="preserve">are being designed and implemented to encourage </w:t>
      </w:r>
      <w:r w:rsidR="00321B66">
        <w:t xml:space="preserve">the </w:t>
      </w:r>
      <w:r w:rsidRPr="00B238D7">
        <w:t>improved performance of existing resources and to develop needed new resources</w:t>
      </w:r>
      <w:proofErr w:type="gramEnd"/>
      <w:r w:rsidRPr="00B238D7">
        <w:t xml:space="preserve">. </w:t>
      </w:r>
      <w:proofErr w:type="gramStart"/>
      <w:r w:rsidRPr="00B238D7">
        <w:t>The capacity needs of the system will likely be met by generators in the interconnection queue, imports from neighboring regions, and demand resources</w:t>
      </w:r>
      <w:proofErr w:type="gramEnd"/>
      <w:r w:rsidRPr="00B238D7">
        <w:t>.</w:t>
      </w:r>
    </w:p>
    <w:p w:rsidR="00E63D3A" w:rsidRDefault="00F94905">
      <w:pPr>
        <w:pStyle w:val="Heading2"/>
      </w:pPr>
      <w:bookmarkStart w:id="897" w:name="_Toc365441082"/>
      <w:bookmarkStart w:id="898" w:name="_Toc396807716"/>
      <w:r w:rsidRPr="00F94905">
        <w:t>Operating Reserves and Ancillary Services</w:t>
      </w:r>
      <w:bookmarkEnd w:id="897"/>
      <w:bookmarkEnd w:id="898"/>
    </w:p>
    <w:p w:rsidR="00FC1874" w:rsidRDefault="00FC1874" w:rsidP="00FC1874">
      <w:r w:rsidRPr="005E6538">
        <w:t xml:space="preserve">Resources participating in the </w:t>
      </w:r>
      <w:proofErr w:type="spellStart"/>
      <w:r w:rsidRPr="005E6538">
        <w:t>locational</w:t>
      </w:r>
      <w:proofErr w:type="spellEnd"/>
      <w:r w:rsidRPr="005E6538">
        <w:t xml:space="preserve"> Forward Reserve Market are helping satisfy the operating</w:t>
      </w:r>
      <w:r>
        <w:t>-</w:t>
      </w:r>
      <w:r w:rsidRPr="005E6538">
        <w:t>reserve requirements of the region overall and in major load pockets to address contingencies</w:t>
      </w:r>
      <w:r>
        <w:t xml:space="preserve">. </w:t>
      </w:r>
      <w:r w:rsidR="00F94905" w:rsidRPr="007C3D2D">
        <w:t>The results of the operating</w:t>
      </w:r>
      <w:r w:rsidR="006664D8">
        <w:t>-</w:t>
      </w:r>
      <w:r w:rsidR="00F94905" w:rsidRPr="007C3D2D">
        <w:t>reserve analyses for</w:t>
      </w:r>
      <w:r w:rsidR="00321B66">
        <w:t xml:space="preserve"> </w:t>
      </w:r>
      <w:r>
        <w:t>2014 through 2018</w:t>
      </w:r>
      <w:r w:rsidR="00321B66">
        <w:t xml:space="preserve"> show that </w:t>
      </w:r>
      <w:r>
        <w:t xml:space="preserve">the representative </w:t>
      </w:r>
      <w:r w:rsidR="00321B66">
        <w:t>o</w:t>
      </w:r>
      <w:r>
        <w:t xml:space="preserve">perating-reserve requirements for </w:t>
      </w:r>
      <w:r w:rsidRPr="004452EF">
        <w:t>Greater Southwest Connecticut</w:t>
      </w:r>
      <w:r>
        <w:t xml:space="preserve"> </w:t>
      </w:r>
      <w:r w:rsidRPr="007C3D2D">
        <w:t xml:space="preserve">are </w:t>
      </w:r>
      <w:r w:rsidR="00F94905" w:rsidRPr="007C3D2D">
        <w:t xml:space="preserve">as </w:t>
      </w:r>
      <w:r w:rsidR="00321B66" w:rsidRPr="007C3D2D">
        <w:t>much</w:t>
      </w:r>
      <w:r w:rsidR="00F94905" w:rsidRPr="007C3D2D">
        <w:t xml:space="preserve"> as </w:t>
      </w:r>
      <w:r w:rsidRPr="007C3D2D">
        <w:t xml:space="preserve">350 MW. Over the same period, the need for operating reserves in Greater Connecticut is </w:t>
      </w:r>
      <w:r w:rsidR="00F94905" w:rsidRPr="007C3D2D">
        <w:t xml:space="preserve">as much as </w:t>
      </w:r>
      <w:r w:rsidRPr="007C3D2D">
        <w:t xml:space="preserve">1,100 MW during the summer, and similarly, the need for the BOSTON area is </w:t>
      </w:r>
      <w:r w:rsidR="00F94905" w:rsidRPr="007C3D2D">
        <w:t xml:space="preserve">as much as </w:t>
      </w:r>
      <w:r w:rsidR="00321B66">
        <w:t>350 </w:t>
      </w:r>
      <w:r>
        <w:t xml:space="preserve">MW. The placement of fast-start, energy efficiency, and economical </w:t>
      </w:r>
      <w:proofErr w:type="spellStart"/>
      <w:r>
        <w:t>baseload</w:t>
      </w:r>
      <w:proofErr w:type="spellEnd"/>
      <w:r>
        <w:t xml:space="preserve"> resources in </w:t>
      </w:r>
      <w:r w:rsidRPr="000A075A">
        <w:t xml:space="preserve">these </w:t>
      </w:r>
      <w:r w:rsidR="00F94905" w:rsidRPr="00F94905">
        <w:t>load pockets</w:t>
      </w:r>
      <w:r>
        <w:t xml:space="preserve"> </w:t>
      </w:r>
      <w:r w:rsidR="000A075A">
        <w:t xml:space="preserve">will </w:t>
      </w:r>
      <w:r>
        <w:t xml:space="preserve">improve system performance. </w:t>
      </w:r>
      <w:r w:rsidR="000A075A">
        <w:t>T</w:t>
      </w:r>
      <w:r>
        <w:t xml:space="preserve">ransmission projects that </w:t>
      </w:r>
      <w:proofErr w:type="gramStart"/>
      <w:r>
        <w:t xml:space="preserve">increase the transfer capability into these areas </w:t>
      </w:r>
      <w:r w:rsidRPr="000A075A">
        <w:t xml:space="preserve">or </w:t>
      </w:r>
      <w:r w:rsidR="00F94905" w:rsidRPr="00F94905">
        <w:t xml:space="preserve">in other ways </w:t>
      </w:r>
      <w:r w:rsidRPr="000A075A">
        <w:t>improve</w:t>
      </w:r>
      <w:proofErr w:type="gramEnd"/>
      <w:r w:rsidRPr="000A075A">
        <w:t xml:space="preserve"> the</w:t>
      </w:r>
      <w:r w:rsidR="000A075A">
        <w:t xml:space="preserve"> </w:t>
      </w:r>
      <w:r w:rsidRPr="000A075A">
        <w:t xml:space="preserve">electrical access </w:t>
      </w:r>
      <w:r w:rsidR="000A075A">
        <w:t xml:space="preserve">of these areas </w:t>
      </w:r>
      <w:r w:rsidRPr="000A075A">
        <w:t>to economical resources</w:t>
      </w:r>
      <w:r w:rsidR="000A075A" w:rsidRPr="000A075A">
        <w:t xml:space="preserve"> also </w:t>
      </w:r>
      <w:r w:rsidR="000A075A">
        <w:t xml:space="preserve">enhance </w:t>
      </w:r>
      <w:r w:rsidR="000A075A" w:rsidRPr="000A075A">
        <w:t>the ec</w:t>
      </w:r>
      <w:r w:rsidR="000A075A">
        <w:t>onomical and reliable performance of the system.</w:t>
      </w:r>
    </w:p>
    <w:p w:rsidR="00FC1874" w:rsidRPr="005A0458" w:rsidRDefault="00FC1874" w:rsidP="00FC1874">
      <w:pPr>
        <w:rPr>
          <w:szCs w:val="36"/>
        </w:rPr>
      </w:pPr>
      <w:r w:rsidRPr="005A0458">
        <w:t xml:space="preserve">The need for flexible resources to provide operating reserves as well as other ancillary services, such as </w:t>
      </w:r>
      <w:r w:rsidRPr="00387220">
        <w:t>regulation and ramping, will</w:t>
      </w:r>
      <w:r w:rsidRPr="005A0458">
        <w:t xml:space="preserve"> likely increase as a result of unit retirements and the addition of </w:t>
      </w:r>
      <w:r w:rsidR="000A075A">
        <w:t xml:space="preserve">intermittent </w:t>
      </w:r>
      <w:r w:rsidRPr="005A0458">
        <w:t>resources, particularly wind</w:t>
      </w:r>
      <w:r>
        <w:t xml:space="preserve"> and PV</w:t>
      </w:r>
      <w:r w:rsidRPr="005A0458">
        <w:t>. To date, increas</w:t>
      </w:r>
      <w:r>
        <w:t xml:space="preserve">ing </w:t>
      </w:r>
      <w:r w:rsidRPr="005A0458">
        <w:t>the 10-minute operating</w:t>
      </w:r>
      <w:r>
        <w:t>-</w:t>
      </w:r>
      <w:r w:rsidRPr="005A0458">
        <w:t>reserve requirement and adding seasonal replacement reserves</w:t>
      </w:r>
      <w:r>
        <w:t xml:space="preserve"> have</w:t>
      </w:r>
      <w:r w:rsidRPr="005A0458">
        <w:t xml:space="preserve"> improve</w:t>
      </w:r>
      <w:r>
        <w:t>d</w:t>
      </w:r>
      <w:r w:rsidRPr="005A0458">
        <w:t xml:space="preserve"> the </w:t>
      </w:r>
      <w:proofErr w:type="spellStart"/>
      <w:r w:rsidRPr="005A0458">
        <w:t>systemwide</w:t>
      </w:r>
      <w:proofErr w:type="spellEnd"/>
      <w:r w:rsidRPr="005A0458">
        <w:t xml:space="preserve"> performance for meeting peak load, ramping during changing system conditions, and the resource response to contingencies.</w:t>
      </w:r>
      <w:r>
        <w:t xml:space="preserve"> </w:t>
      </w:r>
    </w:p>
    <w:p w:rsidR="00E63D3A" w:rsidRDefault="00FC1874">
      <w:pPr>
        <w:pStyle w:val="Heading2"/>
        <w:rPr>
          <w:szCs w:val="20"/>
        </w:rPr>
      </w:pPr>
      <w:bookmarkStart w:id="899" w:name="_Toc365441083"/>
      <w:bookmarkStart w:id="900" w:name="_Toc396807717"/>
      <w:r w:rsidRPr="00EE3319">
        <w:t xml:space="preserve">Transmission </w:t>
      </w:r>
      <w:r>
        <w:t>P</w:t>
      </w:r>
      <w:r w:rsidRPr="00EE3319">
        <w:t>rojects</w:t>
      </w:r>
      <w:bookmarkEnd w:id="899"/>
      <w:bookmarkEnd w:id="900"/>
    </w:p>
    <w:p w:rsidR="00FC1874" w:rsidRDefault="000A075A" w:rsidP="00FC1874">
      <w:r>
        <w:t>T</w:t>
      </w:r>
      <w:r w:rsidR="00FC1874">
        <w:t xml:space="preserve">ransmission projects </w:t>
      </w:r>
      <w:proofErr w:type="gramStart"/>
      <w:r w:rsidR="00E562BC">
        <w:t xml:space="preserve">are </w:t>
      </w:r>
      <w:r>
        <w:t>be</w:t>
      </w:r>
      <w:r w:rsidR="00E562BC">
        <w:t>ing</w:t>
      </w:r>
      <w:r>
        <w:t xml:space="preserve"> completed</w:t>
      </w:r>
      <w:proofErr w:type="gramEnd"/>
      <w:r>
        <w:t xml:space="preserve"> </w:t>
      </w:r>
      <w:r w:rsidR="00E562BC">
        <w:t>to</w:t>
      </w:r>
      <w:r w:rsidR="00FC1874">
        <w:t xml:space="preserve"> provid</w:t>
      </w:r>
      <w:r w:rsidR="00E562BC">
        <w:t>e</w:t>
      </w:r>
      <w:r w:rsidR="00FC1874">
        <w:t xml:space="preserve"> reliable electric power service throughout the system and </w:t>
      </w:r>
      <w:r w:rsidR="00E562BC">
        <w:t xml:space="preserve">to </w:t>
      </w:r>
      <w:r w:rsidR="00FC1874">
        <w:t xml:space="preserve">meet the demand in areas with significant load growth. From </w:t>
      </w:r>
      <w:r w:rsidR="00FC1874" w:rsidRPr="00050E27">
        <w:t xml:space="preserve">2002 through June </w:t>
      </w:r>
      <w:r w:rsidR="00FC1874" w:rsidRPr="005A19F5">
        <w:t>201</w:t>
      </w:r>
      <w:r w:rsidR="00FC1874">
        <w:t>4</w:t>
      </w:r>
      <w:r w:rsidR="00FC1874" w:rsidRPr="005A19F5">
        <w:t xml:space="preserve">, </w:t>
      </w:r>
      <w:r w:rsidR="00BC5F37">
        <w:t>559 </w:t>
      </w:r>
      <w:r w:rsidR="00FC1874" w:rsidRPr="004452EF">
        <w:t xml:space="preserve">projects </w:t>
      </w:r>
      <w:proofErr w:type="gramStart"/>
      <w:r w:rsidR="00FC1874" w:rsidRPr="004452EF">
        <w:t>have been put</w:t>
      </w:r>
      <w:proofErr w:type="gramEnd"/>
      <w:r w:rsidR="00FC1874" w:rsidRPr="004452EF">
        <w:t xml:space="preserve"> into service, totaling </w:t>
      </w:r>
      <w:r w:rsidR="00FC1874" w:rsidRPr="00DA7E82">
        <w:t>approximately $</w:t>
      </w:r>
      <w:r w:rsidR="00DA7E82" w:rsidRPr="00DA7E82">
        <w:t>6.6</w:t>
      </w:r>
      <w:r w:rsidR="00FC1874" w:rsidRPr="00DA7E82">
        <w:t xml:space="preserve"> billion of new infrastructure investment. The descriptions of transmission projects in RSP14 </w:t>
      </w:r>
      <w:proofErr w:type="gramStart"/>
      <w:r w:rsidR="00FC1874" w:rsidRPr="00DA7E82">
        <w:t>are based</w:t>
      </w:r>
      <w:proofErr w:type="gramEnd"/>
      <w:r w:rsidR="00FC1874" w:rsidRPr="00DA7E82">
        <w:t xml:space="preserve"> on the June 2014 </w:t>
      </w:r>
      <w:r w:rsidR="00FC1874" w:rsidRPr="00DA7E82">
        <w:rPr>
          <w:i/>
        </w:rPr>
        <w:t>RSP Project List</w:t>
      </w:r>
      <w:r w:rsidR="00FC1874" w:rsidRPr="00DA7E82">
        <w:t xml:space="preserve"> update, which includes 2</w:t>
      </w:r>
      <w:r w:rsidR="00DA7E82" w:rsidRPr="00DA7E82">
        <w:t>22</w:t>
      </w:r>
      <w:r w:rsidR="00FC1874" w:rsidRPr="00DA7E82">
        <w:t xml:space="preserve"> projects at a total cost of approximately</w:t>
      </w:r>
      <w:r w:rsidR="00FC1874" w:rsidRPr="004452EF">
        <w:t xml:space="preserve"> $</w:t>
      </w:r>
      <w:r w:rsidR="00DA7E82">
        <w:t>4.</w:t>
      </w:r>
      <w:r w:rsidR="00FC1874" w:rsidRPr="004452EF">
        <w:t>5 billion.</w:t>
      </w:r>
    </w:p>
    <w:p w:rsidR="00FC1874" w:rsidRDefault="00FC1874" w:rsidP="00FC1874">
      <w:r>
        <w:t>Most components of t</w:t>
      </w:r>
      <w:r w:rsidRPr="009229E4">
        <w:t xml:space="preserve">he Maine Power Reliability Program </w:t>
      </w:r>
      <w:r>
        <w:t>are either completed or</w:t>
      </w:r>
      <w:r w:rsidRPr="009229E4">
        <w:t xml:space="preserve"> under construction.</w:t>
      </w:r>
      <w:r>
        <w:t xml:space="preserve"> </w:t>
      </w:r>
      <w:r w:rsidRPr="009229E4">
        <w:t xml:space="preserve">The region </w:t>
      </w:r>
      <w:r>
        <w:t xml:space="preserve">also </w:t>
      </w:r>
      <w:r w:rsidRPr="009229E4">
        <w:t xml:space="preserve">has made progress on the NEEWS project, which </w:t>
      </w:r>
      <w:r w:rsidRPr="00B34ABD">
        <w:t xml:space="preserve">consists of several projects to serve load and improve transfer capability across southern New England. Two </w:t>
      </w:r>
      <w:r w:rsidRPr="007D1771">
        <w:t xml:space="preserve">components—the Springfield and Rhode Island components—were placed in service during 2013. </w:t>
      </w:r>
      <w:proofErr w:type="gramStart"/>
      <w:r w:rsidR="0007592E" w:rsidRPr="000A158A">
        <w:t xml:space="preserve">The Interstate component of NEEWS has received </w:t>
      </w:r>
      <w:proofErr w:type="spellStart"/>
      <w:r w:rsidR="0007592E" w:rsidRPr="000A158A">
        <w:t>siting</w:t>
      </w:r>
      <w:proofErr w:type="spellEnd"/>
      <w:r w:rsidR="0007592E" w:rsidRPr="000A158A">
        <w:t xml:space="preserve"> approval and is under construction</w:t>
      </w:r>
      <w:r w:rsidRPr="000A158A">
        <w:t>.</w:t>
      </w:r>
      <w:proofErr w:type="gramEnd"/>
      <w:r w:rsidRPr="000A158A">
        <w:t xml:space="preserve"> </w:t>
      </w:r>
      <w:r w:rsidRPr="007D1771">
        <w:t>The</w:t>
      </w:r>
      <w:r>
        <w:t xml:space="preserve"> Long-Term Lower SEMA project went into </w:t>
      </w:r>
      <w:r w:rsidRPr="00BC5F37">
        <w:t>service in 2014. The needs assessment for the Central Connecticut Reliability Project and the Greater</w:t>
      </w:r>
      <w:r w:rsidRPr="000322EB">
        <w:t xml:space="preserve"> Hartford/Central Connecticut area was completed. </w:t>
      </w:r>
      <w:r w:rsidR="00BA5717">
        <w:t>A</w:t>
      </w:r>
      <w:r w:rsidRPr="007C16F3">
        <w:t xml:space="preserve"> number</w:t>
      </w:r>
      <w:r>
        <w:t xml:space="preserve"> of 115 kV upgrades</w:t>
      </w:r>
      <w:r w:rsidR="00130FC8">
        <w:t xml:space="preserve"> that </w:t>
      </w:r>
      <w:r>
        <w:t xml:space="preserve">address local concerns and the ability to import power into </w:t>
      </w:r>
      <w:r w:rsidR="00DA7E82">
        <w:t xml:space="preserve">western </w:t>
      </w:r>
      <w:r>
        <w:t>Connecticut as part of the broader Greater Hartford/Central Connecticut project</w:t>
      </w:r>
      <w:r w:rsidR="00BA5717">
        <w:t xml:space="preserve"> have </w:t>
      </w:r>
      <w:r w:rsidR="00086BE9">
        <w:t>replaced</w:t>
      </w:r>
      <w:r w:rsidR="00BA5717">
        <w:t xml:space="preserve"> the CCRP project</w:t>
      </w:r>
      <w:r>
        <w:t xml:space="preserve">. Two final alternatives for the Greater Boston area </w:t>
      </w:r>
      <w:proofErr w:type="gramStart"/>
      <w:r>
        <w:t>are being evaluated</w:t>
      </w:r>
      <w:proofErr w:type="gramEnd"/>
      <w:r>
        <w:t xml:space="preserve">, and system components common to both alternatives have been identified. </w:t>
      </w:r>
    </w:p>
    <w:p w:rsidR="00FC1874" w:rsidRDefault="00FC1874" w:rsidP="00FC1874">
      <w:r w:rsidRPr="00277A91">
        <w:rPr>
          <w:szCs w:val="36"/>
        </w:rPr>
        <w:t xml:space="preserve">Other transmission projects </w:t>
      </w:r>
      <w:proofErr w:type="gramStart"/>
      <w:r w:rsidRPr="00277A91">
        <w:rPr>
          <w:szCs w:val="36"/>
        </w:rPr>
        <w:t>are being developed</w:t>
      </w:r>
      <w:proofErr w:type="gramEnd"/>
      <w:r w:rsidRPr="00277A91">
        <w:rPr>
          <w:szCs w:val="36"/>
        </w:rPr>
        <w:t xml:space="preserve"> to meet reliability requirements where the development of resources is insufficient</w:t>
      </w:r>
      <w:r>
        <w:rPr>
          <w:szCs w:val="36"/>
        </w:rPr>
        <w:t>.</w:t>
      </w:r>
      <w:r w:rsidRPr="00277A91">
        <w:rPr>
          <w:szCs w:val="36"/>
        </w:rPr>
        <w:t xml:space="preserve"> In addition to the reliability benefits, transmission upgrades are supporting market efficiency, reflected by the low amounts of congestion and other out-of-merit charges, </w:t>
      </w:r>
      <w:r w:rsidRPr="005424AA">
        <w:rPr>
          <w:szCs w:val="36"/>
        </w:rPr>
        <w:t xml:space="preserve">such as second-contingency and voltage-control payments. Additionally, elective and </w:t>
      </w:r>
      <w:r w:rsidR="0058019A" w:rsidRPr="0058019A">
        <w:rPr>
          <w:szCs w:val="36"/>
        </w:rPr>
        <w:t>merchant</w:t>
      </w:r>
      <w:r w:rsidRPr="008D7A8F">
        <w:rPr>
          <w:szCs w:val="36"/>
        </w:rPr>
        <w:t xml:space="preserve"> transmission facilities are in various stages of </w:t>
      </w:r>
      <w:r>
        <w:rPr>
          <w:szCs w:val="36"/>
        </w:rPr>
        <w:t xml:space="preserve">analysis and </w:t>
      </w:r>
      <w:r w:rsidRPr="008D7A8F">
        <w:rPr>
          <w:szCs w:val="36"/>
        </w:rPr>
        <w:t>development in the region and have the potential to provide access to renewable resources in remote areas of</w:t>
      </w:r>
      <w:r>
        <w:rPr>
          <w:szCs w:val="36"/>
        </w:rPr>
        <w:t xml:space="preserve"> New England and neighboring regions, including Atlantic Canada and Québec.</w:t>
      </w:r>
    </w:p>
    <w:p w:rsidR="00E63D3A" w:rsidRDefault="00FC1874">
      <w:pPr>
        <w:pStyle w:val="Heading2"/>
      </w:pPr>
      <w:bookmarkStart w:id="901" w:name="_Toc365441084"/>
      <w:bookmarkStart w:id="902" w:name="_Toc396807718"/>
      <w:r w:rsidRPr="007B5788">
        <w:t>Market Resource Alternatives to Transmission</w:t>
      </w:r>
      <w:bookmarkEnd w:id="901"/>
      <w:bookmarkEnd w:id="902"/>
    </w:p>
    <w:p w:rsidR="00FC1874" w:rsidRDefault="00FC1874" w:rsidP="00FC1874">
      <w:pPr>
        <w:rPr>
          <w:szCs w:val="36"/>
        </w:rPr>
      </w:pPr>
      <w:r w:rsidRPr="00460BD0">
        <w:t>T</w:t>
      </w:r>
      <w:r w:rsidRPr="00460BD0">
        <w:rPr>
          <w:szCs w:val="36"/>
        </w:rPr>
        <w:t>ransmission planning studies show the system needs and transmission additions required for the ISO’s continued compliance with NERC and NPCC reliability standards and criteria</w:t>
      </w:r>
      <w:r w:rsidRPr="00576394">
        <w:rPr>
          <w:szCs w:val="36"/>
        </w:rPr>
        <w:t xml:space="preserve">. Regional policymakers and </w:t>
      </w:r>
      <w:r w:rsidRPr="005424AA">
        <w:rPr>
          <w:szCs w:val="36"/>
        </w:rPr>
        <w:t xml:space="preserve">developers of supply and demand resources and </w:t>
      </w:r>
      <w:r w:rsidR="0058019A" w:rsidRPr="0058019A">
        <w:rPr>
          <w:szCs w:val="36"/>
        </w:rPr>
        <w:t>merchant</w:t>
      </w:r>
      <w:r w:rsidRPr="005424AA">
        <w:rPr>
          <w:szCs w:val="36"/>
        </w:rPr>
        <w:t xml:space="preserve"> transmission can use the detailed information</w:t>
      </w:r>
      <w:r w:rsidRPr="00576394">
        <w:rPr>
          <w:szCs w:val="36"/>
        </w:rPr>
        <w:t xml:space="preserve"> in transmission planning studies to determine resource alternatives to transmission.</w:t>
      </w:r>
      <w:r>
        <w:rPr>
          <w:szCs w:val="36"/>
        </w:rPr>
        <w:t xml:space="preserve"> For example, t</w:t>
      </w:r>
      <w:r w:rsidRPr="00460BD0">
        <w:rPr>
          <w:szCs w:val="36"/>
        </w:rPr>
        <w:t>he transmission system needs assessments</w:t>
      </w:r>
      <w:r>
        <w:rPr>
          <w:szCs w:val="36"/>
        </w:rPr>
        <w:t xml:space="preserve"> identify the </w:t>
      </w:r>
      <w:r w:rsidRPr="00460BD0">
        <w:rPr>
          <w:szCs w:val="36"/>
        </w:rPr>
        <w:t xml:space="preserve">critical load level </w:t>
      </w:r>
      <w:r>
        <w:rPr>
          <w:szCs w:val="36"/>
        </w:rPr>
        <w:t xml:space="preserve">that </w:t>
      </w:r>
      <w:r w:rsidRPr="00460BD0">
        <w:rPr>
          <w:szCs w:val="36"/>
        </w:rPr>
        <w:t xml:space="preserve">can </w:t>
      </w:r>
      <w:r>
        <w:rPr>
          <w:szCs w:val="36"/>
        </w:rPr>
        <w:t xml:space="preserve">be used to determine the </w:t>
      </w:r>
      <w:r w:rsidRPr="00460BD0">
        <w:rPr>
          <w:szCs w:val="36"/>
        </w:rPr>
        <w:t xml:space="preserve">amount of resources that would relieve </w:t>
      </w:r>
      <w:r w:rsidRPr="00576394">
        <w:rPr>
          <w:szCs w:val="36"/>
        </w:rPr>
        <w:t xml:space="preserve">transmission system constraints. </w:t>
      </w:r>
      <w:r w:rsidRPr="00576394">
        <w:t xml:space="preserve">Other types of transmission analyses and economic studies </w:t>
      </w:r>
      <w:proofErr w:type="gramStart"/>
      <w:r w:rsidRPr="00576394">
        <w:t>have been conducted</w:t>
      </w:r>
      <w:proofErr w:type="gramEnd"/>
      <w:r w:rsidRPr="00576394">
        <w:t xml:space="preserve"> to help inform stakeholders and government officials as they establish policies that affect the future planning and development of the system.</w:t>
      </w:r>
      <w:r w:rsidRPr="00423352">
        <w:rPr>
          <w:szCs w:val="36"/>
        </w:rPr>
        <w:t xml:space="preserve"> </w:t>
      </w:r>
    </w:p>
    <w:p w:rsidR="00FC1874" w:rsidRDefault="00FC1874" w:rsidP="00FC1874">
      <w:r w:rsidRPr="007C3D2D">
        <w:t xml:space="preserve">Interconnecting resources to load pockets </w:t>
      </w:r>
      <w:r w:rsidR="00F94905" w:rsidRPr="007C3D2D">
        <w:t xml:space="preserve">and adding new capacity in electrical proximity to the Hub </w:t>
      </w:r>
      <w:r w:rsidRPr="007C3D2D">
        <w:t>minimize the need for new transmission facilities. Although some local</w:t>
      </w:r>
      <w:r>
        <w:t xml:space="preserve"> transmission improvements may be required, these locations are favorable even when considering </w:t>
      </w:r>
      <w:r w:rsidR="006323C7">
        <w:t xml:space="preserve">the </w:t>
      </w:r>
      <w:r>
        <w:t>resources needed to compensate for the retirement of older oil- and coal-fired generating units. The ISO Strategic Transmission A</w:t>
      </w:r>
      <w:r w:rsidRPr="009F598D">
        <w:t>nalysis als</w:t>
      </w:r>
      <w:r>
        <w:t>o conceptual</w:t>
      </w:r>
      <w:r w:rsidR="006323C7">
        <w:t>ized</w:t>
      </w:r>
      <w:r>
        <w:t xml:space="preserve"> additions to the regional transmission system that woul</w:t>
      </w:r>
      <w:r w:rsidRPr="009F598D">
        <w:t>d enable onshore wind resources to serve load reliably</w:t>
      </w:r>
      <w:r>
        <w:t xml:space="preserve">. </w:t>
      </w:r>
    </w:p>
    <w:p w:rsidR="00FC1874" w:rsidRDefault="00FC1874" w:rsidP="00FC1874">
      <w:r>
        <w:t>E</w:t>
      </w:r>
      <w:r w:rsidRPr="00E946C7">
        <w:t xml:space="preserve">conomic studies have </w:t>
      </w:r>
      <w:r w:rsidRPr="00E946C7">
        <w:rPr>
          <w:szCs w:val="36"/>
        </w:rPr>
        <w:t>quantified system performance for varying amounts, locations, and types of resource expansion and retirements</w:t>
      </w:r>
      <w:r>
        <w:rPr>
          <w:szCs w:val="36"/>
        </w:rPr>
        <w:t xml:space="preserve">. </w:t>
      </w:r>
      <w:r>
        <w:t xml:space="preserve">The 2011 and </w:t>
      </w:r>
      <w:r w:rsidRPr="009A12CB">
        <w:t xml:space="preserve">2012 </w:t>
      </w:r>
      <w:r w:rsidR="00B61083">
        <w:t>E</w:t>
      </w:r>
      <w:r w:rsidRPr="009A12CB">
        <w:t xml:space="preserve">conomic </w:t>
      </w:r>
      <w:r w:rsidR="00B61083">
        <w:t>S</w:t>
      </w:r>
      <w:r w:rsidRPr="009A12CB">
        <w:t>tudies showed</w:t>
      </w:r>
      <w:r>
        <w:t xml:space="preserve"> the effects of integrating varying amounts of wind on the production costs, load-serving entity expenses, and emissions, as well as the need for transmission development to enable wind resources to serve the region’s load centers. The 2012 Economic Study highlighted the least suitable locations for unit retirements and the most suitable locations for developing different resources without causing congestion. The study showed the effects of using various amounts of energy efficiency and low-emitting resources, including renewable energy. More economic system performance is evident when resources with relatively low production costs are located at or deliver</w:t>
      </w:r>
      <w:r w:rsidR="005B3EDE">
        <w:t>e</w:t>
      </w:r>
      <w:r>
        <w:t xml:space="preserve">d to load centers. </w:t>
      </w:r>
    </w:p>
    <w:p w:rsidR="00FC1874" w:rsidRDefault="00FC1874" w:rsidP="00FC1874">
      <w:r>
        <w:t xml:space="preserve">The 2013 Economic Study examines the effects of increasing imports on the Phase II interconnection with Québec, assuming that transmission limitations in both New York and PJM are relieved. The results show that the price of the imports affects the amount and times of increased transfers to New England. The study also shows that any economic savings resulting from reduced costs for regional energy production </w:t>
      </w:r>
      <w:proofErr w:type="gramStart"/>
      <w:r>
        <w:t>must be weighed</w:t>
      </w:r>
      <w:proofErr w:type="gramEnd"/>
      <w:r>
        <w:t xml:space="preserve"> against the increased costs of carrying higher operating reserves. </w:t>
      </w:r>
    </w:p>
    <w:p w:rsidR="00FC1874" w:rsidRDefault="00FC1874" w:rsidP="00FC1874">
      <w:r>
        <w:t xml:space="preserve">The ISO also conducted an analysis of market resource alternatives in the SEMA/RI area load pocket. The results quantified the minimum amounts and locations of both generation and demand resources that could satisfy N-1 system contingencies. </w:t>
      </w:r>
    </w:p>
    <w:p w:rsidR="00E63D3A" w:rsidRDefault="00FC1874">
      <w:pPr>
        <w:pStyle w:val="Heading2"/>
        <w:rPr>
          <w:color w:val="000000"/>
          <w:szCs w:val="24"/>
        </w:rPr>
      </w:pPr>
      <w:bookmarkStart w:id="903" w:name="_Toc365441086"/>
      <w:bookmarkStart w:id="904" w:name="_Toc396807719"/>
      <w:r w:rsidRPr="005B3EDE">
        <w:t xml:space="preserve">Fuel </w:t>
      </w:r>
      <w:bookmarkEnd w:id="903"/>
      <w:r w:rsidRPr="005B3EDE">
        <w:t>Flexibility and Certainty</w:t>
      </w:r>
      <w:bookmarkEnd w:id="904"/>
    </w:p>
    <w:p w:rsidR="00FC1874" w:rsidRDefault="00FC1874" w:rsidP="00FC1874">
      <w:pPr>
        <w:pStyle w:val="CommentText"/>
        <w:spacing w:line="260" w:lineRule="atLeast"/>
      </w:pPr>
      <w:r>
        <w:t xml:space="preserve">New England is an energy-constrained system that requires greater fuel certainty. </w:t>
      </w:r>
      <w:r w:rsidRPr="0072521A">
        <w:t xml:space="preserve">The region’s heavy dependence on natural-gas-fired generation to meet its electricity needs </w:t>
      </w:r>
      <w:r>
        <w:t xml:space="preserve">has resulted </w:t>
      </w:r>
      <w:r w:rsidRPr="00EA2E47">
        <w:t xml:space="preserve">in recent operating problems similar to those experienced during </w:t>
      </w:r>
      <w:r w:rsidRPr="007C3D2D">
        <w:t xml:space="preserve">past </w:t>
      </w:r>
      <w:r w:rsidR="00F94905" w:rsidRPr="007C3D2D">
        <w:t>extreme weather</w:t>
      </w:r>
      <w:r w:rsidR="005B3EDE">
        <w:t xml:space="preserve"> </w:t>
      </w:r>
      <w:r w:rsidRPr="00EA2E47">
        <w:t>events.</w:t>
      </w:r>
      <w:r>
        <w:rPr>
          <w:rStyle w:val="CommentReference"/>
        </w:rPr>
        <w:t xml:space="preserve"> </w:t>
      </w:r>
      <w:r w:rsidR="00A4400D" w:rsidRPr="001D2B0A">
        <w:t>A</w:t>
      </w:r>
      <w:r w:rsidR="00A4400D" w:rsidRPr="001D2B0A">
        <w:rPr>
          <w:color w:val="000000" w:themeColor="text1"/>
        </w:rPr>
        <w:t>dverse</w:t>
      </w:r>
      <w:r w:rsidR="00A4400D" w:rsidRPr="0062007D">
        <w:rPr>
          <w:color w:val="000000" w:themeColor="text1"/>
        </w:rPr>
        <w:t xml:space="preserve"> interactions between electric</w:t>
      </w:r>
      <w:r w:rsidR="00A4400D">
        <w:rPr>
          <w:color w:val="000000" w:themeColor="text1"/>
        </w:rPr>
        <w:t xml:space="preserve"> power</w:t>
      </w:r>
      <w:r w:rsidR="00A4400D" w:rsidRPr="0062007D">
        <w:rPr>
          <w:color w:val="000000" w:themeColor="text1"/>
        </w:rPr>
        <w:t xml:space="preserve"> generators and the natural gas system </w:t>
      </w:r>
      <w:r w:rsidR="00A4400D">
        <w:rPr>
          <w:color w:val="000000" w:themeColor="text1"/>
        </w:rPr>
        <w:t>have</w:t>
      </w:r>
      <w:r w:rsidR="00A4400D" w:rsidRPr="0062007D">
        <w:rPr>
          <w:color w:val="000000" w:themeColor="text1"/>
        </w:rPr>
        <w:t xml:space="preserve"> occur</w:t>
      </w:r>
      <w:r w:rsidR="00A4400D">
        <w:rPr>
          <w:color w:val="000000" w:themeColor="text1"/>
        </w:rPr>
        <w:t>red,</w:t>
      </w:r>
      <w:r w:rsidR="00A4400D" w:rsidRPr="0062007D">
        <w:rPr>
          <w:color w:val="000000" w:themeColor="text1"/>
        </w:rPr>
        <w:t xml:space="preserve"> </w:t>
      </w:r>
      <w:r w:rsidR="00A4400D">
        <w:rPr>
          <w:color w:val="000000" w:themeColor="text1"/>
        </w:rPr>
        <w:t xml:space="preserve">and could occur any time of the year, </w:t>
      </w:r>
      <w:r w:rsidR="00A4400D" w:rsidRPr="0062007D">
        <w:rPr>
          <w:color w:val="000000" w:themeColor="text1"/>
        </w:rPr>
        <w:t>because</w:t>
      </w:r>
      <w:r w:rsidR="00A4400D">
        <w:rPr>
          <w:color w:val="000000" w:themeColor="text1"/>
        </w:rPr>
        <w:t xml:space="preserve"> the natural gas system has been subject to interruptions that reduce the flow of natural gas to generating units requiring fuel. </w:t>
      </w:r>
      <w:r w:rsidRPr="00A4400D">
        <w:rPr>
          <w:color w:val="000000" w:themeColor="text1"/>
        </w:rPr>
        <w:t>In addition, infrequently operated coal-fired and oil-fired generators</w:t>
      </w:r>
      <w:r w:rsidR="00F94905" w:rsidRPr="00F94905">
        <w:rPr>
          <w:color w:val="000000" w:themeColor="text1"/>
        </w:rPr>
        <w:t xml:space="preserve"> have experienced diminished operating performance and </w:t>
      </w:r>
      <w:r w:rsidRPr="00A4400D">
        <w:rPr>
          <w:color w:val="000000" w:themeColor="text1"/>
        </w:rPr>
        <w:t>limited energy production due to lack of fuel availability and delivery, and other physical challenges</w:t>
      </w:r>
      <w:r w:rsidR="00A4400D">
        <w:rPr>
          <w:color w:val="000000" w:themeColor="text1"/>
        </w:rPr>
        <w:t xml:space="preserve">. </w:t>
      </w:r>
      <w:r>
        <w:rPr>
          <w:color w:val="000000" w:themeColor="text1"/>
        </w:rPr>
        <w:t>T</w:t>
      </w:r>
      <w:r w:rsidRPr="000E1809">
        <w:t>he regional</w:t>
      </w:r>
      <w:r>
        <w:t xml:space="preserve"> dependence on natural-</w:t>
      </w:r>
      <w:r w:rsidRPr="008846A6">
        <w:t>gas-fired generation to provide both electric energy and capacity is expected to grow with</w:t>
      </w:r>
      <w:r w:rsidRPr="00A61047">
        <w:t xml:space="preserve"> the retirement of older coal</w:t>
      </w:r>
      <w:r>
        <w:t xml:space="preserve">, </w:t>
      </w:r>
      <w:r w:rsidRPr="00A61047">
        <w:t>oil</w:t>
      </w:r>
      <w:r>
        <w:t>, and nuclear</w:t>
      </w:r>
      <w:r w:rsidRPr="00A61047">
        <w:t xml:space="preserve"> units</w:t>
      </w:r>
      <w:r>
        <w:t xml:space="preserve"> </w:t>
      </w:r>
      <w:r w:rsidRPr="00A61047">
        <w:t xml:space="preserve">and their replacement, in </w:t>
      </w:r>
      <w:proofErr w:type="gramStart"/>
      <w:r w:rsidRPr="00A61047">
        <w:t>whole</w:t>
      </w:r>
      <w:proofErr w:type="gramEnd"/>
      <w:r w:rsidRPr="00A61047">
        <w:t xml:space="preserve"> or</w:t>
      </w:r>
      <w:r w:rsidRPr="0072521A">
        <w:t xml:space="preserve"> in part, with generators in the </w:t>
      </w:r>
      <w:r w:rsidRPr="008846A6">
        <w:t>queue that burn natural gas.</w:t>
      </w:r>
    </w:p>
    <w:p w:rsidR="00FC1874" w:rsidRDefault="00FC1874" w:rsidP="00FC1874">
      <w:pPr>
        <w:rPr>
          <w:szCs w:val="36"/>
        </w:rPr>
      </w:pPr>
      <w:r w:rsidRPr="008846A6">
        <w:rPr>
          <w:szCs w:val="36"/>
        </w:rPr>
        <w:t>The ISO</w:t>
      </w:r>
      <w:r w:rsidR="00CC14E0">
        <w:rPr>
          <w:szCs w:val="36"/>
        </w:rPr>
        <w:t>-</w:t>
      </w:r>
      <w:r w:rsidRPr="008846A6">
        <w:rPr>
          <w:szCs w:val="36"/>
        </w:rPr>
        <w:t>commissioned studies of natural gas system demand scenarios quantif</w:t>
      </w:r>
      <w:r w:rsidR="00CC14E0">
        <w:rPr>
          <w:szCs w:val="36"/>
        </w:rPr>
        <w:t xml:space="preserve">ied </w:t>
      </w:r>
      <w:r w:rsidRPr="008846A6">
        <w:rPr>
          <w:szCs w:val="36"/>
        </w:rPr>
        <w:t xml:space="preserve">periods when natural-gas-fired generators </w:t>
      </w:r>
      <w:proofErr w:type="gramStart"/>
      <w:r w:rsidRPr="008846A6">
        <w:rPr>
          <w:szCs w:val="36"/>
        </w:rPr>
        <w:t>may be exposed</w:t>
      </w:r>
      <w:proofErr w:type="gramEnd"/>
      <w:r w:rsidRPr="008846A6">
        <w:rPr>
          <w:szCs w:val="36"/>
        </w:rPr>
        <w:t xml:space="preserve"> to fuel shortages. </w:t>
      </w:r>
      <w:r w:rsidR="00CC14E0" w:rsidRPr="00CC14E0">
        <w:t>The results show that electric power generators would likely have a gas supply deficit on 24 to 34 days per winter by 2019/2020. Under 2013/2014 winter conditions, the supply deficit would be even more severe.</w:t>
      </w:r>
      <w:r w:rsidR="00CC14E0">
        <w:t xml:space="preserve"> </w:t>
      </w:r>
      <w:r w:rsidRPr="008846A6">
        <w:rPr>
          <w:szCs w:val="36"/>
        </w:rPr>
        <w:t>The ISO also is participating in an EIPC study of the interregional natural gas system and its interaction with the electric power system throughout the Eastern Interconnection</w:t>
      </w:r>
      <w:r w:rsidR="00762017">
        <w:rPr>
          <w:szCs w:val="36"/>
        </w:rPr>
        <w:t>.</w:t>
      </w:r>
      <w:r w:rsidRPr="008846A6">
        <w:rPr>
          <w:szCs w:val="36"/>
        </w:rPr>
        <w:t xml:space="preserve"> </w:t>
      </w:r>
    </w:p>
    <w:p w:rsidR="0079044C" w:rsidRDefault="00FC1874">
      <w:r>
        <w:t>T</w:t>
      </w:r>
      <w:r w:rsidRPr="00B75603">
        <w:t xml:space="preserve">he ISO, regional stakeholders, and </w:t>
      </w:r>
      <w:r>
        <w:t xml:space="preserve">natural gas </w:t>
      </w:r>
      <w:r w:rsidRPr="00B75603">
        <w:t xml:space="preserve">industry are taking </w:t>
      </w:r>
      <w:r w:rsidR="0046083F">
        <w:t xml:space="preserve">other </w:t>
      </w:r>
      <w:r w:rsidRPr="00B75603">
        <w:t xml:space="preserve">actions to mitigate the regional </w:t>
      </w:r>
      <w:r>
        <w:t xml:space="preserve">risks </w:t>
      </w:r>
      <w:r w:rsidRPr="00715336">
        <w:t>due to New England’s heavy reliance on natural gas and the limited energy-production capabilities of</w:t>
      </w:r>
      <w:r>
        <w:t xml:space="preserve"> other resources</w:t>
      </w:r>
      <w:r w:rsidR="00265D1E">
        <w:t xml:space="preserve"> </w:t>
      </w:r>
      <w:r w:rsidR="00265D1E" w:rsidRPr="00265D1E">
        <w:t>and are</w:t>
      </w:r>
      <w:r w:rsidR="00F94905" w:rsidRPr="00F94905">
        <w:t xml:space="preserve"> implementing solutions to address fuel-adequacy issues.</w:t>
      </w:r>
      <w:r w:rsidR="00016358">
        <w:t xml:space="preserve"> </w:t>
      </w:r>
      <w:r w:rsidR="00016358" w:rsidRPr="00100A13">
        <w:t>A fuel</w:t>
      </w:r>
      <w:r w:rsidR="00016358">
        <w:t>-</w:t>
      </w:r>
      <w:r w:rsidR="00016358" w:rsidRPr="00100A13">
        <w:t xml:space="preserve">reliability program and </w:t>
      </w:r>
      <w:r w:rsidR="00016358">
        <w:t xml:space="preserve">improved </w:t>
      </w:r>
      <w:r w:rsidR="00016358" w:rsidRPr="00100A13">
        <w:t xml:space="preserve">coordination of electric </w:t>
      </w:r>
      <w:r w:rsidR="00016358">
        <w:t xml:space="preserve">power </w:t>
      </w:r>
      <w:r w:rsidR="00016358" w:rsidRPr="00100A13">
        <w:t xml:space="preserve">and natural gas system operations </w:t>
      </w:r>
      <w:r w:rsidR="00016358">
        <w:t xml:space="preserve">resulted in more </w:t>
      </w:r>
      <w:r w:rsidR="00016358" w:rsidRPr="00100A13">
        <w:t xml:space="preserve">reliable resource performance </w:t>
      </w:r>
      <w:r w:rsidR="00016358">
        <w:t xml:space="preserve">during </w:t>
      </w:r>
      <w:r w:rsidR="00016358" w:rsidRPr="00100A13">
        <w:t>winter 2013/2014. A revised fuel</w:t>
      </w:r>
      <w:r w:rsidR="00016358">
        <w:t>-</w:t>
      </w:r>
      <w:r w:rsidR="00016358" w:rsidRPr="00100A13">
        <w:t>reliability program will be implemented for winter 2014/</w:t>
      </w:r>
      <w:r w:rsidR="00016358">
        <w:t>20</w:t>
      </w:r>
      <w:r w:rsidR="00016358" w:rsidRPr="00100A13">
        <w:t>15</w:t>
      </w:r>
      <w:r w:rsidR="00016358">
        <w:t>,</w:t>
      </w:r>
      <w:r w:rsidR="00016358" w:rsidRPr="00100A13">
        <w:t xml:space="preserve"> and improvements to the </w:t>
      </w:r>
      <w:r w:rsidR="00016358">
        <w:t xml:space="preserve">day-ahead and real-time </w:t>
      </w:r>
      <w:r w:rsidR="00016358" w:rsidRPr="00100A13">
        <w:t xml:space="preserve">markets </w:t>
      </w:r>
      <w:r w:rsidR="00016358">
        <w:t xml:space="preserve">and the FCM </w:t>
      </w:r>
      <w:r w:rsidR="00CC14E0">
        <w:t xml:space="preserve">currently </w:t>
      </w:r>
      <w:r w:rsidR="00016358">
        <w:t xml:space="preserve">being pursued </w:t>
      </w:r>
      <w:r w:rsidR="00016358" w:rsidRPr="00100A13">
        <w:t xml:space="preserve">will </w:t>
      </w:r>
      <w:r w:rsidR="00016358">
        <w:t xml:space="preserve">help </w:t>
      </w:r>
      <w:r w:rsidR="00016358" w:rsidRPr="00100A13">
        <w:t>achieve longer-term reliability.</w:t>
      </w:r>
      <w:r w:rsidR="00016358" w:rsidRPr="00016358">
        <w:t xml:space="preserve"> </w:t>
      </w:r>
    </w:p>
    <w:p w:rsidR="0079044C" w:rsidRDefault="00FC1874">
      <w:pPr>
        <w:rPr>
          <w:szCs w:val="36"/>
        </w:rPr>
      </w:pPr>
      <w:r w:rsidRPr="007C3D2D">
        <w:t xml:space="preserve">Improvements to the natural gas delivery system </w:t>
      </w:r>
      <w:r w:rsidR="00016358" w:rsidRPr="007C3D2D">
        <w:t xml:space="preserve">also </w:t>
      </w:r>
      <w:r w:rsidRPr="007C3D2D">
        <w:t xml:space="preserve">are under development. The New England states are considering additional means of funding new pipeline capacity into the region and are examining possible transmission infrastructure upgrades for improving the access to Canadian hydropower as an alternate source of generation. </w:t>
      </w:r>
      <w:r w:rsidR="00016358" w:rsidRPr="007C3D2D">
        <w:rPr>
          <w:rFonts w:asciiTheme="majorHAnsi" w:hAnsiTheme="majorHAnsi"/>
        </w:rPr>
        <w:t>Existing efforts to coordinate interregional electric power system plans for providing greater access to resources in neighboring regions also will improve the overall reliable and economic operation of the interconnected system and</w:t>
      </w:r>
      <w:r w:rsidR="00762017" w:rsidRPr="007C3D2D">
        <w:rPr>
          <w:rFonts w:asciiTheme="majorHAnsi" w:hAnsiTheme="majorHAnsi"/>
        </w:rPr>
        <w:t xml:space="preserve"> </w:t>
      </w:r>
      <w:r w:rsidR="002F761C" w:rsidRPr="007C3D2D">
        <w:rPr>
          <w:rFonts w:asciiTheme="majorHAnsi" w:hAnsiTheme="majorHAnsi"/>
        </w:rPr>
        <w:t>enhance f</w:t>
      </w:r>
      <w:r w:rsidR="00016358" w:rsidRPr="007C3D2D">
        <w:rPr>
          <w:rFonts w:asciiTheme="majorHAnsi" w:hAnsiTheme="majorHAnsi"/>
        </w:rPr>
        <w:t>uel certainty</w:t>
      </w:r>
      <w:r w:rsidR="002F761C" w:rsidRPr="007C3D2D">
        <w:rPr>
          <w:rFonts w:asciiTheme="majorHAnsi" w:hAnsiTheme="majorHAnsi"/>
        </w:rPr>
        <w:t xml:space="preserve"> and </w:t>
      </w:r>
      <w:r w:rsidR="00016358" w:rsidRPr="007C3D2D">
        <w:rPr>
          <w:rFonts w:asciiTheme="majorHAnsi" w:hAnsiTheme="majorHAnsi"/>
        </w:rPr>
        <w:t>flexibility</w:t>
      </w:r>
      <w:r w:rsidR="002F761C" w:rsidRPr="007C3D2D">
        <w:rPr>
          <w:rFonts w:asciiTheme="majorHAnsi" w:hAnsiTheme="majorHAnsi"/>
        </w:rPr>
        <w:t xml:space="preserve"> in New England</w:t>
      </w:r>
      <w:r w:rsidR="00762017" w:rsidRPr="007C3D2D">
        <w:rPr>
          <w:rFonts w:asciiTheme="majorHAnsi" w:hAnsiTheme="majorHAnsi"/>
        </w:rPr>
        <w:t>.</w:t>
      </w:r>
    </w:p>
    <w:p w:rsidR="00E63D3A" w:rsidRDefault="00FC1874">
      <w:pPr>
        <w:pStyle w:val="Heading2"/>
      </w:pPr>
      <w:bookmarkStart w:id="905" w:name="_Toc365441088"/>
      <w:bookmarkStart w:id="906" w:name="_Toc396807720"/>
      <w:r w:rsidRPr="008846A6">
        <w:t>State Targets for Renewable Energy</w:t>
      </w:r>
      <w:bookmarkEnd w:id="905"/>
      <w:bookmarkEnd w:id="906"/>
      <w:r w:rsidRPr="008846A6">
        <w:t xml:space="preserve"> </w:t>
      </w:r>
    </w:p>
    <w:p w:rsidR="007A44A5" w:rsidRDefault="002A34A5" w:rsidP="00FC1874">
      <w:r w:rsidRPr="004F21DF">
        <w:t>The region has significant potential for developing renewable resources and energy efficiency, encouraged by Renewable Portfolio Standards, the Regional Greenhouse Gas Initiative, and other environmental regulations</w:t>
      </w:r>
      <w:r>
        <w:t xml:space="preserve"> and public policy objectives. </w:t>
      </w:r>
      <w:r w:rsidR="007A44A5">
        <w:t xml:space="preserve">In one effort, </w:t>
      </w:r>
      <w:r w:rsidR="007A44A5" w:rsidRPr="00954FB2">
        <w:rPr>
          <w:szCs w:val="36"/>
        </w:rPr>
        <w:t>NESCOE</w:t>
      </w:r>
      <w:r w:rsidR="007A44A5">
        <w:rPr>
          <w:szCs w:val="36"/>
        </w:rPr>
        <w:t xml:space="preserve"> is working with the New England states to implement a coordinated, competitive procurement of renewable resources in the region.</w:t>
      </w:r>
      <w:r w:rsidR="007A44A5" w:rsidRPr="007A44A5">
        <w:t xml:space="preserve"> </w:t>
      </w:r>
      <w:r w:rsidR="007A44A5">
        <w:t>In addition, the New England states are examining ways of increasing imports of renewable energy from Canada.</w:t>
      </w:r>
    </w:p>
    <w:p w:rsidR="00FC1874" w:rsidRDefault="00FC1874" w:rsidP="00FC1874">
      <w:r w:rsidRPr="008846A6">
        <w:rPr>
          <w:color w:val="000000" w:themeColor="text1"/>
        </w:rPr>
        <w:t>Because the states are revising the</w:t>
      </w:r>
      <w:r w:rsidR="002A34A5">
        <w:rPr>
          <w:color w:val="000000" w:themeColor="text1"/>
        </w:rPr>
        <w:t xml:space="preserve">ir renewable resource and energy-efficiency </w:t>
      </w:r>
      <w:r w:rsidRPr="008846A6">
        <w:rPr>
          <w:color w:val="000000" w:themeColor="text1"/>
        </w:rPr>
        <w:t>targets to reflect different amounts</w:t>
      </w:r>
      <w:r w:rsidRPr="004452EF">
        <w:rPr>
          <w:color w:val="000000" w:themeColor="text1"/>
        </w:rPr>
        <w:t xml:space="preserve"> and types of resources that qualify for RPSs, the ISO cannot project precise amount</w:t>
      </w:r>
      <w:r w:rsidR="007A44A5">
        <w:rPr>
          <w:color w:val="000000" w:themeColor="text1"/>
        </w:rPr>
        <w:t>s</w:t>
      </w:r>
      <w:r w:rsidRPr="004452EF">
        <w:rPr>
          <w:color w:val="000000" w:themeColor="text1"/>
        </w:rPr>
        <w:t xml:space="preserve"> </w:t>
      </w:r>
      <w:r w:rsidR="007A44A5">
        <w:rPr>
          <w:color w:val="000000" w:themeColor="text1"/>
        </w:rPr>
        <w:t xml:space="preserve">for </w:t>
      </w:r>
      <w:r w:rsidRPr="004452EF">
        <w:rPr>
          <w:color w:val="000000" w:themeColor="text1"/>
        </w:rPr>
        <w:t xml:space="preserve">regional renewable energy </w:t>
      </w:r>
      <w:r w:rsidR="007A44A5">
        <w:rPr>
          <w:color w:val="000000" w:themeColor="text1"/>
        </w:rPr>
        <w:t>targets</w:t>
      </w:r>
      <w:r w:rsidRPr="004452EF">
        <w:rPr>
          <w:color w:val="000000" w:themeColor="text1"/>
        </w:rPr>
        <w:t>.</w:t>
      </w:r>
      <w:r>
        <w:rPr>
          <w:color w:val="000000" w:themeColor="text1"/>
        </w:rPr>
        <w:t xml:space="preserve"> However, the </w:t>
      </w:r>
      <w:r>
        <w:t xml:space="preserve">electric energy reductions from passive demand </w:t>
      </w:r>
      <w:r w:rsidRPr="00654DF2">
        <w:t xml:space="preserve">resources, as reported in the 2014 CELT, along with the </w:t>
      </w:r>
      <w:r w:rsidR="00F94905" w:rsidRPr="00654DF2">
        <w:t>existing</w:t>
      </w:r>
      <w:r w:rsidR="00000E45" w:rsidRPr="00654DF2">
        <w:t xml:space="preserve"> </w:t>
      </w:r>
      <w:r w:rsidRPr="00654DF2">
        <w:t>New England state targets for</w:t>
      </w:r>
      <w:r>
        <w:t xml:space="preserve"> renewable resources, </w:t>
      </w:r>
      <w:r w:rsidRPr="00954FB2">
        <w:t>will meet approximately one third of New England’s total projected electric energy use by 202</w:t>
      </w:r>
      <w:r>
        <w:t xml:space="preserve">3. </w:t>
      </w:r>
      <w:r w:rsidR="007A44A5" w:rsidRPr="00954FB2">
        <w:rPr>
          <w:szCs w:val="36"/>
        </w:rPr>
        <w:t>Options for meeting, or exceeding, the region’s RPS targets include developing the renewable resources in the ISO queue, importing qualif</w:t>
      </w:r>
      <w:r w:rsidR="007A44A5">
        <w:rPr>
          <w:szCs w:val="36"/>
        </w:rPr>
        <w:t>ied</w:t>
      </w:r>
      <w:r w:rsidR="007A44A5" w:rsidRPr="00954FB2">
        <w:rPr>
          <w:szCs w:val="36"/>
        </w:rPr>
        <w:t xml:space="preserve"> renewable resource energy from adjacent balancing authority areas, building new renewable resources in New England not yet in the queue, developing “behind-the-meter” projects, and using eligible renewable fuels in existing generators.</w:t>
      </w:r>
      <w:r w:rsidR="007A44A5">
        <w:rPr>
          <w:szCs w:val="36"/>
        </w:rPr>
        <w:t xml:space="preserve"> Load-serving entities can also comply with RPS goals by making alternative compliance payments, which also serve as a cap on the price for renewable resources.</w:t>
      </w:r>
    </w:p>
    <w:p w:rsidR="00E63D3A" w:rsidRDefault="00FC1874">
      <w:pPr>
        <w:pStyle w:val="Heading2"/>
      </w:pPr>
      <w:bookmarkStart w:id="907" w:name="_Toc396807721"/>
      <w:r w:rsidRPr="00D70CDA">
        <w:t>Integration of Intermittent Resources</w:t>
      </w:r>
      <w:bookmarkEnd w:id="907"/>
    </w:p>
    <w:p w:rsidR="00FC1874" w:rsidRDefault="00FC1874" w:rsidP="00FC1874">
      <w:pPr>
        <w:pStyle w:val="Default"/>
        <w:spacing w:after="240" w:line="260" w:lineRule="atLeast"/>
      </w:pPr>
      <w:r w:rsidRPr="00D70CDA">
        <w:rPr>
          <w:rFonts w:ascii="Cambria" w:hAnsi="Cambria"/>
          <w:sz w:val="20"/>
          <w:szCs w:val="20"/>
        </w:rPr>
        <w:t xml:space="preserve">While intermittent resources can provide additional fuel diversity, integrating wind </w:t>
      </w:r>
      <w:r>
        <w:rPr>
          <w:rFonts w:ascii="Cambria" w:hAnsi="Cambria"/>
          <w:sz w:val="20"/>
          <w:szCs w:val="20"/>
        </w:rPr>
        <w:t xml:space="preserve">or solar </w:t>
      </w:r>
      <w:r w:rsidRPr="00D70CDA">
        <w:rPr>
          <w:rFonts w:ascii="Cambria" w:hAnsi="Cambria"/>
          <w:sz w:val="20"/>
          <w:szCs w:val="20"/>
        </w:rPr>
        <w:t>resources could place additional stresses on the transmissions system a</w:t>
      </w:r>
      <w:r w:rsidR="00C33EEF">
        <w:rPr>
          <w:rFonts w:ascii="Cambria" w:hAnsi="Cambria"/>
          <w:sz w:val="20"/>
          <w:szCs w:val="20"/>
        </w:rPr>
        <w:t xml:space="preserve">s well as </w:t>
      </w:r>
      <w:r w:rsidRPr="00D70CDA">
        <w:rPr>
          <w:rFonts w:ascii="Cambria" w:hAnsi="Cambria"/>
          <w:sz w:val="20"/>
          <w:szCs w:val="20"/>
        </w:rPr>
        <w:t>generators because system operators could call on generators to change output on short notice to provide system balancing and reserves. Wind resources have requested interconnections in remote portions of the system</w:t>
      </w:r>
      <w:r w:rsidRPr="0089154A">
        <w:rPr>
          <w:rFonts w:ascii="Cambria" w:hAnsi="Cambria"/>
          <w:sz w:val="20"/>
          <w:szCs w:val="20"/>
        </w:rPr>
        <w:t xml:space="preserve">, </w:t>
      </w:r>
      <w:r w:rsidR="00F94905" w:rsidRPr="0089154A">
        <w:rPr>
          <w:rFonts w:ascii="Cambria" w:hAnsi="Cambria"/>
          <w:sz w:val="20"/>
          <w:szCs w:val="20"/>
        </w:rPr>
        <w:t xml:space="preserve">which can </w:t>
      </w:r>
      <w:r w:rsidRPr="00D70CDA">
        <w:rPr>
          <w:rFonts w:ascii="Cambria" w:hAnsi="Cambria"/>
          <w:sz w:val="20"/>
          <w:szCs w:val="20"/>
        </w:rPr>
        <w:t xml:space="preserve">require significant transmission upgrades. The ISO is examining improvements to the process for reviewing Elective Transmission Upgrades in the interconnection queue. </w:t>
      </w:r>
      <w:proofErr w:type="gramStart"/>
      <w:r w:rsidR="002452EF">
        <w:rPr>
          <w:rFonts w:ascii="Cambria" w:hAnsi="Cambria"/>
          <w:sz w:val="20"/>
          <w:szCs w:val="20"/>
        </w:rPr>
        <w:t>To further facilitate</w:t>
      </w:r>
      <w:proofErr w:type="gramEnd"/>
      <w:r w:rsidR="002452EF">
        <w:rPr>
          <w:rFonts w:ascii="Cambria" w:hAnsi="Cambria"/>
          <w:sz w:val="20"/>
          <w:szCs w:val="20"/>
        </w:rPr>
        <w:t xml:space="preserve"> wind integration, t</w:t>
      </w:r>
      <w:r w:rsidRPr="00D70CDA">
        <w:rPr>
          <w:rFonts w:asciiTheme="majorHAnsi" w:hAnsiTheme="majorHAnsi"/>
          <w:sz w:val="20"/>
          <w:szCs w:val="20"/>
        </w:rPr>
        <w:t>he ISO has incorporat</w:t>
      </w:r>
      <w:r w:rsidR="002452EF">
        <w:rPr>
          <w:rFonts w:asciiTheme="majorHAnsi" w:hAnsiTheme="majorHAnsi"/>
          <w:sz w:val="20"/>
          <w:szCs w:val="20"/>
        </w:rPr>
        <w:t xml:space="preserve">ed </w:t>
      </w:r>
      <w:r w:rsidRPr="00D70CDA">
        <w:rPr>
          <w:rFonts w:asciiTheme="majorHAnsi" w:hAnsiTheme="majorHAnsi"/>
          <w:sz w:val="20"/>
          <w:szCs w:val="20"/>
        </w:rPr>
        <w:t>wind forecasting into ISO processes, scheduling, and dispatch services</w:t>
      </w:r>
      <w:r w:rsidR="002452EF">
        <w:rPr>
          <w:rFonts w:asciiTheme="majorHAnsi" w:hAnsiTheme="majorHAnsi"/>
          <w:sz w:val="20"/>
          <w:szCs w:val="20"/>
        </w:rPr>
        <w:t xml:space="preserve"> and is </w:t>
      </w:r>
      <w:r w:rsidRPr="00D70CDA">
        <w:rPr>
          <w:rFonts w:asciiTheme="majorHAnsi" w:hAnsiTheme="majorHAnsi"/>
          <w:sz w:val="20"/>
          <w:szCs w:val="20"/>
        </w:rPr>
        <w:t>working to implement the full economic dispatch of wind resources.</w:t>
      </w:r>
      <w:r>
        <w:rPr>
          <w:rFonts w:asciiTheme="majorHAnsi" w:hAnsiTheme="majorHAnsi"/>
          <w:sz w:val="20"/>
          <w:szCs w:val="20"/>
        </w:rPr>
        <w:t xml:space="preserve"> </w:t>
      </w:r>
    </w:p>
    <w:p w:rsidR="00FC1874" w:rsidRDefault="00FC1874" w:rsidP="00FC1874">
      <w:r w:rsidRPr="004F21DF">
        <w:t xml:space="preserve">Photovoltaic resources are rapidly developing in New England and </w:t>
      </w:r>
      <w:proofErr w:type="gramStart"/>
      <w:r>
        <w:t xml:space="preserve">are </w:t>
      </w:r>
      <w:r w:rsidRPr="004F21DF">
        <w:t>predominately situated</w:t>
      </w:r>
      <w:proofErr w:type="gramEnd"/>
      <w:r w:rsidRPr="004F21DF">
        <w:t xml:space="preserve"> </w:t>
      </w:r>
      <w:r>
        <w:t>in southern New England</w:t>
      </w:r>
      <w:r w:rsidRPr="004F21DF">
        <w:t xml:space="preserve">. The large-scale development of photovoltaic </w:t>
      </w:r>
      <w:r>
        <w:t xml:space="preserve">and other distributed </w:t>
      </w:r>
      <w:r w:rsidRPr="004F21DF">
        <w:t xml:space="preserve">resources poses particularly complex issues that the ISO is beginning to address with stakeholders. </w:t>
      </w:r>
      <w:r>
        <w:t>The ISO cannot directly observe or control m</w:t>
      </w:r>
      <w:r w:rsidRPr="004F21DF">
        <w:t>ost of these resources</w:t>
      </w:r>
      <w:r>
        <w:t xml:space="preserve">, which </w:t>
      </w:r>
      <w:r w:rsidRPr="004F21DF">
        <w:t xml:space="preserve">may respond differently to grid disturbances than larger, conventional generators. </w:t>
      </w:r>
      <w:r>
        <w:t xml:space="preserve">Similar to wind resources, the large-scale integration of PV may pose challenges for system balancing and reserves. </w:t>
      </w:r>
    </w:p>
    <w:p w:rsidR="00FC1874" w:rsidRPr="004F21DF" w:rsidRDefault="00FC1874" w:rsidP="00FC1874">
      <w:pPr>
        <w:rPr>
          <w:color w:val="000000"/>
        </w:rPr>
      </w:pPr>
      <w:r w:rsidRPr="0089154A">
        <w:rPr>
          <w:color w:val="000000"/>
        </w:rPr>
        <w:t xml:space="preserve">New England is a leader in applying advanced technologies. </w:t>
      </w:r>
      <w:r w:rsidR="00F94905" w:rsidRPr="0089154A">
        <w:rPr>
          <w:color w:val="000000"/>
        </w:rPr>
        <w:t xml:space="preserve">FACTS and HVDC improve the use of transmission system infrastructure by efficiently using existing transmission system capabilities, making </w:t>
      </w:r>
      <w:proofErr w:type="gramStart"/>
      <w:r w:rsidR="00F94905" w:rsidRPr="0089154A">
        <w:rPr>
          <w:color w:val="000000"/>
        </w:rPr>
        <w:t>more efficient use of rights-of-way,</w:t>
      </w:r>
      <w:proofErr w:type="gramEnd"/>
      <w:r w:rsidR="00F94905" w:rsidRPr="0089154A">
        <w:rPr>
          <w:color w:val="000000"/>
        </w:rPr>
        <w:t xml:space="preserve"> and increasing the ability to move power over long distances.</w:t>
      </w:r>
      <w:r w:rsidRPr="0089154A">
        <w:rPr>
          <w:color w:val="000000"/>
        </w:rPr>
        <w:t xml:space="preserve"> The ISO is using </w:t>
      </w:r>
      <w:proofErr w:type="spellStart"/>
      <w:r w:rsidRPr="0089154A">
        <w:rPr>
          <w:color w:val="000000"/>
        </w:rPr>
        <w:t>phasor</w:t>
      </w:r>
      <w:proofErr w:type="spellEnd"/>
      <w:r w:rsidRPr="0089154A">
        <w:rPr>
          <w:color w:val="000000"/>
        </w:rPr>
        <w:t xml:space="preserve"> measurement units to improve situational awareness and system models. Alternative technology regulation resources and active demand resources </w:t>
      </w:r>
      <w:proofErr w:type="gramStart"/>
      <w:r w:rsidRPr="0089154A">
        <w:rPr>
          <w:color w:val="000000"/>
        </w:rPr>
        <w:t>may be used</w:t>
      </w:r>
      <w:proofErr w:type="gramEnd"/>
      <w:r w:rsidRPr="0089154A">
        <w:rPr>
          <w:color w:val="000000"/>
        </w:rPr>
        <w:t xml:space="preserve"> to provide regulation and reserve services, which would help facilitate the reliable integration of intermittent renewable resources.</w:t>
      </w:r>
    </w:p>
    <w:p w:rsidR="00E63D3A" w:rsidRDefault="0058019A">
      <w:pPr>
        <w:pStyle w:val="Heading2"/>
      </w:pPr>
      <w:bookmarkStart w:id="908" w:name="_Toc365441089"/>
      <w:bookmarkStart w:id="909" w:name="_Toc396807722"/>
      <w:r w:rsidRPr="0058019A">
        <w:t>Environmental Regulations and Initiatives</w:t>
      </w:r>
      <w:bookmarkEnd w:id="908"/>
      <w:bookmarkEnd w:id="909"/>
    </w:p>
    <w:p w:rsidR="00FC1874" w:rsidRDefault="00FC1874" w:rsidP="00FC1874">
      <w:pPr>
        <w:rPr>
          <w:szCs w:val="24"/>
        </w:rPr>
      </w:pPr>
      <w:r w:rsidRPr="00125183">
        <w:rPr>
          <w:szCs w:val="24"/>
        </w:rPr>
        <w:t xml:space="preserve">Existing and pending state, regional, and federal environmental requirements, addressing air pollution , greenhouse gas emissions, the use of cooling water from rivers and bays, and wastewater discharges into water bodies and public treatment works, will affect many New England generators in the 2015 </w:t>
      </w:r>
      <w:r>
        <w:rPr>
          <w:szCs w:val="24"/>
        </w:rPr>
        <w:t>to</w:t>
      </w:r>
      <w:r w:rsidRPr="00125183">
        <w:rPr>
          <w:szCs w:val="24"/>
        </w:rPr>
        <w:t xml:space="preserve"> 202</w:t>
      </w:r>
      <w:r>
        <w:rPr>
          <w:szCs w:val="24"/>
        </w:rPr>
        <w:t>3</w:t>
      </w:r>
      <w:r w:rsidRPr="00125183">
        <w:rPr>
          <w:szCs w:val="24"/>
        </w:rPr>
        <w:t xml:space="preserve"> timeframe. When implemented, the full suite of environmental regulations, currently in various stages of promulgation, could affect generator economic performance in several ways. Generator capital </w:t>
      </w:r>
      <w:r>
        <w:rPr>
          <w:szCs w:val="24"/>
        </w:rPr>
        <w:t xml:space="preserve">costs </w:t>
      </w:r>
      <w:r w:rsidRPr="00792629">
        <w:rPr>
          <w:szCs w:val="24"/>
        </w:rPr>
        <w:t xml:space="preserve">could rise for modifying or replacing </w:t>
      </w:r>
      <w:r w:rsidRPr="00792629">
        <w:rPr>
          <w:szCs w:val="36"/>
        </w:rPr>
        <w:t>c</w:t>
      </w:r>
      <w:r w:rsidRPr="00792629">
        <w:rPr>
          <w:szCs w:val="24"/>
        </w:rPr>
        <w:t>ooling systems or wastewater discharge or air pollution controls</w:t>
      </w:r>
      <w:r>
        <w:rPr>
          <w:szCs w:val="24"/>
        </w:rPr>
        <w:t xml:space="preserve">, and </w:t>
      </w:r>
      <w:r w:rsidRPr="00125183">
        <w:rPr>
          <w:szCs w:val="24"/>
        </w:rPr>
        <w:t>operating costs could increase through the increased use of new and existing pollution control devices</w:t>
      </w:r>
      <w:r w:rsidR="00024666">
        <w:rPr>
          <w:szCs w:val="24"/>
        </w:rPr>
        <w:t xml:space="preserve"> and allowance costs</w:t>
      </w:r>
      <w:r w:rsidRPr="00792629">
        <w:rPr>
          <w:szCs w:val="24"/>
        </w:rPr>
        <w:t xml:space="preserve">. The regulations also may affect reliability by limiting generator energy production, reducing capacity output, or contributing to unit retirements. Environmental regulations affecting system performance are being monitored for their potential effects within the region and </w:t>
      </w:r>
      <w:proofErr w:type="spellStart"/>
      <w:r w:rsidRPr="00792629">
        <w:rPr>
          <w:szCs w:val="24"/>
        </w:rPr>
        <w:t>interregionally</w:t>
      </w:r>
      <w:proofErr w:type="spellEnd"/>
      <w:r w:rsidRPr="00792629">
        <w:rPr>
          <w:szCs w:val="24"/>
        </w:rPr>
        <w:t>.</w:t>
      </w:r>
    </w:p>
    <w:p w:rsidR="00E63D3A" w:rsidRDefault="00FC1874">
      <w:pPr>
        <w:pStyle w:val="Heading2"/>
        <w:rPr>
          <w:szCs w:val="36"/>
        </w:rPr>
      </w:pPr>
      <w:bookmarkStart w:id="910" w:name="_Toc365441091"/>
      <w:bookmarkStart w:id="911" w:name="_Toc396807723"/>
      <w:r w:rsidRPr="004F57D0">
        <w:t>Interregional Coordination</w:t>
      </w:r>
      <w:bookmarkEnd w:id="910"/>
      <w:bookmarkEnd w:id="911"/>
    </w:p>
    <w:p w:rsidR="00FC1874" w:rsidRDefault="00FC1874" w:rsidP="00FC1874">
      <w:r w:rsidRPr="00F46785">
        <w:t>In</w:t>
      </w:r>
      <w:r>
        <w:t xml:space="preserve"> addition to coordinating planning activities with the New England states, ISO New England proactively coordinates activities with neighboring ISO/RTO systems in the NPCC, across the Eastern Interconnection through the Eastern Interconnection Planning Collaborative, and nationally through NERC. The ISO has worked closely with NYISO and PJM to coordinate planning activities and jointly issue the </w:t>
      </w:r>
      <w:r w:rsidRPr="00997869">
        <w:rPr>
          <w:i/>
        </w:rPr>
        <w:t>2013 Northeast Coordinated System Plan</w:t>
      </w:r>
      <w:r>
        <w:t xml:space="preserve">. </w:t>
      </w:r>
    </w:p>
    <w:p w:rsidR="00FC1874" w:rsidRDefault="00FC1874" w:rsidP="00FC1874">
      <w:r w:rsidRPr="001A57E7">
        <w:t xml:space="preserve">Sharing more supply and demand resources with other systems will likely become necessary, particularly to provide access to a greater diversity of resources, meet environmental compliance obligations, and successfully integrate </w:t>
      </w:r>
      <w:r>
        <w:t xml:space="preserve">intermittent </w:t>
      </w:r>
      <w:r w:rsidRPr="001A57E7">
        <w:t>resour</w:t>
      </w:r>
      <w:r w:rsidRPr="007763F4">
        <w:t xml:space="preserve">ces. </w:t>
      </w:r>
      <w:r w:rsidR="00F94905" w:rsidRPr="00F94905">
        <w:t xml:space="preserve">The ISO and the New York ISO are working toward creating a broader regional market and improving the efficiency of electricity trade between the </w:t>
      </w:r>
      <w:r w:rsidR="007763F4">
        <w:t xml:space="preserve">two </w:t>
      </w:r>
      <w:r w:rsidR="00F94905" w:rsidRPr="00F94905">
        <w:t xml:space="preserve">regions, which will improve the use of </w:t>
      </w:r>
      <w:r w:rsidR="007763F4">
        <w:t xml:space="preserve">the </w:t>
      </w:r>
      <w:r w:rsidR="00F94905" w:rsidRPr="00F94905">
        <w:t>existing ties</w:t>
      </w:r>
      <w:r w:rsidR="0048643B">
        <w:t xml:space="preserve"> </w:t>
      </w:r>
      <w:r w:rsidR="00F94905" w:rsidRPr="00F94905">
        <w:t>between them. In addition to Elective Transmission Upgrades already in the interconnection queue, the New England states seek to develop additional transmission infrastructure for accommodating between 1,200 MW and 3,600 MW</w:t>
      </w:r>
      <w:r w:rsidR="00F94905" w:rsidRPr="00F94905">
        <w:rPr>
          <w:rFonts w:cs="Arial"/>
        </w:rPr>
        <w:t xml:space="preserve"> of net electric power imports from Québec.</w:t>
      </w:r>
      <w:r>
        <w:t xml:space="preserve"> </w:t>
      </w:r>
    </w:p>
    <w:p w:rsidR="00E63D3A" w:rsidRDefault="00FC1874">
      <w:pPr>
        <w:pStyle w:val="Heading2"/>
        <w:rPr>
          <w:szCs w:val="36"/>
        </w:rPr>
      </w:pPr>
      <w:bookmarkStart w:id="912" w:name="_Toc365441092"/>
      <w:bookmarkStart w:id="913" w:name="_Toc396807724"/>
      <w:r w:rsidRPr="008F101D">
        <w:t>Federal, Regional, and State Initiatives</w:t>
      </w:r>
      <w:bookmarkEnd w:id="912"/>
      <w:bookmarkEnd w:id="913"/>
    </w:p>
    <w:p w:rsidR="00FC1874" w:rsidRDefault="00FC1874" w:rsidP="00FC1874">
      <w:r>
        <w:t>The ISO continuously works with a wide variety of state policymakers and other regional stakeholders through its planning process. Regional initiatives have improved the wholesale electric</w:t>
      </w:r>
      <w:r w:rsidR="00023C35">
        <w:t>ity</w:t>
      </w:r>
      <w:r>
        <w:t xml:space="preserve"> markets, developed and integrated advanced technologies, and issued the PV forecast. The ISO has continued to provide technical support to a number of state agencies and groups, such as NECPUC, NESCOE, the New England governors, the Consumer Liaison Group, and others. </w:t>
      </w:r>
    </w:p>
    <w:p w:rsidR="00FC1874" w:rsidRPr="004F57D0" w:rsidRDefault="00FC1874" w:rsidP="00FC1874">
      <w:pPr>
        <w:rPr>
          <w:rFonts w:asciiTheme="majorHAnsi" w:hAnsiTheme="majorHAnsi"/>
        </w:rPr>
      </w:pPr>
      <w:r w:rsidRPr="007A5218">
        <w:rPr>
          <w:rFonts w:asciiTheme="majorHAnsi" w:hAnsiTheme="majorHAnsi"/>
        </w:rPr>
        <w:t xml:space="preserve">The ISO </w:t>
      </w:r>
      <w:r>
        <w:rPr>
          <w:rFonts w:asciiTheme="majorHAnsi" w:hAnsiTheme="majorHAnsi"/>
        </w:rPr>
        <w:t>has</w:t>
      </w:r>
      <w:r w:rsidRPr="007A5218">
        <w:rPr>
          <w:rFonts w:asciiTheme="majorHAnsi" w:hAnsiTheme="majorHAnsi"/>
        </w:rPr>
        <w:t xml:space="preserve"> work</w:t>
      </w:r>
      <w:r>
        <w:rPr>
          <w:rFonts w:asciiTheme="majorHAnsi" w:hAnsiTheme="majorHAnsi"/>
        </w:rPr>
        <w:t>ed</w:t>
      </w:r>
      <w:r w:rsidRPr="007A5218">
        <w:rPr>
          <w:rFonts w:asciiTheme="majorHAnsi" w:hAnsiTheme="majorHAnsi"/>
        </w:rPr>
        <w:t xml:space="preserve"> with stakeholders to comply with FERC Order </w:t>
      </w:r>
      <w:r w:rsidR="005364C3">
        <w:rPr>
          <w:rFonts w:asciiTheme="majorHAnsi" w:hAnsiTheme="majorHAnsi"/>
        </w:rPr>
        <w:t xml:space="preserve">No. </w:t>
      </w:r>
      <w:r w:rsidRPr="007A5218">
        <w:rPr>
          <w:rFonts w:asciiTheme="majorHAnsi" w:hAnsiTheme="majorHAnsi"/>
        </w:rPr>
        <w:t>1000</w:t>
      </w:r>
      <w:r>
        <w:rPr>
          <w:rFonts w:asciiTheme="majorHAnsi" w:hAnsiTheme="majorHAnsi"/>
        </w:rPr>
        <w:t xml:space="preserve"> and will continue </w:t>
      </w:r>
      <w:r w:rsidRPr="007A5218">
        <w:rPr>
          <w:rFonts w:asciiTheme="majorHAnsi" w:hAnsiTheme="majorHAnsi"/>
        </w:rPr>
        <w:t>to</w:t>
      </w:r>
      <w:r w:rsidRPr="004F57D0">
        <w:rPr>
          <w:rFonts w:asciiTheme="majorHAnsi" w:hAnsiTheme="majorHAnsi"/>
        </w:rPr>
        <w:t xml:space="preserve"> </w:t>
      </w:r>
      <w:r>
        <w:rPr>
          <w:rFonts w:asciiTheme="majorHAnsi" w:hAnsiTheme="majorHAnsi"/>
        </w:rPr>
        <w:t>work with stakeholders as the planning process evolves in response to FERC orders and other governmental policy developments.</w:t>
      </w:r>
    </w:p>
    <w:p w:rsidR="00E63D3A" w:rsidRDefault="00FC1874">
      <w:pPr>
        <w:pStyle w:val="Heading2"/>
      </w:pPr>
      <w:bookmarkStart w:id="914" w:name="_Toc365441093"/>
      <w:bookmarkStart w:id="915" w:name="_Toc396807725"/>
      <w:r w:rsidRPr="001A57E7">
        <w:t>Looking Ahead</w:t>
      </w:r>
      <w:bookmarkEnd w:id="914"/>
      <w:bookmarkEnd w:id="915"/>
    </w:p>
    <w:p w:rsidR="00FC1874" w:rsidRDefault="00FC1874" w:rsidP="00FC1874">
      <w:pPr>
        <w:rPr>
          <w:szCs w:val="36"/>
        </w:rPr>
      </w:pPr>
      <w:r w:rsidRPr="009D1503">
        <w:rPr>
          <w:szCs w:val="36"/>
        </w:rPr>
        <w:t xml:space="preserve">The regional energy landscape is undergoing a dramatic change in terms of the composition of generation, transmission, demand resources, and wholesale markets. This evolution poses a series of challenges </w:t>
      </w:r>
      <w:r>
        <w:rPr>
          <w:szCs w:val="36"/>
        </w:rPr>
        <w:t xml:space="preserve">the </w:t>
      </w:r>
      <w:r w:rsidRPr="009D1503">
        <w:rPr>
          <w:szCs w:val="36"/>
        </w:rPr>
        <w:t xml:space="preserve">ISO is </w:t>
      </w:r>
      <w:r w:rsidRPr="00804F1B">
        <w:rPr>
          <w:szCs w:val="36"/>
        </w:rPr>
        <w:t xml:space="preserve">addressing through a collaborative effort of the New England states and market participants, as well as neighboring regions. </w:t>
      </w:r>
      <w:r>
        <w:rPr>
          <w:szCs w:val="36"/>
        </w:rPr>
        <w:t xml:space="preserve">Changes </w:t>
      </w:r>
      <w:r w:rsidRPr="00804F1B">
        <w:rPr>
          <w:szCs w:val="36"/>
        </w:rPr>
        <w:t xml:space="preserve">to the planning process and </w:t>
      </w:r>
      <w:r>
        <w:rPr>
          <w:szCs w:val="36"/>
        </w:rPr>
        <w:t xml:space="preserve">improvements to the </w:t>
      </w:r>
      <w:r w:rsidRPr="0089154A">
        <w:rPr>
          <w:szCs w:val="36"/>
        </w:rPr>
        <w:t>wholesale electricity markets</w:t>
      </w:r>
      <w:r w:rsidR="00B57F47" w:rsidRPr="0089154A">
        <w:rPr>
          <w:szCs w:val="36"/>
        </w:rPr>
        <w:t xml:space="preserve">, which will affect </w:t>
      </w:r>
      <w:r w:rsidR="00F94905" w:rsidRPr="0089154A">
        <w:rPr>
          <w:szCs w:val="36"/>
        </w:rPr>
        <w:t>the reliable and economic operation</w:t>
      </w:r>
      <w:r w:rsidR="00B57F47" w:rsidRPr="0089154A">
        <w:rPr>
          <w:szCs w:val="36"/>
        </w:rPr>
        <w:t xml:space="preserve"> of the system, </w:t>
      </w:r>
      <w:r w:rsidRPr="0089154A">
        <w:rPr>
          <w:szCs w:val="36"/>
        </w:rPr>
        <w:t>are in</w:t>
      </w:r>
      <w:r>
        <w:rPr>
          <w:szCs w:val="36"/>
        </w:rPr>
        <w:t xml:space="preserve"> various stages of development. Discussions of these issues with the region’s stakeholders will be ongoing, and the ISO will provide an update on strategic planning issues and studies in RSP15. </w:t>
      </w:r>
    </w:p>
    <w:p w:rsidR="00906AA8" w:rsidRDefault="00FC1874" w:rsidP="00FC1874">
      <w:pPr>
        <w:sectPr w:rsidR="00906AA8" w:rsidSect="00E24A7B">
          <w:pgSz w:w="12240" w:h="15840"/>
          <w:pgMar w:top="1440" w:right="1440" w:bottom="1440" w:left="1800" w:header="720" w:footer="720" w:gutter="0"/>
          <w:cols w:space="720"/>
          <w:docGrid w:linePitch="360"/>
        </w:sectPr>
      </w:pPr>
      <w:r w:rsidRPr="007A5218">
        <w:t>Active involvement by all stakeholders, including public officials, state agencies, NESCOE, market participants, and other PAC members, are key elements of an open, transparent, and successful planning process. As needed, the ISO will continue to work with these groups, as well as NEPOOL</w:t>
      </w:r>
      <w:r>
        <w:t>, its individual</w:t>
      </w:r>
      <w:r w:rsidRPr="007A5218">
        <w:t xml:space="preserve"> members</w:t>
      </w:r>
      <w:r w:rsidR="00B57F47">
        <w:t>,</w:t>
      </w:r>
      <w:r w:rsidRPr="007A5218">
        <w:t xml:space="preserve"> and other interested parties, to support regional and federal policy initiatives. The ISO also will continue to provide required technical support to the New England states and the federal government as they formulate policies for the region.</w:t>
      </w:r>
    </w:p>
    <w:p w:rsidR="00906AA8" w:rsidRDefault="00906AA8" w:rsidP="00906AA8">
      <w:pPr>
        <w:pStyle w:val="Heading1"/>
        <w:numPr>
          <w:ilvl w:val="0"/>
          <w:numId w:val="0"/>
        </w:numPr>
        <w:rPr>
          <w:rFonts w:asciiTheme="minorHAnsi" w:hAnsiTheme="minorHAnsi" w:cstheme="minorHAnsi"/>
          <w:b w:val="0"/>
          <w:szCs w:val="36"/>
        </w:rPr>
      </w:pPr>
      <w:bookmarkStart w:id="916" w:name="_Toc396807726"/>
      <w:bookmarkStart w:id="917" w:name="Acronyms"/>
      <w:r w:rsidRPr="00285E13">
        <w:rPr>
          <w:rFonts w:asciiTheme="minorHAnsi" w:hAnsiTheme="minorHAnsi" w:cstheme="minorHAnsi"/>
          <w:szCs w:val="36"/>
        </w:rPr>
        <w:t>Appendix A</w:t>
      </w:r>
      <w:r w:rsidRPr="00285E13">
        <w:rPr>
          <w:rFonts w:asciiTheme="minorHAnsi" w:hAnsiTheme="minorHAnsi" w:cstheme="minorHAnsi"/>
          <w:szCs w:val="36"/>
        </w:rPr>
        <w:br/>
        <w:t>Acronyms and Abbreviations</w:t>
      </w:r>
      <w:bookmarkEnd w:id="916"/>
    </w:p>
    <w:tbl>
      <w:tblPr>
        <w:tblStyle w:val="20122tableform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2079"/>
        <w:gridCol w:w="7037"/>
      </w:tblGrid>
      <w:tr w:rsidR="00906AA8" w:rsidRPr="001733B1" w:rsidTr="008D61C8">
        <w:trPr>
          <w:cnfStyle w:val="100000000000"/>
          <w:tblHeader/>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917"/>
          <w:p w:rsidR="00906AA8" w:rsidRPr="008407BE" w:rsidRDefault="00906AA8" w:rsidP="00A42FB2">
            <w:pPr>
              <w:spacing w:after="0" w:line="240" w:lineRule="auto"/>
              <w:rPr>
                <w:rFonts w:eastAsia="Calibri" w:cs="Arial"/>
                <w:bCs w:val="0"/>
                <w:szCs w:val="18"/>
              </w:rPr>
            </w:pPr>
            <w:r w:rsidRPr="008407BE">
              <w:rPr>
                <w:rFonts w:eastAsia="Calibri" w:cs="Arial"/>
                <w:bCs w:val="0"/>
                <w:szCs w:val="18"/>
              </w:rPr>
              <w:t>Acronym/Abbreviation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1733B1" w:rsidRDefault="00906AA8" w:rsidP="00A42FB2">
            <w:pPr>
              <w:spacing w:after="0" w:line="240" w:lineRule="auto"/>
              <w:rPr>
                <w:rFonts w:eastAsia="Calibri" w:cs="Arial"/>
                <w:b w:val="0"/>
                <w:bCs w:val="0"/>
                <w:szCs w:val="18"/>
              </w:rPr>
            </w:pPr>
            <w:r w:rsidRPr="001733B1">
              <w:rPr>
                <w:rFonts w:eastAsia="Calibri" w:cs="Arial"/>
                <w:bCs w:val="0"/>
                <w:szCs w:val="18"/>
              </w:rPr>
              <w:t>Description</w:t>
            </w:r>
          </w:p>
        </w:tc>
      </w:tr>
      <w:tr w:rsidR="00906AA8" w:rsidRPr="00375997" w:rsidTr="008D61C8">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¢/kWh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cents per kilowatt-hour</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$/kW-month</w:t>
            </w:r>
          </w:p>
        </w:tc>
        <w:tc>
          <w:tcPr>
            <w:tcW w:w="7037" w:type="dxa"/>
          </w:tcPr>
          <w:p w:rsidR="00906AA8" w:rsidRPr="00375997" w:rsidRDefault="00906AA8"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dollar per kilowatt-month</w:t>
            </w:r>
          </w:p>
        </w:tc>
      </w:tr>
      <w:tr w:rsidR="008D61C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D61C8" w:rsidRPr="008407BE" w:rsidRDefault="008D61C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ABS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D61C8" w:rsidRPr="00375997" w:rsidRDefault="008D61C8" w:rsidP="008D61C8">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absolute value</w:t>
            </w:r>
          </w:p>
        </w:tc>
      </w:tr>
      <w:tr w:rsidR="00906AA8" w:rsidRPr="00375997" w:rsidTr="008D61C8">
        <w:trPr>
          <w:cnfStyle w:val="000000010000"/>
        </w:trPr>
        <w:tc>
          <w:tcPr>
            <w:tcW w:w="2079" w:type="dxa"/>
          </w:tcPr>
          <w:p w:rsidR="00906AA8" w:rsidRPr="002C26A5" w:rsidRDefault="00963B34" w:rsidP="00A42FB2">
            <w:pPr>
              <w:spacing w:after="0" w:line="240" w:lineRule="auto"/>
              <w:rPr>
                <w:rFonts w:asciiTheme="minorHAnsi" w:eastAsia="Calibri" w:hAnsiTheme="minorHAnsi" w:cs="Arial"/>
                <w:b/>
                <w:bCs/>
                <w:color w:val="000000"/>
                <w:szCs w:val="18"/>
              </w:rPr>
            </w:pPr>
            <w:r w:rsidRPr="002C26A5">
              <w:rPr>
                <w:rFonts w:asciiTheme="minorHAnsi" w:eastAsia="Calibri" w:hAnsiTheme="minorHAnsi" w:cs="Arial"/>
                <w:b/>
                <w:color w:val="000000"/>
                <w:szCs w:val="18"/>
              </w:rPr>
              <w:t>AC</w:t>
            </w:r>
          </w:p>
        </w:tc>
        <w:tc>
          <w:tcPr>
            <w:tcW w:w="7037" w:type="dxa"/>
          </w:tcPr>
          <w:p w:rsidR="00906AA8" w:rsidRDefault="00963B34" w:rsidP="00E23292">
            <w:pPr>
              <w:spacing w:after="0" w:line="240" w:lineRule="auto"/>
              <w:rPr>
                <w:rFonts w:asciiTheme="minorHAnsi" w:eastAsia="Calibri" w:hAnsiTheme="minorHAnsi" w:cs="Arial"/>
                <w:iCs/>
                <w:color w:val="000000"/>
                <w:szCs w:val="18"/>
              </w:rPr>
            </w:pPr>
            <w:r w:rsidRPr="002C26A5">
              <w:rPr>
                <w:rFonts w:asciiTheme="minorHAnsi" w:eastAsia="Calibri" w:hAnsiTheme="minorHAnsi" w:cs="Arial"/>
                <w:iCs/>
                <w:color w:val="000000"/>
                <w:szCs w:val="18"/>
              </w:rPr>
              <w:t>alternating current</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ACP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alternative compliance payment</w:t>
            </w:r>
          </w:p>
        </w:tc>
      </w:tr>
      <w:tr w:rsidR="002C26A5" w:rsidRPr="00375997" w:rsidTr="008D61C8">
        <w:trPr>
          <w:cnfStyle w:val="000000010000"/>
        </w:trPr>
        <w:tc>
          <w:tcPr>
            <w:tcW w:w="2079" w:type="dxa"/>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AEO</w:t>
            </w:r>
          </w:p>
        </w:tc>
        <w:tc>
          <w:tcPr>
            <w:tcW w:w="7037" w:type="dxa"/>
          </w:tcPr>
          <w:p w:rsidR="002C26A5" w:rsidRPr="00375997" w:rsidRDefault="002C26A5" w:rsidP="002C26A5">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Annual Energy Outlook (EIA)</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AGT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Algonquin Gas Transmission</w:t>
            </w:r>
          </w:p>
        </w:tc>
      </w:tr>
      <w:tr w:rsidR="00906AA8" w:rsidRPr="00375997" w:rsidTr="007546EE">
        <w:trPr>
          <w:cnfStyle w:val="000000010000"/>
        </w:trPr>
        <w:tc>
          <w:tcPr>
            <w:tcW w:w="2079" w:type="dxa"/>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AIM</w:t>
            </w:r>
          </w:p>
        </w:tc>
        <w:tc>
          <w:tcPr>
            <w:tcW w:w="7037" w:type="dxa"/>
          </w:tcPr>
          <w:p w:rsidR="00906AA8" w:rsidRPr="004465EA" w:rsidRDefault="00906AA8" w:rsidP="006A4EC1">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Algonquin Incremental Market (Spectra Energy project)</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AMI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4465EA" w:rsidRDefault="00906AA8" w:rsidP="00A42FB2">
            <w:pPr>
              <w:spacing w:after="0" w:line="240" w:lineRule="auto"/>
              <w:rPr>
                <w:rFonts w:asciiTheme="minorHAnsi" w:eastAsia="Calibri" w:hAnsiTheme="minorHAnsi" w:cs="Arial"/>
                <w:iCs/>
                <w:color w:val="000000"/>
                <w:szCs w:val="18"/>
              </w:rPr>
            </w:pPr>
            <w:r w:rsidRPr="004465EA">
              <w:rPr>
                <w:rFonts w:asciiTheme="minorHAnsi" w:eastAsia="Calibri" w:hAnsiTheme="minorHAnsi" w:cs="Arial"/>
                <w:iCs/>
                <w:color w:val="000000"/>
                <w:szCs w:val="18"/>
              </w:rPr>
              <w:t>advanced metering infrastructure</w:t>
            </w:r>
          </w:p>
        </w:tc>
      </w:tr>
      <w:tr w:rsidR="00906AA8" w:rsidRPr="00375997" w:rsidTr="007546EE">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AMR</w:t>
            </w:r>
            <w:r w:rsidRPr="008407BE">
              <w:rPr>
                <w:rFonts w:asciiTheme="minorHAnsi" w:eastAsia="Calibri" w:hAnsiTheme="minorHAnsi" w:cs="Arial"/>
                <w:b/>
                <w:i/>
                <w:color w:val="000000"/>
                <w:szCs w:val="18"/>
              </w:rPr>
              <w:t>XY</w:t>
            </w:r>
          </w:p>
        </w:tc>
        <w:tc>
          <w:tcPr>
            <w:tcW w:w="7037" w:type="dxa"/>
          </w:tcPr>
          <w:p w:rsidR="00906AA8" w:rsidRDefault="00906AA8"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Annual Markets Report</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bCs/>
                <w:color w:val="000000"/>
                <w:szCs w:val="18"/>
              </w:rPr>
              <w:t>Bcf</w:t>
            </w:r>
            <w:proofErr w:type="spellEnd"/>
            <w:r w:rsidRPr="008407BE">
              <w:rPr>
                <w:rFonts w:asciiTheme="minorHAnsi" w:eastAsia="Calibri" w:hAnsiTheme="minorHAnsi" w:cs="Arial"/>
                <w:b/>
                <w:bCs/>
                <w:color w:val="000000"/>
                <w:szCs w:val="18"/>
              </w:rPr>
              <w:t xml:space="preserve">; </w:t>
            </w:r>
            <w:proofErr w:type="spellStart"/>
            <w:r w:rsidRPr="008407BE">
              <w:rPr>
                <w:rFonts w:asciiTheme="minorHAnsi" w:eastAsia="Calibri" w:hAnsiTheme="minorHAnsi" w:cs="Arial"/>
                <w:b/>
                <w:bCs/>
                <w:color w:val="000000"/>
                <w:szCs w:val="18"/>
              </w:rPr>
              <w:t>Bcf</w:t>
            </w:r>
            <w:proofErr w:type="spellEnd"/>
            <w:r w:rsidRPr="008407BE">
              <w:rPr>
                <w:rFonts w:asciiTheme="minorHAnsi" w:eastAsia="Calibri" w:hAnsiTheme="minorHAnsi" w:cs="Arial"/>
                <w:b/>
                <w:bCs/>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billion cubic feet; billion cubic feet per day</w:t>
            </w:r>
          </w:p>
        </w:tc>
      </w:tr>
      <w:tr w:rsidR="00906AA8" w:rsidRPr="00375997" w:rsidTr="007546EE">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BHE</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of northeastern Maine</w:t>
            </w:r>
          </w:p>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Bangor Hydro Electric (Company)</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BOSTON</w:t>
            </w:r>
            <w:r>
              <w:rPr>
                <w:rFonts w:asciiTheme="minorHAnsi" w:eastAsia="Calibri" w:hAnsiTheme="minorHAnsi" w:cs="Arial"/>
                <w:b/>
                <w:color w:val="000000"/>
                <w:szCs w:val="18"/>
              </w:rPr>
              <w:t>, BOST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of Greater Boston, including the North Shore</w:t>
            </w:r>
            <w:r>
              <w:rPr>
                <w:rFonts w:asciiTheme="minorHAnsi" w:eastAsia="Calibri" w:hAnsiTheme="minorHAnsi" w:cs="Arial"/>
                <w:color w:val="000000"/>
                <w:szCs w:val="18"/>
              </w:rPr>
              <w:t xml:space="preserve"> (all capitalized)</w:t>
            </w:r>
          </w:p>
        </w:tc>
      </w:tr>
      <w:tr w:rsidR="002C26A5" w:rsidRPr="00375997" w:rsidTr="007546EE">
        <w:trPr>
          <w:cnfStyle w:val="000000010000"/>
        </w:trPr>
        <w:tc>
          <w:tcPr>
            <w:tcW w:w="2079" w:type="dxa"/>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BTA</w:t>
            </w:r>
          </w:p>
        </w:tc>
        <w:tc>
          <w:tcPr>
            <w:tcW w:w="7037" w:type="dxa"/>
          </w:tcPr>
          <w:p w:rsidR="002C26A5" w:rsidRPr="00375997" w:rsidRDefault="002C26A5" w:rsidP="002C26A5">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best technology available</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Btu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British thermal unit</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554D32">
              <w:rPr>
                <w:rFonts w:asciiTheme="minorHAnsi" w:eastAsia="Calibri" w:hAnsiTheme="minorHAnsi" w:cs="Arial"/>
                <w:b/>
                <w:color w:val="000000"/>
                <w:szCs w:val="18"/>
              </w:rPr>
              <w:t>CAA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i/>
                <w:color w:val="000000"/>
                <w:szCs w:val="18"/>
              </w:rPr>
              <w:t>Clean Air Act</w:t>
            </w:r>
            <w:r w:rsidRPr="00375997">
              <w:rPr>
                <w:rFonts w:asciiTheme="minorHAnsi" w:eastAsia="Calibri" w:hAnsiTheme="minorHAnsi" w:cs="Arial"/>
                <w:color w:val="000000"/>
                <w:szCs w:val="18"/>
              </w:rPr>
              <w:t xml:space="preserve"> (US)</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CAGR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compound annual growth rate</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CAIR</w:t>
            </w:r>
          </w:p>
        </w:tc>
        <w:tc>
          <w:tcPr>
            <w:tcW w:w="7037" w:type="dxa"/>
          </w:tcPr>
          <w:p w:rsidR="00906AA8" w:rsidRDefault="00906AA8" w:rsidP="00A42FB2">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iCs/>
                <w:color w:val="000000"/>
                <w:szCs w:val="18"/>
              </w:rPr>
              <w:t>Clean Air Interstate Rule</w:t>
            </w:r>
          </w:p>
        </w:tc>
      </w:tr>
      <w:tr w:rsidR="000450A3"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450A3" w:rsidRPr="008407BE" w:rsidRDefault="000450A3"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450A3" w:rsidRPr="00375997" w:rsidRDefault="000450A3" w:rsidP="000450A3">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combined cycle</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CCP</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capacity commitment period</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CCRP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Central Connecticut Reliability Project</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CEC</w:t>
            </w:r>
          </w:p>
        </w:tc>
        <w:tc>
          <w:tcPr>
            <w:tcW w:w="7037" w:type="dxa"/>
          </w:tcPr>
          <w:p w:rsidR="00906AA8" w:rsidRDefault="00906AA8"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Clean Energy Center (MA)</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CEII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iCs/>
                <w:color w:val="000000"/>
                <w:szCs w:val="18"/>
              </w:rPr>
            </w:pPr>
            <w:r>
              <w:rPr>
                <w:rFonts w:asciiTheme="minorHAnsi" w:eastAsia="Calibri" w:hAnsiTheme="minorHAnsi" w:cs="Arial"/>
                <w:iCs/>
                <w:color w:val="000000"/>
                <w:szCs w:val="18"/>
              </w:rPr>
              <w:t>c</w:t>
            </w:r>
            <w:r w:rsidRPr="00375997">
              <w:rPr>
                <w:rFonts w:asciiTheme="minorHAnsi" w:eastAsia="Calibri" w:hAnsiTheme="minorHAnsi" w:cs="Arial"/>
                <w:iCs/>
                <w:color w:val="000000"/>
                <w:szCs w:val="18"/>
              </w:rPr>
              <w:t xml:space="preserve">ritical </w:t>
            </w:r>
            <w:r>
              <w:rPr>
                <w:rFonts w:asciiTheme="minorHAnsi" w:eastAsia="Calibri" w:hAnsiTheme="minorHAnsi" w:cs="Arial"/>
                <w:iCs/>
                <w:color w:val="000000"/>
                <w:szCs w:val="18"/>
              </w:rPr>
              <w:t>e</w:t>
            </w:r>
            <w:r w:rsidRPr="00375997">
              <w:rPr>
                <w:rFonts w:asciiTheme="minorHAnsi" w:eastAsia="Calibri" w:hAnsiTheme="minorHAnsi" w:cs="Arial"/>
                <w:iCs/>
                <w:color w:val="000000"/>
                <w:szCs w:val="18"/>
              </w:rPr>
              <w:t xml:space="preserve">nergy </w:t>
            </w:r>
            <w:r>
              <w:rPr>
                <w:rFonts w:asciiTheme="minorHAnsi" w:eastAsia="Calibri" w:hAnsiTheme="minorHAnsi" w:cs="Arial"/>
                <w:iCs/>
                <w:color w:val="000000"/>
                <w:szCs w:val="18"/>
              </w:rPr>
              <w:t>i</w:t>
            </w:r>
            <w:r w:rsidRPr="00375997">
              <w:rPr>
                <w:rFonts w:asciiTheme="minorHAnsi" w:eastAsia="Calibri" w:hAnsiTheme="minorHAnsi" w:cs="Arial"/>
                <w:iCs/>
                <w:color w:val="000000"/>
                <w:szCs w:val="18"/>
              </w:rPr>
              <w:t xml:space="preserve">nfrastructure </w:t>
            </w:r>
            <w:r>
              <w:rPr>
                <w:rFonts w:asciiTheme="minorHAnsi" w:eastAsia="Calibri" w:hAnsiTheme="minorHAnsi" w:cs="Arial"/>
                <w:iCs/>
                <w:color w:val="000000"/>
                <w:szCs w:val="18"/>
              </w:rPr>
              <w:t>i</w:t>
            </w:r>
            <w:r w:rsidRPr="00375997">
              <w:rPr>
                <w:rFonts w:asciiTheme="minorHAnsi" w:eastAsia="Calibri" w:hAnsiTheme="minorHAnsi" w:cs="Arial"/>
                <w:iCs/>
                <w:color w:val="000000"/>
                <w:szCs w:val="18"/>
              </w:rPr>
              <w:t>nformation</w:t>
            </w:r>
          </w:p>
        </w:tc>
      </w:tr>
      <w:tr w:rsidR="00906AA8" w:rsidRPr="00375997" w:rsidTr="008D61C8">
        <w:trPr>
          <w:cnfStyle w:val="000000010000"/>
          <w:trHeight w:val="182"/>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CELT</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iCs/>
                <w:color w:val="000000"/>
                <w:szCs w:val="18"/>
              </w:rPr>
              <w:t>capacity, energy, loads, and transmission</w:t>
            </w:r>
          </w:p>
        </w:tc>
      </w:tr>
      <w:tr w:rsidR="00906AA8" w:rsidRPr="00375997" w:rsidTr="007546EE">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
                <w:iCs/>
                <w:color w:val="000000"/>
                <w:szCs w:val="18"/>
              </w:rPr>
            </w:pPr>
            <w:r>
              <w:rPr>
                <w:rFonts w:asciiTheme="minorHAnsi" w:eastAsia="Calibri" w:hAnsiTheme="minorHAnsi" w:cs="Arial"/>
                <w:b/>
                <w:iCs/>
                <w:color w:val="000000"/>
                <w:szCs w:val="18"/>
              </w:rPr>
              <w:t>2013 CELT Report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201</w:t>
            </w:r>
            <w:r>
              <w:rPr>
                <w:rFonts w:asciiTheme="minorHAnsi" w:eastAsia="Calibri" w:hAnsiTheme="minorHAnsi" w:cs="Arial"/>
                <w:i/>
                <w:iCs/>
                <w:color w:val="000000"/>
                <w:szCs w:val="18"/>
              </w:rPr>
              <w:t>3</w:t>
            </w:r>
            <w:r w:rsidRPr="00375997">
              <w:rPr>
                <w:rFonts w:asciiTheme="minorHAnsi" w:eastAsia="Calibri" w:hAnsiTheme="minorHAnsi" w:cs="Arial"/>
                <w:i/>
                <w:iCs/>
                <w:color w:val="000000"/>
                <w:szCs w:val="18"/>
              </w:rPr>
              <w:t>–202</w:t>
            </w:r>
            <w:r>
              <w:rPr>
                <w:rFonts w:asciiTheme="minorHAnsi" w:eastAsia="Calibri" w:hAnsiTheme="minorHAnsi" w:cs="Arial"/>
                <w:i/>
                <w:iCs/>
                <w:color w:val="000000"/>
                <w:szCs w:val="18"/>
              </w:rPr>
              <w:t>2</w:t>
            </w:r>
            <w:r w:rsidRPr="00375997">
              <w:rPr>
                <w:rFonts w:asciiTheme="minorHAnsi" w:eastAsia="Calibri" w:hAnsiTheme="minorHAnsi" w:cs="Arial"/>
                <w:i/>
                <w:iCs/>
                <w:color w:val="000000"/>
                <w:szCs w:val="18"/>
              </w:rPr>
              <w:t xml:space="preserve"> Forecast Report of Capacity, Energy, Loads, and Transmission</w:t>
            </w:r>
          </w:p>
        </w:tc>
      </w:tr>
      <w:tr w:rsidR="00AC460A" w:rsidRPr="00375997" w:rsidTr="00151B6A">
        <w:trPr>
          <w:cnfStyle w:val="000000010000"/>
        </w:trPr>
        <w:tc>
          <w:tcPr>
            <w:tcW w:w="2079" w:type="dxa"/>
          </w:tcPr>
          <w:p w:rsidR="00AC460A" w:rsidRDefault="00AC460A" w:rsidP="00AC460A">
            <w:pPr>
              <w:spacing w:after="0" w:line="240" w:lineRule="auto"/>
              <w:rPr>
                <w:rFonts w:asciiTheme="minorHAnsi" w:eastAsia="Calibri" w:hAnsiTheme="minorHAnsi" w:cs="Arial"/>
                <w:b/>
                <w:iCs/>
                <w:color w:val="000000"/>
                <w:szCs w:val="18"/>
              </w:rPr>
            </w:pPr>
            <w:r>
              <w:rPr>
                <w:rFonts w:asciiTheme="minorHAnsi" w:eastAsia="Calibri" w:hAnsiTheme="minorHAnsi" w:cs="Arial"/>
                <w:b/>
                <w:iCs/>
                <w:color w:val="000000"/>
                <w:szCs w:val="18"/>
              </w:rPr>
              <w:t>2014 CELT Report</w:t>
            </w:r>
          </w:p>
        </w:tc>
        <w:tc>
          <w:tcPr>
            <w:tcW w:w="7037" w:type="dxa"/>
          </w:tcPr>
          <w:p w:rsidR="00AC460A" w:rsidRDefault="00AC460A" w:rsidP="00AC460A">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201</w:t>
            </w:r>
            <w:r>
              <w:rPr>
                <w:rFonts w:asciiTheme="minorHAnsi" w:eastAsia="Calibri" w:hAnsiTheme="minorHAnsi" w:cs="Arial"/>
                <w:i/>
                <w:iCs/>
                <w:color w:val="000000"/>
                <w:szCs w:val="18"/>
              </w:rPr>
              <w:t>4</w:t>
            </w:r>
            <w:r w:rsidRPr="00375997">
              <w:rPr>
                <w:rFonts w:asciiTheme="minorHAnsi" w:eastAsia="Calibri" w:hAnsiTheme="minorHAnsi" w:cs="Arial"/>
                <w:i/>
                <w:iCs/>
                <w:color w:val="000000"/>
                <w:szCs w:val="18"/>
              </w:rPr>
              <w:t>–202</w:t>
            </w:r>
            <w:r>
              <w:rPr>
                <w:rFonts w:asciiTheme="minorHAnsi" w:eastAsia="Calibri" w:hAnsiTheme="minorHAnsi" w:cs="Arial"/>
                <w:i/>
                <w:iCs/>
                <w:color w:val="000000"/>
                <w:szCs w:val="18"/>
              </w:rPr>
              <w:t>3</w:t>
            </w:r>
            <w:r w:rsidRPr="00375997">
              <w:rPr>
                <w:rFonts w:asciiTheme="minorHAnsi" w:eastAsia="Calibri" w:hAnsiTheme="minorHAnsi" w:cs="Arial"/>
                <w:i/>
                <w:iCs/>
                <w:color w:val="000000"/>
                <w:szCs w:val="18"/>
              </w:rPr>
              <w:t xml:space="preserve"> Forecast Report of Capacity, Energy, Loads, and Transmission</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CFR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Code of Federal Regulations</w:t>
            </w:r>
          </w:p>
        </w:tc>
      </w:tr>
      <w:tr w:rsidR="00906AA8" w:rsidRPr="00375997" w:rsidTr="007546EE">
        <w:trPr>
          <w:cnfStyle w:val="000000010000"/>
          <w:trHeight w:val="227"/>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Cir.</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Circuit (court)</w:t>
            </w:r>
          </w:p>
        </w:tc>
      </w:tr>
      <w:tr w:rsidR="00906AA8" w:rsidRPr="00375997" w:rsidTr="00A22DFF">
        <w:trPr>
          <w:cnfStyle w:val="000000100000"/>
          <w:trHeight w:val="209"/>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CLG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Consumer Liaison Group</w:t>
            </w:r>
          </w:p>
        </w:tc>
      </w:tr>
      <w:tr w:rsidR="00906AA8" w:rsidRPr="00375997" w:rsidTr="008D61C8">
        <w:trPr>
          <w:cnfStyle w:val="000000010000"/>
          <w:trHeight w:val="254"/>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CMA/NEMA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comprising central Massachusetts and northeastern Massachusetts</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CMP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Central Maine Power (Company)</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CO</w:t>
            </w:r>
            <w:r w:rsidRPr="008407BE">
              <w:rPr>
                <w:rFonts w:asciiTheme="minorHAnsi" w:eastAsia="Calibri" w:hAnsiTheme="minorHAnsi" w:cs="Arial"/>
                <w:b/>
                <w:color w:val="000000"/>
                <w:szCs w:val="18"/>
                <w:vertAlign w:val="subscript"/>
              </w:rPr>
              <w:t>2</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carbon dioxide</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2C26A5">
            <w:pPr>
              <w:spacing w:after="0" w:line="240" w:lineRule="auto"/>
              <w:rPr>
                <w:rFonts w:asciiTheme="minorHAnsi" w:eastAsia="Calibri" w:hAnsiTheme="minorHAnsi" w:cs="Arial"/>
                <w:b/>
                <w:bCs/>
                <w:color w:val="000000"/>
                <w:szCs w:val="18"/>
              </w:rPr>
            </w:pPr>
            <w:r w:rsidRPr="00C37AE1">
              <w:rPr>
                <w:rFonts w:asciiTheme="minorHAnsi" w:eastAsia="Calibri" w:hAnsiTheme="minorHAnsi" w:cs="Arial"/>
                <w:b/>
                <w:color w:val="000000"/>
                <w:szCs w:val="18"/>
              </w:rPr>
              <w:t>C</w:t>
            </w:r>
            <w:r w:rsidR="002C26A5">
              <w:rPr>
                <w:rFonts w:asciiTheme="minorHAnsi" w:eastAsia="Calibri" w:hAnsiTheme="minorHAnsi" w:cs="Arial"/>
                <w:b/>
                <w:color w:val="000000"/>
                <w:szCs w:val="18"/>
              </w:rPr>
              <w:t>OO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2C26A5" w:rsidP="002C26A5">
            <w:pPr>
              <w:spacing w:after="0" w:line="240" w:lineRule="auto"/>
              <w:rPr>
                <w:rFonts w:asciiTheme="minorHAnsi" w:hAnsiTheme="minorHAnsi" w:cs="Arial"/>
                <w:szCs w:val="18"/>
              </w:rPr>
            </w:pPr>
            <w:r>
              <w:rPr>
                <w:rFonts w:asciiTheme="minorHAnsi" w:hAnsiTheme="minorHAnsi" w:cs="Arial"/>
                <w:szCs w:val="18"/>
              </w:rPr>
              <w:t>chief operating officer</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CPCN</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hAnsiTheme="minorHAnsi" w:cs="Arial"/>
                <w:szCs w:val="18"/>
              </w:rPr>
              <w:t>Certificate of Public Convenience and Necessity</w:t>
            </w:r>
          </w:p>
        </w:tc>
      </w:tr>
      <w:tr w:rsidR="002C26A5"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2C26A5" w:rsidRDefault="002C26A5" w:rsidP="002C26A5">
            <w:pPr>
              <w:spacing w:after="0" w:line="240" w:lineRule="auto"/>
              <w:rPr>
                <w:rFonts w:asciiTheme="minorHAnsi" w:eastAsia="Calibri" w:hAnsiTheme="minorHAnsi" w:cs="Arial"/>
                <w:bCs/>
                <w:color w:val="000000"/>
                <w:szCs w:val="18"/>
              </w:rPr>
            </w:pPr>
            <w:r>
              <w:rPr>
                <w:rFonts w:asciiTheme="minorHAnsi" w:eastAsia="Calibri" w:hAnsiTheme="minorHAnsi" w:cs="Arial"/>
                <w:bCs/>
                <w:color w:val="000000"/>
                <w:szCs w:val="18"/>
              </w:rPr>
              <w:t>contingency reserve adjustment (factor)</w:t>
            </w:r>
          </w:p>
        </w:tc>
      </w:tr>
      <w:tr w:rsidR="00906AA8" w:rsidRPr="00375997" w:rsidTr="007546EE">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CSAPR</w:t>
            </w:r>
          </w:p>
        </w:tc>
        <w:tc>
          <w:tcPr>
            <w:tcW w:w="7037" w:type="dxa"/>
          </w:tcPr>
          <w:p w:rsidR="00906AA8" w:rsidRDefault="00906AA8" w:rsidP="00A42FB2">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i/>
                <w:color w:val="000000"/>
                <w:szCs w:val="18"/>
              </w:rPr>
              <w:t>Cross State Air Pollution Rule</w:t>
            </w:r>
            <w:r w:rsidRPr="00375997">
              <w:rPr>
                <w:rFonts w:asciiTheme="minorHAnsi" w:eastAsia="Calibri" w:hAnsiTheme="minorHAnsi" w:cs="Arial"/>
                <w:bCs/>
                <w:color w:val="000000"/>
                <w:szCs w:val="18"/>
              </w:rPr>
              <w:t xml:space="preserve"> (US)</w:t>
            </w:r>
          </w:p>
        </w:tc>
      </w:tr>
      <w:tr w:rsidR="002C26A5"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CSC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375997" w:rsidRDefault="002C26A5" w:rsidP="00A42FB2">
            <w:pPr>
              <w:spacing w:after="0" w:line="240" w:lineRule="auto"/>
              <w:rPr>
                <w:rFonts w:asciiTheme="minorHAnsi" w:eastAsia="Calibri" w:hAnsiTheme="minorHAnsi" w:cs="Arial"/>
                <w:bCs/>
                <w:color w:val="000000"/>
                <w:szCs w:val="18"/>
              </w:rPr>
            </w:pPr>
            <w:r>
              <w:rPr>
                <w:rFonts w:asciiTheme="minorHAnsi" w:eastAsia="Calibri" w:hAnsiTheme="minorHAnsi" w:cs="Arial"/>
                <w:bCs/>
                <w:color w:val="000000"/>
                <w:szCs w:val="18"/>
              </w:rPr>
              <w:t>Cross-Sound Cable</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CSO</w:t>
            </w:r>
          </w:p>
        </w:tc>
        <w:tc>
          <w:tcPr>
            <w:tcW w:w="7037" w:type="dxa"/>
          </w:tcPr>
          <w:p w:rsidR="00906AA8" w:rsidRDefault="00906AA8" w:rsidP="00A42FB2">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capacity supply obligation</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1) State of Connecticut</w:t>
            </w:r>
          </w:p>
          <w:p w:rsidR="00906AA8" w:rsidRDefault="00906AA8" w:rsidP="00A42FB2">
            <w:pPr>
              <w:spacing w:after="0" w:line="240" w:lineRule="auto"/>
              <w:rPr>
                <w:rFonts w:asciiTheme="minorHAnsi" w:eastAsia="Calibri" w:hAnsiTheme="minorHAnsi" w:cs="Arial"/>
                <w:bCs/>
                <w:color w:val="000000"/>
                <w:szCs w:val="18"/>
              </w:rPr>
            </w:pPr>
            <w:r w:rsidRPr="00375997">
              <w:rPr>
                <w:rFonts w:asciiTheme="minorHAnsi" w:eastAsia="Calibri" w:hAnsiTheme="minorHAnsi" w:cs="Arial"/>
                <w:bCs/>
                <w:color w:val="000000"/>
                <w:szCs w:val="18"/>
              </w:rPr>
              <w:t>2) RSP subarea that includes northern and eastern Connecticut</w:t>
            </w:r>
          </w:p>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w:t>
            </w:r>
            <w:r w:rsidRPr="00375997">
              <w:rPr>
                <w:rFonts w:asciiTheme="minorHAnsi" w:eastAsia="Calibri" w:hAnsiTheme="minorHAnsi" w:cs="Arial"/>
                <w:bCs/>
                <w:color w:val="000000"/>
                <w:szCs w:val="18"/>
              </w:rPr>
              <w:t>) Connecticut load zone</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direct current</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District of Columbia</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 Cir.</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District of Columbia Circuit (US Court of Appeals)</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double-circuit tower</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DE</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Delaware</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DEEP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Department of Energy and Environmental Protection (CT)</w:t>
            </w:r>
          </w:p>
        </w:tc>
      </w:tr>
      <w:tr w:rsidR="00906AA8" w:rsidRPr="00375997" w:rsidTr="008D61C8">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DG</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distributed generation</w:t>
            </w:r>
          </w:p>
        </w:tc>
      </w:tr>
      <w:tr w:rsidR="00906AA8" w:rsidRPr="00375997" w:rsidTr="00A22DFF">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DGFWG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Distributed Generation Forecast Working Group</w:t>
            </w:r>
          </w:p>
        </w:tc>
      </w:tr>
      <w:tr w:rsidR="009F5EA2" w:rsidRPr="00375997" w:rsidTr="008D61C8">
        <w:trPr>
          <w:cnfStyle w:val="000000010000"/>
        </w:trPr>
        <w:tc>
          <w:tcPr>
            <w:tcW w:w="2079" w:type="dxa"/>
          </w:tcPr>
          <w:p w:rsidR="009F5EA2" w:rsidRPr="008407BE" w:rsidRDefault="009F5EA2"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DOC</w:t>
            </w:r>
          </w:p>
        </w:tc>
        <w:tc>
          <w:tcPr>
            <w:tcW w:w="7037" w:type="dxa"/>
          </w:tcPr>
          <w:p w:rsidR="009F5EA2" w:rsidRPr="00375997" w:rsidRDefault="009F5EA2"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Microsoft Word file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DOE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Department of Energy (US)</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DPU</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Department of Public Utilities (MA)</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Dth</w:t>
            </w:r>
            <w:proofErr w:type="spellEnd"/>
            <w:r>
              <w:rPr>
                <w:rFonts w:asciiTheme="minorHAnsi" w:eastAsia="Calibri" w:hAnsiTheme="minorHAnsi" w:cs="Arial"/>
                <w:b/>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dekatherms per day</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DVAR</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dynamic voltage ampere reactive</w:t>
            </w:r>
          </w:p>
        </w:tc>
      </w:tr>
      <w:tr w:rsidR="002C26A5"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8407BE" w:rsidRDefault="002C26A5"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C26A5" w:rsidRPr="00375997" w:rsidRDefault="002C26A5"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Energy Advisory Council </w:t>
            </w:r>
            <w:r w:rsidR="00EF32E6">
              <w:rPr>
                <w:rFonts w:asciiTheme="minorHAnsi" w:eastAsia="Calibri" w:hAnsiTheme="minorHAnsi" w:cs="Arial"/>
                <w:color w:val="000000"/>
                <w:szCs w:val="18"/>
              </w:rPr>
              <w:t>(NH)</w:t>
            </w:r>
          </w:p>
        </w:tc>
      </w:tr>
      <w:tr w:rsidR="00EF32E6" w:rsidRPr="00375997" w:rsidTr="00A22DFF">
        <w:trPr>
          <w:cnfStyle w:val="000000010000"/>
        </w:trPr>
        <w:tc>
          <w:tcPr>
            <w:tcW w:w="2079" w:type="dxa"/>
          </w:tcPr>
          <w:p w:rsidR="00EF32E6" w:rsidRPr="008407BE" w:rsidRDefault="00EF32E6" w:rsidP="00EF32E6">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ecomin</w:t>
            </w:r>
            <w:proofErr w:type="spellEnd"/>
          </w:p>
        </w:tc>
        <w:tc>
          <w:tcPr>
            <w:tcW w:w="7037" w:type="dxa"/>
          </w:tcPr>
          <w:p w:rsidR="00EF32E6" w:rsidRPr="00375997" w:rsidRDefault="00EF32E6" w:rsidP="00EF32E6">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economic minimum</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energy efficiency</w:t>
            </w:r>
          </w:p>
        </w:tc>
      </w:tr>
      <w:tr w:rsidR="00906AA8" w:rsidRPr="00375997" w:rsidTr="00A22DFF">
        <w:trPr>
          <w:cnfStyle w:val="000000010000"/>
        </w:trPr>
        <w:tc>
          <w:tcPr>
            <w:tcW w:w="2079" w:type="dxa"/>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EEF</w:t>
            </w:r>
          </w:p>
        </w:tc>
        <w:tc>
          <w:tcPr>
            <w:tcW w:w="7037" w:type="dxa"/>
          </w:tcPr>
          <w:p w:rsidR="00906AA8"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energy-efficiency forecast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Energy Information Administration (US DO</w:t>
            </w:r>
            <w:r>
              <w:rPr>
                <w:rFonts w:asciiTheme="minorHAnsi" w:eastAsia="Calibri" w:hAnsiTheme="minorHAnsi" w:cs="Arial"/>
                <w:color w:val="000000"/>
                <w:szCs w:val="18"/>
              </w:rPr>
              <w:t>E</w:t>
            </w:r>
            <w:r w:rsidRPr="00375997">
              <w:rPr>
                <w:rFonts w:asciiTheme="minorHAnsi" w:eastAsia="Calibri" w:hAnsiTheme="minorHAnsi" w:cs="Arial"/>
                <w:color w:val="000000"/>
                <w:szCs w:val="18"/>
              </w:rPr>
              <w:t>)</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EIPC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Eastern Interconnection Planning Collaborative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EISPC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Eastern Interconnection States Planning Council</w:t>
            </w:r>
          </w:p>
        </w:tc>
      </w:tr>
      <w:tr w:rsidR="00906AA8" w:rsidRPr="00375997" w:rsidTr="00A22DFF">
        <w:trPr>
          <w:cnfStyle w:val="000000010000"/>
        </w:trPr>
        <w:tc>
          <w:tcPr>
            <w:tcW w:w="2079" w:type="dxa"/>
          </w:tcPr>
          <w:p w:rsidR="00906AA8" w:rsidRPr="00173FEF" w:rsidRDefault="00906AA8" w:rsidP="00A42FB2">
            <w:pPr>
              <w:spacing w:after="0" w:line="240" w:lineRule="auto"/>
              <w:rPr>
                <w:rFonts w:asciiTheme="minorHAnsi" w:eastAsia="Calibri" w:hAnsiTheme="minorHAnsi" w:cs="Arial"/>
                <w:b/>
                <w:color w:val="000000"/>
                <w:szCs w:val="18"/>
              </w:rPr>
            </w:pPr>
            <w:r w:rsidRPr="00173FEF">
              <w:rPr>
                <w:rFonts w:asciiTheme="minorHAnsi" w:eastAsia="Calibri" w:hAnsiTheme="minorHAnsi" w:cs="Arial"/>
                <w:b/>
                <w:color w:val="000000"/>
                <w:szCs w:val="18"/>
              </w:rPr>
              <w:t>ELG</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sidRPr="00173FEF">
              <w:rPr>
                <w:rFonts w:asciiTheme="minorHAnsi" w:eastAsia="Calibri" w:hAnsiTheme="minorHAnsi" w:cs="Arial"/>
                <w:color w:val="000000"/>
                <w:szCs w:val="18"/>
              </w:rPr>
              <w:t>Effluent Limit Guidelines (for Electric Steam Generation) (US EPA)</w:t>
            </w:r>
          </w:p>
        </w:tc>
      </w:tr>
      <w:tr w:rsidR="00EF32E6"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EMP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electromagnetic pulse</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EPA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Environmental Protection Agency (US)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EPAct</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Energy Policy Act of 2005</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EPRI</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Electric Power Research Institute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ERCOT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color w:val="000000"/>
                <w:szCs w:val="18"/>
              </w:rPr>
              <w:t>Electric Reliability Council of Texas</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ERO</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Electric Reliability Organization</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ETU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Elective Transmission Upgrade</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F.3d</w:t>
            </w:r>
            <w:proofErr w:type="spellEnd"/>
            <w:r w:rsidRPr="008407BE">
              <w:rPr>
                <w:rFonts w:asciiTheme="minorHAnsi" w:hAnsiTheme="minorHAnsi"/>
                <w:b/>
                <w:szCs w:val="18"/>
              </w:rPr>
              <w:t xml:space="preserve"> </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hAnsiTheme="minorHAnsi"/>
                <w:i/>
                <w:szCs w:val="18"/>
              </w:rPr>
              <w:t>Federal Reporter</w:t>
            </w:r>
            <w:r w:rsidRPr="00375997">
              <w:rPr>
                <w:rFonts w:asciiTheme="minorHAnsi" w:hAnsiTheme="minorHAnsi"/>
                <w:szCs w:val="18"/>
              </w:rPr>
              <w:t>, third series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FACTS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Flexible Alternating-Current Transmission System</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FCA</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Capacity Auction</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FCA #N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nth Forward Capacity Auction</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FCM</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Capacity Market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gramStart"/>
            <w:r w:rsidRPr="008407BE">
              <w:rPr>
                <w:rFonts w:asciiTheme="minorHAnsi" w:eastAsia="Calibri" w:hAnsiTheme="minorHAnsi" w:cs="Arial"/>
                <w:b/>
                <w:color w:val="000000"/>
                <w:szCs w:val="18"/>
              </w:rPr>
              <w:t>Fed.</w:t>
            </w:r>
            <w:proofErr w:type="gramEnd"/>
            <w:r>
              <w:rPr>
                <w:rFonts w:asciiTheme="minorHAnsi" w:eastAsia="Calibri" w:hAnsiTheme="minorHAnsi" w:cs="Arial"/>
                <w:b/>
                <w:color w:val="000000"/>
                <w:szCs w:val="18"/>
              </w:rPr>
              <w:t xml:space="preserve"> </w:t>
            </w:r>
            <w:r w:rsidRPr="008407BE">
              <w:rPr>
                <w:rFonts w:asciiTheme="minorHAnsi" w:eastAsia="Calibri" w:hAnsiTheme="minorHAnsi" w:cs="Arial"/>
                <w:b/>
                <w:color w:val="000000"/>
                <w:szCs w:val="18"/>
              </w:rPr>
              <w:t>Reg.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color w:val="000000"/>
                <w:szCs w:val="18"/>
              </w:rPr>
              <w:t>Federal Register</w:t>
            </w:r>
          </w:p>
        </w:tc>
      </w:tr>
      <w:tr w:rsidR="00906AA8" w:rsidRPr="00375997" w:rsidTr="00A22DFF">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FERC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Federal Energy Regulatory Commission</w:t>
            </w:r>
          </w:p>
        </w:tc>
      </w:tr>
      <w:tr w:rsidR="008D06BF"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D06BF" w:rsidRPr="008407BE" w:rsidRDefault="008D06B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fps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D06BF" w:rsidRPr="00375997" w:rsidRDefault="008D06BF" w:rsidP="008D06BF">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feet per second</w:t>
            </w:r>
          </w:p>
        </w:tc>
      </w:tr>
      <w:tr w:rsidR="006851B1" w:rsidRPr="00375997" w:rsidTr="006851B1">
        <w:trPr>
          <w:cnfStyle w:val="000000010000"/>
        </w:trPr>
        <w:tc>
          <w:tcPr>
            <w:tcW w:w="2079" w:type="dxa"/>
          </w:tcPr>
          <w:p w:rsidR="006851B1" w:rsidRPr="008407BE" w:rsidRDefault="006851B1"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FR</w:t>
            </w:r>
          </w:p>
        </w:tc>
        <w:tc>
          <w:tcPr>
            <w:tcW w:w="7037" w:type="dxa"/>
          </w:tcPr>
          <w:p w:rsidR="006851B1" w:rsidRPr="006851B1" w:rsidRDefault="006851B1" w:rsidP="00A42FB2">
            <w:pPr>
              <w:spacing w:after="0" w:line="240" w:lineRule="auto"/>
              <w:rPr>
                <w:rFonts w:asciiTheme="minorHAnsi" w:eastAsia="Calibri" w:hAnsiTheme="minorHAnsi" w:cs="Arial"/>
                <w:i/>
                <w:color w:val="000000"/>
                <w:szCs w:val="18"/>
              </w:rPr>
            </w:pPr>
            <w:r w:rsidRPr="006851B1">
              <w:rPr>
                <w:rFonts w:asciiTheme="minorHAnsi" w:eastAsia="Calibri" w:hAnsiTheme="minorHAnsi" w:cs="Arial"/>
                <w:i/>
                <w:color w:val="000000"/>
                <w:szCs w:val="18"/>
              </w:rPr>
              <w:t>Federal Register</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FRM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Forward Reserve Market</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FTR</w:t>
            </w:r>
          </w:p>
        </w:tc>
        <w:tc>
          <w:tcPr>
            <w:tcW w:w="7037" w:type="dxa"/>
          </w:tcPr>
          <w:p w:rsidR="00906AA8" w:rsidRDefault="00D1478B" w:rsidP="008F65F6">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F</w:t>
            </w:r>
            <w:r w:rsidR="00906AA8" w:rsidRPr="00375997">
              <w:rPr>
                <w:rFonts w:asciiTheme="minorHAnsi" w:eastAsia="Calibri" w:hAnsiTheme="minorHAnsi" w:cs="Arial"/>
                <w:color w:val="000000"/>
                <w:szCs w:val="18"/>
              </w:rPr>
              <w:t xml:space="preserve">inancial </w:t>
            </w:r>
            <w:r>
              <w:rPr>
                <w:rFonts w:asciiTheme="minorHAnsi" w:eastAsia="Calibri" w:hAnsiTheme="minorHAnsi" w:cs="Arial"/>
                <w:color w:val="000000"/>
                <w:szCs w:val="18"/>
              </w:rPr>
              <w:t>T</w:t>
            </w:r>
            <w:r w:rsidR="00906AA8" w:rsidRPr="00375997">
              <w:rPr>
                <w:rFonts w:asciiTheme="minorHAnsi" w:eastAsia="Calibri" w:hAnsiTheme="minorHAnsi" w:cs="Arial"/>
                <w:color w:val="000000"/>
                <w:szCs w:val="18"/>
              </w:rPr>
              <w:t xml:space="preserve">ransmission </w:t>
            </w:r>
            <w:r>
              <w:rPr>
                <w:rFonts w:asciiTheme="minorHAnsi" w:eastAsia="Calibri" w:hAnsiTheme="minorHAnsi" w:cs="Arial"/>
                <w:color w:val="000000"/>
                <w:szCs w:val="18"/>
              </w:rPr>
              <w:t>R</w:t>
            </w:r>
            <w:r w:rsidR="00906AA8" w:rsidRPr="00375997">
              <w:rPr>
                <w:rFonts w:asciiTheme="minorHAnsi" w:eastAsia="Calibri" w:hAnsiTheme="minorHAnsi" w:cs="Arial"/>
                <w:color w:val="000000"/>
                <w:szCs w:val="18"/>
              </w:rPr>
              <w:t>ight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GDP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gross domestic product</w:t>
            </w:r>
          </w:p>
        </w:tc>
      </w:tr>
      <w:tr w:rsidR="00906AA8" w:rsidRPr="00375997" w:rsidTr="006851B1">
        <w:trPr>
          <w:cnfStyle w:val="000000010000"/>
        </w:trPr>
        <w:tc>
          <w:tcPr>
            <w:tcW w:w="2079" w:type="dxa"/>
          </w:tcPr>
          <w:p w:rsidR="00906AA8" w:rsidRPr="000322EB" w:rsidRDefault="00906AA8" w:rsidP="00A42FB2">
            <w:pPr>
              <w:spacing w:after="0" w:line="240" w:lineRule="auto"/>
              <w:rPr>
                <w:rFonts w:asciiTheme="minorHAnsi" w:eastAsia="Calibri" w:hAnsiTheme="minorHAnsi" w:cs="Arial"/>
                <w:b/>
                <w:bCs/>
                <w:color w:val="000000"/>
                <w:szCs w:val="18"/>
              </w:rPr>
            </w:pPr>
            <w:r w:rsidRPr="000322EB">
              <w:rPr>
                <w:rFonts w:asciiTheme="minorHAnsi" w:eastAsia="Calibri" w:hAnsiTheme="minorHAnsi" w:cs="Arial"/>
                <w:b/>
                <w:color w:val="000000"/>
                <w:szCs w:val="18"/>
              </w:rPr>
              <w:t>GHCC</w:t>
            </w:r>
          </w:p>
        </w:tc>
        <w:tc>
          <w:tcPr>
            <w:tcW w:w="7037" w:type="dxa"/>
          </w:tcPr>
          <w:p w:rsidR="00906AA8" w:rsidRPr="000322EB" w:rsidRDefault="00906AA8" w:rsidP="000322EB">
            <w:pPr>
              <w:spacing w:after="0" w:line="240" w:lineRule="auto"/>
              <w:rPr>
                <w:rFonts w:asciiTheme="minorHAnsi" w:eastAsia="Calibri" w:hAnsiTheme="minorHAnsi" w:cs="Arial"/>
                <w:color w:val="000000"/>
                <w:szCs w:val="18"/>
              </w:rPr>
            </w:pPr>
            <w:r w:rsidRPr="000322EB">
              <w:rPr>
                <w:rFonts w:asciiTheme="minorHAnsi" w:eastAsia="Calibri" w:hAnsiTheme="minorHAnsi" w:cs="Arial"/>
                <w:color w:val="000000"/>
                <w:szCs w:val="18"/>
              </w:rPr>
              <w:t>Greater Hartford</w:t>
            </w:r>
            <w:r w:rsidR="000322EB" w:rsidRPr="000322EB">
              <w:rPr>
                <w:rFonts w:asciiTheme="minorHAnsi" w:eastAsia="Calibri" w:hAnsiTheme="minorHAnsi" w:cs="Arial"/>
                <w:color w:val="000000"/>
                <w:szCs w:val="18"/>
              </w:rPr>
              <w:t>/</w:t>
            </w:r>
            <w:r w:rsidRPr="000322EB">
              <w:rPr>
                <w:rFonts w:asciiTheme="minorHAnsi" w:eastAsia="Calibri" w:hAnsiTheme="minorHAnsi" w:cs="Arial"/>
                <w:color w:val="000000"/>
                <w:szCs w:val="18"/>
              </w:rPr>
              <w:t>Central Connecticut (part of NEEWS)</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GHG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greenhouse gas</w:t>
            </w:r>
          </w:p>
        </w:tc>
      </w:tr>
      <w:tr w:rsidR="00EF32E6" w:rsidRPr="00375997" w:rsidTr="006851B1">
        <w:trPr>
          <w:cnfStyle w:val="000000010000"/>
        </w:trPr>
        <w:tc>
          <w:tcPr>
            <w:tcW w:w="2079" w:type="dxa"/>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GMD</w:t>
            </w:r>
          </w:p>
        </w:tc>
        <w:tc>
          <w:tcPr>
            <w:tcW w:w="7037" w:type="dxa"/>
          </w:tcPr>
          <w:p w:rsidR="00EF32E6" w:rsidRPr="00375997" w:rsidRDefault="00EF32E6" w:rsidP="00EF32E6">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geomagnetic disturbance</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GPM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gallons per minute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Greater Connecticut</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study area that includes the RSP subareas of NOR, SWCT, and CT</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Greater Southwest Connecticut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study area that includes the southwestern and western portions of Connecticut and comprises the SWCT and NOR subareas</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GRI</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Rhode Island</w:t>
            </w:r>
          </w:p>
        </w:tc>
      </w:tr>
      <w:tr w:rsidR="00EF32E6"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GSGT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Granite State Gas Transmission</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GSRP</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Greater Springfield Reliability Project</w:t>
            </w:r>
          </w:p>
        </w:tc>
      </w:tr>
      <w:tr w:rsidR="000450A3"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450A3" w:rsidRPr="008407BE" w:rsidRDefault="000450A3"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450A3" w:rsidRPr="00375997" w:rsidRDefault="008F65F6" w:rsidP="008F65F6">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g</w:t>
            </w:r>
            <w:r w:rsidR="000450A3">
              <w:rPr>
                <w:rFonts w:asciiTheme="minorHAnsi" w:eastAsia="Calibri" w:hAnsiTheme="minorHAnsi" w:cs="Arial"/>
                <w:color w:val="000000"/>
                <w:szCs w:val="18"/>
              </w:rPr>
              <w:t>as turbine</w:t>
            </w:r>
          </w:p>
        </w:tc>
      </w:tr>
      <w:tr w:rsidR="00906AA8" w:rsidRPr="00375997" w:rsidTr="006851B1">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GW</w:t>
            </w:r>
          </w:p>
        </w:tc>
        <w:tc>
          <w:tcPr>
            <w:tcW w:w="7037" w:type="dxa"/>
          </w:tcPr>
          <w:p w:rsidR="00906AA8" w:rsidRDefault="00906AA8"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gigawatt</w:t>
            </w:r>
            <w:proofErr w:type="spellEnd"/>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GWh</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gigawatt</w:t>
            </w:r>
            <w:proofErr w:type="spellEnd"/>
            <w:r w:rsidRPr="00375997">
              <w:rPr>
                <w:rFonts w:asciiTheme="minorHAnsi" w:eastAsia="Calibri" w:hAnsiTheme="minorHAnsi" w:cs="Arial"/>
                <w:color w:val="000000"/>
                <w:szCs w:val="18"/>
              </w:rPr>
              <w:t>-hour(s)</w:t>
            </w:r>
          </w:p>
        </w:tc>
      </w:tr>
      <w:tr w:rsidR="00EF32E6" w:rsidRPr="00375997" w:rsidTr="006851B1">
        <w:trPr>
          <w:cnfStyle w:val="000000010000"/>
        </w:trPr>
        <w:tc>
          <w:tcPr>
            <w:tcW w:w="2079" w:type="dxa"/>
          </w:tcPr>
          <w:p w:rsidR="00EF32E6" w:rsidRPr="00173FEF"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GWSA</w:t>
            </w:r>
          </w:p>
        </w:tc>
        <w:tc>
          <w:tcPr>
            <w:tcW w:w="7037" w:type="dxa"/>
          </w:tcPr>
          <w:p w:rsidR="00EF32E6" w:rsidRPr="00EF32E6"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i/>
                <w:color w:val="000000"/>
                <w:szCs w:val="18"/>
              </w:rPr>
              <w:t>Global Warming Solutions Act</w:t>
            </w:r>
            <w:r>
              <w:rPr>
                <w:rFonts w:asciiTheme="minorHAnsi" w:eastAsia="Calibri" w:hAnsiTheme="minorHAnsi" w:cs="Arial"/>
                <w:color w:val="000000"/>
                <w:szCs w:val="18"/>
              </w:rPr>
              <w:t xml:space="preserve"> (MA)</w:t>
            </w:r>
          </w:p>
        </w:tc>
      </w:tr>
      <w:tr w:rsidR="00906AA8" w:rsidRPr="00375997" w:rsidTr="009F5EA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173FEF" w:rsidRDefault="00906AA8" w:rsidP="00A42FB2">
            <w:pPr>
              <w:spacing w:after="0" w:line="240" w:lineRule="auto"/>
              <w:rPr>
                <w:rFonts w:asciiTheme="minorHAnsi" w:eastAsia="Calibri" w:hAnsiTheme="minorHAnsi" w:cs="Arial"/>
                <w:b/>
                <w:color w:val="000000"/>
                <w:szCs w:val="18"/>
              </w:rPr>
            </w:pPr>
            <w:r w:rsidRPr="00173FEF">
              <w:rPr>
                <w:rFonts w:asciiTheme="minorHAnsi" w:eastAsia="Calibri" w:hAnsiTheme="minorHAnsi" w:cs="Arial"/>
                <w:b/>
                <w:color w:val="000000"/>
                <w:szCs w:val="18"/>
              </w:rPr>
              <w:t>HB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173FEF">
              <w:rPr>
                <w:rFonts w:asciiTheme="minorHAnsi" w:eastAsia="Calibri" w:hAnsiTheme="minorHAnsi" w:cs="Arial"/>
                <w:color w:val="000000"/>
                <w:szCs w:val="18"/>
              </w:rPr>
              <w:t>House Bill</w:t>
            </w:r>
          </w:p>
        </w:tc>
      </w:tr>
      <w:tr w:rsidR="00B17412" w:rsidRPr="00375997" w:rsidTr="00023D42">
        <w:trPr>
          <w:cnfStyle w:val="000000010000"/>
        </w:trPr>
        <w:tc>
          <w:tcPr>
            <w:tcW w:w="2079" w:type="dxa"/>
          </w:tcPr>
          <w:p w:rsidR="00B17412" w:rsidRPr="008407BE" w:rsidRDefault="00B17412"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HE</w:t>
            </w:r>
          </w:p>
        </w:tc>
        <w:tc>
          <w:tcPr>
            <w:tcW w:w="7037" w:type="dxa"/>
          </w:tcPr>
          <w:p w:rsidR="00B17412" w:rsidRPr="00375997" w:rsidRDefault="00B17412"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hour ending</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HQ</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Hydro-Québec Balancing Authority Area</w:t>
            </w:r>
          </w:p>
        </w:tc>
      </w:tr>
      <w:tr w:rsidR="00906AA8" w:rsidRPr="00375997" w:rsidTr="00023D4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HQICC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Hydro-Québec Installed Capability Credit</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HRSG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heat-recovery steam generator</w:t>
            </w:r>
          </w:p>
        </w:tc>
      </w:tr>
      <w:tr w:rsidR="00023D42" w:rsidRPr="00375997" w:rsidTr="00023D42">
        <w:trPr>
          <w:cnfStyle w:val="000000010000"/>
        </w:trPr>
        <w:tc>
          <w:tcPr>
            <w:tcW w:w="2079" w:type="dxa"/>
          </w:tcPr>
          <w:p w:rsidR="00023D42" w:rsidRPr="008407BE" w:rsidRDefault="00023D42" w:rsidP="00B1741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HRX</w:t>
            </w:r>
          </w:p>
        </w:tc>
        <w:tc>
          <w:tcPr>
            <w:tcW w:w="7037" w:type="dxa"/>
          </w:tcPr>
          <w:p w:rsidR="00023D42" w:rsidRPr="00375997" w:rsidRDefault="00023D42" w:rsidP="00B1741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Housatonic River Crossing</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(the) Hub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ISO New England energy trading hub</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HV</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high voltage</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HVDC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high-voltage</w:t>
            </w:r>
            <w:r w:rsidR="001B73C3">
              <w:rPr>
                <w:rFonts w:asciiTheme="minorHAnsi" w:eastAsia="Calibri" w:hAnsiTheme="minorHAnsi" w:cs="Arial"/>
                <w:color w:val="000000"/>
                <w:szCs w:val="18"/>
              </w:rPr>
              <w:t>,</w:t>
            </w:r>
            <w:r w:rsidRPr="00375997">
              <w:rPr>
                <w:rFonts w:asciiTheme="minorHAnsi" w:eastAsia="Calibri" w:hAnsiTheme="minorHAnsi" w:cs="Arial"/>
                <w:color w:val="000000"/>
                <w:szCs w:val="18"/>
              </w:rPr>
              <w:t xml:space="preserve"> direct current</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ICR</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Installed Capacity Requirement</w:t>
            </w:r>
          </w:p>
        </w:tc>
      </w:tr>
      <w:tr w:rsidR="00EF32E6"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ICU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internal combustion unit</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IEEE</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Institute of Electrical and Electronics Engineers</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IESO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Electric System Operator (Ontario, Canada)</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IGCC</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integrated combined cycle</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IGTS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Iroquois Gas Transmission System</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IPSAC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Inter-Area Planning Stakeholder Advisory Committee</w:t>
            </w:r>
          </w:p>
        </w:tc>
      </w:tr>
      <w:tr w:rsidR="00906AA8" w:rsidRPr="00375997" w:rsidTr="00B17412">
        <w:trPr>
          <w:cnfStyle w:val="000000100000"/>
          <w:trHeight w:val="164"/>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ISO/RTO Council</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IREMM</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Interregional Electric Market Model</w:t>
            </w:r>
          </w:p>
        </w:tc>
      </w:tr>
      <w:tr w:rsidR="00EF32E6"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8407BE"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375997" w:rsidRDefault="00EF32E6"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Interstate Reliability Project</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 of New England; ISO New England</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ISO/RTO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Operator/Regional Transmission Organization</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ISOs</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Independent System Operators</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ISO tariff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New England’s </w:t>
            </w:r>
            <w:r w:rsidRPr="00375997">
              <w:rPr>
                <w:rFonts w:asciiTheme="minorHAnsi" w:eastAsia="Calibri" w:hAnsiTheme="minorHAnsi" w:cs="Arial"/>
                <w:i/>
                <w:color w:val="000000"/>
                <w:szCs w:val="18"/>
              </w:rPr>
              <w:t>Transmission, Markets, and Services Tariff</w:t>
            </w:r>
          </w:p>
        </w:tc>
      </w:tr>
      <w:tr w:rsidR="000D7F97" w:rsidRPr="00375997" w:rsidTr="009F5EA2">
        <w:trPr>
          <w:cnfStyle w:val="000000010000"/>
        </w:trPr>
        <w:tc>
          <w:tcPr>
            <w:tcW w:w="2079" w:type="dxa"/>
          </w:tcPr>
          <w:p w:rsidR="000D7F97" w:rsidRPr="008407BE" w:rsidRDefault="000D7F97"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IT</w:t>
            </w:r>
          </w:p>
        </w:tc>
        <w:tc>
          <w:tcPr>
            <w:tcW w:w="7037" w:type="dxa"/>
          </w:tcPr>
          <w:p w:rsidR="000D7F97" w:rsidRPr="00375997" w:rsidRDefault="000D7F97" w:rsidP="000D7F97">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information technology</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JIPC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Joint ISO/RTO Planning Committee</w:t>
            </w:r>
          </w:p>
        </w:tc>
      </w:tr>
      <w:tr w:rsidR="00EF06BF" w:rsidRPr="00375997" w:rsidTr="009F5EA2">
        <w:trPr>
          <w:cnfStyle w:val="000000010000"/>
        </w:trPr>
        <w:tc>
          <w:tcPr>
            <w:tcW w:w="2079" w:type="dxa"/>
          </w:tcPr>
          <w:p w:rsidR="00EF06BF" w:rsidRPr="008407BE" w:rsidRDefault="00EF06B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kA</w:t>
            </w:r>
          </w:p>
        </w:tc>
        <w:tc>
          <w:tcPr>
            <w:tcW w:w="7037" w:type="dxa"/>
          </w:tcPr>
          <w:p w:rsidR="00EF06BF" w:rsidRPr="00375997" w:rsidRDefault="00F00681" w:rsidP="00F00681">
            <w:pPr>
              <w:spacing w:after="0" w:line="240" w:lineRule="auto"/>
              <w:rPr>
                <w:rFonts w:asciiTheme="minorHAnsi" w:eastAsia="Calibri" w:hAnsiTheme="minorHAnsi" w:cs="Arial"/>
                <w:color w:val="000000"/>
                <w:szCs w:val="18"/>
              </w:rPr>
            </w:pPr>
            <w:proofErr w:type="spellStart"/>
            <w:r>
              <w:rPr>
                <w:rFonts w:asciiTheme="minorHAnsi" w:eastAsia="Calibri" w:hAnsiTheme="minorHAnsi" w:cs="Arial"/>
                <w:color w:val="000000"/>
                <w:szCs w:val="18"/>
              </w:rPr>
              <w:t>kiloampere</w:t>
            </w:r>
            <w:proofErr w:type="spellEnd"/>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kV</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kilovolt(s)</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kW</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kilowatt</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kWh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kilowatt-hour</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lb</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pound</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distribution company</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LEG</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limited-energy generator</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LFG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landfill gas</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LLC</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limited liability company</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LMP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locational</w:t>
            </w:r>
            <w:proofErr w:type="spellEnd"/>
            <w:r w:rsidRPr="00375997">
              <w:rPr>
                <w:rFonts w:asciiTheme="minorHAnsi" w:eastAsia="Calibri" w:hAnsiTheme="minorHAnsi" w:cs="Arial"/>
                <w:color w:val="000000"/>
                <w:szCs w:val="18"/>
              </w:rPr>
              <w:t xml:space="preserve"> marginal price</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LNG</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liquefied natural gas</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LOLE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loss-of-load expectation</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Lower SEMA; LSM</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lower southeastern Massachusetts</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LSE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load-serving entity</w:t>
            </w:r>
          </w:p>
        </w:tc>
      </w:tr>
      <w:tr w:rsidR="00906AA8" w:rsidRPr="00375997" w:rsidTr="009F5EA2">
        <w:trPr>
          <w:cnfStyle w:val="000000010000"/>
          <w:trHeight w:val="2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LSR</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local sourcing requirement</w:t>
            </w:r>
          </w:p>
        </w:tc>
      </w:tr>
      <w:tr w:rsidR="00EF32E6"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9C5F1C" w:rsidRDefault="00EF32E6"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LTRA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32E6" w:rsidRPr="00EF32E6" w:rsidRDefault="00EF32E6" w:rsidP="00A42FB2">
            <w:pPr>
              <w:spacing w:after="0" w:line="240" w:lineRule="auto"/>
              <w:rPr>
                <w:rFonts w:asciiTheme="minorHAnsi" w:eastAsia="Calibri" w:hAnsiTheme="minorHAnsi" w:cs="Arial"/>
                <w:color w:val="000000"/>
                <w:szCs w:val="18"/>
              </w:rPr>
            </w:pPr>
            <w:r w:rsidRPr="00EF32E6">
              <w:rPr>
                <w:rFonts w:asciiTheme="minorHAnsi" w:eastAsia="Calibri" w:hAnsiTheme="minorHAnsi" w:cs="Arial"/>
                <w:i/>
                <w:color w:val="000000"/>
                <w:szCs w:val="18"/>
              </w:rPr>
              <w:t xml:space="preserve">Long-Term Reliability Assessment </w:t>
            </w:r>
            <w:r>
              <w:rPr>
                <w:rFonts w:asciiTheme="minorHAnsi" w:eastAsia="Calibri" w:hAnsiTheme="minorHAnsi" w:cs="Arial"/>
                <w:color w:val="000000"/>
                <w:szCs w:val="18"/>
              </w:rPr>
              <w:t>(NERC)</w:t>
            </w:r>
          </w:p>
        </w:tc>
      </w:tr>
      <w:tr w:rsidR="0062098E" w:rsidRPr="00375997" w:rsidTr="009F5EA2">
        <w:trPr>
          <w:cnfStyle w:val="000000010000"/>
        </w:trPr>
        <w:tc>
          <w:tcPr>
            <w:tcW w:w="2079" w:type="dxa"/>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M&amp;N</w:t>
            </w:r>
          </w:p>
        </w:tc>
        <w:tc>
          <w:tcPr>
            <w:tcW w:w="7037" w:type="dxa"/>
          </w:tcPr>
          <w:p w:rsidR="0062098E" w:rsidRPr="00375997" w:rsidRDefault="0062098E" w:rsidP="006B0D81">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Maritimes and Northeast (</w:t>
            </w:r>
            <w:r w:rsidR="006B0D81">
              <w:rPr>
                <w:rFonts w:asciiTheme="minorHAnsi" w:eastAsia="Calibri" w:hAnsiTheme="minorHAnsi" w:cs="Arial"/>
                <w:color w:val="000000"/>
                <w:szCs w:val="18"/>
              </w:rPr>
              <w:t>P</w:t>
            </w:r>
            <w:r>
              <w:rPr>
                <w:rFonts w:asciiTheme="minorHAnsi" w:eastAsia="Calibri" w:hAnsiTheme="minorHAnsi" w:cs="Arial"/>
                <w:color w:val="000000"/>
                <w:szCs w:val="18"/>
              </w:rPr>
              <w:t>ipeline)</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w:t>
            </w:r>
          </w:p>
        </w:tc>
      </w:tr>
      <w:tr w:rsidR="0062098E" w:rsidRPr="00375997" w:rsidTr="009F5EA2">
        <w:trPr>
          <w:cnfStyle w:val="000000010000"/>
        </w:trPr>
        <w:tc>
          <w:tcPr>
            <w:tcW w:w="2079" w:type="dxa"/>
          </w:tcPr>
          <w:p w:rsidR="0062098E" w:rsidRPr="00DB600B"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MACT</w:t>
            </w:r>
          </w:p>
        </w:tc>
        <w:tc>
          <w:tcPr>
            <w:tcW w:w="7037" w:type="dxa"/>
          </w:tcPr>
          <w:p w:rsidR="0062098E" w:rsidRPr="00375997"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maximum achievable control technology</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DB600B" w:rsidRDefault="00906AA8" w:rsidP="00A42FB2">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MA DPU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Massachusetts Department of Public Utilities</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MATS</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Mercury and Air Toxics Standard (US EPA)</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MCL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maximum capacity limit</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Pr>
                <w:rFonts w:asciiTheme="minorHAnsi" w:eastAsia="Calibri" w:hAnsiTheme="minorHAnsi" w:cs="Arial"/>
                <w:b/>
                <w:bCs/>
                <w:color w:val="000000"/>
                <w:szCs w:val="18"/>
              </w:rPr>
              <w:t>MDth</w:t>
            </w:r>
            <w:proofErr w:type="spellEnd"/>
            <w:r>
              <w:rPr>
                <w:rFonts w:asciiTheme="minorHAnsi" w:eastAsia="Calibri" w:hAnsiTheme="minorHAnsi" w:cs="Arial"/>
                <w:b/>
                <w:bCs/>
                <w:color w:val="000000"/>
                <w:szCs w:val="18"/>
              </w:rPr>
              <w:t>/d</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thousand dekatherms per day</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ME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Maine</w:t>
            </w:r>
          </w:p>
          <w:p w:rsidR="00906AA8" w:rsidRDefault="00906AA8" w:rsidP="00A42FB2">
            <w:pPr>
              <w:spacing w:after="0" w:line="240" w:lineRule="auto"/>
              <w:ind w:left="230" w:hanging="230"/>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that includes western and central Maine and Saco Valley, New Hampshire</w:t>
            </w:r>
          </w:p>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 Maine load zone</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MEPCO</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Electric Power Company, Inc.</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METU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Market Efficiency Transmission Upgrade</w:t>
            </w:r>
          </w:p>
        </w:tc>
      </w:tr>
      <w:tr w:rsidR="0062098E" w:rsidRPr="00375997" w:rsidTr="009F5EA2">
        <w:trPr>
          <w:cnfStyle w:val="000000010000"/>
        </w:trPr>
        <w:tc>
          <w:tcPr>
            <w:tcW w:w="2079" w:type="dxa"/>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Min Gen</w:t>
            </w:r>
          </w:p>
        </w:tc>
        <w:tc>
          <w:tcPr>
            <w:tcW w:w="7037" w:type="dxa"/>
          </w:tcPr>
          <w:p w:rsidR="0062098E" w:rsidRPr="00375997"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Minimum Generation (Emergency)</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MISO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Mid</w:t>
            </w:r>
            <w:r>
              <w:rPr>
                <w:rFonts w:asciiTheme="minorHAnsi" w:eastAsia="Calibri" w:hAnsiTheme="minorHAnsi" w:cs="Arial"/>
                <w:color w:val="000000"/>
                <w:szCs w:val="18"/>
              </w:rPr>
              <w:t>continent</w:t>
            </w:r>
            <w:r w:rsidRPr="00375997">
              <w:rPr>
                <w:rFonts w:asciiTheme="minorHAnsi" w:eastAsia="Calibri" w:hAnsiTheme="minorHAnsi" w:cs="Arial"/>
                <w:color w:val="000000"/>
                <w:szCs w:val="18"/>
              </w:rPr>
              <w:t xml:space="preserve"> Independent System Operator</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MMBtu</w:t>
            </w:r>
            <w:proofErr w:type="spellEnd"/>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million British thermal units</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8407BE" w:rsidRDefault="0062098E"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MMcf</w:t>
            </w:r>
            <w:proofErr w:type="spellEnd"/>
            <w:r>
              <w:rPr>
                <w:rFonts w:asciiTheme="minorHAnsi" w:eastAsia="Calibri" w:hAnsiTheme="minorHAnsi" w:cs="Arial"/>
                <w:b/>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million cubic feet per day</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MPRP</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Power Reliability Program</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MPUC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Maine Public Utilities Commission</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MRA</w:t>
            </w:r>
          </w:p>
        </w:tc>
        <w:tc>
          <w:tcPr>
            <w:tcW w:w="7037" w:type="dxa"/>
          </w:tcPr>
          <w:p w:rsidR="00906AA8" w:rsidRPr="00375997" w:rsidRDefault="00906AA8"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market resource alternative</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mtons</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million tons</w:t>
            </w:r>
          </w:p>
        </w:tc>
      </w:tr>
      <w:tr w:rsidR="00906AA8" w:rsidRPr="00375997" w:rsidTr="009F5EA2">
        <w:trPr>
          <w:cnfStyle w:val="000000010000"/>
        </w:trPr>
        <w:tc>
          <w:tcPr>
            <w:tcW w:w="2079" w:type="dxa"/>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MVAR</w:t>
            </w:r>
          </w:p>
        </w:tc>
        <w:tc>
          <w:tcPr>
            <w:tcW w:w="7037" w:type="dxa"/>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megavolt-ampere reactive</w:t>
            </w:r>
          </w:p>
        </w:tc>
      </w:tr>
      <w:tr w:rsidR="00906AA8"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Pr="008407BE" w:rsidRDefault="00906AA8"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MW</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6AA8" w:rsidRDefault="00906AA8"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megawatt(s)</w:t>
            </w:r>
          </w:p>
        </w:tc>
      </w:tr>
      <w:tr w:rsidR="002346DF" w:rsidRPr="00375997" w:rsidTr="009F5EA2">
        <w:trPr>
          <w:cnfStyle w:val="000000010000"/>
        </w:trPr>
        <w:tc>
          <w:tcPr>
            <w:tcW w:w="2079" w:type="dxa"/>
          </w:tcPr>
          <w:p w:rsidR="002346DF" w:rsidRPr="000421A3" w:rsidRDefault="00B272C2" w:rsidP="00A5510E">
            <w:pPr>
              <w:spacing w:after="0" w:line="240" w:lineRule="auto"/>
              <w:rPr>
                <w:rFonts w:asciiTheme="minorHAnsi" w:eastAsia="Calibri" w:hAnsiTheme="minorHAnsi" w:cs="Arial"/>
                <w:b/>
                <w:color w:val="000000"/>
                <w:szCs w:val="18"/>
              </w:rPr>
            </w:pPr>
            <w:r w:rsidRPr="000421A3">
              <w:rPr>
                <w:rFonts w:asciiTheme="minorHAnsi" w:eastAsia="Calibri" w:hAnsiTheme="minorHAnsi" w:cs="Arial"/>
                <w:b/>
                <w:color w:val="000000"/>
                <w:szCs w:val="18"/>
              </w:rPr>
              <w:t>M</w:t>
            </w:r>
            <w:r w:rsidR="00A5510E" w:rsidRPr="000421A3">
              <w:rPr>
                <w:rFonts w:asciiTheme="minorHAnsi" w:eastAsia="Calibri" w:hAnsiTheme="minorHAnsi" w:cs="Arial"/>
                <w:b/>
                <w:color w:val="000000"/>
                <w:szCs w:val="18"/>
              </w:rPr>
              <w:t>W</w:t>
            </w:r>
            <w:r w:rsidRPr="000421A3">
              <w:rPr>
                <w:rFonts w:asciiTheme="minorHAnsi" w:eastAsia="Calibri" w:hAnsiTheme="minorHAnsi" w:cs="Arial"/>
                <w:b/>
                <w:color w:val="000000"/>
                <w:szCs w:val="18"/>
                <w:vertAlign w:val="subscript"/>
              </w:rPr>
              <w:t>AC</w:t>
            </w:r>
          </w:p>
        </w:tc>
        <w:tc>
          <w:tcPr>
            <w:tcW w:w="7037" w:type="dxa"/>
          </w:tcPr>
          <w:p w:rsidR="002346DF" w:rsidRDefault="001501D9" w:rsidP="001501D9">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w:t>
            </w:r>
            <w:r w:rsidR="004F7662">
              <w:rPr>
                <w:rFonts w:asciiTheme="minorHAnsi" w:eastAsia="Calibri" w:hAnsiTheme="minorHAnsi" w:cs="Arial"/>
                <w:color w:val="000000"/>
                <w:szCs w:val="18"/>
              </w:rPr>
              <w:t>he megawatts converted from the direct</w:t>
            </w:r>
            <w:r w:rsidR="000421A3">
              <w:rPr>
                <w:rFonts w:asciiTheme="minorHAnsi" w:eastAsia="Calibri" w:hAnsiTheme="minorHAnsi" w:cs="Arial"/>
                <w:color w:val="000000"/>
                <w:szCs w:val="18"/>
              </w:rPr>
              <w:t>-</w:t>
            </w:r>
            <w:r w:rsidR="004F7662">
              <w:rPr>
                <w:rFonts w:asciiTheme="minorHAnsi" w:eastAsia="Calibri" w:hAnsiTheme="minorHAnsi" w:cs="Arial"/>
                <w:color w:val="000000"/>
                <w:szCs w:val="18"/>
              </w:rPr>
              <w:t xml:space="preserve">current electricity produced by the photovoltaic panels to alternative current, which typically </w:t>
            </w:r>
            <w:r w:rsidR="009F5EA2">
              <w:rPr>
                <w:rFonts w:asciiTheme="minorHAnsi" w:eastAsia="Calibri" w:hAnsiTheme="minorHAnsi" w:cs="Arial"/>
                <w:color w:val="000000"/>
                <w:szCs w:val="18"/>
              </w:rPr>
              <w:t xml:space="preserve">is </w:t>
            </w:r>
            <w:r w:rsidR="004F7662">
              <w:rPr>
                <w:rFonts w:asciiTheme="minorHAnsi" w:eastAsia="Calibri" w:hAnsiTheme="minorHAnsi" w:cs="Arial"/>
                <w:color w:val="000000"/>
                <w:szCs w:val="18"/>
              </w:rPr>
              <w:t xml:space="preserve">supplied to utility customers </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623EF" w:rsidRPr="000421A3" w:rsidRDefault="002346DF" w:rsidP="00A5510E">
            <w:pPr>
              <w:spacing w:after="0" w:line="240" w:lineRule="auto"/>
              <w:rPr>
                <w:rFonts w:asciiTheme="minorHAnsi" w:eastAsia="Calibri" w:hAnsiTheme="minorHAnsi" w:cs="Arial"/>
                <w:b/>
                <w:color w:val="000000"/>
                <w:sz w:val="20"/>
                <w:szCs w:val="18"/>
              </w:rPr>
            </w:pPr>
            <w:r w:rsidRPr="000421A3">
              <w:rPr>
                <w:rFonts w:asciiTheme="minorHAnsi" w:eastAsia="Calibri" w:hAnsiTheme="minorHAnsi" w:cs="Arial"/>
                <w:b/>
                <w:color w:val="000000"/>
                <w:szCs w:val="18"/>
              </w:rPr>
              <w:t>M</w:t>
            </w:r>
            <w:r w:rsidR="00A5510E" w:rsidRPr="000421A3">
              <w:rPr>
                <w:rFonts w:asciiTheme="minorHAnsi" w:eastAsia="Calibri" w:hAnsiTheme="minorHAnsi" w:cs="Arial"/>
                <w:b/>
                <w:color w:val="000000"/>
                <w:szCs w:val="18"/>
              </w:rPr>
              <w:t>W</w:t>
            </w:r>
            <w:r w:rsidR="00B272C2" w:rsidRPr="000421A3">
              <w:rPr>
                <w:rFonts w:asciiTheme="minorHAnsi" w:eastAsia="Calibri" w:hAnsiTheme="minorHAnsi" w:cs="Arial"/>
                <w:b/>
                <w:color w:val="000000"/>
                <w:szCs w:val="18"/>
                <w:vertAlign w:val="subscript"/>
              </w:rPr>
              <w:t>D</w:t>
            </w:r>
            <w:r w:rsidRPr="000421A3">
              <w:rPr>
                <w:rFonts w:asciiTheme="minorHAnsi" w:eastAsia="Calibri" w:hAnsiTheme="minorHAnsi" w:cs="Arial"/>
                <w:b/>
                <w:color w:val="000000"/>
                <w:szCs w:val="18"/>
                <w:vertAlign w:val="subscript"/>
              </w:rPr>
              <w:t>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1501D9" w:rsidP="001501D9">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w:t>
            </w:r>
            <w:r w:rsidR="004F7662">
              <w:rPr>
                <w:rFonts w:asciiTheme="minorHAnsi" w:eastAsia="Calibri" w:hAnsiTheme="minorHAnsi" w:cs="Arial"/>
                <w:color w:val="000000"/>
                <w:szCs w:val="18"/>
              </w:rPr>
              <w:t>he megawatts generated by photovoltaic panels, which produce direct</w:t>
            </w:r>
            <w:r w:rsidR="000421A3">
              <w:rPr>
                <w:rFonts w:asciiTheme="minorHAnsi" w:eastAsia="Calibri" w:hAnsiTheme="minorHAnsi" w:cs="Arial"/>
                <w:color w:val="000000"/>
                <w:szCs w:val="18"/>
              </w:rPr>
              <w:t>-</w:t>
            </w:r>
            <w:r w:rsidR="004F7662">
              <w:rPr>
                <w:rFonts w:asciiTheme="minorHAnsi" w:eastAsia="Calibri" w:hAnsiTheme="minorHAnsi" w:cs="Arial"/>
                <w:color w:val="000000"/>
                <w:szCs w:val="18"/>
              </w:rPr>
              <w:t xml:space="preserve">current electricity </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MWe</w:t>
            </w:r>
            <w:proofErr w:type="spellEnd"/>
          </w:p>
        </w:tc>
        <w:tc>
          <w:tcPr>
            <w:tcW w:w="7037" w:type="dxa"/>
          </w:tcPr>
          <w:p w:rsidR="002346DF"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electrical megawatts (of nuclear power plants)</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MWh</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megawatt-hour(s)</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N-1</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first-contingency loss</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N-1-1</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second-contingency loss</w:t>
            </w:r>
          </w:p>
        </w:tc>
      </w:tr>
      <w:tr w:rsidR="008965CA" w:rsidRPr="00375997" w:rsidTr="009F5EA2">
        <w:trPr>
          <w:cnfStyle w:val="000000010000"/>
        </w:trPr>
        <w:tc>
          <w:tcPr>
            <w:tcW w:w="2079" w:type="dxa"/>
          </w:tcPr>
          <w:p w:rsidR="008965CA" w:rsidRDefault="008965CA"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N/A</w:t>
            </w:r>
          </w:p>
        </w:tc>
        <w:tc>
          <w:tcPr>
            <w:tcW w:w="7037" w:type="dxa"/>
          </w:tcPr>
          <w:p w:rsidR="008965CA" w:rsidRDefault="008965CA" w:rsidP="008965CA">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not applicable</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NAAQS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National Ambient Air Quality Standard (US EPA)</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highlight w:val="yellow"/>
              </w:rPr>
            </w:pPr>
            <w:r w:rsidRPr="008407BE">
              <w:rPr>
                <w:rFonts w:asciiTheme="minorHAnsi" w:eastAsia="Calibri" w:hAnsiTheme="minorHAnsi" w:cs="Arial"/>
                <w:b/>
                <w:color w:val="000000"/>
                <w:szCs w:val="18"/>
              </w:rPr>
              <w:t>NAESB</w:t>
            </w:r>
          </w:p>
        </w:tc>
        <w:tc>
          <w:tcPr>
            <w:tcW w:w="7037" w:type="dxa"/>
          </w:tcPr>
          <w:p w:rsidR="002346DF" w:rsidRDefault="002346DF" w:rsidP="00A42FB2">
            <w:pPr>
              <w:spacing w:after="0" w:line="240" w:lineRule="auto"/>
              <w:rPr>
                <w:rFonts w:asciiTheme="minorHAnsi" w:eastAsia="Calibri" w:hAnsiTheme="minorHAnsi" w:cs="Arial"/>
                <w:color w:val="000000"/>
                <w:szCs w:val="18"/>
                <w:highlight w:val="yellow"/>
              </w:rPr>
            </w:pPr>
            <w:r w:rsidRPr="00375997">
              <w:rPr>
                <w:rFonts w:asciiTheme="minorHAnsi" w:eastAsia="Calibri" w:hAnsiTheme="minorHAnsi" w:cs="Arial"/>
                <w:color w:val="000000"/>
                <w:szCs w:val="18"/>
              </w:rPr>
              <w:t>North American Energy Standards Board</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w:t>
            </w:r>
          </w:p>
        </w:tc>
      </w:tr>
      <w:tr w:rsidR="0062098E" w:rsidRPr="00375997" w:rsidTr="009F5EA2">
        <w:trPr>
          <w:cnfStyle w:val="000000010000"/>
        </w:trPr>
        <w:tc>
          <w:tcPr>
            <w:tcW w:w="2079" w:type="dxa"/>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NB–NE</w:t>
            </w:r>
          </w:p>
        </w:tc>
        <w:tc>
          <w:tcPr>
            <w:tcW w:w="7037" w:type="dxa"/>
          </w:tcPr>
          <w:p w:rsidR="0062098E" w:rsidRPr="00375997" w:rsidRDefault="0062098E"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w:t>
            </w:r>
            <w:r>
              <w:rPr>
                <w:rFonts w:asciiTheme="minorHAnsi" w:eastAsia="Calibri" w:hAnsiTheme="minorHAnsi" w:cs="Arial"/>
                <w:color w:val="000000"/>
                <w:szCs w:val="18"/>
              </w:rPr>
              <w:t>–New England</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NBSO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Brunswick System Operator</w:t>
            </w:r>
          </w:p>
        </w:tc>
      </w:tr>
      <w:tr w:rsidR="002346DF" w:rsidRPr="00375997" w:rsidTr="00D5700E">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NCPC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Net Commitment-Period Compensation</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62098E">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NCSPXY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Coordinated System Plan 20XY</w:t>
            </w:r>
          </w:p>
        </w:tc>
      </w:tr>
      <w:tr w:rsidR="00D5700E" w:rsidRPr="00375997" w:rsidTr="00D5700E">
        <w:trPr>
          <w:cnfStyle w:val="000000010000"/>
        </w:trPr>
        <w:tc>
          <w:tcPr>
            <w:tcW w:w="2079" w:type="dxa"/>
          </w:tcPr>
          <w:p w:rsidR="00D5700E" w:rsidRPr="008407BE" w:rsidRDefault="00D5700E" w:rsidP="00B1741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n.d</w:t>
            </w:r>
            <w:proofErr w:type="spellEnd"/>
            <w:r w:rsidRPr="008407BE">
              <w:rPr>
                <w:rFonts w:asciiTheme="minorHAnsi" w:eastAsia="Calibri" w:hAnsiTheme="minorHAnsi" w:cs="Arial"/>
                <w:b/>
                <w:color w:val="000000"/>
                <w:szCs w:val="18"/>
              </w:rPr>
              <w:t>.</w:t>
            </w:r>
          </w:p>
        </w:tc>
        <w:tc>
          <w:tcPr>
            <w:tcW w:w="7037" w:type="dxa"/>
          </w:tcPr>
          <w:p w:rsidR="00D5700E" w:rsidRDefault="00D5700E" w:rsidP="00B1741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 date</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NECPUC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Conference of Public Utilities Commissioners</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NEEWS</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East–West Solution</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NEGC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Governors' Conference</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NEG/ECP</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Governors/Eastern Canadian Premiers</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net energy for load</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NEMA</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for northeast Massachusetts</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Northeast Massachusetts load zone</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NEMA/Boston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c</w:t>
            </w:r>
            <w:r w:rsidRPr="00375997">
              <w:rPr>
                <w:rFonts w:asciiTheme="minorHAnsi" w:eastAsia="Calibri" w:hAnsiTheme="minorHAnsi" w:cs="Arial"/>
                <w:color w:val="000000"/>
                <w:szCs w:val="18"/>
              </w:rPr>
              <w:t>ombined load zone that includes northeast Massachusetts and the Boston area</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NEPOOL</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Power Pool</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 American Electric Reliability Corporation</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NESCOE</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States Committee on Electricity</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NESHAP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National Emission Standard for Hazardous Air Pollutant</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NEWIS</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England Wind Integration Study</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natural gas</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NGA</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Gas Association</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NGCC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natural gas combined cycle</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NH</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New Hampshire</w:t>
            </w:r>
          </w:p>
          <w:p w:rsidR="002346DF" w:rsidRDefault="002346DF" w:rsidP="00A42FB2">
            <w:pPr>
              <w:spacing w:after="0" w:line="240" w:lineRule="auto"/>
              <w:ind w:left="230" w:hanging="230"/>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comprising northern, eastern, and central New Hampshire; eastern Vermont; and southwestern Maine</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3) New Hampshire load zone</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NIST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National Institute of Standards and Technology</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NJ</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Jersey</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DB600B" w:rsidRDefault="002346DF" w:rsidP="00A42FB2">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NMISA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sidRPr="00DB600B">
              <w:rPr>
                <w:rFonts w:asciiTheme="minorHAnsi" w:eastAsia="Calibri" w:hAnsiTheme="minorHAnsi" w:cs="Arial"/>
                <w:color w:val="000000"/>
                <w:szCs w:val="18"/>
              </w:rPr>
              <w:t>Northern Maine Independent System Administrator, Inc.</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NNE</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northern New England</w:t>
            </w:r>
          </w:p>
        </w:tc>
      </w:tr>
      <w:tr w:rsidR="002346DF" w:rsidRPr="00375997" w:rsidTr="00B17412">
        <w:trPr>
          <w:cnfStyle w:val="000000100000"/>
          <w:trHeight w:val="182"/>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number</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NOPR</w:t>
            </w:r>
          </w:p>
        </w:tc>
        <w:tc>
          <w:tcPr>
            <w:tcW w:w="7037" w:type="dxa"/>
          </w:tcPr>
          <w:p w:rsidR="002346DF" w:rsidRDefault="00CC5D68" w:rsidP="00CC5D68">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w:t>
            </w:r>
            <w:r w:rsidR="002346DF" w:rsidRPr="00375997">
              <w:rPr>
                <w:rFonts w:asciiTheme="minorHAnsi" w:eastAsia="Calibri" w:hAnsiTheme="minorHAnsi" w:cs="Arial"/>
                <w:color w:val="000000"/>
                <w:szCs w:val="18"/>
              </w:rPr>
              <w:t xml:space="preserve">otice of </w:t>
            </w:r>
            <w:r>
              <w:rPr>
                <w:rFonts w:asciiTheme="minorHAnsi" w:eastAsia="Calibri" w:hAnsiTheme="minorHAnsi" w:cs="Arial"/>
                <w:color w:val="000000"/>
                <w:szCs w:val="18"/>
              </w:rPr>
              <w:t>p</w:t>
            </w:r>
            <w:r w:rsidR="002346DF" w:rsidRPr="00375997">
              <w:rPr>
                <w:rFonts w:asciiTheme="minorHAnsi" w:eastAsia="Calibri" w:hAnsiTheme="minorHAnsi" w:cs="Arial"/>
                <w:color w:val="000000"/>
                <w:szCs w:val="18"/>
              </w:rPr>
              <w:t xml:space="preserve">roposed </w:t>
            </w:r>
            <w:r>
              <w:rPr>
                <w:rFonts w:asciiTheme="minorHAnsi" w:eastAsia="Calibri" w:hAnsiTheme="minorHAnsi" w:cs="Arial"/>
                <w:color w:val="000000"/>
                <w:szCs w:val="18"/>
              </w:rPr>
              <w:t>r</w:t>
            </w:r>
            <w:r w:rsidR="002346DF" w:rsidRPr="00375997">
              <w:rPr>
                <w:rFonts w:asciiTheme="minorHAnsi" w:eastAsia="Calibri" w:hAnsiTheme="minorHAnsi" w:cs="Arial"/>
                <w:color w:val="000000"/>
                <w:szCs w:val="18"/>
              </w:rPr>
              <w:t>ulemaking</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NOR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that includes Norwalk and Stamford, Connecticut</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NO</w:t>
            </w:r>
            <w:r w:rsidRPr="008407BE">
              <w:rPr>
                <w:rFonts w:asciiTheme="minorHAnsi" w:eastAsia="Calibri" w:hAnsiTheme="minorHAnsi" w:cs="Arial"/>
                <w:b/>
                <w:color w:val="000000"/>
                <w:szCs w:val="18"/>
                <w:vertAlign w:val="subscript"/>
              </w:rPr>
              <w:t>X</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nitrogen oxide(s)</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NPCC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Northeast Power Coordinating Council, Inc.</w:t>
            </w:r>
          </w:p>
        </w:tc>
      </w:tr>
      <w:tr w:rsidR="0003390D" w:rsidRPr="00375997" w:rsidTr="009F5EA2">
        <w:trPr>
          <w:cnfStyle w:val="000000010000"/>
        </w:trPr>
        <w:tc>
          <w:tcPr>
            <w:tcW w:w="2079" w:type="dxa"/>
          </w:tcPr>
          <w:p w:rsidR="0003390D" w:rsidRDefault="0003390D" w:rsidP="00A42FB2">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NPRR</w:t>
            </w:r>
          </w:p>
        </w:tc>
        <w:tc>
          <w:tcPr>
            <w:tcW w:w="7037" w:type="dxa"/>
          </w:tcPr>
          <w:p w:rsidR="0003390D" w:rsidRDefault="0003390D" w:rsidP="0003390D">
            <w:pPr>
              <w:spacing w:after="0" w:line="240" w:lineRule="auto"/>
              <w:rPr>
                <w:rFonts w:asciiTheme="minorHAnsi" w:eastAsia="Calibri" w:hAnsiTheme="minorHAnsi" w:cs="Arial"/>
                <w:snapToGrid w:val="0"/>
                <w:color w:val="000000"/>
                <w:szCs w:val="18"/>
              </w:rPr>
            </w:pPr>
            <w:proofErr w:type="spellStart"/>
            <w:r>
              <w:rPr>
                <w:rFonts w:asciiTheme="minorHAnsi" w:eastAsia="Calibri" w:hAnsiTheme="minorHAnsi" w:cs="Arial"/>
                <w:snapToGrid w:val="0"/>
                <w:color w:val="000000"/>
                <w:szCs w:val="18"/>
              </w:rPr>
              <w:t>nonprice</w:t>
            </w:r>
            <w:proofErr w:type="spellEnd"/>
            <w:r>
              <w:rPr>
                <w:rFonts w:asciiTheme="minorHAnsi" w:eastAsia="Calibri" w:hAnsiTheme="minorHAnsi" w:cs="Arial"/>
                <w:snapToGrid w:val="0"/>
                <w:color w:val="000000"/>
                <w:szCs w:val="18"/>
              </w:rPr>
              <w:t xml:space="preserve"> retirement request</w:t>
            </w:r>
          </w:p>
        </w:tc>
      </w:tr>
      <w:tr w:rsidR="0003390D"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Default="0003390D" w:rsidP="00A42FB2">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NPT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Default="0003390D" w:rsidP="00A42FB2">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Northern Pass Transmission</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NRC</w:t>
            </w:r>
          </w:p>
        </w:tc>
        <w:tc>
          <w:tcPr>
            <w:tcW w:w="7037" w:type="dxa"/>
          </w:tcPr>
          <w:p w:rsidR="002346DF" w:rsidRPr="00375997" w:rsidRDefault="002346DF" w:rsidP="00A42FB2">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Nuclear Regulatory Commission (US)</w:t>
            </w:r>
          </w:p>
        </w:tc>
      </w:tr>
      <w:tr w:rsidR="0003390D"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Pr="008407BE" w:rsidRDefault="0003390D" w:rsidP="00A42FB2">
            <w:pPr>
              <w:spacing w:after="0" w:line="240" w:lineRule="auto"/>
              <w:rPr>
                <w:rFonts w:asciiTheme="minorHAnsi" w:eastAsia="Calibri" w:hAnsiTheme="minorHAnsi" w:cs="Arial"/>
                <w:b/>
                <w:snapToGrid w:val="0"/>
                <w:color w:val="000000"/>
                <w:szCs w:val="18"/>
              </w:rPr>
            </w:pPr>
            <w:r>
              <w:rPr>
                <w:rFonts w:asciiTheme="minorHAnsi" w:eastAsia="Calibri" w:hAnsiTheme="minorHAnsi" w:cs="Arial"/>
                <w:b/>
                <w:snapToGrid w:val="0"/>
                <w:color w:val="000000"/>
                <w:szCs w:val="18"/>
              </w:rPr>
              <w:t>NREL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Pr="00375997" w:rsidRDefault="0003390D" w:rsidP="00A42FB2">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National Renewable Energy Laboratory (US DOE)</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snapToGrid w:val="0"/>
                <w:color w:val="000000"/>
                <w:szCs w:val="18"/>
              </w:rPr>
              <w:t>NRI</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Northeast Reliability Interconnection</w:t>
            </w:r>
          </w:p>
        </w:tc>
      </w:tr>
      <w:tr w:rsidR="002346DF" w:rsidRPr="00375997" w:rsidTr="00B17412">
        <w:trPr>
          <w:cnfStyle w:val="000000100000"/>
          <w:trHeight w:val="173"/>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NSPS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New Source Performance Standard (US EPA)</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NWVT</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Northwest Vermont</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York Balancing Authority Area</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NYISO</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New York Independent System Operator</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NYPA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New York Power Authority</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w:t>
            </w:r>
            <w:r w:rsidRPr="008407BE">
              <w:rPr>
                <w:rFonts w:asciiTheme="minorHAnsi" w:eastAsia="Calibri" w:hAnsiTheme="minorHAnsi" w:cs="Arial"/>
                <w:b/>
                <w:color w:val="000000"/>
                <w:szCs w:val="18"/>
                <w:vertAlign w:val="subscript"/>
              </w:rPr>
              <w:t>3</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ozone</w:t>
            </w:r>
          </w:p>
        </w:tc>
      </w:tr>
      <w:tr w:rsidR="002346D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OATT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i/>
                <w:color w:val="000000"/>
                <w:szCs w:val="18"/>
              </w:rPr>
            </w:pPr>
            <w:r w:rsidRPr="00375997">
              <w:rPr>
                <w:rFonts w:asciiTheme="minorHAnsi" w:eastAsia="Calibri" w:hAnsiTheme="minorHAnsi" w:cs="Arial"/>
                <w:i/>
                <w:color w:val="000000"/>
                <w:szCs w:val="18"/>
              </w:rPr>
              <w:t>Open Access Transmission Tariff</w:t>
            </w:r>
          </w:p>
        </w:tc>
      </w:tr>
      <w:tr w:rsidR="0003390D" w:rsidRPr="00375997" w:rsidTr="009F5EA2">
        <w:trPr>
          <w:cnfStyle w:val="000000010000"/>
        </w:trPr>
        <w:tc>
          <w:tcPr>
            <w:tcW w:w="2079" w:type="dxa"/>
          </w:tcPr>
          <w:p w:rsidR="0003390D" w:rsidRDefault="0003390D"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ODR</w:t>
            </w:r>
          </w:p>
        </w:tc>
        <w:tc>
          <w:tcPr>
            <w:tcW w:w="7037" w:type="dxa"/>
          </w:tcPr>
          <w:p w:rsidR="0003390D" w:rsidRDefault="0003390D" w:rsidP="0003390D">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other demand resource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 xml:space="preserve">OEP </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Office of Energy and Planning (NH)</w:t>
            </w:r>
          </w:p>
        </w:tc>
      </w:tr>
      <w:tr w:rsidR="0003390D" w:rsidRPr="00375997" w:rsidTr="009F5EA2">
        <w:trPr>
          <w:cnfStyle w:val="000000010000"/>
        </w:trPr>
        <w:tc>
          <w:tcPr>
            <w:tcW w:w="2079" w:type="dxa"/>
          </w:tcPr>
          <w:p w:rsidR="0003390D" w:rsidRPr="008407BE" w:rsidRDefault="0003390D"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OER</w:t>
            </w:r>
          </w:p>
        </w:tc>
        <w:tc>
          <w:tcPr>
            <w:tcW w:w="7037" w:type="dxa"/>
          </w:tcPr>
          <w:p w:rsidR="0003390D" w:rsidRPr="00375997" w:rsidRDefault="0003390D"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Office of Energy Resources (RI)</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4</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4, </w:t>
            </w:r>
            <w:r w:rsidRPr="00375997">
              <w:rPr>
                <w:rFonts w:asciiTheme="minorHAnsi" w:eastAsia="Calibri" w:hAnsiTheme="minorHAnsi" w:cs="Arial"/>
                <w:i/>
                <w:iCs/>
                <w:color w:val="000000"/>
                <w:szCs w:val="18"/>
              </w:rPr>
              <w:t>Action during a Capacity Deficiency</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7</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7, </w:t>
            </w:r>
            <w:r w:rsidRPr="00375997">
              <w:rPr>
                <w:rFonts w:asciiTheme="minorHAnsi" w:eastAsia="Calibri" w:hAnsiTheme="minorHAnsi" w:cs="Arial"/>
                <w:i/>
                <w:iCs/>
                <w:color w:val="000000"/>
                <w:szCs w:val="18"/>
              </w:rPr>
              <w:t>Action in an Emergency</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8</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8, </w:t>
            </w:r>
            <w:r w:rsidRPr="00375997">
              <w:rPr>
                <w:rFonts w:asciiTheme="minorHAnsi" w:eastAsia="Calibri" w:hAnsiTheme="minorHAnsi" w:cs="Arial"/>
                <w:i/>
                <w:iCs/>
                <w:color w:val="000000"/>
                <w:szCs w:val="18"/>
              </w:rPr>
              <w:t>Operating Reserve and Regulation</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OP 19</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ISO Operating Procedure No. 19, </w:t>
            </w:r>
            <w:r w:rsidRPr="00375997">
              <w:rPr>
                <w:rFonts w:asciiTheme="minorHAnsi" w:eastAsia="Calibri" w:hAnsiTheme="minorHAnsi" w:cs="Arial"/>
                <w:i/>
                <w:iCs/>
                <w:color w:val="000000"/>
                <w:szCs w:val="18"/>
              </w:rPr>
              <w:t>Transmission Operations</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PA</w:t>
            </w:r>
            <w:r w:rsidRPr="008407BE">
              <w:rPr>
                <w:rFonts w:asciiTheme="minorHAnsi" w:eastAsia="Calibri" w:hAnsiTheme="minorHAnsi" w:cs="Arial"/>
                <w:b/>
                <w:color w:val="000000"/>
                <w:szCs w:val="18"/>
              </w:rPr>
              <w:t xml:space="preserve"> </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Pennsylvania</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PAC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Planning Advisory Committee</w:t>
            </w:r>
          </w:p>
        </w:tc>
      </w:tr>
      <w:tr w:rsidR="0003390D"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Pr="008407BE" w:rsidRDefault="0003390D"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PAR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3390D" w:rsidRPr="00375997" w:rsidRDefault="0003390D" w:rsidP="0003390D">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phase-angle regulator</w:t>
            </w:r>
          </w:p>
        </w:tc>
      </w:tr>
      <w:tr w:rsidR="002346DF" w:rsidRPr="00375997" w:rsidTr="009F5EA2">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PDC</w:t>
            </w:r>
          </w:p>
        </w:tc>
        <w:tc>
          <w:tcPr>
            <w:tcW w:w="7037" w:type="dxa"/>
          </w:tcPr>
          <w:p w:rsidR="002346DF" w:rsidRDefault="002346DF"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color w:val="000000"/>
                <w:szCs w:val="18"/>
              </w:rPr>
              <w:t>phasor</w:t>
            </w:r>
            <w:proofErr w:type="spellEnd"/>
            <w:r w:rsidRPr="00375997">
              <w:rPr>
                <w:rFonts w:asciiTheme="minorHAnsi" w:eastAsia="Calibri" w:hAnsiTheme="minorHAnsi" w:cs="Arial"/>
                <w:color w:val="000000"/>
                <w:szCs w:val="18"/>
              </w:rPr>
              <w:t xml:space="preserve"> data concentrator</w:t>
            </w:r>
          </w:p>
        </w:tc>
      </w:tr>
      <w:tr w:rsidR="009F5EA2"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F5EA2" w:rsidRDefault="009F5EA2"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PDF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F5EA2" w:rsidRDefault="009F5EA2" w:rsidP="0003390D">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Adobe Portable Document Format file</w:t>
            </w:r>
          </w:p>
        </w:tc>
      </w:tr>
      <w:tr w:rsidR="0003390D" w:rsidRPr="00375997" w:rsidTr="006851B1">
        <w:trPr>
          <w:cnfStyle w:val="000000010000"/>
        </w:trPr>
        <w:tc>
          <w:tcPr>
            <w:tcW w:w="2079" w:type="dxa"/>
          </w:tcPr>
          <w:p w:rsidR="0003390D" w:rsidRPr="008407BE" w:rsidRDefault="0003390D"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PFP</w:t>
            </w:r>
          </w:p>
        </w:tc>
        <w:tc>
          <w:tcPr>
            <w:tcW w:w="7037" w:type="dxa"/>
          </w:tcPr>
          <w:p w:rsidR="0003390D" w:rsidRPr="00375997" w:rsidRDefault="0003390D" w:rsidP="0003390D">
            <w:pPr>
              <w:spacing w:after="0" w:line="240" w:lineRule="auto"/>
              <w:rPr>
                <w:rFonts w:asciiTheme="minorHAnsi" w:eastAsia="Calibri" w:hAnsiTheme="minorHAnsi" w:cs="Arial"/>
                <w:snapToGrid w:val="0"/>
                <w:color w:val="000000"/>
                <w:szCs w:val="18"/>
              </w:rPr>
            </w:pPr>
            <w:r>
              <w:rPr>
                <w:rFonts w:asciiTheme="minorHAnsi" w:eastAsia="Calibri" w:hAnsiTheme="minorHAnsi" w:cs="Arial"/>
                <w:snapToGrid w:val="0"/>
                <w:color w:val="000000"/>
                <w:szCs w:val="18"/>
              </w:rPr>
              <w:t>pay for performance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PJM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snapToGrid w:val="0"/>
                <w:color w:val="000000"/>
                <w:szCs w:val="18"/>
              </w:rPr>
              <w:t>PJM Interconnection LLC</w:t>
            </w:r>
            <w:r>
              <w:rPr>
                <w:rFonts w:asciiTheme="minorHAnsi" w:eastAsia="Calibri" w:hAnsiTheme="minorHAnsi" w:cs="Arial"/>
                <w:snapToGrid w:val="0"/>
                <w:color w:val="000000"/>
                <w:szCs w:val="18"/>
              </w:rPr>
              <w:t>;</w:t>
            </w:r>
            <w:r w:rsidRPr="00375997">
              <w:rPr>
                <w:rFonts w:asciiTheme="minorHAnsi" w:eastAsia="Calibri" w:hAnsiTheme="minorHAnsi" w:cs="Arial"/>
                <w:snapToGrid w:val="0"/>
                <w:color w:val="000000"/>
                <w:szCs w:val="18"/>
              </w:rPr>
              <w:t xml:space="preserve"> the RTO for all or parts of Delaware, Illinois, Indiana, Kentucky, Maryland, Michigan, New Jersey, North Carolina, Ohio, Pennsylvania, Tennessee, Virginia, and the District of Columbia</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w:t>
            </w:r>
          </w:p>
        </w:tc>
        <w:tc>
          <w:tcPr>
            <w:tcW w:w="7037" w:type="dxa"/>
          </w:tcPr>
          <w:p w:rsidR="002346DF" w:rsidRDefault="002346DF" w:rsidP="00A42FB2">
            <w:pPr>
              <w:spacing w:after="0" w:line="240" w:lineRule="auto"/>
              <w:rPr>
                <w:rFonts w:asciiTheme="minorHAnsi" w:eastAsia="Calibri" w:hAnsiTheme="minorHAnsi" w:cs="Arial"/>
                <w:snapToGrid w:val="0"/>
                <w:color w:val="000000"/>
                <w:szCs w:val="18"/>
              </w:rPr>
            </w:pPr>
            <w:r w:rsidRPr="00375997">
              <w:rPr>
                <w:rFonts w:asciiTheme="minorHAnsi" w:eastAsia="Calibri" w:hAnsiTheme="minorHAnsi" w:cs="Arial"/>
                <w:snapToGrid w:val="0"/>
                <w:color w:val="000000"/>
                <w:szCs w:val="18"/>
              </w:rPr>
              <w:t>particulate matter</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w:t>
            </w:r>
            <w:r w:rsidRPr="008407BE">
              <w:rPr>
                <w:rFonts w:asciiTheme="minorHAnsi" w:eastAsia="Calibri" w:hAnsiTheme="minorHAnsi" w:cs="Arial"/>
                <w:b/>
                <w:color w:val="000000"/>
                <w:szCs w:val="18"/>
                <w:vertAlign w:val="subscript"/>
              </w:rPr>
              <w:t>2.5</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snapToGrid w:val="0"/>
                <w:color w:val="000000"/>
                <w:szCs w:val="18"/>
              </w:rPr>
            </w:pPr>
            <w:r w:rsidRPr="00375997">
              <w:rPr>
                <w:rFonts w:asciiTheme="minorHAnsi" w:eastAsia="Calibri" w:hAnsiTheme="minorHAnsi" w:cs="Arial"/>
                <w:snapToGrid w:val="0"/>
                <w:color w:val="000000"/>
                <w:szCs w:val="18"/>
              </w:rPr>
              <w:t>fine particulate</w:t>
            </w:r>
            <w:r>
              <w:rPr>
                <w:rFonts w:asciiTheme="minorHAnsi" w:eastAsia="Calibri" w:hAnsiTheme="minorHAnsi" w:cs="Arial"/>
                <w:snapToGrid w:val="0"/>
                <w:color w:val="000000"/>
                <w:szCs w:val="18"/>
              </w:rPr>
              <w:t xml:space="preserve"> matter</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PMU</w:t>
            </w:r>
          </w:p>
        </w:tc>
        <w:tc>
          <w:tcPr>
            <w:tcW w:w="7037" w:type="dxa"/>
          </w:tcPr>
          <w:p w:rsidR="002346DF" w:rsidRDefault="002346DF" w:rsidP="00A42FB2">
            <w:pPr>
              <w:spacing w:after="0" w:line="240" w:lineRule="auto"/>
              <w:rPr>
                <w:rFonts w:asciiTheme="minorHAnsi" w:eastAsia="Calibri" w:hAnsiTheme="minorHAnsi" w:cs="Arial"/>
                <w:color w:val="000000"/>
                <w:szCs w:val="18"/>
              </w:rPr>
            </w:pPr>
            <w:proofErr w:type="spellStart"/>
            <w:r w:rsidRPr="00375997">
              <w:rPr>
                <w:rFonts w:asciiTheme="minorHAnsi" w:eastAsia="Calibri" w:hAnsiTheme="minorHAnsi" w:cs="Arial"/>
                <w:snapToGrid w:val="0"/>
                <w:color w:val="000000"/>
                <w:szCs w:val="18"/>
              </w:rPr>
              <w:t>phasor</w:t>
            </w:r>
            <w:proofErr w:type="spellEnd"/>
            <w:r w:rsidRPr="00375997">
              <w:rPr>
                <w:rFonts w:asciiTheme="minorHAnsi" w:eastAsia="Calibri" w:hAnsiTheme="minorHAnsi" w:cs="Arial"/>
                <w:snapToGrid w:val="0"/>
                <w:color w:val="000000"/>
                <w:szCs w:val="18"/>
              </w:rPr>
              <w:t xml:space="preserve"> measurement unit</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PNGTS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Portland Natural Gas Transmission System</w:t>
            </w:r>
          </w:p>
        </w:tc>
      </w:tr>
      <w:tr w:rsidR="00A22DFF"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proofErr w:type="spellStart"/>
            <w:r w:rsidRPr="008407BE">
              <w:rPr>
                <w:rFonts w:asciiTheme="minorHAnsi" w:eastAsia="Calibri" w:hAnsiTheme="minorHAnsi" w:cs="Arial"/>
                <w:b/>
                <w:color w:val="000000"/>
                <w:szCs w:val="18"/>
              </w:rPr>
              <w:t>pnode</w:t>
            </w:r>
            <w:proofErr w:type="spellEnd"/>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pricing node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PP 10</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hAnsiTheme="minorHAnsi" w:cs="Arial"/>
                <w:szCs w:val="18"/>
              </w:rPr>
              <w:t xml:space="preserve">ISO Planning Procedure No. 10, </w:t>
            </w:r>
            <w:r w:rsidRPr="00375997">
              <w:rPr>
                <w:rFonts w:asciiTheme="minorHAnsi" w:hAnsiTheme="minorHAnsi" w:cs="Arial"/>
                <w:i/>
                <w:szCs w:val="18"/>
              </w:rPr>
              <w:t>Planning Procedure to Support the Forward Capacity Market</w:t>
            </w:r>
          </w:p>
        </w:tc>
      </w:tr>
      <w:tr w:rsidR="00F21CAB" w:rsidRPr="00375997" w:rsidTr="00F21CAB">
        <w:trPr>
          <w:cnfStyle w:val="000000010000"/>
        </w:trPr>
        <w:tc>
          <w:tcPr>
            <w:tcW w:w="2079" w:type="dxa"/>
          </w:tcPr>
          <w:p w:rsidR="00F21CAB" w:rsidRDefault="00F21CAB"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PPT</w:t>
            </w:r>
          </w:p>
        </w:tc>
        <w:tc>
          <w:tcPr>
            <w:tcW w:w="7037" w:type="dxa"/>
          </w:tcPr>
          <w:p w:rsidR="00F21CAB" w:rsidRDefault="009F5EA2"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 xml:space="preserve">Microsoft </w:t>
            </w:r>
            <w:r w:rsidR="00F21CAB">
              <w:rPr>
                <w:rFonts w:asciiTheme="minorHAnsi" w:eastAsia="Calibri" w:hAnsiTheme="minorHAnsi" w:cs="Arial"/>
                <w:iCs/>
                <w:color w:val="000000"/>
                <w:szCs w:val="18"/>
              </w:rPr>
              <w:t>PowerPoint file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PSERC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 xml:space="preserve">Power System Engineering Research </w:t>
            </w:r>
            <w:r w:rsidRPr="00DB600B">
              <w:rPr>
                <w:rFonts w:asciiTheme="minorHAnsi" w:eastAsia="Calibri" w:hAnsiTheme="minorHAnsi" w:cs="Arial"/>
                <w:iCs/>
                <w:color w:val="000000"/>
                <w:szCs w:val="18"/>
              </w:rPr>
              <w:t>Center (US DOE)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PSNH</w:t>
            </w:r>
          </w:p>
        </w:tc>
        <w:tc>
          <w:tcPr>
            <w:tcW w:w="7037" w:type="dxa"/>
          </w:tcPr>
          <w:p w:rsidR="002346DF" w:rsidRPr="00375997" w:rsidRDefault="002346DF" w:rsidP="00A42FB2">
            <w:pPr>
              <w:spacing w:after="0" w:line="240" w:lineRule="auto"/>
              <w:rPr>
                <w:rFonts w:asciiTheme="minorHAnsi" w:eastAsia="Calibri" w:hAnsiTheme="minorHAnsi" w:cs="Arial"/>
                <w:iCs/>
                <w:color w:val="000000"/>
                <w:szCs w:val="18"/>
              </w:rPr>
            </w:pPr>
            <w:r>
              <w:rPr>
                <w:rFonts w:asciiTheme="minorHAnsi" w:eastAsia="Calibri" w:hAnsiTheme="minorHAnsi" w:cs="Arial"/>
                <w:iCs/>
                <w:color w:val="000000"/>
                <w:szCs w:val="18"/>
              </w:rPr>
              <w:t>Public Service of New Hampshire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PSPC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Power Supply Planning Committee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PTF</w:t>
            </w:r>
          </w:p>
        </w:tc>
        <w:tc>
          <w:tcPr>
            <w:tcW w:w="7037" w:type="dxa"/>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pool transmission facility</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2757B5" w:rsidRDefault="002346DF" w:rsidP="00A42FB2">
            <w:pPr>
              <w:spacing w:after="0" w:line="240" w:lineRule="auto"/>
              <w:rPr>
                <w:rFonts w:asciiTheme="minorHAnsi" w:eastAsia="Calibri" w:hAnsiTheme="minorHAnsi" w:cs="Arial"/>
                <w:b/>
                <w:bCs/>
                <w:color w:val="000000"/>
                <w:szCs w:val="18"/>
              </w:rPr>
            </w:pPr>
            <w:r w:rsidRPr="002757B5">
              <w:rPr>
                <w:rFonts w:asciiTheme="minorHAnsi" w:eastAsia="Calibri" w:hAnsiTheme="minorHAnsi" w:cs="Arial"/>
                <w:b/>
                <w:color w:val="000000"/>
                <w:szCs w:val="18"/>
              </w:rPr>
              <w:t>PTO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2757B5" w:rsidRDefault="002346DF" w:rsidP="00A42FB2">
            <w:pPr>
              <w:spacing w:after="0" w:line="240" w:lineRule="auto"/>
              <w:rPr>
                <w:rFonts w:asciiTheme="minorHAnsi" w:eastAsia="Calibri" w:hAnsiTheme="minorHAnsi" w:cs="Arial"/>
                <w:b/>
                <w:bCs/>
                <w:color w:val="000000"/>
                <w:szCs w:val="18"/>
              </w:rPr>
            </w:pPr>
            <w:r w:rsidRPr="002757B5">
              <w:rPr>
                <w:rFonts w:asciiTheme="minorHAnsi" w:eastAsia="Calibri" w:hAnsiTheme="minorHAnsi" w:cs="Arial"/>
                <w:color w:val="000000"/>
                <w:szCs w:val="18"/>
              </w:rPr>
              <w:t>participating transmission owner</w:t>
            </w:r>
          </w:p>
        </w:tc>
      </w:tr>
      <w:tr w:rsidR="00A22DFF" w:rsidRPr="00375997" w:rsidTr="00F21CAB">
        <w:trPr>
          <w:cnfStyle w:val="000000010000"/>
        </w:trPr>
        <w:tc>
          <w:tcPr>
            <w:tcW w:w="2079" w:type="dxa"/>
          </w:tcPr>
          <w:p w:rsidR="002346DF" w:rsidRPr="002757B5" w:rsidRDefault="002346DF" w:rsidP="00A42FB2">
            <w:pPr>
              <w:spacing w:after="0" w:line="240" w:lineRule="auto"/>
              <w:rPr>
                <w:rFonts w:asciiTheme="minorHAnsi" w:eastAsia="Calibri" w:hAnsiTheme="minorHAnsi" w:cs="Arial"/>
                <w:b/>
                <w:bCs/>
                <w:color w:val="000000"/>
                <w:szCs w:val="18"/>
              </w:rPr>
            </w:pPr>
            <w:proofErr w:type="gramStart"/>
            <w:r w:rsidRPr="002757B5">
              <w:rPr>
                <w:rFonts w:asciiTheme="minorHAnsi" w:eastAsia="Calibri" w:hAnsiTheme="minorHAnsi" w:cs="Arial"/>
                <w:b/>
                <w:color w:val="000000"/>
                <w:szCs w:val="18"/>
              </w:rPr>
              <w:t>Pub.</w:t>
            </w:r>
            <w:proofErr w:type="gramEnd"/>
            <w:r w:rsidRPr="002757B5">
              <w:rPr>
                <w:rFonts w:asciiTheme="minorHAnsi" w:eastAsia="Calibri" w:hAnsiTheme="minorHAnsi" w:cs="Arial"/>
                <w:b/>
                <w:color w:val="000000"/>
                <w:szCs w:val="18"/>
              </w:rPr>
              <w:t xml:space="preserve"> L.</w:t>
            </w:r>
          </w:p>
        </w:tc>
        <w:tc>
          <w:tcPr>
            <w:tcW w:w="7037" w:type="dxa"/>
          </w:tcPr>
          <w:p w:rsidR="002346DF" w:rsidRPr="002757B5" w:rsidRDefault="002346DF" w:rsidP="00A42FB2">
            <w:pPr>
              <w:spacing w:after="0" w:line="240" w:lineRule="auto"/>
              <w:rPr>
                <w:rFonts w:asciiTheme="minorHAnsi" w:eastAsia="Calibri" w:hAnsiTheme="minorHAnsi" w:cs="Arial"/>
                <w:b/>
                <w:bCs/>
                <w:color w:val="000000"/>
                <w:szCs w:val="18"/>
              </w:rPr>
            </w:pPr>
            <w:r w:rsidRPr="002757B5">
              <w:rPr>
                <w:rFonts w:asciiTheme="minorHAnsi" w:eastAsia="Calibri" w:hAnsiTheme="minorHAnsi" w:cs="Arial"/>
                <w:color w:val="000000"/>
                <w:szCs w:val="18"/>
              </w:rPr>
              <w:t>public law</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2757B5" w:rsidRDefault="0058019A" w:rsidP="00A42FB2">
            <w:pPr>
              <w:spacing w:after="0" w:line="240" w:lineRule="auto"/>
              <w:rPr>
                <w:rFonts w:asciiTheme="minorHAnsi" w:eastAsia="Calibri" w:hAnsiTheme="minorHAnsi" w:cs="Arial"/>
                <w:b/>
                <w:bCs/>
                <w:color w:val="000000"/>
                <w:szCs w:val="18"/>
              </w:rPr>
            </w:pPr>
            <w:r w:rsidRPr="002757B5">
              <w:rPr>
                <w:rFonts w:asciiTheme="minorHAnsi" w:eastAsia="Calibri" w:hAnsiTheme="minorHAnsi" w:cs="Arial"/>
                <w:b/>
                <w:color w:val="000000"/>
                <w:szCs w:val="18"/>
              </w:rPr>
              <w:t>PUC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2757B5" w:rsidRDefault="0058019A" w:rsidP="00A42FB2">
            <w:pPr>
              <w:spacing w:after="0" w:line="240" w:lineRule="auto"/>
              <w:rPr>
                <w:rFonts w:asciiTheme="minorHAnsi" w:eastAsia="Calibri" w:hAnsiTheme="minorHAnsi" w:cs="Arial"/>
                <w:b/>
                <w:bCs/>
                <w:iCs/>
                <w:color w:val="000000"/>
                <w:szCs w:val="18"/>
              </w:rPr>
            </w:pPr>
            <w:r w:rsidRPr="002757B5">
              <w:rPr>
                <w:rFonts w:asciiTheme="minorHAnsi" w:eastAsia="Calibri" w:hAnsiTheme="minorHAnsi" w:cs="Arial"/>
                <w:iCs/>
                <w:color w:val="000000"/>
                <w:szCs w:val="18"/>
              </w:rPr>
              <w:t>Public Utilities Commission</w:t>
            </w:r>
          </w:p>
        </w:tc>
      </w:tr>
      <w:tr w:rsidR="0062098E" w:rsidRPr="00375997" w:rsidTr="00F21CAB">
        <w:trPr>
          <w:cnfStyle w:val="000000010000"/>
        </w:trPr>
        <w:tc>
          <w:tcPr>
            <w:tcW w:w="2079" w:type="dxa"/>
          </w:tcPr>
          <w:p w:rsidR="0062098E" w:rsidRPr="002757B5" w:rsidRDefault="0058019A" w:rsidP="00A42FB2">
            <w:pPr>
              <w:spacing w:after="0" w:line="240" w:lineRule="auto"/>
              <w:rPr>
                <w:rFonts w:asciiTheme="minorHAnsi" w:eastAsia="Calibri" w:hAnsiTheme="minorHAnsi" w:cs="Arial"/>
                <w:b/>
                <w:color w:val="000000"/>
                <w:szCs w:val="18"/>
              </w:rPr>
            </w:pPr>
            <w:r w:rsidRPr="002757B5">
              <w:rPr>
                <w:rFonts w:asciiTheme="minorHAnsi" w:eastAsia="Calibri" w:hAnsiTheme="minorHAnsi" w:cs="Arial"/>
                <w:b/>
                <w:color w:val="000000"/>
                <w:szCs w:val="18"/>
              </w:rPr>
              <w:t>PURA</w:t>
            </w:r>
          </w:p>
        </w:tc>
        <w:tc>
          <w:tcPr>
            <w:tcW w:w="7037" w:type="dxa"/>
          </w:tcPr>
          <w:p w:rsidR="0062098E" w:rsidRPr="002757B5" w:rsidRDefault="0058019A" w:rsidP="00A42FB2">
            <w:pPr>
              <w:spacing w:after="0" w:line="240" w:lineRule="auto"/>
              <w:rPr>
                <w:rFonts w:asciiTheme="minorHAnsi" w:eastAsia="Calibri" w:hAnsiTheme="minorHAnsi" w:cs="Arial"/>
                <w:iCs/>
                <w:color w:val="000000"/>
                <w:szCs w:val="18"/>
              </w:rPr>
            </w:pPr>
            <w:r w:rsidRPr="002757B5">
              <w:rPr>
                <w:rFonts w:asciiTheme="minorHAnsi" w:eastAsia="Calibri" w:hAnsiTheme="minorHAnsi" w:cs="Arial"/>
                <w:iCs/>
                <w:color w:val="000000"/>
                <w:szCs w:val="18"/>
              </w:rPr>
              <w:t>Public Utilities Regulatory Authority</w:t>
            </w:r>
            <w:r w:rsidR="00C22AAB" w:rsidRPr="002757B5">
              <w:rPr>
                <w:rFonts w:asciiTheme="minorHAnsi" w:eastAsia="Calibri" w:hAnsiTheme="minorHAnsi" w:cs="Arial"/>
                <w:iCs/>
                <w:color w:val="000000"/>
                <w:szCs w:val="18"/>
              </w:rPr>
              <w:t xml:space="preserve"> (CT)</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PV</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photovoltaic</w:t>
            </w:r>
          </w:p>
        </w:tc>
      </w:tr>
      <w:tr w:rsidR="0062098E" w:rsidRPr="00375997" w:rsidTr="00F21CAB">
        <w:trPr>
          <w:cnfStyle w:val="000000010000"/>
        </w:trPr>
        <w:tc>
          <w:tcPr>
            <w:tcW w:w="2079" w:type="dxa"/>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QER</w:t>
            </w:r>
          </w:p>
        </w:tc>
        <w:tc>
          <w:tcPr>
            <w:tcW w:w="7037" w:type="dxa"/>
          </w:tcPr>
          <w:p w:rsidR="0062098E" w:rsidRPr="00375997" w:rsidRDefault="0062098E" w:rsidP="00A42FB2">
            <w:pPr>
              <w:spacing w:after="0" w:line="240" w:lineRule="auto"/>
              <w:rPr>
                <w:rFonts w:asciiTheme="minorHAnsi" w:eastAsia="Calibri" w:hAnsiTheme="minorHAnsi" w:cs="Arial"/>
                <w:iCs/>
                <w:color w:val="000000"/>
                <w:szCs w:val="18"/>
              </w:rPr>
            </w:pPr>
            <w:r w:rsidRPr="0062098E">
              <w:rPr>
                <w:rFonts w:asciiTheme="minorHAnsi" w:eastAsia="Calibri" w:hAnsiTheme="minorHAnsi" w:cs="Arial"/>
                <w:i/>
                <w:iCs/>
                <w:color w:val="000000"/>
                <w:szCs w:val="18"/>
              </w:rPr>
              <w:t>Quadrennial Energy Review</w:t>
            </w:r>
            <w:r>
              <w:rPr>
                <w:rFonts w:asciiTheme="minorHAnsi" w:eastAsia="Calibri" w:hAnsiTheme="minorHAnsi" w:cs="Arial"/>
                <w:iCs/>
                <w:color w:val="000000"/>
                <w:szCs w:val="18"/>
              </w:rPr>
              <w:t xml:space="preserve"> (US DOE)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queue (the)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ISO Generator Interconnection Queue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RC</w:t>
            </w:r>
          </w:p>
        </w:tc>
        <w:tc>
          <w:tcPr>
            <w:tcW w:w="7037" w:type="dxa"/>
          </w:tcPr>
          <w:p w:rsidR="002346DF" w:rsidRDefault="002346DF" w:rsidP="00A42FB2">
            <w:pPr>
              <w:spacing w:after="0" w:line="240" w:lineRule="auto"/>
              <w:rPr>
                <w:rFonts w:asciiTheme="minorHAnsi" w:eastAsia="Calibri" w:hAnsiTheme="minorHAnsi" w:cs="Arial"/>
                <w:b/>
                <w:bCs/>
                <w:iCs/>
                <w:color w:val="000000"/>
                <w:szCs w:val="18"/>
              </w:rPr>
            </w:pPr>
            <w:r w:rsidRPr="00375997">
              <w:rPr>
                <w:rFonts w:asciiTheme="minorHAnsi" w:eastAsia="Calibri" w:hAnsiTheme="minorHAnsi" w:cs="Arial"/>
                <w:iCs/>
                <w:color w:val="000000"/>
                <w:szCs w:val="18"/>
              </w:rPr>
              <w:t>Reliability Committee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Renewable Energy Certificate</w:t>
            </w:r>
          </w:p>
        </w:tc>
      </w:tr>
      <w:tr w:rsidR="00A22DFF" w:rsidRPr="00375997" w:rsidTr="00F21CAB">
        <w:trPr>
          <w:cnfStyle w:val="000000010000"/>
        </w:trPr>
        <w:tc>
          <w:tcPr>
            <w:tcW w:w="2079" w:type="dxa"/>
          </w:tcPr>
          <w:p w:rsidR="002346DF" w:rsidRPr="00FF3834" w:rsidRDefault="002346DF" w:rsidP="00A42FB2">
            <w:pPr>
              <w:spacing w:after="0" w:line="240" w:lineRule="auto"/>
              <w:rPr>
                <w:rFonts w:asciiTheme="minorHAnsi" w:eastAsia="Calibri" w:hAnsiTheme="minorHAnsi" w:cs="Arial"/>
                <w:b/>
                <w:bCs/>
                <w:color w:val="000000"/>
                <w:szCs w:val="18"/>
              </w:rPr>
            </w:pPr>
            <w:r w:rsidRPr="00FF3834">
              <w:rPr>
                <w:rFonts w:asciiTheme="minorHAnsi" w:eastAsia="Calibri" w:hAnsiTheme="minorHAnsi" w:cs="Arial"/>
                <w:b/>
                <w:color w:val="000000"/>
                <w:szCs w:val="18"/>
              </w:rPr>
              <w:t>REMVEC</w:t>
            </w:r>
          </w:p>
        </w:tc>
        <w:tc>
          <w:tcPr>
            <w:tcW w:w="7037" w:type="dxa"/>
          </w:tcPr>
          <w:p w:rsidR="002346DF" w:rsidRPr="00FF3834" w:rsidRDefault="002346DF" w:rsidP="00A42FB2">
            <w:pPr>
              <w:spacing w:after="0" w:line="240" w:lineRule="auto"/>
              <w:rPr>
                <w:rFonts w:asciiTheme="minorHAnsi" w:eastAsia="Calibri" w:hAnsiTheme="minorHAnsi" w:cs="Arial"/>
                <w:b/>
                <w:bCs/>
                <w:color w:val="000000"/>
                <w:szCs w:val="18"/>
              </w:rPr>
            </w:pPr>
            <w:r w:rsidRPr="00FF3834">
              <w:rPr>
                <w:rFonts w:asciiTheme="minorHAnsi" w:eastAsia="Calibri" w:hAnsiTheme="minorHAnsi" w:cs="Arial"/>
                <w:color w:val="000000"/>
                <w:szCs w:val="18"/>
              </w:rPr>
              <w:t>Rhode Island-Eastern Massachusetts-Vermont Energy Control</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62098E">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w:t>
            </w:r>
            <w:r w:rsidR="0062098E">
              <w:rPr>
                <w:rFonts w:asciiTheme="minorHAnsi" w:eastAsia="Calibri" w:hAnsiTheme="minorHAnsi" w:cs="Arial"/>
                <w:b/>
                <w:color w:val="000000"/>
                <w:szCs w:val="18"/>
              </w:rPr>
              <w:t>ES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62098E" w:rsidP="00A42FB2">
            <w:pPr>
              <w:spacing w:after="0" w:line="240" w:lineRule="auto"/>
              <w:rPr>
                <w:rFonts w:asciiTheme="minorHAnsi" w:eastAsia="Calibri" w:hAnsiTheme="minorHAnsi" w:cs="Arial"/>
                <w:b/>
                <w:bCs/>
                <w:color w:val="000000"/>
                <w:szCs w:val="18"/>
              </w:rPr>
            </w:pPr>
            <w:r>
              <w:rPr>
                <w:rFonts w:asciiTheme="minorHAnsi" w:eastAsia="Calibri" w:hAnsiTheme="minorHAnsi" w:cs="Arial"/>
                <w:color w:val="000000"/>
                <w:szCs w:val="18"/>
              </w:rPr>
              <w:t>Renewable Energy Standard</w:t>
            </w:r>
          </w:p>
        </w:tc>
      </w:tr>
      <w:tr w:rsidR="0062098E" w:rsidRPr="00375997" w:rsidTr="00F21CAB">
        <w:trPr>
          <w:cnfStyle w:val="000000010000"/>
        </w:trPr>
        <w:tc>
          <w:tcPr>
            <w:tcW w:w="2079" w:type="dxa"/>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RFC</w:t>
            </w:r>
          </w:p>
        </w:tc>
        <w:tc>
          <w:tcPr>
            <w:tcW w:w="7037" w:type="dxa"/>
          </w:tcPr>
          <w:p w:rsidR="0062098E" w:rsidRPr="00375997" w:rsidRDefault="0062098E" w:rsidP="00A42FB2">
            <w:pPr>
              <w:spacing w:after="0" w:line="240" w:lineRule="auto"/>
              <w:rPr>
                <w:rFonts w:asciiTheme="minorHAnsi" w:eastAsia="Calibri" w:hAnsiTheme="minorHAnsi" w:cs="Arial"/>
                <w:color w:val="000000"/>
                <w:szCs w:val="18"/>
              </w:rPr>
            </w:pPr>
            <w:proofErr w:type="spellStart"/>
            <w:r>
              <w:rPr>
                <w:rFonts w:asciiTheme="minorHAnsi" w:eastAsia="Calibri" w:hAnsiTheme="minorHAnsi" w:cs="Arial"/>
                <w:color w:val="000000"/>
                <w:szCs w:val="18"/>
              </w:rPr>
              <w:t>ReliabilityFirst</w:t>
            </w:r>
            <w:proofErr w:type="spellEnd"/>
            <w:r>
              <w:rPr>
                <w:rFonts w:asciiTheme="minorHAnsi" w:eastAsia="Calibri" w:hAnsiTheme="minorHAnsi" w:cs="Arial"/>
                <w:color w:val="000000"/>
                <w:szCs w:val="18"/>
              </w:rPr>
              <w:t xml:space="preserve"> Corporation</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RFP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request for proposals</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RGGI</w:t>
            </w:r>
          </w:p>
        </w:tc>
        <w:tc>
          <w:tcPr>
            <w:tcW w:w="7037" w:type="dxa"/>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Regional Greenhouse Gas Initiative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RGSP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real gross state product</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RI</w:t>
            </w:r>
          </w:p>
        </w:tc>
        <w:tc>
          <w:tcPr>
            <w:tcW w:w="7037" w:type="dxa"/>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1) State of Rhode Island</w:t>
            </w:r>
          </w:p>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2) RSP subarea that includes the part of Rhode Island bordering Massachusetts</w:t>
            </w:r>
          </w:p>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3) Rhode Island load zone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RIRP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b/>
                <w:bCs/>
                <w:color w:val="000000"/>
                <w:szCs w:val="18"/>
              </w:rPr>
            </w:pPr>
            <w:r w:rsidRPr="00375997">
              <w:rPr>
                <w:rFonts w:asciiTheme="minorHAnsi" w:eastAsia="Calibri" w:hAnsiTheme="minorHAnsi" w:cs="Arial"/>
                <w:color w:val="000000"/>
                <w:szCs w:val="18"/>
              </w:rPr>
              <w:t>Rhode Island Reliability Project</w:t>
            </w:r>
          </w:p>
        </w:tc>
      </w:tr>
      <w:tr w:rsidR="00A22DFF" w:rsidRPr="00375997" w:rsidTr="00F21CAB">
        <w:trPr>
          <w:cnfStyle w:val="000000010000"/>
          <w:trHeight w:val="227"/>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RNS</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Network Service</w:t>
            </w:r>
          </w:p>
        </w:tc>
      </w:tr>
      <w:tr w:rsidR="00A22DFF" w:rsidRPr="00375997" w:rsidTr="00B17412">
        <w:trPr>
          <w:cnfStyle w:val="000000100000"/>
          <w:trHeight w:val="209"/>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ROS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C565C" w:rsidP="002C565C">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w:t>
            </w:r>
            <w:r w:rsidR="002346DF" w:rsidRPr="00375997">
              <w:rPr>
                <w:rFonts w:asciiTheme="minorHAnsi" w:eastAsia="Calibri" w:hAnsiTheme="minorHAnsi" w:cs="Arial"/>
                <w:color w:val="000000"/>
                <w:szCs w:val="18"/>
              </w:rPr>
              <w:t>est</w:t>
            </w:r>
            <w:r>
              <w:rPr>
                <w:rFonts w:asciiTheme="minorHAnsi" w:eastAsia="Calibri" w:hAnsiTheme="minorHAnsi" w:cs="Arial"/>
                <w:color w:val="000000"/>
                <w:szCs w:val="18"/>
              </w:rPr>
              <w:t>-</w:t>
            </w:r>
            <w:r w:rsidR="002346DF" w:rsidRPr="00375997">
              <w:rPr>
                <w:rFonts w:asciiTheme="minorHAnsi" w:eastAsia="Calibri" w:hAnsiTheme="minorHAnsi" w:cs="Arial"/>
                <w:color w:val="000000"/>
                <w:szCs w:val="18"/>
              </w:rPr>
              <w:t>of</w:t>
            </w:r>
            <w:r>
              <w:rPr>
                <w:rFonts w:asciiTheme="minorHAnsi" w:eastAsia="Calibri" w:hAnsiTheme="minorHAnsi" w:cs="Arial"/>
                <w:color w:val="000000"/>
                <w:szCs w:val="18"/>
              </w:rPr>
              <w:t>-S</w:t>
            </w:r>
            <w:r w:rsidR="002346DF" w:rsidRPr="00375997">
              <w:rPr>
                <w:rFonts w:asciiTheme="minorHAnsi" w:eastAsia="Calibri" w:hAnsiTheme="minorHAnsi" w:cs="Arial"/>
                <w:color w:val="000000"/>
                <w:szCs w:val="18"/>
              </w:rPr>
              <w:t>ystem</w:t>
            </w:r>
            <w:r>
              <w:rPr>
                <w:rFonts w:asciiTheme="minorHAnsi" w:eastAsia="Calibri" w:hAnsiTheme="minorHAnsi" w:cs="Arial"/>
                <w:color w:val="000000"/>
                <w:szCs w:val="18"/>
              </w:rPr>
              <w:t xml:space="preserve"> (reserve zone)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ROSE</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Region of Stability Existence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RPS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Renewable Portfolio Standard</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RSP</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System Plan</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RSP</w:t>
            </w:r>
            <w:r w:rsidRPr="008407BE">
              <w:rPr>
                <w:rFonts w:asciiTheme="minorHAnsi" w:eastAsia="Calibri" w:hAnsiTheme="minorHAnsi" w:cs="Arial"/>
                <w:b/>
                <w:i/>
                <w:color w:val="000000"/>
                <w:szCs w:val="18"/>
              </w:rPr>
              <w:t>XY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i/>
                <w:iCs/>
                <w:color w:val="000000"/>
                <w:szCs w:val="18"/>
              </w:rPr>
            </w:pPr>
            <w:r w:rsidRPr="00375997">
              <w:rPr>
                <w:rFonts w:asciiTheme="minorHAnsi" w:eastAsia="Calibri" w:hAnsiTheme="minorHAnsi" w:cs="Arial"/>
                <w:i/>
                <w:iCs/>
                <w:color w:val="000000"/>
                <w:szCs w:val="18"/>
              </w:rPr>
              <w:t>20XY Regional System Plan</w:t>
            </w:r>
          </w:p>
        </w:tc>
      </w:tr>
      <w:tr w:rsidR="0062098E" w:rsidRPr="00375997" w:rsidTr="00F21CAB">
        <w:trPr>
          <w:cnfStyle w:val="000000010000"/>
        </w:trPr>
        <w:tc>
          <w:tcPr>
            <w:tcW w:w="2079" w:type="dxa"/>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RTDR</w:t>
            </w:r>
          </w:p>
        </w:tc>
        <w:tc>
          <w:tcPr>
            <w:tcW w:w="7037" w:type="dxa"/>
          </w:tcPr>
          <w:p w:rsidR="0062098E" w:rsidRPr="00375997"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real-time demand response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RTEG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real-time emergency generation</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RTO</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Regional Transmission Organization</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S&amp;D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sidRPr="009D3D87">
              <w:rPr>
                <w:rFonts w:asciiTheme="minorHAnsi" w:eastAsia="Calibri" w:hAnsiTheme="minorHAnsi" w:cs="Arial"/>
                <w:color w:val="000000"/>
                <w:szCs w:val="18"/>
              </w:rPr>
              <w:t>Scheduling System Control and Dispatch Service Rate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SB</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Senate Bill</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SBC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systems benefits charge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SCC</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seasonal claimed capability</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SCR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selective catalytic reduction</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SDNY</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US District Court Southern District of New York</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8407B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375997"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Site Evaluation Committee (NH)</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SEMA</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RSP subarea comprising southeastern Massachusetts and Newport, Rhode Island</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Southeastern Massachusetts load zone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w:t>
            </w:r>
            <w:r w:rsidR="0062098E">
              <w:rPr>
                <w:rFonts w:asciiTheme="minorHAnsi" w:eastAsia="Calibri" w:hAnsiTheme="minorHAnsi" w:cs="Arial"/>
                <w:b/>
                <w:color w:val="000000"/>
                <w:szCs w:val="18"/>
              </w:rPr>
              <w:t>GIP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small generator interconnection procedure</w:t>
            </w:r>
          </w:p>
        </w:tc>
      </w:tr>
      <w:tr w:rsidR="00A22DFF" w:rsidRPr="00375997" w:rsidTr="00F21CAB">
        <w:trPr>
          <w:cnfStyle w:val="000000010000"/>
        </w:trPr>
        <w:tc>
          <w:tcPr>
            <w:tcW w:w="2079" w:type="dxa"/>
          </w:tcPr>
          <w:p w:rsidR="002346DF" w:rsidRPr="00DB600B" w:rsidRDefault="002346DF" w:rsidP="00A42FB2">
            <w:pPr>
              <w:spacing w:after="0" w:line="240" w:lineRule="auto"/>
              <w:rPr>
                <w:rFonts w:asciiTheme="minorHAnsi" w:eastAsia="Calibri" w:hAnsiTheme="minorHAnsi" w:cs="Arial"/>
                <w:b/>
                <w:bCs/>
                <w:color w:val="000000"/>
                <w:szCs w:val="18"/>
              </w:rPr>
            </w:pPr>
            <w:r w:rsidRPr="00DB600B">
              <w:rPr>
                <w:rFonts w:asciiTheme="minorHAnsi" w:eastAsia="Calibri" w:hAnsiTheme="minorHAnsi" w:cs="Arial"/>
                <w:b/>
                <w:color w:val="000000"/>
                <w:szCs w:val="18"/>
              </w:rPr>
              <w:t>SMD</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DB600B">
              <w:rPr>
                <w:rFonts w:asciiTheme="minorHAnsi" w:eastAsia="Calibri" w:hAnsiTheme="minorHAnsi" w:cs="Arial"/>
                <w:color w:val="000000"/>
                <w:szCs w:val="18"/>
              </w:rPr>
              <w:t>Standard Market Design</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SME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southeastern Maine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SO</w:t>
            </w:r>
            <w:r w:rsidRPr="008407BE">
              <w:rPr>
                <w:rFonts w:asciiTheme="minorHAnsi" w:eastAsia="Calibri" w:hAnsiTheme="minorHAnsi" w:cs="Arial"/>
                <w:b/>
                <w:color w:val="000000"/>
                <w:szCs w:val="18"/>
                <w:vertAlign w:val="subscript"/>
              </w:rPr>
              <w:t>2</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sulfur dioxide</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SOEP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Sable Offshore Energy Project</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SPI</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Strategic Planning Initiative</w:t>
            </w:r>
          </w:p>
        </w:tc>
      </w:tr>
      <w:tr w:rsidR="00A22DFF"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SPS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special protection system</w:t>
            </w:r>
          </w:p>
        </w:tc>
      </w:tr>
      <w:tr w:rsidR="00F75B2A" w:rsidRPr="00375997" w:rsidTr="00F21CAB">
        <w:trPr>
          <w:cnfStyle w:val="000000010000"/>
        </w:trPr>
        <w:tc>
          <w:tcPr>
            <w:tcW w:w="2079" w:type="dxa"/>
          </w:tcPr>
          <w:p w:rsidR="00F75B2A" w:rsidRDefault="00F75B2A"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SSC</w:t>
            </w:r>
          </w:p>
        </w:tc>
        <w:tc>
          <w:tcPr>
            <w:tcW w:w="7037" w:type="dxa"/>
          </w:tcPr>
          <w:p w:rsidR="00F75B2A" w:rsidRDefault="00F75B2A"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Stakeholder Steering Committee (EIPC)</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SSCC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summer seasonal claimed capability</w:t>
            </w:r>
          </w:p>
        </w:tc>
      </w:tr>
      <w:tr w:rsidR="0062098E"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STATCOM</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static synchronous compensator</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SVC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 xml:space="preserve">static </w:t>
            </w:r>
            <w:r>
              <w:rPr>
                <w:rFonts w:asciiTheme="minorHAnsi" w:eastAsia="Calibri" w:hAnsiTheme="minorHAnsi" w:cs="Arial"/>
                <w:color w:val="000000"/>
                <w:szCs w:val="18"/>
              </w:rPr>
              <w:t>voltage ampere reactive (</w:t>
            </w:r>
            <w:r w:rsidRPr="00375997">
              <w:rPr>
                <w:rFonts w:asciiTheme="minorHAnsi" w:eastAsia="Calibri" w:hAnsiTheme="minorHAnsi" w:cs="Arial"/>
                <w:color w:val="000000"/>
                <w:szCs w:val="18"/>
              </w:rPr>
              <w:t>VAR</w:t>
            </w:r>
            <w:r>
              <w:rPr>
                <w:rFonts w:asciiTheme="minorHAnsi" w:eastAsia="Calibri" w:hAnsiTheme="minorHAnsi" w:cs="Arial"/>
                <w:color w:val="000000"/>
                <w:szCs w:val="18"/>
              </w:rPr>
              <w:t>; V)</w:t>
            </w:r>
            <w:r w:rsidRPr="00375997">
              <w:rPr>
                <w:rFonts w:asciiTheme="minorHAnsi" w:eastAsia="Calibri" w:hAnsiTheme="minorHAnsi" w:cs="Arial"/>
                <w:color w:val="000000"/>
                <w:szCs w:val="18"/>
              </w:rPr>
              <w:t xml:space="preserve"> compensator</w:t>
            </w:r>
          </w:p>
        </w:tc>
      </w:tr>
      <w:tr w:rsidR="0062098E"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SWCT</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southwestern Connecticut</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tbd</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to be determined</w:t>
            </w:r>
          </w:p>
        </w:tc>
      </w:tr>
      <w:tr w:rsidR="0062098E" w:rsidRPr="00375997" w:rsidTr="00F21CAB">
        <w:trPr>
          <w:cnfStyle w:val="000000010000"/>
        </w:trPr>
        <w:tc>
          <w:tcPr>
            <w:tcW w:w="2079" w:type="dxa"/>
          </w:tcPr>
          <w:p w:rsidR="002346DF" w:rsidRPr="00DB600B" w:rsidRDefault="002346DF" w:rsidP="00A42FB2">
            <w:pPr>
              <w:spacing w:after="0" w:line="240" w:lineRule="auto"/>
              <w:rPr>
                <w:rFonts w:asciiTheme="minorHAnsi" w:eastAsia="Calibri" w:hAnsiTheme="minorHAnsi" w:cs="Arial"/>
                <w:b/>
                <w:color w:val="000000"/>
                <w:szCs w:val="18"/>
              </w:rPr>
            </w:pPr>
            <w:proofErr w:type="spellStart"/>
            <w:r>
              <w:rPr>
                <w:rFonts w:asciiTheme="minorHAnsi" w:eastAsia="Calibri" w:hAnsiTheme="minorHAnsi" w:cs="Arial"/>
                <w:b/>
                <w:color w:val="000000"/>
                <w:szCs w:val="18"/>
              </w:rPr>
              <w:t>tcf</w:t>
            </w:r>
            <w:proofErr w:type="spellEnd"/>
          </w:p>
        </w:tc>
        <w:tc>
          <w:tcPr>
            <w:tcW w:w="7037" w:type="dxa"/>
          </w:tcPr>
          <w:p w:rsidR="002346DF" w:rsidRDefault="002346DF" w:rsidP="00F00681">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trillion cubic feet</w:t>
            </w:r>
          </w:p>
        </w:tc>
      </w:tr>
      <w:tr w:rsidR="008965CA"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965CA" w:rsidRDefault="008965CA"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965CA" w:rsidRDefault="008965CA" w:rsidP="00F75B2A">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Transmission Committee</w:t>
            </w:r>
          </w:p>
        </w:tc>
      </w:tr>
      <w:tr w:rsidR="00F75B2A" w:rsidRPr="00375997" w:rsidTr="00F21CAB">
        <w:trPr>
          <w:cnfStyle w:val="000000010000"/>
        </w:trPr>
        <w:tc>
          <w:tcPr>
            <w:tcW w:w="2079" w:type="dxa"/>
          </w:tcPr>
          <w:p w:rsidR="00F75B2A" w:rsidRDefault="00F75B2A"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TCSC</w:t>
            </w:r>
          </w:p>
        </w:tc>
        <w:tc>
          <w:tcPr>
            <w:tcW w:w="7037" w:type="dxa"/>
          </w:tcPr>
          <w:p w:rsidR="00F75B2A" w:rsidRDefault="00F75B2A" w:rsidP="00F75B2A">
            <w:pPr>
              <w:spacing w:after="0" w:line="240" w:lineRule="auto"/>
              <w:rPr>
                <w:rFonts w:asciiTheme="minorHAnsi" w:eastAsia="Calibri" w:hAnsiTheme="minorHAnsi" w:cs="Arial"/>
                <w:color w:val="000000"/>
                <w:szCs w:val="18"/>
              </w:rPr>
            </w:pPr>
            <w:proofErr w:type="spellStart"/>
            <w:r>
              <w:rPr>
                <w:rFonts w:asciiTheme="minorHAnsi" w:eastAsia="Calibri" w:hAnsiTheme="minorHAnsi" w:cs="Arial"/>
                <w:color w:val="000000"/>
                <w:szCs w:val="18"/>
              </w:rPr>
              <w:t>thyristor</w:t>
            </w:r>
            <w:proofErr w:type="spellEnd"/>
            <w:r>
              <w:rPr>
                <w:rFonts w:asciiTheme="minorHAnsi" w:eastAsia="Calibri" w:hAnsiTheme="minorHAnsi" w:cs="Arial"/>
                <w:color w:val="000000"/>
                <w:szCs w:val="18"/>
              </w:rPr>
              <w:t xml:space="preserve">-controlled series </w:t>
            </w:r>
            <w:r w:rsidR="009521FF">
              <w:rPr>
                <w:rFonts w:asciiTheme="minorHAnsi" w:eastAsia="Calibri" w:hAnsiTheme="minorHAnsi" w:cs="Arial"/>
                <w:color w:val="000000"/>
                <w:szCs w:val="18"/>
              </w:rPr>
              <w:t>compensation</w:t>
            </w:r>
            <w:r w:rsidRPr="004B06B9">
              <w:t xml:space="preserve"> </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Pr="00DB600B"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TGP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Default="0062098E"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Tennessee Gas Pipeline</w:t>
            </w:r>
          </w:p>
        </w:tc>
      </w:tr>
      <w:tr w:rsidR="0062098E" w:rsidRPr="00375997" w:rsidTr="00F21CAB">
        <w:trPr>
          <w:cnfStyle w:val="000000010000"/>
        </w:trPr>
        <w:tc>
          <w:tcPr>
            <w:tcW w:w="2079" w:type="dxa"/>
          </w:tcPr>
          <w:p w:rsidR="002346DF" w:rsidRPr="00DB600B" w:rsidRDefault="002346DF" w:rsidP="00A42FB2">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TMNSR</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10-minute </w:t>
            </w:r>
            <w:proofErr w:type="spellStart"/>
            <w:r>
              <w:rPr>
                <w:rFonts w:asciiTheme="minorHAnsi" w:eastAsia="Calibri" w:hAnsiTheme="minorHAnsi" w:cs="Arial"/>
                <w:color w:val="000000"/>
                <w:szCs w:val="18"/>
              </w:rPr>
              <w:t>nonspinning</w:t>
            </w:r>
            <w:proofErr w:type="spellEnd"/>
            <w:r>
              <w:rPr>
                <w:rFonts w:asciiTheme="minorHAnsi" w:eastAsia="Calibri" w:hAnsiTheme="minorHAnsi" w:cs="Arial"/>
                <w:color w:val="000000"/>
                <w:szCs w:val="18"/>
              </w:rPr>
              <w:t xml:space="preserve"> reserve</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DB600B" w:rsidRDefault="002346DF" w:rsidP="00A42FB2">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TMOR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30-minute operating reserve</w:t>
            </w:r>
          </w:p>
        </w:tc>
      </w:tr>
      <w:tr w:rsidR="0062098E" w:rsidRPr="00375997" w:rsidTr="00F21CAB">
        <w:trPr>
          <w:cnfStyle w:val="000000010000"/>
        </w:trPr>
        <w:tc>
          <w:tcPr>
            <w:tcW w:w="2079" w:type="dxa"/>
          </w:tcPr>
          <w:p w:rsidR="002346DF" w:rsidRPr="00DB600B" w:rsidRDefault="002346DF" w:rsidP="00A42FB2">
            <w:pPr>
              <w:spacing w:after="0" w:line="240" w:lineRule="auto"/>
              <w:rPr>
                <w:rFonts w:asciiTheme="minorHAnsi" w:eastAsia="Calibri" w:hAnsiTheme="minorHAnsi" w:cs="Arial"/>
                <w:b/>
                <w:color w:val="000000"/>
                <w:szCs w:val="18"/>
              </w:rPr>
            </w:pPr>
            <w:r w:rsidRPr="00DB600B">
              <w:rPr>
                <w:rFonts w:asciiTheme="minorHAnsi" w:eastAsia="Calibri" w:hAnsiTheme="minorHAnsi" w:cs="Arial"/>
                <w:b/>
                <w:color w:val="000000"/>
                <w:szCs w:val="18"/>
              </w:rPr>
              <w:t>TMSR</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10-minute spinning reserve</w:t>
            </w:r>
          </w:p>
        </w:tc>
      </w:tr>
      <w:tr w:rsidR="0062098E" w:rsidRPr="00375997" w:rsidDel="001B15B5"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Default="0062098E"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TQM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2098E" w:rsidRDefault="0062098E" w:rsidP="0062098E">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Trans-Québec and Maritimes (pipeline)</w:t>
            </w:r>
          </w:p>
        </w:tc>
      </w:tr>
      <w:tr w:rsidR="0062098E" w:rsidRPr="00375997" w:rsidDel="001B15B5" w:rsidTr="00F21CAB">
        <w:trPr>
          <w:cnfStyle w:val="000000010000"/>
        </w:trPr>
        <w:tc>
          <w:tcPr>
            <w:tcW w:w="2079" w:type="dxa"/>
          </w:tcPr>
          <w:p w:rsidR="002346DF" w:rsidRPr="008407BE" w:rsidDel="001B15B5"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TVA</w:t>
            </w:r>
          </w:p>
        </w:tc>
        <w:tc>
          <w:tcPr>
            <w:tcW w:w="7037" w:type="dxa"/>
          </w:tcPr>
          <w:p w:rsidR="002346DF" w:rsidRPr="00375997" w:rsidDel="001B15B5"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Tennessee Valley Authority</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US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United States</w:t>
            </w:r>
          </w:p>
        </w:tc>
      </w:tr>
      <w:tr w:rsidR="00B322EB" w:rsidRPr="00375997" w:rsidTr="00F21CAB">
        <w:trPr>
          <w:cnfStyle w:val="000000010000"/>
        </w:trPr>
        <w:tc>
          <w:tcPr>
            <w:tcW w:w="2079" w:type="dxa"/>
          </w:tcPr>
          <w:p w:rsidR="00B322EB" w:rsidRPr="008407BE" w:rsidRDefault="00B322EB"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USC</w:t>
            </w:r>
          </w:p>
        </w:tc>
        <w:tc>
          <w:tcPr>
            <w:tcW w:w="7037" w:type="dxa"/>
          </w:tcPr>
          <w:p w:rsidR="00B322EB" w:rsidRPr="00375997" w:rsidRDefault="00B322EB"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United States Code</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VAR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voltage ampere reactive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sidRPr="008407BE">
              <w:rPr>
                <w:rFonts w:asciiTheme="minorHAnsi" w:eastAsia="Calibri" w:hAnsiTheme="minorHAnsi" w:cs="Arial"/>
                <w:b/>
                <w:color w:val="000000"/>
                <w:szCs w:val="18"/>
              </w:rPr>
              <w:t>VER</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variable energy resource</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VELCO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Vermont Electric Power Company</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Pr>
                <w:rFonts w:asciiTheme="minorHAnsi" w:eastAsia="Calibri" w:hAnsiTheme="minorHAnsi" w:cs="Arial"/>
                <w:b/>
                <w:bCs/>
                <w:color w:val="000000"/>
                <w:szCs w:val="18"/>
              </w:rPr>
              <w:t>VSC</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voltage source converter</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bCs/>
                <w:color w:val="000000"/>
                <w:szCs w:val="18"/>
              </w:rPr>
              <w:t>VT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1) State of Vermont</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2) RSP subarea that includes Vermont and southwestern New Hampshire</w:t>
            </w:r>
          </w:p>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bCs/>
                <w:color w:val="000000"/>
                <w:szCs w:val="18"/>
              </w:rPr>
              <w:t>3) Vermont load zone</w:t>
            </w:r>
          </w:p>
        </w:tc>
      </w:tr>
      <w:tr w:rsidR="00A22DFF" w:rsidRPr="00375997" w:rsidTr="00F21CAB">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VY</w:t>
            </w:r>
          </w:p>
        </w:tc>
        <w:tc>
          <w:tcPr>
            <w:tcW w:w="7037" w:type="dxa"/>
          </w:tcPr>
          <w:p w:rsidR="002346DF" w:rsidRPr="00375997"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Vermont Yankee</w:t>
            </w:r>
          </w:p>
        </w:tc>
      </w:tr>
      <w:tr w:rsidR="0062098E"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WCMA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Western/Central Massachusetts load zone</w:t>
            </w:r>
          </w:p>
        </w:tc>
      </w:tr>
      <w:tr w:rsidR="00A22DFF" w:rsidRPr="00375997" w:rsidTr="00F21CAB">
        <w:trPr>
          <w:cnfStyle w:val="000000010000"/>
          <w:trHeight w:val="308"/>
        </w:trPr>
        <w:tc>
          <w:tcPr>
            <w:tcW w:w="2079" w:type="dxa"/>
          </w:tcPr>
          <w:p w:rsidR="002346DF" w:rsidRPr="008407BE"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WIP</w:t>
            </w:r>
          </w:p>
        </w:tc>
        <w:tc>
          <w:tcPr>
            <w:tcW w:w="7037" w:type="dxa"/>
          </w:tcPr>
          <w:p w:rsidR="002346DF" w:rsidRDefault="002346DF" w:rsidP="006A4EC1">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Wright Interconnection Project (of the Iroquois Gas Transmission System)</w:t>
            </w:r>
          </w:p>
        </w:tc>
      </w:tr>
      <w:tr w:rsidR="0062098E" w:rsidRPr="00375997" w:rsidTr="00B17412">
        <w:trPr>
          <w:cnfStyle w:val="000000100000"/>
          <w:trHeight w:val="308"/>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WMA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RSP subarea for western Massachusetts</w:t>
            </w:r>
          </w:p>
        </w:tc>
      </w:tr>
      <w:tr w:rsidR="00A22DFF" w:rsidRPr="00375997" w:rsidDel="001B15B5" w:rsidTr="00F21CAB">
        <w:trPr>
          <w:cnfStyle w:val="000000010000"/>
        </w:trPr>
        <w:tc>
          <w:tcPr>
            <w:tcW w:w="2079" w:type="dxa"/>
          </w:tcPr>
          <w:p w:rsidR="002346DF" w:rsidDel="001B15B5" w:rsidRDefault="002346DF"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WMPP</w:t>
            </w:r>
          </w:p>
        </w:tc>
        <w:tc>
          <w:tcPr>
            <w:tcW w:w="7037" w:type="dxa"/>
          </w:tcPr>
          <w:p w:rsidR="002346DF" w:rsidDel="001B15B5" w:rsidRDefault="002346DF" w:rsidP="00A42FB2">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Wholesale Markets Project Plan</w:t>
            </w:r>
          </w:p>
        </w:tc>
      </w:tr>
      <w:tr w:rsidR="00F21CAB" w:rsidRPr="00375997" w:rsidTr="00B17412">
        <w:trPr>
          <w:cnfStyle w:val="00000010000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1CAB" w:rsidRPr="008407BE" w:rsidRDefault="00F21CAB" w:rsidP="00A42FB2">
            <w:pPr>
              <w:spacing w:after="0" w:line="240" w:lineRule="auto"/>
              <w:rPr>
                <w:rFonts w:asciiTheme="minorHAnsi" w:eastAsia="Calibri" w:hAnsiTheme="minorHAnsi" w:cs="Arial"/>
                <w:b/>
                <w:color w:val="000000"/>
                <w:szCs w:val="18"/>
              </w:rPr>
            </w:pPr>
            <w:r>
              <w:rPr>
                <w:rFonts w:asciiTheme="minorHAnsi" w:eastAsia="Calibri" w:hAnsiTheme="minorHAnsi" w:cs="Arial"/>
                <w:b/>
                <w:color w:val="000000"/>
                <w:szCs w:val="18"/>
              </w:rPr>
              <w:t>XLS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21CAB" w:rsidRPr="00375997" w:rsidRDefault="009F5EA2" w:rsidP="00F21CAB">
            <w:pPr>
              <w:spacing w:after="0" w:line="240" w:lineRule="auto"/>
              <w:rPr>
                <w:rFonts w:asciiTheme="minorHAnsi" w:eastAsia="Calibri" w:hAnsiTheme="minorHAnsi" w:cs="Arial"/>
                <w:color w:val="000000"/>
                <w:szCs w:val="18"/>
              </w:rPr>
            </w:pPr>
            <w:r>
              <w:rPr>
                <w:rFonts w:asciiTheme="minorHAnsi" w:eastAsia="Calibri" w:hAnsiTheme="minorHAnsi" w:cs="Arial"/>
                <w:color w:val="000000"/>
                <w:szCs w:val="18"/>
              </w:rPr>
              <w:t xml:space="preserve">Microsoft </w:t>
            </w:r>
            <w:r w:rsidR="00F21CAB">
              <w:rPr>
                <w:rFonts w:asciiTheme="minorHAnsi" w:eastAsia="Calibri" w:hAnsiTheme="minorHAnsi" w:cs="Arial"/>
                <w:color w:val="000000"/>
                <w:szCs w:val="18"/>
              </w:rPr>
              <w:t>Excel file</w:t>
            </w:r>
          </w:p>
        </w:tc>
      </w:tr>
      <w:tr w:rsidR="0062098E" w:rsidRPr="00375997" w:rsidTr="006851B1">
        <w:trPr>
          <w:cnfStyle w:val="000000010000"/>
        </w:trPr>
        <w:tc>
          <w:tcPr>
            <w:tcW w:w="2079" w:type="dxa"/>
          </w:tcPr>
          <w:p w:rsidR="002346DF" w:rsidRPr="008407BE" w:rsidRDefault="002346DF" w:rsidP="00A42FB2">
            <w:pPr>
              <w:spacing w:after="0" w:line="240" w:lineRule="auto"/>
              <w:rPr>
                <w:rFonts w:asciiTheme="minorHAnsi" w:eastAsia="Calibri" w:hAnsiTheme="minorHAnsi" w:cs="Arial"/>
                <w:b/>
                <w:bCs/>
                <w:color w:val="000000"/>
                <w:szCs w:val="18"/>
              </w:rPr>
            </w:pPr>
            <w:r w:rsidRPr="008407BE">
              <w:rPr>
                <w:rFonts w:asciiTheme="minorHAnsi" w:eastAsia="Calibri" w:hAnsiTheme="minorHAnsi" w:cs="Arial"/>
                <w:b/>
                <w:color w:val="000000"/>
                <w:szCs w:val="18"/>
              </w:rPr>
              <w:t>yr</w:t>
            </w:r>
          </w:p>
        </w:tc>
        <w:tc>
          <w:tcPr>
            <w:tcW w:w="7037" w:type="dxa"/>
          </w:tcPr>
          <w:p w:rsidR="002346DF" w:rsidRDefault="002346DF" w:rsidP="00A42FB2">
            <w:pPr>
              <w:spacing w:after="0" w:line="240" w:lineRule="auto"/>
              <w:rPr>
                <w:rFonts w:asciiTheme="minorHAnsi" w:eastAsia="Calibri" w:hAnsiTheme="minorHAnsi" w:cs="Arial"/>
                <w:color w:val="000000"/>
                <w:szCs w:val="18"/>
              </w:rPr>
            </w:pPr>
            <w:r w:rsidRPr="00375997">
              <w:rPr>
                <w:rFonts w:asciiTheme="minorHAnsi" w:eastAsia="Calibri" w:hAnsiTheme="minorHAnsi" w:cs="Arial"/>
                <w:color w:val="000000"/>
                <w:szCs w:val="18"/>
              </w:rPr>
              <w:t>year</w:t>
            </w:r>
          </w:p>
        </w:tc>
      </w:tr>
    </w:tbl>
    <w:p w:rsidR="00DD3B18" w:rsidRPr="00317036" w:rsidRDefault="00DD3B18" w:rsidP="004E50CD">
      <w:pPr>
        <w:spacing w:after="0" w:line="240" w:lineRule="auto"/>
      </w:pPr>
    </w:p>
    <w:sectPr w:rsidR="00DD3B18" w:rsidRPr="00317036" w:rsidSect="00E24A7B">
      <w:pgSz w:w="12240" w:h="15840"/>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9B5" w:rsidRDefault="00CD09B5" w:rsidP="00073277">
      <w:r>
        <w:separator/>
      </w:r>
    </w:p>
  </w:endnote>
  <w:endnote w:type="continuationSeparator" w:id="0">
    <w:p w:rsidR="00CD09B5" w:rsidRDefault="00CD09B5" w:rsidP="000732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 45 Light">
    <w:altName w:val="Times New Roman"/>
    <w:panose1 w:val="00000000000000000000"/>
    <w:charset w:val="00"/>
    <w:family w:val="swiss"/>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0" w:usb1="00000000" w:usb2="00000000" w:usb3="00000000" w:csb0="00000000"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Default="001E3655" w:rsidP="00AB3252">
    <w:pPr>
      <w:pStyle w:val="Footer"/>
      <w:tabs>
        <w:tab w:val="clear" w:pos="4500"/>
        <w:tab w:val="clear" w:pos="9360"/>
        <w:tab w:val="left" w:pos="0"/>
        <w:tab w:val="center" w:pos="4680"/>
      </w:tabs>
      <w:spacing w:after="0"/>
      <w:ind w:right="0"/>
      <w:jc w:val="both"/>
      <w:rPr>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Default="001E3655" w:rsidP="00AB3252">
    <w:pPr>
      <w:pStyle w:val="Footer"/>
      <w:tabs>
        <w:tab w:val="clear" w:pos="4500"/>
        <w:tab w:val="clear" w:pos="9360"/>
        <w:tab w:val="left" w:pos="0"/>
        <w:tab w:val="center" w:pos="4680"/>
      </w:tabs>
      <w:spacing w:after="0"/>
      <w:ind w:right="0"/>
      <w:jc w:val="both"/>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Pr="00D33E9E" w:rsidRDefault="001E3655" w:rsidP="001034CC">
    <w:pPr>
      <w:pStyle w:val="Footer"/>
      <w:tabs>
        <w:tab w:val="clear" w:pos="4500"/>
        <w:tab w:val="clear" w:pos="9360"/>
        <w:tab w:val="left" w:pos="0"/>
        <w:tab w:val="center" w:pos="4680"/>
      </w:tabs>
      <w:spacing w:after="0"/>
      <w:ind w:right="0"/>
      <w:jc w:val="both"/>
      <w:rPr>
        <w:szCs w:val="18"/>
      </w:rPr>
    </w:pPr>
    <w:r w:rsidRPr="00D33E9E">
      <w:rPr>
        <w:i/>
        <w:szCs w:val="18"/>
      </w:rPr>
      <w:t>2014 Regional System Plan</w:t>
    </w:r>
    <w:r w:rsidRPr="00D33E9E">
      <w:rPr>
        <w:i/>
        <w:szCs w:val="18"/>
      </w:rPr>
      <w:tab/>
    </w:r>
    <w:r w:rsidR="00927965" w:rsidRPr="00D33E9E">
      <w:rPr>
        <w:szCs w:val="18"/>
      </w:rPr>
      <w:fldChar w:fldCharType="begin"/>
    </w:r>
    <w:r w:rsidRPr="00D33E9E">
      <w:rPr>
        <w:szCs w:val="18"/>
      </w:rPr>
      <w:instrText xml:space="preserve"> PAGE </w:instrText>
    </w:r>
    <w:r w:rsidR="00927965" w:rsidRPr="00D33E9E">
      <w:rPr>
        <w:szCs w:val="18"/>
      </w:rPr>
      <w:fldChar w:fldCharType="separate"/>
    </w:r>
    <w:r w:rsidR="007F6946">
      <w:rPr>
        <w:noProof/>
        <w:szCs w:val="18"/>
      </w:rPr>
      <w:t>i</w:t>
    </w:r>
    <w:r w:rsidR="00927965" w:rsidRPr="00D33E9E">
      <w:rPr>
        <w:szCs w:val="18"/>
      </w:rPr>
      <w:fldChar w:fldCharType="end"/>
    </w:r>
    <w:r w:rsidRPr="00D33E9E">
      <w:rPr>
        <w:szCs w:val="18"/>
      </w:rPr>
      <w:tab/>
    </w:r>
    <w:r w:rsidRPr="00D33E9E">
      <w:rPr>
        <w:szCs w:val="18"/>
      </w:rPr>
      <w:tab/>
    </w:r>
    <w:r w:rsidRPr="00D33E9E">
      <w:rPr>
        <w:szCs w:val="18"/>
      </w:rPr>
      <w:tab/>
      <w:t xml:space="preserve">                      ISO New England Inc.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Pr="00D33E9E" w:rsidRDefault="001E3655" w:rsidP="00DB5A39">
    <w:pPr>
      <w:pStyle w:val="Footer"/>
      <w:tabs>
        <w:tab w:val="clear" w:pos="4500"/>
        <w:tab w:val="clear" w:pos="9360"/>
        <w:tab w:val="left" w:pos="0"/>
        <w:tab w:val="center" w:pos="4680"/>
      </w:tabs>
      <w:spacing w:after="0"/>
      <w:ind w:right="0"/>
      <w:jc w:val="both"/>
      <w:rPr>
        <w:szCs w:val="18"/>
      </w:rPr>
    </w:pPr>
    <w:r w:rsidRPr="00D33E9E">
      <w:rPr>
        <w:i/>
        <w:szCs w:val="18"/>
      </w:rPr>
      <w:t>2014 Regional System Plan</w:t>
    </w:r>
    <w:r w:rsidRPr="00D33E9E">
      <w:rPr>
        <w:i/>
        <w:szCs w:val="18"/>
      </w:rPr>
      <w:tab/>
    </w:r>
    <w:r w:rsidR="00927965" w:rsidRPr="00D33E9E">
      <w:rPr>
        <w:szCs w:val="18"/>
      </w:rPr>
      <w:fldChar w:fldCharType="begin"/>
    </w:r>
    <w:r w:rsidRPr="00D33E9E">
      <w:rPr>
        <w:szCs w:val="18"/>
      </w:rPr>
      <w:instrText xml:space="preserve"> PAGE </w:instrText>
    </w:r>
    <w:r w:rsidR="00927965" w:rsidRPr="00D33E9E">
      <w:rPr>
        <w:szCs w:val="18"/>
      </w:rPr>
      <w:fldChar w:fldCharType="separate"/>
    </w:r>
    <w:r w:rsidR="007F6946">
      <w:rPr>
        <w:noProof/>
        <w:szCs w:val="18"/>
      </w:rPr>
      <w:t>ix</w:t>
    </w:r>
    <w:r w:rsidR="00927965" w:rsidRPr="00D33E9E">
      <w:rPr>
        <w:szCs w:val="18"/>
      </w:rPr>
      <w:fldChar w:fldCharType="end"/>
    </w:r>
    <w:r w:rsidRPr="00D33E9E">
      <w:rPr>
        <w:szCs w:val="18"/>
      </w:rPr>
      <w:tab/>
    </w:r>
    <w:r w:rsidRPr="00D33E9E">
      <w:rPr>
        <w:szCs w:val="18"/>
      </w:rPr>
      <w:tab/>
    </w:r>
    <w:r w:rsidRPr="00D33E9E">
      <w:rPr>
        <w:szCs w:val="18"/>
      </w:rPr>
      <w:tab/>
      <w:t xml:space="preserve">                      ISO New England Inc.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Default="001E3655" w:rsidP="001034CC">
    <w:pPr>
      <w:pStyle w:val="Footer"/>
      <w:tabs>
        <w:tab w:val="clear" w:pos="4500"/>
        <w:tab w:val="clear" w:pos="9360"/>
        <w:tab w:val="left" w:pos="0"/>
        <w:tab w:val="center" w:pos="4680"/>
      </w:tabs>
      <w:spacing w:after="0"/>
      <w:ind w:right="0"/>
      <w:jc w:val="both"/>
      <w:rPr>
        <w:szCs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Pr="00D33E9E" w:rsidRDefault="001E3655" w:rsidP="00DB5A39">
    <w:pPr>
      <w:pStyle w:val="Footer"/>
      <w:tabs>
        <w:tab w:val="clear" w:pos="4500"/>
        <w:tab w:val="clear" w:pos="9360"/>
        <w:tab w:val="left" w:pos="0"/>
        <w:tab w:val="center" w:pos="4680"/>
      </w:tabs>
      <w:spacing w:after="0"/>
      <w:ind w:right="0"/>
      <w:jc w:val="both"/>
      <w:rPr>
        <w:szCs w:val="18"/>
      </w:rPr>
    </w:pPr>
    <w:r w:rsidRPr="00D33E9E">
      <w:rPr>
        <w:i/>
        <w:szCs w:val="18"/>
      </w:rPr>
      <w:t>2014 Regional System Plan</w:t>
    </w:r>
    <w:r w:rsidRPr="00D33E9E">
      <w:rPr>
        <w:i/>
        <w:szCs w:val="18"/>
      </w:rPr>
      <w:tab/>
    </w:r>
    <w:r w:rsidR="00927965" w:rsidRPr="00D33E9E">
      <w:rPr>
        <w:szCs w:val="18"/>
      </w:rPr>
      <w:fldChar w:fldCharType="begin"/>
    </w:r>
    <w:r w:rsidRPr="00D33E9E">
      <w:rPr>
        <w:szCs w:val="18"/>
      </w:rPr>
      <w:instrText xml:space="preserve"> PAGE </w:instrText>
    </w:r>
    <w:r w:rsidR="00927965" w:rsidRPr="00D33E9E">
      <w:rPr>
        <w:szCs w:val="18"/>
      </w:rPr>
      <w:fldChar w:fldCharType="separate"/>
    </w:r>
    <w:r w:rsidR="007F6946">
      <w:rPr>
        <w:noProof/>
        <w:szCs w:val="18"/>
      </w:rPr>
      <w:t>204</w:t>
    </w:r>
    <w:r w:rsidR="00927965" w:rsidRPr="00D33E9E">
      <w:rPr>
        <w:szCs w:val="18"/>
      </w:rPr>
      <w:fldChar w:fldCharType="end"/>
    </w:r>
    <w:r w:rsidRPr="00D33E9E">
      <w:rPr>
        <w:szCs w:val="18"/>
      </w:rPr>
      <w:tab/>
    </w:r>
    <w:r w:rsidRPr="00D33E9E">
      <w:rPr>
        <w:szCs w:val="18"/>
      </w:rPr>
      <w:tab/>
    </w:r>
    <w:r w:rsidRPr="00D33E9E">
      <w:rPr>
        <w:szCs w:val="18"/>
      </w:rPr>
      <w:tab/>
      <w:t xml:space="preserve">                      ISO New England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9B5" w:rsidRDefault="00CD09B5" w:rsidP="00BA5816">
      <w:pPr>
        <w:spacing w:after="0" w:line="240" w:lineRule="auto"/>
      </w:pPr>
      <w:r>
        <w:separator/>
      </w:r>
    </w:p>
  </w:footnote>
  <w:footnote w:type="continuationSeparator" w:id="0">
    <w:p w:rsidR="00CD09B5" w:rsidRDefault="00CD09B5" w:rsidP="00BA5816">
      <w:pPr>
        <w:spacing w:after="0" w:line="240" w:lineRule="auto"/>
      </w:pPr>
      <w:r>
        <w:continuationSeparator/>
      </w:r>
    </w:p>
  </w:footnote>
  <w:footnote w:type="continuationNotice" w:id="1">
    <w:p w:rsidR="00CD09B5" w:rsidRPr="005B6D77" w:rsidRDefault="00CD09B5" w:rsidP="00BA5816">
      <w:pPr>
        <w:pStyle w:val="Footer"/>
        <w:spacing w:after="0"/>
        <w:ind w:right="0"/>
      </w:pPr>
    </w:p>
  </w:footnote>
  <w:footnote w:id="2">
    <w:p w:rsidR="001E3655" w:rsidRPr="00FA1A27" w:rsidRDefault="001E3655" w:rsidP="00C269AA">
      <w:pPr>
        <w:pStyle w:val="FoonoteText"/>
      </w:pPr>
      <w:r w:rsidRPr="00FA1A27">
        <w:rPr>
          <w:rStyle w:val="FootnoteReference"/>
          <w:rFonts w:asciiTheme="majorHAnsi" w:hAnsiTheme="majorHAnsi"/>
          <w:sz w:val="18"/>
        </w:rPr>
        <w:footnoteRef/>
      </w:r>
      <w:r w:rsidRPr="00FA1A27">
        <w:t xml:space="preserve"> The requirements of the OATT</w:t>
      </w:r>
      <w:r>
        <w:t>, which</w:t>
      </w:r>
      <w:r w:rsidRPr="00FA1A27">
        <w:t xml:space="preserve"> include Attachment K, the </w:t>
      </w:r>
      <w:r w:rsidRPr="00B873CB">
        <w:t>ISO Information Policy</w:t>
      </w:r>
      <w:r w:rsidRPr="00FA1A27">
        <w:t>, and interconnection procedures</w:t>
      </w:r>
      <w:r>
        <w:t>,</w:t>
      </w:r>
      <w:r w:rsidRPr="00FA1A27">
        <w:t xml:space="preserve"> </w:t>
      </w:r>
      <w:r w:rsidRPr="00E2436F">
        <w:t xml:space="preserve">address generator and elective upgrades. </w:t>
      </w:r>
      <w:r w:rsidRPr="00E2436F">
        <w:rPr>
          <w:i/>
        </w:rPr>
        <w:t xml:space="preserve">ISO New England Inc. Transmission, Markets, and Services Tariff </w:t>
      </w:r>
      <w:r w:rsidRPr="00E2436F">
        <w:t>(ISO tariff),</w:t>
      </w:r>
      <w:r w:rsidRPr="00FA1A27">
        <w:t xml:space="preserve"> Section II, </w:t>
      </w:r>
      <w:r w:rsidRPr="00FA1A27">
        <w:rPr>
          <w:i/>
        </w:rPr>
        <w:t xml:space="preserve">Open Access Transmission Tariff, </w:t>
      </w:r>
      <w:r w:rsidRPr="00FA1A27">
        <w:t>Attachment K, “Regional System Planning Process</w:t>
      </w:r>
      <w:r>
        <w:t>,</w:t>
      </w:r>
      <w:r w:rsidRPr="00FA1A27">
        <w:t xml:space="preserve">” </w:t>
      </w:r>
      <w:hyperlink r:id="rId1" w:history="1">
        <w:r w:rsidRPr="00FA1A27">
          <w:rPr>
            <w:rStyle w:val="Hyperlink"/>
          </w:rPr>
          <w:t>http://www.iso-ne.com/regulatory/tariff/sect_2/oatt/sect_ii.pdf</w:t>
        </w:r>
      </w:hyperlink>
      <w:hyperlink w:history="1"/>
      <w:r w:rsidRPr="00FA1A27">
        <w:t xml:space="preserve">. </w:t>
      </w:r>
      <w:proofErr w:type="gramStart"/>
      <w:r w:rsidRPr="00FA1A27">
        <w:t>ISO tariff, Attachment D, “ISO New England Information Policy</w:t>
      </w:r>
      <w:r>
        <w:t>,</w:t>
      </w:r>
      <w:r w:rsidRPr="00FA1A27">
        <w:t xml:space="preserve">” </w:t>
      </w:r>
      <w:hyperlink r:id="rId2" w:history="1">
        <w:r w:rsidRPr="0046195A">
          <w:rPr>
            <w:rStyle w:val="Hyperlink"/>
          </w:rPr>
          <w:t>http://www.iso-ne.com/static-assets/documents/regulatory/tariff/attach_d/attachment_d.pdf</w:t>
        </w:r>
      </w:hyperlink>
      <w:r w:rsidRPr="00FA1A27">
        <w:t>.</w:t>
      </w:r>
      <w:proofErr w:type="gramEnd"/>
      <w:r w:rsidRPr="00FA1A27">
        <w:t xml:space="preserve"> </w:t>
      </w:r>
    </w:p>
  </w:footnote>
  <w:footnote w:id="3">
    <w:p w:rsidR="001E3655" w:rsidRPr="005A0799" w:rsidRDefault="001E3655" w:rsidP="00C269AA">
      <w:pPr>
        <w:pStyle w:val="FoonoteText"/>
      </w:pPr>
      <w:r w:rsidRPr="00FA1A27">
        <w:rPr>
          <w:rStyle w:val="FootnoteReference"/>
          <w:rFonts w:asciiTheme="majorHAnsi" w:hAnsiTheme="majorHAnsi"/>
          <w:sz w:val="18"/>
        </w:rPr>
        <w:footnoteRef/>
      </w:r>
      <w:r w:rsidRPr="00FA1A27">
        <w:t xml:space="preserve"> RSP14 is based on the June 2014 </w:t>
      </w:r>
      <w:r w:rsidRPr="00FA1A27">
        <w:rPr>
          <w:i/>
        </w:rPr>
        <w:t>RSP Project List</w:t>
      </w:r>
      <w:r>
        <w:rPr>
          <w:i/>
        </w:rPr>
        <w:t xml:space="preserve"> </w:t>
      </w:r>
      <w:r w:rsidRPr="005C1414">
        <w:t>(</w:t>
      </w:r>
      <w:r>
        <w:t>XLS file),</w:t>
      </w:r>
      <w:r w:rsidRPr="00FA1A27">
        <w:rPr>
          <w:i/>
        </w:rPr>
        <w:t xml:space="preserve"> </w:t>
      </w:r>
      <w:hyperlink r:id="rId3" w:history="1">
        <w:r w:rsidRPr="0046195A">
          <w:rPr>
            <w:rStyle w:val="Hyperlink"/>
          </w:rPr>
          <w:t>http://www.iso-ne.com/system-planning/system-plans-studies/rsp</w:t>
        </w:r>
      </w:hyperlink>
      <w:r w:rsidRPr="005A0799">
        <w:t>.</w:t>
      </w:r>
    </w:p>
  </w:footnote>
  <w:footnote w:id="4">
    <w:p w:rsidR="001E3655" w:rsidRPr="00372FDE" w:rsidRDefault="001E3655" w:rsidP="00C269AA">
      <w:pPr>
        <w:pStyle w:val="FoonoteText"/>
      </w:pPr>
      <w:r w:rsidRPr="005A0799">
        <w:rPr>
          <w:rStyle w:val="FootnoteReference"/>
          <w:rFonts w:asciiTheme="majorHAnsi" w:hAnsiTheme="majorHAnsi"/>
          <w:sz w:val="18"/>
        </w:rPr>
        <w:footnoteRef/>
      </w:r>
      <w:r>
        <w:t xml:space="preserve"> </w:t>
      </w:r>
      <w:r w:rsidRPr="005A0799">
        <w:t xml:space="preserve">The NEPOOL stakeholder process provides advisory input on market, reliability, tariff, and OATT matters; however, the primary forum for regional system planning is the ISO’s Planning Advisory Committee (PAC). More information is available at </w:t>
      </w:r>
      <w:hyperlink r:id="rId4" w:history="1">
        <w:r w:rsidRPr="0046195A">
          <w:rPr>
            <w:rStyle w:val="Hyperlink"/>
          </w:rPr>
          <w:t>http://www.iso-ne.com/committees/participants/participants-committee</w:t>
        </w:r>
      </w:hyperlink>
      <w:r>
        <w:t xml:space="preserve"> and </w:t>
      </w:r>
      <w:hyperlink r:id="rId5" w:history="1">
        <w:r w:rsidRPr="0007463F">
          <w:rPr>
            <w:rStyle w:val="Hyperlink"/>
          </w:rPr>
          <w:t>http://www.iso-ne.com/committees/planning/planning-advisory</w:t>
        </w:r>
      </w:hyperlink>
      <w:r w:rsidRPr="005A0799">
        <w:t>.</w:t>
      </w:r>
    </w:p>
  </w:footnote>
  <w:footnote w:id="5">
    <w:p w:rsidR="001E3655" w:rsidRPr="00283D7A" w:rsidRDefault="001E3655" w:rsidP="00C269AA">
      <w:pPr>
        <w:pStyle w:val="FoonoteText"/>
      </w:pPr>
      <w:r w:rsidRPr="00372FDE">
        <w:rPr>
          <w:rStyle w:val="FootnoteReference"/>
          <w:rFonts w:asciiTheme="majorHAnsi" w:hAnsiTheme="majorHAnsi"/>
          <w:sz w:val="18"/>
        </w:rPr>
        <w:footnoteRef/>
      </w:r>
      <w:r w:rsidRPr="00372FDE">
        <w:t xml:space="preserve"> Past RSPs </w:t>
      </w:r>
      <w:proofErr w:type="gramStart"/>
      <w:r w:rsidRPr="00372FDE">
        <w:t>are archived</w:t>
      </w:r>
      <w:proofErr w:type="gramEnd"/>
      <w:r w:rsidRPr="00372FDE">
        <w:t xml:space="preserve"> at </w:t>
      </w:r>
      <w:hyperlink r:id="rId6" w:history="1">
        <w:r w:rsidRPr="00372FDE">
          <w:rPr>
            <w:rStyle w:val="Hyperlink"/>
          </w:rPr>
          <w:t>http://www.iso-ne.com/trans/rsp/index.html</w:t>
        </w:r>
      </w:hyperlink>
      <w:r w:rsidRPr="00372FDE">
        <w:t xml:space="preserve">. For access to supporting reports, contact </w:t>
      </w:r>
      <w:r w:rsidRPr="00283D7A">
        <w:t xml:space="preserve">ISO Customer Service at 413-540-4220. </w:t>
      </w:r>
    </w:p>
  </w:footnote>
  <w:footnote w:id="6">
    <w:p w:rsidR="001E3655" w:rsidRPr="00DC7A53" w:rsidRDefault="001E3655" w:rsidP="00C269AA">
      <w:pPr>
        <w:pStyle w:val="FootnoteText"/>
      </w:pPr>
      <w:r w:rsidRPr="00283D7A">
        <w:rPr>
          <w:rStyle w:val="FootnoteReference"/>
          <w:rFonts w:asciiTheme="majorHAnsi" w:hAnsiTheme="majorHAnsi"/>
          <w:sz w:val="18"/>
        </w:rPr>
        <w:footnoteRef/>
      </w:r>
      <w:r w:rsidRPr="00283D7A">
        <w:t xml:space="preserve"> Supporting information and some supplements to the RSP statistics, such as import and export figures, are available at </w:t>
      </w:r>
      <w:r w:rsidRPr="00283D7A">
        <w:rPr>
          <w:i/>
        </w:rPr>
        <w:t>New England 2014 Regional System Plan (RSP14) Load, Energy and Capacity Resource Overview</w:t>
      </w:r>
      <w:r w:rsidRPr="00283D7A">
        <w:rPr>
          <w:rFonts w:ascii="Calibri" w:eastAsiaTheme="minorHAnsi" w:hAnsi="Calibri"/>
          <w:color w:val="0082CF"/>
          <w:sz w:val="64"/>
          <w:szCs w:val="64"/>
        </w:rPr>
        <w:t xml:space="preserve"> </w:t>
      </w:r>
      <w:r w:rsidRPr="00283D7A">
        <w:t xml:space="preserve">(April 29, 2014), </w:t>
      </w:r>
      <w:hyperlink r:id="rId7" w:history="1">
        <w:r w:rsidRPr="0046195A">
          <w:rPr>
            <w:rStyle w:val="Hyperlink"/>
          </w:rPr>
          <w:t>http://www.iso-ne.com/committees/comm_wkgrps/prtcpnts_comm/pac/mtrls/2014/apr292014/a4_rsp14_load_and_capacity_resource_overview.pdf</w:t>
        </w:r>
      </w:hyperlink>
      <w:r w:rsidRPr="00DC7A53">
        <w:t>.</w:t>
      </w:r>
    </w:p>
  </w:footnote>
  <w:footnote w:id="7">
    <w:p w:rsidR="001E3655" w:rsidRDefault="001E3655" w:rsidP="00C269AA">
      <w:pPr>
        <w:pStyle w:val="FootnoteText"/>
      </w:pPr>
      <w:r w:rsidRPr="00DC7A53">
        <w:rPr>
          <w:rStyle w:val="FootnoteReference"/>
        </w:rPr>
        <w:footnoteRef/>
      </w:r>
      <w:r w:rsidRPr="00DC7A53">
        <w:t xml:space="preserve"> The mix of capacity resources could change. Updates are included in the ISO’s monthly chief operating officer (COO) report to the NEPOOL Participants Committee</w:t>
      </w:r>
      <w:proofErr w:type="gramStart"/>
      <w:r w:rsidRPr="00DC7A53">
        <w:t>;</w:t>
      </w:r>
      <w:proofErr w:type="gramEnd"/>
      <w:r w:rsidRPr="00DC7A53">
        <w:t xml:space="preserve"> </w:t>
      </w:r>
      <w:hyperlink r:id="rId8" w:history="1">
        <w:r w:rsidRPr="003E6F2C">
          <w:rPr>
            <w:rStyle w:val="Hyperlink"/>
          </w:rPr>
          <w:t>http://www.iso-ne.com/committees/comm_wkgrps/prtcpnts_comm/prtcpnts/mtrls/index.html.</w:t>
        </w:r>
      </w:hyperlink>
    </w:p>
  </w:footnote>
  <w:footnote w:id="8">
    <w:p w:rsidR="001E3655" w:rsidRPr="00372FDE" w:rsidRDefault="001E3655" w:rsidP="00C269AA">
      <w:pPr>
        <w:pStyle w:val="FoonoteText"/>
      </w:pPr>
      <w:r w:rsidRPr="00372FDE">
        <w:rPr>
          <w:rStyle w:val="FootnoteReference"/>
          <w:rFonts w:asciiTheme="majorHAnsi" w:hAnsiTheme="majorHAnsi"/>
          <w:sz w:val="18"/>
        </w:rPr>
        <w:footnoteRef/>
      </w:r>
      <w:r w:rsidRPr="00372FDE">
        <w:t xml:space="preserve"> PAC materials and meeting minutes are available at </w:t>
      </w:r>
      <w:hyperlink r:id="rId9" w:history="1">
        <w:r w:rsidRPr="00372FDE">
          <w:rPr>
            <w:rStyle w:val="Hyperlink"/>
          </w:rPr>
          <w:t>http://www.iso-ne.com/committees/comm_wkgrps/prtcpnts_comm/pac/index.html</w:t>
        </w:r>
      </w:hyperlink>
      <w:r w:rsidRPr="00372FDE">
        <w:t xml:space="preserve">. For access to PAC critical energy infrastructure information (CEII), complete the PAC Access Request Form at </w:t>
      </w:r>
      <w:hyperlink r:id="rId10" w:history="1">
        <w:r w:rsidRPr="00B25BF0">
          <w:rPr>
            <w:rStyle w:val="Hyperlink"/>
          </w:rPr>
          <w:t>http://www.iso-ne.com/participate/support/request-information</w:t>
        </w:r>
      </w:hyperlink>
      <w:r>
        <w:t xml:space="preserve"> </w:t>
      </w:r>
      <w:r w:rsidRPr="00372FDE">
        <w:t xml:space="preserve">and mail to ISO New England Inc., Attn: Customer Support, One Sullivan Road, Holyoke, MA 01040-2841, or email the PDF file to </w:t>
      </w:r>
      <w:hyperlink r:id="rId11" w:history="1">
        <w:r w:rsidRPr="00372FDE">
          <w:rPr>
            <w:rStyle w:val="Hyperlink"/>
          </w:rPr>
          <w:t>custserv@iso-ne.com</w:t>
        </w:r>
      </w:hyperlink>
      <w:r w:rsidRPr="00372FDE">
        <w:t>.</w:t>
      </w:r>
    </w:p>
  </w:footnote>
  <w:footnote w:id="9">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A </w:t>
      </w:r>
      <w:r w:rsidRPr="00372FDE">
        <w:rPr>
          <w:i/>
        </w:rPr>
        <w:t xml:space="preserve">demand resource </w:t>
      </w:r>
      <w:r w:rsidRPr="00372FDE">
        <w:t xml:space="preserve">is a capacity product, type of equipment, system, service, practice, or strategy that verifiably reduces end-use demand for electricity from the power system. </w:t>
      </w:r>
    </w:p>
  </w:footnote>
  <w:footnote w:id="10">
    <w:p w:rsidR="001E3655" w:rsidRPr="00372FDE" w:rsidRDefault="001E3655" w:rsidP="00C269AA">
      <w:pPr>
        <w:pStyle w:val="FoonoteText"/>
      </w:pPr>
      <w:r w:rsidRPr="00372FDE">
        <w:rPr>
          <w:rStyle w:val="FootnoteReference"/>
          <w:rFonts w:asciiTheme="majorHAnsi" w:hAnsiTheme="majorHAnsi"/>
          <w:sz w:val="18"/>
        </w:rPr>
        <w:footnoteRef/>
      </w:r>
      <w:r w:rsidRPr="00372FDE">
        <w:t xml:space="preserve"> Meeting materials, notes, and meeting dates for discussing the Strategic Planning Initiative are available at </w:t>
      </w:r>
      <w:hyperlink r:id="rId12" w:history="1">
        <w:r w:rsidRPr="00372FDE">
          <w:rPr>
            <w:rStyle w:val="Hyperlink"/>
          </w:rPr>
          <w:t>http://www.iso-ne.com/committees/comm_wkgrps/strategic_planning_discussion/index.html</w:t>
        </w:r>
      </w:hyperlink>
      <w:r w:rsidRPr="00372FDE">
        <w:t xml:space="preserve">. </w:t>
      </w:r>
    </w:p>
  </w:footnote>
  <w:footnote w:id="11">
    <w:p w:rsidR="001E3655" w:rsidRDefault="001E3655" w:rsidP="00C269AA">
      <w:pPr>
        <w:pStyle w:val="FootnoteText"/>
      </w:pPr>
      <w:r>
        <w:rPr>
          <w:rStyle w:val="FootnoteReference"/>
        </w:rPr>
        <w:footnoteRef/>
      </w:r>
      <w:r>
        <w:t xml:space="preserve"> </w:t>
      </w:r>
      <w:r w:rsidRPr="00372FDE">
        <w:t xml:space="preserve">PAC materials and meeting minutes are available at </w:t>
      </w:r>
      <w:hyperlink r:id="rId13" w:history="1">
        <w:r w:rsidRPr="00372FDE">
          <w:rPr>
            <w:rStyle w:val="Hyperlink"/>
          </w:rPr>
          <w:t>http://www.iso-ne.com/committees/comm_wkgrps/prtcpnts_comm/pac/index.html</w:t>
        </w:r>
      </w:hyperlink>
      <w:r w:rsidRPr="00372FDE">
        <w:t xml:space="preserve">. For access to PAC critical energy infrastructure information (CEII), complete the PAC Access Request Form at </w:t>
      </w:r>
      <w:hyperlink r:id="rId14" w:history="1">
        <w:r w:rsidRPr="00F70B1A">
          <w:rPr>
            <w:rStyle w:val="Hyperlink"/>
          </w:rPr>
          <w:t>http://www.iso-ne.com/participate/support/request-information</w:t>
        </w:r>
      </w:hyperlink>
      <w:r w:rsidRPr="00372FDE">
        <w:t xml:space="preserve"> and mail to ISO New England Inc., Attn: Customer Support, One Sullivan Road, Holyoke, MA 01040-2841, or email the PDF file to </w:t>
      </w:r>
      <w:hyperlink r:id="rId15" w:history="1">
        <w:r w:rsidRPr="00372FDE">
          <w:rPr>
            <w:rStyle w:val="Hyperlink"/>
          </w:rPr>
          <w:t>custserv@iso-ne.com</w:t>
        </w:r>
      </w:hyperlink>
      <w:r w:rsidRPr="00372FDE">
        <w:t>.</w:t>
      </w:r>
      <w:r>
        <w:t xml:space="preserve"> </w:t>
      </w:r>
    </w:p>
  </w:footnote>
  <w:footnote w:id="12">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w:t>
      </w:r>
      <w:proofErr w:type="gramStart"/>
      <w:r w:rsidRPr="009431A0">
        <w:rPr>
          <w:i/>
        </w:rPr>
        <w:t xml:space="preserve">ISO New England Inc. Transmission, Markets, and Services Tariff </w:t>
      </w:r>
      <w:r w:rsidRPr="009431A0">
        <w:t xml:space="preserve">(ISO tariff), Section II, </w:t>
      </w:r>
      <w:r w:rsidRPr="009431A0">
        <w:rPr>
          <w:i/>
        </w:rPr>
        <w:t xml:space="preserve">Open Access Transmission Tariff, </w:t>
      </w:r>
      <w:hyperlink r:id="rId16" w:history="1">
        <w:r w:rsidRPr="009431A0">
          <w:rPr>
            <w:rStyle w:val="Hyperlink"/>
          </w:rPr>
          <w:t>http://www.iso-ne.com/regulatory/tariff/sect_2/oatt/sect_ii.pdf</w:t>
        </w:r>
      </w:hyperlink>
      <w:hyperlink w:history="1"/>
      <w:r w:rsidRPr="009431A0">
        <w:t>.</w:t>
      </w:r>
      <w:proofErr w:type="gramEnd"/>
      <w:r w:rsidRPr="009431A0">
        <w:t xml:space="preserve"> More information </w:t>
      </w:r>
      <w:r w:rsidRPr="006229A8">
        <w:t xml:space="preserve">on NEPOOL </w:t>
      </w:r>
      <w:r w:rsidRPr="009431A0">
        <w:t xml:space="preserve">is available at </w:t>
      </w:r>
      <w:hyperlink r:id="rId17" w:history="1">
        <w:r w:rsidRPr="00E70888">
          <w:rPr>
            <w:rStyle w:val="Hyperlink"/>
          </w:rPr>
          <w:t>http://www.iso-ne.com/committees/participants/participants-committee</w:t>
        </w:r>
      </w:hyperlink>
      <w:r w:rsidRPr="009431A0">
        <w:t>.</w:t>
      </w:r>
    </w:p>
  </w:footnote>
  <w:footnote w:id="13">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FERC, </w:t>
      </w:r>
      <w:r w:rsidRPr="00372FDE">
        <w:rPr>
          <w:i/>
        </w:rPr>
        <w:t>Order on Compliance Filings</w:t>
      </w:r>
      <w:r w:rsidRPr="00372FDE">
        <w:t xml:space="preserve"> (May 17, 2013), </w:t>
      </w:r>
      <w:hyperlink r:id="rId18" w:history="1">
        <w:r w:rsidRPr="00793D8D">
          <w:rPr>
            <w:rStyle w:val="Hyperlink"/>
          </w:rPr>
          <w:t>http://www.iso-ne.com/static-assets/documents/regulatory/ferc/orders/2013/may/er13_193_er13_196_5_17_13_order_on_order_1000_compliance_filings.pdf</w:t>
        </w:r>
      </w:hyperlink>
      <w:r w:rsidRPr="00372FDE">
        <w:t>.</w:t>
      </w:r>
      <w:proofErr w:type="gramEnd"/>
      <w:r w:rsidRPr="00372FDE">
        <w:t xml:space="preserve"> </w:t>
      </w:r>
      <w:proofErr w:type="gramStart"/>
      <w:r w:rsidRPr="00372FDE">
        <w:t xml:space="preserve">“Transmission Operating Agreements,” webpage, </w:t>
      </w:r>
      <w:hyperlink r:id="rId19" w:history="1">
        <w:r w:rsidRPr="00F70B1A">
          <w:rPr>
            <w:rStyle w:val="Hyperlink"/>
          </w:rPr>
          <w:t>http://www.iso-ne.com/static-assets/documents/regulatory/ferc/orders/2013/may/er13_193_er13_196_5_17_13_order_on_order_1000_compliance_filings.pdf</w:t>
        </w:r>
      </w:hyperlink>
      <w:r w:rsidRPr="00372FDE">
        <w:t>.</w:t>
      </w:r>
      <w:proofErr w:type="gramEnd"/>
      <w:r w:rsidRPr="00372FDE">
        <w:t xml:space="preserve"> </w:t>
      </w:r>
    </w:p>
  </w:footnote>
  <w:footnote w:id="14">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w:t>
      </w:r>
      <w:proofErr w:type="gramStart"/>
      <w:r w:rsidRPr="00372FDE">
        <w:t>ISO tariff</w:t>
      </w:r>
      <w:r>
        <w:t xml:space="preserve"> </w:t>
      </w:r>
      <w:r w:rsidRPr="00372FDE">
        <w:t xml:space="preserve">(2014), </w:t>
      </w:r>
      <w:hyperlink r:id="rId20" w:history="1">
        <w:r w:rsidRPr="00372FDE">
          <w:rPr>
            <w:rStyle w:val="Hyperlink"/>
          </w:rPr>
          <w:t>http://www.iso-ne.com/regulatory/tariff/index.html</w:t>
        </w:r>
      </w:hyperlink>
      <w:hyperlink w:history="1"/>
      <w:r w:rsidRPr="00372FDE">
        <w:t>.</w:t>
      </w:r>
      <w:proofErr w:type="gramEnd"/>
    </w:p>
  </w:footnote>
  <w:footnote w:id="15">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Information on NERC requirements is available at </w:t>
      </w:r>
      <w:hyperlink r:id="rId21" w:history="1">
        <w:r w:rsidRPr="00372FDE">
          <w:rPr>
            <w:rStyle w:val="Hyperlink"/>
          </w:rPr>
          <w:t>http://www.nerc.com</w:t>
        </w:r>
      </w:hyperlink>
      <w:r w:rsidRPr="00372FDE">
        <w:t xml:space="preserve">. Information on NPCC is available at </w:t>
      </w:r>
      <w:hyperlink r:id="rId22" w:history="1">
        <w:r w:rsidRPr="00372FDE">
          <w:rPr>
            <w:rStyle w:val="Hyperlink"/>
          </w:rPr>
          <w:t>http://www.npcc.org/</w:t>
        </w:r>
      </w:hyperlink>
      <w:r w:rsidRPr="00372FDE">
        <w:t xml:space="preserve">. An NPCC compliance audit conducted from March 12 through March 15, 2012, showed no ISO violations of any standards and requirements. </w:t>
      </w:r>
    </w:p>
  </w:footnote>
  <w:footnote w:id="16">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ISO tariff Section II, </w:t>
      </w:r>
      <w:r w:rsidRPr="00372FDE">
        <w:rPr>
          <w:i/>
        </w:rPr>
        <w:t xml:space="preserve">Open Access Transmission Tariff, </w:t>
      </w:r>
      <w:r w:rsidRPr="00372FDE">
        <w:t xml:space="preserve">Attachment K, “Regional System Planning Process” (January 1, 2014), </w:t>
      </w:r>
      <w:hyperlink r:id="rId23" w:history="1">
        <w:r w:rsidRPr="00372FDE">
          <w:rPr>
            <w:rStyle w:val="Hyperlink"/>
          </w:rPr>
          <w:t>http://www.iso-ne.com/regulatory/tariff/sect_2/oatt/sect_ii.pdf</w:t>
        </w:r>
      </w:hyperlink>
      <w:r w:rsidRPr="00372FDE">
        <w:t>.</w:t>
      </w:r>
      <w:hyperlink w:history="1"/>
      <w:hyperlink w:history="1"/>
    </w:p>
  </w:footnote>
  <w:footnote w:id="17">
    <w:p w:rsidR="001E3655" w:rsidRPr="00A92103" w:rsidRDefault="001E3655" w:rsidP="00C269AA">
      <w:pPr>
        <w:pStyle w:val="FootnoteText"/>
      </w:pPr>
      <w:r w:rsidRPr="00372FDE">
        <w:rPr>
          <w:rStyle w:val="FootnoteReference"/>
          <w:rFonts w:asciiTheme="majorHAnsi" w:hAnsiTheme="majorHAnsi"/>
          <w:sz w:val="18"/>
        </w:rPr>
        <w:footnoteRef/>
      </w:r>
      <w:r w:rsidRPr="00372FDE">
        <w:t xml:space="preserve"> A </w:t>
      </w:r>
      <w:r w:rsidRPr="00372FDE">
        <w:rPr>
          <w:i/>
        </w:rPr>
        <w:t>load pocket</w:t>
      </w:r>
      <w:r w:rsidRPr="00372FDE">
        <w:t xml:space="preserve"> is an area of the system that requires local generation to meet demand because the transfer capability of the transmission system is insufficient to serve the load in that area.</w:t>
      </w:r>
    </w:p>
  </w:footnote>
  <w:footnote w:id="18">
    <w:p w:rsidR="001E3655" w:rsidRPr="00372FDE" w:rsidRDefault="001E3655" w:rsidP="00C269AA">
      <w:pPr>
        <w:pStyle w:val="FoonoteText"/>
      </w:pPr>
      <w:r w:rsidRPr="00372FDE">
        <w:rPr>
          <w:rStyle w:val="FootnoteReference"/>
          <w:rFonts w:asciiTheme="majorHAnsi" w:hAnsiTheme="majorHAnsi"/>
          <w:sz w:val="18"/>
        </w:rPr>
        <w:footnoteRef/>
      </w:r>
      <w:r w:rsidRPr="00372FDE">
        <w:t xml:space="preserve"> The </w:t>
      </w:r>
      <w:r w:rsidRPr="00372FDE">
        <w:rPr>
          <w:i/>
        </w:rPr>
        <w:t>Eastern Interconnection</w:t>
      </w:r>
      <w:r w:rsidRPr="00372FDE">
        <w:t xml:space="preserve"> consists of the interconnected transmission and distribution infrastructure that synchronously operates east of the Rocky Mountains, excluding the portion of the system located in the Electric Reliability Council of Texas (ERCOT)</w:t>
      </w:r>
      <w:r>
        <w:t>, Newfoundland, Labrador,</w:t>
      </w:r>
      <w:r w:rsidRPr="00372FDE">
        <w:t xml:space="preserve"> and Québec. </w:t>
      </w:r>
    </w:p>
  </w:footnote>
  <w:footnote w:id="19">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A </w:t>
      </w:r>
      <w:r w:rsidRPr="00372FDE">
        <w:rPr>
          <w:i/>
        </w:rPr>
        <w:t>distributed generation</w:t>
      </w:r>
      <w:r w:rsidRPr="00372FDE">
        <w:t xml:space="preserve"> resource is generation provided by a relatively small, on-site installation directly connected to a distribution facility or retail customer facility and not the regional power system (i.e., it is “behind the meter”), which can alleviate or prevent regional power system transmission or distribution constraints or reduce or eliminate the need to install new transmission or distribution facilities. A small (24 kilowatt) solar photovoltaic system installed by a retail customer is an example of distributed generation.</w:t>
      </w:r>
    </w:p>
  </w:footnote>
  <w:footnote w:id="20">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w:t>
      </w:r>
      <w:proofErr w:type="gramStart"/>
      <w:r>
        <w:t xml:space="preserve">“Status of </w:t>
      </w:r>
      <w:proofErr w:type="spellStart"/>
      <w:r>
        <w:t>Nonprice</w:t>
      </w:r>
      <w:proofErr w:type="spellEnd"/>
      <w:r>
        <w:t xml:space="preserve"> Retirement Requests,” webpage, </w:t>
      </w:r>
      <w:hyperlink r:id="rId24" w:history="1">
        <w:r w:rsidRPr="00D85F24">
          <w:rPr>
            <w:rStyle w:val="Hyperlink"/>
          </w:rPr>
          <w:t>http://www.iso-ne.com/genrtion_resrcs/reports/sts_non_retrmnt_rqst/</w:t>
        </w:r>
      </w:hyperlink>
      <w:r>
        <w:t>.</w:t>
      </w:r>
      <w:proofErr w:type="gramEnd"/>
      <w:r>
        <w:t xml:space="preserve"> </w:t>
      </w:r>
      <w:r w:rsidRPr="00372FDE">
        <w:t xml:space="preserve">An existing resource can submit a </w:t>
      </w:r>
      <w:r w:rsidRPr="00372FDE">
        <w:rPr>
          <w:i/>
        </w:rPr>
        <w:t>delist bid</w:t>
      </w:r>
      <w:r w:rsidRPr="00372FDE">
        <w:t xml:space="preserve"> for opting out of the capacity market for one year or permanently if the Forward Capacity Auction were to fall below a certain price. Several types of delist bids exist. A </w:t>
      </w:r>
      <w:proofErr w:type="spellStart"/>
      <w:r w:rsidRPr="00372FDE">
        <w:rPr>
          <w:i/>
        </w:rPr>
        <w:t>nonprice</w:t>
      </w:r>
      <w:proofErr w:type="spellEnd"/>
      <w:r w:rsidRPr="00372FDE">
        <w:rPr>
          <w:i/>
        </w:rPr>
        <w:t xml:space="preserve"> retirement request </w:t>
      </w:r>
      <w:r w:rsidRPr="00372FDE">
        <w:t xml:space="preserve">is an irrevocable request to retire all or a portion of a resource. This type of </w:t>
      </w:r>
      <w:r>
        <w:t>request</w:t>
      </w:r>
      <w:r w:rsidRPr="00372FDE">
        <w:t xml:space="preserve">, which supersedes any delist bids submitted, </w:t>
      </w:r>
      <w:r>
        <w:t>is</w:t>
      </w:r>
      <w:r w:rsidRPr="00372FDE">
        <w:t xml:space="preserve"> subject to a review for reliability impacts. If the ISO notifies a resource owner of a reliability need for the resource, the resource owner has the option to retire the resource as requested or continue to operate it until the reliability need </w:t>
      </w:r>
      <w:proofErr w:type="gramStart"/>
      <w:r w:rsidRPr="00372FDE">
        <w:t>has been met</w:t>
      </w:r>
      <w:proofErr w:type="gramEnd"/>
      <w:r>
        <w:t xml:space="preserve">, after which </w:t>
      </w:r>
      <w:r w:rsidRPr="00372FDE">
        <w:t>the resource must retire. For more information on delist bids</w:t>
      </w:r>
      <w:r>
        <w:t xml:space="preserve"> and </w:t>
      </w:r>
      <w:proofErr w:type="spellStart"/>
      <w:r>
        <w:t>nonprice</w:t>
      </w:r>
      <w:proofErr w:type="spellEnd"/>
      <w:r>
        <w:t xml:space="preserve"> retirement requests</w:t>
      </w:r>
      <w:r w:rsidRPr="00372FDE">
        <w:t xml:space="preserve">, refer to the ISO’s </w:t>
      </w:r>
      <w:r w:rsidRPr="00372FDE">
        <w:rPr>
          <w:i/>
        </w:rPr>
        <w:t>Overview of New England's Wholesale Electricity Markets</w:t>
      </w:r>
      <w:r>
        <w:rPr>
          <w:i/>
        </w:rPr>
        <w:t xml:space="preserve"> and </w:t>
      </w:r>
      <w:r w:rsidRPr="00372FDE">
        <w:rPr>
          <w:i/>
        </w:rPr>
        <w:t>Market Oversight</w:t>
      </w:r>
      <w:r w:rsidRPr="00372FDE">
        <w:t xml:space="preserve"> (May 6, 201</w:t>
      </w:r>
      <w:r>
        <w:t>4</w:t>
      </w:r>
      <w:r w:rsidRPr="00372FDE">
        <w:t xml:space="preserve">), </w:t>
      </w:r>
      <w:hyperlink r:id="rId25" w:history="1">
        <w:r w:rsidRPr="00F70B1A">
          <w:rPr>
            <w:rStyle w:val="Hyperlink"/>
          </w:rPr>
          <w:t>http://www.iso-ne.com/static-assets/documents/pubs/spcl_rpts/2014/2014_market_overview_050614.pdf</w:t>
        </w:r>
      </w:hyperlink>
      <w:r w:rsidRPr="00372FDE">
        <w:t>.</w:t>
      </w:r>
      <w:r>
        <w:t xml:space="preserve"> </w:t>
      </w:r>
    </w:p>
  </w:footnote>
  <w:footnote w:id="21">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The </w:t>
      </w:r>
      <w:r w:rsidRPr="00372FDE">
        <w:rPr>
          <w:i/>
        </w:rPr>
        <w:t>ISO’s Generator Interconnection Queue</w:t>
      </w:r>
      <w:r w:rsidRPr="00372FDE">
        <w:t xml:space="preserve"> includes the requests that generators submit to ISO New England to interconnect to the ISO-administered transmission system. </w:t>
      </w:r>
    </w:p>
  </w:footnote>
  <w:footnote w:id="22">
    <w:p w:rsidR="001E3655" w:rsidRDefault="001E3655" w:rsidP="00C269AA">
      <w:pPr>
        <w:pStyle w:val="FootnoteText"/>
      </w:pPr>
      <w:r w:rsidRPr="00C63ED2">
        <w:rPr>
          <w:rStyle w:val="FootnoteReference"/>
        </w:rPr>
        <w:footnoteRef/>
      </w:r>
      <w:r w:rsidRPr="00C63ED2">
        <w:t xml:space="preserve"> The FCM reconfiguration auctions take place before and during the capacity commitment period (i.e., June 1 through May 31 of the following year) to allow participants to buy and sell capacity obligations and adjust their </w:t>
      </w:r>
      <w:r w:rsidRPr="00203B33">
        <w:t>positions.</w:t>
      </w:r>
    </w:p>
  </w:footnote>
  <w:footnote w:id="23">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Information on the January 2004 cold snap is available </w:t>
      </w:r>
      <w:r>
        <w:t xml:space="preserve">in the </w:t>
      </w:r>
      <w:r w:rsidRPr="00BF7F91">
        <w:rPr>
          <w:i/>
        </w:rPr>
        <w:t>2005 Regional System Plan</w:t>
      </w:r>
      <w:r>
        <w:t xml:space="preserve">, Section 5.1.2, </w:t>
      </w:r>
      <w:r w:rsidRPr="00372FDE">
        <w:t xml:space="preserve">at </w:t>
      </w:r>
      <w:hyperlink r:id="rId26" w:history="1">
        <w:r w:rsidRPr="00B25BF0">
          <w:rPr>
            <w:rStyle w:val="Hyperlink"/>
          </w:rPr>
          <w:t>https://smd.iso-ne.com/trans/sys_studies/rsp_docs/rpts/2005/102005_RSP05_Final.pdf</w:t>
        </w:r>
      </w:hyperlink>
      <w:r>
        <w:t xml:space="preserve">. </w:t>
      </w:r>
      <w:r w:rsidRPr="00F70B1A">
        <w:t xml:space="preserve">Section </w:t>
      </w:r>
      <w:r w:rsidR="00927965">
        <w:fldChar w:fldCharType="begin"/>
      </w:r>
      <w:r>
        <w:instrText xml:space="preserve"> REF _Ref388448569 \r \h </w:instrText>
      </w:r>
      <w:r w:rsidR="00927965">
        <w:fldChar w:fldCharType="separate"/>
      </w:r>
      <w:r>
        <w:t>6.2.2</w:t>
      </w:r>
      <w:r w:rsidR="00927965">
        <w:fldChar w:fldCharType="end"/>
      </w:r>
      <w:r w:rsidRPr="00372FDE">
        <w:t xml:space="preserve"> </w:t>
      </w:r>
      <w:r>
        <w:t xml:space="preserve">of this report </w:t>
      </w:r>
      <w:r w:rsidRPr="00372FDE">
        <w:t xml:space="preserve">contains additional details on 2013/2014 winter natural gas supply constraints. Also refer to the ISO’s </w:t>
      </w:r>
      <w:r w:rsidRPr="00372FDE">
        <w:rPr>
          <w:i/>
        </w:rPr>
        <w:t xml:space="preserve">2013 Annual Markets Report </w:t>
      </w:r>
      <w:r w:rsidRPr="00372FDE">
        <w:t xml:space="preserve">(AMR13), Section 2.1.3.4 (May 6, 2014), </w:t>
      </w:r>
      <w:hyperlink r:id="rId27" w:history="1">
        <w:r w:rsidRPr="00372FDE">
          <w:rPr>
            <w:rStyle w:val="Hyperlink"/>
          </w:rPr>
          <w:t>http://www.iso-ne.com/markets/mkt_anlys_rpts/annl_mkt_rpts/2013/2013_amr_final_050614.pdf</w:t>
        </w:r>
      </w:hyperlink>
      <w:r w:rsidRPr="00372FDE">
        <w:t>.</w:t>
      </w:r>
    </w:p>
  </w:footnote>
  <w:footnote w:id="24">
    <w:p w:rsidR="001E3655" w:rsidRDefault="001E3655" w:rsidP="00C269AA">
      <w:pPr>
        <w:pStyle w:val="FoonoteText"/>
      </w:pPr>
      <w:r w:rsidRPr="004D2ADE">
        <w:rPr>
          <w:rStyle w:val="FootnoteReference"/>
        </w:rPr>
        <w:footnoteRef/>
      </w:r>
      <w:r w:rsidRPr="004D2ADE">
        <w:t xml:space="preserve"> ICF International, </w:t>
      </w:r>
      <w:r w:rsidRPr="004D2ADE">
        <w:rPr>
          <w:i/>
        </w:rPr>
        <w:t>Assessment of New England’s Natural Gas Pipeline Capacity to Satisfy Short and Near-Term Electric Generation Needs: Phase II</w:t>
      </w:r>
      <w:r w:rsidRPr="004D2ADE">
        <w:t>, PAC presentation (December 18, 2013)</w:t>
      </w:r>
      <w:r>
        <w:t>,</w:t>
      </w:r>
      <w:r w:rsidRPr="004D2ADE">
        <w:t xml:space="preserve"> </w:t>
      </w:r>
      <w:hyperlink r:id="rId28" w:history="1">
        <w:r w:rsidRPr="004D2ADE">
          <w:rPr>
            <w:rStyle w:val="Hyperlink"/>
          </w:rPr>
          <w:t>http://www.iso-ne.com/committees/comm_wkgrps/prtcpnts_comm/pac/mtrls/2013/dec182013/a3_draft_icf_phase_2_gas_study_report_without_appendices.pdf</w:t>
        </w:r>
      </w:hyperlink>
      <w:r w:rsidRPr="004D2ADE">
        <w:t>.</w:t>
      </w:r>
    </w:p>
  </w:footnote>
  <w:footnote w:id="25">
    <w:p w:rsidR="001E3655" w:rsidRPr="00BF7F91" w:rsidRDefault="001E3655" w:rsidP="00C269AA">
      <w:pPr>
        <w:pStyle w:val="FootnoteText"/>
      </w:pPr>
      <w:r w:rsidRPr="00BF7F91">
        <w:rPr>
          <w:rStyle w:val="FootnoteReference"/>
        </w:rPr>
        <w:footnoteRef/>
      </w:r>
      <w:r w:rsidRPr="00BF7F91">
        <w:t xml:space="preserve"> A </w:t>
      </w:r>
      <w:r w:rsidRPr="00BF7F91">
        <w:rPr>
          <w:i/>
        </w:rPr>
        <w:t>planned outage</w:t>
      </w:r>
      <w:r w:rsidRPr="00BF7F91">
        <w:t xml:space="preserve"> is the scheduled inoperability of a generator, generally to perform maintenance. </w:t>
      </w:r>
      <w:proofErr w:type="gramStart"/>
      <w:r w:rsidRPr="00BF7F91">
        <w:t xml:space="preserve">A </w:t>
      </w:r>
      <w:r w:rsidRPr="00BF7F91">
        <w:rPr>
          <w:i/>
        </w:rPr>
        <w:t>forced outage</w:t>
      </w:r>
      <w:r w:rsidRPr="00BF7F91">
        <w:t xml:space="preserve"> is a type of unplanned outage that involves the unexpected removal from service of a generating unit, transmission facility, or other facility or portion of a facility due to an emergency failure or the discovery of a problem that needs to be repaired as soon as any combination of crews, equipment, or corrective dispatch actions can be put in place to allow the work to be performed.</w:t>
      </w:r>
      <w:proofErr w:type="gramEnd"/>
      <w:r w:rsidRPr="00BF7F91">
        <w:t xml:space="preserve"> </w:t>
      </w:r>
    </w:p>
  </w:footnote>
  <w:footnote w:id="26">
    <w:p w:rsidR="001E3655" w:rsidRDefault="001E3655" w:rsidP="00C269AA">
      <w:pPr>
        <w:pStyle w:val="FootnoteText"/>
      </w:pPr>
      <w:r w:rsidRPr="00BF7F91">
        <w:rPr>
          <w:rStyle w:val="FootnoteReference"/>
        </w:rPr>
        <w:footnoteRef/>
      </w:r>
      <w:r w:rsidRPr="00BF7F91">
        <w:t xml:space="preserve"> An </w:t>
      </w:r>
      <w:r w:rsidRPr="00BF7F91">
        <w:rPr>
          <w:i/>
        </w:rPr>
        <w:t>Elective Transmission Upgrade</w:t>
      </w:r>
      <w:r w:rsidRPr="00BF7F91">
        <w:t xml:space="preserve"> is an upgrade or interconnection to the pool transmission facilities that are part of the New England transmission system, voluntarily funded by an entity or entities that have agreed to pay for all the costs of the upgrade.</w:t>
      </w:r>
    </w:p>
  </w:footnote>
  <w:footnote w:id="27">
    <w:p w:rsidR="001E3655" w:rsidRPr="00D60C53" w:rsidRDefault="001E3655" w:rsidP="00C269AA">
      <w:pPr>
        <w:pStyle w:val="FootnoteText"/>
      </w:pPr>
      <w:r w:rsidRPr="005550C5">
        <w:rPr>
          <w:rStyle w:val="FootnoteReference"/>
        </w:rPr>
        <w:footnoteRef/>
      </w:r>
      <w:r w:rsidRPr="005550C5">
        <w:t xml:space="preserve"> </w:t>
      </w:r>
      <w:proofErr w:type="gramStart"/>
      <w:r w:rsidRPr="005550C5">
        <w:rPr>
          <w:i/>
        </w:rPr>
        <w:t>Strategic Transmission Analysis: Wind Integration Study—Stage 1—Maine, Regional Constraints</w:t>
      </w:r>
      <w:r w:rsidRPr="005550C5">
        <w:t xml:space="preserve">, PAC presentation (May 21, 2014), </w:t>
      </w:r>
      <w:hyperlink r:id="rId29" w:history="1">
        <w:r w:rsidRPr="006435D9">
          <w:rPr>
            <w:rStyle w:val="Hyperlink"/>
          </w:rPr>
          <w:t>https://smd.iso-ne.com/committees/comm_wkgrps/prtcpnts_comm/pac/ceii/mtrls/2014/may212014/a4_strategic_transmission_analysis_wind_power_update.pdf</w:t>
        </w:r>
      </w:hyperlink>
      <w:r w:rsidRPr="006435D9">
        <w:t xml:space="preserve"> (</w:t>
      </w:r>
      <w:r w:rsidRPr="006435D9">
        <w:rPr>
          <w:i/>
        </w:rPr>
        <w:t>STA Wind Integration Study</w:t>
      </w:r>
      <w:r w:rsidRPr="006435D9">
        <w:t>, 2014).</w:t>
      </w:r>
      <w:proofErr w:type="gramEnd"/>
      <w:r w:rsidRPr="006435D9">
        <w:rPr>
          <w:i/>
        </w:rPr>
        <w:t xml:space="preserve"> </w:t>
      </w:r>
      <w:proofErr w:type="gramStart"/>
      <w:r w:rsidRPr="006435D9">
        <w:t xml:space="preserve">ISO </w:t>
      </w:r>
      <w:r>
        <w:t xml:space="preserve">New </w:t>
      </w:r>
      <w:r w:rsidRPr="00195A31">
        <w:t xml:space="preserve">England, </w:t>
      </w:r>
      <w:r w:rsidRPr="00857078">
        <w:rPr>
          <w:i/>
        </w:rPr>
        <w:t>2011 Economic Study</w:t>
      </w:r>
      <w:r>
        <w:t xml:space="preserve"> </w:t>
      </w:r>
      <w:hyperlink w:history="1"/>
      <w:r w:rsidRPr="00195A31">
        <w:t xml:space="preserve">(March 31, 2014), </w:t>
      </w:r>
      <w:hyperlink r:id="rId30" w:history="1">
        <w:r w:rsidRPr="00195A31">
          <w:rPr>
            <w:rStyle w:val="Hyperlink"/>
          </w:rPr>
          <w:t>http://www.iso-ne.com/static-assets/documents/committees/comm_wkgrps/prtcpnts_comm/pac/reports/2014/2011_eco_study_final.pdf</w:t>
        </w:r>
      </w:hyperlink>
      <w:r w:rsidRPr="00195A31">
        <w:t>.</w:t>
      </w:r>
      <w:proofErr w:type="gramEnd"/>
      <w:r w:rsidRPr="00195A31">
        <w:t xml:space="preserve"> </w:t>
      </w:r>
      <w:proofErr w:type="gramStart"/>
      <w:r w:rsidRPr="00195A31">
        <w:rPr>
          <w:i/>
        </w:rPr>
        <w:t>2012</w:t>
      </w:r>
      <w:proofErr w:type="gramEnd"/>
      <w:r w:rsidRPr="00195A31">
        <w:rPr>
          <w:i/>
        </w:rPr>
        <w:t xml:space="preserve"> Economic Study </w:t>
      </w:r>
      <w:r w:rsidRPr="00195A31">
        <w:t xml:space="preserve">(April 2014), </w:t>
      </w:r>
      <w:hyperlink r:id="rId31" w:history="1">
        <w:r w:rsidRPr="00195A31">
          <w:rPr>
            <w:rStyle w:val="Hyperlink"/>
          </w:rPr>
          <w:t>http://www.iso-ne.com/static-assets/documents/committees/comm_wkgrps/prtcpnts_comm/pac/reports/2014/a9_2012_economic_study_final.pdf</w:t>
        </w:r>
      </w:hyperlink>
      <w:r w:rsidRPr="00195A31">
        <w:t>.</w:t>
      </w:r>
    </w:p>
  </w:footnote>
  <w:footnote w:id="28">
    <w:p w:rsidR="001E3655" w:rsidRDefault="001E3655">
      <w:pPr>
        <w:pStyle w:val="FootnoteText"/>
      </w:pPr>
      <w:r w:rsidRPr="00A34A75">
        <w:rPr>
          <w:rStyle w:val="FootnoteReference"/>
        </w:rPr>
        <w:footnoteRef/>
      </w:r>
      <w:r w:rsidRPr="00A34A75">
        <w:t xml:space="preserve"> </w:t>
      </w:r>
      <w:proofErr w:type="gramStart"/>
      <w:r w:rsidRPr="00A34A75">
        <w:t xml:space="preserve">FERC, </w:t>
      </w:r>
      <w:r w:rsidRPr="00A34A75">
        <w:rPr>
          <w:i/>
        </w:rPr>
        <w:t>Order Accepting Tariff Revisions</w:t>
      </w:r>
      <w:r w:rsidRPr="00A34A75">
        <w:t xml:space="preserve">, (September 9, 2014), </w:t>
      </w:r>
      <w:hyperlink r:id="rId32" w:history="1">
        <w:r w:rsidRPr="00A34A75">
          <w:rPr>
            <w:rStyle w:val="Hyperlink"/>
          </w:rPr>
          <w:t>http://www.iso-ne.com/static-assets/documents/2014/09/er14-2407-000_9-9-14_order_accept_winter_reliability.pdf</w:t>
        </w:r>
      </w:hyperlink>
      <w:r w:rsidRPr="00A34A75">
        <w:t>.</w:t>
      </w:r>
      <w:proofErr w:type="gramEnd"/>
    </w:p>
  </w:footnote>
  <w:footnote w:id="29">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PJM Interconnection LLC is the RTO for all or parts of Delaware, Illinois, Indiana, Kentucky, Maryland, Michigan, New Jersey, North Carolina, Ohio, Pennsylvania, Tennessee, Virginia, </w:t>
      </w:r>
      <w:r w:rsidRPr="00316208">
        <w:t>West Virginia,</w:t>
      </w:r>
      <w:r w:rsidRPr="00372FDE">
        <w:t xml:space="preserve"> and the District of Columbia. Additional information on the EIPC is available at </w:t>
      </w:r>
      <w:hyperlink r:id="rId33" w:history="1">
        <w:r w:rsidRPr="00372FDE">
          <w:rPr>
            <w:rStyle w:val="Hyperlink"/>
          </w:rPr>
          <w:t>http://www.eipconline.com/</w:t>
        </w:r>
      </w:hyperlink>
      <w:r w:rsidRPr="00372FDE">
        <w:t>.</w:t>
      </w:r>
    </w:p>
  </w:footnote>
  <w:footnote w:id="30">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ISO New England, </w:t>
      </w:r>
      <w:r w:rsidRPr="00F766E4">
        <w:rPr>
          <w:i/>
        </w:rPr>
        <w:t>Order No. 1000 Interregional Compliance Filing of ISO New England Inc. and the Participating Transmission Owners Administrative Committee, Supported by the New England Power Pool Participants Committee</w:t>
      </w:r>
      <w:r w:rsidRPr="00372FDE">
        <w:t xml:space="preserve">, FERC filing (July 10, 2013), </w:t>
      </w:r>
      <w:hyperlink r:id="rId34" w:history="1">
        <w:r w:rsidRPr="00BF7F91">
          <w:rPr>
            <w:rStyle w:val="Hyperlink"/>
          </w:rPr>
          <w:t>http://www.iso-ne.com/static-assets/documents/regulatory/ferc/filings/2013/jul/er13_1960_000_7_10_2013_order_1000.pdf</w:t>
        </w:r>
      </w:hyperlink>
      <w:r w:rsidRPr="00372FDE">
        <w:t>.</w:t>
      </w:r>
    </w:p>
  </w:footnote>
  <w:footnote w:id="31">
    <w:p w:rsidR="001E3655" w:rsidRPr="002346DF" w:rsidRDefault="001E3655" w:rsidP="00C269AA">
      <w:pPr>
        <w:pStyle w:val="FoonoteText"/>
      </w:pPr>
      <w:r w:rsidRPr="002346DF">
        <w:rPr>
          <w:rStyle w:val="FootnoteReference"/>
          <w:rFonts w:asciiTheme="majorHAnsi" w:hAnsiTheme="majorHAnsi"/>
          <w:sz w:val="18"/>
        </w:rPr>
        <w:footnoteRef/>
      </w:r>
      <w:r w:rsidRPr="002346DF">
        <w:t xml:space="preserve"> The 50/50 “reference-case” peak loads have a 50% chance of </w:t>
      </w:r>
      <w:proofErr w:type="gramStart"/>
      <w:r w:rsidRPr="002346DF">
        <w:t>being exceeded</w:t>
      </w:r>
      <w:proofErr w:type="gramEnd"/>
      <w:r w:rsidRPr="002346DF">
        <w:t xml:space="preserve"> because of weather conditions. For the reference case, the summer peak load </w:t>
      </w:r>
      <w:proofErr w:type="gramStart"/>
      <w:r w:rsidRPr="002346DF">
        <w:t>is expected</w:t>
      </w:r>
      <w:proofErr w:type="gramEnd"/>
      <w:r w:rsidRPr="002346DF">
        <w:t xml:space="preserve"> to occur at a weighted New England-wide temperature of 90.2°F, and the winter peak load is expected to occur at 7.0°F. The 90/10 peak loads have a 10% chance of </w:t>
      </w:r>
      <w:proofErr w:type="gramStart"/>
      <w:r w:rsidRPr="002346DF">
        <w:t>being exceeded</w:t>
      </w:r>
      <w:proofErr w:type="gramEnd"/>
      <w:r w:rsidRPr="002346DF">
        <w:t xml:space="preserve"> because of weather. For the 90/10 case, the summer peak </w:t>
      </w:r>
      <w:proofErr w:type="gramStart"/>
      <w:r w:rsidRPr="002346DF">
        <w:t>is expected</w:t>
      </w:r>
      <w:proofErr w:type="gramEnd"/>
      <w:r w:rsidRPr="002346DF">
        <w:t xml:space="preserve"> to occur at a temperature of 94.2°F, and the winter peak is expected to occur at a temperature of 1.6°F.</w:t>
      </w:r>
    </w:p>
  </w:footnote>
  <w:footnote w:id="32">
    <w:p w:rsidR="001E3655" w:rsidRPr="00372FDE" w:rsidRDefault="001E3655" w:rsidP="00C269AA">
      <w:pPr>
        <w:pStyle w:val="FootnoteText"/>
      </w:pPr>
      <w:r w:rsidRPr="002346DF">
        <w:rPr>
          <w:rStyle w:val="FootnoteReference"/>
          <w:rFonts w:asciiTheme="majorHAnsi" w:hAnsiTheme="majorHAnsi"/>
          <w:sz w:val="18"/>
        </w:rPr>
        <w:footnoteRef/>
      </w:r>
      <w:r w:rsidRPr="002346DF">
        <w:t xml:space="preserve"> The actual load has been near or above the 50/50 forecast 11 times during the last 21 years because of weather conditions; six of these 11 times, the load has been near or has exceeded the 90/10 forecast.</w:t>
      </w:r>
    </w:p>
  </w:footnote>
  <w:footnote w:id="33">
    <w:p w:rsidR="001E3655" w:rsidRPr="00372FDE" w:rsidRDefault="001E3655" w:rsidP="00C269AA">
      <w:pPr>
        <w:pStyle w:val="FoonoteText"/>
      </w:pPr>
      <w:r w:rsidRPr="00A53952">
        <w:rPr>
          <w:rStyle w:val="FootnoteReference"/>
          <w:rFonts w:asciiTheme="majorHAnsi" w:hAnsiTheme="majorHAnsi"/>
          <w:sz w:val="18"/>
        </w:rPr>
        <w:footnoteRef/>
      </w:r>
      <w:r w:rsidRPr="00A53952">
        <w:t xml:space="preserve"> The ISO’s </w:t>
      </w:r>
      <w:r w:rsidRPr="00A53952">
        <w:rPr>
          <w:i/>
        </w:rPr>
        <w:t>Forecast Data 2014</w:t>
      </w:r>
      <w:r w:rsidRPr="00A53952">
        <w:t xml:space="preserve"> (April 30, 2014), XLS file, worksheet 9 (</w:t>
      </w:r>
      <w:hyperlink r:id="rId35" w:history="1">
        <w:r w:rsidRPr="00A53952">
          <w:rPr>
            <w:rStyle w:val="Hyperlink"/>
          </w:rPr>
          <w:t>http://www.iso-ne.com/static-assets/documents/trans/celt/fsct_detail/2014/isone_fcst_data_2014.xls</w:t>
        </w:r>
      </w:hyperlink>
      <w:r w:rsidRPr="00372FDE">
        <w:t>) shows that the gross consumption of electric energy for 2023 is 151,525, </w:t>
      </w:r>
      <w:proofErr w:type="spellStart"/>
      <w:r w:rsidRPr="00372FDE">
        <w:t>gigawatt</w:t>
      </w:r>
      <w:proofErr w:type="spellEnd"/>
      <w:r w:rsidRPr="00372FDE">
        <w:t>-hours (</w:t>
      </w:r>
      <w:proofErr w:type="spellStart"/>
      <w:r w:rsidRPr="00372FDE">
        <w:t>GWh</w:t>
      </w:r>
      <w:proofErr w:type="spellEnd"/>
      <w:r w:rsidRPr="00372FDE">
        <w:t xml:space="preserve">). The savings attributable to federal appliance standards is 2,506 </w:t>
      </w:r>
      <w:proofErr w:type="spellStart"/>
      <w:r w:rsidRPr="00372FDE">
        <w:t>GWh</w:t>
      </w:r>
      <w:proofErr w:type="spellEnd"/>
      <w:r w:rsidRPr="00372FDE">
        <w:t xml:space="preserve"> for 2023. In addition, passive demand resources </w:t>
      </w:r>
      <w:proofErr w:type="gramStart"/>
      <w:r w:rsidRPr="00372FDE">
        <w:t>are projected</w:t>
      </w:r>
      <w:proofErr w:type="gramEnd"/>
      <w:r w:rsidRPr="00372FDE">
        <w:t xml:space="preserve"> to save 20,967</w:t>
      </w:r>
      <w:r>
        <w:t> </w:t>
      </w:r>
      <w:proofErr w:type="spellStart"/>
      <w:r w:rsidRPr="00372FDE">
        <w:t>GWh</w:t>
      </w:r>
      <w:proofErr w:type="spellEnd"/>
      <w:r w:rsidRPr="00372FDE">
        <w:t xml:space="preserve"> for 2023 (see worksheet 2). </w:t>
      </w:r>
    </w:p>
  </w:footnote>
  <w:footnote w:id="34">
    <w:p w:rsidR="001E3655" w:rsidRPr="00CD7D57" w:rsidRDefault="001E3655" w:rsidP="00C269AA">
      <w:pPr>
        <w:pStyle w:val="FootnoteText"/>
      </w:pPr>
      <w:r w:rsidRPr="00372FDE">
        <w:rPr>
          <w:rStyle w:val="FootnoteReference"/>
          <w:rFonts w:asciiTheme="majorHAnsi" w:hAnsiTheme="majorHAnsi"/>
          <w:sz w:val="18"/>
        </w:rPr>
        <w:footnoteRef/>
      </w:r>
      <w:r w:rsidRPr="00372FDE">
        <w:t xml:space="preserve"> </w:t>
      </w:r>
      <w:r w:rsidRPr="00372FDE">
        <w:rPr>
          <w:i/>
        </w:rPr>
        <w:t>Passive</w:t>
      </w:r>
      <w:r w:rsidRPr="00372FDE">
        <w:t xml:space="preserve"> </w:t>
      </w:r>
      <w:r w:rsidRPr="00372FDE">
        <w:rPr>
          <w:i/>
        </w:rPr>
        <w:t xml:space="preserve">demand resources </w:t>
      </w:r>
      <w:r w:rsidRPr="00372FDE">
        <w:t xml:space="preserve">reduce electric energy consumption that otherwise would have been served by generation </w:t>
      </w:r>
      <w:r w:rsidRPr="004D2ADE">
        <w:t xml:space="preserve">resources and include such resources as energy efficiency and distributed generation in locations that have net metering. </w:t>
      </w:r>
      <w:r w:rsidRPr="004D2ADE">
        <w:rPr>
          <w:rFonts w:eastAsia="Calibri"/>
          <w:i/>
        </w:rPr>
        <w:t>Active demand resources</w:t>
      </w:r>
      <w:r w:rsidRPr="004D2ADE">
        <w:rPr>
          <w:rFonts w:eastAsia="Calibri"/>
        </w:rPr>
        <w:t xml:space="preserve"> (i.e., demand response) </w:t>
      </w:r>
      <w:r w:rsidRPr="004D2ADE">
        <w:t xml:space="preserve">reduce load in response to a request from the ISO for system reliability reasons or in response to a price signal. </w:t>
      </w:r>
      <w:r w:rsidRPr="004D2ADE">
        <w:rPr>
          <w:i/>
        </w:rPr>
        <w:t>Net metering</w:t>
      </w:r>
      <w:r w:rsidRPr="004D2ADE">
        <w:t xml:space="preserve"> allows power customers who generate </w:t>
      </w:r>
      <w:r w:rsidRPr="00CD7D57">
        <w:t>their own electricity, such as from wind or solar power, to feed their unused electricity back into the grid.</w:t>
      </w:r>
    </w:p>
  </w:footnote>
  <w:footnote w:id="35">
    <w:p w:rsidR="001E3655" w:rsidRDefault="001E3655" w:rsidP="00C269AA">
      <w:pPr>
        <w:pStyle w:val="FootnoteText"/>
      </w:pPr>
      <w:r w:rsidRPr="00CD7D57">
        <w:rPr>
          <w:rStyle w:val="FootnoteReference"/>
        </w:rPr>
        <w:footnoteRef/>
      </w:r>
      <w:r w:rsidRPr="00CD7D57">
        <w:t xml:space="preserve"> </w:t>
      </w:r>
      <w:proofErr w:type="gramStart"/>
      <w:r w:rsidRPr="00CD7D57">
        <w:rPr>
          <w:i/>
        </w:rPr>
        <w:t>ISO New England Energy-Efficiency Forecast Report for 2018 to 2023</w:t>
      </w:r>
      <w:r w:rsidRPr="00CD7D57">
        <w:t xml:space="preserve"> (June 3, 2014), </w:t>
      </w:r>
      <w:hyperlink r:id="rId36" w:history="1">
        <w:r w:rsidRPr="004D3619">
          <w:rPr>
            <w:rStyle w:val="Hyperlink"/>
          </w:rPr>
          <w:t>http://www.iso-ne.com/static-assets/documents/2014/08/eef_report_2018_2023_final.pdf</w:t>
        </w:r>
      </w:hyperlink>
      <w:r w:rsidRPr="00CD7D57">
        <w:t>.</w:t>
      </w:r>
      <w:proofErr w:type="gramEnd"/>
    </w:p>
  </w:footnote>
  <w:footnote w:id="36">
    <w:p w:rsidR="001E3655" w:rsidRDefault="001E3655" w:rsidP="00C269AA">
      <w:pPr>
        <w:pStyle w:val="FootnoteText"/>
      </w:pPr>
      <w:r>
        <w:rPr>
          <w:rStyle w:val="FootnoteReference"/>
        </w:rPr>
        <w:footnoteRef/>
      </w:r>
      <w:r>
        <w:t xml:space="preserve"> The </w:t>
      </w:r>
      <w:r w:rsidRPr="00674614">
        <w:t xml:space="preserve">34,195 MW 90/10 gross </w:t>
      </w:r>
      <w:proofErr w:type="gramStart"/>
      <w:r w:rsidRPr="00674614">
        <w:t>load</w:t>
      </w:r>
      <w:proofErr w:type="gramEnd"/>
      <w:r w:rsidRPr="00674614">
        <w:t xml:space="preserve"> for 2023</w:t>
      </w:r>
      <w:r>
        <w:t xml:space="preserve"> </w:t>
      </w:r>
      <w:r w:rsidRPr="00674614">
        <w:t>minus</w:t>
      </w:r>
      <w:r>
        <w:t xml:space="preserve"> the </w:t>
      </w:r>
      <w:r w:rsidRPr="00674614">
        <w:t>3,</w:t>
      </w:r>
      <w:r>
        <w:t>3</w:t>
      </w:r>
      <w:r w:rsidRPr="00674614">
        <w:t>22 MW</w:t>
      </w:r>
      <w:r>
        <w:t xml:space="preserve"> </w:t>
      </w:r>
      <w:r w:rsidRPr="00674614">
        <w:t>peak EE savings for 2023</w:t>
      </w:r>
      <w:r>
        <w:t xml:space="preserve"> equals the </w:t>
      </w:r>
      <w:r w:rsidRPr="00674614">
        <w:t>30,873 MW net for 2023</w:t>
      </w:r>
      <w:r>
        <w:t xml:space="preserve">, which is 747 MW less than the 31,620 MW </w:t>
      </w:r>
      <w:r w:rsidRPr="00674614">
        <w:t xml:space="preserve">50/50 gross forecast </w:t>
      </w:r>
      <w:r>
        <w:t>f</w:t>
      </w:r>
      <w:r w:rsidRPr="00674614">
        <w:t xml:space="preserve">or 2023. </w:t>
      </w:r>
    </w:p>
  </w:footnote>
  <w:footnote w:id="37">
    <w:p w:rsidR="001E3655" w:rsidRDefault="001E3655" w:rsidP="00C269AA">
      <w:pPr>
        <w:pStyle w:val="FootnoteText"/>
      </w:pPr>
      <w:r w:rsidRPr="00DC7A53">
        <w:rPr>
          <w:rStyle w:val="FootnoteReference"/>
        </w:rPr>
        <w:footnoteRef/>
      </w:r>
      <w:r w:rsidRPr="00DC7A53">
        <w:t xml:space="preserve"> The </w:t>
      </w:r>
      <w:r w:rsidRPr="00DC7A53">
        <w:rPr>
          <w:i/>
        </w:rPr>
        <w:t>nameplate</w:t>
      </w:r>
      <w:r w:rsidRPr="00DC7A53">
        <w:t xml:space="preserve"> value of a PV installation is the maximum rated output of the equipment. In general, the nameplate rating is a measure of a piece of equipment’s ability to produce or transmit electricity.</w:t>
      </w:r>
    </w:p>
  </w:footnote>
  <w:footnote w:id="38">
    <w:p w:rsidR="001E3655" w:rsidRPr="00E2436F" w:rsidRDefault="001E3655" w:rsidP="00C269AA">
      <w:pPr>
        <w:pStyle w:val="FootnoteText"/>
      </w:pPr>
      <w:r w:rsidRPr="00372FDE">
        <w:rPr>
          <w:rStyle w:val="FootnoteReference"/>
          <w:rFonts w:asciiTheme="majorHAnsi" w:hAnsiTheme="majorHAnsi"/>
          <w:sz w:val="18"/>
        </w:rPr>
        <w:footnoteRef/>
      </w:r>
      <w:r w:rsidRPr="00372FDE">
        <w:t xml:space="preserve"> </w:t>
      </w:r>
      <w:r w:rsidRPr="00372FDE">
        <w:rPr>
          <w:i/>
        </w:rPr>
        <w:t>Seasonal claimed capability</w:t>
      </w:r>
      <w:r w:rsidRPr="00372FDE">
        <w:t xml:space="preserve"> is a generator's maximum production or output during a particular season, adjusted for physical and regulatory limitations. The actual value that the ISO uses in studies and the markets may vary from this number.</w:t>
      </w:r>
      <w:r w:rsidRPr="00372FDE">
        <w:rPr>
          <w:i/>
        </w:rPr>
        <w:t xml:space="preserve"> </w:t>
      </w:r>
    </w:p>
  </w:footnote>
  <w:footnote w:id="39">
    <w:p w:rsidR="001E3655" w:rsidRPr="00372FDE" w:rsidRDefault="001E3655" w:rsidP="00C269AA">
      <w:pPr>
        <w:pStyle w:val="FoonoteText"/>
      </w:pPr>
      <w:r w:rsidRPr="00372FDE">
        <w:rPr>
          <w:rStyle w:val="FootnoteReference"/>
          <w:rFonts w:asciiTheme="majorHAnsi" w:hAnsiTheme="majorHAnsi"/>
          <w:sz w:val="18"/>
        </w:rPr>
        <w:footnoteRef/>
      </w:r>
      <w:r w:rsidRPr="00372FDE">
        <w:t xml:space="preserve"> The net ICR values for 2014/2015 to 2017/2018 are the latest values approved by FERC and are available at </w:t>
      </w:r>
      <w:hyperlink r:id="rId37" w:history="1">
        <w:r w:rsidRPr="00B70EAB">
          <w:rPr>
            <w:rStyle w:val="Hyperlink"/>
          </w:rPr>
          <w:t>http://www.iso-ne.com/system-planning/resource-planning/installed-capacity-requirements</w:t>
        </w:r>
      </w:hyperlink>
      <w:r w:rsidRPr="00372FDE">
        <w:t xml:space="preserve">. </w:t>
      </w:r>
      <w:r w:rsidRPr="00372FDE">
        <w:rPr>
          <w:i/>
        </w:rPr>
        <w:t>Representative net</w:t>
      </w:r>
      <w:r w:rsidRPr="00372FDE">
        <w:t xml:space="preserve"> ICR values are illustrative future ICRs for the region, minus a monthly value that reflects the annual installed capacity benefits of the Hydro Québec Phase II Interconnection. </w:t>
      </w:r>
    </w:p>
  </w:footnote>
  <w:footnote w:id="40">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OP 4 actions include allowing the depletion of the 30-minute and partial depletion of the 10-minute reserves (1,000 MW) (see Section </w:t>
      </w:r>
      <w:r w:rsidR="00927965">
        <w:fldChar w:fldCharType="begin"/>
      </w:r>
      <w:r>
        <w:instrText xml:space="preserve"> REF _Ref327457751 \r \h </w:instrText>
      </w:r>
      <w:r w:rsidR="00927965">
        <w:fldChar w:fldCharType="separate"/>
      </w:r>
      <w:r>
        <w:t>4.3</w:t>
      </w:r>
      <w:r w:rsidR="00927965">
        <w:fldChar w:fldCharType="end"/>
      </w:r>
      <w:r w:rsidRPr="00372FDE">
        <w:t xml:space="preserve">), scheduling market participants’ submitted emergency transactions and arranging emergency purchases between balancing authority areas (1,600 to 2,000 MW), and implementing 5% voltage reductions (400 to 450 MW). Operating Procedure No. 4, </w:t>
      </w:r>
      <w:r w:rsidRPr="00372FDE">
        <w:rPr>
          <w:i/>
        </w:rPr>
        <w:t>Action during a Capacity Deficiency</w:t>
      </w:r>
      <w:r w:rsidRPr="00372FDE">
        <w:t xml:space="preserve"> (December 9, 2011), </w:t>
      </w:r>
      <w:hyperlink r:id="rId38" w:history="1">
        <w:r w:rsidRPr="004D3619">
          <w:rPr>
            <w:rStyle w:val="Hyperlink"/>
          </w:rPr>
          <w:t>http://www.iso-ne.com/static-assets/documents/rules_proceds/operating/isone/op4/op4_rto_final.pdf</w:t>
        </w:r>
      </w:hyperlink>
      <w:r w:rsidRPr="00372FDE">
        <w:t>.</w:t>
      </w:r>
    </w:p>
  </w:footnote>
  <w:footnote w:id="41">
    <w:p w:rsidR="001E3655" w:rsidRPr="00372FDE" w:rsidRDefault="001E3655" w:rsidP="00B94DC6">
      <w:pPr>
        <w:spacing w:after="80" w:line="240" w:lineRule="auto"/>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Higher tie-reliability benefits and reductions in the net ICR would increase the frequency and depth of OP 4 actions.</w:t>
      </w:r>
    </w:p>
  </w:footnote>
  <w:footnote w:id="42">
    <w:p w:rsidR="001E3655" w:rsidRPr="00372FDE" w:rsidRDefault="001E3655" w:rsidP="00C269AA">
      <w:pPr>
        <w:pStyle w:val="FoonoteText"/>
      </w:pPr>
      <w:r w:rsidRPr="000C0045">
        <w:rPr>
          <w:rStyle w:val="FootnoteReference"/>
          <w:rFonts w:asciiTheme="majorHAnsi" w:hAnsiTheme="majorHAnsi"/>
          <w:sz w:val="18"/>
        </w:rPr>
        <w:footnoteRef/>
      </w:r>
      <w:r w:rsidRPr="000C0045">
        <w:t xml:space="preserve"> FCA #8 covers June 1, 2017, through May 31, 2018. Existing capacity resources are required to participate in the FCA and automatically </w:t>
      </w:r>
      <w:proofErr w:type="gramStart"/>
      <w:r w:rsidRPr="000C0045">
        <w:t>are entered</w:t>
      </w:r>
      <w:proofErr w:type="gramEnd"/>
      <w:r w:rsidRPr="000C0045">
        <w:t xml:space="preserve"> into the capacity auction. However, these resources may indicate a desire to be removed from the FCA by submitting a delist bid before the existing-capacity qualification deadline.</w:t>
      </w:r>
      <w:r w:rsidRPr="00372FDE">
        <w:t xml:space="preserve"> </w:t>
      </w:r>
    </w:p>
  </w:footnote>
  <w:footnote w:id="43">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Of this total, 2,431 MW consisted of five resources representing 1,535 MW from the </w:t>
      </w:r>
      <w:proofErr w:type="spellStart"/>
      <w:r w:rsidRPr="00372FDE">
        <w:t>Brayton</w:t>
      </w:r>
      <w:proofErr w:type="spellEnd"/>
      <w:r w:rsidRPr="00372FDE">
        <w:t xml:space="preserve"> Point Station, three </w:t>
      </w:r>
      <w:r w:rsidRPr="00C00585">
        <w:t xml:space="preserve">resources representing 342 MW from Norwalk Harbor Station, and 554 MW of demand-response resources. </w:t>
      </w:r>
      <w:r w:rsidRPr="00C00585">
        <w:rPr>
          <w:i/>
          <w:iCs/>
        </w:rPr>
        <w:t>Static delist bids</w:t>
      </w:r>
      <w:r w:rsidRPr="00C00585">
        <w:rPr>
          <w:iCs/>
        </w:rPr>
        <w:t xml:space="preserve"> </w:t>
      </w:r>
      <w:r w:rsidRPr="00C00585">
        <w:t xml:space="preserve">for a resource </w:t>
      </w:r>
      <w:proofErr w:type="gramStart"/>
      <w:r w:rsidRPr="00C00585">
        <w:t>must be submitted</w:t>
      </w:r>
      <w:proofErr w:type="gramEnd"/>
      <w:r w:rsidRPr="00C00585">
        <w:t xml:space="preserve"> before the existing capacity qualification deadline, which occurs</w:t>
      </w:r>
      <w:r w:rsidRPr="00372FDE">
        <w:t xml:space="preserve"> approximately eight months before an FCA. These delist bids are for resources opting to remove all or part of their total capacity from the market for a single commitment period at a price greater than or equal to $1.00/kW-month. </w:t>
      </w:r>
    </w:p>
  </w:footnote>
  <w:footnote w:id="44">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A </w:t>
      </w:r>
      <w:r w:rsidRPr="00372FDE">
        <w:rPr>
          <w:i/>
        </w:rPr>
        <w:t xml:space="preserve">local sourcing requirement </w:t>
      </w:r>
      <w:r w:rsidRPr="00372FDE">
        <w:t>is the minimum amount of capacity that must be electrically located within an import-constrained capacity zone to meet the ICR.</w:t>
      </w:r>
    </w:p>
  </w:footnote>
  <w:footnote w:id="45">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The Capacity Carry Forward Rule addresses situations where a large resource meets a zonal need but eliminates any need for new resources in the subsequent auction (</w:t>
      </w:r>
      <w:r w:rsidRPr="00372FDE">
        <w:rPr>
          <w:i/>
        </w:rPr>
        <w:t>Market Rule 1</w:t>
      </w:r>
      <w:r w:rsidRPr="00372FDE">
        <w:t xml:space="preserve">, Section III.13.2.7.9). In the NEMA/Boston capacity zone, the Capacity Carry Forward Rule </w:t>
      </w:r>
      <w:proofErr w:type="gramStart"/>
      <w:r w:rsidRPr="00372FDE">
        <w:t>was triggered</w:t>
      </w:r>
      <w:proofErr w:type="gramEnd"/>
      <w:r w:rsidRPr="00372FDE">
        <w:t xml:space="preserve"> when a new source cleared in FCA</w:t>
      </w:r>
      <w:r>
        <w:t xml:space="preserve"> </w:t>
      </w:r>
      <w:r w:rsidRPr="00372FDE">
        <w:t>#7, such that other new resources were not needed in subsequent FCAs.</w:t>
      </w:r>
    </w:p>
  </w:footnote>
  <w:footnote w:id="46">
    <w:p w:rsidR="001E3655" w:rsidRPr="00C177E7" w:rsidRDefault="001E3655" w:rsidP="00C269AA">
      <w:pPr>
        <w:pStyle w:val="FoonoteText"/>
      </w:pPr>
      <w:r w:rsidRPr="00372FDE">
        <w:rPr>
          <w:rStyle w:val="FootnoteReference"/>
          <w:rFonts w:asciiTheme="majorHAnsi" w:hAnsiTheme="majorHAnsi"/>
          <w:sz w:val="18"/>
        </w:rPr>
        <w:footnoteRef/>
      </w:r>
      <w:r w:rsidRPr="00372FDE">
        <w:t xml:space="preserve"> </w:t>
      </w:r>
      <w:proofErr w:type="gramStart"/>
      <w:r w:rsidRPr="00372FDE">
        <w:t xml:space="preserve">FERC, </w:t>
      </w:r>
      <w:r w:rsidRPr="00372FDE">
        <w:rPr>
          <w:i/>
        </w:rPr>
        <w:t>Order on Compliance Filing</w:t>
      </w:r>
      <w:r>
        <w:rPr>
          <w:i/>
        </w:rPr>
        <w:t xml:space="preserve"> </w:t>
      </w:r>
      <w:r w:rsidRPr="00372FDE">
        <w:t xml:space="preserve">(May 31, 2013), </w:t>
      </w:r>
      <w:hyperlink r:id="rId39" w:history="1">
        <w:r w:rsidRPr="004D3619">
          <w:rPr>
            <w:rStyle w:val="Hyperlink"/>
          </w:rPr>
          <w:t>http://www.iso-ne.com/static-assets/documents/regulatory/ferc/orders/2013/may/er12_953_002_5_31_13_order_accept_fcm_compliance.pdf</w:t>
        </w:r>
      </w:hyperlink>
      <w:r w:rsidRPr="00C177E7">
        <w:t>.</w:t>
      </w:r>
      <w:proofErr w:type="gramEnd"/>
    </w:p>
  </w:footnote>
  <w:footnote w:id="47">
    <w:p w:rsidR="001E3655" w:rsidRDefault="001E3655" w:rsidP="00C269AA">
      <w:pPr>
        <w:pStyle w:val="FootnoteText"/>
      </w:pPr>
      <w:r w:rsidRPr="00C177E7">
        <w:rPr>
          <w:rStyle w:val="FootnoteReference"/>
        </w:rPr>
        <w:footnoteRef/>
      </w:r>
      <w:r>
        <w:t xml:space="preserve"> </w:t>
      </w:r>
      <w:r w:rsidRPr="00C177E7">
        <w:t xml:space="preserve">The retirement of </w:t>
      </w:r>
      <w:proofErr w:type="spellStart"/>
      <w:r w:rsidRPr="00C177E7">
        <w:t>Brayton</w:t>
      </w:r>
      <w:proofErr w:type="spellEnd"/>
      <w:r w:rsidRPr="00C177E7">
        <w:t xml:space="preserve"> Point Station (1,535 MW) could trigger the need for modeling a Southeast Massachusetts/Rhode Island capacity zone in FCA #9.</w:t>
      </w:r>
      <w:r>
        <w:t xml:space="preserve"> </w:t>
      </w:r>
    </w:p>
  </w:footnote>
  <w:footnote w:id="48">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According to NERC, NPCC, and ISO criteria, a </w:t>
      </w:r>
      <w:r w:rsidRPr="00372FDE">
        <w:rPr>
          <w:i/>
          <w:iCs/>
        </w:rPr>
        <w:t>contingency</w:t>
      </w:r>
      <w:r w:rsidRPr="00372FDE">
        <w:t xml:space="preserve"> is the loss of one or more generation, transmission, or both types of facilities or power </w:t>
      </w:r>
      <w:r w:rsidRPr="00C00585">
        <w:t xml:space="preserve">system elements. A system’s </w:t>
      </w:r>
      <w:r w:rsidRPr="00C00585">
        <w:rPr>
          <w:i/>
          <w:iCs/>
        </w:rPr>
        <w:t>first contingency</w:t>
      </w:r>
      <w:r w:rsidRPr="00C00585">
        <w:t xml:space="preserve"> (N-1) is when the power element (facility) with the largest impact on system reliability is lost. </w:t>
      </w:r>
      <w:proofErr w:type="gramStart"/>
      <w:r w:rsidRPr="00C00585">
        <w:t xml:space="preserve">A </w:t>
      </w:r>
      <w:r w:rsidRPr="00C00585">
        <w:rPr>
          <w:i/>
          <w:iCs/>
        </w:rPr>
        <w:t>second contingency</w:t>
      </w:r>
      <w:r w:rsidRPr="00C00585">
        <w:rPr>
          <w:iCs/>
        </w:rPr>
        <w:t xml:space="preserve"> </w:t>
      </w:r>
      <w:r w:rsidRPr="00C00585">
        <w:t>(N-1-1) takes place after a first contingency has occurred and is the loss of the facility that at that time has the largest impact on the system.</w:t>
      </w:r>
      <w:proofErr w:type="gramEnd"/>
    </w:p>
  </w:footnote>
  <w:footnote w:id="49">
    <w:p w:rsidR="001E3655" w:rsidRPr="00372FDE" w:rsidRDefault="001E3655" w:rsidP="00C269AA">
      <w:pPr>
        <w:pStyle w:val="FootnoteText"/>
      </w:pPr>
      <w:r w:rsidRPr="003260B6">
        <w:rPr>
          <w:rStyle w:val="FootnoteReference"/>
          <w:rFonts w:asciiTheme="majorHAnsi" w:hAnsiTheme="majorHAnsi"/>
          <w:sz w:val="18"/>
        </w:rPr>
        <w:footnoteRef/>
      </w:r>
      <w:r w:rsidRPr="00372FDE">
        <w:t xml:space="preserve"> </w:t>
      </w:r>
      <w:r w:rsidRPr="00372FDE">
        <w:rPr>
          <w:i/>
        </w:rPr>
        <w:t>Spinning</w:t>
      </w:r>
      <w:r w:rsidRPr="00372FDE">
        <w:t xml:space="preserve"> operating reserves are on-line resources that can increase output. </w:t>
      </w:r>
      <w:proofErr w:type="spellStart"/>
      <w:r w:rsidRPr="00372FDE">
        <w:t>Nonsynchronized</w:t>
      </w:r>
      <w:proofErr w:type="spellEnd"/>
      <w:r w:rsidRPr="00372FDE">
        <w:t xml:space="preserve"> (i.e., </w:t>
      </w:r>
      <w:proofErr w:type="spellStart"/>
      <w:r w:rsidRPr="00372FDE">
        <w:rPr>
          <w:i/>
        </w:rPr>
        <w:t>nonspinning</w:t>
      </w:r>
      <w:proofErr w:type="spellEnd"/>
      <w:r w:rsidRPr="00372FDE">
        <w:t xml:space="preserve">) operating reserves are off-line resources that </w:t>
      </w:r>
      <w:proofErr w:type="gramStart"/>
      <w:r w:rsidRPr="00372FDE">
        <w:t>can be electrically synchronized</w:t>
      </w:r>
      <w:proofErr w:type="gramEnd"/>
      <w:r w:rsidRPr="00372FDE">
        <w:t xml:space="preserve"> to the system quickly, reaching maximum output within 10 to 30 minutes.</w:t>
      </w:r>
    </w:p>
  </w:footnote>
  <w:footnote w:id="50">
    <w:p w:rsidR="001E3655" w:rsidRPr="00372FDE" w:rsidRDefault="001E3655" w:rsidP="00C269AA">
      <w:pPr>
        <w:pStyle w:val="FoonoteText"/>
      </w:pPr>
      <w:r w:rsidRPr="00372FDE">
        <w:rPr>
          <w:rStyle w:val="FootnoteReference"/>
          <w:rFonts w:asciiTheme="majorHAnsi" w:eastAsiaTheme="majorEastAsia" w:hAnsiTheme="majorHAnsi"/>
          <w:sz w:val="18"/>
        </w:rPr>
        <w:footnoteRef/>
      </w:r>
      <w:r w:rsidRPr="00372FDE">
        <w:t xml:space="preserve"> To conduct some RSP studies, the region </w:t>
      </w:r>
      <w:proofErr w:type="gramStart"/>
      <w:r w:rsidRPr="00372FDE">
        <w:t>is divided</w:t>
      </w:r>
      <w:proofErr w:type="gramEnd"/>
      <w:r w:rsidRPr="00372FDE">
        <w:t xml:space="preserve"> into various areas associated with their electrical system characteristics. </w:t>
      </w:r>
      <w:r w:rsidRPr="00372FDE">
        <w:rPr>
          <w:i/>
        </w:rPr>
        <w:t xml:space="preserve">Greater Connecticut </w:t>
      </w:r>
      <w:r w:rsidRPr="00372FDE">
        <w:t xml:space="preserve">is an area that has boundaries similar to the State of Connecticut but is slightly smaller because of electrical system limitations near Connecticut’s borders with western Massachusetts and Rhode Island. </w:t>
      </w:r>
      <w:r w:rsidRPr="00372FDE">
        <w:rPr>
          <w:i/>
        </w:rPr>
        <w:t>Greater Southwest Connecticut</w:t>
      </w:r>
      <w:r w:rsidRPr="00372FDE">
        <w:t xml:space="preserve"> includes southwestern and western portions of Connecticut. The </w:t>
      </w:r>
      <w:r w:rsidRPr="00372FDE">
        <w:rPr>
          <w:i/>
        </w:rPr>
        <w:t>BOSTON</w:t>
      </w:r>
      <w:r w:rsidRPr="00372FDE">
        <w:t xml:space="preserve"> area (all capitalized) includes the city of Boston and northeast Massachusetts (</w:t>
      </w:r>
      <w:r>
        <w:t>s</w:t>
      </w:r>
      <w:r w:rsidRPr="00372FDE">
        <w:t xml:space="preserve">ee Section </w:t>
      </w:r>
      <w:r w:rsidR="00927965">
        <w:fldChar w:fldCharType="begin"/>
      </w:r>
      <w:r>
        <w:instrText xml:space="preserve"> REF _Ref356659320 \r \h </w:instrText>
      </w:r>
      <w:r w:rsidR="00927965">
        <w:fldChar w:fldCharType="separate"/>
      </w:r>
      <w:r>
        <w:t>2.4</w:t>
      </w:r>
      <w:r w:rsidR="00927965">
        <w:fldChar w:fldCharType="end"/>
      </w:r>
      <w:r w:rsidRPr="00372FDE">
        <w:t>)</w:t>
      </w:r>
      <w:r>
        <w:t>.</w:t>
      </w:r>
    </w:p>
  </w:footnote>
  <w:footnote w:id="51">
    <w:p w:rsidR="001E3655" w:rsidRPr="00372FDE" w:rsidRDefault="001E3655" w:rsidP="00C269AA">
      <w:pPr>
        <w:pStyle w:val="FoonoteText"/>
        <w:rPr>
          <w:rStyle w:val="FoonoteTextChar"/>
          <w:sz w:val="18"/>
        </w:rPr>
      </w:pPr>
      <w:r w:rsidRPr="00372FDE">
        <w:rPr>
          <w:rStyle w:val="FootnoteReference"/>
          <w:rFonts w:asciiTheme="majorHAnsi" w:hAnsiTheme="majorHAnsi"/>
          <w:sz w:val="18"/>
        </w:rPr>
        <w:footnoteRef/>
      </w:r>
      <w:r w:rsidRPr="00372FDE">
        <w:t xml:space="preserve"> </w:t>
      </w:r>
      <w:r w:rsidRPr="00372FDE">
        <w:rPr>
          <w:rStyle w:val="FoonoteTextChar"/>
          <w:i/>
          <w:sz w:val="18"/>
        </w:rPr>
        <w:t>Regional network service</w:t>
      </w:r>
      <w:r w:rsidRPr="00372FDE">
        <w:rPr>
          <w:rStyle w:val="FoonoteTextChar"/>
          <w:sz w:val="18"/>
        </w:rPr>
        <w:t xml:space="preserve"> is the transmission service over the pool transmission facilities (PTFs), including services used for network resources or regional network load not physically interconnected with a PTF.</w:t>
      </w:r>
    </w:p>
  </w:footnote>
  <w:footnote w:id="52">
    <w:p w:rsidR="001E3655" w:rsidRPr="00372FDE" w:rsidRDefault="001E3655" w:rsidP="00C269AA">
      <w:pPr>
        <w:pStyle w:val="FoonoteText"/>
      </w:pPr>
      <w:r w:rsidRPr="00666ABA">
        <w:rPr>
          <w:rStyle w:val="FootnoteReference"/>
          <w:rFonts w:asciiTheme="majorHAnsi" w:hAnsiTheme="majorHAnsi"/>
          <w:sz w:val="18"/>
        </w:rPr>
        <w:footnoteRef/>
      </w:r>
      <w:r w:rsidRPr="00666ABA">
        <w:t xml:space="preserve"> Cost estimates without transmission cost allocation approval are subject to established variations as projects progress through various stages of implementation. The $4.5 billion cost estimate has a range of $3.7 to $5.3 billion based on projects proposed, planned, and under construction. See the </w:t>
      </w:r>
      <w:r w:rsidRPr="00666ABA">
        <w:rPr>
          <w:i/>
        </w:rPr>
        <w:t>Regional System Plan Transmission Projects June 2014 Update</w:t>
      </w:r>
      <w:r w:rsidRPr="00666ABA">
        <w:t xml:space="preserve">, PAC presentation (June 19, 2014), slide 12, at </w:t>
      </w:r>
      <w:hyperlink r:id="rId40" w:history="1">
        <w:r w:rsidRPr="00910201">
          <w:rPr>
            <w:rStyle w:val="Hyperlink"/>
          </w:rPr>
          <w:t>http://www.iso-ne.com/static-assets/documents/committees/comm_wkgrps/prtcpnts_comm/pac/mtrls/2014/jun192014/a5_rsp14_project_list_update_final.zip</w:t>
        </w:r>
      </w:hyperlink>
      <w:r w:rsidRPr="00666ABA">
        <w:t>.</w:t>
      </w:r>
    </w:p>
  </w:footnote>
  <w:footnote w:id="53">
    <w:p w:rsidR="001E3655" w:rsidRPr="00372FDE" w:rsidRDefault="001E3655" w:rsidP="00C269AA">
      <w:pPr>
        <w:pStyle w:val="FoonoteText"/>
      </w:pPr>
      <w:r w:rsidRPr="00372FDE">
        <w:rPr>
          <w:rStyle w:val="FootnoteReference"/>
          <w:rFonts w:asciiTheme="majorHAnsi" w:hAnsiTheme="majorHAnsi"/>
          <w:sz w:val="18"/>
        </w:rPr>
        <w:footnoteRef/>
      </w:r>
      <w:r w:rsidRPr="00372FDE">
        <w:t xml:space="preserve"> The results of a study of the changes in transfer limits across major interactions in Maine, including Maine to New Hampshire, is available at </w:t>
      </w:r>
      <w:r w:rsidRPr="00372FDE">
        <w:rPr>
          <w:i/>
        </w:rPr>
        <w:t>Maine Power Reliability Program (MPRP): Transfer Capability Study Results</w:t>
      </w:r>
      <w:r w:rsidRPr="00372FDE">
        <w:t xml:space="preserve">, PAC presentation (December 13, 2012), </w:t>
      </w:r>
      <w:hyperlink r:id="rId41" w:history="1">
        <w:r w:rsidRPr="00910201">
          <w:rPr>
            <w:rStyle w:val="Hyperlink"/>
          </w:rPr>
          <w:t>https://smd.iso-ne.com/committees/comm_wkgrps/prtcpnts_comm/pac/ceii/mtrls/2012/dec132012/mprp_transfer_limits.pdf</w:t>
        </w:r>
      </w:hyperlink>
      <w:r w:rsidRPr="00372FDE">
        <w:t xml:space="preserve">. </w:t>
      </w:r>
      <w:r w:rsidRPr="00910201">
        <w:t xml:space="preserve">Also see </w:t>
      </w:r>
      <w:r w:rsidRPr="00910201">
        <w:rPr>
          <w:i/>
        </w:rPr>
        <w:t>MPRP North to South Steady State Transfer Limits and Incremental Stability Performance Study</w:t>
      </w:r>
      <w:r w:rsidRPr="00910201">
        <w:t xml:space="preserve">, final draft report (November 2012), </w:t>
      </w:r>
      <w:hyperlink r:id="rId42" w:history="1">
        <w:r w:rsidRPr="00910201">
          <w:rPr>
            <w:rStyle w:val="Hyperlink"/>
          </w:rPr>
          <w:t>https://smd.iso-ne.com/committees/comm_wkgrps/prtcpnts_comm/pac/ceii/reports/2012/mprp_transfer_limits.pdf</w:t>
        </w:r>
      </w:hyperlink>
      <w:r w:rsidRPr="00910201">
        <w:t>.</w:t>
      </w:r>
    </w:p>
  </w:footnote>
  <w:footnote w:id="54">
    <w:p w:rsidR="001E3655" w:rsidRPr="00372FDE" w:rsidRDefault="001E3655" w:rsidP="00C269AA">
      <w:pPr>
        <w:pStyle w:val="FootnoteText"/>
      </w:pPr>
      <w:r w:rsidRPr="00085AFA">
        <w:rPr>
          <w:rStyle w:val="FootnoteReference"/>
          <w:rFonts w:asciiTheme="majorHAnsi" w:hAnsiTheme="majorHAnsi"/>
          <w:sz w:val="18"/>
        </w:rPr>
        <w:footnoteRef/>
      </w:r>
      <w:r w:rsidRPr="00113C54">
        <w:t xml:space="preserve"> </w:t>
      </w:r>
      <w:r w:rsidRPr="00085AFA">
        <w:t>While natural gas units are generally in merit, the price of natural gas can spike relative to other fuels, as happened</w:t>
      </w:r>
      <w:r w:rsidRPr="00372FDE">
        <w:t xml:space="preserve"> during the winter 2013/2014.</w:t>
      </w:r>
    </w:p>
  </w:footnote>
  <w:footnote w:id="55">
    <w:p w:rsidR="001E3655" w:rsidRPr="00FA1A27" w:rsidRDefault="001E3655" w:rsidP="00C269AA">
      <w:pPr>
        <w:pStyle w:val="FootnoteText"/>
      </w:pPr>
      <w:r w:rsidRPr="00FA1A27">
        <w:rPr>
          <w:rStyle w:val="FootnoteReference"/>
          <w:rFonts w:asciiTheme="majorHAnsi" w:hAnsiTheme="majorHAnsi"/>
          <w:sz w:val="18"/>
        </w:rPr>
        <w:footnoteRef/>
      </w:r>
      <w:r w:rsidRPr="00FA1A27">
        <w:t xml:space="preserve"> </w:t>
      </w:r>
      <w:proofErr w:type="gramStart"/>
      <w:r w:rsidRPr="00FA1A27">
        <w:rPr>
          <w:i/>
        </w:rPr>
        <w:t>Market Rule 1</w:t>
      </w:r>
      <w:r w:rsidRPr="00FA1A27">
        <w:t xml:space="preserve">, </w:t>
      </w:r>
      <w:hyperlink r:id="rId43" w:history="1">
        <w:r w:rsidRPr="00FA1A27">
          <w:rPr>
            <w:rStyle w:val="Hyperlink"/>
          </w:rPr>
          <w:t>http://www.iso-ne.com/regulatory/tariff/sect_3/index.html</w:t>
        </w:r>
      </w:hyperlink>
      <w:r w:rsidRPr="00FA1A27">
        <w:t>.</w:t>
      </w:r>
      <w:proofErr w:type="gramEnd"/>
      <w:r w:rsidRPr="00FA1A27">
        <w:t xml:space="preserve"> The ISO’s AMR1</w:t>
      </w:r>
      <w:r>
        <w:t>3</w:t>
      </w:r>
      <w:r w:rsidRPr="00FA1A27">
        <w:t xml:space="preserve">, Section 2.1.4, contains additional information on the </w:t>
      </w:r>
      <w:r>
        <w:t>limited-energy generation</w:t>
      </w:r>
      <w:r w:rsidRPr="00FA1A27">
        <w:t xml:space="preserve"> provisions</w:t>
      </w:r>
      <w:proofErr w:type="gramStart"/>
      <w:r w:rsidRPr="00FA1A27">
        <w:t>;</w:t>
      </w:r>
      <w:proofErr w:type="gramEnd"/>
      <w:r w:rsidRPr="00FA1A27">
        <w:t xml:space="preserve"> </w:t>
      </w:r>
      <w:hyperlink r:id="rId44" w:history="1">
        <w:r w:rsidRPr="00910201">
          <w:rPr>
            <w:rStyle w:val="Hyperlink"/>
          </w:rPr>
          <w:t>http://www.iso-ne.com/static-assets/documents/markets/mkt_anlys_rpts/annl_mkt_rpts/2013/2013_amr_final_050614.pdf</w:t>
        </w:r>
      </w:hyperlink>
      <w:r w:rsidRPr="00FA1A27">
        <w:t>.</w:t>
      </w:r>
    </w:p>
  </w:footnote>
  <w:footnote w:id="56">
    <w:p w:rsidR="001E3655" w:rsidRPr="00372FDE" w:rsidRDefault="001E3655" w:rsidP="00C269AA">
      <w:pPr>
        <w:pStyle w:val="FootnoteText"/>
      </w:pPr>
      <w:r w:rsidRPr="00B40A7C">
        <w:rPr>
          <w:rStyle w:val="FootnoteReference"/>
          <w:rFonts w:asciiTheme="majorHAnsi" w:hAnsiTheme="majorHAnsi"/>
          <w:sz w:val="18"/>
        </w:rPr>
        <w:footnoteRef/>
      </w:r>
      <w:r w:rsidRPr="00B40A7C">
        <w:t xml:space="preserve"> </w:t>
      </w:r>
      <w:proofErr w:type="gramStart"/>
      <w:r w:rsidRPr="00B40A7C">
        <w:t xml:space="preserve">FERC, </w:t>
      </w:r>
      <w:r w:rsidRPr="00B40A7C">
        <w:rPr>
          <w:i/>
        </w:rPr>
        <w:t>Order Conditionally Accepting Tariff Revisions</w:t>
      </w:r>
      <w:r w:rsidRPr="00B40A7C">
        <w:t xml:space="preserve"> (September 16, 2013), </w:t>
      </w:r>
      <w:hyperlink r:id="rId45" w:history="1">
        <w:r w:rsidRPr="00B40A7C">
          <w:rPr>
            <w:rStyle w:val="Hyperlink"/>
          </w:rPr>
          <w:t>http://www.iso-ne.com/regulatory/ferc/orders/2013/sep/er13-1851-000_9-16-2013_winter_rel.pdf</w:t>
        </w:r>
      </w:hyperlink>
      <w:r w:rsidRPr="00B40A7C">
        <w:t>.</w:t>
      </w:r>
      <w:proofErr w:type="gramEnd"/>
    </w:p>
  </w:footnote>
  <w:footnote w:id="57">
    <w:p w:rsidR="001E3655" w:rsidRDefault="001E3655" w:rsidP="00C269AA">
      <w:pPr>
        <w:pStyle w:val="FootnoteText"/>
      </w:pPr>
      <w:r w:rsidRPr="00B40A7C">
        <w:rPr>
          <w:rStyle w:val="FootnoteReference"/>
        </w:rPr>
        <w:footnoteRef/>
      </w:r>
      <w:r w:rsidRPr="00B40A7C">
        <w:t xml:space="preserve"> ISO New England Inc., </w:t>
      </w:r>
      <w:r w:rsidRPr="00B40A7C">
        <w:rPr>
          <w:i/>
        </w:rPr>
        <w:t>Docket No. ER14-___-000, Winter 2014-15 Reliability Program</w:t>
      </w:r>
      <w:r w:rsidRPr="00B40A7C">
        <w:t xml:space="preserve"> (Parts 1 and 2), FERC filing (July 11, 2014), </w:t>
      </w:r>
      <w:hyperlink r:id="rId46" w:history="1">
        <w:r w:rsidRPr="00B40A7C">
          <w:rPr>
            <w:rStyle w:val="Hyperlink"/>
          </w:rPr>
          <w:t>http://www.iso-ne.com/static-assets/documents/regulatory/ferc/filings/2014/jul/er14_2407_000_win_rel_pro_7_11_2014.pdf</w:t>
        </w:r>
      </w:hyperlink>
      <w:r>
        <w:t xml:space="preserve"> and </w:t>
      </w:r>
      <w:hyperlink r:id="rId47" w:history="1">
        <w:r w:rsidRPr="0071049B">
          <w:rPr>
            <w:rStyle w:val="Hyperlink"/>
          </w:rPr>
          <w:t>http://www.iso-ne.com/regulatory/ferc/filings/2014/jul/er14-2407-001_winter_rel_7-11-2014.pdf</w:t>
        </w:r>
      </w:hyperlink>
      <w:r>
        <w:t xml:space="preserve">. </w:t>
      </w:r>
      <w:proofErr w:type="gramStart"/>
      <w:r>
        <w:t>Also</w:t>
      </w:r>
      <w:proofErr w:type="gramEnd"/>
      <w:r>
        <w:t xml:space="preserve"> see above footnote for FERC’s September 10, 2014, order.</w:t>
      </w:r>
    </w:p>
  </w:footnote>
  <w:footnote w:id="58">
    <w:p w:rsidR="001E3655" w:rsidRPr="00910201" w:rsidRDefault="001E3655" w:rsidP="00B94DC6">
      <w:pPr>
        <w:spacing w:after="80" w:line="240" w:lineRule="auto"/>
        <w:rPr>
          <w:rFonts w:asciiTheme="majorHAnsi" w:hAnsiTheme="majorHAnsi"/>
          <w:sz w:val="18"/>
          <w:szCs w:val="18"/>
        </w:rPr>
      </w:pPr>
      <w:r w:rsidRPr="00A34A75">
        <w:rPr>
          <w:rStyle w:val="FootnoteReference"/>
          <w:rFonts w:asciiTheme="majorHAnsi" w:hAnsiTheme="majorHAnsi"/>
          <w:sz w:val="18"/>
          <w:szCs w:val="18"/>
        </w:rPr>
        <w:footnoteRef/>
      </w:r>
      <w:r w:rsidRPr="00A34A75">
        <w:rPr>
          <w:rFonts w:asciiTheme="majorHAnsi" w:hAnsiTheme="majorHAnsi"/>
          <w:sz w:val="18"/>
          <w:szCs w:val="18"/>
        </w:rPr>
        <w:t xml:space="preserve"> The Energy Market Offer Flexibility Rule will allow power supply offers to vary by hour in the Day-Ahead Energy Market, changes in Real-Time Energy Market bids until 30 minutes before the hour in which the offer applies, and negative offers in both markets as low as −$150/</w:t>
      </w:r>
      <w:proofErr w:type="spellStart"/>
      <w:r w:rsidRPr="00A34A75">
        <w:rPr>
          <w:rFonts w:asciiTheme="majorHAnsi" w:hAnsiTheme="majorHAnsi"/>
          <w:sz w:val="18"/>
          <w:szCs w:val="18"/>
        </w:rPr>
        <w:t>MWh</w:t>
      </w:r>
      <w:proofErr w:type="spellEnd"/>
      <w:r w:rsidRPr="00A34A75">
        <w:rPr>
          <w:rFonts w:asciiTheme="majorHAnsi" w:hAnsiTheme="majorHAnsi"/>
          <w:sz w:val="18"/>
          <w:szCs w:val="18"/>
        </w:rPr>
        <w:t>. For additional information on these market</w:t>
      </w:r>
      <w:r w:rsidRPr="00910201">
        <w:rPr>
          <w:rFonts w:asciiTheme="majorHAnsi" w:hAnsiTheme="majorHAnsi"/>
          <w:sz w:val="18"/>
          <w:szCs w:val="18"/>
        </w:rPr>
        <w:t xml:space="preserve"> improvements, see the ISO’s “Interdependencies of Market and Operational Changes to Address Resource Performance and Gas Dependency” (2013), </w:t>
      </w:r>
      <w:hyperlink r:id="rId48" w:history="1">
        <w:r w:rsidRPr="00910201">
          <w:rPr>
            <w:rStyle w:val="Hyperlink"/>
            <w:rFonts w:asciiTheme="majorHAnsi" w:hAnsiTheme="majorHAnsi"/>
            <w:sz w:val="18"/>
            <w:szCs w:val="18"/>
          </w:rPr>
          <w:t>http://www.iso-ne.com/committees/comm_wkgrps/strategic_planning_discussion/materials/interdependency_of_iso_proposals_to_key_spi_risks.pdf</w:t>
        </w:r>
      </w:hyperlink>
      <w:r w:rsidRPr="00910201">
        <w:rPr>
          <w:rFonts w:asciiTheme="majorHAnsi" w:hAnsiTheme="majorHAnsi"/>
          <w:sz w:val="18"/>
          <w:szCs w:val="18"/>
        </w:rPr>
        <w:t xml:space="preserve">. Also, </w:t>
      </w:r>
      <w:r w:rsidRPr="00910201">
        <w:rPr>
          <w:rFonts w:asciiTheme="majorHAnsi" w:hAnsiTheme="majorHAnsi"/>
          <w:i/>
          <w:sz w:val="18"/>
          <w:szCs w:val="18"/>
        </w:rPr>
        <w:t>ISO New England Inc. and New England Power Pool, Energy Market Offer Flexibility Changes</w:t>
      </w:r>
      <w:r w:rsidRPr="00910201">
        <w:rPr>
          <w:rFonts w:asciiTheme="majorHAnsi" w:hAnsiTheme="majorHAnsi"/>
          <w:sz w:val="18"/>
          <w:szCs w:val="18"/>
        </w:rPr>
        <w:t xml:space="preserve">, FERC filing (July 1, 2013), </w:t>
      </w:r>
      <w:hyperlink r:id="rId49" w:history="1">
        <w:r w:rsidRPr="00910201">
          <w:rPr>
            <w:rStyle w:val="Hyperlink"/>
            <w:sz w:val="18"/>
            <w:szCs w:val="18"/>
          </w:rPr>
          <w:t>http://www.iso-ne.com/static-assets/documents/regulatory/ferc/filings/2013/jul/er13_1877_000_mkt_offer_flex_7_1_2013.pdf</w:t>
        </w:r>
      </w:hyperlink>
      <w:r w:rsidRPr="00910201">
        <w:rPr>
          <w:rFonts w:asciiTheme="majorHAnsi" w:hAnsiTheme="majorHAnsi"/>
          <w:sz w:val="18"/>
          <w:szCs w:val="18"/>
        </w:rPr>
        <w:t>.</w:t>
      </w:r>
    </w:p>
  </w:footnote>
  <w:footnote w:id="59">
    <w:p w:rsidR="001E3655" w:rsidRPr="00910201" w:rsidRDefault="001E3655" w:rsidP="00C269AA">
      <w:pPr>
        <w:pStyle w:val="FoonoteText"/>
      </w:pPr>
      <w:r w:rsidRPr="00910201">
        <w:rPr>
          <w:rStyle w:val="FootnoteReference"/>
          <w:rFonts w:asciiTheme="majorHAnsi" w:hAnsiTheme="majorHAnsi"/>
          <w:sz w:val="18"/>
        </w:rPr>
        <w:footnoteRef/>
      </w:r>
      <w:r w:rsidRPr="00910201">
        <w:t xml:space="preserve"> ICF International, </w:t>
      </w:r>
      <w:r w:rsidRPr="00910201">
        <w:rPr>
          <w:i/>
        </w:rPr>
        <w:t>Assessment of New England’s Natural Gas Pipeline Capacity to Satisfy Short- and Near-Term Electric Generation Needs</w:t>
      </w:r>
      <w:r w:rsidRPr="00910201">
        <w:t xml:space="preserve">, final report (June 15, 2012), </w:t>
      </w:r>
      <w:hyperlink r:id="rId50" w:history="1">
        <w:r w:rsidRPr="00910201">
          <w:rPr>
            <w:rStyle w:val="Hyperlink"/>
          </w:rPr>
          <w:t>https://smd.iso-ne.com/committees/comm_wkgrps/prtcpnts_comm/pac/ceii/reports/2012/gas_study_ceii.pdf</w:t>
        </w:r>
      </w:hyperlink>
      <w:r w:rsidRPr="00910201">
        <w:t>.</w:t>
      </w:r>
    </w:p>
  </w:footnote>
  <w:footnote w:id="60">
    <w:p w:rsidR="001E3655" w:rsidRPr="00910201" w:rsidRDefault="001E3655" w:rsidP="00C269AA">
      <w:pPr>
        <w:pStyle w:val="FootnoteText"/>
      </w:pPr>
      <w:r w:rsidRPr="00910201">
        <w:rPr>
          <w:rStyle w:val="FootnoteReference"/>
          <w:rFonts w:asciiTheme="majorHAnsi" w:hAnsiTheme="majorHAnsi"/>
          <w:sz w:val="18"/>
        </w:rPr>
        <w:footnoteRef/>
      </w:r>
      <w:r w:rsidRPr="00910201">
        <w:t xml:space="preserve"> </w:t>
      </w:r>
      <w:r w:rsidRPr="00910201">
        <w:rPr>
          <w:i/>
        </w:rPr>
        <w:t>2012 ISO New England Electric Generator Air Emissions Report</w:t>
      </w:r>
      <w:r w:rsidRPr="00910201">
        <w:t xml:space="preserve"> (January 2014), </w:t>
      </w:r>
      <w:hyperlink r:id="rId51" w:history="1">
        <w:r w:rsidRPr="00910201">
          <w:rPr>
            <w:rStyle w:val="Hyperlink"/>
          </w:rPr>
          <w:t>http://www.iso-ne.com/static-assets/documents/genrtion_resrcs/reports/emission/2012_emissions_report_final_v2.pdf</w:t>
        </w:r>
      </w:hyperlink>
      <w:r w:rsidRPr="00910201">
        <w:t>. These changes in generation are consistent with New England fuel consumption in 2011 and 2012, as reported by the US Energy Information Administration (EIA). Coal consumption for electric generators fell from 3.0 million short tons in 2011 to 1.8 million short tons in 2012, and residual fuel oil consumption fell from 0.7 million barrels in 2011 to 0.3 million barrels in 2012.</w:t>
      </w:r>
    </w:p>
  </w:footnote>
  <w:footnote w:id="61">
    <w:p w:rsidR="001E3655" w:rsidRPr="00372FDE" w:rsidRDefault="001E3655" w:rsidP="00B94DC6">
      <w:pPr>
        <w:pStyle w:val="CommentText"/>
        <w:spacing w:after="80"/>
        <w:rPr>
          <w:rFonts w:asciiTheme="majorHAnsi" w:hAnsiTheme="majorHAnsi"/>
          <w:sz w:val="18"/>
          <w:szCs w:val="18"/>
        </w:rPr>
      </w:pPr>
      <w:r w:rsidRPr="00910201">
        <w:rPr>
          <w:rStyle w:val="FootnoteReference"/>
          <w:rFonts w:asciiTheme="majorHAnsi" w:hAnsiTheme="majorHAnsi"/>
          <w:sz w:val="18"/>
          <w:szCs w:val="18"/>
        </w:rPr>
        <w:footnoteRef/>
      </w:r>
      <w:r w:rsidRPr="00910201">
        <w:rPr>
          <w:rFonts w:asciiTheme="majorHAnsi" w:hAnsiTheme="majorHAnsi"/>
          <w:sz w:val="18"/>
          <w:szCs w:val="18"/>
        </w:rPr>
        <w:t xml:space="preserve"> In all communications, the ISO must adhere to the requirements of its Information Policy regarding the disclosure of confidential information. </w:t>
      </w:r>
      <w:proofErr w:type="gramStart"/>
      <w:r w:rsidRPr="00910201">
        <w:rPr>
          <w:rFonts w:asciiTheme="majorHAnsi" w:hAnsiTheme="majorHAnsi"/>
          <w:i/>
          <w:sz w:val="18"/>
          <w:szCs w:val="18"/>
        </w:rPr>
        <w:t>ISO New England Information Policy</w:t>
      </w:r>
      <w:r w:rsidRPr="00910201">
        <w:rPr>
          <w:rFonts w:asciiTheme="majorHAnsi" w:hAnsiTheme="majorHAnsi"/>
          <w:sz w:val="18"/>
          <w:szCs w:val="18"/>
        </w:rPr>
        <w:t xml:space="preserve"> (ISO tariff, Attachment D) (2014), </w:t>
      </w:r>
      <w:hyperlink r:id="rId52" w:history="1">
        <w:r w:rsidRPr="00910201">
          <w:rPr>
            <w:rStyle w:val="Hyperlink"/>
            <w:sz w:val="18"/>
            <w:szCs w:val="18"/>
          </w:rPr>
          <w:t>http://www.iso-ne.com/static-assets/documents/regulatory/tariff/attach_d/attachment_d.pdf</w:t>
        </w:r>
      </w:hyperlink>
      <w:r w:rsidRPr="00910201">
        <w:rPr>
          <w:rFonts w:asciiTheme="majorHAnsi" w:hAnsiTheme="majorHAnsi"/>
          <w:sz w:val="18"/>
          <w:szCs w:val="18"/>
        </w:rPr>
        <w:t>.</w:t>
      </w:r>
      <w:proofErr w:type="gramEnd"/>
    </w:p>
  </w:footnote>
  <w:footnote w:id="62">
    <w:p w:rsidR="001E3655" w:rsidRPr="005550C5" w:rsidRDefault="001E3655" w:rsidP="00C269AA">
      <w:pPr>
        <w:pStyle w:val="FoonoteText"/>
      </w:pPr>
      <w:r w:rsidRPr="005550C5">
        <w:rPr>
          <w:rStyle w:val="FootnoteReference"/>
          <w:rFonts w:asciiTheme="majorHAnsi" w:hAnsiTheme="majorHAnsi"/>
          <w:sz w:val="18"/>
        </w:rPr>
        <w:footnoteRef/>
      </w:r>
      <w:r w:rsidRPr="005550C5">
        <w:t xml:space="preserve"> </w:t>
      </w:r>
      <w:r w:rsidRPr="005550C5">
        <w:rPr>
          <w:i/>
        </w:rPr>
        <w:t>Renewable Energy Certificates</w:t>
      </w:r>
      <w:r w:rsidRPr="005550C5">
        <w:t xml:space="preserve"> are tradable, </w:t>
      </w:r>
      <w:proofErr w:type="spellStart"/>
      <w:r w:rsidRPr="005550C5">
        <w:t>nontangible</w:t>
      </w:r>
      <w:proofErr w:type="spellEnd"/>
      <w:r w:rsidRPr="005550C5">
        <w:t xml:space="preserve"> commodities, each representing the eligible renewable generation attributes of 1 </w:t>
      </w:r>
      <w:proofErr w:type="spellStart"/>
      <w:r w:rsidRPr="005550C5">
        <w:t>MWh</w:t>
      </w:r>
      <w:proofErr w:type="spellEnd"/>
      <w:r w:rsidRPr="005550C5">
        <w:t xml:space="preserve"> of actual generation from a grid-connected renewable resource.</w:t>
      </w:r>
    </w:p>
  </w:footnote>
  <w:footnote w:id="63">
    <w:p w:rsidR="001E3655" w:rsidRPr="00372FDE" w:rsidRDefault="001E3655" w:rsidP="00C269AA">
      <w:pPr>
        <w:pStyle w:val="FootnoteText"/>
      </w:pPr>
      <w:r w:rsidRPr="005550C5">
        <w:rPr>
          <w:rStyle w:val="FootnoteReference"/>
          <w:rFonts w:asciiTheme="majorHAnsi" w:hAnsiTheme="majorHAnsi"/>
          <w:sz w:val="18"/>
        </w:rPr>
        <w:footnoteRef/>
      </w:r>
      <w:r w:rsidRPr="005550C5">
        <w:t xml:space="preserve"> </w:t>
      </w:r>
      <w:proofErr w:type="gramStart"/>
      <w:r w:rsidRPr="005550C5">
        <w:t xml:space="preserve">ISO New England, </w:t>
      </w:r>
      <w:r w:rsidRPr="005550C5">
        <w:rPr>
          <w:i/>
        </w:rPr>
        <w:t>Wind Development in Constrained Areas</w:t>
      </w:r>
      <w:r w:rsidRPr="005550C5">
        <w:t xml:space="preserve">, PAC presentation (March 21, 2013), </w:t>
      </w:r>
      <w:hyperlink r:id="rId53" w:history="1">
        <w:r w:rsidRPr="002D6113">
          <w:rPr>
            <w:rStyle w:val="Hyperlink"/>
          </w:rPr>
          <w:t>https://smd.iso-ne.com/committees/comm_wkgrps/prtcpnts_comm/pac/ceii/mtrls/2013/mar212013/a5_wind_development_in_constrained_areas_new.pdf</w:t>
        </w:r>
      </w:hyperlink>
      <w:r w:rsidRPr="005550C5">
        <w:t xml:space="preserve">, and the </w:t>
      </w:r>
      <w:r w:rsidRPr="005550C5">
        <w:rPr>
          <w:i/>
        </w:rPr>
        <w:t>STA Wind Integration Study</w:t>
      </w:r>
      <w:r>
        <w:rPr>
          <w:i/>
        </w:rPr>
        <w:t xml:space="preserve"> </w:t>
      </w:r>
      <w:r w:rsidRPr="005550C5">
        <w:t>(2014</w:t>
      </w:r>
      <w:r>
        <w:t>).</w:t>
      </w:r>
      <w:proofErr w:type="gramEnd"/>
      <w:r w:rsidRPr="005550C5">
        <w:rPr>
          <w:i/>
        </w:rPr>
        <w:t xml:space="preserve"> </w:t>
      </w:r>
    </w:p>
  </w:footnote>
  <w:footnote w:id="64">
    <w:p w:rsidR="001E3655" w:rsidRPr="006435D9" w:rsidRDefault="001E3655" w:rsidP="00C269AA">
      <w:pPr>
        <w:pStyle w:val="FootnoteText"/>
      </w:pPr>
      <w:r w:rsidRPr="006435D9">
        <w:rPr>
          <w:rStyle w:val="FootnoteReference"/>
          <w:rFonts w:asciiTheme="majorHAnsi" w:hAnsiTheme="majorHAnsi"/>
          <w:sz w:val="18"/>
        </w:rPr>
        <w:footnoteRef/>
      </w:r>
      <w:r w:rsidRPr="006435D9">
        <w:t xml:space="preserve"> </w:t>
      </w:r>
      <w:hyperlink w:history="1"/>
      <w:proofErr w:type="gramStart"/>
      <w:r w:rsidRPr="004A2083">
        <w:rPr>
          <w:i/>
        </w:rPr>
        <w:t>2011 Economic Study</w:t>
      </w:r>
      <w:r>
        <w:t xml:space="preserve">, </w:t>
      </w:r>
      <w:hyperlink r:id="rId54" w:history="1">
        <w:r w:rsidRPr="002D6113">
          <w:rPr>
            <w:rStyle w:val="Hyperlink"/>
          </w:rPr>
          <w:t>http://www.iso-ne.com/static-assets/documents/committees/comm_wkgrps/prtcpnts_comm/pac/reports/2014/2011_eco_study_final.pdf</w:t>
        </w:r>
      </w:hyperlink>
      <w:r w:rsidRPr="006435D9">
        <w:t>.</w:t>
      </w:r>
      <w:proofErr w:type="gramEnd"/>
    </w:p>
  </w:footnote>
  <w:footnote w:id="65">
    <w:p w:rsidR="001E3655" w:rsidRPr="00372FDE" w:rsidRDefault="001E3655" w:rsidP="00C269AA">
      <w:pPr>
        <w:pStyle w:val="FootnoteText"/>
      </w:pPr>
      <w:r w:rsidRPr="006435D9">
        <w:rPr>
          <w:rStyle w:val="FootnoteReference"/>
          <w:rFonts w:asciiTheme="majorHAnsi" w:hAnsiTheme="majorHAnsi"/>
          <w:i/>
          <w:sz w:val="18"/>
        </w:rPr>
        <w:footnoteRef/>
      </w:r>
      <w:r w:rsidRPr="006435D9">
        <w:rPr>
          <w:i/>
        </w:rPr>
        <w:t xml:space="preserve"> </w:t>
      </w:r>
      <w:proofErr w:type="gramStart"/>
      <w:r w:rsidRPr="004A2083">
        <w:rPr>
          <w:i/>
        </w:rPr>
        <w:t>2012 Economic Study</w:t>
      </w:r>
      <w:r w:rsidRPr="006435D9">
        <w:rPr>
          <w:i/>
        </w:rPr>
        <w:t xml:space="preserve">, </w:t>
      </w:r>
      <w:hyperlink r:id="rId55" w:history="1">
        <w:r w:rsidRPr="006435D9">
          <w:rPr>
            <w:rStyle w:val="Hyperlink"/>
          </w:rPr>
          <w:t>http://www.iso-ne.com/committees/comm_wkgrps/prtcpnts_comm/pac/reports/2014/a9_2012_economic_study_final.pdf</w:t>
        </w:r>
      </w:hyperlink>
      <w:r w:rsidRPr="006435D9">
        <w:t>.</w:t>
      </w:r>
      <w:proofErr w:type="gramEnd"/>
      <w:r w:rsidRPr="00EA2BBE">
        <w:t xml:space="preserve"> </w:t>
      </w:r>
    </w:p>
  </w:footnote>
  <w:footnote w:id="66">
    <w:p w:rsidR="001E3655" w:rsidRPr="00372FDE" w:rsidRDefault="001E3655" w:rsidP="00C269AA">
      <w:pPr>
        <w:pStyle w:val="FootnoteText"/>
      </w:pPr>
      <w:r w:rsidRPr="003260B6">
        <w:rPr>
          <w:rStyle w:val="FootnoteReference"/>
          <w:rFonts w:asciiTheme="majorHAnsi" w:hAnsiTheme="majorHAnsi"/>
          <w:sz w:val="18"/>
        </w:rPr>
        <w:footnoteRef/>
      </w:r>
      <w:r w:rsidRPr="00372FDE">
        <w:t xml:space="preserve"> The </w:t>
      </w:r>
      <w:r w:rsidRPr="00372FDE">
        <w:rPr>
          <w:i/>
        </w:rPr>
        <w:t>Hub</w:t>
      </w:r>
      <w:r w:rsidRPr="00372FDE">
        <w:t xml:space="preserve"> is a collection of 32 electric </w:t>
      </w:r>
      <w:proofErr w:type="gramStart"/>
      <w:r w:rsidRPr="00372FDE">
        <w:t>energy pricing</w:t>
      </w:r>
      <w:proofErr w:type="gramEnd"/>
      <w:r w:rsidRPr="00372FDE">
        <w:t xml:space="preserve"> locations in central New England where little congestion is evident. </w:t>
      </w:r>
    </w:p>
  </w:footnote>
  <w:footnote w:id="67">
    <w:p w:rsidR="001E3655" w:rsidRPr="00372FDE" w:rsidRDefault="001E3655" w:rsidP="00C269AA">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Market Resource Alternative Analysis—Demand-Side Results Greater Hartford and Central Connecticut Area</w:t>
      </w:r>
      <w:r w:rsidRPr="00372FDE">
        <w:t xml:space="preserve">, PAC presentation (November 14, 2012), </w:t>
      </w:r>
      <w:hyperlink r:id="rId56" w:history="1">
        <w:r w:rsidRPr="00372FDE">
          <w:rPr>
            <w:rStyle w:val="Hyperlink"/>
          </w:rPr>
          <w:t>https://smd.iso-ne.com/committees/comm_wkgrps/prtcpnts_comm/pac/ceii/mtrls/2012/nov142012/ghcc_mra_november.pdf</w:t>
        </w:r>
      </w:hyperlink>
      <w:r w:rsidRPr="00372FDE">
        <w:t xml:space="preserve">, and </w:t>
      </w:r>
      <w:r w:rsidRPr="00372FDE">
        <w:rPr>
          <w:i/>
        </w:rPr>
        <w:t>Market Resource Alternative Analysis —Final Supply-Side Results Greater Hartford and Central Connecticut Area</w:t>
      </w:r>
      <w:r w:rsidRPr="00372FDE">
        <w:t xml:space="preserve">, PAC presentation (December 13, 2012), </w:t>
      </w:r>
      <w:hyperlink r:id="rId57" w:history="1">
        <w:r w:rsidRPr="00372FDE">
          <w:rPr>
            <w:rStyle w:val="Hyperlink"/>
          </w:rPr>
          <w:t>https://smd.iso-ne.com/committees/comm_wkgrps/prtcpnts_comm/pac/ceii/mtrls/2012/dec132012/ghcc_mra.pdf</w:t>
        </w:r>
      </w:hyperlink>
      <w:r w:rsidRPr="00372FDE">
        <w:t>.</w:t>
      </w:r>
      <w:proofErr w:type="gramEnd"/>
    </w:p>
  </w:footnote>
  <w:footnote w:id="68">
    <w:p w:rsidR="001E3655" w:rsidRPr="004A5D3B" w:rsidRDefault="001E3655" w:rsidP="00C269AA">
      <w:pPr>
        <w:pStyle w:val="FoonoteText"/>
      </w:pPr>
      <w:r w:rsidRPr="004A5D3B">
        <w:rPr>
          <w:rStyle w:val="FootnoteReference"/>
          <w:rFonts w:asciiTheme="majorHAnsi" w:hAnsiTheme="majorHAnsi"/>
          <w:sz w:val="18"/>
        </w:rPr>
        <w:footnoteRef/>
      </w:r>
      <w:r w:rsidRPr="004A5D3B">
        <w:t xml:space="preserve"> ISO New England, NYISO, PJM, </w:t>
      </w:r>
      <w:r w:rsidRPr="004A5D3B">
        <w:rPr>
          <w:i/>
        </w:rPr>
        <w:t>2013 Northeast Coordinated System Plan</w:t>
      </w:r>
      <w:r w:rsidRPr="004A5D3B">
        <w:t xml:space="preserve"> (April 16, 2014), </w:t>
      </w:r>
      <w:hyperlink r:id="rId58" w:history="1">
        <w:r w:rsidRPr="004A5D3B">
          <w:rPr>
            <w:rStyle w:val="Hyperlink"/>
          </w:rPr>
          <w:t>http://www.iso-ne.com/static-assets/documents/committees/comm_wkgrps/othr/ipsac/mtrls/2014/mar282014/2013_ncsp.pdf</w:t>
        </w:r>
      </w:hyperlink>
      <w:r w:rsidRPr="004A5D3B">
        <w:t xml:space="preserve">. The protocol and supplemental materials and reports are available at </w:t>
      </w:r>
      <w:hyperlink r:id="rId59" w:history="1">
        <w:r w:rsidRPr="00525AE1">
          <w:rPr>
            <w:rStyle w:val="Hyperlink"/>
          </w:rPr>
          <w:t>http://www.iso-ne.com/committees/planning/ipsac</w:t>
        </w:r>
      </w:hyperlink>
      <w:r w:rsidRPr="004A5D3B">
        <w:t xml:space="preserve">. </w:t>
      </w:r>
    </w:p>
  </w:footnote>
  <w:footnote w:id="69">
    <w:p w:rsidR="001E3655" w:rsidRDefault="001E3655">
      <w:pPr>
        <w:pStyle w:val="FootnoteText"/>
      </w:pPr>
      <w:r w:rsidRPr="004A5D3B">
        <w:rPr>
          <w:rStyle w:val="FootnoteReference"/>
          <w:rFonts w:asciiTheme="majorHAnsi" w:hAnsiTheme="majorHAnsi"/>
          <w:sz w:val="18"/>
        </w:rPr>
        <w:footnoteRef/>
      </w:r>
      <w:r>
        <w:t xml:space="preserve"> </w:t>
      </w:r>
      <w:proofErr w:type="gramStart"/>
      <w:r w:rsidRPr="004A5D3B">
        <w:t xml:space="preserve">ISO New England, </w:t>
      </w:r>
      <w:r w:rsidRPr="004A5D3B">
        <w:rPr>
          <w:i/>
        </w:rPr>
        <w:t>Transmission Planning Process Guide</w:t>
      </w:r>
      <w:r w:rsidRPr="004A5D3B">
        <w:t>, draft</w:t>
      </w:r>
      <w:r w:rsidRPr="004A5D3B">
        <w:rPr>
          <w:i/>
        </w:rPr>
        <w:t xml:space="preserve"> </w:t>
      </w:r>
      <w:r w:rsidRPr="004A5D3B">
        <w:t>(February 5, 2013),</w:t>
      </w:r>
      <w:r w:rsidRPr="004A5D3B">
        <w:rPr>
          <w:i/>
        </w:rPr>
        <w:t xml:space="preserve"> </w:t>
      </w:r>
      <w:r w:rsidRPr="004A5D3B">
        <w:t xml:space="preserve">http://www.iso-ne.com/static-assets/documents/committees/comm_wkgrps/prtcpnts_comm/pac/plan_guides/plan_process_guide/planning_process_guide_for_february_pac_2_5_2013__3_.docx; </w:t>
      </w:r>
      <w:r w:rsidRPr="004A5D3B">
        <w:rPr>
          <w:i/>
        </w:rPr>
        <w:t>Transmission Planning Technical Guide</w:t>
      </w:r>
      <w:r w:rsidRPr="004A5D3B">
        <w:t>, draft (December 6, 2013), http://www.iso-ne.com/static-assets/documents/committees/comm_wkgrps/prtcpnts_comm/pac/plan_guides/plan_tech_guide/planning_technical_guide_clean_12_06_2013.pdf.</w:t>
      </w:r>
      <w:proofErr w:type="gramEnd"/>
      <w:r w:rsidRPr="00372FDE">
        <w:t xml:space="preserve"> </w:t>
      </w:r>
    </w:p>
  </w:footnote>
  <w:footnote w:id="70">
    <w:p w:rsidR="001E3655" w:rsidRDefault="001E3655">
      <w:pPr>
        <w:pStyle w:val="FoonoteText"/>
      </w:pPr>
      <w:r w:rsidRPr="00372FDE">
        <w:rPr>
          <w:rStyle w:val="FootnoteReference"/>
          <w:rFonts w:asciiTheme="majorHAnsi" w:hAnsiTheme="majorHAnsi"/>
          <w:sz w:val="18"/>
        </w:rPr>
        <w:footnoteRef/>
      </w:r>
      <w:r w:rsidRPr="00372FDE">
        <w:t xml:space="preserve"> Likewise, the markets and market changes may help meet future system needs by providing incentives for the development of new resources. Market changes are subject to a different stakeholder </w:t>
      </w:r>
      <w:r w:rsidRPr="00A511D0">
        <w:t xml:space="preserve">process and are described in the ISO’s Annual Markets Report </w:t>
      </w:r>
      <w:r>
        <w:t xml:space="preserve">(AMR) </w:t>
      </w:r>
      <w:r w:rsidRPr="00A511D0">
        <w:t>(</w:t>
      </w:r>
      <w:r>
        <w:t xml:space="preserve">accessible at </w:t>
      </w:r>
      <w:hyperlink r:id="rId60" w:history="1">
        <w:r w:rsidRPr="00231209">
          <w:rPr>
            <w:rStyle w:val="Hyperlink"/>
          </w:rPr>
          <w:t>http://www.iso-ne.com/markets-operations/market-monitoring-mitigation/internal-monitor</w:t>
        </w:r>
      </w:hyperlink>
      <w:r w:rsidRPr="00372FDE">
        <w:t xml:space="preserve">) and Wholesale Markets Project Plan </w:t>
      </w:r>
      <w:r>
        <w:t xml:space="preserve">(WMPP) </w:t>
      </w:r>
      <w:r w:rsidRPr="00372FDE">
        <w:t>(</w:t>
      </w:r>
      <w:hyperlink r:id="rId61" w:history="1">
        <w:r w:rsidRPr="00AC6904">
          <w:rPr>
            <w:rStyle w:val="Hyperlink"/>
          </w:rPr>
          <w:t>http://www.iso-ne.com/markets-operations/markets-development/wholesale-markets-project-plan</w:t>
        </w:r>
      </w:hyperlink>
      <w:r w:rsidRPr="00372FDE">
        <w:t>).</w:t>
      </w:r>
    </w:p>
  </w:footnote>
  <w:footnote w:id="71">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ISO New England Inc. Transmission, Markets, and Services Tariff</w:t>
      </w:r>
      <w:r w:rsidRPr="00372FDE">
        <w:t xml:space="preserve"> (ISO tariff) (2014), </w:t>
      </w:r>
      <w:hyperlink r:id="rId62" w:history="1">
        <w:r w:rsidRPr="00372FDE">
          <w:rPr>
            <w:rStyle w:val="Hyperlink"/>
          </w:rPr>
          <w:t>http://www.iso-ne.com/regulatory/tariff/index.html</w:t>
        </w:r>
      </w:hyperlink>
      <w:r w:rsidRPr="00372FDE">
        <w:t>, including Section II.</w:t>
      </w:r>
      <w:proofErr w:type="gramEnd"/>
      <w:r w:rsidRPr="00372FDE">
        <w:t xml:space="preserve"> </w:t>
      </w:r>
      <w:proofErr w:type="gramStart"/>
      <w:r w:rsidRPr="00372FDE">
        <w:rPr>
          <w:i/>
        </w:rPr>
        <w:t>ISO New England Open Access Transmission Tariff</w:t>
      </w:r>
      <w:r w:rsidRPr="00372FDE">
        <w:t xml:space="preserve">, </w:t>
      </w:r>
      <w:hyperlink r:id="rId63" w:history="1">
        <w:r w:rsidRPr="00957387">
          <w:rPr>
            <w:rStyle w:val="Hyperlink"/>
          </w:rPr>
          <w:t>http://www.iso-ne.com/regulatory/tariff/sect_2/oatt/sect_ii.pdf</w:t>
        </w:r>
      </w:hyperlink>
      <w:r w:rsidRPr="00372FDE">
        <w:t>.</w:t>
      </w:r>
      <w:proofErr w:type="gramEnd"/>
    </w:p>
  </w:footnote>
  <w:footnote w:id="72">
    <w:p w:rsidR="001E3655" w:rsidRDefault="001E3655">
      <w:pPr>
        <w:pStyle w:val="FoonoteText"/>
      </w:pPr>
      <w:r w:rsidRPr="00372FDE">
        <w:rPr>
          <w:rStyle w:val="FootnoteReference"/>
          <w:rFonts w:asciiTheme="majorHAnsi" w:hAnsiTheme="majorHAnsi"/>
          <w:sz w:val="18"/>
        </w:rPr>
        <w:footnoteRef/>
      </w:r>
      <w:r w:rsidRPr="00372FDE">
        <w:t xml:space="preserve"> A </w:t>
      </w:r>
      <w:r w:rsidRPr="00372FDE">
        <w:rPr>
          <w:i/>
          <w:iCs/>
        </w:rPr>
        <w:t>balancing authority area</w:t>
      </w:r>
      <w:r w:rsidRPr="00372FDE">
        <w:t xml:space="preserve"> is a group of generation, transmission, and loads within the metered boundaries of the entity (</w:t>
      </w:r>
      <w:r w:rsidRPr="00372FDE">
        <w:rPr>
          <w:iCs/>
        </w:rPr>
        <w:t>balancing authority</w:t>
      </w:r>
      <w:r w:rsidRPr="00372FDE">
        <w:t xml:space="preserve">) that maintains the load-resource balance within the area. The </w:t>
      </w:r>
      <w:r w:rsidRPr="00372FDE">
        <w:rPr>
          <w:i/>
        </w:rPr>
        <w:t>Eastern Interconnection</w:t>
      </w:r>
      <w:r w:rsidRPr="00372FDE">
        <w:t xml:space="preserve"> consists of the interconnected transmission and distribution infrastructure that synchronously operates east of the Rocky Mountains, excluding the portion of the system located in the Electric Reliability Council of Texas (ERCOT) and Québec. </w:t>
      </w:r>
    </w:p>
  </w:footnote>
  <w:footnote w:id="73">
    <w:p w:rsidR="001E3655" w:rsidRDefault="001E3655">
      <w:pPr>
        <w:pStyle w:val="FootnoteText"/>
      </w:pPr>
      <w:r w:rsidRPr="003260B6">
        <w:rPr>
          <w:rStyle w:val="FootnoteReference"/>
          <w:rFonts w:asciiTheme="majorHAnsi" w:hAnsiTheme="majorHAnsi"/>
          <w:sz w:val="18"/>
        </w:rPr>
        <w:footnoteRef/>
      </w:r>
      <w:r w:rsidRPr="00372FDE">
        <w:t xml:space="preserve"> A </w:t>
      </w:r>
      <w:r w:rsidRPr="00372FDE">
        <w:rPr>
          <w:i/>
        </w:rPr>
        <w:t xml:space="preserve">demand resource </w:t>
      </w:r>
      <w:r w:rsidRPr="00372FDE">
        <w:t xml:space="preserve">is a capacity product, type of equipment, system, service, practice, or strategy that verifiably reduces end-use demand for electricity from the power system. </w:t>
      </w:r>
      <w:r w:rsidRPr="00372FDE">
        <w:rPr>
          <w:i/>
        </w:rPr>
        <w:t xml:space="preserve">Active demand </w:t>
      </w:r>
      <w:r w:rsidRPr="00372FDE">
        <w:t xml:space="preserve">resources (i.e., demand response) reduce load quickly or continuously in response to a request from the ISO for system reliability reasons or in response to a price signal. </w:t>
      </w:r>
      <w:r w:rsidRPr="00372FDE">
        <w:rPr>
          <w:rFonts w:cstheme="minorBidi"/>
          <w:i/>
        </w:rPr>
        <w:t>Passive</w:t>
      </w:r>
      <w:r w:rsidRPr="00372FDE">
        <w:rPr>
          <w:rFonts w:cstheme="minorBidi"/>
        </w:rPr>
        <w:t xml:space="preserve"> </w:t>
      </w:r>
      <w:r w:rsidRPr="00372FDE">
        <w:rPr>
          <w:rFonts w:cstheme="minorBidi"/>
          <w:i/>
        </w:rPr>
        <w:t>demand resources</w:t>
      </w:r>
      <w:r w:rsidRPr="00372FDE">
        <w:rPr>
          <w:rFonts w:cstheme="minorBidi"/>
        </w:rPr>
        <w:t xml:space="preserve"> are </w:t>
      </w:r>
      <w:proofErr w:type="spellStart"/>
      <w:r w:rsidRPr="00372FDE">
        <w:rPr>
          <w:rFonts w:cstheme="minorBidi"/>
        </w:rPr>
        <w:t>nondispatchable</w:t>
      </w:r>
      <w:proofErr w:type="spellEnd"/>
      <w:r w:rsidRPr="00372FDE">
        <w:rPr>
          <w:rFonts w:cstheme="minorBidi"/>
        </w:rPr>
        <w:t xml:space="preserve"> resources that reduce electric energy consumption that generation resources would have otherwise served and include </w:t>
      </w:r>
      <w:r w:rsidRPr="00372FDE">
        <w:rPr>
          <w:rFonts w:eastAsia="Calibri" w:cstheme="minorBidi"/>
        </w:rPr>
        <w:t xml:space="preserve">energy-efficiency measures and </w:t>
      </w:r>
      <w:r w:rsidRPr="00273637">
        <w:rPr>
          <w:rFonts w:cstheme="minorBidi"/>
        </w:rPr>
        <w:t xml:space="preserve">“behind-the meter” (on-site) </w:t>
      </w:r>
      <w:r w:rsidRPr="00273637">
        <w:rPr>
          <w:rFonts w:cstheme="minorBidi"/>
          <w:i/>
        </w:rPr>
        <w:t>distributed generation</w:t>
      </w:r>
      <w:r w:rsidRPr="00273637">
        <w:rPr>
          <w:rFonts w:cstheme="minorBidi"/>
        </w:rPr>
        <w:t xml:space="preserve"> (DG) in locations that have net metering (see more on DG below</w:t>
      </w:r>
      <w:r>
        <w:rPr>
          <w:rFonts w:cstheme="minorBidi"/>
        </w:rPr>
        <w:t>)</w:t>
      </w:r>
      <w:r w:rsidRPr="00273637">
        <w:rPr>
          <w:rFonts w:cstheme="minorBidi"/>
        </w:rPr>
        <w:t>.</w:t>
      </w:r>
      <w:r w:rsidRPr="00372FDE">
        <w:rPr>
          <w:rFonts w:cstheme="minorBidi"/>
        </w:rPr>
        <w:t xml:space="preserve"> </w:t>
      </w:r>
      <w:r w:rsidRPr="00372FDE">
        <w:rPr>
          <w:i/>
        </w:rPr>
        <w:t>Net metering</w:t>
      </w:r>
      <w:r w:rsidRPr="00372FDE">
        <w:t xml:space="preserve"> allows power customers who generate their own electricity, such as from wind or solar power, to feed </w:t>
      </w:r>
      <w:r w:rsidRPr="00B94171">
        <w:t>their unused electricity back into the grid.</w:t>
      </w:r>
    </w:p>
  </w:footnote>
  <w:footnote w:id="74">
    <w:p w:rsidR="001E3655" w:rsidRDefault="001E3655">
      <w:pPr>
        <w:pStyle w:val="FootnoteText"/>
      </w:pPr>
      <w:r w:rsidRPr="00B94171">
        <w:rPr>
          <w:rStyle w:val="FootnoteReference"/>
          <w:rFonts w:asciiTheme="majorHAnsi" w:hAnsiTheme="majorHAnsi"/>
          <w:sz w:val="18"/>
        </w:rPr>
        <w:footnoteRef/>
      </w:r>
      <w:r w:rsidRPr="00B94171">
        <w:t xml:space="preserve"> An </w:t>
      </w:r>
      <w:r w:rsidRPr="00B94171">
        <w:rPr>
          <w:i/>
        </w:rPr>
        <w:t xml:space="preserve">Elective Transmission Upgrade </w:t>
      </w:r>
      <w:r w:rsidRPr="00B94171">
        <w:t xml:space="preserve">is required for interconnecting a merchant transmission facility to the ISO system. A </w:t>
      </w:r>
      <w:r w:rsidRPr="00B94171">
        <w:rPr>
          <w:i/>
        </w:rPr>
        <w:t>merchant transmission facility</w:t>
      </w:r>
      <w:r w:rsidRPr="00B94171">
        <w:t xml:space="preserve"> is an independently developed and funded facility subject to the operational control of the ISO, pursuant to an operating agreement specific to each facility (refer to Section </w:t>
      </w:r>
      <w:fldSimple w:instr=" REF _Ref296338403 \r \h  \* MERGEFORMAT ">
        <w:r>
          <w:t>5.2.4</w:t>
        </w:r>
      </w:fldSimple>
      <w:r w:rsidRPr="00B94171">
        <w:t>).</w:t>
      </w:r>
      <w:r w:rsidRPr="00372FDE">
        <w:rPr>
          <w:i/>
        </w:rPr>
        <w:t xml:space="preserve"> </w:t>
      </w:r>
    </w:p>
  </w:footnote>
  <w:footnote w:id="75">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2D583B">
        <w:t xml:space="preserve">ISO New England, </w:t>
      </w:r>
      <w:r w:rsidRPr="002D583B">
        <w:rPr>
          <w:i/>
        </w:rPr>
        <w:t>Transmission Planning Process Guide</w:t>
      </w:r>
      <w:r w:rsidRPr="002D583B">
        <w:t>, draft</w:t>
      </w:r>
      <w:r>
        <w:t xml:space="preserve">, </w:t>
      </w:r>
      <w:hyperlink r:id="rId64" w:history="1">
        <w:r w:rsidRPr="004A5D3B">
          <w:rPr>
            <w:rStyle w:val="Hyperlink"/>
          </w:rPr>
          <w:t>http://www.iso-ne.com/static-assets/documents/committees/comm_wkgrps/prtcpnts_comm/pac/plan_guides/plan_process_guide/planning_process_guide_for_february_pac_2_5_2013__3_.docx</w:t>
        </w:r>
      </w:hyperlink>
      <w:r>
        <w:t>.</w:t>
      </w:r>
      <w:proofErr w:type="gramEnd"/>
      <w:r w:rsidRPr="002D583B">
        <w:t xml:space="preserve"> </w:t>
      </w:r>
      <w:proofErr w:type="gramStart"/>
      <w:r w:rsidRPr="002D583B">
        <w:rPr>
          <w:i/>
        </w:rPr>
        <w:t>Transmission Planning Technical Guide</w:t>
      </w:r>
      <w:r w:rsidRPr="002D583B">
        <w:t xml:space="preserve">, draft, </w:t>
      </w:r>
      <w:hyperlink r:id="rId65" w:history="1">
        <w:r w:rsidRPr="004A5D3B">
          <w:rPr>
            <w:rStyle w:val="Hyperlink"/>
          </w:rPr>
          <w:t>http://www.iso-ne.com/static-assets/documents/committees/comm_wkgrps/prtcpnts_comm/pac/plan_guides/plan_tech_guide/planning_technical_guide_clean_12_06_2013.pdf</w:t>
        </w:r>
      </w:hyperlink>
      <w:r>
        <w:t>.</w:t>
      </w:r>
      <w:proofErr w:type="gramEnd"/>
    </w:p>
  </w:footnote>
  <w:footnote w:id="76">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w:t>
      </w:r>
      <w:r w:rsidRPr="000F41C2">
        <w:rPr>
          <w:i/>
        </w:rPr>
        <w:t>ISO New England Inc.</w:t>
      </w:r>
      <w:r>
        <w:t xml:space="preserve"> </w:t>
      </w:r>
      <w:r w:rsidRPr="00372FDE">
        <w:rPr>
          <w:i/>
        </w:rPr>
        <w:t>Order on Compliance Filings</w:t>
      </w:r>
      <w:r w:rsidRPr="00372FDE">
        <w:t xml:space="preserve"> (May 17, 2013), </w:t>
      </w:r>
      <w:hyperlink r:id="rId66" w:history="1">
        <w:r w:rsidRPr="00372FDE">
          <w:rPr>
            <w:rStyle w:val="Hyperlink"/>
          </w:rPr>
          <w:t>http://www.iso-ne.com/regulatory/ferc/orders/2013/may/er13-193_er13-196_5-17_13_order_on_order_1000_compliance_filings.pdf</w:t>
        </w:r>
      </w:hyperlink>
      <w:r w:rsidRPr="00372FDE">
        <w:t>.</w:t>
      </w:r>
      <w:proofErr w:type="gramEnd"/>
      <w:r w:rsidRPr="00372FDE">
        <w:t xml:space="preserve"> Also see “Order No. 1000—Transmission Planning and Cost Allocation,” FERC webpage (updated May 17, 2013), </w:t>
      </w:r>
      <w:hyperlink r:id="rId67" w:history="1">
        <w:r w:rsidRPr="00E87AE3">
          <w:rPr>
            <w:rStyle w:val="Hyperlink"/>
          </w:rPr>
          <w:t>http://www.ferc.gov/industries/electric/indus-act/trans-plan.asp</w:t>
        </w:r>
      </w:hyperlink>
      <w:r w:rsidRPr="00E87AE3">
        <w:t>.</w:t>
      </w:r>
    </w:p>
  </w:footnote>
  <w:footnote w:id="77">
    <w:p w:rsidR="001E3655" w:rsidRDefault="001E3655">
      <w:pPr>
        <w:pStyle w:val="FootnoteText"/>
      </w:pPr>
      <w:r w:rsidRPr="00273637">
        <w:rPr>
          <w:rStyle w:val="FootnoteReference"/>
          <w:rFonts w:asciiTheme="majorHAnsi" w:hAnsiTheme="majorHAnsi"/>
          <w:sz w:val="18"/>
        </w:rPr>
        <w:footnoteRef/>
      </w:r>
      <w:r w:rsidRPr="00273637">
        <w:t xml:space="preserve"> A </w:t>
      </w:r>
      <w:r w:rsidRPr="00273637">
        <w:rPr>
          <w:i/>
        </w:rPr>
        <w:t>distributed generation</w:t>
      </w:r>
      <w:r w:rsidRPr="00273637">
        <w:t xml:space="preserve"> resource is generation provided by a relatively small, on-site installation directly</w:t>
      </w:r>
      <w:r w:rsidRPr="009B5E2C">
        <w:t xml:space="preserve"> connected to a distribution facility or retail customer facility and not the regional power system (i.e., it is “behind the meter”), which can alleviate or prevent regional power system transmission or distribution constraints or reduce or eliminate the need to install new transmission or distribution facilities. A small (24 kilowatt) photovoltaic system installed by a retail customer is an example of distributed generation.</w:t>
      </w:r>
    </w:p>
  </w:footnote>
  <w:footnote w:id="78">
    <w:p w:rsidR="001E3655" w:rsidRDefault="001E3655">
      <w:pPr>
        <w:pStyle w:val="FootnoteText"/>
      </w:pPr>
      <w:r w:rsidRPr="00372FDE">
        <w:rPr>
          <w:rStyle w:val="FootnoteReference"/>
          <w:rFonts w:asciiTheme="majorHAnsi" w:hAnsiTheme="majorHAnsi"/>
          <w:sz w:val="18"/>
        </w:rPr>
        <w:footnoteRef/>
      </w:r>
      <w:r w:rsidRPr="00372FDE">
        <w:t xml:space="preserve"> Refer to the OATT, Attachment K, Section 4.1 and 4.2 for complete definitions for needs assessments and solutions studies; </w:t>
      </w:r>
      <w:hyperlink r:id="rId68" w:history="1">
        <w:r w:rsidRPr="00372FDE">
          <w:rPr>
            <w:rStyle w:val="Hyperlink"/>
          </w:rPr>
          <w:t>http://www.iso-ne.com/regulatory/tariff/sect_2/oatt/sect_ii.pdf</w:t>
        </w:r>
      </w:hyperlink>
      <w:r w:rsidRPr="00372FDE">
        <w:t>.</w:t>
      </w:r>
    </w:p>
  </w:footnote>
  <w:footnote w:id="79">
    <w:p w:rsidR="001E3655" w:rsidRDefault="001E3655">
      <w:pPr>
        <w:pStyle w:val="FoonoteText"/>
      </w:pPr>
      <w:r w:rsidRPr="00372FDE">
        <w:rPr>
          <w:rStyle w:val="FootnoteReference"/>
          <w:rFonts w:asciiTheme="majorHAnsi" w:hAnsiTheme="majorHAnsi"/>
          <w:sz w:val="18"/>
        </w:rPr>
        <w:footnoteRef/>
      </w:r>
      <w:r w:rsidRPr="00372FDE">
        <w:t xml:space="preserve"> Any stakeholder can designate a representative to the PAC by providing written notice to the ISO. PAC materials </w:t>
      </w:r>
      <w:r w:rsidRPr="008E2D71">
        <w:t xml:space="preserve">(2001–2014) are available at </w:t>
      </w:r>
      <w:hyperlink r:id="rId69" w:history="1">
        <w:r w:rsidRPr="008E2D71">
          <w:rPr>
            <w:rStyle w:val="Hyperlink"/>
          </w:rPr>
          <w:t>http://www.iso-ne.com/committees/comm_wkgrps/prtcpnts_comm/pac/index.html</w:t>
        </w:r>
      </w:hyperlink>
      <w:r w:rsidRPr="008E2D71">
        <w:t xml:space="preserve">. PAC agendas; minutes; materials; draft reports, including stakeholder questions and ISO responses; and final reports </w:t>
      </w:r>
      <w:proofErr w:type="gramStart"/>
      <w:r w:rsidRPr="008E2D71">
        <w:t>are posted</w:t>
      </w:r>
      <w:proofErr w:type="gramEnd"/>
      <w:r w:rsidRPr="008E2D71">
        <w:t xml:space="preserve"> on the ISO website. </w:t>
      </w:r>
    </w:p>
  </w:footnote>
  <w:footnote w:id="80">
    <w:p w:rsidR="001E3655" w:rsidRDefault="001E3655">
      <w:pPr>
        <w:pStyle w:val="FoonoteText"/>
      </w:pPr>
      <w:r w:rsidRPr="008E2D71">
        <w:rPr>
          <w:rStyle w:val="FootnoteReference"/>
          <w:rFonts w:asciiTheme="majorHAnsi" w:hAnsiTheme="majorHAnsi"/>
          <w:sz w:val="18"/>
        </w:rPr>
        <w:footnoteRef/>
      </w:r>
      <w:r w:rsidRPr="008E2D71">
        <w:t xml:space="preserve"> NEPOOL members serve as ISO stakeholders and market participants. More information on NEPOOL participants</w:t>
      </w:r>
      <w:r>
        <w:t xml:space="preserve"> </w:t>
      </w:r>
      <w:r w:rsidRPr="008E2D71">
        <w:t xml:space="preserve">is available at </w:t>
      </w:r>
      <w:hyperlink r:id="rId70" w:history="1">
        <w:r w:rsidRPr="00AC6904">
          <w:rPr>
            <w:rStyle w:val="Hyperlink"/>
          </w:rPr>
          <w:t>http://www.iso-ne.com/participate/governing-agreements/nepool-agreement</w:t>
        </w:r>
      </w:hyperlink>
      <w:r w:rsidRPr="008E2D71">
        <w:t>.</w:t>
      </w:r>
    </w:p>
  </w:footnote>
  <w:footnote w:id="81">
    <w:p w:rsidR="001E3655" w:rsidRDefault="001E3655">
      <w:pPr>
        <w:pStyle w:val="FootnoteText"/>
      </w:pPr>
      <w:r w:rsidRPr="00DF1A48">
        <w:rPr>
          <w:rStyle w:val="FootnoteReference"/>
        </w:rPr>
        <w:footnoteRef/>
      </w:r>
      <w:r w:rsidRPr="00DF1A48">
        <w:t xml:space="preserve"> A </w:t>
      </w:r>
      <w:r w:rsidRPr="00DF1A48">
        <w:rPr>
          <w:i/>
        </w:rPr>
        <w:t>Transmission Operating Agreement</w:t>
      </w:r>
      <w:r w:rsidRPr="00DF1A48">
        <w:t xml:space="preserve"> is an agreement between a Regional Transmission Operator and a transmission-providing utility whereby the RTO pays the utility for its transmission system costs in exchange for control of the transmission.</w:t>
      </w:r>
    </w:p>
  </w:footnote>
  <w:footnote w:id="82">
    <w:p w:rsidR="001E3655" w:rsidRDefault="001E3655">
      <w:pPr>
        <w:pStyle w:val="FoonoteText"/>
      </w:pPr>
      <w:r w:rsidRPr="00372FDE">
        <w:rPr>
          <w:rStyle w:val="FootnoteReference"/>
          <w:rFonts w:asciiTheme="majorHAnsi" w:hAnsiTheme="majorHAnsi"/>
          <w:sz w:val="18"/>
        </w:rPr>
        <w:footnoteRef/>
      </w:r>
      <w:r w:rsidRPr="00372FDE">
        <w:t xml:space="preserve"> </w:t>
      </w:r>
      <w:proofErr w:type="gramStart"/>
      <w:r w:rsidRPr="00372FDE">
        <w:rPr>
          <w:i/>
        </w:rPr>
        <w:t>Market Rule 1</w:t>
      </w:r>
      <w:r w:rsidRPr="00372FDE">
        <w:t xml:space="preserve"> (ISO tariff, Section III) (2014), </w:t>
      </w:r>
      <w:hyperlink r:id="rId71" w:history="1">
        <w:r w:rsidRPr="00372FDE">
          <w:rPr>
            <w:rStyle w:val="Hyperlink"/>
          </w:rPr>
          <w:t>http://www.iso-ne.com/regulatory/tariff/sect_3/index.html</w:t>
        </w:r>
      </w:hyperlink>
      <w:r w:rsidRPr="00372FDE">
        <w:t>.</w:t>
      </w:r>
      <w:proofErr w:type="gramEnd"/>
    </w:p>
  </w:footnote>
  <w:footnote w:id="83">
    <w:p w:rsidR="001E3655" w:rsidRDefault="001E3655">
      <w:pPr>
        <w:pStyle w:val="FoonoteText"/>
      </w:pPr>
      <w:r w:rsidRPr="00372FDE">
        <w:rPr>
          <w:rStyle w:val="FootnoteReference"/>
          <w:rFonts w:asciiTheme="majorHAnsi" w:hAnsiTheme="majorHAnsi"/>
          <w:sz w:val="18"/>
        </w:rPr>
        <w:footnoteRef/>
      </w:r>
      <w:r w:rsidRPr="00372FDE">
        <w:t xml:space="preserve"> The current list is available at </w:t>
      </w:r>
      <w:hyperlink r:id="rId72" w:history="1">
        <w:r w:rsidRPr="00AE7E50">
          <w:rPr>
            <w:rStyle w:val="Hyperlink"/>
          </w:rPr>
          <w:t>http://www.iso-ne.com/system-planning/system-plans-studies/rsp</w:t>
        </w:r>
      </w:hyperlink>
      <w:r>
        <w:t xml:space="preserve"> (filters: Regional System Plan document type; XLS file type)</w:t>
      </w:r>
      <w:r w:rsidRPr="00372FDE">
        <w:t xml:space="preserve">. </w:t>
      </w:r>
    </w:p>
  </w:footnote>
  <w:footnote w:id="84">
    <w:p w:rsidR="001E3655" w:rsidRDefault="001E3655">
      <w:pPr>
        <w:pStyle w:val="FoonoteText"/>
      </w:pPr>
      <w:r w:rsidRPr="00372FDE">
        <w:rPr>
          <w:rStyle w:val="FootnoteReference"/>
          <w:rFonts w:asciiTheme="majorHAnsi" w:hAnsiTheme="majorHAnsi"/>
          <w:sz w:val="18"/>
        </w:rPr>
        <w:footnoteRef/>
      </w:r>
      <w:r w:rsidRPr="00372FDE">
        <w:t xml:space="preserve"> Recent and archived RSP materials are available at </w:t>
      </w:r>
      <w:hyperlink r:id="rId73" w:history="1">
        <w:r w:rsidRPr="00372FDE">
          <w:rPr>
            <w:rStyle w:val="Hyperlink"/>
          </w:rPr>
          <w:t>http://www.iso-ne.com/trans/rsp/index.html</w:t>
        </w:r>
      </w:hyperlink>
      <w:r w:rsidRPr="00372FDE">
        <w:t xml:space="preserve">. The latest and archived editions of the AMR are available at </w:t>
      </w:r>
      <w:hyperlink r:id="rId74" w:history="1">
        <w:r w:rsidRPr="00372FDE">
          <w:rPr>
            <w:rStyle w:val="Hyperlink"/>
          </w:rPr>
          <w:t>http://www.iso-ne.com/markets/mkt_anlys_rpts/annl_mkt_rpts/</w:t>
        </w:r>
      </w:hyperlink>
      <w:r w:rsidRPr="00372FDE">
        <w:t xml:space="preserve">. The latest and archived WMPPs are available at </w:t>
      </w:r>
      <w:hyperlink r:id="rId75" w:history="1">
        <w:r w:rsidRPr="009302CC">
          <w:rPr>
            <w:rStyle w:val="Hyperlink"/>
          </w:rPr>
          <w:t>http://www.iso-ne.com/markets-operations/markets-development/wholesale-markets-project-plan</w:t>
        </w:r>
      </w:hyperlink>
      <w:r w:rsidRPr="00372FDE">
        <w:t xml:space="preserve">. The needs assessments and solutions studies presented to the PAC and posted on the ISO website </w:t>
      </w:r>
      <w:proofErr w:type="gramStart"/>
      <w:r w:rsidRPr="00372FDE">
        <w:t>can be obtained</w:t>
      </w:r>
      <w:proofErr w:type="gramEnd"/>
      <w:r w:rsidRPr="00372FDE">
        <w:t xml:space="preserve"> by contacting ISO Customer Service at 413-540-4220. </w:t>
      </w:r>
    </w:p>
  </w:footnote>
  <w:footnote w:id="85">
    <w:p w:rsidR="001E3655" w:rsidRDefault="001E3655">
      <w:pPr>
        <w:pStyle w:val="FoonoteText"/>
      </w:pPr>
      <w:r w:rsidRPr="00372FDE">
        <w:rPr>
          <w:rStyle w:val="FootnoteReference"/>
          <w:rFonts w:asciiTheme="majorHAnsi" w:hAnsiTheme="majorHAnsi"/>
          <w:sz w:val="18"/>
        </w:rPr>
        <w:footnoteRef/>
      </w:r>
      <w:r w:rsidRPr="00372FDE">
        <w:t xml:space="preserve"> Stakeholders also can obtain publicly available models of the transmission system network through the FERC 715 process, which requires transmitting utilities that operate facilities rated at or above 100 kilovolts (kV) to submit information to FERC annually</w:t>
      </w:r>
      <w:proofErr w:type="gramStart"/>
      <w:r w:rsidRPr="00372FDE">
        <w:t>;</w:t>
      </w:r>
      <w:proofErr w:type="gramEnd"/>
      <w:r w:rsidRPr="00372FDE">
        <w:t xml:space="preserve"> see </w:t>
      </w:r>
      <w:hyperlink r:id="rId76" w:history="1">
        <w:r w:rsidRPr="00372FDE">
          <w:rPr>
            <w:rStyle w:val="Hyperlink"/>
          </w:rPr>
          <w:t>http://www.ferc.gov/docs-filing/forms/form-715/overview.asp</w:t>
        </w:r>
      </w:hyperlink>
      <w:r w:rsidRPr="00372FDE">
        <w:t xml:space="preserve">. </w:t>
      </w:r>
      <w:r w:rsidRPr="00372FDE">
        <w:rPr>
          <w:i/>
        </w:rPr>
        <w:t>ISO New England Information Policy</w:t>
      </w:r>
      <w:r w:rsidRPr="00372FDE">
        <w:t xml:space="preserve"> (ISO tariff, Attachment D) (2014) contains the requirements for controlling the disclosure of CEII and confidential information; see </w:t>
      </w:r>
      <w:hyperlink r:id="rId77" w:history="1">
        <w:r w:rsidRPr="009302CC">
          <w:rPr>
            <w:rStyle w:val="Hyperlink"/>
          </w:rPr>
          <w:t>http://www.iso-ne.com/static-assets/documents/regulatory/tariff/attach_d/attachment_d.pdf</w:t>
        </w:r>
      </w:hyperlink>
      <w:r w:rsidRPr="00372FDE">
        <w:t xml:space="preserve">. </w:t>
      </w:r>
    </w:p>
  </w:footnote>
  <w:footnote w:id="86">
    <w:p w:rsidR="001E3655" w:rsidRDefault="001E3655">
      <w:pPr>
        <w:pStyle w:val="FoonoteText"/>
      </w:pPr>
      <w:r w:rsidRPr="00372FDE">
        <w:rPr>
          <w:rStyle w:val="FootnoteReference"/>
          <w:rFonts w:asciiTheme="majorHAnsi" w:hAnsiTheme="majorHAnsi"/>
          <w:sz w:val="18"/>
        </w:rPr>
        <w:footnoteRef/>
      </w:r>
      <w:r w:rsidRPr="00372FDE">
        <w:t xml:space="preserve"> </w:t>
      </w:r>
      <w:proofErr w:type="gramStart"/>
      <w:r w:rsidRPr="00372FDE">
        <w:t>ISO New England</w:t>
      </w:r>
      <w:r>
        <w:t>,</w:t>
      </w:r>
      <w:r w:rsidRPr="00372FDE">
        <w:t xml:space="preserve"> </w:t>
      </w:r>
      <w:r>
        <w:t>“Rules and Procedures</w:t>
      </w:r>
      <w:r w:rsidRPr="00372FDE">
        <w:t xml:space="preserve">” webpage, </w:t>
      </w:r>
      <w:hyperlink r:id="rId78" w:history="1">
        <w:r w:rsidRPr="00523022">
          <w:rPr>
            <w:rStyle w:val="Hyperlink"/>
          </w:rPr>
          <w:t>http://www.iso-ne.com/participate/rules-procedures</w:t>
        </w:r>
      </w:hyperlink>
      <w:r w:rsidRPr="00372FDE">
        <w:t>.</w:t>
      </w:r>
      <w:proofErr w:type="gramEnd"/>
      <w:r w:rsidRPr="00372FDE">
        <w:t xml:space="preserve"> </w:t>
      </w:r>
      <w:proofErr w:type="gramStart"/>
      <w:r w:rsidRPr="00372FDE">
        <w:t xml:space="preserve">FERC, </w:t>
      </w:r>
      <w:r w:rsidRPr="00372FDE">
        <w:rPr>
          <w:rStyle w:val="FoonoteTextChar"/>
          <w:i/>
          <w:sz w:val="18"/>
        </w:rPr>
        <w:t>Preventing Undue Discrimination and Preference in Transmission Service</w:t>
      </w:r>
      <w:r w:rsidRPr="00372FDE">
        <w:rPr>
          <w:rStyle w:val="FoonoteTextChar"/>
          <w:sz w:val="18"/>
        </w:rPr>
        <w:t xml:space="preserve">, 18 CFR Parts 35 and 37, Order </w:t>
      </w:r>
      <w:r>
        <w:rPr>
          <w:rStyle w:val="FoonoteTextChar"/>
          <w:sz w:val="18"/>
        </w:rPr>
        <w:t xml:space="preserve">No. </w:t>
      </w:r>
      <w:r w:rsidRPr="00372FDE">
        <w:rPr>
          <w:rStyle w:val="FoonoteTextChar"/>
          <w:sz w:val="18"/>
        </w:rPr>
        <w:t xml:space="preserve">890 (February 16, 2007), </w:t>
      </w:r>
      <w:hyperlink r:id="rId79" w:history="1">
        <w:r w:rsidRPr="002B5753">
          <w:rPr>
            <w:rStyle w:val="Hyperlink"/>
          </w:rPr>
          <w:t>http://www.ferc.gov/whats-new/comm-meet/2007/021507/E-1.pdf</w:t>
        </w:r>
      </w:hyperlink>
      <w:r w:rsidRPr="00372FDE">
        <w:t>.</w:t>
      </w:r>
      <w:proofErr w:type="gramEnd"/>
      <w:r w:rsidRPr="00372FDE">
        <w:t xml:space="preserve"> </w:t>
      </w:r>
      <w:proofErr w:type="gramStart"/>
      <w:r w:rsidRPr="00372FDE">
        <w:t xml:space="preserve">NERC Reliability Standards (2013), </w:t>
      </w:r>
      <w:hyperlink r:id="rId80" w:history="1">
        <w:r w:rsidRPr="00372FDE">
          <w:rPr>
            <w:rStyle w:val="Hyperlink"/>
          </w:rPr>
          <w:t>http://www.nerc.com/page.php?cid=2|20</w:t>
        </w:r>
      </w:hyperlink>
      <w:r w:rsidRPr="00372FDE">
        <w:t>.</w:t>
      </w:r>
      <w:proofErr w:type="gramEnd"/>
      <w:r w:rsidRPr="00372FDE">
        <w:t xml:space="preserve"> </w:t>
      </w:r>
      <w:proofErr w:type="gramStart"/>
      <w:r w:rsidRPr="00372FDE">
        <w:t xml:space="preserve">NPCC Regional Standards (2012), </w:t>
      </w:r>
      <w:hyperlink r:id="rId81" w:history="1">
        <w:r w:rsidRPr="00372FDE">
          <w:rPr>
            <w:rStyle w:val="Hyperlink"/>
          </w:rPr>
          <w:t>https://www.npcc.org/Standards/default.aspx</w:t>
        </w:r>
      </w:hyperlink>
      <w:r w:rsidRPr="00372FDE">
        <w:t>.</w:t>
      </w:r>
      <w:proofErr w:type="gramEnd"/>
      <w:r w:rsidRPr="00372FDE">
        <w:t xml:space="preserve"> </w:t>
      </w:r>
      <w:proofErr w:type="gramStart"/>
      <w:r w:rsidRPr="003523A7">
        <w:t>Also</w:t>
      </w:r>
      <w:proofErr w:type="gramEnd"/>
      <w:r w:rsidRPr="003523A7">
        <w:t xml:space="preserve"> see Sections </w:t>
      </w:r>
      <w:fldSimple w:instr=" REF _Ref360798958 \r \h  \* MERGEFORMAT ">
        <w:r>
          <w:t>7.1.4</w:t>
        </w:r>
      </w:fldSimple>
      <w:r w:rsidRPr="003523A7">
        <w:t>.</w:t>
      </w:r>
    </w:p>
  </w:footnote>
  <w:footnote w:id="87">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“Transmission Operating Agreements” webpage, </w:t>
      </w:r>
      <w:hyperlink r:id="rId82" w:history="1">
        <w:r w:rsidRPr="00372FDE">
          <w:rPr>
            <w:rStyle w:val="Hyperlink"/>
          </w:rPr>
          <w:t>http://www.iso-ne.com/regulatory/toa/index.html</w:t>
        </w:r>
      </w:hyperlink>
      <w:r w:rsidRPr="00372FDE">
        <w:t>.</w:t>
      </w:r>
      <w:proofErr w:type="gramEnd"/>
    </w:p>
  </w:footnote>
  <w:footnote w:id="88">
    <w:p w:rsidR="001E3655" w:rsidRDefault="001E3655">
      <w:pPr>
        <w:pStyle w:val="FootnoteText"/>
      </w:pPr>
      <w:r w:rsidRPr="00372FDE">
        <w:rPr>
          <w:rStyle w:val="FootnoteReference"/>
          <w:rFonts w:asciiTheme="majorHAnsi" w:hAnsiTheme="majorHAnsi"/>
          <w:sz w:val="18"/>
        </w:rPr>
        <w:footnoteRef/>
      </w:r>
      <w:r w:rsidRPr="00372FDE">
        <w:t xml:space="preserve"> </w:t>
      </w:r>
      <w:r w:rsidRPr="00D525FD">
        <w:rPr>
          <w:i/>
        </w:rPr>
        <w:t>Order No. 1000 Interregional Compliance Filing of ISO New England Inc. and the Participating Transmission Owners Administrative Committee, Supported By the New England Power Pool Participants Committee</w:t>
      </w:r>
      <w:r>
        <w:t xml:space="preserve"> </w:t>
      </w:r>
      <w:r w:rsidRPr="00372FDE">
        <w:t xml:space="preserve">(July 10, 2013), </w:t>
      </w:r>
      <w:hyperlink r:id="rId83" w:history="1">
        <w:r w:rsidRPr="00372FDE">
          <w:rPr>
            <w:rStyle w:val="Hyperlink"/>
          </w:rPr>
          <w:t>http://www.iso-ne.com/regulatory/ferc/filings/2013/jul/er13-1960-000_7-10-2013_order_1000.pdf</w:t>
        </w:r>
      </w:hyperlink>
      <w:r w:rsidRPr="00372FDE">
        <w:t xml:space="preserve">. </w:t>
      </w:r>
      <w:r w:rsidRPr="00D525FD">
        <w:rPr>
          <w:i/>
        </w:rPr>
        <w:t>Filing of Amended and Restated Northeastern ISO/RTO Planning Coordination Protocol on behalf of ISO New England Inc., New York Independent System Operator, Inc., and PJM Interconnection, L.L.C.</w:t>
      </w:r>
      <w:r>
        <w:t xml:space="preserve"> </w:t>
      </w:r>
      <w:r w:rsidRPr="00372FDE">
        <w:t xml:space="preserve">(July 10, 2013), </w:t>
      </w:r>
      <w:hyperlink r:id="rId84" w:history="1">
        <w:r w:rsidRPr="00372FDE">
          <w:rPr>
            <w:rStyle w:val="Hyperlink"/>
          </w:rPr>
          <w:t>http://www.iso-ne.com/regulatory/ferc/filings/2013/jul/er13-1957-000_7-10-2013_protocol.pdf</w:t>
        </w:r>
      </w:hyperlink>
      <w:r w:rsidRPr="00372FDE">
        <w:t xml:space="preserve">. </w:t>
      </w:r>
      <w:proofErr w:type="gramStart"/>
      <w:r w:rsidRPr="00D525FD">
        <w:rPr>
          <w:i/>
        </w:rPr>
        <w:t>Further Order No. 1000 Regional Compliance Filing of ISO New England Inc. and the Participating Transmission Owners Administrative Committee, FERC filing</w:t>
      </w:r>
      <w:r w:rsidRPr="00C759B8">
        <w:t xml:space="preserve"> (both sets of</w:t>
      </w:r>
      <w:r w:rsidRPr="00372FDE">
        <w:t xml:space="preserve"> amendments and cover letter) (November 15, 2013), </w:t>
      </w:r>
      <w:hyperlink r:id="rId85" w:history="1">
        <w:r w:rsidRPr="009302CC">
          <w:rPr>
            <w:rStyle w:val="Hyperlink"/>
          </w:rPr>
          <w:t>http://www.iso-ne.com/static-assets/documents/regulatory/ferc/filings/2013/nov/er13_196_002_11_15_2013_order_1000.pdf</w:t>
        </w:r>
      </w:hyperlink>
      <w:r>
        <w:t xml:space="preserve"> and </w:t>
      </w:r>
      <w:hyperlink r:id="rId86" w:history="1">
        <w:r w:rsidRPr="00523022">
          <w:rPr>
            <w:rStyle w:val="Hyperlink"/>
          </w:rPr>
          <w:t>http://www.iso-ne.com/static-assets/documents/regulatory/ferc/filings/2013/nov/er13_193_003_11_15_2013_order_1000.pdf</w:t>
        </w:r>
      </w:hyperlink>
      <w:r w:rsidRPr="00523022">
        <w:t>.</w:t>
      </w:r>
      <w:proofErr w:type="gramEnd"/>
      <w:r w:rsidRPr="00372FDE">
        <w:t xml:space="preserve"> </w:t>
      </w:r>
      <w:proofErr w:type="gramStart"/>
      <w:r w:rsidRPr="00372FDE">
        <w:t xml:space="preserve">FERC, “Transmission Planning and Cost Allocation,” webpage, </w:t>
      </w:r>
      <w:hyperlink r:id="rId87" w:history="1">
        <w:r w:rsidRPr="00372FDE">
          <w:rPr>
            <w:rStyle w:val="Hyperlink"/>
          </w:rPr>
          <w:t>http://www.ferc.gov/industries/electric/indus-act/trans-plan.asp</w:t>
        </w:r>
      </w:hyperlink>
      <w:r w:rsidRPr="00372FDE">
        <w:t>.</w:t>
      </w:r>
      <w:proofErr w:type="gramEnd"/>
    </w:p>
  </w:footnote>
  <w:footnote w:id="89">
    <w:p w:rsidR="001E3655" w:rsidRDefault="001E3655">
      <w:pPr>
        <w:pStyle w:val="FoonoteText"/>
      </w:pPr>
      <w:r w:rsidRPr="00372FDE">
        <w:rPr>
          <w:rStyle w:val="FootnoteReference"/>
          <w:rFonts w:asciiTheme="majorHAnsi" w:hAnsiTheme="majorHAnsi"/>
          <w:sz w:val="18"/>
        </w:rPr>
        <w:footnoteRef/>
      </w:r>
      <w:r w:rsidRPr="00372FDE">
        <w:t xml:space="preserve"> The ISO is not responsible for portions of northern and eastern Maine. The Northern Maine Independent System Administrator, Inc. (NMISA) is a nonprofit entity responsible for the administration of the northern Maine transmission system and electric power markets in Aroostook and Washington counties. The 2014 peak load forecast for NMISA is approximately 122 MW. </w:t>
      </w:r>
      <w:hyperlink w:history="1"/>
    </w:p>
  </w:footnote>
  <w:footnote w:id="90">
    <w:p w:rsidR="001E3655" w:rsidRDefault="001E3655">
      <w:pPr>
        <w:pStyle w:val="FoonoteText"/>
        <w:rPr>
          <w:color w:val="FF0000"/>
        </w:rPr>
      </w:pPr>
      <w:r w:rsidRPr="00372FDE">
        <w:rPr>
          <w:rStyle w:val="FootnoteReference"/>
          <w:rFonts w:asciiTheme="majorHAnsi" w:hAnsiTheme="majorHAnsi"/>
          <w:sz w:val="18"/>
        </w:rPr>
        <w:footnoteRef/>
      </w:r>
      <w:r w:rsidRPr="00372FDE">
        <w:rPr>
          <w:vertAlign w:val="superscript"/>
        </w:rPr>
        <w:t xml:space="preserve"> </w:t>
      </w:r>
      <w:proofErr w:type="gramStart"/>
      <w:r w:rsidRPr="00372FDE">
        <w:t xml:space="preserve">For more information on New England wholesale electricity markets, see the ISO’s </w:t>
      </w:r>
      <w:r w:rsidRPr="00372FDE">
        <w:rPr>
          <w:i/>
        </w:rPr>
        <w:t>2013 Annual Markets Report</w:t>
      </w:r>
      <w:r w:rsidRPr="00372FDE">
        <w:t xml:space="preserve"> (AMR13) (May 6, 2014), </w:t>
      </w:r>
      <w:hyperlink r:id="rId88" w:history="1">
        <w:r w:rsidRPr="00523022">
          <w:rPr>
            <w:rStyle w:val="Hyperlink"/>
          </w:rPr>
          <w:t>http://www.iso-ne.com/static-assets/documents/markets/mkt_anlys_rpts/annl_mkt_rpts/2013/2013_amr_final_050614.pdf</w:t>
        </w:r>
      </w:hyperlink>
      <w:r w:rsidRPr="00372FDE">
        <w:t xml:space="preserve">, and an </w:t>
      </w:r>
      <w:r w:rsidRPr="00372FDE">
        <w:rPr>
          <w:i/>
        </w:rPr>
        <w:t>Overview of New England’s Wholesale Electricity Markets and Market Oversight</w:t>
      </w:r>
      <w:r w:rsidRPr="00372FDE">
        <w:t xml:space="preserve"> (Markets Overview Report) (May 6, 2014), </w:t>
      </w:r>
      <w:hyperlink r:id="rId89" w:history="1">
        <w:r w:rsidRPr="00AC6904">
          <w:rPr>
            <w:rStyle w:val="Hyperlink"/>
          </w:rPr>
          <w:t>http://www.iso-ne.com/static-assets/documents/pubs/spcl_rpts/2014/2014_market_overview_050614.pdf</w:t>
        </w:r>
      </w:hyperlink>
      <w:r w:rsidRPr="00372FDE">
        <w:t>.</w:t>
      </w:r>
      <w:proofErr w:type="gramEnd"/>
    </w:p>
  </w:footnote>
  <w:footnote w:id="91">
    <w:p w:rsidR="001E3655" w:rsidRDefault="001E3655">
      <w:pPr>
        <w:pStyle w:val="FoonoteText"/>
      </w:pPr>
      <w:r w:rsidRPr="00372FDE">
        <w:rPr>
          <w:rStyle w:val="FootnoteReference"/>
          <w:rFonts w:asciiTheme="majorHAnsi" w:hAnsiTheme="majorHAnsi"/>
          <w:sz w:val="18"/>
        </w:rPr>
        <w:footnoteRef/>
      </w:r>
      <w:r w:rsidRPr="00372FDE">
        <w:t xml:space="preserve"> </w:t>
      </w:r>
      <w:r w:rsidRPr="00372FDE">
        <w:rPr>
          <w:i/>
          <w:iCs/>
        </w:rPr>
        <w:t>Installed capacity</w:t>
      </w:r>
      <w:r w:rsidRPr="00372FDE">
        <w:t xml:space="preserve"> is the megawatt capability of a generating unit, </w:t>
      </w:r>
      <w:proofErr w:type="spellStart"/>
      <w:r w:rsidRPr="00372FDE">
        <w:t>dispatchable</w:t>
      </w:r>
      <w:proofErr w:type="spellEnd"/>
      <w:r w:rsidRPr="00372FDE">
        <w:t xml:space="preserve"> load, external resource or transaction, or demand resource that qualifies as a participant in the ISO’s Forward Capacity Market according to the market rules. Additional information is available at </w:t>
      </w:r>
      <w:hyperlink r:id="rId90" w:history="1">
        <w:r w:rsidRPr="00C72106">
          <w:rPr>
            <w:rStyle w:val="Hyperlink"/>
          </w:rPr>
          <w:t>http://www.iso-ne.com/markets-operations/markets/forward-capacity-market</w:t>
        </w:r>
      </w:hyperlink>
      <w:r w:rsidRPr="00372FDE">
        <w:t>.</w:t>
      </w:r>
    </w:p>
  </w:footnote>
  <w:footnote w:id="92">
    <w:p w:rsidR="001E3655" w:rsidRDefault="001E3655">
      <w:pPr>
        <w:pStyle w:val="FoonoteText"/>
      </w:pPr>
      <w:r w:rsidRPr="00372FDE">
        <w:rPr>
          <w:rStyle w:val="FootnoteReference"/>
          <w:rFonts w:asciiTheme="majorHAnsi" w:hAnsiTheme="majorHAnsi"/>
          <w:sz w:val="18"/>
        </w:rPr>
        <w:footnoteRef/>
      </w:r>
      <w:r w:rsidRPr="00372FDE">
        <w:t xml:space="preserve"> </w:t>
      </w:r>
      <w:r w:rsidRPr="00372FDE">
        <w:rPr>
          <w:i/>
        </w:rPr>
        <w:t>Regulation</w:t>
      </w:r>
      <w:r w:rsidRPr="00372FDE">
        <w:t xml:space="preserve"> is the capability of specially equipped generators to increase or decrease their generation output every four seconds in response to signals they receive from the ISO to control slight changes on the system.</w:t>
      </w:r>
    </w:p>
  </w:footnote>
  <w:footnote w:id="93">
    <w:p w:rsidR="001E3655" w:rsidRDefault="001E3655">
      <w:pPr>
        <w:pStyle w:val="FoonoteText"/>
      </w:pPr>
      <w:r w:rsidRPr="009A5981">
        <w:rPr>
          <w:rStyle w:val="FootnoteReference"/>
          <w:rFonts w:asciiTheme="majorHAnsi" w:hAnsiTheme="majorHAnsi"/>
          <w:sz w:val="18"/>
        </w:rPr>
        <w:footnoteRef/>
      </w:r>
      <w:r w:rsidRPr="009A5981">
        <w:t xml:space="preserve"> According to NERC, NPCC, and ISO criteria, a </w:t>
      </w:r>
      <w:r w:rsidRPr="009A5981">
        <w:rPr>
          <w:i/>
          <w:iCs/>
        </w:rPr>
        <w:t>contingency</w:t>
      </w:r>
      <w:r w:rsidRPr="009A5981">
        <w:t xml:space="preserve"> is the sudden loss of a generation or transmission resource. A system’s </w:t>
      </w:r>
      <w:r w:rsidRPr="009A5981">
        <w:rPr>
          <w:i/>
          <w:iCs/>
        </w:rPr>
        <w:t>first contingency</w:t>
      </w:r>
      <w:r w:rsidRPr="009A5981">
        <w:t xml:space="preserve"> (N−1) is when the power element (facility) with the largest impact on system reliability is lost. A </w:t>
      </w:r>
      <w:r w:rsidRPr="009A5981">
        <w:rPr>
          <w:i/>
          <w:iCs/>
        </w:rPr>
        <w:t>second contingency</w:t>
      </w:r>
      <w:r w:rsidRPr="009A5981">
        <w:rPr>
          <w:iCs/>
        </w:rPr>
        <w:t xml:space="preserve"> </w:t>
      </w:r>
      <w:r w:rsidRPr="009A5981">
        <w:t xml:space="preserve">(N−1−1) takes place </w:t>
      </w:r>
      <w:proofErr w:type="gramStart"/>
      <w:r w:rsidRPr="009A5981">
        <w:t>after a first contingency has occurred and is the loss of the facility that at that time has the largest impact on the system</w:t>
      </w:r>
      <w:proofErr w:type="gramEnd"/>
      <w:r w:rsidRPr="009A5981">
        <w:t>.</w:t>
      </w:r>
      <w:r w:rsidRPr="00113C54">
        <w:t xml:space="preserve"> </w:t>
      </w:r>
      <w:proofErr w:type="gramStart"/>
      <w:r w:rsidRPr="00113C54">
        <w:t xml:space="preserve">A </w:t>
      </w:r>
      <w:r w:rsidRPr="00113C54">
        <w:rPr>
          <w:i/>
        </w:rPr>
        <w:t>forced outage</w:t>
      </w:r>
      <w:r w:rsidRPr="00113C54">
        <w:t xml:space="preserve"> is a type of unplanned outage that involves the unexpected removal from service of a generating unit, transmission facility, or other facility or portion of a facility due to an emergency failure or the discovery of a problem that needs to be repaired as soon as any combination of crews, equipment, or corrective dispatch actions can be put in place to allow the work to be performed.</w:t>
      </w:r>
      <w:proofErr w:type="gramEnd"/>
      <w:r w:rsidRPr="003260B6">
        <w:t xml:space="preserve"> </w:t>
      </w:r>
    </w:p>
  </w:footnote>
  <w:footnote w:id="94">
    <w:p w:rsidR="001E3655" w:rsidRDefault="001E3655">
      <w:pPr>
        <w:pStyle w:val="FootnoteText"/>
      </w:pPr>
      <w:r w:rsidRPr="00372FDE">
        <w:rPr>
          <w:rStyle w:val="FootnoteReference"/>
          <w:rFonts w:asciiTheme="majorHAnsi" w:hAnsiTheme="majorHAnsi"/>
          <w:sz w:val="18"/>
        </w:rPr>
        <w:footnoteRef/>
      </w:r>
      <w:r w:rsidRPr="00372FDE">
        <w:t xml:space="preserve"> </w:t>
      </w:r>
      <w:r w:rsidRPr="00372FDE">
        <w:rPr>
          <w:i/>
        </w:rPr>
        <w:t>Fast-start resources</w:t>
      </w:r>
      <w:r w:rsidRPr="00372FDE">
        <w:t xml:space="preserve"> </w:t>
      </w:r>
      <w:proofErr w:type="gramStart"/>
      <w:r w:rsidRPr="00372FDE">
        <w:t>can be electrically synchronized</w:t>
      </w:r>
      <w:proofErr w:type="gramEnd"/>
      <w:r w:rsidRPr="00372FDE">
        <w:t xml:space="preserve"> to the system quickly and reach </w:t>
      </w:r>
      <w:r w:rsidRPr="007A437A">
        <w:rPr>
          <w:i/>
        </w:rPr>
        <w:t>claimed capability</w:t>
      </w:r>
      <w:r w:rsidRPr="00372FDE">
        <w:t xml:space="preserve"> (i.e., a generator’s maximum production or output) within 10 to 30 minutes to respond to a contingency and serve demand.</w:t>
      </w:r>
    </w:p>
  </w:footnote>
  <w:footnote w:id="95">
    <w:p w:rsidR="001E3655" w:rsidRDefault="001E3655">
      <w:pPr>
        <w:pStyle w:val="FoonoteText"/>
      </w:pPr>
      <w:r w:rsidRPr="00372FDE">
        <w:rPr>
          <w:rStyle w:val="FootnoteReference"/>
          <w:rFonts w:asciiTheme="majorHAnsi" w:hAnsiTheme="majorHAnsi"/>
          <w:sz w:val="18"/>
        </w:rPr>
        <w:footnoteRef/>
      </w:r>
      <w:r w:rsidRPr="00372FDE">
        <w:t xml:space="preserve"> The ISO tariff allows loads that meet specified requirements to request and receive nodal pricing.</w:t>
      </w:r>
    </w:p>
  </w:footnote>
  <w:footnote w:id="96">
    <w:p w:rsidR="001E3655" w:rsidRDefault="001E3655">
      <w:pPr>
        <w:pStyle w:val="FoonoteText"/>
      </w:pPr>
      <w:r w:rsidRPr="00372FDE">
        <w:rPr>
          <w:rStyle w:val="FootnoteReference"/>
          <w:rFonts w:asciiTheme="majorHAnsi" w:hAnsiTheme="majorHAnsi"/>
          <w:sz w:val="18"/>
        </w:rPr>
        <w:footnoteRef/>
      </w:r>
      <w:r w:rsidRPr="00372FDE">
        <w:t xml:space="preserve"> See </w:t>
      </w:r>
      <w:r w:rsidRPr="00372FDE">
        <w:rPr>
          <w:i/>
        </w:rPr>
        <w:t>Market Rule 1</w:t>
      </w:r>
      <w:r w:rsidRPr="00372FDE">
        <w:t xml:space="preserve">, Section III.2.7, of the ISO tariff, </w:t>
      </w:r>
      <w:hyperlink r:id="rId91" w:history="1">
        <w:r w:rsidRPr="007A437A">
          <w:rPr>
            <w:rStyle w:val="Hyperlink"/>
          </w:rPr>
          <w:t>http://www.iso-ne.com/participate/rules-procedures/tariff/market-rule-1</w:t>
        </w:r>
      </w:hyperlink>
      <w:hyperlink w:history="1"/>
      <w:r w:rsidRPr="00372FDE">
        <w:t>.</w:t>
      </w:r>
    </w:p>
  </w:footnote>
  <w:footnote w:id="97">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w:t>
      </w:r>
      <w:r w:rsidRPr="00372FDE">
        <w:rPr>
          <w:i/>
        </w:rPr>
        <w:t>ISO New England Inc. Order Accepting Compliance Filing</w:t>
      </w:r>
      <w:r>
        <w:rPr>
          <w:i/>
        </w:rPr>
        <w:t xml:space="preserve"> </w:t>
      </w:r>
      <w:r w:rsidRPr="00372FDE">
        <w:t>(</w:t>
      </w:r>
      <w:r>
        <w:t>i</w:t>
      </w:r>
      <w:r w:rsidRPr="00372FDE">
        <w:t xml:space="preserve">ssued April 28, 2014), </w:t>
      </w:r>
      <w:hyperlink r:id="rId92" w:history="1">
        <w:r w:rsidRPr="00372FDE">
          <w:rPr>
            <w:rStyle w:val="Hyperlink"/>
          </w:rPr>
          <w:t>http://www.iso-ne.com/regulatory/ferc/orders/2014/apr/er12-953-004-4-28-14_order_accept_cap_zone_compliance.pdf</w:t>
        </w:r>
      </w:hyperlink>
      <w:r w:rsidRPr="00372FDE">
        <w:t>.</w:t>
      </w:r>
      <w:proofErr w:type="gramEnd"/>
    </w:p>
  </w:footnote>
  <w:footnote w:id="98">
    <w:p w:rsidR="001E3655" w:rsidRDefault="001E3655">
      <w:pPr>
        <w:pStyle w:val="FoonoteText"/>
      </w:pPr>
      <w:r w:rsidRPr="00372FDE">
        <w:rPr>
          <w:rStyle w:val="FootnoteReference"/>
          <w:rFonts w:asciiTheme="majorHAnsi" w:hAnsiTheme="majorHAnsi"/>
          <w:sz w:val="18"/>
        </w:rPr>
        <w:footnoteRef/>
      </w:r>
      <w:r w:rsidRPr="00372FDE">
        <w:t xml:space="preserve"> RTDRs are demand resources that must curtail electrical usage within 30 minutes of receiving a dispatch instruction from the ISO. </w:t>
      </w:r>
      <w:r w:rsidRPr="00372FDE">
        <w:rPr>
          <w:i/>
        </w:rPr>
        <w:t>Real-time emergency generation</w:t>
      </w:r>
      <w:r w:rsidRPr="00372FDE">
        <w:t xml:space="preserve"> is distributed generation the ISO calls on to operate during certain voltage-reduction or more severe actions but must limit its operation to 600 MW to comply with the generation’s federal, state, or local air quality permit(s), as well as the ISO’s market rules. RTEG operations result in curtailing load on the grid, as the distributed energy provided by the emergency generator begins serving demand. </w:t>
      </w:r>
    </w:p>
  </w:footnote>
  <w:footnote w:id="99">
    <w:p w:rsidR="001E3655" w:rsidRDefault="001E3655" w:rsidP="00503FFE">
      <w:pPr>
        <w:pStyle w:val="FoonoteText"/>
      </w:pPr>
      <w:r w:rsidRPr="00372FDE">
        <w:rPr>
          <w:rStyle w:val="FootnoteReference"/>
          <w:rFonts w:asciiTheme="majorHAnsi" w:hAnsiTheme="majorHAnsi"/>
          <w:sz w:val="18"/>
        </w:rPr>
        <w:footnoteRef/>
      </w:r>
      <w:r w:rsidRPr="00372FDE">
        <w:t xml:space="preserve"> The ISO’s </w:t>
      </w:r>
      <w:r w:rsidRPr="00372FDE">
        <w:rPr>
          <w:i/>
        </w:rPr>
        <w:t>Capacity, Energy, Load, and Transmission</w:t>
      </w:r>
      <w:r w:rsidRPr="00372FDE">
        <w:t xml:space="preserve"> (CELT) Reports and associated documentation contain more details on the short-run and long-run forecast methodologies, models, and inputs; weather normalization; regional, state, subarea, and load-zone forecasts of annual electric energy use and peak loads; high- and low-forecast bandwidths; and retail electricity prices. They are available at </w:t>
      </w:r>
      <w:r>
        <w:t xml:space="preserve">the </w:t>
      </w:r>
      <w:r w:rsidRPr="00372FDE">
        <w:t xml:space="preserve">“CELT </w:t>
      </w:r>
      <w:r>
        <w:t>Reports</w:t>
      </w:r>
      <w:r w:rsidRPr="00372FDE">
        <w:t>,”</w:t>
      </w:r>
      <w:r>
        <w:t xml:space="preserve"> webpage, </w:t>
      </w:r>
      <w:hyperlink r:id="rId93" w:history="1">
        <w:r w:rsidRPr="00F90D9B">
          <w:rPr>
            <w:rStyle w:val="Hyperlink"/>
          </w:rPr>
          <w:t>http://www.iso-ne.com/system-planning/system-plans-studies/celt</w:t>
        </w:r>
      </w:hyperlink>
      <w:r w:rsidRPr="00F90D9B">
        <w:t>. Also see the 2014 CELT Report (</w:t>
      </w:r>
      <w:hyperlink r:id="rId94" w:history="1">
        <w:r w:rsidRPr="00F90D9B">
          <w:rPr>
            <w:rStyle w:val="Hyperlink"/>
          </w:rPr>
          <w:t>http://www.iso-ne.com/static-assets/documents/trans/celt/report/2014/2014_celt_report_rev.pdf</w:t>
        </w:r>
      </w:hyperlink>
      <w:r w:rsidRPr="00F90D9B">
        <w:t xml:space="preserve">) and the </w:t>
      </w:r>
      <w:r w:rsidRPr="00F90D9B">
        <w:rPr>
          <w:i/>
        </w:rPr>
        <w:t xml:space="preserve">ISO NE Seasonal Peaks since 1980 </w:t>
      </w:r>
      <w:r w:rsidRPr="00F90D9B">
        <w:t>(April 22, 2014)</w:t>
      </w:r>
      <w:r>
        <w:t>, which</w:t>
      </w:r>
      <w:r w:rsidRPr="00F90D9B">
        <w:t xml:space="preserve"> can be accessed at the “Energy, Load, and Demand Reports,” webpage, </w:t>
      </w:r>
      <w:hyperlink r:id="rId95" w:history="1">
        <w:r w:rsidRPr="00F90D9B">
          <w:rPr>
            <w:rStyle w:val="Hyperlink"/>
          </w:rPr>
          <w:t>http://www.iso-ne.com/isoexpress/web/reports/load-and-demand/-/tree/net-ener-peak-load</w:t>
        </w:r>
      </w:hyperlink>
      <w:r w:rsidRPr="00F90D9B">
        <w:t>.</w:t>
      </w:r>
    </w:p>
  </w:footnote>
  <w:footnote w:id="100">
    <w:p w:rsidR="001E3655" w:rsidRDefault="001E3655">
      <w:pPr>
        <w:pStyle w:val="FoonoteText"/>
      </w:pPr>
      <w:r w:rsidRPr="00372FDE">
        <w:rPr>
          <w:rStyle w:val="FootnoteReference"/>
          <w:rFonts w:asciiTheme="majorHAnsi" w:hAnsiTheme="majorHAnsi"/>
          <w:sz w:val="18"/>
        </w:rPr>
        <w:footnoteRef/>
      </w:r>
      <w:r w:rsidRPr="00372FDE">
        <w:t xml:space="preserve"> The 50/50 “reference” case peak loads have a 50% chance of </w:t>
      </w:r>
      <w:proofErr w:type="gramStart"/>
      <w:r w:rsidRPr="00372FDE">
        <w:t>being exceeded</w:t>
      </w:r>
      <w:proofErr w:type="gramEnd"/>
      <w:r w:rsidRPr="00372FDE">
        <w:t xml:space="preserve"> because of weather conditions. For the reference case, the summer peak load </w:t>
      </w:r>
      <w:proofErr w:type="gramStart"/>
      <w:r w:rsidRPr="00372FDE">
        <w:t>is expected</w:t>
      </w:r>
      <w:proofErr w:type="gramEnd"/>
      <w:r w:rsidRPr="00372FDE">
        <w:t xml:space="preserve"> to occur at a weighted New England-wide temperature of 90.2°F, and the winter peak load is expected to occur at 7.0°F. The 90/10 “extreme” case peak loads have a 10% chance of </w:t>
      </w:r>
      <w:proofErr w:type="gramStart"/>
      <w:r w:rsidRPr="00372FDE">
        <w:t>being exceeded</w:t>
      </w:r>
      <w:proofErr w:type="gramEnd"/>
      <w:r w:rsidRPr="00372FDE">
        <w:t xml:space="preserve"> because of weather. For the extreme case, the summer peak </w:t>
      </w:r>
      <w:proofErr w:type="gramStart"/>
      <w:r w:rsidRPr="00372FDE">
        <w:t>is expected</w:t>
      </w:r>
      <w:proofErr w:type="gramEnd"/>
      <w:r w:rsidRPr="00372FDE">
        <w:t xml:space="preserve"> to occur at a temperature of 94.2°F, and the winter peak is expected to occur at a temperature of 1.6°F.</w:t>
      </w:r>
    </w:p>
  </w:footnote>
  <w:footnote w:id="101">
    <w:p w:rsidR="001E3655" w:rsidRDefault="001E3655">
      <w:pPr>
        <w:pStyle w:val="FootnoteText"/>
      </w:pPr>
      <w:r w:rsidRPr="00F90D9B">
        <w:rPr>
          <w:rStyle w:val="FootnoteReference"/>
          <w:rFonts w:asciiTheme="majorHAnsi" w:hAnsiTheme="majorHAnsi"/>
          <w:sz w:val="18"/>
        </w:rPr>
        <w:footnoteRef/>
      </w:r>
      <w:r w:rsidRPr="00F90D9B">
        <w:t xml:space="preserve"> </w:t>
      </w:r>
      <w:proofErr w:type="gramStart"/>
      <w:r w:rsidRPr="00F90D9B">
        <w:rPr>
          <w:i/>
        </w:rPr>
        <w:t>Preliminary ISO-NE Annual Energy and Seasonal Peak Forecast 2014–2023</w:t>
      </w:r>
      <w:r w:rsidRPr="00F90D9B">
        <w:t xml:space="preserve">, PAC presentation (Preliminary Forecast 2014–2023) (February 19, 2014), </w:t>
      </w:r>
      <w:hyperlink r:id="rId96" w:history="1">
        <w:r w:rsidRPr="00F90D9B">
          <w:rPr>
            <w:rStyle w:val="Hyperlink"/>
          </w:rPr>
          <w:t>http://www.iso-ne.com/static-assets/documents/committees/comm_wkgrps/prtcpnts_comm/pac/mtrls/2014/feb192014/a7_preliminary_iso_load_forecast_2014_2023.pdf</w:t>
        </w:r>
      </w:hyperlink>
      <w:r w:rsidRPr="00F90D9B">
        <w:t>.</w:t>
      </w:r>
      <w:proofErr w:type="gramEnd"/>
    </w:p>
  </w:footnote>
  <w:footnote w:id="102">
    <w:p w:rsidR="001E3655" w:rsidRDefault="001E3655">
      <w:pPr>
        <w:pStyle w:val="FootnoteText"/>
      </w:pPr>
      <w:r w:rsidRPr="003260B6">
        <w:rPr>
          <w:rStyle w:val="FootnoteReference"/>
          <w:rFonts w:asciiTheme="majorHAnsi" w:hAnsiTheme="majorHAnsi"/>
          <w:sz w:val="18"/>
        </w:rPr>
        <w:footnoteRef/>
      </w:r>
      <w:r w:rsidRPr="00372FDE">
        <w:t xml:space="preserve"> Energy-only generators </w:t>
      </w:r>
      <w:proofErr w:type="gramStart"/>
      <w:r w:rsidRPr="00372FDE">
        <w:t>are considered</w:t>
      </w:r>
      <w:proofErr w:type="gramEnd"/>
      <w:r w:rsidRPr="00372FDE">
        <w:t xml:space="preserve"> part of the generation output within the area. </w:t>
      </w:r>
    </w:p>
  </w:footnote>
  <w:footnote w:id="103">
    <w:p w:rsidR="001E3655" w:rsidRDefault="001E3655">
      <w:pPr>
        <w:pStyle w:val="FoonoteText"/>
      </w:pPr>
      <w:r w:rsidRPr="00372FDE">
        <w:rPr>
          <w:rStyle w:val="FootnoteReference"/>
          <w:rFonts w:asciiTheme="majorHAnsi" w:hAnsiTheme="majorHAnsi"/>
          <w:sz w:val="18"/>
        </w:rPr>
        <w:footnoteRef/>
      </w:r>
      <w:r w:rsidRPr="00372FDE">
        <w:t xml:space="preserve"> The compound annual growth rate (CAGR) is calculated as follows:</w:t>
      </w:r>
    </w:p>
    <w:p w:rsidR="001E3655" w:rsidRDefault="001E3655">
      <w:pPr>
        <w:pStyle w:val="FoonoteText"/>
      </w:pPr>
      <w:r w:rsidRPr="00372FDE">
        <w:rPr>
          <w:noProof/>
        </w:rPr>
        <w:drawing>
          <wp:inline distT="0" distB="0" distL="0" distR="0">
            <wp:extent cx="3233420" cy="4508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104">
    <w:p w:rsidR="001E3655" w:rsidRDefault="001E3655">
      <w:pPr>
        <w:pStyle w:val="FoonoteText"/>
      </w:pPr>
      <w:r>
        <w:rPr>
          <w:rStyle w:val="FootnoteReference"/>
          <w:rFonts w:asciiTheme="majorHAnsi" w:hAnsiTheme="majorHAnsi"/>
          <w:sz w:val="18"/>
        </w:rPr>
        <w:footnoteRef/>
      </w:r>
      <w:r w:rsidRPr="00050EC2">
        <w:t xml:space="preserve"> </w:t>
      </w:r>
      <w:proofErr w:type="gramStart"/>
      <w:r w:rsidRPr="00050EC2">
        <w:t>Preliminary Forecast 2014–2023 presentation, slide 22 (</w:t>
      </w:r>
      <w:hyperlink r:id="rId98" w:history="1">
        <w:r>
          <w:rPr>
            <w:rStyle w:val="Hyperlink"/>
          </w:rPr>
          <w:t>http://www.iso-ne.com/static-assets/documents/committees/comm_wkgrps/prtcpnts_comm/pac/mtrls/2014/feb192014/a7_preliminary_iso_load_forecast_2014_2023.pdf</w:t>
        </w:r>
      </w:hyperlink>
      <w:r>
        <w:t>).</w:t>
      </w:r>
      <w:proofErr w:type="gramEnd"/>
    </w:p>
  </w:footnote>
  <w:footnote w:id="105">
    <w:p w:rsidR="001E3655" w:rsidRDefault="001E3655">
      <w:pPr>
        <w:pStyle w:val="FoonoteText"/>
      </w:pPr>
      <w:r w:rsidRPr="00372FDE">
        <w:rPr>
          <w:rStyle w:val="FootnoteReference"/>
          <w:rFonts w:asciiTheme="majorHAnsi" w:hAnsiTheme="majorHAnsi"/>
          <w:sz w:val="18"/>
        </w:rPr>
        <w:footnoteRef/>
      </w:r>
      <w:r w:rsidRPr="00372FDE">
        <w:t xml:space="preserve"> OP 4 actions implemented during a capacity deficiency include Action 2, the dispatch of real-time demand resources, and Action 6, the dispatch of real-time emergency generation. Operating Procedure No. 4, </w:t>
      </w:r>
      <w:r w:rsidRPr="00372FDE">
        <w:rPr>
          <w:i/>
        </w:rPr>
        <w:t>Action during a Capacity Deficiency</w:t>
      </w:r>
      <w:r w:rsidRPr="00372FDE">
        <w:t xml:space="preserve"> (October 5, 2013), </w:t>
      </w:r>
      <w:hyperlink r:id="rId99" w:history="1">
        <w:r w:rsidRPr="00243F2E">
          <w:rPr>
            <w:rStyle w:val="Hyperlink"/>
          </w:rPr>
          <w:t>http://www.iso-ne.com/static-assets/documents/rules_proceds/operating/isone/op4/op4_rto_final.pdf</w:t>
        </w:r>
      </w:hyperlink>
      <w:r w:rsidRPr="00372FDE">
        <w:t>.</w:t>
      </w:r>
    </w:p>
  </w:footnote>
  <w:footnote w:id="106">
    <w:p w:rsidR="001E3655" w:rsidRDefault="001E3655">
      <w:pPr>
        <w:pStyle w:val="FootnoteText"/>
      </w:pPr>
      <w:r w:rsidRPr="003260B6">
        <w:rPr>
          <w:rStyle w:val="FootnoteReference"/>
          <w:rFonts w:asciiTheme="majorHAnsi" w:hAnsiTheme="majorHAnsi"/>
          <w:sz w:val="18"/>
        </w:rPr>
        <w:footnoteRef/>
      </w:r>
      <w:r w:rsidRPr="00372FDE">
        <w:t xml:space="preserve"> Weather conditions during the actual peak summer loads were slightly below the expected 90/10 weather conditions for 1994, 1999, 2001, and 2002, and weather conditions were slightly above the expected 90/10 weather during the 2006, 2011, and 2014 peaks. A spreadsheet containing historical annual peak loads and associated weather conditions since 1980 is available at </w:t>
      </w:r>
      <w:hyperlink r:id="rId100" w:history="1">
        <w:r w:rsidRPr="00372FDE">
          <w:rPr>
            <w:rStyle w:val="Hyperlink"/>
          </w:rPr>
          <w:t>http://www.iso-ne.com/markets/hstdata/rpts/ann_seasonal_pks/seasonal_peak_data_summary.xls</w:t>
        </w:r>
      </w:hyperlink>
      <w:r w:rsidRPr="00372FDE">
        <w:t>.</w:t>
      </w:r>
    </w:p>
  </w:footnote>
  <w:footnote w:id="107">
    <w:p w:rsidR="001E3655" w:rsidRDefault="001E3655">
      <w:pPr>
        <w:pStyle w:val="FootnoteText"/>
      </w:pPr>
      <w:r w:rsidRPr="003260B6">
        <w:rPr>
          <w:rStyle w:val="FootnoteReference"/>
          <w:rFonts w:asciiTheme="majorHAnsi" w:hAnsiTheme="majorHAnsi"/>
          <w:sz w:val="18"/>
        </w:rPr>
        <w:footnoteRef/>
      </w:r>
      <w:r w:rsidRPr="00372FDE">
        <w:t xml:space="preserve"> Economy.com forecasts of New England gross state product (millions of 2005 $) from November 2012 and November 2013 forecasts.</w:t>
      </w:r>
    </w:p>
  </w:footnote>
  <w:footnote w:id="108">
    <w:p w:rsidR="001E3655" w:rsidRDefault="001E3655">
      <w:pPr>
        <w:pStyle w:val="FoonoteText"/>
      </w:pPr>
      <w:r w:rsidRPr="00372FDE">
        <w:rPr>
          <w:rStyle w:val="FootnoteReference"/>
          <w:rFonts w:asciiTheme="majorHAnsi" w:hAnsiTheme="majorHAnsi"/>
          <w:sz w:val="18"/>
        </w:rPr>
        <w:footnoteRef/>
      </w:r>
      <w:r w:rsidRPr="00372FDE">
        <w:t xml:space="preserve"> </w:t>
      </w:r>
      <w:proofErr w:type="gramStart"/>
      <w:r w:rsidRPr="00372FDE">
        <w:t>Preliminary Forecast 2014–2023 presentation, slide 14 (</w:t>
      </w:r>
      <w:hyperlink r:id="rId101" w:history="1">
        <w:r w:rsidRPr="00BB2123">
          <w:rPr>
            <w:rStyle w:val="Hyperlink"/>
          </w:rPr>
          <w:t>http://www.iso-ne.com/static-assets/documents/committees/comm_wkgrps/prtcpnts_comm/pac/mtrls/2014/feb192014/a7_preliminary_iso_load_forecast_2014_2023.pdf</w:t>
        </w:r>
      </w:hyperlink>
      <w:r w:rsidRPr="00372FDE">
        <w:t>).</w:t>
      </w:r>
      <w:proofErr w:type="gramEnd"/>
    </w:p>
  </w:footnote>
  <w:footnote w:id="109">
    <w:p w:rsidR="001E3655" w:rsidRDefault="001E3655">
      <w:pPr>
        <w:pStyle w:val="FoonoteText"/>
      </w:pPr>
      <w:r w:rsidRPr="00B94D35">
        <w:rPr>
          <w:rStyle w:val="FootnoteReference"/>
          <w:rFonts w:asciiTheme="majorHAnsi" w:hAnsiTheme="majorHAnsi"/>
          <w:sz w:val="18"/>
        </w:rPr>
        <w:footnoteRef/>
      </w:r>
      <w:r w:rsidRPr="00B94D35">
        <w:t xml:space="preserve"> </w:t>
      </w:r>
      <w:proofErr w:type="gramStart"/>
      <w:r w:rsidRPr="00B94D35">
        <w:t>2014</w:t>
      </w:r>
      <w:proofErr w:type="gramEnd"/>
      <w:r w:rsidRPr="00B94D35">
        <w:t xml:space="preserve"> CELT Report (May 2014), </w:t>
      </w:r>
      <w:hyperlink r:id="rId102" w:history="1">
        <w:r w:rsidRPr="00B94D35">
          <w:rPr>
            <w:rStyle w:val="Hyperlink"/>
          </w:rPr>
          <w:t>http://www.iso-ne.com/static-assets/documents/trans/celt/report/2014/2014_celt_report_rev.pdf</w:t>
        </w:r>
      </w:hyperlink>
      <w:hyperlink w:history="1"/>
      <w:r w:rsidRPr="00B94D35">
        <w:t xml:space="preserve">. Copies of all CELT reports are available at </w:t>
      </w:r>
      <w:hyperlink r:id="rId103" w:history="1">
        <w:r w:rsidRPr="00B94D35">
          <w:rPr>
            <w:rStyle w:val="Hyperlink"/>
          </w:rPr>
          <w:t>http://www.iso-ne.com/system-planning/system-plans-studies/celt</w:t>
        </w:r>
      </w:hyperlink>
      <w:r w:rsidRPr="00B94D35">
        <w:t xml:space="preserve">. The ICR is the amount of capacity the New England region will need in a particular year to meet its NPCC resource adequacy planning criteria; see </w:t>
      </w:r>
      <w:fldSimple w:instr=" REF _Ref328644077 \r \h  \* MERGEFORMAT ">
        <w:r>
          <w:t>Section 4</w:t>
        </w:r>
      </w:fldSimple>
      <w:r w:rsidRPr="00B94D35">
        <w:t xml:space="preserve"> for additional information.</w:t>
      </w:r>
      <w:r>
        <w:t xml:space="preserve"> </w:t>
      </w:r>
      <w:r w:rsidRPr="00B94D35">
        <w:t xml:space="preserve">The </w:t>
      </w:r>
      <w:proofErr w:type="gramStart"/>
      <w:r w:rsidRPr="00B94D35">
        <w:t>ISO’s</w:t>
      </w:r>
      <w:proofErr w:type="gramEnd"/>
      <w:r w:rsidRPr="00B94D35">
        <w:t xml:space="preserve"> </w:t>
      </w:r>
      <w:r w:rsidRPr="00B94D35">
        <w:rPr>
          <w:i/>
        </w:rPr>
        <w:t>Forecast Data 2014</w:t>
      </w:r>
      <w:r w:rsidRPr="00B94D35">
        <w:t xml:space="preserve"> (April 30, 2014), worksheet 9 (</w:t>
      </w:r>
      <w:hyperlink r:id="rId104" w:history="1">
        <w:r w:rsidRPr="00B94D35">
          <w:rPr>
            <w:rStyle w:val="Hyperlink"/>
          </w:rPr>
          <w:t>http://www.iso-ne.com/static-assets/documents/trans/celt/fsct_detail/2014/isone_fcst_data_2014.xls</w:t>
        </w:r>
      </w:hyperlink>
      <w:r w:rsidRPr="00B94D35">
        <w:t>) shows that the gross consumption of electric energy for 2023 is 151,525, </w:t>
      </w:r>
      <w:proofErr w:type="spellStart"/>
      <w:r w:rsidRPr="00B94D35">
        <w:t>gigawatt</w:t>
      </w:r>
      <w:proofErr w:type="spellEnd"/>
      <w:r w:rsidRPr="00B94D35">
        <w:t>-hours (</w:t>
      </w:r>
      <w:proofErr w:type="spellStart"/>
      <w:r w:rsidRPr="00B94D35">
        <w:t>GWh</w:t>
      </w:r>
      <w:proofErr w:type="spellEnd"/>
      <w:r w:rsidRPr="00B94D35">
        <w:t xml:space="preserve">). The savings attributable to federal appliance standards is 2,506 </w:t>
      </w:r>
      <w:proofErr w:type="spellStart"/>
      <w:r w:rsidRPr="00B94D35">
        <w:t>GWh</w:t>
      </w:r>
      <w:proofErr w:type="spellEnd"/>
      <w:r w:rsidRPr="00B94D35">
        <w:t xml:space="preserve"> for 2023. In addition, passive demand resources </w:t>
      </w:r>
      <w:proofErr w:type="gramStart"/>
      <w:r w:rsidRPr="00B94D35">
        <w:t>are projected</w:t>
      </w:r>
      <w:proofErr w:type="gramEnd"/>
      <w:r w:rsidRPr="00B94D35">
        <w:t xml:space="preserve"> to save 20,967 </w:t>
      </w:r>
      <w:proofErr w:type="spellStart"/>
      <w:r w:rsidRPr="00B94D35">
        <w:t>GWh</w:t>
      </w:r>
      <w:proofErr w:type="spellEnd"/>
      <w:r w:rsidRPr="00B94D35">
        <w:t xml:space="preserve"> for 2023 (see worksheet 2).</w:t>
      </w:r>
      <w:r w:rsidRPr="00372FDE">
        <w:t xml:space="preserve"> </w:t>
      </w:r>
    </w:p>
  </w:footnote>
  <w:footnote w:id="110">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Other demand resources</w:t>
      </w:r>
      <w:r w:rsidRPr="00372FDE">
        <w:t xml:space="preserve">, an asset category that was retired on May 31, 2010, at the end of the transition period leading to the FCM, consisted of energy-efficiency measures, load management, and distributed generation—typically </w:t>
      </w:r>
      <w:proofErr w:type="spellStart"/>
      <w:r w:rsidRPr="00372FDE">
        <w:t>nondispatchable</w:t>
      </w:r>
      <w:proofErr w:type="spellEnd"/>
      <w:r w:rsidRPr="00372FDE">
        <w:t xml:space="preserve"> resources that tend to reduce end-use demand on the electricity network across many hours but usually not in direct response to changing hourly wholesale prices. For additional information on ODRs, refer to AMR10, Section 2.7, </w:t>
      </w:r>
      <w:hyperlink r:id="rId105" w:history="1">
        <w:r w:rsidRPr="00C8215F">
          <w:rPr>
            <w:rStyle w:val="Hyperlink"/>
          </w:rPr>
          <w:t>http://www.iso-ne.com/static-assets/documents/markets/mkt_anlys_rpts/annl_mkt_rpts/2010/amr10_final_060311.pdf</w:t>
        </w:r>
      </w:hyperlink>
      <w:r w:rsidRPr="00372FDE">
        <w:t>.</w:t>
      </w:r>
    </w:p>
  </w:footnote>
  <w:footnote w:id="111">
    <w:p w:rsidR="001E3655" w:rsidRDefault="001E3655">
      <w:pPr>
        <w:pStyle w:val="FoonoteText"/>
      </w:pPr>
      <w:r w:rsidRPr="00366DDE">
        <w:rPr>
          <w:rStyle w:val="FootnoteReference"/>
          <w:rFonts w:asciiTheme="majorHAnsi" w:hAnsiTheme="majorHAnsi"/>
          <w:sz w:val="18"/>
        </w:rPr>
        <w:footnoteRef/>
      </w:r>
      <w:r w:rsidRPr="00366DDE">
        <w:t xml:space="preserve"> Forecasts of net energy for load and peak loads are “gross loads.” Additional details of the loads are available using the “CELT Forecast Details” </w:t>
      </w:r>
      <w:r>
        <w:t xml:space="preserve">document-type </w:t>
      </w:r>
      <w:r w:rsidRPr="00366DDE">
        <w:t xml:space="preserve">filter at </w:t>
      </w:r>
      <w:hyperlink r:id="rId106" w:history="1">
        <w:r w:rsidRPr="00E82955">
          <w:rPr>
            <w:rStyle w:val="Hyperlink"/>
          </w:rPr>
          <w:t>http://www.iso-ne.com/system-planning/system-plans-studies/celt</w:t>
        </w:r>
      </w:hyperlink>
      <w:r w:rsidRPr="00366DDE">
        <w:t xml:space="preserve">. </w:t>
      </w:r>
      <w:proofErr w:type="gramStart"/>
      <w:r w:rsidRPr="00366DDE">
        <w:t>Also</w:t>
      </w:r>
      <w:proofErr w:type="gramEnd"/>
      <w:r w:rsidRPr="00366DDE">
        <w:t xml:space="preserve"> see the full 2014 CELT Report (</w:t>
      </w:r>
      <w:hyperlink r:id="rId107" w:history="1">
        <w:r w:rsidRPr="00366DDE">
          <w:rPr>
            <w:rStyle w:val="Hyperlink"/>
          </w:rPr>
          <w:t>http://www.iso-ne.com/static-assets/documents/trans/celt/report/2014/2014_celt_report_rev.pdf</w:t>
        </w:r>
      </w:hyperlink>
      <w:r w:rsidRPr="00372FDE">
        <w:t>).</w:t>
      </w:r>
    </w:p>
  </w:footnote>
  <w:footnote w:id="112">
    <w:p w:rsidR="001E3655" w:rsidRDefault="001E3655">
      <w:pPr>
        <w:pStyle w:val="FoonoteText"/>
      </w:pPr>
      <w:r w:rsidRPr="00372FDE">
        <w:rPr>
          <w:rStyle w:val="FootnoteReference"/>
          <w:rFonts w:asciiTheme="majorHAnsi" w:hAnsiTheme="majorHAnsi"/>
          <w:sz w:val="18"/>
        </w:rPr>
        <w:footnoteRef/>
      </w:r>
      <w:r w:rsidRPr="00372FDE">
        <w:t xml:space="preserve"> For additional information, refer to the ISO’s pricing node tables at </w:t>
      </w:r>
      <w:hyperlink r:id="rId108" w:history="1">
        <w:r w:rsidRPr="00372FDE">
          <w:rPr>
            <w:rStyle w:val="Hyperlink"/>
          </w:rPr>
          <w:t>http://www.iso-ne.com/stlmnts/stlmnt_mod_info/index.html</w:t>
        </w:r>
      </w:hyperlink>
      <w:r w:rsidRPr="00372FDE">
        <w:t>.</w:t>
      </w:r>
    </w:p>
  </w:footnote>
  <w:footnote w:id="113">
    <w:p w:rsidR="001E3655" w:rsidRDefault="001E3655">
      <w:pPr>
        <w:pStyle w:val="FootnoteText"/>
      </w:pPr>
      <w:r w:rsidRPr="003260B6">
        <w:rPr>
          <w:rStyle w:val="FootnoteReference"/>
          <w:rFonts w:asciiTheme="majorHAnsi" w:hAnsiTheme="majorHAnsi"/>
          <w:sz w:val="18"/>
        </w:rPr>
        <w:footnoteRef/>
      </w:r>
      <w:r w:rsidRPr="00372FDE">
        <w:t xml:space="preserve"> State-sponsored EE programs consist of various efforts designed to reduce energy consumption. These efforts generally are funded by multiple sources, including a system benefits charge (SBC) applied to customer bills, the </w:t>
      </w:r>
      <w:r w:rsidRPr="00C37075">
        <w:t xml:space="preserve">Regional Greenhouse Gas Initiative (RGGI) auction revenues (see Section </w:t>
      </w:r>
      <w:fldSimple w:instr=" REF _Ref388774308 \r \h  \* MERGEFORMAT ">
        <w:r>
          <w:t>6.3.2.4</w:t>
        </w:r>
      </w:fldSimple>
      <w:r w:rsidRPr="00372FDE">
        <w:t xml:space="preserve">), and state EE policy funds. More information on the methodology used to develop the EE forecast is available at the ISO’s “Energy-Efficiency Forecast Working Group,” </w:t>
      </w:r>
      <w:r w:rsidRPr="00DF1A48">
        <w:t xml:space="preserve">webpage, </w:t>
      </w:r>
      <w:hyperlink r:id="rId109" w:history="1">
        <w:r w:rsidRPr="00133EA4">
          <w:rPr>
            <w:rStyle w:val="Hyperlink"/>
          </w:rPr>
          <w:t>http://www.iso-ne.com/committees/planning/energy-efficiency-forecast</w:t>
        </w:r>
      </w:hyperlink>
      <w:r w:rsidRPr="00DF1A48">
        <w:t xml:space="preserve">. </w:t>
      </w:r>
      <w:proofErr w:type="gramStart"/>
      <w:r w:rsidRPr="00DF1A48">
        <w:rPr>
          <w:i/>
        </w:rPr>
        <w:t>ISO New England Energy-Efficiency Forecast Report for 2018 to 2023</w:t>
      </w:r>
      <w:r w:rsidRPr="00DF1A48">
        <w:t xml:space="preserve"> (June 3, 2014), </w:t>
      </w:r>
      <w:hyperlink r:id="rId110" w:history="1">
        <w:r w:rsidRPr="00133EA4">
          <w:rPr>
            <w:rStyle w:val="Hyperlink"/>
          </w:rPr>
          <w:t>http://www.iso-ne.com/static-assets/documents/2014/08/eef_report_2018_2023_final.pdf</w:t>
        </w:r>
      </w:hyperlink>
      <w:r w:rsidRPr="00DF1A48">
        <w:t>.</w:t>
      </w:r>
      <w:proofErr w:type="gramEnd"/>
    </w:p>
  </w:footnote>
  <w:footnote w:id="114">
    <w:p w:rsidR="001E3655" w:rsidRPr="00372FDE" w:rsidRDefault="001E3655" w:rsidP="00F27B97">
      <w:pPr>
        <w:pStyle w:val="Default"/>
        <w:spacing w:after="80"/>
        <w:rPr>
          <w:rFonts w:asciiTheme="majorHAnsi" w:hAnsiTheme="majorHAnsi"/>
          <w:sz w:val="18"/>
          <w:szCs w:val="18"/>
        </w:rPr>
      </w:pPr>
      <w:r w:rsidRPr="00132472">
        <w:rPr>
          <w:rStyle w:val="FootnoteReference"/>
          <w:rFonts w:asciiTheme="majorHAnsi" w:hAnsiTheme="majorHAnsi"/>
          <w:sz w:val="18"/>
          <w:szCs w:val="18"/>
        </w:rPr>
        <w:footnoteRef/>
      </w:r>
      <w:r w:rsidRPr="00132472">
        <w:rPr>
          <w:rFonts w:asciiTheme="majorHAnsi" w:hAnsiTheme="majorHAnsi"/>
          <w:sz w:val="18"/>
          <w:szCs w:val="18"/>
        </w:rPr>
        <w:t xml:space="preserve"> </w:t>
      </w:r>
      <w:r w:rsidRPr="00132472">
        <w:rPr>
          <w:rFonts w:asciiTheme="majorHAnsi" w:eastAsiaTheme="minorHAnsi" w:hAnsiTheme="majorHAnsi"/>
          <w:color w:val="auto"/>
          <w:sz w:val="18"/>
          <w:szCs w:val="18"/>
        </w:rPr>
        <w:t xml:space="preserve">Since its inception, the ISO has accounted for DG in its resource and load forecasts. Existing and future DG with obligations in the FCM </w:t>
      </w:r>
      <w:proofErr w:type="gramStart"/>
      <w:r w:rsidRPr="00132472">
        <w:rPr>
          <w:rFonts w:asciiTheme="majorHAnsi" w:eastAsiaTheme="minorHAnsi" w:hAnsiTheme="majorHAnsi"/>
          <w:color w:val="auto"/>
          <w:sz w:val="18"/>
          <w:szCs w:val="18"/>
        </w:rPr>
        <w:t>are considered</w:t>
      </w:r>
      <w:proofErr w:type="gramEnd"/>
      <w:r w:rsidRPr="00132472">
        <w:rPr>
          <w:rFonts w:asciiTheme="majorHAnsi" w:eastAsiaTheme="minorHAnsi" w:hAnsiTheme="majorHAnsi"/>
          <w:color w:val="auto"/>
          <w:sz w:val="18"/>
          <w:szCs w:val="18"/>
        </w:rPr>
        <w:t xml:space="preserve"> resources and contribute to meeting New England’s ICR. Existing non-FCM DG resources registered in the wholesale energy market </w:t>
      </w:r>
      <w:proofErr w:type="gramStart"/>
      <w:r w:rsidRPr="00132472">
        <w:rPr>
          <w:rFonts w:asciiTheme="majorHAnsi" w:eastAsiaTheme="minorHAnsi" w:hAnsiTheme="majorHAnsi"/>
          <w:color w:val="auto"/>
          <w:sz w:val="18"/>
          <w:szCs w:val="18"/>
        </w:rPr>
        <w:t>are counted</w:t>
      </w:r>
      <w:proofErr w:type="gramEnd"/>
      <w:r w:rsidRPr="00132472">
        <w:rPr>
          <w:rFonts w:asciiTheme="majorHAnsi" w:eastAsiaTheme="minorHAnsi" w:hAnsiTheme="majorHAnsi"/>
          <w:color w:val="auto"/>
          <w:sz w:val="18"/>
          <w:szCs w:val="18"/>
        </w:rPr>
        <w:t xml:space="preserve"> as “generating load assets” (i.e., settlement-only resources). Load reductions from the remainder of existing DG (i.e., installations that do not participate in the wholesale markets) </w:t>
      </w:r>
      <w:proofErr w:type="gramStart"/>
      <w:r w:rsidRPr="00132472">
        <w:rPr>
          <w:rFonts w:asciiTheme="majorHAnsi" w:eastAsiaTheme="minorHAnsi" w:hAnsiTheme="majorHAnsi"/>
          <w:color w:val="auto"/>
          <w:sz w:val="18"/>
          <w:szCs w:val="18"/>
        </w:rPr>
        <w:t>are embedded</w:t>
      </w:r>
      <w:proofErr w:type="gramEnd"/>
      <w:r w:rsidRPr="00132472">
        <w:rPr>
          <w:rFonts w:asciiTheme="majorHAnsi" w:eastAsiaTheme="minorHAnsi" w:hAnsiTheme="majorHAnsi"/>
          <w:color w:val="auto"/>
          <w:sz w:val="18"/>
          <w:szCs w:val="18"/>
        </w:rPr>
        <w:t xml:space="preserve"> in the historic loads used to develop the ISO’s 10-year load forecast.</w:t>
      </w:r>
    </w:p>
  </w:footnote>
  <w:footnote w:id="115">
    <w:p w:rsidR="001E3655" w:rsidRPr="00372FDE" w:rsidRDefault="001E3655" w:rsidP="00F27B97">
      <w:pPr>
        <w:pStyle w:val="NoSpacing"/>
        <w:numPr>
          <w:ilvl w:val="0"/>
          <w:numId w:val="0"/>
        </w:numPr>
        <w:spacing w:after="80" w:line="240" w:lineRule="auto"/>
        <w:rPr>
          <w:sz w:val="18"/>
          <w:szCs w:val="18"/>
        </w:rPr>
      </w:pPr>
      <w:r w:rsidRPr="00132472">
        <w:rPr>
          <w:rStyle w:val="FootnoteReference"/>
          <w:rFonts w:asciiTheme="majorHAnsi" w:hAnsiTheme="majorHAnsi"/>
          <w:sz w:val="18"/>
          <w:szCs w:val="18"/>
        </w:rPr>
        <w:footnoteRef/>
      </w:r>
      <w:r w:rsidRPr="00132472">
        <w:rPr>
          <w:sz w:val="18"/>
          <w:szCs w:val="18"/>
        </w:rPr>
        <w:t xml:space="preserve"> DG can use many technologies, including PV, wind, fuel cells, combined heat and power, and hydroelectric. </w:t>
      </w:r>
    </w:p>
  </w:footnote>
  <w:footnote w:id="116">
    <w:p w:rsidR="001E3655" w:rsidRDefault="001E3655">
      <w:pPr>
        <w:pStyle w:val="FootnoteText"/>
      </w:pPr>
      <w:r w:rsidRPr="003260B6">
        <w:rPr>
          <w:rStyle w:val="FootnoteReference"/>
          <w:rFonts w:asciiTheme="majorHAnsi" w:hAnsiTheme="majorHAnsi"/>
          <w:sz w:val="18"/>
        </w:rPr>
        <w:footnoteRef/>
      </w:r>
      <w:r w:rsidRPr="00372FDE">
        <w:t xml:space="preserve"> The DC nameplate rating of a PV installation is equal to the sum of the ratings of its solar panels, whereas its AC </w:t>
      </w:r>
      <w:r w:rsidRPr="008E2D71">
        <w:t xml:space="preserve">nameplate rating </w:t>
      </w:r>
      <w:proofErr w:type="gramStart"/>
      <w:r w:rsidRPr="008E2D71">
        <w:t>is determined</w:t>
      </w:r>
      <w:proofErr w:type="gramEnd"/>
      <w:r w:rsidRPr="008E2D71">
        <w:t xml:space="preserve"> by the sum of the rating(s) of its inverter(s). </w:t>
      </w:r>
    </w:p>
  </w:footnote>
  <w:footnote w:id="117">
    <w:p w:rsidR="001E3655" w:rsidRDefault="001E3655">
      <w:pPr>
        <w:pStyle w:val="FootnoteText"/>
      </w:pPr>
      <w:r w:rsidRPr="008E2D71">
        <w:rPr>
          <w:rStyle w:val="FootnoteReference"/>
        </w:rPr>
        <w:footnoteRef/>
      </w:r>
      <w:r w:rsidRPr="008E2D71">
        <w:t xml:space="preserve"> Generically, the </w:t>
      </w:r>
      <w:r w:rsidRPr="008E2D71">
        <w:rPr>
          <w:i/>
        </w:rPr>
        <w:t xml:space="preserve">nameplate </w:t>
      </w:r>
      <w:r w:rsidRPr="008E2D71">
        <w:t>rating is a measure of a piece of equipment’s ability to produce or transmit electricity.</w:t>
      </w:r>
    </w:p>
  </w:footnote>
  <w:footnote w:id="118">
    <w:p w:rsidR="001E3655" w:rsidRDefault="001E3655">
      <w:pPr>
        <w:pStyle w:val="FootnoteText"/>
      </w:pPr>
      <w:r w:rsidRPr="008F014D">
        <w:rPr>
          <w:rStyle w:val="FootnoteReference"/>
        </w:rPr>
        <w:footnoteRef/>
      </w:r>
      <w:r w:rsidRPr="00316208">
        <w:t xml:space="preserve"> </w:t>
      </w:r>
      <w:r w:rsidRPr="008F014D">
        <w:t xml:space="preserve">Of the DC electricity PV panels generate, 83% </w:t>
      </w:r>
      <w:proofErr w:type="gramStart"/>
      <w:r w:rsidRPr="008F014D">
        <w:t>is converted</w:t>
      </w:r>
      <w:proofErr w:type="gramEnd"/>
      <w:r>
        <w:t xml:space="preserve"> into AC electricity, which is commonly used by utility customers.</w:t>
      </w:r>
    </w:p>
  </w:footnote>
  <w:footnote w:id="119">
    <w:p w:rsidR="001E3655" w:rsidRDefault="001E3655">
      <w:pPr>
        <w:pStyle w:val="FootnoteText"/>
      </w:pPr>
      <w:r w:rsidRPr="003260B6">
        <w:rPr>
          <w:rStyle w:val="FootnoteReference"/>
          <w:rFonts w:asciiTheme="majorHAnsi" w:hAnsiTheme="majorHAnsi"/>
          <w:sz w:val="18"/>
        </w:rPr>
        <w:footnoteRef/>
      </w:r>
      <w:r w:rsidRPr="00372FDE">
        <w:t xml:space="preserve"> State-jurisdictional standards are typically applicable for all solar projects, including both “rooftop” and MW-scale solar “farms.” New England presently does not include any FERC-jurisdictional PV project (~500 MW total); however, two projects currently in the ISO New England Generation Interconnection Queue (the queue) seeking interconnection may be FERC-jurisdictional and would need to meet the ISO’s small generator interconnection procedures (SGIP) or Small Generator Interconnection Agreement (SGIA) or both. See the OATT, Schedule 23, “Small Generator Interconnection Procedures” (July 25, 2012</w:t>
      </w:r>
      <w:r w:rsidRPr="001C5123">
        <w:t xml:space="preserve">), </w:t>
      </w:r>
      <w:hyperlink r:id="rId111" w:history="1">
        <w:r w:rsidRPr="001C5123">
          <w:rPr>
            <w:rStyle w:val="Hyperlink"/>
          </w:rPr>
          <w:t>http://www.iso-ne.com/static-assets/documents/regulatory/tariff/sect_2/sch23/sch_23_sgip.pdf</w:t>
        </w:r>
      </w:hyperlink>
      <w:r>
        <w:t>.</w:t>
      </w:r>
      <w:hyperlink w:history="1"/>
    </w:p>
  </w:footnote>
  <w:footnote w:id="120">
    <w:p w:rsidR="001E3655" w:rsidRDefault="001E3655">
      <w:pPr>
        <w:pStyle w:val="FootnoteText"/>
      </w:pPr>
      <w:r w:rsidRPr="003260B6">
        <w:rPr>
          <w:rStyle w:val="FootnoteReference"/>
          <w:rFonts w:asciiTheme="majorHAnsi" w:hAnsiTheme="majorHAnsi"/>
          <w:sz w:val="18"/>
        </w:rPr>
        <w:footnoteRef/>
      </w:r>
      <w:r w:rsidRPr="00372FDE">
        <w:t xml:space="preserve"> The DGFWG </w:t>
      </w:r>
      <w:proofErr w:type="gramStart"/>
      <w:r w:rsidRPr="00372FDE">
        <w:t>is chaired</w:t>
      </w:r>
      <w:proofErr w:type="gramEnd"/>
      <w:r w:rsidRPr="00372FDE">
        <w:t xml:space="preserve"> by a representative of ISO New England and is not a formal NEPOOL committee or subcommittee.</w:t>
      </w:r>
      <w:r w:rsidRPr="00132472">
        <w:t xml:space="preserve"> </w:t>
      </w:r>
      <w:r w:rsidRPr="00372FDE">
        <w:t xml:space="preserve">More information on the DGFWG, including the group’s scope of work </w:t>
      </w:r>
      <w:r>
        <w:t xml:space="preserve">(September 25, 2013) </w:t>
      </w:r>
      <w:r w:rsidRPr="00372FDE">
        <w:t xml:space="preserve">is available at </w:t>
      </w:r>
      <w:hyperlink r:id="rId112" w:history="1">
        <w:r w:rsidRPr="00406B7F">
          <w:rPr>
            <w:rStyle w:val="Hyperlink"/>
          </w:rPr>
          <w:t>http://www.iso-ne.com/static-assets/documents/committees/comm_wkgrps/othr/distributed_generation_frcst/2013mtrls/sep302013/draft_dgfwg_scope_of_work.pdf</w:t>
        </w:r>
      </w:hyperlink>
      <w:r w:rsidRPr="00372FDE">
        <w:t>.</w:t>
      </w:r>
    </w:p>
  </w:footnote>
  <w:footnote w:id="121">
    <w:p w:rsidR="001E3655" w:rsidRDefault="001E3655">
      <w:pPr>
        <w:pStyle w:val="FootnoteText"/>
      </w:pPr>
      <w:r w:rsidRPr="003260B6">
        <w:rPr>
          <w:rStyle w:val="FootnoteReference"/>
          <w:rFonts w:asciiTheme="majorHAnsi" w:hAnsiTheme="majorHAnsi"/>
          <w:sz w:val="18"/>
        </w:rPr>
        <w:footnoteRef/>
      </w:r>
      <w:r w:rsidRPr="00372FDE">
        <w:t xml:space="preserve"> The DGFWG initial meeting provided an opportunity for the states to update the ISO on the breadth of their DG programs.</w:t>
      </w:r>
    </w:p>
  </w:footnote>
  <w:footnote w:id="122">
    <w:p w:rsidR="001E3655" w:rsidRDefault="001E3655">
      <w:pPr>
        <w:pStyle w:val="FootnoteText"/>
      </w:pPr>
      <w:r w:rsidRPr="003260B6">
        <w:rPr>
          <w:rStyle w:val="FootnoteReference"/>
          <w:rFonts w:asciiTheme="majorHAnsi" w:hAnsiTheme="majorHAnsi"/>
          <w:sz w:val="18"/>
        </w:rPr>
        <w:footnoteRef/>
      </w:r>
      <w:r w:rsidRPr="00372FDE">
        <w:t xml:space="preserve"> State PV policy data presented to the DGFWG is available at the ISO’s “Distributed Generation Forecast” webpage, </w:t>
      </w:r>
      <w:hyperlink r:id="rId113" w:history="1">
        <w:r w:rsidRPr="00860215">
          <w:rPr>
            <w:rStyle w:val="Hyperlink"/>
          </w:rPr>
          <w:t>http://www.iso-ne.com/system-planning/system-forecasting/distributed-generation-forecast</w:t>
        </w:r>
      </w:hyperlink>
      <w:r w:rsidRPr="00372FDE">
        <w:t>.</w:t>
      </w:r>
      <w:r>
        <w:t xml:space="preserve"> </w:t>
      </w:r>
      <w:r w:rsidRPr="00372FDE">
        <w:t xml:space="preserve">The </w:t>
      </w:r>
      <w:r w:rsidRPr="00372FDE">
        <w:rPr>
          <w:i/>
        </w:rPr>
        <w:t>ISO’s Generator Interconnection Queue</w:t>
      </w:r>
      <w:r w:rsidRPr="00372FDE">
        <w:t xml:space="preserve"> includes the requests submitted by generators to interconnect to the ISO New England-administered transmission system</w:t>
      </w:r>
      <w:r>
        <w:t xml:space="preserve">; see Section </w:t>
      </w:r>
      <w:r w:rsidR="00927965">
        <w:fldChar w:fldCharType="begin"/>
      </w:r>
      <w:r>
        <w:instrText xml:space="preserve"> REF _Ref329080869 \r \h </w:instrText>
      </w:r>
      <w:r w:rsidR="00927965">
        <w:fldChar w:fldCharType="separate"/>
      </w:r>
      <w:r>
        <w:t>4.5.2</w:t>
      </w:r>
      <w:r w:rsidR="00927965">
        <w:fldChar w:fldCharType="end"/>
      </w:r>
      <w:r w:rsidRPr="00372FDE">
        <w:t>.</w:t>
      </w:r>
    </w:p>
  </w:footnote>
  <w:footnote w:id="123">
    <w:p w:rsidR="001E3655" w:rsidRPr="00F90D9B" w:rsidRDefault="001E3655">
      <w:pPr>
        <w:pStyle w:val="FootnoteText"/>
      </w:pPr>
      <w:r w:rsidRPr="003260B6">
        <w:rPr>
          <w:rStyle w:val="FootnoteReference"/>
          <w:rFonts w:asciiTheme="majorHAnsi" w:hAnsiTheme="majorHAnsi"/>
          <w:sz w:val="18"/>
        </w:rPr>
        <w:footnoteRef/>
      </w:r>
      <w:r w:rsidRPr="00372FDE">
        <w:t xml:space="preserve"> </w:t>
      </w:r>
      <w:r w:rsidRPr="00372FDE">
        <w:rPr>
          <w:i/>
        </w:rPr>
        <w:t>Seasonal claimed capability</w:t>
      </w:r>
      <w:r w:rsidRPr="00372FDE">
        <w:t xml:space="preserve"> is a generator's maximum production or output during a particular season, adjusted </w:t>
      </w:r>
      <w:r w:rsidRPr="00F90D9B">
        <w:t>for physical and regulatory limitations.</w:t>
      </w:r>
    </w:p>
  </w:footnote>
  <w:footnote w:id="124">
    <w:p w:rsidR="001E3655" w:rsidRDefault="001E3655">
      <w:pPr>
        <w:pStyle w:val="FootnoteText"/>
      </w:pPr>
      <w:r w:rsidRPr="00F90D9B">
        <w:rPr>
          <w:rStyle w:val="FootnoteReference"/>
          <w:rFonts w:asciiTheme="majorHAnsi" w:hAnsiTheme="majorHAnsi"/>
          <w:sz w:val="18"/>
        </w:rPr>
        <w:footnoteRef/>
      </w:r>
      <w:r w:rsidRPr="00F90D9B">
        <w:t xml:space="preserve"> A full explanation of the various discount factors and other modeling assumptions is contained in </w:t>
      </w:r>
      <w:r w:rsidRPr="00F90D9B">
        <w:rPr>
          <w:i/>
        </w:rPr>
        <w:t>Discussion of PV Performance and ISO’s Draft Interim PV Forecast</w:t>
      </w:r>
      <w:r w:rsidRPr="00F90D9B">
        <w:t xml:space="preserve">, DGFWG presentation (December 16, 2013), </w:t>
      </w:r>
      <w:hyperlink r:id="rId114" w:history="1">
        <w:r w:rsidRPr="00F90D9B">
          <w:rPr>
            <w:rStyle w:val="Hyperlink"/>
          </w:rPr>
          <w:t>http://www.iso-ne.com/committees/comm_wkgrps/othr/distributed_generation_frcst/2013mtrls/dec162013/dg_forecast.pdf</w:t>
        </w:r>
      </w:hyperlink>
      <w:r w:rsidRPr="00F90D9B">
        <w:t>.</w:t>
      </w:r>
    </w:p>
  </w:footnote>
  <w:footnote w:id="125">
    <w:p w:rsidR="001E3655" w:rsidRDefault="001E3655">
      <w:pPr>
        <w:pStyle w:val="FootnoteText"/>
      </w:pPr>
      <w:r w:rsidRPr="003260B6">
        <w:rPr>
          <w:rStyle w:val="FootnoteReference"/>
          <w:rFonts w:asciiTheme="majorHAnsi" w:hAnsiTheme="majorHAnsi"/>
          <w:sz w:val="18"/>
        </w:rPr>
        <w:footnoteRef/>
      </w:r>
      <w:r w:rsidRPr="00372FDE">
        <w:t xml:space="preserve"> The policies differ for each state, and they have different end years. A discount of 25% </w:t>
      </w:r>
      <w:proofErr w:type="gramStart"/>
      <w:r w:rsidRPr="00372FDE">
        <w:t>was applied</w:t>
      </w:r>
      <w:proofErr w:type="gramEnd"/>
      <w:r w:rsidRPr="00372FDE">
        <w:t xml:space="preserve"> to the state goals for each of the policy years shown in the table. The megawatt growth beyond the last known policy year is considered constant, but a discount factor of 75% was applied rather than the 25%,</w:t>
      </w:r>
    </w:p>
  </w:footnote>
  <w:footnote w:id="126">
    <w:p w:rsidR="001E3655" w:rsidRDefault="001E3655">
      <w:pPr>
        <w:pStyle w:val="FootnoteText"/>
      </w:pPr>
      <w:r w:rsidRPr="003260B6">
        <w:rPr>
          <w:rStyle w:val="FootnoteReference"/>
          <w:rFonts w:asciiTheme="majorHAnsi" w:hAnsiTheme="majorHAnsi"/>
          <w:sz w:val="18"/>
        </w:rPr>
        <w:footnoteRef/>
      </w:r>
      <w:r w:rsidRPr="00372FDE">
        <w:t xml:space="preserve"> Various planning studies may use values that differ from the SSCC, depending on the study assumptions and intent.</w:t>
      </w:r>
    </w:p>
  </w:footnote>
  <w:footnote w:id="127">
    <w:p w:rsidR="001E3655" w:rsidRDefault="001E3655">
      <w:pPr>
        <w:pStyle w:val="FootnoteText"/>
      </w:pPr>
      <w:r w:rsidRPr="003260B6">
        <w:rPr>
          <w:rStyle w:val="FootnoteReference"/>
          <w:rFonts w:asciiTheme="majorHAnsi" w:hAnsiTheme="majorHAnsi"/>
          <w:sz w:val="18"/>
        </w:rPr>
        <w:footnoteRef/>
      </w:r>
      <w:r w:rsidRPr="00372FDE">
        <w:t xml:space="preserve"> The annual PV energy output calculation assumes an estimated 15.4% capacity factor </w:t>
      </w:r>
      <w:proofErr w:type="gramStart"/>
      <w:r w:rsidRPr="00372FDE">
        <w:t>on the basis of</w:t>
      </w:r>
      <w:proofErr w:type="gramEnd"/>
      <w:r w:rsidRPr="00372FDE">
        <w:t xml:space="preserve"> AC nameplate capacity.</w:t>
      </w:r>
    </w:p>
  </w:footnote>
  <w:footnote w:id="128">
    <w:p w:rsidR="001E3655" w:rsidRDefault="001E3655">
      <w:pPr>
        <w:pStyle w:val="FootnoteText"/>
      </w:pPr>
      <w:r w:rsidRPr="008E2D71">
        <w:rPr>
          <w:rStyle w:val="FootnoteReference"/>
          <w:rFonts w:asciiTheme="majorHAnsi" w:hAnsiTheme="majorHAnsi"/>
          <w:sz w:val="18"/>
        </w:rPr>
        <w:footnoteRef/>
      </w:r>
      <w:r w:rsidRPr="008E2D71">
        <w:t xml:space="preserve"> The ISO will coordinate the use of the DG forecast with the PAC and the appropriate NEPOOL technical committees.</w:t>
      </w:r>
    </w:p>
  </w:footnote>
  <w:footnote w:id="129">
    <w:p w:rsidR="001E3655" w:rsidRDefault="001E3655">
      <w:pPr>
        <w:pStyle w:val="FootnoteText"/>
      </w:pPr>
      <w:r w:rsidRPr="00F90D9B">
        <w:rPr>
          <w:rStyle w:val="FootnoteReference"/>
          <w:rFonts w:asciiTheme="majorHAnsi" w:hAnsiTheme="majorHAnsi"/>
          <w:sz w:val="18"/>
        </w:rPr>
        <w:footnoteRef/>
      </w:r>
      <w:r w:rsidRPr="00F90D9B">
        <w:t xml:space="preserve"> See </w:t>
      </w:r>
      <w:r w:rsidRPr="00F90D9B">
        <w:rPr>
          <w:i/>
        </w:rPr>
        <w:t>Update on DG Location and Modeling Issues</w:t>
      </w:r>
      <w:r w:rsidRPr="00F90D9B">
        <w:t xml:space="preserve">, DGFWG presentation (April 2, 2014), </w:t>
      </w:r>
      <w:hyperlink r:id="rId115" w:history="1">
        <w:r w:rsidRPr="00F90D9B">
          <w:rPr>
            <w:rStyle w:val="Hyperlink"/>
          </w:rPr>
          <w:t>http://www.iso-ne.com/committees/comm_wkgrps/othr/distributed_generation_frcst/2014mtrls/apr22014/dg_location_modeling.pdf</w:t>
        </w:r>
      </w:hyperlink>
      <w:r w:rsidRPr="00F90D9B">
        <w:t>.</w:t>
      </w:r>
    </w:p>
  </w:footnote>
  <w:footnote w:id="130">
    <w:p w:rsidR="001E3655" w:rsidRDefault="001E3655">
      <w:pPr>
        <w:pStyle w:val="FoonoteText"/>
      </w:pPr>
      <w:r w:rsidRPr="00372FDE">
        <w:rPr>
          <w:rStyle w:val="FootnoteReference"/>
          <w:rFonts w:asciiTheme="majorHAnsi" w:hAnsiTheme="majorHAnsi"/>
          <w:sz w:val="18"/>
        </w:rPr>
        <w:footnoteRef/>
      </w:r>
      <w:r w:rsidRPr="00372FDE">
        <w:t xml:space="preserve"> </w:t>
      </w:r>
      <w:r w:rsidRPr="00372FDE">
        <w:rPr>
          <w:i/>
        </w:rPr>
        <w:t>Deterministic analyses</w:t>
      </w:r>
      <w:r w:rsidRPr="00372FDE">
        <w:t xml:space="preserve"> are snapshots of assumed specific conditions that do not quantify the likelihood that these conditions will actually materialize. The results </w:t>
      </w:r>
      <w:proofErr w:type="gramStart"/>
      <w:r w:rsidRPr="00372FDE">
        <w:t>are based</w:t>
      </w:r>
      <w:proofErr w:type="gramEnd"/>
      <w:r w:rsidRPr="00372FDE">
        <w:t xml:space="preserve"> on analyzing the assumed set of conditions representing a specific scenario.</w:t>
      </w:r>
    </w:p>
  </w:footnote>
  <w:footnote w:id="131">
    <w:p w:rsidR="001E3655" w:rsidRDefault="001E3655">
      <w:pPr>
        <w:pStyle w:val="FoonoteText"/>
      </w:pPr>
      <w:r w:rsidRPr="001C3465">
        <w:rPr>
          <w:rStyle w:val="FootnoteReference"/>
          <w:rFonts w:asciiTheme="majorHAnsi" w:hAnsiTheme="majorHAnsi"/>
          <w:sz w:val="18"/>
        </w:rPr>
        <w:footnoteRef/>
      </w:r>
      <w:r w:rsidRPr="001C3465">
        <w:t xml:space="preserve"> </w:t>
      </w:r>
      <w:r w:rsidRPr="001C3465">
        <w:rPr>
          <w:i/>
        </w:rPr>
        <w:t>Established</w:t>
      </w:r>
      <w:r w:rsidRPr="001C3465">
        <w:t xml:space="preserve"> ICR values refer to the values that either FERC has approved or the ISO has filed with FERC for approval. </w:t>
      </w:r>
      <w:r w:rsidRPr="001C3465">
        <w:rPr>
          <w:i/>
        </w:rPr>
        <w:t>Representative net</w:t>
      </w:r>
      <w:r w:rsidRPr="001C3465">
        <w:t xml:space="preserve"> ICR values are the representative ICRs for the region, minus the tie-reliability benefits associated with the Hydro-Québec Interconnection Capability Credits (HQICCs). As defined in the ISO’s tariff, the </w:t>
      </w:r>
      <w:r w:rsidRPr="001C3465">
        <w:rPr>
          <w:i/>
        </w:rPr>
        <w:t>HQICC</w:t>
      </w:r>
      <w:r w:rsidRPr="001C3465">
        <w:t xml:space="preserve"> is a monthly value that reflects the annual installed capacity benefits of the HQ Interconnection, as determined by the ISO using a standard methodology on file with FERC. The ISO calculates representative net ICR values solely to</w:t>
      </w:r>
      <w:r w:rsidRPr="00372FDE">
        <w:t xml:space="preserve"> inform New England stakeholders; these values have not and </w:t>
      </w:r>
      <w:proofErr w:type="gramStart"/>
      <w:r w:rsidRPr="00372FDE">
        <w:t>will not be filed</w:t>
      </w:r>
      <w:proofErr w:type="gramEnd"/>
      <w:r w:rsidRPr="00372FDE">
        <w:t xml:space="preserve"> with FERC for approval. The values for FCA #9 for the 2018/2019 CCP </w:t>
      </w:r>
      <w:proofErr w:type="gramStart"/>
      <w:r w:rsidRPr="00372FDE">
        <w:t>are scheduled to be filed</w:t>
      </w:r>
      <w:proofErr w:type="gramEnd"/>
      <w:r w:rsidRPr="00372FDE">
        <w:t xml:space="preserve"> with FERC in November 2014. </w:t>
      </w:r>
      <w:r>
        <w:t xml:space="preserve">For additional information about ICRs, see the ISO’s “Installed Capacity Requirements,” webpage at </w:t>
      </w:r>
      <w:hyperlink r:id="rId116" w:history="1">
        <w:r w:rsidRPr="007D3430">
          <w:rPr>
            <w:rStyle w:val="Hyperlink"/>
          </w:rPr>
          <w:t>http://www.iso-ne.com/system-planning/resource-planning/installed-capacity-requirements</w:t>
        </w:r>
      </w:hyperlink>
      <w:r>
        <w:t>.</w:t>
      </w:r>
    </w:p>
  </w:footnote>
  <w:footnote w:id="132">
    <w:p w:rsidR="001E3655" w:rsidRDefault="001E3655">
      <w:pPr>
        <w:pStyle w:val="FoonoteText"/>
      </w:pPr>
      <w:r w:rsidRPr="00372FDE">
        <w:rPr>
          <w:rStyle w:val="FootnoteReference"/>
          <w:rFonts w:asciiTheme="majorHAnsi" w:hAnsiTheme="majorHAnsi"/>
          <w:sz w:val="18"/>
        </w:rPr>
        <w:footnoteRef/>
      </w:r>
      <w:r w:rsidRPr="00372FDE">
        <w:t xml:space="preserve"> ISO New England, </w:t>
      </w:r>
      <w:r w:rsidRPr="00372FDE">
        <w:rPr>
          <w:i/>
        </w:rPr>
        <w:t>2013–2022 Forecast Report of Capacity, Energy, Loads, and Transmission</w:t>
      </w:r>
      <w:r w:rsidRPr="00372FDE">
        <w:t xml:space="preserve"> (May 2013),</w:t>
      </w:r>
      <w:hyperlink w:history="1"/>
      <w:r w:rsidRPr="00372FDE">
        <w:t xml:space="preserve"> </w:t>
      </w:r>
      <w:hyperlink r:id="rId117" w:history="1">
        <w:r w:rsidRPr="00FC0F2A">
          <w:rPr>
            <w:rStyle w:val="Hyperlink"/>
          </w:rPr>
          <w:t>http://www.iso-ne.com/static-assets/documents/trans/celt/report/2013/2013_celt_report.pdf</w:t>
        </w:r>
      </w:hyperlink>
      <w:r w:rsidRPr="00372FDE">
        <w:t>.</w:t>
      </w:r>
    </w:p>
  </w:footnote>
  <w:footnote w:id="133">
    <w:p w:rsidR="001E3655" w:rsidRDefault="001E3655">
      <w:pPr>
        <w:pStyle w:val="FootnoteText"/>
      </w:pPr>
      <w:r w:rsidRPr="001C3465">
        <w:rPr>
          <w:rStyle w:val="FootnoteReference"/>
          <w:rFonts w:asciiTheme="majorHAnsi" w:hAnsiTheme="majorHAnsi"/>
          <w:sz w:val="18"/>
        </w:rPr>
        <w:footnoteRef/>
      </w:r>
      <w:r w:rsidRPr="001C3465">
        <w:t xml:space="preserve"> The footnote above defines the HQICC monthly value used to modify the ICR.</w:t>
      </w:r>
    </w:p>
  </w:footnote>
  <w:footnote w:id="134">
    <w:p w:rsidR="001E3655" w:rsidRDefault="001E3655">
      <w:pPr>
        <w:pStyle w:val="FoonoteText"/>
      </w:pPr>
      <w:r w:rsidRPr="00410227">
        <w:rPr>
          <w:rStyle w:val="FootnoteReference"/>
          <w:rFonts w:asciiTheme="majorHAnsi" w:hAnsiTheme="majorHAnsi"/>
          <w:sz w:val="18"/>
        </w:rPr>
        <w:footnoteRef/>
      </w:r>
      <w:r w:rsidRPr="00410227">
        <w:t xml:space="preserve"> </w:t>
      </w:r>
      <w:r w:rsidRPr="00410227">
        <w:rPr>
          <w:i/>
        </w:rPr>
        <w:t>Resulting reserves</w:t>
      </w:r>
      <w:r w:rsidRPr="00410227">
        <w:t xml:space="preserve"> are the amount of capacity in excess of the forecast 50/50 peak load. Percentage resulting reserves = [{(Net ICR − 50/50 peak load) ÷ 50/50 peak load} × 100]. </w:t>
      </w:r>
      <w:r w:rsidRPr="00410227">
        <w:rPr>
          <w:rFonts w:eastAsiaTheme="minorHAnsi"/>
        </w:rPr>
        <w:t>Based on the CELT 2013 forecast, the average value of the resulting reserves for 2015/2016 through 2017/2018 is 14.2%, derived from the following values: 14.9% for 2015/2016, 14.2% for 2016/2017, and 13.6% for 2017/2018.</w:t>
      </w:r>
      <w:r>
        <w:rPr>
          <w:rFonts w:eastAsiaTheme="minorHAnsi"/>
        </w:rPr>
        <w:t xml:space="preserve"> </w:t>
      </w:r>
    </w:p>
  </w:footnote>
  <w:footnote w:id="135">
    <w:p w:rsidR="001E3655" w:rsidRDefault="001E3655">
      <w:pPr>
        <w:pStyle w:val="FootnoteText"/>
      </w:pPr>
      <w:r w:rsidRPr="00372FDE">
        <w:rPr>
          <w:rStyle w:val="FootnoteReference"/>
          <w:rFonts w:asciiTheme="majorHAnsi" w:hAnsiTheme="majorHAnsi"/>
          <w:sz w:val="18"/>
        </w:rPr>
        <w:footnoteRef/>
      </w:r>
      <w:r w:rsidRPr="00372FDE">
        <w:t xml:space="preserve"> LSRs and MCLs </w:t>
      </w:r>
      <w:proofErr w:type="gramStart"/>
      <w:r w:rsidRPr="00372FDE">
        <w:t>are based</w:t>
      </w:r>
      <w:proofErr w:type="gramEnd"/>
      <w:r w:rsidRPr="00372FDE">
        <w:t xml:space="preserve"> on network models using transmission facilities that will be in service no later than the first day of the relevant capacity commitment period.</w:t>
      </w:r>
    </w:p>
  </w:footnote>
  <w:footnote w:id="136">
    <w:p w:rsidR="001E3655" w:rsidRDefault="001E3655">
      <w:pPr>
        <w:pStyle w:val="FoonoteText"/>
      </w:pPr>
      <w:r w:rsidRPr="00372FDE">
        <w:rPr>
          <w:rStyle w:val="FootnoteReference"/>
          <w:rFonts w:asciiTheme="majorHAnsi" w:hAnsiTheme="majorHAnsi"/>
          <w:sz w:val="18"/>
        </w:rPr>
        <w:footnoteRef/>
      </w:r>
      <w:r w:rsidRPr="00372FDE">
        <w:t xml:space="preserve"> </w:t>
      </w:r>
      <w:proofErr w:type="gramStart"/>
      <w:r w:rsidRPr="00372FDE">
        <w:t>The ICR requirements for 2013/2014 to 2017/2018 are available in the FERC filings at</w:t>
      </w:r>
      <w:r>
        <w:br/>
      </w:r>
      <w:hyperlink r:id="rId118" w:history="1">
        <w:r w:rsidRPr="00372FDE">
          <w:t>http://www.iso-ne.com/regulatory/ferc/filings/2011/mar/er11-3048-000_03-08-11_icr_2014-2015.pdf</w:t>
        </w:r>
      </w:hyperlink>
      <w:r w:rsidRPr="00372FDE">
        <w:t>,</w:t>
      </w:r>
      <w:r>
        <w:br/>
      </w:r>
      <w:hyperlink r:id="rId119" w:history="1">
        <w:r w:rsidRPr="00372FDE">
          <w:rPr>
            <w:rStyle w:val="Hyperlink"/>
          </w:rPr>
          <w:t>http://www.iso-ne.com/regulatory/ferc/filings/2012/jan/er12-756-000_01-03-12_icr_2015-2016_filing.pdf</w:t>
        </w:r>
      </w:hyperlink>
      <w:r w:rsidRPr="00372FDE">
        <w:t>,</w:t>
      </w:r>
      <w:r>
        <w:br/>
      </w:r>
      <w:hyperlink r:id="rId120" w:history="1">
        <w:r w:rsidRPr="00372FDE">
          <w:rPr>
            <w:rStyle w:val="Hyperlink"/>
          </w:rPr>
          <w:t>http://www.iso-ne.com/regulatory/ferc/filings/2012/nov/er13-495-000_11-30-12_icr_aras.pdf</w:t>
        </w:r>
      </w:hyperlink>
      <w:r w:rsidRPr="00372FDE">
        <w:t xml:space="preserve">, and </w:t>
      </w:r>
      <w:hyperlink r:id="rId121" w:history="1">
        <w:r w:rsidRPr="00372FDE">
          <w:rPr>
            <w:rStyle w:val="Hyperlink"/>
            <w:rFonts w:cstheme="minorBidi"/>
          </w:rPr>
          <w:t>http://www.iso-ne.com/regulatory/ferc/filings/2013/feb/er13-992-000_2-26-13_7th_fca_results_filing.pdf</w:t>
        </w:r>
      </w:hyperlink>
      <w:r w:rsidRPr="00372FDE">
        <w:rPr>
          <w:color w:val="000000"/>
        </w:rPr>
        <w:t>.</w:t>
      </w:r>
      <w:proofErr w:type="gramEnd"/>
      <w:r w:rsidRPr="00372FDE">
        <w:rPr>
          <w:color w:val="000000"/>
        </w:rPr>
        <w:t xml:space="preserve"> </w:t>
      </w:r>
      <w:r w:rsidRPr="00372FDE">
        <w:rPr>
          <w:rFonts w:cs="Arial"/>
        </w:rPr>
        <w:t>T</w:t>
      </w:r>
      <w:r w:rsidRPr="00372FDE">
        <w:rPr>
          <w:rFonts w:cstheme="minorBidi"/>
          <w:color w:val="000000"/>
        </w:rPr>
        <w:t xml:space="preserve">he ISO filed with FERC the results of FCA #8, which </w:t>
      </w:r>
      <w:proofErr w:type="gramStart"/>
      <w:r w:rsidRPr="00372FDE">
        <w:rPr>
          <w:rFonts w:cstheme="minorBidi"/>
          <w:color w:val="000000"/>
        </w:rPr>
        <w:t>was held</w:t>
      </w:r>
      <w:proofErr w:type="gramEnd"/>
      <w:r w:rsidRPr="00372FDE">
        <w:rPr>
          <w:rFonts w:cstheme="minorBidi"/>
          <w:color w:val="000000"/>
        </w:rPr>
        <w:t xml:space="preserve"> on February 3, 2014, for the 2017/2018 capacity commitment period. </w:t>
      </w:r>
      <w:proofErr w:type="gramStart"/>
      <w:r w:rsidRPr="00372FDE">
        <w:rPr>
          <w:rFonts w:cstheme="minorBidi"/>
          <w:i/>
          <w:color w:val="000000"/>
        </w:rPr>
        <w:t>ISO New England Inc., Forward Capacity Auction Results Filing,</w:t>
      </w:r>
      <w:r w:rsidRPr="00372FDE">
        <w:t xml:space="preserve"> </w:t>
      </w:r>
      <w:hyperlink r:id="rId122" w:history="1">
        <w:r w:rsidRPr="004A1469">
          <w:rPr>
            <w:rStyle w:val="Hyperlink"/>
          </w:rPr>
          <w:t>http://www.iso-ne.com/regulatory/ferc/filings/2014/feb/er14_1409-000_fca8_results_filing_2-28-2014.pdf</w:t>
        </w:r>
      </w:hyperlink>
      <w:r w:rsidRPr="00372FDE">
        <w:rPr>
          <w:color w:val="000000"/>
        </w:rPr>
        <w:t>.</w:t>
      </w:r>
      <w:proofErr w:type="gramEnd"/>
      <w:r w:rsidRPr="00372FDE">
        <w:t xml:space="preserve"> The ISO provided the PAC with representative values for LSRs </w:t>
      </w:r>
      <w:proofErr w:type="gramStart"/>
      <w:r w:rsidRPr="00372FDE">
        <w:t>for both NEMA/Boston and Connecticut and an MCL for Maine</w:t>
      </w:r>
      <w:proofErr w:type="gramEnd"/>
      <w:r w:rsidRPr="00372FDE">
        <w:t xml:space="preserve">. See </w:t>
      </w:r>
      <w:r w:rsidRPr="00372FDE">
        <w:rPr>
          <w:i/>
        </w:rPr>
        <w:t>Future Representative Capacity Requirements for 2018/19–2022/23</w:t>
      </w:r>
      <w:r w:rsidRPr="00372FDE">
        <w:t xml:space="preserve">, PAC presentation (December 18, 2013), </w:t>
      </w:r>
      <w:hyperlink r:id="rId123" w:history="1">
        <w:r w:rsidRPr="00372FDE">
          <w:rPr>
            <w:rStyle w:val="Hyperlink"/>
          </w:rPr>
          <w:t>http://www.iso-ne.com/committees/comm_wkgrps/prtcpnts_comm/pac/mtrls/2013/dec182013/a5_representative_icr_values_pac_121813.pdf</w:t>
        </w:r>
      </w:hyperlink>
      <w:r w:rsidRPr="00372FDE">
        <w:t>.</w:t>
      </w:r>
    </w:p>
  </w:footnote>
  <w:footnote w:id="137">
    <w:p w:rsidR="001E3655" w:rsidRDefault="001E3655">
      <w:pPr>
        <w:pStyle w:val="FootnoteText"/>
      </w:pPr>
      <w:r w:rsidRPr="003260B6">
        <w:rPr>
          <w:rStyle w:val="FootnoteReference"/>
          <w:rFonts w:asciiTheme="majorHAnsi" w:hAnsiTheme="majorHAnsi"/>
          <w:sz w:val="18"/>
        </w:rPr>
        <w:footnoteRef/>
      </w:r>
      <w:r w:rsidRPr="00372FDE">
        <w:t xml:space="preserve"> A </w:t>
      </w:r>
      <w:r w:rsidRPr="00372FDE">
        <w:rPr>
          <w:i/>
        </w:rPr>
        <w:t>capacity supply obligation</w:t>
      </w:r>
      <w:r w:rsidRPr="00372FDE">
        <w:t xml:space="preserve"> is a requirement for a resource to provide capacity, or a portion of capacity, to satisfy a portion of the ISO’s Installed Capacity Requirement acquired through a Forward Capacity Auction, a </w:t>
      </w:r>
      <w:r w:rsidRPr="005550C5">
        <w:t>reconfiguration auction, or a CSO bilateral contract through which a market participant may transfer all or part of its</w:t>
      </w:r>
      <w:r w:rsidRPr="00372FDE">
        <w:t xml:space="preserve"> CSO to another entity.</w:t>
      </w:r>
      <w:r>
        <w:t xml:space="preserve"> </w:t>
      </w:r>
      <w:r w:rsidRPr="005550C5">
        <w:rPr>
          <w:rFonts w:cs="Arial"/>
        </w:rPr>
        <w:t>FCM reconfiguration auctions take place before and during the capacity commitment period to allow participants to buy and sell capacity obligations and adjust their positions.</w:t>
      </w:r>
      <w:r w:rsidRPr="00B511B0">
        <w:rPr>
          <w:rFonts w:cs="Arial"/>
          <w:sz w:val="16"/>
          <w:szCs w:val="16"/>
        </w:rPr>
        <w:t xml:space="preserve"> </w:t>
      </w:r>
    </w:p>
  </w:footnote>
  <w:footnote w:id="138">
    <w:p w:rsidR="001E3655" w:rsidRDefault="001E3655">
      <w:pPr>
        <w:pStyle w:val="FoonoteText"/>
      </w:pPr>
      <w:r w:rsidRPr="00372FDE">
        <w:rPr>
          <w:rStyle w:val="FootnoteReference"/>
          <w:rFonts w:asciiTheme="majorHAnsi" w:hAnsiTheme="majorHAnsi"/>
          <w:sz w:val="18"/>
        </w:rPr>
        <w:footnoteRef/>
      </w:r>
      <w:r w:rsidRPr="00372FDE">
        <w:t xml:space="preserve"> The 2014 CELT Report, Section </w:t>
      </w:r>
      <w:proofErr w:type="gramStart"/>
      <w:r w:rsidRPr="00372FDE">
        <w:t>3</w:t>
      </w:r>
      <w:proofErr w:type="gramEnd"/>
      <w:r w:rsidRPr="00372FDE">
        <w:t xml:space="preserve"> and Appendix D (May 2014) (</w:t>
      </w:r>
      <w:hyperlink r:id="rId124" w:history="1">
        <w:r w:rsidRPr="004A1469">
          <w:rPr>
            <w:rStyle w:val="Hyperlink"/>
          </w:rPr>
          <w:t>http://www.iso-ne.com/static-assets/documents/trans/celt/report/2014/2014_celt_report_rev.pdf</w:t>
        </w:r>
      </w:hyperlink>
      <w:r w:rsidRPr="00372FDE">
        <w:t>) contains the FCM capacity supply obligations for all capacity resources by load zone.</w:t>
      </w:r>
    </w:p>
  </w:footnote>
  <w:footnote w:id="139">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w:t>
      </w:r>
      <w:r w:rsidRPr="00372FDE">
        <w:rPr>
          <w:i/>
        </w:rPr>
        <w:t>Order on Tariff Revisions to the Forward Capacity Market</w:t>
      </w:r>
      <w:r w:rsidRPr="00372FDE">
        <w:t xml:space="preserve"> (March 30, 2012), </w:t>
      </w:r>
      <w:hyperlink r:id="rId125" w:history="1">
        <w:r w:rsidRPr="00372FDE">
          <w:rPr>
            <w:rStyle w:val="Hyperlink"/>
          </w:rPr>
          <w:t>http://www.iso-ne.com/regulatory/ferc/orders/2012/mar/er12-953-000_3-30-12_order_fcm_redesign_ext.pdf</w:t>
        </w:r>
      </w:hyperlink>
      <w:r w:rsidRPr="00372FDE">
        <w:t>.</w:t>
      </w:r>
      <w:proofErr w:type="gramEnd"/>
    </w:p>
  </w:footnote>
  <w:footnote w:id="140">
    <w:p w:rsidR="001E3655" w:rsidRDefault="001E3655">
      <w:pPr>
        <w:pStyle w:val="FootnoteText"/>
      </w:pPr>
      <w:r w:rsidRPr="003260B6">
        <w:rPr>
          <w:rStyle w:val="FootnoteReference"/>
          <w:rFonts w:asciiTheme="majorHAnsi" w:hAnsiTheme="majorHAnsi"/>
          <w:sz w:val="18"/>
        </w:rPr>
        <w:footnoteRef/>
      </w:r>
      <w:r w:rsidRPr="00372FDE">
        <w:t xml:space="preserve"> ISO New England, </w:t>
      </w:r>
      <w:r w:rsidRPr="00372FDE">
        <w:rPr>
          <w:i/>
        </w:rPr>
        <w:t>Compliance Filing Revisions to Forward Capacity Market Rules</w:t>
      </w:r>
      <w:r w:rsidRPr="00372FDE">
        <w:t xml:space="preserve"> (December 3, 2012), </w:t>
      </w:r>
      <w:hyperlink r:id="rId126" w:history="1">
        <w:r w:rsidRPr="00372FDE">
          <w:rPr>
            <w:rStyle w:val="Hyperlink"/>
          </w:rPr>
          <w:t>http://www.iso-ne.com/regulatory/ferc/filings/2012/dec/er12-953-001_12-3-12_fcm_redesign_compl.pdf</w:t>
        </w:r>
      </w:hyperlink>
      <w:r w:rsidRPr="00372FDE">
        <w:t>.</w:t>
      </w:r>
    </w:p>
  </w:footnote>
  <w:footnote w:id="141">
    <w:p w:rsidR="001E3655" w:rsidRDefault="001E3655">
      <w:pPr>
        <w:pStyle w:val="FootnoteText"/>
      </w:pPr>
      <w:r w:rsidRPr="003260B6">
        <w:rPr>
          <w:rStyle w:val="FootnoteReference"/>
          <w:rFonts w:asciiTheme="majorHAnsi" w:hAnsiTheme="majorHAnsi"/>
          <w:sz w:val="18"/>
        </w:rPr>
        <w:footnoteRef/>
      </w:r>
      <w:r w:rsidRPr="00372FDE">
        <w:t xml:space="preserve"> FERC, </w:t>
      </w:r>
      <w:r w:rsidRPr="00372FDE">
        <w:rPr>
          <w:i/>
        </w:rPr>
        <w:t>Order Accepting in Part, and Rejecting in Part, FCM Compliance Filing</w:t>
      </w:r>
      <w:r w:rsidRPr="00372FDE">
        <w:t xml:space="preserve"> (February 12, 2013), </w:t>
      </w:r>
      <w:hyperlink r:id="rId127" w:history="1">
        <w:r w:rsidRPr="00372FDE">
          <w:rPr>
            <w:rStyle w:val="Hyperlink"/>
          </w:rPr>
          <w:t>http://www.iso-ne.com/regulatory/ferc/orders/2013/feb/er12-953-001_2-12-13_order_fcm_compliance.pdf</w:t>
        </w:r>
      </w:hyperlink>
      <w:r w:rsidRPr="00372FDE">
        <w:t xml:space="preserve">; FERC, </w:t>
      </w:r>
      <w:r w:rsidRPr="00372FDE">
        <w:rPr>
          <w:i/>
        </w:rPr>
        <w:t>Order on Compliance Filing</w:t>
      </w:r>
      <w:r w:rsidRPr="00372FDE">
        <w:t xml:space="preserve"> (May 31, 2013), </w:t>
      </w:r>
      <w:hyperlink r:id="rId128" w:history="1">
        <w:r w:rsidRPr="00372FDE">
          <w:rPr>
            <w:rStyle w:val="Hyperlink"/>
          </w:rPr>
          <w:t>http://www.iso-ne.com/regulatory/ferc/orders/2013/may/er12-953-002_5-31-13_order_accept_fcm_compliance.pdf</w:t>
        </w:r>
      </w:hyperlink>
      <w:r w:rsidRPr="00372FDE">
        <w:t>.</w:t>
      </w:r>
    </w:p>
  </w:footnote>
  <w:footnote w:id="142">
    <w:p w:rsidR="001E3655" w:rsidRDefault="001E3655">
      <w:pPr>
        <w:pStyle w:val="FootnoteText"/>
      </w:pPr>
      <w:r w:rsidRPr="003260B6">
        <w:rPr>
          <w:rStyle w:val="FootnoteReference"/>
          <w:rFonts w:asciiTheme="majorHAnsi" w:hAnsiTheme="majorHAnsi"/>
          <w:sz w:val="18"/>
        </w:rPr>
        <w:footnoteRef/>
      </w:r>
      <w:r w:rsidRPr="00372FDE">
        <w:t xml:space="preserve"> Most of this increase is attributable to the </w:t>
      </w:r>
      <w:r w:rsidRPr="00E30950">
        <w:t>certification of the Interstate Reliability Project</w:t>
      </w:r>
      <w:r w:rsidRPr="00372FDE">
        <w:t xml:space="preserve"> (IRP) (see Section</w:t>
      </w:r>
      <w:r>
        <w:t> </w:t>
      </w:r>
      <w:r w:rsidR="00927965">
        <w:fldChar w:fldCharType="begin"/>
      </w:r>
      <w:r>
        <w:instrText xml:space="preserve"> REF _Ref388782383 \r \h </w:instrText>
      </w:r>
      <w:r w:rsidR="00927965">
        <w:fldChar w:fldCharType="separate"/>
      </w:r>
      <w:r>
        <w:t>5.4.2</w:t>
      </w:r>
      <w:r w:rsidR="00927965">
        <w:fldChar w:fldCharType="end"/>
      </w:r>
      <w:r w:rsidRPr="00372FDE">
        <w:t xml:space="preserve">), which results in </w:t>
      </w:r>
      <w:r w:rsidRPr="00BD4A46">
        <w:t>the Lake Road Station being</w:t>
      </w:r>
      <w:r w:rsidRPr="00372FDE">
        <w:t xml:space="preserve"> considered inside the CT import interface, starting with </w:t>
      </w:r>
      <w:r w:rsidRPr="00E30950">
        <w:t>the 2017/2018 capacity commitment period.</w:t>
      </w:r>
      <w:r w:rsidRPr="00372FDE">
        <w:t xml:space="preserve"> </w:t>
      </w:r>
    </w:p>
  </w:footnote>
  <w:footnote w:id="143">
    <w:p w:rsidR="001E3655" w:rsidRDefault="001E3655">
      <w:pPr>
        <w:pStyle w:val="FootnoteText"/>
      </w:pPr>
      <w:r w:rsidRPr="00372FDE">
        <w:rPr>
          <w:rStyle w:val="FootnoteReference"/>
          <w:rFonts w:asciiTheme="majorHAnsi" w:hAnsiTheme="majorHAnsi"/>
          <w:sz w:val="18"/>
        </w:rPr>
        <w:footnoteRef/>
      </w:r>
      <w:r w:rsidRPr="00372FDE">
        <w:t xml:space="preserve"> An </w:t>
      </w:r>
      <w:r w:rsidRPr="00372FDE">
        <w:rPr>
          <w:i/>
        </w:rPr>
        <w:t>administrative export delist bid</w:t>
      </w:r>
      <w:r w:rsidRPr="00372FDE">
        <w:t xml:space="preserve"> is a type of bid submitted during a Forward Capacity Auction for a capacity export resource associated with multiyear contracts but wanting to opt out of a capacity supply obligation. </w:t>
      </w:r>
    </w:p>
  </w:footnote>
  <w:footnote w:id="144">
    <w:p w:rsidR="001E3655" w:rsidRDefault="001E3655">
      <w:pPr>
        <w:pStyle w:val="FootnoteText"/>
      </w:pPr>
      <w:r w:rsidRPr="003260B6">
        <w:rPr>
          <w:rStyle w:val="FootnoteReference"/>
          <w:rFonts w:asciiTheme="majorHAnsi" w:hAnsiTheme="majorHAnsi"/>
          <w:sz w:val="18"/>
        </w:rPr>
        <w:footnoteRef/>
      </w:r>
      <w:r w:rsidRPr="00372FDE">
        <w:t xml:space="preserve"> A </w:t>
      </w:r>
      <w:proofErr w:type="spellStart"/>
      <w:r w:rsidRPr="00372FDE">
        <w:rPr>
          <w:i/>
        </w:rPr>
        <w:t>nonprice</w:t>
      </w:r>
      <w:proofErr w:type="spellEnd"/>
      <w:r w:rsidRPr="00372FDE">
        <w:rPr>
          <w:i/>
        </w:rPr>
        <w:t xml:space="preserve"> retirement request</w:t>
      </w:r>
      <w:r w:rsidRPr="00372FDE">
        <w:t xml:space="preserve"> is an irrevocable request submitted in a Forward Capacity Auction to retire the entire capacity of a resource, subject to an ISO review for reliability impacts and that supersedes any delist bids submitted. If the ISO determines the resource </w:t>
      </w:r>
      <w:proofErr w:type="gramStart"/>
      <w:r w:rsidRPr="00372FDE">
        <w:t>is needed</w:t>
      </w:r>
      <w:proofErr w:type="gramEnd"/>
      <w:r w:rsidRPr="00372FDE">
        <w:t xml:space="preserve"> for reliability, the resource owner can either retire the resource as requested or continue to operate it until the reliability need has been met and then retire the resource.</w:t>
      </w:r>
    </w:p>
  </w:footnote>
  <w:footnote w:id="145">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ISO New England, “</w:t>
      </w:r>
      <w:proofErr w:type="spellStart"/>
      <w:r w:rsidRPr="00372FDE">
        <w:t>Nonprice</w:t>
      </w:r>
      <w:proofErr w:type="spellEnd"/>
      <w:r w:rsidRPr="00372FDE">
        <w:t xml:space="preserve"> Retirement Requests</w:t>
      </w:r>
      <w:r>
        <w:t xml:space="preserve"> and Determinations</w:t>
      </w:r>
      <w:r w:rsidRPr="00372FDE">
        <w:t xml:space="preserve">,” webpage (2014), </w:t>
      </w:r>
      <w:hyperlink r:id="rId129" w:history="1">
        <w:r w:rsidRPr="00372FDE">
          <w:rPr>
            <w:rStyle w:val="Hyperlink"/>
          </w:rPr>
          <w:t>http://www.iso-ne.com/genrtion_resrcs/reports/sts_non_retrmnt_rqst/index.html</w:t>
        </w:r>
      </w:hyperlink>
      <w:r w:rsidRPr="00372FDE">
        <w:t>.</w:t>
      </w:r>
      <w:proofErr w:type="gramEnd"/>
    </w:p>
  </w:footnote>
  <w:footnote w:id="146">
    <w:p w:rsidR="001E3655" w:rsidRDefault="001E3655">
      <w:pPr>
        <w:pStyle w:val="FootnoteText"/>
      </w:pPr>
      <w:r w:rsidRPr="003260B6">
        <w:rPr>
          <w:rStyle w:val="FootnoteReference"/>
          <w:rFonts w:asciiTheme="majorHAnsi" w:hAnsiTheme="majorHAnsi"/>
          <w:sz w:val="18"/>
        </w:rPr>
        <w:footnoteRef/>
      </w:r>
      <w:r w:rsidRPr="00372FDE">
        <w:rPr>
          <w:i/>
        </w:rPr>
        <w:t xml:space="preserve"> Market Rule 1</w:t>
      </w:r>
      <w:r w:rsidRPr="00372FDE">
        <w:t xml:space="preserve">, Section III.13.2.8.2, details the conditions that determine </w:t>
      </w:r>
      <w:r w:rsidRPr="00372FDE">
        <w:rPr>
          <w:i/>
        </w:rPr>
        <w:t>insufficient competition</w:t>
      </w:r>
      <w:r w:rsidRPr="00372FDE">
        <w:t xml:space="preserve">. </w:t>
      </w:r>
    </w:p>
  </w:footnote>
  <w:footnote w:id="147">
    <w:p w:rsidR="001E3655" w:rsidRDefault="001E3655">
      <w:pPr>
        <w:pStyle w:val="FootnoteText"/>
      </w:pPr>
      <w:r w:rsidRPr="003260B6">
        <w:rPr>
          <w:rStyle w:val="FootnoteReference"/>
          <w:rFonts w:asciiTheme="majorHAnsi" w:hAnsiTheme="majorHAnsi"/>
          <w:sz w:val="18"/>
        </w:rPr>
        <w:footnoteRef/>
      </w:r>
      <w:r w:rsidRPr="00372FDE">
        <w:t xml:space="preserve"> ISO New England, </w:t>
      </w:r>
      <w:r w:rsidRPr="00372FDE">
        <w:rPr>
          <w:i/>
        </w:rPr>
        <w:t xml:space="preserve">Compliance Filing of ISO New England Inc., </w:t>
      </w:r>
      <w:r w:rsidRPr="00372FDE">
        <w:t xml:space="preserve">FERC filing (January 31, 2014), </w:t>
      </w:r>
      <w:hyperlink r:id="rId130" w:history="1">
        <w:r w:rsidRPr="00372FDE">
          <w:rPr>
            <w:rStyle w:val="Hyperlink"/>
          </w:rPr>
          <w:t>http://www.iso-ne.com/regulatory/ferc/filings/2014/jan/er12-953-004_1-31-2014_comp_12-953-002.pdf</w:t>
        </w:r>
      </w:hyperlink>
      <w:r w:rsidRPr="00372FDE">
        <w:t xml:space="preserve">. FERC, </w:t>
      </w:r>
      <w:r w:rsidRPr="00372FDE">
        <w:rPr>
          <w:i/>
        </w:rPr>
        <w:t>Order Accepting Compliance Filing</w:t>
      </w:r>
      <w:r w:rsidRPr="00372FDE">
        <w:t xml:space="preserve">, FERC </w:t>
      </w:r>
      <w:r>
        <w:t>o</w:t>
      </w:r>
      <w:r w:rsidRPr="00372FDE">
        <w:t xml:space="preserve">rder (April 28, 2014), </w:t>
      </w:r>
      <w:hyperlink r:id="rId131" w:history="1">
        <w:r w:rsidRPr="00372FDE">
          <w:rPr>
            <w:rStyle w:val="Hyperlink"/>
          </w:rPr>
          <w:t>http://www.iso-ne.com/regulatory/ferc/orders/2014/apr/er12-953-004-4-28-14_order_accept_cap_zone_compliance.pdf</w:t>
        </w:r>
      </w:hyperlink>
      <w:r w:rsidRPr="00372FDE">
        <w:t>.</w:t>
      </w:r>
    </w:p>
  </w:footnote>
  <w:footnote w:id="148">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 xml:space="preserve">Forward Capacity Market: 2014 Network Topology </w:t>
      </w:r>
      <w:r w:rsidRPr="00461D71">
        <w:rPr>
          <w:i/>
        </w:rPr>
        <w:t>Certifications</w:t>
      </w:r>
      <w:r w:rsidRPr="00461D71">
        <w:t>, Reliability Committee presentation</w:t>
      </w:r>
      <w:r w:rsidRPr="00372FDE">
        <w:rPr>
          <w:i/>
        </w:rPr>
        <w:t xml:space="preserve"> </w:t>
      </w:r>
      <w:r w:rsidRPr="00372FDE">
        <w:t xml:space="preserve">(January 21, 2014), </w:t>
      </w:r>
      <w:hyperlink r:id="rId132" w:anchor="9" w:history="1">
        <w:r w:rsidRPr="00CA0647">
          <w:rPr>
            <w:rStyle w:val="Hyperlink"/>
          </w:rPr>
          <w:t>http://www.iso-ne.com/committees/comm_wkgrps/relblty_comm/relblty/mtrls/2014/jan212014/index.html, A6 FCA #9</w:t>
        </w:r>
      </w:hyperlink>
      <w:r>
        <w:t xml:space="preserve"> Transmission Certification Update, zip file</w:t>
      </w:r>
      <w:r w:rsidRPr="00372FDE">
        <w:t>.</w:t>
      </w:r>
      <w:proofErr w:type="gramEnd"/>
    </w:p>
  </w:footnote>
  <w:footnote w:id="149">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ISO New England, “FCM 2014 Network Topology Certifications,” memo to the NEPOOL Reliability Committee (February 13, 2014), </w:t>
      </w:r>
      <w:hyperlink r:id="rId133" w:history="1">
        <w:r w:rsidRPr="00372FDE">
          <w:rPr>
            <w:rStyle w:val="Hyperlink"/>
          </w:rPr>
          <w:t>http://www.iso-ne.com/committees/comm_wkgrps/relblty_comm/relblty/mtrls/2014/feb182014/a_rc_memo_2014_fcm_irp_certification.pdf</w:t>
        </w:r>
      </w:hyperlink>
      <w:r w:rsidRPr="00372FDE">
        <w:t>.</w:t>
      </w:r>
      <w:proofErr w:type="gramEnd"/>
    </w:p>
  </w:footnote>
  <w:footnote w:id="150">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 xml:space="preserve">2017-2018 Capacity Commitment Period—Evaluation of </w:t>
      </w:r>
      <w:proofErr w:type="spellStart"/>
      <w:r w:rsidRPr="00372FDE">
        <w:rPr>
          <w:i/>
        </w:rPr>
        <w:t>Non</w:t>
      </w:r>
      <w:r>
        <w:rPr>
          <w:i/>
        </w:rPr>
        <w:t>p</w:t>
      </w:r>
      <w:r w:rsidRPr="00372FDE">
        <w:rPr>
          <w:i/>
        </w:rPr>
        <w:t>rice</w:t>
      </w:r>
      <w:proofErr w:type="spellEnd"/>
      <w:r w:rsidRPr="00372FDE">
        <w:rPr>
          <w:i/>
        </w:rPr>
        <w:t xml:space="preserve"> Retirements</w:t>
      </w:r>
      <w:r w:rsidRPr="00372FDE">
        <w:t>, RC presentation (</w:t>
      </w:r>
      <w:r>
        <w:t xml:space="preserve">October 15, </w:t>
      </w:r>
      <w:r w:rsidRPr="00372FDE">
        <w:t xml:space="preserve">2013), </w:t>
      </w:r>
      <w:hyperlink r:id="rId134" w:history="1">
        <w:r w:rsidRPr="00651A00">
          <w:rPr>
            <w:rStyle w:val="Hyperlink"/>
          </w:rPr>
          <w:t>http://www.iso-ne.com/static-assets/documents/committees/comm_wkgrps/relblty_comm/relblty/mtrls/2013/oct152013/a5_npr_summary.pptx</w:t>
        </w:r>
      </w:hyperlink>
      <w:r>
        <w:t>.</w:t>
      </w:r>
      <w:proofErr w:type="gramEnd"/>
    </w:p>
  </w:footnote>
  <w:footnote w:id="151">
    <w:p w:rsidR="001E3655" w:rsidRDefault="001E3655">
      <w:pPr>
        <w:pStyle w:val="FootnoteText"/>
      </w:pPr>
      <w:r w:rsidRPr="006664D8">
        <w:rPr>
          <w:rStyle w:val="FootnoteReference"/>
          <w:rFonts w:asciiTheme="majorHAnsi" w:hAnsiTheme="majorHAnsi"/>
          <w:sz w:val="18"/>
        </w:rPr>
        <w:footnoteRef/>
      </w:r>
      <w:r w:rsidRPr="006664D8">
        <w:t xml:space="preserve"> </w:t>
      </w:r>
      <w:proofErr w:type="gramStart"/>
      <w:r w:rsidRPr="006664D8">
        <w:rPr>
          <w:i/>
        </w:rPr>
        <w:t>Transmission Interface Transfer Capabilities: 2014 Regional System Plan Assumptions</w:t>
      </w:r>
      <w:r w:rsidRPr="006664D8">
        <w:t xml:space="preserve">, PAC presentation (January 23, 2014), </w:t>
      </w:r>
      <w:hyperlink r:id="rId135" w:history="1">
        <w:r w:rsidRPr="006664D8">
          <w:rPr>
            <w:rStyle w:val="Hyperlink"/>
          </w:rPr>
          <w:t>http://www.iso-ne.com/static-assets/documents/2014/09/a7_rsp14_transmission_interface_transfer_capabilities_assumptions.pdf</w:t>
        </w:r>
      </w:hyperlink>
      <w:r w:rsidRPr="006664D8">
        <w:t>.</w:t>
      </w:r>
      <w:proofErr w:type="gramEnd"/>
    </w:p>
    <w:p w:rsidR="001E3655" w:rsidRDefault="001E3655">
      <w:pPr>
        <w:pStyle w:val="FootnoteText"/>
      </w:pPr>
      <w:proofErr w:type="gramStart"/>
      <w:r w:rsidRPr="00372FDE">
        <w:rPr>
          <w:i/>
        </w:rPr>
        <w:t>Transmission Interface Transfer Capabilities: 2014 Regional System Plan Assumptions—Part 2</w:t>
      </w:r>
      <w:r w:rsidRPr="00372FDE">
        <w:t xml:space="preserve">, PAC presentation (February 20, 2014), </w:t>
      </w:r>
      <w:hyperlink r:id="rId136" w:history="1">
        <w:r w:rsidRPr="00372FDE">
          <w:rPr>
            <w:rStyle w:val="Hyperlink"/>
          </w:rPr>
          <w:t>http://www.iso-ne.com/committees/comm_wkgrps/prtcpnts_comm/pac/mtrls/2014/feb202014/a3_rsp_2014_transfer_capability_assumptions_2.pdf</w:t>
        </w:r>
      </w:hyperlink>
      <w:r w:rsidRPr="00372FDE">
        <w:t>.</w:t>
      </w:r>
      <w:proofErr w:type="gramEnd"/>
    </w:p>
    <w:p w:rsidR="001E3655" w:rsidRDefault="001E3655">
      <w:pPr>
        <w:pStyle w:val="FootnoteText"/>
      </w:pPr>
      <w:proofErr w:type="gramStart"/>
      <w:r w:rsidRPr="00372FDE">
        <w:rPr>
          <w:i/>
        </w:rPr>
        <w:t>Transmission Interface Transfer Capabilities: 2014 Regional System Plan Assumptions—Part 3</w:t>
      </w:r>
      <w:r w:rsidRPr="00372FDE">
        <w:t xml:space="preserve">, PAC presentation (March 17, 2014), </w:t>
      </w:r>
      <w:hyperlink r:id="rId137" w:history="1">
        <w:r w:rsidRPr="00372FDE">
          <w:rPr>
            <w:rStyle w:val="Hyperlink"/>
          </w:rPr>
          <w:t>http://www.iso-ne.com/committees/comm_wkgrps/prtcpnts_comm/pac/mtrls/2014/mar172014/a8_rsp14_transmission_interface_transfer_capabilities.pdf</w:t>
        </w:r>
      </w:hyperlink>
      <w:r w:rsidRPr="00372FDE">
        <w:t>.</w:t>
      </w:r>
      <w:proofErr w:type="gramEnd"/>
    </w:p>
    <w:p w:rsidR="001E3655" w:rsidRDefault="001E3655">
      <w:pPr>
        <w:pStyle w:val="FootnoteText"/>
      </w:pPr>
      <w:proofErr w:type="gramStart"/>
      <w:r w:rsidRPr="00372FDE">
        <w:rPr>
          <w:i/>
        </w:rPr>
        <w:t>Transmission Interface Transfer Capabilities: 2014 Regional System Plan Assumptions—Part 4</w:t>
      </w:r>
      <w:r w:rsidRPr="00372FDE">
        <w:t xml:space="preserve">, PAC presentation (March 24, 2014), </w:t>
      </w:r>
      <w:hyperlink r:id="rId138" w:history="1">
        <w:r w:rsidRPr="00372FDE">
          <w:rPr>
            <w:rStyle w:val="Hyperlink"/>
          </w:rPr>
          <w:t>https://smd.iso-ne.com/committees/comm_wkgrps/prtcpnts_comm/pac/ceii/mtrls/2014/mar242014/a6_rsp14_transfer_capability_assumptions_pt4.pdf</w:t>
        </w:r>
      </w:hyperlink>
      <w:r w:rsidRPr="00372FDE">
        <w:t>.</w:t>
      </w:r>
      <w:proofErr w:type="gramEnd"/>
    </w:p>
  </w:footnote>
  <w:footnote w:id="152">
    <w:p w:rsidR="001E3655" w:rsidRDefault="001E3655">
      <w:pPr>
        <w:pStyle w:val="FootnoteText"/>
      </w:pPr>
      <w:r w:rsidRPr="003260B6">
        <w:rPr>
          <w:rStyle w:val="FootnoteReference"/>
          <w:rFonts w:asciiTheme="majorHAnsi" w:hAnsiTheme="majorHAnsi"/>
          <w:sz w:val="18"/>
        </w:rPr>
        <w:footnoteRef/>
      </w:r>
      <w:r w:rsidRPr="00372FDE">
        <w:t xml:space="preserve"> See the May 31, 2013, FERC order (</w:t>
      </w:r>
      <w:hyperlink r:id="rId139" w:history="1">
        <w:r w:rsidRPr="00372FDE">
          <w:rPr>
            <w:rStyle w:val="Hyperlink"/>
          </w:rPr>
          <w:t>http://www.iso-ne.com/regulatory/ferc/orders/2013/may/er12-953-002_5-31-13_order_accept_fcm_compliance.pdf</w:t>
        </w:r>
      </w:hyperlink>
      <w:r w:rsidRPr="00372FDE">
        <w:t>).</w:t>
      </w:r>
    </w:p>
  </w:footnote>
  <w:footnote w:id="153">
    <w:p w:rsidR="001E3655" w:rsidRDefault="001E3655">
      <w:pPr>
        <w:pStyle w:val="FoonoteText"/>
      </w:pPr>
      <w:r w:rsidRPr="00372FDE">
        <w:rPr>
          <w:rStyle w:val="FootnoteReference"/>
          <w:rFonts w:asciiTheme="majorHAnsi" w:hAnsiTheme="majorHAnsi"/>
          <w:sz w:val="18"/>
        </w:rPr>
        <w:footnoteRef/>
      </w:r>
      <w:r w:rsidRPr="00372FDE">
        <w:t xml:space="preserve"> </w:t>
      </w:r>
      <w:proofErr w:type="gramStart"/>
      <w:r w:rsidRPr="00372FDE">
        <w:t xml:space="preserve">ISO Operating Procedure No. 8, </w:t>
      </w:r>
      <w:r w:rsidRPr="00372FDE">
        <w:rPr>
          <w:i/>
        </w:rPr>
        <w:t>Operating Reserve and Regulation</w:t>
      </w:r>
      <w:r w:rsidRPr="00372FDE">
        <w:t xml:space="preserve"> (May 2, 2014), </w:t>
      </w:r>
      <w:hyperlink r:id="rId140" w:history="1">
        <w:r w:rsidRPr="00372FDE">
          <w:rPr>
            <w:rStyle w:val="Hyperlink"/>
          </w:rPr>
          <w:t>http://www.iso-ne.com/rules_proceds/operating/isone/op8/op8_rto_final.pdf</w:t>
        </w:r>
      </w:hyperlink>
      <w:r w:rsidRPr="00372FDE">
        <w:t>.</w:t>
      </w:r>
      <w:proofErr w:type="gramEnd"/>
    </w:p>
  </w:footnote>
  <w:footnote w:id="154">
    <w:p w:rsidR="001E3655" w:rsidRDefault="001E3655">
      <w:pPr>
        <w:pStyle w:val="FoonoteText"/>
      </w:pPr>
      <w:r w:rsidRPr="00372FDE">
        <w:rPr>
          <w:rStyle w:val="FootnoteReference"/>
          <w:rFonts w:asciiTheme="majorHAnsi" w:hAnsiTheme="majorHAnsi"/>
          <w:sz w:val="18"/>
        </w:rPr>
        <w:footnoteRef/>
      </w:r>
      <w:r w:rsidRPr="00372FDE">
        <w:t xml:space="preserve"> </w:t>
      </w:r>
      <w:proofErr w:type="gramStart"/>
      <w:r w:rsidRPr="00372FDE">
        <w:t xml:space="preserve">ISO Operating Procedure No. 19, </w:t>
      </w:r>
      <w:r w:rsidRPr="00372FDE">
        <w:rPr>
          <w:i/>
        </w:rPr>
        <w:t>Transmission Operations</w:t>
      </w:r>
      <w:r w:rsidRPr="00372FDE">
        <w:t xml:space="preserve"> (September 2, 2012), </w:t>
      </w:r>
      <w:hyperlink r:id="rId141" w:history="1">
        <w:r w:rsidRPr="00372FDE">
          <w:rPr>
            <w:rStyle w:val="Hyperlink"/>
          </w:rPr>
          <w:t>http://www.iso-ne.com/rules_proceds/operating/isone/op19/op19_rto_final.pdf</w:t>
        </w:r>
      </w:hyperlink>
      <w:r w:rsidRPr="00372FDE">
        <w:t>.</w:t>
      </w:r>
      <w:proofErr w:type="gramEnd"/>
    </w:p>
  </w:footnote>
  <w:footnote w:id="155">
    <w:p w:rsidR="001E3655" w:rsidRDefault="001E3655">
      <w:pPr>
        <w:pStyle w:val="FoonoteText"/>
      </w:pPr>
      <w:r w:rsidRPr="00372FDE">
        <w:rPr>
          <w:rStyle w:val="FootnoteReference"/>
          <w:rFonts w:asciiTheme="majorHAnsi" w:hAnsiTheme="majorHAnsi"/>
          <w:sz w:val="18"/>
        </w:rPr>
        <w:footnoteRef/>
      </w:r>
      <w:r w:rsidRPr="00372FDE">
        <w:t xml:space="preserve"> Also see </w:t>
      </w:r>
      <w:r w:rsidRPr="00372FDE">
        <w:rPr>
          <w:i/>
        </w:rPr>
        <w:t xml:space="preserve">New England Regional System Plan (RSP13) Representative Future </w:t>
      </w:r>
      <w:proofErr w:type="spellStart"/>
      <w:r w:rsidRPr="00372FDE">
        <w:rPr>
          <w:i/>
        </w:rPr>
        <w:t>Locational</w:t>
      </w:r>
      <w:proofErr w:type="spellEnd"/>
      <w:r w:rsidRPr="00372FDE">
        <w:rPr>
          <w:i/>
        </w:rPr>
        <w:t xml:space="preserve"> Forward Reserve Requirements</w:t>
      </w:r>
      <w:r w:rsidRPr="00372FDE">
        <w:t xml:space="preserve">, PAC presentation (June 19, 2013), </w:t>
      </w:r>
      <w:hyperlink r:id="rId142" w:history="1">
        <w:r w:rsidRPr="006E7A17">
          <w:rPr>
            <w:rStyle w:val="Hyperlink"/>
          </w:rPr>
          <w:t>http://www.iso-ne.com/static-assets/documents/committees/comm_wkgrps/prtcpnts_comm/pac/mtrls/2013/jun192013/a8_representative_operating_reserve_requirements.pdf</w:t>
        </w:r>
      </w:hyperlink>
      <w:r w:rsidRPr="00372FDE">
        <w:t>.</w:t>
      </w:r>
    </w:p>
  </w:footnote>
  <w:footnote w:id="156">
    <w:p w:rsidR="001E3655" w:rsidRDefault="001E3655">
      <w:pPr>
        <w:pStyle w:val="FootnoteText"/>
      </w:pPr>
      <w:r w:rsidRPr="003260B6">
        <w:rPr>
          <w:rStyle w:val="FootnoteReference"/>
          <w:rFonts w:asciiTheme="majorHAnsi" w:hAnsiTheme="majorHAnsi"/>
          <w:sz w:val="18"/>
        </w:rPr>
        <w:footnoteRef/>
      </w:r>
      <w:r w:rsidRPr="00372FDE">
        <w:t xml:space="preserve"> While the estimates for operating-reserve requirements </w:t>
      </w:r>
      <w:proofErr w:type="gramStart"/>
      <w:r w:rsidRPr="00372FDE">
        <w:t>are based</w:t>
      </w:r>
      <w:proofErr w:type="gramEnd"/>
      <w:r w:rsidRPr="00372FDE">
        <w:t xml:space="preserve"> on expected future operating conditions, annual market requirements are based on historical data that reflect the actual previous seasonal system conditions</w:t>
      </w:r>
      <w:r>
        <w:t xml:space="preserve">, </w:t>
      </w:r>
      <w:r w:rsidRPr="00954AD1">
        <w:t>as adjusted for transmission topology changes and resource retirements and additions. ISO market requirements</w:t>
      </w:r>
      <w:r>
        <w:t xml:space="preserve"> </w:t>
      </w:r>
      <w:proofErr w:type="gramStart"/>
      <w:r>
        <w:t>are calculated</w:t>
      </w:r>
      <w:proofErr w:type="gramEnd"/>
      <w:r w:rsidRPr="00372FDE">
        <w:t xml:space="preserve"> immediately before each </w:t>
      </w:r>
      <w:proofErr w:type="spellStart"/>
      <w:r w:rsidRPr="00372FDE">
        <w:t>locational</w:t>
      </w:r>
      <w:proofErr w:type="spellEnd"/>
      <w:r w:rsidRPr="00372FDE">
        <w:t xml:space="preserve"> FRM procurement period.</w:t>
      </w:r>
    </w:p>
  </w:footnote>
  <w:footnote w:id="157">
    <w:p w:rsidR="001E3655" w:rsidRDefault="001E3655">
      <w:pPr>
        <w:pStyle w:val="FoonoteText"/>
      </w:pPr>
      <w:r w:rsidRPr="00372FDE">
        <w:rPr>
          <w:rStyle w:val="FootnoteReference"/>
          <w:rFonts w:asciiTheme="majorHAnsi" w:hAnsiTheme="majorHAnsi"/>
          <w:sz w:val="18"/>
        </w:rPr>
        <w:footnoteRef/>
      </w:r>
      <w:r w:rsidRPr="00372FDE">
        <w:t xml:space="preserve"> </w:t>
      </w:r>
      <w:r w:rsidRPr="00372FDE">
        <w:rPr>
          <w:i/>
        </w:rPr>
        <w:t>Market Rule 1</w:t>
      </w:r>
      <w:r w:rsidRPr="00372FDE">
        <w:t>, Standard Market Design (ISO tariff, Section III) (2014), defines the types of reserves that can meet these requirements</w:t>
      </w:r>
      <w:proofErr w:type="gramStart"/>
      <w:r w:rsidRPr="00372FDE">
        <w:t>;</w:t>
      </w:r>
      <w:proofErr w:type="gramEnd"/>
      <w:r w:rsidRPr="00372FDE">
        <w:t xml:space="preserve"> </w:t>
      </w:r>
      <w:hyperlink r:id="rId143" w:history="1">
        <w:r w:rsidRPr="00372FDE">
          <w:rPr>
            <w:rStyle w:val="Hyperlink"/>
          </w:rPr>
          <w:t>http://www.iso-ne.com/regulatory/tariff/sect_3/index.html</w:t>
        </w:r>
      </w:hyperlink>
      <w:r w:rsidRPr="00372FDE">
        <w:t>.</w:t>
      </w:r>
    </w:p>
  </w:footnote>
  <w:footnote w:id="158">
    <w:p w:rsidR="001E3655" w:rsidRDefault="001E3655">
      <w:pPr>
        <w:pStyle w:val="FoonoteText"/>
      </w:pPr>
      <w:r w:rsidRPr="00372FDE">
        <w:rPr>
          <w:rStyle w:val="FootnoteReference"/>
          <w:rFonts w:asciiTheme="majorHAnsi" w:hAnsiTheme="majorHAnsi"/>
          <w:sz w:val="18"/>
        </w:rPr>
        <w:footnoteRef/>
      </w:r>
      <w:r w:rsidRPr="00372FDE">
        <w:rPr>
          <w:iCs/>
        </w:rPr>
        <w:t xml:space="preserve"> </w:t>
      </w:r>
      <w:r w:rsidRPr="00372FDE">
        <w:rPr>
          <w:i/>
          <w:iCs/>
        </w:rPr>
        <w:t>Economic-merit order</w:t>
      </w:r>
      <w:r w:rsidRPr="00372FDE">
        <w:rPr>
          <w:iCs/>
        </w:rPr>
        <w:t xml:space="preserve"> (i.e., in merit or in merit order) </w:t>
      </w:r>
      <w:r w:rsidRPr="00372FDE">
        <w:t xml:space="preserve">is when the generators with the lowest-price offers are committed and dispatched first, and increasingly higher-priced generators are brought on line as demand increases. </w:t>
      </w:r>
      <w:r w:rsidRPr="00372FDE">
        <w:rPr>
          <w:i/>
        </w:rPr>
        <w:t>Out-of-merit dispatch</w:t>
      </w:r>
      <w:r w:rsidRPr="00372FDE">
        <w:t xml:space="preserve"> occurs when generators </w:t>
      </w:r>
      <w:proofErr w:type="gramStart"/>
      <w:r w:rsidRPr="00372FDE">
        <w:t>are run</w:t>
      </w:r>
      <w:proofErr w:type="gramEnd"/>
      <w:r w:rsidRPr="00372FDE">
        <w:t xml:space="preserve"> less economically to respect system reliability requirements.</w:t>
      </w:r>
    </w:p>
  </w:footnote>
  <w:footnote w:id="159">
    <w:p w:rsidR="001E3655" w:rsidRDefault="001E3655">
      <w:pPr>
        <w:pStyle w:val="FootnoteText"/>
      </w:pPr>
      <w:r w:rsidRPr="003260B6">
        <w:rPr>
          <w:rStyle w:val="FootnoteReference"/>
          <w:rFonts w:asciiTheme="majorHAnsi" w:hAnsiTheme="majorHAnsi"/>
          <w:sz w:val="18"/>
        </w:rPr>
        <w:footnoteRef/>
      </w:r>
      <w:r w:rsidRPr="00372FDE">
        <w:t xml:space="preserve"> Although physically in Connecticut, the Lake Road generating plant </w:t>
      </w:r>
      <w:proofErr w:type="gramStart"/>
      <w:r w:rsidRPr="00372FDE">
        <w:t>is considered</w:t>
      </w:r>
      <w:proofErr w:type="gramEnd"/>
      <w:r w:rsidRPr="00372FDE">
        <w:t xml:space="preserve"> electrically part of Rhode Island without the completion of the NEEWS Interstate Reliability Project.</w:t>
      </w:r>
    </w:p>
  </w:footnote>
  <w:footnote w:id="160">
    <w:p w:rsidR="001E3655" w:rsidRDefault="001E3655">
      <w:pPr>
        <w:pStyle w:val="FoonoteText"/>
      </w:pPr>
      <w:r w:rsidRPr="00372FDE">
        <w:rPr>
          <w:rStyle w:val="FootnoteReference"/>
          <w:rFonts w:asciiTheme="majorHAnsi" w:hAnsiTheme="majorHAnsi"/>
          <w:sz w:val="18"/>
        </w:rPr>
        <w:footnoteRef/>
      </w:r>
      <w:r w:rsidRPr="00372FDE">
        <w:t xml:space="preserve"> In some circumstances, when transmission contingencies are more severe than generation contingencies, shedding some load may be acceptable. </w:t>
      </w:r>
    </w:p>
  </w:footnote>
  <w:footnote w:id="161">
    <w:p w:rsidR="001E3655" w:rsidRDefault="001E3655">
      <w:pPr>
        <w:pStyle w:val="FoonoteText"/>
      </w:pPr>
      <w:r w:rsidRPr="00372FDE">
        <w:rPr>
          <w:rStyle w:val="FootnoteReference"/>
          <w:rFonts w:asciiTheme="majorHAnsi" w:hAnsiTheme="majorHAnsi"/>
          <w:sz w:val="18"/>
        </w:rPr>
        <w:footnoteRef/>
      </w:r>
      <w:r w:rsidRPr="00372FDE">
        <w:t xml:space="preserve"> </w:t>
      </w:r>
      <w:proofErr w:type="gramStart"/>
      <w:r w:rsidRPr="00372FDE">
        <w:t xml:space="preserve">Operating Procedure No. 4, </w:t>
      </w:r>
      <w:r w:rsidRPr="00372FDE">
        <w:rPr>
          <w:i/>
        </w:rPr>
        <w:t>Action during a Capacity Deficiency</w:t>
      </w:r>
      <w:r w:rsidRPr="00372FDE">
        <w:t xml:space="preserve"> (October 5, 2013), </w:t>
      </w:r>
      <w:r>
        <w:t xml:space="preserve">and </w:t>
      </w:r>
      <w:hyperlink w:history="1"/>
      <w:r w:rsidRPr="00372FDE">
        <w:t xml:space="preserve">Operating Procedure No. 7, </w:t>
      </w:r>
      <w:r w:rsidRPr="00372FDE">
        <w:rPr>
          <w:i/>
        </w:rPr>
        <w:t>Action in an Emergency</w:t>
      </w:r>
      <w:r w:rsidRPr="00372FDE">
        <w:t xml:space="preserve"> (June</w:t>
      </w:r>
      <w:r>
        <w:t> </w:t>
      </w:r>
      <w:r w:rsidRPr="00372FDE">
        <w:t xml:space="preserve">26, 2013), </w:t>
      </w:r>
      <w:hyperlink w:history="1"/>
      <w:hyperlink r:id="rId144" w:history="1">
        <w:r w:rsidRPr="00A44FC5">
          <w:rPr>
            <w:rStyle w:val="Hyperlink"/>
          </w:rPr>
          <w:t>http://www.iso-ne.com/participate/rules-procedures/operating-procedures</w:t>
        </w:r>
      </w:hyperlink>
      <w:r>
        <w:t>.</w:t>
      </w:r>
      <w:proofErr w:type="gramEnd"/>
    </w:p>
  </w:footnote>
  <w:footnote w:id="162">
    <w:p w:rsidR="001E3655" w:rsidRDefault="001E3655">
      <w:pPr>
        <w:pStyle w:val="FoonoteText"/>
      </w:pPr>
      <w:r w:rsidRPr="00372FDE">
        <w:rPr>
          <w:rStyle w:val="FootnoteReference"/>
          <w:rFonts w:asciiTheme="majorHAnsi" w:hAnsiTheme="majorHAnsi"/>
          <w:sz w:val="18"/>
        </w:rPr>
        <w:footnoteRef/>
      </w:r>
      <w:r w:rsidRPr="00372FDE">
        <w:t xml:space="preserve"> </w:t>
      </w:r>
      <w:proofErr w:type="gramStart"/>
      <w:r w:rsidRPr="00372FDE">
        <w:rPr>
          <w:i/>
        </w:rPr>
        <w:t>RSP14 Resource Adequacy and Related Studies</w:t>
      </w:r>
      <w:r w:rsidRPr="00372FDE">
        <w:t xml:space="preserve">, PAC presentation (April 29, 2014), </w:t>
      </w:r>
      <w:hyperlink r:id="rId145" w:history="1">
        <w:r w:rsidRPr="00372FDE">
          <w:rPr>
            <w:rStyle w:val="Hyperlink"/>
          </w:rPr>
          <w:t>http://www.iso-ne.com/committees/comm_wkgrps/prtcpnts_comm/pac/mtrls/2014/apr292014/a5_rsp14_resource_adequacy_and_related_studies.pdf</w:t>
        </w:r>
      </w:hyperlink>
      <w:r w:rsidRPr="00372FDE">
        <w:t>.</w:t>
      </w:r>
      <w:proofErr w:type="gramEnd"/>
      <w:r w:rsidRPr="00372FDE">
        <w:t xml:space="preserve"> </w:t>
      </w:r>
    </w:p>
  </w:footnote>
  <w:footnote w:id="163">
    <w:p w:rsidR="001E3655" w:rsidRDefault="001E3655">
      <w:pPr>
        <w:pStyle w:val="FootnoteText"/>
      </w:pPr>
      <w:r w:rsidRPr="00372FDE">
        <w:rPr>
          <w:rStyle w:val="FootnoteReference"/>
          <w:rFonts w:asciiTheme="majorHAnsi" w:hAnsiTheme="majorHAnsi"/>
          <w:sz w:val="18"/>
        </w:rPr>
        <w:footnoteRef/>
      </w:r>
      <w:r w:rsidRPr="00372FDE">
        <w:t xml:space="preserve"> The ISO provides monthly updates on the status of active generation interconnection requests,</w:t>
      </w:r>
      <w:r w:rsidRPr="00372FDE">
        <w:rPr>
          <w:i/>
        </w:rPr>
        <w:t xml:space="preserve"> NEPOOL Participant Committee COO Report for Monthly Updates </w:t>
      </w:r>
      <w:r w:rsidRPr="00372FDE">
        <w:t xml:space="preserve">(Monthly COO Report). See the April 2014 monthly COO Report in the NEPOOL Participant Committee materials at </w:t>
      </w:r>
      <w:hyperlink r:id="rId146" w:history="1">
        <w:r w:rsidRPr="00D3004B">
          <w:rPr>
            <w:rStyle w:val="Hyperlink"/>
          </w:rPr>
          <w:t>http://www.iso-ne.com/static-assets/documents/committees/comm_wkgrps/prtcpnts_comm/prtcpnts/mtrls/2014/apr42014/coo_report_apr_2014.pdf</w:t>
        </w:r>
      </w:hyperlink>
      <w:r>
        <w:t>.</w:t>
      </w:r>
    </w:p>
  </w:footnote>
  <w:footnote w:id="164">
    <w:p w:rsidR="001E3655" w:rsidRDefault="001E3655">
      <w:pPr>
        <w:pStyle w:val="FootnoteText"/>
      </w:pPr>
      <w:r w:rsidRPr="003260B6">
        <w:rPr>
          <w:rStyle w:val="FootnoteReference"/>
          <w:rFonts w:asciiTheme="majorHAnsi" w:hAnsiTheme="majorHAnsi"/>
          <w:sz w:val="18"/>
        </w:rPr>
        <w:footnoteRef/>
      </w:r>
      <w:r w:rsidRPr="00372FDE">
        <w:t xml:space="preserve"> The CMA subarea in Massachusetts and SME subarea in Maine have no megawatts proposed in the active queue.</w:t>
      </w:r>
    </w:p>
  </w:footnote>
  <w:footnote w:id="165">
    <w:p w:rsidR="001E3655" w:rsidRDefault="001E3655">
      <w:pPr>
        <w:pStyle w:val="FoonoteText"/>
      </w:pPr>
      <w:r w:rsidRPr="00372FDE">
        <w:rPr>
          <w:rStyle w:val="FootnoteReference"/>
          <w:rFonts w:asciiTheme="majorHAnsi" w:hAnsiTheme="majorHAnsi"/>
          <w:sz w:val="18"/>
        </w:rPr>
        <w:footnoteRef/>
      </w:r>
      <w:r w:rsidRPr="00372FDE">
        <w:t xml:space="preserve"> </w:t>
      </w:r>
      <w:hyperlink r:id="rId147" w:history="1">
        <w:r w:rsidRPr="00372FDE">
          <w:rPr>
            <w:rStyle w:val="Hyperlink"/>
          </w:rPr>
          <w:t>In</w:t>
        </w:r>
      </w:hyperlink>
      <w:r w:rsidRPr="00372FDE">
        <w:t xml:space="preserve"> addition to the Monthly COO Reports, information on the queue is available at </w:t>
      </w:r>
      <w:hyperlink r:id="rId148" w:history="1">
        <w:r w:rsidRPr="00872C77">
          <w:rPr>
            <w:rStyle w:val="Hyperlink"/>
          </w:rPr>
          <w:t>http://www.iso-ne.com/system-planning/transmission-planning/interconnection-request-queue</w:t>
        </w:r>
      </w:hyperlink>
      <w:r w:rsidRPr="00372FDE">
        <w:t>.</w:t>
      </w:r>
    </w:p>
  </w:footnote>
  <w:footnote w:id="166">
    <w:p w:rsidR="001E3655" w:rsidRDefault="001E3655">
      <w:pPr>
        <w:pStyle w:val="FoonoteText"/>
      </w:pPr>
      <w:r w:rsidRPr="00372FDE">
        <w:rPr>
          <w:rStyle w:val="FootnoteReference"/>
          <w:rFonts w:asciiTheme="majorHAnsi" w:hAnsiTheme="majorHAnsi"/>
          <w:sz w:val="18"/>
        </w:rPr>
        <w:footnoteRef/>
      </w:r>
      <w:r w:rsidRPr="00372FDE">
        <w:t xml:space="preserve"> The projects proposed but discontinued faced problems associated with financing, licensing, insufficient market incentives, or other issues. </w:t>
      </w:r>
    </w:p>
  </w:footnote>
  <w:footnote w:id="167">
    <w:p w:rsidR="001E3655" w:rsidRPr="00372FDE" w:rsidRDefault="001E3655" w:rsidP="008A621B">
      <w:pPr>
        <w:spacing w:after="80" w:line="240" w:lineRule="auto"/>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Higher tie-reliability benefits and reductions in the net ICR would increase the frequency and depth of OP 4 actions.</w:t>
      </w:r>
    </w:p>
  </w:footnote>
  <w:footnote w:id="168">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Past RSPs are available at </w:t>
      </w:r>
      <w:hyperlink r:id="rId149" w:history="1">
        <w:r w:rsidRPr="00372FDE">
          <w:rPr>
            <w:rStyle w:val="Hyperlink"/>
          </w:rPr>
          <w:t>http://www.iso-ne.com/trans/rsp/index.html</w:t>
        </w:r>
      </w:hyperlink>
      <w:r w:rsidRPr="00372FDE">
        <w:t xml:space="preserve">. PAC materials and reports are available at </w:t>
      </w:r>
      <w:hyperlink r:id="rId150" w:history="1">
        <w:r w:rsidRPr="00372FDE">
          <w:rPr>
            <w:rStyle w:val="Hyperlink"/>
          </w:rPr>
          <w:t>http://www.iso-ne.com/committees/comm_wkgrps/prtcpnts_comm/pac/index.html</w:t>
        </w:r>
      </w:hyperlink>
      <w:r w:rsidRPr="00372FDE">
        <w:t>.</w:t>
      </w:r>
    </w:p>
  </w:footnote>
  <w:footnote w:id="169">
    <w:p w:rsidR="001E3655" w:rsidRDefault="001E3655">
      <w:pPr>
        <w:pStyle w:val="FootnoteText"/>
      </w:pPr>
      <w:r w:rsidRPr="002D583B">
        <w:rPr>
          <w:rStyle w:val="FootnoteReference"/>
          <w:rFonts w:asciiTheme="majorHAnsi" w:hAnsiTheme="majorHAnsi"/>
          <w:sz w:val="18"/>
        </w:rPr>
        <w:footnoteRef/>
      </w:r>
      <w:r w:rsidRPr="002D583B">
        <w:t xml:space="preserve"> </w:t>
      </w:r>
      <w:proofErr w:type="gramStart"/>
      <w:r w:rsidRPr="002D583B">
        <w:t xml:space="preserve">ISO New England, </w:t>
      </w:r>
      <w:r w:rsidRPr="002D583B">
        <w:rPr>
          <w:i/>
        </w:rPr>
        <w:t>Transmission Planning Process Guide</w:t>
      </w:r>
      <w:r w:rsidRPr="002D583B">
        <w:t>, draft</w:t>
      </w:r>
      <w:r>
        <w:t xml:space="preserve">, </w:t>
      </w:r>
      <w:hyperlink r:id="rId151" w:history="1">
        <w:r w:rsidRPr="004A5D3B">
          <w:rPr>
            <w:rStyle w:val="Hyperlink"/>
          </w:rPr>
          <w:t>http://www.iso-ne.com/static-assets/documents/committees/comm_wkgrps/prtcpnts_comm/pac/plan_guides/plan_process_guide/planning_process_guide_for_february_pac_2_5_2013__3_.docx</w:t>
        </w:r>
      </w:hyperlink>
      <w:r>
        <w:t>.</w:t>
      </w:r>
      <w:proofErr w:type="gramEnd"/>
      <w:r w:rsidRPr="002D583B">
        <w:t xml:space="preserve"> </w:t>
      </w:r>
      <w:proofErr w:type="gramStart"/>
      <w:r w:rsidRPr="002D583B">
        <w:rPr>
          <w:i/>
        </w:rPr>
        <w:t>Transmission Planning Technical Guide</w:t>
      </w:r>
      <w:r w:rsidRPr="002D583B">
        <w:t xml:space="preserve">, draft, </w:t>
      </w:r>
      <w:hyperlink r:id="rId152" w:history="1">
        <w:r w:rsidRPr="004A5D3B">
          <w:rPr>
            <w:rStyle w:val="Hyperlink"/>
          </w:rPr>
          <w:t>http://www.iso-ne.com/static-assets/documents/committees/comm_wkgrps/prtcpnts_comm/pac/plan_guides/plan_tech_guide/planning_technical_guide_clean_12_06_2013.pdf</w:t>
        </w:r>
      </w:hyperlink>
      <w:r w:rsidRPr="004A5D3B">
        <w:t>.</w:t>
      </w:r>
      <w:proofErr w:type="gramEnd"/>
      <w:r w:rsidRPr="00372FDE">
        <w:t xml:space="preserve"> </w:t>
      </w:r>
    </w:p>
  </w:footnote>
  <w:footnote w:id="170">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See the OATT, Section II.B, Attachment N, “Procedures for Regional System Plan Upgrades,”</w:t>
      </w:r>
      <w:r w:rsidRPr="00372FDE">
        <w:br/>
      </w:r>
      <w:hyperlink r:id="rId153" w:history="1">
        <w:r w:rsidRPr="009B2918">
          <w:rPr>
            <w:rStyle w:val="Hyperlink"/>
          </w:rPr>
          <w:t>http://www.iso-ne.com/static-assets/documents/regulatory/tariff/sect_2/oatt/sect_ii.pdf</w:t>
        </w:r>
      </w:hyperlink>
      <w:r>
        <w:t>.</w:t>
      </w:r>
    </w:p>
  </w:footnote>
  <w:footnote w:id="171">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The Network Capability Interconnection Standard is an energy-only standard that includes the minimum criteria required to permit a generator to connect to the transmission system so that it has no adverse impacts on the reliability, stability, or operation of the system, including the degradation of transfer capability for interfaces affected by the generating facility. The Capacity Capability Interconnection Standard is a capacity and energy standard that includes the same criteria as the Network Capability Interconnection Standard</w:t>
      </w:r>
      <w:r w:rsidRPr="00372FDE">
        <w:rPr>
          <w:i/>
        </w:rPr>
        <w:t xml:space="preserve"> </w:t>
      </w:r>
      <w:r w:rsidRPr="00372FDE">
        <w:t xml:space="preserve">but also includes criteria to ensure </w:t>
      </w:r>
      <w:proofErr w:type="spellStart"/>
      <w:r w:rsidRPr="00372FDE">
        <w:t>intrazonal</w:t>
      </w:r>
      <w:proofErr w:type="spellEnd"/>
      <w:r w:rsidRPr="00372FDE">
        <w:t xml:space="preserve"> deliverability by avoiding the </w:t>
      </w:r>
      <w:proofErr w:type="spellStart"/>
      <w:r w:rsidRPr="00372FDE">
        <w:t>redispatch</w:t>
      </w:r>
      <w:proofErr w:type="spellEnd"/>
      <w:r w:rsidRPr="00372FDE">
        <w:t xml:space="preserve"> of other capacity network resources. Before October 29, 1998, Generator Interconnection-Related Upgrades included cost responsibility for additional upgrades beyond those required to satisfy the minimum interconnection standard. The OATT, Section 22, defines the standards</w:t>
      </w:r>
      <w:proofErr w:type="gramStart"/>
      <w:r w:rsidRPr="00372FDE">
        <w:t>;</w:t>
      </w:r>
      <w:proofErr w:type="gramEnd"/>
      <w:r w:rsidRPr="00372FDE">
        <w:t xml:space="preserve"> </w:t>
      </w:r>
      <w:hyperlink r:id="rId154" w:history="1">
        <w:r w:rsidRPr="009B2918">
          <w:rPr>
            <w:rStyle w:val="Hyperlink"/>
          </w:rPr>
          <w:t>http://www.iso-ne.com/static-assets/documents/regulatory/tariff/sect_2/sch22/sch_22_lgip.pdf</w:t>
        </w:r>
      </w:hyperlink>
      <w:r w:rsidRPr="00372FDE">
        <w:t>.</w:t>
      </w:r>
    </w:p>
  </w:footnote>
  <w:footnote w:id="172">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The filing for the addition or modification to the transmission upgrade must be in accordance with the OATT, Section II.47.2, on a date after the </w:t>
      </w:r>
      <w:r w:rsidRPr="00372FDE">
        <w:rPr>
          <w:i/>
        </w:rPr>
        <w:t xml:space="preserve">RSP Project List </w:t>
      </w:r>
      <w:r w:rsidRPr="00372FDE">
        <w:t>(as of the date of that application) already has documented the addition or modification, other than as an Elective Transmission Upgrade.</w:t>
      </w:r>
    </w:p>
  </w:footnote>
  <w:footnote w:id="173">
    <w:p w:rsidR="001E3655" w:rsidRDefault="001E3655">
      <w:pPr>
        <w:pStyle w:val="FootnoteText"/>
      </w:pPr>
      <w:r>
        <w:rPr>
          <w:rStyle w:val="FootnoteReference"/>
        </w:rPr>
        <w:footnoteRef/>
      </w:r>
      <w:r>
        <w:t xml:space="preserve"> </w:t>
      </w:r>
      <w:r w:rsidRPr="000B249F">
        <w:rPr>
          <w:i/>
        </w:rPr>
        <w:t>Elective Transmission Upgrade Process Improvements Background and Project Scope</w:t>
      </w:r>
      <w:r w:rsidRPr="008965CA">
        <w:t>, Joint Reliability Committee and Transmission Committee Summer Meeting Presentation (August 11–12, 20</w:t>
      </w:r>
      <w:r>
        <w:t xml:space="preserve">14), </w:t>
      </w:r>
      <w:hyperlink r:id="rId155" w:history="1">
        <w:r w:rsidRPr="00B572F2">
          <w:rPr>
            <w:rStyle w:val="Hyperlink"/>
          </w:rPr>
          <w:t>http://www.iso-ne.com/static-assets/documents/committees/comm_wkgrps/trans_comm/tariff_comm/mtrls/2014/aug11122014/a3_etu_presentation_summer_meeting.pptx</w:t>
        </w:r>
      </w:hyperlink>
      <w:r>
        <w:t>.</w:t>
      </w:r>
    </w:p>
  </w:footnote>
  <w:footnote w:id="174">
    <w:p w:rsidR="001E3655" w:rsidRDefault="001E3655">
      <w:pPr>
        <w:pStyle w:val="FoonoteText"/>
      </w:pPr>
      <w:r w:rsidRPr="00372FDE">
        <w:rPr>
          <w:rStyle w:val="FootnoteReference"/>
          <w:rFonts w:asciiTheme="majorHAnsi" w:hAnsiTheme="majorHAnsi"/>
          <w:sz w:val="18"/>
        </w:rPr>
        <w:footnoteRef/>
      </w:r>
      <w:r w:rsidRPr="00372FDE">
        <w:t xml:space="preserve"> </w:t>
      </w:r>
      <w:r w:rsidRPr="00372FDE">
        <w:rPr>
          <w:i/>
        </w:rPr>
        <w:t>Pool transmission facilities</w:t>
      </w:r>
      <w:r w:rsidRPr="00372FDE">
        <w:t xml:space="preserve"> are the facilities rated 69 kV or above owned by the participating transmission owners, over which the ISO has operating authority in accordance with the terms set forth in the Transmission Operating Agreements. Refer to the OATT, Section II.49, 109, for additional specifications, </w:t>
      </w:r>
      <w:hyperlink r:id="rId156" w:history="1">
        <w:r w:rsidRPr="002D583B">
          <w:rPr>
            <w:rStyle w:val="Hyperlink"/>
          </w:rPr>
          <w:t>http://www.iso-ne.com/static-assets/documents/regulatory/tariff/sect_2/oatt/sect_ii.pdf</w:t>
        </w:r>
      </w:hyperlink>
      <w:r w:rsidRPr="00372FDE">
        <w:t>.</w:t>
      </w:r>
    </w:p>
  </w:footnote>
  <w:footnote w:id="175">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PAC materials and meeting minutes are available at </w:t>
      </w:r>
      <w:hyperlink r:id="rId157" w:history="1">
        <w:r w:rsidRPr="00372FDE">
          <w:rPr>
            <w:rStyle w:val="Hyperlink"/>
          </w:rPr>
          <w:t>http://www.iso-ne.com/committees/comm_wkgrps/prtcpnts_comm/pac/index.html</w:t>
        </w:r>
      </w:hyperlink>
      <w:r w:rsidRPr="00372FDE">
        <w:t xml:space="preserve">. The </w:t>
      </w:r>
      <w:r w:rsidRPr="00372FDE">
        <w:rPr>
          <w:i/>
        </w:rPr>
        <w:t>RSP Project List</w:t>
      </w:r>
      <w:r w:rsidRPr="00372FDE">
        <w:t xml:space="preserve"> </w:t>
      </w:r>
      <w:r>
        <w:t xml:space="preserve">(XLS file) </w:t>
      </w:r>
      <w:r w:rsidRPr="00372FDE">
        <w:t xml:space="preserve">is available at </w:t>
      </w:r>
      <w:hyperlink r:id="rId158" w:history="1">
        <w:r w:rsidRPr="00CE50D3">
          <w:rPr>
            <w:rStyle w:val="Hyperlink"/>
          </w:rPr>
          <w:t>http://www.iso-ne.com/system-planning/system-plans-studies/rsp</w:t>
        </w:r>
      </w:hyperlink>
      <w:r w:rsidRPr="00372FDE">
        <w:t>.</w:t>
      </w:r>
    </w:p>
  </w:footnote>
  <w:footnote w:id="176">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The range for the $</w:t>
      </w:r>
      <w:r>
        <w:t>4.</w:t>
      </w:r>
      <w:r w:rsidRPr="00372FDE">
        <w:t>5 billion cost estimate is $</w:t>
      </w:r>
      <w:r>
        <w:t>3.7</w:t>
      </w:r>
      <w:r w:rsidRPr="00372FDE">
        <w:t xml:space="preserve"> to $</w:t>
      </w:r>
      <w:r>
        <w:t>5.3</w:t>
      </w:r>
      <w:r w:rsidRPr="00372FDE">
        <w:t xml:space="preserve"> billion.</w:t>
      </w:r>
    </w:p>
  </w:footnote>
  <w:footnote w:id="177">
    <w:p w:rsidR="001E3655" w:rsidRDefault="001E3655">
      <w:pPr>
        <w:pStyle w:val="FoonoteText"/>
      </w:pPr>
      <w:r w:rsidRPr="0058771A">
        <w:rPr>
          <w:rStyle w:val="FootnoteReference"/>
          <w:rFonts w:asciiTheme="majorHAnsi" w:eastAsiaTheme="majorEastAsia" w:hAnsiTheme="majorHAnsi"/>
          <w:sz w:val="18"/>
        </w:rPr>
        <w:footnoteRef/>
      </w:r>
      <w:r w:rsidRPr="0058771A">
        <w:t xml:space="preserve"> </w:t>
      </w:r>
      <w:r w:rsidRPr="00113C54">
        <w:t xml:space="preserve">Regional transmission service </w:t>
      </w:r>
      <w:proofErr w:type="gramStart"/>
      <w:r w:rsidRPr="00113C54">
        <w:t>is comp</w:t>
      </w:r>
      <w:r>
        <w:t>r</w:t>
      </w:r>
      <w:r w:rsidRPr="00113C54">
        <w:t>ised</w:t>
      </w:r>
      <w:proofErr w:type="gramEnd"/>
      <w:r w:rsidRPr="00113C54">
        <w:t xml:space="preserve"> of</w:t>
      </w:r>
      <w:r>
        <w:t xml:space="preserve"> </w:t>
      </w:r>
      <w:r w:rsidRPr="00113C54">
        <w:rPr>
          <w:i/>
        </w:rPr>
        <w:t>regional</w:t>
      </w:r>
      <w:r w:rsidRPr="0058771A">
        <w:rPr>
          <w:i/>
        </w:rPr>
        <w:t xml:space="preserve"> </w:t>
      </w:r>
      <w:r w:rsidRPr="00372FDE">
        <w:rPr>
          <w:i/>
        </w:rPr>
        <w:t>network service</w:t>
      </w:r>
      <w:r w:rsidRPr="00372FDE">
        <w:t xml:space="preserve"> </w:t>
      </w:r>
      <w:r w:rsidRPr="00113C54">
        <w:t xml:space="preserve">(RNS) </w:t>
      </w:r>
      <w:r>
        <w:t xml:space="preserve">and </w:t>
      </w:r>
      <w:r w:rsidRPr="00113C54">
        <w:rPr>
          <w:i/>
        </w:rPr>
        <w:t xml:space="preserve">through or out </w:t>
      </w:r>
      <w:r>
        <w:rPr>
          <w:i/>
        </w:rPr>
        <w:t xml:space="preserve">(TOUT) </w:t>
      </w:r>
      <w:r w:rsidRPr="00113C54">
        <w:rPr>
          <w:i/>
        </w:rPr>
        <w:t>service</w:t>
      </w:r>
      <w:r>
        <w:rPr>
          <w:i/>
        </w:rPr>
        <w:t xml:space="preserve">. </w:t>
      </w:r>
      <w:r w:rsidRPr="00113C54">
        <w:t xml:space="preserve">RNS </w:t>
      </w:r>
      <w:r w:rsidRPr="00372FDE">
        <w:t xml:space="preserve">is the transmission service </w:t>
      </w:r>
      <w:r>
        <w:t xml:space="preserve">the ISO provides </w:t>
      </w:r>
      <w:r w:rsidRPr="00372FDE">
        <w:t xml:space="preserve">over the PTFs, </w:t>
      </w:r>
      <w:r>
        <w:t xml:space="preserve">described in the OATT, Part II.B, that network </w:t>
      </w:r>
      <w:r w:rsidRPr="00040691">
        <w:t xml:space="preserve">customers use to serve load within the New England Control Area. The </w:t>
      </w:r>
      <w:proofErr w:type="gramStart"/>
      <w:r w:rsidRPr="00040691">
        <w:t>ISO’s</w:t>
      </w:r>
      <w:proofErr w:type="gramEnd"/>
      <w:r w:rsidRPr="00040691">
        <w:t xml:space="preserve"> TOUT service over the PTFs allows a</w:t>
      </w:r>
      <w:r>
        <w:t xml:space="preserve"> real-time market transaction to be exported out of or “wheeled through” the New England area, </w:t>
      </w:r>
      <w:r w:rsidRPr="00372FDE">
        <w:t>including services used for network resources or regional network load not physically interconnected with a PTF.</w:t>
      </w:r>
      <w:r>
        <w:t xml:space="preserve"> The PTO Administrative Committee </w:t>
      </w:r>
      <w:proofErr w:type="gramStart"/>
      <w:r>
        <w:t>is expected</w:t>
      </w:r>
      <w:proofErr w:type="gramEnd"/>
      <w:r>
        <w:t xml:space="preserve"> to make a supplemental filing on or before February 28, 2015, that will update New England Power Company’s transmission revenue requirement, which will revise the 2014 regional transmission service rates. </w:t>
      </w:r>
      <w:r w:rsidRPr="00FE62FC">
        <w:t xml:space="preserve">See FERC, letter order to National Grid, Docket No. </w:t>
      </w:r>
      <w:proofErr w:type="gramStart"/>
      <w:r w:rsidRPr="00FE62FC">
        <w:t xml:space="preserve">ER14-1686-000 (June 6, 2014), </w:t>
      </w:r>
      <w:hyperlink r:id="rId159" w:history="1">
        <w:r w:rsidRPr="00FE62FC">
          <w:rPr>
            <w:rStyle w:val="Hyperlink"/>
          </w:rPr>
          <w:t>http://www.ferc.gov/CalendarFiles/20140606132455-ER14-1686-000.pdf</w:t>
        </w:r>
      </w:hyperlink>
      <w:r w:rsidRPr="00FE62FC">
        <w:t>.</w:t>
      </w:r>
      <w:proofErr w:type="gramEnd"/>
    </w:p>
  </w:footnote>
  <w:footnote w:id="178">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One exception is that Aroostook and Washington Counties in Maine </w:t>
      </w:r>
      <w:proofErr w:type="gramStart"/>
      <w:r w:rsidRPr="00372FDE">
        <w:t>are served</w:t>
      </w:r>
      <w:proofErr w:type="gramEnd"/>
      <w:r w:rsidRPr="00372FDE">
        <w:t xml:space="preserve"> </w:t>
      </w:r>
      <w:proofErr w:type="spellStart"/>
      <w:r w:rsidRPr="00372FDE">
        <w:t>radially</w:t>
      </w:r>
      <w:proofErr w:type="spellEnd"/>
      <w:r w:rsidRPr="00372FDE">
        <w:t xml:space="preserve"> from New Brunswick.</w:t>
      </w:r>
    </w:p>
  </w:footnote>
  <w:footnote w:id="179">
    <w:p w:rsidR="001E3655" w:rsidRDefault="001E3655">
      <w:pPr>
        <w:pStyle w:val="FootnoteText"/>
      </w:pPr>
      <w:r w:rsidRPr="00852A82">
        <w:rPr>
          <w:rStyle w:val="FootnoteReference"/>
          <w:rFonts w:asciiTheme="majorHAnsi" w:hAnsiTheme="majorHAnsi"/>
          <w:sz w:val="18"/>
        </w:rPr>
        <w:footnoteRef/>
      </w:r>
      <w:r w:rsidRPr="00852A82">
        <w:t xml:space="preserve"> </w:t>
      </w:r>
      <w:proofErr w:type="gramStart"/>
      <w:r w:rsidRPr="00852A82">
        <w:rPr>
          <w:i/>
        </w:rPr>
        <w:t>Section 242 Rebuild</w:t>
      </w:r>
      <w:r w:rsidRPr="00852A82">
        <w:t xml:space="preserve">, PAC presentation (September 17, 2013), </w:t>
      </w:r>
      <w:hyperlink r:id="rId160" w:history="1">
        <w:r w:rsidRPr="00852A82">
          <w:rPr>
            <w:rStyle w:val="Hyperlink"/>
          </w:rPr>
          <w:t>https://smd.iso-ne.com/committees/comm_wkgrps/prtcpnts_comm/pac/ceii/mtrls/2013/sep172013/a5_section_242_line_rebuild.ppt</w:t>
        </w:r>
      </w:hyperlink>
      <w:r>
        <w:t>.</w:t>
      </w:r>
      <w:proofErr w:type="gramEnd"/>
    </w:p>
  </w:footnote>
  <w:footnote w:id="180">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National Grid Transmission Facility Refurbishments, Update to Salem Harbor Cable Replacement Solution</w:t>
      </w:r>
      <w:r w:rsidRPr="00372FDE">
        <w:t xml:space="preserve">, PAC presentation (November 20, 2013), </w:t>
      </w:r>
      <w:hyperlink r:id="rId161" w:history="1">
        <w:r w:rsidRPr="00596D2F">
          <w:rPr>
            <w:rStyle w:val="Hyperlink"/>
          </w:rPr>
          <w:t>https://smd.iso-ne.com/committees/comm_wkgrps/prtcpnts_comm/pac/ceii/mtrls/2013/nov202013/a7_asset_condition_needs_salem_harbor_cable_replacement.pdf</w:t>
        </w:r>
      </w:hyperlink>
      <w:r w:rsidRPr="00372FDE">
        <w:t>.</w:t>
      </w:r>
      <w:proofErr w:type="gramEnd"/>
    </w:p>
  </w:footnote>
  <w:footnote w:id="181">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Asset Condition Needs: 115</w:t>
      </w:r>
      <w:r>
        <w:rPr>
          <w:i/>
        </w:rPr>
        <w:t xml:space="preserve"> </w:t>
      </w:r>
      <w:r w:rsidRPr="00372FDE">
        <w:rPr>
          <w:i/>
        </w:rPr>
        <w:t>kV Salem Harbor Substation</w:t>
      </w:r>
      <w:r w:rsidRPr="00372FDE">
        <w:t xml:space="preserve">, PAC presentation (November 20, 2013), </w:t>
      </w:r>
      <w:hyperlink r:id="rId162" w:history="1">
        <w:r w:rsidRPr="00596D2F">
          <w:rPr>
            <w:rStyle w:val="Hyperlink"/>
          </w:rPr>
          <w:t>https://smd.iso-ne.com/committees/comm_wkgrps/prtcpnts_comm/pac/ceii/mtrls/2013/nov202013/a8_salem_harbor_substation.pdf</w:t>
        </w:r>
      </w:hyperlink>
      <w:r w:rsidRPr="00372FDE">
        <w:t>.</w:t>
      </w:r>
    </w:p>
  </w:footnote>
  <w:footnote w:id="182">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 xml:space="preserve">Old Town </w:t>
      </w:r>
      <w:r>
        <w:rPr>
          <w:i/>
        </w:rPr>
        <w:t xml:space="preserve">115/13.8 </w:t>
      </w:r>
      <w:proofErr w:type="gramStart"/>
      <w:r>
        <w:rPr>
          <w:i/>
        </w:rPr>
        <w:t>kV</w:t>
      </w:r>
      <w:proofErr w:type="gramEnd"/>
      <w:r>
        <w:rPr>
          <w:i/>
        </w:rPr>
        <w:t xml:space="preserve"> </w:t>
      </w:r>
      <w:r w:rsidRPr="00372FDE">
        <w:rPr>
          <w:i/>
        </w:rPr>
        <w:t xml:space="preserve">Substation </w:t>
      </w:r>
      <w:r>
        <w:rPr>
          <w:i/>
        </w:rPr>
        <w:t>Solutions Study</w:t>
      </w:r>
      <w:r w:rsidRPr="00372FDE">
        <w:t>, PAC presentation (</w:t>
      </w:r>
      <w:r>
        <w:t>June</w:t>
      </w:r>
      <w:r w:rsidRPr="00372FDE">
        <w:t xml:space="preserve"> 1</w:t>
      </w:r>
      <w:r>
        <w:t>9</w:t>
      </w:r>
      <w:r w:rsidRPr="00372FDE">
        <w:t>, 201</w:t>
      </w:r>
      <w:r>
        <w:t>4</w:t>
      </w:r>
      <w:r w:rsidRPr="00372FDE">
        <w:t xml:space="preserve">), </w:t>
      </w:r>
      <w:hyperlink r:id="rId163" w:history="1">
        <w:r w:rsidRPr="00596D2F">
          <w:rPr>
            <w:rStyle w:val="Hyperlink"/>
          </w:rPr>
          <w:t>https://smd.iso-ne.com/committees/comm_wkgrps/prtcpnts_comm/pac/ceii/mtrls/2014/jun192014/a9_old_town_solution_study.pdf</w:t>
        </w:r>
      </w:hyperlink>
      <w:r w:rsidRPr="00372FDE">
        <w:t>.</w:t>
      </w:r>
    </w:p>
  </w:footnote>
  <w:footnote w:id="183">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Sandy Pond Substation Refurbishment—Ayer, MA, Needs and Preferred Solution</w:t>
      </w:r>
      <w:r w:rsidRPr="00372FDE">
        <w:t xml:space="preserve">, PAC presentation (February 19, 2014), </w:t>
      </w:r>
      <w:hyperlink r:id="rId164" w:history="1">
        <w:r w:rsidRPr="00596D2F">
          <w:rPr>
            <w:rStyle w:val="Hyperlink"/>
          </w:rPr>
          <w:t>https://smd.iso-ne.com/committees/comm_wkgrps/prtcpnts_comm/pac/ceii/mtrls/2014/feb192014/a10_sandy_pond_substation_conditions.pdf</w:t>
        </w:r>
      </w:hyperlink>
      <w:r w:rsidRPr="00372FDE">
        <w:t>.</w:t>
      </w:r>
      <w:proofErr w:type="gramEnd"/>
    </w:p>
  </w:footnote>
  <w:footnote w:id="184">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 xml:space="preserve">Housatonic River Crossing Needs Assessment </w:t>
      </w:r>
      <w:r>
        <w:rPr>
          <w:i/>
        </w:rPr>
        <w:t>and</w:t>
      </w:r>
      <w:r w:rsidRPr="00372FDE">
        <w:rPr>
          <w:i/>
        </w:rPr>
        <w:t xml:space="preserve"> Solutions Study</w:t>
      </w:r>
      <w:r w:rsidRPr="00372FDE">
        <w:t xml:space="preserve">, PAC presentation (March 17, 2014), </w:t>
      </w:r>
      <w:hyperlink r:id="rId165" w:history="1">
        <w:r w:rsidRPr="00596D2F">
          <w:rPr>
            <w:rStyle w:val="Hyperlink"/>
          </w:rPr>
          <w:t>https://smd.iso-ne.com/committees/comm_wkgrps/prtcpnts_comm/pac/ceii/mtrls/2014/mar172014/a6_housatonic_river_crossing_needs_assment_solution_study.pdf</w:t>
        </w:r>
      </w:hyperlink>
      <w:r w:rsidRPr="00372FDE">
        <w:t>.</w:t>
      </w:r>
      <w:proofErr w:type="gramEnd"/>
    </w:p>
  </w:footnote>
  <w:footnote w:id="185">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National Grid’s New England Transmission Line Asset</w:t>
      </w:r>
      <w:r>
        <w:rPr>
          <w:i/>
        </w:rPr>
        <w:t>-</w:t>
      </w:r>
      <w:r w:rsidRPr="00372FDE">
        <w:rPr>
          <w:i/>
        </w:rPr>
        <w:t>Condition Refurbishment Program and Projects</w:t>
      </w:r>
      <w:r w:rsidRPr="00372FDE">
        <w:t xml:space="preserve">, PAC presentation (March 24, 2014), </w:t>
      </w:r>
      <w:hyperlink r:id="rId166" w:history="1">
        <w:r w:rsidRPr="00596D2F">
          <w:rPr>
            <w:rStyle w:val="Hyperlink"/>
          </w:rPr>
          <w:t>https://smd.iso-ne.com/committees/comm_wkgrps/prtcpnts_comm/pac/ceii/mtrls/2014/mar242014/a3_ngrid_transmission_lines_asset_conditions_refurbishment_and_projects.pdf</w:t>
        </w:r>
      </w:hyperlink>
      <w:r w:rsidRPr="00372FDE">
        <w:t>.</w:t>
      </w:r>
      <w:proofErr w:type="gramEnd"/>
    </w:p>
  </w:footnote>
  <w:footnote w:id="186">
    <w:p w:rsidR="001E3655" w:rsidRDefault="001E3655">
      <w:pPr>
        <w:pStyle w:val="FootnoteText"/>
      </w:pPr>
      <w:r>
        <w:rPr>
          <w:rStyle w:val="FootnoteReference"/>
        </w:rPr>
        <w:footnoteRef/>
      </w:r>
      <w:r>
        <w:t xml:space="preserve"> </w:t>
      </w:r>
      <w:proofErr w:type="gramStart"/>
      <w:r w:rsidRPr="00777DDF">
        <w:rPr>
          <w:i/>
        </w:rPr>
        <w:t>PV20 Cable Replacement</w:t>
      </w:r>
      <w:r>
        <w:t xml:space="preserve">, PAC presentation (June 5, 2014), </w:t>
      </w:r>
      <w:hyperlink r:id="rId167" w:history="1">
        <w:r w:rsidRPr="00D636F3">
          <w:rPr>
            <w:rStyle w:val="Hyperlink"/>
          </w:rPr>
          <w:t>https://smd.iso-ne.com/committees/comm_wkgrps/prtcpnts_comm/pac/ceii/mtrls/2014/jun192014/a10_pv20_cable_replacement.pdf</w:t>
        </w:r>
      </w:hyperlink>
      <w:r>
        <w:t>.</w:t>
      </w:r>
      <w:proofErr w:type="gramEnd"/>
    </w:p>
  </w:footnote>
  <w:footnote w:id="187">
    <w:p w:rsidR="001E3655" w:rsidRDefault="001E3655">
      <w:pPr>
        <w:pStyle w:val="FootnoteText"/>
      </w:pPr>
      <w:r>
        <w:rPr>
          <w:rStyle w:val="FootnoteReference"/>
        </w:rPr>
        <w:footnoteRef/>
      </w:r>
      <w:r>
        <w:t xml:space="preserve"> </w:t>
      </w:r>
      <w:r w:rsidRPr="00777DDF">
        <w:rPr>
          <w:i/>
        </w:rPr>
        <w:t>Baird 115/13.8</w:t>
      </w:r>
      <w:r>
        <w:rPr>
          <w:i/>
        </w:rPr>
        <w:t xml:space="preserve"> </w:t>
      </w:r>
      <w:proofErr w:type="gramStart"/>
      <w:r w:rsidRPr="00777DDF">
        <w:rPr>
          <w:i/>
        </w:rPr>
        <w:t>kV</w:t>
      </w:r>
      <w:proofErr w:type="gramEnd"/>
      <w:r w:rsidRPr="00777DDF">
        <w:rPr>
          <w:i/>
        </w:rPr>
        <w:t xml:space="preserve"> Substation Solutions Study</w:t>
      </w:r>
      <w:r>
        <w:t xml:space="preserve">, PAC presentation (June 19, 2014), </w:t>
      </w:r>
      <w:hyperlink r:id="rId168" w:history="1">
        <w:r w:rsidRPr="00D636F3">
          <w:rPr>
            <w:rStyle w:val="Hyperlink"/>
          </w:rPr>
          <w:t>https://smd.iso-ne.com/committees/comm_wkgrps/prtcpnts_comm/pac/ceii/mtrls/2014/jun192014/a8_baird_substation_study.pdf</w:t>
        </w:r>
      </w:hyperlink>
      <w:r>
        <w:t>.</w:t>
      </w:r>
    </w:p>
  </w:footnote>
  <w:footnote w:id="188">
    <w:p w:rsidR="001E3655" w:rsidRDefault="001E3655">
      <w:pPr>
        <w:pStyle w:val="FoonoteText"/>
      </w:pPr>
      <w:r w:rsidRPr="00372FDE">
        <w:rPr>
          <w:rStyle w:val="FootnoteReference"/>
          <w:rFonts w:asciiTheme="majorHAnsi" w:eastAsiaTheme="majorEastAsia" w:hAnsiTheme="majorHAnsi"/>
          <w:color w:val="auto"/>
          <w:sz w:val="18"/>
        </w:rPr>
        <w:footnoteRef/>
      </w:r>
      <w:r w:rsidRPr="00372FDE">
        <w:t xml:space="preserve"> Further details about individual transmission projects can be obtained by contacting ISO Customer Service at (413) 540</w:t>
      </w:r>
      <w:r w:rsidRPr="00372FDE">
        <w:noBreakHyphen/>
        <w:t xml:space="preserve">4220. </w:t>
      </w:r>
    </w:p>
  </w:footnote>
  <w:footnote w:id="189">
    <w:p w:rsidR="001E3655" w:rsidRDefault="001E3655">
      <w:pPr>
        <w:pStyle w:val="FoonoteText"/>
      </w:pPr>
      <w:r w:rsidRPr="00372FDE">
        <w:rPr>
          <w:rStyle w:val="FootnoteReference"/>
          <w:rFonts w:asciiTheme="majorHAnsi" w:eastAsiaTheme="majorEastAsia" w:hAnsiTheme="majorHAnsi"/>
          <w:color w:val="auto"/>
          <w:sz w:val="18"/>
        </w:rPr>
        <w:footnoteRef/>
      </w:r>
      <w:r w:rsidRPr="00372FDE">
        <w:t xml:space="preserve"> The flows vary with system conditions, as shown by the 2012 historical market data, which include the occurrence of northbound flows. See </w:t>
      </w:r>
      <w:r w:rsidRPr="00372FDE">
        <w:rPr>
          <w:i/>
        </w:rPr>
        <w:t xml:space="preserve">RSP14 20132012 Historical Market Data: </w:t>
      </w:r>
      <w:proofErr w:type="spellStart"/>
      <w:r w:rsidRPr="00372FDE">
        <w:rPr>
          <w:i/>
        </w:rPr>
        <w:t>Locational</w:t>
      </w:r>
      <w:proofErr w:type="spellEnd"/>
      <w:r w:rsidRPr="00372FDE">
        <w:rPr>
          <w:i/>
        </w:rPr>
        <w:t xml:space="preserve"> Marginal Prices, Interface MW Flows, </w:t>
      </w:r>
      <w:r w:rsidRPr="00372FDE">
        <w:t>PAC presentation</w:t>
      </w:r>
      <w:r>
        <w:t xml:space="preserve"> </w:t>
      </w:r>
      <w:r w:rsidRPr="00372FDE">
        <w:t xml:space="preserve">(February 19, 2014), </w:t>
      </w:r>
      <w:hyperlink r:id="rId169" w:history="1">
        <w:r w:rsidRPr="003C52AF">
          <w:rPr>
            <w:rStyle w:val="Hyperlink"/>
          </w:rPr>
          <w:t>http://www.iso-ne.com/static-assets/documents/committees/comm_wkgrps/prtcpnts_comm/pac/mtrls/2014/feb192014/a6_2014_lmp_interface_flows.pdf</w:t>
        </w:r>
      </w:hyperlink>
      <w:r w:rsidRPr="003C52AF">
        <w:t>.</w:t>
      </w:r>
    </w:p>
  </w:footnote>
  <w:footnote w:id="190">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 xml:space="preserve">Wind Development in Constrained Areas, </w:t>
      </w:r>
      <w:r w:rsidRPr="00372FDE">
        <w:t xml:space="preserve">PAC presentation (March 21, 2013), </w:t>
      </w:r>
      <w:hyperlink r:id="rId170" w:history="1">
        <w:r w:rsidRPr="003C52AF">
          <w:rPr>
            <w:rStyle w:val="Hyperlink"/>
          </w:rPr>
          <w:t>https://smd.iso-ne.com/committees/comm_wkgrps/prtcpnts_comm/pac/ceii/mtrls/2013/mar212013/a5_wind_development_in_constrained_areas_new.pdf</w:t>
        </w:r>
      </w:hyperlink>
      <w:r w:rsidRPr="00372FDE">
        <w:t>.</w:t>
      </w:r>
      <w:proofErr w:type="gramEnd"/>
    </w:p>
  </w:footnote>
  <w:footnote w:id="191">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Maine Power Reliability Program Steady State Needs Assessment</w:t>
      </w:r>
      <w:r w:rsidRPr="00372FDE">
        <w:t xml:space="preserve">, PAC presentation (May 14, 2007), </w:t>
      </w:r>
      <w:hyperlink r:id="rId171" w:history="1">
        <w:r w:rsidRPr="00372FDE">
          <w:rPr>
            <w:rStyle w:val="Hyperlink"/>
          </w:rPr>
          <w:t>https://smd.iso-ne.com/trans/sys_studies/rsp_docs/pres/2007/maine_power_reliability_program_steady_state_needs_assessment.pdf</w:t>
        </w:r>
      </w:hyperlink>
      <w:r w:rsidRPr="00372FDE">
        <w:t>.</w:t>
      </w:r>
      <w:proofErr w:type="gramEnd"/>
      <w:r w:rsidRPr="00372FDE">
        <w:t xml:space="preserve"> </w:t>
      </w:r>
      <w:hyperlink w:history="1"/>
      <w:proofErr w:type="gramStart"/>
      <w:r w:rsidRPr="00372FDE">
        <w:rPr>
          <w:i/>
        </w:rPr>
        <w:t>Final Report Maine Power Reliability Program Needs Assessment of the Maine Transmission System</w:t>
      </w:r>
      <w:r w:rsidRPr="00372FDE">
        <w:t xml:space="preserve"> (June 19, 2007), </w:t>
      </w:r>
      <w:hyperlink r:id="rId172" w:history="1">
        <w:r w:rsidRPr="00372FDE">
          <w:rPr>
            <w:rStyle w:val="Hyperlink"/>
          </w:rPr>
          <w:t>https://smd.iso-ne.com/trans/sys_studies/rsp_docs/pres/2007/maine_power_reliability_program_needs_assessment_final_report.pdf</w:t>
        </w:r>
      </w:hyperlink>
      <w:r w:rsidRPr="00372FDE">
        <w:t>.</w:t>
      </w:r>
      <w:proofErr w:type="gramEnd"/>
    </w:p>
  </w:footnote>
  <w:footnote w:id="192">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Northern Maine System Performance</w:t>
      </w:r>
      <w:r w:rsidRPr="00372FDE">
        <w:t xml:space="preserve">, PAC presentation (September 21, 2010), </w:t>
      </w:r>
      <w:hyperlink r:id="rId173" w:history="1">
        <w:r w:rsidRPr="00372FDE">
          <w:rPr>
            <w:rStyle w:val="Hyperlink"/>
          </w:rPr>
          <w:t>https://smd.iso-ne.com/committees/comm_wkgrps/prtcpnts_comm/pac/ceii/mtrls/2010/sep212010/northern_maine.pdf</w:t>
        </w:r>
      </w:hyperlink>
      <w:hyperlink w:history="1"/>
      <w:r w:rsidRPr="00372FDE">
        <w:t>.</w:t>
      </w:r>
      <w:proofErr w:type="gramEnd"/>
      <w:r w:rsidRPr="00372FDE">
        <w:t xml:space="preserve"> </w:t>
      </w:r>
    </w:p>
  </w:footnote>
  <w:footnote w:id="193">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Maine Power Reliability Program: Transfer Capability Study Results</w:t>
      </w:r>
      <w:r w:rsidRPr="00372FDE">
        <w:t xml:space="preserve">, PAC presentation (December 13, 2012), </w:t>
      </w:r>
      <w:hyperlink r:id="rId174" w:history="1">
        <w:r w:rsidRPr="00372FDE">
          <w:rPr>
            <w:rStyle w:val="Hyperlink"/>
          </w:rPr>
          <w:t>https://smd.iso-ne.com/committees/comm_wkgrps/prtcpnts_comm/pac/ceii/mtrls/2012/dec132012/mprp_transfer_limits.pdf</w:t>
        </w:r>
      </w:hyperlink>
      <w:r w:rsidRPr="00372FDE">
        <w:t>.</w:t>
      </w:r>
      <w:proofErr w:type="gramEnd"/>
    </w:p>
  </w:footnote>
  <w:footnote w:id="194">
    <w:p w:rsidR="001E3655" w:rsidRDefault="001E3655">
      <w:pPr>
        <w:pStyle w:val="FootnoteText"/>
      </w:pPr>
      <w:r w:rsidRPr="00372FDE">
        <w:rPr>
          <w:rStyle w:val="FootnoteReference"/>
          <w:rFonts w:asciiTheme="majorHAnsi" w:hAnsiTheme="majorHAnsi"/>
          <w:sz w:val="18"/>
        </w:rPr>
        <w:footnoteRef/>
      </w:r>
      <w:r w:rsidRPr="00372FDE">
        <w:t xml:space="preserve"> </w:t>
      </w:r>
      <w:r w:rsidRPr="00372FDE">
        <w:rPr>
          <w:i/>
        </w:rPr>
        <w:t xml:space="preserve">Wind Development in Constrained Areas, </w:t>
      </w:r>
      <w:r w:rsidRPr="00372FDE">
        <w:t xml:space="preserve">PAC presentation (March 21, 2013), </w:t>
      </w:r>
      <w:r>
        <w:t>see link above</w:t>
      </w:r>
      <w:hyperlink w:history="1"/>
      <w:r w:rsidRPr="00372FDE">
        <w:t>.</w:t>
      </w:r>
    </w:p>
  </w:footnote>
  <w:footnote w:id="195">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The Vermont Long-Range Transmission Plan identifies reliability concerns and the transmission alternatives to address these concerns. The plan serves as the basis for considering whether alternatives, including new generation and energy efficiency, can meet Vermont's reliability needs. It also provides information about transmission projects that </w:t>
      </w:r>
      <w:proofErr w:type="gramStart"/>
      <w:r w:rsidRPr="00372FDE">
        <w:t>may be needed</w:t>
      </w:r>
      <w:proofErr w:type="gramEnd"/>
      <w:r w:rsidRPr="00372FDE">
        <w:t xml:space="preserve"> to maintain grid reliability.</w:t>
      </w:r>
    </w:p>
  </w:footnote>
  <w:footnote w:id="196">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t xml:space="preserve">VELCO, </w:t>
      </w:r>
      <w:r w:rsidRPr="00372FDE">
        <w:rPr>
          <w:i/>
        </w:rPr>
        <w:t>2012 Vermont Transmission System Long-Range Plan</w:t>
      </w:r>
      <w:r w:rsidRPr="00372FDE">
        <w:t xml:space="preserve"> (July 1, 2012), </w:t>
      </w:r>
      <w:hyperlink r:id="rId175" w:history="1">
        <w:r w:rsidRPr="00372FDE">
          <w:rPr>
            <w:rStyle w:val="Hyperlink"/>
          </w:rPr>
          <w:t>http://www.velco.com/LongRange/Pages/2012Long-RangeTransmissionPlan.aspx</w:t>
        </w:r>
      </w:hyperlink>
      <w:r w:rsidRPr="00372FDE">
        <w:t>.</w:t>
      </w:r>
      <w:proofErr w:type="gramEnd"/>
    </w:p>
  </w:footnote>
  <w:footnote w:id="197">
    <w:p w:rsidR="001E3655" w:rsidRDefault="001E3655">
      <w:pPr>
        <w:pStyle w:val="FootnoteText"/>
      </w:pPr>
      <w:r w:rsidRPr="00372FDE">
        <w:rPr>
          <w:rStyle w:val="FootnoteReference"/>
          <w:rFonts w:asciiTheme="majorHAnsi" w:hAnsiTheme="majorHAnsi"/>
          <w:sz w:val="18"/>
        </w:rPr>
        <w:footnoteRef/>
      </w:r>
      <w:r w:rsidRPr="00372FDE">
        <w:t xml:space="preserve"> </w:t>
      </w:r>
      <w:r w:rsidRPr="00372FDE">
        <w:rPr>
          <w:i/>
        </w:rPr>
        <w:t>New Hampshire/Vermont Transmission System 2011 Needs Assessment</w:t>
      </w:r>
      <w:r w:rsidRPr="00372FDE">
        <w:t xml:space="preserve"> (November 2011), </w:t>
      </w:r>
      <w:hyperlink r:id="rId176" w:history="1">
        <w:r w:rsidRPr="00372FDE">
          <w:rPr>
            <w:rStyle w:val="Hyperlink"/>
          </w:rPr>
          <w:t>https://smd.iso-ne.com/committees/comm_wkgrps/prtcpnts_comm/pac/ceii/reports/2011/nhvt_2011_needs.pdf</w:t>
        </w:r>
      </w:hyperlink>
      <w:r w:rsidRPr="00372FDE">
        <w:t xml:space="preserve">. </w:t>
      </w:r>
    </w:p>
  </w:footnote>
  <w:footnote w:id="198">
    <w:p w:rsidR="001E3655" w:rsidRDefault="001E3655">
      <w:pPr>
        <w:pStyle w:val="FootnoteText"/>
      </w:pPr>
      <w:r w:rsidRPr="00372FDE">
        <w:rPr>
          <w:rStyle w:val="FootnoteReference"/>
          <w:rFonts w:asciiTheme="majorHAnsi" w:hAnsiTheme="majorHAnsi"/>
          <w:sz w:val="18"/>
        </w:rPr>
        <w:footnoteRef/>
      </w:r>
      <w:r w:rsidRPr="00372FDE">
        <w:t xml:space="preserve"> </w:t>
      </w:r>
      <w:proofErr w:type="spellStart"/>
      <w:proofErr w:type="gramStart"/>
      <w:r w:rsidRPr="00372FDE">
        <w:rPr>
          <w:i/>
        </w:rPr>
        <w:t>Nontransmission</w:t>
      </w:r>
      <w:proofErr w:type="spellEnd"/>
      <w:r w:rsidRPr="00372FDE">
        <w:rPr>
          <w:i/>
        </w:rPr>
        <w:t xml:space="preserve"> Alternatives Analysis, Results of the NH/VT Pilot Study </w:t>
      </w:r>
      <w:r w:rsidRPr="00372FDE">
        <w:t>(May 26, 2011)</w:t>
      </w:r>
      <w:r w:rsidRPr="00372FDE">
        <w:rPr>
          <w:i/>
        </w:rPr>
        <w:t xml:space="preserve">, </w:t>
      </w:r>
      <w:hyperlink r:id="rId177" w:history="1">
        <w:r w:rsidRPr="004B4F87">
          <w:rPr>
            <w:rStyle w:val="Hyperlink"/>
          </w:rPr>
          <w:t>https://smd.iso-ne.com/committees/comm_wkgrps/prtcpnts_comm/pac/ceii/mtrls/2011/apr132011/nta.pdf</w:t>
        </w:r>
      </w:hyperlink>
      <w:r w:rsidRPr="00372FDE">
        <w:t>.</w:t>
      </w:r>
      <w:proofErr w:type="gramEnd"/>
    </w:p>
  </w:footnote>
  <w:footnote w:id="199">
    <w:p w:rsidR="001E3655" w:rsidRDefault="001E3655">
      <w:pPr>
        <w:pStyle w:val="FootnoteText"/>
      </w:pPr>
      <w:r w:rsidRPr="004B4F87">
        <w:rPr>
          <w:rStyle w:val="FootnoteReference"/>
          <w:rFonts w:asciiTheme="majorHAnsi" w:hAnsiTheme="majorHAnsi"/>
          <w:sz w:val="18"/>
        </w:rPr>
        <w:footnoteRef/>
      </w:r>
      <w:r w:rsidRPr="004B4F87">
        <w:t xml:space="preserve"> NYISO and NYPA have informed ISO New England that in February 2014 the Moses-Willis 230 kV double-circuit towers (DCTs) in northern New York </w:t>
      </w:r>
      <w:proofErr w:type="gramStart"/>
      <w:r w:rsidRPr="004B4F87">
        <w:t>were separated</w:t>
      </w:r>
      <w:proofErr w:type="gramEnd"/>
      <w:r w:rsidRPr="004B4F87">
        <w:t xml:space="preserve">. Interregional planning studies are coordinated through the Joint ISO/RTO Planning Committee (JIPC) (see Section </w:t>
      </w:r>
      <w:fldSimple w:instr=" REF _Ref360786969 \r \h  \* MERGEFORMAT ">
        <w:r>
          <w:t>7.1</w:t>
        </w:r>
      </w:fldSimple>
      <w:r w:rsidRPr="004B4F87">
        <w:t>).</w:t>
      </w:r>
    </w:p>
  </w:footnote>
  <w:footnote w:id="200">
    <w:p w:rsidR="001E3655" w:rsidRPr="00372FDE" w:rsidRDefault="001E3655" w:rsidP="00C561D4">
      <w:pPr>
        <w:pStyle w:val="Default"/>
        <w:spacing w:after="80"/>
        <w:rPr>
          <w:rFonts w:asciiTheme="majorHAnsi" w:hAnsiTheme="majorHAnsi"/>
          <w:sz w:val="18"/>
          <w:szCs w:val="18"/>
        </w:rPr>
      </w:pPr>
      <w:r w:rsidRPr="004B4F87">
        <w:rPr>
          <w:rStyle w:val="FootnoteReference"/>
          <w:rFonts w:asciiTheme="majorHAnsi" w:hAnsiTheme="majorHAnsi"/>
          <w:sz w:val="18"/>
          <w:szCs w:val="18"/>
        </w:rPr>
        <w:footnoteRef/>
      </w:r>
      <w:r w:rsidRPr="004B4F87">
        <w:rPr>
          <w:rFonts w:asciiTheme="majorHAnsi" w:eastAsiaTheme="minorHAnsi" w:hAnsiTheme="majorHAnsi" w:cs="Arial"/>
          <w:sz w:val="18"/>
          <w:szCs w:val="18"/>
        </w:rPr>
        <w:t xml:space="preserve"> </w:t>
      </w:r>
      <w:r w:rsidRPr="004B4F87">
        <w:rPr>
          <w:rFonts w:asciiTheme="majorHAnsi" w:eastAsiaTheme="minorHAnsi" w:hAnsiTheme="majorHAnsi" w:cs="Arial"/>
          <w:i/>
          <w:sz w:val="18"/>
          <w:szCs w:val="18"/>
        </w:rPr>
        <w:t>Follow-Up Analysis to the New Hampshire/Vermont Solutions Study</w:t>
      </w:r>
      <w:r w:rsidRPr="004B4F87">
        <w:rPr>
          <w:rFonts w:asciiTheme="majorHAnsi" w:eastAsiaTheme="minorHAnsi" w:hAnsiTheme="majorHAnsi" w:cs="Arial"/>
          <w:sz w:val="18"/>
          <w:szCs w:val="18"/>
        </w:rPr>
        <w:t xml:space="preserve"> (NH/VT Solutions Study Follow Up) (April 2012), </w:t>
      </w:r>
      <w:hyperlink r:id="rId178" w:history="1">
        <w:r w:rsidRPr="004B4F87">
          <w:rPr>
            <w:rStyle w:val="Hyperlink"/>
            <w:rFonts w:asciiTheme="majorHAnsi" w:hAnsiTheme="majorHAnsi"/>
            <w:sz w:val="18"/>
            <w:szCs w:val="18"/>
          </w:rPr>
          <w:t>https://smd.iso-ne.com/committees/comm_wkgrps/prtcpnts_comm/pac/ceii/reports/2012/final_nhvt_solutions_followup.pdf</w:t>
        </w:r>
      </w:hyperlink>
      <w:r w:rsidRPr="004B4F87">
        <w:rPr>
          <w:rFonts w:asciiTheme="majorHAnsi" w:hAnsiTheme="majorHAnsi"/>
          <w:sz w:val="18"/>
          <w:szCs w:val="18"/>
        </w:rPr>
        <w:t xml:space="preserve">. </w:t>
      </w:r>
      <w:proofErr w:type="gramStart"/>
      <w:r w:rsidRPr="004B4F87">
        <w:rPr>
          <w:rFonts w:asciiTheme="majorHAnsi" w:hAnsiTheme="majorHAnsi"/>
          <w:i/>
          <w:sz w:val="18"/>
          <w:szCs w:val="18"/>
        </w:rPr>
        <w:t>Final NH/VT Transmission Follow-Up Appendices</w:t>
      </w:r>
      <w:r w:rsidRPr="004B4F87">
        <w:rPr>
          <w:rFonts w:asciiTheme="majorHAnsi" w:hAnsiTheme="majorHAnsi"/>
          <w:sz w:val="18"/>
          <w:szCs w:val="18"/>
        </w:rPr>
        <w:t xml:space="preserve"> (April 13, 2012), </w:t>
      </w:r>
      <w:hyperlink r:id="rId179" w:history="1">
        <w:r w:rsidRPr="004B4F87">
          <w:rPr>
            <w:rStyle w:val="Hyperlink"/>
            <w:rFonts w:asciiTheme="majorHAnsi" w:hAnsiTheme="majorHAnsi"/>
            <w:sz w:val="18"/>
            <w:szCs w:val="18"/>
          </w:rPr>
          <w:t>https://smd.iso-ne.com/committees/comm_wkgrps/prtcpnts_comm/pac/ceii/reports/2012/nhvt_sol_followup_apps.pdf</w:t>
        </w:r>
      </w:hyperlink>
      <w:r w:rsidRPr="004B4F87">
        <w:rPr>
          <w:rFonts w:asciiTheme="majorHAnsi" w:hAnsiTheme="majorHAnsi"/>
          <w:sz w:val="18"/>
          <w:szCs w:val="18"/>
        </w:rPr>
        <w:t>.</w:t>
      </w:r>
      <w:proofErr w:type="gramEnd"/>
      <w:r w:rsidRPr="004B4F87">
        <w:rPr>
          <w:rFonts w:asciiTheme="majorHAnsi" w:hAnsiTheme="majorHAnsi"/>
          <w:sz w:val="18"/>
          <w:szCs w:val="18"/>
        </w:rPr>
        <w:t xml:space="preserve"> Also see the ISO’s webpage, “New Hampshire and Vermont Key Study Area,” </w:t>
      </w:r>
      <w:hyperlink r:id="rId180" w:history="1">
        <w:r w:rsidRPr="004B4F87">
          <w:rPr>
            <w:rStyle w:val="Hyperlink"/>
            <w:rFonts w:asciiTheme="majorHAnsi" w:hAnsiTheme="majorHAnsi"/>
            <w:sz w:val="18"/>
            <w:szCs w:val="18"/>
          </w:rPr>
          <w:t>http://www.iso-ne.com/system-planning/key-study-areas/vt-nh</w:t>
        </w:r>
      </w:hyperlink>
      <w:r w:rsidRPr="004B4F87">
        <w:rPr>
          <w:rFonts w:asciiTheme="majorHAnsi" w:hAnsiTheme="majorHAnsi"/>
          <w:sz w:val="18"/>
          <w:szCs w:val="18"/>
        </w:rPr>
        <w:t>.</w:t>
      </w:r>
    </w:p>
  </w:footnote>
  <w:footnote w:id="201">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 xml:space="preserve">New Hampshire/Vermont Transmission Solutions Study Report </w:t>
      </w:r>
      <w:r w:rsidRPr="00372FDE">
        <w:t xml:space="preserve">(April 2012), </w:t>
      </w:r>
      <w:hyperlink r:id="rId181" w:history="1">
        <w:r w:rsidRPr="00A71743">
          <w:rPr>
            <w:rStyle w:val="Hyperlink"/>
          </w:rPr>
          <w:t>https://smd.iso-ne.com/committees/comm_wkgrps/prtcpnts_comm/pac/ceii/reports/2012/nhvt_solutions_report.pdf</w:t>
        </w:r>
      </w:hyperlink>
      <w:r w:rsidRPr="00A71743">
        <w:t>.</w:t>
      </w:r>
      <w:proofErr w:type="gramEnd"/>
    </w:p>
  </w:footnote>
  <w:footnote w:id="202">
    <w:p w:rsidR="001E3655" w:rsidRDefault="001E3655">
      <w:pPr>
        <w:pStyle w:val="FootnoteText"/>
      </w:pPr>
      <w:r w:rsidRPr="00372FDE">
        <w:rPr>
          <w:rStyle w:val="FootnoteReference"/>
          <w:rFonts w:asciiTheme="majorHAnsi" w:hAnsiTheme="majorHAnsi"/>
          <w:sz w:val="18"/>
        </w:rPr>
        <w:footnoteRef/>
      </w:r>
      <w:r w:rsidRPr="00372FDE">
        <w:t xml:space="preserve"> </w:t>
      </w:r>
      <w:r w:rsidRPr="00372FDE">
        <w:rPr>
          <w:i/>
        </w:rPr>
        <w:t xml:space="preserve">New Hampshire/Vermont 2022 Needs Assessment Study Scope </w:t>
      </w:r>
      <w:r w:rsidRPr="00372FDE">
        <w:t xml:space="preserve">(June 2013), </w:t>
      </w:r>
      <w:hyperlink r:id="rId182" w:history="1">
        <w:r w:rsidRPr="00372FDE">
          <w:rPr>
            <w:rStyle w:val="Hyperlink"/>
          </w:rPr>
          <w:t>https://smd.iso-ne.com/committees/comm_wkgrps/prtcpnts_comm/pac/ceii/reports/2013/a_final_nh_vt_2022_needs_scope.pdf</w:t>
        </w:r>
      </w:hyperlink>
      <w:r w:rsidRPr="00372FDE">
        <w:t>.</w:t>
      </w:r>
    </w:p>
  </w:footnote>
  <w:footnote w:id="203">
    <w:p w:rsidR="001E3655" w:rsidRDefault="001E3655">
      <w:pPr>
        <w:pStyle w:val="FootnoteText"/>
      </w:pPr>
      <w:r w:rsidRPr="003260B6">
        <w:rPr>
          <w:rStyle w:val="FootnoteReference"/>
          <w:rFonts w:asciiTheme="majorHAnsi" w:hAnsiTheme="majorHAnsi"/>
          <w:sz w:val="18"/>
        </w:rPr>
        <w:footnoteRef/>
      </w:r>
      <w:r w:rsidRPr="00372FDE">
        <w:t xml:space="preserve"> </w:t>
      </w:r>
      <w:r w:rsidRPr="004139DD">
        <w:rPr>
          <w:i/>
        </w:rPr>
        <w:t>New Hampshire/Vermont 2023 Needs Assessment Update</w:t>
      </w:r>
      <w:r w:rsidRPr="00372FDE">
        <w:t xml:space="preserve"> (March 2014), </w:t>
      </w:r>
      <w:hyperlink r:id="rId183" w:history="1">
        <w:r w:rsidRPr="00A71743">
          <w:rPr>
            <w:rStyle w:val="Hyperlink"/>
          </w:rPr>
          <w:t>https://smd.iso-ne.com/committees/comm_wkgrps/prtcpnts_comm/pac/ceii/mtrls/2014/mar172014/a7_nh_vt_2023_needs_assessment.pdf</w:t>
        </w:r>
      </w:hyperlink>
      <w:r w:rsidRPr="00372FDE">
        <w:t>.</w:t>
      </w:r>
    </w:p>
  </w:footnote>
  <w:footnote w:id="204">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New Hampshire/Vermont 2022 Needs Assessment Results</w:t>
      </w:r>
      <w:r w:rsidRPr="00372FDE">
        <w:t xml:space="preserve"> (June 2013), </w:t>
      </w:r>
      <w:hyperlink r:id="rId184" w:history="1">
        <w:r w:rsidRPr="00A71743">
          <w:rPr>
            <w:rStyle w:val="Hyperlink"/>
          </w:rPr>
          <w:t>https://smd.iso-ne.com/committees/comm_wkgrps/prtcpnts_comm/pac/ceii/mtrls/2013/jun192013/a2_nh_vt_2022_needs_assessment.zip</w:t>
        </w:r>
      </w:hyperlink>
      <w:r w:rsidRPr="00A71743">
        <w:t>.</w:t>
      </w:r>
    </w:p>
  </w:footnote>
  <w:footnote w:id="205">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Overview—New Hampshire Second Deerfield Autotransformer</w:t>
      </w:r>
      <w:r w:rsidRPr="00372FDE">
        <w:t xml:space="preserve">, PAC presentation (June 4, 2008), </w:t>
      </w:r>
      <w:hyperlink r:id="rId185" w:history="1">
        <w:r w:rsidRPr="006E03F8">
          <w:rPr>
            <w:rStyle w:val="Hyperlink"/>
          </w:rPr>
          <w:t>https://smd.iso-ne.com/trans/sys_studies/rsp_docs/pres/2008/deerfield_area.pdf</w:t>
        </w:r>
      </w:hyperlink>
      <w:r w:rsidRPr="00372FDE">
        <w:t>.</w:t>
      </w:r>
      <w:proofErr w:type="gramEnd"/>
      <w:r w:rsidRPr="00372FDE">
        <w:t xml:space="preserve"> </w:t>
      </w:r>
      <w:r w:rsidRPr="00372FDE">
        <w:rPr>
          <w:i/>
        </w:rPr>
        <w:t xml:space="preserve">New Hampshire Second Deerfield Autotransformer—Update to June 2008, </w:t>
      </w:r>
      <w:r w:rsidRPr="00372FDE">
        <w:t xml:space="preserve">PAC presentation (December 16, 2008), </w:t>
      </w:r>
      <w:hyperlink r:id="rId186" w:history="1">
        <w:r w:rsidRPr="006E03F8">
          <w:rPr>
            <w:rStyle w:val="Hyperlink"/>
          </w:rPr>
          <w:t>https://smd.iso-ne.com/trans/sys_studies/rsp_docs/pres/2008/deerfield.pdf</w:t>
        </w:r>
      </w:hyperlink>
      <w:r w:rsidRPr="00372FDE">
        <w:t xml:space="preserve">. </w:t>
      </w:r>
      <w:r w:rsidRPr="00372FDE">
        <w:rPr>
          <w:i/>
        </w:rPr>
        <w:t>Second 345/115-kV Deerfield Autotransformer Proposed Plan Application Analysis</w:t>
      </w:r>
      <w:r>
        <w:t>, final report</w:t>
      </w:r>
      <w:r w:rsidRPr="00372FDE">
        <w:t xml:space="preserve"> (</w:t>
      </w:r>
      <w:r>
        <w:t xml:space="preserve">May </w:t>
      </w:r>
      <w:r w:rsidRPr="00372FDE">
        <w:t xml:space="preserve">2009), </w:t>
      </w:r>
      <w:r>
        <w:t xml:space="preserve">zip file, </w:t>
      </w:r>
      <w:hyperlink r:id="rId187" w:history="1">
        <w:r w:rsidRPr="006E03F8">
          <w:rPr>
            <w:rStyle w:val="Hyperlink"/>
          </w:rPr>
          <w:t>http://www.iso-ne.com/search?query=New%20Hampshire%20Second%20Deerfield%20Autotransformer</w:t>
        </w:r>
      </w:hyperlink>
      <w:r w:rsidRPr="00372FDE">
        <w:t>.</w:t>
      </w:r>
    </w:p>
  </w:footnote>
  <w:footnote w:id="206">
    <w:p w:rsidR="001E3655" w:rsidRDefault="001E3655">
      <w:pPr>
        <w:pStyle w:val="FootnoteText"/>
      </w:pPr>
      <w:r w:rsidRPr="003260B6">
        <w:rPr>
          <w:rStyle w:val="FootnoteReference"/>
          <w:rFonts w:asciiTheme="majorHAnsi" w:hAnsiTheme="majorHAnsi"/>
          <w:sz w:val="18"/>
        </w:rPr>
        <w:footnoteRef/>
      </w:r>
      <w:r>
        <w:rPr>
          <w:i/>
        </w:rPr>
        <w:t xml:space="preserve"> </w:t>
      </w:r>
      <w:proofErr w:type="gramStart"/>
      <w:r>
        <w:t xml:space="preserve">Bangor Hydro Electric Co., </w:t>
      </w:r>
      <w:r w:rsidRPr="00987603">
        <w:rPr>
          <w:i/>
        </w:rPr>
        <w:t>Chester Static VAR Compensator Control Replacement</w:t>
      </w:r>
      <w:r>
        <w:t>, PAC presentation</w:t>
      </w:r>
      <w:r w:rsidRPr="00372FDE">
        <w:t xml:space="preserve"> (January 18, 2012), </w:t>
      </w:r>
      <w:hyperlink r:id="rId188" w:history="1">
        <w:r w:rsidRPr="00987603">
          <w:rPr>
            <w:rStyle w:val="Hyperlink"/>
          </w:rPr>
          <w:t>https://smd.iso-ne.com/committees/comm_wkgrps/prtcpnts_comm/pac/ceii/mtrls/2012/jan182012/chester_svc.pdf</w:t>
        </w:r>
      </w:hyperlink>
      <w:r>
        <w:t>.</w:t>
      </w:r>
      <w:proofErr w:type="gramEnd"/>
    </w:p>
  </w:footnote>
  <w:footnote w:id="207">
    <w:p w:rsidR="001E3655" w:rsidRDefault="001E3655">
      <w:pPr>
        <w:pStyle w:val="FoonoteText"/>
      </w:pPr>
      <w:r w:rsidRPr="00372FDE">
        <w:rPr>
          <w:rStyle w:val="FootnoteReference"/>
          <w:rFonts w:asciiTheme="majorHAnsi" w:eastAsiaTheme="majorEastAsia" w:hAnsiTheme="majorHAnsi"/>
          <w:sz w:val="18"/>
        </w:rPr>
        <w:footnoteRef/>
      </w:r>
      <w:r w:rsidRPr="00372FDE">
        <w:rPr>
          <w:vertAlign w:val="superscript"/>
        </w:rPr>
        <w:t xml:space="preserve"> </w:t>
      </w:r>
      <w:proofErr w:type="gramStart"/>
      <w:r w:rsidRPr="00372FDE">
        <w:rPr>
          <w:i/>
        </w:rPr>
        <w:t>MPRP Steady State Needs Assessment</w:t>
      </w:r>
      <w:r w:rsidRPr="00372FDE">
        <w:t xml:space="preserve">, PAC presentation (May 14, 2007), </w:t>
      </w:r>
      <w:hyperlink r:id="rId189" w:history="1">
        <w:r w:rsidRPr="00372FDE">
          <w:rPr>
            <w:rStyle w:val="Hyperlink"/>
          </w:rPr>
          <w:t>https://smd.iso-ne.com/trans/sys_studies/rsp_docs/pres/2007/maine_power_reliability_program_steady_state_needs_assessment.pdf</w:t>
        </w:r>
      </w:hyperlink>
      <w:r w:rsidRPr="00372FDE">
        <w:t>.</w:t>
      </w:r>
      <w:proofErr w:type="gramEnd"/>
      <w:r w:rsidRPr="00372FDE">
        <w:t xml:space="preserve"> </w:t>
      </w:r>
      <w:r w:rsidRPr="00372FDE">
        <w:rPr>
          <w:i/>
        </w:rPr>
        <w:t>MPRP Needs Assessment of the Maine Transmission System</w:t>
      </w:r>
      <w:r w:rsidRPr="00372FDE">
        <w:t xml:space="preserve">, final report </w:t>
      </w:r>
      <w:hyperlink w:history="1"/>
      <w:r w:rsidRPr="00372FDE">
        <w:t xml:space="preserve">(June 19, 2007), </w:t>
      </w:r>
      <w:hyperlink r:id="rId190" w:history="1">
        <w:r w:rsidRPr="00372FDE">
          <w:rPr>
            <w:rStyle w:val="Hyperlink"/>
          </w:rPr>
          <w:t>https://smd.iso-ne.com/trans/sys_studies/rsp_docs/pres/2007/maine_power_reliability_program_needs_assessment_final_report.pdf</w:t>
        </w:r>
      </w:hyperlink>
      <w:r w:rsidRPr="00372FDE">
        <w:t>.</w:t>
      </w:r>
    </w:p>
  </w:footnote>
  <w:footnote w:id="208">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Maine Power Reliability Program Transmission Alternatives—Revised</w:t>
      </w:r>
      <w:r w:rsidRPr="00372FDE">
        <w:t xml:space="preserve">, PAC presentation (January 24, 2008), </w:t>
      </w:r>
      <w:hyperlink r:id="rId191" w:history="1">
        <w:r w:rsidRPr="00372FDE">
          <w:rPr>
            <w:rStyle w:val="Hyperlink"/>
          </w:rPr>
          <w:t>https://smd.iso-ne.com/trans/sys_studies/rsp_docs/pres/2008/amprprevised.pdf</w:t>
        </w:r>
      </w:hyperlink>
      <w:r w:rsidRPr="00372FDE">
        <w:t>.</w:t>
      </w:r>
      <w:proofErr w:type="gramEnd"/>
      <w:r w:rsidRPr="00372FDE">
        <w:t xml:space="preserve"> </w:t>
      </w:r>
      <w:proofErr w:type="gramStart"/>
      <w:r w:rsidRPr="00372FDE">
        <w:rPr>
          <w:i/>
        </w:rPr>
        <w:t>Final Report Maine Power Reliability Program Transmission Alternatives Assessment for the Maine Transmission System</w:t>
      </w:r>
      <w:r w:rsidRPr="00372FDE">
        <w:t xml:space="preserve"> (June 10, 2008), </w:t>
      </w:r>
      <w:hyperlink r:id="rId192" w:history="1">
        <w:r w:rsidRPr="00372FDE">
          <w:rPr>
            <w:rStyle w:val="Hyperlink"/>
          </w:rPr>
          <w:t>https://smd.iso-ne.com/trans/sys_studies/rsp_docs/pres/2008/mprp_final_report.pdf</w:t>
        </w:r>
      </w:hyperlink>
      <w:r w:rsidRPr="00372FDE">
        <w:t>.</w:t>
      </w:r>
      <w:proofErr w:type="gramEnd"/>
      <w:r w:rsidRPr="00372FDE">
        <w:t xml:space="preserve"> The </w:t>
      </w:r>
      <w:r w:rsidRPr="00372FDE">
        <w:rPr>
          <w:i/>
        </w:rPr>
        <w:t xml:space="preserve">Maine Power Reliability Program Transmission Alternatives Assessment for the Maine Transmission System </w:t>
      </w:r>
      <w:r w:rsidRPr="00372FDE">
        <w:t xml:space="preserve">(May 30, 2008) describes the original version of this project in more detail. The </w:t>
      </w:r>
      <w:r w:rsidRPr="00372FDE">
        <w:rPr>
          <w:i/>
        </w:rPr>
        <w:t>CMP Maine Power Reliability Program Proposed Plan Application Analyses Addendum Report</w:t>
      </w:r>
      <w:r w:rsidRPr="00372FDE">
        <w:t xml:space="preserve"> (February 6, 2009) updates the project descriptions.</w:t>
      </w:r>
    </w:p>
  </w:footnote>
  <w:footnote w:id="209">
    <w:p w:rsidR="001E3655" w:rsidRDefault="001E3655">
      <w:pPr>
        <w:pStyle w:val="FootnoteText"/>
      </w:pPr>
      <w:r w:rsidRPr="00372FDE">
        <w:rPr>
          <w:rStyle w:val="FootnoteReference"/>
          <w:rFonts w:asciiTheme="majorHAnsi" w:hAnsiTheme="majorHAnsi"/>
          <w:sz w:val="18"/>
        </w:rPr>
        <w:footnoteRef/>
      </w:r>
      <w:r w:rsidRPr="00372FDE">
        <w:t xml:space="preserve"> Because the Maine Public Utilities Commission (MPUC) </w:t>
      </w:r>
      <w:r>
        <w:t xml:space="preserve">approved </w:t>
      </w:r>
      <w:r w:rsidRPr="00372FDE">
        <w:t xml:space="preserve">the “Lewiston Loop” section of </w:t>
      </w:r>
      <w:r>
        <w:t xml:space="preserve">the </w:t>
      </w:r>
      <w:r w:rsidRPr="00372FDE">
        <w:t>MPRP subsequent to approving most of the MPRP,</w:t>
      </w:r>
      <w:r>
        <w:t xml:space="preserve"> this part of the project </w:t>
      </w:r>
      <w:r w:rsidRPr="00372FDE">
        <w:t>currently has an in-service date of early 2017.</w:t>
      </w:r>
    </w:p>
  </w:footnote>
  <w:footnote w:id="210">
    <w:p w:rsidR="001E3655" w:rsidRDefault="001E3655">
      <w:pPr>
        <w:pStyle w:val="FootnoteText"/>
      </w:pPr>
      <w:r w:rsidRPr="003260B6">
        <w:rPr>
          <w:rStyle w:val="FootnoteReference"/>
          <w:rFonts w:asciiTheme="majorHAnsi" w:hAnsiTheme="majorHAnsi"/>
          <w:sz w:val="18"/>
        </w:rPr>
        <w:footnoteRef/>
      </w:r>
      <w:r w:rsidRPr="00372FDE">
        <w:t xml:space="preserve"> The 345 kV Reliability Project in Boston added new 345 kV cables between Stoughton, Hyde Park, and K Street substations and is often referred to as the Stoughton Cables Project. In Southwest Connecticut, the Phase I Project added a new 345 kV circuit between </w:t>
      </w:r>
      <w:proofErr w:type="spellStart"/>
      <w:r w:rsidRPr="00372FDE">
        <w:t>Plumtree</w:t>
      </w:r>
      <w:proofErr w:type="spellEnd"/>
      <w:r w:rsidRPr="00372FDE">
        <w:t xml:space="preserve"> and Norwalk substations and often </w:t>
      </w:r>
      <w:proofErr w:type="gramStart"/>
      <w:r>
        <w:t xml:space="preserve">is </w:t>
      </w:r>
      <w:r w:rsidRPr="00372FDE">
        <w:t>referred</w:t>
      </w:r>
      <w:proofErr w:type="gramEnd"/>
      <w:r w:rsidRPr="00372FDE">
        <w:t xml:space="preserve"> to as the Bethel–Norwalk Project. The Phase II project added a new 345 kV circuit between </w:t>
      </w:r>
      <w:proofErr w:type="spellStart"/>
      <w:r w:rsidRPr="00372FDE">
        <w:t>Beseck</w:t>
      </w:r>
      <w:proofErr w:type="spellEnd"/>
      <w:r w:rsidRPr="00372FDE">
        <w:t xml:space="preserve">, East Devon, Singer, and Norwalk substations and </w:t>
      </w:r>
      <w:proofErr w:type="gramStart"/>
      <w:r w:rsidRPr="00372FDE">
        <w:t>is often referred</w:t>
      </w:r>
      <w:proofErr w:type="gramEnd"/>
      <w:r w:rsidRPr="00372FDE">
        <w:t xml:space="preserve"> to as the Middletown–Norwalk Project.</w:t>
      </w:r>
    </w:p>
  </w:footnote>
  <w:footnote w:id="211">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A lower load forecast, new supply and demand resources, and the potential unavailability of the Vermont Yankee generating facility drove the need to reassess these upgrades. An area with constantly growing load and no added new resources would not need reassess</w:t>
      </w:r>
      <w:r>
        <w:t>ment</w:t>
      </w:r>
      <w:r w:rsidRPr="00372FDE">
        <w:t>.</w:t>
      </w:r>
    </w:p>
  </w:footnote>
  <w:footnote w:id="212">
    <w:p w:rsidR="001E3655" w:rsidRDefault="001E3655">
      <w:pPr>
        <w:pStyle w:val="FootnoteText"/>
      </w:pPr>
      <w:r w:rsidRPr="00372FDE">
        <w:rPr>
          <w:rStyle w:val="FootnoteReference"/>
          <w:rFonts w:asciiTheme="majorHAnsi" w:hAnsiTheme="majorHAnsi"/>
          <w:sz w:val="18"/>
        </w:rPr>
        <w:footnoteRef/>
      </w:r>
      <w:r w:rsidRPr="00372FDE">
        <w:t xml:space="preserve"> </w:t>
      </w:r>
      <w:r w:rsidRPr="0097702D">
        <w:rPr>
          <w:i/>
        </w:rPr>
        <w:t>Greater Hartford and Central Connecticut Area Transmission 2022 Needs Assessment</w:t>
      </w:r>
      <w:r>
        <w:t xml:space="preserve"> (May 2014), zip file, </w:t>
      </w:r>
      <w:hyperlink r:id="rId193" w:history="1">
        <w:r w:rsidRPr="00C9210C">
          <w:rPr>
            <w:rStyle w:val="Hyperlink"/>
          </w:rPr>
          <w:t>http://www.iso-ne.com/search?query=Greater%20Hartford%20and%20Central%20Connecticut%20Area%20Transmission%202022%20Needs%20Assessment</w:t>
        </w:r>
      </w:hyperlink>
      <w:r w:rsidRPr="00372FDE">
        <w:t>.</w:t>
      </w:r>
      <w:r>
        <w:t xml:space="preserve"> </w:t>
      </w:r>
    </w:p>
  </w:footnote>
  <w:footnote w:id="213">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New England East–West Solution Rhode Island and Springfield Current Needs Assessments</w:t>
      </w:r>
      <w:r w:rsidRPr="00372FDE">
        <w:t xml:space="preserve"> (June 17, 2009), </w:t>
      </w:r>
      <w:hyperlink r:id="rId194" w:history="1">
        <w:r w:rsidRPr="00C9210C">
          <w:rPr>
            <w:rStyle w:val="Hyperlink"/>
          </w:rPr>
          <w:t>https://smd.iso-ne.com/committees/comm_wkgrps/prtcpnts_comm/pac/ceii/mtrls/2009/jun172009/neews.pdf</w:t>
        </w:r>
      </w:hyperlink>
      <w:r w:rsidRPr="00372FDE">
        <w:t>.</w:t>
      </w:r>
      <w:proofErr w:type="gramEnd"/>
    </w:p>
  </w:footnote>
  <w:footnote w:id="214">
    <w:p w:rsidR="001E3655" w:rsidRPr="00372FDE" w:rsidRDefault="001E3655" w:rsidP="00C561D4">
      <w:pPr>
        <w:pStyle w:val="Default"/>
        <w:spacing w:after="80"/>
        <w:rPr>
          <w:rStyle w:val="FoonoteTextChar"/>
          <w:sz w:val="18"/>
        </w:rPr>
      </w:pPr>
      <w:r w:rsidRPr="00372FDE">
        <w:rPr>
          <w:rStyle w:val="FootnoteReference"/>
          <w:rFonts w:asciiTheme="majorHAnsi" w:hAnsiTheme="majorHAnsi"/>
          <w:sz w:val="18"/>
          <w:szCs w:val="18"/>
        </w:rPr>
        <w:footnoteRef/>
      </w:r>
      <w:r w:rsidRPr="00372FDE">
        <w:rPr>
          <w:rFonts w:asciiTheme="majorHAnsi" w:hAnsiTheme="majorHAnsi"/>
          <w:i/>
          <w:sz w:val="18"/>
          <w:szCs w:val="18"/>
        </w:rPr>
        <w:t xml:space="preserve"> </w:t>
      </w:r>
      <w:r w:rsidRPr="00372FDE">
        <w:rPr>
          <w:rStyle w:val="FoonoteTextChar"/>
          <w:i/>
          <w:sz w:val="18"/>
        </w:rPr>
        <w:t>N</w:t>
      </w:r>
      <w:r>
        <w:rPr>
          <w:rStyle w:val="FoonoteTextChar"/>
          <w:i/>
          <w:sz w:val="18"/>
        </w:rPr>
        <w:t>EEWS</w:t>
      </w:r>
      <w:r w:rsidRPr="00372FDE">
        <w:rPr>
          <w:rStyle w:val="FoonoteTextChar"/>
          <w:i/>
          <w:sz w:val="18"/>
        </w:rPr>
        <w:t xml:space="preserve">: Interstate Reliability Project Component </w:t>
      </w:r>
      <w:r w:rsidRPr="00372FDE">
        <w:rPr>
          <w:rStyle w:val="FoonoteTextChar"/>
          <w:rFonts w:eastAsiaTheme="minorHAnsi"/>
          <w:i/>
          <w:sz w:val="18"/>
        </w:rPr>
        <w:t xml:space="preserve">Updated Needs Assessment </w:t>
      </w:r>
      <w:r w:rsidRPr="00372FDE">
        <w:rPr>
          <w:rStyle w:val="FoonoteTextChar"/>
          <w:rFonts w:eastAsiaTheme="minorHAnsi"/>
          <w:sz w:val="18"/>
        </w:rPr>
        <w:t xml:space="preserve">(April 2011), </w:t>
      </w:r>
      <w:hyperlink r:id="rId195" w:history="1">
        <w:r w:rsidRPr="00372FDE">
          <w:rPr>
            <w:rStyle w:val="Hyperlink"/>
            <w:rFonts w:asciiTheme="majorHAnsi" w:hAnsiTheme="majorHAnsi"/>
            <w:sz w:val="18"/>
            <w:szCs w:val="18"/>
          </w:rPr>
          <w:t>https://smd.iso-ne.com/committees/comm_wkgrps/prtcpnts_comm/pac/ceii/reports/2011/neews_interstate_final.pdf</w:t>
        </w:r>
      </w:hyperlink>
      <w:r w:rsidRPr="00372FDE">
        <w:rPr>
          <w:rStyle w:val="FoonoteTextChar"/>
          <w:sz w:val="18"/>
        </w:rPr>
        <w:t>.</w:t>
      </w:r>
    </w:p>
    <w:p w:rsidR="001E3655" w:rsidRPr="00372FDE" w:rsidRDefault="001E3655" w:rsidP="00C561D4">
      <w:pPr>
        <w:pStyle w:val="Default"/>
        <w:spacing w:after="80"/>
        <w:rPr>
          <w:rFonts w:asciiTheme="majorHAnsi" w:hAnsiTheme="majorHAnsi"/>
          <w:sz w:val="18"/>
          <w:szCs w:val="18"/>
        </w:rPr>
      </w:pPr>
      <w:r w:rsidRPr="00372FDE">
        <w:rPr>
          <w:rFonts w:asciiTheme="majorHAnsi" w:hAnsiTheme="majorHAnsi"/>
          <w:i/>
          <w:sz w:val="18"/>
          <w:szCs w:val="18"/>
        </w:rPr>
        <w:t>N</w:t>
      </w:r>
      <w:r>
        <w:rPr>
          <w:rFonts w:asciiTheme="majorHAnsi" w:hAnsiTheme="majorHAnsi"/>
          <w:i/>
          <w:sz w:val="18"/>
          <w:szCs w:val="18"/>
        </w:rPr>
        <w:t>EEWS</w:t>
      </w:r>
      <w:r w:rsidRPr="00372FDE">
        <w:rPr>
          <w:rFonts w:asciiTheme="majorHAnsi" w:hAnsiTheme="majorHAnsi"/>
          <w:i/>
          <w:sz w:val="18"/>
          <w:szCs w:val="18"/>
        </w:rPr>
        <w:t>: Interstate Reliability Project Component Updated Solutions Study Report (</w:t>
      </w:r>
      <w:r w:rsidRPr="00372FDE">
        <w:rPr>
          <w:rFonts w:asciiTheme="majorHAnsi" w:hAnsiTheme="majorHAnsi"/>
          <w:sz w:val="18"/>
          <w:szCs w:val="18"/>
        </w:rPr>
        <w:t xml:space="preserve">February 2012), </w:t>
      </w:r>
      <w:hyperlink r:id="rId196" w:history="1">
        <w:r w:rsidRPr="00372FDE">
          <w:rPr>
            <w:rStyle w:val="Hyperlink"/>
            <w:rFonts w:asciiTheme="majorHAnsi" w:hAnsiTheme="majorHAnsi"/>
            <w:sz w:val="18"/>
            <w:szCs w:val="18"/>
          </w:rPr>
          <w:t>https://smd.iso-ne.com/committees/comm_wkgrps/prtcpnts_comm/pac/ceii/reports/2012/neews_interstate_solution.pdf</w:t>
        </w:r>
      </w:hyperlink>
      <w:r w:rsidRPr="00372FDE">
        <w:rPr>
          <w:rFonts w:asciiTheme="majorHAnsi" w:hAnsiTheme="majorHAnsi"/>
          <w:sz w:val="18"/>
          <w:szCs w:val="18"/>
        </w:rPr>
        <w:t>.</w:t>
      </w:r>
    </w:p>
    <w:p w:rsidR="001E3655" w:rsidRPr="00372FDE" w:rsidRDefault="001E3655" w:rsidP="00C561D4">
      <w:pPr>
        <w:pStyle w:val="Default"/>
        <w:spacing w:after="80"/>
        <w:rPr>
          <w:rFonts w:asciiTheme="majorHAnsi" w:hAnsiTheme="majorHAnsi"/>
          <w:sz w:val="18"/>
          <w:szCs w:val="18"/>
        </w:rPr>
      </w:pPr>
      <w:r w:rsidRPr="00372FDE">
        <w:rPr>
          <w:rFonts w:asciiTheme="majorHAnsi" w:hAnsiTheme="majorHAnsi"/>
          <w:i/>
          <w:sz w:val="18"/>
          <w:szCs w:val="18"/>
        </w:rPr>
        <w:t>Follow-Up Analysis to the 2011 N</w:t>
      </w:r>
      <w:r>
        <w:rPr>
          <w:rFonts w:asciiTheme="majorHAnsi" w:hAnsiTheme="majorHAnsi"/>
          <w:i/>
          <w:sz w:val="18"/>
          <w:szCs w:val="18"/>
        </w:rPr>
        <w:t>EEWS</w:t>
      </w:r>
      <w:r w:rsidRPr="00372FDE">
        <w:rPr>
          <w:rFonts w:asciiTheme="majorHAnsi" w:hAnsiTheme="majorHAnsi"/>
          <w:i/>
          <w:sz w:val="18"/>
          <w:szCs w:val="18"/>
        </w:rPr>
        <w:t>: Interstate Reliability Project Component Updated Needs Assessment</w:t>
      </w:r>
      <w:r w:rsidRPr="00372FDE">
        <w:rPr>
          <w:rFonts w:asciiTheme="majorHAnsi" w:hAnsiTheme="majorHAnsi"/>
          <w:sz w:val="18"/>
          <w:szCs w:val="18"/>
        </w:rPr>
        <w:t xml:space="preserve"> (September 2012), </w:t>
      </w:r>
      <w:hyperlink r:id="rId197" w:history="1">
        <w:r w:rsidRPr="00372FDE">
          <w:rPr>
            <w:rStyle w:val="Hyperlink"/>
            <w:rFonts w:asciiTheme="majorHAnsi" w:hAnsiTheme="majorHAnsi"/>
            <w:sz w:val="18"/>
            <w:szCs w:val="18"/>
          </w:rPr>
          <w:t>https://smd.iso-ne.com/committees/comm_wkgrps/prtcpnts_comm/pac/ceii/reports/2012/neews_needs_addendum_final.pdf</w:t>
        </w:r>
      </w:hyperlink>
      <w:r w:rsidRPr="00372FDE">
        <w:rPr>
          <w:rFonts w:asciiTheme="majorHAnsi" w:hAnsiTheme="majorHAnsi"/>
          <w:sz w:val="18"/>
          <w:szCs w:val="18"/>
        </w:rPr>
        <w:t>.</w:t>
      </w:r>
    </w:p>
    <w:p w:rsidR="001E3655" w:rsidRPr="00372FDE" w:rsidRDefault="001E3655" w:rsidP="00C561D4">
      <w:pPr>
        <w:pStyle w:val="Default"/>
        <w:spacing w:after="80"/>
        <w:rPr>
          <w:rFonts w:asciiTheme="majorHAnsi" w:hAnsiTheme="majorHAnsi"/>
          <w:sz w:val="18"/>
          <w:szCs w:val="18"/>
        </w:rPr>
      </w:pPr>
      <w:r w:rsidRPr="00372FDE">
        <w:rPr>
          <w:rFonts w:asciiTheme="majorHAnsi" w:hAnsiTheme="majorHAnsi"/>
          <w:i/>
          <w:sz w:val="18"/>
          <w:szCs w:val="18"/>
        </w:rPr>
        <w:t>Follow-Up Analysis to the 2012 N</w:t>
      </w:r>
      <w:r>
        <w:rPr>
          <w:rFonts w:asciiTheme="majorHAnsi" w:hAnsiTheme="majorHAnsi"/>
          <w:i/>
          <w:sz w:val="18"/>
          <w:szCs w:val="18"/>
        </w:rPr>
        <w:t>EEWS</w:t>
      </w:r>
      <w:r w:rsidRPr="00372FDE">
        <w:rPr>
          <w:rFonts w:asciiTheme="majorHAnsi" w:hAnsiTheme="majorHAnsi"/>
          <w:i/>
          <w:sz w:val="18"/>
          <w:szCs w:val="18"/>
        </w:rPr>
        <w:t>: Interstate Reliability Project Component Updated Solution Study</w:t>
      </w:r>
      <w:r w:rsidRPr="00372FDE">
        <w:rPr>
          <w:rFonts w:asciiTheme="majorHAnsi" w:hAnsiTheme="majorHAnsi"/>
          <w:sz w:val="18"/>
          <w:szCs w:val="18"/>
        </w:rPr>
        <w:t xml:space="preserve"> (September 2012), </w:t>
      </w:r>
      <w:hyperlink r:id="rId198" w:history="1">
        <w:r w:rsidRPr="00372FDE">
          <w:rPr>
            <w:rStyle w:val="Hyperlink"/>
            <w:rFonts w:asciiTheme="majorHAnsi" w:hAnsiTheme="majorHAnsi"/>
            <w:sz w:val="18"/>
            <w:szCs w:val="18"/>
          </w:rPr>
          <w:t>https://smd.iso-ne.com/committees/comm_wkgrps/prtcpnts_comm/pac/ceii/reports/2012/neews_sol_addendum_final.pdf</w:t>
        </w:r>
      </w:hyperlink>
      <w:r w:rsidRPr="00372FDE">
        <w:rPr>
          <w:rFonts w:asciiTheme="majorHAnsi" w:hAnsiTheme="majorHAnsi"/>
          <w:sz w:val="18"/>
          <w:szCs w:val="18"/>
        </w:rPr>
        <w:t>.</w:t>
      </w:r>
    </w:p>
  </w:footnote>
  <w:footnote w:id="215">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The original Interstate Project included the following major components: a new Millbury–West </w:t>
      </w:r>
      <w:proofErr w:type="spellStart"/>
      <w:r w:rsidRPr="00372FDE">
        <w:t>Farnum</w:t>
      </w:r>
      <w:proofErr w:type="spellEnd"/>
      <w:r w:rsidRPr="00372FDE">
        <w:t>–Lake Road–Card Street 345 kV line and associated substation upgrades; four 345 kV, 120 MVAR capacitor banks at Montville; and the looping in of the Millstone–Manchester 345 kV line into the Card Street substation.</w:t>
      </w:r>
    </w:p>
  </w:footnote>
  <w:footnote w:id="216">
    <w:p w:rsidR="001E3655" w:rsidRDefault="001E3655">
      <w:pPr>
        <w:pStyle w:val="FootnoteText"/>
      </w:pPr>
      <w:r w:rsidRPr="003260B6">
        <w:rPr>
          <w:rStyle w:val="FootnoteReference"/>
          <w:rFonts w:asciiTheme="majorHAnsi" w:hAnsiTheme="majorHAnsi"/>
          <w:sz w:val="18"/>
        </w:rPr>
        <w:footnoteRef/>
      </w:r>
      <w:r w:rsidRPr="00372FDE">
        <w:t xml:space="preserve"> </w:t>
      </w:r>
      <w:proofErr w:type="spellStart"/>
      <w:proofErr w:type="gramStart"/>
      <w:r w:rsidRPr="00372FDE">
        <w:rPr>
          <w:i/>
        </w:rPr>
        <w:t>Brayton</w:t>
      </w:r>
      <w:proofErr w:type="spellEnd"/>
      <w:r w:rsidRPr="00372FDE">
        <w:rPr>
          <w:i/>
        </w:rPr>
        <w:t xml:space="preserve"> Point Station </w:t>
      </w:r>
      <w:proofErr w:type="spellStart"/>
      <w:r w:rsidRPr="00372FDE">
        <w:rPr>
          <w:i/>
        </w:rPr>
        <w:t>Nonprice</w:t>
      </w:r>
      <w:proofErr w:type="spellEnd"/>
      <w:r w:rsidRPr="00372FDE">
        <w:rPr>
          <w:i/>
        </w:rPr>
        <w:t xml:space="preserve"> Retirement</w:t>
      </w:r>
      <w:r w:rsidRPr="00372FDE">
        <w:t xml:space="preserve"> (February 18, 2014), </w:t>
      </w:r>
      <w:hyperlink r:id="rId199" w:history="1">
        <w:r w:rsidRPr="007C5FED">
          <w:rPr>
            <w:rStyle w:val="Hyperlink"/>
          </w:rPr>
          <w:t>https://smd.iso-ne.com/committees/comm_wkgrps/relblty_comm/relblty/ceii/ceii_mtrls/2014/feb182014/a8_brayton_py_npr_follow_up_analysis.pdf</w:t>
        </w:r>
      </w:hyperlink>
      <w:r w:rsidRPr="00372FDE">
        <w:t>.</w:t>
      </w:r>
      <w:proofErr w:type="gramEnd"/>
    </w:p>
  </w:footnote>
  <w:footnote w:id="217">
    <w:p w:rsidR="001E3655" w:rsidRDefault="001E3655">
      <w:pPr>
        <w:pStyle w:val="FoonoteText"/>
      </w:pPr>
      <w:r w:rsidRPr="00152A55">
        <w:rPr>
          <w:rStyle w:val="FootnoteReference"/>
          <w:rFonts w:asciiTheme="majorHAnsi" w:eastAsiaTheme="majorEastAsia" w:hAnsiTheme="majorHAnsi"/>
          <w:sz w:val="18"/>
        </w:rPr>
        <w:footnoteRef/>
      </w:r>
      <w:r w:rsidRPr="00152A55">
        <w:rPr>
          <w:i/>
        </w:rPr>
        <w:t xml:space="preserve"> Greater Boston Area Transmission Needs Assessment</w:t>
      </w:r>
      <w:r w:rsidRPr="00152A55">
        <w:t xml:space="preserve"> (July 2010) can be accessed at</w:t>
      </w:r>
      <w:r>
        <w:t xml:space="preserve"> </w:t>
      </w:r>
      <w:hyperlink r:id="rId200" w:history="1">
        <w:r w:rsidRPr="00152A55">
          <w:rPr>
            <w:rStyle w:val="Hyperlink"/>
          </w:rPr>
          <w:t>http://www.iso-ne.com/system-planning/key-study-areas/greater-boston</w:t>
        </w:r>
      </w:hyperlink>
      <w:r w:rsidRPr="00152A55">
        <w:t>.</w:t>
      </w:r>
    </w:p>
  </w:footnote>
  <w:footnote w:id="218">
    <w:p w:rsidR="001E3655" w:rsidRDefault="001E3655">
      <w:pPr>
        <w:pStyle w:val="FootnoteText"/>
      </w:pPr>
      <w:r w:rsidRPr="00100B93">
        <w:rPr>
          <w:rStyle w:val="FootnoteReference"/>
          <w:rFonts w:asciiTheme="majorHAnsi" w:hAnsiTheme="majorHAnsi"/>
          <w:sz w:val="18"/>
        </w:rPr>
        <w:footnoteRef/>
      </w:r>
      <w:r>
        <w:t xml:space="preserve"> </w:t>
      </w:r>
      <w:r w:rsidRPr="00100B93">
        <w:t xml:space="preserve">The ISO had previously identified a preferred AC solution from several considered alternatives for the area. At the request of stakeholders, the ISO began evaluating another alternative that </w:t>
      </w:r>
      <w:proofErr w:type="gramStart"/>
      <w:r w:rsidRPr="00100B93">
        <w:t>was offered</w:t>
      </w:r>
      <w:proofErr w:type="gramEnd"/>
      <w:r w:rsidRPr="00100B93">
        <w:t xml:space="preserve"> after the close of the original alternative review and after a preferred solution was identified. ISO New England, “</w:t>
      </w:r>
      <w:r>
        <w:t xml:space="preserve">Greater Boston Key </w:t>
      </w:r>
      <w:r w:rsidRPr="00100B93">
        <w:t xml:space="preserve">Study Area,” webpage (2014), </w:t>
      </w:r>
      <w:hyperlink r:id="rId201" w:history="1">
        <w:r w:rsidRPr="00065CB2">
          <w:rPr>
            <w:rStyle w:val="Hyperlink"/>
          </w:rPr>
          <w:t>http://www.iso-ne.com/system-planning/key-study-areas/greater-boston</w:t>
        </w:r>
      </w:hyperlink>
      <w:r w:rsidRPr="00372FDE">
        <w:t>.</w:t>
      </w:r>
    </w:p>
  </w:footnote>
  <w:footnote w:id="219">
    <w:p w:rsidR="001E3655" w:rsidRDefault="001E3655">
      <w:pPr>
        <w:pStyle w:val="FootnoteText"/>
      </w:pPr>
      <w:r w:rsidRPr="00F43157">
        <w:rPr>
          <w:rStyle w:val="FootnoteReference"/>
        </w:rPr>
        <w:footnoteRef/>
      </w:r>
      <w:r w:rsidRPr="00F43157">
        <w:t xml:space="preserve"> </w:t>
      </w:r>
      <w:r w:rsidRPr="00F43157">
        <w:rPr>
          <w:i/>
        </w:rPr>
        <w:t>Evaluation of Need for Footprint Combined Cycle for the 2016/2017 and 2017/2018 Capacity</w:t>
      </w:r>
      <w:r w:rsidRPr="0040265D">
        <w:rPr>
          <w:i/>
        </w:rPr>
        <w:t xml:space="preserve"> Commitment Periods</w:t>
      </w:r>
      <w:r>
        <w:rPr>
          <w:i/>
        </w:rPr>
        <w:t xml:space="preserve"> </w:t>
      </w:r>
      <w:r w:rsidRPr="0040265D">
        <w:rPr>
          <w:i/>
        </w:rPr>
        <w:t>Summary Report</w:t>
      </w:r>
      <w:r>
        <w:t xml:space="preserve"> (August 2014), </w:t>
      </w:r>
      <w:hyperlink r:id="rId202" w:history="1">
        <w:r w:rsidRPr="0040265D">
          <w:rPr>
            <w:rStyle w:val="Hyperlink"/>
          </w:rPr>
          <w:t>https://smd.iso-ne.com/committees/comm_wkgrps/relblty_comm/relblty/ceii/ceii_mtrls/2014/aug152014/a4_footprint_power_evaluation_of_need_report.pdf</w:t>
        </w:r>
      </w:hyperlink>
      <w:r w:rsidRPr="0040265D">
        <w:t>.</w:t>
      </w:r>
    </w:p>
  </w:footnote>
  <w:footnote w:id="220">
    <w:p w:rsidR="001E3655" w:rsidRDefault="001E3655">
      <w:pPr>
        <w:pStyle w:val="FootnoteText"/>
      </w:pPr>
      <w:r>
        <w:rPr>
          <w:rStyle w:val="FootnoteReference"/>
        </w:rPr>
        <w:footnoteRef/>
      </w:r>
      <w:r>
        <w:t xml:space="preserve"> </w:t>
      </w:r>
      <w:r>
        <w:rPr>
          <w:i/>
        </w:rPr>
        <w:t xml:space="preserve">Advanced Greater Boston Solutions—Update, </w:t>
      </w:r>
      <w:r>
        <w:t xml:space="preserve">PAC presentation (June 19, 2014), </w:t>
      </w:r>
      <w:hyperlink r:id="rId203" w:history="1">
        <w:r w:rsidRPr="0097702D">
          <w:rPr>
            <w:rStyle w:val="Hyperlink"/>
          </w:rPr>
          <w:t>https://smd.iso-ne.com/committees/comm_wkgrps/prtcpnts_comm/pac/ceii/mtrls/2014/jun192014/a7_greater_boston_north_cambridge_stuck_breaker.pdf</w:t>
        </w:r>
      </w:hyperlink>
      <w:r>
        <w:t>.</w:t>
      </w:r>
    </w:p>
  </w:footnote>
  <w:footnote w:id="221">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NSTAR Underground Cable Ratings Update</w:t>
      </w:r>
      <w:r w:rsidRPr="00372FDE">
        <w:t xml:space="preserve">, PAC presentation (April 2013), </w:t>
      </w:r>
      <w:hyperlink r:id="rId204" w:history="1">
        <w:r w:rsidRPr="00F4044F">
          <w:rPr>
            <w:rStyle w:val="Hyperlink"/>
          </w:rPr>
          <w:t>https://smd.iso-ne.com/committees/comm_wkgrps/prtcpnts_comm/pac/ceii/mtrls/2013/apr242013/a10_nstar_greater_boston_cable_ratings.pdf</w:t>
        </w:r>
      </w:hyperlink>
      <w:r w:rsidRPr="00372FDE">
        <w:t>.</w:t>
      </w:r>
      <w:proofErr w:type="gramEnd"/>
    </w:p>
  </w:footnote>
  <w:footnote w:id="222">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Greater Boston Study Needs Assessment/Solution Study Status Update</w:t>
      </w:r>
      <w:r w:rsidRPr="00372FDE">
        <w:t xml:space="preserve">, PAC presentation (March 2012), </w:t>
      </w:r>
      <w:hyperlink r:id="rId205" w:history="1">
        <w:r w:rsidRPr="00372FDE">
          <w:rPr>
            <w:rStyle w:val="Hyperlink"/>
          </w:rPr>
          <w:t>https://smd.iso-ne.com/committees/comm_wkgrps/prtcpnts_comm/pac/ceii/mtrls/2012/mar142012/gbwg_update.pdf</w:t>
        </w:r>
      </w:hyperlink>
      <w:r w:rsidRPr="00372FDE">
        <w:t>.</w:t>
      </w:r>
      <w:proofErr w:type="gramEnd"/>
    </w:p>
  </w:footnote>
  <w:footnote w:id="223">
    <w:p w:rsidR="001E3655" w:rsidRDefault="001E3655">
      <w:pPr>
        <w:pStyle w:val="FootnoteText"/>
      </w:pPr>
      <w:r>
        <w:rPr>
          <w:rStyle w:val="FootnoteReference"/>
        </w:rPr>
        <w:footnoteRef/>
      </w:r>
      <w:r>
        <w:t xml:space="preserve"> </w:t>
      </w:r>
      <w:proofErr w:type="gramStart"/>
      <w:r>
        <w:rPr>
          <w:i/>
        </w:rPr>
        <w:t>Greater Boston Solutions Study Update</w:t>
      </w:r>
      <w:r>
        <w:t xml:space="preserve">, PAC presentation (June 19, 2014), </w:t>
      </w:r>
      <w:hyperlink r:id="rId206" w:history="1">
        <w:r w:rsidRPr="00AA45A0">
          <w:rPr>
            <w:rStyle w:val="Hyperlink"/>
          </w:rPr>
          <w:t>http://www.iso-ne.com/committees/comm_wkgrps/prtcpnts_comm/pac/mtrls/2014/jun192014/a4_greater_boston_solution_study_cost_estimates.pdf</w:t>
        </w:r>
      </w:hyperlink>
      <w:r>
        <w:t>.</w:t>
      </w:r>
      <w:proofErr w:type="gramEnd"/>
    </w:p>
  </w:footnote>
  <w:footnote w:id="224">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i/>
        </w:rPr>
        <w:t>Pittsfield–Greenfield</w:t>
      </w:r>
      <w:r>
        <w:rPr>
          <w:i/>
        </w:rPr>
        <w:t>,</w:t>
      </w:r>
      <w:r w:rsidRPr="00372FDE">
        <w:rPr>
          <w:i/>
        </w:rPr>
        <w:t xml:space="preserve"> MA</w:t>
      </w:r>
      <w:r>
        <w:rPr>
          <w:i/>
        </w:rPr>
        <w:t>,</w:t>
      </w:r>
      <w:r w:rsidRPr="00372FDE">
        <w:rPr>
          <w:i/>
        </w:rPr>
        <w:t xml:space="preserve"> Area Transmission: Preferred Solution and Alternatives Study</w:t>
      </w:r>
      <w:r w:rsidRPr="00372FDE">
        <w:t>, PAC presentation (October</w:t>
      </w:r>
      <w:r>
        <w:t xml:space="preserve"> </w:t>
      </w:r>
      <w:r w:rsidRPr="00372FDE">
        <w:t xml:space="preserve">2010), </w:t>
      </w:r>
      <w:hyperlink r:id="rId207" w:history="1">
        <w:r w:rsidRPr="00351D08">
          <w:rPr>
            <w:rStyle w:val="Hyperlink"/>
          </w:rPr>
          <w:t>https://smd.iso-ne.com/committees/comm_wkgrps/prtcpnts_comm/pac/ceii/mtrls/2010/oct212010/pittsfield_greenfield.pdf</w:t>
        </w:r>
      </w:hyperlink>
      <w:r w:rsidRPr="00F4044F">
        <w:t>.</w:t>
      </w:r>
      <w:proofErr w:type="gramEnd"/>
    </w:p>
  </w:footnote>
  <w:footnote w:id="225">
    <w:p w:rsidR="001E3655" w:rsidRPr="00372FDE" w:rsidRDefault="001E3655" w:rsidP="00C561D4">
      <w:pPr>
        <w:pStyle w:val="CommentText"/>
        <w:spacing w:after="80"/>
        <w:rPr>
          <w:rFonts w:asciiTheme="majorHAnsi" w:hAnsiTheme="majorHAnsi"/>
          <w:sz w:val="18"/>
          <w:szCs w:val="18"/>
        </w:rPr>
      </w:pPr>
      <w:r w:rsidRPr="00F4044F">
        <w:rPr>
          <w:rStyle w:val="FootnoteReference"/>
          <w:rFonts w:asciiTheme="majorHAnsi" w:hAnsiTheme="majorHAnsi"/>
          <w:sz w:val="18"/>
          <w:szCs w:val="18"/>
        </w:rPr>
        <w:footnoteRef/>
      </w:r>
      <w:r w:rsidRPr="00F4044F">
        <w:rPr>
          <w:rFonts w:asciiTheme="majorHAnsi" w:hAnsiTheme="majorHAnsi"/>
          <w:sz w:val="18"/>
          <w:szCs w:val="18"/>
        </w:rPr>
        <w:t xml:space="preserve"> </w:t>
      </w:r>
      <w:proofErr w:type="gramStart"/>
      <w:r w:rsidRPr="00F4044F">
        <w:rPr>
          <w:rFonts w:asciiTheme="majorHAnsi" w:hAnsiTheme="majorHAnsi"/>
          <w:i/>
          <w:sz w:val="18"/>
          <w:szCs w:val="18"/>
        </w:rPr>
        <w:t>Pittsfield–Greenfield 2022 Needs Assessment: N-1 and N-1-1 Results</w:t>
      </w:r>
      <w:r w:rsidRPr="00F4044F">
        <w:rPr>
          <w:rFonts w:asciiTheme="majorHAnsi" w:hAnsiTheme="majorHAnsi"/>
          <w:sz w:val="18"/>
          <w:szCs w:val="18"/>
        </w:rPr>
        <w:t xml:space="preserve">, PAC presentation (July 9, 2013), </w:t>
      </w:r>
      <w:hyperlink r:id="rId208" w:history="1">
        <w:r w:rsidRPr="00F4044F">
          <w:rPr>
            <w:rStyle w:val="Hyperlink"/>
            <w:sz w:val="18"/>
            <w:szCs w:val="18"/>
          </w:rPr>
          <w:t>https://smd.iso-ne.com/committees/comm_wkgrps/prtcpnts_comm/pac/ceii/mtrls/2013/jul92013/a4_pittsfield_greenfield_needs_assessment_rev1.pdf</w:t>
        </w:r>
      </w:hyperlink>
      <w:r w:rsidRPr="00F4044F">
        <w:rPr>
          <w:rFonts w:asciiTheme="majorHAnsi" w:hAnsiTheme="majorHAnsi"/>
          <w:sz w:val="18"/>
          <w:szCs w:val="18"/>
        </w:rPr>
        <w:t>.</w:t>
      </w:r>
      <w:proofErr w:type="gramEnd"/>
    </w:p>
  </w:footnote>
  <w:footnote w:id="226">
    <w:p w:rsidR="001E3655" w:rsidRDefault="001E3655">
      <w:pPr>
        <w:pStyle w:val="FootnoteText"/>
      </w:pPr>
      <w:r w:rsidRPr="00372FDE">
        <w:rPr>
          <w:rStyle w:val="FootnoteReference"/>
          <w:rFonts w:asciiTheme="majorHAnsi" w:hAnsiTheme="majorHAnsi"/>
          <w:sz w:val="18"/>
        </w:rPr>
        <w:footnoteRef/>
      </w:r>
      <w:r w:rsidRPr="00372FDE">
        <w:t xml:space="preserve"> </w:t>
      </w:r>
      <w:r w:rsidRPr="00372FDE">
        <w:rPr>
          <w:i/>
        </w:rPr>
        <w:t>SWCT Area Transmission Needs Assessment</w:t>
      </w:r>
      <w:r w:rsidRPr="00372FDE">
        <w:t xml:space="preserve"> (July 13, 2011), </w:t>
      </w:r>
      <w:hyperlink r:id="rId209" w:history="1">
        <w:r w:rsidRPr="00AB31F8">
          <w:rPr>
            <w:rStyle w:val="Hyperlink"/>
          </w:rPr>
          <w:t>https://smd.iso-ne.com/committees/comm_wkgrps/prtcpnts_comm/pac/ceii/reports/2011/final_swct_needs_report.pdf</w:t>
        </w:r>
      </w:hyperlink>
      <w:r w:rsidRPr="00372FDE">
        <w:t>.</w:t>
      </w:r>
    </w:p>
  </w:footnote>
  <w:footnote w:id="227">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SWCT Update on Continuing Alternatives Analyses</w:t>
      </w:r>
      <w:r w:rsidRPr="00372FDE">
        <w:t xml:space="preserve"> (November 16, 2011), </w:t>
      </w:r>
      <w:hyperlink r:id="rId210" w:history="1">
        <w:r w:rsidRPr="00372FDE">
          <w:rPr>
            <w:rStyle w:val="Hyperlink"/>
          </w:rPr>
          <w:t>https://smd.iso-ne.com/committees/comm_wkgrps/prtcpnts_comm/pac/ceii/mtrls/2011/nov162011/swct_solution_study.pdf</w:t>
        </w:r>
      </w:hyperlink>
      <w:r w:rsidRPr="00372FDE">
        <w:t>.</w:t>
      </w:r>
      <w:proofErr w:type="gramEnd"/>
    </w:p>
  </w:footnote>
  <w:footnote w:id="228">
    <w:p w:rsidR="001E3655" w:rsidRDefault="001E3655">
      <w:pPr>
        <w:pStyle w:val="FootnoteText"/>
      </w:pPr>
      <w:r w:rsidRPr="00372FDE">
        <w:rPr>
          <w:rStyle w:val="FootnoteReference"/>
          <w:rFonts w:asciiTheme="majorHAnsi" w:hAnsiTheme="majorHAnsi"/>
          <w:sz w:val="18"/>
        </w:rPr>
        <w:footnoteRef/>
      </w:r>
      <w:r w:rsidRPr="00372FDE">
        <w:t xml:space="preserve"> </w:t>
      </w:r>
      <w:r w:rsidRPr="00372FDE">
        <w:rPr>
          <w:i/>
        </w:rPr>
        <w:t>Southwest Connecticut Advanced Solutions Introduction</w:t>
      </w:r>
      <w:r w:rsidRPr="00372FDE">
        <w:t xml:space="preserve"> (April 13, 2011), </w:t>
      </w:r>
      <w:hyperlink r:id="rId211" w:history="1">
        <w:r w:rsidRPr="00372FDE">
          <w:rPr>
            <w:rStyle w:val="Hyperlink"/>
          </w:rPr>
          <w:t>https://smd.iso-ne.com/committees/comm_wkgrps/prtcpnts_comm/pac/ceii/mtrls/2011/apr132011/swct_adv_sol_intro.pdf</w:t>
        </w:r>
      </w:hyperlink>
      <w:r w:rsidRPr="00372FDE">
        <w:t>.</w:t>
      </w:r>
    </w:p>
    <w:p w:rsidR="001E3655" w:rsidRDefault="001E3655">
      <w:pPr>
        <w:pStyle w:val="FootnoteText"/>
      </w:pPr>
      <w:r w:rsidRPr="00372FDE">
        <w:t xml:space="preserve"> </w:t>
      </w:r>
      <w:proofErr w:type="gramStart"/>
      <w:r w:rsidRPr="00372FDE">
        <w:rPr>
          <w:i/>
        </w:rPr>
        <w:t>SWCT Advanced Solutions Mill River to Quinnipiac 8300 Line Reconfiguration Project</w:t>
      </w:r>
      <w:r w:rsidRPr="00372FDE">
        <w:t xml:space="preserve"> (April 13, 2011), </w:t>
      </w:r>
      <w:hyperlink r:id="rId212" w:history="1">
        <w:r w:rsidRPr="00372FDE">
          <w:rPr>
            <w:rStyle w:val="Hyperlink"/>
          </w:rPr>
          <w:t>https://smd.iso-ne.com/committees/comm_wkgrps/prtcpnts_comm/pac/ceii/mtrls/2011/apr132011/8300_line.pdf</w:t>
        </w:r>
      </w:hyperlink>
      <w:r w:rsidRPr="00372FDE">
        <w:t>.</w:t>
      </w:r>
      <w:proofErr w:type="gramEnd"/>
    </w:p>
    <w:p w:rsidR="001E3655" w:rsidRDefault="001E3655">
      <w:pPr>
        <w:pStyle w:val="FootnoteText"/>
      </w:pPr>
      <w:r w:rsidRPr="00372FDE">
        <w:rPr>
          <w:i/>
        </w:rPr>
        <w:t>SWCT Advanced Solutions Stamford Reliability Project</w:t>
      </w:r>
      <w:r w:rsidRPr="00372FDE">
        <w:t xml:space="preserve"> (April 13, 2011), </w:t>
      </w:r>
      <w:hyperlink r:id="rId213" w:history="1">
        <w:r w:rsidRPr="00372FDE">
          <w:rPr>
            <w:rStyle w:val="Hyperlink"/>
          </w:rPr>
          <w:t>https://smd.iso-ne.com/committees/comm_wkgrps/prtcpnts_comm/pac/ceii/mtrls/2011/apr132011/stamford.pdf</w:t>
        </w:r>
      </w:hyperlink>
      <w:r w:rsidRPr="00372FDE">
        <w:t>.</w:t>
      </w:r>
    </w:p>
  </w:footnote>
  <w:footnote w:id="229">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Southwest Connecticut 2022 Needs Assessment</w:t>
      </w:r>
      <w:r w:rsidRPr="00372FDE">
        <w:t xml:space="preserve"> (May 23, 2013), </w:t>
      </w:r>
      <w:hyperlink r:id="rId214" w:history="1">
        <w:r w:rsidRPr="00372FDE">
          <w:rPr>
            <w:rStyle w:val="Hyperlink"/>
          </w:rPr>
          <w:t>https://smd.iso-ne.com/committees/comm_wkgrps/prtcpnts_comm/pac/ceii/mtrls/2013/may232013/a3_swct_needs_assessment_052313.pdf</w:t>
        </w:r>
      </w:hyperlink>
      <w:r w:rsidRPr="00372FDE">
        <w:t>.</w:t>
      </w:r>
    </w:p>
  </w:footnote>
  <w:footnote w:id="230">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Southwest Connecticut 2022 Needs Assessment</w:t>
      </w:r>
      <w:r w:rsidRPr="00372FDE">
        <w:t xml:space="preserve"> II (February 19, 2014), </w:t>
      </w:r>
      <w:hyperlink r:id="rId215" w:history="1">
        <w:r w:rsidRPr="00AB31F8">
          <w:rPr>
            <w:rStyle w:val="Hyperlink"/>
          </w:rPr>
          <w:t>https://smd.iso-ne.com/committees/comm_wkgrps/prtcpnts_comm/pac/ceii/mtrls/2014/feb192014/a9_swct_needs_assessment_2.pdf</w:t>
        </w:r>
      </w:hyperlink>
      <w:r w:rsidRPr="00372FDE">
        <w:t>.</w:t>
      </w:r>
      <w:r w:rsidRPr="00372FDE" w:rsidDel="00B65FB3">
        <w:t xml:space="preserve"> </w:t>
      </w:r>
      <w:r>
        <w:rPr>
          <w:i/>
        </w:rPr>
        <w:t>Southwest Connecticut Area Transmission 2022 Needs Assessment</w:t>
      </w:r>
      <w:r>
        <w:t xml:space="preserve"> (June 2014), </w:t>
      </w:r>
      <w:hyperlink r:id="rId216" w:history="1">
        <w:r w:rsidRPr="007917FC">
          <w:rPr>
            <w:rStyle w:val="Hyperlink"/>
          </w:rPr>
          <w:t>https://smd.iso-ne.com/committees/comm_wkgrps/prtcpnts_comm/pac/ceii/reports/2014/final_swct_2022_needs.pdf</w:t>
        </w:r>
      </w:hyperlink>
      <w:r>
        <w:t>.</w:t>
      </w:r>
    </w:p>
  </w:footnote>
  <w:footnote w:id="231">
    <w:p w:rsidR="001E3655" w:rsidRDefault="001E3655">
      <w:pPr>
        <w:pStyle w:val="FootnoteText"/>
      </w:pPr>
      <w:r w:rsidRPr="003260B6">
        <w:rPr>
          <w:rStyle w:val="FootnoteReference"/>
          <w:rFonts w:asciiTheme="majorHAnsi" w:hAnsiTheme="majorHAnsi"/>
          <w:sz w:val="18"/>
        </w:rPr>
        <w:footnoteRef/>
      </w:r>
      <w:r w:rsidRPr="00372FDE">
        <w:t xml:space="preserve"> Greater Hartford and Central Connecticut Working Group (ISO New England, Northeast Utilities, and United Illuminating), </w:t>
      </w:r>
      <w:r w:rsidRPr="00372FDE">
        <w:rPr>
          <w:i/>
        </w:rPr>
        <w:t xml:space="preserve">Greater Hartford and Central Connecticut Area Transmission 2022 Needs Assessment </w:t>
      </w:r>
      <w:r w:rsidRPr="00372FDE">
        <w:t xml:space="preserve">(April 2014), </w:t>
      </w:r>
      <w:hyperlink r:id="rId217" w:history="1">
        <w:r w:rsidRPr="00AB31F8">
          <w:rPr>
            <w:rStyle w:val="Hyperlink"/>
          </w:rPr>
          <w:t>http://www.iso-ne.com/system-planning/key-study-areas/greater-hartford</w:t>
        </w:r>
      </w:hyperlink>
      <w:r>
        <w:t>.</w:t>
      </w:r>
    </w:p>
  </w:footnote>
  <w:footnote w:id="232">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Eastern Connecticut Area Needs Assessment Updates</w:t>
      </w:r>
      <w:r w:rsidRPr="00372FDE">
        <w:t xml:space="preserve">, PAC presentation (July 9, 2013), </w:t>
      </w:r>
      <w:hyperlink r:id="rId218" w:history="1">
        <w:r w:rsidRPr="00D070D3">
          <w:rPr>
            <w:rStyle w:val="Hyperlink"/>
          </w:rPr>
          <w:t>https://smd.iso-ne.com/committees/comm_wkgrps/prtcpnts_comm/pac/ceii/mtrls/2013/jul92013/a3_eastern_ct_final_needs_assessment.pdf</w:t>
        </w:r>
      </w:hyperlink>
      <w:r w:rsidRPr="00372FDE">
        <w:t>.</w:t>
      </w:r>
      <w:proofErr w:type="gramEnd"/>
    </w:p>
  </w:footnote>
  <w:footnote w:id="233">
    <w:p w:rsidR="001E3655" w:rsidRDefault="001E3655">
      <w:pPr>
        <w:pStyle w:val="FootnoteText"/>
      </w:pPr>
      <w:r w:rsidRPr="00EF06BF">
        <w:rPr>
          <w:rStyle w:val="FootnoteReference"/>
          <w:rFonts w:asciiTheme="majorHAnsi" w:hAnsiTheme="majorHAnsi"/>
          <w:sz w:val="18"/>
        </w:rPr>
        <w:footnoteRef/>
      </w:r>
      <w:r w:rsidRPr="00EF06BF">
        <w:t xml:space="preserve"> The PTOs have certified that the IRP project would be in service by December 2015 and have listed this as the project’s in-service date in the </w:t>
      </w:r>
      <w:r w:rsidRPr="009842F2">
        <w:rPr>
          <w:i/>
        </w:rPr>
        <w:t>RSP Project List</w:t>
      </w:r>
      <w:r w:rsidRPr="00EF06BF">
        <w:t>. The ISO has accepted the PTO’s certification of the IRP project for FCA</w:t>
      </w:r>
      <w:r>
        <w:t> </w:t>
      </w:r>
      <w:r w:rsidRPr="00EF06BF">
        <w:t>#8, and has accepted—for conducting the calculations described in Section 4—that the project will be in service by June 1, 2017, although it may be in service before that date.</w:t>
      </w:r>
    </w:p>
  </w:footnote>
  <w:footnote w:id="234">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bCs/>
          <w:i/>
        </w:rPr>
        <w:t>Western Massachusetts Transmission Reinforcements 2007 to 2017</w:t>
      </w:r>
      <w:r w:rsidRPr="00372FDE">
        <w:t xml:space="preserve"> (September 2007), </w:t>
      </w:r>
      <w:hyperlink r:id="rId219" w:history="1">
        <w:r w:rsidRPr="00372FDE">
          <w:rPr>
            <w:rStyle w:val="Hyperlink"/>
          </w:rPr>
          <w:t>http://www.iso-ne.com/committees/comm_wkgrps/relblty_comm/relblty/mtrls/2007/oct102007/zip2_western_ma_ppa.zip</w:t>
        </w:r>
      </w:hyperlink>
      <w:r w:rsidRPr="00372FDE">
        <w:t>.</w:t>
      </w:r>
      <w:proofErr w:type="gramEnd"/>
    </w:p>
  </w:footnote>
  <w:footnote w:id="235">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t xml:space="preserve">National Grid, </w:t>
      </w:r>
      <w:r w:rsidRPr="00372FDE">
        <w:rPr>
          <w:i/>
        </w:rPr>
        <w:t>Auburn St. Substation Upgrades System Impact Study</w:t>
      </w:r>
      <w:r w:rsidRPr="00372FDE">
        <w:t xml:space="preserve"> (November 2007) and </w:t>
      </w:r>
      <w:r w:rsidRPr="00372FDE">
        <w:rPr>
          <w:i/>
        </w:rPr>
        <w:t>Auburn St. Substation and Area Transmission System Reliability Study</w:t>
      </w:r>
      <w:r w:rsidRPr="00372FDE">
        <w:t xml:space="preserve"> (July 2007), </w:t>
      </w:r>
      <w:hyperlink r:id="rId220" w:history="1">
        <w:r w:rsidRPr="00372FDE">
          <w:rPr>
            <w:rStyle w:val="Hyperlink"/>
          </w:rPr>
          <w:t>http://www.iso-ne.com/committees/comm_wkgrps/relblty_comm/relblty/mtrls/2007/dec192007/Zip%203%20auburn%20area.zip</w:t>
        </w:r>
      </w:hyperlink>
      <w:r w:rsidRPr="00372FDE">
        <w:t>.</w:t>
      </w:r>
      <w:proofErr w:type="gramEnd"/>
    </w:p>
  </w:footnote>
  <w:footnote w:id="236">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bCs/>
          <w:i/>
        </w:rPr>
        <w:t>Lower SEMA Short-Term Upgrades System Impact Study Steady-State Analysis</w:t>
      </w:r>
      <w:r w:rsidRPr="00372FDE">
        <w:t xml:space="preserve"> (May 3, 2007), </w:t>
      </w:r>
      <w:hyperlink r:id="rId221" w:history="1">
        <w:r w:rsidRPr="00372FDE">
          <w:rPr>
            <w:rStyle w:val="Hyperlink"/>
          </w:rPr>
          <w:t>http://www.iso-ne.com/committees/comm_wkgrps/relblty_comm/relblty/mtrls/2007/aug82007/zip1b_study-reports.zip</w:t>
        </w:r>
      </w:hyperlink>
      <w:r w:rsidRPr="00372FDE">
        <w:t>.</w:t>
      </w:r>
      <w:proofErr w:type="gramEnd"/>
    </w:p>
  </w:footnote>
  <w:footnote w:id="237">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This circuit’s designated line number is “115,” coincidentally the same as the voltage class.</w:t>
      </w:r>
    </w:p>
  </w:footnote>
  <w:footnote w:id="238">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rPr>
          <w:bCs/>
          <w:i/>
        </w:rPr>
        <w:t>Greater Rhode Island Transmission Reinforcements</w:t>
      </w:r>
      <w:r w:rsidRPr="00372FDE">
        <w:t xml:space="preserve"> (March 2008), </w:t>
      </w:r>
      <w:hyperlink r:id="rId222" w:history="1">
        <w:r w:rsidRPr="00372FDE">
          <w:rPr>
            <w:rStyle w:val="Hyperlink"/>
          </w:rPr>
          <w:t>http://www.iso-ne.com/committees/comm_wkgrps/relblty_comm/relblty/mtrls/2008/apr152008/zip1_gri-study-reports.zip</w:t>
        </w:r>
      </w:hyperlink>
      <w:r w:rsidRPr="00372FDE">
        <w:t>.</w:t>
      </w:r>
      <w:proofErr w:type="gramEnd"/>
    </w:p>
  </w:footnote>
  <w:footnote w:id="239">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SWCT Advanced Solutions–Mill River to Quinnipiac 8300 Line Reconfiguration</w:t>
      </w:r>
      <w:r w:rsidRPr="00372FDE">
        <w:t xml:space="preserve"> (April 13, 2011), </w:t>
      </w:r>
      <w:hyperlink r:id="rId223" w:history="1">
        <w:r w:rsidRPr="00372FDE">
          <w:rPr>
            <w:rStyle w:val="Hyperlink"/>
          </w:rPr>
          <w:t>https://smd.iso-ne.com/committees/comm_wkgrps/prtcpnts_comm/pac/ceii/mtrls/2011/apr132011/8300_line.pdf</w:t>
        </w:r>
      </w:hyperlink>
      <w:r w:rsidRPr="00372FDE">
        <w:t>.</w:t>
      </w:r>
      <w:proofErr w:type="gramEnd"/>
    </w:p>
  </w:footnote>
  <w:footnote w:id="240">
    <w:p w:rsidR="001E3655" w:rsidRDefault="001E3655">
      <w:pPr>
        <w:pStyle w:val="FootnoteText"/>
      </w:pPr>
      <w:r w:rsidRPr="00372FDE">
        <w:rPr>
          <w:rStyle w:val="FootnoteReference"/>
          <w:rFonts w:asciiTheme="majorHAnsi" w:hAnsiTheme="majorHAnsi"/>
          <w:sz w:val="18"/>
        </w:rPr>
        <w:footnoteRef/>
      </w:r>
      <w:r w:rsidRPr="00372FDE">
        <w:t xml:space="preserve"> </w:t>
      </w:r>
      <w:r w:rsidRPr="00372FDE">
        <w:rPr>
          <w:i/>
        </w:rPr>
        <w:t>SWCT Advanced Solutions–Stamford Reliability Project</w:t>
      </w:r>
      <w:r w:rsidRPr="00372FDE">
        <w:t xml:space="preserve"> (April 13, 2011), </w:t>
      </w:r>
      <w:hyperlink r:id="rId224" w:history="1">
        <w:r w:rsidRPr="00372FDE">
          <w:rPr>
            <w:rStyle w:val="Hyperlink"/>
          </w:rPr>
          <w:t>https://smd.iso-ne.com/committees/comm_wkgrps/prtcpnts_comm/pac/ceii/mtrls/2011/apr132011/stamford.pdf</w:t>
        </w:r>
      </w:hyperlink>
      <w:r w:rsidRPr="00372FDE">
        <w:t>.</w:t>
      </w:r>
    </w:p>
  </w:footnote>
  <w:footnote w:id="241">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i/>
        </w:rPr>
        <w:t>Advanced Greater Boston Solutions</w:t>
      </w:r>
      <w:r w:rsidRPr="00372FDE">
        <w:t xml:space="preserve">, (December 2013), </w:t>
      </w:r>
      <w:hyperlink r:id="rId225" w:history="1">
        <w:r w:rsidRPr="00A8161D">
          <w:rPr>
            <w:rStyle w:val="Hyperlink"/>
          </w:rPr>
          <w:t>https://smd.iso-ne.com/committees/comm_wkgrps/prtcpnts_comm/pac/ceii/mtrls/2013/dec182013/a6_nu_advanced_greater_boston_solutions.ppt</w:t>
        </w:r>
      </w:hyperlink>
      <w:r w:rsidRPr="00372FDE">
        <w:t>.</w:t>
      </w:r>
      <w:proofErr w:type="gramEnd"/>
    </w:p>
  </w:footnote>
  <w:footnote w:id="242">
    <w:p w:rsidR="001E3655" w:rsidRDefault="001E3655">
      <w:pPr>
        <w:pStyle w:val="FootnoteText"/>
      </w:pPr>
      <w:r w:rsidRPr="003260B6">
        <w:rPr>
          <w:rStyle w:val="FootnoteReference"/>
          <w:rFonts w:asciiTheme="majorHAnsi" w:hAnsiTheme="majorHAnsi"/>
          <w:sz w:val="18"/>
        </w:rPr>
        <w:footnoteRef/>
      </w:r>
      <w:r w:rsidRPr="00372FDE">
        <w:t xml:space="preserve"> Advanced Greater Boston Solutions, </w:t>
      </w:r>
      <w:r>
        <w:t>see above note.</w:t>
      </w:r>
    </w:p>
  </w:footnote>
  <w:footnote w:id="243">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Advanced Greater Boston Solutions—West Walpole to Holbrook N-1-1 Loss of Load, Needs and Preferred Solution</w:t>
      </w:r>
      <w:r w:rsidRPr="00372FDE">
        <w:t xml:space="preserve"> (February 2014), </w:t>
      </w:r>
      <w:hyperlink r:id="rId226" w:history="1">
        <w:r w:rsidRPr="00A8161D">
          <w:rPr>
            <w:rStyle w:val="Hyperlink"/>
          </w:rPr>
          <w:t>https://smd.iso-ne.com/committees/comm_wkgrps/prtcpnts_comm/pac/ceii/mtrls/2014/feb192014/a4_advanced_greater_boston_west_walpole_to_holbrook_needs_and_solutions.pdf</w:t>
        </w:r>
      </w:hyperlink>
      <w:r w:rsidRPr="00372FDE">
        <w:t>.</w:t>
      </w:r>
    </w:p>
  </w:footnote>
  <w:footnote w:id="244">
    <w:p w:rsidR="001E3655" w:rsidRDefault="001E3655">
      <w:pPr>
        <w:pStyle w:val="FootnoteText"/>
      </w:pPr>
      <w:r>
        <w:rPr>
          <w:rStyle w:val="FootnoteReference"/>
        </w:rPr>
        <w:footnoteRef/>
      </w:r>
      <w:r>
        <w:t xml:space="preserve"> </w:t>
      </w:r>
      <w:r>
        <w:rPr>
          <w:i/>
        </w:rPr>
        <w:t>Advanced Greater Boston Solutions—Update</w:t>
      </w:r>
      <w:r>
        <w:t xml:space="preserve">, PAC presentation (June 19, 2014), </w:t>
      </w:r>
      <w:hyperlink r:id="rId227" w:history="1">
        <w:r w:rsidRPr="00DF6704">
          <w:rPr>
            <w:rStyle w:val="Hyperlink"/>
          </w:rPr>
          <w:t>https://smd.iso-ne.com/committees/comm_wkgrps/prtcpnts_comm/pac/ceii/mtrls/2014/jun192014/a7_greater_boston_north_cambridge_stuck_breaker.pdf</w:t>
        </w:r>
      </w:hyperlink>
      <w:r>
        <w:t>.</w:t>
      </w:r>
    </w:p>
  </w:footnote>
  <w:footnote w:id="245">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Follow-Up Analysis to the New Hampshire/Vermont Solutions Study</w:t>
      </w:r>
      <w:r w:rsidRPr="00372FDE">
        <w:rPr>
          <w:rFonts w:eastAsiaTheme="minorHAnsi" w:cs="Arial"/>
        </w:rPr>
        <w:t xml:space="preserve"> </w:t>
      </w:r>
      <w:r w:rsidRPr="00372FDE">
        <w:t xml:space="preserve">(April 2012), </w:t>
      </w:r>
      <w:hyperlink r:id="rId228" w:history="1">
        <w:r w:rsidRPr="00372FDE">
          <w:rPr>
            <w:rStyle w:val="Hyperlink"/>
          </w:rPr>
          <w:t>https://smd.iso-ne.com/committees/comm_wkgrps/prtcpnts_comm/pac/ceii/reports/2012/final_nhvt_solutions_followup.pdf</w:t>
        </w:r>
      </w:hyperlink>
      <w:r w:rsidRPr="00372FDE">
        <w:t>.</w:t>
      </w:r>
      <w:proofErr w:type="gramEnd"/>
    </w:p>
  </w:footnote>
  <w:footnote w:id="246">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rPr>
          <w:i/>
        </w:rPr>
        <w:t>Greater Boston Needs Assessment/Solutions Study Status Update</w:t>
      </w:r>
      <w:r w:rsidRPr="00372FDE">
        <w:t xml:space="preserve">, PAC presentation (June 28, 2011), </w:t>
      </w:r>
      <w:hyperlink r:id="rId229" w:history="1">
        <w:r w:rsidRPr="00AF0054">
          <w:rPr>
            <w:rStyle w:val="Hyperlink"/>
          </w:rPr>
          <w:t>https://smd.iso-ne.com/committees/comm_wkgrps/prtcpnts_comm/pac/ceii/mtrls/2011/jun302011/greater_boston.pdf</w:t>
        </w:r>
      </w:hyperlink>
      <w:r w:rsidRPr="00372FDE">
        <w:t>.</w:t>
      </w:r>
      <w:proofErr w:type="gramEnd"/>
      <w:r w:rsidRPr="00372FDE">
        <w:rPr>
          <w:i/>
        </w:rPr>
        <w:t xml:space="preserve"> </w:t>
      </w:r>
      <w:proofErr w:type="gramStart"/>
      <w:r w:rsidRPr="00372FDE">
        <w:rPr>
          <w:i/>
        </w:rPr>
        <w:t>Greater Hartford and Central Connecticut Area Needs Assessment II</w:t>
      </w:r>
      <w:r w:rsidRPr="00372FDE">
        <w:t xml:space="preserve">, PAC presentation (January 16, 2013), </w:t>
      </w:r>
      <w:hyperlink r:id="rId230" w:history="1">
        <w:r w:rsidRPr="00372FDE">
          <w:rPr>
            <w:rStyle w:val="Hyperlink"/>
          </w:rPr>
          <w:t>https://smd.iso-ne.com/committees/comm_wkgrps/prtcpnts_comm/pac/ceii/mtrls/2013/jan162013/a8_ghcc_needs_assessment_ii_011613.pdf</w:t>
        </w:r>
      </w:hyperlink>
      <w:r w:rsidRPr="00372FDE">
        <w:t>.</w:t>
      </w:r>
      <w:proofErr w:type="gramEnd"/>
    </w:p>
  </w:footnote>
  <w:footnote w:id="247">
    <w:p w:rsidR="001E3655" w:rsidRDefault="001E3655">
      <w:pPr>
        <w:pStyle w:val="FootnoteText"/>
      </w:pPr>
      <w:r w:rsidRPr="00372FDE">
        <w:rPr>
          <w:rStyle w:val="FootnoteReference"/>
          <w:rFonts w:asciiTheme="majorHAnsi" w:hAnsiTheme="majorHAnsi"/>
          <w:sz w:val="18"/>
        </w:rPr>
        <w:footnoteRef/>
      </w:r>
      <w:r w:rsidRPr="00372FDE">
        <w:t xml:space="preserve"> NCPC is a “make-whole” payment to a supply resource that responded to the ISO’s dispatch instructions but did not fully recover its start-up and operating costs in either the Day-Ahead </w:t>
      </w:r>
      <w:r>
        <w:t xml:space="preserve">Energy Market </w:t>
      </w:r>
      <w:r w:rsidRPr="00372FDE">
        <w:t>or Real-Time Energy Market.</w:t>
      </w:r>
    </w:p>
  </w:footnote>
  <w:footnote w:id="248">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t xml:space="preserve">ISO New England, </w:t>
      </w:r>
      <w:r w:rsidRPr="00372FDE">
        <w:rPr>
          <w:i/>
        </w:rPr>
        <w:t>Forward Capacity Auction Results</w:t>
      </w:r>
      <w:r w:rsidRPr="00372FDE">
        <w:t xml:space="preserve">, FERC filing (August 30, 2010), </w:t>
      </w:r>
      <w:hyperlink r:id="rId231" w:history="1">
        <w:r w:rsidRPr="00372FDE">
          <w:rPr>
            <w:rStyle w:val="Hyperlink"/>
          </w:rPr>
          <w:t>http://www.iso-ne.com/regulatory/ferc/filings/2010/aug/er10-2477-000_08-30-10_fca_4_results.pdf</w:t>
        </w:r>
      </w:hyperlink>
      <w:r w:rsidRPr="00372FDE">
        <w:t>.</w:t>
      </w:r>
      <w:proofErr w:type="gramEnd"/>
      <w:r w:rsidRPr="00372FDE">
        <w:t xml:space="preserve"> </w:t>
      </w:r>
      <w:proofErr w:type="gramStart"/>
      <w:r w:rsidRPr="00372FDE">
        <w:t xml:space="preserve">FERC, </w:t>
      </w:r>
      <w:r w:rsidRPr="00372FDE">
        <w:rPr>
          <w:i/>
        </w:rPr>
        <w:t xml:space="preserve">Order on Forward Capacity Auction Results Filing </w:t>
      </w:r>
      <w:r w:rsidRPr="00372FDE">
        <w:t xml:space="preserve">(December 16, 2010), </w:t>
      </w:r>
      <w:hyperlink r:id="rId232" w:history="1">
        <w:r w:rsidRPr="00372FDE">
          <w:rPr>
            <w:rStyle w:val="Hyperlink"/>
          </w:rPr>
          <w:t>http://www.iso-ne.com/regulatory/ferc/orders/2010/dec/er10-2744-000_12-16-10_order_fca_results.pdf</w:t>
        </w:r>
      </w:hyperlink>
      <w:r w:rsidRPr="00372FDE">
        <w:t>.</w:t>
      </w:r>
      <w:proofErr w:type="gramEnd"/>
    </w:p>
  </w:footnote>
  <w:footnote w:id="249">
    <w:p w:rsidR="001E3655" w:rsidRDefault="001E3655">
      <w:pPr>
        <w:pStyle w:val="FoonoteText"/>
      </w:pPr>
      <w:r w:rsidRPr="00372FDE">
        <w:rPr>
          <w:rStyle w:val="FootnoteReference"/>
          <w:rFonts w:asciiTheme="majorHAnsi" w:hAnsiTheme="majorHAnsi"/>
          <w:sz w:val="18"/>
        </w:rPr>
        <w:footnoteRef/>
      </w:r>
      <w:r w:rsidRPr="00372FDE">
        <w:t xml:space="preserve"> A </w:t>
      </w:r>
      <w:proofErr w:type="spellStart"/>
      <w:r w:rsidRPr="00372FDE">
        <w:rPr>
          <w:i/>
        </w:rPr>
        <w:t>nonprice</w:t>
      </w:r>
      <w:proofErr w:type="spellEnd"/>
      <w:r w:rsidRPr="00372FDE">
        <w:rPr>
          <w:i/>
        </w:rPr>
        <w:t xml:space="preserve"> retirement request </w:t>
      </w:r>
      <w:r w:rsidRPr="00372FDE">
        <w:t xml:space="preserve">is an irrevocable request submitted in a FCA to retire the entire capacity of a resource, subject to an ISO review for reliability impacts and that supersedes any other delist bids submitted. If the ISO determines the system needs the resource for reliability, the resource owner can either retire the resource as requested or continue to operate it until the reliability need </w:t>
      </w:r>
      <w:proofErr w:type="gramStart"/>
      <w:r w:rsidRPr="00372FDE">
        <w:t>has been met</w:t>
      </w:r>
      <w:proofErr w:type="gramEnd"/>
      <w:r w:rsidRPr="00372FDE">
        <w:t xml:space="preserve"> and then retire the resource. </w:t>
      </w:r>
      <w:proofErr w:type="spellStart"/>
      <w:r>
        <w:t>Nonprice</w:t>
      </w:r>
      <w:proofErr w:type="spellEnd"/>
      <w:r>
        <w:t xml:space="preserve"> retirement requests, </w:t>
      </w:r>
      <w:r w:rsidRPr="00372FDE">
        <w:t>determination letters</w:t>
      </w:r>
      <w:r>
        <w:t xml:space="preserve">, and </w:t>
      </w:r>
      <w:r w:rsidRPr="00372FDE">
        <w:t xml:space="preserve">resource responses in 2011 </w:t>
      </w:r>
      <w:r>
        <w:t>are</w:t>
      </w:r>
      <w:r w:rsidRPr="00372FDE">
        <w:t xml:space="preserve"> </w:t>
      </w:r>
      <w:r>
        <w:t xml:space="preserve">available at </w:t>
      </w:r>
      <w:hyperlink r:id="rId233" w:history="1">
        <w:r w:rsidRPr="001E2D3D">
          <w:rPr>
            <w:rStyle w:val="Hyperlink"/>
          </w:rPr>
          <w:t>http://www.iso-ne.com/system-planning/resource-planning/nonprice-retirement</w:t>
        </w:r>
      </w:hyperlink>
      <w:r w:rsidRPr="00372FDE">
        <w:t>.</w:t>
      </w:r>
    </w:p>
  </w:footnote>
  <w:footnote w:id="250">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gramStart"/>
      <w:r w:rsidRPr="00372FDE">
        <w:t xml:space="preserve">ISO New England, </w:t>
      </w:r>
      <w:r w:rsidRPr="00372FDE">
        <w:rPr>
          <w:i/>
        </w:rPr>
        <w:t>Forward Capacity Auction Results</w:t>
      </w:r>
      <w:r w:rsidRPr="00372FDE">
        <w:t xml:space="preserve">, FERC filing (June 27, 2011), </w:t>
      </w:r>
      <w:hyperlink r:id="rId234" w:history="1">
        <w:r w:rsidRPr="00372FDE">
          <w:rPr>
            <w:rStyle w:val="Hyperlink"/>
          </w:rPr>
          <w:t>http://www.iso-ne.com/regulatory/ferc/filings/2011/jun/er11-3891-000_06-27-11_fca_5_results_filing.pdf</w:t>
        </w:r>
      </w:hyperlink>
      <w:r w:rsidRPr="00372FDE">
        <w:t>.</w:t>
      </w:r>
      <w:proofErr w:type="gramEnd"/>
    </w:p>
  </w:footnote>
  <w:footnote w:id="251">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ISO New England, </w:t>
      </w:r>
      <w:r w:rsidRPr="00372FDE">
        <w:rPr>
          <w:i/>
        </w:rPr>
        <w:t>Forward Capacity Auction Results</w:t>
      </w:r>
      <w:r w:rsidRPr="00372FDE">
        <w:t xml:space="preserve">, FERC filing (April 30, 2012), </w:t>
      </w:r>
      <w:r>
        <w:t xml:space="preserve">XLSX file, </w:t>
      </w:r>
      <w:hyperlink r:id="rId235" w:history="1">
        <w:r w:rsidRPr="001E2D3D">
          <w:rPr>
            <w:rStyle w:val="Hyperlink"/>
          </w:rPr>
          <w:t>http://www.iso-ne.com/isoexpress/web/reports/auctions/-/tree/fcm-auction-results</w:t>
        </w:r>
      </w:hyperlink>
      <w:r w:rsidRPr="00372FDE">
        <w:t>.</w:t>
      </w:r>
      <w:proofErr w:type="gramEnd"/>
    </w:p>
  </w:footnote>
  <w:footnote w:id="252">
    <w:p w:rsidR="001E3655" w:rsidRDefault="001E3655">
      <w:pPr>
        <w:pStyle w:val="FootnoteText"/>
      </w:pPr>
      <w:r w:rsidRPr="00372FDE">
        <w:rPr>
          <w:rStyle w:val="FootnoteReference"/>
          <w:rFonts w:asciiTheme="majorHAnsi" w:hAnsiTheme="majorHAnsi"/>
          <w:sz w:val="18"/>
        </w:rPr>
        <w:footnoteRef/>
      </w:r>
      <w:r>
        <w:t xml:space="preserve"> </w:t>
      </w:r>
      <w:r w:rsidRPr="00372FDE">
        <w:t xml:space="preserve">An administrative export delist bid for 100 MW also </w:t>
      </w:r>
      <w:proofErr w:type="gramStart"/>
      <w:r w:rsidRPr="00372FDE">
        <w:t>was submitted</w:t>
      </w:r>
      <w:proofErr w:type="gramEnd"/>
      <w:r w:rsidRPr="00372FDE">
        <w:t xml:space="preserve"> for FCA #7, but the ISO does not review or analyze this type of bid. Thus, the total for all delist bids for this FCA was 1,660 MW. Refer to the ISO’s Markets Overview Report for more information on delist bids (</w:t>
      </w:r>
      <w:hyperlink r:id="rId236" w:history="1">
        <w:r w:rsidRPr="00372FDE">
          <w:rPr>
            <w:rStyle w:val="Hyperlink"/>
          </w:rPr>
          <w:t>http://www.iso-ne.com/pubs/spcl_rpts/2014/2014_market_overview_050614.pdf</w:t>
        </w:r>
      </w:hyperlink>
      <w:r w:rsidRPr="00372FDE">
        <w:t>).</w:t>
      </w:r>
    </w:p>
  </w:footnote>
  <w:footnote w:id="253">
    <w:p w:rsidR="001E3655" w:rsidRDefault="001E3655">
      <w:pPr>
        <w:pStyle w:val="FootnoteText"/>
      </w:pPr>
      <w:r w:rsidRPr="003260B6">
        <w:rPr>
          <w:rStyle w:val="FootnoteReference"/>
          <w:rFonts w:asciiTheme="majorHAnsi" w:hAnsiTheme="majorHAnsi"/>
          <w:sz w:val="18"/>
        </w:rPr>
        <w:footnoteRef/>
      </w:r>
      <w:r w:rsidRPr="00372FDE">
        <w:t xml:space="preserve"> </w:t>
      </w:r>
      <w:r w:rsidRPr="0064585B">
        <w:rPr>
          <w:i/>
        </w:rPr>
        <w:t xml:space="preserve">RSP14 2013 Historical Market Data: </w:t>
      </w:r>
      <w:proofErr w:type="spellStart"/>
      <w:r w:rsidRPr="0064585B">
        <w:rPr>
          <w:i/>
        </w:rPr>
        <w:t>Locational</w:t>
      </w:r>
      <w:proofErr w:type="spellEnd"/>
      <w:r w:rsidRPr="0064585B">
        <w:rPr>
          <w:i/>
        </w:rPr>
        <w:t xml:space="preserve"> Marginal Prices Interface MW Flows</w:t>
      </w:r>
      <w:r w:rsidRPr="00372FDE">
        <w:t xml:space="preserve">, PAC presentation, slide </w:t>
      </w:r>
      <w:proofErr w:type="gramStart"/>
      <w:r w:rsidRPr="00372FDE">
        <w:t>7</w:t>
      </w:r>
      <w:proofErr w:type="gramEnd"/>
      <w:r w:rsidRPr="00372FDE">
        <w:t xml:space="preserve"> (February 19, 2014), </w:t>
      </w:r>
      <w:hyperlink r:id="rId237" w:history="1">
        <w:r w:rsidRPr="00372FDE">
          <w:rPr>
            <w:rStyle w:val="Hyperlink"/>
          </w:rPr>
          <w:t>http://www.iso-ne.com/committees/comm_wkgrps/prtcpnts_comm/pac/mtrls/2014/feb192014/a6_2014_lmp_interface_flows.pdf</w:t>
        </w:r>
      </w:hyperlink>
      <w:r w:rsidRPr="00372FDE">
        <w:t>.</w:t>
      </w:r>
    </w:p>
  </w:footnote>
  <w:footnote w:id="254">
    <w:p w:rsidR="001E3655" w:rsidRDefault="001E3655">
      <w:pPr>
        <w:pStyle w:val="FootnoteText"/>
      </w:pPr>
      <w:r w:rsidRPr="004E3C1C">
        <w:rPr>
          <w:rStyle w:val="FootnoteReference"/>
          <w:rFonts w:asciiTheme="majorHAnsi" w:hAnsiTheme="majorHAnsi"/>
          <w:sz w:val="18"/>
        </w:rPr>
        <w:footnoteRef/>
      </w:r>
      <w:r w:rsidRPr="004E3C1C">
        <w:t xml:space="preserve"> This total includes seven projects in 2002, 26 projects in 2003, 30 projects in 2004, 51 projects in 2005, 55 projects in 2006, 36 projects in 2007, 64 projects in 2008, 38 projects in 2009, 37 projects in 2010, 44 projects in 2011, 60 projects in 2012, 90 projects in 2013, and 21 additional projects through June 2014. </w:t>
      </w:r>
      <w:proofErr w:type="gramStart"/>
      <w:r w:rsidRPr="004E3C1C">
        <w:t xml:space="preserve">The June 2014 </w:t>
      </w:r>
      <w:r w:rsidRPr="004E3C1C">
        <w:rPr>
          <w:i/>
        </w:rPr>
        <w:t>RSP Project List</w:t>
      </w:r>
      <w:r w:rsidRPr="004E3C1C">
        <w:t xml:space="preserve"> shows that 44 more projects are due in service by the end of 2014.</w:t>
      </w:r>
      <w:proofErr w:type="gramEnd"/>
    </w:p>
  </w:footnote>
  <w:footnote w:id="255">
    <w:p w:rsidR="001E3655" w:rsidRDefault="001E3655">
      <w:pPr>
        <w:pStyle w:val="FootnoteText"/>
      </w:pPr>
      <w:r w:rsidRPr="00372FDE">
        <w:rPr>
          <w:rStyle w:val="FootnoteReference"/>
          <w:rFonts w:asciiTheme="majorHAnsi" w:hAnsiTheme="majorHAnsi"/>
          <w:sz w:val="18"/>
        </w:rPr>
        <w:footnoteRef/>
      </w:r>
      <w:r w:rsidRPr="00372FDE">
        <w:t xml:space="preserve"> ISO New England, “Strategic Planning Initiative,” webpage (2014), </w:t>
      </w:r>
      <w:hyperlink r:id="rId238" w:history="1">
        <w:r w:rsidRPr="00372FDE">
          <w:rPr>
            <w:rStyle w:val="Hyperlink"/>
          </w:rPr>
          <w:t>http://www.iso-ne.com/committees/comm_wkgrps/strategic_planning_discussion/index.html</w:t>
        </w:r>
      </w:hyperlink>
      <w:r w:rsidRPr="00372FDE">
        <w:t>.</w:t>
      </w:r>
    </w:p>
  </w:footnote>
  <w:footnote w:id="256">
    <w:p w:rsidR="001E3655" w:rsidRPr="00372FDE" w:rsidRDefault="001E3655" w:rsidP="00D2141F">
      <w:pPr>
        <w:spacing w:after="80" w:line="240" w:lineRule="auto"/>
        <w:rPr>
          <w:rFonts w:asciiTheme="majorHAnsi" w:hAnsiTheme="majorHAnsi"/>
          <w:sz w:val="18"/>
          <w:szCs w:val="18"/>
        </w:rPr>
      </w:pPr>
      <w:r w:rsidRPr="00372FDE">
        <w:rPr>
          <w:rStyle w:val="FootnoteReference"/>
          <w:rFonts w:asciiTheme="majorHAnsi" w:hAnsiTheme="majorHAnsi"/>
          <w:sz w:val="18"/>
          <w:szCs w:val="18"/>
        </w:rPr>
        <w:footnoteRef/>
      </w:r>
      <w:r>
        <w:rPr>
          <w:rFonts w:asciiTheme="majorHAnsi" w:hAnsiTheme="majorHAnsi"/>
          <w:bCs/>
          <w:sz w:val="18"/>
          <w:szCs w:val="18"/>
        </w:rPr>
        <w:t xml:space="preserve"> </w:t>
      </w:r>
      <w:r w:rsidRPr="00372FDE">
        <w:rPr>
          <w:rFonts w:asciiTheme="majorHAnsi" w:hAnsiTheme="majorHAnsi"/>
          <w:bCs/>
          <w:sz w:val="18"/>
          <w:szCs w:val="18"/>
        </w:rPr>
        <w:t xml:space="preserve">Approximately 2,035 MW of fossil-fired steam generating capacity at Bridgeport Harbor, Norwalk Harbor, and </w:t>
      </w:r>
      <w:proofErr w:type="spellStart"/>
      <w:r w:rsidRPr="00372FDE">
        <w:rPr>
          <w:rFonts w:asciiTheme="majorHAnsi" w:hAnsiTheme="majorHAnsi"/>
          <w:bCs/>
          <w:sz w:val="18"/>
          <w:szCs w:val="18"/>
        </w:rPr>
        <w:t>Brayton</w:t>
      </w:r>
      <w:proofErr w:type="spellEnd"/>
      <w:r w:rsidRPr="00372FDE">
        <w:rPr>
          <w:rFonts w:asciiTheme="majorHAnsi" w:hAnsiTheme="majorHAnsi"/>
          <w:bCs/>
          <w:sz w:val="18"/>
          <w:szCs w:val="18"/>
        </w:rPr>
        <w:t xml:space="preserve"> Point stations and the 619 MW Vermont Yankee nuclear unit will be retired (through </w:t>
      </w:r>
      <w:proofErr w:type="spellStart"/>
      <w:r w:rsidRPr="00372FDE">
        <w:rPr>
          <w:rFonts w:asciiTheme="majorHAnsi" w:hAnsiTheme="majorHAnsi"/>
          <w:bCs/>
          <w:sz w:val="18"/>
          <w:szCs w:val="18"/>
        </w:rPr>
        <w:t>nonprice</w:t>
      </w:r>
      <w:proofErr w:type="spellEnd"/>
      <w:r w:rsidRPr="00372FDE">
        <w:rPr>
          <w:rFonts w:asciiTheme="majorHAnsi" w:hAnsiTheme="majorHAnsi"/>
          <w:bCs/>
          <w:sz w:val="18"/>
          <w:szCs w:val="18"/>
        </w:rPr>
        <w:t xml:space="preserve"> retirements) by June 1, 2017. </w:t>
      </w:r>
    </w:p>
  </w:footnote>
  <w:footnote w:id="257">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t>Energy Information Administration (</w:t>
      </w:r>
      <w:r w:rsidRPr="00372FDE">
        <w:t>EIA</w:t>
      </w:r>
      <w:r>
        <w:t>)</w:t>
      </w:r>
      <w:r w:rsidRPr="00372FDE">
        <w:t xml:space="preserve">, “Natural Gas Consumption by End Use,” webpage </w:t>
      </w:r>
      <w:r w:rsidRPr="00D45F77">
        <w:t>(</w:t>
      </w:r>
      <w:r>
        <w:t xml:space="preserve">US Department of Energy [DOE], </w:t>
      </w:r>
      <w:r w:rsidRPr="00D45F77">
        <w:t xml:space="preserve">July 31, 2013), </w:t>
      </w:r>
      <w:hyperlink r:id="rId239" w:history="1">
        <w:r w:rsidRPr="00372FDE">
          <w:rPr>
            <w:rStyle w:val="Hyperlink"/>
          </w:rPr>
          <w:t>http://www.eia.gov/dnav/ng/ng_cons_sum_dcu_nus_m.htm</w:t>
        </w:r>
      </w:hyperlink>
      <w:r w:rsidRPr="00372FDE">
        <w:t>.</w:t>
      </w:r>
      <w:proofErr w:type="gramEnd"/>
    </w:p>
  </w:footnote>
  <w:footnote w:id="258">
    <w:p w:rsidR="001E3655" w:rsidRDefault="001E3655">
      <w:pPr>
        <w:pStyle w:val="FootnoteText"/>
      </w:pPr>
      <w:r w:rsidRPr="009C133F">
        <w:rPr>
          <w:rStyle w:val="FootnoteReference"/>
          <w:rFonts w:asciiTheme="majorHAnsi" w:hAnsiTheme="majorHAnsi"/>
          <w:sz w:val="18"/>
        </w:rPr>
        <w:footnoteRef/>
      </w:r>
      <w:r w:rsidRPr="009C133F">
        <w:t xml:space="preserve"> FERC and the North American Energy Standards Board (NAESB) have held several forums to discuss the lack of alignment between the natural gas and wholesale electricity market trading days</w:t>
      </w:r>
      <w:r>
        <w:t xml:space="preserve">. See the Gas-Electric Harmonization Forum Survey at </w:t>
      </w:r>
      <w:hyperlink r:id="rId240" w:history="1">
        <w:r w:rsidRPr="00F44BDE">
          <w:rPr>
            <w:rStyle w:val="Hyperlink"/>
          </w:rPr>
          <w:t>http://www.naesb.org/committee_activities.asp</w:t>
        </w:r>
      </w:hyperlink>
      <w:r>
        <w:t xml:space="preserve">. Also, </w:t>
      </w:r>
      <w:r w:rsidRPr="009C133F">
        <w:t xml:space="preserve">FERC has </w:t>
      </w:r>
      <w:r w:rsidRPr="002E3358">
        <w:t xml:space="preserve">issued </w:t>
      </w:r>
      <w:r>
        <w:t>a n</w:t>
      </w:r>
      <w:r w:rsidRPr="002E3358">
        <w:t xml:space="preserve">otice of </w:t>
      </w:r>
      <w:r>
        <w:t>p</w:t>
      </w:r>
      <w:r w:rsidRPr="002E3358">
        <w:t xml:space="preserve">roposed </w:t>
      </w:r>
      <w:r>
        <w:t>r</w:t>
      </w:r>
      <w:r w:rsidRPr="002E3358">
        <w:t>ulemaking (NOPR</w:t>
      </w:r>
      <w:r>
        <w:t xml:space="preserve">), </w:t>
      </w:r>
      <w:r w:rsidRPr="009C133F">
        <w:rPr>
          <w:i/>
        </w:rPr>
        <w:t xml:space="preserve">Coordination of the Scheduling Processes of Interstate Natural Gas </w:t>
      </w:r>
      <w:r w:rsidRPr="002E3358">
        <w:rPr>
          <w:i/>
        </w:rPr>
        <w:t>Pipelines and Public Utilities</w:t>
      </w:r>
      <w:r w:rsidRPr="002E3358">
        <w:t xml:space="preserve">, 146 FERC ¶ 61,201, 18 CFR Part 284 (March 20, 2014), </w:t>
      </w:r>
      <w:hyperlink r:id="rId241" w:history="1">
        <w:r w:rsidRPr="00747EA1">
          <w:rPr>
            <w:rStyle w:val="Hyperlink"/>
          </w:rPr>
          <w:t>http://www.ferc.gov/industries/electric/indus-act/electric-coord.asp</w:t>
        </w:r>
      </w:hyperlink>
      <w:r w:rsidRPr="002E3358">
        <w:t>.</w:t>
      </w:r>
    </w:p>
  </w:footnote>
  <w:footnote w:id="259">
    <w:p w:rsidR="001E3655" w:rsidRDefault="001E3655">
      <w:pPr>
        <w:pStyle w:val="FootnoteText"/>
      </w:pPr>
      <w:r w:rsidRPr="00D944C8">
        <w:rPr>
          <w:rStyle w:val="FootnoteReference"/>
          <w:rFonts w:asciiTheme="majorHAnsi" w:hAnsiTheme="majorHAnsi"/>
          <w:sz w:val="18"/>
        </w:rPr>
        <w:footnoteRef/>
      </w:r>
      <w:r w:rsidRPr="00D944C8">
        <w:t xml:space="preserve"> GDF SUEZ </w:t>
      </w:r>
      <w:r>
        <w:t xml:space="preserve">Gas </w:t>
      </w:r>
      <w:r w:rsidRPr="00D944C8">
        <w:t xml:space="preserve">NA, the owner of the Neptune LNG Deepwater Port, requested and received from the US Maritime Administration (of the US Department of Transportation) the suspension of its license to operate this port. Under the terms of the suspension, however, GDF SUEZ </w:t>
      </w:r>
      <w:r>
        <w:t xml:space="preserve">Gas </w:t>
      </w:r>
      <w:r w:rsidRPr="00D944C8">
        <w:t>NA has the right to pursue the reinstatement of this license and the resumption of port operations</w:t>
      </w:r>
      <w:r>
        <w:t>.</w:t>
      </w:r>
    </w:p>
  </w:footnote>
  <w:footnote w:id="260">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rPr>
          <w:rStyle w:val="Hyperlink"/>
        </w:rPr>
        <w:t>EI</w:t>
      </w:r>
      <w:r w:rsidRPr="00372FDE">
        <w:t>A, “US Liquefied Natural Gas Imports,” webpage table (</w:t>
      </w:r>
      <w:r>
        <w:t xml:space="preserve">DOE, </w:t>
      </w:r>
      <w:r w:rsidRPr="00372FDE">
        <w:t xml:space="preserve">July 31, 2013), </w:t>
      </w:r>
      <w:hyperlink r:id="rId242" w:history="1">
        <w:r w:rsidRPr="00372FDE">
          <w:rPr>
            <w:rStyle w:val="Hyperlink"/>
          </w:rPr>
          <w:t>http://www.eia.gov/dnav/ng/hist/n9103us2m.htm</w:t>
        </w:r>
      </w:hyperlink>
      <w:r w:rsidRPr="00372FDE">
        <w:t>.</w:t>
      </w:r>
      <w:proofErr w:type="gramEnd"/>
    </w:p>
  </w:footnote>
  <w:footnote w:id="261">
    <w:p w:rsidR="001E3655" w:rsidRPr="00372FDE" w:rsidRDefault="001E3655" w:rsidP="009830FD">
      <w:pPr>
        <w:pStyle w:val="ListParagraph"/>
        <w:ind w:left="0"/>
        <w:contextualSpacing w:val="0"/>
        <w:rPr>
          <w:rStyle w:val="Hyperlink"/>
          <w:rFonts w:asciiTheme="majorHAnsi" w:hAnsiTheme="majorHAnsi"/>
          <w:sz w:val="18"/>
          <w:szCs w:val="18"/>
        </w:rPr>
      </w:pPr>
      <w:r w:rsidRPr="00372FDE">
        <w:rPr>
          <w:rStyle w:val="FootnoteReference"/>
          <w:rFonts w:asciiTheme="majorHAnsi" w:hAnsiTheme="majorHAnsi"/>
          <w:sz w:val="18"/>
          <w:szCs w:val="18"/>
        </w:rPr>
        <w:footnoteRef/>
      </w:r>
      <w:r w:rsidRPr="008F742F">
        <w:rPr>
          <w:rFonts w:asciiTheme="majorHAnsi" w:hAnsiTheme="majorHAnsi"/>
          <w:sz w:val="18"/>
          <w:szCs w:val="18"/>
        </w:rPr>
        <w:t xml:space="preserve"> </w:t>
      </w:r>
      <w:proofErr w:type="gramStart"/>
      <w:r w:rsidRPr="00372FDE">
        <w:rPr>
          <w:rFonts w:asciiTheme="majorHAnsi" w:hAnsiTheme="majorHAnsi"/>
          <w:sz w:val="18"/>
          <w:szCs w:val="18"/>
        </w:rPr>
        <w:t xml:space="preserve">DOE/EIA, </w:t>
      </w:r>
      <w:r w:rsidRPr="00372FDE">
        <w:rPr>
          <w:rFonts w:asciiTheme="majorHAnsi" w:hAnsiTheme="majorHAnsi"/>
          <w:i/>
          <w:sz w:val="18"/>
          <w:szCs w:val="18"/>
        </w:rPr>
        <w:t>Annual Energy Outlook 2014</w:t>
      </w:r>
      <w:r w:rsidRPr="00372FDE">
        <w:rPr>
          <w:rFonts w:asciiTheme="majorHAnsi" w:hAnsiTheme="majorHAnsi"/>
          <w:sz w:val="18"/>
          <w:szCs w:val="18"/>
        </w:rPr>
        <w:t xml:space="preserve"> (AEO</w:t>
      </w:r>
      <w:r>
        <w:rPr>
          <w:rFonts w:asciiTheme="majorHAnsi" w:hAnsiTheme="majorHAnsi"/>
          <w:sz w:val="18"/>
          <w:szCs w:val="18"/>
        </w:rPr>
        <w:t xml:space="preserve"> </w:t>
      </w:r>
      <w:r w:rsidRPr="00372FDE">
        <w:rPr>
          <w:rFonts w:asciiTheme="majorHAnsi" w:hAnsiTheme="majorHAnsi"/>
          <w:sz w:val="18"/>
          <w:szCs w:val="18"/>
        </w:rPr>
        <w:t xml:space="preserve">2014), Table 132, “Lower 48 Natural Gas </w:t>
      </w:r>
      <w:r>
        <w:rPr>
          <w:rFonts w:asciiTheme="majorHAnsi" w:hAnsiTheme="majorHAnsi"/>
          <w:sz w:val="18"/>
          <w:szCs w:val="18"/>
        </w:rPr>
        <w:t>P</w:t>
      </w:r>
      <w:r w:rsidRPr="00372FDE">
        <w:rPr>
          <w:rFonts w:asciiTheme="majorHAnsi" w:hAnsiTheme="majorHAnsi"/>
          <w:sz w:val="18"/>
          <w:szCs w:val="18"/>
        </w:rPr>
        <w:t>roduction and Supply Prices by Supply Region—Reference Case.”</w:t>
      </w:r>
      <w:proofErr w:type="gramEnd"/>
      <w:r w:rsidRPr="00372FDE">
        <w:rPr>
          <w:rFonts w:asciiTheme="majorHAnsi" w:hAnsiTheme="majorHAnsi"/>
          <w:sz w:val="18"/>
          <w:szCs w:val="18"/>
        </w:rPr>
        <w:t xml:space="preserve"> The statistics are for dry gas production, which is natural gas that has been processed to remove heavier hydrocarbons (i.e., natural gas liquids</w:t>
      </w:r>
      <w:r>
        <w:rPr>
          <w:rFonts w:asciiTheme="majorHAnsi" w:hAnsiTheme="majorHAnsi"/>
          <w:sz w:val="18"/>
          <w:szCs w:val="18"/>
        </w:rPr>
        <w:t>—</w:t>
      </w:r>
      <w:r w:rsidRPr="00372FDE">
        <w:rPr>
          <w:rFonts w:asciiTheme="majorHAnsi" w:hAnsiTheme="majorHAnsi"/>
          <w:sz w:val="18"/>
          <w:szCs w:val="18"/>
        </w:rPr>
        <w:t xml:space="preserve">pentane, butane, ethane, </w:t>
      </w:r>
      <w:r>
        <w:rPr>
          <w:rFonts w:asciiTheme="majorHAnsi" w:hAnsiTheme="majorHAnsi"/>
          <w:sz w:val="18"/>
          <w:szCs w:val="18"/>
        </w:rPr>
        <w:t>and others</w:t>
      </w:r>
      <w:r w:rsidRPr="00372FDE">
        <w:rPr>
          <w:rFonts w:asciiTheme="majorHAnsi" w:hAnsiTheme="majorHAnsi"/>
          <w:sz w:val="18"/>
          <w:szCs w:val="18"/>
        </w:rPr>
        <w:t>).</w:t>
      </w:r>
      <w:r>
        <w:rPr>
          <w:rFonts w:asciiTheme="majorHAnsi" w:hAnsiTheme="majorHAnsi"/>
          <w:sz w:val="18"/>
          <w:szCs w:val="18"/>
        </w:rPr>
        <w:t xml:space="preserve"> </w:t>
      </w:r>
      <w:r w:rsidRPr="001B4A23">
        <w:rPr>
          <w:rFonts w:asciiTheme="majorHAnsi" w:hAnsiTheme="majorHAnsi"/>
          <w:sz w:val="18"/>
          <w:szCs w:val="18"/>
        </w:rPr>
        <w:t xml:space="preserve">Marcellus Shale gas is a recently developed source of natural gas located in central Pennsylvania. </w:t>
      </w:r>
    </w:p>
  </w:footnote>
  <w:footnote w:id="262">
    <w:p w:rsidR="001E3655" w:rsidRDefault="001E3655">
      <w:pPr>
        <w:pStyle w:val="FootnoteText"/>
      </w:pPr>
      <w:r w:rsidRPr="00372FDE">
        <w:rPr>
          <w:rStyle w:val="FootnoteReference"/>
          <w:rFonts w:asciiTheme="majorHAnsi" w:hAnsiTheme="majorHAnsi"/>
          <w:sz w:val="18"/>
        </w:rPr>
        <w:footnoteRef/>
      </w:r>
      <w:r w:rsidRPr="00372FDE">
        <w:t xml:space="preserve"> One dekatherm (</w:t>
      </w:r>
      <w:proofErr w:type="spellStart"/>
      <w:r w:rsidRPr="00372FDE">
        <w:t>Dth</w:t>
      </w:r>
      <w:proofErr w:type="spellEnd"/>
      <w:r w:rsidRPr="00372FDE">
        <w:t>) is approximately equivalent to one million British thermal units (</w:t>
      </w:r>
      <w:proofErr w:type="spellStart"/>
      <w:r w:rsidRPr="00372FDE">
        <w:t>MMBtu</w:t>
      </w:r>
      <w:proofErr w:type="spellEnd"/>
      <w:r w:rsidRPr="00372FDE">
        <w:t>) and 1,000 cubic feet (</w:t>
      </w:r>
      <w:proofErr w:type="spellStart"/>
      <w:r w:rsidRPr="00372FDE">
        <w:t>Mcf</w:t>
      </w:r>
      <w:proofErr w:type="spellEnd"/>
      <w:r w:rsidRPr="00372FDE">
        <w:t>).</w:t>
      </w:r>
    </w:p>
  </w:footnote>
  <w:footnote w:id="263">
    <w:p w:rsidR="001E3655" w:rsidRDefault="001E3655">
      <w:pPr>
        <w:pStyle w:val="FootnoteText"/>
      </w:pPr>
      <w:r w:rsidRPr="00372FDE">
        <w:rPr>
          <w:rStyle w:val="FootnoteReference"/>
          <w:rFonts w:asciiTheme="majorHAnsi" w:hAnsiTheme="majorHAnsi"/>
          <w:sz w:val="18"/>
        </w:rPr>
        <w:footnoteRef/>
      </w:r>
      <w:r w:rsidRPr="00372FDE">
        <w:t xml:space="preserve"> </w:t>
      </w:r>
      <w:proofErr w:type="spellStart"/>
      <w:r w:rsidRPr="00372FDE">
        <w:t>Sital</w:t>
      </w:r>
      <w:proofErr w:type="spellEnd"/>
      <w:r w:rsidRPr="00372FDE">
        <w:t xml:space="preserve"> </w:t>
      </w:r>
      <w:proofErr w:type="spellStart"/>
      <w:r w:rsidRPr="00372FDE">
        <w:t>Mody</w:t>
      </w:r>
      <w:proofErr w:type="spellEnd"/>
      <w:r w:rsidRPr="00372FDE">
        <w:t xml:space="preserve">, </w:t>
      </w:r>
      <w:r w:rsidRPr="00372FDE">
        <w:rPr>
          <w:i/>
        </w:rPr>
        <w:t>Embracing Change—Tennessee Gas Pipeline</w:t>
      </w:r>
      <w:r w:rsidRPr="00372FDE">
        <w:t xml:space="preserve">, slides 8 and 9, presentation at the Northeast Gas Association, Regional Market Trends Forum, Hartford, CT (Kinder Morgan, May 1, 2014), </w:t>
      </w:r>
      <w:hyperlink r:id="rId243" w:tgtFrame="_blank" w:history="1">
        <w:r w:rsidRPr="00372FDE">
          <w:t>http://www.northeastgas.org/pdf/s_mody.pdf</w:t>
        </w:r>
      </w:hyperlink>
      <w:r w:rsidRPr="00372FDE">
        <w:t xml:space="preserve">. These slides showed the Northeast Expansion Project in active </w:t>
      </w:r>
      <w:r w:rsidRPr="00F61899">
        <w:t>development mode, with projected volumes of 0.8 to 2.2 billion cubic feet per day (</w:t>
      </w:r>
      <w:proofErr w:type="spellStart"/>
      <w:r w:rsidRPr="00F61899">
        <w:t>Bcf</w:t>
      </w:r>
      <w:proofErr w:type="spellEnd"/>
      <w:r w:rsidRPr="00F61899">
        <w:t>/d) based on shipper interests.</w:t>
      </w:r>
      <w:r w:rsidRPr="00372FDE">
        <w:t xml:space="preserve"> </w:t>
      </w:r>
    </w:p>
  </w:footnote>
  <w:footnote w:id="264">
    <w:p w:rsidR="001E3655" w:rsidRDefault="001E3655">
      <w:pPr>
        <w:pStyle w:val="FootnoteText"/>
      </w:pPr>
      <w:r w:rsidRPr="00D56C58">
        <w:rPr>
          <w:rStyle w:val="FootnoteReference"/>
          <w:rFonts w:asciiTheme="majorHAnsi" w:hAnsiTheme="majorHAnsi"/>
          <w:sz w:val="18"/>
        </w:rPr>
        <w:footnoteRef/>
      </w:r>
      <w:r w:rsidRPr="00D56C58">
        <w:t xml:space="preserve"> EIA, </w:t>
      </w:r>
      <w:hyperlink r:id="rId244" w:history="1">
        <w:r w:rsidRPr="00D56C58">
          <w:rPr>
            <w:rStyle w:val="Hyperlink"/>
            <w:i/>
          </w:rPr>
          <w:t>Short-Term Energy Outlook</w:t>
        </w:r>
      </w:hyperlink>
      <w:r w:rsidRPr="00D56C58">
        <w:t xml:space="preserve"> (February 11, 2014). US average heating-degree days (i.e., an indication of colder weather) were 12% higher than last winter and 8% above the previous 10-year average.</w:t>
      </w:r>
      <w:r w:rsidRPr="00372FDE">
        <w:t xml:space="preserve"> The Northeast was 11% colder than last winter; the Midwest, 17% colder; and the South, 20% colder, while the West was </w:t>
      </w:r>
      <w:r w:rsidRPr="00761E03">
        <w:t xml:space="preserve">3% warmer. New England was approximately 7.5% colder than normal. </w:t>
      </w:r>
    </w:p>
  </w:footnote>
  <w:footnote w:id="265">
    <w:p w:rsidR="001E3655" w:rsidRDefault="001E3655">
      <w:pPr>
        <w:pStyle w:val="FootnoteText"/>
      </w:pPr>
      <w:r w:rsidRPr="00761E03">
        <w:rPr>
          <w:rStyle w:val="FootnoteReference"/>
          <w:rFonts w:asciiTheme="majorHAnsi" w:hAnsiTheme="majorHAnsi"/>
          <w:sz w:val="18"/>
        </w:rPr>
        <w:footnoteRef/>
      </w:r>
      <w:r w:rsidRPr="00761E03">
        <w:t xml:space="preserve"> Nine days in January 2014 were in the coldest 5% of all winter days over the past 20 years.</w:t>
      </w:r>
    </w:p>
  </w:footnote>
  <w:footnote w:id="266">
    <w:p w:rsidR="001E3655" w:rsidRDefault="001E3655">
      <w:pPr>
        <w:pStyle w:val="FootnoteText"/>
      </w:pPr>
      <w:r w:rsidRPr="00761E03">
        <w:rPr>
          <w:rStyle w:val="FootnoteReference"/>
          <w:rFonts w:asciiTheme="majorHAnsi" w:hAnsiTheme="majorHAnsi"/>
          <w:sz w:val="18"/>
        </w:rPr>
        <w:footnoteRef/>
      </w:r>
      <w:r w:rsidRPr="00761E03">
        <w:t xml:space="preserve"> Oil prices exceeded natural gas prices 43% of the time; natural gas had an average price of $19.33/</w:t>
      </w:r>
      <w:proofErr w:type="spellStart"/>
      <w:r w:rsidRPr="00761E03">
        <w:t>MMBtu</w:t>
      </w:r>
      <w:proofErr w:type="spellEnd"/>
      <w:r w:rsidRPr="00761E03">
        <w:t xml:space="preserve">. </w:t>
      </w:r>
    </w:p>
  </w:footnote>
  <w:footnote w:id="267">
    <w:p w:rsidR="001E3655" w:rsidRDefault="001E3655">
      <w:pPr>
        <w:pStyle w:val="FootnoteText"/>
      </w:pPr>
      <w:r w:rsidRPr="0048193B">
        <w:rPr>
          <w:rStyle w:val="FootnoteReference"/>
          <w:rFonts w:asciiTheme="majorHAnsi" w:hAnsiTheme="majorHAnsi"/>
          <w:sz w:val="18"/>
        </w:rPr>
        <w:footnoteRef/>
      </w:r>
      <w:r w:rsidRPr="0048193B">
        <w:t xml:space="preserve"> </w:t>
      </w:r>
      <w:proofErr w:type="gramStart"/>
      <w:r w:rsidRPr="0048193B">
        <w:t xml:space="preserve">FERC, </w:t>
      </w:r>
      <w:r w:rsidRPr="0048193B">
        <w:rPr>
          <w:i/>
        </w:rPr>
        <w:t>ISO New England Inc., et al. Order Conditionally Accepting Tariff Revisions</w:t>
      </w:r>
      <w:r>
        <w:rPr>
          <w:i/>
        </w:rPr>
        <w:t xml:space="preserve"> </w:t>
      </w:r>
      <w:r w:rsidRPr="0048193B">
        <w:t xml:space="preserve">(September 16, 2013), </w:t>
      </w:r>
      <w:hyperlink r:id="rId245" w:history="1">
        <w:r w:rsidRPr="005F095D">
          <w:rPr>
            <w:rStyle w:val="Hyperlink"/>
          </w:rPr>
          <w:t>http://www.iso-ne.com/regulatory/ferc/orders/2013/sep/er13-1851-000_9-16-2013_winter_rel.pdf</w:t>
        </w:r>
      </w:hyperlink>
      <w:r w:rsidRPr="0048193B">
        <w:t>.</w:t>
      </w:r>
      <w:proofErr w:type="gramEnd"/>
    </w:p>
  </w:footnote>
  <w:footnote w:id="268">
    <w:p w:rsidR="001E3655" w:rsidRDefault="001E3655">
      <w:pPr>
        <w:pStyle w:val="FootnoteText"/>
      </w:pPr>
      <w:r w:rsidRPr="002A1ABF">
        <w:rPr>
          <w:rStyle w:val="FootnoteReference"/>
          <w:rFonts w:asciiTheme="majorHAnsi" w:hAnsiTheme="majorHAnsi"/>
          <w:sz w:val="18"/>
        </w:rPr>
        <w:footnoteRef/>
      </w:r>
      <w:r w:rsidRPr="002A1ABF">
        <w:t xml:space="preserve"> No. 6 oil is the crude-oil component remaining after gasoline and distillate fuel </w:t>
      </w:r>
      <w:proofErr w:type="gramStart"/>
      <w:r w:rsidRPr="002A1ABF">
        <w:t>oils have been extracted and is</w:t>
      </w:r>
      <w:proofErr w:type="gramEnd"/>
      <w:r w:rsidRPr="002A1ABF">
        <w:t xml:space="preserve"> used by oil-burning power plants. No. 6 oil (1%) refers to the percentage of sulfur in the oil and </w:t>
      </w:r>
      <w:proofErr w:type="gramStart"/>
      <w:r w:rsidRPr="002A1ABF">
        <w:t>is referred</w:t>
      </w:r>
      <w:proofErr w:type="gramEnd"/>
      <w:r w:rsidRPr="002A1ABF">
        <w:t xml:space="preserve"> to as a residual fuel oil or heavy fuel oil.</w:t>
      </w:r>
    </w:p>
  </w:footnote>
  <w:footnote w:id="269">
    <w:p w:rsidR="001E3655" w:rsidRPr="0026405F" w:rsidRDefault="001E3655">
      <w:pPr>
        <w:pStyle w:val="FootnoteText"/>
      </w:pPr>
      <w:r w:rsidRPr="003260B6">
        <w:rPr>
          <w:rStyle w:val="FootnoteReference"/>
          <w:rFonts w:asciiTheme="majorHAnsi" w:hAnsiTheme="majorHAnsi"/>
          <w:sz w:val="18"/>
        </w:rPr>
        <w:footnoteRef/>
      </w:r>
      <w:r w:rsidRPr="00372FDE">
        <w:t xml:space="preserve"> </w:t>
      </w:r>
      <w:r w:rsidRPr="00B40A7C">
        <w:t xml:space="preserve">ISO New England Inc., </w:t>
      </w:r>
      <w:r w:rsidRPr="00B40A7C">
        <w:rPr>
          <w:i/>
        </w:rPr>
        <w:t>Docket No. ER14-___-000, Winter 2014-15 Reliability Program</w:t>
      </w:r>
      <w:r w:rsidRPr="00B40A7C">
        <w:t xml:space="preserve"> (Parts 1 and 2), FERC filing </w:t>
      </w:r>
      <w:r w:rsidRPr="0026405F">
        <w:t xml:space="preserve">(July 11, 2014), </w:t>
      </w:r>
      <w:hyperlink r:id="rId246" w:history="1">
        <w:r w:rsidRPr="0026405F">
          <w:rPr>
            <w:rStyle w:val="Hyperlink"/>
          </w:rPr>
          <w:t>http://www.iso-ne.com/static-assets/documents/regulatory/ferc/filings/2014/jul/er14_2407_000_win_rel_pro_7_11_2014.pdf</w:t>
        </w:r>
      </w:hyperlink>
      <w:r w:rsidRPr="0026405F">
        <w:t xml:space="preserve"> and </w:t>
      </w:r>
      <w:hyperlink r:id="rId247" w:history="1">
        <w:r w:rsidRPr="0026405F">
          <w:rPr>
            <w:rStyle w:val="Hyperlink"/>
          </w:rPr>
          <w:t>http://www.iso-ne.com/regulatory/ferc/filings/2014/jul/er14-2407-001_winter_rel_7-11-2014.pdf</w:t>
        </w:r>
      </w:hyperlink>
      <w:r w:rsidRPr="0026405F">
        <w:t xml:space="preserve">. The summer seasonal claimed capability of Vermont Yankee is 619 MW. The </w:t>
      </w:r>
      <w:proofErr w:type="spellStart"/>
      <w:r w:rsidRPr="0026405F">
        <w:t>nonprice</w:t>
      </w:r>
      <w:proofErr w:type="spellEnd"/>
      <w:r w:rsidRPr="0026405F">
        <w:t xml:space="preserve"> retirement of VY </w:t>
      </w:r>
      <w:proofErr w:type="gramStart"/>
      <w:r w:rsidRPr="0026405F">
        <w:t>is based</w:t>
      </w:r>
      <w:proofErr w:type="gramEnd"/>
      <w:r w:rsidRPr="0026405F">
        <w:t xml:space="preserve"> on its capacity supply obligation of 604 MW.</w:t>
      </w:r>
    </w:p>
  </w:footnote>
  <w:footnote w:id="270">
    <w:p w:rsidR="001E3655" w:rsidRDefault="001E3655">
      <w:pPr>
        <w:pStyle w:val="FootnoteText"/>
      </w:pPr>
      <w:r w:rsidRPr="0026405F">
        <w:rPr>
          <w:rStyle w:val="FootnoteReference"/>
          <w:rFonts w:asciiTheme="majorHAnsi" w:hAnsiTheme="majorHAnsi"/>
          <w:sz w:val="18"/>
        </w:rPr>
        <w:footnoteRef/>
      </w:r>
      <w:r w:rsidRPr="0026405F">
        <w:t xml:space="preserve"> Electric energy offers more reflective of actual fuel prices and thus the cost of procuring fuel in real time will improve energy market price signals. The revisions to offer-flexibility rules </w:t>
      </w:r>
      <w:proofErr w:type="gramStart"/>
      <w:r w:rsidRPr="0026405F">
        <w:t>are targeted to be implemented</w:t>
      </w:r>
      <w:proofErr w:type="gramEnd"/>
      <w:r w:rsidRPr="0026405F">
        <w:t xml:space="preserve"> by the end of 2014.</w:t>
      </w:r>
      <w:r w:rsidRPr="000E27C8">
        <w:t xml:space="preserve"> </w:t>
      </w:r>
      <w:proofErr w:type="gramStart"/>
      <w:r w:rsidRPr="000E27C8">
        <w:t xml:space="preserve">ISO New England Inc. and NEPOOL, </w:t>
      </w:r>
      <w:r w:rsidRPr="000E27C8">
        <w:rPr>
          <w:i/>
        </w:rPr>
        <w:t>Energy Market Offer Flexibility Changes</w:t>
      </w:r>
      <w:r w:rsidRPr="000E27C8">
        <w:t>, FERC filing, (July 1, 2013),</w:t>
      </w:r>
      <w:r w:rsidRPr="00C30556">
        <w:t xml:space="preserve"> </w:t>
      </w:r>
      <w:hyperlink r:id="rId248" w:history="1">
        <w:r w:rsidRPr="00CB2C61">
          <w:rPr>
            <w:rStyle w:val="Hyperlink"/>
          </w:rPr>
          <w:t>http://www.iso-ne.com/static-assets/documents/regulatory/ferc/filings/2013/jul/er13_1877_000_mkt_offer_flex_7_1_2013.pdf</w:t>
        </w:r>
      </w:hyperlink>
      <w:r w:rsidRPr="00C30556">
        <w:rPr>
          <w:rFonts w:cs="Arial"/>
        </w:rPr>
        <w:t>.</w:t>
      </w:r>
      <w:proofErr w:type="gramEnd"/>
      <w:r w:rsidRPr="00C30556">
        <w:rPr>
          <w:rFonts w:cs="Arial"/>
        </w:rPr>
        <w:t xml:space="preserve"> </w:t>
      </w:r>
      <w:proofErr w:type="gramStart"/>
      <w:r w:rsidRPr="00C30556">
        <w:rPr>
          <w:rFonts w:cs="Arial"/>
        </w:rPr>
        <w:t>FERC</w:t>
      </w:r>
      <w:r w:rsidRPr="00C30556">
        <w:t xml:space="preserve">, </w:t>
      </w:r>
      <w:r w:rsidRPr="00C30556">
        <w:rPr>
          <w:i/>
        </w:rPr>
        <w:t>Order</w:t>
      </w:r>
      <w:r w:rsidRPr="00372FDE">
        <w:rPr>
          <w:i/>
        </w:rPr>
        <w:t xml:space="preserve"> Conditionally Accepting Tariff Revisions</w:t>
      </w:r>
      <w:r>
        <w:rPr>
          <w:i/>
        </w:rPr>
        <w:t xml:space="preserve"> </w:t>
      </w:r>
      <w:r w:rsidRPr="00372FDE">
        <w:t xml:space="preserve">(October 3, 2013), </w:t>
      </w:r>
      <w:hyperlink r:id="rId249" w:history="1">
        <w:r w:rsidRPr="00372FDE">
          <w:rPr>
            <w:rStyle w:val="Hyperlink"/>
            <w:rFonts w:cs="Arial"/>
          </w:rPr>
          <w:t>http://www.iso-ne.com/regulatory/ferc/orders/2013/oct/er13-1877-000_10-3-13_order_condition_accept_flex_rev.pdf</w:t>
        </w:r>
      </w:hyperlink>
      <w:r w:rsidRPr="00372FDE">
        <w:t>.</w:t>
      </w:r>
      <w:proofErr w:type="gramEnd"/>
    </w:p>
  </w:footnote>
  <w:footnote w:id="271">
    <w:p w:rsidR="001E3655" w:rsidRDefault="001E3655">
      <w:pPr>
        <w:pStyle w:val="FootnoteText"/>
      </w:pPr>
      <w:r w:rsidRPr="003260B6">
        <w:rPr>
          <w:rStyle w:val="FootnoteReference"/>
          <w:rFonts w:asciiTheme="majorHAnsi" w:hAnsiTheme="majorHAnsi"/>
          <w:sz w:val="18"/>
        </w:rPr>
        <w:footnoteRef/>
      </w:r>
      <w:r w:rsidRPr="00372FDE">
        <w:t xml:space="preserve"> FERC concluded that the ISO’s market rules require resources with a CSO to procure fuel to meet the terms of the resource’s energy market offer if fuel is physically available. </w:t>
      </w:r>
      <w:proofErr w:type="gramStart"/>
      <w:r w:rsidRPr="00372FDE">
        <w:t xml:space="preserve">FERC, </w:t>
      </w:r>
      <w:r w:rsidRPr="00372FDE">
        <w:rPr>
          <w:i/>
        </w:rPr>
        <w:t xml:space="preserve">Order on Complaint, New England Power </w:t>
      </w:r>
      <w:r w:rsidRPr="00DC32CD">
        <w:rPr>
          <w:i/>
        </w:rPr>
        <w:t xml:space="preserve">Generators Association v. ISO New England </w:t>
      </w:r>
      <w:r w:rsidRPr="00DC32CD">
        <w:t xml:space="preserve">(August 27, 2013), </w:t>
      </w:r>
      <w:hyperlink r:id="rId250" w:history="1">
        <w:r w:rsidRPr="00DC32CD">
          <w:rPr>
            <w:rStyle w:val="Hyperlink"/>
            <w:rFonts w:cs="Arial"/>
          </w:rPr>
          <w:t>http://www.iso-ne.com/regulatory/ferc/orders/2013/aug/el13-66_8-27-13_order_nepga_complaint.pdf</w:t>
        </w:r>
      </w:hyperlink>
      <w:r w:rsidRPr="00372FDE">
        <w:t>.</w:t>
      </w:r>
      <w:proofErr w:type="gramEnd"/>
    </w:p>
  </w:footnote>
  <w:footnote w:id="272">
    <w:p w:rsidR="001E3655" w:rsidRDefault="001E3655">
      <w:pPr>
        <w:pStyle w:val="FootnoteText"/>
      </w:pPr>
      <w:r w:rsidRPr="003260B6">
        <w:rPr>
          <w:rStyle w:val="FootnoteReference"/>
          <w:rFonts w:asciiTheme="majorHAnsi" w:hAnsiTheme="majorHAnsi"/>
          <w:sz w:val="18"/>
        </w:rPr>
        <w:footnoteRef/>
      </w:r>
      <w:r w:rsidRPr="00372FDE">
        <w:t xml:space="preserve"> An </w:t>
      </w:r>
      <w:r w:rsidRPr="00372FDE">
        <w:rPr>
          <w:i/>
        </w:rPr>
        <w:t xml:space="preserve">Abnormal Conditions Alert </w:t>
      </w:r>
      <w:r w:rsidRPr="00372FDE">
        <w:t xml:space="preserve">is a notice from the ISO to applicable power system operations, maintenance, construction, and test personnel, as well as each applicable market participant, to alert them about an existing abnormal condition affecting the reliability of the power system or about an anticipated abnormal condition. Master/Local Control Center Procedure No. 2 (M/LCC2), </w:t>
      </w:r>
      <w:r w:rsidRPr="00372FDE">
        <w:rPr>
          <w:i/>
        </w:rPr>
        <w:t>Abnormal Conditions Alert</w:t>
      </w:r>
      <w:r w:rsidRPr="00372FDE">
        <w:t xml:space="preserve"> (February 21, 2014), </w:t>
      </w:r>
      <w:hyperlink r:id="rId251" w:history="1">
        <w:r w:rsidRPr="00372FDE">
          <w:rPr>
            <w:rStyle w:val="Hyperlink"/>
          </w:rPr>
          <w:t>http://www.iso-ne.com/rules_proceds/operating/mast_satllte/mlcc2.pdf</w:t>
        </w:r>
      </w:hyperlink>
      <w:r w:rsidRPr="00372FDE">
        <w:t>.</w:t>
      </w:r>
    </w:p>
  </w:footnote>
  <w:footnote w:id="273">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Hour ending</w:t>
      </w:r>
      <w:r w:rsidRPr="00372FDE">
        <w:t xml:space="preserve"> denotes the preceding hourly period. For example, 12:01 a.m. to 1:00 a.m. is hour ending 1:00 a.m. Hour ending 5:00 p.m. is the period from 4:01 p.m. to 5:00 p.m.</w:t>
      </w:r>
    </w:p>
  </w:footnote>
  <w:footnote w:id="274">
    <w:p w:rsidR="001E3655" w:rsidRDefault="001E3655">
      <w:pPr>
        <w:pStyle w:val="FootnoteText"/>
      </w:pPr>
      <w:r w:rsidRPr="003260B6">
        <w:rPr>
          <w:rStyle w:val="FootnoteReference"/>
          <w:rFonts w:asciiTheme="majorHAnsi" w:hAnsiTheme="majorHAnsi"/>
          <w:sz w:val="18"/>
        </w:rPr>
        <w:footnoteRef/>
      </w:r>
      <w:r w:rsidRPr="00372FDE">
        <w:t xml:space="preserve"> The January 15, 2004, cold snap recorded the lowest average temperature in the last 20 years and the all-time winter peak of 22,818 MW. </w:t>
      </w:r>
    </w:p>
  </w:footnote>
  <w:footnote w:id="275">
    <w:p w:rsidR="001E3655" w:rsidRDefault="001E3655">
      <w:pPr>
        <w:pStyle w:val="FootnoteText"/>
      </w:pPr>
      <w:r w:rsidRPr="006D487F">
        <w:rPr>
          <w:rStyle w:val="FootnoteReference"/>
          <w:rFonts w:asciiTheme="majorHAnsi" w:hAnsiTheme="majorHAnsi"/>
          <w:sz w:val="18"/>
        </w:rPr>
        <w:footnoteRef/>
      </w:r>
      <w:r w:rsidRPr="006D487F">
        <w:t xml:space="preserve"> The tariff, Section I, defines a </w:t>
      </w:r>
      <w:r w:rsidRPr="006D487F">
        <w:rPr>
          <w:bCs/>
          <w:i/>
        </w:rPr>
        <w:t>limited-energy resource</w:t>
      </w:r>
      <w:r w:rsidRPr="006D487F">
        <w:rPr>
          <w:bCs/>
        </w:rPr>
        <w:t xml:space="preserve"> as a </w:t>
      </w:r>
      <w:r w:rsidRPr="006D487F">
        <w:t xml:space="preserve">generating resource that, because of design considerations; environmental restriction on operations; cyclical requirements, such as the need to recharge or refill or manage water flow; or fuel limitations, is unable to operate continuously at full output on a daily basis. (See </w:t>
      </w:r>
      <w:hyperlink r:id="rId252" w:history="1">
        <w:r w:rsidRPr="006D487F">
          <w:rPr>
            <w:rStyle w:val="Hyperlink"/>
            <w:rFonts w:cs="Arial"/>
          </w:rPr>
          <w:t>http://www.iso-ne.com/regulatory/tariff/sect_1/sect_i.pdf</w:t>
        </w:r>
      </w:hyperlink>
      <w:r w:rsidRPr="006D487F">
        <w:t xml:space="preserve"> and </w:t>
      </w:r>
      <w:r w:rsidRPr="006D487F">
        <w:rPr>
          <w:i/>
        </w:rPr>
        <w:t>Market Rule 1</w:t>
      </w:r>
      <w:r w:rsidRPr="006D487F">
        <w:t xml:space="preserve">, </w:t>
      </w:r>
      <w:hyperlink r:id="rId253" w:history="1">
        <w:r w:rsidRPr="006D487F">
          <w:rPr>
            <w:rStyle w:val="Hyperlink"/>
          </w:rPr>
          <w:t>http://www.iso-ne.com/regulatory/tariff/sect_3/index.html</w:t>
        </w:r>
      </w:hyperlink>
      <w:r w:rsidRPr="006D487F">
        <w:t>.) The ISO’s AMR12, Section 2.1.4, contains additional information on the LEG provisions</w:t>
      </w:r>
      <w:proofErr w:type="gramStart"/>
      <w:r w:rsidRPr="006D487F">
        <w:t>;</w:t>
      </w:r>
      <w:proofErr w:type="gramEnd"/>
      <w:r w:rsidRPr="006D487F">
        <w:t xml:space="preserve"> </w:t>
      </w:r>
      <w:hyperlink r:id="rId254" w:history="1">
        <w:r w:rsidRPr="00B5234A">
          <w:rPr>
            <w:rStyle w:val="Hyperlink"/>
          </w:rPr>
          <w:t>http://www.iso-ne.com/static-assets/documents/markets/mkt_anlys_rpts/annl_mkt_rpts/2012/amr12_final_051513.pdf</w:t>
        </w:r>
      </w:hyperlink>
      <w:r w:rsidRPr="006D487F">
        <w:t>.</w:t>
      </w:r>
    </w:p>
  </w:footnote>
  <w:footnote w:id="276">
    <w:p w:rsidR="001E3655" w:rsidRDefault="001E3655">
      <w:pPr>
        <w:pStyle w:val="FootnoteText"/>
      </w:pPr>
      <w:r w:rsidRPr="00372FDE">
        <w:rPr>
          <w:rStyle w:val="FootnoteReference"/>
          <w:rFonts w:asciiTheme="majorHAnsi" w:hAnsiTheme="majorHAnsi"/>
          <w:sz w:val="18"/>
        </w:rPr>
        <w:footnoteRef/>
      </w:r>
      <w:r w:rsidRPr="00372FDE">
        <w:t xml:space="preserve"> </w:t>
      </w:r>
      <w:hyperlink r:id="rId255" w:history="1">
        <w:proofErr w:type="gramStart"/>
        <w:r w:rsidRPr="00372FDE">
          <w:rPr>
            <w:rStyle w:val="Hyperlink"/>
            <w:i/>
          </w:rPr>
          <w:t>NEPOOL Participants Committee February 2014 COO Report</w:t>
        </w:r>
      </w:hyperlink>
      <w:r w:rsidRPr="00372FDE">
        <w:t>, NEPOOL Participants Committee presentation (February 1, 2014).</w:t>
      </w:r>
      <w:proofErr w:type="gramEnd"/>
    </w:p>
  </w:footnote>
  <w:footnote w:id="277">
    <w:p w:rsidR="001E3655" w:rsidRDefault="001E3655">
      <w:pPr>
        <w:pStyle w:val="FootnoteText"/>
      </w:pPr>
      <w:r w:rsidRPr="003260B6">
        <w:rPr>
          <w:rStyle w:val="FootnoteReference"/>
          <w:rFonts w:asciiTheme="majorHAnsi" w:hAnsiTheme="majorHAnsi"/>
          <w:sz w:val="18"/>
        </w:rPr>
        <w:footnoteRef/>
      </w:r>
      <w:r w:rsidRPr="00372FDE">
        <w:t xml:space="preserve"> ICF International (ICF), </w:t>
      </w:r>
      <w:r w:rsidRPr="00372FDE">
        <w:rPr>
          <w:i/>
        </w:rPr>
        <w:t>Gas-Fired Power Generation in Eastern New York and its Impact on New England’s Gas Supplies</w:t>
      </w:r>
      <w:r>
        <w:t>, white paper</w:t>
      </w:r>
      <w:r w:rsidRPr="00372FDE">
        <w:t xml:space="preserve"> (November 18, 2013), </w:t>
      </w:r>
      <w:hyperlink r:id="rId256" w:history="1">
        <w:r w:rsidRPr="00372FDE">
          <w:rPr>
            <w:rStyle w:val="Hyperlink"/>
          </w:rPr>
          <w:t>http://www.iso-ne.com/committees/comm_wkgrps/prtcpnts_comm/pac/mtrls/2013/nov202013/icf_upstream_gen_impacts_white_paper_11-18-2013.pdf</w:t>
        </w:r>
      </w:hyperlink>
      <w:r w:rsidRPr="00372FDE">
        <w:t>.</w:t>
      </w:r>
    </w:p>
  </w:footnote>
  <w:footnote w:id="278">
    <w:p w:rsidR="001E3655" w:rsidRDefault="001E3655">
      <w:pPr>
        <w:pStyle w:val="FootnoteText"/>
      </w:pPr>
      <w:r w:rsidRPr="003260B6">
        <w:rPr>
          <w:rStyle w:val="FootnoteReference"/>
          <w:rFonts w:asciiTheme="majorHAnsi" w:hAnsiTheme="majorHAnsi"/>
          <w:sz w:val="18"/>
        </w:rPr>
        <w:footnoteRef/>
      </w:r>
      <w:r w:rsidRPr="00372FDE">
        <w:t xml:space="preserve"> ICF, </w:t>
      </w:r>
      <w:r w:rsidRPr="00372FDE">
        <w:rPr>
          <w:i/>
        </w:rPr>
        <w:t>Assessment of New England’s Natural Gas Pipeline Capacity to Satisfy Short and Near-Term Electric Generation Needs: Phase II</w:t>
      </w:r>
      <w:r w:rsidRPr="00372FDE">
        <w:t xml:space="preserve"> (December 16, 2013), </w:t>
      </w:r>
      <w:hyperlink r:id="rId257" w:history="1">
        <w:r w:rsidRPr="00372FDE">
          <w:rPr>
            <w:rStyle w:val="Hyperlink"/>
          </w:rPr>
          <w:t>http://www.iso-ne.com/committees/comm_wkgrps/prtcpnts_comm/pac/mtrls/2013/dec182013/a3_draft_icf_phase_2_gas_study_report_without_appendices.pdf</w:t>
        </w:r>
      </w:hyperlink>
      <w:r>
        <w:t xml:space="preserve">. See additional scenarios in the ICF PAC presentation, </w:t>
      </w:r>
      <w:r w:rsidRPr="001B4A23">
        <w:rPr>
          <w:i/>
        </w:rPr>
        <w:t>Winter 2013/14 Benchmark and Revised Projections for New England Natural Gas Supplies and Demand</w:t>
      </w:r>
      <w:r>
        <w:t xml:space="preserve"> (April 29, 2014</w:t>
      </w:r>
      <w:r w:rsidRPr="001B4A23">
        <w:t xml:space="preserve">), </w:t>
      </w:r>
      <w:hyperlink r:id="rId258" w:history="1">
        <w:r w:rsidRPr="001B4A23">
          <w:rPr>
            <w:rStyle w:val="Hyperlink"/>
          </w:rPr>
          <w:t>http://www.iso-ne.com/committees/comm_wkgrps/prtcpnts_comm/pac/mtrls/2014/apr292014/a3_icf_benchmarking_study.pdf</w:t>
        </w:r>
      </w:hyperlink>
      <w:r>
        <w:t>.</w:t>
      </w:r>
    </w:p>
  </w:footnote>
  <w:footnote w:id="279">
    <w:p w:rsidR="001E3655" w:rsidRDefault="001E3655">
      <w:pPr>
        <w:pStyle w:val="FootnoteText"/>
      </w:pPr>
      <w:r w:rsidRPr="001B4A23">
        <w:rPr>
          <w:rStyle w:val="FootnoteReference"/>
          <w:rFonts w:asciiTheme="majorHAnsi" w:hAnsiTheme="majorHAnsi"/>
          <w:sz w:val="18"/>
        </w:rPr>
        <w:footnoteRef/>
      </w:r>
      <w:r w:rsidRPr="001B4A23">
        <w:t xml:space="preserve"> EIPC, “Gas-Electric System Interface Study,” webpage (2014), </w:t>
      </w:r>
      <w:hyperlink r:id="rId259" w:history="1">
        <w:r w:rsidRPr="001B4A23">
          <w:rPr>
            <w:rStyle w:val="Hyperlink"/>
          </w:rPr>
          <w:t>http://www.eipconline.com/Gas-Electric.html</w:t>
        </w:r>
      </w:hyperlink>
      <w:r>
        <w:t>.</w:t>
      </w:r>
    </w:p>
  </w:footnote>
  <w:footnote w:id="280">
    <w:p w:rsidR="001E3655" w:rsidRDefault="001E3655">
      <w:pPr>
        <w:pStyle w:val="FootnoteText"/>
      </w:pPr>
      <w:r w:rsidRPr="003B197F">
        <w:rPr>
          <w:rStyle w:val="FootnoteReference"/>
        </w:rPr>
        <w:footnoteRef/>
      </w:r>
      <w:r w:rsidRPr="003B197F">
        <w:t xml:space="preserve"> ICF (November 18, 2013).</w:t>
      </w:r>
    </w:p>
  </w:footnote>
  <w:footnote w:id="281">
    <w:p w:rsidR="001E3655" w:rsidRDefault="001E3655">
      <w:pPr>
        <w:pStyle w:val="FootnoteText"/>
      </w:pPr>
      <w:r w:rsidRPr="00372FDE">
        <w:rPr>
          <w:rStyle w:val="FootnoteReference"/>
          <w:rFonts w:asciiTheme="majorHAnsi" w:hAnsiTheme="majorHAnsi"/>
          <w:sz w:val="18"/>
        </w:rPr>
        <w:footnoteRef/>
      </w:r>
      <w:r w:rsidRPr="00372FDE">
        <w:t xml:space="preserve"> ICF, </w:t>
      </w:r>
      <w:r w:rsidRPr="00372FDE">
        <w:rPr>
          <w:i/>
        </w:rPr>
        <w:t>Assessment of New England’s Natural Gas Pipeline Capacity to Satisfy Short and Near-Term Electric Generation Needs</w:t>
      </w:r>
      <w:r w:rsidRPr="00372FDE">
        <w:t xml:space="preserve">, draft report (June 15, 2012), </w:t>
      </w:r>
      <w:hyperlink r:id="rId260" w:history="1">
        <w:r w:rsidRPr="00372FDE">
          <w:rPr>
            <w:rStyle w:val="Hyperlink"/>
          </w:rPr>
          <w:t>https://smd.iso-ne.com/committees/comm_wkgrps/prtcpnts_comm/pac/ceii/reports/2012/gas_study_ceii.pdf</w:t>
        </w:r>
      </w:hyperlink>
      <w:r w:rsidRPr="00372FDE">
        <w:t xml:space="preserve">. Also see the ISO’s memo to the PAC regarding this study (June 15, 2012), </w:t>
      </w:r>
      <w:hyperlink r:id="rId261" w:history="1">
        <w:r w:rsidRPr="00372FDE">
          <w:rPr>
            <w:rStyle w:val="Hyperlink"/>
          </w:rPr>
          <w:t>http://www.iso-ne.com/committees/comm_wkgrps/prtcpnts_comm/pac/reports/2012/gas_study_ltr.pdf</w:t>
        </w:r>
      </w:hyperlink>
      <w:r w:rsidRPr="00372FDE">
        <w:t>.</w:t>
      </w:r>
    </w:p>
  </w:footnote>
  <w:footnote w:id="282">
    <w:p w:rsidR="001E3655" w:rsidRDefault="001E3655">
      <w:pPr>
        <w:pStyle w:val="FootnoteText"/>
      </w:pPr>
      <w:r>
        <w:rPr>
          <w:rStyle w:val="FootnoteReference"/>
        </w:rPr>
        <w:footnoteRef/>
      </w:r>
      <w:r>
        <w:t xml:space="preserve"> Both the Phase </w:t>
      </w:r>
      <w:proofErr w:type="gramStart"/>
      <w:r>
        <w:t>I</w:t>
      </w:r>
      <w:proofErr w:type="gramEnd"/>
      <w:r>
        <w:t xml:space="preserve"> and Phase II studies considered the retirement of Vermont Yankee.</w:t>
      </w:r>
    </w:p>
  </w:footnote>
  <w:footnote w:id="283">
    <w:p w:rsidR="001E3655" w:rsidRDefault="001E3655">
      <w:pPr>
        <w:pStyle w:val="FootnoteText"/>
      </w:pPr>
      <w:r>
        <w:rPr>
          <w:rStyle w:val="FootnoteReference"/>
        </w:rPr>
        <w:footnoteRef/>
      </w:r>
      <w:r>
        <w:t xml:space="preserve"> </w:t>
      </w:r>
      <w:r w:rsidRPr="00C57933">
        <w:t xml:space="preserve">The analysis used 20 years of weather data and the results of </w:t>
      </w:r>
      <w:r w:rsidRPr="00025453">
        <w:t xml:space="preserve">analysis to derive relationships </w:t>
      </w:r>
      <w:r>
        <w:t>among</w:t>
      </w:r>
      <w:r w:rsidRPr="00025453">
        <w:t xml:space="preserve"> mean daily temperatures and daily LDC demands, pipeline flows on the M&amp;N system, </w:t>
      </w:r>
      <w:r>
        <w:t xml:space="preserve">and </w:t>
      </w:r>
      <w:proofErr w:type="spellStart"/>
      <w:r>
        <w:t>Distrigas</w:t>
      </w:r>
      <w:proofErr w:type="spellEnd"/>
      <w:r>
        <w:t xml:space="preserve"> </w:t>
      </w:r>
      <w:proofErr w:type="spellStart"/>
      <w:r>
        <w:t>sendout</w:t>
      </w:r>
      <w:proofErr w:type="spellEnd"/>
      <w:r>
        <w:t xml:space="preserve"> </w:t>
      </w:r>
      <w:r w:rsidRPr="00025453">
        <w:t>and</w:t>
      </w:r>
      <w:r>
        <w:t xml:space="preserve"> other LNG operations during peak load periods. </w:t>
      </w:r>
      <w:r w:rsidRPr="00C57933">
        <w:t xml:space="preserve">Gas supplies on the interstate pipelines (other than M&amp;N pipeline) </w:t>
      </w:r>
      <w:proofErr w:type="gramStart"/>
      <w:r w:rsidRPr="00C57933">
        <w:t>were assumed</w:t>
      </w:r>
      <w:proofErr w:type="gramEnd"/>
      <w:r w:rsidRPr="00C57933">
        <w:t xml:space="preserve"> to equal the firmly contracted capacities.</w:t>
      </w:r>
    </w:p>
  </w:footnote>
  <w:footnote w:id="284">
    <w:p w:rsidR="001E3655" w:rsidRDefault="001E3655">
      <w:pPr>
        <w:pStyle w:val="FootnoteText"/>
      </w:pPr>
      <w:r w:rsidRPr="0028075F">
        <w:rPr>
          <w:rStyle w:val="FootnoteReference"/>
          <w:rFonts w:asciiTheme="majorHAnsi" w:hAnsiTheme="majorHAnsi"/>
          <w:sz w:val="18"/>
        </w:rPr>
        <w:footnoteRef/>
      </w:r>
      <w:r w:rsidRPr="0028075F">
        <w:t xml:space="preserve"> </w:t>
      </w:r>
      <w:proofErr w:type="gramStart"/>
      <w:r w:rsidRPr="0028075F">
        <w:t xml:space="preserve">More comprehensive discussions are available in the ISO’s </w:t>
      </w:r>
      <w:r w:rsidRPr="0028075F">
        <w:rPr>
          <w:i/>
        </w:rPr>
        <w:t xml:space="preserve">2014 Regional Electricity Outlook </w:t>
      </w:r>
      <w:r w:rsidRPr="0028075F">
        <w:t xml:space="preserve">(February 25, 2014), </w:t>
      </w:r>
      <w:hyperlink r:id="rId262" w:history="1">
        <w:r w:rsidRPr="0028075F">
          <w:rPr>
            <w:rStyle w:val="Hyperlink"/>
          </w:rPr>
          <w:t>http://www.iso-ne.com/aboutiso/fin/annl_reports/2000/2014_reo.pdf</w:t>
        </w:r>
      </w:hyperlink>
      <w:r w:rsidRPr="0028075F">
        <w:t xml:space="preserve">; </w:t>
      </w:r>
      <w:r w:rsidRPr="0028075F">
        <w:rPr>
          <w:i/>
        </w:rPr>
        <w:t>2014 Wholesale Markets Project Plan</w:t>
      </w:r>
      <w:r w:rsidRPr="0028075F">
        <w:t xml:space="preserve"> (May</w:t>
      </w:r>
      <w:r>
        <w:t> </w:t>
      </w:r>
      <w:r w:rsidRPr="0028075F">
        <w:t xml:space="preserve">9, 2014), </w:t>
      </w:r>
      <w:hyperlink r:id="rId263" w:history="1">
        <w:r w:rsidRPr="001E1E2D">
          <w:rPr>
            <w:rStyle w:val="Hyperlink"/>
          </w:rPr>
          <w:t>http://www.iso-ne.com/static-assets/documents/pubs/whlsle_mkt_pln/2014_wmpp.pdf</w:t>
        </w:r>
      </w:hyperlink>
      <w:r>
        <w:t>;</w:t>
      </w:r>
      <w:r w:rsidRPr="0028075F">
        <w:t xml:space="preserve"> and AMR13 (May 6, 2014), </w:t>
      </w:r>
      <w:hyperlink r:id="rId264" w:history="1">
        <w:r w:rsidRPr="001E1E2D">
          <w:rPr>
            <w:rStyle w:val="Hyperlink"/>
          </w:rPr>
          <w:t>http://www.iso-ne.com/static-assets/documents/markets/mkt_anlys_rpts/annl_mkt_rpts/2013/2013_amr_final_050614.pdf</w:t>
        </w:r>
      </w:hyperlink>
      <w:r w:rsidRPr="0028075F">
        <w:t>.</w:t>
      </w:r>
      <w:proofErr w:type="gramEnd"/>
    </w:p>
  </w:footnote>
  <w:footnote w:id="285">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t xml:space="preserve">ISO New England Inc. and NEPOOL, </w:t>
      </w:r>
      <w:r w:rsidRPr="0028075F">
        <w:rPr>
          <w:i/>
        </w:rPr>
        <w:t>Energy Market Offer Flexibility Changes</w:t>
      </w:r>
      <w:r>
        <w:t xml:space="preserve">, FERC filing (July 1, 2013), </w:t>
      </w:r>
      <w:hyperlink r:id="rId265" w:history="1">
        <w:r w:rsidRPr="0028075F">
          <w:rPr>
            <w:rStyle w:val="Hyperlink"/>
          </w:rPr>
          <w:t>http://www.iso-ne.com/regulatory/ferc/filings/2013/jul/er13-1877-000_mkt_offer_flex_7-1-2013.pdf</w:t>
        </w:r>
      </w:hyperlink>
      <w:r>
        <w:t>.</w:t>
      </w:r>
      <w:proofErr w:type="gramEnd"/>
    </w:p>
  </w:footnote>
  <w:footnote w:id="286">
    <w:p w:rsidR="001E3655" w:rsidRDefault="001E3655">
      <w:pPr>
        <w:pStyle w:val="FootnoteText"/>
      </w:pPr>
      <w:r w:rsidRPr="0007592E">
        <w:rPr>
          <w:rStyle w:val="FootnoteReference"/>
          <w:rFonts w:asciiTheme="majorHAnsi" w:hAnsiTheme="majorHAnsi"/>
          <w:sz w:val="18"/>
        </w:rPr>
        <w:footnoteRef/>
      </w:r>
      <w:r w:rsidRPr="0007592E">
        <w:t xml:space="preserve"> </w:t>
      </w:r>
      <w:r w:rsidRPr="00DE0436">
        <w:t xml:space="preserve">The declaration of a </w:t>
      </w:r>
      <w:r w:rsidRPr="00DE0436">
        <w:rPr>
          <w:i/>
        </w:rPr>
        <w:t>Minimum Generation (Min Gen) Emergency</w:t>
      </w:r>
      <w:r w:rsidRPr="00DE0436">
        <w:t xml:space="preserve"> is called when the on-</w:t>
      </w:r>
      <w:r w:rsidRPr="00EE746B">
        <w:t xml:space="preserve">line generation </w:t>
      </w:r>
      <w:r>
        <w:t xml:space="preserve">plus </w:t>
      </w:r>
      <w:proofErr w:type="gramStart"/>
      <w:r>
        <w:t xml:space="preserve">net imports </w:t>
      </w:r>
      <w:r w:rsidRPr="00EE746B">
        <w:t>comes</w:t>
      </w:r>
      <w:proofErr w:type="gramEnd"/>
      <w:r w:rsidRPr="00EE746B">
        <w:t xml:space="preserve"> close to exceeding system load and all generators are operating at </w:t>
      </w:r>
      <w:r w:rsidRPr="00EE746B">
        <w:rPr>
          <w:i/>
        </w:rPr>
        <w:t>economic minimum</w:t>
      </w:r>
      <w:r w:rsidRPr="00EE746B">
        <w:t xml:space="preserve"> (</w:t>
      </w:r>
      <w:proofErr w:type="spellStart"/>
      <w:r w:rsidRPr="00EE746B">
        <w:t>ecomin</w:t>
      </w:r>
      <w:proofErr w:type="spellEnd"/>
      <w:r w:rsidRPr="00EE746B">
        <w:t>)</w:t>
      </w:r>
      <w:r>
        <w:t xml:space="preserve"> </w:t>
      </w:r>
      <w:r w:rsidRPr="00EE746B">
        <w:t>(i.e., the minimum amount of electric</w:t>
      </w:r>
      <w:r>
        <w:t>ity output</w:t>
      </w:r>
      <w:r w:rsidRPr="00EE746B">
        <w:t xml:space="preserve"> [in megawatts] available from a generating resource for economic dispatch</w:t>
      </w:r>
      <w:r>
        <w:t>)</w:t>
      </w:r>
      <w:r w:rsidRPr="00EE746B">
        <w:t>. A</w:t>
      </w:r>
      <w:r>
        <w:t xml:space="preserve"> Min Gen Emergency </w:t>
      </w:r>
      <w:r w:rsidRPr="00B51370">
        <w:t xml:space="preserve">resets the economic minimums of resources down to their emergency minimums (if available) to gain additional </w:t>
      </w:r>
      <w:proofErr w:type="spellStart"/>
      <w:r w:rsidRPr="00B51370">
        <w:t>dispatchable</w:t>
      </w:r>
      <w:proofErr w:type="spellEnd"/>
      <w:r w:rsidRPr="00B51370">
        <w:t xml:space="preserve"> </w:t>
      </w:r>
      <w:proofErr w:type="gramStart"/>
      <w:r w:rsidRPr="00B51370">
        <w:t>range</w:t>
      </w:r>
      <w:r>
        <w:t>,</w:t>
      </w:r>
      <w:proofErr w:type="gramEnd"/>
      <w:r w:rsidRPr="00B51370">
        <w:t xml:space="preserve"> and </w:t>
      </w:r>
      <w:r>
        <w:t xml:space="preserve">it </w:t>
      </w:r>
      <w:r w:rsidRPr="00B51370">
        <w:t>administratively sets LMPs to zero</w:t>
      </w:r>
      <w:r>
        <w:t>.</w:t>
      </w:r>
      <w:r w:rsidRPr="00B51370">
        <w:t xml:space="preserve"> </w:t>
      </w:r>
    </w:p>
    <w:p w:rsidR="001E3655" w:rsidRDefault="001E3655">
      <w:pPr>
        <w:pStyle w:val="FootnoteText"/>
      </w:pPr>
    </w:p>
  </w:footnote>
  <w:footnote w:id="287">
    <w:p w:rsidR="001E3655" w:rsidRDefault="001E3655" w:rsidP="0091255C">
      <w:pPr>
        <w:pStyle w:val="FootnoteText"/>
      </w:pPr>
      <w:r w:rsidRPr="008A5DDA">
        <w:rPr>
          <w:rStyle w:val="FootnoteReference"/>
        </w:rPr>
        <w:footnoteRef/>
      </w:r>
      <w:r w:rsidRPr="008A5DDA">
        <w:t xml:space="preserve"> </w:t>
      </w:r>
      <w:r w:rsidRPr="008A5DDA">
        <w:rPr>
          <w:i/>
        </w:rPr>
        <w:t>ISO New England Inc. and New England Power Pool Participants Committee, Docket No. ER14-1639-___, Compliance Filing Providing Additional Explanation Concerning the Limited Exemption from Offer Review Trigger Price Review for Renewable Technology Resources</w:t>
      </w:r>
      <w:r w:rsidRPr="008A5DDA">
        <w:t xml:space="preserve"> (July 11, 2014), </w:t>
      </w:r>
      <w:hyperlink r:id="rId266" w:history="1">
        <w:r w:rsidRPr="008A5DDA">
          <w:rPr>
            <w:rStyle w:val="Hyperlink"/>
          </w:rPr>
          <w:t>http://www.iso-ne.com/static-assets/documents/regulatory/ferc/filings/2014/jul/er14_1639_001_7_11_14_compliance_renewables_exempt.pdf</w:t>
        </w:r>
      </w:hyperlink>
      <w:r w:rsidRPr="008A5DDA">
        <w:t>.</w:t>
      </w:r>
    </w:p>
  </w:footnote>
  <w:footnote w:id="288">
    <w:p w:rsidR="001E3655" w:rsidRDefault="001E3655">
      <w:pPr>
        <w:pStyle w:val="FootnoteText"/>
      </w:pPr>
      <w:r w:rsidRPr="00A63784">
        <w:rPr>
          <w:rStyle w:val="FootnoteReference"/>
          <w:rFonts w:asciiTheme="majorHAnsi" w:hAnsiTheme="majorHAnsi"/>
          <w:sz w:val="18"/>
        </w:rPr>
        <w:footnoteRef/>
      </w:r>
      <w:r w:rsidRPr="00A63784">
        <w:t xml:space="preserve"> </w:t>
      </w:r>
      <w:proofErr w:type="gramStart"/>
      <w:r w:rsidRPr="00A63784">
        <w:t xml:space="preserve">FERC, </w:t>
      </w:r>
      <w:r w:rsidRPr="00A63784">
        <w:rPr>
          <w:i/>
        </w:rPr>
        <w:t>Communication of Operational Information between Natural Gas Pipelines and Electric Transmission Operators</w:t>
      </w:r>
      <w:r w:rsidRPr="00A63784">
        <w:t xml:space="preserve">, Order No. 787, final rule (November 15, 2013), </w:t>
      </w:r>
      <w:hyperlink r:id="rId267" w:history="1">
        <w:r w:rsidRPr="00A63784">
          <w:rPr>
            <w:rStyle w:val="Hyperlink"/>
          </w:rPr>
          <w:t>http://www.ferc.gov/CalendarFiles/20131115164637-RM13-17-000.pdf</w:t>
        </w:r>
      </w:hyperlink>
      <w:r w:rsidRPr="00A63784">
        <w:t>.</w:t>
      </w:r>
      <w:proofErr w:type="gramEnd"/>
    </w:p>
  </w:footnote>
  <w:footnote w:id="289">
    <w:p w:rsidR="001E3655" w:rsidRDefault="001E3655">
      <w:pPr>
        <w:pStyle w:val="FootnoteText"/>
      </w:pPr>
      <w:r w:rsidRPr="00A63784">
        <w:rPr>
          <w:rStyle w:val="FootnoteReference"/>
          <w:rFonts w:asciiTheme="majorHAnsi" w:hAnsiTheme="majorHAnsi"/>
          <w:sz w:val="18"/>
        </w:rPr>
        <w:footnoteRef/>
      </w:r>
      <w:r w:rsidRPr="00A63784">
        <w:t xml:space="preserve"> </w:t>
      </w:r>
      <w:proofErr w:type="gramStart"/>
      <w:r w:rsidRPr="00A63784">
        <w:t xml:space="preserve">ISO New England, </w:t>
      </w:r>
      <w:r w:rsidRPr="00A63784">
        <w:rPr>
          <w:i/>
        </w:rPr>
        <w:t>Pipeline Information-Sharing Changes</w:t>
      </w:r>
      <w:r w:rsidRPr="00A63784">
        <w:t xml:space="preserve">, FERC filing (January 10, 2014), </w:t>
      </w:r>
      <w:hyperlink r:id="rId268" w:history="1">
        <w:r w:rsidRPr="00A63784">
          <w:rPr>
            <w:rStyle w:val="Hyperlink"/>
          </w:rPr>
          <w:t>http://www.iso-ne.com/regulatory/ferc/filings/2014/jan/er14-970-000_1-10-2014_pipe_inf_sharing.pdf</w:t>
        </w:r>
      </w:hyperlink>
      <w:r w:rsidRPr="00A63784">
        <w:t>.</w:t>
      </w:r>
      <w:proofErr w:type="gramEnd"/>
    </w:p>
  </w:footnote>
  <w:footnote w:id="290">
    <w:p w:rsidR="001E3655" w:rsidRDefault="001E3655">
      <w:pPr>
        <w:pStyle w:val="FootnoteText"/>
      </w:pPr>
      <w:r w:rsidRPr="007D5419">
        <w:rPr>
          <w:rStyle w:val="FootnoteReference"/>
        </w:rPr>
        <w:footnoteRef/>
      </w:r>
      <w:r w:rsidRPr="007D5419">
        <w:t xml:space="preserve"> ISO New England Inc., </w:t>
      </w:r>
      <w:r w:rsidRPr="007D5419">
        <w:rPr>
          <w:i/>
        </w:rPr>
        <w:t>Docket No. ER14-___-000, Winter 2014-15 Reliability Program</w:t>
      </w:r>
      <w:r w:rsidRPr="007D5419">
        <w:t xml:space="preserve"> (Parts 1 and 2), FERC filing (</w:t>
      </w:r>
      <w:r w:rsidRPr="0072362C">
        <w:t xml:space="preserve">July 11, 2014), </w:t>
      </w:r>
      <w:hyperlink r:id="rId269" w:history="1">
        <w:r w:rsidRPr="0072362C">
          <w:rPr>
            <w:rStyle w:val="Hyperlink"/>
          </w:rPr>
          <w:t>http://www.iso-ne.com/static-assets/documents/regulatory/ferc/filings/2014/jul/er14_2407_000_win_rel_pro_7_11_2014.pdf</w:t>
        </w:r>
      </w:hyperlink>
      <w:r w:rsidRPr="0072362C">
        <w:t xml:space="preserve"> and </w:t>
      </w:r>
      <w:hyperlink r:id="rId270" w:history="1">
        <w:r w:rsidRPr="0072362C">
          <w:rPr>
            <w:rStyle w:val="Hyperlink"/>
          </w:rPr>
          <w:t>http://www.iso-ne.com/regulatory/ferc/filings/2014/jul/er14-2407-001_winter_rel_7-11-2014.pdf</w:t>
        </w:r>
      </w:hyperlink>
      <w:r w:rsidRPr="0072362C">
        <w:t xml:space="preserve">. Also see “ISO-NE and NEPOOL File Proposal with FERC to Implement a Winter Reliability Program for Winter 2014/2015” (ISO Newswire, July 14, 2014), </w:t>
      </w:r>
      <w:hyperlink r:id="rId271" w:history="1">
        <w:r w:rsidRPr="00A522A9">
          <w:rPr>
            <w:rStyle w:val="Hyperlink"/>
          </w:rPr>
          <w:t>http://isonewswire.com/updates/2014/7/14/iso-ne-and-nepool-file-proposal-with-ferc-to-implement-a-win.html</w:t>
        </w:r>
      </w:hyperlink>
      <w:r w:rsidRPr="00A522A9">
        <w:t xml:space="preserve">. </w:t>
      </w:r>
      <w:proofErr w:type="gramStart"/>
      <w:r w:rsidRPr="00A522A9">
        <w:t xml:space="preserve">FERC, </w:t>
      </w:r>
      <w:r w:rsidRPr="00A522A9">
        <w:rPr>
          <w:i/>
        </w:rPr>
        <w:t>Order Accepting Tariff Revisions</w:t>
      </w:r>
      <w:r w:rsidRPr="00A522A9">
        <w:t xml:space="preserve">, (September 9, 2014), </w:t>
      </w:r>
      <w:hyperlink r:id="rId272" w:history="1">
        <w:r w:rsidRPr="00A522A9">
          <w:rPr>
            <w:rStyle w:val="Hyperlink"/>
          </w:rPr>
          <w:t>http://www.iso-ne.com/static-assets/documents/2014/09/er14-2407-000_9-9-14_order_accept_winter_reliability.pdf</w:t>
        </w:r>
      </w:hyperlink>
      <w:r w:rsidRPr="00A522A9">
        <w:t>.</w:t>
      </w:r>
      <w:proofErr w:type="gramEnd"/>
    </w:p>
  </w:footnote>
  <w:footnote w:id="291">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“New England Governors’ Commitment to Regional Cooperation on Energy Infrastructure Issues,” (</w:t>
      </w:r>
      <w:proofErr w:type="spellStart"/>
      <w:r w:rsidRPr="00372FDE">
        <w:t>n.d</w:t>
      </w:r>
      <w:proofErr w:type="spellEnd"/>
      <w:r w:rsidRPr="00372FDE">
        <w:t xml:space="preserve">.), </w:t>
      </w:r>
      <w:hyperlink r:id="rId273" w:history="1">
        <w:r w:rsidRPr="00372FDE">
          <w:rPr>
            <w:rStyle w:val="Hyperlink"/>
          </w:rPr>
          <w:t>http://www.nescoe.com/uploads/New_England_Governors_Statement-Energy_12-5-13_final.pdf</w:t>
        </w:r>
      </w:hyperlink>
      <w:r w:rsidRPr="00372FDE">
        <w:t>.</w:t>
      </w:r>
      <w:proofErr w:type="gramEnd"/>
    </w:p>
  </w:footnote>
  <w:footnote w:id="292">
    <w:p w:rsidR="001E3655" w:rsidRDefault="001E3655">
      <w:pPr>
        <w:pStyle w:val="FootnoteText"/>
      </w:pPr>
      <w:r w:rsidRPr="008D3755">
        <w:rPr>
          <w:rStyle w:val="FootnoteReference"/>
          <w:rFonts w:asciiTheme="majorHAnsi" w:hAnsiTheme="majorHAnsi"/>
          <w:sz w:val="18"/>
        </w:rPr>
        <w:footnoteRef/>
      </w:r>
      <w:r w:rsidRPr="008D3755">
        <w:t xml:space="preserve"> FERC, </w:t>
      </w:r>
      <w:r w:rsidRPr="008D3755">
        <w:rPr>
          <w:i/>
          <w:iCs/>
        </w:rPr>
        <w:t>Coordination of the Scheduling Processes of Interstate Natural Gas Pipelines and Public Utilities</w:t>
      </w:r>
      <w:r w:rsidRPr="008D3755">
        <w:t>, 146 FERC ¶</w:t>
      </w:r>
      <w:r>
        <w:t> </w:t>
      </w:r>
      <w:r w:rsidRPr="00CC5D68">
        <w:t>61,201, notice of proposed rulemaking (March 20, 2014)</w:t>
      </w:r>
      <w:r>
        <w:t xml:space="preserve">, </w:t>
      </w:r>
      <w:hyperlink r:id="rId274" w:history="1">
        <w:r w:rsidRPr="0086035D">
          <w:rPr>
            <w:rStyle w:val="Hyperlink"/>
          </w:rPr>
          <w:t>http://elibrary.ferc.gov/idmws/Doc_Family.asp?document_id=14196317</w:t>
        </w:r>
      </w:hyperlink>
      <w:r w:rsidRPr="008D3755">
        <w:t>.</w:t>
      </w:r>
    </w:p>
  </w:footnote>
  <w:footnote w:id="293">
    <w:p w:rsidR="001E3655" w:rsidRDefault="001E3655">
      <w:pPr>
        <w:pStyle w:val="FootnoteText"/>
      </w:pPr>
      <w:r w:rsidRPr="00876A59">
        <w:rPr>
          <w:rStyle w:val="FootnoteReference"/>
          <w:rFonts w:asciiTheme="majorHAnsi" w:hAnsiTheme="majorHAnsi"/>
          <w:sz w:val="18"/>
        </w:rPr>
        <w:footnoteRef/>
      </w:r>
      <w:r w:rsidRPr="00876A59">
        <w:t xml:space="preserve"> </w:t>
      </w:r>
      <w:proofErr w:type="gramStart"/>
      <w:r w:rsidRPr="00876A59">
        <w:t xml:space="preserve">FERC, </w:t>
      </w:r>
      <w:r w:rsidRPr="00876A59">
        <w:rPr>
          <w:i/>
        </w:rPr>
        <w:t xml:space="preserve">Order Initiating Investigation </w:t>
      </w:r>
      <w:r>
        <w:rPr>
          <w:i/>
        </w:rPr>
        <w:t>i</w:t>
      </w:r>
      <w:r w:rsidRPr="00876A59">
        <w:rPr>
          <w:i/>
        </w:rPr>
        <w:t xml:space="preserve">nto ISO and RTO Scheduling Practices and Establishing Paper Hearing Procedures </w:t>
      </w:r>
      <w:r w:rsidRPr="00876A59">
        <w:t xml:space="preserve">(March 20, 2014), </w:t>
      </w:r>
      <w:hyperlink r:id="rId275" w:history="1">
        <w:r w:rsidRPr="00F1730A">
          <w:rPr>
            <w:rStyle w:val="Hyperlink"/>
          </w:rPr>
          <w:t>http://www.ferc.gov/whats-new/comm-meet/2014/032014/M-2.pdf</w:t>
        </w:r>
      </w:hyperlink>
      <w:r w:rsidRPr="00876A59">
        <w:t>.</w:t>
      </w:r>
      <w:proofErr w:type="gramEnd"/>
    </w:p>
  </w:footnote>
  <w:footnote w:id="294">
    <w:p w:rsidR="001E3655" w:rsidRDefault="001E3655">
      <w:pPr>
        <w:pStyle w:val="FootnoteText"/>
      </w:pPr>
      <w:r w:rsidRPr="00F73D62">
        <w:rPr>
          <w:rStyle w:val="FootnoteReference"/>
          <w:rFonts w:asciiTheme="majorHAnsi" w:hAnsiTheme="majorHAnsi"/>
          <w:sz w:val="18"/>
        </w:rPr>
        <w:footnoteRef/>
      </w:r>
      <w:r w:rsidRPr="00372FDE">
        <w:t xml:space="preserve"> Under an emissions trading program, an </w:t>
      </w:r>
      <w:r w:rsidRPr="00372FDE">
        <w:rPr>
          <w:i/>
        </w:rPr>
        <w:t>emissions allowance</w:t>
      </w:r>
      <w:r w:rsidRPr="00372FDE">
        <w:t xml:space="preserve"> is the authorization for a source of a pollutant to </w:t>
      </w:r>
      <w:r w:rsidRPr="006851B1">
        <w:t>emit one ton of the pollutant (e.g., SO</w:t>
      </w:r>
      <w:r w:rsidRPr="006851B1">
        <w:rPr>
          <w:vertAlign w:val="subscript"/>
        </w:rPr>
        <w:t>2</w:t>
      </w:r>
      <w:r w:rsidRPr="006851B1">
        <w:t>, nitrogen oxides [NO</w:t>
      </w:r>
      <w:r w:rsidRPr="006851B1">
        <w:rPr>
          <w:vertAlign w:val="subscript"/>
        </w:rPr>
        <w:t>X</w:t>
      </w:r>
      <w:r w:rsidRPr="006851B1">
        <w:t>,] or carbon dioxide [CO</w:t>
      </w:r>
      <w:r w:rsidRPr="006851B1">
        <w:rPr>
          <w:vertAlign w:val="subscript"/>
        </w:rPr>
        <w:t>2</w:t>
      </w:r>
      <w:r w:rsidRPr="006851B1">
        <w:t>]) during a specific compliance</w:t>
      </w:r>
      <w:r w:rsidRPr="00372FDE">
        <w:t xml:space="preserve"> period. </w:t>
      </w:r>
    </w:p>
  </w:footnote>
  <w:footnote w:id="295">
    <w:p w:rsidR="001E3655" w:rsidRDefault="001E3655">
      <w:pPr>
        <w:pStyle w:val="FootnoteText"/>
      </w:pPr>
      <w:r w:rsidRPr="003260B6">
        <w:rPr>
          <w:rStyle w:val="FootnoteReference"/>
          <w:rFonts w:asciiTheme="majorHAnsi" w:hAnsiTheme="majorHAnsi"/>
          <w:sz w:val="18"/>
        </w:rPr>
        <w:footnoteRef/>
      </w:r>
      <w:r w:rsidRPr="00372FDE">
        <w:t xml:space="preserve"> RGGI is a mandatory, market-based effort to reduce greenhouse gas emissions in the Northeast and Mid-Atlantic states through a multistate CO</w:t>
      </w:r>
      <w:r w:rsidRPr="00372FDE">
        <w:rPr>
          <w:vertAlign w:val="subscript"/>
        </w:rPr>
        <w:t>2</w:t>
      </w:r>
      <w:r w:rsidRPr="00372FDE">
        <w:t xml:space="preserve"> emissions budget cap-and-trade program.</w:t>
      </w:r>
    </w:p>
  </w:footnote>
  <w:footnote w:id="296">
    <w:p w:rsidR="001E3655" w:rsidRDefault="001E3655">
      <w:pPr>
        <w:pStyle w:val="FootnoteText"/>
      </w:pPr>
      <w:r w:rsidRPr="003260B6">
        <w:rPr>
          <w:rStyle w:val="FootnoteReference"/>
          <w:rFonts w:asciiTheme="majorHAnsi" w:hAnsiTheme="majorHAnsi"/>
          <w:sz w:val="18"/>
        </w:rPr>
        <w:footnoteRef/>
      </w:r>
      <w:r w:rsidRPr="00372FDE">
        <w:t xml:space="preserve"> EPA, </w:t>
      </w:r>
      <w:r w:rsidRPr="00CB497E">
        <w:rPr>
          <w:i/>
        </w:rPr>
        <w:t>National Pollutant Discharge Elimination System—Final Regulations to Establish Requirements for Cooling Water Intake Structures at Existing Facilities and Amend Requirements at Phase I Facilities</w:t>
      </w:r>
      <w:r w:rsidRPr="00372FDE">
        <w:t xml:space="preserve">, </w:t>
      </w:r>
      <w:r>
        <w:t>f</w:t>
      </w:r>
      <w:r w:rsidRPr="00372FDE">
        <w:t xml:space="preserve">inal </w:t>
      </w:r>
      <w:r>
        <w:t>r</w:t>
      </w:r>
      <w:r w:rsidRPr="00372FDE">
        <w:t>ulemaking, 79</w:t>
      </w:r>
      <w:r>
        <w:t> </w:t>
      </w:r>
      <w:r w:rsidRPr="00372FDE">
        <w:t>FR</w:t>
      </w:r>
      <w:r>
        <w:t> </w:t>
      </w:r>
      <w:r w:rsidRPr="00643012">
        <w:t>48299 (August 15, 2014); applies to existing and new cooling water intake structures at power plants and</w:t>
      </w:r>
      <w:r w:rsidRPr="00372FDE">
        <w:t xml:space="preserve"> </w:t>
      </w:r>
      <w:r w:rsidRPr="00BE5B07">
        <w:t>manufacturers.</w:t>
      </w:r>
      <w:r w:rsidRPr="00BE5B07">
        <w:rPr>
          <w:rFonts w:cs="Arial"/>
          <w:color w:val="000000"/>
          <w:spacing w:val="-1"/>
        </w:rPr>
        <w:t xml:space="preserve"> </w:t>
      </w:r>
      <w:proofErr w:type="gramStart"/>
      <w:r w:rsidRPr="00BE5B07">
        <w:t xml:space="preserve">EPA, </w:t>
      </w:r>
      <w:hyperlink r:id="rId276" w:history="1">
        <w:r w:rsidRPr="00BE5B07">
          <w:rPr>
            <w:rStyle w:val="Hyperlink"/>
            <w:i/>
          </w:rPr>
          <w:t>Effluent Limitation Guidelines and Standards for the Stream Electric Power Generating Point Source Category</w:t>
        </w:r>
      </w:hyperlink>
      <w:r w:rsidRPr="00BE5B07">
        <w:t>, proposed rule, 78 FR 34431 (June 7, 2013).</w:t>
      </w:r>
      <w:proofErr w:type="gramEnd"/>
      <w:r w:rsidRPr="00BE5B07">
        <w:t xml:space="preserve"> The main pollutants of concern for these discharges</w:t>
      </w:r>
      <w:r w:rsidRPr="00372FDE">
        <w:t xml:space="preserve"> include metals (mercury, arsenic, and selenium), nitrogen, and total dissolved solids generated by the operation of </w:t>
      </w:r>
      <w:proofErr w:type="gramStart"/>
      <w:r w:rsidRPr="00372FDE">
        <w:t>air pollution control devices</w:t>
      </w:r>
      <w:proofErr w:type="gramEnd"/>
      <w:r>
        <w:t xml:space="preserve"> (i.e., scrubbers)</w:t>
      </w:r>
      <w:r w:rsidRPr="00372FDE">
        <w:t>.</w:t>
      </w:r>
    </w:p>
  </w:footnote>
  <w:footnote w:id="297">
    <w:p w:rsidR="001E3655" w:rsidRDefault="001E3655" w:rsidP="00CB497E">
      <w:pPr>
        <w:autoSpaceDE w:val="0"/>
        <w:autoSpaceDN w:val="0"/>
        <w:adjustRightInd w:val="0"/>
        <w:spacing w:after="80" w:line="240" w:lineRule="auto"/>
      </w:pPr>
      <w:r w:rsidRPr="00764960">
        <w:rPr>
          <w:rStyle w:val="FootnoteReference"/>
          <w:rFonts w:asciiTheme="majorHAnsi" w:hAnsiTheme="majorHAnsi"/>
          <w:sz w:val="18"/>
          <w:szCs w:val="18"/>
        </w:rPr>
        <w:footnoteRef/>
      </w:r>
      <w:r w:rsidRPr="00764960">
        <w:rPr>
          <w:rFonts w:asciiTheme="majorHAnsi" w:hAnsiTheme="majorHAnsi"/>
          <w:sz w:val="18"/>
          <w:szCs w:val="18"/>
        </w:rPr>
        <w:t xml:space="preserve"> The requirement for reducing impingement mortality recognizes seven compliance alternatives that regulators may require: </w:t>
      </w:r>
      <w:r w:rsidRPr="00372FDE">
        <w:rPr>
          <w:rFonts w:asciiTheme="majorHAnsi" w:hAnsiTheme="majorHAnsi"/>
          <w:sz w:val="18"/>
          <w:szCs w:val="18"/>
        </w:rPr>
        <w:t xml:space="preserve">(1) operate a closed-cycle </w:t>
      </w:r>
      <w:proofErr w:type="spellStart"/>
      <w:r w:rsidRPr="00372FDE">
        <w:rPr>
          <w:rFonts w:asciiTheme="majorHAnsi" w:hAnsiTheme="majorHAnsi"/>
          <w:sz w:val="18"/>
          <w:szCs w:val="18"/>
        </w:rPr>
        <w:t>recirculating</w:t>
      </w:r>
      <w:proofErr w:type="spellEnd"/>
      <w:r w:rsidRPr="00372FDE">
        <w:rPr>
          <w:rFonts w:asciiTheme="majorHAnsi" w:hAnsiTheme="majorHAnsi"/>
          <w:sz w:val="18"/>
          <w:szCs w:val="18"/>
        </w:rPr>
        <w:t xml:space="preserve"> system; (2) operate a cooling water intake structure </w:t>
      </w:r>
      <w:r>
        <w:rPr>
          <w:rFonts w:asciiTheme="majorHAnsi" w:hAnsiTheme="majorHAnsi"/>
          <w:sz w:val="18"/>
          <w:szCs w:val="18"/>
        </w:rPr>
        <w:t>with</w:t>
      </w:r>
      <w:r w:rsidRPr="00372FDE">
        <w:rPr>
          <w:rFonts w:asciiTheme="majorHAnsi" w:hAnsiTheme="majorHAnsi"/>
          <w:sz w:val="18"/>
          <w:szCs w:val="18"/>
        </w:rPr>
        <w:t xml:space="preserve"> a maximum through-screen design intake velocity of 0.5 feet per </w:t>
      </w:r>
      <w:r w:rsidRPr="008D06BF">
        <w:rPr>
          <w:rFonts w:asciiTheme="majorHAnsi" w:hAnsiTheme="majorHAnsi"/>
          <w:sz w:val="18"/>
          <w:szCs w:val="18"/>
        </w:rPr>
        <w:t>second (fps); (3</w:t>
      </w:r>
      <w:r w:rsidRPr="00372FDE">
        <w:rPr>
          <w:rFonts w:asciiTheme="majorHAnsi" w:hAnsiTheme="majorHAnsi"/>
          <w:sz w:val="18"/>
          <w:szCs w:val="18"/>
        </w:rPr>
        <w:t xml:space="preserve">) operate a cooling water intake structure </w:t>
      </w:r>
      <w:r>
        <w:rPr>
          <w:rFonts w:asciiTheme="majorHAnsi" w:hAnsiTheme="majorHAnsi"/>
          <w:sz w:val="18"/>
          <w:szCs w:val="18"/>
        </w:rPr>
        <w:t>with</w:t>
      </w:r>
      <w:r w:rsidRPr="00372FDE">
        <w:rPr>
          <w:rFonts w:asciiTheme="majorHAnsi" w:hAnsiTheme="majorHAnsi"/>
          <w:sz w:val="18"/>
          <w:szCs w:val="18"/>
        </w:rPr>
        <w:t xml:space="preserve"> a maximum through-screen intake velocity of 0.5 fps; (4) operate an offshore velocity cap installed before the effective date of this rule; (5) operate a modified traveling screen that regulators determine is the best technology available for impingement reduction; (6) operate any other combination of technologies, management practices, and operational measures that regulators determine is the best technology </w:t>
      </w:r>
      <w:r w:rsidRPr="006851B1">
        <w:rPr>
          <w:rFonts w:asciiTheme="majorHAnsi" w:hAnsiTheme="majorHAnsi"/>
          <w:sz w:val="18"/>
          <w:szCs w:val="18"/>
        </w:rPr>
        <w:t xml:space="preserve">available for impingement reduction; or (7) achieve the specified impingement mortality performance </w:t>
      </w:r>
      <w:r w:rsidRPr="00BE5B07">
        <w:rPr>
          <w:rFonts w:asciiTheme="majorHAnsi" w:hAnsiTheme="majorHAnsi"/>
          <w:sz w:val="18"/>
          <w:szCs w:val="18"/>
        </w:rPr>
        <w:t xml:space="preserve">standard. EPA, </w:t>
      </w:r>
      <w:r w:rsidRPr="00BE5B07">
        <w:rPr>
          <w:rFonts w:asciiTheme="majorHAnsi" w:hAnsiTheme="majorHAnsi"/>
          <w:i/>
          <w:sz w:val="18"/>
          <w:szCs w:val="18"/>
        </w:rPr>
        <w:t xml:space="preserve">NPDES— </w:t>
      </w:r>
      <w:r>
        <w:rPr>
          <w:rFonts w:asciiTheme="majorHAnsi" w:hAnsiTheme="majorHAnsi"/>
          <w:i/>
          <w:sz w:val="18"/>
          <w:szCs w:val="18"/>
        </w:rPr>
        <w:t>F</w:t>
      </w:r>
      <w:r w:rsidRPr="00BE5B07">
        <w:rPr>
          <w:rFonts w:asciiTheme="majorHAnsi" w:hAnsiTheme="majorHAnsi"/>
          <w:i/>
          <w:sz w:val="18"/>
          <w:szCs w:val="18"/>
        </w:rPr>
        <w:t xml:space="preserve">inal Cooling Water Intake Structures </w:t>
      </w:r>
      <w:r>
        <w:rPr>
          <w:rFonts w:asciiTheme="majorHAnsi" w:hAnsiTheme="majorHAnsi"/>
          <w:i/>
          <w:sz w:val="18"/>
          <w:szCs w:val="18"/>
        </w:rPr>
        <w:t>R</w:t>
      </w:r>
      <w:r w:rsidRPr="00BE5B07">
        <w:rPr>
          <w:rFonts w:asciiTheme="majorHAnsi" w:hAnsiTheme="majorHAnsi"/>
          <w:i/>
          <w:sz w:val="18"/>
          <w:szCs w:val="18"/>
        </w:rPr>
        <w:t xml:space="preserve">egulations, </w:t>
      </w:r>
      <w:r w:rsidRPr="00BE5B07">
        <w:rPr>
          <w:rFonts w:asciiTheme="majorHAnsi" w:hAnsiTheme="majorHAnsi"/>
          <w:sz w:val="18"/>
          <w:szCs w:val="18"/>
        </w:rPr>
        <w:t>48299, see above footnote.</w:t>
      </w:r>
    </w:p>
  </w:footnote>
  <w:footnote w:id="298">
    <w:p w:rsidR="001E3655" w:rsidRDefault="001E3655" w:rsidP="00CB497E">
      <w:pPr>
        <w:pStyle w:val="FootnoteText"/>
      </w:pPr>
      <w:r w:rsidRPr="00EA5DBF">
        <w:rPr>
          <w:rStyle w:val="FootnoteReference"/>
          <w:rFonts w:asciiTheme="majorHAnsi" w:hAnsiTheme="majorHAnsi"/>
          <w:sz w:val="18"/>
        </w:rPr>
        <w:footnoteRef/>
      </w:r>
      <w:r w:rsidRPr="00EA5DBF">
        <w:t xml:space="preserve"> </w:t>
      </w:r>
      <w:r w:rsidRPr="00EA5DBF">
        <w:rPr>
          <w:i/>
        </w:rPr>
        <w:t>Endangered Species Act of 1973</w:t>
      </w:r>
      <w:r w:rsidRPr="00EA5DBF">
        <w:t xml:space="preserve">, as amended through the 108th Congress, </w:t>
      </w:r>
      <w:hyperlink r:id="rId277" w:history="1">
        <w:r w:rsidRPr="0033415D">
          <w:rPr>
            <w:rStyle w:val="Hyperlink"/>
          </w:rPr>
          <w:t>http://www.fws.gov/endangered/esa-library/pdf/ESAall.pdf</w:t>
        </w:r>
      </w:hyperlink>
      <w:r w:rsidRPr="00EA5DBF">
        <w:t>.</w:t>
      </w:r>
    </w:p>
  </w:footnote>
  <w:footnote w:id="299">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EPA, </w:t>
      </w:r>
      <w:r w:rsidRPr="00372FDE">
        <w:rPr>
          <w:i/>
        </w:rPr>
        <w:t>Effluent Limitations Guidelines and Standards for the Steam Electric Power Generating Point Source Category</w:t>
      </w:r>
      <w:r w:rsidRPr="00372FDE">
        <w:t>, proposed rule, 78 FR 34432 (June 7, 2013).</w:t>
      </w:r>
      <w:proofErr w:type="gramEnd"/>
      <w:r w:rsidRPr="00372FDE">
        <w:t xml:space="preserve"> EPA proposes revisions to existing (circa 1982) wastewater effluent limitation guidelines for power plants to address the changing toxicity of power plant wastewater discharge streams from scrubbers and other air pollution control systems required by air quality regulations.</w:t>
      </w:r>
    </w:p>
  </w:footnote>
  <w:footnote w:id="300">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EPA, </w:t>
      </w:r>
      <w:r w:rsidRPr="0081230D">
        <w:rPr>
          <w:i/>
        </w:rPr>
        <w:t>National Ambient Air Quality Standards for Ozone</w:t>
      </w:r>
      <w:r w:rsidRPr="00372FDE">
        <w:t xml:space="preserve">, final rule, 73 FR 16436 (March 27, 2008); </w:t>
      </w:r>
      <w:r w:rsidRPr="0081230D">
        <w:rPr>
          <w:i/>
        </w:rPr>
        <w:t>National Ambient Air Quality Standards for Particulate Matter</w:t>
      </w:r>
      <w:r w:rsidRPr="00372FDE">
        <w:t xml:space="preserve">, final rule, 78 FR 3086 (January 15, 2013); </w:t>
      </w:r>
      <w:r w:rsidRPr="0081230D">
        <w:rPr>
          <w:i/>
        </w:rPr>
        <w:t>National Ambient Air Quality Standards for Sulfur Dioxide</w:t>
      </w:r>
      <w:r w:rsidRPr="00372FDE">
        <w:t>, final rule, 75 FR 35520 (June 22, 2010).</w:t>
      </w:r>
      <w:proofErr w:type="gramEnd"/>
    </w:p>
  </w:footnote>
  <w:footnote w:id="301">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EPA, </w:t>
      </w:r>
      <w:r w:rsidRPr="00372FDE">
        <w:rPr>
          <w:i/>
        </w:rPr>
        <w:t>National Emission Standards for Hazardous Air Pollutants: Coal- and Oil-fired Electric Utility Steam Generating Units</w:t>
      </w:r>
      <w:r w:rsidRPr="00372FDE">
        <w:rPr>
          <w:b/>
        </w:rPr>
        <w:t xml:space="preserve">, </w:t>
      </w:r>
      <w:r w:rsidRPr="00372FDE">
        <w:t xml:space="preserve">final rule </w:t>
      </w:r>
      <w:r w:rsidRPr="00372FDE">
        <w:rPr>
          <w:spacing w:val="-1"/>
        </w:rPr>
        <w:t>77 FR 9304 (February 16, 2012).</w:t>
      </w:r>
      <w:proofErr w:type="gramEnd"/>
      <w:r w:rsidRPr="00372FDE">
        <w:rPr>
          <w:spacing w:val="-1"/>
        </w:rPr>
        <w:t xml:space="preserve"> E</w:t>
      </w:r>
      <w:r w:rsidRPr="00372FDE">
        <w:t xml:space="preserve">PA developed standards under Section 112(d) to reduce hazardous air </w:t>
      </w:r>
      <w:r w:rsidRPr="00A027D9">
        <w:t xml:space="preserve">pollutant emissions from this source category. MATS was proposed on May 3, 2011 (76 FR 24976) and included proposed amendments to the criteria pollutant NSPS for utilities. </w:t>
      </w:r>
    </w:p>
  </w:footnote>
  <w:footnote w:id="302">
    <w:p w:rsidR="001E3655" w:rsidRDefault="001E3655">
      <w:pPr>
        <w:pStyle w:val="FootnoteText"/>
      </w:pPr>
      <w:r w:rsidRPr="00A027D9">
        <w:rPr>
          <w:rStyle w:val="FootnoteReference"/>
        </w:rPr>
        <w:footnoteRef/>
      </w:r>
      <w:r w:rsidRPr="00A027D9">
        <w:t xml:space="preserve"> The “good neighbor” requirements address air pollution transported from an upwind state to a downwind state.</w:t>
      </w:r>
    </w:p>
  </w:footnote>
  <w:footnote w:id="303">
    <w:p w:rsidR="001E3655" w:rsidRDefault="001E3655">
      <w:pPr>
        <w:pStyle w:val="FootnoteText"/>
      </w:pPr>
      <w:r>
        <w:rPr>
          <w:rStyle w:val="FootnoteReference"/>
        </w:rPr>
        <w:footnoteRef/>
      </w:r>
      <w:r w:rsidRPr="00316208">
        <w:t xml:space="preserve"> </w:t>
      </w:r>
      <w:r>
        <w:t xml:space="preserve">EPA, </w:t>
      </w:r>
      <w:r w:rsidRPr="0081230D">
        <w:rPr>
          <w:i/>
        </w:rPr>
        <w:t>Finding of Significant Contribution and Rulemaking for Certain States in the Ozone Transport Assessment Group Region for Purposes of Reducing Regional Transport of Ozone</w:t>
      </w:r>
      <w:r>
        <w:t xml:space="preserve"> (NO</w:t>
      </w:r>
      <w:r w:rsidRPr="00316208">
        <w:rPr>
          <w:vertAlign w:val="subscript"/>
        </w:rPr>
        <w:t>X</w:t>
      </w:r>
      <w:r>
        <w:t xml:space="preserve"> SIP Call), final rule, 63 FR 57356 (October </w:t>
      </w:r>
      <w:proofErr w:type="spellStart"/>
      <w:r>
        <w:t>tr527</w:t>
      </w:r>
      <w:proofErr w:type="spellEnd"/>
      <w:r>
        <w:t xml:space="preserve">, 1998), </w:t>
      </w:r>
      <w:hyperlink r:id="rId278" w:history="1">
        <w:r w:rsidRPr="00916CEC">
          <w:rPr>
            <w:rStyle w:val="Hyperlink"/>
          </w:rPr>
          <w:t>https://federalregister.gov/a/98-26773</w:t>
        </w:r>
      </w:hyperlink>
      <w:r>
        <w:t xml:space="preserve">. </w:t>
      </w:r>
      <w:proofErr w:type="gramStart"/>
      <w:r>
        <w:t xml:space="preserve">EPA, </w:t>
      </w:r>
      <w:r w:rsidRPr="0081230D">
        <w:rPr>
          <w:i/>
        </w:rPr>
        <w:t>Revisions to the NO</w:t>
      </w:r>
      <w:r w:rsidRPr="0081230D">
        <w:rPr>
          <w:i/>
          <w:vertAlign w:val="subscript"/>
        </w:rPr>
        <w:t xml:space="preserve">X </w:t>
      </w:r>
      <w:r w:rsidRPr="0081230D">
        <w:rPr>
          <w:i/>
        </w:rPr>
        <w:t>SIP Call</w:t>
      </w:r>
      <w:r w:rsidRPr="00316208">
        <w:t>, final rule, 70 FR 25162 (May 12, 2005)</w:t>
      </w:r>
      <w:r>
        <w:t>.</w:t>
      </w:r>
      <w:proofErr w:type="gramEnd"/>
      <w:r>
        <w:t xml:space="preserve"> </w:t>
      </w:r>
      <w:proofErr w:type="gramStart"/>
      <w:r w:rsidRPr="00316208">
        <w:t>EPA</w:t>
      </w:r>
      <w:r w:rsidRPr="00C269D7">
        <w:t xml:space="preserve">, </w:t>
      </w:r>
      <w:r w:rsidRPr="0081230D">
        <w:rPr>
          <w:i/>
        </w:rPr>
        <w:t>Rule to Reduce Interstate Transport of Fine Particulate Matter and Ozone</w:t>
      </w:r>
      <w:r w:rsidRPr="00316208">
        <w:t xml:space="preserve"> (Clean Air Interstate Rule)</w:t>
      </w:r>
      <w:r>
        <w:t>.</w:t>
      </w:r>
      <w:proofErr w:type="gramEnd"/>
      <w:r>
        <w:t xml:space="preserve"> </w:t>
      </w:r>
      <w:proofErr w:type="gramStart"/>
      <w:r>
        <w:t>EPA</w:t>
      </w:r>
      <w:r w:rsidRPr="00C269D7">
        <w:t xml:space="preserve">, </w:t>
      </w:r>
      <w:r w:rsidRPr="0081230D">
        <w:rPr>
          <w:i/>
        </w:rPr>
        <w:t>Federal Implementation Plans: Interstate Transport of Fine Particulate Matter and Ozone and Correction of SIP Approvals</w:t>
      </w:r>
      <w:r>
        <w:t xml:space="preserve">, final rule, 76 FR 48207 (August 8, 2011), </w:t>
      </w:r>
      <w:hyperlink r:id="rId279" w:history="1">
        <w:r w:rsidRPr="009621B1">
          <w:rPr>
            <w:rStyle w:val="Hyperlink"/>
          </w:rPr>
          <w:t>https://federalregister.gov/a/2011-17600</w:t>
        </w:r>
      </w:hyperlink>
      <w:r>
        <w:t>.</w:t>
      </w:r>
      <w:proofErr w:type="gramEnd"/>
    </w:p>
  </w:footnote>
  <w:footnote w:id="304">
    <w:p w:rsidR="001E3655" w:rsidRDefault="001E3655">
      <w:pPr>
        <w:pStyle w:val="FootnoteText"/>
      </w:pPr>
      <w:r w:rsidRPr="00C755C5">
        <w:rPr>
          <w:rStyle w:val="FootnoteReference"/>
          <w:rFonts w:asciiTheme="majorHAnsi" w:hAnsiTheme="majorHAnsi"/>
          <w:sz w:val="18"/>
        </w:rPr>
        <w:footnoteRef/>
      </w:r>
      <w:r w:rsidRPr="00C755C5">
        <w:t xml:space="preserve"> </w:t>
      </w:r>
      <w:r w:rsidRPr="00F11502">
        <w:rPr>
          <w:i/>
        </w:rPr>
        <w:t>Clean Air Act Title IV—Acid Deposition Control</w:t>
      </w:r>
      <w:r w:rsidRPr="00C755C5">
        <w:t>, §§ 401-416, 42 USC §§ 7651-</w:t>
      </w:r>
      <w:proofErr w:type="spellStart"/>
      <w:r w:rsidRPr="00C755C5">
        <w:t>7651o</w:t>
      </w:r>
      <w:proofErr w:type="spellEnd"/>
      <w:r w:rsidRPr="00C755C5">
        <w:t xml:space="preserve">; EPA CAIR (see above note); </w:t>
      </w:r>
      <w:r w:rsidRPr="00F11502">
        <w:rPr>
          <w:i/>
        </w:rPr>
        <w:t>Revisions to Acid Rain Program; Revisions to the NO</w:t>
      </w:r>
      <w:r w:rsidRPr="00F11502">
        <w:rPr>
          <w:i/>
          <w:vertAlign w:val="subscript"/>
        </w:rPr>
        <w:t xml:space="preserve">X </w:t>
      </w:r>
      <w:r w:rsidRPr="00F11502">
        <w:rPr>
          <w:i/>
        </w:rPr>
        <w:t>SIP Call</w:t>
      </w:r>
      <w:r w:rsidRPr="00E00D21">
        <w:t>, final rule, 70 FR 25162 (May 12, 2005).</w:t>
      </w:r>
    </w:p>
  </w:footnote>
  <w:footnote w:id="305">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EIA, </w:t>
      </w:r>
      <w:r w:rsidRPr="00372FDE">
        <w:rPr>
          <w:i/>
        </w:rPr>
        <w:t>Annual Energy Outlook 2013</w:t>
      </w:r>
      <w:r w:rsidRPr="00372FDE">
        <w:t>, “Issues in Focus—4.</w:t>
      </w:r>
      <w:proofErr w:type="gramEnd"/>
      <w:r w:rsidRPr="00372FDE">
        <w:t xml:space="preserve"> </w:t>
      </w:r>
      <w:proofErr w:type="gramStart"/>
      <w:r w:rsidRPr="00372FDE">
        <w:t xml:space="preserve">Competition between coal and natural gas in the electric power sector” (April 15, 2013), </w:t>
      </w:r>
      <w:hyperlink r:id="rId280" w:anchor="coal_gas" w:history="1">
        <w:r w:rsidRPr="00372FDE">
          <w:rPr>
            <w:rStyle w:val="Hyperlink"/>
          </w:rPr>
          <w:t>http://www.eia.gov/forecasts/aeo/IF_all.cfm#coal_gas</w:t>
        </w:r>
      </w:hyperlink>
      <w:r w:rsidRPr="00372FDE">
        <w:t>.</w:t>
      </w:r>
      <w:proofErr w:type="gramEnd"/>
    </w:p>
  </w:footnote>
  <w:footnote w:id="306">
    <w:p w:rsidR="001E3655" w:rsidRPr="00372FDE" w:rsidRDefault="001E3655" w:rsidP="00D2141F">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8F742F">
        <w:rPr>
          <w:rStyle w:val="FoonoteTextChar"/>
          <w:rFonts w:eastAsiaTheme="minorHAnsi"/>
          <w:sz w:val="18"/>
        </w:rPr>
        <w:t xml:space="preserve"> </w:t>
      </w:r>
      <w:r w:rsidRPr="00372FDE">
        <w:rPr>
          <w:rStyle w:val="FoonoteTextChar"/>
          <w:rFonts w:eastAsiaTheme="minorHAnsi"/>
          <w:sz w:val="18"/>
        </w:rPr>
        <w:t>The states joining the EPA petition are Connecticut, Delaware, Maryland, Massachusetts, New Hampshire, New York, Rhode Island, and Vermont.</w:t>
      </w:r>
      <w:r>
        <w:rPr>
          <w:rStyle w:val="FoonoteTextChar"/>
          <w:rFonts w:eastAsiaTheme="minorHAnsi"/>
          <w:sz w:val="18"/>
        </w:rPr>
        <w:t xml:space="preserve"> </w:t>
      </w:r>
      <w:r w:rsidRPr="00372FDE">
        <w:rPr>
          <w:rStyle w:val="FoonoteTextChar"/>
          <w:rFonts w:eastAsiaTheme="minorHAnsi"/>
          <w:sz w:val="18"/>
        </w:rPr>
        <w:t>(Maine, Washington DC, and several Northern Virginia counties are also in the OTR</w:t>
      </w:r>
      <w:r>
        <w:rPr>
          <w:rStyle w:val="FoonoteTextChar"/>
          <w:rFonts w:eastAsiaTheme="minorHAnsi"/>
          <w:sz w:val="18"/>
        </w:rPr>
        <w:t>.</w:t>
      </w:r>
      <w:r w:rsidRPr="00372FDE">
        <w:rPr>
          <w:rStyle w:val="FoonoteTextChar"/>
          <w:rFonts w:eastAsiaTheme="minorHAnsi"/>
          <w:sz w:val="18"/>
        </w:rPr>
        <w:t>) The nine states they are asking EPA to add to the OTR are Illinois, Indiana, Kentucky, Ohio, Michigan, North Carolina, Tennessee, Virginia, and West Virginia.</w:t>
      </w:r>
    </w:p>
  </w:footnote>
  <w:footnote w:id="307">
    <w:p w:rsidR="001E3655" w:rsidRDefault="001E3655">
      <w:pPr>
        <w:pStyle w:val="FootnoteText"/>
      </w:pPr>
      <w:r w:rsidRPr="00372FDE">
        <w:rPr>
          <w:rStyle w:val="FootnoteReference"/>
          <w:rFonts w:asciiTheme="majorHAnsi" w:hAnsiTheme="majorHAnsi"/>
          <w:sz w:val="18"/>
        </w:rPr>
        <w:footnoteRef/>
      </w:r>
      <w:r w:rsidRPr="00372FDE">
        <w:t xml:space="preserve"> </w:t>
      </w:r>
      <w:hyperlink r:id="rId281" w:history="1">
        <w:r w:rsidRPr="00372FDE">
          <w:rPr>
            <w:rStyle w:val="Hyperlink"/>
            <w:i/>
          </w:rPr>
          <w:t>2012 ISO New England Electric Generator Air Emissions Report</w:t>
        </w:r>
      </w:hyperlink>
      <w:r w:rsidRPr="00372FDE">
        <w:t xml:space="preserve"> (January 2014), </w:t>
      </w:r>
      <w:hyperlink r:id="rId282" w:history="1">
        <w:r w:rsidRPr="009621B1">
          <w:rPr>
            <w:rStyle w:val="Hyperlink"/>
          </w:rPr>
          <w:t>http://www.iso-ne.com/committees/comm_wkgrps/prtcpnts_comm/eag/mtrls/2014/mar52014/2012_emissions_report.pdf</w:t>
        </w:r>
      </w:hyperlink>
      <w:r w:rsidRPr="00372FDE">
        <w:t>.</w:t>
      </w:r>
    </w:p>
  </w:footnote>
  <w:footnote w:id="308">
    <w:p w:rsidR="001E3655" w:rsidRPr="00372FDE" w:rsidRDefault="001E3655" w:rsidP="00D2141F">
      <w:pPr>
        <w:pStyle w:val="NormalWeb"/>
        <w:spacing w:before="0" w:beforeAutospacing="0" w:after="80" w:afterAutospacing="0"/>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w:t>
      </w:r>
      <w:proofErr w:type="gramStart"/>
      <w:r w:rsidRPr="00372FDE">
        <w:rPr>
          <w:rFonts w:asciiTheme="majorHAnsi" w:hAnsiTheme="majorHAnsi"/>
          <w:sz w:val="18"/>
          <w:szCs w:val="18"/>
        </w:rPr>
        <w:t>RGGI, Inc., “Program Overview,” webpage (</w:t>
      </w:r>
      <w:proofErr w:type="spellStart"/>
      <w:r w:rsidRPr="00372FDE">
        <w:rPr>
          <w:rFonts w:asciiTheme="majorHAnsi" w:hAnsiTheme="majorHAnsi"/>
          <w:sz w:val="18"/>
          <w:szCs w:val="18"/>
        </w:rPr>
        <w:t>n.d</w:t>
      </w:r>
      <w:proofErr w:type="spellEnd"/>
      <w:r w:rsidRPr="00372FDE">
        <w:rPr>
          <w:rFonts w:asciiTheme="majorHAnsi" w:hAnsiTheme="majorHAnsi"/>
          <w:sz w:val="18"/>
          <w:szCs w:val="18"/>
        </w:rPr>
        <w:t xml:space="preserve">.), </w:t>
      </w:r>
      <w:hyperlink r:id="rId283" w:history="1">
        <w:r w:rsidRPr="00372FDE">
          <w:rPr>
            <w:rStyle w:val="Hyperlink"/>
            <w:rFonts w:asciiTheme="majorHAnsi" w:hAnsiTheme="majorHAnsi"/>
            <w:sz w:val="18"/>
            <w:szCs w:val="18"/>
          </w:rPr>
          <w:t>http://www.rggi.org/design/overview</w:t>
        </w:r>
      </w:hyperlink>
      <w:r w:rsidRPr="00372FDE">
        <w:rPr>
          <w:rFonts w:asciiTheme="majorHAnsi" w:hAnsiTheme="majorHAnsi"/>
          <w:sz w:val="18"/>
          <w:szCs w:val="18"/>
        </w:rPr>
        <w:t>.</w:t>
      </w:r>
      <w:proofErr w:type="gramEnd"/>
      <w:r w:rsidRPr="00372FDE">
        <w:rPr>
          <w:rFonts w:asciiTheme="majorHAnsi" w:hAnsiTheme="majorHAnsi"/>
          <w:sz w:val="18"/>
          <w:szCs w:val="18"/>
        </w:rPr>
        <w:t xml:space="preserve"> The RGGI CO</w:t>
      </w:r>
      <w:r w:rsidRPr="00372FDE">
        <w:rPr>
          <w:rFonts w:asciiTheme="majorHAnsi" w:hAnsiTheme="majorHAnsi"/>
          <w:sz w:val="18"/>
          <w:szCs w:val="18"/>
          <w:vertAlign w:val="subscript"/>
        </w:rPr>
        <w:t xml:space="preserve">2 </w:t>
      </w:r>
      <w:r w:rsidRPr="00372FDE">
        <w:rPr>
          <w:rFonts w:asciiTheme="majorHAnsi" w:hAnsiTheme="majorHAnsi"/>
          <w:sz w:val="18"/>
          <w:szCs w:val="18"/>
        </w:rPr>
        <w:t>budget (cap) is equal to the total number of CO</w:t>
      </w:r>
      <w:r w:rsidRPr="00372FDE">
        <w:rPr>
          <w:rFonts w:asciiTheme="majorHAnsi" w:hAnsiTheme="majorHAnsi"/>
          <w:sz w:val="18"/>
          <w:szCs w:val="18"/>
          <w:vertAlign w:val="subscript"/>
        </w:rPr>
        <w:t>2</w:t>
      </w:r>
      <w:r w:rsidRPr="00372FDE">
        <w:rPr>
          <w:rFonts w:asciiTheme="majorHAnsi" w:hAnsiTheme="majorHAnsi"/>
          <w:sz w:val="18"/>
          <w:szCs w:val="18"/>
        </w:rPr>
        <w:t xml:space="preserve"> allowances issued by RGGI states in a given year. A CO</w:t>
      </w:r>
      <w:r w:rsidRPr="00372FDE">
        <w:rPr>
          <w:rFonts w:asciiTheme="majorHAnsi" w:hAnsiTheme="majorHAnsi"/>
          <w:sz w:val="18"/>
          <w:szCs w:val="18"/>
          <w:vertAlign w:val="subscript"/>
        </w:rPr>
        <w:t>2</w:t>
      </w:r>
      <w:r w:rsidRPr="00372FDE">
        <w:rPr>
          <w:rFonts w:asciiTheme="majorHAnsi" w:hAnsiTheme="majorHAnsi"/>
          <w:sz w:val="18"/>
          <w:szCs w:val="18"/>
        </w:rPr>
        <w:t xml:space="preserve"> allowance represents a limited authorization to emit one short ton of CO</w:t>
      </w:r>
      <w:r w:rsidRPr="00372FDE">
        <w:rPr>
          <w:rFonts w:asciiTheme="majorHAnsi" w:hAnsiTheme="majorHAnsi"/>
          <w:sz w:val="18"/>
          <w:szCs w:val="18"/>
          <w:vertAlign w:val="subscript"/>
        </w:rPr>
        <w:t xml:space="preserve">2 </w:t>
      </w:r>
      <w:r w:rsidRPr="00372FDE">
        <w:rPr>
          <w:rFonts w:asciiTheme="majorHAnsi" w:hAnsiTheme="majorHAnsi"/>
          <w:sz w:val="18"/>
          <w:szCs w:val="18"/>
        </w:rPr>
        <w:t>from a regulated source, as issued by a participating state. During the current control period (2012–2014), the cap is 165 million short tons of CO</w:t>
      </w:r>
      <w:r w:rsidRPr="00372FDE">
        <w:rPr>
          <w:rFonts w:asciiTheme="majorHAnsi" w:hAnsiTheme="majorHAnsi"/>
          <w:sz w:val="18"/>
          <w:szCs w:val="18"/>
          <w:vertAlign w:val="subscript"/>
        </w:rPr>
        <w:t>2</w:t>
      </w:r>
      <w:r>
        <w:rPr>
          <w:rFonts w:asciiTheme="majorHAnsi" w:hAnsiTheme="majorHAnsi"/>
          <w:sz w:val="18"/>
          <w:szCs w:val="18"/>
        </w:rPr>
        <w:t>/</w:t>
      </w:r>
      <w:r w:rsidRPr="00372FDE">
        <w:rPr>
          <w:rFonts w:asciiTheme="majorHAnsi" w:hAnsiTheme="majorHAnsi"/>
          <w:sz w:val="18"/>
          <w:szCs w:val="18"/>
        </w:rPr>
        <w:t xml:space="preserve">yr for the nine-state region. </w:t>
      </w:r>
    </w:p>
  </w:footnote>
  <w:footnote w:id="309">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RGGI, Inc., </w:t>
      </w:r>
      <w:r w:rsidRPr="00372FDE">
        <w:rPr>
          <w:i/>
        </w:rPr>
        <w:t>“</w:t>
      </w:r>
      <w:r w:rsidRPr="00372FDE">
        <w:t>Updated Model Rule,</w:t>
      </w:r>
      <w:r w:rsidRPr="00372FDE">
        <w:rPr>
          <w:i/>
        </w:rPr>
        <w:t xml:space="preserve">” </w:t>
      </w:r>
      <w:r w:rsidRPr="00372FDE">
        <w:t xml:space="preserve">on </w:t>
      </w:r>
      <w:r w:rsidRPr="009621B1">
        <w:rPr>
          <w:i/>
        </w:rPr>
        <w:t xml:space="preserve">2012 </w:t>
      </w:r>
      <w:r w:rsidRPr="00372FDE">
        <w:rPr>
          <w:i/>
        </w:rPr>
        <w:t xml:space="preserve">Program Review </w:t>
      </w:r>
      <w:r w:rsidRPr="00372FDE">
        <w:t xml:space="preserve">webpage (February 7, 2013), </w:t>
      </w:r>
      <w:hyperlink r:id="rId284" w:history="1">
        <w:r w:rsidRPr="00092FE5">
          <w:rPr>
            <w:rStyle w:val="Hyperlink"/>
          </w:rPr>
          <w:t>http://www.rggi.org/design/program-review</w:t>
        </w:r>
      </w:hyperlink>
      <w:r w:rsidRPr="00372FDE">
        <w:t>.</w:t>
      </w:r>
      <w:proofErr w:type="gramEnd"/>
    </w:p>
  </w:footnote>
  <w:footnote w:id="310">
    <w:p w:rsidR="001E3655" w:rsidRDefault="001E3655">
      <w:pPr>
        <w:pStyle w:val="FootnoteText"/>
      </w:pPr>
      <w:r w:rsidRPr="00217B1B">
        <w:rPr>
          <w:rStyle w:val="FootnoteReference"/>
          <w:rFonts w:asciiTheme="majorHAnsi" w:hAnsiTheme="majorHAnsi"/>
          <w:sz w:val="18"/>
        </w:rPr>
        <w:footnoteRef/>
      </w:r>
      <w:r w:rsidRPr="00217B1B">
        <w:t xml:space="preserve"> EPA, </w:t>
      </w:r>
      <w:r w:rsidRPr="00217B1B">
        <w:rPr>
          <w:i/>
        </w:rPr>
        <w:t xml:space="preserve">Standards of Performance for Greenhouse Gas Emissions </w:t>
      </w:r>
      <w:r>
        <w:rPr>
          <w:i/>
        </w:rPr>
        <w:t>f</w:t>
      </w:r>
      <w:r w:rsidRPr="00217B1B">
        <w:rPr>
          <w:i/>
        </w:rPr>
        <w:t>rom New Stationary Sources: Electric Utility Generating Units</w:t>
      </w:r>
      <w:r w:rsidRPr="00217B1B">
        <w:t>, proposed rule, 79 FR 1429 (January 8, 2014)</w:t>
      </w:r>
      <w:r>
        <w:t>,</w:t>
      </w:r>
      <w:r w:rsidRPr="00217B1B">
        <w:t xml:space="preserve"> </w:t>
      </w:r>
      <w:hyperlink r:id="rId285" w:history="1">
        <w:r w:rsidRPr="00092FE5">
          <w:rPr>
            <w:rStyle w:val="Hyperlink"/>
          </w:rPr>
          <w:t>https://www.federalregister.gov/articles/2014/01/08/2013-28668/standards-of-performance-for-greenhouse-gas-emissions-from-new-stationary-sources-electric-utility</w:t>
        </w:r>
      </w:hyperlink>
      <w:r w:rsidRPr="00217B1B">
        <w:t>. EPA proposed separate performance standards for fossil steam generating units and stationary combustion turbines</w:t>
      </w:r>
      <w:r>
        <w:t>.</w:t>
      </w:r>
    </w:p>
  </w:footnote>
  <w:footnote w:id="311">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EPA, </w:t>
      </w:r>
      <w:r w:rsidRPr="00372FDE">
        <w:rPr>
          <w:i/>
        </w:rPr>
        <w:t>Standards of Performance for Greenhouse Gas Emissions for New Stationary Sources: Electric Utility Generating Units</w:t>
      </w:r>
      <w:r w:rsidRPr="00372FDE">
        <w:t>, proposed rule, 77 FR 22392 (April 13, 2012).</w:t>
      </w:r>
      <w:proofErr w:type="gramEnd"/>
      <w:r w:rsidRPr="00372FDE">
        <w:t xml:space="preserve"> </w:t>
      </w:r>
      <w:proofErr w:type="gramStart"/>
      <w:r w:rsidRPr="00372FDE">
        <w:t xml:space="preserve">Affected </w:t>
      </w:r>
      <w:r w:rsidRPr="00A027D9">
        <w:t xml:space="preserve">units would have included </w:t>
      </w:r>
      <w:r w:rsidRPr="00372FDE">
        <w:t>electric utility steam generating units (boilers); stationary combined-cycle combustion turbines and their associated heat-recovery steam generators (HRSGs) and duct burners; and integrated combined-cycle (IGCC) units, including their combustion turbines and associated HRSGs.</w:t>
      </w:r>
      <w:r>
        <w:t xml:space="preserve"> EPA, </w:t>
      </w:r>
      <w:r w:rsidRPr="00052208">
        <w:rPr>
          <w:i/>
        </w:rPr>
        <w:t>Withdrawal of Proposed Standards of Performance for Greenhouse Gas Emissions From New Stationary Sources: Electric Utility Generating Units</w:t>
      </w:r>
      <w:r>
        <w:t>, 79 FR 1352 (January 8, 2014).</w:t>
      </w:r>
      <w:proofErr w:type="gramEnd"/>
    </w:p>
  </w:footnote>
  <w:footnote w:id="312">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EIA, </w:t>
      </w:r>
      <w:r w:rsidRPr="00372FDE">
        <w:rPr>
          <w:i/>
        </w:rPr>
        <w:t>Annual Energy Outlook 201</w:t>
      </w:r>
      <w:r>
        <w:rPr>
          <w:i/>
        </w:rPr>
        <w:t>4 Reference Case</w:t>
      </w:r>
      <w:r w:rsidRPr="00372FDE">
        <w:t xml:space="preserve">, </w:t>
      </w:r>
      <w:r w:rsidRPr="00270E74">
        <w:rPr>
          <w:i/>
        </w:rPr>
        <w:t>Power Sector CO</w:t>
      </w:r>
      <w:r w:rsidRPr="00316208">
        <w:rPr>
          <w:i/>
          <w:vertAlign w:val="subscript"/>
        </w:rPr>
        <w:t>2</w:t>
      </w:r>
      <w:r w:rsidRPr="00270E74">
        <w:rPr>
          <w:i/>
        </w:rPr>
        <w:t xml:space="preserve"> Emissions Sens</w:t>
      </w:r>
      <w:r>
        <w:rPr>
          <w:i/>
        </w:rPr>
        <w:t>i</w:t>
      </w:r>
      <w:r w:rsidRPr="00270E74">
        <w:rPr>
          <w:i/>
        </w:rPr>
        <w:t>tive to Policy Changes and Natural Gas Supply</w:t>
      </w:r>
      <w:r>
        <w:t xml:space="preserve"> (June 9, 2014), </w:t>
      </w:r>
      <w:hyperlink r:id="rId286" w:history="1">
        <w:r w:rsidRPr="00C755C5">
          <w:rPr>
            <w:rStyle w:val="Hyperlink"/>
          </w:rPr>
          <w:t>http://www.eia.gov/todayinenergy/detail.cfm?id=16611</w:t>
        </w:r>
      </w:hyperlink>
      <w:r w:rsidRPr="00C755C5">
        <w:t>.</w:t>
      </w:r>
      <w:proofErr w:type="gramEnd"/>
      <w:r w:rsidRPr="00C755C5">
        <w:t xml:space="preserve"> </w:t>
      </w:r>
      <w:proofErr w:type="gramStart"/>
      <w:r w:rsidRPr="00C755C5">
        <w:t>Executive Office of the President, “</w:t>
      </w:r>
      <w:r w:rsidRPr="00C755C5">
        <w:rPr>
          <w:i/>
        </w:rPr>
        <w:t>Power Sector Carbon Pollution Standards</w:t>
      </w:r>
      <w:r w:rsidRPr="00C755C5">
        <w:t>,” 78 FR 39533 (July 1, 2013),</w:t>
      </w:r>
      <w:r w:rsidRPr="00372FDE">
        <w:t xml:space="preserve"> </w:t>
      </w:r>
      <w:hyperlink r:id="rId287" w:history="1">
        <w:r w:rsidRPr="00372FDE">
          <w:rPr>
            <w:rStyle w:val="Hyperlink"/>
          </w:rPr>
          <w:t>https://federalregister.gov/a/2013-15941</w:t>
        </w:r>
      </w:hyperlink>
      <w:r w:rsidRPr="00372FDE">
        <w:t>.</w:t>
      </w:r>
      <w:proofErr w:type="gramEnd"/>
      <w:r>
        <w:t xml:space="preserve"> </w:t>
      </w:r>
    </w:p>
  </w:footnote>
  <w:footnote w:id="313">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EPA, </w:t>
      </w:r>
      <w:r w:rsidRPr="00372FDE">
        <w:rPr>
          <w:i/>
        </w:rPr>
        <w:t>GHG New Source Performance Standard</w:t>
      </w:r>
      <w:r w:rsidRPr="00372FDE">
        <w:t xml:space="preserve">, 77 FR 22392, 22398 (April 13, 2012), </w:t>
      </w:r>
      <w:hyperlink r:id="rId288" w:history="1">
        <w:r w:rsidRPr="00372FDE">
          <w:rPr>
            <w:rStyle w:val="Hyperlink"/>
          </w:rPr>
          <w:t>http://www.federalregister.gov/a/2012-7820/p-219</w:t>
        </w:r>
      </w:hyperlink>
      <w:r w:rsidRPr="00372FDE">
        <w:t>.</w:t>
      </w:r>
      <w:proofErr w:type="gramEnd"/>
      <w:r w:rsidRPr="00372FDE">
        <w:t xml:space="preserve"> EPA excluded simple-cycle turbines because they generally are used much less often (and thus have lower GHG emissions) and mostly to meet peak demand rather than </w:t>
      </w:r>
      <w:proofErr w:type="spellStart"/>
      <w:r w:rsidRPr="00372FDE">
        <w:t>baseload</w:t>
      </w:r>
      <w:proofErr w:type="spellEnd"/>
      <w:r w:rsidRPr="00372FDE">
        <w:t xml:space="preserve"> or intermediate load requirements.</w:t>
      </w:r>
    </w:p>
  </w:footnote>
  <w:footnote w:id="314">
    <w:p w:rsidR="001E3655" w:rsidRDefault="001E3655">
      <w:pPr>
        <w:pStyle w:val="FootnoteText"/>
      </w:pPr>
      <w:r w:rsidRPr="003260B6">
        <w:rPr>
          <w:rStyle w:val="FootnoteReference"/>
          <w:rFonts w:asciiTheme="majorHAnsi" w:hAnsiTheme="majorHAnsi"/>
          <w:sz w:val="18"/>
        </w:rPr>
        <w:footnoteRef/>
      </w:r>
      <w:r w:rsidRPr="00372FDE">
        <w:t xml:space="preserve"> </w:t>
      </w:r>
      <w:r>
        <w:t xml:space="preserve">EPA, </w:t>
      </w:r>
      <w:r w:rsidRPr="00316208">
        <w:rPr>
          <w:i/>
        </w:rPr>
        <w:t xml:space="preserve">Carbon Pollution Emission Guidelines for Existing Stationary Sources: Electric Utility Generating Units, </w:t>
      </w:r>
      <w:r>
        <w:t>p</w:t>
      </w:r>
      <w:r w:rsidRPr="00C755C5">
        <w:t xml:space="preserve">roposed </w:t>
      </w:r>
      <w:r>
        <w:t>r</w:t>
      </w:r>
      <w:r w:rsidRPr="00C755C5">
        <w:t>ule</w:t>
      </w:r>
      <w:r>
        <w:t xml:space="preserve">, 79 FR 34829 (June 18, 2014), </w:t>
      </w:r>
      <w:hyperlink r:id="rId289" w:history="1">
        <w:r w:rsidRPr="00F6037E">
          <w:rPr>
            <w:rStyle w:val="Hyperlink"/>
          </w:rPr>
          <w:t>https://federalregister.gov/a/2014-13726</w:t>
        </w:r>
      </w:hyperlink>
      <w:r>
        <w:t xml:space="preserve">, and </w:t>
      </w:r>
      <w:r w:rsidRPr="00492993">
        <w:rPr>
          <w:i/>
        </w:rPr>
        <w:t xml:space="preserve">Carbon Pollution </w:t>
      </w:r>
      <w:r>
        <w:rPr>
          <w:i/>
        </w:rPr>
        <w:t>Standards for Modified and Reconstructed</w:t>
      </w:r>
      <w:r w:rsidRPr="00492993">
        <w:rPr>
          <w:i/>
        </w:rPr>
        <w:t xml:space="preserve"> Stationary Sources: Electric Utility Generating Units, </w:t>
      </w:r>
      <w:r>
        <w:t>p</w:t>
      </w:r>
      <w:r w:rsidRPr="00C755C5">
        <w:t xml:space="preserve">roposed </w:t>
      </w:r>
      <w:r>
        <w:t>r</w:t>
      </w:r>
      <w:r w:rsidRPr="00C755C5">
        <w:t>ule</w:t>
      </w:r>
      <w:r>
        <w:t>,</w:t>
      </w:r>
      <w:r>
        <w:br/>
        <w:t xml:space="preserve">79 FR 34959 (June 18, 2014), </w:t>
      </w:r>
      <w:hyperlink r:id="rId290" w:history="1">
        <w:r w:rsidRPr="00275AA2">
          <w:rPr>
            <w:rStyle w:val="Hyperlink"/>
          </w:rPr>
          <w:t>https://federalregister.gov/a/2014-13725</w:t>
        </w:r>
      </w:hyperlink>
      <w:r>
        <w:t>.</w:t>
      </w:r>
    </w:p>
  </w:footnote>
  <w:footnote w:id="315">
    <w:p w:rsidR="001E3655" w:rsidRDefault="001E3655">
      <w:pPr>
        <w:pStyle w:val="FootnoteText"/>
      </w:pPr>
      <w:r w:rsidRPr="0031595E">
        <w:rPr>
          <w:rStyle w:val="FootnoteReference"/>
          <w:rFonts w:asciiTheme="majorHAnsi" w:hAnsiTheme="majorHAnsi"/>
          <w:sz w:val="18"/>
        </w:rPr>
        <w:footnoteRef/>
      </w:r>
      <w:r w:rsidRPr="0031595E">
        <w:t xml:space="preserve"> </w:t>
      </w:r>
      <w:r>
        <w:t>“</w:t>
      </w:r>
      <w:r w:rsidRPr="0031595E">
        <w:t xml:space="preserve">ISO New England </w:t>
      </w:r>
      <w:r>
        <w:t xml:space="preserve">Issues </w:t>
      </w:r>
      <w:r w:rsidRPr="0031595E">
        <w:t>Statement on Entergy’s Announcement to Retire Vermont Yankee Nuclear Plant</w:t>
      </w:r>
      <w:r>
        <w:t>,” press release</w:t>
      </w:r>
      <w:r w:rsidRPr="0031595E">
        <w:t xml:space="preserve"> (August 27,</w:t>
      </w:r>
      <w:r w:rsidRPr="00372FDE">
        <w:t xml:space="preserve"> 2013)</w:t>
      </w:r>
      <w:r>
        <w:t>,</w:t>
      </w:r>
      <w:r w:rsidRPr="00372FDE">
        <w:t xml:space="preserve"> </w:t>
      </w:r>
      <w:hyperlink r:id="rId291" w:history="1">
        <w:r w:rsidRPr="006D19E6">
          <w:rPr>
            <w:rStyle w:val="Hyperlink"/>
          </w:rPr>
          <w:t>http://www.iso-ne.com/nwsiss/pr/2013/iso_new_england_issues_statement_vy_retirement_final.pdf</w:t>
        </w:r>
      </w:hyperlink>
      <w:r>
        <w:t xml:space="preserve">. </w:t>
      </w:r>
      <w:r w:rsidRPr="00372FDE">
        <w:t>The ISO studied the needs of the high</w:t>
      </w:r>
      <w:r>
        <w:t>-</w:t>
      </w:r>
      <w:r w:rsidRPr="00372FDE">
        <w:t xml:space="preserve">voltage power system serving Vermont and New Hampshire and concluded system reliability </w:t>
      </w:r>
      <w:proofErr w:type="gramStart"/>
      <w:r w:rsidRPr="00372FDE">
        <w:t>will be maintained</w:t>
      </w:r>
      <w:proofErr w:type="gramEnd"/>
      <w:r w:rsidRPr="00372FDE">
        <w:t>.</w:t>
      </w:r>
    </w:p>
  </w:footnote>
  <w:footnote w:id="316">
    <w:p w:rsidR="001E3655" w:rsidRPr="00372FDE" w:rsidRDefault="001E3655" w:rsidP="00D2141F">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372FDE">
        <w:rPr>
          <w:rFonts w:asciiTheme="majorHAnsi" w:hAnsiTheme="majorHAnsi"/>
          <w:sz w:val="18"/>
          <w:szCs w:val="18"/>
        </w:rPr>
        <w:t xml:space="preserve"> </w:t>
      </w:r>
      <w:proofErr w:type="gramStart"/>
      <w:r w:rsidRPr="008F742F">
        <w:rPr>
          <w:rFonts w:asciiTheme="majorHAnsi" w:hAnsiTheme="majorHAnsi"/>
          <w:sz w:val="18"/>
          <w:szCs w:val="18"/>
        </w:rPr>
        <w:t xml:space="preserve">New York v. NRC, 681 </w:t>
      </w:r>
      <w:proofErr w:type="spellStart"/>
      <w:r w:rsidRPr="008F742F">
        <w:rPr>
          <w:rFonts w:asciiTheme="majorHAnsi" w:hAnsiTheme="majorHAnsi"/>
          <w:sz w:val="18"/>
          <w:szCs w:val="18"/>
        </w:rPr>
        <w:t>F.3d</w:t>
      </w:r>
      <w:proofErr w:type="spellEnd"/>
      <w:r w:rsidRPr="008F742F">
        <w:rPr>
          <w:rFonts w:asciiTheme="majorHAnsi" w:hAnsiTheme="majorHAnsi"/>
          <w:sz w:val="18"/>
          <w:szCs w:val="18"/>
        </w:rPr>
        <w:t xml:space="preserve"> 471 (D.C. Cir. 2012).</w:t>
      </w:r>
      <w:proofErr w:type="gramEnd"/>
      <w:r w:rsidRPr="008F742F">
        <w:rPr>
          <w:rFonts w:asciiTheme="majorHAnsi" w:hAnsiTheme="majorHAnsi"/>
          <w:sz w:val="18"/>
          <w:szCs w:val="18"/>
        </w:rPr>
        <w:t xml:space="preserve"> The court found that NRC violated the </w:t>
      </w:r>
      <w:r w:rsidRPr="008F742F">
        <w:rPr>
          <w:rFonts w:asciiTheme="majorHAnsi" w:hAnsiTheme="majorHAnsi"/>
          <w:i/>
          <w:sz w:val="18"/>
          <w:szCs w:val="18"/>
        </w:rPr>
        <w:t xml:space="preserve">National Environmental Policy Act </w:t>
      </w:r>
      <w:r w:rsidRPr="008F742F">
        <w:rPr>
          <w:rFonts w:asciiTheme="majorHAnsi" w:hAnsiTheme="majorHAnsi"/>
          <w:sz w:val="18"/>
          <w:szCs w:val="18"/>
        </w:rPr>
        <w:t xml:space="preserve">by failing to consider potential environmental effects in the event a permanent repository for disposing of spent nuclear fuel </w:t>
      </w:r>
      <w:proofErr w:type="gramStart"/>
      <w:r w:rsidRPr="008F742F">
        <w:rPr>
          <w:rFonts w:asciiTheme="majorHAnsi" w:hAnsiTheme="majorHAnsi"/>
          <w:sz w:val="18"/>
          <w:szCs w:val="18"/>
        </w:rPr>
        <w:t>is never built</w:t>
      </w:r>
      <w:proofErr w:type="gramEnd"/>
      <w:r w:rsidRPr="008F742F">
        <w:rPr>
          <w:rFonts w:asciiTheme="majorHAnsi" w:hAnsiTheme="majorHAnsi"/>
          <w:sz w:val="18"/>
          <w:szCs w:val="18"/>
        </w:rPr>
        <w:t xml:space="preserve">. The court also found that the NRC’s consideration of leaks and fires involving spent fuel pools at nuclear power plants was deficient. </w:t>
      </w:r>
      <w:proofErr w:type="gramStart"/>
      <w:r w:rsidRPr="008F742F">
        <w:rPr>
          <w:rFonts w:asciiTheme="majorHAnsi" w:hAnsiTheme="majorHAnsi"/>
          <w:sz w:val="18"/>
          <w:szCs w:val="18"/>
        </w:rPr>
        <w:t>Nuclear Regulatory Commission</w:t>
      </w:r>
      <w:r w:rsidRPr="008F742F">
        <w:rPr>
          <w:rFonts w:asciiTheme="majorHAnsi" w:hAnsiTheme="majorHAnsi"/>
          <w:i/>
          <w:sz w:val="18"/>
          <w:szCs w:val="18"/>
        </w:rPr>
        <w:t>, Consideration of Environmental Impacts of Temporary Storage of Spent Fuel after Cessation of Reactor Operation</w:t>
      </w:r>
      <w:r w:rsidRPr="008F742F">
        <w:rPr>
          <w:rFonts w:asciiTheme="majorHAnsi" w:hAnsiTheme="majorHAnsi"/>
          <w:sz w:val="18"/>
          <w:szCs w:val="18"/>
        </w:rPr>
        <w:t>, final rule, 75 Fed.</w:t>
      </w:r>
      <w:proofErr w:type="gramEnd"/>
      <w:r w:rsidRPr="008F742F">
        <w:rPr>
          <w:rFonts w:asciiTheme="majorHAnsi" w:hAnsiTheme="majorHAnsi"/>
          <w:sz w:val="18"/>
          <w:szCs w:val="18"/>
        </w:rPr>
        <w:t xml:space="preserve"> </w:t>
      </w:r>
      <w:proofErr w:type="gramStart"/>
      <w:r w:rsidRPr="008F742F">
        <w:rPr>
          <w:rFonts w:asciiTheme="majorHAnsi" w:hAnsiTheme="majorHAnsi"/>
          <w:sz w:val="18"/>
          <w:szCs w:val="18"/>
        </w:rPr>
        <w:t>Reg. 81032 (Dec</w:t>
      </w:r>
      <w:r>
        <w:rPr>
          <w:rFonts w:asciiTheme="majorHAnsi" w:hAnsiTheme="majorHAnsi"/>
          <w:sz w:val="18"/>
          <w:szCs w:val="18"/>
        </w:rPr>
        <w:t>ember</w:t>
      </w:r>
      <w:r w:rsidRPr="008F742F">
        <w:rPr>
          <w:rFonts w:asciiTheme="majorHAnsi" w:hAnsiTheme="majorHAnsi"/>
          <w:sz w:val="18"/>
          <w:szCs w:val="18"/>
        </w:rPr>
        <w:t xml:space="preserve"> 23, 2010), and NRC, </w:t>
      </w:r>
      <w:r w:rsidRPr="008F742F">
        <w:rPr>
          <w:rFonts w:asciiTheme="majorHAnsi" w:hAnsiTheme="majorHAnsi"/>
          <w:i/>
          <w:sz w:val="18"/>
          <w:szCs w:val="18"/>
        </w:rPr>
        <w:t>Waste Confidence Decision Update</w:t>
      </w:r>
      <w:r w:rsidRPr="008F742F">
        <w:rPr>
          <w:rFonts w:asciiTheme="majorHAnsi" w:hAnsiTheme="majorHAnsi"/>
          <w:sz w:val="18"/>
          <w:szCs w:val="18"/>
        </w:rPr>
        <w:t>, 75 Fed.</w:t>
      </w:r>
      <w:proofErr w:type="gramEnd"/>
      <w:r w:rsidRPr="008F742F">
        <w:rPr>
          <w:rFonts w:asciiTheme="majorHAnsi" w:hAnsiTheme="majorHAnsi"/>
          <w:sz w:val="18"/>
          <w:szCs w:val="18"/>
        </w:rPr>
        <w:t xml:space="preserve"> Reg. 81037 (Dec</w:t>
      </w:r>
      <w:r>
        <w:rPr>
          <w:rFonts w:asciiTheme="majorHAnsi" w:hAnsiTheme="majorHAnsi"/>
          <w:sz w:val="18"/>
          <w:szCs w:val="18"/>
        </w:rPr>
        <w:t>ember</w:t>
      </w:r>
      <w:r w:rsidRPr="008F742F">
        <w:rPr>
          <w:rFonts w:asciiTheme="majorHAnsi" w:hAnsiTheme="majorHAnsi"/>
          <w:sz w:val="18"/>
          <w:szCs w:val="18"/>
        </w:rPr>
        <w:t xml:space="preserve"> 23, 2010).</w:t>
      </w:r>
    </w:p>
  </w:footnote>
  <w:footnote w:id="317">
    <w:p w:rsidR="001E3655" w:rsidRDefault="001E3655">
      <w:pPr>
        <w:pStyle w:val="FootnoteText"/>
      </w:pPr>
      <w:r w:rsidRPr="003260B6">
        <w:rPr>
          <w:rStyle w:val="FootnoteReference"/>
          <w:rFonts w:asciiTheme="majorHAnsi" w:hAnsiTheme="majorHAnsi"/>
          <w:sz w:val="18"/>
        </w:rPr>
        <w:footnoteRef/>
      </w:r>
      <w:r w:rsidRPr="00372FDE">
        <w:t xml:space="preserve"> Environmental Protection Agency,</w:t>
      </w:r>
      <w:r>
        <w:t xml:space="preserve"> </w:t>
      </w:r>
      <w:hyperlink r:id="rId292" w:history="1">
        <w:r w:rsidRPr="00372FDE">
          <w:rPr>
            <w:rStyle w:val="Hyperlink"/>
            <w:i/>
          </w:rPr>
          <w:t>Environmental Radiation Protection Standards for Nuclear Power Operations</w:t>
        </w:r>
      </w:hyperlink>
      <w:r w:rsidRPr="00372FDE">
        <w:t xml:space="preserve">, </w:t>
      </w:r>
      <w:r w:rsidRPr="00CC5D68">
        <w:t>advance notice of proposed rulemaking, 79 FR 6509 (February 4, 2014).</w:t>
      </w:r>
    </w:p>
  </w:footnote>
  <w:footnote w:id="318">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Hydropower Licensing webpage (June 10, 2013), </w:t>
      </w:r>
      <w:hyperlink r:id="rId293" w:history="1">
        <w:r w:rsidRPr="00372FDE">
          <w:rPr>
            <w:rStyle w:val="Hyperlink"/>
          </w:rPr>
          <w:t>http://www.ferc.gov/industries/hydropower/gen-info/licensing.asp</w:t>
        </w:r>
      </w:hyperlink>
      <w:r w:rsidRPr="00372FDE">
        <w:t>.</w:t>
      </w:r>
      <w:proofErr w:type="gramEnd"/>
    </w:p>
  </w:footnote>
  <w:footnote w:id="319">
    <w:p w:rsidR="001E3655" w:rsidRDefault="001E3655">
      <w:pPr>
        <w:pStyle w:val="FootnoteText"/>
      </w:pPr>
      <w:r w:rsidRPr="003260B6">
        <w:rPr>
          <w:rStyle w:val="FootnoteReference"/>
          <w:rFonts w:asciiTheme="majorHAnsi" w:hAnsiTheme="majorHAnsi"/>
          <w:sz w:val="18"/>
        </w:rPr>
        <w:footnoteRef/>
      </w:r>
      <w:r w:rsidRPr="00372FDE">
        <w:t xml:space="preserve"> FERC, </w:t>
      </w:r>
      <w:hyperlink r:id="rId294" w:history="1">
        <w:r w:rsidRPr="00372FDE">
          <w:rPr>
            <w:rStyle w:val="Hyperlink"/>
            <w:i/>
          </w:rPr>
          <w:t xml:space="preserve">Modification to Integrated Licensing Process Schedule, </w:t>
        </w:r>
        <w:proofErr w:type="spellStart"/>
        <w:r w:rsidRPr="00372FDE">
          <w:rPr>
            <w:rStyle w:val="Hyperlink"/>
            <w:i/>
          </w:rPr>
          <w:t>Transcanada</w:t>
        </w:r>
        <w:proofErr w:type="spellEnd"/>
        <w:r w:rsidRPr="00372FDE">
          <w:rPr>
            <w:rStyle w:val="Hyperlink"/>
            <w:i/>
          </w:rPr>
          <w:t xml:space="preserve"> Hydro Northeast, Inc., and </w:t>
        </w:r>
        <w:proofErr w:type="spellStart"/>
        <w:r w:rsidRPr="00372FDE">
          <w:rPr>
            <w:rStyle w:val="Hyperlink"/>
            <w:i/>
          </w:rPr>
          <w:t>Firstlight</w:t>
        </w:r>
        <w:proofErr w:type="spellEnd"/>
        <w:r w:rsidRPr="00372FDE">
          <w:rPr>
            <w:rStyle w:val="Hyperlink"/>
            <w:i/>
          </w:rPr>
          <w:t xml:space="preserve"> Hydro Generating Company</w:t>
        </w:r>
      </w:hyperlink>
      <w:r w:rsidRPr="00372FDE">
        <w:t xml:space="preserve"> (December 21, 2012); Connecticut River Joint Commission, </w:t>
      </w:r>
      <w:hyperlink r:id="rId295" w:history="1">
        <w:r w:rsidRPr="00372FDE">
          <w:rPr>
            <w:rStyle w:val="Hyperlink"/>
            <w:i/>
          </w:rPr>
          <w:t>Relicensing of Connecticut River Dams</w:t>
        </w:r>
      </w:hyperlink>
      <w:r w:rsidRPr="00372FDE">
        <w:t xml:space="preserve"> (Accessed February 18, 2014).</w:t>
      </w:r>
    </w:p>
  </w:footnote>
  <w:footnote w:id="320">
    <w:p w:rsidR="001E3655" w:rsidRPr="00372FDE" w:rsidRDefault="001E3655" w:rsidP="00D2141F">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8F742F">
        <w:rPr>
          <w:rFonts w:asciiTheme="majorHAnsi" w:hAnsiTheme="majorHAnsi"/>
          <w:sz w:val="18"/>
          <w:szCs w:val="18"/>
        </w:rPr>
        <w:t xml:space="preserve"> </w:t>
      </w:r>
      <w:hyperlink r:id="rId296" w:history="1">
        <w:proofErr w:type="gramStart"/>
        <w:r w:rsidRPr="008F742F">
          <w:rPr>
            <w:rStyle w:val="Hyperlink"/>
            <w:rFonts w:asciiTheme="majorHAnsi" w:hAnsiTheme="majorHAnsi"/>
            <w:i/>
            <w:sz w:val="18"/>
            <w:szCs w:val="18"/>
          </w:rPr>
          <w:t>Hydropower Regulatory Efficiency Act of 2013</w:t>
        </w:r>
      </w:hyperlink>
      <w:r w:rsidRPr="008F742F">
        <w:rPr>
          <w:rFonts w:asciiTheme="majorHAnsi" w:hAnsiTheme="majorHAnsi"/>
          <w:color w:val="222222"/>
          <w:sz w:val="18"/>
          <w:szCs w:val="18"/>
        </w:rPr>
        <w:t>, Pub.</w:t>
      </w:r>
      <w:proofErr w:type="gramEnd"/>
      <w:r w:rsidRPr="008F742F">
        <w:rPr>
          <w:rFonts w:asciiTheme="majorHAnsi" w:hAnsiTheme="majorHAnsi"/>
          <w:color w:val="222222"/>
          <w:sz w:val="18"/>
          <w:szCs w:val="18"/>
        </w:rPr>
        <w:t xml:space="preserve"> L 113-23 (August 9, 2013). The act also directs DOE to </w:t>
      </w:r>
      <w:r w:rsidRPr="008F742F">
        <w:rPr>
          <w:rFonts w:asciiTheme="majorHAnsi" w:hAnsiTheme="majorHAnsi"/>
          <w:sz w:val="18"/>
          <w:szCs w:val="18"/>
        </w:rPr>
        <w:t>study the operational flexibility that existing pumped-storage facilities offer in support of intermittent renewable electric energy generation, including the potential for such facilities to be upgraded or retrofitted with advanced, commercially available technology and the potential of existing pumped-storage facilities and new advanced pumped-storage facilities to provide grid-reliability benefits.</w:t>
      </w:r>
    </w:p>
  </w:footnote>
  <w:footnote w:id="321">
    <w:p w:rsidR="001E3655" w:rsidRPr="00372FDE" w:rsidRDefault="001E3655" w:rsidP="004B06B9">
      <w:pPr>
        <w:pStyle w:val="BodyText1"/>
        <w:spacing w:after="80" w:line="240" w:lineRule="auto"/>
        <w:rPr>
          <w:rFonts w:asciiTheme="majorHAnsi" w:hAnsiTheme="majorHAnsi"/>
          <w:sz w:val="18"/>
          <w:szCs w:val="18"/>
        </w:rPr>
      </w:pPr>
      <w:r w:rsidRPr="00F73D62">
        <w:rPr>
          <w:rStyle w:val="FootnoteReference"/>
          <w:rFonts w:asciiTheme="majorHAnsi" w:hAnsiTheme="majorHAnsi"/>
          <w:sz w:val="18"/>
          <w:szCs w:val="18"/>
        </w:rPr>
        <w:footnoteRef/>
      </w:r>
      <w:r w:rsidRPr="00F73D62">
        <w:rPr>
          <w:rFonts w:asciiTheme="majorHAnsi" w:hAnsiTheme="majorHAnsi"/>
          <w:sz w:val="18"/>
          <w:szCs w:val="18"/>
        </w:rPr>
        <w:t xml:space="preserve"> </w:t>
      </w:r>
      <w:r w:rsidRPr="00372FDE">
        <w:rPr>
          <w:rFonts w:asciiTheme="majorHAnsi" w:hAnsiTheme="majorHAnsi"/>
          <w:sz w:val="18"/>
          <w:szCs w:val="18"/>
        </w:rPr>
        <w:t xml:space="preserve">NREL, </w:t>
      </w:r>
      <w:proofErr w:type="gramStart"/>
      <w:r w:rsidRPr="00372FDE">
        <w:rPr>
          <w:rFonts w:asciiTheme="majorHAnsi" w:hAnsiTheme="majorHAnsi"/>
          <w:i/>
          <w:sz w:val="18"/>
          <w:szCs w:val="18"/>
        </w:rPr>
        <w:t>The</w:t>
      </w:r>
      <w:proofErr w:type="gramEnd"/>
      <w:r w:rsidRPr="00372FDE">
        <w:rPr>
          <w:rFonts w:asciiTheme="majorHAnsi" w:hAnsiTheme="majorHAnsi"/>
          <w:i/>
          <w:sz w:val="18"/>
          <w:szCs w:val="18"/>
        </w:rPr>
        <w:t xml:space="preserve"> Western Wind and Solar Integration Study Phase 2</w:t>
      </w:r>
      <w:r w:rsidRPr="00372FDE">
        <w:rPr>
          <w:rFonts w:asciiTheme="majorHAnsi" w:hAnsiTheme="majorHAnsi"/>
          <w:sz w:val="18"/>
          <w:szCs w:val="18"/>
        </w:rPr>
        <w:t xml:space="preserve">, NREL/TP-5500-55588, technical report (DOE, September 2013), </w:t>
      </w:r>
      <w:hyperlink r:id="rId297" w:history="1">
        <w:r w:rsidRPr="00372FDE">
          <w:rPr>
            <w:rStyle w:val="Hyperlink"/>
            <w:rFonts w:asciiTheme="majorHAnsi" w:hAnsiTheme="majorHAnsi"/>
            <w:sz w:val="18"/>
            <w:szCs w:val="18"/>
          </w:rPr>
          <w:t>http://www1.eere.energy.gov/wind/pdfs/55588.pdf</w:t>
        </w:r>
      </w:hyperlink>
      <w:r w:rsidRPr="00372FDE">
        <w:rPr>
          <w:rFonts w:asciiTheme="majorHAnsi" w:hAnsiTheme="majorHAnsi"/>
          <w:sz w:val="18"/>
          <w:szCs w:val="18"/>
        </w:rPr>
        <w:t>.</w:t>
      </w:r>
    </w:p>
  </w:footnote>
  <w:footnote w:id="322">
    <w:p w:rsidR="001E3655" w:rsidRDefault="001E3655">
      <w:pPr>
        <w:pStyle w:val="FootnoteText"/>
      </w:pPr>
      <w:r w:rsidRPr="00F73D62">
        <w:rPr>
          <w:rStyle w:val="FootnoteReference"/>
          <w:rFonts w:asciiTheme="majorHAnsi" w:hAnsiTheme="majorHAnsi"/>
          <w:sz w:val="18"/>
        </w:rPr>
        <w:footnoteRef/>
      </w:r>
      <w:r w:rsidRPr="00372FDE">
        <w:t xml:space="preserve"> Note that the Aroostook, </w:t>
      </w:r>
      <w:proofErr w:type="gramStart"/>
      <w:r w:rsidRPr="00372FDE">
        <w:t>ME</w:t>
      </w:r>
      <w:proofErr w:type="gramEnd"/>
      <w:r w:rsidRPr="00372FDE">
        <w:t>, region is considered to need major transmission line construction.</w:t>
      </w:r>
      <w:r>
        <w:t xml:space="preserve"> </w:t>
      </w:r>
      <w:proofErr w:type="gramStart"/>
      <w:r>
        <w:t xml:space="preserve">ISO New England, </w:t>
      </w:r>
      <w:r w:rsidRPr="00E450B5">
        <w:rPr>
          <w:i/>
        </w:rPr>
        <w:t>Northern Maine System Performance</w:t>
      </w:r>
      <w:r>
        <w:t xml:space="preserve">, PAC presentation (September 21, 2010), </w:t>
      </w:r>
      <w:hyperlink r:id="rId298" w:history="1">
        <w:r w:rsidRPr="00B64163">
          <w:rPr>
            <w:rStyle w:val="Hyperlink"/>
          </w:rPr>
          <w:t>https://smd.iso-ne.com/committees/comm_wkgrps/prtcpnts_comm/pac/ceii/mtrls/2010/sep212010/northern_maine.pdf</w:t>
        </w:r>
      </w:hyperlink>
      <w:r>
        <w:t>.</w:t>
      </w:r>
      <w:proofErr w:type="gramEnd"/>
    </w:p>
  </w:footnote>
  <w:footnote w:id="323">
    <w:p w:rsidR="001E3655" w:rsidRDefault="001E3655">
      <w:pPr>
        <w:pStyle w:val="FootnoteText"/>
      </w:pPr>
      <w:r w:rsidRPr="003260B6">
        <w:rPr>
          <w:rStyle w:val="FootnoteReference"/>
          <w:rFonts w:asciiTheme="majorHAnsi" w:hAnsiTheme="majorHAnsi"/>
          <w:sz w:val="18"/>
        </w:rPr>
        <w:footnoteRef/>
      </w:r>
      <w:r>
        <w:t xml:space="preserve"> </w:t>
      </w:r>
      <w:r w:rsidRPr="00372FDE">
        <w:t xml:space="preserve">TCSCs are series capacitors that can change their impedance within a fraction of a cycle. They are a type of flexible alternating-current transmission system (FACTS) device that uses a </w:t>
      </w:r>
      <w:proofErr w:type="spellStart"/>
      <w:r w:rsidRPr="008F742F">
        <w:rPr>
          <w:i/>
        </w:rPr>
        <w:t>thyristor</w:t>
      </w:r>
      <w:proofErr w:type="spellEnd"/>
      <w:r w:rsidRPr="00372FDE">
        <w:t xml:space="preserve">—a power electronics component that provides the ability to switch output. (See Section </w:t>
      </w:r>
      <w:fldSimple w:instr=" REF _Ref388605466 \r \h  \* MERGEFORMAT ">
        <w:r>
          <w:t>7.4.2.3</w:t>
        </w:r>
      </w:fldSimple>
      <w:r w:rsidRPr="00372FDE">
        <w:t xml:space="preserve"> for more on FACTS devices.)</w:t>
      </w:r>
    </w:p>
  </w:footnote>
  <w:footnote w:id="324">
    <w:p w:rsidR="001E3655" w:rsidRDefault="001E3655">
      <w:pPr>
        <w:pStyle w:val="FootnoteText"/>
      </w:pPr>
      <w:r w:rsidRPr="00372FDE">
        <w:rPr>
          <w:rStyle w:val="FootnoteReference"/>
          <w:rFonts w:asciiTheme="majorHAnsi" w:hAnsiTheme="majorHAnsi"/>
          <w:sz w:val="18"/>
        </w:rPr>
        <w:footnoteRef/>
      </w:r>
      <w:r w:rsidRPr="00372FDE">
        <w:t xml:space="preserve"> On December 27, 2012, the DOE Solar Program awarded funding to the IBM Thomas J. Watson Research Center (DOE Award No. </w:t>
      </w:r>
      <w:proofErr w:type="gramStart"/>
      <w:r w:rsidRPr="00372FDE">
        <w:t>DE-EE0006017).</w:t>
      </w:r>
      <w:proofErr w:type="gramEnd"/>
      <w:r w:rsidRPr="00372FDE">
        <w:t xml:space="preserve"> More information is available at </w:t>
      </w:r>
      <w:hyperlink r:id="rId299" w:history="1">
        <w:r w:rsidRPr="00B64163">
          <w:rPr>
            <w:rStyle w:val="Hyperlink"/>
          </w:rPr>
          <w:t>http://solarhighpen.energy.gov/project/ibm_thomas_j_watson_research_center_watt_sun_multi_scale_multi_model_machine_learning_solar</w:t>
        </w:r>
      </w:hyperlink>
      <w:r w:rsidRPr="00372FDE">
        <w:t>.</w:t>
      </w:r>
    </w:p>
  </w:footnote>
  <w:footnote w:id="325">
    <w:p w:rsidR="001E3655" w:rsidRDefault="001E3655">
      <w:pPr>
        <w:pStyle w:val="FootnoteText"/>
      </w:pPr>
      <w:r w:rsidRPr="003260B6">
        <w:rPr>
          <w:rStyle w:val="FootnoteReference"/>
          <w:rFonts w:asciiTheme="majorHAnsi" w:hAnsiTheme="majorHAnsi"/>
          <w:sz w:val="18"/>
        </w:rPr>
        <w:footnoteRef/>
      </w:r>
      <w:r w:rsidRPr="00372FDE">
        <w:t xml:space="preserve"> Artificial </w:t>
      </w:r>
      <w:r w:rsidRPr="00372FDE">
        <w:rPr>
          <w:i/>
        </w:rPr>
        <w:t>neural networks</w:t>
      </w:r>
      <w:r w:rsidRPr="00372FDE">
        <w:t xml:space="preserve"> are computational models capable of machine learning and pattern recognition. </w:t>
      </w:r>
    </w:p>
  </w:footnote>
  <w:footnote w:id="326">
    <w:p w:rsidR="001E3655" w:rsidRDefault="001E3655">
      <w:pPr>
        <w:pStyle w:val="FootnoteText"/>
      </w:pPr>
      <w:r w:rsidRPr="00DC3251">
        <w:rPr>
          <w:rStyle w:val="FootnoteReference"/>
          <w:rFonts w:asciiTheme="majorHAnsi" w:hAnsiTheme="majorHAnsi"/>
          <w:sz w:val="18"/>
        </w:rPr>
        <w:footnoteRef/>
      </w:r>
      <w:r w:rsidRPr="00DC3251">
        <w:t xml:space="preserve"> </w:t>
      </w:r>
      <w:proofErr w:type="gramStart"/>
      <w:r w:rsidRPr="00DC3251">
        <w:rPr>
          <w:i/>
        </w:rPr>
        <w:t>PV Forecast in Transmission Planning Studies</w:t>
      </w:r>
      <w:r w:rsidRPr="00DC3251">
        <w:t xml:space="preserve">, PAC presentation (July 11, 2014), </w:t>
      </w:r>
      <w:hyperlink r:id="rId300" w:history="1">
        <w:r w:rsidRPr="00DC3251">
          <w:rPr>
            <w:rStyle w:val="Hyperlink"/>
          </w:rPr>
          <w:t>http://www.iso-ne.com/committees/comm_wkgrps/prtcpnts_comm/pac/mtrls/2014/jul112014/a_use_of_pv_in_long_term_transmission_planning.pdf</w:t>
        </w:r>
      </w:hyperlink>
      <w:r w:rsidRPr="00DC3251">
        <w:t>.</w:t>
      </w:r>
      <w:proofErr w:type="gramEnd"/>
    </w:p>
  </w:footnote>
  <w:footnote w:id="327">
    <w:p w:rsidR="001E3655" w:rsidRDefault="001E3655">
      <w:pPr>
        <w:pStyle w:val="FootnoteText"/>
      </w:pPr>
      <w:r w:rsidRPr="002F3693">
        <w:rPr>
          <w:rStyle w:val="FootnoteReference"/>
          <w:rFonts w:asciiTheme="majorHAnsi" w:hAnsiTheme="majorHAnsi"/>
          <w:sz w:val="18"/>
        </w:rPr>
        <w:footnoteRef/>
      </w:r>
      <w:r w:rsidRPr="002F3693">
        <w:t xml:space="preserve"> IEEE 1547 establishes criteria and requirements for the interconnection of distributed resources with electric power systems. This document provides a uniform standard for the performance, operation, testing, safety considerations, and maintenance of the interconnection. See “IEEE 1547 Standard for Interconnecting Distributed Resources with Electric Power Systems,” webpage (2014), </w:t>
      </w:r>
      <w:hyperlink r:id="rId301" w:history="1">
        <w:r w:rsidRPr="002F3693">
          <w:rPr>
            <w:rStyle w:val="Hyperlink"/>
          </w:rPr>
          <w:t>http://grouper.ieee.org/groups/scc21/1547/1547_index.html</w:t>
        </w:r>
      </w:hyperlink>
      <w:r w:rsidRPr="002F3693">
        <w:t>.</w:t>
      </w:r>
    </w:p>
  </w:footnote>
  <w:footnote w:id="328">
    <w:p w:rsidR="001E3655" w:rsidRDefault="001E3655">
      <w:pPr>
        <w:pStyle w:val="FootnoteText"/>
      </w:pPr>
      <w:r w:rsidRPr="002F3693">
        <w:rPr>
          <w:rStyle w:val="FootnoteReference"/>
          <w:rFonts w:asciiTheme="majorHAnsi" w:hAnsiTheme="majorHAnsi"/>
          <w:sz w:val="18"/>
        </w:rPr>
        <w:footnoteRef/>
      </w:r>
      <w:r w:rsidRPr="002F3693">
        <w:t xml:space="preserve"> </w:t>
      </w:r>
      <w:proofErr w:type="gramStart"/>
      <w:r w:rsidRPr="002F3693">
        <w:t>IEEE 1547 and interconnection requirements for low/high- voltage ride through, low/high-frequency ride through, ramp rates, and others.</w:t>
      </w:r>
      <w:proofErr w:type="gramEnd"/>
      <w:r w:rsidRPr="002F3693">
        <w:t xml:space="preserve"> </w:t>
      </w:r>
    </w:p>
  </w:footnote>
  <w:footnote w:id="329">
    <w:p w:rsidR="001E3655" w:rsidRPr="00F00E29" w:rsidRDefault="001E3655">
      <w:pPr>
        <w:pStyle w:val="FootnoteText"/>
        <w:rPr>
          <w:color w:val="auto"/>
        </w:rPr>
      </w:pPr>
      <w:r w:rsidRPr="00F00E29">
        <w:rPr>
          <w:rStyle w:val="FootnoteReference"/>
          <w:color w:val="auto"/>
        </w:rPr>
        <w:footnoteRef/>
      </w:r>
      <w:r w:rsidRPr="00F00E29">
        <w:rPr>
          <w:color w:val="auto"/>
        </w:rPr>
        <w:t xml:space="preserve"> ISO</w:t>
      </w:r>
      <w:r>
        <w:rPr>
          <w:color w:val="auto"/>
        </w:rPr>
        <w:t xml:space="preserve"> New England</w:t>
      </w:r>
      <w:r w:rsidRPr="00F00E29">
        <w:rPr>
          <w:color w:val="auto"/>
        </w:rPr>
        <w:t xml:space="preserve">, </w:t>
      </w:r>
      <w:hyperlink r:id="rId302" w:history="1">
        <w:r w:rsidRPr="00D52888">
          <w:rPr>
            <w:rStyle w:val="Hyperlink"/>
            <w:i/>
          </w:rPr>
          <w:t>2012 Economic Study</w:t>
        </w:r>
        <w:r w:rsidRPr="00D52888">
          <w:rPr>
            <w:rStyle w:val="Hyperlink"/>
          </w:rPr>
          <w:t xml:space="preserve">, final report </w:t>
        </w:r>
      </w:hyperlink>
      <w:r w:rsidRPr="00F00E29">
        <w:rPr>
          <w:color w:val="auto"/>
        </w:rPr>
        <w:t>(April 30, 2014)</w:t>
      </w:r>
      <w:r>
        <w:rPr>
          <w:color w:val="auto"/>
        </w:rPr>
        <w:t xml:space="preserve">, </w:t>
      </w:r>
      <w:hyperlink r:id="rId303" w:history="1">
        <w:r w:rsidRPr="00D52888">
          <w:rPr>
            <w:rStyle w:val="Hyperlink"/>
          </w:rPr>
          <w:t>http://www.iso-ne.com/static-assets/documents/committees/comm_wkgrps/prtcpnts_comm/pac/reports/2014/a9_2012_economic_study_final.pdf</w:t>
        </w:r>
      </w:hyperlink>
      <w:r>
        <w:rPr>
          <w:color w:val="auto"/>
        </w:rPr>
        <w:t xml:space="preserve">, and </w:t>
      </w:r>
      <w:hyperlink r:id="rId304" w:history="1">
        <w:r w:rsidRPr="00D52888">
          <w:rPr>
            <w:rStyle w:val="Hyperlink"/>
            <w:i/>
          </w:rPr>
          <w:t>2011 Economic Study</w:t>
        </w:r>
        <w:r w:rsidRPr="00D52888">
          <w:rPr>
            <w:rStyle w:val="Hyperlink"/>
          </w:rPr>
          <w:t xml:space="preserve">, final report </w:t>
        </w:r>
      </w:hyperlink>
      <w:r w:rsidRPr="00950ACE">
        <w:rPr>
          <w:i/>
          <w:color w:val="auto"/>
        </w:rPr>
        <w:t xml:space="preserve"> </w:t>
      </w:r>
      <w:r w:rsidRPr="00F00E29">
        <w:rPr>
          <w:color w:val="auto"/>
        </w:rPr>
        <w:t>(March 31, 2014)</w:t>
      </w:r>
      <w:r>
        <w:rPr>
          <w:color w:val="auto"/>
        </w:rPr>
        <w:t xml:space="preserve">, </w:t>
      </w:r>
      <w:hyperlink r:id="rId305" w:history="1">
        <w:r w:rsidRPr="00163894">
          <w:rPr>
            <w:rStyle w:val="Hyperlink"/>
          </w:rPr>
          <w:t>http://www.iso-ne.com/static-assets/documents/committees/comm_wkgrps/prtcpnts_comm/pac/reports/2014/2011_eco_study_final.pdf</w:t>
        </w:r>
      </w:hyperlink>
      <w:r w:rsidRPr="00F00E29">
        <w:rPr>
          <w:color w:val="auto"/>
        </w:rPr>
        <w:t xml:space="preserve">. </w:t>
      </w:r>
    </w:p>
  </w:footnote>
  <w:footnote w:id="330">
    <w:p w:rsidR="001E3655" w:rsidRDefault="001E3655">
      <w:pPr>
        <w:pStyle w:val="FootnoteText"/>
      </w:pPr>
      <w:r w:rsidRPr="00F00E29">
        <w:rPr>
          <w:rStyle w:val="FootnoteReference"/>
          <w:color w:val="auto"/>
        </w:rPr>
        <w:footnoteRef/>
      </w:r>
      <w:r>
        <w:rPr>
          <w:color w:val="auto"/>
        </w:rPr>
        <w:t xml:space="preserve"> </w:t>
      </w:r>
      <w:r w:rsidRPr="00F00E29">
        <w:rPr>
          <w:color w:val="auto"/>
        </w:rPr>
        <w:t xml:space="preserve">Both studies modeled 8,760 hours of both onshore and offshore wind outputs based on the results of the ISO’s </w:t>
      </w:r>
      <w:r w:rsidRPr="00F00E29">
        <w:rPr>
          <w:i/>
          <w:color w:val="auto"/>
        </w:rPr>
        <w:t xml:space="preserve">New England Wind Integration Study </w:t>
      </w:r>
      <w:r w:rsidRPr="00F00E29">
        <w:rPr>
          <w:color w:val="auto"/>
        </w:rPr>
        <w:t xml:space="preserve">(NEWIS), final report (December 5, 2010), </w:t>
      </w:r>
      <w:hyperlink r:id="rId306" w:history="1">
        <w:r w:rsidRPr="00F00E29">
          <w:rPr>
            <w:rStyle w:val="Hyperlink"/>
            <w:color w:val="auto"/>
          </w:rPr>
          <w:t>http://www.iso-ne.com/static-assets/documents/committees/comm_wkgrps/prtcpnts_comm/pac/reports/2010/newis_report.pdf</w:t>
        </w:r>
      </w:hyperlink>
      <w:r w:rsidRPr="00F00E29">
        <w:rPr>
          <w:color w:val="auto"/>
        </w:rPr>
        <w:t>.</w:t>
      </w:r>
    </w:p>
  </w:footnote>
  <w:footnote w:id="331">
    <w:p w:rsidR="001E3655" w:rsidRDefault="001E3655" w:rsidP="00C269AA">
      <w:pPr>
        <w:pStyle w:val="FootnoteText"/>
      </w:pPr>
      <w:r w:rsidRPr="00867E66">
        <w:rPr>
          <w:rStyle w:val="FootnoteReference"/>
        </w:rPr>
        <w:footnoteRef/>
      </w:r>
      <w:r>
        <w:rPr>
          <w:i/>
        </w:rPr>
        <w:t xml:space="preserve"> </w:t>
      </w:r>
      <w:r w:rsidRPr="00B531D8">
        <w:rPr>
          <w:i/>
        </w:rPr>
        <w:t>Preliminary Results for</w:t>
      </w:r>
      <w:r>
        <w:rPr>
          <w:i/>
        </w:rPr>
        <w:t xml:space="preserve"> </w:t>
      </w:r>
      <w:r w:rsidRPr="00B531D8">
        <w:rPr>
          <w:i/>
        </w:rPr>
        <w:t>2012 Economic Study Request</w:t>
      </w:r>
      <w:r>
        <w:rPr>
          <w:i/>
        </w:rPr>
        <w:t xml:space="preserve"> </w:t>
      </w:r>
      <w:r w:rsidRPr="00B531D8">
        <w:rPr>
          <w:i/>
        </w:rPr>
        <w:t>Specific Scenario Phase</w:t>
      </w:r>
      <w:r>
        <w:rPr>
          <w:i/>
        </w:rPr>
        <w:t xml:space="preserve"> </w:t>
      </w:r>
      <w:r w:rsidRPr="006C40A9">
        <w:t xml:space="preserve">and </w:t>
      </w:r>
      <w:r w:rsidRPr="007C62EC">
        <w:rPr>
          <w:i/>
        </w:rPr>
        <w:t>IREMM 2012 Economic Study Update</w:t>
      </w:r>
      <w:r w:rsidRPr="007C62EC">
        <w:t>, PAC presentation</w:t>
      </w:r>
      <w:r>
        <w:t xml:space="preserve">s (January 17, 2013), </w:t>
      </w:r>
      <w:hyperlink r:id="rId307" w:history="1">
        <w:r w:rsidRPr="006C40A9">
          <w:rPr>
            <w:rStyle w:val="Hyperlink"/>
          </w:rPr>
          <w:t>http://www.iso-ne.com/static-assets/documents/committees/comm_wkgrps/prtcpnts_comm/pac/mtrls/2013/jan172013/eco_study_results.pdf</w:t>
        </w:r>
      </w:hyperlink>
      <w:r>
        <w:t xml:space="preserve"> and </w:t>
      </w:r>
      <w:hyperlink r:id="rId308" w:history="1">
        <w:r w:rsidRPr="006C40A9">
          <w:rPr>
            <w:rStyle w:val="Hyperlink"/>
          </w:rPr>
          <w:t>http://www.iso-ne.com/static-assets/documents/committees/comm_wkgrps/prtcpnts_comm/pac/mtrls/2013/jan172013/a2_iremm_2012_economic_study_update_011713.pdf</w:t>
        </w:r>
      </w:hyperlink>
      <w:r>
        <w:t xml:space="preserve">. </w:t>
      </w:r>
      <w:r w:rsidRPr="003D0D65">
        <w:t>The simulation was run using IREMM, which use</w:t>
      </w:r>
      <w:r>
        <w:t>s</w:t>
      </w:r>
      <w:r w:rsidRPr="003D0D65">
        <w:t xml:space="preserve"> a simplified pipe and bubble representation of the of the transmission system that </w:t>
      </w:r>
      <w:r>
        <w:t xml:space="preserve">reflects first-contingency limits but </w:t>
      </w:r>
      <w:r w:rsidRPr="003D0D65">
        <w:t>does not capture all reliability requirements. The study reflected resource retirements and additions effective as of FCA</w:t>
      </w:r>
      <w:r>
        <w:t xml:space="preserve"> </w:t>
      </w:r>
      <w:r w:rsidRPr="003D0D65">
        <w:t>#5.</w:t>
      </w:r>
    </w:p>
  </w:footnote>
  <w:footnote w:id="332">
    <w:p w:rsidR="001E3655" w:rsidRPr="00372FDE" w:rsidRDefault="001E3655" w:rsidP="00C269AA">
      <w:pPr>
        <w:pStyle w:val="FootnoteText"/>
      </w:pPr>
      <w:r w:rsidRPr="003260B6">
        <w:rPr>
          <w:rStyle w:val="FootnoteReference"/>
        </w:rPr>
        <w:footnoteRef/>
      </w:r>
      <w:r w:rsidRPr="00372FDE">
        <w:t xml:space="preserve"> </w:t>
      </w:r>
      <w:r w:rsidRPr="00372FDE">
        <w:rPr>
          <w:rFonts w:eastAsia="Calibri"/>
        </w:rPr>
        <w:t xml:space="preserve">NYISO and PJM </w:t>
      </w:r>
      <w:proofErr w:type="spellStart"/>
      <w:r w:rsidRPr="00372FDE">
        <w:rPr>
          <w:rFonts w:eastAsia="Calibri"/>
        </w:rPr>
        <w:t>redispatch</w:t>
      </w:r>
      <w:proofErr w:type="spellEnd"/>
      <w:r w:rsidRPr="00372FDE">
        <w:rPr>
          <w:rFonts w:eastAsia="Calibri"/>
        </w:rPr>
        <w:t xml:space="preserve"> resources to permit a loss-of-source of at least 1,200 MW. A higher limit is permissible when favorable system conditions exist in both NYISO and PJM. This limit typically has been no lower than 1,400</w:t>
      </w:r>
      <w:r>
        <w:rPr>
          <w:rFonts w:eastAsia="Calibri"/>
        </w:rPr>
        <w:t> </w:t>
      </w:r>
      <w:r w:rsidRPr="00372FDE">
        <w:rPr>
          <w:rFonts w:eastAsia="Calibri"/>
        </w:rPr>
        <w:t>MW in recent years.</w:t>
      </w:r>
    </w:p>
  </w:footnote>
  <w:footnote w:id="333">
    <w:p w:rsidR="001E3655" w:rsidRPr="00C269AA" w:rsidRDefault="001E3655" w:rsidP="00C269AA">
      <w:pPr>
        <w:pStyle w:val="FootnoteText"/>
        <w:rPr>
          <w:rStyle w:val="FootnoteReference"/>
          <w:rFonts w:asciiTheme="majorHAnsi" w:hAnsiTheme="majorHAnsi"/>
          <w:sz w:val="18"/>
        </w:rPr>
      </w:pPr>
      <w:r w:rsidRPr="00C269AA">
        <w:rPr>
          <w:rStyle w:val="FootnoteReference"/>
          <w:rFonts w:asciiTheme="majorHAnsi" w:hAnsiTheme="majorHAnsi"/>
          <w:sz w:val="18"/>
        </w:rPr>
        <w:footnoteRef/>
      </w:r>
      <w:r w:rsidRPr="00C269AA">
        <w:rPr>
          <w:rStyle w:val="FootnoteReference"/>
          <w:rFonts w:asciiTheme="majorHAnsi" w:hAnsiTheme="majorHAnsi"/>
          <w:sz w:val="18"/>
        </w:rPr>
        <w:t xml:space="preserve"> </w:t>
      </w:r>
      <w:r w:rsidRPr="00C269AA">
        <w:t xml:space="preserve">ISO New England, </w:t>
      </w:r>
      <w:r w:rsidRPr="00C269AA">
        <w:rPr>
          <w:rStyle w:val="FootnoteReference"/>
          <w:rFonts w:asciiTheme="majorHAnsi" w:hAnsiTheme="majorHAnsi"/>
          <w:i/>
          <w:sz w:val="18"/>
          <w:vertAlign w:val="baseline"/>
        </w:rPr>
        <w:t>Update on Generic Supply-Side Resource Capital Costs</w:t>
      </w:r>
      <w:r w:rsidRPr="00C269AA">
        <w:rPr>
          <w:rStyle w:val="FootnoteReference"/>
          <w:rFonts w:asciiTheme="majorHAnsi" w:hAnsiTheme="majorHAnsi"/>
          <w:sz w:val="18"/>
          <w:vertAlign w:val="baseline"/>
        </w:rPr>
        <w:t xml:space="preserve">, PAC presentation (April 29, 2014), </w:t>
      </w:r>
      <w:hyperlink r:id="rId309" w:history="1">
        <w:r w:rsidRPr="00C269AA">
          <w:rPr>
            <w:rStyle w:val="Hyperlink"/>
          </w:rPr>
          <w:t>http://www.iso-ne.com/static-assets/documents/committees/comm_wkgrps/prtcpnts_comm/pac/mtrls/2014/apr292014/a8_generic_capital_costs_of_supply_side_resources_rev2.pdf</w:t>
        </w:r>
      </w:hyperlink>
      <w:r w:rsidRPr="00C269AA">
        <w:rPr>
          <w:rStyle w:val="FootnoteReference"/>
          <w:rFonts w:asciiTheme="majorHAnsi" w:hAnsiTheme="majorHAnsi"/>
          <w:sz w:val="18"/>
          <w:vertAlign w:val="baseline"/>
        </w:rPr>
        <w:t>.</w:t>
      </w:r>
    </w:p>
  </w:footnote>
  <w:footnote w:id="334">
    <w:p w:rsidR="001E3655" w:rsidRPr="00372FDE" w:rsidRDefault="001E3655" w:rsidP="00C269AA">
      <w:pPr>
        <w:pStyle w:val="FootnoteText"/>
        <w:rPr>
          <w:rStyle w:val="FootnoteReference"/>
          <w:rFonts w:asciiTheme="majorHAnsi" w:hAnsiTheme="majorHAnsi"/>
          <w:sz w:val="18"/>
        </w:rPr>
      </w:pPr>
      <w:r w:rsidRPr="003260B6">
        <w:rPr>
          <w:rStyle w:val="FootnoteReference"/>
          <w:rFonts w:asciiTheme="majorHAnsi" w:hAnsiTheme="majorHAnsi"/>
          <w:sz w:val="18"/>
        </w:rPr>
        <w:footnoteRef/>
      </w:r>
      <w:r w:rsidRPr="003260B6">
        <w:rPr>
          <w:rStyle w:val="FootnoteReference"/>
          <w:rFonts w:asciiTheme="majorHAnsi" w:hAnsiTheme="majorHAnsi"/>
          <w:sz w:val="18"/>
        </w:rPr>
        <w:t xml:space="preserve"> </w:t>
      </w:r>
      <w:r w:rsidRPr="003260B6">
        <w:rPr>
          <w:rStyle w:val="FootnoteReference"/>
          <w:rFonts w:asciiTheme="majorHAnsi" w:hAnsiTheme="majorHAnsi"/>
          <w:sz w:val="18"/>
          <w:vertAlign w:val="baseline"/>
        </w:rPr>
        <w:t xml:space="preserve">US EIA, "Updated Capital Cost Estimates for Utility Scale Electricity Generating Plants," </w:t>
      </w:r>
      <w:r w:rsidRPr="00372FDE">
        <w:t>(</w:t>
      </w:r>
      <w:r w:rsidRPr="003260B6">
        <w:rPr>
          <w:rStyle w:val="FootnoteReference"/>
          <w:rFonts w:asciiTheme="majorHAnsi" w:hAnsiTheme="majorHAnsi"/>
          <w:sz w:val="18"/>
          <w:vertAlign w:val="baseline"/>
        </w:rPr>
        <w:t>DOE, 2013</w:t>
      </w:r>
      <w:r w:rsidRPr="00372FDE">
        <w:t xml:space="preserve">), </w:t>
      </w:r>
      <w:hyperlink r:id="rId310" w:history="1">
        <w:r w:rsidRPr="003260B6">
          <w:rPr>
            <w:rStyle w:val="FootnoteReference"/>
            <w:rFonts w:asciiTheme="majorHAnsi" w:hAnsiTheme="majorHAnsi"/>
            <w:sz w:val="18"/>
            <w:vertAlign w:val="baseline"/>
          </w:rPr>
          <w:t>http://www.eia.gov/forecasts/capitalcost/pdf/updated_capcost.pdf</w:t>
        </w:r>
      </w:hyperlink>
      <w:r w:rsidRPr="00372FDE">
        <w:t xml:space="preserve">, </w:t>
      </w:r>
      <w:r w:rsidRPr="003260B6">
        <w:rPr>
          <w:rStyle w:val="FootnoteReference"/>
          <w:rFonts w:asciiTheme="majorHAnsi" w:hAnsiTheme="majorHAnsi"/>
          <w:sz w:val="18"/>
          <w:vertAlign w:val="baseline"/>
        </w:rPr>
        <w:t>and EPRI</w:t>
      </w:r>
      <w:r w:rsidRPr="003260B6">
        <w:rPr>
          <w:rStyle w:val="FootnoteReference"/>
          <w:rFonts w:asciiTheme="majorHAnsi" w:hAnsiTheme="majorHAnsi"/>
          <w:i/>
          <w:sz w:val="18"/>
          <w:vertAlign w:val="baseline"/>
        </w:rPr>
        <w:t>, Program on Technology Innovation: Integrated Generation Technology Options 2012</w:t>
      </w:r>
      <w:r w:rsidRPr="003260B6">
        <w:rPr>
          <w:rStyle w:val="FootnoteReference"/>
          <w:rFonts w:asciiTheme="majorHAnsi" w:hAnsiTheme="majorHAnsi"/>
          <w:sz w:val="18"/>
          <w:vertAlign w:val="baseline"/>
        </w:rPr>
        <w:t xml:space="preserve">, </w:t>
      </w:r>
      <w:r>
        <w:t>(</w:t>
      </w:r>
      <w:r w:rsidRPr="003260B6">
        <w:rPr>
          <w:rStyle w:val="FootnoteReference"/>
          <w:rFonts w:asciiTheme="majorHAnsi" w:hAnsiTheme="majorHAnsi"/>
          <w:sz w:val="18"/>
          <w:vertAlign w:val="baseline"/>
        </w:rPr>
        <w:t xml:space="preserve"> 2013</w:t>
      </w:r>
      <w:r>
        <w:rPr>
          <w:rStyle w:val="FootnoteReference"/>
          <w:rFonts w:asciiTheme="majorHAnsi" w:hAnsiTheme="majorHAnsi"/>
          <w:sz w:val="18"/>
          <w:vertAlign w:val="baseline"/>
        </w:rPr>
        <w:t>),</w:t>
      </w:r>
      <w:r w:rsidRPr="003260B6">
        <w:rPr>
          <w:rStyle w:val="FootnoteReference"/>
          <w:rFonts w:asciiTheme="majorHAnsi" w:hAnsiTheme="majorHAnsi"/>
          <w:sz w:val="18"/>
          <w:vertAlign w:val="baseline"/>
        </w:rPr>
        <w:t xml:space="preserve"> </w:t>
      </w:r>
      <w:hyperlink r:id="rId311" w:history="1">
        <w:r w:rsidRPr="00890522">
          <w:rPr>
            <w:rStyle w:val="FootnoteReference"/>
            <w:rFonts w:asciiTheme="majorHAnsi" w:hAnsiTheme="majorHAnsi"/>
            <w:sz w:val="18"/>
            <w:vertAlign w:val="baseline"/>
          </w:rPr>
          <w:t>http://www.epri.com/abstracts/Pages/ProductAbstract.aspx?productId=000000000001026656</w:t>
        </w:r>
      </w:hyperlink>
      <w:r w:rsidRPr="00890522">
        <w:t xml:space="preserve">. </w:t>
      </w:r>
      <w:r>
        <w:t>The Brattle Group’s, “Stakeholder Demand Curves: Performance Summary Table (Net CONE - $11.08)” (March 11, 2014) shows the c</w:t>
      </w:r>
      <w:r w:rsidRPr="00890522">
        <w:t>apital cost assumptions developed for the ISO</w:t>
      </w:r>
      <w:r>
        <w:t xml:space="preserve">. See </w:t>
      </w:r>
      <w:hyperlink r:id="rId312" w:history="1">
        <w:r w:rsidRPr="000072CC">
          <w:rPr>
            <w:rStyle w:val="Hyperlink"/>
          </w:rPr>
          <w:t>http://www.iso-ne.com/static-assets/documents/committees/comm_wkgrps/mrkts_comm/mrkts/mtrls/2014/mar12132014/a02a_the_brattle_group_stakeholder_demand_curves_performance_summary_03_11_14.pptx</w:t>
        </w:r>
      </w:hyperlink>
      <w:r>
        <w:t>.</w:t>
      </w:r>
      <w:r w:rsidRPr="00890522">
        <w:t xml:space="preserve"> </w:t>
      </w:r>
    </w:p>
  </w:footnote>
  <w:footnote w:id="335">
    <w:p w:rsidR="001E3655" w:rsidRPr="00372FDE" w:rsidRDefault="001E3655" w:rsidP="00C269AA">
      <w:pPr>
        <w:pStyle w:val="FootnoteText"/>
      </w:pPr>
      <w:r w:rsidRPr="00420EC8">
        <w:rPr>
          <w:rStyle w:val="FootnoteReference"/>
          <w:rFonts w:asciiTheme="majorHAnsi" w:hAnsiTheme="majorHAnsi"/>
          <w:sz w:val="18"/>
        </w:rPr>
        <w:footnoteRef/>
      </w:r>
      <w:r w:rsidRPr="00420EC8">
        <w:t xml:space="preserve"> </w:t>
      </w:r>
      <w:proofErr w:type="gramStart"/>
      <w:r w:rsidRPr="00420EC8">
        <w:t>RSP13</w:t>
      </w:r>
      <w:r>
        <w:t>, Section 6.9</w:t>
      </w:r>
      <w:r w:rsidRPr="00420EC8">
        <w:t xml:space="preserve"> (November 8, </w:t>
      </w:r>
      <w:r>
        <w:t>2</w:t>
      </w:r>
      <w:r w:rsidRPr="00420EC8">
        <w:t xml:space="preserve">013), </w:t>
      </w:r>
      <w:hyperlink r:id="rId313" w:history="1">
        <w:r w:rsidRPr="00420EC8">
          <w:rPr>
            <w:rStyle w:val="Hyperlink"/>
          </w:rPr>
          <w:t>http://www.iso-ne.com/trans/rsp/index.html</w:t>
        </w:r>
      </w:hyperlink>
      <w:r>
        <w:t>.</w:t>
      </w:r>
      <w:proofErr w:type="gramEnd"/>
      <w:r>
        <w:t xml:space="preserve"> </w:t>
      </w:r>
    </w:p>
  </w:footnote>
  <w:footnote w:id="336">
    <w:p w:rsidR="001E3655" w:rsidRPr="00372FDE" w:rsidRDefault="001E3655" w:rsidP="00C269AA">
      <w:pPr>
        <w:pStyle w:val="FootnoteText"/>
      </w:pPr>
      <w:r w:rsidRPr="003260B6">
        <w:rPr>
          <w:rStyle w:val="FootnoteReference"/>
          <w:rFonts w:asciiTheme="majorHAnsi" w:hAnsiTheme="majorHAnsi"/>
          <w:sz w:val="18"/>
        </w:rPr>
        <w:footnoteRef/>
      </w:r>
      <w:r>
        <w:t xml:space="preserve"> </w:t>
      </w:r>
      <w:r w:rsidRPr="00372FDE">
        <w:t xml:space="preserve">A repowered generator may require transmission system improvements to qualify for the FCM, as identified by an FCA </w:t>
      </w:r>
      <w:r w:rsidRPr="00372FDE">
        <w:rPr>
          <w:i/>
        </w:rPr>
        <w:t>overlapping interconnection impact analysis</w:t>
      </w:r>
      <w:r w:rsidRPr="00372FDE">
        <w:t>, which the ISO conducts for each new supply-side resource to assess whether the resource can provide useful capacity and electric energy without negatively affecting the ability of other capacity resources to provide these services also.</w:t>
      </w:r>
    </w:p>
  </w:footnote>
  <w:footnote w:id="337">
    <w:p w:rsidR="001E3655" w:rsidRDefault="001E3655">
      <w:pPr>
        <w:pStyle w:val="FoonoteText"/>
      </w:pPr>
      <w:r w:rsidRPr="00372FDE">
        <w:rPr>
          <w:rStyle w:val="FootnoteReference"/>
          <w:rFonts w:asciiTheme="majorHAnsi" w:eastAsiaTheme="majorEastAsia" w:hAnsiTheme="majorHAnsi"/>
          <w:sz w:val="18"/>
        </w:rPr>
        <w:footnoteRef/>
      </w:r>
      <w:r w:rsidRPr="00372FDE">
        <w:t xml:space="preserve"> </w:t>
      </w:r>
      <w:proofErr w:type="spellStart"/>
      <w:proofErr w:type="gramStart"/>
      <w:r w:rsidRPr="00372FDE">
        <w:rPr>
          <w:i/>
        </w:rPr>
        <w:t>Nontransmission</w:t>
      </w:r>
      <w:proofErr w:type="spellEnd"/>
      <w:r w:rsidRPr="00372FDE">
        <w:rPr>
          <w:i/>
        </w:rPr>
        <w:t xml:space="preserve"> Alternatives Analysis: Results of the NH/VT Pilot Study</w:t>
      </w:r>
      <w:r w:rsidRPr="00372FDE">
        <w:t xml:space="preserve">, PAC presentation (May 26, 2011), </w:t>
      </w:r>
      <w:hyperlink r:id="rId314" w:history="1">
        <w:r w:rsidRPr="00372FDE">
          <w:rPr>
            <w:rStyle w:val="Hyperlink"/>
            <w:rFonts w:eastAsiaTheme="majorEastAsia"/>
          </w:rPr>
          <w:t>https://smd.iso-ne.com/committees/comm_wkgrps/prtcpnts_comm/pac/ceii/mtrls/2011/may262011/nta_analysis.pdf</w:t>
        </w:r>
      </w:hyperlink>
      <w:r w:rsidRPr="00372FDE">
        <w:t>.</w:t>
      </w:r>
      <w:proofErr w:type="gramEnd"/>
      <w:r w:rsidRPr="00372FDE">
        <w:t xml:space="preserve"> </w:t>
      </w:r>
    </w:p>
    <w:p w:rsidR="001E3655" w:rsidRDefault="001E3655">
      <w:pPr>
        <w:pStyle w:val="FoonoteText"/>
      </w:pPr>
      <w:proofErr w:type="gramStart"/>
      <w:r w:rsidRPr="00372FDE">
        <w:rPr>
          <w:i/>
        </w:rPr>
        <w:t>Market Resource Alternative Analysis—Final Supply-Side Results Greater Hartford and Central Connecticut</w:t>
      </w:r>
      <w:r>
        <w:t>, PAC presentation</w:t>
      </w:r>
      <w:r w:rsidRPr="00372FDE">
        <w:t xml:space="preserve"> (December 13, 2012), </w:t>
      </w:r>
      <w:hyperlink r:id="rId315" w:history="1">
        <w:r w:rsidRPr="00453FF0">
          <w:rPr>
            <w:rStyle w:val="Hyperlink"/>
          </w:rPr>
          <w:t>https://smd.iso-ne.com/committees/comm_wkgrps/prtcpnts_comm/pac/ceii/mtrls/2012/dec132012/ghcc_mra.pdf</w:t>
        </w:r>
      </w:hyperlink>
      <w:r w:rsidRPr="00372FDE">
        <w:t xml:space="preserve">, and </w:t>
      </w:r>
      <w:r w:rsidRPr="00372FDE">
        <w:rPr>
          <w:i/>
        </w:rPr>
        <w:t>Market Resource Alternative Analysis—Demand-Side Results Greater Hartford and Central Connecticut</w:t>
      </w:r>
      <w:r w:rsidRPr="00372FDE">
        <w:t>, revised</w:t>
      </w:r>
      <w:r>
        <w:t>, PAC presentation</w:t>
      </w:r>
      <w:r w:rsidRPr="00372FDE">
        <w:t xml:space="preserve"> (November 14, 2012), </w:t>
      </w:r>
      <w:hyperlink r:id="rId316" w:history="1">
        <w:r w:rsidRPr="00453FF0">
          <w:rPr>
            <w:rStyle w:val="Hyperlink"/>
          </w:rPr>
          <w:t>https://smd.iso-ne.com/committees/comm_wkgrps/prtcpnts_comm/pac/ceii/mtrls/2012/nov142012/ghcc_mra_november.pdf</w:t>
        </w:r>
      </w:hyperlink>
      <w:r w:rsidRPr="00453FF0">
        <w:t>.</w:t>
      </w:r>
      <w:proofErr w:type="gramEnd"/>
    </w:p>
    <w:p w:rsidR="001E3655" w:rsidRDefault="001E3655">
      <w:pPr>
        <w:pStyle w:val="FoonoteText"/>
      </w:pPr>
      <w:r w:rsidRPr="00890522">
        <w:rPr>
          <w:i/>
        </w:rPr>
        <w:t>Market Resource Alternative Analysis—Southeast Massachusetts/Rhode Island</w:t>
      </w:r>
      <w:r>
        <w:t>, PAC presentation</w:t>
      </w:r>
      <w:r w:rsidRPr="00372FDE">
        <w:t xml:space="preserve"> (April 2</w:t>
      </w:r>
      <w:r>
        <w:t>9</w:t>
      </w:r>
      <w:r w:rsidRPr="00372FDE">
        <w:t xml:space="preserve">, 2014), </w:t>
      </w:r>
      <w:hyperlink r:id="rId317" w:history="1">
        <w:r w:rsidRPr="00890522">
          <w:rPr>
            <w:rStyle w:val="Hyperlink"/>
          </w:rPr>
          <w:t>https://smd.iso-ne.com/committees/comm_wkgrps/prtcpnts_comm/pac/ceii/mtrls/2014/apr292014/a6_sema_ri_market_resource_alternatives.pdf</w:t>
        </w:r>
      </w:hyperlink>
      <w:r>
        <w:t>.</w:t>
      </w:r>
    </w:p>
  </w:footnote>
  <w:footnote w:id="338">
    <w:p w:rsidR="001E3655" w:rsidRDefault="001E3655">
      <w:pPr>
        <w:pStyle w:val="FoonoteText"/>
      </w:pPr>
      <w:r w:rsidRPr="00372FDE">
        <w:rPr>
          <w:rStyle w:val="FootnoteReference"/>
          <w:rFonts w:asciiTheme="majorHAnsi" w:hAnsiTheme="majorHAnsi"/>
          <w:sz w:val="18"/>
        </w:rPr>
        <w:footnoteRef/>
      </w:r>
      <w:r w:rsidRPr="00372FDE">
        <w:t xml:space="preserve"> More information about NERC is available at </w:t>
      </w:r>
      <w:hyperlink r:id="rId318" w:history="1">
        <w:r w:rsidRPr="00372FDE">
          <w:rPr>
            <w:rStyle w:val="Hyperlink"/>
          </w:rPr>
          <w:t>http://www.nerc.com/</w:t>
        </w:r>
      </w:hyperlink>
      <w:r w:rsidRPr="00372FDE">
        <w:t>.</w:t>
      </w:r>
    </w:p>
  </w:footnote>
  <w:footnote w:id="339">
    <w:p w:rsidR="001E3655" w:rsidRDefault="001E3655">
      <w:pPr>
        <w:pStyle w:val="FootnoteText"/>
      </w:pPr>
      <w:r w:rsidRPr="00372FDE">
        <w:rPr>
          <w:rStyle w:val="FootnoteReference"/>
          <w:rFonts w:asciiTheme="majorHAnsi" w:hAnsiTheme="majorHAnsi"/>
          <w:sz w:val="18"/>
        </w:rPr>
        <w:footnoteRef/>
      </w:r>
      <w:r w:rsidRPr="00372FDE">
        <w:t xml:space="preserve"> Additional information on the EIPC is available at </w:t>
      </w:r>
      <w:hyperlink r:id="rId319" w:history="1">
        <w:r w:rsidRPr="00372FDE">
          <w:rPr>
            <w:rStyle w:val="Hyperlink"/>
          </w:rPr>
          <w:t>http://www.eipconline.com/</w:t>
        </w:r>
      </w:hyperlink>
      <w:r w:rsidRPr="00372FDE">
        <w:t>.</w:t>
      </w:r>
    </w:p>
  </w:footnote>
  <w:footnote w:id="340">
    <w:p w:rsidR="001E3655" w:rsidRDefault="001E3655">
      <w:pPr>
        <w:pStyle w:val="FootnoteText"/>
      </w:pPr>
      <w:r w:rsidRPr="003260B6">
        <w:rPr>
          <w:rStyle w:val="FootnoteReference"/>
          <w:rFonts w:asciiTheme="majorHAnsi" w:hAnsiTheme="majorHAnsi"/>
          <w:sz w:val="18"/>
        </w:rPr>
        <w:footnoteRef/>
      </w:r>
      <w:r w:rsidRPr="00372FDE">
        <w:t xml:space="preserve"> EIPC, </w:t>
      </w:r>
      <w:hyperlink r:id="rId320" w:history="1">
        <w:r w:rsidRPr="00372FDE">
          <w:rPr>
            <w:rStyle w:val="Hyperlink"/>
            <w:i/>
          </w:rPr>
          <w:t>Steady State Modeling and Load Flow Working Group Report for 2018 and 2023 Roll-Up Integration Cases, Final Report</w:t>
        </w:r>
      </w:hyperlink>
      <w:r w:rsidRPr="00372FDE">
        <w:t xml:space="preserve"> (February 14, 2014), </w:t>
      </w:r>
      <w:hyperlink r:id="rId321" w:history="1">
        <w:r w:rsidRPr="00127CF8">
          <w:rPr>
            <w:rStyle w:val="Hyperlink"/>
          </w:rPr>
          <w:t>http://www.eipconline.com/uploads/FINAL_EIPC_Roll-up_Report_Feb14-2014.pdf</w:t>
        </w:r>
      </w:hyperlink>
      <w:r w:rsidRPr="00372FDE">
        <w:t>.</w:t>
      </w:r>
    </w:p>
  </w:footnote>
  <w:footnote w:id="341">
    <w:p w:rsidR="001E3655" w:rsidRDefault="001E3655">
      <w:pPr>
        <w:pStyle w:val="FootnoteText"/>
      </w:pPr>
      <w:r>
        <w:rPr>
          <w:rStyle w:val="FootnoteReference"/>
        </w:rPr>
        <w:footnoteRef/>
      </w:r>
      <w:r>
        <w:t xml:space="preserve"> </w:t>
      </w:r>
      <w:r w:rsidRPr="00D6485D">
        <w:t>S</w:t>
      </w:r>
      <w:r>
        <w:t xml:space="preserve">cenario information is available at the EIPCC webpage, “Non-DOE Documents:” </w:t>
      </w:r>
      <w:hyperlink r:id="rId322" w:history="1">
        <w:r w:rsidRPr="00D6485D">
          <w:rPr>
            <w:rStyle w:val="Hyperlink"/>
          </w:rPr>
          <w:t>http://www.eipconline.com/Non-DOE_Documents.html</w:t>
        </w:r>
      </w:hyperlink>
      <w:r>
        <w:t xml:space="preserve">. Information on stakeholder activities is available at </w:t>
      </w:r>
      <w:hyperlink r:id="rId323" w:history="1">
        <w:r w:rsidRPr="00D6485D">
          <w:rPr>
            <w:rStyle w:val="Hyperlink"/>
          </w:rPr>
          <w:t>http://www.eipconline.com/Stakeholder_Activities.html</w:t>
        </w:r>
      </w:hyperlink>
      <w:r>
        <w:t>.</w:t>
      </w:r>
    </w:p>
  </w:footnote>
  <w:footnote w:id="342">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See NERC’s “Reliability Assessment and Performance Analysis,” webpage (2013), </w:t>
      </w:r>
      <w:hyperlink r:id="rId324" w:history="1">
        <w:r w:rsidRPr="00372FDE">
          <w:rPr>
            <w:rStyle w:val="Hyperlink"/>
          </w:rPr>
          <w:t>http://www.nerc.com/pa/RAPA/Pages/default.aspx</w:t>
        </w:r>
      </w:hyperlink>
      <w:r w:rsidRPr="00372FDE">
        <w:t>.</w:t>
      </w:r>
      <w:proofErr w:type="gramEnd"/>
    </w:p>
  </w:footnote>
  <w:footnote w:id="343">
    <w:p w:rsidR="001E3655" w:rsidRDefault="001E3655">
      <w:pPr>
        <w:pStyle w:val="FootnoteText"/>
      </w:pPr>
      <w:r>
        <w:rPr>
          <w:rStyle w:val="FootnoteReference"/>
        </w:rPr>
        <w:footnoteRef/>
      </w:r>
      <w:r>
        <w:t xml:space="preserve"> </w:t>
      </w:r>
      <w:proofErr w:type="gramStart"/>
      <w:r>
        <w:t xml:space="preserve">NERC, 2013 Long-Term Reliability Assessment (December 2013), </w:t>
      </w:r>
      <w:hyperlink r:id="rId325" w:history="1">
        <w:r w:rsidRPr="00146468">
          <w:rPr>
            <w:rStyle w:val="Hyperlink"/>
          </w:rPr>
          <w:t>http://www.nerc.com/pa/RAPA/ra/Reliability%20Assessments%20DL/2013_LTRA_FINAL.pdf</w:t>
        </w:r>
      </w:hyperlink>
      <w:r>
        <w:t>.</w:t>
      </w:r>
      <w:proofErr w:type="gramEnd"/>
    </w:p>
  </w:footnote>
  <w:footnote w:id="344">
    <w:p w:rsidR="001E3655" w:rsidRDefault="001E3655">
      <w:pPr>
        <w:pStyle w:val="FootnoteText"/>
      </w:pPr>
      <w:r w:rsidRPr="003D6FD0">
        <w:rPr>
          <w:rStyle w:val="FootnoteReference"/>
        </w:rPr>
        <w:footnoteRef/>
      </w:r>
      <w:r w:rsidRPr="003D6FD0">
        <w:t xml:space="preserve"> </w:t>
      </w:r>
      <w:proofErr w:type="spellStart"/>
      <w:r w:rsidRPr="003D6FD0">
        <w:t>ReliabilityFirst</w:t>
      </w:r>
      <w:proofErr w:type="spellEnd"/>
      <w:r w:rsidRPr="003D6FD0">
        <w:t xml:space="preserve"> Corporation preserves and enhances </w:t>
      </w:r>
      <w:r>
        <w:t xml:space="preserve">the reliability of the </w:t>
      </w:r>
      <w:r w:rsidRPr="003D6FD0">
        <w:t xml:space="preserve">bulk power system across 13 states and the District of Columbia by setting and enforcing electric reliability standards. Additional information about RFC is available at </w:t>
      </w:r>
      <w:hyperlink r:id="rId326" w:history="1">
        <w:r w:rsidRPr="003D6FD0">
          <w:rPr>
            <w:rStyle w:val="Hyperlink"/>
          </w:rPr>
          <w:t>https://www.rfirst.org/Pages/Rfirst.aspx</w:t>
        </w:r>
      </w:hyperlink>
      <w:r w:rsidRPr="003D6FD0">
        <w:t>.</w:t>
      </w:r>
    </w:p>
  </w:footnote>
  <w:footnote w:id="345">
    <w:p w:rsidR="001E3655" w:rsidRPr="00372FDE" w:rsidRDefault="001E3655" w:rsidP="0027461F">
      <w:pPr>
        <w:spacing w:after="80" w:line="240" w:lineRule="auto"/>
        <w:rPr>
          <w:rFonts w:asciiTheme="majorHAnsi" w:hAnsiTheme="majorHAnsi"/>
          <w:sz w:val="18"/>
          <w:szCs w:val="18"/>
        </w:rPr>
      </w:pPr>
      <w:r w:rsidRPr="003D6FD0">
        <w:rPr>
          <w:rStyle w:val="FootnoteReference"/>
          <w:rFonts w:asciiTheme="majorHAnsi" w:hAnsiTheme="majorHAnsi"/>
          <w:sz w:val="18"/>
          <w:szCs w:val="18"/>
        </w:rPr>
        <w:footnoteRef/>
      </w:r>
      <w:r w:rsidRPr="003D6FD0">
        <w:rPr>
          <w:rFonts w:asciiTheme="majorHAnsi" w:hAnsiTheme="majorHAnsi"/>
          <w:sz w:val="18"/>
          <w:szCs w:val="18"/>
        </w:rPr>
        <w:t xml:space="preserve"> </w:t>
      </w:r>
      <w:proofErr w:type="gramStart"/>
      <w:r w:rsidRPr="003D6FD0">
        <w:rPr>
          <w:rFonts w:asciiTheme="majorHAnsi" w:hAnsiTheme="majorHAnsi"/>
          <w:sz w:val="18"/>
          <w:szCs w:val="18"/>
        </w:rPr>
        <w:t xml:space="preserve">IRC, “Reports and Filings,” webpage (2014), </w:t>
      </w:r>
      <w:hyperlink r:id="rId327" w:history="1">
        <w:r w:rsidRPr="003D6FD0">
          <w:rPr>
            <w:rStyle w:val="Hyperlink"/>
            <w:rFonts w:asciiTheme="majorHAnsi" w:hAnsiTheme="majorHAnsi"/>
            <w:sz w:val="18"/>
            <w:szCs w:val="18"/>
          </w:rPr>
          <w:t>http://www.isorto.org/Reports/default</w:t>
        </w:r>
      </w:hyperlink>
      <w:r w:rsidRPr="003D6FD0">
        <w:rPr>
          <w:rFonts w:asciiTheme="majorHAnsi" w:hAnsiTheme="majorHAnsi"/>
          <w:sz w:val="18"/>
          <w:szCs w:val="18"/>
        </w:rPr>
        <w:t>.</w:t>
      </w:r>
      <w:proofErr w:type="gramEnd"/>
    </w:p>
  </w:footnote>
  <w:footnote w:id="346">
    <w:p w:rsidR="001E3655" w:rsidRDefault="001E3655">
      <w:pPr>
        <w:pStyle w:val="FootnoteText"/>
      </w:pPr>
      <w:r w:rsidRPr="00372FDE">
        <w:rPr>
          <w:rStyle w:val="FootnoteReference"/>
          <w:rFonts w:asciiTheme="majorHAnsi" w:hAnsiTheme="majorHAnsi"/>
          <w:sz w:val="18"/>
        </w:rPr>
        <w:footnoteRef/>
      </w:r>
      <w:r w:rsidRPr="00372FDE">
        <w:t xml:space="preserve"> The NPCC region covers nearly 1.2 million square miles populated by more than 55 million people. NPCC in the United States includes the six New England states and the state of New York. NPCC Canada includes the provinces of Ontario, Québec, and the Maritime provinces of New Brunswick and Nova Scotia. </w:t>
      </w:r>
      <w:proofErr w:type="gramStart"/>
      <w:r w:rsidRPr="00372FDE">
        <w:t>As full members,</w:t>
      </w:r>
      <w:proofErr w:type="gramEnd"/>
      <w:r w:rsidRPr="00372FDE">
        <w:t xml:space="preserve"> </w:t>
      </w:r>
      <w:proofErr w:type="gramStart"/>
      <w:r w:rsidRPr="00372FDE">
        <w:t>New Brunswick and Nova Scotia</w:t>
      </w:r>
      <w:proofErr w:type="gramEnd"/>
      <w:r w:rsidRPr="00372FDE">
        <w:t xml:space="preserve"> also ensure that NPCC reliability issues are addressed for Prince Edward Island.</w:t>
      </w:r>
    </w:p>
  </w:footnote>
  <w:footnote w:id="347">
    <w:p w:rsidR="001E3655" w:rsidRDefault="001E3655">
      <w:pPr>
        <w:pStyle w:val="FoonoteText"/>
      </w:pPr>
      <w:r w:rsidRPr="00943203">
        <w:rPr>
          <w:rStyle w:val="FootnoteReference"/>
          <w:rFonts w:asciiTheme="majorHAnsi" w:hAnsiTheme="majorHAnsi"/>
          <w:sz w:val="18"/>
        </w:rPr>
        <w:footnoteRef/>
      </w:r>
      <w:r w:rsidRPr="00943203">
        <w:t xml:space="preserve"> </w:t>
      </w:r>
      <w:proofErr w:type="gramStart"/>
      <w:r>
        <w:t>Northeastern ISO/RTO Planning Coordination P</w:t>
      </w:r>
      <w:r w:rsidRPr="00943203">
        <w:t xml:space="preserve">rotocol </w:t>
      </w:r>
      <w:r>
        <w:t xml:space="preserve">(2004), </w:t>
      </w:r>
      <w:hyperlink r:id="rId328" w:history="1">
        <w:r w:rsidRPr="00604F07">
          <w:rPr>
            <w:rStyle w:val="Hyperlink"/>
          </w:rPr>
          <w:t>http://www.iso-ne.com/static-assets/documents/committees/comm_wkgrps/othr/ipsac/rto_plan_prot/planning_protocol.pdf</w:t>
        </w:r>
      </w:hyperlink>
      <w:r>
        <w:t>.</w:t>
      </w:r>
      <w:proofErr w:type="gramEnd"/>
    </w:p>
  </w:footnote>
  <w:footnote w:id="348">
    <w:p w:rsidR="001E3655" w:rsidRDefault="001E3655">
      <w:pPr>
        <w:pStyle w:val="FoonoteText"/>
      </w:pPr>
      <w:r w:rsidRPr="00372FDE">
        <w:rPr>
          <w:rStyle w:val="FootnoteReference"/>
          <w:rFonts w:asciiTheme="majorHAnsi" w:hAnsiTheme="majorHAnsi"/>
          <w:sz w:val="18"/>
        </w:rPr>
        <w:footnoteRef/>
      </w:r>
      <w:r w:rsidRPr="00372FDE">
        <w:t xml:space="preserve"> All IPSAC materials are available at </w:t>
      </w:r>
      <w:hyperlink r:id="rId329" w:history="1">
        <w:r w:rsidRPr="00604F07">
          <w:rPr>
            <w:rStyle w:val="Hyperlink"/>
          </w:rPr>
          <w:t>http://www.iso-ne.com/committees/planning/ipsac</w:t>
        </w:r>
      </w:hyperlink>
      <w:r w:rsidRPr="00372FDE">
        <w:t>.</w:t>
      </w:r>
    </w:p>
  </w:footnote>
  <w:footnote w:id="349">
    <w:p w:rsidR="001E3655" w:rsidRDefault="001E3655">
      <w:pPr>
        <w:pStyle w:val="FoonoteText"/>
      </w:pPr>
      <w:r w:rsidRPr="00372FDE">
        <w:rPr>
          <w:rStyle w:val="FootnoteReference"/>
          <w:rFonts w:asciiTheme="majorHAnsi" w:hAnsiTheme="majorHAnsi"/>
          <w:sz w:val="18"/>
        </w:rPr>
        <w:footnoteRef/>
      </w:r>
      <w:r w:rsidRPr="00372FDE">
        <w:t xml:space="preserve"> ISO New England, New York ISO, and PJM, </w:t>
      </w:r>
      <w:r w:rsidRPr="00372FDE">
        <w:rPr>
          <w:i/>
        </w:rPr>
        <w:t>2013 Northeast Coordinated System Plan</w:t>
      </w:r>
      <w:r>
        <w:rPr>
          <w:i/>
        </w:rPr>
        <w:t xml:space="preserve"> </w:t>
      </w:r>
      <w:r w:rsidRPr="00372FDE">
        <w:t xml:space="preserve">(April 16, 2014), </w:t>
      </w:r>
      <w:hyperlink r:id="rId330" w:history="1">
        <w:r w:rsidRPr="00943203">
          <w:rPr>
            <w:rStyle w:val="Hyperlink"/>
          </w:rPr>
          <w:t>http://www.iso-ne.com/static-assets/documents/committees/comm_wkgrps/othr/ipsac/mtrls/2014/mar282014/2013_ncsp.pdf</w:t>
        </w:r>
      </w:hyperlink>
      <w:r w:rsidRPr="00372FDE">
        <w:t xml:space="preserve">. </w:t>
      </w:r>
    </w:p>
  </w:footnote>
  <w:footnote w:id="350">
    <w:p w:rsidR="001E3655" w:rsidRDefault="001E3655">
      <w:pPr>
        <w:pStyle w:val="FootnoteText"/>
      </w:pPr>
      <w:r w:rsidRPr="003260B6">
        <w:rPr>
          <w:rStyle w:val="FootnoteReference"/>
          <w:rFonts w:asciiTheme="majorHAnsi" w:hAnsiTheme="majorHAnsi"/>
          <w:sz w:val="18"/>
        </w:rPr>
        <w:footnoteRef/>
      </w:r>
      <w:r w:rsidRPr="00372FDE">
        <w:t xml:space="preserve"> Net imports over external ties = [{(18,961 </w:t>
      </w:r>
      <w:proofErr w:type="spellStart"/>
      <w:r w:rsidRPr="00372FDE">
        <w:t>GWh</w:t>
      </w:r>
      <w:proofErr w:type="spellEnd"/>
      <w:r w:rsidRPr="00372FDE">
        <w:t xml:space="preserve">) ÷ (129,377 </w:t>
      </w:r>
      <w:proofErr w:type="spellStart"/>
      <w:r w:rsidRPr="00372FDE">
        <w:t>GWh</w:t>
      </w:r>
      <w:proofErr w:type="spellEnd"/>
      <w:r w:rsidRPr="00372FDE">
        <w:t xml:space="preserve"> net energy for load + 1,624 </w:t>
      </w:r>
      <w:proofErr w:type="spellStart"/>
      <w:r w:rsidRPr="00372FDE">
        <w:t>GWh</w:t>
      </w:r>
      <w:proofErr w:type="spellEnd"/>
      <w:r w:rsidRPr="00372FDE">
        <w:t xml:space="preserve"> pumping load)} × 100] = 14.47%.</w:t>
      </w:r>
    </w:p>
  </w:footnote>
  <w:footnote w:id="351">
    <w:p w:rsidR="001E3655" w:rsidRDefault="001E3655">
      <w:pPr>
        <w:pStyle w:val="FootnoteText"/>
      </w:pPr>
      <w:r w:rsidRPr="00372FDE">
        <w:rPr>
          <w:rStyle w:val="FootnoteReference"/>
          <w:rFonts w:asciiTheme="majorHAnsi" w:hAnsiTheme="majorHAnsi"/>
          <w:sz w:val="18"/>
        </w:rPr>
        <w:footnoteRef/>
      </w:r>
      <w:r w:rsidRPr="00372FDE">
        <w:t xml:space="preserve"> </w:t>
      </w:r>
      <w:r w:rsidRPr="00372FDE">
        <w:rPr>
          <w:i/>
        </w:rPr>
        <w:t>Energy Policy Act of 2005</w:t>
      </w:r>
      <w:r w:rsidRPr="00372FDE">
        <w:t xml:space="preserve">, Pub. L. 109-58, Title XII, Subtitle B, 119 Stat. 594 (2005) (amending the </w:t>
      </w:r>
      <w:r w:rsidRPr="00372FDE">
        <w:rPr>
          <w:i/>
        </w:rPr>
        <w:t>Federal Power Act</w:t>
      </w:r>
      <w:r w:rsidRPr="00372FDE">
        <w:t xml:space="preserve"> to add a new § 216).</w:t>
      </w:r>
    </w:p>
  </w:footnote>
  <w:footnote w:id="352">
    <w:p w:rsidR="001E3655" w:rsidRDefault="001E3655">
      <w:pPr>
        <w:pStyle w:val="FootnoteText"/>
      </w:pPr>
      <w:r w:rsidRPr="00372FDE">
        <w:rPr>
          <w:rStyle w:val="FootnoteReference"/>
          <w:rFonts w:asciiTheme="majorHAnsi" w:hAnsiTheme="majorHAnsi"/>
          <w:sz w:val="18"/>
        </w:rPr>
        <w:footnoteRef/>
      </w:r>
      <w:r w:rsidRPr="00372FDE">
        <w:t xml:space="preserve"> FERC, </w:t>
      </w:r>
      <w:r w:rsidRPr="00372FDE">
        <w:rPr>
          <w:i/>
        </w:rPr>
        <w:t>Transmission Planning and Cost Allocation by Transmission Owning and Operating Public Utilities</w:t>
      </w:r>
      <w:r w:rsidRPr="00372FDE">
        <w:t>, Order</w:t>
      </w:r>
      <w:r>
        <w:t> No. </w:t>
      </w:r>
      <w:r w:rsidRPr="00372FDE">
        <w:t xml:space="preserve">1000, 18 CFR Part 35, 136 FERC ¶ 61,051 (July 21, 2011), </w:t>
      </w:r>
      <w:hyperlink r:id="rId331" w:history="1">
        <w:r w:rsidRPr="00372FDE">
          <w:rPr>
            <w:rStyle w:val="Hyperlink"/>
          </w:rPr>
          <w:t>http://www.ferc.gov/industries/electric/indus-act/trans-plan.asp</w:t>
        </w:r>
      </w:hyperlink>
      <w:r w:rsidRPr="00372FDE">
        <w:t xml:space="preserve"> and </w:t>
      </w:r>
      <w:hyperlink r:id="rId332" w:history="1">
        <w:r w:rsidRPr="00372FDE">
          <w:rPr>
            <w:rStyle w:val="Hyperlink"/>
          </w:rPr>
          <w:t>http://www.ferc.gov/whats-new/comm-meet/2011/072111/E-6.pdf</w:t>
        </w:r>
      </w:hyperlink>
      <w:r w:rsidRPr="00372FDE">
        <w:t xml:space="preserve">. </w:t>
      </w:r>
      <w:proofErr w:type="gramStart"/>
      <w:r w:rsidRPr="00372FDE">
        <w:rPr>
          <w:rStyle w:val="FoonoteTextChar"/>
          <w:i/>
          <w:sz w:val="18"/>
        </w:rPr>
        <w:t>Preventing Undue Discrimination and Preference in Transmission Service</w:t>
      </w:r>
      <w:r w:rsidRPr="00372FDE">
        <w:rPr>
          <w:rStyle w:val="FoonoteTextChar"/>
          <w:sz w:val="18"/>
        </w:rPr>
        <w:t xml:space="preserve">, 18 CFR Parts 35 and 37, Order </w:t>
      </w:r>
      <w:r>
        <w:rPr>
          <w:rStyle w:val="FoonoteTextChar"/>
          <w:sz w:val="18"/>
        </w:rPr>
        <w:t xml:space="preserve">No. </w:t>
      </w:r>
      <w:r w:rsidRPr="00372FDE">
        <w:rPr>
          <w:rStyle w:val="FoonoteTextChar"/>
          <w:sz w:val="18"/>
        </w:rPr>
        <w:t xml:space="preserve">890 (February 16, 2007), </w:t>
      </w:r>
      <w:hyperlink r:id="rId333" w:history="1">
        <w:r w:rsidRPr="00372FDE">
          <w:rPr>
            <w:rStyle w:val="FoonoteTextChar"/>
            <w:sz w:val="18"/>
          </w:rPr>
          <w:t>http://www.ferc.gov/whats-new/comm-meet/2007/021507/E-1.pdf</w:t>
        </w:r>
      </w:hyperlink>
      <w:r w:rsidRPr="00372FDE">
        <w:t>.</w:t>
      </w:r>
      <w:proofErr w:type="gramEnd"/>
    </w:p>
  </w:footnote>
  <w:footnote w:id="353">
    <w:p w:rsidR="001E3655" w:rsidRPr="00372FDE" w:rsidRDefault="001E3655" w:rsidP="00441E32">
      <w:pPr>
        <w:spacing w:after="80" w:line="240" w:lineRule="auto"/>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ISO New England, </w:t>
      </w:r>
      <w:r w:rsidRPr="00372FDE">
        <w:rPr>
          <w:rFonts w:asciiTheme="majorHAnsi" w:hAnsiTheme="majorHAnsi" w:cs="Arial"/>
          <w:i/>
          <w:sz w:val="18"/>
          <w:szCs w:val="18"/>
        </w:rPr>
        <w:t>Order No. 1000 Compliance Filing of ISO New England Inc. and the Participating Transmission Owners Administrative Committee</w:t>
      </w:r>
      <w:r w:rsidRPr="00372FDE">
        <w:rPr>
          <w:rFonts w:asciiTheme="majorHAnsi" w:hAnsiTheme="majorHAnsi" w:cs="Arial"/>
          <w:sz w:val="18"/>
          <w:szCs w:val="18"/>
        </w:rPr>
        <w:t>, Part 1 of 2</w:t>
      </w:r>
      <w:r w:rsidRPr="00372FDE">
        <w:rPr>
          <w:rFonts w:asciiTheme="majorHAnsi" w:hAnsiTheme="majorHAnsi"/>
          <w:sz w:val="18"/>
          <w:szCs w:val="18"/>
        </w:rPr>
        <w:t xml:space="preserve"> (October 25, 2012), </w:t>
      </w:r>
      <w:hyperlink r:id="rId334" w:history="1">
        <w:r w:rsidRPr="00372FDE">
          <w:rPr>
            <w:rStyle w:val="Hyperlink"/>
            <w:rFonts w:asciiTheme="majorHAnsi" w:hAnsiTheme="majorHAnsi"/>
            <w:sz w:val="18"/>
            <w:szCs w:val="18"/>
          </w:rPr>
          <w:t>http://www.iso-ne.com/regulatory/ferc/filings/2012/oct/er13-193-000_10-25-12_order_1000_compliance_part_1.pdf</w:t>
        </w:r>
      </w:hyperlink>
      <w:r w:rsidRPr="00372FDE">
        <w:rPr>
          <w:rFonts w:asciiTheme="majorHAnsi" w:hAnsiTheme="majorHAnsi"/>
          <w:sz w:val="18"/>
          <w:szCs w:val="18"/>
        </w:rPr>
        <w:t>.</w:t>
      </w:r>
      <w:r w:rsidRPr="008F742F">
        <w:rPr>
          <w:rFonts w:asciiTheme="majorHAnsi" w:hAnsiTheme="majorHAnsi"/>
          <w:sz w:val="18"/>
          <w:szCs w:val="18"/>
        </w:rPr>
        <w:t xml:space="preserve"> Also, </w:t>
      </w:r>
      <w:r w:rsidRPr="00372FDE">
        <w:rPr>
          <w:rFonts w:asciiTheme="majorHAnsi" w:hAnsiTheme="majorHAnsi"/>
          <w:i/>
          <w:sz w:val="18"/>
          <w:szCs w:val="18"/>
        </w:rPr>
        <w:t>Order</w:t>
      </w:r>
      <w:r>
        <w:rPr>
          <w:rFonts w:asciiTheme="majorHAnsi" w:hAnsiTheme="majorHAnsi"/>
          <w:i/>
          <w:sz w:val="18"/>
          <w:szCs w:val="18"/>
        </w:rPr>
        <w:t> </w:t>
      </w:r>
      <w:r w:rsidRPr="00372FDE">
        <w:rPr>
          <w:rFonts w:asciiTheme="majorHAnsi" w:hAnsiTheme="majorHAnsi"/>
          <w:i/>
          <w:sz w:val="18"/>
          <w:szCs w:val="18"/>
        </w:rPr>
        <w:t xml:space="preserve">No. 1000 Interregional Compliance Filing of ISO New England Inc. and the Participating Transmission Owners Administrative Committee, Supported by the New England Power Pool Participants Committee </w:t>
      </w:r>
      <w:r w:rsidRPr="00372FDE">
        <w:rPr>
          <w:rFonts w:asciiTheme="majorHAnsi" w:hAnsiTheme="majorHAnsi"/>
          <w:sz w:val="18"/>
          <w:szCs w:val="18"/>
        </w:rPr>
        <w:t xml:space="preserve">(July 10, 2013). </w:t>
      </w:r>
      <w:hyperlink r:id="rId335" w:history="1">
        <w:r w:rsidRPr="00820C1F">
          <w:rPr>
            <w:rStyle w:val="Hyperlink"/>
            <w:sz w:val="18"/>
            <w:szCs w:val="18"/>
          </w:rPr>
          <w:t>http://www.iso-ne.com/static-assets/documents/regulatory/ferc/filings/2013/jul/er13_1960_000_7_10_2013_order_1000.pdf</w:t>
        </w:r>
      </w:hyperlink>
      <w:r w:rsidRPr="00820C1F">
        <w:rPr>
          <w:rFonts w:asciiTheme="majorHAnsi" w:hAnsiTheme="majorHAnsi"/>
          <w:sz w:val="18"/>
          <w:szCs w:val="18"/>
        </w:rPr>
        <w:t>.</w:t>
      </w:r>
    </w:p>
  </w:footnote>
  <w:footnote w:id="354">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FERC, </w:t>
      </w:r>
      <w:r w:rsidRPr="00372FDE">
        <w:rPr>
          <w:i/>
        </w:rPr>
        <w:t>Order on Compliance Filings</w:t>
      </w:r>
      <w:r w:rsidRPr="00372FDE">
        <w:t xml:space="preserve"> (May 17, 2013), </w:t>
      </w:r>
      <w:hyperlink r:id="rId336" w:history="1">
        <w:r w:rsidRPr="00372FDE">
          <w:rPr>
            <w:rStyle w:val="Hyperlink"/>
          </w:rPr>
          <w:t>http://www.iso-ne.com/regulatory/ferc/orders/2013/may/er13-193_er13-196_5-17_13_order_on_order_1000_compliance_filings.pdf</w:t>
        </w:r>
      </w:hyperlink>
      <w:r w:rsidRPr="00372FDE">
        <w:t>.</w:t>
      </w:r>
      <w:proofErr w:type="gramEnd"/>
    </w:p>
  </w:footnote>
  <w:footnote w:id="355">
    <w:p w:rsidR="001E3655" w:rsidRDefault="001E3655">
      <w:pPr>
        <w:pStyle w:val="FootnoteText"/>
      </w:pPr>
      <w:r w:rsidRPr="003260B6">
        <w:rPr>
          <w:rStyle w:val="FootnoteReference"/>
          <w:rFonts w:asciiTheme="majorHAnsi" w:hAnsiTheme="majorHAnsi"/>
          <w:sz w:val="18"/>
        </w:rPr>
        <w:footnoteRef/>
      </w:r>
      <w:r w:rsidRPr="00372FDE">
        <w:t xml:space="preserve"> ISO New England, </w:t>
      </w:r>
      <w:r w:rsidRPr="00372FDE">
        <w:rPr>
          <w:i/>
          <w:iCs/>
        </w:rPr>
        <w:t xml:space="preserve">Request for Rehearing on Order </w:t>
      </w:r>
      <w:r>
        <w:rPr>
          <w:i/>
          <w:iCs/>
        </w:rPr>
        <w:t xml:space="preserve">No. </w:t>
      </w:r>
      <w:r w:rsidRPr="00372FDE">
        <w:rPr>
          <w:i/>
          <w:iCs/>
        </w:rPr>
        <w:t xml:space="preserve">1000 Compliance Order </w:t>
      </w:r>
      <w:r w:rsidRPr="00372FDE">
        <w:t xml:space="preserve">(June 17, 2013), </w:t>
      </w:r>
      <w:hyperlink r:id="rId337" w:history="1">
        <w:r w:rsidRPr="00372FDE">
          <w:rPr>
            <w:rStyle w:val="Hyperlink"/>
          </w:rPr>
          <w:t>http://www.iso-ne.com/regulatory/ferc/filings/2013/jun/er13-193_er13-196_6-17-13request_rehear_ordr1000.pdf</w:t>
        </w:r>
      </w:hyperlink>
      <w:r w:rsidRPr="00372FDE">
        <w:t xml:space="preserve">. </w:t>
      </w:r>
    </w:p>
  </w:footnote>
  <w:footnote w:id="356">
    <w:p w:rsidR="001E3655" w:rsidRDefault="001E3655">
      <w:pPr>
        <w:pStyle w:val="FootnoteText"/>
      </w:pPr>
      <w:r>
        <w:rPr>
          <w:rStyle w:val="FootnoteReference"/>
        </w:rPr>
        <w:footnoteRef/>
      </w:r>
      <w:r>
        <w:t xml:space="preserve"> </w:t>
      </w:r>
      <w:r>
        <w:rPr>
          <w:i/>
          <w:iCs/>
        </w:rPr>
        <w:t>National Interest Electric Transmission Corridors and Congestion Study</w:t>
      </w:r>
      <w:r>
        <w:t xml:space="preserve"> documents are available at </w:t>
      </w:r>
      <w:hyperlink r:id="rId338" w:history="1">
        <w:r w:rsidRPr="00D81453">
          <w:rPr>
            <w:rStyle w:val="Hyperlink"/>
          </w:rPr>
          <w:t>http://energy.gov/oe/services/electricity-policy-coordination-and-implementation/transmission-planning/national-2</w:t>
        </w:r>
      </w:hyperlink>
      <w:r>
        <w:t>.</w:t>
      </w:r>
    </w:p>
  </w:footnote>
  <w:footnote w:id="357">
    <w:p w:rsidR="001E3655" w:rsidRDefault="001E3655">
      <w:pPr>
        <w:pStyle w:val="FootnoteText"/>
      </w:pPr>
      <w:r w:rsidRPr="00205CC2">
        <w:rPr>
          <w:rStyle w:val="FootnoteReference"/>
        </w:rPr>
        <w:footnoteRef/>
      </w:r>
      <w:r w:rsidRPr="00205CC2">
        <w:t xml:space="preserve"> </w:t>
      </w:r>
      <w:proofErr w:type="gramStart"/>
      <w:r w:rsidRPr="0058019A">
        <w:t xml:space="preserve">DOE, </w:t>
      </w:r>
      <w:r w:rsidRPr="0058019A">
        <w:rPr>
          <w:i/>
          <w:iCs/>
        </w:rPr>
        <w:t>Draft National Electric Transmission Congestion Study</w:t>
      </w:r>
      <w:r w:rsidRPr="0058019A">
        <w:t xml:space="preserve"> (August 2014), </w:t>
      </w:r>
      <w:hyperlink r:id="rId339" w:history="1">
        <w:r w:rsidRPr="0058019A">
          <w:rPr>
            <w:rStyle w:val="Hyperlink"/>
          </w:rPr>
          <w:t>http://www.energy.gov/oe/articles/draft-national-electric-transmission-congestion-study-now-available-public-comment</w:t>
        </w:r>
      </w:hyperlink>
      <w:r w:rsidRPr="0058019A">
        <w:t>.</w:t>
      </w:r>
      <w:proofErr w:type="gramEnd"/>
    </w:p>
  </w:footnote>
  <w:footnote w:id="358">
    <w:p w:rsidR="001E3655" w:rsidRDefault="001E3655">
      <w:pPr>
        <w:pStyle w:val="FootnoteText"/>
      </w:pPr>
      <w:r>
        <w:rPr>
          <w:rStyle w:val="FootnoteReference"/>
        </w:rPr>
        <w:footnoteRef/>
      </w:r>
      <w:r>
        <w:t xml:space="preserve"> Piedmont Environmental Council v. FERC, 558 </w:t>
      </w:r>
      <w:proofErr w:type="spellStart"/>
      <w:r>
        <w:t>F.3d</w:t>
      </w:r>
      <w:proofErr w:type="spellEnd"/>
      <w:r>
        <w:t xml:space="preserve"> 304 (</w:t>
      </w:r>
      <w:proofErr w:type="gramStart"/>
      <w:r>
        <w:t>4</w:t>
      </w:r>
      <w:r>
        <w:rPr>
          <w:vertAlign w:val="superscript"/>
        </w:rPr>
        <w:t>th</w:t>
      </w:r>
      <w:proofErr w:type="gramEnd"/>
      <w:r>
        <w:t xml:space="preserve"> Cir. 2009).</w:t>
      </w:r>
    </w:p>
  </w:footnote>
  <w:footnote w:id="359">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DOE, </w:t>
      </w:r>
      <w:r w:rsidRPr="00372FDE">
        <w:rPr>
          <w:i/>
        </w:rPr>
        <w:t>Transmission Constraints and Congestion in the Western and Eastern Interconnections, 2009</w:t>
      </w:r>
      <w:r>
        <w:rPr>
          <w:i/>
        </w:rPr>
        <w:t>–</w:t>
      </w:r>
      <w:r w:rsidRPr="00372FDE">
        <w:rPr>
          <w:i/>
        </w:rPr>
        <w:t>2012</w:t>
      </w:r>
      <w:r w:rsidRPr="00372FDE">
        <w:t xml:space="preserve"> (January</w:t>
      </w:r>
      <w:r>
        <w:t> </w:t>
      </w:r>
      <w:r w:rsidRPr="00372FDE">
        <w:t xml:space="preserve">2014), </w:t>
      </w:r>
      <w:hyperlink r:id="rId340" w:history="1">
        <w:r w:rsidRPr="00372FDE">
          <w:rPr>
            <w:rStyle w:val="Hyperlink"/>
          </w:rPr>
          <w:t>http://energy.gov/oe/downloads/transmission-constraints-and-congestion-western-and-eastern-interconnections-2009-2012</w:t>
        </w:r>
      </w:hyperlink>
      <w:r w:rsidRPr="00372FDE">
        <w:t>.</w:t>
      </w:r>
      <w:proofErr w:type="gramEnd"/>
      <w:r w:rsidRPr="00372FDE">
        <w:t xml:space="preserve"> </w:t>
      </w:r>
    </w:p>
  </w:footnote>
  <w:footnote w:id="360">
    <w:p w:rsidR="001E3655" w:rsidRDefault="001E3655">
      <w:pPr>
        <w:pStyle w:val="FootnoteText"/>
      </w:pPr>
      <w:r>
        <w:rPr>
          <w:rStyle w:val="FootnoteReference"/>
        </w:rPr>
        <w:footnoteRef/>
      </w:r>
      <w:r>
        <w:t xml:space="preserve"> </w:t>
      </w:r>
      <w:proofErr w:type="gramStart"/>
      <w:r>
        <w:t xml:space="preserve">NIST, </w:t>
      </w:r>
      <w:hyperlink r:id="rId341" w:history="1">
        <w:r w:rsidRPr="00F142F0">
          <w:rPr>
            <w:rStyle w:val="Hyperlink"/>
            <w:i/>
          </w:rPr>
          <w:t>Framework for Improving Critical Infrastructure Cybersecurity</w:t>
        </w:r>
      </w:hyperlink>
      <w:r>
        <w:t xml:space="preserve"> (February 12, 2014), </w:t>
      </w:r>
      <w:hyperlink r:id="rId342" w:history="1">
        <w:r w:rsidRPr="00304001">
          <w:rPr>
            <w:rStyle w:val="Hyperlink"/>
          </w:rPr>
          <w:t>http://www.nist.gov/cyberframework/upload/cybersecurity-framework-021214-final.pdf</w:t>
        </w:r>
      </w:hyperlink>
      <w:r>
        <w:t>.</w:t>
      </w:r>
      <w:proofErr w:type="gramEnd"/>
    </w:p>
  </w:footnote>
  <w:footnote w:id="361">
    <w:p w:rsidR="001E3655" w:rsidRPr="00372FDE" w:rsidRDefault="001E3655" w:rsidP="004C1547">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8F742F">
        <w:rPr>
          <w:rFonts w:asciiTheme="majorHAnsi" w:hAnsiTheme="majorHAnsi"/>
          <w:sz w:val="18"/>
          <w:szCs w:val="18"/>
        </w:rPr>
        <w:t xml:space="preserve"> </w:t>
      </w:r>
      <w:proofErr w:type="gramStart"/>
      <w:r w:rsidRPr="008F742F">
        <w:rPr>
          <w:rFonts w:asciiTheme="majorHAnsi" w:hAnsiTheme="majorHAnsi"/>
          <w:sz w:val="18"/>
          <w:szCs w:val="18"/>
        </w:rPr>
        <w:t xml:space="preserve">FERC, </w:t>
      </w:r>
      <w:r w:rsidRPr="008F742F">
        <w:rPr>
          <w:rFonts w:asciiTheme="majorHAnsi" w:hAnsiTheme="majorHAnsi"/>
          <w:i/>
          <w:sz w:val="18"/>
          <w:szCs w:val="18"/>
        </w:rPr>
        <w:t>Order Directing Filing of Standards</w:t>
      </w:r>
      <w:r>
        <w:rPr>
          <w:rFonts w:asciiTheme="majorHAnsi" w:hAnsiTheme="majorHAnsi"/>
          <w:i/>
          <w:sz w:val="18"/>
          <w:szCs w:val="18"/>
        </w:rPr>
        <w:t xml:space="preserve"> </w:t>
      </w:r>
      <w:r w:rsidRPr="008F742F">
        <w:rPr>
          <w:rFonts w:asciiTheme="majorHAnsi" w:hAnsiTheme="majorHAnsi"/>
          <w:sz w:val="18"/>
          <w:szCs w:val="18"/>
        </w:rPr>
        <w:t xml:space="preserve">(March 7, 2014), </w:t>
      </w:r>
      <w:hyperlink r:id="rId343" w:history="1">
        <w:r w:rsidRPr="008F742F">
          <w:rPr>
            <w:rStyle w:val="Hyperlink"/>
            <w:rFonts w:asciiTheme="majorHAnsi" w:hAnsiTheme="majorHAnsi"/>
            <w:sz w:val="18"/>
            <w:szCs w:val="18"/>
          </w:rPr>
          <w:t>http://www.ferc.gov/CalendarFiles/20140307185442-RD14-6-000.pdf</w:t>
        </w:r>
      </w:hyperlink>
      <w:r w:rsidRPr="008F742F">
        <w:rPr>
          <w:rFonts w:asciiTheme="majorHAnsi" w:hAnsiTheme="majorHAnsi"/>
          <w:sz w:val="18"/>
          <w:szCs w:val="18"/>
        </w:rPr>
        <w:t>.</w:t>
      </w:r>
      <w:proofErr w:type="gramEnd"/>
    </w:p>
  </w:footnote>
  <w:footnote w:id="362">
    <w:p w:rsidR="001E3655" w:rsidRDefault="001E3655">
      <w:pPr>
        <w:pStyle w:val="FootnoteText"/>
      </w:pPr>
      <w:r w:rsidRPr="00372FDE">
        <w:rPr>
          <w:rStyle w:val="FootnoteReference"/>
          <w:rFonts w:asciiTheme="majorHAnsi" w:hAnsiTheme="majorHAnsi"/>
          <w:sz w:val="18"/>
        </w:rPr>
        <w:footnoteRef/>
      </w:r>
      <w:r w:rsidRPr="00372FDE">
        <w:t xml:space="preserve"> For more information about NESCOE, see </w:t>
      </w:r>
      <w:hyperlink r:id="rId344" w:history="1">
        <w:r w:rsidRPr="00372FDE">
          <w:rPr>
            <w:rStyle w:val="Hyperlink"/>
          </w:rPr>
          <w:t>www.nescoe.com</w:t>
        </w:r>
      </w:hyperlink>
      <w:r w:rsidRPr="00372FDE">
        <w:t>.</w:t>
      </w:r>
    </w:p>
  </w:footnote>
  <w:footnote w:id="363">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NESCOE, </w:t>
      </w:r>
      <w:r w:rsidRPr="00372FDE">
        <w:rPr>
          <w:i/>
        </w:rPr>
        <w:t>New England Natural Gas Infrastructure and Electric Generation: Constraints and Solutions</w:t>
      </w:r>
      <w:r w:rsidRPr="00372FDE">
        <w:t xml:space="preserve"> (April 16, 2013), </w:t>
      </w:r>
      <w:hyperlink r:id="rId345" w:history="1">
        <w:r w:rsidRPr="00372FDE">
          <w:rPr>
            <w:rStyle w:val="Hyperlink"/>
          </w:rPr>
          <w:t>http://www.nescoe.com/Gas_Supply_Study.html</w:t>
        </w:r>
      </w:hyperlink>
      <w:r w:rsidRPr="00372FDE">
        <w:t>.</w:t>
      </w:r>
      <w:proofErr w:type="gramEnd"/>
      <w:r w:rsidRPr="00372FDE">
        <w:t xml:space="preserve"> </w:t>
      </w:r>
    </w:p>
  </w:footnote>
  <w:footnote w:id="364">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NESCOE, </w:t>
      </w:r>
      <w:r w:rsidRPr="00372FDE">
        <w:rPr>
          <w:i/>
        </w:rPr>
        <w:t>Natural Gas Infrastructure and Electric Generation: Proposed Solutions for New England</w:t>
      </w:r>
      <w:r w:rsidRPr="00372FDE">
        <w:t xml:space="preserve"> (August 26, 2013), </w:t>
      </w:r>
      <w:hyperlink r:id="rId346" w:history="1">
        <w:r w:rsidRPr="00372FDE">
          <w:rPr>
            <w:rStyle w:val="Hyperlink"/>
          </w:rPr>
          <w:t>http://nescoe.com/Gas_Supply_Study.html</w:t>
        </w:r>
      </w:hyperlink>
      <w:r w:rsidRPr="00372FDE">
        <w:t>.</w:t>
      </w:r>
      <w:proofErr w:type="gramEnd"/>
    </w:p>
  </w:footnote>
  <w:footnote w:id="365">
    <w:p w:rsidR="001E3655" w:rsidRDefault="001E3655">
      <w:pPr>
        <w:pStyle w:val="FootnoteText"/>
      </w:pPr>
      <w:r w:rsidRPr="003260B6">
        <w:rPr>
          <w:rStyle w:val="FootnoteReference"/>
          <w:rFonts w:asciiTheme="majorHAnsi" w:hAnsiTheme="majorHAnsi"/>
          <w:sz w:val="18"/>
        </w:rPr>
        <w:footnoteRef/>
      </w:r>
      <w:r>
        <w:t xml:space="preserve"> </w:t>
      </w:r>
      <w:r w:rsidRPr="00372FDE">
        <w:t xml:space="preserve">NESCOE, “Request for ISO-NE technical support and assistance with tariff filings related to electric and natural gas infrastructure in New England,” memo (January 21, 2014), </w:t>
      </w:r>
      <w:hyperlink r:id="rId347" w:history="1">
        <w:r w:rsidRPr="00372FDE">
          <w:rPr>
            <w:rStyle w:val="Hyperlink"/>
          </w:rPr>
          <w:t>http://www.nescoe.com/uploads/RequestISO-NEassistanceTransGas_21Jan2014.pdf</w:t>
        </w:r>
      </w:hyperlink>
      <w:r w:rsidRPr="00372FDE">
        <w:t>.</w:t>
      </w:r>
    </w:p>
  </w:footnote>
  <w:footnote w:id="366">
    <w:p w:rsidR="001E3655" w:rsidRPr="00372FDE" w:rsidRDefault="001E3655" w:rsidP="00441E32">
      <w:pPr>
        <w:spacing w:after="80" w:line="240" w:lineRule="auto"/>
        <w:rPr>
          <w:rFonts w:asciiTheme="majorHAnsi" w:hAnsiTheme="majorHAnsi"/>
          <w:sz w:val="18"/>
          <w:szCs w:val="18"/>
        </w:rPr>
      </w:pPr>
      <w:r w:rsidRPr="0007592E">
        <w:rPr>
          <w:rStyle w:val="FootnoteReference"/>
          <w:rFonts w:asciiTheme="majorHAnsi" w:hAnsiTheme="majorHAnsi"/>
          <w:sz w:val="18"/>
          <w:szCs w:val="18"/>
        </w:rPr>
        <w:footnoteRef/>
      </w:r>
      <w:r w:rsidRPr="0007592E">
        <w:rPr>
          <w:rFonts w:asciiTheme="majorHAnsi" w:hAnsiTheme="majorHAnsi"/>
          <w:sz w:val="18"/>
          <w:szCs w:val="18"/>
        </w:rPr>
        <w:t xml:space="preserve"> Gordon Van </w:t>
      </w:r>
      <w:proofErr w:type="spellStart"/>
      <w:r w:rsidRPr="0007592E">
        <w:rPr>
          <w:rFonts w:asciiTheme="majorHAnsi" w:hAnsiTheme="majorHAnsi"/>
          <w:sz w:val="18"/>
          <w:szCs w:val="18"/>
        </w:rPr>
        <w:t>Welie</w:t>
      </w:r>
      <w:proofErr w:type="spellEnd"/>
      <w:r w:rsidRPr="0007592E">
        <w:rPr>
          <w:rFonts w:asciiTheme="majorHAnsi" w:hAnsiTheme="majorHAnsi"/>
          <w:sz w:val="18"/>
          <w:szCs w:val="18"/>
        </w:rPr>
        <w:t xml:space="preserve">, “NESCOE’s Request for ISO-NE Technical Support and Assistance with Tariff Filings Related to Electric and Natural Gas Infrastructure in New England,” letter to NESCOE (January 28, 2014), </w:t>
      </w:r>
      <w:hyperlink r:id="rId348" w:history="1">
        <w:r w:rsidRPr="0007592E">
          <w:rPr>
            <w:rStyle w:val="Hyperlink"/>
            <w:rFonts w:asciiTheme="majorHAnsi" w:hAnsiTheme="majorHAnsi"/>
            <w:sz w:val="18"/>
            <w:szCs w:val="18"/>
          </w:rPr>
          <w:t>http://www.iso-ne.com/pubs/pubcomm/corr/2014/2014_01_28_response_to_nescoe.pdf</w:t>
        </w:r>
      </w:hyperlink>
      <w:r w:rsidRPr="0007592E">
        <w:rPr>
          <w:rFonts w:asciiTheme="majorHAnsi" w:hAnsiTheme="majorHAnsi"/>
          <w:sz w:val="18"/>
          <w:szCs w:val="18"/>
        </w:rPr>
        <w:t>.</w:t>
      </w:r>
    </w:p>
  </w:footnote>
  <w:footnote w:id="367">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ISO New England, “</w:t>
      </w:r>
      <w:r>
        <w:t>Presentations, Speeches, and Other Materials</w:t>
      </w:r>
      <w:r w:rsidRPr="00372FDE">
        <w:t xml:space="preserve">,” webpage, </w:t>
      </w:r>
      <w:r>
        <w:t>“External Affairs Monthly Issues Memo” document type</w:t>
      </w:r>
      <w:r w:rsidRPr="009D4D53">
        <w:t xml:space="preserve">, </w:t>
      </w:r>
      <w:hyperlink r:id="rId349" w:history="1">
        <w:r w:rsidRPr="009D4D53">
          <w:rPr>
            <w:rStyle w:val="Hyperlink"/>
          </w:rPr>
          <w:t>http://www.iso-ne.com/about/government-industry-affairs/materials</w:t>
        </w:r>
      </w:hyperlink>
      <w:r w:rsidRPr="00372FDE">
        <w:t>.</w:t>
      </w:r>
      <w:proofErr w:type="gramEnd"/>
    </w:p>
  </w:footnote>
  <w:footnote w:id="368">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Eric </w:t>
      </w:r>
      <w:proofErr w:type="spellStart"/>
      <w:r w:rsidRPr="00372FDE">
        <w:t>Runge</w:t>
      </w:r>
      <w:proofErr w:type="spellEnd"/>
      <w:r w:rsidRPr="00372FDE">
        <w:t xml:space="preserve">, “Sector Caucus Representatives for the EIPC,” memorandum (June 23, 2010), </w:t>
      </w:r>
      <w:hyperlink r:id="rId350" w:history="1">
        <w:r w:rsidRPr="00372FDE">
          <w:rPr>
            <w:rStyle w:val="Hyperlink"/>
          </w:rPr>
          <w:t>http://www.iso-ne.com/committees/comm_wkgrps/othr/eipc/eipc_caucus_reps.doc</w:t>
        </w:r>
      </w:hyperlink>
      <w:r w:rsidRPr="00372FDE">
        <w:t>.</w:t>
      </w:r>
      <w:proofErr w:type="gramEnd"/>
    </w:p>
  </w:footnote>
  <w:footnote w:id="369">
    <w:p w:rsidR="001E3655" w:rsidRDefault="001E3655">
      <w:pPr>
        <w:pStyle w:val="FootnoteText"/>
      </w:pPr>
      <w:r w:rsidRPr="00372FDE">
        <w:rPr>
          <w:rStyle w:val="FootnoteReference"/>
          <w:rFonts w:asciiTheme="majorHAnsi" w:hAnsiTheme="majorHAnsi"/>
          <w:sz w:val="18"/>
        </w:rPr>
        <w:footnoteRef/>
      </w:r>
      <w:r w:rsidRPr="00372FDE">
        <w:t xml:space="preserve"> Additional information on the CLG is available at </w:t>
      </w:r>
      <w:hyperlink r:id="rId351" w:history="1">
        <w:r w:rsidRPr="00FE208E">
          <w:rPr>
            <w:rStyle w:val="Hyperlink"/>
          </w:rPr>
          <w:t>http://www.iso-ne.com/committees/consumer-liaison</w:t>
        </w:r>
      </w:hyperlink>
      <w:r w:rsidRPr="00372FDE">
        <w:t>.</w:t>
      </w:r>
    </w:p>
  </w:footnote>
  <w:footnote w:id="370">
    <w:p w:rsidR="001E3655" w:rsidRDefault="001E3655">
      <w:pPr>
        <w:pStyle w:val="FootnoteText"/>
      </w:pPr>
      <w:r w:rsidRPr="0007592E">
        <w:rPr>
          <w:rStyle w:val="FootnoteReference"/>
          <w:rFonts w:asciiTheme="majorHAnsi" w:eastAsiaTheme="majorEastAsia" w:hAnsiTheme="majorHAnsi"/>
          <w:sz w:val="18"/>
        </w:rPr>
        <w:footnoteRef/>
      </w:r>
      <w:r w:rsidRPr="0007592E">
        <w:t xml:space="preserve"> </w:t>
      </w:r>
      <w:proofErr w:type="gramStart"/>
      <w:r w:rsidRPr="0007592E">
        <w:t xml:space="preserve">ISO New England and Consumer Liaison Group Coordinating Committee, </w:t>
      </w:r>
      <w:r w:rsidRPr="00E7355B">
        <w:rPr>
          <w:i/>
        </w:rPr>
        <w:t xml:space="preserve">2014 </w:t>
      </w:r>
      <w:r w:rsidRPr="0007592E">
        <w:rPr>
          <w:i/>
        </w:rPr>
        <w:t xml:space="preserve">Report of the Consumer Liaison </w:t>
      </w:r>
      <w:r w:rsidRPr="006F7C04">
        <w:rPr>
          <w:i/>
        </w:rPr>
        <w:t>Group</w:t>
      </w:r>
      <w:r w:rsidRPr="006F7C04">
        <w:t xml:space="preserve"> (May 28, 2014), </w:t>
      </w:r>
      <w:hyperlink r:id="rId352" w:history="1">
        <w:r w:rsidRPr="00A36B70">
          <w:rPr>
            <w:rStyle w:val="Hyperlink"/>
          </w:rPr>
          <w:t>http://www.iso-ne.com/static-assets/documents/committees/comm_wkgrps/othr/clg/annual_rpts/2013_clg_report_final.pdf</w:t>
        </w:r>
      </w:hyperlink>
      <w:r w:rsidRPr="006F7C04">
        <w:t>.</w:t>
      </w:r>
      <w:proofErr w:type="gramEnd"/>
    </w:p>
  </w:footnote>
  <w:footnote w:id="371">
    <w:p w:rsidR="001E3655" w:rsidRDefault="001E3655">
      <w:pPr>
        <w:pStyle w:val="FootnoteText"/>
      </w:pPr>
      <w:r w:rsidRPr="00E7355B">
        <w:rPr>
          <w:rStyle w:val="FootnoteReference"/>
          <w:rFonts w:asciiTheme="majorHAnsi" w:hAnsiTheme="majorHAnsi"/>
          <w:sz w:val="18"/>
        </w:rPr>
        <w:footnoteRef/>
      </w:r>
      <w:r w:rsidRPr="00E7355B">
        <w:t xml:space="preserve"> See the ISO’s Wholesale Markets Project Plans at </w:t>
      </w:r>
      <w:hyperlink r:id="rId353" w:history="1">
        <w:r w:rsidRPr="00A36B70">
          <w:rPr>
            <w:rStyle w:val="Hyperlink"/>
          </w:rPr>
          <w:t>http://www.iso-ne.com/markets-operations/markets-development/wholesale-markets-project-plan</w:t>
        </w:r>
      </w:hyperlink>
      <w:r w:rsidRPr="00E7355B">
        <w:t>.</w:t>
      </w:r>
      <w:r w:rsidRPr="00372FDE">
        <w:t xml:space="preserve"> </w:t>
      </w:r>
    </w:p>
  </w:footnote>
  <w:footnote w:id="372">
    <w:p w:rsidR="001E3655" w:rsidRDefault="001E3655">
      <w:pPr>
        <w:pStyle w:val="FootnoteText"/>
      </w:pPr>
      <w:r w:rsidRPr="009635C6">
        <w:rPr>
          <w:rStyle w:val="FootnoteReference"/>
          <w:rFonts w:asciiTheme="majorHAnsi" w:hAnsiTheme="majorHAnsi"/>
          <w:sz w:val="18"/>
        </w:rPr>
        <w:footnoteRef/>
      </w:r>
      <w:r w:rsidRPr="009635C6">
        <w:t xml:space="preserve"> The Institute of Electrical and Electronics Engineers (IEEE) describes </w:t>
      </w:r>
      <w:r w:rsidRPr="009635C6">
        <w:rPr>
          <w:iCs/>
        </w:rPr>
        <w:t>the</w:t>
      </w:r>
      <w:r w:rsidRPr="009635C6">
        <w:rPr>
          <w:i/>
          <w:iCs/>
        </w:rPr>
        <w:t xml:space="preserve"> smart grid </w:t>
      </w:r>
      <w:r w:rsidRPr="009635C6">
        <w:t xml:space="preserve">as a “next-generation” electrical power system that typically employs the increased use of communications and information technology for generating, delivering, and consuming electrical energy. See the IEEE’s Smart Grid Community for a full discussion of smart grid technology that is available at </w:t>
      </w:r>
      <w:hyperlink r:id="rId354" w:history="1">
        <w:r w:rsidRPr="00B349A2">
          <w:rPr>
            <w:rStyle w:val="Hyperlink"/>
          </w:rPr>
          <w:t>https://www.ieee.org/membership-catalog/productdetail/showProductDetailPage.html?product=CMYSG735</w:t>
        </w:r>
      </w:hyperlink>
      <w:r w:rsidRPr="00B349A2">
        <w:t>.</w:t>
      </w:r>
    </w:p>
  </w:footnote>
  <w:footnote w:id="373">
    <w:p w:rsidR="001E3655" w:rsidRDefault="001E3655">
      <w:pPr>
        <w:pStyle w:val="FootnoteText"/>
      </w:pPr>
      <w:r w:rsidRPr="00B349A2">
        <w:rPr>
          <w:rStyle w:val="FootnoteReference"/>
          <w:rFonts w:asciiTheme="majorHAnsi" w:hAnsiTheme="majorHAnsi"/>
          <w:sz w:val="18"/>
        </w:rPr>
        <w:footnoteRef/>
      </w:r>
      <w:r w:rsidRPr="00B349A2">
        <w:t xml:space="preserve"> PMUs use global positioning satellite technology to monitor the performance of the region’s electric power grid accurately and provide specific data, including </w:t>
      </w:r>
      <w:proofErr w:type="spellStart"/>
      <w:proofErr w:type="gramStart"/>
      <w:r w:rsidRPr="00B349A2">
        <w:t>synchrophasor</w:t>
      </w:r>
      <w:proofErr w:type="spellEnd"/>
      <w:r>
        <w:t xml:space="preserve"> power system measurement</w:t>
      </w:r>
      <w:r w:rsidRPr="00B349A2">
        <w:t>s</w:t>
      </w:r>
      <w:proofErr w:type="gramEnd"/>
      <w:r w:rsidRPr="00B349A2">
        <w:t>, for use in operating the grid and enhancing grid design</w:t>
      </w:r>
      <w:r w:rsidRPr="00B349A2">
        <w:rPr>
          <w:i/>
        </w:rPr>
        <w:t xml:space="preserve">. </w:t>
      </w:r>
      <w:r w:rsidRPr="00372FDE">
        <w:t xml:space="preserve">The IEEE defines FACTS as flexible alternating-current transmission systems that incorporate power-electronics-based controllers and other static controllers to enhance controllability and power-transfer capability. See </w:t>
      </w:r>
      <w:hyperlink r:id="rId355" w:history="1">
        <w:r w:rsidRPr="00372FDE">
          <w:rPr>
            <w:rStyle w:val="Hyperlink"/>
          </w:rPr>
          <w:t>http://www.ieee-pes.org/nari-hingorani-facts-award</w:t>
        </w:r>
      </w:hyperlink>
      <w:r w:rsidRPr="00372FDE">
        <w:t>.</w:t>
      </w:r>
    </w:p>
  </w:footnote>
  <w:footnote w:id="374">
    <w:p w:rsidR="001E3655" w:rsidRDefault="001E3655">
      <w:pPr>
        <w:pStyle w:val="FootnoteText"/>
      </w:pPr>
      <w:r w:rsidRPr="003260B6">
        <w:rPr>
          <w:rStyle w:val="FootnoteReference"/>
          <w:rFonts w:asciiTheme="majorHAnsi" w:hAnsiTheme="majorHAnsi"/>
          <w:sz w:val="18"/>
        </w:rPr>
        <w:footnoteRef/>
      </w:r>
      <w:r w:rsidRPr="00372FDE">
        <w:t xml:space="preserve"> For additional information on PSERC and EPRI, refer to </w:t>
      </w:r>
      <w:hyperlink r:id="rId356" w:history="1">
        <w:r w:rsidRPr="00372FDE">
          <w:rPr>
            <w:rStyle w:val="Hyperlink"/>
          </w:rPr>
          <w:t>http://www.pserc.wisc.edu/home/index.aspx</w:t>
        </w:r>
      </w:hyperlink>
      <w:r w:rsidRPr="00372FDE">
        <w:t xml:space="preserve"> and </w:t>
      </w:r>
      <w:hyperlink r:id="rId357" w:history="1">
        <w:r w:rsidRPr="00372FDE">
          <w:rPr>
            <w:rStyle w:val="Hyperlink"/>
          </w:rPr>
          <w:t>http://www.epri.com/</w:t>
        </w:r>
      </w:hyperlink>
      <w:r w:rsidRPr="00372FDE">
        <w:t>.</w:t>
      </w:r>
    </w:p>
  </w:footnote>
  <w:footnote w:id="375">
    <w:p w:rsidR="001E3655" w:rsidRPr="00372FDE" w:rsidRDefault="001E3655" w:rsidP="00441E32">
      <w:pPr>
        <w:spacing w:after="80" w:line="240" w:lineRule="auto"/>
        <w:rPr>
          <w:rFonts w:asciiTheme="majorHAnsi" w:hAnsiTheme="majorHAnsi"/>
          <w:sz w:val="18"/>
          <w:szCs w:val="18"/>
        </w:rPr>
      </w:pPr>
      <w:r w:rsidRPr="008F742F">
        <w:rPr>
          <w:rStyle w:val="FootnoteReference"/>
          <w:rFonts w:asciiTheme="majorHAnsi" w:hAnsiTheme="majorHAnsi"/>
          <w:sz w:val="18"/>
          <w:szCs w:val="18"/>
        </w:rPr>
        <w:footnoteRef/>
      </w:r>
      <w:r w:rsidRPr="008F742F">
        <w:rPr>
          <w:rFonts w:asciiTheme="majorHAnsi" w:hAnsiTheme="majorHAnsi"/>
          <w:sz w:val="18"/>
          <w:szCs w:val="18"/>
        </w:rPr>
        <w:t xml:space="preserve"> EIA</w:t>
      </w:r>
      <w:proofErr w:type="gramStart"/>
      <w:r w:rsidRPr="008F742F">
        <w:rPr>
          <w:rFonts w:asciiTheme="majorHAnsi" w:hAnsiTheme="majorHAnsi"/>
          <w:sz w:val="18"/>
          <w:szCs w:val="18"/>
        </w:rPr>
        <w:t xml:space="preserve">, </w:t>
      </w:r>
      <w:r>
        <w:rPr>
          <w:rFonts w:asciiTheme="majorHAnsi" w:hAnsiTheme="majorHAnsi"/>
          <w:sz w:val="18"/>
          <w:szCs w:val="18"/>
        </w:rPr>
        <w:t>”</w:t>
      </w:r>
      <w:proofErr w:type="gramEnd"/>
      <w:r w:rsidR="00927965">
        <w:fldChar w:fldCharType="begin"/>
      </w:r>
      <w:r>
        <w:instrText>HYPERLINK "file:///C:\\Users\\psilva\\Documents\\ISO%20New%20England%20Reports\\RSP14\\Electric"</w:instrText>
      </w:r>
      <w:r w:rsidR="00927965">
        <w:fldChar w:fldCharType="separate"/>
      </w:r>
      <w:r w:rsidRPr="008F742F">
        <w:rPr>
          <w:rStyle w:val="Hyperlink"/>
          <w:rFonts w:asciiTheme="majorHAnsi" w:hAnsiTheme="majorHAnsi"/>
          <w:sz w:val="18"/>
          <w:szCs w:val="18"/>
        </w:rPr>
        <w:t>Electric</w:t>
      </w:r>
      <w:r w:rsidR="00927965">
        <w:fldChar w:fldCharType="end"/>
      </w:r>
      <w:r w:rsidRPr="008F742F">
        <w:rPr>
          <w:rFonts w:asciiTheme="majorHAnsi" w:hAnsiTheme="majorHAnsi"/>
          <w:sz w:val="18"/>
          <w:szCs w:val="18"/>
        </w:rPr>
        <w:t xml:space="preserve"> Power Sales, Revenue, and Energy Efficiency Form EIA-861</w:t>
      </w:r>
      <w:r>
        <w:rPr>
          <w:rFonts w:asciiTheme="majorHAnsi" w:hAnsiTheme="majorHAnsi"/>
          <w:sz w:val="18"/>
          <w:szCs w:val="18"/>
        </w:rPr>
        <w:t xml:space="preserve">, </w:t>
      </w:r>
      <w:r w:rsidRPr="008F742F">
        <w:rPr>
          <w:rFonts w:asciiTheme="majorHAnsi" w:hAnsiTheme="majorHAnsi"/>
          <w:sz w:val="18"/>
          <w:szCs w:val="18"/>
        </w:rPr>
        <w:t>detailed data files</w:t>
      </w:r>
      <w:r>
        <w:rPr>
          <w:rFonts w:asciiTheme="majorHAnsi" w:hAnsiTheme="majorHAnsi"/>
          <w:sz w:val="18"/>
          <w:szCs w:val="18"/>
        </w:rPr>
        <w:t>,” webpage</w:t>
      </w:r>
      <w:r w:rsidRPr="008F742F">
        <w:rPr>
          <w:rFonts w:asciiTheme="majorHAnsi" w:hAnsiTheme="majorHAnsi"/>
          <w:sz w:val="18"/>
          <w:szCs w:val="18"/>
        </w:rPr>
        <w:t xml:space="preserve"> (December</w:t>
      </w:r>
      <w:r>
        <w:rPr>
          <w:rFonts w:asciiTheme="majorHAnsi" w:hAnsiTheme="majorHAnsi"/>
          <w:sz w:val="18"/>
          <w:szCs w:val="18"/>
        </w:rPr>
        <w:t> </w:t>
      </w:r>
      <w:r w:rsidRPr="008F742F">
        <w:rPr>
          <w:rFonts w:asciiTheme="majorHAnsi" w:hAnsiTheme="majorHAnsi"/>
          <w:sz w:val="18"/>
          <w:szCs w:val="18"/>
        </w:rPr>
        <w:t xml:space="preserve">9, 2013) </w:t>
      </w:r>
      <w:hyperlink r:id="rId358" w:history="1">
        <w:r w:rsidRPr="008F742F">
          <w:rPr>
            <w:rStyle w:val="Hyperlink"/>
            <w:rFonts w:asciiTheme="majorHAnsi" w:hAnsiTheme="majorHAnsi"/>
            <w:sz w:val="18"/>
            <w:szCs w:val="18"/>
          </w:rPr>
          <w:t>http://www.eia.gov/electricity/data/eia861/</w:t>
        </w:r>
      </w:hyperlink>
      <w:r w:rsidRPr="008F742F">
        <w:rPr>
          <w:rFonts w:asciiTheme="majorHAnsi" w:hAnsiTheme="majorHAnsi"/>
          <w:sz w:val="18"/>
          <w:szCs w:val="18"/>
        </w:rPr>
        <w:t>.</w:t>
      </w:r>
    </w:p>
  </w:footnote>
  <w:footnote w:id="376">
    <w:p w:rsidR="001E3655" w:rsidRDefault="001E3655">
      <w:pPr>
        <w:pStyle w:val="FootnoteText"/>
      </w:pPr>
      <w:r w:rsidRPr="00372FDE">
        <w:rPr>
          <w:rStyle w:val="FootnoteReference"/>
          <w:rFonts w:asciiTheme="majorHAnsi" w:hAnsiTheme="majorHAnsi"/>
          <w:sz w:val="18"/>
        </w:rPr>
        <w:footnoteRef/>
      </w:r>
      <w:r w:rsidRPr="00372FDE">
        <w:t xml:space="preserve"> Additional information on NIST is available at </w:t>
      </w:r>
      <w:hyperlink r:id="rId359" w:history="1">
        <w:r w:rsidRPr="00372FDE">
          <w:rPr>
            <w:rStyle w:val="Hyperlink"/>
          </w:rPr>
          <w:t>http://www.nist.gov/index.html</w:t>
        </w:r>
      </w:hyperlink>
      <w:r w:rsidRPr="00372FDE">
        <w:t xml:space="preserve">. </w:t>
      </w:r>
      <w:proofErr w:type="gramStart"/>
      <w:r w:rsidRPr="00372FDE">
        <w:t>Also</w:t>
      </w:r>
      <w:proofErr w:type="gramEnd"/>
      <w:r w:rsidRPr="00372FDE">
        <w:t xml:space="preserve"> see </w:t>
      </w:r>
      <w:r>
        <w:t xml:space="preserve">NIST’s “Smart Grid </w:t>
      </w:r>
      <w:r w:rsidRPr="004C1226">
        <w:t xml:space="preserve">Interoperability Panel” webpage, </w:t>
      </w:r>
      <w:hyperlink r:id="rId360" w:history="1">
        <w:r w:rsidRPr="004C1226">
          <w:rPr>
            <w:rStyle w:val="Hyperlink"/>
          </w:rPr>
          <w:t>http://www.nist.gov/smartgrid/sgipbuffer.cfm</w:t>
        </w:r>
      </w:hyperlink>
      <w:r w:rsidRPr="004C1226">
        <w:t>.</w:t>
      </w:r>
    </w:p>
  </w:footnote>
  <w:footnote w:id="377">
    <w:p w:rsidR="001E3655" w:rsidRDefault="001E3655">
      <w:pPr>
        <w:pStyle w:val="FootnoteText"/>
      </w:pPr>
      <w:r w:rsidRPr="00F00681">
        <w:rPr>
          <w:rStyle w:val="FootnoteReference"/>
          <w:rFonts w:asciiTheme="majorHAnsi" w:hAnsiTheme="majorHAnsi"/>
          <w:sz w:val="18"/>
        </w:rPr>
        <w:footnoteRef/>
      </w:r>
      <w:r w:rsidRPr="00F00681">
        <w:t xml:space="preserve"> </w:t>
      </w:r>
      <w:proofErr w:type="gramStart"/>
      <w:r w:rsidRPr="00F00681">
        <w:t xml:space="preserve">ISO/RTO Council, “2013 North American Demand-Response Characteristics Available” (February 28, 2014), </w:t>
      </w:r>
      <w:hyperlink r:id="rId361" w:history="1">
        <w:r w:rsidRPr="00F00681">
          <w:rPr>
            <w:rStyle w:val="Hyperlink"/>
          </w:rPr>
          <w:t>http://www.isorto.org/Reports/default</w:t>
        </w:r>
      </w:hyperlink>
      <w:r>
        <w:t>.</w:t>
      </w:r>
      <w:proofErr w:type="gramEnd"/>
    </w:p>
  </w:footnote>
  <w:footnote w:id="378">
    <w:p w:rsidR="001E3655" w:rsidRDefault="001E3655">
      <w:pPr>
        <w:pStyle w:val="FootnoteText"/>
      </w:pPr>
      <w:r w:rsidRPr="00372FDE">
        <w:rPr>
          <w:rStyle w:val="FootnoteReference"/>
          <w:rFonts w:asciiTheme="majorHAnsi" w:hAnsiTheme="majorHAnsi"/>
          <w:sz w:val="18"/>
        </w:rPr>
        <w:footnoteRef/>
      </w:r>
      <w:r w:rsidRPr="00372FDE">
        <w:t xml:space="preserve"> For more information on IEEE, see </w:t>
      </w:r>
      <w:hyperlink r:id="rId362" w:history="1">
        <w:r w:rsidRPr="00372FDE">
          <w:rPr>
            <w:rStyle w:val="Hyperlink"/>
          </w:rPr>
          <w:t>http://www.ieee.org/index.html</w:t>
        </w:r>
      </w:hyperlink>
      <w:r w:rsidRPr="00372FDE">
        <w:t xml:space="preserve">. </w:t>
      </w:r>
    </w:p>
  </w:footnote>
  <w:footnote w:id="379">
    <w:p w:rsidR="001E3655" w:rsidRDefault="001E3655">
      <w:pPr>
        <w:pStyle w:val="FootnoteText"/>
      </w:pPr>
      <w:r w:rsidRPr="00DF0F57">
        <w:rPr>
          <w:rStyle w:val="FootnoteReference"/>
          <w:rFonts w:asciiTheme="majorHAnsi" w:hAnsiTheme="majorHAnsi"/>
          <w:sz w:val="18"/>
        </w:rPr>
        <w:footnoteRef/>
      </w:r>
      <w:r w:rsidRPr="00DF0F57">
        <w:t xml:space="preserve"> Allison Silverstein, </w:t>
      </w:r>
      <w:r w:rsidRPr="00DF0F57">
        <w:rPr>
          <w:i/>
        </w:rPr>
        <w:t xml:space="preserve">NASPI and </w:t>
      </w:r>
      <w:proofErr w:type="spellStart"/>
      <w:r w:rsidRPr="00DF0F57">
        <w:rPr>
          <w:i/>
        </w:rPr>
        <w:t>Synchrophasor</w:t>
      </w:r>
      <w:proofErr w:type="spellEnd"/>
      <w:r w:rsidRPr="00DF0F57">
        <w:rPr>
          <w:i/>
        </w:rPr>
        <w:t xml:space="preserve"> Technology Milestones—We’re Making Progress</w:t>
      </w:r>
      <w:proofErr w:type="gramStart"/>
      <w:r w:rsidRPr="00DF0F57">
        <w:rPr>
          <w:i/>
        </w:rPr>
        <w:t>!</w:t>
      </w:r>
      <w:r w:rsidRPr="00DF0F57">
        <w:t>,</w:t>
      </w:r>
      <w:proofErr w:type="gramEnd"/>
      <w:r w:rsidRPr="00DF0F57">
        <w:t xml:space="preserve"> slide deck (North American </w:t>
      </w:r>
      <w:proofErr w:type="spellStart"/>
      <w:r w:rsidRPr="00DF0F57">
        <w:t>SynchroPhasor</w:t>
      </w:r>
      <w:proofErr w:type="spellEnd"/>
      <w:r w:rsidRPr="00DF0F57">
        <w:t xml:space="preserve"> Initiative, October 22, 2013), slide 2 (map illustrating all the PMUs installed in North America as of October 2013), </w:t>
      </w:r>
      <w:hyperlink r:id="rId363" w:history="1">
        <w:r w:rsidRPr="00DF0F57">
          <w:rPr>
            <w:rStyle w:val="Hyperlink"/>
          </w:rPr>
          <w:t>http://www.naspi.org/file.aspx?fileid=1150</w:t>
        </w:r>
      </w:hyperlink>
      <w:r w:rsidRPr="00DF0F57">
        <w:rPr>
          <w:color w:val="1F497D"/>
        </w:rPr>
        <w:t>.</w:t>
      </w:r>
      <w:r w:rsidRPr="005364C3">
        <w:rPr>
          <w:color w:val="1F497D"/>
        </w:rPr>
        <w:t xml:space="preserve"> </w:t>
      </w:r>
    </w:p>
  </w:footnote>
  <w:footnote w:id="380">
    <w:p w:rsidR="001E3655" w:rsidRDefault="001E3655">
      <w:pPr>
        <w:pStyle w:val="FootnoteText"/>
      </w:pPr>
      <w:r w:rsidRPr="0096250C">
        <w:rPr>
          <w:rStyle w:val="FootnoteReference"/>
          <w:rFonts w:asciiTheme="majorHAnsi" w:hAnsiTheme="majorHAnsi"/>
          <w:sz w:val="18"/>
        </w:rPr>
        <w:footnoteRef/>
      </w:r>
      <w:r w:rsidRPr="0096250C">
        <w:t xml:space="preserve"> </w:t>
      </w:r>
      <w:proofErr w:type="gramStart"/>
      <w:r w:rsidRPr="0096250C">
        <w:t xml:space="preserve">Michael Henderson and Donald Ramey, </w:t>
      </w:r>
      <w:r w:rsidRPr="0096250C">
        <w:rPr>
          <w:i/>
        </w:rPr>
        <w:t>Planning Issues for FACTS</w:t>
      </w:r>
      <w:r w:rsidRPr="0096250C">
        <w:t>, presentation at the IEEE Power Engineering Society General Meeting, Tampa (June 2007).</w:t>
      </w:r>
      <w:proofErr w:type="gramEnd"/>
      <w:r w:rsidRPr="00372FDE">
        <w:t xml:space="preserve"> Also see “Transmission System Application Requirements for FACTS Controllers Special Publication 06TP178,” produced by the IEEE Power Engineering Society Working Group 15.05.13. </w:t>
      </w:r>
      <w:r>
        <w:t xml:space="preserve">Also see </w:t>
      </w:r>
      <w:r w:rsidRPr="00CC7561">
        <w:t>M. Henderson and D. Ramey</w:t>
      </w:r>
      <w:r>
        <w:t>, “</w:t>
      </w:r>
      <w:r w:rsidRPr="00CC7561">
        <w:t>Planning Issues for FACTS</w:t>
      </w:r>
      <w:r>
        <w:t>,</w:t>
      </w:r>
      <w:r w:rsidRPr="00CC7561">
        <w:t>” IEEE PES T&amp;D Conference and Exhibition</w:t>
      </w:r>
      <w:r>
        <w:t xml:space="preserve"> presentation (</w:t>
      </w:r>
      <w:r w:rsidRPr="00CC7561">
        <w:t>New Orleans,</w:t>
      </w:r>
      <w:r>
        <w:t xml:space="preserve"> </w:t>
      </w:r>
      <w:r w:rsidRPr="00CC7561">
        <w:t>April 2010</w:t>
      </w:r>
      <w:r>
        <w:t xml:space="preserve">), </w:t>
      </w:r>
      <w:hyperlink r:id="rId364" w:history="1">
        <w:r w:rsidRPr="0096250C">
          <w:rPr>
            <w:rStyle w:val="Hyperlink"/>
          </w:rPr>
          <w:t>http://ieeexplore.ieee.org/xpl/articleDetails.jsp?arnumber=5484247&amp;searchWithin%3DFACTS%26sortType%3Dasc_p_Sequence%26filter%3DAND%28p_IS_Number%3A5484192%29</w:t>
        </w:r>
      </w:hyperlink>
      <w:r w:rsidRPr="0096250C">
        <w:t>.</w:t>
      </w:r>
    </w:p>
  </w:footnote>
  <w:footnote w:id="381">
    <w:p w:rsidR="001E3655" w:rsidRDefault="001E3655">
      <w:pPr>
        <w:pStyle w:val="FootnoteText"/>
      </w:pPr>
      <w:r w:rsidRPr="0096250C">
        <w:rPr>
          <w:rStyle w:val="FootnoteReference"/>
          <w:rFonts w:asciiTheme="majorHAnsi" w:hAnsiTheme="majorHAnsi"/>
          <w:sz w:val="18"/>
        </w:rPr>
        <w:footnoteRef/>
      </w:r>
      <w:r w:rsidRPr="0096250C">
        <w:t xml:space="preserve"> See RSP13, Section 5.4</w:t>
      </w:r>
      <w:r>
        <w:t xml:space="preserve">, </w:t>
      </w:r>
      <w:hyperlink r:id="rId365" w:history="1">
        <w:r w:rsidRPr="00E0535A">
          <w:rPr>
            <w:rStyle w:val="Hyperlink"/>
          </w:rPr>
          <w:t>http://www.iso-ne.com/static-assets/documents/trans/rsp/2013/rsp13_final.docx</w:t>
        </w:r>
      </w:hyperlink>
      <w:r w:rsidRPr="0096250C">
        <w:t>.</w:t>
      </w:r>
    </w:p>
  </w:footnote>
  <w:footnote w:id="382">
    <w:p w:rsidR="001E3655" w:rsidRDefault="001E3655">
      <w:pPr>
        <w:pStyle w:val="FootnoteText"/>
      </w:pPr>
      <w:r w:rsidRPr="004A5D3B">
        <w:rPr>
          <w:rStyle w:val="FootnoteReference"/>
          <w:rFonts w:asciiTheme="majorHAnsi" w:hAnsiTheme="majorHAnsi"/>
          <w:sz w:val="18"/>
        </w:rPr>
        <w:footnoteRef/>
      </w:r>
      <w:r w:rsidRPr="004A5D3B">
        <w:t xml:space="preserve"> Static VAR compensators and DVARs provide dynamic voltage support.</w:t>
      </w:r>
    </w:p>
  </w:footnote>
  <w:footnote w:id="383">
    <w:p w:rsidR="001E3655" w:rsidRDefault="001E3655">
      <w:pPr>
        <w:pStyle w:val="FootnoteText"/>
      </w:pPr>
      <w:r w:rsidRPr="004A5D3B">
        <w:rPr>
          <w:rStyle w:val="FootnoteReference"/>
          <w:rFonts w:asciiTheme="majorHAnsi" w:hAnsiTheme="majorHAnsi"/>
          <w:sz w:val="18"/>
        </w:rPr>
        <w:footnoteRef/>
      </w:r>
      <w:r w:rsidRPr="004A5D3B">
        <w:t xml:space="preserve"> </w:t>
      </w:r>
      <w:proofErr w:type="gramStart"/>
      <w:r w:rsidRPr="004A5D3B">
        <w:t xml:space="preserve">OATT, Attachment K, </w:t>
      </w:r>
      <w:hyperlink r:id="rId366" w:history="1">
        <w:r w:rsidRPr="004A5D3B">
          <w:rPr>
            <w:rStyle w:val="Hyperlink"/>
          </w:rPr>
          <w:t>http://www.iso-ne.com/regulatory/tariff/sect_2/oatt/sect_ii.pdf</w:t>
        </w:r>
      </w:hyperlink>
      <w:hyperlink w:history="1"/>
      <w:r w:rsidRPr="004A5D3B">
        <w:t>.</w:t>
      </w:r>
      <w:proofErr w:type="gramEnd"/>
      <w:r w:rsidRPr="004A5D3B">
        <w:t xml:space="preserve"> </w:t>
      </w:r>
      <w:r w:rsidRPr="004A5D3B">
        <w:rPr>
          <w:i/>
        </w:rPr>
        <w:t xml:space="preserve">Transmission Planning Process Guide, </w:t>
      </w:r>
      <w:r w:rsidRPr="004A5D3B">
        <w:t xml:space="preserve">draft, </w:t>
      </w:r>
      <w:hyperlink r:id="rId367" w:history="1">
        <w:r w:rsidRPr="004A5D3B">
          <w:rPr>
            <w:rStyle w:val="Hyperlink"/>
          </w:rPr>
          <w:t>http://www.iso-ne.com/static-assets/documents/committees/comm_wkgrps/prtcpnts_comm/pac/plan_guides/plan_process_guide/planning_process_guide_for_february_pac_2_5_2013__3_.docx</w:t>
        </w:r>
      </w:hyperlink>
      <w:r w:rsidRPr="004A5D3B">
        <w:t xml:space="preserve">, and </w:t>
      </w:r>
      <w:r w:rsidRPr="004A5D3B">
        <w:rPr>
          <w:i/>
        </w:rPr>
        <w:t xml:space="preserve">Transmission Planning Technical Guide, </w:t>
      </w:r>
      <w:r w:rsidRPr="004A5D3B">
        <w:t xml:space="preserve">draft, </w:t>
      </w:r>
      <w:hyperlink r:id="rId368" w:history="1">
        <w:r w:rsidRPr="004A5D3B">
          <w:rPr>
            <w:rStyle w:val="Hyperlink"/>
          </w:rPr>
          <w:t>http://www.iso-ne.com/static-assets/documents/committees/comm_wkgrps/prtcpnts_comm/pac/plan_guides/plan_tech_guide/planning_technical_guide_clean_12_06_2013.pdf</w:t>
        </w:r>
      </w:hyperlink>
      <w:r w:rsidRPr="004A5D3B">
        <w:t>.</w:t>
      </w:r>
    </w:p>
  </w:footnote>
  <w:footnote w:id="384">
    <w:p w:rsidR="001E3655" w:rsidRDefault="001E3655">
      <w:pPr>
        <w:pStyle w:val="FootnoteText"/>
      </w:pPr>
      <w:r>
        <w:t xml:space="preserve"> </w:t>
      </w:r>
      <w:r w:rsidRPr="00B33A96">
        <w:rPr>
          <w:rStyle w:val="FootnoteReference"/>
          <w:rFonts w:asciiTheme="majorHAnsi" w:hAnsiTheme="majorHAnsi"/>
          <w:sz w:val="18"/>
        </w:rPr>
        <w:footnoteRef/>
      </w:r>
      <w:r>
        <w:t xml:space="preserve"> </w:t>
      </w:r>
      <w:r w:rsidRPr="00B33A96">
        <w:t xml:space="preserve">In June 2013, Southern Connecticut Gas, Connecticut Natural Gas, and Yankee Gas submitted a joint expansion plan to DEEP and the Public Utilities Regulatory Authority (PURA) to provide </w:t>
      </w:r>
      <w:proofErr w:type="gramStart"/>
      <w:r w:rsidRPr="00B33A96">
        <w:t>gas heating</w:t>
      </w:r>
      <w:proofErr w:type="gramEnd"/>
      <w:r w:rsidRPr="00B33A96">
        <w:t xml:space="preserve"> service to approximately 280,000 additional residents and businesses in Connecticut over the next 10 years. PURA approved the plan on November 22, 2013.</w:t>
      </w:r>
      <w:r>
        <w:t xml:space="preserve"> </w:t>
      </w:r>
      <w:r w:rsidRPr="00B33A96">
        <w:t xml:space="preserve">CT Public Act No. 13-298, </w:t>
      </w:r>
      <w:r w:rsidRPr="00B33A96">
        <w:rPr>
          <w:i/>
        </w:rPr>
        <w:t>An Act Concerning Implementation of Connecticut’s Comprehensive Energy Strategy and Various Revisions to the Energy Statutes</w:t>
      </w:r>
      <w:r>
        <w:t xml:space="preserve"> required t</w:t>
      </w:r>
      <w:r w:rsidRPr="00B33A96">
        <w:t>he expansion plan</w:t>
      </w:r>
      <w:r w:rsidRPr="00B33A96">
        <w:rPr>
          <w:i/>
        </w:rPr>
        <w:t>.</w:t>
      </w:r>
    </w:p>
  </w:footnote>
  <w:footnote w:id="385">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State of Connecticut, </w:t>
      </w:r>
      <w:r w:rsidRPr="00372FDE">
        <w:rPr>
          <w:i/>
        </w:rPr>
        <w:t>An Act Concerning Connecticut’s Clean Energy Goals</w:t>
      </w:r>
      <w:r w:rsidRPr="00372FDE">
        <w:t xml:space="preserve">, Public Act No. 13-303, </w:t>
      </w:r>
      <w:hyperlink r:id="rId369" w:history="1">
        <w:r w:rsidRPr="00B20E01">
          <w:rPr>
            <w:rStyle w:val="Hyperlink"/>
          </w:rPr>
          <w:t>http://www.cga.ct.gov/2013/ACT/PA/2013PA-00303-R00SB-01138-PA.htm</w:t>
        </w:r>
      </w:hyperlink>
      <w:r w:rsidRPr="00B20E01">
        <w:t>.</w:t>
      </w:r>
      <w:proofErr w:type="gramEnd"/>
    </w:p>
  </w:footnote>
  <w:footnote w:id="386">
    <w:p w:rsidR="001E3655" w:rsidRDefault="001E3655">
      <w:pPr>
        <w:pStyle w:val="FootnoteText"/>
      </w:pPr>
      <w:r w:rsidRPr="00B20E01">
        <w:rPr>
          <w:rStyle w:val="FootnoteReference"/>
          <w:rFonts w:asciiTheme="majorHAnsi" w:hAnsiTheme="majorHAnsi"/>
          <w:sz w:val="18"/>
        </w:rPr>
        <w:footnoteRef/>
      </w:r>
      <w:r>
        <w:t xml:space="preserve"> </w:t>
      </w:r>
      <w:r w:rsidRPr="00B20E01">
        <w:t>The C</w:t>
      </w:r>
      <w:r>
        <w:t>T</w:t>
      </w:r>
      <w:r w:rsidRPr="00B20E01">
        <w:t xml:space="preserve"> PURA webpage, “Connecticut Renewable Portfolio Standards Overview” (2014) (</w:t>
      </w:r>
      <w:hyperlink r:id="rId370" w:history="1">
        <w:r w:rsidRPr="00B20E01">
          <w:rPr>
            <w:rStyle w:val="Hyperlink"/>
          </w:rPr>
          <w:t>http://www.ct.gov/pura/cwp/view.asp?a=3354&amp;q=415186</w:t>
        </w:r>
      </w:hyperlink>
      <w:r w:rsidRPr="00B20E01">
        <w:t xml:space="preserve">) provides a fully up-to-date definition of Class </w:t>
      </w:r>
      <w:proofErr w:type="gramStart"/>
      <w:r w:rsidRPr="00B20E01">
        <w:t>I</w:t>
      </w:r>
      <w:proofErr w:type="gramEnd"/>
      <w:r w:rsidRPr="00B20E01">
        <w:t xml:space="preserve"> renewable energy sources.</w:t>
      </w:r>
    </w:p>
  </w:footnote>
  <w:footnote w:id="387">
    <w:p w:rsidR="001E3655" w:rsidRDefault="001E3655">
      <w:pPr>
        <w:pStyle w:val="FootnoteText"/>
      </w:pPr>
      <w:r w:rsidRPr="003260B6">
        <w:rPr>
          <w:rStyle w:val="FootnoteReference"/>
          <w:rFonts w:asciiTheme="majorHAnsi" w:hAnsiTheme="majorHAnsi"/>
          <w:sz w:val="18"/>
        </w:rPr>
        <w:footnoteRef/>
      </w:r>
      <w:r w:rsidRPr="00372FDE">
        <w:t xml:space="preserve"> </w:t>
      </w:r>
      <w:r w:rsidRPr="00372FDE">
        <w:rPr>
          <w:i/>
        </w:rPr>
        <w:t>Renewable Energy Certificates</w:t>
      </w:r>
      <w:r w:rsidRPr="00372FDE">
        <w:t xml:space="preserve"> are tradable, </w:t>
      </w:r>
      <w:proofErr w:type="spellStart"/>
      <w:r w:rsidRPr="00372FDE">
        <w:t>nontangible</w:t>
      </w:r>
      <w:proofErr w:type="spellEnd"/>
      <w:r w:rsidRPr="00372FDE">
        <w:t xml:space="preserve"> commodities, each representing the eligible renewable generation attributes of 1 </w:t>
      </w:r>
      <w:proofErr w:type="spellStart"/>
      <w:r w:rsidRPr="00372FDE">
        <w:t>MWh</w:t>
      </w:r>
      <w:proofErr w:type="spellEnd"/>
      <w:r w:rsidRPr="00372FDE">
        <w:t xml:space="preserve"> of actual generation from a grid-connected renewable resource.</w:t>
      </w:r>
    </w:p>
  </w:footnote>
  <w:footnote w:id="388">
    <w:p w:rsidR="001E3655" w:rsidRDefault="001E3655">
      <w:pPr>
        <w:pStyle w:val="FootnoteText"/>
      </w:pPr>
      <w:r w:rsidRPr="003260B6">
        <w:rPr>
          <w:rStyle w:val="FootnoteReference"/>
          <w:rFonts w:asciiTheme="majorHAnsi" w:hAnsiTheme="majorHAnsi"/>
          <w:sz w:val="18"/>
        </w:rPr>
        <w:footnoteRef/>
      </w:r>
      <w:r w:rsidRPr="00372FDE">
        <w:t xml:space="preserve"> DEEP selected two projects that PURA later approved: (1) Number Nine Wind Farm, a proposed 250 MW land-based wind project located in Aroostook County, Maine, for a contract term of 15 years; and (2) Fusion Solar Center, a proposed 20 MW </w:t>
      </w:r>
      <w:r>
        <w:t>PV</w:t>
      </w:r>
      <w:r w:rsidRPr="00372FDE">
        <w:t xml:space="preserve"> system located in Sprague and Lisbon, Connecticut, for a contract term of 20 years.</w:t>
      </w:r>
    </w:p>
  </w:footnote>
  <w:footnote w:id="389">
    <w:p w:rsidR="001E3655" w:rsidRDefault="001E3655">
      <w:pPr>
        <w:pStyle w:val="FootnoteText"/>
      </w:pPr>
      <w:r>
        <w:rPr>
          <w:rStyle w:val="FootnoteReference"/>
        </w:rPr>
        <w:footnoteRef/>
      </w:r>
      <w:r>
        <w:t xml:space="preserve"> The state enacted legislation in 2011 (Public Act 11-80) directing </w:t>
      </w:r>
      <w:r w:rsidRPr="00B33A96">
        <w:t>the C</w:t>
      </w:r>
      <w:r>
        <w:t xml:space="preserve">onnecticut </w:t>
      </w:r>
      <w:proofErr w:type="spellStart"/>
      <w:r w:rsidRPr="00B33A96">
        <w:t>S</w:t>
      </w:r>
      <w:r>
        <w:t>iting</w:t>
      </w:r>
      <w:proofErr w:type="spellEnd"/>
      <w:r>
        <w:t xml:space="preserve"> </w:t>
      </w:r>
      <w:r w:rsidRPr="00B33A96">
        <w:t>C</w:t>
      </w:r>
      <w:r>
        <w:t>ouncil</w:t>
      </w:r>
      <w:r w:rsidRPr="00B33A96">
        <w:t xml:space="preserve"> to develop wind-</w:t>
      </w:r>
      <w:proofErr w:type="spellStart"/>
      <w:r w:rsidRPr="00B33A96">
        <w:t>siting</w:t>
      </w:r>
      <w:proofErr w:type="spellEnd"/>
      <w:r w:rsidRPr="00B33A96">
        <w:t xml:space="preserve"> regulations and barring </w:t>
      </w:r>
      <w:r>
        <w:t xml:space="preserve">it </w:t>
      </w:r>
      <w:r w:rsidRPr="00B33A96">
        <w:t xml:space="preserve">from acting on any </w:t>
      </w:r>
      <w:proofErr w:type="spellStart"/>
      <w:r>
        <w:t>siting</w:t>
      </w:r>
      <w:proofErr w:type="spellEnd"/>
      <w:r>
        <w:t xml:space="preserve"> </w:t>
      </w:r>
      <w:r w:rsidRPr="00B33A96">
        <w:t>applications or petitions until after the adoption of these regulations.</w:t>
      </w:r>
    </w:p>
  </w:footnote>
  <w:footnote w:id="390">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MPUC, </w:t>
      </w:r>
      <w:hyperlink r:id="rId371" w:history="1">
        <w:r w:rsidRPr="00372FDE">
          <w:rPr>
            <w:rStyle w:val="Hyperlink"/>
            <w:rFonts w:eastAsiaTheme="majorEastAsia"/>
            <w:i/>
          </w:rPr>
          <w:t>Report to the Legislature Pursuant to Resolves 2013, Chapter 45, Regarding Geomagnetic Disturbances and Electromagnetic Pulse</w:t>
        </w:r>
      </w:hyperlink>
      <w:r w:rsidRPr="00372FDE">
        <w:t>, (January 20, 2014).</w:t>
      </w:r>
      <w:proofErr w:type="gramEnd"/>
    </w:p>
  </w:footnote>
  <w:footnote w:id="391">
    <w:p w:rsidR="001E3655" w:rsidRDefault="001E3655">
      <w:pPr>
        <w:pStyle w:val="FootnoteText"/>
        <w:rPr>
          <w:rFonts w:eastAsia="Calibri"/>
        </w:rPr>
      </w:pPr>
      <w:r w:rsidRPr="003260B6">
        <w:rPr>
          <w:rStyle w:val="FootnoteReference"/>
          <w:rFonts w:asciiTheme="majorHAnsi" w:hAnsiTheme="majorHAnsi"/>
          <w:sz w:val="18"/>
        </w:rPr>
        <w:footnoteRef/>
      </w:r>
      <w:r w:rsidRPr="00372FDE">
        <w:t xml:space="preserve"> </w:t>
      </w:r>
      <w:proofErr w:type="gramStart"/>
      <w:r w:rsidRPr="00372FDE">
        <w:t>Mai</w:t>
      </w:r>
      <w:r w:rsidRPr="00372FDE">
        <w:rPr>
          <w:rFonts w:eastAsia="Calibri"/>
        </w:rPr>
        <w:t xml:space="preserve">ne PUC, </w:t>
      </w:r>
      <w:r w:rsidRPr="00372FDE">
        <w:rPr>
          <w:rFonts w:eastAsia="Calibri"/>
          <w:i/>
        </w:rPr>
        <w:t>Maine Public Utilities Commission Review of Natural Gas Capacity Options</w:t>
      </w:r>
      <w:r w:rsidRPr="00372FDE">
        <w:rPr>
          <w:rFonts w:eastAsia="Calibri"/>
        </w:rPr>
        <w:t xml:space="preserve"> (February 26, 2014), </w:t>
      </w:r>
      <w:hyperlink r:id="rId372" w:history="1">
        <w:r w:rsidRPr="00372FDE">
          <w:rPr>
            <w:rStyle w:val="Hyperlink"/>
            <w:rFonts w:eastAsia="Calibri"/>
          </w:rPr>
          <w:t>http://www.maine.gov/tools/whatsnew/attach.php?id=615609&amp;an=1</w:t>
        </w:r>
      </w:hyperlink>
      <w:r w:rsidRPr="00372FDE">
        <w:rPr>
          <w:rFonts w:eastAsia="Calibri"/>
        </w:rPr>
        <w:t>.</w:t>
      </w:r>
      <w:proofErr w:type="gramEnd"/>
    </w:p>
  </w:footnote>
  <w:footnote w:id="392">
    <w:p w:rsidR="001E3655" w:rsidRDefault="001E3655">
      <w:pPr>
        <w:pStyle w:val="FootnoteText"/>
      </w:pPr>
      <w:r w:rsidRPr="00123A4B">
        <w:rPr>
          <w:rStyle w:val="FootnoteReference"/>
        </w:rPr>
        <w:footnoteRef/>
      </w:r>
      <w:r w:rsidRPr="00123A4B">
        <w:t xml:space="preserve"> State of Maine, </w:t>
      </w:r>
      <w:proofErr w:type="gramStart"/>
      <w:r w:rsidRPr="00123A4B">
        <w:rPr>
          <w:i/>
        </w:rPr>
        <w:t>An</w:t>
      </w:r>
      <w:proofErr w:type="gramEnd"/>
      <w:r w:rsidRPr="00123A4B">
        <w:rPr>
          <w:i/>
        </w:rPr>
        <w:t xml:space="preserve"> Act to Support Solar Energy Development in Maine</w:t>
      </w:r>
      <w:r w:rsidRPr="00123A4B">
        <w:t xml:space="preserve">, Pub. </w:t>
      </w:r>
      <w:proofErr w:type="gramStart"/>
      <w:r w:rsidRPr="00123A4B">
        <w:t xml:space="preserve">L. 2013, Chapter 562 (April 24, 2014), </w:t>
      </w:r>
      <w:hyperlink r:id="rId373" w:history="1">
        <w:r w:rsidRPr="00123A4B">
          <w:rPr>
            <w:rStyle w:val="Hyperlink"/>
          </w:rPr>
          <w:t>http://www.mainelegislature.org/legis/bills/getPDF.asp?paper=SP0644&amp;item=3&amp;snum=126</w:t>
        </w:r>
      </w:hyperlink>
      <w:r w:rsidRPr="00123A4B">
        <w:t>.</w:t>
      </w:r>
      <w:proofErr w:type="gramEnd"/>
      <w:r w:rsidRPr="00123A4B">
        <w:t xml:space="preserve"> </w:t>
      </w:r>
    </w:p>
  </w:footnote>
  <w:footnote w:id="393">
    <w:p w:rsidR="001E3655" w:rsidRDefault="001E3655">
      <w:pPr>
        <w:pStyle w:val="FootnoteText"/>
      </w:pPr>
      <w:r w:rsidRPr="008E434B">
        <w:rPr>
          <w:rStyle w:val="FootnoteReference"/>
          <w:sz w:val="18"/>
        </w:rPr>
        <w:footnoteRef/>
      </w:r>
      <w:r w:rsidRPr="008E434B">
        <w:t xml:space="preserve"> </w:t>
      </w:r>
      <w:proofErr w:type="gramStart"/>
      <w:r w:rsidRPr="008E434B">
        <w:t xml:space="preserve">MA DPU, </w:t>
      </w:r>
      <w:r w:rsidRPr="00EF2733">
        <w:rPr>
          <w:i/>
        </w:rPr>
        <w:t>Investigation by the Department of Public Utilities upon Its Own Motion into Time Varying Rates</w:t>
      </w:r>
      <w:r w:rsidRPr="008E434B">
        <w:t xml:space="preserve">, DPU 14-04-B (June 12, 2014), </w:t>
      </w:r>
      <w:hyperlink r:id="rId374" w:history="1">
        <w:r w:rsidRPr="005C42BD">
          <w:rPr>
            <w:rStyle w:val="Hyperlink"/>
          </w:rPr>
          <w:t>http://www.mass.gov/eea/docs/dpu/orders/d-p-u-14-04-b-order-6-12-14.pdf</w:t>
        </w:r>
      </w:hyperlink>
      <w:r>
        <w:t>.</w:t>
      </w:r>
      <w:proofErr w:type="gramEnd"/>
    </w:p>
  </w:footnote>
  <w:footnote w:id="394">
    <w:p w:rsidR="001E3655" w:rsidRPr="00004424" w:rsidRDefault="001E3655" w:rsidP="00A24B46">
      <w:pPr>
        <w:spacing w:after="80" w:line="240" w:lineRule="auto"/>
        <w:rPr>
          <w:rFonts w:asciiTheme="majorHAnsi" w:eastAsia="Times New Roman" w:hAnsiTheme="majorHAnsi" w:cs="Arial"/>
          <w:sz w:val="18"/>
          <w:szCs w:val="18"/>
        </w:rPr>
      </w:pPr>
      <w:r w:rsidRPr="008E434B">
        <w:rPr>
          <w:rStyle w:val="FootnoteReference"/>
          <w:rFonts w:asciiTheme="majorHAnsi" w:hAnsiTheme="majorHAnsi"/>
          <w:sz w:val="18"/>
          <w:szCs w:val="18"/>
        </w:rPr>
        <w:footnoteRef/>
      </w:r>
      <w:r w:rsidRPr="008E434B">
        <w:rPr>
          <w:rFonts w:asciiTheme="majorHAnsi" w:hAnsiTheme="majorHAnsi"/>
          <w:sz w:val="18"/>
          <w:szCs w:val="18"/>
        </w:rPr>
        <w:t xml:space="preserve"> </w:t>
      </w:r>
      <w:proofErr w:type="gramStart"/>
      <w:r w:rsidRPr="008E434B">
        <w:rPr>
          <w:rFonts w:asciiTheme="majorHAnsi" w:hAnsiTheme="majorHAnsi"/>
          <w:sz w:val="18"/>
          <w:szCs w:val="18"/>
        </w:rPr>
        <w:t xml:space="preserve">MA </w:t>
      </w:r>
      <w:r w:rsidRPr="008E434B">
        <w:rPr>
          <w:rFonts w:asciiTheme="majorHAnsi" w:eastAsia="Times New Roman" w:hAnsiTheme="majorHAnsi" w:cs="Arial"/>
          <w:sz w:val="18"/>
          <w:szCs w:val="18"/>
        </w:rPr>
        <w:t xml:space="preserve">DPU, </w:t>
      </w:r>
      <w:r w:rsidRPr="008E434B">
        <w:rPr>
          <w:rFonts w:asciiTheme="majorHAnsi" w:eastAsia="Times New Roman" w:hAnsiTheme="majorHAnsi" w:cs="Arial"/>
          <w:i/>
          <w:sz w:val="18"/>
          <w:szCs w:val="18"/>
        </w:rPr>
        <w:t>Investigation by the Department of Public Utilities on its own Motion into Modernization of the Electric Grid</w:t>
      </w:r>
      <w:r w:rsidRPr="008E434B">
        <w:rPr>
          <w:rFonts w:asciiTheme="majorHAnsi" w:eastAsia="Times New Roman" w:hAnsiTheme="majorHAnsi" w:cs="Arial"/>
          <w:sz w:val="18"/>
          <w:szCs w:val="18"/>
        </w:rPr>
        <w:t xml:space="preserve">, DPU 12-76-B </w:t>
      </w:r>
      <w:r w:rsidRPr="008E434B">
        <w:rPr>
          <w:rFonts w:asciiTheme="majorHAnsi" w:hAnsiTheme="majorHAnsi"/>
          <w:sz w:val="18"/>
          <w:szCs w:val="18"/>
        </w:rPr>
        <w:t xml:space="preserve">(June 12, 2014), </w:t>
      </w:r>
      <w:hyperlink r:id="rId375" w:history="1">
        <w:r w:rsidRPr="008E434B">
          <w:rPr>
            <w:rStyle w:val="Hyperlink"/>
            <w:sz w:val="18"/>
            <w:szCs w:val="18"/>
          </w:rPr>
          <w:t>http://www.mass.gov/eea/docs/dpu/orders/dpu-12-76-b-order-6-12-2014.pdf</w:t>
        </w:r>
      </w:hyperlink>
      <w:r w:rsidRPr="008E434B">
        <w:rPr>
          <w:sz w:val="18"/>
          <w:szCs w:val="18"/>
        </w:rPr>
        <w:t>.</w:t>
      </w:r>
      <w:proofErr w:type="gramEnd"/>
    </w:p>
  </w:footnote>
  <w:footnote w:id="395">
    <w:p w:rsidR="001E3655" w:rsidRDefault="001E3655">
      <w:pPr>
        <w:pStyle w:val="FootnoteText"/>
      </w:pPr>
      <w:r w:rsidRPr="00C656A0">
        <w:rPr>
          <w:rStyle w:val="FootnoteReference"/>
        </w:rPr>
        <w:footnoteRef/>
      </w:r>
      <w:r w:rsidRPr="00C656A0">
        <w:t xml:space="preserve"> </w:t>
      </w:r>
      <w:proofErr w:type="gramStart"/>
      <w:r w:rsidRPr="00C656A0">
        <w:t xml:space="preserve">Commonwealth of Massachusetts, </w:t>
      </w:r>
      <w:r w:rsidRPr="0058019A">
        <w:rPr>
          <w:i/>
        </w:rPr>
        <w:t>An Act Relative to Credit for Thermal Energy</w:t>
      </w:r>
      <w:r w:rsidRPr="00C656A0">
        <w:rPr>
          <w:i/>
        </w:rPr>
        <w:t xml:space="preserve"> </w:t>
      </w:r>
      <w:r w:rsidRPr="0058019A">
        <w:rPr>
          <w:i/>
        </w:rPr>
        <w:t>Generated with Renewable Fuels</w:t>
      </w:r>
      <w:r w:rsidRPr="00C656A0">
        <w:t>, H. 4385 (July 31,</w:t>
      </w:r>
      <w:r>
        <w:t xml:space="preserve"> </w:t>
      </w:r>
      <w:r w:rsidRPr="00C656A0">
        <w:t xml:space="preserve">2014), </w:t>
      </w:r>
      <w:hyperlink r:id="rId376" w:history="1">
        <w:r w:rsidRPr="00C656A0">
          <w:rPr>
            <w:rStyle w:val="Hyperlink"/>
          </w:rPr>
          <w:t>https://malegislature.gov/Bills/188/House/H4385</w:t>
        </w:r>
      </w:hyperlink>
      <w:r w:rsidRPr="00C656A0">
        <w:t>.</w:t>
      </w:r>
      <w:proofErr w:type="gramEnd"/>
    </w:p>
  </w:footnote>
  <w:footnote w:id="396">
    <w:p w:rsidR="001E3655" w:rsidRDefault="001E3655">
      <w:pPr>
        <w:pStyle w:val="FootnoteText"/>
      </w:pPr>
      <w:r w:rsidRPr="003260B6">
        <w:rPr>
          <w:rStyle w:val="FootnoteReference"/>
          <w:rFonts w:asciiTheme="majorHAnsi" w:hAnsiTheme="majorHAnsi"/>
          <w:sz w:val="18"/>
        </w:rPr>
        <w:footnoteRef/>
      </w:r>
      <w:r w:rsidRPr="00372FDE">
        <w:t xml:space="preserve"> </w:t>
      </w:r>
      <w:proofErr w:type="gramStart"/>
      <w:r w:rsidRPr="00372FDE">
        <w:t xml:space="preserve">PSNH, </w:t>
      </w:r>
      <w:r w:rsidRPr="00875113">
        <w:rPr>
          <w:i/>
        </w:rPr>
        <w:t>Report on Investigation into Market Conditions, Default Service Rate, Generation Ownership, and Impacts on the Competitive Electricity Market</w:t>
      </w:r>
      <w:r w:rsidRPr="00372FDE">
        <w:t xml:space="preserve">, IR 13-020 (June 7, 2013), </w:t>
      </w:r>
      <w:hyperlink r:id="rId377" w:history="1">
        <w:r w:rsidRPr="00372FDE">
          <w:rPr>
            <w:rStyle w:val="Hyperlink"/>
            <w:rFonts w:eastAsiaTheme="majorEastAsia"/>
          </w:rPr>
          <w:t>http://www.puc.nh.gov/Electric/IR%2013-020%20PSNH%20Report%20-%20Final.pdf</w:t>
        </w:r>
      </w:hyperlink>
      <w:r w:rsidRPr="00372FDE">
        <w:t>.</w:t>
      </w:r>
      <w:proofErr w:type="gramEnd"/>
    </w:p>
  </w:footnote>
  <w:footnote w:id="397">
    <w:p w:rsidR="001E3655" w:rsidRPr="00372FDE" w:rsidRDefault="001E3655" w:rsidP="00441E32">
      <w:pPr>
        <w:pStyle w:val="Default"/>
        <w:spacing w:after="80"/>
        <w:rPr>
          <w:rFonts w:asciiTheme="majorHAnsi" w:hAnsiTheme="majorHAnsi"/>
          <w:sz w:val="18"/>
          <w:szCs w:val="18"/>
        </w:rPr>
      </w:pPr>
      <w:r w:rsidRPr="00372FDE">
        <w:rPr>
          <w:rStyle w:val="FootnoteReference"/>
          <w:rFonts w:asciiTheme="majorHAnsi" w:hAnsiTheme="majorHAnsi"/>
          <w:sz w:val="18"/>
          <w:szCs w:val="18"/>
        </w:rPr>
        <w:footnoteRef/>
      </w:r>
      <w:r w:rsidRPr="00372FDE">
        <w:rPr>
          <w:rFonts w:asciiTheme="majorHAnsi" w:hAnsiTheme="majorHAnsi"/>
          <w:sz w:val="18"/>
          <w:szCs w:val="18"/>
        </w:rPr>
        <w:t xml:space="preserve"> PSNH, </w:t>
      </w:r>
      <w:r w:rsidRPr="00372FDE">
        <w:rPr>
          <w:rFonts w:asciiTheme="majorHAnsi" w:hAnsiTheme="majorHAnsi"/>
          <w:bCs/>
          <w:i/>
          <w:sz w:val="18"/>
          <w:szCs w:val="18"/>
        </w:rPr>
        <w:t>Preliminary Status Report Addressing the Economic Interest of PSNH’s Retail Customers as it Relates to the Potential Divestiture of PSNH’s Generating Plants</w:t>
      </w:r>
      <w:r w:rsidRPr="00372FDE">
        <w:rPr>
          <w:rFonts w:asciiTheme="majorHAnsi" w:hAnsiTheme="majorHAnsi"/>
          <w:sz w:val="18"/>
          <w:szCs w:val="18"/>
        </w:rPr>
        <w:t xml:space="preserve">, IR 13-020 (April 1, 2014), </w:t>
      </w:r>
      <w:hyperlink r:id="rId378" w:history="1">
        <w:r w:rsidRPr="00372FDE">
          <w:rPr>
            <w:rStyle w:val="Hyperlink"/>
            <w:rFonts w:asciiTheme="majorHAnsi" w:eastAsiaTheme="majorEastAsia" w:hAnsiTheme="majorHAnsi"/>
            <w:sz w:val="18"/>
            <w:szCs w:val="18"/>
          </w:rPr>
          <w:t>http://www.puc.state.nh.us/Regulatory/Docketbk/2013/13-020/LETTERS-MEMOS-TARIFFS/13-020%202014-04-01%20STAFF%20PRELIMINARY%20STATUS%20RPT_PSNH%20GENERATING%20PLANTS.PDF</w:t>
        </w:r>
      </w:hyperlink>
      <w:r>
        <w:t>.</w:t>
      </w:r>
    </w:p>
  </w:footnote>
  <w:footnote w:id="398">
    <w:p w:rsidR="001E3655" w:rsidRPr="00B33A96" w:rsidRDefault="001E3655" w:rsidP="00441E32">
      <w:pPr>
        <w:pStyle w:val="Default"/>
        <w:spacing w:after="80"/>
        <w:rPr>
          <w:rFonts w:asciiTheme="majorHAnsi" w:hAnsiTheme="majorHAnsi"/>
          <w:sz w:val="18"/>
          <w:szCs w:val="18"/>
        </w:rPr>
      </w:pPr>
      <w:r w:rsidRPr="008F742F">
        <w:rPr>
          <w:rStyle w:val="FootnoteReference"/>
          <w:rFonts w:asciiTheme="majorHAnsi" w:hAnsiTheme="majorHAnsi"/>
          <w:sz w:val="18"/>
          <w:szCs w:val="18"/>
        </w:rPr>
        <w:footnoteRef/>
      </w:r>
      <w:r w:rsidRPr="008F742F">
        <w:rPr>
          <w:rFonts w:asciiTheme="majorHAnsi" w:hAnsiTheme="majorHAnsi"/>
          <w:sz w:val="18"/>
          <w:szCs w:val="18"/>
        </w:rPr>
        <w:t xml:space="preserve"> </w:t>
      </w:r>
      <w:r w:rsidRPr="00372FDE">
        <w:rPr>
          <w:rFonts w:asciiTheme="majorHAnsi" w:hAnsiTheme="majorHAnsi"/>
          <w:sz w:val="18"/>
          <w:szCs w:val="18"/>
        </w:rPr>
        <w:t xml:space="preserve">PSNH, </w:t>
      </w:r>
      <w:r w:rsidRPr="00372FDE">
        <w:rPr>
          <w:rFonts w:asciiTheme="majorHAnsi" w:hAnsiTheme="majorHAnsi"/>
          <w:bCs/>
          <w:i/>
          <w:sz w:val="18"/>
          <w:szCs w:val="18"/>
        </w:rPr>
        <w:t>Preliminary Status Report Addressing the Economic Interest of PSNH’s Retail Customers as it Relates to the Potential Divestiture of PSNH’s Generating Plants</w:t>
      </w:r>
      <w:r w:rsidRPr="00372FDE">
        <w:rPr>
          <w:rFonts w:asciiTheme="majorHAnsi" w:hAnsiTheme="majorHAnsi"/>
          <w:sz w:val="18"/>
          <w:szCs w:val="18"/>
        </w:rPr>
        <w:t xml:space="preserve">, p. 10, IR 13-020 (April 1, 2014), </w:t>
      </w:r>
      <w:hyperlink r:id="rId379" w:history="1">
        <w:r w:rsidRPr="00B33A96">
          <w:rPr>
            <w:rStyle w:val="Hyperlink"/>
            <w:rFonts w:asciiTheme="majorHAnsi" w:eastAsiaTheme="majorEastAsia" w:hAnsiTheme="majorHAnsi"/>
            <w:sz w:val="18"/>
            <w:szCs w:val="18"/>
          </w:rPr>
          <w:t>http://www.puc.state.nh.us/Regulatory/Docketbk/2013/13-020/LETTERS-MEMOS-TARIFFS/13-020%202014-04-01%20STAFF%20PRELIMINARY%20STATUS%20RPT_PSNH%20GENERATING%20PLANTS.PDF</w:t>
        </w:r>
      </w:hyperlink>
      <w:r>
        <w:t>.</w:t>
      </w:r>
    </w:p>
  </w:footnote>
  <w:footnote w:id="399">
    <w:p w:rsidR="001E3655" w:rsidRDefault="001E3655">
      <w:pPr>
        <w:pStyle w:val="FootnoteText"/>
      </w:pPr>
      <w:r w:rsidRPr="00A71C0A">
        <w:rPr>
          <w:rStyle w:val="FootnoteReference"/>
          <w:rFonts w:eastAsiaTheme="majorEastAsia"/>
        </w:rPr>
        <w:footnoteRef/>
      </w:r>
      <w:r w:rsidRPr="00A71C0A">
        <w:t xml:space="preserve"> </w:t>
      </w:r>
      <w:proofErr w:type="gramStart"/>
      <w:r w:rsidRPr="00A71C0A">
        <w:t xml:space="preserve">State of New Hampshire, </w:t>
      </w:r>
      <w:r w:rsidRPr="00A71C0A">
        <w:rPr>
          <w:i/>
        </w:rPr>
        <w:t>An Act Relative to the Divestiture of PSNH Assets</w:t>
      </w:r>
      <w:r w:rsidRPr="00A71C0A">
        <w:t>, HB1602 (June 4, 2014),</w:t>
      </w:r>
      <w:r w:rsidRPr="00B33A96">
        <w:t xml:space="preserve"> </w:t>
      </w:r>
      <w:hyperlink r:id="rId380" w:history="1">
        <w:r w:rsidRPr="005C42BD">
          <w:rPr>
            <w:rStyle w:val="Hyperlink"/>
          </w:rPr>
          <w:t>http://www.gencourt.state.nh.us/legislation/2014/HB1602.pdf</w:t>
        </w:r>
      </w:hyperlink>
      <w:r w:rsidRPr="00B33A96">
        <w:t>.</w:t>
      </w:r>
      <w:proofErr w:type="gramEnd"/>
    </w:p>
  </w:footnote>
  <w:footnote w:id="400">
    <w:p w:rsidR="001E3655" w:rsidRDefault="001E3655">
      <w:pPr>
        <w:pStyle w:val="FootnoteText"/>
      </w:pPr>
      <w:r w:rsidRPr="00372FDE">
        <w:rPr>
          <w:rStyle w:val="FootnoteReference"/>
          <w:rFonts w:asciiTheme="majorHAnsi" w:hAnsiTheme="majorHAnsi"/>
          <w:sz w:val="18"/>
        </w:rPr>
        <w:footnoteRef/>
      </w:r>
      <w:r w:rsidRPr="00372FDE">
        <w:t xml:space="preserve"> </w:t>
      </w:r>
      <w:proofErr w:type="gramStart"/>
      <w:r w:rsidRPr="00372FDE">
        <w:t xml:space="preserve">State of New Hampshire, </w:t>
      </w:r>
      <w:r w:rsidRPr="00372FDE">
        <w:rPr>
          <w:i/>
        </w:rPr>
        <w:t>An Act Establishing a State Energy Strategy</w:t>
      </w:r>
      <w:r w:rsidRPr="00372FDE">
        <w:t xml:space="preserve">, SB 191 (July 24, 2013), </w:t>
      </w:r>
      <w:hyperlink r:id="rId381" w:history="1">
        <w:r w:rsidRPr="00372FDE">
          <w:rPr>
            <w:rStyle w:val="Hyperlink"/>
          </w:rPr>
          <w:t>http://legiscan.com/NH/text/SB191/id/792744</w:t>
        </w:r>
      </w:hyperlink>
      <w:r w:rsidRPr="00372FDE">
        <w:t>.</w:t>
      </w:r>
      <w:proofErr w:type="gramEnd"/>
    </w:p>
  </w:footnote>
  <w:footnote w:id="401">
    <w:p w:rsidR="001E3655" w:rsidRDefault="001E3655">
      <w:pPr>
        <w:pStyle w:val="FootnoteText"/>
      </w:pPr>
      <w:r w:rsidRPr="00B33A96">
        <w:rPr>
          <w:rStyle w:val="FootnoteReference"/>
          <w:rFonts w:asciiTheme="majorHAnsi" w:hAnsiTheme="majorHAnsi"/>
          <w:sz w:val="18"/>
        </w:rPr>
        <w:footnoteRef/>
      </w:r>
      <w:r w:rsidRPr="00B33A96">
        <w:t xml:space="preserve"> </w:t>
      </w:r>
      <w:proofErr w:type="gramStart"/>
      <w:r w:rsidRPr="00B33A96">
        <w:t xml:space="preserve">OEP, </w:t>
      </w:r>
      <w:r w:rsidRPr="00B33A96">
        <w:rPr>
          <w:i/>
        </w:rPr>
        <w:t xml:space="preserve">New Hampshire’s Energy Facility </w:t>
      </w:r>
      <w:proofErr w:type="spellStart"/>
      <w:r w:rsidRPr="00B33A96">
        <w:rPr>
          <w:i/>
        </w:rPr>
        <w:t>Siting</w:t>
      </w:r>
      <w:proofErr w:type="spellEnd"/>
      <w:r w:rsidRPr="00B33A96">
        <w:rPr>
          <w:i/>
        </w:rPr>
        <w:t xml:space="preserve"> Process: Report on Stakeholder and Citizen Feedback</w:t>
      </w:r>
      <w:r w:rsidRPr="00B33A96">
        <w:t xml:space="preserve"> (December 31, 2013), </w:t>
      </w:r>
      <w:hyperlink r:id="rId382" w:history="1">
        <w:r w:rsidRPr="005C42BD">
          <w:rPr>
            <w:rStyle w:val="Hyperlink"/>
          </w:rPr>
          <w:t>http://www.nh.gov/oep/energy/programs/documents/sb99reportonstakeholderandcitizenfeedback.pdf</w:t>
        </w:r>
      </w:hyperlink>
      <w:r w:rsidRPr="00B33A96">
        <w:t>.</w:t>
      </w:r>
      <w:proofErr w:type="gramEnd"/>
    </w:p>
  </w:footnote>
  <w:footnote w:id="402">
    <w:p w:rsidR="001E3655" w:rsidRDefault="001E3655">
      <w:pPr>
        <w:pStyle w:val="FootnoteText"/>
      </w:pPr>
      <w:r w:rsidRPr="00B33A96">
        <w:rPr>
          <w:rStyle w:val="FootnoteReference"/>
          <w:rFonts w:eastAsiaTheme="majorEastAsia"/>
        </w:rPr>
        <w:footnoteRef/>
      </w:r>
      <w:r>
        <w:t xml:space="preserve"> </w:t>
      </w:r>
      <w:proofErr w:type="gramStart"/>
      <w:r w:rsidRPr="00B33A96">
        <w:t xml:space="preserve">State of New Hampshire, </w:t>
      </w:r>
      <w:r w:rsidRPr="00B33A96">
        <w:rPr>
          <w:i/>
        </w:rPr>
        <w:t xml:space="preserve">An Act </w:t>
      </w:r>
      <w:r>
        <w:rPr>
          <w:i/>
        </w:rPr>
        <w:t>R</w:t>
      </w:r>
      <w:r w:rsidRPr="00B33A96">
        <w:rPr>
          <w:i/>
        </w:rPr>
        <w:t xml:space="preserve">elative to the </w:t>
      </w:r>
      <w:proofErr w:type="spellStart"/>
      <w:r>
        <w:rPr>
          <w:i/>
        </w:rPr>
        <w:t>S</w:t>
      </w:r>
      <w:r w:rsidRPr="00B33A96">
        <w:rPr>
          <w:i/>
        </w:rPr>
        <w:t>iting</w:t>
      </w:r>
      <w:proofErr w:type="spellEnd"/>
      <w:r w:rsidRPr="00B33A96">
        <w:rPr>
          <w:i/>
        </w:rPr>
        <w:t xml:space="preserve"> of </w:t>
      </w:r>
      <w:r>
        <w:rPr>
          <w:i/>
        </w:rPr>
        <w:t>E</w:t>
      </w:r>
      <w:r w:rsidRPr="00B33A96">
        <w:rPr>
          <w:i/>
        </w:rPr>
        <w:t xml:space="preserve">nergy </w:t>
      </w:r>
      <w:r>
        <w:rPr>
          <w:i/>
        </w:rPr>
        <w:t>F</w:t>
      </w:r>
      <w:r w:rsidRPr="00B33A96">
        <w:rPr>
          <w:i/>
        </w:rPr>
        <w:t>acilities</w:t>
      </w:r>
      <w:r w:rsidRPr="00B33A96">
        <w:t xml:space="preserve">, SB245 (June 4, 2014), </w:t>
      </w:r>
      <w:hyperlink r:id="rId383" w:history="1">
        <w:r w:rsidRPr="005C42BD">
          <w:rPr>
            <w:rStyle w:val="Hyperlink"/>
          </w:rPr>
          <w:t>http://www.gencourt.state.nh.us/legislation/2014/SB0245.pdf</w:t>
        </w:r>
      </w:hyperlink>
      <w:r>
        <w:t>.</w:t>
      </w:r>
      <w:proofErr w:type="gramEnd"/>
      <w:r>
        <w:t xml:space="preserve"> </w:t>
      </w:r>
      <w:proofErr w:type="gramStart"/>
      <w:r w:rsidRPr="005C42BD">
        <w:t>State of New Hampshire</w:t>
      </w:r>
      <w:r>
        <w:t xml:space="preserve">, </w:t>
      </w:r>
      <w:r w:rsidRPr="00B33A96">
        <w:rPr>
          <w:i/>
        </w:rPr>
        <w:t xml:space="preserve">An Act </w:t>
      </w:r>
      <w:r>
        <w:rPr>
          <w:i/>
        </w:rPr>
        <w:t>R</w:t>
      </w:r>
      <w:r w:rsidRPr="00B33A96">
        <w:rPr>
          <w:i/>
        </w:rPr>
        <w:t>elative to the</w:t>
      </w:r>
      <w:r>
        <w:rPr>
          <w:i/>
        </w:rPr>
        <w:t xml:space="preserve"> D</w:t>
      </w:r>
      <w:r w:rsidRPr="00B33A96">
        <w:rPr>
          <w:i/>
        </w:rPr>
        <w:t xml:space="preserve">ivestiture of PSNH </w:t>
      </w:r>
      <w:r>
        <w:rPr>
          <w:i/>
        </w:rPr>
        <w:t>A</w:t>
      </w:r>
      <w:r w:rsidRPr="00B33A96">
        <w:rPr>
          <w:i/>
        </w:rPr>
        <w:t>ssets</w:t>
      </w:r>
      <w:r w:rsidRPr="00B33A96">
        <w:t xml:space="preserve">, HB1602 (June 4, 2014), </w:t>
      </w:r>
      <w:hyperlink r:id="rId384" w:history="1">
        <w:r w:rsidRPr="005C42BD">
          <w:rPr>
            <w:rStyle w:val="Hyperlink"/>
          </w:rPr>
          <w:t>http://www.gencourt.state.nh.us/legislation/2014/HB1602.pdf</w:t>
        </w:r>
      </w:hyperlink>
      <w:r w:rsidRPr="00B33A96">
        <w:t>.</w:t>
      </w:r>
      <w:proofErr w:type="gramEnd"/>
    </w:p>
  </w:footnote>
  <w:footnote w:id="403">
    <w:p w:rsidR="001E3655" w:rsidRDefault="001E3655">
      <w:pPr>
        <w:pStyle w:val="FootnoteText"/>
      </w:pPr>
      <w:r>
        <w:rPr>
          <w:rStyle w:val="FootnoteReference"/>
        </w:rPr>
        <w:footnoteRef/>
      </w:r>
      <w:r>
        <w:t xml:space="preserve"> </w:t>
      </w:r>
      <w:proofErr w:type="gramStart"/>
      <w:r>
        <w:t xml:space="preserve">State of New Hampshire, </w:t>
      </w:r>
      <w:r w:rsidRPr="00982B6D">
        <w:rPr>
          <w:i/>
        </w:rPr>
        <w:t xml:space="preserve">An Act </w:t>
      </w:r>
      <w:r>
        <w:rPr>
          <w:i/>
        </w:rPr>
        <w:t>R</w:t>
      </w:r>
      <w:r w:rsidRPr="00982B6D">
        <w:rPr>
          <w:i/>
        </w:rPr>
        <w:t xml:space="preserve">equiring the </w:t>
      </w:r>
      <w:r>
        <w:rPr>
          <w:i/>
        </w:rPr>
        <w:t>D</w:t>
      </w:r>
      <w:r w:rsidRPr="00982B6D">
        <w:rPr>
          <w:i/>
        </w:rPr>
        <w:t xml:space="preserve">evelopment of an </w:t>
      </w:r>
      <w:r>
        <w:rPr>
          <w:i/>
        </w:rPr>
        <w:t>E</w:t>
      </w:r>
      <w:r w:rsidRPr="00982B6D">
        <w:rPr>
          <w:i/>
        </w:rPr>
        <w:t>nergy</w:t>
      </w:r>
      <w:r>
        <w:rPr>
          <w:i/>
        </w:rPr>
        <w:t>-E</w:t>
      </w:r>
      <w:r w:rsidRPr="00982B6D">
        <w:rPr>
          <w:i/>
        </w:rPr>
        <w:t xml:space="preserve">fficiency </w:t>
      </w:r>
      <w:r>
        <w:rPr>
          <w:i/>
        </w:rPr>
        <w:t>I</w:t>
      </w:r>
      <w:r w:rsidRPr="00982B6D">
        <w:rPr>
          <w:i/>
        </w:rPr>
        <w:t xml:space="preserve">mplementation </w:t>
      </w:r>
      <w:r>
        <w:rPr>
          <w:i/>
        </w:rPr>
        <w:t>P</w:t>
      </w:r>
      <w:r w:rsidRPr="00982B6D">
        <w:rPr>
          <w:i/>
        </w:rPr>
        <w:t>lan</w:t>
      </w:r>
      <w:r>
        <w:t xml:space="preserve">, HB 1129 (June 4, 2014), </w:t>
      </w:r>
      <w:hyperlink r:id="rId385" w:history="1">
        <w:r w:rsidRPr="00391CB0">
          <w:rPr>
            <w:rStyle w:val="Hyperlink"/>
          </w:rPr>
          <w:t>http://www.gencourt.state.nh.us/legislation/2014/HB1129.pdf</w:t>
        </w:r>
      </w:hyperlink>
      <w:r>
        <w:t>.</w:t>
      </w:r>
      <w:proofErr w:type="gramEnd"/>
    </w:p>
  </w:footnote>
  <w:footnote w:id="404">
    <w:p w:rsidR="001E3655" w:rsidRDefault="001E3655">
      <w:pPr>
        <w:pStyle w:val="FootnoteText"/>
      </w:pPr>
      <w:r w:rsidRPr="00372FDE">
        <w:rPr>
          <w:rStyle w:val="FootnoteReference"/>
          <w:rFonts w:asciiTheme="majorHAnsi" w:hAnsiTheme="majorHAnsi"/>
          <w:sz w:val="18"/>
        </w:rPr>
        <w:footnoteRef/>
      </w:r>
      <w:r w:rsidRPr="00372FDE">
        <w:t xml:space="preserve"> In accordance with RI Gen. Laws § 39-26-6(d), the Rhode Island PUC reviewed the state’s RES to determine the adequacy, or potential adequacy, of renewable energy supplies to meet the increase in </w:t>
      </w:r>
      <w:r>
        <w:t xml:space="preserve">the </w:t>
      </w:r>
      <w:r w:rsidRPr="00372FDE">
        <w:t xml:space="preserve">percentage </w:t>
      </w:r>
      <w:r>
        <w:t xml:space="preserve">of energy </w:t>
      </w:r>
      <w:r w:rsidRPr="00372FDE">
        <w:t>require</w:t>
      </w:r>
      <w:r>
        <w:t xml:space="preserve">d </w:t>
      </w:r>
      <w:r w:rsidRPr="002C7B1D">
        <w:t xml:space="preserve">from </w:t>
      </w:r>
      <w:r>
        <w:t xml:space="preserve">these </w:t>
      </w:r>
      <w:r w:rsidRPr="002C7B1D">
        <w:t>supplies to go into effect in 2015.</w:t>
      </w:r>
    </w:p>
  </w:footnote>
  <w:footnote w:id="405">
    <w:p w:rsidR="001E3655" w:rsidRDefault="001E3655">
      <w:pPr>
        <w:pStyle w:val="FootnoteText"/>
      </w:pPr>
      <w:r w:rsidRPr="002C7B1D">
        <w:rPr>
          <w:rStyle w:val="FootnoteReference"/>
          <w:rFonts w:asciiTheme="majorHAnsi" w:eastAsiaTheme="majorEastAsia" w:hAnsiTheme="majorHAnsi"/>
          <w:sz w:val="18"/>
        </w:rPr>
        <w:footnoteRef/>
      </w:r>
      <w:r w:rsidRPr="002C7B1D">
        <w:t xml:space="preserve"> RI PUC, Order No. 21353, Docket No. 4404, </w:t>
      </w:r>
      <w:r w:rsidRPr="002C7B1D">
        <w:rPr>
          <w:i/>
        </w:rPr>
        <w:t>Commission’s Review into the Adequacy of Renewable Energy Supplies</w:t>
      </w:r>
      <w:r w:rsidRPr="002C7B1D">
        <w:t xml:space="preserve"> pursuant to R.I. Gen. Laws § 39-26-6(d), (February 10, 2014).</w:t>
      </w:r>
    </w:p>
  </w:footnote>
  <w:footnote w:id="406">
    <w:p w:rsidR="001E3655" w:rsidRDefault="001E3655">
      <w:pPr>
        <w:pStyle w:val="FootnoteText"/>
      </w:pPr>
      <w:r w:rsidRPr="002C7B1D">
        <w:rPr>
          <w:rStyle w:val="FootnoteReference"/>
        </w:rPr>
        <w:footnoteRef/>
      </w:r>
      <w:r w:rsidRPr="002C7B1D">
        <w:t xml:space="preserve"> State of Rhode Island, </w:t>
      </w:r>
      <w:r w:rsidRPr="002C7B1D">
        <w:rPr>
          <w:i/>
        </w:rPr>
        <w:t xml:space="preserve">The Renewable Energy Growth Program, </w:t>
      </w:r>
      <w:r w:rsidRPr="002C7B1D">
        <w:t xml:space="preserve">S 2690 Substitute </w:t>
      </w:r>
      <w:proofErr w:type="gramStart"/>
      <w:r w:rsidRPr="002C7B1D">
        <w:t>A</w:t>
      </w:r>
      <w:proofErr w:type="gramEnd"/>
      <w:r w:rsidRPr="002C7B1D">
        <w:t xml:space="preserve">, as amended, and H 7727 Substitute A, as amended (June 2014), </w:t>
      </w:r>
      <w:hyperlink r:id="rId386" w:history="1">
        <w:r w:rsidRPr="002C7B1D">
          <w:rPr>
            <w:rStyle w:val="Hyperlink"/>
          </w:rPr>
          <w:t>http://webserver.rilin.state.ri.us/BillText/BillText14/SenateText14/S2690Aaa.pdf</w:t>
        </w:r>
      </w:hyperlink>
      <w:r w:rsidRPr="002C7B1D">
        <w:t xml:space="preserve"> and </w:t>
      </w:r>
      <w:hyperlink r:id="rId387" w:history="1">
        <w:r w:rsidRPr="00403BDB">
          <w:rPr>
            <w:rStyle w:val="Hyperlink"/>
          </w:rPr>
          <w:t>http://webserver.rilin.state.ri.us/BillText/BillText14/HouseText14/H7727Aaa.pdf</w:t>
        </w:r>
      </w:hyperlink>
      <w:r w:rsidRPr="002C7B1D">
        <w:t>.</w:t>
      </w:r>
    </w:p>
  </w:footnote>
  <w:footnote w:id="407">
    <w:p w:rsidR="001E3655" w:rsidRDefault="001E3655">
      <w:pPr>
        <w:pStyle w:val="FootnoteText"/>
      </w:pPr>
      <w:r w:rsidRPr="002C7B1D">
        <w:rPr>
          <w:rStyle w:val="FootnoteReference"/>
        </w:rPr>
        <w:footnoteRef/>
      </w:r>
      <w:r w:rsidRPr="002C7B1D">
        <w:t xml:space="preserve"> State of Rhode Island, </w:t>
      </w:r>
      <w:r w:rsidRPr="002C7B1D">
        <w:rPr>
          <w:i/>
        </w:rPr>
        <w:t>Affordable Clean Energy Security Act</w:t>
      </w:r>
      <w:r w:rsidRPr="002C7B1D">
        <w:t xml:space="preserve">, S 2439 Substitute A, as amended, and H 7991 Substitute </w:t>
      </w:r>
      <w:proofErr w:type="gramStart"/>
      <w:r w:rsidRPr="002C7B1D">
        <w:t>A</w:t>
      </w:r>
      <w:proofErr w:type="gramEnd"/>
      <w:r w:rsidRPr="002C7B1D">
        <w:t xml:space="preserve"> (June 2014), </w:t>
      </w:r>
      <w:hyperlink r:id="rId388" w:history="1">
        <w:r w:rsidRPr="002C7B1D">
          <w:rPr>
            <w:rStyle w:val="Hyperlink"/>
          </w:rPr>
          <w:t>http://webserver.rilin.state.ri.us/BillText/BillText14/SenateText14/S2439Aaa.pdf</w:t>
        </w:r>
      </w:hyperlink>
      <w:r w:rsidRPr="002C7B1D">
        <w:t xml:space="preserve"> and </w:t>
      </w:r>
      <w:hyperlink r:id="rId389" w:history="1">
        <w:r w:rsidRPr="002C7B1D">
          <w:rPr>
            <w:rStyle w:val="Hyperlink"/>
          </w:rPr>
          <w:t>http://webserver.rilin.state.ri.us/BillText/BillText14/HouseText14/H7991A.pdf</w:t>
        </w:r>
      </w:hyperlink>
      <w:r w:rsidRPr="002C7B1D">
        <w:t>.</w:t>
      </w:r>
      <w:r>
        <w:t xml:space="preserve"> </w:t>
      </w:r>
    </w:p>
  </w:footnote>
  <w:footnote w:id="408">
    <w:p w:rsidR="001E3655" w:rsidRDefault="001E3655">
      <w:pPr>
        <w:pStyle w:val="FootnoteText"/>
      </w:pPr>
      <w:r>
        <w:rPr>
          <w:rStyle w:val="FootnoteReference"/>
        </w:rPr>
        <w:footnoteRef/>
      </w:r>
      <w:r>
        <w:t xml:space="preserve"> </w:t>
      </w:r>
      <w:proofErr w:type="gramStart"/>
      <w:r>
        <w:t xml:space="preserve">State of Rhode Island, </w:t>
      </w:r>
      <w:r>
        <w:rPr>
          <w:i/>
        </w:rPr>
        <w:t>Resilient Rhode Island Act</w:t>
      </w:r>
      <w:r>
        <w:t>,</w:t>
      </w:r>
      <w:r>
        <w:rPr>
          <w:i/>
        </w:rPr>
        <w:t xml:space="preserve"> </w:t>
      </w:r>
      <w:r>
        <w:t xml:space="preserve">H 7904 Substitute A (July 2014), </w:t>
      </w:r>
      <w:hyperlink r:id="rId390" w:history="1">
        <w:r>
          <w:rPr>
            <w:rStyle w:val="Hyperlink"/>
            <w:rFonts w:ascii="Cambria" w:hAnsi="Cambria"/>
          </w:rPr>
          <w:t>http://webserver.rilin.state.ri.us/PublicLaws/law14/law14392.htm</w:t>
        </w:r>
      </w:hyperlink>
      <w:r>
        <w:rPr>
          <w:rFonts w:ascii="Cambria" w:hAnsi="Cambria"/>
        </w:rPr>
        <w:t>.</w:t>
      </w:r>
      <w:proofErr w:type="gramEnd"/>
    </w:p>
  </w:footnote>
  <w:footnote w:id="409">
    <w:p w:rsidR="001E3655" w:rsidRDefault="001E3655">
      <w:pPr>
        <w:pStyle w:val="FootnoteText"/>
      </w:pPr>
      <w:r w:rsidRPr="00B33A96">
        <w:rPr>
          <w:rStyle w:val="FootnoteReference"/>
          <w:rFonts w:asciiTheme="majorHAnsi" w:hAnsiTheme="majorHAnsi"/>
          <w:sz w:val="18"/>
        </w:rPr>
        <w:footnoteRef/>
      </w:r>
      <w:r w:rsidRPr="00B33A96">
        <w:t xml:space="preserve"> </w:t>
      </w:r>
      <w:proofErr w:type="gramStart"/>
      <w:r w:rsidRPr="00B33A96">
        <w:t xml:space="preserve">State of Vermont, </w:t>
      </w:r>
      <w:r w:rsidRPr="00B33A96">
        <w:rPr>
          <w:i/>
        </w:rPr>
        <w:t>An Act Relating to Self-Generation and Net Metering</w:t>
      </w:r>
      <w:r w:rsidRPr="00B33A96">
        <w:t xml:space="preserve">, H.702 (April 2, 2014), </w:t>
      </w:r>
      <w:hyperlink r:id="rId391" w:history="1">
        <w:r w:rsidRPr="00B33A96">
          <w:rPr>
            <w:color w:val="auto"/>
          </w:rPr>
          <w:t>http://www.leg.state.vt.us/docs/2014/bills/Passed/H-702.pdf</w:t>
        </w:r>
      </w:hyperlink>
      <w:r w:rsidRPr="00B33A96">
        <w:rPr>
          <w:color w:val="auto"/>
        </w:rPr>
        <w:t>.</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Default="001E3655" w:rsidP="00FF4FFD">
    <w:pPr>
      <w:spacing w:line="240"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Pr="001E251F" w:rsidRDefault="001E3655" w:rsidP="00023C35">
    <w:pPr>
      <w:spacing w:after="0" w:line="240" w:lineRule="auto"/>
      <w:jc w:val="center"/>
      <w:rPr>
        <w:rFonts w:asciiTheme="majorHAnsi" w:hAnsiTheme="majorHAns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Pr="001E251F" w:rsidRDefault="001E3655" w:rsidP="00023C35">
    <w:pPr>
      <w:spacing w:after="0" w:line="240" w:lineRule="auto"/>
      <w:jc w:val="center"/>
      <w:rPr>
        <w:rFonts w:asciiTheme="majorHAnsi" w:hAnsiTheme="majorHAnsi"/>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Pr="001E251F" w:rsidRDefault="001E3655" w:rsidP="00666F18">
    <w:pPr>
      <w:spacing w:line="240" w:lineRule="auto"/>
      <w:jc w:val="center"/>
      <w:rPr>
        <w:rFonts w:asciiTheme="majorHAnsi" w:hAnsiTheme="majorHAns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55" w:rsidRPr="00023C35" w:rsidRDefault="001E3655" w:rsidP="00023C35">
    <w:pPr>
      <w:pStyle w:val="Header"/>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ACACA7"/>
    <w:multiLevelType w:val="hybridMultilevel"/>
    <w:tmpl w:val="F2C6A0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5BA064A"/>
    <w:multiLevelType w:val="hybridMultilevel"/>
    <w:tmpl w:val="E3ECB0F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6DD0146"/>
    <w:multiLevelType w:val="hybridMultilevel"/>
    <w:tmpl w:val="E56D50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B561323"/>
    <w:multiLevelType w:val="hybridMultilevel"/>
    <w:tmpl w:val="A773E7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232B522"/>
    <w:multiLevelType w:val="hybridMultilevel"/>
    <w:tmpl w:val="B9FF2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6">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7">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8">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9">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10">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11">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12">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13">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14">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04335B3"/>
    <w:multiLevelType w:val="hybridMultilevel"/>
    <w:tmpl w:val="BDA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18">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16A0021"/>
    <w:multiLevelType w:val="hybridMultilevel"/>
    <w:tmpl w:val="5936D802"/>
    <w:lvl w:ilvl="0" w:tplc="4300E044">
      <w:start w:val="1"/>
      <w:numFmt w:val="bullet"/>
      <w:lvlText w:val="•"/>
      <w:lvlJc w:val="left"/>
      <w:pPr>
        <w:tabs>
          <w:tab w:val="num" w:pos="720"/>
        </w:tabs>
        <w:ind w:left="720" w:hanging="360"/>
      </w:pPr>
      <w:rPr>
        <w:rFonts w:ascii="Arial" w:hAnsi="Arial" w:hint="default"/>
      </w:rPr>
    </w:lvl>
    <w:lvl w:ilvl="1" w:tplc="1CF2C8E8">
      <w:start w:val="867"/>
      <w:numFmt w:val="bullet"/>
      <w:lvlText w:val="–"/>
      <w:lvlJc w:val="left"/>
      <w:pPr>
        <w:tabs>
          <w:tab w:val="num" w:pos="1440"/>
        </w:tabs>
        <w:ind w:left="1440" w:hanging="360"/>
      </w:pPr>
      <w:rPr>
        <w:rFonts w:ascii="Arial" w:hAnsi="Arial" w:hint="default"/>
      </w:rPr>
    </w:lvl>
    <w:lvl w:ilvl="2" w:tplc="1F5C8FB8" w:tentative="1">
      <w:start w:val="1"/>
      <w:numFmt w:val="bullet"/>
      <w:lvlText w:val="•"/>
      <w:lvlJc w:val="left"/>
      <w:pPr>
        <w:tabs>
          <w:tab w:val="num" w:pos="2160"/>
        </w:tabs>
        <w:ind w:left="2160" w:hanging="360"/>
      </w:pPr>
      <w:rPr>
        <w:rFonts w:ascii="Arial" w:hAnsi="Arial" w:hint="default"/>
      </w:rPr>
    </w:lvl>
    <w:lvl w:ilvl="3" w:tplc="1C2AB7FE" w:tentative="1">
      <w:start w:val="1"/>
      <w:numFmt w:val="bullet"/>
      <w:lvlText w:val="•"/>
      <w:lvlJc w:val="left"/>
      <w:pPr>
        <w:tabs>
          <w:tab w:val="num" w:pos="2880"/>
        </w:tabs>
        <w:ind w:left="2880" w:hanging="360"/>
      </w:pPr>
      <w:rPr>
        <w:rFonts w:ascii="Arial" w:hAnsi="Arial" w:hint="default"/>
      </w:rPr>
    </w:lvl>
    <w:lvl w:ilvl="4" w:tplc="05AC1A0E" w:tentative="1">
      <w:start w:val="1"/>
      <w:numFmt w:val="bullet"/>
      <w:lvlText w:val="•"/>
      <w:lvlJc w:val="left"/>
      <w:pPr>
        <w:tabs>
          <w:tab w:val="num" w:pos="3600"/>
        </w:tabs>
        <w:ind w:left="3600" w:hanging="360"/>
      </w:pPr>
      <w:rPr>
        <w:rFonts w:ascii="Arial" w:hAnsi="Arial" w:hint="default"/>
      </w:rPr>
    </w:lvl>
    <w:lvl w:ilvl="5" w:tplc="03AA062C" w:tentative="1">
      <w:start w:val="1"/>
      <w:numFmt w:val="bullet"/>
      <w:lvlText w:val="•"/>
      <w:lvlJc w:val="left"/>
      <w:pPr>
        <w:tabs>
          <w:tab w:val="num" w:pos="4320"/>
        </w:tabs>
        <w:ind w:left="4320" w:hanging="360"/>
      </w:pPr>
      <w:rPr>
        <w:rFonts w:ascii="Arial" w:hAnsi="Arial" w:hint="default"/>
      </w:rPr>
    </w:lvl>
    <w:lvl w:ilvl="6" w:tplc="084EFF56" w:tentative="1">
      <w:start w:val="1"/>
      <w:numFmt w:val="bullet"/>
      <w:lvlText w:val="•"/>
      <w:lvlJc w:val="left"/>
      <w:pPr>
        <w:tabs>
          <w:tab w:val="num" w:pos="5040"/>
        </w:tabs>
        <w:ind w:left="5040" w:hanging="360"/>
      </w:pPr>
      <w:rPr>
        <w:rFonts w:ascii="Arial" w:hAnsi="Arial" w:hint="default"/>
      </w:rPr>
    </w:lvl>
    <w:lvl w:ilvl="7" w:tplc="53C8B884" w:tentative="1">
      <w:start w:val="1"/>
      <w:numFmt w:val="bullet"/>
      <w:lvlText w:val="•"/>
      <w:lvlJc w:val="left"/>
      <w:pPr>
        <w:tabs>
          <w:tab w:val="num" w:pos="5760"/>
        </w:tabs>
        <w:ind w:left="5760" w:hanging="360"/>
      </w:pPr>
      <w:rPr>
        <w:rFonts w:ascii="Arial" w:hAnsi="Arial" w:hint="default"/>
      </w:rPr>
    </w:lvl>
    <w:lvl w:ilvl="8" w:tplc="3AF674F4" w:tentative="1">
      <w:start w:val="1"/>
      <w:numFmt w:val="bullet"/>
      <w:lvlText w:val="•"/>
      <w:lvlJc w:val="left"/>
      <w:pPr>
        <w:tabs>
          <w:tab w:val="num" w:pos="6480"/>
        </w:tabs>
        <w:ind w:left="6480" w:hanging="360"/>
      </w:pPr>
      <w:rPr>
        <w:rFonts w:ascii="Arial" w:hAnsi="Arial" w:hint="default"/>
      </w:rPr>
    </w:lvl>
  </w:abstractNum>
  <w:abstractNum w:abstractNumId="21">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26F65AD"/>
    <w:multiLevelType w:val="hybridMultilevel"/>
    <w:tmpl w:val="B668E43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24">
    <w:nsid w:val="03341AA8"/>
    <w:multiLevelType w:val="hybridMultilevel"/>
    <w:tmpl w:val="891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29">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30">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32">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34">
    <w:nsid w:val="04B26055"/>
    <w:multiLevelType w:val="hybridMultilevel"/>
    <w:tmpl w:val="91F4EA00"/>
    <w:lvl w:ilvl="0" w:tplc="C4B6F320">
      <w:start w:val="1"/>
      <w:numFmt w:val="bullet"/>
      <w:pStyle w:val="Bullet-Solid"/>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36">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40">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42">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tentative="1">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44">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45">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46">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47">
    <w:nsid w:val="095D5EBC"/>
    <w:multiLevelType w:val="hybridMultilevel"/>
    <w:tmpl w:val="EBEEC0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52">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0AE526E4"/>
    <w:multiLevelType w:val="hybridMultilevel"/>
    <w:tmpl w:val="E6D29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BCE082A"/>
    <w:multiLevelType w:val="hybridMultilevel"/>
    <w:tmpl w:val="DCB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9">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D8A09A0"/>
    <w:multiLevelType w:val="hybridMultilevel"/>
    <w:tmpl w:val="CD0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DB05899"/>
    <w:multiLevelType w:val="hybridMultilevel"/>
    <w:tmpl w:val="39B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67">
    <w:nsid w:val="0E5639CF"/>
    <w:multiLevelType w:val="hybridMultilevel"/>
    <w:tmpl w:val="F03241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8">
    <w:nsid w:val="0E852FD5"/>
    <w:multiLevelType w:val="hybridMultilevel"/>
    <w:tmpl w:val="632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0F316ECB"/>
    <w:multiLevelType w:val="hybridMultilevel"/>
    <w:tmpl w:val="4E881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76">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77">
    <w:nsid w:val="10C0364C"/>
    <w:multiLevelType w:val="hybridMultilevel"/>
    <w:tmpl w:val="8CB8DF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10CD38AB"/>
    <w:multiLevelType w:val="hybridMultilevel"/>
    <w:tmpl w:val="7BF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80">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83">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84">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12405339"/>
    <w:multiLevelType w:val="hybridMultilevel"/>
    <w:tmpl w:val="03E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87">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92">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96">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5451F02"/>
    <w:multiLevelType w:val="hybridMultilevel"/>
    <w:tmpl w:val="71265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15482D17"/>
    <w:multiLevelType w:val="hybridMultilevel"/>
    <w:tmpl w:val="C4E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157030B6"/>
    <w:multiLevelType w:val="hybridMultilevel"/>
    <w:tmpl w:val="050AD28A"/>
    <w:lvl w:ilvl="0" w:tplc="04090003">
      <w:start w:val="1"/>
      <w:numFmt w:val="bullet"/>
      <w:lvlText w:val="o"/>
      <w:lvlJc w:val="left"/>
      <w:pPr>
        <w:ind w:left="1111" w:hanging="360"/>
      </w:pPr>
      <w:rPr>
        <w:rFonts w:ascii="Courier New" w:hAnsi="Courier New" w:cs="Courier New"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01">
    <w:nsid w:val="16130F7B"/>
    <w:multiLevelType w:val="hybridMultilevel"/>
    <w:tmpl w:val="2F041154"/>
    <w:lvl w:ilvl="0" w:tplc="0A0494D6">
      <w:start w:val="1"/>
      <w:numFmt w:val="bullet"/>
      <w:lvlText w:val="•"/>
      <w:lvlJc w:val="left"/>
      <w:pPr>
        <w:tabs>
          <w:tab w:val="num" w:pos="720"/>
        </w:tabs>
        <w:ind w:left="720" w:hanging="360"/>
      </w:pPr>
      <w:rPr>
        <w:rFonts w:ascii="Arial" w:hAnsi="Arial" w:hint="default"/>
      </w:rPr>
    </w:lvl>
    <w:lvl w:ilvl="1" w:tplc="71DEE58E">
      <w:start w:val="1279"/>
      <w:numFmt w:val="bullet"/>
      <w:lvlText w:val="–"/>
      <w:lvlJc w:val="left"/>
      <w:pPr>
        <w:tabs>
          <w:tab w:val="num" w:pos="1440"/>
        </w:tabs>
        <w:ind w:left="1440" w:hanging="360"/>
      </w:pPr>
      <w:rPr>
        <w:rFonts w:ascii="Arial" w:hAnsi="Arial" w:hint="default"/>
      </w:rPr>
    </w:lvl>
    <w:lvl w:ilvl="2" w:tplc="3CFAA9BA">
      <w:start w:val="1279"/>
      <w:numFmt w:val="bullet"/>
      <w:lvlText w:val="•"/>
      <w:lvlJc w:val="left"/>
      <w:pPr>
        <w:tabs>
          <w:tab w:val="num" w:pos="2160"/>
        </w:tabs>
        <w:ind w:left="2160" w:hanging="360"/>
      </w:pPr>
      <w:rPr>
        <w:rFonts w:ascii="Arial" w:hAnsi="Arial" w:hint="default"/>
      </w:rPr>
    </w:lvl>
    <w:lvl w:ilvl="3" w:tplc="BAE682CC" w:tentative="1">
      <w:start w:val="1"/>
      <w:numFmt w:val="bullet"/>
      <w:lvlText w:val="•"/>
      <w:lvlJc w:val="left"/>
      <w:pPr>
        <w:tabs>
          <w:tab w:val="num" w:pos="2880"/>
        </w:tabs>
        <w:ind w:left="2880" w:hanging="360"/>
      </w:pPr>
      <w:rPr>
        <w:rFonts w:ascii="Arial" w:hAnsi="Arial" w:hint="default"/>
      </w:rPr>
    </w:lvl>
    <w:lvl w:ilvl="4" w:tplc="6778E04A" w:tentative="1">
      <w:start w:val="1"/>
      <w:numFmt w:val="bullet"/>
      <w:lvlText w:val="•"/>
      <w:lvlJc w:val="left"/>
      <w:pPr>
        <w:tabs>
          <w:tab w:val="num" w:pos="3600"/>
        </w:tabs>
        <w:ind w:left="3600" w:hanging="360"/>
      </w:pPr>
      <w:rPr>
        <w:rFonts w:ascii="Arial" w:hAnsi="Arial" w:hint="default"/>
      </w:rPr>
    </w:lvl>
    <w:lvl w:ilvl="5" w:tplc="3A4A8EC0" w:tentative="1">
      <w:start w:val="1"/>
      <w:numFmt w:val="bullet"/>
      <w:lvlText w:val="•"/>
      <w:lvlJc w:val="left"/>
      <w:pPr>
        <w:tabs>
          <w:tab w:val="num" w:pos="4320"/>
        </w:tabs>
        <w:ind w:left="4320" w:hanging="360"/>
      </w:pPr>
      <w:rPr>
        <w:rFonts w:ascii="Arial" w:hAnsi="Arial" w:hint="default"/>
      </w:rPr>
    </w:lvl>
    <w:lvl w:ilvl="6" w:tplc="BEDA29AA" w:tentative="1">
      <w:start w:val="1"/>
      <w:numFmt w:val="bullet"/>
      <w:lvlText w:val="•"/>
      <w:lvlJc w:val="left"/>
      <w:pPr>
        <w:tabs>
          <w:tab w:val="num" w:pos="5040"/>
        </w:tabs>
        <w:ind w:left="5040" w:hanging="360"/>
      </w:pPr>
      <w:rPr>
        <w:rFonts w:ascii="Arial" w:hAnsi="Arial" w:hint="default"/>
      </w:rPr>
    </w:lvl>
    <w:lvl w:ilvl="7" w:tplc="E27AFB1E" w:tentative="1">
      <w:start w:val="1"/>
      <w:numFmt w:val="bullet"/>
      <w:lvlText w:val="•"/>
      <w:lvlJc w:val="left"/>
      <w:pPr>
        <w:tabs>
          <w:tab w:val="num" w:pos="5760"/>
        </w:tabs>
        <w:ind w:left="5760" w:hanging="360"/>
      </w:pPr>
      <w:rPr>
        <w:rFonts w:ascii="Arial" w:hAnsi="Arial" w:hint="default"/>
      </w:rPr>
    </w:lvl>
    <w:lvl w:ilvl="8" w:tplc="310879A0" w:tentative="1">
      <w:start w:val="1"/>
      <w:numFmt w:val="bullet"/>
      <w:lvlText w:val="•"/>
      <w:lvlJc w:val="left"/>
      <w:pPr>
        <w:tabs>
          <w:tab w:val="num" w:pos="6480"/>
        </w:tabs>
        <w:ind w:left="6480" w:hanging="360"/>
      </w:pPr>
      <w:rPr>
        <w:rFonts w:ascii="Arial" w:hAnsi="Arial" w:hint="default"/>
      </w:rPr>
    </w:lvl>
  </w:abstractNum>
  <w:abstractNum w:abstractNumId="102">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19422E43"/>
    <w:multiLevelType w:val="hybridMultilevel"/>
    <w:tmpl w:val="F828D18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9">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1D6669BE"/>
    <w:multiLevelType w:val="hybridMultilevel"/>
    <w:tmpl w:val="9FDB0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2">
    <w:nsid w:val="1E59EE4A"/>
    <w:multiLevelType w:val="hybridMultilevel"/>
    <w:tmpl w:val="5883D8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167131A"/>
    <w:multiLevelType w:val="hybridMultilevel"/>
    <w:tmpl w:val="F4E811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21A578AA"/>
    <w:multiLevelType w:val="hybridMultilevel"/>
    <w:tmpl w:val="BD4CB7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1">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24922FAE"/>
    <w:multiLevelType w:val="hybridMultilevel"/>
    <w:tmpl w:val="D930B29C"/>
    <w:lvl w:ilvl="0" w:tplc="965CEE56">
      <w:start w:val="1"/>
      <w:numFmt w:val="bullet"/>
      <w:lvlText w:val="•"/>
      <w:lvlJc w:val="left"/>
      <w:pPr>
        <w:tabs>
          <w:tab w:val="num" w:pos="720"/>
        </w:tabs>
        <w:ind w:left="720" w:hanging="360"/>
      </w:pPr>
      <w:rPr>
        <w:rFonts w:ascii="Arial" w:hAnsi="Arial" w:hint="default"/>
      </w:rPr>
    </w:lvl>
    <w:lvl w:ilvl="1" w:tplc="DF9CFE40">
      <w:start w:val="1200"/>
      <w:numFmt w:val="bullet"/>
      <w:lvlText w:val="–"/>
      <w:lvlJc w:val="left"/>
      <w:pPr>
        <w:tabs>
          <w:tab w:val="num" w:pos="1440"/>
        </w:tabs>
        <w:ind w:left="1440" w:hanging="360"/>
      </w:pPr>
      <w:rPr>
        <w:rFonts w:ascii="Arial" w:hAnsi="Arial" w:hint="default"/>
      </w:rPr>
    </w:lvl>
    <w:lvl w:ilvl="2" w:tplc="84A88072">
      <w:start w:val="1200"/>
      <w:numFmt w:val="bullet"/>
      <w:lvlText w:val="•"/>
      <w:lvlJc w:val="left"/>
      <w:pPr>
        <w:tabs>
          <w:tab w:val="num" w:pos="2160"/>
        </w:tabs>
        <w:ind w:left="2160" w:hanging="360"/>
      </w:pPr>
      <w:rPr>
        <w:rFonts w:ascii="Arial" w:hAnsi="Arial" w:hint="default"/>
      </w:rPr>
    </w:lvl>
    <w:lvl w:ilvl="3" w:tplc="F7865712" w:tentative="1">
      <w:start w:val="1"/>
      <w:numFmt w:val="bullet"/>
      <w:lvlText w:val="•"/>
      <w:lvlJc w:val="left"/>
      <w:pPr>
        <w:tabs>
          <w:tab w:val="num" w:pos="2880"/>
        </w:tabs>
        <w:ind w:left="2880" w:hanging="360"/>
      </w:pPr>
      <w:rPr>
        <w:rFonts w:ascii="Arial" w:hAnsi="Arial" w:hint="default"/>
      </w:rPr>
    </w:lvl>
    <w:lvl w:ilvl="4" w:tplc="A09AC86E" w:tentative="1">
      <w:start w:val="1"/>
      <w:numFmt w:val="bullet"/>
      <w:lvlText w:val="•"/>
      <w:lvlJc w:val="left"/>
      <w:pPr>
        <w:tabs>
          <w:tab w:val="num" w:pos="3600"/>
        </w:tabs>
        <w:ind w:left="3600" w:hanging="360"/>
      </w:pPr>
      <w:rPr>
        <w:rFonts w:ascii="Arial" w:hAnsi="Arial" w:hint="default"/>
      </w:rPr>
    </w:lvl>
    <w:lvl w:ilvl="5" w:tplc="A4DAECA8" w:tentative="1">
      <w:start w:val="1"/>
      <w:numFmt w:val="bullet"/>
      <w:lvlText w:val="•"/>
      <w:lvlJc w:val="left"/>
      <w:pPr>
        <w:tabs>
          <w:tab w:val="num" w:pos="4320"/>
        </w:tabs>
        <w:ind w:left="4320" w:hanging="360"/>
      </w:pPr>
      <w:rPr>
        <w:rFonts w:ascii="Arial" w:hAnsi="Arial" w:hint="default"/>
      </w:rPr>
    </w:lvl>
    <w:lvl w:ilvl="6" w:tplc="90408B92" w:tentative="1">
      <w:start w:val="1"/>
      <w:numFmt w:val="bullet"/>
      <w:lvlText w:val="•"/>
      <w:lvlJc w:val="left"/>
      <w:pPr>
        <w:tabs>
          <w:tab w:val="num" w:pos="5040"/>
        </w:tabs>
        <w:ind w:left="5040" w:hanging="360"/>
      </w:pPr>
      <w:rPr>
        <w:rFonts w:ascii="Arial" w:hAnsi="Arial" w:hint="default"/>
      </w:rPr>
    </w:lvl>
    <w:lvl w:ilvl="7" w:tplc="CBA6141A" w:tentative="1">
      <w:start w:val="1"/>
      <w:numFmt w:val="bullet"/>
      <w:lvlText w:val="•"/>
      <w:lvlJc w:val="left"/>
      <w:pPr>
        <w:tabs>
          <w:tab w:val="num" w:pos="5760"/>
        </w:tabs>
        <w:ind w:left="5760" w:hanging="360"/>
      </w:pPr>
      <w:rPr>
        <w:rFonts w:ascii="Arial" w:hAnsi="Arial" w:hint="default"/>
      </w:rPr>
    </w:lvl>
    <w:lvl w:ilvl="8" w:tplc="719E1E10" w:tentative="1">
      <w:start w:val="1"/>
      <w:numFmt w:val="bullet"/>
      <w:lvlText w:val="•"/>
      <w:lvlJc w:val="left"/>
      <w:pPr>
        <w:tabs>
          <w:tab w:val="num" w:pos="6480"/>
        </w:tabs>
        <w:ind w:left="6480" w:hanging="360"/>
      </w:pPr>
      <w:rPr>
        <w:rFonts w:ascii="Arial" w:hAnsi="Arial" w:hint="default"/>
      </w:rPr>
    </w:lvl>
  </w:abstractNum>
  <w:abstractNum w:abstractNumId="148">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9">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nsid w:val="270E738F"/>
    <w:multiLevelType w:val="multilevel"/>
    <w:tmpl w:val="A03A395C"/>
    <w:numStyleLink w:val="BulletedList"/>
  </w:abstractNum>
  <w:abstractNum w:abstractNumId="156">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279E0851"/>
    <w:multiLevelType w:val="multilevel"/>
    <w:tmpl w:val="776033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2812731D"/>
    <w:multiLevelType w:val="hybridMultilevel"/>
    <w:tmpl w:val="F8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6">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2953041B"/>
    <w:multiLevelType w:val="hybridMultilevel"/>
    <w:tmpl w:val="7F6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172">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2A540C30"/>
    <w:multiLevelType w:val="hybridMultilevel"/>
    <w:tmpl w:val="624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9">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2BCD101B"/>
    <w:multiLevelType w:val="hybridMultilevel"/>
    <w:tmpl w:val="127C64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2C3B16CD"/>
    <w:multiLevelType w:val="hybridMultilevel"/>
    <w:tmpl w:val="EC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7">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188">
    <w:nsid w:val="2CF748DA"/>
    <w:multiLevelType w:val="hybridMultilevel"/>
    <w:tmpl w:val="37CC1CFA"/>
    <w:lvl w:ilvl="0" w:tplc="0024D81E">
      <w:start w:val="1"/>
      <w:numFmt w:val="bullet"/>
      <w:lvlText w:val="•"/>
      <w:lvlJc w:val="left"/>
      <w:pPr>
        <w:tabs>
          <w:tab w:val="num" w:pos="720"/>
        </w:tabs>
        <w:ind w:left="720" w:hanging="360"/>
      </w:pPr>
      <w:rPr>
        <w:rFonts w:ascii="Arial" w:hAnsi="Arial" w:hint="default"/>
      </w:rPr>
    </w:lvl>
    <w:lvl w:ilvl="1" w:tplc="82F46D5A">
      <w:start w:val="3057"/>
      <w:numFmt w:val="bullet"/>
      <w:lvlText w:val="–"/>
      <w:lvlJc w:val="left"/>
      <w:pPr>
        <w:tabs>
          <w:tab w:val="num" w:pos="1440"/>
        </w:tabs>
        <w:ind w:left="1440" w:hanging="360"/>
      </w:pPr>
      <w:rPr>
        <w:rFonts w:ascii="Arial" w:hAnsi="Arial" w:hint="default"/>
      </w:rPr>
    </w:lvl>
    <w:lvl w:ilvl="2" w:tplc="94843088" w:tentative="1">
      <w:start w:val="1"/>
      <w:numFmt w:val="bullet"/>
      <w:lvlText w:val="•"/>
      <w:lvlJc w:val="left"/>
      <w:pPr>
        <w:tabs>
          <w:tab w:val="num" w:pos="2160"/>
        </w:tabs>
        <w:ind w:left="2160" w:hanging="360"/>
      </w:pPr>
      <w:rPr>
        <w:rFonts w:ascii="Arial" w:hAnsi="Arial" w:hint="default"/>
      </w:rPr>
    </w:lvl>
    <w:lvl w:ilvl="3" w:tplc="29201172" w:tentative="1">
      <w:start w:val="1"/>
      <w:numFmt w:val="bullet"/>
      <w:lvlText w:val="•"/>
      <w:lvlJc w:val="left"/>
      <w:pPr>
        <w:tabs>
          <w:tab w:val="num" w:pos="2880"/>
        </w:tabs>
        <w:ind w:left="2880" w:hanging="360"/>
      </w:pPr>
      <w:rPr>
        <w:rFonts w:ascii="Arial" w:hAnsi="Arial" w:hint="default"/>
      </w:rPr>
    </w:lvl>
    <w:lvl w:ilvl="4" w:tplc="90FC9BBA" w:tentative="1">
      <w:start w:val="1"/>
      <w:numFmt w:val="bullet"/>
      <w:lvlText w:val="•"/>
      <w:lvlJc w:val="left"/>
      <w:pPr>
        <w:tabs>
          <w:tab w:val="num" w:pos="3600"/>
        </w:tabs>
        <w:ind w:left="3600" w:hanging="360"/>
      </w:pPr>
      <w:rPr>
        <w:rFonts w:ascii="Arial" w:hAnsi="Arial" w:hint="default"/>
      </w:rPr>
    </w:lvl>
    <w:lvl w:ilvl="5" w:tplc="CA3E5752" w:tentative="1">
      <w:start w:val="1"/>
      <w:numFmt w:val="bullet"/>
      <w:lvlText w:val="•"/>
      <w:lvlJc w:val="left"/>
      <w:pPr>
        <w:tabs>
          <w:tab w:val="num" w:pos="4320"/>
        </w:tabs>
        <w:ind w:left="4320" w:hanging="360"/>
      </w:pPr>
      <w:rPr>
        <w:rFonts w:ascii="Arial" w:hAnsi="Arial" w:hint="default"/>
      </w:rPr>
    </w:lvl>
    <w:lvl w:ilvl="6" w:tplc="3D3A5516" w:tentative="1">
      <w:start w:val="1"/>
      <w:numFmt w:val="bullet"/>
      <w:lvlText w:val="•"/>
      <w:lvlJc w:val="left"/>
      <w:pPr>
        <w:tabs>
          <w:tab w:val="num" w:pos="5040"/>
        </w:tabs>
        <w:ind w:left="5040" w:hanging="360"/>
      </w:pPr>
      <w:rPr>
        <w:rFonts w:ascii="Arial" w:hAnsi="Arial" w:hint="default"/>
      </w:rPr>
    </w:lvl>
    <w:lvl w:ilvl="7" w:tplc="BE3CB168" w:tentative="1">
      <w:start w:val="1"/>
      <w:numFmt w:val="bullet"/>
      <w:lvlText w:val="•"/>
      <w:lvlJc w:val="left"/>
      <w:pPr>
        <w:tabs>
          <w:tab w:val="num" w:pos="5760"/>
        </w:tabs>
        <w:ind w:left="5760" w:hanging="360"/>
      </w:pPr>
      <w:rPr>
        <w:rFonts w:ascii="Arial" w:hAnsi="Arial" w:hint="default"/>
      </w:rPr>
    </w:lvl>
    <w:lvl w:ilvl="8" w:tplc="6C5A3682" w:tentative="1">
      <w:start w:val="1"/>
      <w:numFmt w:val="bullet"/>
      <w:lvlText w:val="•"/>
      <w:lvlJc w:val="left"/>
      <w:pPr>
        <w:tabs>
          <w:tab w:val="num" w:pos="6480"/>
        </w:tabs>
        <w:ind w:left="6480" w:hanging="360"/>
      </w:pPr>
      <w:rPr>
        <w:rFonts w:ascii="Arial" w:hAnsi="Arial" w:hint="default"/>
      </w:rPr>
    </w:lvl>
  </w:abstractNum>
  <w:abstractNum w:abstractNumId="189">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2DB95A3E"/>
    <w:multiLevelType w:val="hybridMultilevel"/>
    <w:tmpl w:val="93AE1338"/>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1">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4">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2FA5004A"/>
    <w:multiLevelType w:val="hybridMultilevel"/>
    <w:tmpl w:val="C9520104"/>
    <w:lvl w:ilvl="0" w:tplc="1B12CD76">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97">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198">
    <w:nsid w:val="303B7D41"/>
    <w:multiLevelType w:val="hybridMultilevel"/>
    <w:tmpl w:val="0C8CB5A0"/>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9">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31A67B56"/>
    <w:multiLevelType w:val="hybridMultilevel"/>
    <w:tmpl w:val="B664C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32715B11"/>
    <w:multiLevelType w:val="hybridMultilevel"/>
    <w:tmpl w:val="A9B05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6">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33004EE2"/>
    <w:multiLevelType w:val="hybridMultilevel"/>
    <w:tmpl w:val="4FAC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3">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359B272D"/>
    <w:multiLevelType w:val="multilevel"/>
    <w:tmpl w:val="A20A0C80"/>
    <w:lvl w:ilvl="0">
      <w:start w:val="1"/>
      <w:numFmt w:val="decimal"/>
      <w:lvlText w:val="%1."/>
      <w:lvlJc w:val="left"/>
      <w:pPr>
        <w:ind w:left="119" w:hanging="401"/>
      </w:pPr>
      <w:rPr>
        <w:rFonts w:ascii="Arial" w:eastAsia="Arial" w:hAnsi="Arial" w:hint="default"/>
        <w:b/>
        <w:bCs/>
        <w:color w:val="1F497D"/>
        <w:spacing w:val="-2"/>
        <w:sz w:val="36"/>
        <w:szCs w:val="36"/>
      </w:rPr>
    </w:lvl>
    <w:lvl w:ilvl="1">
      <w:start w:val="1"/>
      <w:numFmt w:val="decimal"/>
      <w:lvlText w:val="%1.%2"/>
      <w:lvlJc w:val="left"/>
      <w:pPr>
        <w:ind w:left="489" w:hanging="370"/>
      </w:pPr>
      <w:rPr>
        <w:rFonts w:ascii="Arial" w:eastAsia="Arial" w:hAnsi="Arial" w:hint="default"/>
        <w:b/>
        <w:bCs/>
        <w:spacing w:val="-1"/>
        <w:sz w:val="22"/>
        <w:szCs w:val="22"/>
      </w:rPr>
    </w:lvl>
    <w:lvl w:ilvl="2">
      <w:start w:val="1"/>
      <w:numFmt w:val="bullet"/>
      <w:lvlText w:val=""/>
      <w:lvlJc w:val="left"/>
      <w:pPr>
        <w:ind w:left="1199" w:hanging="361"/>
      </w:pPr>
      <w:rPr>
        <w:rFonts w:ascii="Symbol" w:eastAsia="Symbol" w:hAnsi="Symbol" w:hint="default"/>
        <w:w w:val="76"/>
        <w:sz w:val="22"/>
        <w:szCs w:val="22"/>
      </w:rPr>
    </w:lvl>
    <w:lvl w:ilvl="3">
      <w:start w:val="1"/>
      <w:numFmt w:val="bullet"/>
      <w:lvlText w:val="•"/>
      <w:lvlJc w:val="left"/>
      <w:pPr>
        <w:ind w:left="1199" w:hanging="361"/>
      </w:pPr>
      <w:rPr>
        <w:rFonts w:hint="default"/>
      </w:rPr>
    </w:lvl>
    <w:lvl w:ilvl="4">
      <w:start w:val="1"/>
      <w:numFmt w:val="bullet"/>
      <w:lvlText w:val="•"/>
      <w:lvlJc w:val="left"/>
      <w:pPr>
        <w:ind w:left="2297" w:hanging="361"/>
      </w:pPr>
      <w:rPr>
        <w:rFonts w:hint="default"/>
      </w:rPr>
    </w:lvl>
    <w:lvl w:ilvl="5">
      <w:start w:val="1"/>
      <w:numFmt w:val="bullet"/>
      <w:lvlText w:val="•"/>
      <w:lvlJc w:val="left"/>
      <w:pPr>
        <w:ind w:left="3394" w:hanging="361"/>
      </w:pPr>
      <w:rPr>
        <w:rFonts w:hint="default"/>
      </w:rPr>
    </w:lvl>
    <w:lvl w:ilvl="6">
      <w:start w:val="1"/>
      <w:numFmt w:val="bullet"/>
      <w:lvlText w:val="•"/>
      <w:lvlJc w:val="left"/>
      <w:pPr>
        <w:ind w:left="4491" w:hanging="361"/>
      </w:pPr>
      <w:rPr>
        <w:rFonts w:hint="default"/>
      </w:rPr>
    </w:lvl>
    <w:lvl w:ilvl="7">
      <w:start w:val="1"/>
      <w:numFmt w:val="bullet"/>
      <w:lvlText w:val="•"/>
      <w:lvlJc w:val="left"/>
      <w:pPr>
        <w:ind w:left="5588" w:hanging="361"/>
      </w:pPr>
      <w:rPr>
        <w:rFonts w:hint="default"/>
      </w:rPr>
    </w:lvl>
    <w:lvl w:ilvl="8">
      <w:start w:val="1"/>
      <w:numFmt w:val="bullet"/>
      <w:lvlText w:val="•"/>
      <w:lvlJc w:val="left"/>
      <w:pPr>
        <w:ind w:left="6685" w:hanging="361"/>
      </w:pPr>
      <w:rPr>
        <w:rFonts w:hint="default"/>
      </w:rPr>
    </w:lvl>
  </w:abstractNum>
  <w:abstractNum w:abstractNumId="215">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7">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22">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39110078"/>
    <w:multiLevelType w:val="hybridMultilevel"/>
    <w:tmpl w:val="3FC6F6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9AB0E21"/>
    <w:multiLevelType w:val="hybridMultilevel"/>
    <w:tmpl w:val="661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outline w:val="0"/>
        <w:shadow w:val="0"/>
        <w:emboss w:val="0"/>
        <w:imprint w:val="0"/>
        <w:noProof w:val="0"/>
        <w:vanish w:val="0"/>
        <w:color w:val="11479D"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outline w:val="0"/>
        <w:shadow w:val="0"/>
        <w:emboss w:val="0"/>
        <w:imprint w:val="0"/>
        <w:vanish w:val="0"/>
        <w:color w:val="000000"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outline w:val="0"/>
        <w:shadow w:val="0"/>
        <w:emboss w:val="0"/>
        <w:imprint w:val="0"/>
        <w:vanish w:val="0"/>
        <w:color w:val="000000"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000000"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232">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234">
    <w:nsid w:val="3B1C589B"/>
    <w:multiLevelType w:val="hybridMultilevel"/>
    <w:tmpl w:val="E25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3B364488"/>
    <w:multiLevelType w:val="hybridMultilevel"/>
    <w:tmpl w:val="A918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nsid w:val="3BFF5ABA"/>
    <w:multiLevelType w:val="hybridMultilevel"/>
    <w:tmpl w:val="9018503C"/>
    <w:lvl w:ilvl="0" w:tplc="2140E6DE">
      <w:start w:val="1"/>
      <w:numFmt w:val="bullet"/>
      <w:lvlText w:val="−"/>
      <w:lvlJc w:val="left"/>
      <w:pPr>
        <w:ind w:left="1111" w:hanging="360"/>
      </w:pPr>
      <w:rPr>
        <w:rFonts w:ascii="Calibri" w:hAnsi="Calibri"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239">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241">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242">
    <w:nsid w:val="3D3020E0"/>
    <w:multiLevelType w:val="hybridMultilevel"/>
    <w:tmpl w:val="F6CA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3EC422FA"/>
    <w:multiLevelType w:val="hybridMultilevel"/>
    <w:tmpl w:val="1B90B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249">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3FCD5A4F"/>
    <w:multiLevelType w:val="hybridMultilevel"/>
    <w:tmpl w:val="C630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41296E17"/>
    <w:multiLevelType w:val="hybridMultilevel"/>
    <w:tmpl w:val="E7B460D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41BB5FA0"/>
    <w:multiLevelType w:val="hybridMultilevel"/>
    <w:tmpl w:val="6C2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9">
    <w:nsid w:val="43F014BD"/>
    <w:multiLevelType w:val="hybridMultilevel"/>
    <w:tmpl w:val="8FF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448D0D7D"/>
    <w:multiLevelType w:val="hybridMultilevel"/>
    <w:tmpl w:val="4C9C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450B0AE4"/>
    <w:multiLevelType w:val="hybridMultilevel"/>
    <w:tmpl w:val="E7F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67">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68">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270">
    <w:nsid w:val="48122CB3"/>
    <w:multiLevelType w:val="hybridMultilevel"/>
    <w:tmpl w:val="1BAE2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272">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277">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5">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nsid w:val="4E8D43EE"/>
    <w:multiLevelType w:val="hybridMultilevel"/>
    <w:tmpl w:val="7D5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4EB4242A"/>
    <w:multiLevelType w:val="hybridMultilevel"/>
    <w:tmpl w:val="216C8E3A"/>
    <w:lvl w:ilvl="0" w:tplc="B05C67F0">
      <w:start w:val="1"/>
      <w:numFmt w:val="bullet"/>
      <w:lvlText w:val=""/>
      <w:lvlJc w:val="left"/>
      <w:pPr>
        <w:tabs>
          <w:tab w:val="num" w:pos="720"/>
        </w:tabs>
        <w:ind w:left="720" w:hanging="360"/>
      </w:pPr>
      <w:rPr>
        <w:rFonts w:ascii="Wingdings" w:hAnsi="Wingdings" w:hint="default"/>
      </w:rPr>
    </w:lvl>
    <w:lvl w:ilvl="1" w:tplc="C31229DC">
      <w:start w:val="2204"/>
      <w:numFmt w:val="bullet"/>
      <w:lvlText w:val="–"/>
      <w:lvlJc w:val="left"/>
      <w:pPr>
        <w:tabs>
          <w:tab w:val="num" w:pos="1440"/>
        </w:tabs>
        <w:ind w:left="1440" w:hanging="360"/>
      </w:pPr>
      <w:rPr>
        <w:rFonts w:ascii="Arial" w:hAnsi="Arial" w:hint="default"/>
      </w:rPr>
    </w:lvl>
    <w:lvl w:ilvl="2" w:tplc="503ED216">
      <w:start w:val="1"/>
      <w:numFmt w:val="bullet"/>
      <w:lvlText w:val=""/>
      <w:lvlJc w:val="left"/>
      <w:pPr>
        <w:tabs>
          <w:tab w:val="num" w:pos="2160"/>
        </w:tabs>
        <w:ind w:left="2160" w:hanging="360"/>
      </w:pPr>
      <w:rPr>
        <w:rFonts w:ascii="Wingdings" w:hAnsi="Wingdings" w:hint="default"/>
      </w:rPr>
    </w:lvl>
    <w:lvl w:ilvl="3" w:tplc="21B45864" w:tentative="1">
      <w:start w:val="1"/>
      <w:numFmt w:val="bullet"/>
      <w:lvlText w:val=""/>
      <w:lvlJc w:val="left"/>
      <w:pPr>
        <w:tabs>
          <w:tab w:val="num" w:pos="2880"/>
        </w:tabs>
        <w:ind w:left="2880" w:hanging="360"/>
      </w:pPr>
      <w:rPr>
        <w:rFonts w:ascii="Wingdings" w:hAnsi="Wingdings" w:hint="default"/>
      </w:rPr>
    </w:lvl>
    <w:lvl w:ilvl="4" w:tplc="6750CE26" w:tentative="1">
      <w:start w:val="1"/>
      <w:numFmt w:val="bullet"/>
      <w:lvlText w:val=""/>
      <w:lvlJc w:val="left"/>
      <w:pPr>
        <w:tabs>
          <w:tab w:val="num" w:pos="3600"/>
        </w:tabs>
        <w:ind w:left="3600" w:hanging="360"/>
      </w:pPr>
      <w:rPr>
        <w:rFonts w:ascii="Wingdings" w:hAnsi="Wingdings" w:hint="default"/>
      </w:rPr>
    </w:lvl>
    <w:lvl w:ilvl="5" w:tplc="1C068FCE" w:tentative="1">
      <w:start w:val="1"/>
      <w:numFmt w:val="bullet"/>
      <w:lvlText w:val=""/>
      <w:lvlJc w:val="left"/>
      <w:pPr>
        <w:tabs>
          <w:tab w:val="num" w:pos="4320"/>
        </w:tabs>
        <w:ind w:left="4320" w:hanging="360"/>
      </w:pPr>
      <w:rPr>
        <w:rFonts w:ascii="Wingdings" w:hAnsi="Wingdings" w:hint="default"/>
      </w:rPr>
    </w:lvl>
    <w:lvl w:ilvl="6" w:tplc="59822FD0" w:tentative="1">
      <w:start w:val="1"/>
      <w:numFmt w:val="bullet"/>
      <w:lvlText w:val=""/>
      <w:lvlJc w:val="left"/>
      <w:pPr>
        <w:tabs>
          <w:tab w:val="num" w:pos="5040"/>
        </w:tabs>
        <w:ind w:left="5040" w:hanging="360"/>
      </w:pPr>
      <w:rPr>
        <w:rFonts w:ascii="Wingdings" w:hAnsi="Wingdings" w:hint="default"/>
      </w:rPr>
    </w:lvl>
    <w:lvl w:ilvl="7" w:tplc="963AA448" w:tentative="1">
      <w:start w:val="1"/>
      <w:numFmt w:val="bullet"/>
      <w:lvlText w:val=""/>
      <w:lvlJc w:val="left"/>
      <w:pPr>
        <w:tabs>
          <w:tab w:val="num" w:pos="5760"/>
        </w:tabs>
        <w:ind w:left="5760" w:hanging="360"/>
      </w:pPr>
      <w:rPr>
        <w:rFonts w:ascii="Wingdings" w:hAnsi="Wingdings" w:hint="default"/>
      </w:rPr>
    </w:lvl>
    <w:lvl w:ilvl="8" w:tplc="DC8A2832" w:tentative="1">
      <w:start w:val="1"/>
      <w:numFmt w:val="bullet"/>
      <w:lvlText w:val=""/>
      <w:lvlJc w:val="left"/>
      <w:pPr>
        <w:tabs>
          <w:tab w:val="num" w:pos="6480"/>
        </w:tabs>
        <w:ind w:left="6480" w:hanging="360"/>
      </w:pPr>
      <w:rPr>
        <w:rFonts w:ascii="Wingdings" w:hAnsi="Wingdings" w:hint="default"/>
      </w:rPr>
    </w:lvl>
  </w:abstractNum>
  <w:abstractNum w:abstractNumId="290">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5">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297">
    <w:nsid w:val="4FFC3D63"/>
    <w:multiLevelType w:val="hybridMultilevel"/>
    <w:tmpl w:val="8FD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302">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3">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nsid w:val="51F60FC2"/>
    <w:multiLevelType w:val="multilevel"/>
    <w:tmpl w:val="8FFEA2A8"/>
    <w:lvl w:ilvl="0">
      <w:start w:val="1"/>
      <w:numFmt w:val="decimal"/>
      <w:pStyle w:val="Heading1"/>
      <w:suff w:val="nothing"/>
      <w:lvlText w:val="Section %1"/>
      <w:lvlJc w:val="left"/>
      <w:pPr>
        <w:ind w:left="0" w:firstLine="0"/>
      </w:pPr>
      <w:rPr>
        <w:rFonts w:ascii="Calibri" w:hAnsi="Calibri" w:hint="default"/>
        <w:b/>
        <w:i w:val="0"/>
        <w:color w:val="0070C0"/>
        <w:sz w:val="36"/>
        <w:u w:val="none"/>
      </w:rPr>
    </w:lvl>
    <w:lvl w:ilvl="1">
      <w:start w:val="1"/>
      <w:numFmt w:val="decimal"/>
      <w:pStyle w:val="Heading2"/>
      <w:suff w:val="space"/>
      <w:lvlText w:val="%1.%2"/>
      <w:lvlJc w:val="left"/>
      <w:pPr>
        <w:ind w:left="0" w:firstLine="0"/>
      </w:pPr>
      <w:rPr>
        <w:rFonts w:ascii="Calibri" w:hAnsi="Calibri" w:hint="default"/>
        <w:b/>
        <w:i w:val="0"/>
        <w:color w:val="auto"/>
        <w:sz w:val="24"/>
        <w:u w:val="none"/>
      </w:rPr>
    </w:lvl>
    <w:lvl w:ilvl="2">
      <w:start w:val="1"/>
      <w:numFmt w:val="decimal"/>
      <w:pStyle w:val="Heading3"/>
      <w:suff w:val="space"/>
      <w:lvlText w:val="%1.%2.%3"/>
      <w:lvlJc w:val="left"/>
      <w:pPr>
        <w:ind w:left="540" w:firstLine="0"/>
      </w:pPr>
      <w:rPr>
        <w:rFonts w:cs="Times New Roman"/>
        <w:b/>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specVanish w:val="0"/>
      </w:rPr>
    </w:lvl>
    <w:lvl w:ilvl="3">
      <w:start w:val="1"/>
      <w:numFmt w:val="decimal"/>
      <w:pStyle w:val="Heading4"/>
      <w:suff w:val="space"/>
      <w:lvlText w:val="%1.%2.%3.%4"/>
      <w:lvlJc w:val="left"/>
      <w:pPr>
        <w:ind w:left="0" w:firstLine="0"/>
      </w:pPr>
      <w:rPr>
        <w:rFonts w:ascii="Calibri" w:hAnsi="Calibri" w:hint="default"/>
        <w:b w:val="0"/>
        <w:i/>
        <w:color w:val="000000"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5">
    <w:nsid w:val="521E13B9"/>
    <w:multiLevelType w:val="hybridMultilevel"/>
    <w:tmpl w:val="9DFEC670"/>
    <w:lvl w:ilvl="0" w:tplc="2140E6DE">
      <w:start w:val="1"/>
      <w:numFmt w:val="bullet"/>
      <w:lvlText w:val="−"/>
      <w:lvlJc w:val="left"/>
      <w:pPr>
        <w:ind w:left="1728" w:hanging="360"/>
      </w:pPr>
      <w:rPr>
        <w:rFonts w:ascii="Calibri" w:hAnsi="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06">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8">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313">
    <w:nsid w:val="54643E14"/>
    <w:multiLevelType w:val="hybridMultilevel"/>
    <w:tmpl w:val="9E7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6">
    <w:nsid w:val="54CA23D2"/>
    <w:multiLevelType w:val="hybridMultilevel"/>
    <w:tmpl w:val="E98E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54F73D5A"/>
    <w:multiLevelType w:val="hybridMultilevel"/>
    <w:tmpl w:val="628065CE"/>
    <w:lvl w:ilvl="0" w:tplc="24309F8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9">
    <w:nsid w:val="55850A3A"/>
    <w:multiLevelType w:val="hybridMultilevel"/>
    <w:tmpl w:val="FA7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55BD7A89"/>
    <w:multiLevelType w:val="hybridMultilevel"/>
    <w:tmpl w:val="3C201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56DF690F"/>
    <w:multiLevelType w:val="hybridMultilevel"/>
    <w:tmpl w:val="798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570D4D18"/>
    <w:multiLevelType w:val="hybridMultilevel"/>
    <w:tmpl w:val="30C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579077CF"/>
    <w:multiLevelType w:val="hybridMultilevel"/>
    <w:tmpl w:val="40D6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5818596C"/>
    <w:multiLevelType w:val="hybridMultilevel"/>
    <w:tmpl w:val="790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328">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329">
    <w:nsid w:val="59445097"/>
    <w:multiLevelType w:val="hybridMultilevel"/>
    <w:tmpl w:val="ED9AF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332">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334">
    <w:nsid w:val="5AC91A98"/>
    <w:multiLevelType w:val="hybridMultilevel"/>
    <w:tmpl w:val="FED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6">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337">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338">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9">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342">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601A0140"/>
    <w:multiLevelType w:val="hybridMultilevel"/>
    <w:tmpl w:val="5E80DD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47">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9">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611E79C0"/>
    <w:multiLevelType w:val="hybridMultilevel"/>
    <w:tmpl w:val="B14078D8"/>
    <w:lvl w:ilvl="0" w:tplc="6D861C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4">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61E673C0"/>
    <w:multiLevelType w:val="hybridMultilevel"/>
    <w:tmpl w:val="CCBCF466"/>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8">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9">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62C4418E"/>
    <w:multiLevelType w:val="hybridMultilevel"/>
    <w:tmpl w:val="3AF8A43A"/>
    <w:lvl w:ilvl="0" w:tplc="F0B4BB28">
      <w:start w:val="1"/>
      <w:numFmt w:val="bullet"/>
      <w:lvlText w:val="–"/>
      <w:lvlJc w:val="left"/>
      <w:pPr>
        <w:tabs>
          <w:tab w:val="num" w:pos="720"/>
        </w:tabs>
        <w:ind w:left="720" w:hanging="360"/>
      </w:pPr>
      <w:rPr>
        <w:rFonts w:ascii="Arial" w:hAnsi="Arial" w:hint="default"/>
      </w:rPr>
    </w:lvl>
    <w:lvl w:ilvl="1" w:tplc="612C749E">
      <w:start w:val="1"/>
      <w:numFmt w:val="bullet"/>
      <w:lvlText w:val="–"/>
      <w:lvlJc w:val="left"/>
      <w:pPr>
        <w:tabs>
          <w:tab w:val="num" w:pos="1440"/>
        </w:tabs>
        <w:ind w:left="1440" w:hanging="360"/>
      </w:pPr>
      <w:rPr>
        <w:rFonts w:ascii="Arial" w:hAnsi="Arial" w:hint="default"/>
      </w:rPr>
    </w:lvl>
    <w:lvl w:ilvl="2" w:tplc="6D0CE502" w:tentative="1">
      <w:start w:val="1"/>
      <w:numFmt w:val="bullet"/>
      <w:lvlText w:val="–"/>
      <w:lvlJc w:val="left"/>
      <w:pPr>
        <w:tabs>
          <w:tab w:val="num" w:pos="2160"/>
        </w:tabs>
        <w:ind w:left="2160" w:hanging="360"/>
      </w:pPr>
      <w:rPr>
        <w:rFonts w:ascii="Arial" w:hAnsi="Arial" w:hint="default"/>
      </w:rPr>
    </w:lvl>
    <w:lvl w:ilvl="3" w:tplc="FE5488E8" w:tentative="1">
      <w:start w:val="1"/>
      <w:numFmt w:val="bullet"/>
      <w:lvlText w:val="–"/>
      <w:lvlJc w:val="left"/>
      <w:pPr>
        <w:tabs>
          <w:tab w:val="num" w:pos="2880"/>
        </w:tabs>
        <w:ind w:left="2880" w:hanging="360"/>
      </w:pPr>
      <w:rPr>
        <w:rFonts w:ascii="Arial" w:hAnsi="Arial" w:hint="default"/>
      </w:rPr>
    </w:lvl>
    <w:lvl w:ilvl="4" w:tplc="B798D0A0" w:tentative="1">
      <w:start w:val="1"/>
      <w:numFmt w:val="bullet"/>
      <w:lvlText w:val="–"/>
      <w:lvlJc w:val="left"/>
      <w:pPr>
        <w:tabs>
          <w:tab w:val="num" w:pos="3600"/>
        </w:tabs>
        <w:ind w:left="3600" w:hanging="360"/>
      </w:pPr>
      <w:rPr>
        <w:rFonts w:ascii="Arial" w:hAnsi="Arial" w:hint="default"/>
      </w:rPr>
    </w:lvl>
    <w:lvl w:ilvl="5" w:tplc="2F1CCD3A" w:tentative="1">
      <w:start w:val="1"/>
      <w:numFmt w:val="bullet"/>
      <w:lvlText w:val="–"/>
      <w:lvlJc w:val="left"/>
      <w:pPr>
        <w:tabs>
          <w:tab w:val="num" w:pos="4320"/>
        </w:tabs>
        <w:ind w:left="4320" w:hanging="360"/>
      </w:pPr>
      <w:rPr>
        <w:rFonts w:ascii="Arial" w:hAnsi="Arial" w:hint="default"/>
      </w:rPr>
    </w:lvl>
    <w:lvl w:ilvl="6" w:tplc="E3F01DB6" w:tentative="1">
      <w:start w:val="1"/>
      <w:numFmt w:val="bullet"/>
      <w:lvlText w:val="–"/>
      <w:lvlJc w:val="left"/>
      <w:pPr>
        <w:tabs>
          <w:tab w:val="num" w:pos="5040"/>
        </w:tabs>
        <w:ind w:left="5040" w:hanging="360"/>
      </w:pPr>
      <w:rPr>
        <w:rFonts w:ascii="Arial" w:hAnsi="Arial" w:hint="default"/>
      </w:rPr>
    </w:lvl>
    <w:lvl w:ilvl="7" w:tplc="51801302" w:tentative="1">
      <w:start w:val="1"/>
      <w:numFmt w:val="bullet"/>
      <w:lvlText w:val="–"/>
      <w:lvlJc w:val="left"/>
      <w:pPr>
        <w:tabs>
          <w:tab w:val="num" w:pos="5760"/>
        </w:tabs>
        <w:ind w:left="5760" w:hanging="360"/>
      </w:pPr>
      <w:rPr>
        <w:rFonts w:ascii="Arial" w:hAnsi="Arial" w:hint="default"/>
      </w:rPr>
    </w:lvl>
    <w:lvl w:ilvl="8" w:tplc="B8529FF2" w:tentative="1">
      <w:start w:val="1"/>
      <w:numFmt w:val="bullet"/>
      <w:lvlText w:val="–"/>
      <w:lvlJc w:val="left"/>
      <w:pPr>
        <w:tabs>
          <w:tab w:val="num" w:pos="6480"/>
        </w:tabs>
        <w:ind w:left="6480" w:hanging="360"/>
      </w:pPr>
      <w:rPr>
        <w:rFonts w:ascii="Arial" w:hAnsi="Arial" w:hint="default"/>
      </w:rPr>
    </w:lvl>
  </w:abstractNum>
  <w:abstractNum w:abstractNumId="363">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6">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7">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63E922FB"/>
    <w:multiLevelType w:val="hybridMultilevel"/>
    <w:tmpl w:val="9B323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nsid w:val="64816754"/>
    <w:multiLevelType w:val="hybridMultilevel"/>
    <w:tmpl w:val="7D82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65DD2150"/>
    <w:multiLevelType w:val="hybridMultilevel"/>
    <w:tmpl w:val="4966478C"/>
    <w:lvl w:ilvl="0" w:tplc="524EDF38">
      <w:start w:val="1"/>
      <w:numFmt w:val="bullet"/>
      <w:lvlText w:val=""/>
      <w:lvlJc w:val="left"/>
      <w:pPr>
        <w:tabs>
          <w:tab w:val="num" w:pos="720"/>
        </w:tabs>
        <w:ind w:left="720" w:hanging="360"/>
      </w:pPr>
      <w:rPr>
        <w:rFonts w:ascii="Wingdings" w:hAnsi="Wingdings" w:hint="default"/>
      </w:rPr>
    </w:lvl>
    <w:lvl w:ilvl="1" w:tplc="05CCA336">
      <w:start w:val="2181"/>
      <w:numFmt w:val="bullet"/>
      <w:lvlText w:val="–"/>
      <w:lvlJc w:val="left"/>
      <w:pPr>
        <w:tabs>
          <w:tab w:val="num" w:pos="1440"/>
        </w:tabs>
        <w:ind w:left="1440" w:hanging="360"/>
      </w:pPr>
      <w:rPr>
        <w:rFonts w:ascii="Arial" w:hAnsi="Arial" w:hint="default"/>
      </w:rPr>
    </w:lvl>
    <w:lvl w:ilvl="2" w:tplc="F9388012">
      <w:start w:val="2181"/>
      <w:numFmt w:val="bullet"/>
      <w:lvlText w:val="•"/>
      <w:lvlJc w:val="left"/>
      <w:pPr>
        <w:tabs>
          <w:tab w:val="num" w:pos="2160"/>
        </w:tabs>
        <w:ind w:left="2160" w:hanging="360"/>
      </w:pPr>
      <w:rPr>
        <w:rFonts w:ascii="Arial" w:hAnsi="Arial" w:hint="default"/>
      </w:rPr>
    </w:lvl>
    <w:lvl w:ilvl="3" w:tplc="8F2621C4" w:tentative="1">
      <w:start w:val="1"/>
      <w:numFmt w:val="bullet"/>
      <w:lvlText w:val=""/>
      <w:lvlJc w:val="left"/>
      <w:pPr>
        <w:tabs>
          <w:tab w:val="num" w:pos="2880"/>
        </w:tabs>
        <w:ind w:left="2880" w:hanging="360"/>
      </w:pPr>
      <w:rPr>
        <w:rFonts w:ascii="Wingdings" w:hAnsi="Wingdings" w:hint="default"/>
      </w:rPr>
    </w:lvl>
    <w:lvl w:ilvl="4" w:tplc="BF665114" w:tentative="1">
      <w:start w:val="1"/>
      <w:numFmt w:val="bullet"/>
      <w:lvlText w:val=""/>
      <w:lvlJc w:val="left"/>
      <w:pPr>
        <w:tabs>
          <w:tab w:val="num" w:pos="3600"/>
        </w:tabs>
        <w:ind w:left="3600" w:hanging="360"/>
      </w:pPr>
      <w:rPr>
        <w:rFonts w:ascii="Wingdings" w:hAnsi="Wingdings" w:hint="default"/>
      </w:rPr>
    </w:lvl>
    <w:lvl w:ilvl="5" w:tplc="C2C821C0" w:tentative="1">
      <w:start w:val="1"/>
      <w:numFmt w:val="bullet"/>
      <w:lvlText w:val=""/>
      <w:lvlJc w:val="left"/>
      <w:pPr>
        <w:tabs>
          <w:tab w:val="num" w:pos="4320"/>
        </w:tabs>
        <w:ind w:left="4320" w:hanging="360"/>
      </w:pPr>
      <w:rPr>
        <w:rFonts w:ascii="Wingdings" w:hAnsi="Wingdings" w:hint="default"/>
      </w:rPr>
    </w:lvl>
    <w:lvl w:ilvl="6" w:tplc="0AFE28D6" w:tentative="1">
      <w:start w:val="1"/>
      <w:numFmt w:val="bullet"/>
      <w:lvlText w:val=""/>
      <w:lvlJc w:val="left"/>
      <w:pPr>
        <w:tabs>
          <w:tab w:val="num" w:pos="5040"/>
        </w:tabs>
        <w:ind w:left="5040" w:hanging="360"/>
      </w:pPr>
      <w:rPr>
        <w:rFonts w:ascii="Wingdings" w:hAnsi="Wingdings" w:hint="default"/>
      </w:rPr>
    </w:lvl>
    <w:lvl w:ilvl="7" w:tplc="01D6B254" w:tentative="1">
      <w:start w:val="1"/>
      <w:numFmt w:val="bullet"/>
      <w:lvlText w:val=""/>
      <w:lvlJc w:val="left"/>
      <w:pPr>
        <w:tabs>
          <w:tab w:val="num" w:pos="5760"/>
        </w:tabs>
        <w:ind w:left="5760" w:hanging="360"/>
      </w:pPr>
      <w:rPr>
        <w:rFonts w:ascii="Wingdings" w:hAnsi="Wingdings" w:hint="default"/>
      </w:rPr>
    </w:lvl>
    <w:lvl w:ilvl="8" w:tplc="F6605A64" w:tentative="1">
      <w:start w:val="1"/>
      <w:numFmt w:val="bullet"/>
      <w:lvlText w:val=""/>
      <w:lvlJc w:val="left"/>
      <w:pPr>
        <w:tabs>
          <w:tab w:val="num" w:pos="6480"/>
        </w:tabs>
        <w:ind w:left="6480" w:hanging="360"/>
      </w:pPr>
      <w:rPr>
        <w:rFonts w:ascii="Wingdings" w:hAnsi="Wingdings" w:hint="default"/>
      </w:rPr>
    </w:lvl>
  </w:abstractNum>
  <w:abstractNum w:abstractNumId="374">
    <w:nsid w:val="66005979"/>
    <w:multiLevelType w:val="hybridMultilevel"/>
    <w:tmpl w:val="A6F8E95E"/>
    <w:lvl w:ilvl="0" w:tplc="04090001">
      <w:start w:val="1"/>
      <w:numFmt w:val="bullet"/>
      <w:lvlText w:val=""/>
      <w:lvlJc w:val="left"/>
      <w:pPr>
        <w:ind w:left="7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5">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377">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381">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382">
    <w:nsid w:val="676B4F7C"/>
    <w:multiLevelType w:val="hybridMultilevel"/>
    <w:tmpl w:val="131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4">
    <w:nsid w:val="685F64C8"/>
    <w:multiLevelType w:val="hybridMultilevel"/>
    <w:tmpl w:val="B20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386">
    <w:nsid w:val="68BC3815"/>
    <w:multiLevelType w:val="hybridMultilevel"/>
    <w:tmpl w:val="53C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0">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391">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392">
    <w:nsid w:val="69B6268F"/>
    <w:multiLevelType w:val="hybridMultilevel"/>
    <w:tmpl w:val="E3F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395">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6">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398">
    <w:nsid w:val="6B7F88D7"/>
    <w:multiLevelType w:val="hybridMultilevel"/>
    <w:tmpl w:val="F16FD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9">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0">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401">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7">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409">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411">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412">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413">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417">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nsid w:val="7010A7B2"/>
    <w:multiLevelType w:val="hybridMultilevel"/>
    <w:tmpl w:val="576AF0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1">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nsid w:val="70AD5C24"/>
    <w:multiLevelType w:val="hybridMultilevel"/>
    <w:tmpl w:val="4C5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424">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426">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8">
    <w:nsid w:val="725451FE"/>
    <w:multiLevelType w:val="hybridMultilevel"/>
    <w:tmpl w:val="9768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430">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432">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434">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5">
    <w:nsid w:val="73734187"/>
    <w:multiLevelType w:val="hybridMultilevel"/>
    <w:tmpl w:val="57E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73BD6D01"/>
    <w:multiLevelType w:val="hybridMultilevel"/>
    <w:tmpl w:val="24E8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439">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1">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3">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444">
    <w:nsid w:val="76056BC5"/>
    <w:multiLevelType w:val="hybridMultilevel"/>
    <w:tmpl w:val="575CEB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5">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nsid w:val="76B55E4B"/>
    <w:multiLevelType w:val="hybridMultilevel"/>
    <w:tmpl w:val="43C8A4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7">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8">
    <w:nsid w:val="77716B68"/>
    <w:multiLevelType w:val="hybridMultilevel"/>
    <w:tmpl w:val="A4A498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9">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77B939D3"/>
    <w:multiLevelType w:val="hybridMultilevel"/>
    <w:tmpl w:val="14A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52">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453">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454">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5">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58">
    <w:nsid w:val="793A736A"/>
    <w:multiLevelType w:val="hybridMultilevel"/>
    <w:tmpl w:val="FC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461">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3">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464">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65">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6">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67">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9">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nsid w:val="7CFF1AC9"/>
    <w:multiLevelType w:val="hybridMultilevel"/>
    <w:tmpl w:val="7D4A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6">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8">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479">
    <w:nsid w:val="7E5F4A47"/>
    <w:multiLevelType w:val="hybridMultilevel"/>
    <w:tmpl w:val="90AC98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0">
    <w:nsid w:val="7EBF42FC"/>
    <w:multiLevelType w:val="hybridMultilevel"/>
    <w:tmpl w:val="E4C0316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481">
    <w:nsid w:val="7ED15A95"/>
    <w:multiLevelType w:val="hybridMultilevel"/>
    <w:tmpl w:val="8D0A2D62"/>
    <w:lvl w:ilvl="0" w:tplc="71AAE9BC">
      <w:start w:val="1"/>
      <w:numFmt w:val="bullet"/>
      <w:lvlText w:val="•"/>
      <w:lvlJc w:val="left"/>
      <w:pPr>
        <w:tabs>
          <w:tab w:val="num" w:pos="720"/>
        </w:tabs>
        <w:ind w:left="720" w:hanging="360"/>
      </w:pPr>
      <w:rPr>
        <w:rFonts w:ascii="Arial" w:hAnsi="Arial" w:hint="default"/>
      </w:rPr>
    </w:lvl>
    <w:lvl w:ilvl="1" w:tplc="4F328E0E">
      <w:start w:val="3921"/>
      <w:numFmt w:val="bullet"/>
      <w:lvlText w:val="–"/>
      <w:lvlJc w:val="left"/>
      <w:pPr>
        <w:tabs>
          <w:tab w:val="num" w:pos="1440"/>
        </w:tabs>
        <w:ind w:left="1440" w:hanging="360"/>
      </w:pPr>
      <w:rPr>
        <w:rFonts w:ascii="Arial" w:hAnsi="Arial" w:hint="default"/>
      </w:rPr>
    </w:lvl>
    <w:lvl w:ilvl="2" w:tplc="12BAB482" w:tentative="1">
      <w:start w:val="1"/>
      <w:numFmt w:val="bullet"/>
      <w:lvlText w:val="•"/>
      <w:lvlJc w:val="left"/>
      <w:pPr>
        <w:tabs>
          <w:tab w:val="num" w:pos="2160"/>
        </w:tabs>
        <w:ind w:left="2160" w:hanging="360"/>
      </w:pPr>
      <w:rPr>
        <w:rFonts w:ascii="Arial" w:hAnsi="Arial" w:hint="default"/>
      </w:rPr>
    </w:lvl>
    <w:lvl w:ilvl="3" w:tplc="70CCDDE8" w:tentative="1">
      <w:start w:val="1"/>
      <w:numFmt w:val="bullet"/>
      <w:lvlText w:val="•"/>
      <w:lvlJc w:val="left"/>
      <w:pPr>
        <w:tabs>
          <w:tab w:val="num" w:pos="2880"/>
        </w:tabs>
        <w:ind w:left="2880" w:hanging="360"/>
      </w:pPr>
      <w:rPr>
        <w:rFonts w:ascii="Arial" w:hAnsi="Arial" w:hint="default"/>
      </w:rPr>
    </w:lvl>
    <w:lvl w:ilvl="4" w:tplc="8FDC8976" w:tentative="1">
      <w:start w:val="1"/>
      <w:numFmt w:val="bullet"/>
      <w:lvlText w:val="•"/>
      <w:lvlJc w:val="left"/>
      <w:pPr>
        <w:tabs>
          <w:tab w:val="num" w:pos="3600"/>
        </w:tabs>
        <w:ind w:left="3600" w:hanging="360"/>
      </w:pPr>
      <w:rPr>
        <w:rFonts w:ascii="Arial" w:hAnsi="Arial" w:hint="default"/>
      </w:rPr>
    </w:lvl>
    <w:lvl w:ilvl="5" w:tplc="ECBA452E" w:tentative="1">
      <w:start w:val="1"/>
      <w:numFmt w:val="bullet"/>
      <w:lvlText w:val="•"/>
      <w:lvlJc w:val="left"/>
      <w:pPr>
        <w:tabs>
          <w:tab w:val="num" w:pos="4320"/>
        </w:tabs>
        <w:ind w:left="4320" w:hanging="360"/>
      </w:pPr>
      <w:rPr>
        <w:rFonts w:ascii="Arial" w:hAnsi="Arial" w:hint="default"/>
      </w:rPr>
    </w:lvl>
    <w:lvl w:ilvl="6" w:tplc="52E482A2" w:tentative="1">
      <w:start w:val="1"/>
      <w:numFmt w:val="bullet"/>
      <w:lvlText w:val="•"/>
      <w:lvlJc w:val="left"/>
      <w:pPr>
        <w:tabs>
          <w:tab w:val="num" w:pos="5040"/>
        </w:tabs>
        <w:ind w:left="5040" w:hanging="360"/>
      </w:pPr>
      <w:rPr>
        <w:rFonts w:ascii="Arial" w:hAnsi="Arial" w:hint="default"/>
      </w:rPr>
    </w:lvl>
    <w:lvl w:ilvl="7" w:tplc="00B446EA" w:tentative="1">
      <w:start w:val="1"/>
      <w:numFmt w:val="bullet"/>
      <w:lvlText w:val="•"/>
      <w:lvlJc w:val="left"/>
      <w:pPr>
        <w:tabs>
          <w:tab w:val="num" w:pos="5760"/>
        </w:tabs>
        <w:ind w:left="5760" w:hanging="360"/>
      </w:pPr>
      <w:rPr>
        <w:rFonts w:ascii="Arial" w:hAnsi="Arial" w:hint="default"/>
      </w:rPr>
    </w:lvl>
    <w:lvl w:ilvl="8" w:tplc="106AF41A" w:tentative="1">
      <w:start w:val="1"/>
      <w:numFmt w:val="bullet"/>
      <w:lvlText w:val="•"/>
      <w:lvlJc w:val="left"/>
      <w:pPr>
        <w:tabs>
          <w:tab w:val="num" w:pos="6480"/>
        </w:tabs>
        <w:ind w:left="6480" w:hanging="360"/>
      </w:pPr>
      <w:rPr>
        <w:rFonts w:ascii="Arial" w:hAnsi="Arial" w:hint="default"/>
      </w:rPr>
    </w:lvl>
  </w:abstractNum>
  <w:abstractNum w:abstractNumId="482">
    <w:nsid w:val="7EFD061B"/>
    <w:multiLevelType w:val="hybridMultilevel"/>
    <w:tmpl w:val="7C2AE98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483">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484">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5">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6">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6"/>
  </w:num>
  <w:num w:numId="2">
    <w:abstractNumId w:val="231"/>
  </w:num>
  <w:num w:numId="3">
    <w:abstractNumId w:val="411"/>
  </w:num>
  <w:num w:numId="4">
    <w:abstractNumId w:val="365"/>
  </w:num>
  <w:num w:numId="5">
    <w:abstractNumId w:val="284"/>
  </w:num>
  <w:num w:numId="6">
    <w:abstractNumId w:val="303"/>
  </w:num>
  <w:num w:numId="7">
    <w:abstractNumId w:val="33"/>
  </w:num>
  <w:num w:numId="8">
    <w:abstractNumId w:val="54"/>
  </w:num>
  <w:num w:numId="9">
    <w:abstractNumId w:val="46"/>
  </w:num>
  <w:num w:numId="10">
    <w:abstractNumId w:val="12"/>
  </w:num>
  <w:num w:numId="11">
    <w:abstractNumId w:val="11"/>
  </w:num>
  <w:num w:numId="12">
    <w:abstractNumId w:val="10"/>
  </w:num>
  <w:num w:numId="13">
    <w:abstractNumId w:val="9"/>
  </w:num>
  <w:num w:numId="14">
    <w:abstractNumId w:val="13"/>
  </w:num>
  <w:num w:numId="15">
    <w:abstractNumId w:val="8"/>
  </w:num>
  <w:num w:numId="16">
    <w:abstractNumId w:val="7"/>
  </w:num>
  <w:num w:numId="17">
    <w:abstractNumId w:val="6"/>
  </w:num>
  <w:num w:numId="18">
    <w:abstractNumId w:val="5"/>
  </w:num>
  <w:num w:numId="19">
    <w:abstractNumId w:val="134"/>
  </w:num>
  <w:num w:numId="20">
    <w:abstractNumId w:val="233"/>
  </w:num>
  <w:num w:numId="21">
    <w:abstractNumId w:val="340"/>
  </w:num>
  <w:num w:numId="22">
    <w:abstractNumId w:val="476"/>
  </w:num>
  <w:num w:numId="23">
    <w:abstractNumId w:val="28"/>
  </w:num>
  <w:num w:numId="24">
    <w:abstractNumId w:val="44"/>
  </w:num>
  <w:num w:numId="25">
    <w:abstractNumId w:val="432"/>
  </w:num>
  <w:num w:numId="26">
    <w:abstractNumId w:val="43"/>
  </w:num>
  <w:num w:numId="27">
    <w:abstractNumId w:val="456"/>
  </w:num>
  <w:num w:numId="28">
    <w:abstractNumId w:val="312"/>
  </w:num>
  <w:num w:numId="29">
    <w:abstractNumId w:val="235"/>
  </w:num>
  <w:num w:numId="30">
    <w:abstractNumId w:val="158"/>
  </w:num>
  <w:num w:numId="31">
    <w:abstractNumId w:val="441"/>
  </w:num>
  <w:num w:numId="32">
    <w:abstractNumId w:val="483"/>
  </w:num>
  <w:num w:numId="33">
    <w:abstractNumId w:val="413"/>
  </w:num>
  <w:num w:numId="34">
    <w:abstractNumId w:val="23"/>
  </w:num>
  <w:num w:numId="35">
    <w:abstractNumId w:val="341"/>
  </w:num>
  <w:num w:numId="36">
    <w:abstractNumId w:val="171"/>
  </w:num>
  <w:num w:numId="37">
    <w:abstractNumId w:val="150"/>
  </w:num>
  <w:num w:numId="38">
    <w:abstractNumId w:val="400"/>
  </w:num>
  <w:num w:numId="39">
    <w:abstractNumId w:val="31"/>
  </w:num>
  <w:num w:numId="40">
    <w:abstractNumId w:val="331"/>
  </w:num>
  <w:num w:numId="41">
    <w:abstractNumId w:val="404"/>
  </w:num>
  <w:num w:numId="42">
    <w:abstractNumId w:val="344"/>
  </w:num>
  <w:num w:numId="43">
    <w:abstractNumId w:val="381"/>
  </w:num>
  <w:num w:numId="44">
    <w:abstractNumId w:val="74"/>
  </w:num>
  <w:num w:numId="45">
    <w:abstractNumId w:val="397"/>
  </w:num>
  <w:num w:numId="46">
    <w:abstractNumId w:val="322"/>
  </w:num>
  <w:num w:numId="47">
    <w:abstractNumId w:val="179"/>
  </w:num>
  <w:num w:numId="48">
    <w:abstractNumId w:val="99"/>
  </w:num>
  <w:num w:numId="49">
    <w:abstractNumId w:val="75"/>
  </w:num>
  <w:num w:numId="50">
    <w:abstractNumId w:val="104"/>
  </w:num>
  <w:num w:numId="51">
    <w:abstractNumId w:val="330"/>
  </w:num>
  <w:num w:numId="52">
    <w:abstractNumId w:val="338"/>
  </w:num>
  <w:num w:numId="53">
    <w:abstractNumId w:val="408"/>
  </w:num>
  <w:num w:numId="54">
    <w:abstractNumId w:val="199"/>
  </w:num>
  <w:num w:numId="55">
    <w:abstractNumId w:val="425"/>
  </w:num>
  <w:num w:numId="56">
    <w:abstractNumId w:val="463"/>
  </w:num>
  <w:num w:numId="57">
    <w:abstractNumId w:val="172"/>
  </w:num>
  <w:num w:numId="58">
    <w:abstractNumId w:val="66"/>
  </w:num>
  <w:num w:numId="59">
    <w:abstractNumId w:val="239"/>
  </w:num>
  <w:num w:numId="60">
    <w:abstractNumId w:val="269"/>
  </w:num>
  <w:num w:numId="61">
    <w:abstractNumId w:val="95"/>
  </w:num>
  <w:num w:numId="62">
    <w:abstractNumId w:val="302"/>
  </w:num>
  <w:num w:numId="63">
    <w:abstractNumId w:val="197"/>
  </w:num>
  <w:num w:numId="64">
    <w:abstractNumId w:val="91"/>
  </w:num>
  <w:num w:numId="65">
    <w:abstractNumId w:val="402"/>
  </w:num>
  <w:num w:numId="66">
    <w:abstractNumId w:val="166"/>
  </w:num>
  <w:num w:numId="67">
    <w:abstractNumId w:val="276"/>
  </w:num>
  <w:num w:numId="68">
    <w:abstractNumId w:val="439"/>
  </w:num>
  <w:num w:numId="69">
    <w:abstractNumId w:val="88"/>
  </w:num>
  <w:num w:numId="70">
    <w:abstractNumId w:val="417"/>
  </w:num>
  <w:num w:numId="71">
    <w:abstractNumId w:val="328"/>
  </w:num>
  <w:num w:numId="72">
    <w:abstractNumId w:val="76"/>
  </w:num>
  <w:num w:numId="73">
    <w:abstractNumId w:val="248"/>
  </w:num>
  <w:num w:numId="74">
    <w:abstractNumId w:val="332"/>
  </w:num>
  <w:num w:numId="75">
    <w:abstractNumId w:val="216"/>
  </w:num>
  <w:num w:numId="76">
    <w:abstractNumId w:val="309"/>
  </w:num>
  <w:num w:numId="77">
    <w:abstractNumId w:val="465"/>
  </w:num>
  <w:num w:numId="78">
    <w:abstractNumId w:val="473"/>
  </w:num>
  <w:num w:numId="79">
    <w:abstractNumId w:val="447"/>
  </w:num>
  <w:num w:numId="80">
    <w:abstractNumId w:val="487"/>
  </w:num>
  <w:num w:numId="81">
    <w:abstractNumId w:val="192"/>
  </w:num>
  <w:num w:numId="82">
    <w:abstractNumId w:val="265"/>
  </w:num>
  <w:num w:numId="83">
    <w:abstractNumId w:val="267"/>
  </w:num>
  <w:num w:numId="84">
    <w:abstractNumId w:val="159"/>
  </w:num>
  <w:num w:numId="85">
    <w:abstractNumId w:val="73"/>
  </w:num>
  <w:num w:numId="86">
    <w:abstractNumId w:val="258"/>
  </w:num>
  <w:num w:numId="87">
    <w:abstractNumId w:val="142"/>
  </w:num>
  <w:num w:numId="88">
    <w:abstractNumId w:val="366"/>
  </w:num>
  <w:num w:numId="89">
    <w:abstractNumId w:val="353"/>
  </w:num>
  <w:num w:numId="90">
    <w:abstractNumId w:val="389"/>
  </w:num>
  <w:num w:numId="9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6"/>
  </w:num>
  <w:num w:numId="129">
    <w:abstractNumId w:val="354"/>
  </w:num>
  <w:num w:numId="130">
    <w:abstractNumId w:val="286"/>
  </w:num>
  <w:num w:numId="131">
    <w:abstractNumId w:val="282"/>
  </w:num>
  <w:num w:numId="132">
    <w:abstractNumId w:val="60"/>
  </w:num>
  <w:num w:numId="13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8"/>
  </w:num>
  <w:num w:numId="135">
    <w:abstractNumId w:val="306"/>
  </w:num>
  <w:num w:numId="136">
    <w:abstractNumId w:val="144"/>
  </w:num>
  <w:num w:numId="137">
    <w:abstractNumId w:val="356"/>
  </w:num>
  <w:num w:numId="138">
    <w:abstractNumId w:val="105"/>
  </w:num>
  <w:num w:numId="139">
    <w:abstractNumId w:val="211"/>
  </w:num>
  <w:num w:numId="140">
    <w:abstractNumId w:val="157"/>
  </w:num>
  <w:num w:numId="141">
    <w:abstractNumId w:val="399"/>
  </w:num>
  <w:num w:numId="142">
    <w:abstractNumId w:val="222"/>
  </w:num>
  <w:num w:numId="143">
    <w:abstractNumId w:val="167"/>
  </w:num>
  <w:num w:numId="144">
    <w:abstractNumId w:val="337"/>
  </w:num>
  <w:num w:numId="145">
    <w:abstractNumId w:val="454"/>
  </w:num>
  <w:num w:numId="146">
    <w:abstractNumId w:val="41"/>
  </w:num>
  <w:num w:numId="147">
    <w:abstractNumId w:val="390"/>
  </w:num>
  <w:num w:numId="148">
    <w:abstractNumId w:val="478"/>
  </w:num>
  <w:num w:numId="149">
    <w:abstractNumId w:val="136"/>
  </w:num>
  <w:num w:numId="150">
    <w:abstractNumId w:val="394"/>
  </w:num>
  <w:num w:numId="151">
    <w:abstractNumId w:val="423"/>
  </w:num>
  <w:num w:numId="152">
    <w:abstractNumId w:val="230"/>
  </w:num>
  <w:num w:numId="153">
    <w:abstractNumId w:val="35"/>
  </w:num>
  <w:num w:numId="154">
    <w:abstractNumId w:val="336"/>
  </w:num>
  <w:num w:numId="155">
    <w:abstractNumId w:val="348"/>
  </w:num>
  <w:num w:numId="156">
    <w:abstractNumId w:val="318"/>
  </w:num>
  <w:num w:numId="157">
    <w:abstractNumId w:val="279"/>
  </w:num>
  <w:num w:numId="158">
    <w:abstractNumId w:val="62"/>
  </w:num>
  <w:num w:numId="159">
    <w:abstractNumId w:val="405"/>
  </w:num>
  <w:num w:numId="160">
    <w:abstractNumId w:val="80"/>
  </w:num>
  <w:num w:numId="161">
    <w:abstractNumId w:val="429"/>
  </w:num>
  <w:num w:numId="162">
    <w:abstractNumId w:val="58"/>
  </w:num>
  <w:num w:numId="163">
    <w:abstractNumId w:val="221"/>
  </w:num>
  <w:num w:numId="164">
    <w:abstractNumId w:val="385"/>
  </w:num>
  <w:num w:numId="165">
    <w:abstractNumId w:val="469"/>
  </w:num>
  <w:num w:numId="166">
    <w:abstractNumId w:val="253"/>
  </w:num>
  <w:num w:numId="167">
    <w:abstractNumId w:val="42"/>
  </w:num>
  <w:num w:numId="168">
    <w:abstractNumId w:val="410"/>
  </w:num>
  <w:num w:numId="169">
    <w:abstractNumId w:val="237"/>
  </w:num>
  <w:num w:numId="170">
    <w:abstractNumId w:val="333"/>
  </w:num>
  <w:num w:numId="171">
    <w:abstractNumId w:val="433"/>
  </w:num>
  <w:num w:numId="172">
    <w:abstractNumId w:val="457"/>
  </w:num>
  <w:num w:numId="173">
    <w:abstractNumId w:val="92"/>
  </w:num>
  <w:num w:numId="174">
    <w:abstractNumId w:val="468"/>
  </w:num>
  <w:num w:numId="175">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0"/>
  </w:num>
  <w:num w:numId="177">
    <w:abstractNumId w:val="250"/>
  </w:num>
  <w:num w:numId="178">
    <w:abstractNumId w:val="462"/>
  </w:num>
  <w:num w:numId="179">
    <w:abstractNumId w:val="471"/>
  </w:num>
  <w:num w:numId="180">
    <w:abstractNumId w:val="252"/>
  </w:num>
  <w:num w:numId="181">
    <w:abstractNumId w:val="189"/>
  </w:num>
  <w:num w:numId="182">
    <w:abstractNumId w:val="438"/>
  </w:num>
  <w:num w:numId="183">
    <w:abstractNumId w:val="231"/>
  </w:num>
  <w:num w:numId="184">
    <w:abstractNumId w:val="231"/>
  </w:num>
  <w:num w:numId="185">
    <w:abstractNumId w:val="231"/>
  </w:num>
  <w:num w:numId="186">
    <w:abstractNumId w:val="3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31"/>
  </w:num>
  <w:num w:numId="188">
    <w:abstractNumId w:val="340"/>
  </w:num>
  <w:num w:numId="189">
    <w:abstractNumId w:val="340"/>
  </w:num>
  <w:num w:numId="190">
    <w:abstractNumId w:val="45"/>
  </w:num>
  <w:num w:numId="191">
    <w:abstractNumId w:val="240"/>
  </w:num>
  <w:num w:numId="192">
    <w:abstractNumId w:val="416"/>
  </w:num>
  <w:num w:numId="193">
    <w:abstractNumId w:val="79"/>
  </w:num>
  <w:num w:numId="194">
    <w:abstractNumId w:val="431"/>
  </w:num>
  <w:num w:numId="195">
    <w:abstractNumId w:val="363"/>
  </w:num>
  <w:num w:numId="196">
    <w:abstractNumId w:val="455"/>
  </w:num>
  <w:num w:numId="197">
    <w:abstractNumId w:val="125"/>
  </w:num>
  <w:num w:numId="198">
    <w:abstractNumId w:val="254"/>
  </w:num>
  <w:num w:numId="199">
    <w:abstractNumId w:val="145"/>
  </w:num>
  <w:num w:numId="200">
    <w:abstractNumId w:val="443"/>
  </w:num>
  <w:num w:numId="201">
    <w:abstractNumId w:val="51"/>
  </w:num>
  <w:num w:numId="202">
    <w:abstractNumId w:val="133"/>
  </w:num>
  <w:num w:numId="203">
    <w:abstractNumId w:val="231"/>
  </w:num>
  <w:num w:numId="204">
    <w:abstractNumId w:val="231"/>
  </w:num>
  <w:num w:numId="205">
    <w:abstractNumId w:val="485"/>
  </w:num>
  <w:num w:numId="20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96"/>
  </w:num>
  <w:num w:numId="209">
    <w:abstractNumId w:val="391"/>
  </w:num>
  <w:num w:numId="210">
    <w:abstractNumId w:val="380"/>
  </w:num>
  <w:num w:numId="21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5"/>
  </w:num>
  <w:num w:numId="213">
    <w:abstractNumId w:val="118"/>
  </w:num>
  <w:num w:numId="214">
    <w:abstractNumId w:val="477"/>
  </w:num>
  <w:num w:numId="215">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93"/>
  </w:num>
  <w:num w:numId="222">
    <w:abstractNumId w:val="310"/>
  </w:num>
  <w:num w:numId="223">
    <w:abstractNumId w:val="260"/>
  </w:num>
  <w:num w:numId="224">
    <w:abstractNumId w:val="379"/>
  </w:num>
  <w:num w:numId="225">
    <w:abstractNumId w:val="245"/>
  </w:num>
  <w:num w:numId="226">
    <w:abstractNumId w:val="48"/>
  </w:num>
  <w:num w:numId="227">
    <w:abstractNumId w:val="231"/>
  </w:num>
  <w:num w:numId="228">
    <w:abstractNumId w:val="26"/>
  </w:num>
  <w:num w:numId="229">
    <w:abstractNumId w:val="165"/>
  </w:num>
  <w:num w:numId="230">
    <w:abstractNumId w:val="162"/>
  </w:num>
  <w:num w:numId="231">
    <w:abstractNumId w:val="345"/>
  </w:num>
  <w:num w:numId="232">
    <w:abstractNumId w:val="14"/>
  </w:num>
  <w:num w:numId="233">
    <w:abstractNumId w:val="453"/>
  </w:num>
  <w:num w:numId="234">
    <w:abstractNumId w:val="231"/>
  </w:num>
  <w:num w:numId="235">
    <w:abstractNumId w:val="231"/>
  </w:num>
  <w:num w:numId="236">
    <w:abstractNumId w:val="231"/>
  </w:num>
  <w:num w:numId="237">
    <w:abstractNumId w:val="231"/>
  </w:num>
  <w:num w:numId="238">
    <w:abstractNumId w:val="231"/>
  </w:num>
  <w:num w:numId="239">
    <w:abstractNumId w:val="231"/>
  </w:num>
  <w:num w:numId="240">
    <w:abstractNumId w:val="175"/>
  </w:num>
  <w:num w:numId="241">
    <w:abstractNumId w:val="170"/>
  </w:num>
  <w:num w:numId="242">
    <w:abstractNumId w:val="169"/>
  </w:num>
  <w:num w:numId="243">
    <w:abstractNumId w:val="128"/>
  </w:num>
  <w:num w:numId="244">
    <w:abstractNumId w:val="300"/>
  </w:num>
  <w:num w:numId="245">
    <w:abstractNumId w:val="207"/>
  </w:num>
  <w:num w:numId="246">
    <w:abstractNumId w:val="23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60"/>
  </w:num>
  <w:num w:numId="248">
    <w:abstractNumId w:val="323"/>
  </w:num>
  <w:num w:numId="249">
    <w:abstractNumId w:val="358"/>
  </w:num>
  <w:num w:numId="250">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9"/>
  </w:num>
  <w:num w:numId="252">
    <w:abstractNumId w:val="359"/>
  </w:num>
  <w:num w:numId="253">
    <w:abstractNumId w:val="83"/>
  </w:num>
  <w:num w:numId="254">
    <w:abstractNumId w:val="38"/>
  </w:num>
  <w:num w:numId="255">
    <w:abstractNumId w:val="148"/>
  </w:num>
  <w:num w:numId="256">
    <w:abstractNumId w:val="464"/>
  </w:num>
  <w:num w:numId="257">
    <w:abstractNumId w:val="69"/>
  </w:num>
  <w:num w:numId="258">
    <w:abstractNumId w:val="29"/>
  </w:num>
  <w:num w:numId="259">
    <w:abstractNumId w:val="160"/>
  </w:num>
  <w:num w:numId="260">
    <w:abstractNumId w:val="231"/>
  </w:num>
  <w:num w:numId="261">
    <w:abstractNumId w:val="241"/>
  </w:num>
  <w:num w:numId="262">
    <w:abstractNumId w:val="120"/>
  </w:num>
  <w:num w:numId="263">
    <w:abstractNumId w:val="271"/>
  </w:num>
  <w:num w:numId="264">
    <w:abstractNumId w:val="18"/>
  </w:num>
  <w:num w:numId="265">
    <w:abstractNumId w:val="266"/>
  </w:num>
  <w:num w:numId="266">
    <w:abstractNumId w:val="86"/>
  </w:num>
  <w:num w:numId="267">
    <w:abstractNumId w:val="112"/>
  </w:num>
  <w:num w:numId="268">
    <w:abstractNumId w:val="460"/>
  </w:num>
  <w:num w:numId="269">
    <w:abstractNumId w:val="184"/>
  </w:num>
  <w:num w:numId="270">
    <w:abstractNumId w:val="393"/>
  </w:num>
  <w:num w:numId="271">
    <w:abstractNumId w:val="418"/>
  </w:num>
  <w:num w:numId="272">
    <w:abstractNumId w:val="82"/>
  </w:num>
  <w:num w:numId="273">
    <w:abstractNumId w:val="231"/>
  </w:num>
  <w:num w:numId="274">
    <w:abstractNumId w:val="231"/>
  </w:num>
  <w:num w:numId="275">
    <w:abstractNumId w:val="231"/>
  </w:num>
  <w:num w:numId="276">
    <w:abstractNumId w:val="231"/>
  </w:num>
  <w:num w:numId="277">
    <w:abstractNumId w:val="377"/>
  </w:num>
  <w:num w:numId="278">
    <w:abstractNumId w:val="262"/>
  </w:num>
  <w:num w:numId="279">
    <w:abstractNumId w:val="467"/>
  </w:num>
  <w:num w:numId="280">
    <w:abstractNumId w:val="387"/>
  </w:num>
  <w:num w:numId="281">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55"/>
  </w:num>
  <w:num w:numId="283">
    <w:abstractNumId w:val="110"/>
  </w:num>
  <w:num w:numId="284">
    <w:abstractNumId w:val="231"/>
  </w:num>
  <w:num w:numId="285">
    <w:abstractNumId w:val="231"/>
  </w:num>
  <w:num w:numId="286">
    <w:abstractNumId w:val="231"/>
  </w:num>
  <w:num w:numId="287">
    <w:abstractNumId w:val="231"/>
  </w:num>
  <w:num w:numId="288">
    <w:abstractNumId w:val="304"/>
  </w:num>
  <w:num w:numId="289">
    <w:abstractNumId w:val="176"/>
  </w:num>
  <w:num w:numId="290">
    <w:abstractNumId w:val="461"/>
  </w:num>
  <w:num w:numId="291">
    <w:abstractNumId w:val="388"/>
  </w:num>
  <w:num w:numId="292">
    <w:abstractNumId w:val="249"/>
  </w:num>
  <w:num w:numId="293">
    <w:abstractNumId w:val="304"/>
  </w:num>
  <w:num w:numId="294">
    <w:abstractNumId w:val="27"/>
  </w:num>
  <w:num w:numId="295">
    <w:abstractNumId w:val="426"/>
  </w:num>
  <w:num w:numId="296">
    <w:abstractNumId w:val="285"/>
  </w:num>
  <w:num w:numId="297">
    <w:abstractNumId w:val="21"/>
  </w:num>
  <w:num w:numId="298">
    <w:abstractNumId w:val="290"/>
  </w:num>
  <w:num w:numId="299">
    <w:abstractNumId w:val="263"/>
  </w:num>
  <w:num w:numId="300">
    <w:abstractNumId w:val="177"/>
  </w:num>
  <w:num w:numId="301">
    <w:abstractNumId w:val="194"/>
  </w:num>
  <w:num w:numId="302">
    <w:abstractNumId w:val="37"/>
  </w:num>
  <w:num w:numId="303">
    <w:abstractNumId w:val="449"/>
  </w:num>
  <w:num w:numId="304">
    <w:abstractNumId w:val="232"/>
  </w:num>
  <w:num w:numId="305">
    <w:abstractNumId w:val="90"/>
  </w:num>
  <w:num w:numId="306">
    <w:abstractNumId w:val="367"/>
  </w:num>
  <w:num w:numId="307">
    <w:abstractNumId w:val="149"/>
  </w:num>
  <w:num w:numId="308">
    <w:abstractNumId w:val="141"/>
  </w:num>
  <w:num w:numId="309">
    <w:abstractNumId w:val="414"/>
  </w:num>
  <w:num w:numId="310">
    <w:abstractNumId w:val="213"/>
  </w:num>
  <w:num w:numId="311">
    <w:abstractNumId w:val="280"/>
  </w:num>
  <w:num w:numId="312">
    <w:abstractNumId w:val="427"/>
  </w:num>
  <w:num w:numId="313">
    <w:abstractNumId w:val="314"/>
  </w:num>
  <w:num w:numId="314">
    <w:abstractNumId w:val="124"/>
  </w:num>
  <w:num w:numId="315">
    <w:abstractNumId w:val="151"/>
  </w:num>
  <w:num w:numId="316">
    <w:abstractNumId w:val="152"/>
  </w:num>
  <w:num w:numId="317">
    <w:abstractNumId w:val="55"/>
  </w:num>
  <w:num w:numId="318">
    <w:abstractNumId w:val="459"/>
  </w:num>
  <w:num w:numId="319">
    <w:abstractNumId w:val="223"/>
  </w:num>
  <w:num w:numId="320">
    <w:abstractNumId w:val="164"/>
  </w:num>
  <w:num w:numId="321">
    <w:abstractNumId w:val="204"/>
  </w:num>
  <w:num w:numId="322">
    <w:abstractNumId w:val="127"/>
  </w:num>
  <w:num w:numId="323">
    <w:abstractNumId w:val="185"/>
  </w:num>
  <w:num w:numId="324">
    <w:abstractNumId w:val="63"/>
  </w:num>
  <w:num w:numId="325">
    <w:abstractNumId w:val="130"/>
  </w:num>
  <w:num w:numId="326">
    <w:abstractNumId w:val="96"/>
  </w:num>
  <w:num w:numId="327">
    <w:abstractNumId w:val="352"/>
  </w:num>
  <w:num w:numId="328">
    <w:abstractNumId w:val="308"/>
  </w:num>
  <w:num w:numId="329">
    <w:abstractNumId w:val="375"/>
  </w:num>
  <w:num w:numId="330">
    <w:abstractNumId w:val="339"/>
  </w:num>
  <w:num w:numId="331">
    <w:abstractNumId w:val="191"/>
  </w:num>
  <w:num w:numId="332">
    <w:abstractNumId w:val="383"/>
  </w:num>
  <w:num w:numId="333">
    <w:abstractNumId w:val="182"/>
  </w:num>
  <w:num w:numId="334">
    <w:abstractNumId w:val="93"/>
  </w:num>
  <w:num w:numId="335">
    <w:abstractNumId w:val="156"/>
  </w:num>
  <w:num w:numId="336">
    <w:abstractNumId w:val="89"/>
  </w:num>
  <w:num w:numId="337">
    <w:abstractNumId w:val="307"/>
  </w:num>
  <w:num w:numId="338">
    <w:abstractNumId w:val="395"/>
  </w:num>
  <w:num w:numId="339">
    <w:abstractNumId w:val="59"/>
  </w:num>
  <w:num w:numId="340">
    <w:abstractNumId w:val="224"/>
  </w:num>
  <w:num w:numId="341">
    <w:abstractNumId w:val="484"/>
  </w:num>
  <w:num w:numId="342">
    <w:abstractNumId w:val="52"/>
  </w:num>
  <w:num w:numId="343">
    <w:abstractNumId w:val="72"/>
  </w:num>
  <w:num w:numId="344">
    <w:abstractNumId w:val="291"/>
  </w:num>
  <w:num w:numId="345">
    <w:abstractNumId w:val="301"/>
  </w:num>
  <w:num w:numId="346">
    <w:abstractNumId w:val="161"/>
  </w:num>
  <w:num w:numId="347">
    <w:abstractNumId w:val="131"/>
  </w:num>
  <w:num w:numId="348">
    <w:abstractNumId w:val="56"/>
  </w:num>
  <w:num w:numId="349">
    <w:abstractNumId w:val="243"/>
  </w:num>
  <w:num w:numId="350">
    <w:abstractNumId w:val="32"/>
  </w:num>
  <w:num w:numId="351">
    <w:abstractNumId w:val="209"/>
  </w:num>
  <w:num w:numId="352">
    <w:abstractNumId w:val="139"/>
  </w:num>
  <w:num w:numId="353">
    <w:abstractNumId w:val="102"/>
  </w:num>
  <w:num w:numId="354">
    <w:abstractNumId w:val="406"/>
  </w:num>
  <w:num w:numId="355">
    <w:abstractNumId w:val="474"/>
  </w:num>
  <w:num w:numId="356">
    <w:abstractNumId w:val="195"/>
  </w:num>
  <w:num w:numId="357">
    <w:abstractNumId w:val="114"/>
  </w:num>
  <w:num w:numId="358">
    <w:abstractNumId w:val="47"/>
  </w:num>
  <w:num w:numId="359">
    <w:abstractNumId w:val="335"/>
  </w:num>
  <w:num w:numId="360">
    <w:abstractNumId w:val="442"/>
  </w:num>
  <w:num w:numId="361">
    <w:abstractNumId w:val="220"/>
  </w:num>
  <w:num w:numId="362">
    <w:abstractNumId w:val="34"/>
  </w:num>
  <w:num w:numId="363">
    <w:abstractNumId w:val="154"/>
  </w:num>
  <w:num w:numId="364">
    <w:abstractNumId w:val="87"/>
  </w:num>
  <w:num w:numId="365">
    <w:abstractNumId w:val="94"/>
  </w:num>
  <w:num w:numId="366">
    <w:abstractNumId w:val="186"/>
  </w:num>
  <w:num w:numId="367">
    <w:abstractNumId w:val="475"/>
  </w:num>
  <w:num w:numId="368">
    <w:abstractNumId w:val="129"/>
  </w:num>
  <w:num w:numId="369">
    <w:abstractNumId w:val="403"/>
  </w:num>
  <w:num w:numId="370">
    <w:abstractNumId w:val="342"/>
  </w:num>
  <w:num w:numId="371">
    <w:abstractNumId w:val="292"/>
  </w:num>
  <w:num w:numId="372">
    <w:abstractNumId w:val="445"/>
  </w:num>
  <w:num w:numId="373">
    <w:abstractNumId w:val="274"/>
  </w:num>
  <w:num w:numId="374">
    <w:abstractNumId w:val="281"/>
  </w:num>
  <w:num w:numId="375">
    <w:abstractNumId w:val="277"/>
  </w:num>
  <w:num w:numId="376">
    <w:abstractNumId w:val="434"/>
  </w:num>
  <w:num w:numId="377">
    <w:abstractNumId w:val="154"/>
  </w:num>
  <w:num w:numId="378">
    <w:abstractNumId w:val="304"/>
  </w:num>
  <w:num w:numId="379">
    <w:abstractNumId w:val="424"/>
  </w:num>
  <w:num w:numId="380">
    <w:abstractNumId w:val="246"/>
  </w:num>
  <w:num w:numId="381">
    <w:abstractNumId w:val="256"/>
  </w:num>
  <w:num w:numId="382">
    <w:abstractNumId w:val="378"/>
  </w:num>
  <w:num w:numId="383">
    <w:abstractNumId w:val="81"/>
  </w:num>
  <w:num w:numId="384">
    <w:abstractNumId w:val="117"/>
  </w:num>
  <w:num w:numId="385">
    <w:abstractNumId w:val="466"/>
  </w:num>
  <w:num w:numId="386">
    <w:abstractNumId w:val="351"/>
  </w:num>
  <w:num w:numId="387">
    <w:abstractNumId w:val="115"/>
  </w:num>
  <w:num w:numId="388">
    <w:abstractNumId w:val="364"/>
  </w:num>
  <w:num w:numId="389">
    <w:abstractNumId w:val="421"/>
  </w:num>
  <w:num w:numId="390">
    <w:abstractNumId w:val="113"/>
  </w:num>
  <w:num w:numId="391">
    <w:abstractNumId w:val="228"/>
  </w:num>
  <w:num w:numId="392">
    <w:abstractNumId w:val="451"/>
  </w:num>
  <w:num w:numId="393">
    <w:abstractNumId w:val="273"/>
  </w:num>
  <w:num w:numId="394">
    <w:abstractNumId w:val="409"/>
  </w:num>
  <w:num w:numId="395">
    <w:abstractNumId w:val="146"/>
  </w:num>
  <w:num w:numId="396">
    <w:abstractNumId w:val="135"/>
  </w:num>
  <w:num w:numId="397">
    <w:abstractNumId w:val="233"/>
  </w:num>
  <w:num w:numId="398">
    <w:abstractNumId w:val="227"/>
  </w:num>
  <w:num w:numId="399">
    <w:abstractNumId w:val="233"/>
  </w:num>
  <w:num w:numId="400">
    <w:abstractNumId w:val="233"/>
  </w:num>
  <w:num w:numId="401">
    <w:abstractNumId w:val="36"/>
  </w:num>
  <w:num w:numId="402">
    <w:abstractNumId w:val="219"/>
  </w:num>
  <w:num w:numId="403">
    <w:abstractNumId w:val="415"/>
  </w:num>
  <w:num w:numId="404">
    <w:abstractNumId w:val="65"/>
  </w:num>
  <w:num w:numId="405">
    <w:abstractNumId w:val="153"/>
  </w:num>
  <w:num w:numId="406">
    <w:abstractNumId w:val="143"/>
  </w:num>
  <w:num w:numId="407">
    <w:abstractNumId w:val="215"/>
  </w:num>
  <w:num w:numId="408">
    <w:abstractNumId w:val="70"/>
  </w:num>
  <w:num w:numId="409">
    <w:abstractNumId w:val="50"/>
  </w:num>
  <w:num w:numId="410">
    <w:abstractNumId w:val="299"/>
  </w:num>
  <w:num w:numId="411">
    <w:abstractNumId w:val="361"/>
  </w:num>
  <w:num w:numId="412">
    <w:abstractNumId w:val="107"/>
  </w:num>
  <w:num w:numId="413">
    <w:abstractNumId w:val="349"/>
  </w:num>
  <w:num w:numId="414">
    <w:abstractNumId w:val="419"/>
  </w:num>
  <w:num w:numId="415">
    <w:abstractNumId w:val="218"/>
  </w:num>
  <w:num w:numId="416">
    <w:abstractNumId w:val="25"/>
  </w:num>
  <w:num w:numId="417">
    <w:abstractNumId w:val="412"/>
  </w:num>
  <w:num w:numId="418">
    <w:abstractNumId w:val="452"/>
  </w:num>
  <w:num w:numId="419">
    <w:abstractNumId w:val="287"/>
  </w:num>
  <w:num w:numId="420">
    <w:abstractNumId w:val="275"/>
  </w:num>
  <w:num w:numId="421">
    <w:abstractNumId w:val="34"/>
  </w:num>
  <w:num w:numId="422">
    <w:abstractNumId w:val="304"/>
  </w:num>
  <w:num w:numId="423">
    <w:abstractNumId w:val="40"/>
  </w:num>
  <w:num w:numId="424">
    <w:abstractNumId w:val="304"/>
  </w:num>
  <w:num w:numId="425">
    <w:abstractNumId w:val="304"/>
  </w:num>
  <w:num w:numId="426">
    <w:abstractNumId w:val="304"/>
  </w:num>
  <w:num w:numId="427">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03"/>
  </w:num>
  <w:num w:numId="429">
    <w:abstractNumId w:val="470"/>
  </w:num>
  <w:num w:numId="430">
    <w:abstractNumId w:val="121"/>
  </w:num>
  <w:num w:numId="431">
    <w:abstractNumId w:val="109"/>
  </w:num>
  <w:num w:numId="432">
    <w:abstractNumId w:val="206"/>
  </w:num>
  <w:num w:numId="433">
    <w:abstractNumId w:val="294"/>
  </w:num>
  <w:num w:numId="434">
    <w:abstractNumId w:val="123"/>
  </w:num>
  <w:num w:numId="435">
    <w:abstractNumId w:val="304"/>
  </w:num>
  <w:num w:numId="436">
    <w:abstractNumId w:val="304"/>
  </w:num>
  <w:num w:numId="437">
    <w:abstractNumId w:val="304"/>
  </w:num>
  <w:num w:numId="438">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68"/>
  </w:num>
  <w:num w:numId="440">
    <w:abstractNumId w:val="343"/>
  </w:num>
  <w:num w:numId="441">
    <w:abstractNumId w:val="372"/>
  </w:num>
  <w:num w:numId="442">
    <w:abstractNumId w:val="84"/>
  </w:num>
  <w:num w:numId="443">
    <w:abstractNumId w:val="210"/>
  </w:num>
  <w:num w:numId="444">
    <w:abstractNumId w:val="106"/>
  </w:num>
  <w:num w:numId="445">
    <w:abstractNumId w:val="315"/>
  </w:num>
  <w:num w:numId="446">
    <w:abstractNumId w:val="17"/>
  </w:num>
  <w:num w:numId="447">
    <w:abstractNumId w:val="298"/>
  </w:num>
  <w:num w:numId="448">
    <w:abstractNumId w:val="327"/>
  </w:num>
  <w:num w:numId="449">
    <w:abstractNumId w:val="486"/>
  </w:num>
  <w:num w:numId="450">
    <w:abstractNumId w:val="180"/>
  </w:num>
  <w:num w:numId="451">
    <w:abstractNumId w:val="371"/>
  </w:num>
  <w:num w:numId="452">
    <w:abstractNumId w:val="407"/>
  </w:num>
  <w:num w:numId="453">
    <w:abstractNumId w:val="304"/>
  </w:num>
  <w:num w:numId="454">
    <w:abstractNumId w:val="132"/>
  </w:num>
  <w:num w:numId="455">
    <w:abstractNumId w:val="173"/>
  </w:num>
  <w:num w:numId="456">
    <w:abstractNumId w:val="49"/>
  </w:num>
  <w:num w:numId="457">
    <w:abstractNumId w:val="396"/>
  </w:num>
  <w:num w:numId="458">
    <w:abstractNumId w:val="202"/>
  </w:num>
  <w:num w:numId="459">
    <w:abstractNumId w:val="200"/>
  </w:num>
  <w:num w:numId="460">
    <w:abstractNumId w:val="217"/>
  </w:num>
  <w:num w:numId="461">
    <w:abstractNumId w:val="19"/>
  </w:num>
  <w:num w:numId="462">
    <w:abstractNumId w:val="201"/>
  </w:num>
  <w:num w:numId="463">
    <w:abstractNumId w:val="304"/>
  </w:num>
  <w:num w:numId="464">
    <w:abstractNumId w:val="283"/>
  </w:num>
  <w:num w:numId="465">
    <w:abstractNumId w:val="436"/>
  </w:num>
  <w:num w:numId="466">
    <w:abstractNumId w:val="311"/>
  </w:num>
  <w:num w:numId="467">
    <w:abstractNumId w:val="126"/>
  </w:num>
  <w:num w:numId="468">
    <w:abstractNumId w:val="401"/>
  </w:num>
  <w:num w:numId="469">
    <w:abstractNumId w:val="304"/>
  </w:num>
  <w:num w:numId="470">
    <w:abstractNumId w:val="278"/>
  </w:num>
  <w:num w:numId="471">
    <w:abstractNumId w:val="225"/>
  </w:num>
  <w:num w:numId="472">
    <w:abstractNumId w:val="347"/>
  </w:num>
  <w:num w:numId="473">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4"/>
  </w:num>
  <w:num w:numId="475">
    <w:abstractNumId w:val="430"/>
  </w:num>
  <w:num w:numId="476">
    <w:abstractNumId w:val="317"/>
  </w:num>
  <w:num w:numId="477">
    <w:abstractNumId w:val="304"/>
  </w:num>
  <w:num w:numId="478">
    <w:abstractNumId w:val="304"/>
  </w:num>
  <w:num w:numId="479">
    <w:abstractNumId w:val="304"/>
  </w:num>
  <w:num w:numId="480">
    <w:abstractNumId w:val="368"/>
  </w:num>
  <w:num w:numId="481">
    <w:abstractNumId w:val="295"/>
  </w:num>
  <w:num w:numId="482">
    <w:abstractNumId w:val="440"/>
  </w:num>
  <w:num w:numId="483">
    <w:abstractNumId w:val="15"/>
  </w:num>
  <w:num w:numId="484">
    <w:abstractNumId w:val="244"/>
  </w:num>
  <w:num w:numId="485">
    <w:abstractNumId w:val="111"/>
  </w:num>
  <w:num w:numId="486">
    <w:abstractNumId w:val="116"/>
  </w:num>
  <w:num w:numId="487">
    <w:abstractNumId w:val="480"/>
  </w:num>
  <w:num w:numId="488">
    <w:abstractNumId w:val="437"/>
  </w:num>
  <w:num w:numId="489">
    <w:abstractNumId w:val="324"/>
  </w:num>
  <w:num w:numId="490">
    <w:abstractNumId w:val="68"/>
  </w:num>
  <w:num w:numId="491">
    <w:abstractNumId w:val="71"/>
  </w:num>
  <w:num w:numId="492">
    <w:abstractNumId w:val="346"/>
  </w:num>
  <w:num w:numId="493">
    <w:abstractNumId w:val="67"/>
  </w:num>
  <w:num w:numId="494">
    <w:abstractNumId w:val="205"/>
  </w:num>
  <w:num w:numId="495">
    <w:abstractNumId w:val="386"/>
  </w:num>
  <w:num w:numId="496">
    <w:abstractNumId w:val="370"/>
  </w:num>
  <w:num w:numId="497">
    <w:abstractNumId w:val="57"/>
  </w:num>
  <w:num w:numId="498">
    <w:abstractNumId w:val="482"/>
  </w:num>
  <w:num w:numId="499">
    <w:abstractNumId w:val="119"/>
  </w:num>
  <w:num w:numId="500">
    <w:abstractNumId w:val="208"/>
  </w:num>
  <w:num w:numId="501">
    <w:abstractNumId w:val="325"/>
  </w:num>
  <w:num w:numId="502">
    <w:abstractNumId w:val="297"/>
  </w:num>
  <w:num w:numId="503">
    <w:abstractNumId w:val="334"/>
  </w:num>
  <w:num w:numId="504">
    <w:abstractNumId w:val="270"/>
  </w:num>
  <w:num w:numId="505">
    <w:abstractNumId w:val="97"/>
  </w:num>
  <w:num w:numId="506">
    <w:abstractNumId w:val="479"/>
  </w:num>
  <w:num w:numId="507">
    <w:abstractNumId w:val="448"/>
  </w:num>
  <w:num w:numId="508">
    <w:abstractNumId w:val="305"/>
  </w:num>
  <w:num w:numId="509">
    <w:abstractNumId w:val="190"/>
  </w:num>
  <w:num w:numId="510">
    <w:abstractNumId w:val="357"/>
  </w:num>
  <w:num w:numId="511">
    <w:abstractNumId w:val="198"/>
  </w:num>
  <w:num w:numId="512">
    <w:abstractNumId w:val="77"/>
  </w:num>
  <w:num w:numId="513">
    <w:abstractNumId w:val="369"/>
  </w:num>
  <w:num w:numId="514">
    <w:abstractNumId w:val="181"/>
  </w:num>
  <w:num w:numId="515">
    <w:abstractNumId w:val="137"/>
  </w:num>
  <w:num w:numId="516">
    <w:abstractNumId w:val="203"/>
  </w:num>
  <w:num w:numId="517">
    <w:abstractNumId w:val="247"/>
  </w:num>
  <w:num w:numId="518">
    <w:abstractNumId w:val="450"/>
  </w:num>
  <w:num w:numId="519">
    <w:abstractNumId w:val="398"/>
  </w:num>
  <w:num w:numId="520">
    <w:abstractNumId w:val="420"/>
  </w:num>
  <w:num w:numId="521">
    <w:abstractNumId w:val="22"/>
  </w:num>
  <w:num w:numId="522">
    <w:abstractNumId w:val="255"/>
  </w:num>
  <w:num w:numId="523">
    <w:abstractNumId w:val="1"/>
  </w:num>
  <w:num w:numId="524">
    <w:abstractNumId w:val="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85"/>
  </w:num>
  <w:num w:numId="526">
    <w:abstractNumId w:val="435"/>
  </w:num>
  <w:num w:numId="527">
    <w:abstractNumId w:val="226"/>
  </w:num>
  <w:num w:numId="528">
    <w:abstractNumId w:val="34"/>
  </w:num>
  <w:num w:numId="529">
    <w:abstractNumId w:val="34"/>
  </w:num>
  <w:num w:numId="530">
    <w:abstractNumId w:val="34"/>
  </w:num>
  <w:num w:numId="531">
    <w:abstractNumId w:val="446"/>
  </w:num>
  <w:num w:numId="532">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3">
    <w:abstractNumId w:val="257"/>
  </w:num>
  <w:num w:numId="534">
    <w:abstractNumId w:val="458"/>
  </w:num>
  <w:num w:numId="535">
    <w:abstractNumId w:val="288"/>
  </w:num>
  <w:num w:numId="536">
    <w:abstractNumId w:val="183"/>
  </w:num>
  <w:num w:numId="537">
    <w:abstractNumId w:val="236"/>
  </w:num>
  <w:num w:numId="538">
    <w:abstractNumId w:val="0"/>
  </w:num>
  <w:num w:numId="539">
    <w:abstractNumId w:val="214"/>
  </w:num>
  <w:num w:numId="540">
    <w:abstractNumId w:val="20"/>
  </w:num>
  <w:num w:numId="541">
    <w:abstractNumId w:val="320"/>
  </w:num>
  <w:num w:numId="542">
    <w:abstractNumId w:val="259"/>
  </w:num>
  <w:num w:numId="543">
    <w:abstractNumId w:val="362"/>
  </w:num>
  <w:num w:numId="544">
    <w:abstractNumId w:val="188"/>
  </w:num>
  <w:num w:numId="545">
    <w:abstractNumId w:val="481"/>
  </w:num>
  <w:num w:numId="546">
    <w:abstractNumId w:val="147"/>
  </w:num>
  <w:num w:numId="547">
    <w:abstractNumId w:val="101"/>
  </w:num>
  <w:num w:numId="548">
    <w:abstractNumId w:val="61"/>
  </w:num>
  <w:num w:numId="549">
    <w:abstractNumId w:val="234"/>
  </w:num>
  <w:num w:numId="550">
    <w:abstractNumId w:val="272"/>
  </w:num>
  <w:num w:numId="551">
    <w:abstractNumId w:val="382"/>
  </w:num>
  <w:num w:numId="552">
    <w:abstractNumId w:val="329"/>
  </w:num>
  <w:num w:numId="553">
    <w:abstractNumId w:val="98"/>
  </w:num>
  <w:num w:numId="554">
    <w:abstractNumId w:val="2"/>
  </w:num>
  <w:num w:numId="555">
    <w:abstractNumId w:val="384"/>
  </w:num>
  <w:num w:numId="556">
    <w:abstractNumId w:val="4"/>
  </w:num>
  <w:num w:numId="557">
    <w:abstractNumId w:val="122"/>
  </w:num>
  <w:num w:numId="558">
    <w:abstractNumId w:val="3"/>
  </w:num>
  <w:num w:numId="559">
    <w:abstractNumId w:val="392"/>
  </w:num>
  <w:num w:numId="560">
    <w:abstractNumId w:val="289"/>
  </w:num>
  <w:num w:numId="561">
    <w:abstractNumId w:val="373"/>
  </w:num>
  <w:num w:numId="562">
    <w:abstractNumId w:val="174"/>
  </w:num>
  <w:num w:numId="563">
    <w:abstractNumId w:val="108"/>
  </w:num>
  <w:num w:numId="564">
    <w:abstractNumId w:val="264"/>
  </w:num>
  <w:num w:numId="565">
    <w:abstractNumId w:val="428"/>
  </w:num>
  <w:num w:numId="566">
    <w:abstractNumId w:val="229"/>
  </w:num>
  <w:num w:numId="567">
    <w:abstractNumId w:val="313"/>
  </w:num>
  <w:num w:numId="568">
    <w:abstractNumId w:val="64"/>
  </w:num>
  <w:num w:numId="56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63"/>
  </w:num>
  <w:num w:numId="571">
    <w:abstractNumId w:val="168"/>
  </w:num>
  <w:num w:numId="572">
    <w:abstractNumId w:val="78"/>
  </w:num>
  <w:num w:numId="573">
    <w:abstractNumId w:val="316"/>
  </w:num>
  <w:num w:numId="574">
    <w:abstractNumId w:val="319"/>
  </w:num>
  <w:num w:numId="575">
    <w:abstractNumId w:val="261"/>
  </w:num>
  <w:num w:numId="576">
    <w:abstractNumId w:val="24"/>
  </w:num>
  <w:num w:numId="577">
    <w:abstractNumId w:val="304"/>
  </w:num>
  <w:num w:numId="578">
    <w:abstractNumId w:val="304"/>
  </w:num>
  <w:num w:numId="579">
    <w:abstractNumId w:val="16"/>
  </w:num>
  <w:num w:numId="580">
    <w:abstractNumId w:val="326"/>
  </w:num>
  <w:num w:numId="581">
    <w:abstractNumId w:val="304"/>
  </w:num>
  <w:num w:numId="582">
    <w:abstractNumId w:val="304"/>
  </w:num>
  <w:num w:numId="583">
    <w:abstractNumId w:val="350"/>
  </w:num>
  <w:num w:numId="584">
    <w:abstractNumId w:val="422"/>
  </w:num>
  <w:num w:numId="585">
    <w:abstractNumId w:val="321"/>
  </w:num>
  <w:num w:numId="586">
    <w:abstractNumId w:val="251"/>
  </w:num>
  <w:num w:numId="587">
    <w:abstractNumId w:val="472"/>
  </w:num>
  <w:num w:numId="588">
    <w:abstractNumId w:val="138"/>
  </w:num>
  <w:num w:numId="589">
    <w:abstractNumId w:val="3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238"/>
  </w:num>
  <w:num w:numId="591">
    <w:abstractNumId w:val="100"/>
  </w:num>
  <w:num w:numId="592">
    <w:abstractNumId w:val="4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42"/>
  </w:num>
  <w:numIdMacAtCleanup w:val="5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isplayBackgroundShape/>
  <w:hideSpellingErrors/>
  <w:hideGrammaticalErrors/>
  <w:activeWritingStyle w:appName="MSWord" w:lang="en-US" w:vendorID="64" w:dllVersion="131078" w:nlCheck="1" w:checkStyle="0"/>
  <w:activeWritingStyle w:appName="MSWord" w:lang="fr-FR" w:vendorID="64" w:dllVersion="131078" w:nlCheck="1" w:checkStyle="1"/>
  <w:proofState w:spelling="clean" w:grammar="clean"/>
  <w:stylePaneFormatFilter w:val="1024"/>
  <w:doNotTrackMoves/>
  <w:documentProtection w:edit="readOnly" w:enforcement="1"/>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NormalStyleForList/>
  </w:compat>
  <w:rsids>
    <w:rsidRoot w:val="00935659"/>
    <w:rsid w:val="0000019C"/>
    <w:rsid w:val="000001D7"/>
    <w:rsid w:val="00000458"/>
    <w:rsid w:val="000006EA"/>
    <w:rsid w:val="00000D56"/>
    <w:rsid w:val="00000E45"/>
    <w:rsid w:val="00000EC2"/>
    <w:rsid w:val="00001035"/>
    <w:rsid w:val="00001138"/>
    <w:rsid w:val="00001148"/>
    <w:rsid w:val="00001158"/>
    <w:rsid w:val="000011DE"/>
    <w:rsid w:val="000011E3"/>
    <w:rsid w:val="00001207"/>
    <w:rsid w:val="00001224"/>
    <w:rsid w:val="00001276"/>
    <w:rsid w:val="00001335"/>
    <w:rsid w:val="00001518"/>
    <w:rsid w:val="0000161B"/>
    <w:rsid w:val="00001620"/>
    <w:rsid w:val="000019E7"/>
    <w:rsid w:val="00001A7B"/>
    <w:rsid w:val="00001DC2"/>
    <w:rsid w:val="00001F29"/>
    <w:rsid w:val="00002177"/>
    <w:rsid w:val="000021CD"/>
    <w:rsid w:val="00002244"/>
    <w:rsid w:val="000023D1"/>
    <w:rsid w:val="000029AA"/>
    <w:rsid w:val="00002AAF"/>
    <w:rsid w:val="00002C68"/>
    <w:rsid w:val="00002D24"/>
    <w:rsid w:val="00002DDC"/>
    <w:rsid w:val="00002F2D"/>
    <w:rsid w:val="00002F80"/>
    <w:rsid w:val="00003143"/>
    <w:rsid w:val="0000321C"/>
    <w:rsid w:val="000037B0"/>
    <w:rsid w:val="0000383C"/>
    <w:rsid w:val="0000399A"/>
    <w:rsid w:val="0000399B"/>
    <w:rsid w:val="00003A09"/>
    <w:rsid w:val="00003E7F"/>
    <w:rsid w:val="00004107"/>
    <w:rsid w:val="000042BC"/>
    <w:rsid w:val="00004424"/>
    <w:rsid w:val="000044AB"/>
    <w:rsid w:val="00004906"/>
    <w:rsid w:val="00004D7A"/>
    <w:rsid w:val="00004DBF"/>
    <w:rsid w:val="00004E83"/>
    <w:rsid w:val="00004EEC"/>
    <w:rsid w:val="0000541B"/>
    <w:rsid w:val="000054D3"/>
    <w:rsid w:val="000058F7"/>
    <w:rsid w:val="00005CA4"/>
    <w:rsid w:val="00005E34"/>
    <w:rsid w:val="00005E6A"/>
    <w:rsid w:val="0000603E"/>
    <w:rsid w:val="0000615A"/>
    <w:rsid w:val="00006481"/>
    <w:rsid w:val="00006624"/>
    <w:rsid w:val="0000669E"/>
    <w:rsid w:val="000066A8"/>
    <w:rsid w:val="0000677E"/>
    <w:rsid w:val="00006831"/>
    <w:rsid w:val="00006991"/>
    <w:rsid w:val="00006A40"/>
    <w:rsid w:val="00006B39"/>
    <w:rsid w:val="00006DF7"/>
    <w:rsid w:val="00006F01"/>
    <w:rsid w:val="00006F93"/>
    <w:rsid w:val="000070B3"/>
    <w:rsid w:val="0000716B"/>
    <w:rsid w:val="000072CC"/>
    <w:rsid w:val="0000731C"/>
    <w:rsid w:val="00007376"/>
    <w:rsid w:val="000073EE"/>
    <w:rsid w:val="000074DE"/>
    <w:rsid w:val="0000760F"/>
    <w:rsid w:val="000076EA"/>
    <w:rsid w:val="00007728"/>
    <w:rsid w:val="000078B5"/>
    <w:rsid w:val="00007A5F"/>
    <w:rsid w:val="00007ACA"/>
    <w:rsid w:val="00007BC7"/>
    <w:rsid w:val="00007BF6"/>
    <w:rsid w:val="00007BFB"/>
    <w:rsid w:val="000100CB"/>
    <w:rsid w:val="000100DB"/>
    <w:rsid w:val="00010247"/>
    <w:rsid w:val="000102C2"/>
    <w:rsid w:val="000103E5"/>
    <w:rsid w:val="00010491"/>
    <w:rsid w:val="00010C92"/>
    <w:rsid w:val="000110E5"/>
    <w:rsid w:val="000110E9"/>
    <w:rsid w:val="00011359"/>
    <w:rsid w:val="000114A9"/>
    <w:rsid w:val="0001153A"/>
    <w:rsid w:val="00011649"/>
    <w:rsid w:val="00011740"/>
    <w:rsid w:val="000117AA"/>
    <w:rsid w:val="000118A5"/>
    <w:rsid w:val="000118AB"/>
    <w:rsid w:val="00011953"/>
    <w:rsid w:val="000119A1"/>
    <w:rsid w:val="000119AB"/>
    <w:rsid w:val="00011AB0"/>
    <w:rsid w:val="00011B4A"/>
    <w:rsid w:val="00011CFC"/>
    <w:rsid w:val="00011DA9"/>
    <w:rsid w:val="00012064"/>
    <w:rsid w:val="000120BF"/>
    <w:rsid w:val="00012127"/>
    <w:rsid w:val="000122F2"/>
    <w:rsid w:val="00012568"/>
    <w:rsid w:val="00012679"/>
    <w:rsid w:val="00012822"/>
    <w:rsid w:val="00012A10"/>
    <w:rsid w:val="00012A12"/>
    <w:rsid w:val="00012A20"/>
    <w:rsid w:val="0001317B"/>
    <w:rsid w:val="0001350A"/>
    <w:rsid w:val="0001370A"/>
    <w:rsid w:val="00013932"/>
    <w:rsid w:val="000139C5"/>
    <w:rsid w:val="0001420A"/>
    <w:rsid w:val="000143CD"/>
    <w:rsid w:val="00014446"/>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358"/>
    <w:rsid w:val="00016593"/>
    <w:rsid w:val="0001659F"/>
    <w:rsid w:val="0001667E"/>
    <w:rsid w:val="00016920"/>
    <w:rsid w:val="00016A60"/>
    <w:rsid w:val="00016AB5"/>
    <w:rsid w:val="00016BFF"/>
    <w:rsid w:val="00016E64"/>
    <w:rsid w:val="00016E80"/>
    <w:rsid w:val="00016EBE"/>
    <w:rsid w:val="000170C8"/>
    <w:rsid w:val="00017214"/>
    <w:rsid w:val="000172C8"/>
    <w:rsid w:val="0001749C"/>
    <w:rsid w:val="00017934"/>
    <w:rsid w:val="00017943"/>
    <w:rsid w:val="00020089"/>
    <w:rsid w:val="0002029E"/>
    <w:rsid w:val="000202A1"/>
    <w:rsid w:val="000208D9"/>
    <w:rsid w:val="00020B48"/>
    <w:rsid w:val="00020BBB"/>
    <w:rsid w:val="00020C9E"/>
    <w:rsid w:val="00020D9A"/>
    <w:rsid w:val="00020E2A"/>
    <w:rsid w:val="0002113E"/>
    <w:rsid w:val="000212C9"/>
    <w:rsid w:val="000212FA"/>
    <w:rsid w:val="0002138D"/>
    <w:rsid w:val="00021460"/>
    <w:rsid w:val="000215B1"/>
    <w:rsid w:val="0002185A"/>
    <w:rsid w:val="00021D83"/>
    <w:rsid w:val="00021F28"/>
    <w:rsid w:val="000222DC"/>
    <w:rsid w:val="00022367"/>
    <w:rsid w:val="00022504"/>
    <w:rsid w:val="00022508"/>
    <w:rsid w:val="0002250F"/>
    <w:rsid w:val="000226B7"/>
    <w:rsid w:val="000227C4"/>
    <w:rsid w:val="0002287D"/>
    <w:rsid w:val="00022890"/>
    <w:rsid w:val="00022A9D"/>
    <w:rsid w:val="00022CC8"/>
    <w:rsid w:val="00022DBF"/>
    <w:rsid w:val="00022DEC"/>
    <w:rsid w:val="00022E79"/>
    <w:rsid w:val="00023050"/>
    <w:rsid w:val="000230AE"/>
    <w:rsid w:val="000231B8"/>
    <w:rsid w:val="0002325D"/>
    <w:rsid w:val="00023467"/>
    <w:rsid w:val="0002362B"/>
    <w:rsid w:val="0002392C"/>
    <w:rsid w:val="00023BE8"/>
    <w:rsid w:val="00023C35"/>
    <w:rsid w:val="00023D38"/>
    <w:rsid w:val="00023D42"/>
    <w:rsid w:val="00023E13"/>
    <w:rsid w:val="000240B3"/>
    <w:rsid w:val="00024138"/>
    <w:rsid w:val="000243A0"/>
    <w:rsid w:val="000243C1"/>
    <w:rsid w:val="000245D6"/>
    <w:rsid w:val="00024666"/>
    <w:rsid w:val="00024676"/>
    <w:rsid w:val="00024755"/>
    <w:rsid w:val="00024A05"/>
    <w:rsid w:val="00024A1B"/>
    <w:rsid w:val="00024B30"/>
    <w:rsid w:val="00024BD2"/>
    <w:rsid w:val="00024EA7"/>
    <w:rsid w:val="00024EFC"/>
    <w:rsid w:val="000253FD"/>
    <w:rsid w:val="00025453"/>
    <w:rsid w:val="0002577C"/>
    <w:rsid w:val="000258FB"/>
    <w:rsid w:val="00025967"/>
    <w:rsid w:val="00025A7C"/>
    <w:rsid w:val="00025FAD"/>
    <w:rsid w:val="00025FCC"/>
    <w:rsid w:val="000260D0"/>
    <w:rsid w:val="0002612E"/>
    <w:rsid w:val="00026473"/>
    <w:rsid w:val="0002657F"/>
    <w:rsid w:val="000265B7"/>
    <w:rsid w:val="000265CC"/>
    <w:rsid w:val="000265D3"/>
    <w:rsid w:val="0002665C"/>
    <w:rsid w:val="000269AB"/>
    <w:rsid w:val="00026B15"/>
    <w:rsid w:val="00026D55"/>
    <w:rsid w:val="00026FD6"/>
    <w:rsid w:val="00026FF4"/>
    <w:rsid w:val="000271B9"/>
    <w:rsid w:val="0002729A"/>
    <w:rsid w:val="0002729E"/>
    <w:rsid w:val="000272CF"/>
    <w:rsid w:val="00027341"/>
    <w:rsid w:val="00027381"/>
    <w:rsid w:val="000276EB"/>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CA1"/>
    <w:rsid w:val="00030D8C"/>
    <w:rsid w:val="00030F0F"/>
    <w:rsid w:val="0003102C"/>
    <w:rsid w:val="000310EF"/>
    <w:rsid w:val="000312F5"/>
    <w:rsid w:val="000313B0"/>
    <w:rsid w:val="0003155D"/>
    <w:rsid w:val="000316C3"/>
    <w:rsid w:val="000319E9"/>
    <w:rsid w:val="00031B01"/>
    <w:rsid w:val="00031B7A"/>
    <w:rsid w:val="00031C75"/>
    <w:rsid w:val="000320E4"/>
    <w:rsid w:val="00032297"/>
    <w:rsid w:val="000322EB"/>
    <w:rsid w:val="00032497"/>
    <w:rsid w:val="000325A4"/>
    <w:rsid w:val="000326C9"/>
    <w:rsid w:val="000326DA"/>
    <w:rsid w:val="00032814"/>
    <w:rsid w:val="0003288C"/>
    <w:rsid w:val="00032929"/>
    <w:rsid w:val="00032985"/>
    <w:rsid w:val="00032A54"/>
    <w:rsid w:val="00032B2F"/>
    <w:rsid w:val="00032C13"/>
    <w:rsid w:val="00032DA4"/>
    <w:rsid w:val="000330B5"/>
    <w:rsid w:val="000330CE"/>
    <w:rsid w:val="000330F2"/>
    <w:rsid w:val="00033376"/>
    <w:rsid w:val="0003339A"/>
    <w:rsid w:val="000335F6"/>
    <w:rsid w:val="0003361F"/>
    <w:rsid w:val="0003371C"/>
    <w:rsid w:val="000337AC"/>
    <w:rsid w:val="0003390D"/>
    <w:rsid w:val="00033936"/>
    <w:rsid w:val="000339C1"/>
    <w:rsid w:val="00033A47"/>
    <w:rsid w:val="00033B30"/>
    <w:rsid w:val="00033DAE"/>
    <w:rsid w:val="00033E67"/>
    <w:rsid w:val="0003444D"/>
    <w:rsid w:val="00034785"/>
    <w:rsid w:val="000348C9"/>
    <w:rsid w:val="000349D0"/>
    <w:rsid w:val="00034AF3"/>
    <w:rsid w:val="00034DFA"/>
    <w:rsid w:val="00034E73"/>
    <w:rsid w:val="00035077"/>
    <w:rsid w:val="000350CA"/>
    <w:rsid w:val="00035145"/>
    <w:rsid w:val="0003514A"/>
    <w:rsid w:val="00035510"/>
    <w:rsid w:val="00035573"/>
    <w:rsid w:val="0003564D"/>
    <w:rsid w:val="0003577C"/>
    <w:rsid w:val="00035A67"/>
    <w:rsid w:val="00035C0A"/>
    <w:rsid w:val="00035DA1"/>
    <w:rsid w:val="000360A3"/>
    <w:rsid w:val="000360BA"/>
    <w:rsid w:val="000362C1"/>
    <w:rsid w:val="00036394"/>
    <w:rsid w:val="000364A7"/>
    <w:rsid w:val="000365EB"/>
    <w:rsid w:val="0003681B"/>
    <w:rsid w:val="0003681D"/>
    <w:rsid w:val="0003681E"/>
    <w:rsid w:val="00036A28"/>
    <w:rsid w:val="00036B6E"/>
    <w:rsid w:val="00036CDC"/>
    <w:rsid w:val="00036DE8"/>
    <w:rsid w:val="00036DFD"/>
    <w:rsid w:val="00036EF6"/>
    <w:rsid w:val="00036EF9"/>
    <w:rsid w:val="000371A6"/>
    <w:rsid w:val="00037461"/>
    <w:rsid w:val="0003761B"/>
    <w:rsid w:val="00037A65"/>
    <w:rsid w:val="00037C50"/>
    <w:rsid w:val="00037CDF"/>
    <w:rsid w:val="00037F2A"/>
    <w:rsid w:val="00040478"/>
    <w:rsid w:val="000405B2"/>
    <w:rsid w:val="00040691"/>
    <w:rsid w:val="0004079E"/>
    <w:rsid w:val="00040842"/>
    <w:rsid w:val="00040863"/>
    <w:rsid w:val="00040969"/>
    <w:rsid w:val="000409BE"/>
    <w:rsid w:val="00040B81"/>
    <w:rsid w:val="00041156"/>
    <w:rsid w:val="0004116C"/>
    <w:rsid w:val="000412B6"/>
    <w:rsid w:val="000412D3"/>
    <w:rsid w:val="0004144B"/>
    <w:rsid w:val="0004175A"/>
    <w:rsid w:val="0004176E"/>
    <w:rsid w:val="00041A3F"/>
    <w:rsid w:val="00041A98"/>
    <w:rsid w:val="000421A3"/>
    <w:rsid w:val="000424C4"/>
    <w:rsid w:val="000425D7"/>
    <w:rsid w:val="0004272E"/>
    <w:rsid w:val="00042901"/>
    <w:rsid w:val="00042C54"/>
    <w:rsid w:val="00042CBA"/>
    <w:rsid w:val="0004305C"/>
    <w:rsid w:val="000431D8"/>
    <w:rsid w:val="000431EA"/>
    <w:rsid w:val="000434F7"/>
    <w:rsid w:val="0004352B"/>
    <w:rsid w:val="0004359B"/>
    <w:rsid w:val="000435B6"/>
    <w:rsid w:val="00043B41"/>
    <w:rsid w:val="00043BBE"/>
    <w:rsid w:val="00043BF5"/>
    <w:rsid w:val="00043C34"/>
    <w:rsid w:val="00043F19"/>
    <w:rsid w:val="00044121"/>
    <w:rsid w:val="00044124"/>
    <w:rsid w:val="0004424F"/>
    <w:rsid w:val="0004429D"/>
    <w:rsid w:val="00044328"/>
    <w:rsid w:val="000444C8"/>
    <w:rsid w:val="00044641"/>
    <w:rsid w:val="00044757"/>
    <w:rsid w:val="000448F5"/>
    <w:rsid w:val="00044C15"/>
    <w:rsid w:val="00044D22"/>
    <w:rsid w:val="00044D7F"/>
    <w:rsid w:val="00044F07"/>
    <w:rsid w:val="00044FFC"/>
    <w:rsid w:val="0004500D"/>
    <w:rsid w:val="000450A3"/>
    <w:rsid w:val="000450BF"/>
    <w:rsid w:val="000451B5"/>
    <w:rsid w:val="000451C3"/>
    <w:rsid w:val="00045379"/>
    <w:rsid w:val="00045583"/>
    <w:rsid w:val="0004592A"/>
    <w:rsid w:val="000459A9"/>
    <w:rsid w:val="00045A2B"/>
    <w:rsid w:val="00045A51"/>
    <w:rsid w:val="00045A91"/>
    <w:rsid w:val="00045B5E"/>
    <w:rsid w:val="00045B5F"/>
    <w:rsid w:val="00045C21"/>
    <w:rsid w:val="00045E51"/>
    <w:rsid w:val="00045EBF"/>
    <w:rsid w:val="000460BE"/>
    <w:rsid w:val="00046298"/>
    <w:rsid w:val="0004633C"/>
    <w:rsid w:val="000465FA"/>
    <w:rsid w:val="00046613"/>
    <w:rsid w:val="00046763"/>
    <w:rsid w:val="00046971"/>
    <w:rsid w:val="000469D3"/>
    <w:rsid w:val="00046D0E"/>
    <w:rsid w:val="00047023"/>
    <w:rsid w:val="00047085"/>
    <w:rsid w:val="0004709B"/>
    <w:rsid w:val="000470F5"/>
    <w:rsid w:val="00047149"/>
    <w:rsid w:val="00047340"/>
    <w:rsid w:val="00047353"/>
    <w:rsid w:val="0004739D"/>
    <w:rsid w:val="00047475"/>
    <w:rsid w:val="000474C9"/>
    <w:rsid w:val="00047621"/>
    <w:rsid w:val="0004763D"/>
    <w:rsid w:val="000477E9"/>
    <w:rsid w:val="00047993"/>
    <w:rsid w:val="000479BA"/>
    <w:rsid w:val="00047AC0"/>
    <w:rsid w:val="00047CF5"/>
    <w:rsid w:val="00047ED0"/>
    <w:rsid w:val="00047F14"/>
    <w:rsid w:val="00047F2F"/>
    <w:rsid w:val="00047F70"/>
    <w:rsid w:val="00047FD8"/>
    <w:rsid w:val="00050083"/>
    <w:rsid w:val="000500D3"/>
    <w:rsid w:val="000501B9"/>
    <w:rsid w:val="00050430"/>
    <w:rsid w:val="00050573"/>
    <w:rsid w:val="00050575"/>
    <w:rsid w:val="000505DD"/>
    <w:rsid w:val="00050666"/>
    <w:rsid w:val="00050B0F"/>
    <w:rsid w:val="00050B5B"/>
    <w:rsid w:val="00050B7D"/>
    <w:rsid w:val="00050DD4"/>
    <w:rsid w:val="00050E24"/>
    <w:rsid w:val="00050EC2"/>
    <w:rsid w:val="00051084"/>
    <w:rsid w:val="0005109F"/>
    <w:rsid w:val="0005133A"/>
    <w:rsid w:val="00051666"/>
    <w:rsid w:val="000518F4"/>
    <w:rsid w:val="00051910"/>
    <w:rsid w:val="00051B34"/>
    <w:rsid w:val="00051E75"/>
    <w:rsid w:val="00051E94"/>
    <w:rsid w:val="00051EB5"/>
    <w:rsid w:val="00051F0E"/>
    <w:rsid w:val="00052286"/>
    <w:rsid w:val="000523BD"/>
    <w:rsid w:val="000524E1"/>
    <w:rsid w:val="00052582"/>
    <w:rsid w:val="0005260E"/>
    <w:rsid w:val="000527E2"/>
    <w:rsid w:val="00052809"/>
    <w:rsid w:val="0005286A"/>
    <w:rsid w:val="0005295F"/>
    <w:rsid w:val="00052C18"/>
    <w:rsid w:val="00052E1B"/>
    <w:rsid w:val="00052EB9"/>
    <w:rsid w:val="00053376"/>
    <w:rsid w:val="00053629"/>
    <w:rsid w:val="00053695"/>
    <w:rsid w:val="0005388A"/>
    <w:rsid w:val="00053A2D"/>
    <w:rsid w:val="00053BAE"/>
    <w:rsid w:val="000542B9"/>
    <w:rsid w:val="0005434F"/>
    <w:rsid w:val="000544BD"/>
    <w:rsid w:val="00054793"/>
    <w:rsid w:val="000547F4"/>
    <w:rsid w:val="00054826"/>
    <w:rsid w:val="00054913"/>
    <w:rsid w:val="00054A68"/>
    <w:rsid w:val="00054BA9"/>
    <w:rsid w:val="00054BDC"/>
    <w:rsid w:val="00054F76"/>
    <w:rsid w:val="00055014"/>
    <w:rsid w:val="000550E0"/>
    <w:rsid w:val="00055412"/>
    <w:rsid w:val="0005543E"/>
    <w:rsid w:val="000555BA"/>
    <w:rsid w:val="0005599A"/>
    <w:rsid w:val="00055C7E"/>
    <w:rsid w:val="00055DB2"/>
    <w:rsid w:val="000562E5"/>
    <w:rsid w:val="0005635A"/>
    <w:rsid w:val="000563FE"/>
    <w:rsid w:val="0005644E"/>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2CE"/>
    <w:rsid w:val="0005736F"/>
    <w:rsid w:val="00057382"/>
    <w:rsid w:val="000573EB"/>
    <w:rsid w:val="0005748B"/>
    <w:rsid w:val="00057556"/>
    <w:rsid w:val="000577AD"/>
    <w:rsid w:val="00057970"/>
    <w:rsid w:val="00057976"/>
    <w:rsid w:val="00057A4C"/>
    <w:rsid w:val="00057A55"/>
    <w:rsid w:val="00057BF1"/>
    <w:rsid w:val="00057FB5"/>
    <w:rsid w:val="000600E8"/>
    <w:rsid w:val="0006065C"/>
    <w:rsid w:val="000606D9"/>
    <w:rsid w:val="000606F4"/>
    <w:rsid w:val="00060913"/>
    <w:rsid w:val="00060A35"/>
    <w:rsid w:val="00060A7A"/>
    <w:rsid w:val="00060D90"/>
    <w:rsid w:val="00060DD3"/>
    <w:rsid w:val="00060E8E"/>
    <w:rsid w:val="00061047"/>
    <w:rsid w:val="000611BB"/>
    <w:rsid w:val="00061340"/>
    <w:rsid w:val="00061355"/>
    <w:rsid w:val="00061421"/>
    <w:rsid w:val="00061480"/>
    <w:rsid w:val="000614B4"/>
    <w:rsid w:val="00061652"/>
    <w:rsid w:val="00061662"/>
    <w:rsid w:val="00061B3D"/>
    <w:rsid w:val="00061B41"/>
    <w:rsid w:val="00061B8F"/>
    <w:rsid w:val="00061D97"/>
    <w:rsid w:val="00061FFF"/>
    <w:rsid w:val="00062050"/>
    <w:rsid w:val="0006230D"/>
    <w:rsid w:val="00062478"/>
    <w:rsid w:val="000625A5"/>
    <w:rsid w:val="0006275F"/>
    <w:rsid w:val="00062876"/>
    <w:rsid w:val="000628F3"/>
    <w:rsid w:val="00062B54"/>
    <w:rsid w:val="00062BD1"/>
    <w:rsid w:val="00062EAF"/>
    <w:rsid w:val="00062EEE"/>
    <w:rsid w:val="00063068"/>
    <w:rsid w:val="00063122"/>
    <w:rsid w:val="00063175"/>
    <w:rsid w:val="0006317B"/>
    <w:rsid w:val="000631E0"/>
    <w:rsid w:val="00063594"/>
    <w:rsid w:val="0006386A"/>
    <w:rsid w:val="00063AB2"/>
    <w:rsid w:val="00063CF5"/>
    <w:rsid w:val="00063D6B"/>
    <w:rsid w:val="00063E69"/>
    <w:rsid w:val="00063ED5"/>
    <w:rsid w:val="000641FE"/>
    <w:rsid w:val="00064275"/>
    <w:rsid w:val="0006429F"/>
    <w:rsid w:val="000642FB"/>
    <w:rsid w:val="00064586"/>
    <w:rsid w:val="000645AD"/>
    <w:rsid w:val="000646F3"/>
    <w:rsid w:val="000648B8"/>
    <w:rsid w:val="00064C81"/>
    <w:rsid w:val="00064CB3"/>
    <w:rsid w:val="00064E69"/>
    <w:rsid w:val="000650F1"/>
    <w:rsid w:val="0006519D"/>
    <w:rsid w:val="000651A2"/>
    <w:rsid w:val="0006524A"/>
    <w:rsid w:val="00065349"/>
    <w:rsid w:val="00065444"/>
    <w:rsid w:val="000654DD"/>
    <w:rsid w:val="0006569B"/>
    <w:rsid w:val="00065829"/>
    <w:rsid w:val="00065955"/>
    <w:rsid w:val="00065A41"/>
    <w:rsid w:val="00065CB2"/>
    <w:rsid w:val="00065D4E"/>
    <w:rsid w:val="00065DED"/>
    <w:rsid w:val="00065E23"/>
    <w:rsid w:val="000660E5"/>
    <w:rsid w:val="00066476"/>
    <w:rsid w:val="000664E9"/>
    <w:rsid w:val="0006654F"/>
    <w:rsid w:val="000667A2"/>
    <w:rsid w:val="000667D4"/>
    <w:rsid w:val="00066B4C"/>
    <w:rsid w:val="00066BC9"/>
    <w:rsid w:val="00066C6A"/>
    <w:rsid w:val="00066C91"/>
    <w:rsid w:val="00066CE9"/>
    <w:rsid w:val="00066D41"/>
    <w:rsid w:val="00066D57"/>
    <w:rsid w:val="00066DAE"/>
    <w:rsid w:val="0006727B"/>
    <w:rsid w:val="00067289"/>
    <w:rsid w:val="000674D1"/>
    <w:rsid w:val="0006757A"/>
    <w:rsid w:val="00067A10"/>
    <w:rsid w:val="00067BB0"/>
    <w:rsid w:val="00067D66"/>
    <w:rsid w:val="00067D9E"/>
    <w:rsid w:val="000700E3"/>
    <w:rsid w:val="0007045F"/>
    <w:rsid w:val="00070661"/>
    <w:rsid w:val="000709CB"/>
    <w:rsid w:val="00070A1A"/>
    <w:rsid w:val="00070D60"/>
    <w:rsid w:val="00070E23"/>
    <w:rsid w:val="00070E50"/>
    <w:rsid w:val="000710EF"/>
    <w:rsid w:val="000711C6"/>
    <w:rsid w:val="000713D5"/>
    <w:rsid w:val="000715ED"/>
    <w:rsid w:val="000716F4"/>
    <w:rsid w:val="00071DB8"/>
    <w:rsid w:val="000721BA"/>
    <w:rsid w:val="0007259A"/>
    <w:rsid w:val="0007263D"/>
    <w:rsid w:val="000726BC"/>
    <w:rsid w:val="00072947"/>
    <w:rsid w:val="00072B6A"/>
    <w:rsid w:val="00072F57"/>
    <w:rsid w:val="00073204"/>
    <w:rsid w:val="00073246"/>
    <w:rsid w:val="00073277"/>
    <w:rsid w:val="0007327C"/>
    <w:rsid w:val="000732D1"/>
    <w:rsid w:val="00073481"/>
    <w:rsid w:val="00073812"/>
    <w:rsid w:val="00073A33"/>
    <w:rsid w:val="00073A5D"/>
    <w:rsid w:val="00073DB7"/>
    <w:rsid w:val="000740CD"/>
    <w:rsid w:val="000746F2"/>
    <w:rsid w:val="0007483F"/>
    <w:rsid w:val="00074958"/>
    <w:rsid w:val="00074EAB"/>
    <w:rsid w:val="00075384"/>
    <w:rsid w:val="000753D6"/>
    <w:rsid w:val="00075498"/>
    <w:rsid w:val="000754D8"/>
    <w:rsid w:val="00075797"/>
    <w:rsid w:val="000757FB"/>
    <w:rsid w:val="00075897"/>
    <w:rsid w:val="0007592E"/>
    <w:rsid w:val="00075A35"/>
    <w:rsid w:val="00075C8E"/>
    <w:rsid w:val="00075CC2"/>
    <w:rsid w:val="000762EC"/>
    <w:rsid w:val="00076687"/>
    <w:rsid w:val="00076798"/>
    <w:rsid w:val="000768B5"/>
    <w:rsid w:val="00076915"/>
    <w:rsid w:val="00076ADE"/>
    <w:rsid w:val="00076D94"/>
    <w:rsid w:val="00076DB9"/>
    <w:rsid w:val="00076DE6"/>
    <w:rsid w:val="00077132"/>
    <w:rsid w:val="00077177"/>
    <w:rsid w:val="00077218"/>
    <w:rsid w:val="00077296"/>
    <w:rsid w:val="000772E0"/>
    <w:rsid w:val="0007730F"/>
    <w:rsid w:val="00077475"/>
    <w:rsid w:val="00077699"/>
    <w:rsid w:val="000776E4"/>
    <w:rsid w:val="00077808"/>
    <w:rsid w:val="00077866"/>
    <w:rsid w:val="000778A9"/>
    <w:rsid w:val="000779A5"/>
    <w:rsid w:val="00077EDD"/>
    <w:rsid w:val="00077EEA"/>
    <w:rsid w:val="00080022"/>
    <w:rsid w:val="0008002D"/>
    <w:rsid w:val="000802E2"/>
    <w:rsid w:val="000803DF"/>
    <w:rsid w:val="00080440"/>
    <w:rsid w:val="0008067F"/>
    <w:rsid w:val="0008076C"/>
    <w:rsid w:val="000808D8"/>
    <w:rsid w:val="00080B14"/>
    <w:rsid w:val="00080CE6"/>
    <w:rsid w:val="00080F70"/>
    <w:rsid w:val="0008106C"/>
    <w:rsid w:val="000813B1"/>
    <w:rsid w:val="000813C3"/>
    <w:rsid w:val="00081645"/>
    <w:rsid w:val="00081834"/>
    <w:rsid w:val="0008191F"/>
    <w:rsid w:val="00081DDE"/>
    <w:rsid w:val="000820F1"/>
    <w:rsid w:val="000821A0"/>
    <w:rsid w:val="00082273"/>
    <w:rsid w:val="00082394"/>
    <w:rsid w:val="0008255A"/>
    <w:rsid w:val="000825F7"/>
    <w:rsid w:val="000827EE"/>
    <w:rsid w:val="00082858"/>
    <w:rsid w:val="000828C3"/>
    <w:rsid w:val="00082B2F"/>
    <w:rsid w:val="00082E36"/>
    <w:rsid w:val="000830D0"/>
    <w:rsid w:val="000832C7"/>
    <w:rsid w:val="000833C1"/>
    <w:rsid w:val="00083410"/>
    <w:rsid w:val="00083509"/>
    <w:rsid w:val="00083617"/>
    <w:rsid w:val="0008361D"/>
    <w:rsid w:val="00083632"/>
    <w:rsid w:val="00083705"/>
    <w:rsid w:val="00083729"/>
    <w:rsid w:val="000837CA"/>
    <w:rsid w:val="00083C9E"/>
    <w:rsid w:val="00083E0B"/>
    <w:rsid w:val="0008412D"/>
    <w:rsid w:val="0008429C"/>
    <w:rsid w:val="000842E0"/>
    <w:rsid w:val="000842EF"/>
    <w:rsid w:val="00084843"/>
    <w:rsid w:val="00084988"/>
    <w:rsid w:val="00084A28"/>
    <w:rsid w:val="00084C57"/>
    <w:rsid w:val="00084F1D"/>
    <w:rsid w:val="00084F2F"/>
    <w:rsid w:val="00084FCD"/>
    <w:rsid w:val="00085389"/>
    <w:rsid w:val="0008547B"/>
    <w:rsid w:val="000854D2"/>
    <w:rsid w:val="00085621"/>
    <w:rsid w:val="000857EC"/>
    <w:rsid w:val="00085A28"/>
    <w:rsid w:val="00085AFA"/>
    <w:rsid w:val="00085BF1"/>
    <w:rsid w:val="00085D22"/>
    <w:rsid w:val="00085D7E"/>
    <w:rsid w:val="00085E1D"/>
    <w:rsid w:val="00086054"/>
    <w:rsid w:val="000862CD"/>
    <w:rsid w:val="000862E2"/>
    <w:rsid w:val="000865D4"/>
    <w:rsid w:val="000866FC"/>
    <w:rsid w:val="000867FC"/>
    <w:rsid w:val="00086819"/>
    <w:rsid w:val="000868C5"/>
    <w:rsid w:val="00086BE9"/>
    <w:rsid w:val="00086D31"/>
    <w:rsid w:val="000870B5"/>
    <w:rsid w:val="0008723D"/>
    <w:rsid w:val="0008761E"/>
    <w:rsid w:val="00087772"/>
    <w:rsid w:val="00087797"/>
    <w:rsid w:val="00087AC9"/>
    <w:rsid w:val="00087BAB"/>
    <w:rsid w:val="00087D59"/>
    <w:rsid w:val="00087F1B"/>
    <w:rsid w:val="00087F34"/>
    <w:rsid w:val="00087FBB"/>
    <w:rsid w:val="00090095"/>
    <w:rsid w:val="000902CF"/>
    <w:rsid w:val="000902FB"/>
    <w:rsid w:val="000905BB"/>
    <w:rsid w:val="00090648"/>
    <w:rsid w:val="000907E0"/>
    <w:rsid w:val="0009099A"/>
    <w:rsid w:val="00090AA7"/>
    <w:rsid w:val="00090BAE"/>
    <w:rsid w:val="00090C5C"/>
    <w:rsid w:val="00090D4B"/>
    <w:rsid w:val="00090DAC"/>
    <w:rsid w:val="00091430"/>
    <w:rsid w:val="0009145C"/>
    <w:rsid w:val="00091472"/>
    <w:rsid w:val="00091724"/>
    <w:rsid w:val="00091734"/>
    <w:rsid w:val="000918B9"/>
    <w:rsid w:val="00091D33"/>
    <w:rsid w:val="00091E2D"/>
    <w:rsid w:val="00091FB0"/>
    <w:rsid w:val="00092316"/>
    <w:rsid w:val="0009280D"/>
    <w:rsid w:val="00092C80"/>
    <w:rsid w:val="00092DC3"/>
    <w:rsid w:val="00092F42"/>
    <w:rsid w:val="00092FAE"/>
    <w:rsid w:val="00092FE5"/>
    <w:rsid w:val="000931B6"/>
    <w:rsid w:val="00093214"/>
    <w:rsid w:val="0009321C"/>
    <w:rsid w:val="000932F6"/>
    <w:rsid w:val="00093372"/>
    <w:rsid w:val="0009343C"/>
    <w:rsid w:val="00093449"/>
    <w:rsid w:val="0009364C"/>
    <w:rsid w:val="00093799"/>
    <w:rsid w:val="00093847"/>
    <w:rsid w:val="0009391B"/>
    <w:rsid w:val="00093A01"/>
    <w:rsid w:val="00093B25"/>
    <w:rsid w:val="00093D6A"/>
    <w:rsid w:val="00093E85"/>
    <w:rsid w:val="00093FD4"/>
    <w:rsid w:val="00094081"/>
    <w:rsid w:val="000940A9"/>
    <w:rsid w:val="00094161"/>
    <w:rsid w:val="000941FB"/>
    <w:rsid w:val="0009427C"/>
    <w:rsid w:val="000945EB"/>
    <w:rsid w:val="0009474D"/>
    <w:rsid w:val="00094B86"/>
    <w:rsid w:val="00094FB9"/>
    <w:rsid w:val="000950F0"/>
    <w:rsid w:val="0009531B"/>
    <w:rsid w:val="000953B7"/>
    <w:rsid w:val="000954DC"/>
    <w:rsid w:val="0009552E"/>
    <w:rsid w:val="0009589A"/>
    <w:rsid w:val="00095C1B"/>
    <w:rsid w:val="00095EA0"/>
    <w:rsid w:val="00095F08"/>
    <w:rsid w:val="00095F23"/>
    <w:rsid w:val="00096040"/>
    <w:rsid w:val="000962E9"/>
    <w:rsid w:val="00096522"/>
    <w:rsid w:val="000965BC"/>
    <w:rsid w:val="000965CA"/>
    <w:rsid w:val="00096612"/>
    <w:rsid w:val="000966CE"/>
    <w:rsid w:val="00096968"/>
    <w:rsid w:val="00096B94"/>
    <w:rsid w:val="00096C0B"/>
    <w:rsid w:val="00096EC2"/>
    <w:rsid w:val="000971D6"/>
    <w:rsid w:val="0009734B"/>
    <w:rsid w:val="00097444"/>
    <w:rsid w:val="00097560"/>
    <w:rsid w:val="00097868"/>
    <w:rsid w:val="00097C8A"/>
    <w:rsid w:val="000A00F9"/>
    <w:rsid w:val="000A0307"/>
    <w:rsid w:val="000A0467"/>
    <w:rsid w:val="000A075A"/>
    <w:rsid w:val="000A0812"/>
    <w:rsid w:val="000A09C4"/>
    <w:rsid w:val="000A0DF7"/>
    <w:rsid w:val="000A0F67"/>
    <w:rsid w:val="000A112B"/>
    <w:rsid w:val="000A11EA"/>
    <w:rsid w:val="000A13BD"/>
    <w:rsid w:val="000A158A"/>
    <w:rsid w:val="000A1695"/>
    <w:rsid w:val="000A193D"/>
    <w:rsid w:val="000A1B78"/>
    <w:rsid w:val="000A1BDE"/>
    <w:rsid w:val="000A1F2B"/>
    <w:rsid w:val="000A1F7E"/>
    <w:rsid w:val="000A22D9"/>
    <w:rsid w:val="000A2695"/>
    <w:rsid w:val="000A284D"/>
    <w:rsid w:val="000A316C"/>
    <w:rsid w:val="000A34D0"/>
    <w:rsid w:val="000A3511"/>
    <w:rsid w:val="000A3941"/>
    <w:rsid w:val="000A3B06"/>
    <w:rsid w:val="000A3ECD"/>
    <w:rsid w:val="000A3F72"/>
    <w:rsid w:val="000A406E"/>
    <w:rsid w:val="000A439F"/>
    <w:rsid w:val="000A4701"/>
    <w:rsid w:val="000A4845"/>
    <w:rsid w:val="000A48A8"/>
    <w:rsid w:val="000A49EC"/>
    <w:rsid w:val="000A4AC4"/>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B5"/>
    <w:rsid w:val="000A6B9C"/>
    <w:rsid w:val="000A6CA6"/>
    <w:rsid w:val="000A6EC3"/>
    <w:rsid w:val="000A71AE"/>
    <w:rsid w:val="000A7318"/>
    <w:rsid w:val="000A76E4"/>
    <w:rsid w:val="000A78CD"/>
    <w:rsid w:val="000A79DB"/>
    <w:rsid w:val="000A7ABD"/>
    <w:rsid w:val="000A7C60"/>
    <w:rsid w:val="000A7E24"/>
    <w:rsid w:val="000A7EAA"/>
    <w:rsid w:val="000A7FE5"/>
    <w:rsid w:val="000B0100"/>
    <w:rsid w:val="000B0276"/>
    <w:rsid w:val="000B0480"/>
    <w:rsid w:val="000B05EA"/>
    <w:rsid w:val="000B0630"/>
    <w:rsid w:val="000B066A"/>
    <w:rsid w:val="000B06A8"/>
    <w:rsid w:val="000B06F4"/>
    <w:rsid w:val="000B0DD6"/>
    <w:rsid w:val="000B0E5F"/>
    <w:rsid w:val="000B0F51"/>
    <w:rsid w:val="000B1581"/>
    <w:rsid w:val="000B1635"/>
    <w:rsid w:val="000B1691"/>
    <w:rsid w:val="000B1692"/>
    <w:rsid w:val="000B16A9"/>
    <w:rsid w:val="000B1771"/>
    <w:rsid w:val="000B192C"/>
    <w:rsid w:val="000B19DE"/>
    <w:rsid w:val="000B1C94"/>
    <w:rsid w:val="000B215C"/>
    <w:rsid w:val="000B2216"/>
    <w:rsid w:val="000B2472"/>
    <w:rsid w:val="000B249F"/>
    <w:rsid w:val="000B2517"/>
    <w:rsid w:val="000B25F5"/>
    <w:rsid w:val="000B2727"/>
    <w:rsid w:val="000B2791"/>
    <w:rsid w:val="000B28AA"/>
    <w:rsid w:val="000B2A29"/>
    <w:rsid w:val="000B2B18"/>
    <w:rsid w:val="000B2B79"/>
    <w:rsid w:val="000B2BE4"/>
    <w:rsid w:val="000B2C4E"/>
    <w:rsid w:val="000B2D74"/>
    <w:rsid w:val="000B2E50"/>
    <w:rsid w:val="000B2E73"/>
    <w:rsid w:val="000B2EE9"/>
    <w:rsid w:val="000B2F58"/>
    <w:rsid w:val="000B3165"/>
    <w:rsid w:val="000B31BE"/>
    <w:rsid w:val="000B31FC"/>
    <w:rsid w:val="000B34C7"/>
    <w:rsid w:val="000B374D"/>
    <w:rsid w:val="000B37CD"/>
    <w:rsid w:val="000B37EB"/>
    <w:rsid w:val="000B37FA"/>
    <w:rsid w:val="000B3A01"/>
    <w:rsid w:val="000B3BB1"/>
    <w:rsid w:val="000B3BBA"/>
    <w:rsid w:val="000B3CAD"/>
    <w:rsid w:val="000B3D30"/>
    <w:rsid w:val="000B3D5B"/>
    <w:rsid w:val="000B3E6A"/>
    <w:rsid w:val="000B403B"/>
    <w:rsid w:val="000B40FA"/>
    <w:rsid w:val="000B4157"/>
    <w:rsid w:val="000B4175"/>
    <w:rsid w:val="000B42BF"/>
    <w:rsid w:val="000B44C3"/>
    <w:rsid w:val="000B46D2"/>
    <w:rsid w:val="000B4749"/>
    <w:rsid w:val="000B4A64"/>
    <w:rsid w:val="000B4B91"/>
    <w:rsid w:val="000B4CE2"/>
    <w:rsid w:val="000B4D13"/>
    <w:rsid w:val="000B4D60"/>
    <w:rsid w:val="000B4D64"/>
    <w:rsid w:val="000B4D9C"/>
    <w:rsid w:val="000B4DF9"/>
    <w:rsid w:val="000B4F7F"/>
    <w:rsid w:val="000B4F86"/>
    <w:rsid w:val="000B4FF7"/>
    <w:rsid w:val="000B50A6"/>
    <w:rsid w:val="000B50D7"/>
    <w:rsid w:val="000B5136"/>
    <w:rsid w:val="000B5187"/>
    <w:rsid w:val="000B51EC"/>
    <w:rsid w:val="000B52FD"/>
    <w:rsid w:val="000B531D"/>
    <w:rsid w:val="000B53D9"/>
    <w:rsid w:val="000B5885"/>
    <w:rsid w:val="000B5BA0"/>
    <w:rsid w:val="000B5BFA"/>
    <w:rsid w:val="000B5C01"/>
    <w:rsid w:val="000B5C58"/>
    <w:rsid w:val="000B5D8A"/>
    <w:rsid w:val="000B5EB3"/>
    <w:rsid w:val="000B5EDB"/>
    <w:rsid w:val="000B5F81"/>
    <w:rsid w:val="000B600D"/>
    <w:rsid w:val="000B61DD"/>
    <w:rsid w:val="000B633C"/>
    <w:rsid w:val="000B6488"/>
    <w:rsid w:val="000B68D4"/>
    <w:rsid w:val="000B696F"/>
    <w:rsid w:val="000B6EBD"/>
    <w:rsid w:val="000B6FF8"/>
    <w:rsid w:val="000B708A"/>
    <w:rsid w:val="000B7404"/>
    <w:rsid w:val="000B76EB"/>
    <w:rsid w:val="000B786F"/>
    <w:rsid w:val="000B7B92"/>
    <w:rsid w:val="000B7C99"/>
    <w:rsid w:val="000B7F02"/>
    <w:rsid w:val="000B7F97"/>
    <w:rsid w:val="000C0013"/>
    <w:rsid w:val="000C0045"/>
    <w:rsid w:val="000C0074"/>
    <w:rsid w:val="000C0263"/>
    <w:rsid w:val="000C0328"/>
    <w:rsid w:val="000C0535"/>
    <w:rsid w:val="000C09CC"/>
    <w:rsid w:val="000C0D50"/>
    <w:rsid w:val="000C0F18"/>
    <w:rsid w:val="000C116D"/>
    <w:rsid w:val="000C13C5"/>
    <w:rsid w:val="000C1500"/>
    <w:rsid w:val="000C1607"/>
    <w:rsid w:val="000C16D2"/>
    <w:rsid w:val="000C17F3"/>
    <w:rsid w:val="000C19EC"/>
    <w:rsid w:val="000C1A77"/>
    <w:rsid w:val="000C1CAF"/>
    <w:rsid w:val="000C1D03"/>
    <w:rsid w:val="000C1D3F"/>
    <w:rsid w:val="000C1E90"/>
    <w:rsid w:val="000C1F8A"/>
    <w:rsid w:val="000C2281"/>
    <w:rsid w:val="000C22C7"/>
    <w:rsid w:val="000C236D"/>
    <w:rsid w:val="000C2473"/>
    <w:rsid w:val="000C287B"/>
    <w:rsid w:val="000C2A04"/>
    <w:rsid w:val="000C2ACE"/>
    <w:rsid w:val="000C2D2F"/>
    <w:rsid w:val="000C3519"/>
    <w:rsid w:val="000C355B"/>
    <w:rsid w:val="000C36FA"/>
    <w:rsid w:val="000C380F"/>
    <w:rsid w:val="000C3BDE"/>
    <w:rsid w:val="000C3CA9"/>
    <w:rsid w:val="000C3CAF"/>
    <w:rsid w:val="000C3EF1"/>
    <w:rsid w:val="000C42B7"/>
    <w:rsid w:val="000C4338"/>
    <w:rsid w:val="000C45E3"/>
    <w:rsid w:val="000C463E"/>
    <w:rsid w:val="000C4663"/>
    <w:rsid w:val="000C468C"/>
    <w:rsid w:val="000C4698"/>
    <w:rsid w:val="000C47D1"/>
    <w:rsid w:val="000C47E3"/>
    <w:rsid w:val="000C4890"/>
    <w:rsid w:val="000C48A7"/>
    <w:rsid w:val="000C492D"/>
    <w:rsid w:val="000C4EF7"/>
    <w:rsid w:val="000C4F7A"/>
    <w:rsid w:val="000C536C"/>
    <w:rsid w:val="000C5476"/>
    <w:rsid w:val="000C5958"/>
    <w:rsid w:val="000C5A17"/>
    <w:rsid w:val="000C5A1D"/>
    <w:rsid w:val="000C5AA2"/>
    <w:rsid w:val="000C5C96"/>
    <w:rsid w:val="000C5CA9"/>
    <w:rsid w:val="000C5DBD"/>
    <w:rsid w:val="000C5EE0"/>
    <w:rsid w:val="000C6059"/>
    <w:rsid w:val="000C6124"/>
    <w:rsid w:val="000C648A"/>
    <w:rsid w:val="000C6738"/>
    <w:rsid w:val="000C67EE"/>
    <w:rsid w:val="000C680F"/>
    <w:rsid w:val="000C6843"/>
    <w:rsid w:val="000C6D45"/>
    <w:rsid w:val="000C704C"/>
    <w:rsid w:val="000C711A"/>
    <w:rsid w:val="000C71F9"/>
    <w:rsid w:val="000C7695"/>
    <w:rsid w:val="000C7859"/>
    <w:rsid w:val="000C79AB"/>
    <w:rsid w:val="000C7ADC"/>
    <w:rsid w:val="000C7B0D"/>
    <w:rsid w:val="000C7CEB"/>
    <w:rsid w:val="000C7D31"/>
    <w:rsid w:val="000D02B8"/>
    <w:rsid w:val="000D051A"/>
    <w:rsid w:val="000D0657"/>
    <w:rsid w:val="000D0698"/>
    <w:rsid w:val="000D06C8"/>
    <w:rsid w:val="000D078D"/>
    <w:rsid w:val="000D080A"/>
    <w:rsid w:val="000D0854"/>
    <w:rsid w:val="000D08B1"/>
    <w:rsid w:val="000D08DB"/>
    <w:rsid w:val="000D0903"/>
    <w:rsid w:val="000D0998"/>
    <w:rsid w:val="000D0C59"/>
    <w:rsid w:val="000D0C75"/>
    <w:rsid w:val="000D0E03"/>
    <w:rsid w:val="000D0E70"/>
    <w:rsid w:val="000D0E79"/>
    <w:rsid w:val="000D166E"/>
    <w:rsid w:val="000D187C"/>
    <w:rsid w:val="000D1C81"/>
    <w:rsid w:val="000D1D03"/>
    <w:rsid w:val="000D1D04"/>
    <w:rsid w:val="000D1E4D"/>
    <w:rsid w:val="000D21CF"/>
    <w:rsid w:val="000D23DF"/>
    <w:rsid w:val="000D2607"/>
    <w:rsid w:val="000D2642"/>
    <w:rsid w:val="000D2695"/>
    <w:rsid w:val="000D26CD"/>
    <w:rsid w:val="000D29DF"/>
    <w:rsid w:val="000D2B70"/>
    <w:rsid w:val="000D2BCB"/>
    <w:rsid w:val="000D2C0D"/>
    <w:rsid w:val="000D2C5B"/>
    <w:rsid w:val="000D32CE"/>
    <w:rsid w:val="000D3484"/>
    <w:rsid w:val="000D361A"/>
    <w:rsid w:val="000D36BB"/>
    <w:rsid w:val="000D37F9"/>
    <w:rsid w:val="000D3B1B"/>
    <w:rsid w:val="000D3BAE"/>
    <w:rsid w:val="000D3BFF"/>
    <w:rsid w:val="000D3CB7"/>
    <w:rsid w:val="000D3D5D"/>
    <w:rsid w:val="000D3DEC"/>
    <w:rsid w:val="000D3FFA"/>
    <w:rsid w:val="000D4143"/>
    <w:rsid w:val="000D4146"/>
    <w:rsid w:val="000D41D4"/>
    <w:rsid w:val="000D421D"/>
    <w:rsid w:val="000D47CB"/>
    <w:rsid w:val="000D4899"/>
    <w:rsid w:val="000D4AA2"/>
    <w:rsid w:val="000D4CE8"/>
    <w:rsid w:val="000D4E29"/>
    <w:rsid w:val="000D4F95"/>
    <w:rsid w:val="000D5035"/>
    <w:rsid w:val="000D5357"/>
    <w:rsid w:val="000D5A65"/>
    <w:rsid w:val="000D5B0F"/>
    <w:rsid w:val="000D5EC6"/>
    <w:rsid w:val="000D5EF3"/>
    <w:rsid w:val="000D5F05"/>
    <w:rsid w:val="000D604D"/>
    <w:rsid w:val="000D6079"/>
    <w:rsid w:val="000D60BC"/>
    <w:rsid w:val="000D623F"/>
    <w:rsid w:val="000D64D4"/>
    <w:rsid w:val="000D6552"/>
    <w:rsid w:val="000D65AA"/>
    <w:rsid w:val="000D65E1"/>
    <w:rsid w:val="000D6653"/>
    <w:rsid w:val="000D683D"/>
    <w:rsid w:val="000D6912"/>
    <w:rsid w:val="000D6CDE"/>
    <w:rsid w:val="000D6E4B"/>
    <w:rsid w:val="000D718F"/>
    <w:rsid w:val="000D78A4"/>
    <w:rsid w:val="000D7946"/>
    <w:rsid w:val="000D795C"/>
    <w:rsid w:val="000D7A73"/>
    <w:rsid w:val="000D7BE9"/>
    <w:rsid w:val="000D7CA6"/>
    <w:rsid w:val="000D7E6D"/>
    <w:rsid w:val="000D7F97"/>
    <w:rsid w:val="000E00A4"/>
    <w:rsid w:val="000E064A"/>
    <w:rsid w:val="000E0730"/>
    <w:rsid w:val="000E0783"/>
    <w:rsid w:val="000E0A02"/>
    <w:rsid w:val="000E0A46"/>
    <w:rsid w:val="000E0A9C"/>
    <w:rsid w:val="000E0B80"/>
    <w:rsid w:val="000E0D95"/>
    <w:rsid w:val="000E0EAC"/>
    <w:rsid w:val="000E10AC"/>
    <w:rsid w:val="000E120F"/>
    <w:rsid w:val="000E1263"/>
    <w:rsid w:val="000E1347"/>
    <w:rsid w:val="000E1652"/>
    <w:rsid w:val="000E175C"/>
    <w:rsid w:val="000E1994"/>
    <w:rsid w:val="000E1A09"/>
    <w:rsid w:val="000E1C0D"/>
    <w:rsid w:val="000E1E09"/>
    <w:rsid w:val="000E1E34"/>
    <w:rsid w:val="000E1F8D"/>
    <w:rsid w:val="000E22B0"/>
    <w:rsid w:val="000E22EA"/>
    <w:rsid w:val="000E2352"/>
    <w:rsid w:val="000E2485"/>
    <w:rsid w:val="000E26CC"/>
    <w:rsid w:val="000E27AD"/>
    <w:rsid w:val="000E27C8"/>
    <w:rsid w:val="000E2899"/>
    <w:rsid w:val="000E2B27"/>
    <w:rsid w:val="000E2D01"/>
    <w:rsid w:val="000E2DAF"/>
    <w:rsid w:val="000E2E69"/>
    <w:rsid w:val="000E3086"/>
    <w:rsid w:val="000E32C6"/>
    <w:rsid w:val="000E34BB"/>
    <w:rsid w:val="000E34CD"/>
    <w:rsid w:val="000E3537"/>
    <w:rsid w:val="000E3554"/>
    <w:rsid w:val="000E3A7B"/>
    <w:rsid w:val="000E3C5F"/>
    <w:rsid w:val="000E3E5A"/>
    <w:rsid w:val="000E3F0C"/>
    <w:rsid w:val="000E4977"/>
    <w:rsid w:val="000E4B76"/>
    <w:rsid w:val="000E4B87"/>
    <w:rsid w:val="000E4BC4"/>
    <w:rsid w:val="000E4CA8"/>
    <w:rsid w:val="000E4FFC"/>
    <w:rsid w:val="000E509A"/>
    <w:rsid w:val="000E5108"/>
    <w:rsid w:val="000E56D3"/>
    <w:rsid w:val="000E5942"/>
    <w:rsid w:val="000E5C22"/>
    <w:rsid w:val="000E5C2F"/>
    <w:rsid w:val="000E5E01"/>
    <w:rsid w:val="000E5E27"/>
    <w:rsid w:val="000E5E60"/>
    <w:rsid w:val="000E5ED9"/>
    <w:rsid w:val="000E622D"/>
    <w:rsid w:val="000E6389"/>
    <w:rsid w:val="000E643F"/>
    <w:rsid w:val="000E663E"/>
    <w:rsid w:val="000E67A2"/>
    <w:rsid w:val="000E68DC"/>
    <w:rsid w:val="000E6BA8"/>
    <w:rsid w:val="000E7179"/>
    <w:rsid w:val="000E7746"/>
    <w:rsid w:val="000E7B8F"/>
    <w:rsid w:val="000E7E29"/>
    <w:rsid w:val="000E7E37"/>
    <w:rsid w:val="000E7FDF"/>
    <w:rsid w:val="000F0130"/>
    <w:rsid w:val="000F037B"/>
    <w:rsid w:val="000F0832"/>
    <w:rsid w:val="000F093A"/>
    <w:rsid w:val="000F0A87"/>
    <w:rsid w:val="000F0B33"/>
    <w:rsid w:val="000F1016"/>
    <w:rsid w:val="000F113C"/>
    <w:rsid w:val="000F115E"/>
    <w:rsid w:val="000F14B3"/>
    <w:rsid w:val="000F1573"/>
    <w:rsid w:val="000F16B0"/>
    <w:rsid w:val="000F16C2"/>
    <w:rsid w:val="000F1766"/>
    <w:rsid w:val="000F17DC"/>
    <w:rsid w:val="000F1960"/>
    <w:rsid w:val="000F1A8A"/>
    <w:rsid w:val="000F1C26"/>
    <w:rsid w:val="000F1CEC"/>
    <w:rsid w:val="000F1FD8"/>
    <w:rsid w:val="000F2086"/>
    <w:rsid w:val="000F217F"/>
    <w:rsid w:val="000F2207"/>
    <w:rsid w:val="000F2499"/>
    <w:rsid w:val="000F28E1"/>
    <w:rsid w:val="000F2A1D"/>
    <w:rsid w:val="000F2A8E"/>
    <w:rsid w:val="000F2A99"/>
    <w:rsid w:val="000F2AC4"/>
    <w:rsid w:val="000F2B0A"/>
    <w:rsid w:val="000F2B27"/>
    <w:rsid w:val="000F2E08"/>
    <w:rsid w:val="000F2E6E"/>
    <w:rsid w:val="000F2F2F"/>
    <w:rsid w:val="000F2F92"/>
    <w:rsid w:val="000F2FB4"/>
    <w:rsid w:val="000F3024"/>
    <w:rsid w:val="000F30A3"/>
    <w:rsid w:val="000F319F"/>
    <w:rsid w:val="000F329B"/>
    <w:rsid w:val="000F32CB"/>
    <w:rsid w:val="000F3458"/>
    <w:rsid w:val="000F346A"/>
    <w:rsid w:val="000F3697"/>
    <w:rsid w:val="000F3705"/>
    <w:rsid w:val="000F37C3"/>
    <w:rsid w:val="000F3903"/>
    <w:rsid w:val="000F397D"/>
    <w:rsid w:val="000F3B2D"/>
    <w:rsid w:val="000F3B49"/>
    <w:rsid w:val="000F3BCD"/>
    <w:rsid w:val="000F3C41"/>
    <w:rsid w:val="000F3C89"/>
    <w:rsid w:val="000F3DA5"/>
    <w:rsid w:val="000F3FB0"/>
    <w:rsid w:val="000F41C2"/>
    <w:rsid w:val="000F444B"/>
    <w:rsid w:val="000F448F"/>
    <w:rsid w:val="000F4956"/>
    <w:rsid w:val="000F49BE"/>
    <w:rsid w:val="000F49C8"/>
    <w:rsid w:val="000F4A42"/>
    <w:rsid w:val="000F4ABD"/>
    <w:rsid w:val="000F4D03"/>
    <w:rsid w:val="000F4EED"/>
    <w:rsid w:val="000F5143"/>
    <w:rsid w:val="000F514F"/>
    <w:rsid w:val="000F52F6"/>
    <w:rsid w:val="000F5346"/>
    <w:rsid w:val="000F53F8"/>
    <w:rsid w:val="000F5510"/>
    <w:rsid w:val="000F553D"/>
    <w:rsid w:val="000F56CC"/>
    <w:rsid w:val="000F57A9"/>
    <w:rsid w:val="000F5992"/>
    <w:rsid w:val="000F5A3B"/>
    <w:rsid w:val="000F5A58"/>
    <w:rsid w:val="000F5A96"/>
    <w:rsid w:val="000F5B44"/>
    <w:rsid w:val="000F5F2C"/>
    <w:rsid w:val="000F6189"/>
    <w:rsid w:val="000F61B3"/>
    <w:rsid w:val="000F6204"/>
    <w:rsid w:val="000F639D"/>
    <w:rsid w:val="000F660D"/>
    <w:rsid w:val="000F6A3B"/>
    <w:rsid w:val="000F6A56"/>
    <w:rsid w:val="000F6AD7"/>
    <w:rsid w:val="000F6C7C"/>
    <w:rsid w:val="000F6CA2"/>
    <w:rsid w:val="000F6E06"/>
    <w:rsid w:val="000F6E13"/>
    <w:rsid w:val="000F6E85"/>
    <w:rsid w:val="000F6F26"/>
    <w:rsid w:val="000F7158"/>
    <w:rsid w:val="000F7317"/>
    <w:rsid w:val="000F73D1"/>
    <w:rsid w:val="000F7457"/>
    <w:rsid w:val="000F793F"/>
    <w:rsid w:val="000F7A95"/>
    <w:rsid w:val="000F7B89"/>
    <w:rsid w:val="000F7FB9"/>
    <w:rsid w:val="001000B8"/>
    <w:rsid w:val="0010035C"/>
    <w:rsid w:val="001003AF"/>
    <w:rsid w:val="0010044D"/>
    <w:rsid w:val="00100755"/>
    <w:rsid w:val="00100848"/>
    <w:rsid w:val="00100925"/>
    <w:rsid w:val="00100B93"/>
    <w:rsid w:val="00100C3D"/>
    <w:rsid w:val="00100EE3"/>
    <w:rsid w:val="0010107E"/>
    <w:rsid w:val="001010C4"/>
    <w:rsid w:val="00101135"/>
    <w:rsid w:val="00101141"/>
    <w:rsid w:val="0010143D"/>
    <w:rsid w:val="001014F8"/>
    <w:rsid w:val="00101CD3"/>
    <w:rsid w:val="00101D47"/>
    <w:rsid w:val="00101EED"/>
    <w:rsid w:val="00101FB7"/>
    <w:rsid w:val="00102016"/>
    <w:rsid w:val="0010219C"/>
    <w:rsid w:val="00102272"/>
    <w:rsid w:val="0010261A"/>
    <w:rsid w:val="0010262F"/>
    <w:rsid w:val="00102777"/>
    <w:rsid w:val="00102A46"/>
    <w:rsid w:val="00102E6D"/>
    <w:rsid w:val="00102FD0"/>
    <w:rsid w:val="00103088"/>
    <w:rsid w:val="001033CC"/>
    <w:rsid w:val="00103431"/>
    <w:rsid w:val="001034CC"/>
    <w:rsid w:val="00103518"/>
    <w:rsid w:val="001035C0"/>
    <w:rsid w:val="001035D4"/>
    <w:rsid w:val="00103799"/>
    <w:rsid w:val="001038CF"/>
    <w:rsid w:val="0010393D"/>
    <w:rsid w:val="00103A26"/>
    <w:rsid w:val="00103A6F"/>
    <w:rsid w:val="00103AAA"/>
    <w:rsid w:val="00103AF1"/>
    <w:rsid w:val="00103BA8"/>
    <w:rsid w:val="001041B8"/>
    <w:rsid w:val="0010443D"/>
    <w:rsid w:val="001047BC"/>
    <w:rsid w:val="001047C7"/>
    <w:rsid w:val="001047C9"/>
    <w:rsid w:val="00104802"/>
    <w:rsid w:val="00104A22"/>
    <w:rsid w:val="00104C42"/>
    <w:rsid w:val="00104E68"/>
    <w:rsid w:val="00104F25"/>
    <w:rsid w:val="00105111"/>
    <w:rsid w:val="00105197"/>
    <w:rsid w:val="0010525C"/>
    <w:rsid w:val="00105325"/>
    <w:rsid w:val="00105374"/>
    <w:rsid w:val="0010541F"/>
    <w:rsid w:val="00105567"/>
    <w:rsid w:val="0010559C"/>
    <w:rsid w:val="001055CA"/>
    <w:rsid w:val="00105661"/>
    <w:rsid w:val="00105739"/>
    <w:rsid w:val="0010591B"/>
    <w:rsid w:val="0010594B"/>
    <w:rsid w:val="00105AD0"/>
    <w:rsid w:val="00106088"/>
    <w:rsid w:val="001060D3"/>
    <w:rsid w:val="001060F3"/>
    <w:rsid w:val="001061B4"/>
    <w:rsid w:val="00106310"/>
    <w:rsid w:val="00106391"/>
    <w:rsid w:val="00106444"/>
    <w:rsid w:val="00106553"/>
    <w:rsid w:val="001069C7"/>
    <w:rsid w:val="00106CB2"/>
    <w:rsid w:val="00106E27"/>
    <w:rsid w:val="001070A1"/>
    <w:rsid w:val="00107130"/>
    <w:rsid w:val="00107201"/>
    <w:rsid w:val="0010723E"/>
    <w:rsid w:val="001074F4"/>
    <w:rsid w:val="001076D6"/>
    <w:rsid w:val="00107726"/>
    <w:rsid w:val="00107922"/>
    <w:rsid w:val="00107A13"/>
    <w:rsid w:val="00107A3B"/>
    <w:rsid w:val="00107B27"/>
    <w:rsid w:val="00107D7F"/>
    <w:rsid w:val="00107F1F"/>
    <w:rsid w:val="0011006E"/>
    <w:rsid w:val="001102BA"/>
    <w:rsid w:val="001103FA"/>
    <w:rsid w:val="001104DD"/>
    <w:rsid w:val="00110527"/>
    <w:rsid w:val="00110A24"/>
    <w:rsid w:val="00110D13"/>
    <w:rsid w:val="001112CB"/>
    <w:rsid w:val="001112E4"/>
    <w:rsid w:val="00111315"/>
    <w:rsid w:val="00111355"/>
    <w:rsid w:val="00111447"/>
    <w:rsid w:val="0011149D"/>
    <w:rsid w:val="0011163E"/>
    <w:rsid w:val="001117D6"/>
    <w:rsid w:val="00111B26"/>
    <w:rsid w:val="00111B69"/>
    <w:rsid w:val="00111C6A"/>
    <w:rsid w:val="00111D5F"/>
    <w:rsid w:val="00111F9D"/>
    <w:rsid w:val="001120B7"/>
    <w:rsid w:val="0011226E"/>
    <w:rsid w:val="001122FB"/>
    <w:rsid w:val="00112385"/>
    <w:rsid w:val="001125AD"/>
    <w:rsid w:val="00112804"/>
    <w:rsid w:val="001129BA"/>
    <w:rsid w:val="00112DA2"/>
    <w:rsid w:val="00112E53"/>
    <w:rsid w:val="00112F1F"/>
    <w:rsid w:val="00113136"/>
    <w:rsid w:val="001133CF"/>
    <w:rsid w:val="0011341D"/>
    <w:rsid w:val="00113775"/>
    <w:rsid w:val="001137FE"/>
    <w:rsid w:val="00113AC2"/>
    <w:rsid w:val="00113BDE"/>
    <w:rsid w:val="00113C11"/>
    <w:rsid w:val="00113C54"/>
    <w:rsid w:val="00113DDB"/>
    <w:rsid w:val="00113DF9"/>
    <w:rsid w:val="00113ED3"/>
    <w:rsid w:val="001140C9"/>
    <w:rsid w:val="00114120"/>
    <w:rsid w:val="0011420E"/>
    <w:rsid w:val="00114326"/>
    <w:rsid w:val="001143DA"/>
    <w:rsid w:val="0011443C"/>
    <w:rsid w:val="00114487"/>
    <w:rsid w:val="001144A1"/>
    <w:rsid w:val="00114762"/>
    <w:rsid w:val="001147F7"/>
    <w:rsid w:val="00114AAE"/>
    <w:rsid w:val="00114ACC"/>
    <w:rsid w:val="00114ADF"/>
    <w:rsid w:val="00114AED"/>
    <w:rsid w:val="00114DB6"/>
    <w:rsid w:val="00114E9A"/>
    <w:rsid w:val="00114F36"/>
    <w:rsid w:val="001150EC"/>
    <w:rsid w:val="00115361"/>
    <w:rsid w:val="001153D4"/>
    <w:rsid w:val="001154DA"/>
    <w:rsid w:val="00115547"/>
    <w:rsid w:val="00115744"/>
    <w:rsid w:val="00115889"/>
    <w:rsid w:val="001158D4"/>
    <w:rsid w:val="001159E1"/>
    <w:rsid w:val="00115A9E"/>
    <w:rsid w:val="00115B04"/>
    <w:rsid w:val="00115C14"/>
    <w:rsid w:val="00116013"/>
    <w:rsid w:val="001160A1"/>
    <w:rsid w:val="0011639F"/>
    <w:rsid w:val="001165C0"/>
    <w:rsid w:val="001165E1"/>
    <w:rsid w:val="0011672E"/>
    <w:rsid w:val="001168C8"/>
    <w:rsid w:val="00116944"/>
    <w:rsid w:val="00116B29"/>
    <w:rsid w:val="00116B52"/>
    <w:rsid w:val="00116B70"/>
    <w:rsid w:val="00116D37"/>
    <w:rsid w:val="00116E1C"/>
    <w:rsid w:val="0011717D"/>
    <w:rsid w:val="001171A1"/>
    <w:rsid w:val="0011729D"/>
    <w:rsid w:val="001175D0"/>
    <w:rsid w:val="00117728"/>
    <w:rsid w:val="00117C8D"/>
    <w:rsid w:val="001204BE"/>
    <w:rsid w:val="001204DD"/>
    <w:rsid w:val="00120691"/>
    <w:rsid w:val="00120C7E"/>
    <w:rsid w:val="00120E0A"/>
    <w:rsid w:val="00120F38"/>
    <w:rsid w:val="00121106"/>
    <w:rsid w:val="001211E9"/>
    <w:rsid w:val="001213DA"/>
    <w:rsid w:val="0012149B"/>
    <w:rsid w:val="001215B3"/>
    <w:rsid w:val="001215C6"/>
    <w:rsid w:val="0012183D"/>
    <w:rsid w:val="00121BBF"/>
    <w:rsid w:val="00121BFA"/>
    <w:rsid w:val="00121D8B"/>
    <w:rsid w:val="00121E63"/>
    <w:rsid w:val="001221B7"/>
    <w:rsid w:val="00122522"/>
    <w:rsid w:val="001225AC"/>
    <w:rsid w:val="001225C1"/>
    <w:rsid w:val="001227B3"/>
    <w:rsid w:val="00122827"/>
    <w:rsid w:val="001229E3"/>
    <w:rsid w:val="00122AAD"/>
    <w:rsid w:val="00122C41"/>
    <w:rsid w:val="00122D52"/>
    <w:rsid w:val="001230D8"/>
    <w:rsid w:val="00123755"/>
    <w:rsid w:val="00123773"/>
    <w:rsid w:val="0012398E"/>
    <w:rsid w:val="001239D5"/>
    <w:rsid w:val="00123A4B"/>
    <w:rsid w:val="00123B71"/>
    <w:rsid w:val="00123E40"/>
    <w:rsid w:val="00123E66"/>
    <w:rsid w:val="00124015"/>
    <w:rsid w:val="00124258"/>
    <w:rsid w:val="00124298"/>
    <w:rsid w:val="001242FA"/>
    <w:rsid w:val="00124383"/>
    <w:rsid w:val="00124384"/>
    <w:rsid w:val="001245BE"/>
    <w:rsid w:val="00124655"/>
    <w:rsid w:val="0012467D"/>
    <w:rsid w:val="00124749"/>
    <w:rsid w:val="00124887"/>
    <w:rsid w:val="00124A55"/>
    <w:rsid w:val="00124A6B"/>
    <w:rsid w:val="00124ABE"/>
    <w:rsid w:val="00124BAA"/>
    <w:rsid w:val="00124EBC"/>
    <w:rsid w:val="00125870"/>
    <w:rsid w:val="00125C25"/>
    <w:rsid w:val="00125D15"/>
    <w:rsid w:val="00125F2D"/>
    <w:rsid w:val="00125FA7"/>
    <w:rsid w:val="001260F8"/>
    <w:rsid w:val="001261E7"/>
    <w:rsid w:val="00126783"/>
    <w:rsid w:val="001269B6"/>
    <w:rsid w:val="00126B24"/>
    <w:rsid w:val="00126B2C"/>
    <w:rsid w:val="00126DB1"/>
    <w:rsid w:val="00126EDC"/>
    <w:rsid w:val="00126FB7"/>
    <w:rsid w:val="00127123"/>
    <w:rsid w:val="00127728"/>
    <w:rsid w:val="00127753"/>
    <w:rsid w:val="00127BF3"/>
    <w:rsid w:val="00127C5F"/>
    <w:rsid w:val="00127CF8"/>
    <w:rsid w:val="00127E2A"/>
    <w:rsid w:val="0013003B"/>
    <w:rsid w:val="00130280"/>
    <w:rsid w:val="001302D2"/>
    <w:rsid w:val="00130579"/>
    <w:rsid w:val="0013063B"/>
    <w:rsid w:val="001308F2"/>
    <w:rsid w:val="00130A2C"/>
    <w:rsid w:val="00130A30"/>
    <w:rsid w:val="00130A33"/>
    <w:rsid w:val="00130F01"/>
    <w:rsid w:val="00130F43"/>
    <w:rsid w:val="00130FC7"/>
    <w:rsid w:val="00130FC8"/>
    <w:rsid w:val="0013128C"/>
    <w:rsid w:val="001314F3"/>
    <w:rsid w:val="001317C0"/>
    <w:rsid w:val="001317E4"/>
    <w:rsid w:val="00131B3C"/>
    <w:rsid w:val="00131CD3"/>
    <w:rsid w:val="00131D27"/>
    <w:rsid w:val="00131F2A"/>
    <w:rsid w:val="00131F89"/>
    <w:rsid w:val="00131F9E"/>
    <w:rsid w:val="00132472"/>
    <w:rsid w:val="0013260A"/>
    <w:rsid w:val="00132709"/>
    <w:rsid w:val="00132787"/>
    <w:rsid w:val="00132805"/>
    <w:rsid w:val="00132812"/>
    <w:rsid w:val="00132A80"/>
    <w:rsid w:val="00132AEC"/>
    <w:rsid w:val="00132B2F"/>
    <w:rsid w:val="00132B68"/>
    <w:rsid w:val="00132B81"/>
    <w:rsid w:val="00132C61"/>
    <w:rsid w:val="00132D01"/>
    <w:rsid w:val="001330BA"/>
    <w:rsid w:val="001335CD"/>
    <w:rsid w:val="00133772"/>
    <w:rsid w:val="001338D1"/>
    <w:rsid w:val="00133916"/>
    <w:rsid w:val="0013397B"/>
    <w:rsid w:val="00133A5F"/>
    <w:rsid w:val="00133A76"/>
    <w:rsid w:val="00133AC9"/>
    <w:rsid w:val="00133C75"/>
    <w:rsid w:val="00133CDB"/>
    <w:rsid w:val="00133EA4"/>
    <w:rsid w:val="00133F06"/>
    <w:rsid w:val="00133FF6"/>
    <w:rsid w:val="0013401D"/>
    <w:rsid w:val="0013436A"/>
    <w:rsid w:val="00134481"/>
    <w:rsid w:val="001346E8"/>
    <w:rsid w:val="00134751"/>
    <w:rsid w:val="001347C5"/>
    <w:rsid w:val="00134A96"/>
    <w:rsid w:val="00134AD8"/>
    <w:rsid w:val="00134C29"/>
    <w:rsid w:val="00134D1D"/>
    <w:rsid w:val="00134D74"/>
    <w:rsid w:val="00134FF4"/>
    <w:rsid w:val="0013507D"/>
    <w:rsid w:val="001350B7"/>
    <w:rsid w:val="00135137"/>
    <w:rsid w:val="00135274"/>
    <w:rsid w:val="00135307"/>
    <w:rsid w:val="00135369"/>
    <w:rsid w:val="001353F4"/>
    <w:rsid w:val="001356CF"/>
    <w:rsid w:val="00135710"/>
    <w:rsid w:val="001359FC"/>
    <w:rsid w:val="00135D58"/>
    <w:rsid w:val="00135E72"/>
    <w:rsid w:val="00135F6C"/>
    <w:rsid w:val="00135FF3"/>
    <w:rsid w:val="00136127"/>
    <w:rsid w:val="00136183"/>
    <w:rsid w:val="0013626C"/>
    <w:rsid w:val="001366F8"/>
    <w:rsid w:val="00136742"/>
    <w:rsid w:val="001367AE"/>
    <w:rsid w:val="00136808"/>
    <w:rsid w:val="00136857"/>
    <w:rsid w:val="001368DF"/>
    <w:rsid w:val="00136988"/>
    <w:rsid w:val="001369FF"/>
    <w:rsid w:val="00136A47"/>
    <w:rsid w:val="00136C2A"/>
    <w:rsid w:val="00136D6F"/>
    <w:rsid w:val="00137111"/>
    <w:rsid w:val="00137225"/>
    <w:rsid w:val="001374B9"/>
    <w:rsid w:val="001374F3"/>
    <w:rsid w:val="001375B9"/>
    <w:rsid w:val="00137627"/>
    <w:rsid w:val="0013763C"/>
    <w:rsid w:val="00137783"/>
    <w:rsid w:val="00137930"/>
    <w:rsid w:val="00137950"/>
    <w:rsid w:val="00137B60"/>
    <w:rsid w:val="00137C26"/>
    <w:rsid w:val="00137F55"/>
    <w:rsid w:val="00137F78"/>
    <w:rsid w:val="00137FDE"/>
    <w:rsid w:val="00140088"/>
    <w:rsid w:val="0014008A"/>
    <w:rsid w:val="0014036D"/>
    <w:rsid w:val="001405F0"/>
    <w:rsid w:val="0014072F"/>
    <w:rsid w:val="0014083F"/>
    <w:rsid w:val="00140A02"/>
    <w:rsid w:val="00140AF6"/>
    <w:rsid w:val="00140C59"/>
    <w:rsid w:val="00140DA9"/>
    <w:rsid w:val="00140DD3"/>
    <w:rsid w:val="00140E74"/>
    <w:rsid w:val="00140FD2"/>
    <w:rsid w:val="0014145F"/>
    <w:rsid w:val="0014172E"/>
    <w:rsid w:val="001417C8"/>
    <w:rsid w:val="00141938"/>
    <w:rsid w:val="00141991"/>
    <w:rsid w:val="00141B0D"/>
    <w:rsid w:val="00141BCB"/>
    <w:rsid w:val="00141BED"/>
    <w:rsid w:val="00141C8F"/>
    <w:rsid w:val="00141D5A"/>
    <w:rsid w:val="001421C0"/>
    <w:rsid w:val="0014226B"/>
    <w:rsid w:val="001424A7"/>
    <w:rsid w:val="00142581"/>
    <w:rsid w:val="001425BB"/>
    <w:rsid w:val="00142A54"/>
    <w:rsid w:val="00142AF1"/>
    <w:rsid w:val="00142E3D"/>
    <w:rsid w:val="001430E5"/>
    <w:rsid w:val="001434D1"/>
    <w:rsid w:val="00143563"/>
    <w:rsid w:val="00143680"/>
    <w:rsid w:val="001439D4"/>
    <w:rsid w:val="00143BC6"/>
    <w:rsid w:val="00143C4A"/>
    <w:rsid w:val="00143C71"/>
    <w:rsid w:val="00143C82"/>
    <w:rsid w:val="00143D4E"/>
    <w:rsid w:val="00143DF7"/>
    <w:rsid w:val="00143EF4"/>
    <w:rsid w:val="0014413E"/>
    <w:rsid w:val="001441E0"/>
    <w:rsid w:val="00144519"/>
    <w:rsid w:val="0014488C"/>
    <w:rsid w:val="001448CA"/>
    <w:rsid w:val="00144927"/>
    <w:rsid w:val="001449A1"/>
    <w:rsid w:val="00144BD7"/>
    <w:rsid w:val="00144CFF"/>
    <w:rsid w:val="00144DC8"/>
    <w:rsid w:val="001450AA"/>
    <w:rsid w:val="001453EF"/>
    <w:rsid w:val="0014551C"/>
    <w:rsid w:val="001456AC"/>
    <w:rsid w:val="00145A9E"/>
    <w:rsid w:val="001461E6"/>
    <w:rsid w:val="001463E7"/>
    <w:rsid w:val="00146468"/>
    <w:rsid w:val="001466AD"/>
    <w:rsid w:val="001466B0"/>
    <w:rsid w:val="001467EF"/>
    <w:rsid w:val="00146B35"/>
    <w:rsid w:val="00146C18"/>
    <w:rsid w:val="00146C1B"/>
    <w:rsid w:val="00146DAF"/>
    <w:rsid w:val="00146E31"/>
    <w:rsid w:val="00146EDA"/>
    <w:rsid w:val="00146FB7"/>
    <w:rsid w:val="001472AB"/>
    <w:rsid w:val="001473AE"/>
    <w:rsid w:val="00147628"/>
    <w:rsid w:val="00147674"/>
    <w:rsid w:val="00147F63"/>
    <w:rsid w:val="001500F8"/>
    <w:rsid w:val="00150184"/>
    <w:rsid w:val="001501D9"/>
    <w:rsid w:val="001501E0"/>
    <w:rsid w:val="001502B1"/>
    <w:rsid w:val="00150470"/>
    <w:rsid w:val="001507BD"/>
    <w:rsid w:val="0015087F"/>
    <w:rsid w:val="00150B2F"/>
    <w:rsid w:val="00150C02"/>
    <w:rsid w:val="00150D09"/>
    <w:rsid w:val="00151079"/>
    <w:rsid w:val="00151093"/>
    <w:rsid w:val="0015131B"/>
    <w:rsid w:val="00151516"/>
    <w:rsid w:val="001515D2"/>
    <w:rsid w:val="001516C8"/>
    <w:rsid w:val="001516E9"/>
    <w:rsid w:val="00151715"/>
    <w:rsid w:val="00151A8E"/>
    <w:rsid w:val="00151B6A"/>
    <w:rsid w:val="00151C94"/>
    <w:rsid w:val="00151D68"/>
    <w:rsid w:val="00151D7B"/>
    <w:rsid w:val="00151E0D"/>
    <w:rsid w:val="0015207A"/>
    <w:rsid w:val="0015213D"/>
    <w:rsid w:val="001522EB"/>
    <w:rsid w:val="00152598"/>
    <w:rsid w:val="00152637"/>
    <w:rsid w:val="00152754"/>
    <w:rsid w:val="001528C3"/>
    <w:rsid w:val="00152908"/>
    <w:rsid w:val="00152A55"/>
    <w:rsid w:val="00152B87"/>
    <w:rsid w:val="00152D48"/>
    <w:rsid w:val="00152D7F"/>
    <w:rsid w:val="00152D95"/>
    <w:rsid w:val="0015313F"/>
    <w:rsid w:val="0015314D"/>
    <w:rsid w:val="00153216"/>
    <w:rsid w:val="0015340A"/>
    <w:rsid w:val="001537C0"/>
    <w:rsid w:val="00153896"/>
    <w:rsid w:val="00153ABB"/>
    <w:rsid w:val="00153BC4"/>
    <w:rsid w:val="00153BFE"/>
    <w:rsid w:val="00153D98"/>
    <w:rsid w:val="00153DDC"/>
    <w:rsid w:val="00154017"/>
    <w:rsid w:val="001543CF"/>
    <w:rsid w:val="001544D1"/>
    <w:rsid w:val="00154613"/>
    <w:rsid w:val="00154AC1"/>
    <w:rsid w:val="00154B44"/>
    <w:rsid w:val="00154D00"/>
    <w:rsid w:val="00154DB3"/>
    <w:rsid w:val="00154E6D"/>
    <w:rsid w:val="0015538F"/>
    <w:rsid w:val="00155624"/>
    <w:rsid w:val="00155933"/>
    <w:rsid w:val="00155A42"/>
    <w:rsid w:val="00155A6B"/>
    <w:rsid w:val="00155CA2"/>
    <w:rsid w:val="00155D26"/>
    <w:rsid w:val="00155DDE"/>
    <w:rsid w:val="00155E07"/>
    <w:rsid w:val="00155E41"/>
    <w:rsid w:val="001560AE"/>
    <w:rsid w:val="001566B6"/>
    <w:rsid w:val="0015695E"/>
    <w:rsid w:val="00156A7C"/>
    <w:rsid w:val="00156B4C"/>
    <w:rsid w:val="00156C0F"/>
    <w:rsid w:val="00156C3C"/>
    <w:rsid w:val="00156C97"/>
    <w:rsid w:val="00156D15"/>
    <w:rsid w:val="00156F06"/>
    <w:rsid w:val="00157089"/>
    <w:rsid w:val="001574F1"/>
    <w:rsid w:val="0015751A"/>
    <w:rsid w:val="001575C6"/>
    <w:rsid w:val="00157738"/>
    <w:rsid w:val="001578D6"/>
    <w:rsid w:val="0015794B"/>
    <w:rsid w:val="0015798B"/>
    <w:rsid w:val="00157B90"/>
    <w:rsid w:val="00157C6D"/>
    <w:rsid w:val="00157C9E"/>
    <w:rsid w:val="00157D3C"/>
    <w:rsid w:val="00157DBF"/>
    <w:rsid w:val="001602E2"/>
    <w:rsid w:val="001603AE"/>
    <w:rsid w:val="00160581"/>
    <w:rsid w:val="001606F4"/>
    <w:rsid w:val="0016074F"/>
    <w:rsid w:val="00160840"/>
    <w:rsid w:val="00160C53"/>
    <w:rsid w:val="00160FD5"/>
    <w:rsid w:val="001612CC"/>
    <w:rsid w:val="0016135E"/>
    <w:rsid w:val="001614A6"/>
    <w:rsid w:val="001614F1"/>
    <w:rsid w:val="00161533"/>
    <w:rsid w:val="00161616"/>
    <w:rsid w:val="00161726"/>
    <w:rsid w:val="0016179D"/>
    <w:rsid w:val="00161E0A"/>
    <w:rsid w:val="00161E51"/>
    <w:rsid w:val="00161E69"/>
    <w:rsid w:val="001620E0"/>
    <w:rsid w:val="001620EA"/>
    <w:rsid w:val="0016213F"/>
    <w:rsid w:val="001624B1"/>
    <w:rsid w:val="0016257D"/>
    <w:rsid w:val="00162766"/>
    <w:rsid w:val="0016286C"/>
    <w:rsid w:val="001628DD"/>
    <w:rsid w:val="00162940"/>
    <w:rsid w:val="00162B13"/>
    <w:rsid w:val="00162FAC"/>
    <w:rsid w:val="0016312A"/>
    <w:rsid w:val="0016321A"/>
    <w:rsid w:val="001632A8"/>
    <w:rsid w:val="001634BC"/>
    <w:rsid w:val="001635E7"/>
    <w:rsid w:val="0016377C"/>
    <w:rsid w:val="00163894"/>
    <w:rsid w:val="001638DB"/>
    <w:rsid w:val="00163A7C"/>
    <w:rsid w:val="00163AF4"/>
    <w:rsid w:val="00163D19"/>
    <w:rsid w:val="00163D7F"/>
    <w:rsid w:val="00163E8D"/>
    <w:rsid w:val="00163E8E"/>
    <w:rsid w:val="0016419C"/>
    <w:rsid w:val="001642ED"/>
    <w:rsid w:val="001644B6"/>
    <w:rsid w:val="001645E1"/>
    <w:rsid w:val="00164653"/>
    <w:rsid w:val="00164A74"/>
    <w:rsid w:val="00164B06"/>
    <w:rsid w:val="00164B45"/>
    <w:rsid w:val="00164F88"/>
    <w:rsid w:val="00165057"/>
    <w:rsid w:val="00165059"/>
    <w:rsid w:val="001650C7"/>
    <w:rsid w:val="0016511F"/>
    <w:rsid w:val="00165235"/>
    <w:rsid w:val="00165481"/>
    <w:rsid w:val="001654A1"/>
    <w:rsid w:val="0016556E"/>
    <w:rsid w:val="001655E5"/>
    <w:rsid w:val="0016583B"/>
    <w:rsid w:val="00165AAB"/>
    <w:rsid w:val="00165B35"/>
    <w:rsid w:val="00165BA9"/>
    <w:rsid w:val="00165BAE"/>
    <w:rsid w:val="00165CEA"/>
    <w:rsid w:val="00165D7A"/>
    <w:rsid w:val="00165E76"/>
    <w:rsid w:val="00166518"/>
    <w:rsid w:val="0016681B"/>
    <w:rsid w:val="00166886"/>
    <w:rsid w:val="00166AC6"/>
    <w:rsid w:val="00166CC5"/>
    <w:rsid w:val="00166E94"/>
    <w:rsid w:val="001673E3"/>
    <w:rsid w:val="001673FA"/>
    <w:rsid w:val="00167554"/>
    <w:rsid w:val="001675FE"/>
    <w:rsid w:val="001676F8"/>
    <w:rsid w:val="00167720"/>
    <w:rsid w:val="00167ABB"/>
    <w:rsid w:val="00167F09"/>
    <w:rsid w:val="00167F85"/>
    <w:rsid w:val="0017002E"/>
    <w:rsid w:val="00170420"/>
    <w:rsid w:val="00170518"/>
    <w:rsid w:val="001708EE"/>
    <w:rsid w:val="00170912"/>
    <w:rsid w:val="00170A3C"/>
    <w:rsid w:val="00170F50"/>
    <w:rsid w:val="00170FA2"/>
    <w:rsid w:val="00171027"/>
    <w:rsid w:val="00171320"/>
    <w:rsid w:val="001715CB"/>
    <w:rsid w:val="0017169D"/>
    <w:rsid w:val="001718D9"/>
    <w:rsid w:val="00171A9D"/>
    <w:rsid w:val="00171C8F"/>
    <w:rsid w:val="00171E47"/>
    <w:rsid w:val="001721CB"/>
    <w:rsid w:val="001722CF"/>
    <w:rsid w:val="0017237F"/>
    <w:rsid w:val="0017253D"/>
    <w:rsid w:val="0017255D"/>
    <w:rsid w:val="0017268E"/>
    <w:rsid w:val="00172829"/>
    <w:rsid w:val="0017291D"/>
    <w:rsid w:val="001729BB"/>
    <w:rsid w:val="001729D4"/>
    <w:rsid w:val="00172B12"/>
    <w:rsid w:val="00172B45"/>
    <w:rsid w:val="00172C22"/>
    <w:rsid w:val="00172EC6"/>
    <w:rsid w:val="00173108"/>
    <w:rsid w:val="001733B1"/>
    <w:rsid w:val="00173863"/>
    <w:rsid w:val="0017386C"/>
    <w:rsid w:val="00173B76"/>
    <w:rsid w:val="00173BAB"/>
    <w:rsid w:val="00173D64"/>
    <w:rsid w:val="00173D68"/>
    <w:rsid w:val="00173F1B"/>
    <w:rsid w:val="00173FEF"/>
    <w:rsid w:val="00174078"/>
    <w:rsid w:val="0017407E"/>
    <w:rsid w:val="0017408B"/>
    <w:rsid w:val="001745BC"/>
    <w:rsid w:val="0017488C"/>
    <w:rsid w:val="001748C7"/>
    <w:rsid w:val="00175149"/>
    <w:rsid w:val="0017565A"/>
    <w:rsid w:val="00175692"/>
    <w:rsid w:val="0017580B"/>
    <w:rsid w:val="00175AC9"/>
    <w:rsid w:val="00175BFF"/>
    <w:rsid w:val="00175C99"/>
    <w:rsid w:val="00175CD4"/>
    <w:rsid w:val="00176087"/>
    <w:rsid w:val="001760E3"/>
    <w:rsid w:val="0017625F"/>
    <w:rsid w:val="0017637B"/>
    <w:rsid w:val="001763EC"/>
    <w:rsid w:val="00176473"/>
    <w:rsid w:val="0017656D"/>
    <w:rsid w:val="001765D8"/>
    <w:rsid w:val="0017663C"/>
    <w:rsid w:val="00176B11"/>
    <w:rsid w:val="00177283"/>
    <w:rsid w:val="00177442"/>
    <w:rsid w:val="00177726"/>
    <w:rsid w:val="001777FF"/>
    <w:rsid w:val="0017796B"/>
    <w:rsid w:val="001779A8"/>
    <w:rsid w:val="00177DED"/>
    <w:rsid w:val="00180073"/>
    <w:rsid w:val="001802EA"/>
    <w:rsid w:val="0018053C"/>
    <w:rsid w:val="00180683"/>
    <w:rsid w:val="00180761"/>
    <w:rsid w:val="00180804"/>
    <w:rsid w:val="00180A39"/>
    <w:rsid w:val="00180A6C"/>
    <w:rsid w:val="00181438"/>
    <w:rsid w:val="00181557"/>
    <w:rsid w:val="001815DF"/>
    <w:rsid w:val="00181630"/>
    <w:rsid w:val="001816B6"/>
    <w:rsid w:val="00181741"/>
    <w:rsid w:val="00181EFE"/>
    <w:rsid w:val="00181F12"/>
    <w:rsid w:val="00181F5E"/>
    <w:rsid w:val="00181F84"/>
    <w:rsid w:val="00182037"/>
    <w:rsid w:val="0018204F"/>
    <w:rsid w:val="001820FD"/>
    <w:rsid w:val="0018229E"/>
    <w:rsid w:val="001822D1"/>
    <w:rsid w:val="001822D7"/>
    <w:rsid w:val="00182485"/>
    <w:rsid w:val="00182528"/>
    <w:rsid w:val="00182835"/>
    <w:rsid w:val="00182A69"/>
    <w:rsid w:val="00182C19"/>
    <w:rsid w:val="00182E15"/>
    <w:rsid w:val="00182F68"/>
    <w:rsid w:val="00183006"/>
    <w:rsid w:val="001831B5"/>
    <w:rsid w:val="00183289"/>
    <w:rsid w:val="00183417"/>
    <w:rsid w:val="001835DB"/>
    <w:rsid w:val="001836E7"/>
    <w:rsid w:val="00183B47"/>
    <w:rsid w:val="00183B69"/>
    <w:rsid w:val="00183C5E"/>
    <w:rsid w:val="00183C6B"/>
    <w:rsid w:val="00183D34"/>
    <w:rsid w:val="00183D57"/>
    <w:rsid w:val="00183DB8"/>
    <w:rsid w:val="00183EEB"/>
    <w:rsid w:val="00183F4E"/>
    <w:rsid w:val="001843DF"/>
    <w:rsid w:val="0018454C"/>
    <w:rsid w:val="00184674"/>
    <w:rsid w:val="001846E9"/>
    <w:rsid w:val="001848FC"/>
    <w:rsid w:val="0018497F"/>
    <w:rsid w:val="00184C44"/>
    <w:rsid w:val="00184DFC"/>
    <w:rsid w:val="00184E69"/>
    <w:rsid w:val="00184EFA"/>
    <w:rsid w:val="00184F27"/>
    <w:rsid w:val="001851C8"/>
    <w:rsid w:val="00185324"/>
    <w:rsid w:val="001854E5"/>
    <w:rsid w:val="0018559B"/>
    <w:rsid w:val="0018562E"/>
    <w:rsid w:val="0018588D"/>
    <w:rsid w:val="00185B6C"/>
    <w:rsid w:val="00185BA0"/>
    <w:rsid w:val="00185C9C"/>
    <w:rsid w:val="00185D6B"/>
    <w:rsid w:val="00185F24"/>
    <w:rsid w:val="0018602B"/>
    <w:rsid w:val="0018616C"/>
    <w:rsid w:val="0018641B"/>
    <w:rsid w:val="001864F0"/>
    <w:rsid w:val="00186597"/>
    <w:rsid w:val="001865D7"/>
    <w:rsid w:val="00186859"/>
    <w:rsid w:val="00186A58"/>
    <w:rsid w:val="00186DAA"/>
    <w:rsid w:val="00186E5A"/>
    <w:rsid w:val="0018742A"/>
    <w:rsid w:val="00187443"/>
    <w:rsid w:val="001876C0"/>
    <w:rsid w:val="00187721"/>
    <w:rsid w:val="001878CC"/>
    <w:rsid w:val="00187B6F"/>
    <w:rsid w:val="00187DEB"/>
    <w:rsid w:val="00187E94"/>
    <w:rsid w:val="00187EA7"/>
    <w:rsid w:val="00190071"/>
    <w:rsid w:val="00190088"/>
    <w:rsid w:val="00190210"/>
    <w:rsid w:val="0019030A"/>
    <w:rsid w:val="0019067D"/>
    <w:rsid w:val="001909A7"/>
    <w:rsid w:val="001909AF"/>
    <w:rsid w:val="00190A01"/>
    <w:rsid w:val="00190B73"/>
    <w:rsid w:val="00190E28"/>
    <w:rsid w:val="00190EBB"/>
    <w:rsid w:val="00190FAC"/>
    <w:rsid w:val="00190FF1"/>
    <w:rsid w:val="00191042"/>
    <w:rsid w:val="00191064"/>
    <w:rsid w:val="0019134D"/>
    <w:rsid w:val="00191A10"/>
    <w:rsid w:val="00191B8E"/>
    <w:rsid w:val="00191C6F"/>
    <w:rsid w:val="00191F0F"/>
    <w:rsid w:val="00192071"/>
    <w:rsid w:val="001923A1"/>
    <w:rsid w:val="00192F37"/>
    <w:rsid w:val="00193043"/>
    <w:rsid w:val="00193051"/>
    <w:rsid w:val="001930A6"/>
    <w:rsid w:val="001930F6"/>
    <w:rsid w:val="00193562"/>
    <w:rsid w:val="001936CF"/>
    <w:rsid w:val="001937B0"/>
    <w:rsid w:val="00193847"/>
    <w:rsid w:val="001939C4"/>
    <w:rsid w:val="00193A11"/>
    <w:rsid w:val="00193AC6"/>
    <w:rsid w:val="00194113"/>
    <w:rsid w:val="001946DC"/>
    <w:rsid w:val="0019476B"/>
    <w:rsid w:val="001947A9"/>
    <w:rsid w:val="0019497D"/>
    <w:rsid w:val="00194E09"/>
    <w:rsid w:val="00194F11"/>
    <w:rsid w:val="0019542D"/>
    <w:rsid w:val="00195646"/>
    <w:rsid w:val="001958FF"/>
    <w:rsid w:val="001959DF"/>
    <w:rsid w:val="00195A31"/>
    <w:rsid w:val="00195C04"/>
    <w:rsid w:val="00195C2D"/>
    <w:rsid w:val="00195EB0"/>
    <w:rsid w:val="00195EFB"/>
    <w:rsid w:val="00195F78"/>
    <w:rsid w:val="00196032"/>
    <w:rsid w:val="0019608E"/>
    <w:rsid w:val="00196107"/>
    <w:rsid w:val="0019624C"/>
    <w:rsid w:val="00196632"/>
    <w:rsid w:val="001966DA"/>
    <w:rsid w:val="00196840"/>
    <w:rsid w:val="00196876"/>
    <w:rsid w:val="001968D2"/>
    <w:rsid w:val="00196C29"/>
    <w:rsid w:val="00196C5E"/>
    <w:rsid w:val="00196D34"/>
    <w:rsid w:val="00196E0F"/>
    <w:rsid w:val="00196ECD"/>
    <w:rsid w:val="00196F3D"/>
    <w:rsid w:val="001971D2"/>
    <w:rsid w:val="001972E6"/>
    <w:rsid w:val="001974D3"/>
    <w:rsid w:val="00197562"/>
    <w:rsid w:val="0019757F"/>
    <w:rsid w:val="0019758D"/>
    <w:rsid w:val="001975DA"/>
    <w:rsid w:val="001977B1"/>
    <w:rsid w:val="00197923"/>
    <w:rsid w:val="00197C25"/>
    <w:rsid w:val="00197CA4"/>
    <w:rsid w:val="00197E8F"/>
    <w:rsid w:val="001A0072"/>
    <w:rsid w:val="001A0160"/>
    <w:rsid w:val="001A018B"/>
    <w:rsid w:val="001A029B"/>
    <w:rsid w:val="001A0300"/>
    <w:rsid w:val="001A0547"/>
    <w:rsid w:val="001A0628"/>
    <w:rsid w:val="001A092F"/>
    <w:rsid w:val="001A0939"/>
    <w:rsid w:val="001A0AB6"/>
    <w:rsid w:val="001A0ACC"/>
    <w:rsid w:val="001A0C9C"/>
    <w:rsid w:val="001A114C"/>
    <w:rsid w:val="001A11B0"/>
    <w:rsid w:val="001A14A2"/>
    <w:rsid w:val="001A1545"/>
    <w:rsid w:val="001A15BB"/>
    <w:rsid w:val="001A15C3"/>
    <w:rsid w:val="001A1640"/>
    <w:rsid w:val="001A16C2"/>
    <w:rsid w:val="001A1A7D"/>
    <w:rsid w:val="001A1E6F"/>
    <w:rsid w:val="001A2036"/>
    <w:rsid w:val="001A2176"/>
    <w:rsid w:val="001A229B"/>
    <w:rsid w:val="001A2332"/>
    <w:rsid w:val="001A233D"/>
    <w:rsid w:val="001A24FE"/>
    <w:rsid w:val="001A279D"/>
    <w:rsid w:val="001A2C31"/>
    <w:rsid w:val="001A2D49"/>
    <w:rsid w:val="001A2DD1"/>
    <w:rsid w:val="001A2EB4"/>
    <w:rsid w:val="001A30CE"/>
    <w:rsid w:val="001A315C"/>
    <w:rsid w:val="001A3464"/>
    <w:rsid w:val="001A3578"/>
    <w:rsid w:val="001A390E"/>
    <w:rsid w:val="001A3A20"/>
    <w:rsid w:val="001A3CD4"/>
    <w:rsid w:val="001A3D7F"/>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520C"/>
    <w:rsid w:val="001A54BC"/>
    <w:rsid w:val="001A54EF"/>
    <w:rsid w:val="001A556C"/>
    <w:rsid w:val="001A576E"/>
    <w:rsid w:val="001A5846"/>
    <w:rsid w:val="001A58F7"/>
    <w:rsid w:val="001A5910"/>
    <w:rsid w:val="001A59D0"/>
    <w:rsid w:val="001A5A0B"/>
    <w:rsid w:val="001A5C67"/>
    <w:rsid w:val="001A5DFD"/>
    <w:rsid w:val="001A5F2D"/>
    <w:rsid w:val="001A5F46"/>
    <w:rsid w:val="001A62BC"/>
    <w:rsid w:val="001A69E9"/>
    <w:rsid w:val="001A6B75"/>
    <w:rsid w:val="001A6E2F"/>
    <w:rsid w:val="001A6FBA"/>
    <w:rsid w:val="001A6FE0"/>
    <w:rsid w:val="001A70AC"/>
    <w:rsid w:val="001A7227"/>
    <w:rsid w:val="001A72C2"/>
    <w:rsid w:val="001A74A8"/>
    <w:rsid w:val="001A764D"/>
    <w:rsid w:val="001A7ABA"/>
    <w:rsid w:val="001A7DCC"/>
    <w:rsid w:val="001A7DF4"/>
    <w:rsid w:val="001B010F"/>
    <w:rsid w:val="001B058B"/>
    <w:rsid w:val="001B05F5"/>
    <w:rsid w:val="001B0607"/>
    <w:rsid w:val="001B0915"/>
    <w:rsid w:val="001B09C1"/>
    <w:rsid w:val="001B0A75"/>
    <w:rsid w:val="001B0D68"/>
    <w:rsid w:val="001B13CA"/>
    <w:rsid w:val="001B15B5"/>
    <w:rsid w:val="001B1D06"/>
    <w:rsid w:val="001B209C"/>
    <w:rsid w:val="001B222F"/>
    <w:rsid w:val="001B2491"/>
    <w:rsid w:val="001B24B7"/>
    <w:rsid w:val="001B24F7"/>
    <w:rsid w:val="001B2654"/>
    <w:rsid w:val="001B26BF"/>
    <w:rsid w:val="001B2753"/>
    <w:rsid w:val="001B27DA"/>
    <w:rsid w:val="001B2B73"/>
    <w:rsid w:val="001B308F"/>
    <w:rsid w:val="001B3090"/>
    <w:rsid w:val="001B32DE"/>
    <w:rsid w:val="001B349C"/>
    <w:rsid w:val="001B3898"/>
    <w:rsid w:val="001B38F3"/>
    <w:rsid w:val="001B3B2D"/>
    <w:rsid w:val="001B3BFA"/>
    <w:rsid w:val="001B40BE"/>
    <w:rsid w:val="001B42AA"/>
    <w:rsid w:val="001B43CF"/>
    <w:rsid w:val="001B4669"/>
    <w:rsid w:val="001B4A23"/>
    <w:rsid w:val="001B4A66"/>
    <w:rsid w:val="001B4A72"/>
    <w:rsid w:val="001B4B7D"/>
    <w:rsid w:val="001B4BAD"/>
    <w:rsid w:val="001B4E88"/>
    <w:rsid w:val="001B5090"/>
    <w:rsid w:val="001B5389"/>
    <w:rsid w:val="001B5A86"/>
    <w:rsid w:val="001B5AA4"/>
    <w:rsid w:val="001B5CBB"/>
    <w:rsid w:val="001B5EBE"/>
    <w:rsid w:val="001B5F06"/>
    <w:rsid w:val="001B5FC0"/>
    <w:rsid w:val="001B6039"/>
    <w:rsid w:val="001B613C"/>
    <w:rsid w:val="001B627D"/>
    <w:rsid w:val="001B6391"/>
    <w:rsid w:val="001B6394"/>
    <w:rsid w:val="001B6430"/>
    <w:rsid w:val="001B64DC"/>
    <w:rsid w:val="001B6C62"/>
    <w:rsid w:val="001B6D15"/>
    <w:rsid w:val="001B6D3F"/>
    <w:rsid w:val="001B6DA4"/>
    <w:rsid w:val="001B6F39"/>
    <w:rsid w:val="001B6F5B"/>
    <w:rsid w:val="001B6FBB"/>
    <w:rsid w:val="001B72AC"/>
    <w:rsid w:val="001B730E"/>
    <w:rsid w:val="001B735A"/>
    <w:rsid w:val="001B73C3"/>
    <w:rsid w:val="001B7486"/>
    <w:rsid w:val="001B7598"/>
    <w:rsid w:val="001B76F7"/>
    <w:rsid w:val="001B7793"/>
    <w:rsid w:val="001B7910"/>
    <w:rsid w:val="001B799C"/>
    <w:rsid w:val="001B79F0"/>
    <w:rsid w:val="001B7C4B"/>
    <w:rsid w:val="001B7E67"/>
    <w:rsid w:val="001B7F7C"/>
    <w:rsid w:val="001C0321"/>
    <w:rsid w:val="001C0334"/>
    <w:rsid w:val="001C084B"/>
    <w:rsid w:val="001C0901"/>
    <w:rsid w:val="001C0952"/>
    <w:rsid w:val="001C0FD0"/>
    <w:rsid w:val="001C1383"/>
    <w:rsid w:val="001C1577"/>
    <w:rsid w:val="001C184B"/>
    <w:rsid w:val="001C1A62"/>
    <w:rsid w:val="001C1B4F"/>
    <w:rsid w:val="001C1E65"/>
    <w:rsid w:val="001C216A"/>
    <w:rsid w:val="001C249D"/>
    <w:rsid w:val="001C25FF"/>
    <w:rsid w:val="001C26EC"/>
    <w:rsid w:val="001C2792"/>
    <w:rsid w:val="001C281B"/>
    <w:rsid w:val="001C29E9"/>
    <w:rsid w:val="001C29F7"/>
    <w:rsid w:val="001C2C1B"/>
    <w:rsid w:val="001C2DE5"/>
    <w:rsid w:val="001C301A"/>
    <w:rsid w:val="001C3216"/>
    <w:rsid w:val="001C33DD"/>
    <w:rsid w:val="001C3418"/>
    <w:rsid w:val="001C3465"/>
    <w:rsid w:val="001C34E0"/>
    <w:rsid w:val="001C3594"/>
    <w:rsid w:val="001C36C4"/>
    <w:rsid w:val="001C372E"/>
    <w:rsid w:val="001C38BC"/>
    <w:rsid w:val="001C3A97"/>
    <w:rsid w:val="001C3B42"/>
    <w:rsid w:val="001C3C2A"/>
    <w:rsid w:val="001C3C62"/>
    <w:rsid w:val="001C3E63"/>
    <w:rsid w:val="001C3EED"/>
    <w:rsid w:val="001C41D2"/>
    <w:rsid w:val="001C4259"/>
    <w:rsid w:val="001C42B7"/>
    <w:rsid w:val="001C4333"/>
    <w:rsid w:val="001C44E7"/>
    <w:rsid w:val="001C4F85"/>
    <w:rsid w:val="001C5123"/>
    <w:rsid w:val="001C563D"/>
    <w:rsid w:val="001C57D4"/>
    <w:rsid w:val="001C59DF"/>
    <w:rsid w:val="001C5BDA"/>
    <w:rsid w:val="001C6842"/>
    <w:rsid w:val="001C69FD"/>
    <w:rsid w:val="001C6AB7"/>
    <w:rsid w:val="001C718B"/>
    <w:rsid w:val="001C7307"/>
    <w:rsid w:val="001C7533"/>
    <w:rsid w:val="001C7729"/>
    <w:rsid w:val="001C79D1"/>
    <w:rsid w:val="001C7A40"/>
    <w:rsid w:val="001C7BFE"/>
    <w:rsid w:val="001C7CF8"/>
    <w:rsid w:val="001C7CF9"/>
    <w:rsid w:val="001D0038"/>
    <w:rsid w:val="001D013D"/>
    <w:rsid w:val="001D018F"/>
    <w:rsid w:val="001D0576"/>
    <w:rsid w:val="001D0585"/>
    <w:rsid w:val="001D084D"/>
    <w:rsid w:val="001D0958"/>
    <w:rsid w:val="001D0A01"/>
    <w:rsid w:val="001D0B5C"/>
    <w:rsid w:val="001D1229"/>
    <w:rsid w:val="001D13F1"/>
    <w:rsid w:val="001D1427"/>
    <w:rsid w:val="001D1681"/>
    <w:rsid w:val="001D179E"/>
    <w:rsid w:val="001D18C5"/>
    <w:rsid w:val="001D1C3F"/>
    <w:rsid w:val="001D1F48"/>
    <w:rsid w:val="001D1FD6"/>
    <w:rsid w:val="001D21E5"/>
    <w:rsid w:val="001D248F"/>
    <w:rsid w:val="001D24EE"/>
    <w:rsid w:val="001D29EC"/>
    <w:rsid w:val="001D2A60"/>
    <w:rsid w:val="001D2B11"/>
    <w:rsid w:val="001D2D10"/>
    <w:rsid w:val="001D2D2E"/>
    <w:rsid w:val="001D2DCB"/>
    <w:rsid w:val="001D2E1C"/>
    <w:rsid w:val="001D2ED1"/>
    <w:rsid w:val="001D2F4C"/>
    <w:rsid w:val="001D33CA"/>
    <w:rsid w:val="001D34EE"/>
    <w:rsid w:val="001D3664"/>
    <w:rsid w:val="001D37DB"/>
    <w:rsid w:val="001D3805"/>
    <w:rsid w:val="001D3A4C"/>
    <w:rsid w:val="001D3B61"/>
    <w:rsid w:val="001D3F8F"/>
    <w:rsid w:val="001D3F9B"/>
    <w:rsid w:val="001D410A"/>
    <w:rsid w:val="001D4182"/>
    <w:rsid w:val="001D43BB"/>
    <w:rsid w:val="001D4628"/>
    <w:rsid w:val="001D4844"/>
    <w:rsid w:val="001D49C5"/>
    <w:rsid w:val="001D4A00"/>
    <w:rsid w:val="001D4C39"/>
    <w:rsid w:val="001D4C43"/>
    <w:rsid w:val="001D4DA7"/>
    <w:rsid w:val="001D4E67"/>
    <w:rsid w:val="001D4EA5"/>
    <w:rsid w:val="001D4EF1"/>
    <w:rsid w:val="001D5097"/>
    <w:rsid w:val="001D512C"/>
    <w:rsid w:val="001D5188"/>
    <w:rsid w:val="001D5369"/>
    <w:rsid w:val="001D5376"/>
    <w:rsid w:val="001D5510"/>
    <w:rsid w:val="001D55D5"/>
    <w:rsid w:val="001D5942"/>
    <w:rsid w:val="001D59F4"/>
    <w:rsid w:val="001D5A41"/>
    <w:rsid w:val="001D5D86"/>
    <w:rsid w:val="001D5DC2"/>
    <w:rsid w:val="001D5ECF"/>
    <w:rsid w:val="001D6046"/>
    <w:rsid w:val="001D61A0"/>
    <w:rsid w:val="001D649A"/>
    <w:rsid w:val="001D65FB"/>
    <w:rsid w:val="001D6774"/>
    <w:rsid w:val="001D69DE"/>
    <w:rsid w:val="001D6B0E"/>
    <w:rsid w:val="001D6BD5"/>
    <w:rsid w:val="001D6E4B"/>
    <w:rsid w:val="001D6E94"/>
    <w:rsid w:val="001D6F6C"/>
    <w:rsid w:val="001D7363"/>
    <w:rsid w:val="001D743A"/>
    <w:rsid w:val="001D74ED"/>
    <w:rsid w:val="001D753B"/>
    <w:rsid w:val="001D765B"/>
    <w:rsid w:val="001D7780"/>
    <w:rsid w:val="001D7996"/>
    <w:rsid w:val="001D79DD"/>
    <w:rsid w:val="001D7ABD"/>
    <w:rsid w:val="001D7B04"/>
    <w:rsid w:val="001D7D12"/>
    <w:rsid w:val="001D7EEC"/>
    <w:rsid w:val="001E039D"/>
    <w:rsid w:val="001E041A"/>
    <w:rsid w:val="001E04C0"/>
    <w:rsid w:val="001E0525"/>
    <w:rsid w:val="001E05FA"/>
    <w:rsid w:val="001E0651"/>
    <w:rsid w:val="001E079E"/>
    <w:rsid w:val="001E0876"/>
    <w:rsid w:val="001E0A26"/>
    <w:rsid w:val="001E0CB4"/>
    <w:rsid w:val="001E0DB6"/>
    <w:rsid w:val="001E0F4E"/>
    <w:rsid w:val="001E1492"/>
    <w:rsid w:val="001E1559"/>
    <w:rsid w:val="001E16E5"/>
    <w:rsid w:val="001E1A11"/>
    <w:rsid w:val="001E1E2D"/>
    <w:rsid w:val="001E1EDC"/>
    <w:rsid w:val="001E2514"/>
    <w:rsid w:val="001E251F"/>
    <w:rsid w:val="001E25B2"/>
    <w:rsid w:val="001E265D"/>
    <w:rsid w:val="001E2AC2"/>
    <w:rsid w:val="001E2BD6"/>
    <w:rsid w:val="001E2C4A"/>
    <w:rsid w:val="001E2CD5"/>
    <w:rsid w:val="001E2D3D"/>
    <w:rsid w:val="001E2DEE"/>
    <w:rsid w:val="001E2EB0"/>
    <w:rsid w:val="001E2FE3"/>
    <w:rsid w:val="001E3235"/>
    <w:rsid w:val="001E3325"/>
    <w:rsid w:val="001E3372"/>
    <w:rsid w:val="001E3655"/>
    <w:rsid w:val="001E36AC"/>
    <w:rsid w:val="001E374A"/>
    <w:rsid w:val="001E3809"/>
    <w:rsid w:val="001E394F"/>
    <w:rsid w:val="001E39AD"/>
    <w:rsid w:val="001E39EE"/>
    <w:rsid w:val="001E3D0F"/>
    <w:rsid w:val="001E3FDD"/>
    <w:rsid w:val="001E4017"/>
    <w:rsid w:val="001E41C6"/>
    <w:rsid w:val="001E4485"/>
    <w:rsid w:val="001E4622"/>
    <w:rsid w:val="001E47B2"/>
    <w:rsid w:val="001E4B33"/>
    <w:rsid w:val="001E4E13"/>
    <w:rsid w:val="001E4E22"/>
    <w:rsid w:val="001E4FE0"/>
    <w:rsid w:val="001E539E"/>
    <w:rsid w:val="001E541A"/>
    <w:rsid w:val="001E549B"/>
    <w:rsid w:val="001E55AC"/>
    <w:rsid w:val="001E5651"/>
    <w:rsid w:val="001E5711"/>
    <w:rsid w:val="001E583D"/>
    <w:rsid w:val="001E5A06"/>
    <w:rsid w:val="001E5BDA"/>
    <w:rsid w:val="001E5C1E"/>
    <w:rsid w:val="001E60E0"/>
    <w:rsid w:val="001E615D"/>
    <w:rsid w:val="001E620D"/>
    <w:rsid w:val="001E6244"/>
    <w:rsid w:val="001E6347"/>
    <w:rsid w:val="001E635F"/>
    <w:rsid w:val="001E6422"/>
    <w:rsid w:val="001E64C0"/>
    <w:rsid w:val="001E6742"/>
    <w:rsid w:val="001E69AF"/>
    <w:rsid w:val="001E6C9E"/>
    <w:rsid w:val="001E6CA5"/>
    <w:rsid w:val="001E6EBD"/>
    <w:rsid w:val="001E6FFD"/>
    <w:rsid w:val="001E70A7"/>
    <w:rsid w:val="001E70CE"/>
    <w:rsid w:val="001E711F"/>
    <w:rsid w:val="001E724C"/>
    <w:rsid w:val="001E725A"/>
    <w:rsid w:val="001E7321"/>
    <w:rsid w:val="001E73EB"/>
    <w:rsid w:val="001E7570"/>
    <w:rsid w:val="001E775D"/>
    <w:rsid w:val="001E79B2"/>
    <w:rsid w:val="001E79E1"/>
    <w:rsid w:val="001E7E88"/>
    <w:rsid w:val="001E7EF8"/>
    <w:rsid w:val="001F04F9"/>
    <w:rsid w:val="001F0958"/>
    <w:rsid w:val="001F0F87"/>
    <w:rsid w:val="001F121F"/>
    <w:rsid w:val="001F12AE"/>
    <w:rsid w:val="001F1361"/>
    <w:rsid w:val="001F1405"/>
    <w:rsid w:val="001F144D"/>
    <w:rsid w:val="001F148B"/>
    <w:rsid w:val="001F1509"/>
    <w:rsid w:val="001F15F0"/>
    <w:rsid w:val="001F15FD"/>
    <w:rsid w:val="001F17E7"/>
    <w:rsid w:val="001F196A"/>
    <w:rsid w:val="001F19C5"/>
    <w:rsid w:val="001F1A0B"/>
    <w:rsid w:val="001F1A28"/>
    <w:rsid w:val="001F1D87"/>
    <w:rsid w:val="001F1F3A"/>
    <w:rsid w:val="001F1F6C"/>
    <w:rsid w:val="001F1F9F"/>
    <w:rsid w:val="001F2144"/>
    <w:rsid w:val="001F22AD"/>
    <w:rsid w:val="001F23CE"/>
    <w:rsid w:val="001F2460"/>
    <w:rsid w:val="001F25D2"/>
    <w:rsid w:val="001F263C"/>
    <w:rsid w:val="001F28AA"/>
    <w:rsid w:val="001F2A67"/>
    <w:rsid w:val="001F2B4B"/>
    <w:rsid w:val="001F2EE9"/>
    <w:rsid w:val="001F2EF9"/>
    <w:rsid w:val="001F2F42"/>
    <w:rsid w:val="001F2F51"/>
    <w:rsid w:val="001F307B"/>
    <w:rsid w:val="001F334A"/>
    <w:rsid w:val="001F34C4"/>
    <w:rsid w:val="001F34DA"/>
    <w:rsid w:val="001F34EB"/>
    <w:rsid w:val="001F367E"/>
    <w:rsid w:val="001F372C"/>
    <w:rsid w:val="001F393C"/>
    <w:rsid w:val="001F399D"/>
    <w:rsid w:val="001F3B56"/>
    <w:rsid w:val="001F3BCC"/>
    <w:rsid w:val="001F3C82"/>
    <w:rsid w:val="001F3CD2"/>
    <w:rsid w:val="001F3F4E"/>
    <w:rsid w:val="001F3F7F"/>
    <w:rsid w:val="001F4029"/>
    <w:rsid w:val="001F4192"/>
    <w:rsid w:val="001F4208"/>
    <w:rsid w:val="001F4267"/>
    <w:rsid w:val="001F4385"/>
    <w:rsid w:val="001F43B6"/>
    <w:rsid w:val="001F43DE"/>
    <w:rsid w:val="001F4680"/>
    <w:rsid w:val="001F4B92"/>
    <w:rsid w:val="001F4C78"/>
    <w:rsid w:val="001F4D17"/>
    <w:rsid w:val="001F4FE4"/>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295"/>
    <w:rsid w:val="001F6382"/>
    <w:rsid w:val="001F64B2"/>
    <w:rsid w:val="001F64C9"/>
    <w:rsid w:val="001F66D4"/>
    <w:rsid w:val="001F6786"/>
    <w:rsid w:val="001F67F6"/>
    <w:rsid w:val="001F685E"/>
    <w:rsid w:val="001F69C1"/>
    <w:rsid w:val="001F6B2C"/>
    <w:rsid w:val="001F6C65"/>
    <w:rsid w:val="001F6CC8"/>
    <w:rsid w:val="001F6D14"/>
    <w:rsid w:val="001F6FAE"/>
    <w:rsid w:val="001F78E1"/>
    <w:rsid w:val="001F7CF1"/>
    <w:rsid w:val="00200006"/>
    <w:rsid w:val="0020016D"/>
    <w:rsid w:val="0020030F"/>
    <w:rsid w:val="0020048E"/>
    <w:rsid w:val="00200507"/>
    <w:rsid w:val="002005F4"/>
    <w:rsid w:val="0020089B"/>
    <w:rsid w:val="002008FD"/>
    <w:rsid w:val="002009DC"/>
    <w:rsid w:val="00200A99"/>
    <w:rsid w:val="00200BC2"/>
    <w:rsid w:val="00200D09"/>
    <w:rsid w:val="00200D6B"/>
    <w:rsid w:val="00200DCC"/>
    <w:rsid w:val="002012A6"/>
    <w:rsid w:val="0020131A"/>
    <w:rsid w:val="002013D5"/>
    <w:rsid w:val="00201417"/>
    <w:rsid w:val="0020150A"/>
    <w:rsid w:val="0020186D"/>
    <w:rsid w:val="00201985"/>
    <w:rsid w:val="0020198A"/>
    <w:rsid w:val="00201DF3"/>
    <w:rsid w:val="00201FD2"/>
    <w:rsid w:val="002020CC"/>
    <w:rsid w:val="002021D3"/>
    <w:rsid w:val="0020245B"/>
    <w:rsid w:val="00202758"/>
    <w:rsid w:val="002028B0"/>
    <w:rsid w:val="00202ADA"/>
    <w:rsid w:val="00202BCA"/>
    <w:rsid w:val="00202E4F"/>
    <w:rsid w:val="002031E9"/>
    <w:rsid w:val="002033A2"/>
    <w:rsid w:val="0020347F"/>
    <w:rsid w:val="00203702"/>
    <w:rsid w:val="00203788"/>
    <w:rsid w:val="00203A48"/>
    <w:rsid w:val="00203ABA"/>
    <w:rsid w:val="00203B33"/>
    <w:rsid w:val="00203F05"/>
    <w:rsid w:val="00203F78"/>
    <w:rsid w:val="00203F91"/>
    <w:rsid w:val="00203FD6"/>
    <w:rsid w:val="002040F0"/>
    <w:rsid w:val="002043EA"/>
    <w:rsid w:val="00204552"/>
    <w:rsid w:val="00204738"/>
    <w:rsid w:val="00204740"/>
    <w:rsid w:val="00204ADA"/>
    <w:rsid w:val="00204F59"/>
    <w:rsid w:val="00205075"/>
    <w:rsid w:val="0020517A"/>
    <w:rsid w:val="00205282"/>
    <w:rsid w:val="0020559E"/>
    <w:rsid w:val="0020565C"/>
    <w:rsid w:val="00205679"/>
    <w:rsid w:val="0020595F"/>
    <w:rsid w:val="0020598B"/>
    <w:rsid w:val="00205C93"/>
    <w:rsid w:val="00205CC2"/>
    <w:rsid w:val="00205ECD"/>
    <w:rsid w:val="00205EFA"/>
    <w:rsid w:val="00205F9C"/>
    <w:rsid w:val="00206089"/>
    <w:rsid w:val="00206386"/>
    <w:rsid w:val="0020647E"/>
    <w:rsid w:val="00206525"/>
    <w:rsid w:val="00206629"/>
    <w:rsid w:val="002066EA"/>
    <w:rsid w:val="002068C0"/>
    <w:rsid w:val="00206B43"/>
    <w:rsid w:val="00206D36"/>
    <w:rsid w:val="00206FDB"/>
    <w:rsid w:val="0020712A"/>
    <w:rsid w:val="002071C6"/>
    <w:rsid w:val="002071D6"/>
    <w:rsid w:val="002071DE"/>
    <w:rsid w:val="002071E6"/>
    <w:rsid w:val="002071E7"/>
    <w:rsid w:val="0020747D"/>
    <w:rsid w:val="0020772E"/>
    <w:rsid w:val="00207834"/>
    <w:rsid w:val="00207867"/>
    <w:rsid w:val="002079E9"/>
    <w:rsid w:val="00207EC3"/>
    <w:rsid w:val="002100EA"/>
    <w:rsid w:val="00210115"/>
    <w:rsid w:val="0021015F"/>
    <w:rsid w:val="00210304"/>
    <w:rsid w:val="0021047B"/>
    <w:rsid w:val="002104A5"/>
    <w:rsid w:val="002104C6"/>
    <w:rsid w:val="00210A81"/>
    <w:rsid w:val="00210AA6"/>
    <w:rsid w:val="00210AAF"/>
    <w:rsid w:val="00210BEA"/>
    <w:rsid w:val="00210D98"/>
    <w:rsid w:val="00210EB0"/>
    <w:rsid w:val="00211037"/>
    <w:rsid w:val="00211059"/>
    <w:rsid w:val="002110D0"/>
    <w:rsid w:val="002110F5"/>
    <w:rsid w:val="00211202"/>
    <w:rsid w:val="00211459"/>
    <w:rsid w:val="00211974"/>
    <w:rsid w:val="00211A3E"/>
    <w:rsid w:val="00211AAE"/>
    <w:rsid w:val="00211CB9"/>
    <w:rsid w:val="00211CD5"/>
    <w:rsid w:val="00211D28"/>
    <w:rsid w:val="00211D4D"/>
    <w:rsid w:val="00211E81"/>
    <w:rsid w:val="002127C6"/>
    <w:rsid w:val="00212A44"/>
    <w:rsid w:val="00212E0F"/>
    <w:rsid w:val="00213068"/>
    <w:rsid w:val="00213177"/>
    <w:rsid w:val="0021337F"/>
    <w:rsid w:val="0021376F"/>
    <w:rsid w:val="002139EC"/>
    <w:rsid w:val="00213C7C"/>
    <w:rsid w:val="00213CA9"/>
    <w:rsid w:val="00213CC0"/>
    <w:rsid w:val="00213E03"/>
    <w:rsid w:val="00213EAF"/>
    <w:rsid w:val="0021412E"/>
    <w:rsid w:val="00214226"/>
    <w:rsid w:val="002144D2"/>
    <w:rsid w:val="002146C2"/>
    <w:rsid w:val="002147BB"/>
    <w:rsid w:val="00214A93"/>
    <w:rsid w:val="00214D6C"/>
    <w:rsid w:val="00214DC7"/>
    <w:rsid w:val="00214E1D"/>
    <w:rsid w:val="002150CF"/>
    <w:rsid w:val="002150D5"/>
    <w:rsid w:val="00215157"/>
    <w:rsid w:val="002154AB"/>
    <w:rsid w:val="00215B62"/>
    <w:rsid w:val="00215F36"/>
    <w:rsid w:val="00216150"/>
    <w:rsid w:val="002167EA"/>
    <w:rsid w:val="00216868"/>
    <w:rsid w:val="0021688C"/>
    <w:rsid w:val="00216B79"/>
    <w:rsid w:val="00216CEE"/>
    <w:rsid w:val="00216CF4"/>
    <w:rsid w:val="00216D03"/>
    <w:rsid w:val="00216E0E"/>
    <w:rsid w:val="00216E51"/>
    <w:rsid w:val="00216EA8"/>
    <w:rsid w:val="00216EEC"/>
    <w:rsid w:val="00216F88"/>
    <w:rsid w:val="00216F89"/>
    <w:rsid w:val="0021720E"/>
    <w:rsid w:val="002172B1"/>
    <w:rsid w:val="00217334"/>
    <w:rsid w:val="00217340"/>
    <w:rsid w:val="002173C5"/>
    <w:rsid w:val="00217422"/>
    <w:rsid w:val="002176DA"/>
    <w:rsid w:val="0021780A"/>
    <w:rsid w:val="002178FF"/>
    <w:rsid w:val="00217A85"/>
    <w:rsid w:val="00217B1B"/>
    <w:rsid w:val="00217BF0"/>
    <w:rsid w:val="00217DC7"/>
    <w:rsid w:val="00217F1D"/>
    <w:rsid w:val="00217F74"/>
    <w:rsid w:val="00217FF5"/>
    <w:rsid w:val="002202CE"/>
    <w:rsid w:val="002204DF"/>
    <w:rsid w:val="002208C7"/>
    <w:rsid w:val="00220D5A"/>
    <w:rsid w:val="002211B6"/>
    <w:rsid w:val="0022120C"/>
    <w:rsid w:val="00221251"/>
    <w:rsid w:val="00221474"/>
    <w:rsid w:val="00221480"/>
    <w:rsid w:val="00221851"/>
    <w:rsid w:val="00221A16"/>
    <w:rsid w:val="00221A77"/>
    <w:rsid w:val="00221B66"/>
    <w:rsid w:val="00221B72"/>
    <w:rsid w:val="00221CA2"/>
    <w:rsid w:val="00221FDA"/>
    <w:rsid w:val="00222645"/>
    <w:rsid w:val="00222957"/>
    <w:rsid w:val="002229EC"/>
    <w:rsid w:val="00222A7D"/>
    <w:rsid w:val="00222AFC"/>
    <w:rsid w:val="00222C48"/>
    <w:rsid w:val="0022336F"/>
    <w:rsid w:val="00223431"/>
    <w:rsid w:val="0022346A"/>
    <w:rsid w:val="00223624"/>
    <w:rsid w:val="00223675"/>
    <w:rsid w:val="00223725"/>
    <w:rsid w:val="002237C4"/>
    <w:rsid w:val="0022394F"/>
    <w:rsid w:val="002239D5"/>
    <w:rsid w:val="00223A81"/>
    <w:rsid w:val="00223D3F"/>
    <w:rsid w:val="00223F28"/>
    <w:rsid w:val="0022423A"/>
    <w:rsid w:val="002243A0"/>
    <w:rsid w:val="002243C5"/>
    <w:rsid w:val="0022445F"/>
    <w:rsid w:val="002245DD"/>
    <w:rsid w:val="0022480D"/>
    <w:rsid w:val="00224889"/>
    <w:rsid w:val="00224F68"/>
    <w:rsid w:val="00224FB5"/>
    <w:rsid w:val="00225015"/>
    <w:rsid w:val="0022501A"/>
    <w:rsid w:val="00225247"/>
    <w:rsid w:val="002254F0"/>
    <w:rsid w:val="002255AD"/>
    <w:rsid w:val="002255E6"/>
    <w:rsid w:val="002258D1"/>
    <w:rsid w:val="00225DC9"/>
    <w:rsid w:val="00225E71"/>
    <w:rsid w:val="00225E87"/>
    <w:rsid w:val="0022611D"/>
    <w:rsid w:val="002262C0"/>
    <w:rsid w:val="002263D2"/>
    <w:rsid w:val="002264B2"/>
    <w:rsid w:val="002264BF"/>
    <w:rsid w:val="002264C6"/>
    <w:rsid w:val="00226654"/>
    <w:rsid w:val="00226A36"/>
    <w:rsid w:val="00226AAD"/>
    <w:rsid w:val="00226B8B"/>
    <w:rsid w:val="00226CD5"/>
    <w:rsid w:val="00226E89"/>
    <w:rsid w:val="00226EBA"/>
    <w:rsid w:val="00227279"/>
    <w:rsid w:val="00227417"/>
    <w:rsid w:val="00227455"/>
    <w:rsid w:val="002274A4"/>
    <w:rsid w:val="002276CD"/>
    <w:rsid w:val="0022771E"/>
    <w:rsid w:val="002277EB"/>
    <w:rsid w:val="00227838"/>
    <w:rsid w:val="002278C4"/>
    <w:rsid w:val="002278CA"/>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BEC"/>
    <w:rsid w:val="00230C9E"/>
    <w:rsid w:val="00230D85"/>
    <w:rsid w:val="00231093"/>
    <w:rsid w:val="002310D7"/>
    <w:rsid w:val="00231209"/>
    <w:rsid w:val="00231250"/>
    <w:rsid w:val="0023138C"/>
    <w:rsid w:val="002315F3"/>
    <w:rsid w:val="00231654"/>
    <w:rsid w:val="00231820"/>
    <w:rsid w:val="002319EF"/>
    <w:rsid w:val="00231A1E"/>
    <w:rsid w:val="00231A39"/>
    <w:rsid w:val="00231BC6"/>
    <w:rsid w:val="00231F09"/>
    <w:rsid w:val="0023204F"/>
    <w:rsid w:val="0023205F"/>
    <w:rsid w:val="002320BD"/>
    <w:rsid w:val="00232664"/>
    <w:rsid w:val="00232685"/>
    <w:rsid w:val="00232ACA"/>
    <w:rsid w:val="00232BA3"/>
    <w:rsid w:val="00232BB1"/>
    <w:rsid w:val="00232BC6"/>
    <w:rsid w:val="00232C47"/>
    <w:rsid w:val="00232CD7"/>
    <w:rsid w:val="00233137"/>
    <w:rsid w:val="0023313F"/>
    <w:rsid w:val="002331CC"/>
    <w:rsid w:val="00233473"/>
    <w:rsid w:val="0023363D"/>
    <w:rsid w:val="00233CBA"/>
    <w:rsid w:val="00233DD0"/>
    <w:rsid w:val="00233EFA"/>
    <w:rsid w:val="00233F7E"/>
    <w:rsid w:val="0023417A"/>
    <w:rsid w:val="00234343"/>
    <w:rsid w:val="00234669"/>
    <w:rsid w:val="002346DF"/>
    <w:rsid w:val="00234996"/>
    <w:rsid w:val="00234C65"/>
    <w:rsid w:val="00234D44"/>
    <w:rsid w:val="00235131"/>
    <w:rsid w:val="0023516A"/>
    <w:rsid w:val="002351F9"/>
    <w:rsid w:val="00235567"/>
    <w:rsid w:val="00235591"/>
    <w:rsid w:val="00235A4D"/>
    <w:rsid w:val="00235A65"/>
    <w:rsid w:val="00235BDD"/>
    <w:rsid w:val="00235EF6"/>
    <w:rsid w:val="002361DA"/>
    <w:rsid w:val="002362AE"/>
    <w:rsid w:val="00236367"/>
    <w:rsid w:val="002365DD"/>
    <w:rsid w:val="00236612"/>
    <w:rsid w:val="002367FC"/>
    <w:rsid w:val="002369A0"/>
    <w:rsid w:val="00236B3D"/>
    <w:rsid w:val="00236D2D"/>
    <w:rsid w:val="00236DE5"/>
    <w:rsid w:val="00236E90"/>
    <w:rsid w:val="00236F40"/>
    <w:rsid w:val="00236F71"/>
    <w:rsid w:val="002370D4"/>
    <w:rsid w:val="00237263"/>
    <w:rsid w:val="002373B0"/>
    <w:rsid w:val="0023747F"/>
    <w:rsid w:val="00237498"/>
    <w:rsid w:val="00237602"/>
    <w:rsid w:val="00237745"/>
    <w:rsid w:val="002378B1"/>
    <w:rsid w:val="00237B72"/>
    <w:rsid w:val="0024009B"/>
    <w:rsid w:val="002400A4"/>
    <w:rsid w:val="002405E7"/>
    <w:rsid w:val="002406CE"/>
    <w:rsid w:val="002406FA"/>
    <w:rsid w:val="00240B53"/>
    <w:rsid w:val="00240BD7"/>
    <w:rsid w:val="00240CC7"/>
    <w:rsid w:val="0024112D"/>
    <w:rsid w:val="00241486"/>
    <w:rsid w:val="00241566"/>
    <w:rsid w:val="00241653"/>
    <w:rsid w:val="0024165C"/>
    <w:rsid w:val="0024169A"/>
    <w:rsid w:val="002416E0"/>
    <w:rsid w:val="0024187E"/>
    <w:rsid w:val="00241900"/>
    <w:rsid w:val="00241AF8"/>
    <w:rsid w:val="00241B2C"/>
    <w:rsid w:val="00241C63"/>
    <w:rsid w:val="00241EAF"/>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639"/>
    <w:rsid w:val="00243713"/>
    <w:rsid w:val="002439B5"/>
    <w:rsid w:val="00243D58"/>
    <w:rsid w:val="00243DDB"/>
    <w:rsid w:val="00243E60"/>
    <w:rsid w:val="00243EA4"/>
    <w:rsid w:val="00243F2E"/>
    <w:rsid w:val="00244101"/>
    <w:rsid w:val="0024430D"/>
    <w:rsid w:val="00244327"/>
    <w:rsid w:val="00244601"/>
    <w:rsid w:val="002446CF"/>
    <w:rsid w:val="00244817"/>
    <w:rsid w:val="00244858"/>
    <w:rsid w:val="0024489C"/>
    <w:rsid w:val="0024494B"/>
    <w:rsid w:val="00244A4A"/>
    <w:rsid w:val="00244F5B"/>
    <w:rsid w:val="002450CB"/>
    <w:rsid w:val="00245103"/>
    <w:rsid w:val="00245146"/>
    <w:rsid w:val="002451AB"/>
    <w:rsid w:val="002452D5"/>
    <w:rsid w:val="002452EF"/>
    <w:rsid w:val="0024534E"/>
    <w:rsid w:val="00245433"/>
    <w:rsid w:val="002456B1"/>
    <w:rsid w:val="002457C4"/>
    <w:rsid w:val="002458E7"/>
    <w:rsid w:val="00245DC8"/>
    <w:rsid w:val="00245EB1"/>
    <w:rsid w:val="00246021"/>
    <w:rsid w:val="002460CD"/>
    <w:rsid w:val="002462E4"/>
    <w:rsid w:val="00246431"/>
    <w:rsid w:val="0024646D"/>
    <w:rsid w:val="00246676"/>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50163"/>
    <w:rsid w:val="00250210"/>
    <w:rsid w:val="002504C4"/>
    <w:rsid w:val="00250669"/>
    <w:rsid w:val="0025076C"/>
    <w:rsid w:val="002507D2"/>
    <w:rsid w:val="002508B4"/>
    <w:rsid w:val="0025093B"/>
    <w:rsid w:val="0025099F"/>
    <w:rsid w:val="00250A96"/>
    <w:rsid w:val="00251105"/>
    <w:rsid w:val="0025119D"/>
    <w:rsid w:val="002517E6"/>
    <w:rsid w:val="002518A5"/>
    <w:rsid w:val="00251C4B"/>
    <w:rsid w:val="00251CDD"/>
    <w:rsid w:val="00251CE5"/>
    <w:rsid w:val="002520C9"/>
    <w:rsid w:val="00252186"/>
    <w:rsid w:val="002521BC"/>
    <w:rsid w:val="00252250"/>
    <w:rsid w:val="002522AD"/>
    <w:rsid w:val="00252619"/>
    <w:rsid w:val="0025277F"/>
    <w:rsid w:val="0025285A"/>
    <w:rsid w:val="00252BB0"/>
    <w:rsid w:val="00252C5C"/>
    <w:rsid w:val="00252DC8"/>
    <w:rsid w:val="00252E48"/>
    <w:rsid w:val="00252FCA"/>
    <w:rsid w:val="00253060"/>
    <w:rsid w:val="002530D4"/>
    <w:rsid w:val="002536CC"/>
    <w:rsid w:val="00253771"/>
    <w:rsid w:val="002537FD"/>
    <w:rsid w:val="00253915"/>
    <w:rsid w:val="00253BA3"/>
    <w:rsid w:val="00253EE1"/>
    <w:rsid w:val="00253F3B"/>
    <w:rsid w:val="0025411B"/>
    <w:rsid w:val="002542BE"/>
    <w:rsid w:val="0025434B"/>
    <w:rsid w:val="0025434C"/>
    <w:rsid w:val="0025456E"/>
    <w:rsid w:val="00254601"/>
    <w:rsid w:val="0025465F"/>
    <w:rsid w:val="00254819"/>
    <w:rsid w:val="00254A71"/>
    <w:rsid w:val="00254D70"/>
    <w:rsid w:val="00254F29"/>
    <w:rsid w:val="0025510B"/>
    <w:rsid w:val="00255147"/>
    <w:rsid w:val="00255201"/>
    <w:rsid w:val="002554C7"/>
    <w:rsid w:val="002554DC"/>
    <w:rsid w:val="002557AE"/>
    <w:rsid w:val="0025581C"/>
    <w:rsid w:val="00255CC9"/>
    <w:rsid w:val="00255D5A"/>
    <w:rsid w:val="00255D6A"/>
    <w:rsid w:val="00255E21"/>
    <w:rsid w:val="00256045"/>
    <w:rsid w:val="00256353"/>
    <w:rsid w:val="002563C8"/>
    <w:rsid w:val="002563F1"/>
    <w:rsid w:val="00256438"/>
    <w:rsid w:val="002564AC"/>
    <w:rsid w:val="00256575"/>
    <w:rsid w:val="002566BF"/>
    <w:rsid w:val="002566E0"/>
    <w:rsid w:val="002566F5"/>
    <w:rsid w:val="00256956"/>
    <w:rsid w:val="00256C30"/>
    <w:rsid w:val="00256CB3"/>
    <w:rsid w:val="00256D29"/>
    <w:rsid w:val="00256F00"/>
    <w:rsid w:val="00257128"/>
    <w:rsid w:val="002571B4"/>
    <w:rsid w:val="002573E6"/>
    <w:rsid w:val="00257A69"/>
    <w:rsid w:val="002600C8"/>
    <w:rsid w:val="00260203"/>
    <w:rsid w:val="00260357"/>
    <w:rsid w:val="002604BD"/>
    <w:rsid w:val="002605D3"/>
    <w:rsid w:val="002607A1"/>
    <w:rsid w:val="0026081C"/>
    <w:rsid w:val="0026082F"/>
    <w:rsid w:val="00260B94"/>
    <w:rsid w:val="00260D6B"/>
    <w:rsid w:val="00260FF8"/>
    <w:rsid w:val="002610F0"/>
    <w:rsid w:val="00261416"/>
    <w:rsid w:val="00261525"/>
    <w:rsid w:val="00261716"/>
    <w:rsid w:val="00261760"/>
    <w:rsid w:val="0026196A"/>
    <w:rsid w:val="00261B83"/>
    <w:rsid w:val="00261B88"/>
    <w:rsid w:val="00261F16"/>
    <w:rsid w:val="002623FB"/>
    <w:rsid w:val="00262445"/>
    <w:rsid w:val="0026247D"/>
    <w:rsid w:val="002624F5"/>
    <w:rsid w:val="00262531"/>
    <w:rsid w:val="002626CF"/>
    <w:rsid w:val="0026274B"/>
    <w:rsid w:val="0026294D"/>
    <w:rsid w:val="002629C6"/>
    <w:rsid w:val="00262AFB"/>
    <w:rsid w:val="00262B9E"/>
    <w:rsid w:val="00262C15"/>
    <w:rsid w:val="00262D17"/>
    <w:rsid w:val="00262DC8"/>
    <w:rsid w:val="00262F4B"/>
    <w:rsid w:val="002630EE"/>
    <w:rsid w:val="002630F2"/>
    <w:rsid w:val="00263220"/>
    <w:rsid w:val="00263313"/>
    <w:rsid w:val="00263651"/>
    <w:rsid w:val="00263793"/>
    <w:rsid w:val="002637ED"/>
    <w:rsid w:val="00263A68"/>
    <w:rsid w:val="00263C1D"/>
    <w:rsid w:val="00263D6F"/>
    <w:rsid w:val="0026405F"/>
    <w:rsid w:val="002640A1"/>
    <w:rsid w:val="002640D8"/>
    <w:rsid w:val="00264172"/>
    <w:rsid w:val="0026417B"/>
    <w:rsid w:val="002641AB"/>
    <w:rsid w:val="002641EF"/>
    <w:rsid w:val="00264741"/>
    <w:rsid w:val="0026476F"/>
    <w:rsid w:val="00264850"/>
    <w:rsid w:val="0026492E"/>
    <w:rsid w:val="00264B58"/>
    <w:rsid w:val="00264C78"/>
    <w:rsid w:val="00265078"/>
    <w:rsid w:val="0026560F"/>
    <w:rsid w:val="0026565E"/>
    <w:rsid w:val="002657BD"/>
    <w:rsid w:val="00265982"/>
    <w:rsid w:val="00265A98"/>
    <w:rsid w:val="00265B31"/>
    <w:rsid w:val="00265BD7"/>
    <w:rsid w:val="00265D1E"/>
    <w:rsid w:val="00265D9C"/>
    <w:rsid w:val="00265E60"/>
    <w:rsid w:val="002661B8"/>
    <w:rsid w:val="00266335"/>
    <w:rsid w:val="00266356"/>
    <w:rsid w:val="00266393"/>
    <w:rsid w:val="00266913"/>
    <w:rsid w:val="002669AE"/>
    <w:rsid w:val="00266A9A"/>
    <w:rsid w:val="00266E6F"/>
    <w:rsid w:val="00266EB0"/>
    <w:rsid w:val="0026701F"/>
    <w:rsid w:val="0026718E"/>
    <w:rsid w:val="00267292"/>
    <w:rsid w:val="002672D8"/>
    <w:rsid w:val="0026768C"/>
    <w:rsid w:val="002676B4"/>
    <w:rsid w:val="00267826"/>
    <w:rsid w:val="00267945"/>
    <w:rsid w:val="00267A58"/>
    <w:rsid w:val="00267AF7"/>
    <w:rsid w:val="00267C27"/>
    <w:rsid w:val="00267E13"/>
    <w:rsid w:val="00267E6D"/>
    <w:rsid w:val="0027018F"/>
    <w:rsid w:val="0027038E"/>
    <w:rsid w:val="00270442"/>
    <w:rsid w:val="00270571"/>
    <w:rsid w:val="00270876"/>
    <w:rsid w:val="002708CB"/>
    <w:rsid w:val="00270BD3"/>
    <w:rsid w:val="00270C4E"/>
    <w:rsid w:val="00270D35"/>
    <w:rsid w:val="00270DCC"/>
    <w:rsid w:val="00270ED0"/>
    <w:rsid w:val="00270F10"/>
    <w:rsid w:val="002712BE"/>
    <w:rsid w:val="002717A4"/>
    <w:rsid w:val="002717AD"/>
    <w:rsid w:val="0027193C"/>
    <w:rsid w:val="00271B49"/>
    <w:rsid w:val="002720E8"/>
    <w:rsid w:val="00272179"/>
    <w:rsid w:val="002722BF"/>
    <w:rsid w:val="002722F2"/>
    <w:rsid w:val="00272956"/>
    <w:rsid w:val="00272B3B"/>
    <w:rsid w:val="00272BE8"/>
    <w:rsid w:val="00272EFD"/>
    <w:rsid w:val="00272FB3"/>
    <w:rsid w:val="00273051"/>
    <w:rsid w:val="0027358F"/>
    <w:rsid w:val="00273637"/>
    <w:rsid w:val="00273981"/>
    <w:rsid w:val="00273B83"/>
    <w:rsid w:val="0027426F"/>
    <w:rsid w:val="002743AC"/>
    <w:rsid w:val="00274428"/>
    <w:rsid w:val="00274516"/>
    <w:rsid w:val="00274569"/>
    <w:rsid w:val="0027461F"/>
    <w:rsid w:val="00274694"/>
    <w:rsid w:val="00274824"/>
    <w:rsid w:val="0027482F"/>
    <w:rsid w:val="00274910"/>
    <w:rsid w:val="00274979"/>
    <w:rsid w:val="002749B0"/>
    <w:rsid w:val="002749CA"/>
    <w:rsid w:val="00274B21"/>
    <w:rsid w:val="00274B85"/>
    <w:rsid w:val="00274E1D"/>
    <w:rsid w:val="00274F04"/>
    <w:rsid w:val="0027547F"/>
    <w:rsid w:val="002756E6"/>
    <w:rsid w:val="002757B5"/>
    <w:rsid w:val="002757EA"/>
    <w:rsid w:val="0027583B"/>
    <w:rsid w:val="00275AA2"/>
    <w:rsid w:val="00275DBF"/>
    <w:rsid w:val="00275E2E"/>
    <w:rsid w:val="00275EC7"/>
    <w:rsid w:val="00275F72"/>
    <w:rsid w:val="00275F95"/>
    <w:rsid w:val="0027614B"/>
    <w:rsid w:val="002764FB"/>
    <w:rsid w:val="0027659C"/>
    <w:rsid w:val="002765F3"/>
    <w:rsid w:val="00276998"/>
    <w:rsid w:val="00276BC0"/>
    <w:rsid w:val="00276F86"/>
    <w:rsid w:val="0027700F"/>
    <w:rsid w:val="0027707B"/>
    <w:rsid w:val="0027719F"/>
    <w:rsid w:val="002771B0"/>
    <w:rsid w:val="002773FC"/>
    <w:rsid w:val="0027767A"/>
    <w:rsid w:val="00277853"/>
    <w:rsid w:val="00277A66"/>
    <w:rsid w:val="00277A91"/>
    <w:rsid w:val="00277B1A"/>
    <w:rsid w:val="00277B23"/>
    <w:rsid w:val="00277BEB"/>
    <w:rsid w:val="00277ED5"/>
    <w:rsid w:val="00277EF7"/>
    <w:rsid w:val="00277FD9"/>
    <w:rsid w:val="00280126"/>
    <w:rsid w:val="002803AF"/>
    <w:rsid w:val="0028075F"/>
    <w:rsid w:val="002808E6"/>
    <w:rsid w:val="00280BB2"/>
    <w:rsid w:val="00280D5B"/>
    <w:rsid w:val="00280E6A"/>
    <w:rsid w:val="0028123B"/>
    <w:rsid w:val="0028130A"/>
    <w:rsid w:val="00281375"/>
    <w:rsid w:val="00281660"/>
    <w:rsid w:val="002817BD"/>
    <w:rsid w:val="00281ACB"/>
    <w:rsid w:val="00281CE9"/>
    <w:rsid w:val="00281EC9"/>
    <w:rsid w:val="00282057"/>
    <w:rsid w:val="0028208B"/>
    <w:rsid w:val="00282170"/>
    <w:rsid w:val="00282565"/>
    <w:rsid w:val="00282834"/>
    <w:rsid w:val="00282B08"/>
    <w:rsid w:val="00283388"/>
    <w:rsid w:val="00283592"/>
    <w:rsid w:val="00283606"/>
    <w:rsid w:val="0028386B"/>
    <w:rsid w:val="00283871"/>
    <w:rsid w:val="0028389E"/>
    <w:rsid w:val="00283A5B"/>
    <w:rsid w:val="00283D7A"/>
    <w:rsid w:val="00283F43"/>
    <w:rsid w:val="0028418B"/>
    <w:rsid w:val="0028427D"/>
    <w:rsid w:val="002843B8"/>
    <w:rsid w:val="002846BE"/>
    <w:rsid w:val="0028473C"/>
    <w:rsid w:val="00284749"/>
    <w:rsid w:val="00284A6C"/>
    <w:rsid w:val="00284AFB"/>
    <w:rsid w:val="00284CE3"/>
    <w:rsid w:val="00284EAD"/>
    <w:rsid w:val="00284F8E"/>
    <w:rsid w:val="00284FD6"/>
    <w:rsid w:val="0028510C"/>
    <w:rsid w:val="00285788"/>
    <w:rsid w:val="0028578F"/>
    <w:rsid w:val="002858BE"/>
    <w:rsid w:val="00285C29"/>
    <w:rsid w:val="00285C58"/>
    <w:rsid w:val="00285E13"/>
    <w:rsid w:val="00285EC5"/>
    <w:rsid w:val="002860F7"/>
    <w:rsid w:val="00286290"/>
    <w:rsid w:val="002863A5"/>
    <w:rsid w:val="00286503"/>
    <w:rsid w:val="00286657"/>
    <w:rsid w:val="002868AF"/>
    <w:rsid w:val="00286904"/>
    <w:rsid w:val="00286AC9"/>
    <w:rsid w:val="00286F2C"/>
    <w:rsid w:val="00286F6D"/>
    <w:rsid w:val="0028748F"/>
    <w:rsid w:val="002877A1"/>
    <w:rsid w:val="002878A4"/>
    <w:rsid w:val="00287B07"/>
    <w:rsid w:val="00287D45"/>
    <w:rsid w:val="00287DD7"/>
    <w:rsid w:val="002901BD"/>
    <w:rsid w:val="0029027A"/>
    <w:rsid w:val="002902EF"/>
    <w:rsid w:val="00290357"/>
    <w:rsid w:val="002903A4"/>
    <w:rsid w:val="00290536"/>
    <w:rsid w:val="002908C8"/>
    <w:rsid w:val="00290905"/>
    <w:rsid w:val="00290A6E"/>
    <w:rsid w:val="00290BE1"/>
    <w:rsid w:val="00290BF5"/>
    <w:rsid w:val="00290C30"/>
    <w:rsid w:val="00290C7A"/>
    <w:rsid w:val="00291104"/>
    <w:rsid w:val="00291182"/>
    <w:rsid w:val="00291553"/>
    <w:rsid w:val="00291889"/>
    <w:rsid w:val="00291DBE"/>
    <w:rsid w:val="00291E21"/>
    <w:rsid w:val="00291F97"/>
    <w:rsid w:val="00291FA8"/>
    <w:rsid w:val="0029224F"/>
    <w:rsid w:val="002922C1"/>
    <w:rsid w:val="0029261D"/>
    <w:rsid w:val="00292641"/>
    <w:rsid w:val="002928F8"/>
    <w:rsid w:val="00292ADB"/>
    <w:rsid w:val="00292C7A"/>
    <w:rsid w:val="00292CC7"/>
    <w:rsid w:val="00292CFB"/>
    <w:rsid w:val="00292DFA"/>
    <w:rsid w:val="00293020"/>
    <w:rsid w:val="00293307"/>
    <w:rsid w:val="00293483"/>
    <w:rsid w:val="002934E5"/>
    <w:rsid w:val="002936AC"/>
    <w:rsid w:val="002936D0"/>
    <w:rsid w:val="002937F3"/>
    <w:rsid w:val="0029389C"/>
    <w:rsid w:val="00293C51"/>
    <w:rsid w:val="00293DDC"/>
    <w:rsid w:val="0029401B"/>
    <w:rsid w:val="00294041"/>
    <w:rsid w:val="002943F7"/>
    <w:rsid w:val="00294687"/>
    <w:rsid w:val="0029483C"/>
    <w:rsid w:val="00294914"/>
    <w:rsid w:val="00294A0E"/>
    <w:rsid w:val="00294C06"/>
    <w:rsid w:val="00294C3F"/>
    <w:rsid w:val="00294D9E"/>
    <w:rsid w:val="00294EA3"/>
    <w:rsid w:val="002951E4"/>
    <w:rsid w:val="00295335"/>
    <w:rsid w:val="0029571C"/>
    <w:rsid w:val="0029571E"/>
    <w:rsid w:val="00295896"/>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B54"/>
    <w:rsid w:val="00296D14"/>
    <w:rsid w:val="00296D7E"/>
    <w:rsid w:val="00296E2D"/>
    <w:rsid w:val="0029717A"/>
    <w:rsid w:val="002973FE"/>
    <w:rsid w:val="00297484"/>
    <w:rsid w:val="002975AB"/>
    <w:rsid w:val="002975B6"/>
    <w:rsid w:val="0029782A"/>
    <w:rsid w:val="00297A7E"/>
    <w:rsid w:val="00297C9D"/>
    <w:rsid w:val="00297E91"/>
    <w:rsid w:val="00297FDF"/>
    <w:rsid w:val="002A00C6"/>
    <w:rsid w:val="002A0431"/>
    <w:rsid w:val="002A06A3"/>
    <w:rsid w:val="002A0802"/>
    <w:rsid w:val="002A0890"/>
    <w:rsid w:val="002A0BF1"/>
    <w:rsid w:val="002A0D08"/>
    <w:rsid w:val="002A0D82"/>
    <w:rsid w:val="002A0F6B"/>
    <w:rsid w:val="002A0FA8"/>
    <w:rsid w:val="002A1018"/>
    <w:rsid w:val="002A121F"/>
    <w:rsid w:val="002A1363"/>
    <w:rsid w:val="002A14EF"/>
    <w:rsid w:val="002A15E1"/>
    <w:rsid w:val="002A1ABF"/>
    <w:rsid w:val="002A1B55"/>
    <w:rsid w:val="002A1B5D"/>
    <w:rsid w:val="002A1D9D"/>
    <w:rsid w:val="002A1E66"/>
    <w:rsid w:val="002A1F2E"/>
    <w:rsid w:val="002A212F"/>
    <w:rsid w:val="002A232E"/>
    <w:rsid w:val="002A233D"/>
    <w:rsid w:val="002A25EB"/>
    <w:rsid w:val="002A26D1"/>
    <w:rsid w:val="002A28AA"/>
    <w:rsid w:val="002A2940"/>
    <w:rsid w:val="002A294D"/>
    <w:rsid w:val="002A2BED"/>
    <w:rsid w:val="002A2C8D"/>
    <w:rsid w:val="002A2D06"/>
    <w:rsid w:val="002A2D21"/>
    <w:rsid w:val="002A2DAA"/>
    <w:rsid w:val="002A2E6F"/>
    <w:rsid w:val="002A2F95"/>
    <w:rsid w:val="002A2FEE"/>
    <w:rsid w:val="002A3012"/>
    <w:rsid w:val="002A309F"/>
    <w:rsid w:val="002A321D"/>
    <w:rsid w:val="002A335C"/>
    <w:rsid w:val="002A34A5"/>
    <w:rsid w:val="002A3574"/>
    <w:rsid w:val="002A35B5"/>
    <w:rsid w:val="002A3617"/>
    <w:rsid w:val="002A3763"/>
    <w:rsid w:val="002A38A1"/>
    <w:rsid w:val="002A3A79"/>
    <w:rsid w:val="002A3D07"/>
    <w:rsid w:val="002A3E8C"/>
    <w:rsid w:val="002A3F2D"/>
    <w:rsid w:val="002A403E"/>
    <w:rsid w:val="002A4143"/>
    <w:rsid w:val="002A43E7"/>
    <w:rsid w:val="002A44F1"/>
    <w:rsid w:val="002A470C"/>
    <w:rsid w:val="002A4729"/>
    <w:rsid w:val="002A479A"/>
    <w:rsid w:val="002A47AF"/>
    <w:rsid w:val="002A47C8"/>
    <w:rsid w:val="002A491B"/>
    <w:rsid w:val="002A4E64"/>
    <w:rsid w:val="002A4E8C"/>
    <w:rsid w:val="002A4EA7"/>
    <w:rsid w:val="002A502F"/>
    <w:rsid w:val="002A5363"/>
    <w:rsid w:val="002A53BF"/>
    <w:rsid w:val="002A5574"/>
    <w:rsid w:val="002A5608"/>
    <w:rsid w:val="002A5637"/>
    <w:rsid w:val="002A5A85"/>
    <w:rsid w:val="002A5A9D"/>
    <w:rsid w:val="002A5B49"/>
    <w:rsid w:val="002A6163"/>
    <w:rsid w:val="002A634C"/>
    <w:rsid w:val="002A645B"/>
    <w:rsid w:val="002A64B7"/>
    <w:rsid w:val="002A650E"/>
    <w:rsid w:val="002A65A5"/>
    <w:rsid w:val="002A6816"/>
    <w:rsid w:val="002A6824"/>
    <w:rsid w:val="002A6896"/>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7A1"/>
    <w:rsid w:val="002A77CA"/>
    <w:rsid w:val="002A787E"/>
    <w:rsid w:val="002A79B3"/>
    <w:rsid w:val="002A7AA9"/>
    <w:rsid w:val="002A7B45"/>
    <w:rsid w:val="002A7B66"/>
    <w:rsid w:val="002A7B72"/>
    <w:rsid w:val="002A7B8A"/>
    <w:rsid w:val="002A7C14"/>
    <w:rsid w:val="002A7C8F"/>
    <w:rsid w:val="002A7D33"/>
    <w:rsid w:val="002A7D60"/>
    <w:rsid w:val="002A7F89"/>
    <w:rsid w:val="002B00BC"/>
    <w:rsid w:val="002B06D4"/>
    <w:rsid w:val="002B0790"/>
    <w:rsid w:val="002B082F"/>
    <w:rsid w:val="002B0ACA"/>
    <w:rsid w:val="002B0BBB"/>
    <w:rsid w:val="002B0CCF"/>
    <w:rsid w:val="002B0D0B"/>
    <w:rsid w:val="002B14B7"/>
    <w:rsid w:val="002B1504"/>
    <w:rsid w:val="002B17CC"/>
    <w:rsid w:val="002B19F6"/>
    <w:rsid w:val="002B1B2C"/>
    <w:rsid w:val="002B1C5F"/>
    <w:rsid w:val="002B1CC9"/>
    <w:rsid w:val="002B1FEE"/>
    <w:rsid w:val="002B2222"/>
    <w:rsid w:val="002B2385"/>
    <w:rsid w:val="002B257B"/>
    <w:rsid w:val="002B284C"/>
    <w:rsid w:val="002B2949"/>
    <w:rsid w:val="002B2966"/>
    <w:rsid w:val="002B299E"/>
    <w:rsid w:val="002B2BAC"/>
    <w:rsid w:val="002B3028"/>
    <w:rsid w:val="002B30CC"/>
    <w:rsid w:val="002B3241"/>
    <w:rsid w:val="002B33C9"/>
    <w:rsid w:val="002B3549"/>
    <w:rsid w:val="002B35B9"/>
    <w:rsid w:val="002B38AC"/>
    <w:rsid w:val="002B39B8"/>
    <w:rsid w:val="002B3BA4"/>
    <w:rsid w:val="002B3C51"/>
    <w:rsid w:val="002B3D9C"/>
    <w:rsid w:val="002B3DF7"/>
    <w:rsid w:val="002B4299"/>
    <w:rsid w:val="002B43B0"/>
    <w:rsid w:val="002B443D"/>
    <w:rsid w:val="002B4452"/>
    <w:rsid w:val="002B475E"/>
    <w:rsid w:val="002B4A2E"/>
    <w:rsid w:val="002B4A88"/>
    <w:rsid w:val="002B4E0A"/>
    <w:rsid w:val="002B5190"/>
    <w:rsid w:val="002B55EE"/>
    <w:rsid w:val="002B573C"/>
    <w:rsid w:val="002B5753"/>
    <w:rsid w:val="002B58B9"/>
    <w:rsid w:val="002B592A"/>
    <w:rsid w:val="002B5D6A"/>
    <w:rsid w:val="002B5F70"/>
    <w:rsid w:val="002B60D7"/>
    <w:rsid w:val="002B60E6"/>
    <w:rsid w:val="002B629B"/>
    <w:rsid w:val="002B635E"/>
    <w:rsid w:val="002B6690"/>
    <w:rsid w:val="002B6DF8"/>
    <w:rsid w:val="002B6E74"/>
    <w:rsid w:val="002B6FA1"/>
    <w:rsid w:val="002B715E"/>
    <w:rsid w:val="002B72CB"/>
    <w:rsid w:val="002B7593"/>
    <w:rsid w:val="002B761B"/>
    <w:rsid w:val="002B795D"/>
    <w:rsid w:val="002B7A85"/>
    <w:rsid w:val="002B7AD0"/>
    <w:rsid w:val="002B7B9A"/>
    <w:rsid w:val="002B7CAB"/>
    <w:rsid w:val="002B7CCA"/>
    <w:rsid w:val="002B7D73"/>
    <w:rsid w:val="002B7F5D"/>
    <w:rsid w:val="002B7F95"/>
    <w:rsid w:val="002C01C8"/>
    <w:rsid w:val="002C05A1"/>
    <w:rsid w:val="002C05A9"/>
    <w:rsid w:val="002C0611"/>
    <w:rsid w:val="002C0654"/>
    <w:rsid w:val="002C0753"/>
    <w:rsid w:val="002C0936"/>
    <w:rsid w:val="002C0938"/>
    <w:rsid w:val="002C09C2"/>
    <w:rsid w:val="002C0AE3"/>
    <w:rsid w:val="002C0F62"/>
    <w:rsid w:val="002C1171"/>
    <w:rsid w:val="002C1204"/>
    <w:rsid w:val="002C12C3"/>
    <w:rsid w:val="002C13B2"/>
    <w:rsid w:val="002C144C"/>
    <w:rsid w:val="002C1521"/>
    <w:rsid w:val="002C17D0"/>
    <w:rsid w:val="002C1816"/>
    <w:rsid w:val="002C18B1"/>
    <w:rsid w:val="002C18E2"/>
    <w:rsid w:val="002C1981"/>
    <w:rsid w:val="002C19B9"/>
    <w:rsid w:val="002C1B9B"/>
    <w:rsid w:val="002C1C30"/>
    <w:rsid w:val="002C1D67"/>
    <w:rsid w:val="002C1E60"/>
    <w:rsid w:val="002C1ED8"/>
    <w:rsid w:val="002C1FA6"/>
    <w:rsid w:val="002C1FF1"/>
    <w:rsid w:val="002C206E"/>
    <w:rsid w:val="002C220D"/>
    <w:rsid w:val="002C23AD"/>
    <w:rsid w:val="002C2421"/>
    <w:rsid w:val="002C24FD"/>
    <w:rsid w:val="002C26A5"/>
    <w:rsid w:val="002C2876"/>
    <w:rsid w:val="002C295E"/>
    <w:rsid w:val="002C29BC"/>
    <w:rsid w:val="002C2B21"/>
    <w:rsid w:val="002C2EC7"/>
    <w:rsid w:val="002C31B4"/>
    <w:rsid w:val="002C31DD"/>
    <w:rsid w:val="002C32C4"/>
    <w:rsid w:val="002C334C"/>
    <w:rsid w:val="002C3606"/>
    <w:rsid w:val="002C365A"/>
    <w:rsid w:val="002C3762"/>
    <w:rsid w:val="002C3775"/>
    <w:rsid w:val="002C37E3"/>
    <w:rsid w:val="002C3A51"/>
    <w:rsid w:val="002C3D67"/>
    <w:rsid w:val="002C3EC1"/>
    <w:rsid w:val="002C3FB7"/>
    <w:rsid w:val="002C4192"/>
    <w:rsid w:val="002C4459"/>
    <w:rsid w:val="002C44A9"/>
    <w:rsid w:val="002C44E6"/>
    <w:rsid w:val="002C4696"/>
    <w:rsid w:val="002C4916"/>
    <w:rsid w:val="002C4917"/>
    <w:rsid w:val="002C496A"/>
    <w:rsid w:val="002C49B2"/>
    <w:rsid w:val="002C4FAC"/>
    <w:rsid w:val="002C5160"/>
    <w:rsid w:val="002C5259"/>
    <w:rsid w:val="002C528C"/>
    <w:rsid w:val="002C5292"/>
    <w:rsid w:val="002C54C6"/>
    <w:rsid w:val="002C54E8"/>
    <w:rsid w:val="002C550E"/>
    <w:rsid w:val="002C565C"/>
    <w:rsid w:val="002C5A8A"/>
    <w:rsid w:val="002C5ABA"/>
    <w:rsid w:val="002C5B91"/>
    <w:rsid w:val="002C5BBF"/>
    <w:rsid w:val="002C5E41"/>
    <w:rsid w:val="002C6052"/>
    <w:rsid w:val="002C611F"/>
    <w:rsid w:val="002C6173"/>
    <w:rsid w:val="002C6198"/>
    <w:rsid w:val="002C6216"/>
    <w:rsid w:val="002C6373"/>
    <w:rsid w:val="002C6709"/>
    <w:rsid w:val="002C67F6"/>
    <w:rsid w:val="002C6984"/>
    <w:rsid w:val="002C6B13"/>
    <w:rsid w:val="002C6C49"/>
    <w:rsid w:val="002C6D44"/>
    <w:rsid w:val="002C6D64"/>
    <w:rsid w:val="002C6DB9"/>
    <w:rsid w:val="002C6DDD"/>
    <w:rsid w:val="002C708F"/>
    <w:rsid w:val="002C73A4"/>
    <w:rsid w:val="002C73D8"/>
    <w:rsid w:val="002C7704"/>
    <w:rsid w:val="002C7B1D"/>
    <w:rsid w:val="002C7BAF"/>
    <w:rsid w:val="002C7FA8"/>
    <w:rsid w:val="002D022F"/>
    <w:rsid w:val="002D032C"/>
    <w:rsid w:val="002D0367"/>
    <w:rsid w:val="002D03E1"/>
    <w:rsid w:val="002D0554"/>
    <w:rsid w:val="002D06C7"/>
    <w:rsid w:val="002D0B6F"/>
    <w:rsid w:val="002D0D6C"/>
    <w:rsid w:val="002D0E3A"/>
    <w:rsid w:val="002D0E48"/>
    <w:rsid w:val="002D0EE9"/>
    <w:rsid w:val="002D12EB"/>
    <w:rsid w:val="002D1473"/>
    <w:rsid w:val="002D14C7"/>
    <w:rsid w:val="002D1647"/>
    <w:rsid w:val="002D166D"/>
    <w:rsid w:val="002D1BB5"/>
    <w:rsid w:val="002D1CD4"/>
    <w:rsid w:val="002D1DE6"/>
    <w:rsid w:val="002D1E26"/>
    <w:rsid w:val="002D1FCC"/>
    <w:rsid w:val="002D2212"/>
    <w:rsid w:val="002D2233"/>
    <w:rsid w:val="002D228A"/>
    <w:rsid w:val="002D2538"/>
    <w:rsid w:val="002D273E"/>
    <w:rsid w:val="002D276B"/>
    <w:rsid w:val="002D27EB"/>
    <w:rsid w:val="002D2842"/>
    <w:rsid w:val="002D296A"/>
    <w:rsid w:val="002D2AB1"/>
    <w:rsid w:val="002D2B58"/>
    <w:rsid w:val="002D2BF7"/>
    <w:rsid w:val="002D2CBD"/>
    <w:rsid w:val="002D2D7A"/>
    <w:rsid w:val="002D2DFD"/>
    <w:rsid w:val="002D3335"/>
    <w:rsid w:val="002D33A3"/>
    <w:rsid w:val="002D33EA"/>
    <w:rsid w:val="002D3463"/>
    <w:rsid w:val="002D3544"/>
    <w:rsid w:val="002D35F6"/>
    <w:rsid w:val="002D3653"/>
    <w:rsid w:val="002D39A3"/>
    <w:rsid w:val="002D3AE8"/>
    <w:rsid w:val="002D3B6C"/>
    <w:rsid w:val="002D3CCD"/>
    <w:rsid w:val="002D3D09"/>
    <w:rsid w:val="002D3E66"/>
    <w:rsid w:val="002D3F07"/>
    <w:rsid w:val="002D4057"/>
    <w:rsid w:val="002D413C"/>
    <w:rsid w:val="002D42BC"/>
    <w:rsid w:val="002D4343"/>
    <w:rsid w:val="002D436F"/>
    <w:rsid w:val="002D4413"/>
    <w:rsid w:val="002D48A4"/>
    <w:rsid w:val="002D4BEE"/>
    <w:rsid w:val="002D4C2D"/>
    <w:rsid w:val="002D4E96"/>
    <w:rsid w:val="002D4F07"/>
    <w:rsid w:val="002D4F17"/>
    <w:rsid w:val="002D4F93"/>
    <w:rsid w:val="002D51A9"/>
    <w:rsid w:val="002D5567"/>
    <w:rsid w:val="002D583B"/>
    <w:rsid w:val="002D599C"/>
    <w:rsid w:val="002D5A15"/>
    <w:rsid w:val="002D5B51"/>
    <w:rsid w:val="002D5F6B"/>
    <w:rsid w:val="002D6113"/>
    <w:rsid w:val="002D6173"/>
    <w:rsid w:val="002D6234"/>
    <w:rsid w:val="002D631F"/>
    <w:rsid w:val="002D6372"/>
    <w:rsid w:val="002D63A6"/>
    <w:rsid w:val="002D680F"/>
    <w:rsid w:val="002D6AC0"/>
    <w:rsid w:val="002D6B80"/>
    <w:rsid w:val="002D6CF8"/>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58B"/>
    <w:rsid w:val="002E0C4D"/>
    <w:rsid w:val="002E0C6C"/>
    <w:rsid w:val="002E0DAD"/>
    <w:rsid w:val="002E0FA6"/>
    <w:rsid w:val="002E138F"/>
    <w:rsid w:val="002E1669"/>
    <w:rsid w:val="002E1850"/>
    <w:rsid w:val="002E18FF"/>
    <w:rsid w:val="002E1AAC"/>
    <w:rsid w:val="002E1AD2"/>
    <w:rsid w:val="002E1CD8"/>
    <w:rsid w:val="002E1D19"/>
    <w:rsid w:val="002E1E51"/>
    <w:rsid w:val="002E1FBF"/>
    <w:rsid w:val="002E209F"/>
    <w:rsid w:val="002E215B"/>
    <w:rsid w:val="002E25A2"/>
    <w:rsid w:val="002E25BA"/>
    <w:rsid w:val="002E25EE"/>
    <w:rsid w:val="002E292F"/>
    <w:rsid w:val="002E2CB1"/>
    <w:rsid w:val="002E2D29"/>
    <w:rsid w:val="002E2DF3"/>
    <w:rsid w:val="002E2ECB"/>
    <w:rsid w:val="002E3080"/>
    <w:rsid w:val="002E3111"/>
    <w:rsid w:val="002E3358"/>
    <w:rsid w:val="002E344E"/>
    <w:rsid w:val="002E345C"/>
    <w:rsid w:val="002E38AB"/>
    <w:rsid w:val="002E38EE"/>
    <w:rsid w:val="002E3A5A"/>
    <w:rsid w:val="002E3A9E"/>
    <w:rsid w:val="002E3E01"/>
    <w:rsid w:val="002E3EAD"/>
    <w:rsid w:val="002E3EB9"/>
    <w:rsid w:val="002E3EDC"/>
    <w:rsid w:val="002E3FB4"/>
    <w:rsid w:val="002E3FE9"/>
    <w:rsid w:val="002E40F4"/>
    <w:rsid w:val="002E42C8"/>
    <w:rsid w:val="002E4488"/>
    <w:rsid w:val="002E4730"/>
    <w:rsid w:val="002E47F2"/>
    <w:rsid w:val="002E4A47"/>
    <w:rsid w:val="002E4B0E"/>
    <w:rsid w:val="002E4C92"/>
    <w:rsid w:val="002E4F0F"/>
    <w:rsid w:val="002E51EE"/>
    <w:rsid w:val="002E5647"/>
    <w:rsid w:val="002E5748"/>
    <w:rsid w:val="002E576D"/>
    <w:rsid w:val="002E5978"/>
    <w:rsid w:val="002E5A03"/>
    <w:rsid w:val="002E5AEB"/>
    <w:rsid w:val="002E5B60"/>
    <w:rsid w:val="002E5BC9"/>
    <w:rsid w:val="002E5D32"/>
    <w:rsid w:val="002E632D"/>
    <w:rsid w:val="002E641D"/>
    <w:rsid w:val="002E6460"/>
    <w:rsid w:val="002E6503"/>
    <w:rsid w:val="002E67E2"/>
    <w:rsid w:val="002E686E"/>
    <w:rsid w:val="002E6B17"/>
    <w:rsid w:val="002E6B1B"/>
    <w:rsid w:val="002E6B89"/>
    <w:rsid w:val="002E6BEA"/>
    <w:rsid w:val="002E6E88"/>
    <w:rsid w:val="002E70D1"/>
    <w:rsid w:val="002E7231"/>
    <w:rsid w:val="002E7260"/>
    <w:rsid w:val="002E7586"/>
    <w:rsid w:val="002E75CC"/>
    <w:rsid w:val="002E7909"/>
    <w:rsid w:val="002E7A00"/>
    <w:rsid w:val="002E7AC9"/>
    <w:rsid w:val="002E7C61"/>
    <w:rsid w:val="002E7CBE"/>
    <w:rsid w:val="002E7DBB"/>
    <w:rsid w:val="002E7E6F"/>
    <w:rsid w:val="002F03A1"/>
    <w:rsid w:val="002F0532"/>
    <w:rsid w:val="002F067A"/>
    <w:rsid w:val="002F08B7"/>
    <w:rsid w:val="002F0AF1"/>
    <w:rsid w:val="002F0EB2"/>
    <w:rsid w:val="002F10E5"/>
    <w:rsid w:val="002F1133"/>
    <w:rsid w:val="002F1350"/>
    <w:rsid w:val="002F15A7"/>
    <w:rsid w:val="002F15F6"/>
    <w:rsid w:val="002F1A02"/>
    <w:rsid w:val="002F1CCD"/>
    <w:rsid w:val="002F1F0B"/>
    <w:rsid w:val="002F1F2D"/>
    <w:rsid w:val="002F1FD6"/>
    <w:rsid w:val="002F225D"/>
    <w:rsid w:val="002F22C9"/>
    <w:rsid w:val="002F23B9"/>
    <w:rsid w:val="002F27FF"/>
    <w:rsid w:val="002F2925"/>
    <w:rsid w:val="002F2B35"/>
    <w:rsid w:val="002F2C3C"/>
    <w:rsid w:val="002F2CBC"/>
    <w:rsid w:val="002F2D60"/>
    <w:rsid w:val="002F2D8C"/>
    <w:rsid w:val="002F2F23"/>
    <w:rsid w:val="002F2FB4"/>
    <w:rsid w:val="002F2FB8"/>
    <w:rsid w:val="002F3077"/>
    <w:rsid w:val="002F310F"/>
    <w:rsid w:val="002F3637"/>
    <w:rsid w:val="002F3693"/>
    <w:rsid w:val="002F381C"/>
    <w:rsid w:val="002F38CF"/>
    <w:rsid w:val="002F39D9"/>
    <w:rsid w:val="002F3DCB"/>
    <w:rsid w:val="002F3EB7"/>
    <w:rsid w:val="002F3EF4"/>
    <w:rsid w:val="002F4070"/>
    <w:rsid w:val="002F41C3"/>
    <w:rsid w:val="002F44B5"/>
    <w:rsid w:val="002F4508"/>
    <w:rsid w:val="002F45DC"/>
    <w:rsid w:val="002F47E8"/>
    <w:rsid w:val="002F4877"/>
    <w:rsid w:val="002F49D7"/>
    <w:rsid w:val="002F4CC0"/>
    <w:rsid w:val="002F4EA4"/>
    <w:rsid w:val="002F4EBB"/>
    <w:rsid w:val="002F5182"/>
    <w:rsid w:val="002F5293"/>
    <w:rsid w:val="002F56E1"/>
    <w:rsid w:val="002F5AE8"/>
    <w:rsid w:val="002F5CB7"/>
    <w:rsid w:val="002F5D13"/>
    <w:rsid w:val="002F5D8F"/>
    <w:rsid w:val="002F5DE4"/>
    <w:rsid w:val="002F65FE"/>
    <w:rsid w:val="002F6986"/>
    <w:rsid w:val="002F69DB"/>
    <w:rsid w:val="002F71A8"/>
    <w:rsid w:val="002F73AB"/>
    <w:rsid w:val="002F761C"/>
    <w:rsid w:val="002F7A02"/>
    <w:rsid w:val="002F7A7D"/>
    <w:rsid w:val="002F7DFA"/>
    <w:rsid w:val="00300145"/>
    <w:rsid w:val="003001A6"/>
    <w:rsid w:val="00300296"/>
    <w:rsid w:val="003003BA"/>
    <w:rsid w:val="00300678"/>
    <w:rsid w:val="00300827"/>
    <w:rsid w:val="00300870"/>
    <w:rsid w:val="00300879"/>
    <w:rsid w:val="00300915"/>
    <w:rsid w:val="00300B42"/>
    <w:rsid w:val="00300F8A"/>
    <w:rsid w:val="00301206"/>
    <w:rsid w:val="00301253"/>
    <w:rsid w:val="003013D8"/>
    <w:rsid w:val="0030141C"/>
    <w:rsid w:val="00301546"/>
    <w:rsid w:val="003016E9"/>
    <w:rsid w:val="003017F9"/>
    <w:rsid w:val="0030185E"/>
    <w:rsid w:val="003018D8"/>
    <w:rsid w:val="0030198E"/>
    <w:rsid w:val="00301A1D"/>
    <w:rsid w:val="00301A5F"/>
    <w:rsid w:val="00301BD2"/>
    <w:rsid w:val="00301CC9"/>
    <w:rsid w:val="00301D5C"/>
    <w:rsid w:val="00301E18"/>
    <w:rsid w:val="00301F7F"/>
    <w:rsid w:val="00302063"/>
    <w:rsid w:val="003020BC"/>
    <w:rsid w:val="00302332"/>
    <w:rsid w:val="0030297F"/>
    <w:rsid w:val="00302A52"/>
    <w:rsid w:val="00302AD7"/>
    <w:rsid w:val="00302CAE"/>
    <w:rsid w:val="00302DE8"/>
    <w:rsid w:val="00302E1C"/>
    <w:rsid w:val="00302FDD"/>
    <w:rsid w:val="00303252"/>
    <w:rsid w:val="00303425"/>
    <w:rsid w:val="003036E2"/>
    <w:rsid w:val="003036F6"/>
    <w:rsid w:val="00303B30"/>
    <w:rsid w:val="00303CDC"/>
    <w:rsid w:val="00303E80"/>
    <w:rsid w:val="00303EA5"/>
    <w:rsid w:val="00303F37"/>
    <w:rsid w:val="00303FA5"/>
    <w:rsid w:val="00304001"/>
    <w:rsid w:val="00304153"/>
    <w:rsid w:val="00304172"/>
    <w:rsid w:val="00304704"/>
    <w:rsid w:val="003047FC"/>
    <w:rsid w:val="0030499B"/>
    <w:rsid w:val="00304A8D"/>
    <w:rsid w:val="00304C68"/>
    <w:rsid w:val="00304C76"/>
    <w:rsid w:val="00304D64"/>
    <w:rsid w:val="00304E2B"/>
    <w:rsid w:val="00305023"/>
    <w:rsid w:val="003050A7"/>
    <w:rsid w:val="0030523B"/>
    <w:rsid w:val="00305400"/>
    <w:rsid w:val="0030544D"/>
    <w:rsid w:val="00305687"/>
    <w:rsid w:val="003056E4"/>
    <w:rsid w:val="003057C3"/>
    <w:rsid w:val="0030583B"/>
    <w:rsid w:val="003058F1"/>
    <w:rsid w:val="00305B35"/>
    <w:rsid w:val="00305E9A"/>
    <w:rsid w:val="0030609B"/>
    <w:rsid w:val="00306246"/>
    <w:rsid w:val="00306370"/>
    <w:rsid w:val="0030659C"/>
    <w:rsid w:val="003067AA"/>
    <w:rsid w:val="00306875"/>
    <w:rsid w:val="00306A62"/>
    <w:rsid w:val="00306B65"/>
    <w:rsid w:val="00306C5A"/>
    <w:rsid w:val="00306D59"/>
    <w:rsid w:val="00306ECE"/>
    <w:rsid w:val="00306F2B"/>
    <w:rsid w:val="00306F87"/>
    <w:rsid w:val="0030724D"/>
    <w:rsid w:val="00307888"/>
    <w:rsid w:val="00307B36"/>
    <w:rsid w:val="00307BF1"/>
    <w:rsid w:val="00307C00"/>
    <w:rsid w:val="00307C11"/>
    <w:rsid w:val="00307D40"/>
    <w:rsid w:val="00307F14"/>
    <w:rsid w:val="00310079"/>
    <w:rsid w:val="00310296"/>
    <w:rsid w:val="00310349"/>
    <w:rsid w:val="003103B1"/>
    <w:rsid w:val="003104B5"/>
    <w:rsid w:val="003104F4"/>
    <w:rsid w:val="00310505"/>
    <w:rsid w:val="003105ED"/>
    <w:rsid w:val="00310644"/>
    <w:rsid w:val="003106EC"/>
    <w:rsid w:val="00310702"/>
    <w:rsid w:val="00310865"/>
    <w:rsid w:val="003108AA"/>
    <w:rsid w:val="003108C1"/>
    <w:rsid w:val="00310A79"/>
    <w:rsid w:val="00310F0F"/>
    <w:rsid w:val="00310F12"/>
    <w:rsid w:val="00310F14"/>
    <w:rsid w:val="00310F4F"/>
    <w:rsid w:val="003111CE"/>
    <w:rsid w:val="0031149A"/>
    <w:rsid w:val="0031169A"/>
    <w:rsid w:val="003116D2"/>
    <w:rsid w:val="003116F7"/>
    <w:rsid w:val="00311926"/>
    <w:rsid w:val="00311BAB"/>
    <w:rsid w:val="00311C0D"/>
    <w:rsid w:val="00311E0A"/>
    <w:rsid w:val="00312074"/>
    <w:rsid w:val="00312116"/>
    <w:rsid w:val="0031227E"/>
    <w:rsid w:val="00312379"/>
    <w:rsid w:val="00312775"/>
    <w:rsid w:val="003128B2"/>
    <w:rsid w:val="00312952"/>
    <w:rsid w:val="00312C4C"/>
    <w:rsid w:val="00312E7B"/>
    <w:rsid w:val="00312FA3"/>
    <w:rsid w:val="00313205"/>
    <w:rsid w:val="003132C1"/>
    <w:rsid w:val="003133C2"/>
    <w:rsid w:val="0031359B"/>
    <w:rsid w:val="003136AF"/>
    <w:rsid w:val="00313935"/>
    <w:rsid w:val="00313A40"/>
    <w:rsid w:val="00313B52"/>
    <w:rsid w:val="00313CFA"/>
    <w:rsid w:val="00313D07"/>
    <w:rsid w:val="00313D96"/>
    <w:rsid w:val="00313E1A"/>
    <w:rsid w:val="0031401D"/>
    <w:rsid w:val="003140B2"/>
    <w:rsid w:val="003142D7"/>
    <w:rsid w:val="0031430C"/>
    <w:rsid w:val="003143E4"/>
    <w:rsid w:val="003144B0"/>
    <w:rsid w:val="00314518"/>
    <w:rsid w:val="0031457B"/>
    <w:rsid w:val="0031458E"/>
    <w:rsid w:val="003145A4"/>
    <w:rsid w:val="003147E3"/>
    <w:rsid w:val="00314877"/>
    <w:rsid w:val="00314881"/>
    <w:rsid w:val="00314A89"/>
    <w:rsid w:val="00314B35"/>
    <w:rsid w:val="00314FBA"/>
    <w:rsid w:val="00314FDD"/>
    <w:rsid w:val="003151FC"/>
    <w:rsid w:val="003152C8"/>
    <w:rsid w:val="003154F7"/>
    <w:rsid w:val="0031550F"/>
    <w:rsid w:val="003158A4"/>
    <w:rsid w:val="0031595E"/>
    <w:rsid w:val="00315A6A"/>
    <w:rsid w:val="00315A7C"/>
    <w:rsid w:val="00315B08"/>
    <w:rsid w:val="00315B7F"/>
    <w:rsid w:val="00315E10"/>
    <w:rsid w:val="00315F31"/>
    <w:rsid w:val="00316129"/>
    <w:rsid w:val="0031613E"/>
    <w:rsid w:val="00316208"/>
    <w:rsid w:val="0031648D"/>
    <w:rsid w:val="003167FE"/>
    <w:rsid w:val="00316BA5"/>
    <w:rsid w:val="00316C6E"/>
    <w:rsid w:val="00316D33"/>
    <w:rsid w:val="00317036"/>
    <w:rsid w:val="00317139"/>
    <w:rsid w:val="00317218"/>
    <w:rsid w:val="003172B4"/>
    <w:rsid w:val="00317353"/>
    <w:rsid w:val="003174D8"/>
    <w:rsid w:val="003175DC"/>
    <w:rsid w:val="00317765"/>
    <w:rsid w:val="003177BA"/>
    <w:rsid w:val="00317893"/>
    <w:rsid w:val="00317A3B"/>
    <w:rsid w:val="00317D7A"/>
    <w:rsid w:val="00317D86"/>
    <w:rsid w:val="00317E76"/>
    <w:rsid w:val="00317F1B"/>
    <w:rsid w:val="0032065D"/>
    <w:rsid w:val="003207B0"/>
    <w:rsid w:val="003207CE"/>
    <w:rsid w:val="003207E3"/>
    <w:rsid w:val="003208FD"/>
    <w:rsid w:val="00320CD3"/>
    <w:rsid w:val="00320CFF"/>
    <w:rsid w:val="00320D63"/>
    <w:rsid w:val="00320D6A"/>
    <w:rsid w:val="00320EED"/>
    <w:rsid w:val="00320F99"/>
    <w:rsid w:val="00320FB1"/>
    <w:rsid w:val="00321073"/>
    <w:rsid w:val="0032157F"/>
    <w:rsid w:val="003215A6"/>
    <w:rsid w:val="003219DA"/>
    <w:rsid w:val="00321B66"/>
    <w:rsid w:val="00321B90"/>
    <w:rsid w:val="00321C91"/>
    <w:rsid w:val="00321DC4"/>
    <w:rsid w:val="00321E3D"/>
    <w:rsid w:val="00321EB4"/>
    <w:rsid w:val="00321EEF"/>
    <w:rsid w:val="00321F35"/>
    <w:rsid w:val="00321FB9"/>
    <w:rsid w:val="003221FE"/>
    <w:rsid w:val="00322216"/>
    <w:rsid w:val="003223BD"/>
    <w:rsid w:val="00322594"/>
    <w:rsid w:val="003225FA"/>
    <w:rsid w:val="00322736"/>
    <w:rsid w:val="003227EA"/>
    <w:rsid w:val="00322838"/>
    <w:rsid w:val="00322D8C"/>
    <w:rsid w:val="00322EC7"/>
    <w:rsid w:val="00322F0D"/>
    <w:rsid w:val="00323071"/>
    <w:rsid w:val="00323135"/>
    <w:rsid w:val="0032326C"/>
    <w:rsid w:val="003233E2"/>
    <w:rsid w:val="00323420"/>
    <w:rsid w:val="0032345B"/>
    <w:rsid w:val="0032348E"/>
    <w:rsid w:val="00323540"/>
    <w:rsid w:val="0032381E"/>
    <w:rsid w:val="0032388E"/>
    <w:rsid w:val="003238BD"/>
    <w:rsid w:val="00323B0F"/>
    <w:rsid w:val="00323CC6"/>
    <w:rsid w:val="00323E28"/>
    <w:rsid w:val="00323FFC"/>
    <w:rsid w:val="00324089"/>
    <w:rsid w:val="003240F1"/>
    <w:rsid w:val="00324263"/>
    <w:rsid w:val="0032426B"/>
    <w:rsid w:val="00324296"/>
    <w:rsid w:val="00324548"/>
    <w:rsid w:val="003245DB"/>
    <w:rsid w:val="0032467D"/>
    <w:rsid w:val="00324723"/>
    <w:rsid w:val="003248D3"/>
    <w:rsid w:val="00324952"/>
    <w:rsid w:val="00324C21"/>
    <w:rsid w:val="00324D2C"/>
    <w:rsid w:val="00324D2F"/>
    <w:rsid w:val="00324D5C"/>
    <w:rsid w:val="00324EB1"/>
    <w:rsid w:val="00324EFF"/>
    <w:rsid w:val="00324FD4"/>
    <w:rsid w:val="0032508D"/>
    <w:rsid w:val="003251EC"/>
    <w:rsid w:val="003252BC"/>
    <w:rsid w:val="0032531A"/>
    <w:rsid w:val="0032535E"/>
    <w:rsid w:val="00325733"/>
    <w:rsid w:val="0032575E"/>
    <w:rsid w:val="003258CB"/>
    <w:rsid w:val="00325976"/>
    <w:rsid w:val="00325A4B"/>
    <w:rsid w:val="00325C33"/>
    <w:rsid w:val="00325C73"/>
    <w:rsid w:val="00325FA2"/>
    <w:rsid w:val="003260B6"/>
    <w:rsid w:val="003264C4"/>
    <w:rsid w:val="003267D6"/>
    <w:rsid w:val="00326967"/>
    <w:rsid w:val="00326A93"/>
    <w:rsid w:val="00326AD5"/>
    <w:rsid w:val="00326C79"/>
    <w:rsid w:val="00326CAD"/>
    <w:rsid w:val="00326D47"/>
    <w:rsid w:val="00326F56"/>
    <w:rsid w:val="00326FB4"/>
    <w:rsid w:val="00326FF7"/>
    <w:rsid w:val="003270A9"/>
    <w:rsid w:val="003270B8"/>
    <w:rsid w:val="00327255"/>
    <w:rsid w:val="00327336"/>
    <w:rsid w:val="003273B9"/>
    <w:rsid w:val="0032741D"/>
    <w:rsid w:val="003274B4"/>
    <w:rsid w:val="003275CA"/>
    <w:rsid w:val="00327624"/>
    <w:rsid w:val="00327941"/>
    <w:rsid w:val="00327963"/>
    <w:rsid w:val="00327987"/>
    <w:rsid w:val="00327C8E"/>
    <w:rsid w:val="00327CB0"/>
    <w:rsid w:val="00327F30"/>
    <w:rsid w:val="00327F7D"/>
    <w:rsid w:val="00330034"/>
    <w:rsid w:val="00330059"/>
    <w:rsid w:val="003301D6"/>
    <w:rsid w:val="00330276"/>
    <w:rsid w:val="0033029C"/>
    <w:rsid w:val="00330518"/>
    <w:rsid w:val="00330779"/>
    <w:rsid w:val="00330822"/>
    <w:rsid w:val="003308A7"/>
    <w:rsid w:val="00330C5C"/>
    <w:rsid w:val="00330D6D"/>
    <w:rsid w:val="00330DCC"/>
    <w:rsid w:val="00330F03"/>
    <w:rsid w:val="00330FFC"/>
    <w:rsid w:val="003310E6"/>
    <w:rsid w:val="003312B4"/>
    <w:rsid w:val="003316A2"/>
    <w:rsid w:val="00331788"/>
    <w:rsid w:val="003317A5"/>
    <w:rsid w:val="0033180A"/>
    <w:rsid w:val="0033196F"/>
    <w:rsid w:val="0033197D"/>
    <w:rsid w:val="00331B6D"/>
    <w:rsid w:val="00331BB3"/>
    <w:rsid w:val="00331CD2"/>
    <w:rsid w:val="00331F0A"/>
    <w:rsid w:val="00332111"/>
    <w:rsid w:val="0033221A"/>
    <w:rsid w:val="00332749"/>
    <w:rsid w:val="0033289D"/>
    <w:rsid w:val="00332986"/>
    <w:rsid w:val="00332C62"/>
    <w:rsid w:val="00332CE9"/>
    <w:rsid w:val="003330EA"/>
    <w:rsid w:val="00333123"/>
    <w:rsid w:val="003332B7"/>
    <w:rsid w:val="00333352"/>
    <w:rsid w:val="00333587"/>
    <w:rsid w:val="003338C2"/>
    <w:rsid w:val="00333A8B"/>
    <w:rsid w:val="00333D0D"/>
    <w:rsid w:val="00333D28"/>
    <w:rsid w:val="00333DD1"/>
    <w:rsid w:val="00333DF6"/>
    <w:rsid w:val="00333F28"/>
    <w:rsid w:val="00333F6C"/>
    <w:rsid w:val="0033415D"/>
    <w:rsid w:val="0033459A"/>
    <w:rsid w:val="0033467D"/>
    <w:rsid w:val="00334B94"/>
    <w:rsid w:val="00334E06"/>
    <w:rsid w:val="00334FB6"/>
    <w:rsid w:val="003352A4"/>
    <w:rsid w:val="0033547F"/>
    <w:rsid w:val="003354A4"/>
    <w:rsid w:val="00335525"/>
    <w:rsid w:val="0033568F"/>
    <w:rsid w:val="0033576D"/>
    <w:rsid w:val="003357C5"/>
    <w:rsid w:val="003359FA"/>
    <w:rsid w:val="00335C0D"/>
    <w:rsid w:val="00335C7D"/>
    <w:rsid w:val="00335CF3"/>
    <w:rsid w:val="00335DE0"/>
    <w:rsid w:val="00335DF3"/>
    <w:rsid w:val="00335EF7"/>
    <w:rsid w:val="00335F95"/>
    <w:rsid w:val="00336039"/>
    <w:rsid w:val="0033606A"/>
    <w:rsid w:val="003364A6"/>
    <w:rsid w:val="00336603"/>
    <w:rsid w:val="003366CE"/>
    <w:rsid w:val="0033692D"/>
    <w:rsid w:val="00336936"/>
    <w:rsid w:val="00336B73"/>
    <w:rsid w:val="003370E1"/>
    <w:rsid w:val="00337250"/>
    <w:rsid w:val="0033727F"/>
    <w:rsid w:val="0033771A"/>
    <w:rsid w:val="003377AE"/>
    <w:rsid w:val="003377B5"/>
    <w:rsid w:val="003377B9"/>
    <w:rsid w:val="00337CCB"/>
    <w:rsid w:val="003403F7"/>
    <w:rsid w:val="003405AE"/>
    <w:rsid w:val="003407D8"/>
    <w:rsid w:val="0034080E"/>
    <w:rsid w:val="003408B4"/>
    <w:rsid w:val="00340AA3"/>
    <w:rsid w:val="00340D46"/>
    <w:rsid w:val="00340D8C"/>
    <w:rsid w:val="00340DD2"/>
    <w:rsid w:val="00341032"/>
    <w:rsid w:val="003414D4"/>
    <w:rsid w:val="00341518"/>
    <w:rsid w:val="003415AD"/>
    <w:rsid w:val="003417B6"/>
    <w:rsid w:val="003417F3"/>
    <w:rsid w:val="00341886"/>
    <w:rsid w:val="003418B7"/>
    <w:rsid w:val="00341EB2"/>
    <w:rsid w:val="00341FB6"/>
    <w:rsid w:val="003422E9"/>
    <w:rsid w:val="00342326"/>
    <w:rsid w:val="003426F4"/>
    <w:rsid w:val="0034278B"/>
    <w:rsid w:val="003429D3"/>
    <w:rsid w:val="00342A84"/>
    <w:rsid w:val="00342D95"/>
    <w:rsid w:val="00342E42"/>
    <w:rsid w:val="00342F41"/>
    <w:rsid w:val="003430B9"/>
    <w:rsid w:val="003431C0"/>
    <w:rsid w:val="00343220"/>
    <w:rsid w:val="00343642"/>
    <w:rsid w:val="00343741"/>
    <w:rsid w:val="00343AE3"/>
    <w:rsid w:val="00343FA9"/>
    <w:rsid w:val="00343FCA"/>
    <w:rsid w:val="00344031"/>
    <w:rsid w:val="0034411B"/>
    <w:rsid w:val="003443F2"/>
    <w:rsid w:val="00344893"/>
    <w:rsid w:val="00344921"/>
    <w:rsid w:val="003449F8"/>
    <w:rsid w:val="00344A3F"/>
    <w:rsid w:val="00344A90"/>
    <w:rsid w:val="003452F8"/>
    <w:rsid w:val="00345305"/>
    <w:rsid w:val="003453C2"/>
    <w:rsid w:val="0034541F"/>
    <w:rsid w:val="003455CA"/>
    <w:rsid w:val="003455F4"/>
    <w:rsid w:val="003456AD"/>
    <w:rsid w:val="003456D8"/>
    <w:rsid w:val="00345809"/>
    <w:rsid w:val="00345C6A"/>
    <w:rsid w:val="00345F51"/>
    <w:rsid w:val="003462D3"/>
    <w:rsid w:val="0034647F"/>
    <w:rsid w:val="0034686A"/>
    <w:rsid w:val="003468C7"/>
    <w:rsid w:val="00346902"/>
    <w:rsid w:val="00346AF0"/>
    <w:rsid w:val="00346B84"/>
    <w:rsid w:val="00346FD3"/>
    <w:rsid w:val="003470F1"/>
    <w:rsid w:val="00347214"/>
    <w:rsid w:val="0034754B"/>
    <w:rsid w:val="003475A3"/>
    <w:rsid w:val="00347936"/>
    <w:rsid w:val="00347B16"/>
    <w:rsid w:val="00347C46"/>
    <w:rsid w:val="00347CCE"/>
    <w:rsid w:val="00347CFA"/>
    <w:rsid w:val="00347EED"/>
    <w:rsid w:val="003500C6"/>
    <w:rsid w:val="003503C4"/>
    <w:rsid w:val="003504B2"/>
    <w:rsid w:val="003504CB"/>
    <w:rsid w:val="003504EC"/>
    <w:rsid w:val="00350745"/>
    <w:rsid w:val="00350748"/>
    <w:rsid w:val="003509FE"/>
    <w:rsid w:val="00350F3F"/>
    <w:rsid w:val="00350F6B"/>
    <w:rsid w:val="0035115F"/>
    <w:rsid w:val="003511F3"/>
    <w:rsid w:val="0035138D"/>
    <w:rsid w:val="003517AF"/>
    <w:rsid w:val="0035184C"/>
    <w:rsid w:val="003519B7"/>
    <w:rsid w:val="00351A38"/>
    <w:rsid w:val="00351A48"/>
    <w:rsid w:val="00351B3C"/>
    <w:rsid w:val="00351C12"/>
    <w:rsid w:val="00351C86"/>
    <w:rsid w:val="00351CD6"/>
    <w:rsid w:val="00351D08"/>
    <w:rsid w:val="00351F82"/>
    <w:rsid w:val="00352370"/>
    <w:rsid w:val="003523A7"/>
    <w:rsid w:val="0035251D"/>
    <w:rsid w:val="003525F5"/>
    <w:rsid w:val="00352726"/>
    <w:rsid w:val="00352797"/>
    <w:rsid w:val="00352847"/>
    <w:rsid w:val="00352BC0"/>
    <w:rsid w:val="00352F1B"/>
    <w:rsid w:val="00352F35"/>
    <w:rsid w:val="00352FEC"/>
    <w:rsid w:val="0035331E"/>
    <w:rsid w:val="00353387"/>
    <w:rsid w:val="00353494"/>
    <w:rsid w:val="00353578"/>
    <w:rsid w:val="0035382D"/>
    <w:rsid w:val="003539DA"/>
    <w:rsid w:val="003539F2"/>
    <w:rsid w:val="00353BE2"/>
    <w:rsid w:val="00353D7A"/>
    <w:rsid w:val="00353E71"/>
    <w:rsid w:val="00354140"/>
    <w:rsid w:val="003542D8"/>
    <w:rsid w:val="003544F9"/>
    <w:rsid w:val="00354514"/>
    <w:rsid w:val="003546CC"/>
    <w:rsid w:val="00354A4F"/>
    <w:rsid w:val="00354E0B"/>
    <w:rsid w:val="0035546F"/>
    <w:rsid w:val="00355649"/>
    <w:rsid w:val="00355694"/>
    <w:rsid w:val="00355740"/>
    <w:rsid w:val="0035582A"/>
    <w:rsid w:val="00355870"/>
    <w:rsid w:val="003558C0"/>
    <w:rsid w:val="0035593C"/>
    <w:rsid w:val="00355CEE"/>
    <w:rsid w:val="00355D58"/>
    <w:rsid w:val="00356003"/>
    <w:rsid w:val="00356364"/>
    <w:rsid w:val="00356481"/>
    <w:rsid w:val="0035678F"/>
    <w:rsid w:val="003567E8"/>
    <w:rsid w:val="003568FC"/>
    <w:rsid w:val="00356902"/>
    <w:rsid w:val="00356AB5"/>
    <w:rsid w:val="00356C1E"/>
    <w:rsid w:val="00356C9A"/>
    <w:rsid w:val="00356D65"/>
    <w:rsid w:val="00356F01"/>
    <w:rsid w:val="00356FF4"/>
    <w:rsid w:val="0035702A"/>
    <w:rsid w:val="003570CE"/>
    <w:rsid w:val="003572E1"/>
    <w:rsid w:val="00357372"/>
    <w:rsid w:val="003576DE"/>
    <w:rsid w:val="00357790"/>
    <w:rsid w:val="00357815"/>
    <w:rsid w:val="0035782D"/>
    <w:rsid w:val="00357C2F"/>
    <w:rsid w:val="00360060"/>
    <w:rsid w:val="003601DB"/>
    <w:rsid w:val="0036022B"/>
    <w:rsid w:val="0036049E"/>
    <w:rsid w:val="0036051F"/>
    <w:rsid w:val="00360695"/>
    <w:rsid w:val="00360776"/>
    <w:rsid w:val="00360CFF"/>
    <w:rsid w:val="00360DFD"/>
    <w:rsid w:val="00361010"/>
    <w:rsid w:val="00361166"/>
    <w:rsid w:val="0036139D"/>
    <w:rsid w:val="003613EA"/>
    <w:rsid w:val="00361545"/>
    <w:rsid w:val="003619A7"/>
    <w:rsid w:val="00361A9D"/>
    <w:rsid w:val="00361B97"/>
    <w:rsid w:val="00361D57"/>
    <w:rsid w:val="00361FD7"/>
    <w:rsid w:val="003622A5"/>
    <w:rsid w:val="00362315"/>
    <w:rsid w:val="003623EF"/>
    <w:rsid w:val="0036241B"/>
    <w:rsid w:val="00362421"/>
    <w:rsid w:val="00362476"/>
    <w:rsid w:val="00362835"/>
    <w:rsid w:val="00362A73"/>
    <w:rsid w:val="00362C40"/>
    <w:rsid w:val="00362E58"/>
    <w:rsid w:val="00362E6A"/>
    <w:rsid w:val="00362EA1"/>
    <w:rsid w:val="00362FB1"/>
    <w:rsid w:val="00363095"/>
    <w:rsid w:val="00363181"/>
    <w:rsid w:val="0036324B"/>
    <w:rsid w:val="0036346B"/>
    <w:rsid w:val="0036352C"/>
    <w:rsid w:val="0036391F"/>
    <w:rsid w:val="00363A64"/>
    <w:rsid w:val="00363B3D"/>
    <w:rsid w:val="00363CBA"/>
    <w:rsid w:val="00363D24"/>
    <w:rsid w:val="00363DAE"/>
    <w:rsid w:val="00363E67"/>
    <w:rsid w:val="00364019"/>
    <w:rsid w:val="0036417D"/>
    <w:rsid w:val="003642B1"/>
    <w:rsid w:val="00364682"/>
    <w:rsid w:val="00364692"/>
    <w:rsid w:val="003647E5"/>
    <w:rsid w:val="00364AD0"/>
    <w:rsid w:val="00364E3B"/>
    <w:rsid w:val="003650AF"/>
    <w:rsid w:val="00365293"/>
    <w:rsid w:val="003653F7"/>
    <w:rsid w:val="00365477"/>
    <w:rsid w:val="003654EC"/>
    <w:rsid w:val="00365AC4"/>
    <w:rsid w:val="00365B5F"/>
    <w:rsid w:val="00366018"/>
    <w:rsid w:val="00366314"/>
    <w:rsid w:val="00366351"/>
    <w:rsid w:val="00366577"/>
    <w:rsid w:val="003666C4"/>
    <w:rsid w:val="003666DD"/>
    <w:rsid w:val="00366957"/>
    <w:rsid w:val="00366BE7"/>
    <w:rsid w:val="00366CB1"/>
    <w:rsid w:val="00366DDE"/>
    <w:rsid w:val="00367485"/>
    <w:rsid w:val="0036768F"/>
    <w:rsid w:val="003677CC"/>
    <w:rsid w:val="00367864"/>
    <w:rsid w:val="003678CD"/>
    <w:rsid w:val="00367A16"/>
    <w:rsid w:val="00367A82"/>
    <w:rsid w:val="00367B61"/>
    <w:rsid w:val="00367E53"/>
    <w:rsid w:val="00367EE5"/>
    <w:rsid w:val="003700B9"/>
    <w:rsid w:val="003700EE"/>
    <w:rsid w:val="0037020E"/>
    <w:rsid w:val="0037035B"/>
    <w:rsid w:val="003706C6"/>
    <w:rsid w:val="00370787"/>
    <w:rsid w:val="0037082D"/>
    <w:rsid w:val="00370910"/>
    <w:rsid w:val="003709FA"/>
    <w:rsid w:val="00370AEC"/>
    <w:rsid w:val="00370B00"/>
    <w:rsid w:val="00370DB7"/>
    <w:rsid w:val="00370F3E"/>
    <w:rsid w:val="00370FDC"/>
    <w:rsid w:val="003714D9"/>
    <w:rsid w:val="003714DE"/>
    <w:rsid w:val="0037163A"/>
    <w:rsid w:val="003719A8"/>
    <w:rsid w:val="00371D22"/>
    <w:rsid w:val="00371D67"/>
    <w:rsid w:val="00371DF7"/>
    <w:rsid w:val="00371FBC"/>
    <w:rsid w:val="00372097"/>
    <w:rsid w:val="003723A3"/>
    <w:rsid w:val="00372471"/>
    <w:rsid w:val="003725EC"/>
    <w:rsid w:val="0037271B"/>
    <w:rsid w:val="00372C66"/>
    <w:rsid w:val="00372CE3"/>
    <w:rsid w:val="00372D47"/>
    <w:rsid w:val="00372FDE"/>
    <w:rsid w:val="003737D5"/>
    <w:rsid w:val="003739A4"/>
    <w:rsid w:val="00373BEB"/>
    <w:rsid w:val="00373D0E"/>
    <w:rsid w:val="00373E21"/>
    <w:rsid w:val="00373E8F"/>
    <w:rsid w:val="003741C2"/>
    <w:rsid w:val="003741CE"/>
    <w:rsid w:val="00374234"/>
    <w:rsid w:val="003743BE"/>
    <w:rsid w:val="00374464"/>
    <w:rsid w:val="00374811"/>
    <w:rsid w:val="003748B9"/>
    <w:rsid w:val="00374A0F"/>
    <w:rsid w:val="00374E2B"/>
    <w:rsid w:val="00374E9F"/>
    <w:rsid w:val="00374ED2"/>
    <w:rsid w:val="003754AA"/>
    <w:rsid w:val="00375595"/>
    <w:rsid w:val="00375813"/>
    <w:rsid w:val="00375997"/>
    <w:rsid w:val="00375A24"/>
    <w:rsid w:val="00375A62"/>
    <w:rsid w:val="00375D14"/>
    <w:rsid w:val="00375E0B"/>
    <w:rsid w:val="00375E4A"/>
    <w:rsid w:val="00375EC5"/>
    <w:rsid w:val="00375F4E"/>
    <w:rsid w:val="00375FB0"/>
    <w:rsid w:val="0037638D"/>
    <w:rsid w:val="0037642A"/>
    <w:rsid w:val="0037662A"/>
    <w:rsid w:val="00376751"/>
    <w:rsid w:val="00376AB6"/>
    <w:rsid w:val="00376BD5"/>
    <w:rsid w:val="00376E7B"/>
    <w:rsid w:val="00376F6A"/>
    <w:rsid w:val="00376FA0"/>
    <w:rsid w:val="003770AD"/>
    <w:rsid w:val="003771CF"/>
    <w:rsid w:val="00377268"/>
    <w:rsid w:val="0037747D"/>
    <w:rsid w:val="003776AE"/>
    <w:rsid w:val="003777EC"/>
    <w:rsid w:val="00377B69"/>
    <w:rsid w:val="00377BF9"/>
    <w:rsid w:val="00377CA4"/>
    <w:rsid w:val="00377CCA"/>
    <w:rsid w:val="00377F65"/>
    <w:rsid w:val="00377FDA"/>
    <w:rsid w:val="00380132"/>
    <w:rsid w:val="00380451"/>
    <w:rsid w:val="003805FF"/>
    <w:rsid w:val="003806C0"/>
    <w:rsid w:val="003808BE"/>
    <w:rsid w:val="00380947"/>
    <w:rsid w:val="003809C4"/>
    <w:rsid w:val="00380AD2"/>
    <w:rsid w:val="00380D1B"/>
    <w:rsid w:val="00381017"/>
    <w:rsid w:val="0038113F"/>
    <w:rsid w:val="003811C4"/>
    <w:rsid w:val="0038140F"/>
    <w:rsid w:val="00381674"/>
    <w:rsid w:val="0038171A"/>
    <w:rsid w:val="00381720"/>
    <w:rsid w:val="00381AB8"/>
    <w:rsid w:val="00381DE5"/>
    <w:rsid w:val="00381E4C"/>
    <w:rsid w:val="00381EB8"/>
    <w:rsid w:val="00381EE6"/>
    <w:rsid w:val="00382018"/>
    <w:rsid w:val="00382050"/>
    <w:rsid w:val="00382287"/>
    <w:rsid w:val="0038256B"/>
    <w:rsid w:val="003825E2"/>
    <w:rsid w:val="0038272C"/>
    <w:rsid w:val="00382AAF"/>
    <w:rsid w:val="00382AC7"/>
    <w:rsid w:val="00382D99"/>
    <w:rsid w:val="00382FA9"/>
    <w:rsid w:val="00382FD3"/>
    <w:rsid w:val="0038323F"/>
    <w:rsid w:val="003832F9"/>
    <w:rsid w:val="0038333A"/>
    <w:rsid w:val="003833F9"/>
    <w:rsid w:val="00383501"/>
    <w:rsid w:val="0038357B"/>
    <w:rsid w:val="00383684"/>
    <w:rsid w:val="0038379F"/>
    <w:rsid w:val="00383934"/>
    <w:rsid w:val="00383D69"/>
    <w:rsid w:val="00384045"/>
    <w:rsid w:val="003841B5"/>
    <w:rsid w:val="0038425D"/>
    <w:rsid w:val="00384723"/>
    <w:rsid w:val="003848CF"/>
    <w:rsid w:val="00384BBC"/>
    <w:rsid w:val="00384CBC"/>
    <w:rsid w:val="00384DF5"/>
    <w:rsid w:val="00384E48"/>
    <w:rsid w:val="00385095"/>
    <w:rsid w:val="003850A2"/>
    <w:rsid w:val="00385250"/>
    <w:rsid w:val="003853CD"/>
    <w:rsid w:val="003856F8"/>
    <w:rsid w:val="00385CF3"/>
    <w:rsid w:val="0038617B"/>
    <w:rsid w:val="0038620F"/>
    <w:rsid w:val="00386337"/>
    <w:rsid w:val="003863B3"/>
    <w:rsid w:val="0038640C"/>
    <w:rsid w:val="003864CB"/>
    <w:rsid w:val="00386654"/>
    <w:rsid w:val="00386880"/>
    <w:rsid w:val="00386AF5"/>
    <w:rsid w:val="00386DA8"/>
    <w:rsid w:val="00386E51"/>
    <w:rsid w:val="00386E55"/>
    <w:rsid w:val="00387220"/>
    <w:rsid w:val="00387476"/>
    <w:rsid w:val="00387738"/>
    <w:rsid w:val="00387A29"/>
    <w:rsid w:val="00387E2D"/>
    <w:rsid w:val="00387E93"/>
    <w:rsid w:val="00387F8A"/>
    <w:rsid w:val="003905B2"/>
    <w:rsid w:val="00390761"/>
    <w:rsid w:val="00390857"/>
    <w:rsid w:val="00390FEB"/>
    <w:rsid w:val="00391017"/>
    <w:rsid w:val="0039108C"/>
    <w:rsid w:val="00391224"/>
    <w:rsid w:val="0039138F"/>
    <w:rsid w:val="00391481"/>
    <w:rsid w:val="00391771"/>
    <w:rsid w:val="003919FF"/>
    <w:rsid w:val="00391A5A"/>
    <w:rsid w:val="00391CB0"/>
    <w:rsid w:val="00391D3F"/>
    <w:rsid w:val="00391D7A"/>
    <w:rsid w:val="00391DD7"/>
    <w:rsid w:val="00391EE9"/>
    <w:rsid w:val="003921E0"/>
    <w:rsid w:val="0039223A"/>
    <w:rsid w:val="0039237C"/>
    <w:rsid w:val="0039256E"/>
    <w:rsid w:val="003925C4"/>
    <w:rsid w:val="00392657"/>
    <w:rsid w:val="00392674"/>
    <w:rsid w:val="00392761"/>
    <w:rsid w:val="00392A96"/>
    <w:rsid w:val="00392A9A"/>
    <w:rsid w:val="00392AAA"/>
    <w:rsid w:val="00392BB8"/>
    <w:rsid w:val="00392CE6"/>
    <w:rsid w:val="00392E66"/>
    <w:rsid w:val="00392F1E"/>
    <w:rsid w:val="0039302D"/>
    <w:rsid w:val="003930F5"/>
    <w:rsid w:val="00393128"/>
    <w:rsid w:val="0039321B"/>
    <w:rsid w:val="0039325C"/>
    <w:rsid w:val="00393431"/>
    <w:rsid w:val="003938F8"/>
    <w:rsid w:val="00393940"/>
    <w:rsid w:val="00393AA3"/>
    <w:rsid w:val="00393B8F"/>
    <w:rsid w:val="00393D40"/>
    <w:rsid w:val="003941C0"/>
    <w:rsid w:val="00394378"/>
    <w:rsid w:val="003945AC"/>
    <w:rsid w:val="003946EC"/>
    <w:rsid w:val="00394726"/>
    <w:rsid w:val="0039487F"/>
    <w:rsid w:val="003949BB"/>
    <w:rsid w:val="00394AA5"/>
    <w:rsid w:val="00394C7C"/>
    <w:rsid w:val="00394CF5"/>
    <w:rsid w:val="003951C1"/>
    <w:rsid w:val="00395591"/>
    <w:rsid w:val="003956A3"/>
    <w:rsid w:val="003956E4"/>
    <w:rsid w:val="0039581A"/>
    <w:rsid w:val="003958D5"/>
    <w:rsid w:val="00395930"/>
    <w:rsid w:val="00395A30"/>
    <w:rsid w:val="00395A50"/>
    <w:rsid w:val="00395AE9"/>
    <w:rsid w:val="00395BEB"/>
    <w:rsid w:val="00395D37"/>
    <w:rsid w:val="00395DFD"/>
    <w:rsid w:val="00395E02"/>
    <w:rsid w:val="00395F1F"/>
    <w:rsid w:val="00396072"/>
    <w:rsid w:val="003960D7"/>
    <w:rsid w:val="0039618A"/>
    <w:rsid w:val="00396277"/>
    <w:rsid w:val="003963C6"/>
    <w:rsid w:val="00396584"/>
    <w:rsid w:val="003967F9"/>
    <w:rsid w:val="003969A6"/>
    <w:rsid w:val="00396CE2"/>
    <w:rsid w:val="00396E44"/>
    <w:rsid w:val="00396F76"/>
    <w:rsid w:val="00397776"/>
    <w:rsid w:val="00397787"/>
    <w:rsid w:val="003979F3"/>
    <w:rsid w:val="00397B71"/>
    <w:rsid w:val="00397FB2"/>
    <w:rsid w:val="003A01A0"/>
    <w:rsid w:val="003A01B8"/>
    <w:rsid w:val="003A035D"/>
    <w:rsid w:val="003A041A"/>
    <w:rsid w:val="003A0438"/>
    <w:rsid w:val="003A04B7"/>
    <w:rsid w:val="003A06B3"/>
    <w:rsid w:val="003A07B8"/>
    <w:rsid w:val="003A0B94"/>
    <w:rsid w:val="003A0BED"/>
    <w:rsid w:val="003A0C57"/>
    <w:rsid w:val="003A0CFF"/>
    <w:rsid w:val="003A0E55"/>
    <w:rsid w:val="003A1110"/>
    <w:rsid w:val="003A12DA"/>
    <w:rsid w:val="003A13A4"/>
    <w:rsid w:val="003A1664"/>
    <w:rsid w:val="003A1756"/>
    <w:rsid w:val="003A17B5"/>
    <w:rsid w:val="003A1852"/>
    <w:rsid w:val="003A1860"/>
    <w:rsid w:val="003A1ACA"/>
    <w:rsid w:val="003A1B6B"/>
    <w:rsid w:val="003A1D94"/>
    <w:rsid w:val="003A1EA3"/>
    <w:rsid w:val="003A20F2"/>
    <w:rsid w:val="003A235F"/>
    <w:rsid w:val="003A2521"/>
    <w:rsid w:val="003A25B8"/>
    <w:rsid w:val="003A264B"/>
    <w:rsid w:val="003A271D"/>
    <w:rsid w:val="003A27A7"/>
    <w:rsid w:val="003A2A04"/>
    <w:rsid w:val="003A2B4D"/>
    <w:rsid w:val="003A2C65"/>
    <w:rsid w:val="003A2D7D"/>
    <w:rsid w:val="003A2E36"/>
    <w:rsid w:val="003A2E66"/>
    <w:rsid w:val="003A2E87"/>
    <w:rsid w:val="003A2EFE"/>
    <w:rsid w:val="003A30AF"/>
    <w:rsid w:val="003A30D3"/>
    <w:rsid w:val="003A313F"/>
    <w:rsid w:val="003A3226"/>
    <w:rsid w:val="003A364A"/>
    <w:rsid w:val="003A3834"/>
    <w:rsid w:val="003A3A35"/>
    <w:rsid w:val="003A3E5C"/>
    <w:rsid w:val="003A3EDA"/>
    <w:rsid w:val="003A43CD"/>
    <w:rsid w:val="003A4AD7"/>
    <w:rsid w:val="003A4D0C"/>
    <w:rsid w:val="003A4D5A"/>
    <w:rsid w:val="003A4D9C"/>
    <w:rsid w:val="003A4DCB"/>
    <w:rsid w:val="003A4F0D"/>
    <w:rsid w:val="003A50F0"/>
    <w:rsid w:val="003A51BF"/>
    <w:rsid w:val="003A5215"/>
    <w:rsid w:val="003A5741"/>
    <w:rsid w:val="003A5817"/>
    <w:rsid w:val="003A5885"/>
    <w:rsid w:val="003A5A94"/>
    <w:rsid w:val="003A5ACE"/>
    <w:rsid w:val="003A5B36"/>
    <w:rsid w:val="003A5C91"/>
    <w:rsid w:val="003A5F2D"/>
    <w:rsid w:val="003A6360"/>
    <w:rsid w:val="003A63A3"/>
    <w:rsid w:val="003A63C0"/>
    <w:rsid w:val="003A68AD"/>
    <w:rsid w:val="003A695C"/>
    <w:rsid w:val="003A6BAC"/>
    <w:rsid w:val="003A6D75"/>
    <w:rsid w:val="003A6F6A"/>
    <w:rsid w:val="003A7137"/>
    <w:rsid w:val="003A756E"/>
    <w:rsid w:val="003A75AE"/>
    <w:rsid w:val="003A79EA"/>
    <w:rsid w:val="003A79F1"/>
    <w:rsid w:val="003A7B6E"/>
    <w:rsid w:val="003A7B9F"/>
    <w:rsid w:val="003A7BF3"/>
    <w:rsid w:val="003A7D32"/>
    <w:rsid w:val="003A7D74"/>
    <w:rsid w:val="003A7EEC"/>
    <w:rsid w:val="003B0361"/>
    <w:rsid w:val="003B03A6"/>
    <w:rsid w:val="003B0735"/>
    <w:rsid w:val="003B0A2B"/>
    <w:rsid w:val="003B0A80"/>
    <w:rsid w:val="003B0B96"/>
    <w:rsid w:val="003B0D4B"/>
    <w:rsid w:val="003B1081"/>
    <w:rsid w:val="003B13AF"/>
    <w:rsid w:val="003B13E4"/>
    <w:rsid w:val="003B15C6"/>
    <w:rsid w:val="003B17D2"/>
    <w:rsid w:val="003B193F"/>
    <w:rsid w:val="003B197F"/>
    <w:rsid w:val="003B1C31"/>
    <w:rsid w:val="003B1D15"/>
    <w:rsid w:val="003B1D97"/>
    <w:rsid w:val="003B1E51"/>
    <w:rsid w:val="003B1F67"/>
    <w:rsid w:val="003B200C"/>
    <w:rsid w:val="003B2353"/>
    <w:rsid w:val="003B24DB"/>
    <w:rsid w:val="003B26CF"/>
    <w:rsid w:val="003B2ABE"/>
    <w:rsid w:val="003B2CF8"/>
    <w:rsid w:val="003B2D5C"/>
    <w:rsid w:val="003B2E47"/>
    <w:rsid w:val="003B2F01"/>
    <w:rsid w:val="003B3097"/>
    <w:rsid w:val="003B31C3"/>
    <w:rsid w:val="003B3272"/>
    <w:rsid w:val="003B32D9"/>
    <w:rsid w:val="003B34C0"/>
    <w:rsid w:val="003B3675"/>
    <w:rsid w:val="003B38A5"/>
    <w:rsid w:val="003B38EE"/>
    <w:rsid w:val="003B395A"/>
    <w:rsid w:val="003B3A26"/>
    <w:rsid w:val="003B3CBA"/>
    <w:rsid w:val="003B3CEE"/>
    <w:rsid w:val="003B3E28"/>
    <w:rsid w:val="003B3E56"/>
    <w:rsid w:val="003B4161"/>
    <w:rsid w:val="003B43E8"/>
    <w:rsid w:val="003B4459"/>
    <w:rsid w:val="003B4581"/>
    <w:rsid w:val="003B4695"/>
    <w:rsid w:val="003B482D"/>
    <w:rsid w:val="003B4A06"/>
    <w:rsid w:val="003B4DEA"/>
    <w:rsid w:val="003B4E15"/>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688"/>
    <w:rsid w:val="003B676C"/>
    <w:rsid w:val="003B688F"/>
    <w:rsid w:val="003B6E70"/>
    <w:rsid w:val="003B6F01"/>
    <w:rsid w:val="003B7265"/>
    <w:rsid w:val="003B728F"/>
    <w:rsid w:val="003B7344"/>
    <w:rsid w:val="003B79F5"/>
    <w:rsid w:val="003B7BE0"/>
    <w:rsid w:val="003B7D0B"/>
    <w:rsid w:val="003C0044"/>
    <w:rsid w:val="003C00BF"/>
    <w:rsid w:val="003C014A"/>
    <w:rsid w:val="003C01B9"/>
    <w:rsid w:val="003C0322"/>
    <w:rsid w:val="003C05B5"/>
    <w:rsid w:val="003C06BB"/>
    <w:rsid w:val="003C07D2"/>
    <w:rsid w:val="003C08A9"/>
    <w:rsid w:val="003C0AB2"/>
    <w:rsid w:val="003C0B11"/>
    <w:rsid w:val="003C0C05"/>
    <w:rsid w:val="003C0CB7"/>
    <w:rsid w:val="003C0D7E"/>
    <w:rsid w:val="003C11CC"/>
    <w:rsid w:val="003C126C"/>
    <w:rsid w:val="003C169E"/>
    <w:rsid w:val="003C1774"/>
    <w:rsid w:val="003C1793"/>
    <w:rsid w:val="003C17FF"/>
    <w:rsid w:val="003C1D47"/>
    <w:rsid w:val="003C1D75"/>
    <w:rsid w:val="003C1D87"/>
    <w:rsid w:val="003C1DC4"/>
    <w:rsid w:val="003C2048"/>
    <w:rsid w:val="003C2131"/>
    <w:rsid w:val="003C2223"/>
    <w:rsid w:val="003C23AE"/>
    <w:rsid w:val="003C23EE"/>
    <w:rsid w:val="003C26F5"/>
    <w:rsid w:val="003C2794"/>
    <w:rsid w:val="003C2918"/>
    <w:rsid w:val="003C29BF"/>
    <w:rsid w:val="003C2A28"/>
    <w:rsid w:val="003C2A4A"/>
    <w:rsid w:val="003C2A6E"/>
    <w:rsid w:val="003C2E6B"/>
    <w:rsid w:val="003C2E7B"/>
    <w:rsid w:val="003C2EA4"/>
    <w:rsid w:val="003C35F2"/>
    <w:rsid w:val="003C36EA"/>
    <w:rsid w:val="003C390F"/>
    <w:rsid w:val="003C3912"/>
    <w:rsid w:val="003C3A80"/>
    <w:rsid w:val="003C3B1C"/>
    <w:rsid w:val="003C3C24"/>
    <w:rsid w:val="003C3D83"/>
    <w:rsid w:val="003C3DB2"/>
    <w:rsid w:val="003C3EFC"/>
    <w:rsid w:val="003C42F2"/>
    <w:rsid w:val="003C484D"/>
    <w:rsid w:val="003C49D4"/>
    <w:rsid w:val="003C4AA7"/>
    <w:rsid w:val="003C4D86"/>
    <w:rsid w:val="003C4FEF"/>
    <w:rsid w:val="003C51B7"/>
    <w:rsid w:val="003C52AF"/>
    <w:rsid w:val="003C52B5"/>
    <w:rsid w:val="003C5532"/>
    <w:rsid w:val="003C573C"/>
    <w:rsid w:val="003C574C"/>
    <w:rsid w:val="003C5B2D"/>
    <w:rsid w:val="003C5BF7"/>
    <w:rsid w:val="003C5C2E"/>
    <w:rsid w:val="003C5D7E"/>
    <w:rsid w:val="003C5DCF"/>
    <w:rsid w:val="003C5F39"/>
    <w:rsid w:val="003C61B0"/>
    <w:rsid w:val="003C6294"/>
    <w:rsid w:val="003C651C"/>
    <w:rsid w:val="003C6566"/>
    <w:rsid w:val="003C6599"/>
    <w:rsid w:val="003C6691"/>
    <w:rsid w:val="003C66E8"/>
    <w:rsid w:val="003C68C0"/>
    <w:rsid w:val="003C6ACF"/>
    <w:rsid w:val="003C6D34"/>
    <w:rsid w:val="003C74C0"/>
    <w:rsid w:val="003C7515"/>
    <w:rsid w:val="003C7557"/>
    <w:rsid w:val="003C7794"/>
    <w:rsid w:val="003C77EA"/>
    <w:rsid w:val="003C780C"/>
    <w:rsid w:val="003C78A4"/>
    <w:rsid w:val="003C7A4F"/>
    <w:rsid w:val="003D0174"/>
    <w:rsid w:val="003D0185"/>
    <w:rsid w:val="003D0338"/>
    <w:rsid w:val="003D0411"/>
    <w:rsid w:val="003D04A8"/>
    <w:rsid w:val="003D078C"/>
    <w:rsid w:val="003D0837"/>
    <w:rsid w:val="003D088C"/>
    <w:rsid w:val="003D08E8"/>
    <w:rsid w:val="003D093E"/>
    <w:rsid w:val="003D0B0B"/>
    <w:rsid w:val="003D0C45"/>
    <w:rsid w:val="003D0C60"/>
    <w:rsid w:val="003D0D65"/>
    <w:rsid w:val="003D0DDB"/>
    <w:rsid w:val="003D0F00"/>
    <w:rsid w:val="003D1003"/>
    <w:rsid w:val="003D1293"/>
    <w:rsid w:val="003D147E"/>
    <w:rsid w:val="003D1494"/>
    <w:rsid w:val="003D14F0"/>
    <w:rsid w:val="003D178C"/>
    <w:rsid w:val="003D191A"/>
    <w:rsid w:val="003D19FA"/>
    <w:rsid w:val="003D1AA7"/>
    <w:rsid w:val="003D1B0B"/>
    <w:rsid w:val="003D1B23"/>
    <w:rsid w:val="003D1DA1"/>
    <w:rsid w:val="003D1F55"/>
    <w:rsid w:val="003D1F68"/>
    <w:rsid w:val="003D1FDA"/>
    <w:rsid w:val="003D1FFD"/>
    <w:rsid w:val="003D214A"/>
    <w:rsid w:val="003D21E3"/>
    <w:rsid w:val="003D23B7"/>
    <w:rsid w:val="003D2542"/>
    <w:rsid w:val="003D2559"/>
    <w:rsid w:val="003D257B"/>
    <w:rsid w:val="003D2A8F"/>
    <w:rsid w:val="003D2ADB"/>
    <w:rsid w:val="003D2F37"/>
    <w:rsid w:val="003D2F82"/>
    <w:rsid w:val="003D30DD"/>
    <w:rsid w:val="003D30FC"/>
    <w:rsid w:val="003D329F"/>
    <w:rsid w:val="003D348C"/>
    <w:rsid w:val="003D34CC"/>
    <w:rsid w:val="003D36B0"/>
    <w:rsid w:val="003D37A3"/>
    <w:rsid w:val="003D39B0"/>
    <w:rsid w:val="003D3CA8"/>
    <w:rsid w:val="003D3ECB"/>
    <w:rsid w:val="003D41EC"/>
    <w:rsid w:val="003D42C7"/>
    <w:rsid w:val="003D4333"/>
    <w:rsid w:val="003D461D"/>
    <w:rsid w:val="003D4712"/>
    <w:rsid w:val="003D49B4"/>
    <w:rsid w:val="003D4BEF"/>
    <w:rsid w:val="003D4BFD"/>
    <w:rsid w:val="003D4BFF"/>
    <w:rsid w:val="003D4FAD"/>
    <w:rsid w:val="003D505C"/>
    <w:rsid w:val="003D50A6"/>
    <w:rsid w:val="003D52F8"/>
    <w:rsid w:val="003D54B1"/>
    <w:rsid w:val="003D58C7"/>
    <w:rsid w:val="003D59DA"/>
    <w:rsid w:val="003D5AFB"/>
    <w:rsid w:val="003D5B05"/>
    <w:rsid w:val="003D5B18"/>
    <w:rsid w:val="003D5E5F"/>
    <w:rsid w:val="003D5FB1"/>
    <w:rsid w:val="003D6083"/>
    <w:rsid w:val="003D6133"/>
    <w:rsid w:val="003D62E5"/>
    <w:rsid w:val="003D6503"/>
    <w:rsid w:val="003D666A"/>
    <w:rsid w:val="003D667D"/>
    <w:rsid w:val="003D6702"/>
    <w:rsid w:val="003D672D"/>
    <w:rsid w:val="003D6AAE"/>
    <w:rsid w:val="003D6D2A"/>
    <w:rsid w:val="003D6FD0"/>
    <w:rsid w:val="003D719D"/>
    <w:rsid w:val="003D71B0"/>
    <w:rsid w:val="003D72B5"/>
    <w:rsid w:val="003D747A"/>
    <w:rsid w:val="003D7668"/>
    <w:rsid w:val="003D7B6B"/>
    <w:rsid w:val="003D7B80"/>
    <w:rsid w:val="003D7C3E"/>
    <w:rsid w:val="003E002A"/>
    <w:rsid w:val="003E0153"/>
    <w:rsid w:val="003E02EC"/>
    <w:rsid w:val="003E0467"/>
    <w:rsid w:val="003E04BE"/>
    <w:rsid w:val="003E05AF"/>
    <w:rsid w:val="003E0606"/>
    <w:rsid w:val="003E0A64"/>
    <w:rsid w:val="003E0B9C"/>
    <w:rsid w:val="003E0C3F"/>
    <w:rsid w:val="003E0DE3"/>
    <w:rsid w:val="003E0EB4"/>
    <w:rsid w:val="003E0F70"/>
    <w:rsid w:val="003E0F88"/>
    <w:rsid w:val="003E1052"/>
    <w:rsid w:val="003E1360"/>
    <w:rsid w:val="003E1466"/>
    <w:rsid w:val="003E1591"/>
    <w:rsid w:val="003E186C"/>
    <w:rsid w:val="003E18D9"/>
    <w:rsid w:val="003E196A"/>
    <w:rsid w:val="003E1C1C"/>
    <w:rsid w:val="003E1F06"/>
    <w:rsid w:val="003E20D5"/>
    <w:rsid w:val="003E22BF"/>
    <w:rsid w:val="003E2306"/>
    <w:rsid w:val="003E23AA"/>
    <w:rsid w:val="003E23E4"/>
    <w:rsid w:val="003E2428"/>
    <w:rsid w:val="003E2435"/>
    <w:rsid w:val="003E2687"/>
    <w:rsid w:val="003E26FC"/>
    <w:rsid w:val="003E272B"/>
    <w:rsid w:val="003E2758"/>
    <w:rsid w:val="003E28A4"/>
    <w:rsid w:val="003E28C9"/>
    <w:rsid w:val="003E294C"/>
    <w:rsid w:val="003E29CF"/>
    <w:rsid w:val="003E2E1C"/>
    <w:rsid w:val="003E2ED7"/>
    <w:rsid w:val="003E3002"/>
    <w:rsid w:val="003E311F"/>
    <w:rsid w:val="003E314C"/>
    <w:rsid w:val="003E31BE"/>
    <w:rsid w:val="003E33C1"/>
    <w:rsid w:val="003E36A1"/>
    <w:rsid w:val="003E39FE"/>
    <w:rsid w:val="003E3DF2"/>
    <w:rsid w:val="003E3F64"/>
    <w:rsid w:val="003E40AE"/>
    <w:rsid w:val="003E411D"/>
    <w:rsid w:val="003E43A2"/>
    <w:rsid w:val="003E4549"/>
    <w:rsid w:val="003E45E9"/>
    <w:rsid w:val="003E45F1"/>
    <w:rsid w:val="003E4631"/>
    <w:rsid w:val="003E4A2A"/>
    <w:rsid w:val="003E4AB0"/>
    <w:rsid w:val="003E4E1A"/>
    <w:rsid w:val="003E5151"/>
    <w:rsid w:val="003E5424"/>
    <w:rsid w:val="003E563D"/>
    <w:rsid w:val="003E5696"/>
    <w:rsid w:val="003E5857"/>
    <w:rsid w:val="003E586C"/>
    <w:rsid w:val="003E59B1"/>
    <w:rsid w:val="003E5AC4"/>
    <w:rsid w:val="003E5D48"/>
    <w:rsid w:val="003E5DEA"/>
    <w:rsid w:val="003E5E1C"/>
    <w:rsid w:val="003E5EA3"/>
    <w:rsid w:val="003E5EFB"/>
    <w:rsid w:val="003E5F07"/>
    <w:rsid w:val="003E5FC7"/>
    <w:rsid w:val="003E61B3"/>
    <w:rsid w:val="003E64AC"/>
    <w:rsid w:val="003E67FD"/>
    <w:rsid w:val="003E68EE"/>
    <w:rsid w:val="003E7014"/>
    <w:rsid w:val="003E701E"/>
    <w:rsid w:val="003E70AC"/>
    <w:rsid w:val="003E7202"/>
    <w:rsid w:val="003E7379"/>
    <w:rsid w:val="003E752E"/>
    <w:rsid w:val="003E75AE"/>
    <w:rsid w:val="003E7761"/>
    <w:rsid w:val="003E78C1"/>
    <w:rsid w:val="003E7919"/>
    <w:rsid w:val="003E7AAD"/>
    <w:rsid w:val="003E7FB7"/>
    <w:rsid w:val="003F00CD"/>
    <w:rsid w:val="003F03CB"/>
    <w:rsid w:val="003F053D"/>
    <w:rsid w:val="003F078C"/>
    <w:rsid w:val="003F0B11"/>
    <w:rsid w:val="003F0B3F"/>
    <w:rsid w:val="003F0BB3"/>
    <w:rsid w:val="003F0FC7"/>
    <w:rsid w:val="003F10A7"/>
    <w:rsid w:val="003F119A"/>
    <w:rsid w:val="003F11BF"/>
    <w:rsid w:val="003F14FC"/>
    <w:rsid w:val="003F1533"/>
    <w:rsid w:val="003F1BFF"/>
    <w:rsid w:val="003F1D43"/>
    <w:rsid w:val="003F1DEA"/>
    <w:rsid w:val="003F1F28"/>
    <w:rsid w:val="003F1FB9"/>
    <w:rsid w:val="003F2027"/>
    <w:rsid w:val="003F20C0"/>
    <w:rsid w:val="003F2108"/>
    <w:rsid w:val="003F2189"/>
    <w:rsid w:val="003F21D7"/>
    <w:rsid w:val="003F2378"/>
    <w:rsid w:val="003F23FD"/>
    <w:rsid w:val="003F243A"/>
    <w:rsid w:val="003F25F5"/>
    <w:rsid w:val="003F2646"/>
    <w:rsid w:val="003F2739"/>
    <w:rsid w:val="003F2A34"/>
    <w:rsid w:val="003F2C2D"/>
    <w:rsid w:val="003F2C66"/>
    <w:rsid w:val="003F2D99"/>
    <w:rsid w:val="003F2DB5"/>
    <w:rsid w:val="003F2DBA"/>
    <w:rsid w:val="003F2FF8"/>
    <w:rsid w:val="003F3577"/>
    <w:rsid w:val="003F35EE"/>
    <w:rsid w:val="003F3915"/>
    <w:rsid w:val="003F3B7E"/>
    <w:rsid w:val="003F3D84"/>
    <w:rsid w:val="003F3DF6"/>
    <w:rsid w:val="003F4131"/>
    <w:rsid w:val="003F4150"/>
    <w:rsid w:val="003F4218"/>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761"/>
    <w:rsid w:val="003F5AA4"/>
    <w:rsid w:val="003F5B29"/>
    <w:rsid w:val="003F5C4C"/>
    <w:rsid w:val="003F5D31"/>
    <w:rsid w:val="003F5D3B"/>
    <w:rsid w:val="003F5E17"/>
    <w:rsid w:val="003F6044"/>
    <w:rsid w:val="003F62B9"/>
    <w:rsid w:val="003F6334"/>
    <w:rsid w:val="003F6434"/>
    <w:rsid w:val="003F6722"/>
    <w:rsid w:val="003F694C"/>
    <w:rsid w:val="003F6B4E"/>
    <w:rsid w:val="003F70C4"/>
    <w:rsid w:val="003F70EF"/>
    <w:rsid w:val="003F7208"/>
    <w:rsid w:val="003F7389"/>
    <w:rsid w:val="003F7458"/>
    <w:rsid w:val="003F7860"/>
    <w:rsid w:val="003F7892"/>
    <w:rsid w:val="003F78BB"/>
    <w:rsid w:val="003F7A4F"/>
    <w:rsid w:val="003F7A5E"/>
    <w:rsid w:val="003F7C7C"/>
    <w:rsid w:val="003F7E27"/>
    <w:rsid w:val="003F7EFB"/>
    <w:rsid w:val="003F7F68"/>
    <w:rsid w:val="004000C3"/>
    <w:rsid w:val="004001B4"/>
    <w:rsid w:val="004001CC"/>
    <w:rsid w:val="0040049B"/>
    <w:rsid w:val="004005F5"/>
    <w:rsid w:val="00400B2D"/>
    <w:rsid w:val="00400B49"/>
    <w:rsid w:val="00400BFC"/>
    <w:rsid w:val="00400D6B"/>
    <w:rsid w:val="004010FA"/>
    <w:rsid w:val="004012A1"/>
    <w:rsid w:val="004012FE"/>
    <w:rsid w:val="004016D8"/>
    <w:rsid w:val="0040178C"/>
    <w:rsid w:val="004017A5"/>
    <w:rsid w:val="004017FD"/>
    <w:rsid w:val="0040191D"/>
    <w:rsid w:val="00401958"/>
    <w:rsid w:val="00401C55"/>
    <w:rsid w:val="00401CA5"/>
    <w:rsid w:val="00401F81"/>
    <w:rsid w:val="00401FCD"/>
    <w:rsid w:val="0040201E"/>
    <w:rsid w:val="0040226B"/>
    <w:rsid w:val="00402447"/>
    <w:rsid w:val="0040247D"/>
    <w:rsid w:val="0040265D"/>
    <w:rsid w:val="00402884"/>
    <w:rsid w:val="00402906"/>
    <w:rsid w:val="00402B91"/>
    <w:rsid w:val="00402F3E"/>
    <w:rsid w:val="00402FBC"/>
    <w:rsid w:val="00402FF1"/>
    <w:rsid w:val="0040312B"/>
    <w:rsid w:val="0040313D"/>
    <w:rsid w:val="004032BF"/>
    <w:rsid w:val="00403301"/>
    <w:rsid w:val="00403499"/>
    <w:rsid w:val="0040357E"/>
    <w:rsid w:val="00403611"/>
    <w:rsid w:val="00403688"/>
    <w:rsid w:val="004037D7"/>
    <w:rsid w:val="004038DD"/>
    <w:rsid w:val="00403B39"/>
    <w:rsid w:val="00403BDB"/>
    <w:rsid w:val="00403C24"/>
    <w:rsid w:val="00403CC2"/>
    <w:rsid w:val="00403CE1"/>
    <w:rsid w:val="00403D84"/>
    <w:rsid w:val="00403E4C"/>
    <w:rsid w:val="00403FE2"/>
    <w:rsid w:val="004040FC"/>
    <w:rsid w:val="00404238"/>
    <w:rsid w:val="004042A4"/>
    <w:rsid w:val="00404577"/>
    <w:rsid w:val="00404631"/>
    <w:rsid w:val="004048C0"/>
    <w:rsid w:val="00404D34"/>
    <w:rsid w:val="00404E88"/>
    <w:rsid w:val="00404F0F"/>
    <w:rsid w:val="0040525F"/>
    <w:rsid w:val="004054D6"/>
    <w:rsid w:val="00405706"/>
    <w:rsid w:val="0040573A"/>
    <w:rsid w:val="00405911"/>
    <w:rsid w:val="00405ACC"/>
    <w:rsid w:val="00405F38"/>
    <w:rsid w:val="00406100"/>
    <w:rsid w:val="004061D9"/>
    <w:rsid w:val="0040655C"/>
    <w:rsid w:val="00406560"/>
    <w:rsid w:val="0040684B"/>
    <w:rsid w:val="00406867"/>
    <w:rsid w:val="004068A2"/>
    <w:rsid w:val="004068E9"/>
    <w:rsid w:val="00406B7F"/>
    <w:rsid w:val="00406C6A"/>
    <w:rsid w:val="00406E2C"/>
    <w:rsid w:val="00406E99"/>
    <w:rsid w:val="004070B4"/>
    <w:rsid w:val="00407256"/>
    <w:rsid w:val="00407578"/>
    <w:rsid w:val="004076BD"/>
    <w:rsid w:val="004076DD"/>
    <w:rsid w:val="004076F3"/>
    <w:rsid w:val="00407805"/>
    <w:rsid w:val="0040784F"/>
    <w:rsid w:val="00407911"/>
    <w:rsid w:val="00407948"/>
    <w:rsid w:val="00407985"/>
    <w:rsid w:val="0040799D"/>
    <w:rsid w:val="00407B19"/>
    <w:rsid w:val="00407B92"/>
    <w:rsid w:val="00407BD2"/>
    <w:rsid w:val="00407CB9"/>
    <w:rsid w:val="00407D63"/>
    <w:rsid w:val="00407DB7"/>
    <w:rsid w:val="00407E4D"/>
    <w:rsid w:val="00410227"/>
    <w:rsid w:val="0041038A"/>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725"/>
    <w:rsid w:val="00411869"/>
    <w:rsid w:val="00411A15"/>
    <w:rsid w:val="00411B28"/>
    <w:rsid w:val="00411E80"/>
    <w:rsid w:val="00411FC1"/>
    <w:rsid w:val="004120A5"/>
    <w:rsid w:val="00412233"/>
    <w:rsid w:val="0041239F"/>
    <w:rsid w:val="0041244B"/>
    <w:rsid w:val="004125F5"/>
    <w:rsid w:val="00412B87"/>
    <w:rsid w:val="00412D6D"/>
    <w:rsid w:val="00412ECD"/>
    <w:rsid w:val="004133B9"/>
    <w:rsid w:val="00413413"/>
    <w:rsid w:val="004135C5"/>
    <w:rsid w:val="004139D6"/>
    <w:rsid w:val="004139DD"/>
    <w:rsid w:val="00413BFD"/>
    <w:rsid w:val="00413C13"/>
    <w:rsid w:val="00413C6D"/>
    <w:rsid w:val="00413D67"/>
    <w:rsid w:val="00413DA8"/>
    <w:rsid w:val="00413F61"/>
    <w:rsid w:val="004140BF"/>
    <w:rsid w:val="004142D7"/>
    <w:rsid w:val="004145CB"/>
    <w:rsid w:val="004148CE"/>
    <w:rsid w:val="00414A2D"/>
    <w:rsid w:val="00414AE4"/>
    <w:rsid w:val="00414BB0"/>
    <w:rsid w:val="00414E02"/>
    <w:rsid w:val="00414E86"/>
    <w:rsid w:val="004151CC"/>
    <w:rsid w:val="004151D2"/>
    <w:rsid w:val="0041525F"/>
    <w:rsid w:val="004154CE"/>
    <w:rsid w:val="00415642"/>
    <w:rsid w:val="004158CB"/>
    <w:rsid w:val="00415A9B"/>
    <w:rsid w:val="00415AAC"/>
    <w:rsid w:val="00415CB4"/>
    <w:rsid w:val="00415D27"/>
    <w:rsid w:val="00415DAB"/>
    <w:rsid w:val="00415DB1"/>
    <w:rsid w:val="00415EF0"/>
    <w:rsid w:val="00416074"/>
    <w:rsid w:val="00416237"/>
    <w:rsid w:val="0041651B"/>
    <w:rsid w:val="004166C8"/>
    <w:rsid w:val="004166F8"/>
    <w:rsid w:val="0041672D"/>
    <w:rsid w:val="00416733"/>
    <w:rsid w:val="00416822"/>
    <w:rsid w:val="004169A1"/>
    <w:rsid w:val="00416A15"/>
    <w:rsid w:val="00416AAE"/>
    <w:rsid w:val="00416ABD"/>
    <w:rsid w:val="00416B4F"/>
    <w:rsid w:val="00416D1D"/>
    <w:rsid w:val="00416D6C"/>
    <w:rsid w:val="00416E9F"/>
    <w:rsid w:val="00416F21"/>
    <w:rsid w:val="00417092"/>
    <w:rsid w:val="004172DA"/>
    <w:rsid w:val="0041777B"/>
    <w:rsid w:val="004177C7"/>
    <w:rsid w:val="004179E0"/>
    <w:rsid w:val="00417CF7"/>
    <w:rsid w:val="00417EDA"/>
    <w:rsid w:val="004200FA"/>
    <w:rsid w:val="004203E4"/>
    <w:rsid w:val="00420407"/>
    <w:rsid w:val="00420519"/>
    <w:rsid w:val="004205C2"/>
    <w:rsid w:val="004206E1"/>
    <w:rsid w:val="004208E6"/>
    <w:rsid w:val="00420A25"/>
    <w:rsid w:val="00420B66"/>
    <w:rsid w:val="00420C75"/>
    <w:rsid w:val="00420CCF"/>
    <w:rsid w:val="00420CFC"/>
    <w:rsid w:val="00420DFD"/>
    <w:rsid w:val="00420EC8"/>
    <w:rsid w:val="0042121F"/>
    <w:rsid w:val="00421271"/>
    <w:rsid w:val="00421391"/>
    <w:rsid w:val="004213EE"/>
    <w:rsid w:val="00421484"/>
    <w:rsid w:val="00421955"/>
    <w:rsid w:val="004219DB"/>
    <w:rsid w:val="00421A60"/>
    <w:rsid w:val="00421CEF"/>
    <w:rsid w:val="00421EE2"/>
    <w:rsid w:val="00421F63"/>
    <w:rsid w:val="00422105"/>
    <w:rsid w:val="004221EB"/>
    <w:rsid w:val="004222F4"/>
    <w:rsid w:val="0042242B"/>
    <w:rsid w:val="00422431"/>
    <w:rsid w:val="00422540"/>
    <w:rsid w:val="00422801"/>
    <w:rsid w:val="004228BB"/>
    <w:rsid w:val="00422A3A"/>
    <w:rsid w:val="00422CFD"/>
    <w:rsid w:val="00422E7A"/>
    <w:rsid w:val="00422E7C"/>
    <w:rsid w:val="00422FC8"/>
    <w:rsid w:val="00422FED"/>
    <w:rsid w:val="004230F1"/>
    <w:rsid w:val="0042317D"/>
    <w:rsid w:val="00423244"/>
    <w:rsid w:val="00423693"/>
    <w:rsid w:val="004236C0"/>
    <w:rsid w:val="004237EA"/>
    <w:rsid w:val="0042393C"/>
    <w:rsid w:val="00423944"/>
    <w:rsid w:val="00423AAE"/>
    <w:rsid w:val="00423CB9"/>
    <w:rsid w:val="00423EB7"/>
    <w:rsid w:val="00423EBE"/>
    <w:rsid w:val="00423EF5"/>
    <w:rsid w:val="00424255"/>
    <w:rsid w:val="004247E5"/>
    <w:rsid w:val="0042501E"/>
    <w:rsid w:val="00425212"/>
    <w:rsid w:val="00425604"/>
    <w:rsid w:val="00425726"/>
    <w:rsid w:val="004258CC"/>
    <w:rsid w:val="00425989"/>
    <w:rsid w:val="00425E5B"/>
    <w:rsid w:val="00425EEB"/>
    <w:rsid w:val="00426146"/>
    <w:rsid w:val="00426577"/>
    <w:rsid w:val="004265A9"/>
    <w:rsid w:val="004266B7"/>
    <w:rsid w:val="004267B4"/>
    <w:rsid w:val="004269F8"/>
    <w:rsid w:val="00426AFF"/>
    <w:rsid w:val="00426FE8"/>
    <w:rsid w:val="00427117"/>
    <w:rsid w:val="004273A5"/>
    <w:rsid w:val="004274D5"/>
    <w:rsid w:val="00427900"/>
    <w:rsid w:val="0042794A"/>
    <w:rsid w:val="00427C79"/>
    <w:rsid w:val="00427EB9"/>
    <w:rsid w:val="00430795"/>
    <w:rsid w:val="00430B05"/>
    <w:rsid w:val="00430BB7"/>
    <w:rsid w:val="00430FB8"/>
    <w:rsid w:val="004310BB"/>
    <w:rsid w:val="004313BC"/>
    <w:rsid w:val="004314AF"/>
    <w:rsid w:val="00431608"/>
    <w:rsid w:val="0043188C"/>
    <w:rsid w:val="00431CCD"/>
    <w:rsid w:val="00431F9F"/>
    <w:rsid w:val="00432053"/>
    <w:rsid w:val="0043209B"/>
    <w:rsid w:val="0043250D"/>
    <w:rsid w:val="004325DE"/>
    <w:rsid w:val="00432798"/>
    <w:rsid w:val="00432888"/>
    <w:rsid w:val="004328CD"/>
    <w:rsid w:val="004329C3"/>
    <w:rsid w:val="004329FA"/>
    <w:rsid w:val="00432AEB"/>
    <w:rsid w:val="00432D72"/>
    <w:rsid w:val="00432E0A"/>
    <w:rsid w:val="00432EFE"/>
    <w:rsid w:val="004333AE"/>
    <w:rsid w:val="00433528"/>
    <w:rsid w:val="00433557"/>
    <w:rsid w:val="00433862"/>
    <w:rsid w:val="004338C7"/>
    <w:rsid w:val="00433989"/>
    <w:rsid w:val="00433BAB"/>
    <w:rsid w:val="00433F8B"/>
    <w:rsid w:val="004340E8"/>
    <w:rsid w:val="00434614"/>
    <w:rsid w:val="0043463F"/>
    <w:rsid w:val="0043474D"/>
    <w:rsid w:val="004347C3"/>
    <w:rsid w:val="00434807"/>
    <w:rsid w:val="004349F7"/>
    <w:rsid w:val="00434AD0"/>
    <w:rsid w:val="00434B45"/>
    <w:rsid w:val="00434DF4"/>
    <w:rsid w:val="00434E06"/>
    <w:rsid w:val="00434ECA"/>
    <w:rsid w:val="00434F4A"/>
    <w:rsid w:val="00434FDA"/>
    <w:rsid w:val="0043543D"/>
    <w:rsid w:val="0043559E"/>
    <w:rsid w:val="004357D6"/>
    <w:rsid w:val="00435875"/>
    <w:rsid w:val="00435C7F"/>
    <w:rsid w:val="00435D20"/>
    <w:rsid w:val="00435E0F"/>
    <w:rsid w:val="00435EAA"/>
    <w:rsid w:val="00435F83"/>
    <w:rsid w:val="004360D7"/>
    <w:rsid w:val="0043627F"/>
    <w:rsid w:val="004362F0"/>
    <w:rsid w:val="004362F2"/>
    <w:rsid w:val="00436312"/>
    <w:rsid w:val="0043634D"/>
    <w:rsid w:val="00436745"/>
    <w:rsid w:val="00436C4E"/>
    <w:rsid w:val="00436F0B"/>
    <w:rsid w:val="0043725A"/>
    <w:rsid w:val="004372D6"/>
    <w:rsid w:val="0043749C"/>
    <w:rsid w:val="0043771D"/>
    <w:rsid w:val="00437A82"/>
    <w:rsid w:val="00437AB0"/>
    <w:rsid w:val="00437B50"/>
    <w:rsid w:val="00437B82"/>
    <w:rsid w:val="00437B98"/>
    <w:rsid w:val="00437C90"/>
    <w:rsid w:val="00437C93"/>
    <w:rsid w:val="0044009C"/>
    <w:rsid w:val="00440581"/>
    <w:rsid w:val="004405C4"/>
    <w:rsid w:val="00440746"/>
    <w:rsid w:val="0044077E"/>
    <w:rsid w:val="004408C3"/>
    <w:rsid w:val="0044092C"/>
    <w:rsid w:val="00440C95"/>
    <w:rsid w:val="00440F56"/>
    <w:rsid w:val="00440FDA"/>
    <w:rsid w:val="00441264"/>
    <w:rsid w:val="00441298"/>
    <w:rsid w:val="00441353"/>
    <w:rsid w:val="00441580"/>
    <w:rsid w:val="00441616"/>
    <w:rsid w:val="00441637"/>
    <w:rsid w:val="004417AD"/>
    <w:rsid w:val="00441868"/>
    <w:rsid w:val="00441953"/>
    <w:rsid w:val="00441C2E"/>
    <w:rsid w:val="00441D91"/>
    <w:rsid w:val="00441E32"/>
    <w:rsid w:val="00442009"/>
    <w:rsid w:val="0044205B"/>
    <w:rsid w:val="004421BE"/>
    <w:rsid w:val="004422A6"/>
    <w:rsid w:val="00442362"/>
    <w:rsid w:val="00442441"/>
    <w:rsid w:val="0044244D"/>
    <w:rsid w:val="00442652"/>
    <w:rsid w:val="00442850"/>
    <w:rsid w:val="00442950"/>
    <w:rsid w:val="0044299C"/>
    <w:rsid w:val="00442A2B"/>
    <w:rsid w:val="00442B3B"/>
    <w:rsid w:val="00442BD0"/>
    <w:rsid w:val="00442E42"/>
    <w:rsid w:val="00442F16"/>
    <w:rsid w:val="00443106"/>
    <w:rsid w:val="004431BF"/>
    <w:rsid w:val="0044325B"/>
    <w:rsid w:val="004432D9"/>
    <w:rsid w:val="004433D9"/>
    <w:rsid w:val="00443439"/>
    <w:rsid w:val="00443735"/>
    <w:rsid w:val="0044386A"/>
    <w:rsid w:val="00443F39"/>
    <w:rsid w:val="0044444C"/>
    <w:rsid w:val="00444508"/>
    <w:rsid w:val="00444621"/>
    <w:rsid w:val="00444628"/>
    <w:rsid w:val="00444C2C"/>
    <w:rsid w:val="00444D7E"/>
    <w:rsid w:val="00444E07"/>
    <w:rsid w:val="00444F5A"/>
    <w:rsid w:val="004450DE"/>
    <w:rsid w:val="0044528D"/>
    <w:rsid w:val="004452EF"/>
    <w:rsid w:val="004457FA"/>
    <w:rsid w:val="00445869"/>
    <w:rsid w:val="0044588E"/>
    <w:rsid w:val="00445AE4"/>
    <w:rsid w:val="00445B18"/>
    <w:rsid w:val="00446025"/>
    <w:rsid w:val="00446507"/>
    <w:rsid w:val="00446567"/>
    <w:rsid w:val="004465EA"/>
    <w:rsid w:val="0044669D"/>
    <w:rsid w:val="004467BF"/>
    <w:rsid w:val="00446800"/>
    <w:rsid w:val="004468F2"/>
    <w:rsid w:val="00446BAA"/>
    <w:rsid w:val="00446C00"/>
    <w:rsid w:val="00446C0C"/>
    <w:rsid w:val="00446D83"/>
    <w:rsid w:val="00446EF2"/>
    <w:rsid w:val="00446F1A"/>
    <w:rsid w:val="00446F3F"/>
    <w:rsid w:val="004470FF"/>
    <w:rsid w:val="0044711C"/>
    <w:rsid w:val="0044721C"/>
    <w:rsid w:val="004472E8"/>
    <w:rsid w:val="00447352"/>
    <w:rsid w:val="004473A4"/>
    <w:rsid w:val="004473F9"/>
    <w:rsid w:val="0044744D"/>
    <w:rsid w:val="004474BF"/>
    <w:rsid w:val="00447665"/>
    <w:rsid w:val="00447688"/>
    <w:rsid w:val="004476A4"/>
    <w:rsid w:val="00447759"/>
    <w:rsid w:val="00447825"/>
    <w:rsid w:val="00447990"/>
    <w:rsid w:val="00447A05"/>
    <w:rsid w:val="00447C05"/>
    <w:rsid w:val="00447CC4"/>
    <w:rsid w:val="00447D8A"/>
    <w:rsid w:val="00447DFB"/>
    <w:rsid w:val="00447E9D"/>
    <w:rsid w:val="00447F49"/>
    <w:rsid w:val="00450060"/>
    <w:rsid w:val="004501A0"/>
    <w:rsid w:val="004504CE"/>
    <w:rsid w:val="0045052D"/>
    <w:rsid w:val="00450621"/>
    <w:rsid w:val="00450803"/>
    <w:rsid w:val="0045081B"/>
    <w:rsid w:val="00450A48"/>
    <w:rsid w:val="00450B88"/>
    <w:rsid w:val="00450FA2"/>
    <w:rsid w:val="00451380"/>
    <w:rsid w:val="004513A4"/>
    <w:rsid w:val="0045150E"/>
    <w:rsid w:val="004516C2"/>
    <w:rsid w:val="00451976"/>
    <w:rsid w:val="00451BA8"/>
    <w:rsid w:val="00451BBB"/>
    <w:rsid w:val="00451C14"/>
    <w:rsid w:val="00451C41"/>
    <w:rsid w:val="00451D0F"/>
    <w:rsid w:val="004523ED"/>
    <w:rsid w:val="00452A59"/>
    <w:rsid w:val="00452F04"/>
    <w:rsid w:val="00453099"/>
    <w:rsid w:val="004530AD"/>
    <w:rsid w:val="004530EA"/>
    <w:rsid w:val="0045310B"/>
    <w:rsid w:val="00453228"/>
    <w:rsid w:val="00453575"/>
    <w:rsid w:val="00453657"/>
    <w:rsid w:val="00453970"/>
    <w:rsid w:val="00453A1F"/>
    <w:rsid w:val="00453A68"/>
    <w:rsid w:val="00453AC1"/>
    <w:rsid w:val="00453C28"/>
    <w:rsid w:val="00453C6D"/>
    <w:rsid w:val="00453D35"/>
    <w:rsid w:val="00453EAF"/>
    <w:rsid w:val="00453EB7"/>
    <w:rsid w:val="00453FF0"/>
    <w:rsid w:val="004540BD"/>
    <w:rsid w:val="00454222"/>
    <w:rsid w:val="0045449D"/>
    <w:rsid w:val="00454597"/>
    <w:rsid w:val="00454681"/>
    <w:rsid w:val="00454BA9"/>
    <w:rsid w:val="00454C79"/>
    <w:rsid w:val="00454D42"/>
    <w:rsid w:val="00454E22"/>
    <w:rsid w:val="00454E6D"/>
    <w:rsid w:val="00455471"/>
    <w:rsid w:val="00455537"/>
    <w:rsid w:val="00455649"/>
    <w:rsid w:val="0045577D"/>
    <w:rsid w:val="004558C6"/>
    <w:rsid w:val="00455B04"/>
    <w:rsid w:val="00455EFE"/>
    <w:rsid w:val="00455FC7"/>
    <w:rsid w:val="00455FF1"/>
    <w:rsid w:val="00456082"/>
    <w:rsid w:val="004560C9"/>
    <w:rsid w:val="00456529"/>
    <w:rsid w:val="0045674B"/>
    <w:rsid w:val="00456971"/>
    <w:rsid w:val="004569F2"/>
    <w:rsid w:val="00456B7A"/>
    <w:rsid w:val="00456B9C"/>
    <w:rsid w:val="00456E2A"/>
    <w:rsid w:val="00456E33"/>
    <w:rsid w:val="00456E7A"/>
    <w:rsid w:val="00456EA0"/>
    <w:rsid w:val="00457530"/>
    <w:rsid w:val="00457660"/>
    <w:rsid w:val="00457A0C"/>
    <w:rsid w:val="00457C9E"/>
    <w:rsid w:val="00457CD0"/>
    <w:rsid w:val="00457CDC"/>
    <w:rsid w:val="00457EE3"/>
    <w:rsid w:val="0046018E"/>
    <w:rsid w:val="004601A7"/>
    <w:rsid w:val="0046026A"/>
    <w:rsid w:val="0046060A"/>
    <w:rsid w:val="00460655"/>
    <w:rsid w:val="0046083F"/>
    <w:rsid w:val="004609BE"/>
    <w:rsid w:val="00460A97"/>
    <w:rsid w:val="00460BD0"/>
    <w:rsid w:val="00460DB8"/>
    <w:rsid w:val="00461101"/>
    <w:rsid w:val="00461360"/>
    <w:rsid w:val="004613EA"/>
    <w:rsid w:val="0046143A"/>
    <w:rsid w:val="0046195A"/>
    <w:rsid w:val="00461A33"/>
    <w:rsid w:val="00461D3B"/>
    <w:rsid w:val="00461D71"/>
    <w:rsid w:val="00462091"/>
    <w:rsid w:val="0046242C"/>
    <w:rsid w:val="0046255D"/>
    <w:rsid w:val="004625FF"/>
    <w:rsid w:val="0046287E"/>
    <w:rsid w:val="00462998"/>
    <w:rsid w:val="00462A26"/>
    <w:rsid w:val="00462E58"/>
    <w:rsid w:val="00462F77"/>
    <w:rsid w:val="00462F91"/>
    <w:rsid w:val="00462FB9"/>
    <w:rsid w:val="004631A5"/>
    <w:rsid w:val="00463209"/>
    <w:rsid w:val="0046361D"/>
    <w:rsid w:val="004636A4"/>
    <w:rsid w:val="00463A32"/>
    <w:rsid w:val="00463A60"/>
    <w:rsid w:val="00463B40"/>
    <w:rsid w:val="00463D0D"/>
    <w:rsid w:val="00463DC7"/>
    <w:rsid w:val="00463DDD"/>
    <w:rsid w:val="00463E00"/>
    <w:rsid w:val="00463F48"/>
    <w:rsid w:val="00463FDD"/>
    <w:rsid w:val="00464257"/>
    <w:rsid w:val="00464271"/>
    <w:rsid w:val="0046428C"/>
    <w:rsid w:val="00464310"/>
    <w:rsid w:val="0046461B"/>
    <w:rsid w:val="00464632"/>
    <w:rsid w:val="004648D8"/>
    <w:rsid w:val="004648D9"/>
    <w:rsid w:val="00464E10"/>
    <w:rsid w:val="00464E42"/>
    <w:rsid w:val="00465068"/>
    <w:rsid w:val="0046513C"/>
    <w:rsid w:val="00465162"/>
    <w:rsid w:val="0046519C"/>
    <w:rsid w:val="004653F0"/>
    <w:rsid w:val="00465415"/>
    <w:rsid w:val="00465442"/>
    <w:rsid w:val="0046547C"/>
    <w:rsid w:val="00465510"/>
    <w:rsid w:val="00465561"/>
    <w:rsid w:val="00465668"/>
    <w:rsid w:val="00465798"/>
    <w:rsid w:val="00465800"/>
    <w:rsid w:val="00465818"/>
    <w:rsid w:val="00465930"/>
    <w:rsid w:val="00465C02"/>
    <w:rsid w:val="00465DB1"/>
    <w:rsid w:val="00465F78"/>
    <w:rsid w:val="00466153"/>
    <w:rsid w:val="004662F6"/>
    <w:rsid w:val="0046645A"/>
    <w:rsid w:val="004668CE"/>
    <w:rsid w:val="00466D4B"/>
    <w:rsid w:val="00466E7F"/>
    <w:rsid w:val="00466F60"/>
    <w:rsid w:val="004670D1"/>
    <w:rsid w:val="004671D9"/>
    <w:rsid w:val="004672B7"/>
    <w:rsid w:val="004673E9"/>
    <w:rsid w:val="00467447"/>
    <w:rsid w:val="00467499"/>
    <w:rsid w:val="00467634"/>
    <w:rsid w:val="004676FA"/>
    <w:rsid w:val="00467802"/>
    <w:rsid w:val="00467906"/>
    <w:rsid w:val="004679DE"/>
    <w:rsid w:val="00467C27"/>
    <w:rsid w:val="00467CEB"/>
    <w:rsid w:val="00467FBD"/>
    <w:rsid w:val="004701D5"/>
    <w:rsid w:val="004703FD"/>
    <w:rsid w:val="004704AD"/>
    <w:rsid w:val="004704B9"/>
    <w:rsid w:val="00470509"/>
    <w:rsid w:val="00470554"/>
    <w:rsid w:val="0047058C"/>
    <w:rsid w:val="00470BDE"/>
    <w:rsid w:val="00470C58"/>
    <w:rsid w:val="00470EF1"/>
    <w:rsid w:val="00470FAC"/>
    <w:rsid w:val="00470FB6"/>
    <w:rsid w:val="004710A9"/>
    <w:rsid w:val="004713EB"/>
    <w:rsid w:val="004716D3"/>
    <w:rsid w:val="004717EF"/>
    <w:rsid w:val="0047185E"/>
    <w:rsid w:val="00471F40"/>
    <w:rsid w:val="00472004"/>
    <w:rsid w:val="00472175"/>
    <w:rsid w:val="00472183"/>
    <w:rsid w:val="004721DD"/>
    <w:rsid w:val="0047221E"/>
    <w:rsid w:val="004722B8"/>
    <w:rsid w:val="004723F4"/>
    <w:rsid w:val="004724DE"/>
    <w:rsid w:val="00472768"/>
    <w:rsid w:val="00472894"/>
    <w:rsid w:val="004728F0"/>
    <w:rsid w:val="00472A57"/>
    <w:rsid w:val="00472AC9"/>
    <w:rsid w:val="00472F72"/>
    <w:rsid w:val="00473017"/>
    <w:rsid w:val="004730DF"/>
    <w:rsid w:val="004732CA"/>
    <w:rsid w:val="0047335C"/>
    <w:rsid w:val="0047343A"/>
    <w:rsid w:val="00473CCA"/>
    <w:rsid w:val="00473D8E"/>
    <w:rsid w:val="00473F38"/>
    <w:rsid w:val="00473FBA"/>
    <w:rsid w:val="00474296"/>
    <w:rsid w:val="004743D3"/>
    <w:rsid w:val="004744F0"/>
    <w:rsid w:val="004747AB"/>
    <w:rsid w:val="00474830"/>
    <w:rsid w:val="00474AE1"/>
    <w:rsid w:val="00474B15"/>
    <w:rsid w:val="00474C2F"/>
    <w:rsid w:val="00474CF8"/>
    <w:rsid w:val="00474D8B"/>
    <w:rsid w:val="00474DD4"/>
    <w:rsid w:val="00474E10"/>
    <w:rsid w:val="004751B6"/>
    <w:rsid w:val="00475414"/>
    <w:rsid w:val="00475553"/>
    <w:rsid w:val="0047562E"/>
    <w:rsid w:val="004758B8"/>
    <w:rsid w:val="00475980"/>
    <w:rsid w:val="00475AA7"/>
    <w:rsid w:val="00475EBE"/>
    <w:rsid w:val="00475F91"/>
    <w:rsid w:val="00476038"/>
    <w:rsid w:val="0047625D"/>
    <w:rsid w:val="004762EF"/>
    <w:rsid w:val="00476392"/>
    <w:rsid w:val="00476577"/>
    <w:rsid w:val="004767E9"/>
    <w:rsid w:val="00476875"/>
    <w:rsid w:val="00476878"/>
    <w:rsid w:val="00476C2A"/>
    <w:rsid w:val="00476C64"/>
    <w:rsid w:val="00476EEB"/>
    <w:rsid w:val="00476F68"/>
    <w:rsid w:val="00477332"/>
    <w:rsid w:val="004773FE"/>
    <w:rsid w:val="004774A4"/>
    <w:rsid w:val="00477A3E"/>
    <w:rsid w:val="00480143"/>
    <w:rsid w:val="00480197"/>
    <w:rsid w:val="004801AE"/>
    <w:rsid w:val="00480447"/>
    <w:rsid w:val="004804DF"/>
    <w:rsid w:val="004806A9"/>
    <w:rsid w:val="004807D4"/>
    <w:rsid w:val="004808E8"/>
    <w:rsid w:val="004809AD"/>
    <w:rsid w:val="00480A25"/>
    <w:rsid w:val="00480AAF"/>
    <w:rsid w:val="00480CE2"/>
    <w:rsid w:val="00480DA4"/>
    <w:rsid w:val="00480EA1"/>
    <w:rsid w:val="00480F5F"/>
    <w:rsid w:val="00481004"/>
    <w:rsid w:val="004811D8"/>
    <w:rsid w:val="004813AC"/>
    <w:rsid w:val="004813BA"/>
    <w:rsid w:val="00481423"/>
    <w:rsid w:val="0048185C"/>
    <w:rsid w:val="004818BB"/>
    <w:rsid w:val="00481907"/>
    <w:rsid w:val="00481909"/>
    <w:rsid w:val="0048193B"/>
    <w:rsid w:val="004819C6"/>
    <w:rsid w:val="00481B17"/>
    <w:rsid w:val="00481DAE"/>
    <w:rsid w:val="00481E11"/>
    <w:rsid w:val="00481E14"/>
    <w:rsid w:val="00481E79"/>
    <w:rsid w:val="00481FBE"/>
    <w:rsid w:val="004820D4"/>
    <w:rsid w:val="004825B0"/>
    <w:rsid w:val="004825D1"/>
    <w:rsid w:val="004826BB"/>
    <w:rsid w:val="0048271C"/>
    <w:rsid w:val="00482740"/>
    <w:rsid w:val="004827C1"/>
    <w:rsid w:val="00482940"/>
    <w:rsid w:val="0048298D"/>
    <w:rsid w:val="00482B4E"/>
    <w:rsid w:val="00482D67"/>
    <w:rsid w:val="00483076"/>
    <w:rsid w:val="0048311E"/>
    <w:rsid w:val="00483268"/>
    <w:rsid w:val="004834A0"/>
    <w:rsid w:val="00483564"/>
    <w:rsid w:val="00483787"/>
    <w:rsid w:val="00483B13"/>
    <w:rsid w:val="00483FA4"/>
    <w:rsid w:val="00483FA8"/>
    <w:rsid w:val="0048401A"/>
    <w:rsid w:val="00484146"/>
    <w:rsid w:val="00484323"/>
    <w:rsid w:val="00484940"/>
    <w:rsid w:val="004849AC"/>
    <w:rsid w:val="00484BDA"/>
    <w:rsid w:val="00484CEE"/>
    <w:rsid w:val="00484D78"/>
    <w:rsid w:val="00484DD1"/>
    <w:rsid w:val="00484F62"/>
    <w:rsid w:val="00485293"/>
    <w:rsid w:val="004852A4"/>
    <w:rsid w:val="00485390"/>
    <w:rsid w:val="0048539E"/>
    <w:rsid w:val="00485778"/>
    <w:rsid w:val="004857C0"/>
    <w:rsid w:val="004857FA"/>
    <w:rsid w:val="00485BFF"/>
    <w:rsid w:val="00486110"/>
    <w:rsid w:val="0048615D"/>
    <w:rsid w:val="00486172"/>
    <w:rsid w:val="004862F9"/>
    <w:rsid w:val="004863A0"/>
    <w:rsid w:val="0048643B"/>
    <w:rsid w:val="00486758"/>
    <w:rsid w:val="00486781"/>
    <w:rsid w:val="004867B3"/>
    <w:rsid w:val="00486828"/>
    <w:rsid w:val="00486A81"/>
    <w:rsid w:val="00486C18"/>
    <w:rsid w:val="00486C65"/>
    <w:rsid w:val="00486EB8"/>
    <w:rsid w:val="00486F33"/>
    <w:rsid w:val="0048703C"/>
    <w:rsid w:val="004873C5"/>
    <w:rsid w:val="004873D1"/>
    <w:rsid w:val="004874EC"/>
    <w:rsid w:val="00487522"/>
    <w:rsid w:val="00487612"/>
    <w:rsid w:val="00487675"/>
    <w:rsid w:val="004877C2"/>
    <w:rsid w:val="00487AE5"/>
    <w:rsid w:val="00487C78"/>
    <w:rsid w:val="00487D6A"/>
    <w:rsid w:val="00487E4B"/>
    <w:rsid w:val="00490165"/>
    <w:rsid w:val="0049020B"/>
    <w:rsid w:val="00490327"/>
    <w:rsid w:val="004903EF"/>
    <w:rsid w:val="00490502"/>
    <w:rsid w:val="004905DC"/>
    <w:rsid w:val="00490882"/>
    <w:rsid w:val="004909AB"/>
    <w:rsid w:val="00490A8C"/>
    <w:rsid w:val="00490BE5"/>
    <w:rsid w:val="00490D6E"/>
    <w:rsid w:val="00490E64"/>
    <w:rsid w:val="00490EEF"/>
    <w:rsid w:val="004911D6"/>
    <w:rsid w:val="004911FA"/>
    <w:rsid w:val="004915D5"/>
    <w:rsid w:val="00491A3F"/>
    <w:rsid w:val="00491A6D"/>
    <w:rsid w:val="00491B11"/>
    <w:rsid w:val="00491BBA"/>
    <w:rsid w:val="00491C37"/>
    <w:rsid w:val="00491F0E"/>
    <w:rsid w:val="004921B4"/>
    <w:rsid w:val="00492372"/>
    <w:rsid w:val="00492736"/>
    <w:rsid w:val="00492773"/>
    <w:rsid w:val="00492844"/>
    <w:rsid w:val="00492910"/>
    <w:rsid w:val="0049293F"/>
    <w:rsid w:val="00492993"/>
    <w:rsid w:val="004929F5"/>
    <w:rsid w:val="00492AC1"/>
    <w:rsid w:val="00492E96"/>
    <w:rsid w:val="0049300D"/>
    <w:rsid w:val="00493040"/>
    <w:rsid w:val="0049325A"/>
    <w:rsid w:val="00493357"/>
    <w:rsid w:val="0049340A"/>
    <w:rsid w:val="004934C9"/>
    <w:rsid w:val="00493995"/>
    <w:rsid w:val="004939AC"/>
    <w:rsid w:val="004939CF"/>
    <w:rsid w:val="00493C93"/>
    <w:rsid w:val="00493EA4"/>
    <w:rsid w:val="00493FA2"/>
    <w:rsid w:val="00494004"/>
    <w:rsid w:val="00494010"/>
    <w:rsid w:val="00494334"/>
    <w:rsid w:val="0049436E"/>
    <w:rsid w:val="004948B2"/>
    <w:rsid w:val="004948B6"/>
    <w:rsid w:val="00494B41"/>
    <w:rsid w:val="00494CCA"/>
    <w:rsid w:val="00494EF0"/>
    <w:rsid w:val="00494F63"/>
    <w:rsid w:val="00494F75"/>
    <w:rsid w:val="0049509B"/>
    <w:rsid w:val="0049516D"/>
    <w:rsid w:val="004951D9"/>
    <w:rsid w:val="00495331"/>
    <w:rsid w:val="00495727"/>
    <w:rsid w:val="0049577D"/>
    <w:rsid w:val="004957DB"/>
    <w:rsid w:val="00495830"/>
    <w:rsid w:val="00495CF6"/>
    <w:rsid w:val="0049615B"/>
    <w:rsid w:val="0049615D"/>
    <w:rsid w:val="004961D2"/>
    <w:rsid w:val="00496353"/>
    <w:rsid w:val="0049636E"/>
    <w:rsid w:val="00496404"/>
    <w:rsid w:val="00496598"/>
    <w:rsid w:val="0049679C"/>
    <w:rsid w:val="00496A4C"/>
    <w:rsid w:val="00496C13"/>
    <w:rsid w:val="00496E3A"/>
    <w:rsid w:val="00497055"/>
    <w:rsid w:val="0049709D"/>
    <w:rsid w:val="0049719E"/>
    <w:rsid w:val="00497237"/>
    <w:rsid w:val="00497257"/>
    <w:rsid w:val="0049734B"/>
    <w:rsid w:val="0049737F"/>
    <w:rsid w:val="00497477"/>
    <w:rsid w:val="004977F8"/>
    <w:rsid w:val="00497906"/>
    <w:rsid w:val="004979E9"/>
    <w:rsid w:val="00497AB8"/>
    <w:rsid w:val="00497CA8"/>
    <w:rsid w:val="00497CEF"/>
    <w:rsid w:val="00497E48"/>
    <w:rsid w:val="00497F49"/>
    <w:rsid w:val="004A0107"/>
    <w:rsid w:val="004A0344"/>
    <w:rsid w:val="004A0394"/>
    <w:rsid w:val="004A03FA"/>
    <w:rsid w:val="004A05F3"/>
    <w:rsid w:val="004A0685"/>
    <w:rsid w:val="004A06E6"/>
    <w:rsid w:val="004A07A1"/>
    <w:rsid w:val="004A07BC"/>
    <w:rsid w:val="004A0A8C"/>
    <w:rsid w:val="004A0B9A"/>
    <w:rsid w:val="004A0BFC"/>
    <w:rsid w:val="004A0C2D"/>
    <w:rsid w:val="004A0D90"/>
    <w:rsid w:val="004A0E94"/>
    <w:rsid w:val="004A0F1E"/>
    <w:rsid w:val="004A0F33"/>
    <w:rsid w:val="004A10F7"/>
    <w:rsid w:val="004A1133"/>
    <w:rsid w:val="004A124E"/>
    <w:rsid w:val="004A127E"/>
    <w:rsid w:val="004A1469"/>
    <w:rsid w:val="004A154D"/>
    <w:rsid w:val="004A158C"/>
    <w:rsid w:val="004A18D7"/>
    <w:rsid w:val="004A1A6C"/>
    <w:rsid w:val="004A1AB7"/>
    <w:rsid w:val="004A1B1C"/>
    <w:rsid w:val="004A1C8F"/>
    <w:rsid w:val="004A1D7C"/>
    <w:rsid w:val="004A1D90"/>
    <w:rsid w:val="004A1E98"/>
    <w:rsid w:val="004A2034"/>
    <w:rsid w:val="004A2079"/>
    <w:rsid w:val="004A2083"/>
    <w:rsid w:val="004A223C"/>
    <w:rsid w:val="004A259A"/>
    <w:rsid w:val="004A26F5"/>
    <w:rsid w:val="004A276E"/>
    <w:rsid w:val="004A292A"/>
    <w:rsid w:val="004A2984"/>
    <w:rsid w:val="004A2A3A"/>
    <w:rsid w:val="004A2CFB"/>
    <w:rsid w:val="004A2D69"/>
    <w:rsid w:val="004A2E4F"/>
    <w:rsid w:val="004A3400"/>
    <w:rsid w:val="004A34DC"/>
    <w:rsid w:val="004A3711"/>
    <w:rsid w:val="004A3728"/>
    <w:rsid w:val="004A3933"/>
    <w:rsid w:val="004A3987"/>
    <w:rsid w:val="004A39A0"/>
    <w:rsid w:val="004A3A0D"/>
    <w:rsid w:val="004A3BD8"/>
    <w:rsid w:val="004A3C4B"/>
    <w:rsid w:val="004A3FD5"/>
    <w:rsid w:val="004A40B8"/>
    <w:rsid w:val="004A41CE"/>
    <w:rsid w:val="004A4375"/>
    <w:rsid w:val="004A442A"/>
    <w:rsid w:val="004A44CA"/>
    <w:rsid w:val="004A45A5"/>
    <w:rsid w:val="004A46E0"/>
    <w:rsid w:val="004A4954"/>
    <w:rsid w:val="004A4A4E"/>
    <w:rsid w:val="004A4A5C"/>
    <w:rsid w:val="004A4AA2"/>
    <w:rsid w:val="004A4F06"/>
    <w:rsid w:val="004A4F78"/>
    <w:rsid w:val="004A525F"/>
    <w:rsid w:val="004A534E"/>
    <w:rsid w:val="004A53F7"/>
    <w:rsid w:val="004A54DE"/>
    <w:rsid w:val="004A5D3B"/>
    <w:rsid w:val="004A5F95"/>
    <w:rsid w:val="004A608B"/>
    <w:rsid w:val="004A6253"/>
    <w:rsid w:val="004A63A9"/>
    <w:rsid w:val="004A6462"/>
    <w:rsid w:val="004A64EE"/>
    <w:rsid w:val="004A6638"/>
    <w:rsid w:val="004A6738"/>
    <w:rsid w:val="004A6B89"/>
    <w:rsid w:val="004A6CA3"/>
    <w:rsid w:val="004A6E3A"/>
    <w:rsid w:val="004A6EF3"/>
    <w:rsid w:val="004A7293"/>
    <w:rsid w:val="004A753D"/>
    <w:rsid w:val="004A77FD"/>
    <w:rsid w:val="004A7A3A"/>
    <w:rsid w:val="004A7AF1"/>
    <w:rsid w:val="004A7BA1"/>
    <w:rsid w:val="004A7CE9"/>
    <w:rsid w:val="004A7E48"/>
    <w:rsid w:val="004A7FA3"/>
    <w:rsid w:val="004A7FB5"/>
    <w:rsid w:val="004B0034"/>
    <w:rsid w:val="004B00B2"/>
    <w:rsid w:val="004B011A"/>
    <w:rsid w:val="004B021E"/>
    <w:rsid w:val="004B0553"/>
    <w:rsid w:val="004B056E"/>
    <w:rsid w:val="004B06B9"/>
    <w:rsid w:val="004B0730"/>
    <w:rsid w:val="004B07A6"/>
    <w:rsid w:val="004B0811"/>
    <w:rsid w:val="004B0A45"/>
    <w:rsid w:val="004B0DFA"/>
    <w:rsid w:val="004B0E0B"/>
    <w:rsid w:val="004B11E2"/>
    <w:rsid w:val="004B12A2"/>
    <w:rsid w:val="004B1768"/>
    <w:rsid w:val="004B183C"/>
    <w:rsid w:val="004B1BD1"/>
    <w:rsid w:val="004B1C42"/>
    <w:rsid w:val="004B1CE4"/>
    <w:rsid w:val="004B2BDE"/>
    <w:rsid w:val="004B2D4C"/>
    <w:rsid w:val="004B2F73"/>
    <w:rsid w:val="004B305A"/>
    <w:rsid w:val="004B32A3"/>
    <w:rsid w:val="004B36A5"/>
    <w:rsid w:val="004B375F"/>
    <w:rsid w:val="004B3BB9"/>
    <w:rsid w:val="004B3C72"/>
    <w:rsid w:val="004B3DCA"/>
    <w:rsid w:val="004B42E2"/>
    <w:rsid w:val="004B45F4"/>
    <w:rsid w:val="004B4825"/>
    <w:rsid w:val="004B48B7"/>
    <w:rsid w:val="004B48C2"/>
    <w:rsid w:val="004B48F9"/>
    <w:rsid w:val="004B4E24"/>
    <w:rsid w:val="004B4E2B"/>
    <w:rsid w:val="004B4F87"/>
    <w:rsid w:val="004B4FC1"/>
    <w:rsid w:val="004B5028"/>
    <w:rsid w:val="004B5256"/>
    <w:rsid w:val="004B5944"/>
    <w:rsid w:val="004B599A"/>
    <w:rsid w:val="004B5B15"/>
    <w:rsid w:val="004B5BB2"/>
    <w:rsid w:val="004B5CC9"/>
    <w:rsid w:val="004B5CD6"/>
    <w:rsid w:val="004B5ECD"/>
    <w:rsid w:val="004B5F0B"/>
    <w:rsid w:val="004B627A"/>
    <w:rsid w:val="004B62A3"/>
    <w:rsid w:val="004B6633"/>
    <w:rsid w:val="004B663F"/>
    <w:rsid w:val="004B6680"/>
    <w:rsid w:val="004B6683"/>
    <w:rsid w:val="004B681C"/>
    <w:rsid w:val="004B686C"/>
    <w:rsid w:val="004B6CAB"/>
    <w:rsid w:val="004B72B4"/>
    <w:rsid w:val="004B7430"/>
    <w:rsid w:val="004B75D0"/>
    <w:rsid w:val="004B75DF"/>
    <w:rsid w:val="004B7684"/>
    <w:rsid w:val="004B76D0"/>
    <w:rsid w:val="004B7919"/>
    <w:rsid w:val="004B7970"/>
    <w:rsid w:val="004B7A3A"/>
    <w:rsid w:val="004B7A58"/>
    <w:rsid w:val="004B7A7E"/>
    <w:rsid w:val="004B7AED"/>
    <w:rsid w:val="004B7F2A"/>
    <w:rsid w:val="004C0122"/>
    <w:rsid w:val="004C015B"/>
    <w:rsid w:val="004C01FB"/>
    <w:rsid w:val="004C0215"/>
    <w:rsid w:val="004C0472"/>
    <w:rsid w:val="004C04CE"/>
    <w:rsid w:val="004C04FB"/>
    <w:rsid w:val="004C05E8"/>
    <w:rsid w:val="004C0667"/>
    <w:rsid w:val="004C0689"/>
    <w:rsid w:val="004C07B9"/>
    <w:rsid w:val="004C0845"/>
    <w:rsid w:val="004C0901"/>
    <w:rsid w:val="004C094A"/>
    <w:rsid w:val="004C09AB"/>
    <w:rsid w:val="004C0A68"/>
    <w:rsid w:val="004C0AE8"/>
    <w:rsid w:val="004C0BB2"/>
    <w:rsid w:val="004C0E17"/>
    <w:rsid w:val="004C1226"/>
    <w:rsid w:val="004C12EA"/>
    <w:rsid w:val="004C1516"/>
    <w:rsid w:val="004C151E"/>
    <w:rsid w:val="004C1547"/>
    <w:rsid w:val="004C1697"/>
    <w:rsid w:val="004C17A3"/>
    <w:rsid w:val="004C1829"/>
    <w:rsid w:val="004C1904"/>
    <w:rsid w:val="004C1C7F"/>
    <w:rsid w:val="004C201E"/>
    <w:rsid w:val="004C23EF"/>
    <w:rsid w:val="004C278F"/>
    <w:rsid w:val="004C2843"/>
    <w:rsid w:val="004C28EE"/>
    <w:rsid w:val="004C2C30"/>
    <w:rsid w:val="004C2C7B"/>
    <w:rsid w:val="004C2C97"/>
    <w:rsid w:val="004C2E46"/>
    <w:rsid w:val="004C2EFC"/>
    <w:rsid w:val="004C2F17"/>
    <w:rsid w:val="004C2FFC"/>
    <w:rsid w:val="004C315D"/>
    <w:rsid w:val="004C3337"/>
    <w:rsid w:val="004C36AC"/>
    <w:rsid w:val="004C36CB"/>
    <w:rsid w:val="004C3860"/>
    <w:rsid w:val="004C39B6"/>
    <w:rsid w:val="004C41A3"/>
    <w:rsid w:val="004C41C4"/>
    <w:rsid w:val="004C4382"/>
    <w:rsid w:val="004C46AC"/>
    <w:rsid w:val="004C4959"/>
    <w:rsid w:val="004C4B16"/>
    <w:rsid w:val="004C4BE7"/>
    <w:rsid w:val="004C4DD3"/>
    <w:rsid w:val="004C529E"/>
    <w:rsid w:val="004C5868"/>
    <w:rsid w:val="004C593E"/>
    <w:rsid w:val="004C5956"/>
    <w:rsid w:val="004C5AE7"/>
    <w:rsid w:val="004C5F24"/>
    <w:rsid w:val="004C5FA7"/>
    <w:rsid w:val="004C6243"/>
    <w:rsid w:val="004C62E9"/>
    <w:rsid w:val="004C62FB"/>
    <w:rsid w:val="004C6508"/>
    <w:rsid w:val="004C6510"/>
    <w:rsid w:val="004C657B"/>
    <w:rsid w:val="004C6662"/>
    <w:rsid w:val="004C6713"/>
    <w:rsid w:val="004C695A"/>
    <w:rsid w:val="004C6A04"/>
    <w:rsid w:val="004C6B7B"/>
    <w:rsid w:val="004C6C94"/>
    <w:rsid w:val="004C6CB4"/>
    <w:rsid w:val="004C6DC2"/>
    <w:rsid w:val="004C71C6"/>
    <w:rsid w:val="004C7495"/>
    <w:rsid w:val="004C7527"/>
    <w:rsid w:val="004C7535"/>
    <w:rsid w:val="004C75C6"/>
    <w:rsid w:val="004C7ACD"/>
    <w:rsid w:val="004C7DC5"/>
    <w:rsid w:val="004C7DD3"/>
    <w:rsid w:val="004C7E37"/>
    <w:rsid w:val="004D0008"/>
    <w:rsid w:val="004D023F"/>
    <w:rsid w:val="004D0255"/>
    <w:rsid w:val="004D030B"/>
    <w:rsid w:val="004D04D2"/>
    <w:rsid w:val="004D052C"/>
    <w:rsid w:val="004D0543"/>
    <w:rsid w:val="004D09F4"/>
    <w:rsid w:val="004D0AE3"/>
    <w:rsid w:val="004D0AEF"/>
    <w:rsid w:val="004D0C44"/>
    <w:rsid w:val="004D0D19"/>
    <w:rsid w:val="004D0E43"/>
    <w:rsid w:val="004D0F4B"/>
    <w:rsid w:val="004D130C"/>
    <w:rsid w:val="004D157A"/>
    <w:rsid w:val="004D16E5"/>
    <w:rsid w:val="004D1759"/>
    <w:rsid w:val="004D1770"/>
    <w:rsid w:val="004D182B"/>
    <w:rsid w:val="004D1851"/>
    <w:rsid w:val="004D18E2"/>
    <w:rsid w:val="004D1B86"/>
    <w:rsid w:val="004D1D87"/>
    <w:rsid w:val="004D1F03"/>
    <w:rsid w:val="004D204F"/>
    <w:rsid w:val="004D2189"/>
    <w:rsid w:val="004D221F"/>
    <w:rsid w:val="004D2625"/>
    <w:rsid w:val="004D29E6"/>
    <w:rsid w:val="004D2A2C"/>
    <w:rsid w:val="004D2ABB"/>
    <w:rsid w:val="004D2ADE"/>
    <w:rsid w:val="004D2CA1"/>
    <w:rsid w:val="004D2CA3"/>
    <w:rsid w:val="004D2EDD"/>
    <w:rsid w:val="004D2F2D"/>
    <w:rsid w:val="004D2F93"/>
    <w:rsid w:val="004D3039"/>
    <w:rsid w:val="004D33B2"/>
    <w:rsid w:val="004D3595"/>
    <w:rsid w:val="004D35E1"/>
    <w:rsid w:val="004D3619"/>
    <w:rsid w:val="004D3716"/>
    <w:rsid w:val="004D38EC"/>
    <w:rsid w:val="004D391C"/>
    <w:rsid w:val="004D3923"/>
    <w:rsid w:val="004D3AEC"/>
    <w:rsid w:val="004D3C00"/>
    <w:rsid w:val="004D3C23"/>
    <w:rsid w:val="004D3C98"/>
    <w:rsid w:val="004D3F44"/>
    <w:rsid w:val="004D42E7"/>
    <w:rsid w:val="004D43B1"/>
    <w:rsid w:val="004D43F1"/>
    <w:rsid w:val="004D46CA"/>
    <w:rsid w:val="004D4700"/>
    <w:rsid w:val="004D48D3"/>
    <w:rsid w:val="004D48ED"/>
    <w:rsid w:val="004D48EF"/>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C81"/>
    <w:rsid w:val="004D5D18"/>
    <w:rsid w:val="004D5D85"/>
    <w:rsid w:val="004D6305"/>
    <w:rsid w:val="004D6345"/>
    <w:rsid w:val="004D6764"/>
    <w:rsid w:val="004D6881"/>
    <w:rsid w:val="004D6984"/>
    <w:rsid w:val="004D69DB"/>
    <w:rsid w:val="004D69F7"/>
    <w:rsid w:val="004D6A10"/>
    <w:rsid w:val="004D6ABE"/>
    <w:rsid w:val="004D6E77"/>
    <w:rsid w:val="004D6E96"/>
    <w:rsid w:val="004D72C6"/>
    <w:rsid w:val="004D7602"/>
    <w:rsid w:val="004D778A"/>
    <w:rsid w:val="004D7884"/>
    <w:rsid w:val="004D78CC"/>
    <w:rsid w:val="004D7CFC"/>
    <w:rsid w:val="004D7DA1"/>
    <w:rsid w:val="004D7FB6"/>
    <w:rsid w:val="004E0227"/>
    <w:rsid w:val="004E03AF"/>
    <w:rsid w:val="004E04DB"/>
    <w:rsid w:val="004E053F"/>
    <w:rsid w:val="004E0659"/>
    <w:rsid w:val="004E065D"/>
    <w:rsid w:val="004E06CF"/>
    <w:rsid w:val="004E0827"/>
    <w:rsid w:val="004E08E1"/>
    <w:rsid w:val="004E0B1C"/>
    <w:rsid w:val="004E0BEB"/>
    <w:rsid w:val="004E0D79"/>
    <w:rsid w:val="004E0EC9"/>
    <w:rsid w:val="004E0F12"/>
    <w:rsid w:val="004E104A"/>
    <w:rsid w:val="004E1532"/>
    <w:rsid w:val="004E1761"/>
    <w:rsid w:val="004E1850"/>
    <w:rsid w:val="004E18E6"/>
    <w:rsid w:val="004E1D6D"/>
    <w:rsid w:val="004E1FD7"/>
    <w:rsid w:val="004E2087"/>
    <w:rsid w:val="004E23CF"/>
    <w:rsid w:val="004E2653"/>
    <w:rsid w:val="004E28B5"/>
    <w:rsid w:val="004E2A74"/>
    <w:rsid w:val="004E2E28"/>
    <w:rsid w:val="004E2EDA"/>
    <w:rsid w:val="004E319F"/>
    <w:rsid w:val="004E31D0"/>
    <w:rsid w:val="004E31D5"/>
    <w:rsid w:val="004E37A7"/>
    <w:rsid w:val="004E3818"/>
    <w:rsid w:val="004E39A2"/>
    <w:rsid w:val="004E3AB2"/>
    <w:rsid w:val="004E3B8A"/>
    <w:rsid w:val="004E3C1C"/>
    <w:rsid w:val="004E3CA0"/>
    <w:rsid w:val="004E3CAD"/>
    <w:rsid w:val="004E3DCA"/>
    <w:rsid w:val="004E3DD1"/>
    <w:rsid w:val="004E3E1E"/>
    <w:rsid w:val="004E40B7"/>
    <w:rsid w:val="004E4174"/>
    <w:rsid w:val="004E440D"/>
    <w:rsid w:val="004E4427"/>
    <w:rsid w:val="004E4533"/>
    <w:rsid w:val="004E487D"/>
    <w:rsid w:val="004E48C2"/>
    <w:rsid w:val="004E4C64"/>
    <w:rsid w:val="004E4CE1"/>
    <w:rsid w:val="004E4CFC"/>
    <w:rsid w:val="004E4F42"/>
    <w:rsid w:val="004E503C"/>
    <w:rsid w:val="004E50CD"/>
    <w:rsid w:val="004E513A"/>
    <w:rsid w:val="004E52B0"/>
    <w:rsid w:val="004E5379"/>
    <w:rsid w:val="004E58DE"/>
    <w:rsid w:val="004E5DFF"/>
    <w:rsid w:val="004E5FF3"/>
    <w:rsid w:val="004E6030"/>
    <w:rsid w:val="004E6052"/>
    <w:rsid w:val="004E6128"/>
    <w:rsid w:val="004E617C"/>
    <w:rsid w:val="004E6296"/>
    <w:rsid w:val="004E6337"/>
    <w:rsid w:val="004E633F"/>
    <w:rsid w:val="004E6396"/>
    <w:rsid w:val="004E6814"/>
    <w:rsid w:val="004E6C20"/>
    <w:rsid w:val="004E6C34"/>
    <w:rsid w:val="004E6DC6"/>
    <w:rsid w:val="004E6DD8"/>
    <w:rsid w:val="004E6E23"/>
    <w:rsid w:val="004E6EB0"/>
    <w:rsid w:val="004E6F06"/>
    <w:rsid w:val="004E705F"/>
    <w:rsid w:val="004E70CE"/>
    <w:rsid w:val="004E7118"/>
    <w:rsid w:val="004E7159"/>
    <w:rsid w:val="004E7233"/>
    <w:rsid w:val="004E7564"/>
    <w:rsid w:val="004E77BD"/>
    <w:rsid w:val="004E7A17"/>
    <w:rsid w:val="004E7A81"/>
    <w:rsid w:val="004E7B33"/>
    <w:rsid w:val="004E7BFC"/>
    <w:rsid w:val="004E7FD0"/>
    <w:rsid w:val="004F0032"/>
    <w:rsid w:val="004F0174"/>
    <w:rsid w:val="004F0342"/>
    <w:rsid w:val="004F0959"/>
    <w:rsid w:val="004F0991"/>
    <w:rsid w:val="004F0AF6"/>
    <w:rsid w:val="004F0B70"/>
    <w:rsid w:val="004F0F2C"/>
    <w:rsid w:val="004F100F"/>
    <w:rsid w:val="004F11C3"/>
    <w:rsid w:val="004F1443"/>
    <w:rsid w:val="004F1472"/>
    <w:rsid w:val="004F16DF"/>
    <w:rsid w:val="004F1722"/>
    <w:rsid w:val="004F1775"/>
    <w:rsid w:val="004F1783"/>
    <w:rsid w:val="004F18EC"/>
    <w:rsid w:val="004F1A31"/>
    <w:rsid w:val="004F1B09"/>
    <w:rsid w:val="004F1BA3"/>
    <w:rsid w:val="004F1D59"/>
    <w:rsid w:val="004F1FF7"/>
    <w:rsid w:val="004F21C2"/>
    <w:rsid w:val="004F21DF"/>
    <w:rsid w:val="004F295E"/>
    <w:rsid w:val="004F29FD"/>
    <w:rsid w:val="004F2CDF"/>
    <w:rsid w:val="004F2D04"/>
    <w:rsid w:val="004F2D33"/>
    <w:rsid w:val="004F2D9B"/>
    <w:rsid w:val="004F2FD3"/>
    <w:rsid w:val="004F30BA"/>
    <w:rsid w:val="004F3149"/>
    <w:rsid w:val="004F3243"/>
    <w:rsid w:val="004F331B"/>
    <w:rsid w:val="004F35DC"/>
    <w:rsid w:val="004F364F"/>
    <w:rsid w:val="004F390B"/>
    <w:rsid w:val="004F3A72"/>
    <w:rsid w:val="004F3BFB"/>
    <w:rsid w:val="004F3D50"/>
    <w:rsid w:val="004F4019"/>
    <w:rsid w:val="004F4139"/>
    <w:rsid w:val="004F420C"/>
    <w:rsid w:val="004F423A"/>
    <w:rsid w:val="004F4314"/>
    <w:rsid w:val="004F44D0"/>
    <w:rsid w:val="004F45AA"/>
    <w:rsid w:val="004F4676"/>
    <w:rsid w:val="004F46C9"/>
    <w:rsid w:val="004F478A"/>
    <w:rsid w:val="004F48A8"/>
    <w:rsid w:val="004F497A"/>
    <w:rsid w:val="004F4FDF"/>
    <w:rsid w:val="004F5016"/>
    <w:rsid w:val="004F5370"/>
    <w:rsid w:val="004F5411"/>
    <w:rsid w:val="004F558C"/>
    <w:rsid w:val="004F5A8D"/>
    <w:rsid w:val="004F5B25"/>
    <w:rsid w:val="004F5C7D"/>
    <w:rsid w:val="004F5FB4"/>
    <w:rsid w:val="004F606D"/>
    <w:rsid w:val="004F6078"/>
    <w:rsid w:val="004F6147"/>
    <w:rsid w:val="004F626A"/>
    <w:rsid w:val="004F639C"/>
    <w:rsid w:val="004F63AE"/>
    <w:rsid w:val="004F6710"/>
    <w:rsid w:val="004F672A"/>
    <w:rsid w:val="004F6862"/>
    <w:rsid w:val="004F68F6"/>
    <w:rsid w:val="004F6978"/>
    <w:rsid w:val="004F6AE5"/>
    <w:rsid w:val="004F6C91"/>
    <w:rsid w:val="004F6EA9"/>
    <w:rsid w:val="004F7662"/>
    <w:rsid w:val="004F76BF"/>
    <w:rsid w:val="004F7A32"/>
    <w:rsid w:val="004F7B72"/>
    <w:rsid w:val="004F7C9A"/>
    <w:rsid w:val="004F7CB1"/>
    <w:rsid w:val="004F7DA8"/>
    <w:rsid w:val="004F7F22"/>
    <w:rsid w:val="00500088"/>
    <w:rsid w:val="00500256"/>
    <w:rsid w:val="00500523"/>
    <w:rsid w:val="005006BD"/>
    <w:rsid w:val="00500888"/>
    <w:rsid w:val="00500B16"/>
    <w:rsid w:val="00501043"/>
    <w:rsid w:val="0050107C"/>
    <w:rsid w:val="005010F8"/>
    <w:rsid w:val="00501240"/>
    <w:rsid w:val="005012D2"/>
    <w:rsid w:val="00501664"/>
    <w:rsid w:val="00501732"/>
    <w:rsid w:val="00501AC6"/>
    <w:rsid w:val="00501B17"/>
    <w:rsid w:val="00501C9D"/>
    <w:rsid w:val="00501DDC"/>
    <w:rsid w:val="00501E4E"/>
    <w:rsid w:val="00501EC6"/>
    <w:rsid w:val="00502061"/>
    <w:rsid w:val="00502226"/>
    <w:rsid w:val="00502520"/>
    <w:rsid w:val="00502BB1"/>
    <w:rsid w:val="00502C59"/>
    <w:rsid w:val="00502DB0"/>
    <w:rsid w:val="00502F0F"/>
    <w:rsid w:val="00502F1C"/>
    <w:rsid w:val="00503001"/>
    <w:rsid w:val="00503031"/>
    <w:rsid w:val="005031E3"/>
    <w:rsid w:val="0050335C"/>
    <w:rsid w:val="005036AE"/>
    <w:rsid w:val="0050390B"/>
    <w:rsid w:val="0050391D"/>
    <w:rsid w:val="00503997"/>
    <w:rsid w:val="00503C0E"/>
    <w:rsid w:val="00503C1B"/>
    <w:rsid w:val="00503FFE"/>
    <w:rsid w:val="005040AE"/>
    <w:rsid w:val="00504162"/>
    <w:rsid w:val="00504163"/>
    <w:rsid w:val="005042C0"/>
    <w:rsid w:val="00504340"/>
    <w:rsid w:val="00504353"/>
    <w:rsid w:val="00504846"/>
    <w:rsid w:val="00504875"/>
    <w:rsid w:val="00504914"/>
    <w:rsid w:val="00504A53"/>
    <w:rsid w:val="00504AC1"/>
    <w:rsid w:val="00504C05"/>
    <w:rsid w:val="00504C7E"/>
    <w:rsid w:val="00504E74"/>
    <w:rsid w:val="00504F7D"/>
    <w:rsid w:val="00504FF0"/>
    <w:rsid w:val="00505008"/>
    <w:rsid w:val="005053C5"/>
    <w:rsid w:val="00505433"/>
    <w:rsid w:val="0050560E"/>
    <w:rsid w:val="0050566C"/>
    <w:rsid w:val="00505704"/>
    <w:rsid w:val="0050575C"/>
    <w:rsid w:val="005057AC"/>
    <w:rsid w:val="005059BF"/>
    <w:rsid w:val="005059DB"/>
    <w:rsid w:val="005059F7"/>
    <w:rsid w:val="00505DCC"/>
    <w:rsid w:val="00505E04"/>
    <w:rsid w:val="00505F4D"/>
    <w:rsid w:val="00505FD8"/>
    <w:rsid w:val="00506112"/>
    <w:rsid w:val="005061B1"/>
    <w:rsid w:val="005061D8"/>
    <w:rsid w:val="00506259"/>
    <w:rsid w:val="005063C4"/>
    <w:rsid w:val="005065CB"/>
    <w:rsid w:val="0050660B"/>
    <w:rsid w:val="00506647"/>
    <w:rsid w:val="0050685B"/>
    <w:rsid w:val="00506DD4"/>
    <w:rsid w:val="00507043"/>
    <w:rsid w:val="00507116"/>
    <w:rsid w:val="005071F7"/>
    <w:rsid w:val="0050746D"/>
    <w:rsid w:val="0050747A"/>
    <w:rsid w:val="005074B4"/>
    <w:rsid w:val="00507863"/>
    <w:rsid w:val="005079A9"/>
    <w:rsid w:val="00507B11"/>
    <w:rsid w:val="00507C1A"/>
    <w:rsid w:val="00507CDB"/>
    <w:rsid w:val="00507DED"/>
    <w:rsid w:val="00507FDF"/>
    <w:rsid w:val="0051013A"/>
    <w:rsid w:val="005103E4"/>
    <w:rsid w:val="00510446"/>
    <w:rsid w:val="005105C0"/>
    <w:rsid w:val="005108A5"/>
    <w:rsid w:val="00510BCE"/>
    <w:rsid w:val="00510D36"/>
    <w:rsid w:val="00510D89"/>
    <w:rsid w:val="00510E45"/>
    <w:rsid w:val="0051143C"/>
    <w:rsid w:val="0051156E"/>
    <w:rsid w:val="005115F0"/>
    <w:rsid w:val="005116DF"/>
    <w:rsid w:val="00511907"/>
    <w:rsid w:val="00511C8E"/>
    <w:rsid w:val="00511EEE"/>
    <w:rsid w:val="00511FED"/>
    <w:rsid w:val="00512599"/>
    <w:rsid w:val="005126AD"/>
    <w:rsid w:val="0051272A"/>
    <w:rsid w:val="00512933"/>
    <w:rsid w:val="00512A00"/>
    <w:rsid w:val="00512D71"/>
    <w:rsid w:val="00512E3B"/>
    <w:rsid w:val="00512F45"/>
    <w:rsid w:val="00512F94"/>
    <w:rsid w:val="00512FCD"/>
    <w:rsid w:val="005132B9"/>
    <w:rsid w:val="005132ED"/>
    <w:rsid w:val="00513403"/>
    <w:rsid w:val="0051343B"/>
    <w:rsid w:val="00513574"/>
    <w:rsid w:val="0051358D"/>
    <w:rsid w:val="005136A8"/>
    <w:rsid w:val="005139B2"/>
    <w:rsid w:val="00513A4E"/>
    <w:rsid w:val="00513AE2"/>
    <w:rsid w:val="00513B65"/>
    <w:rsid w:val="00513B9B"/>
    <w:rsid w:val="00513BB2"/>
    <w:rsid w:val="00513DF9"/>
    <w:rsid w:val="005140AB"/>
    <w:rsid w:val="0051440A"/>
    <w:rsid w:val="005144EB"/>
    <w:rsid w:val="00514629"/>
    <w:rsid w:val="0051476D"/>
    <w:rsid w:val="0051496C"/>
    <w:rsid w:val="00514E30"/>
    <w:rsid w:val="00515000"/>
    <w:rsid w:val="00515183"/>
    <w:rsid w:val="005154DC"/>
    <w:rsid w:val="00515656"/>
    <w:rsid w:val="005157CF"/>
    <w:rsid w:val="00515C8A"/>
    <w:rsid w:val="00515F38"/>
    <w:rsid w:val="005162BD"/>
    <w:rsid w:val="00516557"/>
    <w:rsid w:val="005168DE"/>
    <w:rsid w:val="00516CD7"/>
    <w:rsid w:val="00516DC8"/>
    <w:rsid w:val="00516ED9"/>
    <w:rsid w:val="005170D9"/>
    <w:rsid w:val="00517240"/>
    <w:rsid w:val="00517354"/>
    <w:rsid w:val="00517395"/>
    <w:rsid w:val="0051739A"/>
    <w:rsid w:val="005174D4"/>
    <w:rsid w:val="00517562"/>
    <w:rsid w:val="005176A7"/>
    <w:rsid w:val="00517750"/>
    <w:rsid w:val="005179DE"/>
    <w:rsid w:val="00517AEA"/>
    <w:rsid w:val="00517CEB"/>
    <w:rsid w:val="00517D28"/>
    <w:rsid w:val="00517D3B"/>
    <w:rsid w:val="00517E7E"/>
    <w:rsid w:val="00517F5B"/>
    <w:rsid w:val="00517F79"/>
    <w:rsid w:val="005201AE"/>
    <w:rsid w:val="0052026F"/>
    <w:rsid w:val="00520477"/>
    <w:rsid w:val="005209C8"/>
    <w:rsid w:val="00520A4B"/>
    <w:rsid w:val="00520BDA"/>
    <w:rsid w:val="00520ECA"/>
    <w:rsid w:val="00520FDF"/>
    <w:rsid w:val="005210E3"/>
    <w:rsid w:val="00521388"/>
    <w:rsid w:val="005214C1"/>
    <w:rsid w:val="005214EB"/>
    <w:rsid w:val="00521614"/>
    <w:rsid w:val="005216BA"/>
    <w:rsid w:val="00521964"/>
    <w:rsid w:val="00521A6D"/>
    <w:rsid w:val="00521AAA"/>
    <w:rsid w:val="00521E07"/>
    <w:rsid w:val="00521E9E"/>
    <w:rsid w:val="00521EAF"/>
    <w:rsid w:val="0052219C"/>
    <w:rsid w:val="0052259E"/>
    <w:rsid w:val="005228A8"/>
    <w:rsid w:val="00522D83"/>
    <w:rsid w:val="00522E3F"/>
    <w:rsid w:val="00523022"/>
    <w:rsid w:val="00523157"/>
    <w:rsid w:val="0052334C"/>
    <w:rsid w:val="005233F6"/>
    <w:rsid w:val="00523430"/>
    <w:rsid w:val="0052344E"/>
    <w:rsid w:val="00523495"/>
    <w:rsid w:val="00523977"/>
    <w:rsid w:val="00523981"/>
    <w:rsid w:val="00523ECF"/>
    <w:rsid w:val="005242AB"/>
    <w:rsid w:val="005242CC"/>
    <w:rsid w:val="0052435E"/>
    <w:rsid w:val="0052478A"/>
    <w:rsid w:val="005247A3"/>
    <w:rsid w:val="00524912"/>
    <w:rsid w:val="00524A0D"/>
    <w:rsid w:val="00524A18"/>
    <w:rsid w:val="005250B6"/>
    <w:rsid w:val="0052519F"/>
    <w:rsid w:val="005252A9"/>
    <w:rsid w:val="005252EF"/>
    <w:rsid w:val="005253C6"/>
    <w:rsid w:val="00525507"/>
    <w:rsid w:val="00525A59"/>
    <w:rsid w:val="00525AE1"/>
    <w:rsid w:val="00525E7E"/>
    <w:rsid w:val="00525FC6"/>
    <w:rsid w:val="005263CE"/>
    <w:rsid w:val="0052649A"/>
    <w:rsid w:val="00526530"/>
    <w:rsid w:val="005265BF"/>
    <w:rsid w:val="00526A1E"/>
    <w:rsid w:val="00526A7A"/>
    <w:rsid w:val="00526A84"/>
    <w:rsid w:val="005270BA"/>
    <w:rsid w:val="005271A4"/>
    <w:rsid w:val="005271B4"/>
    <w:rsid w:val="005271C2"/>
    <w:rsid w:val="0052747D"/>
    <w:rsid w:val="005274DD"/>
    <w:rsid w:val="00527610"/>
    <w:rsid w:val="005276C0"/>
    <w:rsid w:val="0052770D"/>
    <w:rsid w:val="00527723"/>
    <w:rsid w:val="00527A17"/>
    <w:rsid w:val="00527AAF"/>
    <w:rsid w:val="00527BD9"/>
    <w:rsid w:val="00527C48"/>
    <w:rsid w:val="00527EE4"/>
    <w:rsid w:val="00527FDE"/>
    <w:rsid w:val="0053008B"/>
    <w:rsid w:val="005300FE"/>
    <w:rsid w:val="0053011D"/>
    <w:rsid w:val="00530174"/>
    <w:rsid w:val="005302FA"/>
    <w:rsid w:val="0053044A"/>
    <w:rsid w:val="005304D0"/>
    <w:rsid w:val="005304D9"/>
    <w:rsid w:val="005304F1"/>
    <w:rsid w:val="005304FE"/>
    <w:rsid w:val="0053055B"/>
    <w:rsid w:val="0053057C"/>
    <w:rsid w:val="00530A1A"/>
    <w:rsid w:val="00530A81"/>
    <w:rsid w:val="00530AFA"/>
    <w:rsid w:val="00530D4F"/>
    <w:rsid w:val="00530E4D"/>
    <w:rsid w:val="00530E9A"/>
    <w:rsid w:val="00530F3C"/>
    <w:rsid w:val="00530FFD"/>
    <w:rsid w:val="005310A6"/>
    <w:rsid w:val="005310E2"/>
    <w:rsid w:val="00531326"/>
    <w:rsid w:val="00531463"/>
    <w:rsid w:val="005315D8"/>
    <w:rsid w:val="005316B2"/>
    <w:rsid w:val="005319A5"/>
    <w:rsid w:val="005319F8"/>
    <w:rsid w:val="00531A7A"/>
    <w:rsid w:val="00531CB6"/>
    <w:rsid w:val="00531E76"/>
    <w:rsid w:val="0053202A"/>
    <w:rsid w:val="005323D1"/>
    <w:rsid w:val="00532449"/>
    <w:rsid w:val="005325F5"/>
    <w:rsid w:val="005326B4"/>
    <w:rsid w:val="005327F0"/>
    <w:rsid w:val="005328DA"/>
    <w:rsid w:val="00532902"/>
    <w:rsid w:val="00532CCE"/>
    <w:rsid w:val="00532E91"/>
    <w:rsid w:val="00533130"/>
    <w:rsid w:val="00533174"/>
    <w:rsid w:val="00533198"/>
    <w:rsid w:val="005332FA"/>
    <w:rsid w:val="005334F5"/>
    <w:rsid w:val="0053355F"/>
    <w:rsid w:val="005335F4"/>
    <w:rsid w:val="00533734"/>
    <w:rsid w:val="00533BFA"/>
    <w:rsid w:val="00533D9C"/>
    <w:rsid w:val="00533FE1"/>
    <w:rsid w:val="00534038"/>
    <w:rsid w:val="005344F5"/>
    <w:rsid w:val="00534891"/>
    <w:rsid w:val="005348C0"/>
    <w:rsid w:val="005348F7"/>
    <w:rsid w:val="00534A0D"/>
    <w:rsid w:val="00534B90"/>
    <w:rsid w:val="00534D01"/>
    <w:rsid w:val="0053506F"/>
    <w:rsid w:val="005351FE"/>
    <w:rsid w:val="00535212"/>
    <w:rsid w:val="0053528E"/>
    <w:rsid w:val="005354AB"/>
    <w:rsid w:val="00535532"/>
    <w:rsid w:val="00535A13"/>
    <w:rsid w:val="00535CD1"/>
    <w:rsid w:val="00535CDA"/>
    <w:rsid w:val="00535D2A"/>
    <w:rsid w:val="00535D4C"/>
    <w:rsid w:val="00535E40"/>
    <w:rsid w:val="00535F33"/>
    <w:rsid w:val="0053609E"/>
    <w:rsid w:val="005360BC"/>
    <w:rsid w:val="00536181"/>
    <w:rsid w:val="0053621C"/>
    <w:rsid w:val="005364BA"/>
    <w:rsid w:val="005364C3"/>
    <w:rsid w:val="005366BC"/>
    <w:rsid w:val="005366E8"/>
    <w:rsid w:val="00536757"/>
    <w:rsid w:val="00536B67"/>
    <w:rsid w:val="00536C3F"/>
    <w:rsid w:val="00536C9D"/>
    <w:rsid w:val="00536D17"/>
    <w:rsid w:val="00536D38"/>
    <w:rsid w:val="00536F61"/>
    <w:rsid w:val="0053726F"/>
    <w:rsid w:val="0053772B"/>
    <w:rsid w:val="00537748"/>
    <w:rsid w:val="0053789C"/>
    <w:rsid w:val="00537C3F"/>
    <w:rsid w:val="00537CA2"/>
    <w:rsid w:val="0054000D"/>
    <w:rsid w:val="0054002B"/>
    <w:rsid w:val="005400EF"/>
    <w:rsid w:val="00540264"/>
    <w:rsid w:val="00540534"/>
    <w:rsid w:val="005405C6"/>
    <w:rsid w:val="00540722"/>
    <w:rsid w:val="00540882"/>
    <w:rsid w:val="005408F9"/>
    <w:rsid w:val="00540A9C"/>
    <w:rsid w:val="00540CB7"/>
    <w:rsid w:val="00540DE0"/>
    <w:rsid w:val="00540EC8"/>
    <w:rsid w:val="00540F55"/>
    <w:rsid w:val="005411C0"/>
    <w:rsid w:val="005413E8"/>
    <w:rsid w:val="005414BD"/>
    <w:rsid w:val="00541777"/>
    <w:rsid w:val="005417AE"/>
    <w:rsid w:val="0054195C"/>
    <w:rsid w:val="00541F68"/>
    <w:rsid w:val="00541FAA"/>
    <w:rsid w:val="0054200E"/>
    <w:rsid w:val="005424AA"/>
    <w:rsid w:val="00542555"/>
    <w:rsid w:val="005425BB"/>
    <w:rsid w:val="00542711"/>
    <w:rsid w:val="0054288E"/>
    <w:rsid w:val="005428F9"/>
    <w:rsid w:val="00542AF6"/>
    <w:rsid w:val="00542AFB"/>
    <w:rsid w:val="00542D08"/>
    <w:rsid w:val="00542D57"/>
    <w:rsid w:val="00542D65"/>
    <w:rsid w:val="005431C3"/>
    <w:rsid w:val="005434A9"/>
    <w:rsid w:val="005435A4"/>
    <w:rsid w:val="0054361A"/>
    <w:rsid w:val="00543917"/>
    <w:rsid w:val="00543BA7"/>
    <w:rsid w:val="00544106"/>
    <w:rsid w:val="0054430F"/>
    <w:rsid w:val="00544375"/>
    <w:rsid w:val="0054469E"/>
    <w:rsid w:val="005448FC"/>
    <w:rsid w:val="00544921"/>
    <w:rsid w:val="00544CC1"/>
    <w:rsid w:val="00544D87"/>
    <w:rsid w:val="00544E07"/>
    <w:rsid w:val="00544EB6"/>
    <w:rsid w:val="005450FB"/>
    <w:rsid w:val="005454C7"/>
    <w:rsid w:val="005456FE"/>
    <w:rsid w:val="005457F6"/>
    <w:rsid w:val="005458FE"/>
    <w:rsid w:val="005459AB"/>
    <w:rsid w:val="00545DE6"/>
    <w:rsid w:val="00545E39"/>
    <w:rsid w:val="00545E9E"/>
    <w:rsid w:val="00546021"/>
    <w:rsid w:val="005461FA"/>
    <w:rsid w:val="005465A0"/>
    <w:rsid w:val="005469ED"/>
    <w:rsid w:val="00547185"/>
    <w:rsid w:val="005471FC"/>
    <w:rsid w:val="00547337"/>
    <w:rsid w:val="005474A6"/>
    <w:rsid w:val="00547625"/>
    <w:rsid w:val="00547946"/>
    <w:rsid w:val="00547A65"/>
    <w:rsid w:val="00547A8C"/>
    <w:rsid w:val="00547B5F"/>
    <w:rsid w:val="00547E54"/>
    <w:rsid w:val="0055006E"/>
    <w:rsid w:val="005500C3"/>
    <w:rsid w:val="0055016E"/>
    <w:rsid w:val="00550281"/>
    <w:rsid w:val="005503F0"/>
    <w:rsid w:val="0055040F"/>
    <w:rsid w:val="0055067C"/>
    <w:rsid w:val="00550977"/>
    <w:rsid w:val="0055097B"/>
    <w:rsid w:val="00550ABB"/>
    <w:rsid w:val="00550BEA"/>
    <w:rsid w:val="00550C14"/>
    <w:rsid w:val="00550F5B"/>
    <w:rsid w:val="0055104E"/>
    <w:rsid w:val="00551114"/>
    <w:rsid w:val="00551419"/>
    <w:rsid w:val="00551543"/>
    <w:rsid w:val="00551836"/>
    <w:rsid w:val="0055185A"/>
    <w:rsid w:val="0055196D"/>
    <w:rsid w:val="00551A5E"/>
    <w:rsid w:val="00551A61"/>
    <w:rsid w:val="00551B85"/>
    <w:rsid w:val="00551C03"/>
    <w:rsid w:val="00551E4B"/>
    <w:rsid w:val="00551EDE"/>
    <w:rsid w:val="00551FCE"/>
    <w:rsid w:val="00552100"/>
    <w:rsid w:val="005527CE"/>
    <w:rsid w:val="0055288B"/>
    <w:rsid w:val="00552918"/>
    <w:rsid w:val="00552A7E"/>
    <w:rsid w:val="00552A9A"/>
    <w:rsid w:val="00552EA7"/>
    <w:rsid w:val="00552EF8"/>
    <w:rsid w:val="005531A8"/>
    <w:rsid w:val="0055379E"/>
    <w:rsid w:val="0055385D"/>
    <w:rsid w:val="00553886"/>
    <w:rsid w:val="00553983"/>
    <w:rsid w:val="00553A80"/>
    <w:rsid w:val="00553BFC"/>
    <w:rsid w:val="00553FA5"/>
    <w:rsid w:val="0055422F"/>
    <w:rsid w:val="0055489C"/>
    <w:rsid w:val="00554943"/>
    <w:rsid w:val="005549AB"/>
    <w:rsid w:val="005549D1"/>
    <w:rsid w:val="00554D32"/>
    <w:rsid w:val="00554DF5"/>
    <w:rsid w:val="00554FC7"/>
    <w:rsid w:val="005550A2"/>
    <w:rsid w:val="005550C5"/>
    <w:rsid w:val="0055522F"/>
    <w:rsid w:val="0055553A"/>
    <w:rsid w:val="005555F2"/>
    <w:rsid w:val="005556C0"/>
    <w:rsid w:val="005557EE"/>
    <w:rsid w:val="0055583B"/>
    <w:rsid w:val="00555984"/>
    <w:rsid w:val="00555A3F"/>
    <w:rsid w:val="00555B04"/>
    <w:rsid w:val="00555BFF"/>
    <w:rsid w:val="00555C2D"/>
    <w:rsid w:val="00555F7B"/>
    <w:rsid w:val="00555FFB"/>
    <w:rsid w:val="00556161"/>
    <w:rsid w:val="00556442"/>
    <w:rsid w:val="0055655B"/>
    <w:rsid w:val="00556796"/>
    <w:rsid w:val="00556AAD"/>
    <w:rsid w:val="00556D4F"/>
    <w:rsid w:val="00556D6D"/>
    <w:rsid w:val="00556EF9"/>
    <w:rsid w:val="00557218"/>
    <w:rsid w:val="0055782F"/>
    <w:rsid w:val="00557869"/>
    <w:rsid w:val="005578E7"/>
    <w:rsid w:val="005579D1"/>
    <w:rsid w:val="00557E21"/>
    <w:rsid w:val="00560000"/>
    <w:rsid w:val="005605F8"/>
    <w:rsid w:val="00560683"/>
    <w:rsid w:val="00560719"/>
    <w:rsid w:val="0056074C"/>
    <w:rsid w:val="005608F3"/>
    <w:rsid w:val="005609FF"/>
    <w:rsid w:val="00560D2D"/>
    <w:rsid w:val="0056143F"/>
    <w:rsid w:val="00561615"/>
    <w:rsid w:val="0056174F"/>
    <w:rsid w:val="005618C8"/>
    <w:rsid w:val="00561AC0"/>
    <w:rsid w:val="00561C14"/>
    <w:rsid w:val="00561E9E"/>
    <w:rsid w:val="00561FF0"/>
    <w:rsid w:val="00562271"/>
    <w:rsid w:val="00562286"/>
    <w:rsid w:val="005624E8"/>
    <w:rsid w:val="005625BA"/>
    <w:rsid w:val="0056260C"/>
    <w:rsid w:val="005628D4"/>
    <w:rsid w:val="00562A06"/>
    <w:rsid w:val="00562A3F"/>
    <w:rsid w:val="00562DF0"/>
    <w:rsid w:val="0056302A"/>
    <w:rsid w:val="00563072"/>
    <w:rsid w:val="0056313C"/>
    <w:rsid w:val="005631F0"/>
    <w:rsid w:val="00563525"/>
    <w:rsid w:val="005636AF"/>
    <w:rsid w:val="00563763"/>
    <w:rsid w:val="005637CF"/>
    <w:rsid w:val="005638C4"/>
    <w:rsid w:val="005638D8"/>
    <w:rsid w:val="00563AC8"/>
    <w:rsid w:val="00563C15"/>
    <w:rsid w:val="00563ED9"/>
    <w:rsid w:val="0056425E"/>
    <w:rsid w:val="005642D1"/>
    <w:rsid w:val="005643E5"/>
    <w:rsid w:val="0056456A"/>
    <w:rsid w:val="00564579"/>
    <w:rsid w:val="00564812"/>
    <w:rsid w:val="00564A22"/>
    <w:rsid w:val="00564B3B"/>
    <w:rsid w:val="00564B58"/>
    <w:rsid w:val="00564F74"/>
    <w:rsid w:val="00565186"/>
    <w:rsid w:val="005651D7"/>
    <w:rsid w:val="0056529A"/>
    <w:rsid w:val="00565404"/>
    <w:rsid w:val="0056599C"/>
    <w:rsid w:val="00565B45"/>
    <w:rsid w:val="00565C41"/>
    <w:rsid w:val="00565F63"/>
    <w:rsid w:val="00565FC8"/>
    <w:rsid w:val="00566499"/>
    <w:rsid w:val="00566693"/>
    <w:rsid w:val="00566863"/>
    <w:rsid w:val="005669FA"/>
    <w:rsid w:val="00566A97"/>
    <w:rsid w:val="00566BB9"/>
    <w:rsid w:val="00566BC0"/>
    <w:rsid w:val="00566E0D"/>
    <w:rsid w:val="005672F9"/>
    <w:rsid w:val="0056795A"/>
    <w:rsid w:val="00567A77"/>
    <w:rsid w:val="00567BC3"/>
    <w:rsid w:val="00567D31"/>
    <w:rsid w:val="00567D9A"/>
    <w:rsid w:val="00570140"/>
    <w:rsid w:val="005701BA"/>
    <w:rsid w:val="00570304"/>
    <w:rsid w:val="005705D3"/>
    <w:rsid w:val="00570605"/>
    <w:rsid w:val="0057078D"/>
    <w:rsid w:val="005707CF"/>
    <w:rsid w:val="00570D67"/>
    <w:rsid w:val="00570FA4"/>
    <w:rsid w:val="005711AC"/>
    <w:rsid w:val="005711EB"/>
    <w:rsid w:val="00571277"/>
    <w:rsid w:val="005717C3"/>
    <w:rsid w:val="00571801"/>
    <w:rsid w:val="00571847"/>
    <w:rsid w:val="00571DD7"/>
    <w:rsid w:val="00571F4A"/>
    <w:rsid w:val="00572018"/>
    <w:rsid w:val="00572276"/>
    <w:rsid w:val="005722C2"/>
    <w:rsid w:val="00572392"/>
    <w:rsid w:val="00572608"/>
    <w:rsid w:val="00572646"/>
    <w:rsid w:val="00572750"/>
    <w:rsid w:val="005728FD"/>
    <w:rsid w:val="00572B43"/>
    <w:rsid w:val="00572BB4"/>
    <w:rsid w:val="00572E34"/>
    <w:rsid w:val="00573229"/>
    <w:rsid w:val="00573447"/>
    <w:rsid w:val="005737BB"/>
    <w:rsid w:val="005737E0"/>
    <w:rsid w:val="00573933"/>
    <w:rsid w:val="005739E2"/>
    <w:rsid w:val="00573A22"/>
    <w:rsid w:val="00573AD9"/>
    <w:rsid w:val="005740E4"/>
    <w:rsid w:val="00574245"/>
    <w:rsid w:val="005742EA"/>
    <w:rsid w:val="0057430C"/>
    <w:rsid w:val="0057441A"/>
    <w:rsid w:val="005746E1"/>
    <w:rsid w:val="00574776"/>
    <w:rsid w:val="005747C3"/>
    <w:rsid w:val="0057484A"/>
    <w:rsid w:val="00574852"/>
    <w:rsid w:val="0057512D"/>
    <w:rsid w:val="005754FE"/>
    <w:rsid w:val="00575563"/>
    <w:rsid w:val="0057559D"/>
    <w:rsid w:val="00575801"/>
    <w:rsid w:val="00575992"/>
    <w:rsid w:val="005759A8"/>
    <w:rsid w:val="00575FD2"/>
    <w:rsid w:val="0057607E"/>
    <w:rsid w:val="005761A3"/>
    <w:rsid w:val="00576377"/>
    <w:rsid w:val="0057646A"/>
    <w:rsid w:val="0057660C"/>
    <w:rsid w:val="00576712"/>
    <w:rsid w:val="00576860"/>
    <w:rsid w:val="005768BA"/>
    <w:rsid w:val="005768C5"/>
    <w:rsid w:val="00576CA5"/>
    <w:rsid w:val="00576F34"/>
    <w:rsid w:val="00576F64"/>
    <w:rsid w:val="00576FF1"/>
    <w:rsid w:val="0057706C"/>
    <w:rsid w:val="00577203"/>
    <w:rsid w:val="0057720D"/>
    <w:rsid w:val="00577383"/>
    <w:rsid w:val="005773F4"/>
    <w:rsid w:val="00577732"/>
    <w:rsid w:val="0057783B"/>
    <w:rsid w:val="0057793E"/>
    <w:rsid w:val="00577A74"/>
    <w:rsid w:val="00577B19"/>
    <w:rsid w:val="00577BAD"/>
    <w:rsid w:val="00577D37"/>
    <w:rsid w:val="0058019A"/>
    <w:rsid w:val="0058023A"/>
    <w:rsid w:val="00580670"/>
    <w:rsid w:val="0058088C"/>
    <w:rsid w:val="00580991"/>
    <w:rsid w:val="00580A30"/>
    <w:rsid w:val="00580C05"/>
    <w:rsid w:val="00580CC4"/>
    <w:rsid w:val="005811FE"/>
    <w:rsid w:val="00581286"/>
    <w:rsid w:val="005814F3"/>
    <w:rsid w:val="005815F3"/>
    <w:rsid w:val="00581866"/>
    <w:rsid w:val="005818D7"/>
    <w:rsid w:val="0058194C"/>
    <w:rsid w:val="00581D51"/>
    <w:rsid w:val="00581DC0"/>
    <w:rsid w:val="005821D3"/>
    <w:rsid w:val="00582278"/>
    <w:rsid w:val="005824CA"/>
    <w:rsid w:val="00582547"/>
    <w:rsid w:val="005828A4"/>
    <w:rsid w:val="005829DA"/>
    <w:rsid w:val="00582AD0"/>
    <w:rsid w:val="0058314F"/>
    <w:rsid w:val="00583159"/>
    <w:rsid w:val="005831B2"/>
    <w:rsid w:val="0058325C"/>
    <w:rsid w:val="0058333B"/>
    <w:rsid w:val="0058340D"/>
    <w:rsid w:val="00583527"/>
    <w:rsid w:val="0058365F"/>
    <w:rsid w:val="00583A37"/>
    <w:rsid w:val="00583AD5"/>
    <w:rsid w:val="0058402E"/>
    <w:rsid w:val="00584048"/>
    <w:rsid w:val="005840C9"/>
    <w:rsid w:val="00584210"/>
    <w:rsid w:val="00584229"/>
    <w:rsid w:val="00584314"/>
    <w:rsid w:val="00584546"/>
    <w:rsid w:val="005845B0"/>
    <w:rsid w:val="0058464F"/>
    <w:rsid w:val="005846BE"/>
    <w:rsid w:val="00584865"/>
    <w:rsid w:val="00584B24"/>
    <w:rsid w:val="00584B59"/>
    <w:rsid w:val="00584B67"/>
    <w:rsid w:val="00584C02"/>
    <w:rsid w:val="00584CBF"/>
    <w:rsid w:val="00585072"/>
    <w:rsid w:val="0058518D"/>
    <w:rsid w:val="005851FB"/>
    <w:rsid w:val="005852F9"/>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99E"/>
    <w:rsid w:val="00586A12"/>
    <w:rsid w:val="00586A46"/>
    <w:rsid w:val="00586ADA"/>
    <w:rsid w:val="00586FBF"/>
    <w:rsid w:val="00587045"/>
    <w:rsid w:val="005870B6"/>
    <w:rsid w:val="0058718C"/>
    <w:rsid w:val="005873AA"/>
    <w:rsid w:val="0058771A"/>
    <w:rsid w:val="00587859"/>
    <w:rsid w:val="005878C6"/>
    <w:rsid w:val="00587924"/>
    <w:rsid w:val="00587946"/>
    <w:rsid w:val="00587B2C"/>
    <w:rsid w:val="00587BD7"/>
    <w:rsid w:val="00587C5F"/>
    <w:rsid w:val="00587CFC"/>
    <w:rsid w:val="005900B9"/>
    <w:rsid w:val="005900C3"/>
    <w:rsid w:val="00590121"/>
    <w:rsid w:val="0059020E"/>
    <w:rsid w:val="0059038B"/>
    <w:rsid w:val="005904B9"/>
    <w:rsid w:val="005906C7"/>
    <w:rsid w:val="00590864"/>
    <w:rsid w:val="005909BC"/>
    <w:rsid w:val="00590D77"/>
    <w:rsid w:val="00591075"/>
    <w:rsid w:val="00591092"/>
    <w:rsid w:val="005911E3"/>
    <w:rsid w:val="0059151F"/>
    <w:rsid w:val="0059158A"/>
    <w:rsid w:val="005915B4"/>
    <w:rsid w:val="0059198A"/>
    <w:rsid w:val="00591ABF"/>
    <w:rsid w:val="00591B76"/>
    <w:rsid w:val="00591F93"/>
    <w:rsid w:val="00591FC3"/>
    <w:rsid w:val="005921A0"/>
    <w:rsid w:val="005922AF"/>
    <w:rsid w:val="00592536"/>
    <w:rsid w:val="005926B0"/>
    <w:rsid w:val="00592A09"/>
    <w:rsid w:val="00592B4B"/>
    <w:rsid w:val="00592D66"/>
    <w:rsid w:val="0059304A"/>
    <w:rsid w:val="0059331F"/>
    <w:rsid w:val="00593509"/>
    <w:rsid w:val="00593AED"/>
    <w:rsid w:val="00593D3E"/>
    <w:rsid w:val="00593ED6"/>
    <w:rsid w:val="00593F23"/>
    <w:rsid w:val="00593F9A"/>
    <w:rsid w:val="00594125"/>
    <w:rsid w:val="005942A6"/>
    <w:rsid w:val="0059441F"/>
    <w:rsid w:val="005944D4"/>
    <w:rsid w:val="0059451D"/>
    <w:rsid w:val="0059451F"/>
    <w:rsid w:val="00594EDD"/>
    <w:rsid w:val="00595238"/>
    <w:rsid w:val="0059534E"/>
    <w:rsid w:val="00595420"/>
    <w:rsid w:val="00595483"/>
    <w:rsid w:val="0059551C"/>
    <w:rsid w:val="005956B6"/>
    <w:rsid w:val="0059585D"/>
    <w:rsid w:val="00595C50"/>
    <w:rsid w:val="00595D92"/>
    <w:rsid w:val="00595DDF"/>
    <w:rsid w:val="00595EA7"/>
    <w:rsid w:val="00595F0D"/>
    <w:rsid w:val="0059605D"/>
    <w:rsid w:val="005961F0"/>
    <w:rsid w:val="00596573"/>
    <w:rsid w:val="005965AD"/>
    <w:rsid w:val="005965FF"/>
    <w:rsid w:val="0059660C"/>
    <w:rsid w:val="00596614"/>
    <w:rsid w:val="0059663B"/>
    <w:rsid w:val="0059682F"/>
    <w:rsid w:val="00596D2F"/>
    <w:rsid w:val="00596E03"/>
    <w:rsid w:val="00596E6E"/>
    <w:rsid w:val="00596F53"/>
    <w:rsid w:val="0059704A"/>
    <w:rsid w:val="00597090"/>
    <w:rsid w:val="005971E0"/>
    <w:rsid w:val="00597439"/>
    <w:rsid w:val="00597695"/>
    <w:rsid w:val="0059799C"/>
    <w:rsid w:val="00597C24"/>
    <w:rsid w:val="00597C7F"/>
    <w:rsid w:val="00597DBD"/>
    <w:rsid w:val="005A002B"/>
    <w:rsid w:val="005A0226"/>
    <w:rsid w:val="005A02F7"/>
    <w:rsid w:val="005A0425"/>
    <w:rsid w:val="005A0458"/>
    <w:rsid w:val="005A0782"/>
    <w:rsid w:val="005A0799"/>
    <w:rsid w:val="005A0AEE"/>
    <w:rsid w:val="005A0B6E"/>
    <w:rsid w:val="005A0F85"/>
    <w:rsid w:val="005A11F0"/>
    <w:rsid w:val="005A13C7"/>
    <w:rsid w:val="005A1424"/>
    <w:rsid w:val="005A1921"/>
    <w:rsid w:val="005A19F5"/>
    <w:rsid w:val="005A1AAF"/>
    <w:rsid w:val="005A1AEE"/>
    <w:rsid w:val="005A1B19"/>
    <w:rsid w:val="005A1BB4"/>
    <w:rsid w:val="005A1C29"/>
    <w:rsid w:val="005A1D4E"/>
    <w:rsid w:val="005A1E58"/>
    <w:rsid w:val="005A1F75"/>
    <w:rsid w:val="005A201C"/>
    <w:rsid w:val="005A206F"/>
    <w:rsid w:val="005A22CA"/>
    <w:rsid w:val="005A234B"/>
    <w:rsid w:val="005A240E"/>
    <w:rsid w:val="005A26AB"/>
    <w:rsid w:val="005A26C5"/>
    <w:rsid w:val="005A27E2"/>
    <w:rsid w:val="005A2809"/>
    <w:rsid w:val="005A28B7"/>
    <w:rsid w:val="005A2AAC"/>
    <w:rsid w:val="005A2B5F"/>
    <w:rsid w:val="005A2C3A"/>
    <w:rsid w:val="005A2DC3"/>
    <w:rsid w:val="005A2EB7"/>
    <w:rsid w:val="005A2FAB"/>
    <w:rsid w:val="005A306D"/>
    <w:rsid w:val="005A30B9"/>
    <w:rsid w:val="005A319B"/>
    <w:rsid w:val="005A32E3"/>
    <w:rsid w:val="005A39F4"/>
    <w:rsid w:val="005A3BD6"/>
    <w:rsid w:val="005A3CA6"/>
    <w:rsid w:val="005A3E87"/>
    <w:rsid w:val="005A40A1"/>
    <w:rsid w:val="005A44C1"/>
    <w:rsid w:val="005A4665"/>
    <w:rsid w:val="005A4A1C"/>
    <w:rsid w:val="005A4D47"/>
    <w:rsid w:val="005A4DC9"/>
    <w:rsid w:val="005A5150"/>
    <w:rsid w:val="005A5155"/>
    <w:rsid w:val="005A5238"/>
    <w:rsid w:val="005A52F5"/>
    <w:rsid w:val="005A5350"/>
    <w:rsid w:val="005A53D0"/>
    <w:rsid w:val="005A5495"/>
    <w:rsid w:val="005A554E"/>
    <w:rsid w:val="005A56A4"/>
    <w:rsid w:val="005A56DB"/>
    <w:rsid w:val="005A5870"/>
    <w:rsid w:val="005A5AA3"/>
    <w:rsid w:val="005A5AF4"/>
    <w:rsid w:val="005A5B34"/>
    <w:rsid w:val="005A5D76"/>
    <w:rsid w:val="005A5E36"/>
    <w:rsid w:val="005A5F4E"/>
    <w:rsid w:val="005A5F6C"/>
    <w:rsid w:val="005A6039"/>
    <w:rsid w:val="005A62AC"/>
    <w:rsid w:val="005A638F"/>
    <w:rsid w:val="005A63D1"/>
    <w:rsid w:val="005A6502"/>
    <w:rsid w:val="005A6514"/>
    <w:rsid w:val="005A65E7"/>
    <w:rsid w:val="005A6618"/>
    <w:rsid w:val="005A686A"/>
    <w:rsid w:val="005A68D2"/>
    <w:rsid w:val="005A6DE9"/>
    <w:rsid w:val="005A7100"/>
    <w:rsid w:val="005A7268"/>
    <w:rsid w:val="005A739D"/>
    <w:rsid w:val="005A798E"/>
    <w:rsid w:val="005A7AB8"/>
    <w:rsid w:val="005A7D76"/>
    <w:rsid w:val="005A7FA7"/>
    <w:rsid w:val="005B02A0"/>
    <w:rsid w:val="005B0505"/>
    <w:rsid w:val="005B0673"/>
    <w:rsid w:val="005B0B60"/>
    <w:rsid w:val="005B0B6C"/>
    <w:rsid w:val="005B0BA3"/>
    <w:rsid w:val="005B1558"/>
    <w:rsid w:val="005B1598"/>
    <w:rsid w:val="005B187D"/>
    <w:rsid w:val="005B19E6"/>
    <w:rsid w:val="005B1C27"/>
    <w:rsid w:val="005B1F4C"/>
    <w:rsid w:val="005B1FB4"/>
    <w:rsid w:val="005B228A"/>
    <w:rsid w:val="005B22C3"/>
    <w:rsid w:val="005B236E"/>
    <w:rsid w:val="005B23BC"/>
    <w:rsid w:val="005B2540"/>
    <w:rsid w:val="005B2610"/>
    <w:rsid w:val="005B27AD"/>
    <w:rsid w:val="005B27DB"/>
    <w:rsid w:val="005B2982"/>
    <w:rsid w:val="005B2B78"/>
    <w:rsid w:val="005B2B86"/>
    <w:rsid w:val="005B2D30"/>
    <w:rsid w:val="005B32D0"/>
    <w:rsid w:val="005B33C2"/>
    <w:rsid w:val="005B3872"/>
    <w:rsid w:val="005B39DD"/>
    <w:rsid w:val="005B3AE2"/>
    <w:rsid w:val="005B3B2B"/>
    <w:rsid w:val="005B3D66"/>
    <w:rsid w:val="005B3EDE"/>
    <w:rsid w:val="005B4197"/>
    <w:rsid w:val="005B4556"/>
    <w:rsid w:val="005B459B"/>
    <w:rsid w:val="005B461D"/>
    <w:rsid w:val="005B49A7"/>
    <w:rsid w:val="005B49B7"/>
    <w:rsid w:val="005B4B22"/>
    <w:rsid w:val="005B4C0E"/>
    <w:rsid w:val="005B4CFD"/>
    <w:rsid w:val="005B4DF1"/>
    <w:rsid w:val="005B5523"/>
    <w:rsid w:val="005B5565"/>
    <w:rsid w:val="005B577C"/>
    <w:rsid w:val="005B5C33"/>
    <w:rsid w:val="005B5F12"/>
    <w:rsid w:val="005B5F74"/>
    <w:rsid w:val="005B5FB9"/>
    <w:rsid w:val="005B65C6"/>
    <w:rsid w:val="005B680A"/>
    <w:rsid w:val="005B6AE8"/>
    <w:rsid w:val="005B6B69"/>
    <w:rsid w:val="005B6B8C"/>
    <w:rsid w:val="005B6D77"/>
    <w:rsid w:val="005B6FC9"/>
    <w:rsid w:val="005B702A"/>
    <w:rsid w:val="005B71A4"/>
    <w:rsid w:val="005B730F"/>
    <w:rsid w:val="005B732B"/>
    <w:rsid w:val="005B7384"/>
    <w:rsid w:val="005B739C"/>
    <w:rsid w:val="005B751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F8"/>
    <w:rsid w:val="005C1239"/>
    <w:rsid w:val="005C1414"/>
    <w:rsid w:val="005C142A"/>
    <w:rsid w:val="005C1758"/>
    <w:rsid w:val="005C18CF"/>
    <w:rsid w:val="005C18E4"/>
    <w:rsid w:val="005C1AD4"/>
    <w:rsid w:val="005C1D42"/>
    <w:rsid w:val="005C1EC7"/>
    <w:rsid w:val="005C1ED7"/>
    <w:rsid w:val="005C1F5C"/>
    <w:rsid w:val="005C20A2"/>
    <w:rsid w:val="005C21E4"/>
    <w:rsid w:val="005C2246"/>
    <w:rsid w:val="005C2273"/>
    <w:rsid w:val="005C22B8"/>
    <w:rsid w:val="005C22C7"/>
    <w:rsid w:val="005C2421"/>
    <w:rsid w:val="005C2493"/>
    <w:rsid w:val="005C26B1"/>
    <w:rsid w:val="005C2842"/>
    <w:rsid w:val="005C29F6"/>
    <w:rsid w:val="005C2C7D"/>
    <w:rsid w:val="005C2DEA"/>
    <w:rsid w:val="005C2E1B"/>
    <w:rsid w:val="005C3013"/>
    <w:rsid w:val="005C3462"/>
    <w:rsid w:val="005C34DD"/>
    <w:rsid w:val="005C355E"/>
    <w:rsid w:val="005C368A"/>
    <w:rsid w:val="005C36CB"/>
    <w:rsid w:val="005C38A5"/>
    <w:rsid w:val="005C3C84"/>
    <w:rsid w:val="005C3C95"/>
    <w:rsid w:val="005C3DC1"/>
    <w:rsid w:val="005C3E5B"/>
    <w:rsid w:val="005C403D"/>
    <w:rsid w:val="005C4057"/>
    <w:rsid w:val="005C40B3"/>
    <w:rsid w:val="005C42BD"/>
    <w:rsid w:val="005C434B"/>
    <w:rsid w:val="005C43F0"/>
    <w:rsid w:val="005C454E"/>
    <w:rsid w:val="005C45DF"/>
    <w:rsid w:val="005C4B15"/>
    <w:rsid w:val="005C4B66"/>
    <w:rsid w:val="005C4CA5"/>
    <w:rsid w:val="005C503D"/>
    <w:rsid w:val="005C533A"/>
    <w:rsid w:val="005C56A8"/>
    <w:rsid w:val="005C56E7"/>
    <w:rsid w:val="005C5789"/>
    <w:rsid w:val="005C59F8"/>
    <w:rsid w:val="005C5B9E"/>
    <w:rsid w:val="005C5F28"/>
    <w:rsid w:val="005C6011"/>
    <w:rsid w:val="005C6088"/>
    <w:rsid w:val="005C60FE"/>
    <w:rsid w:val="005C6145"/>
    <w:rsid w:val="005C61E5"/>
    <w:rsid w:val="005C621A"/>
    <w:rsid w:val="005C6256"/>
    <w:rsid w:val="005C62A5"/>
    <w:rsid w:val="005C64A3"/>
    <w:rsid w:val="005C6549"/>
    <w:rsid w:val="005C6556"/>
    <w:rsid w:val="005C671F"/>
    <w:rsid w:val="005C67CE"/>
    <w:rsid w:val="005C693D"/>
    <w:rsid w:val="005C6A73"/>
    <w:rsid w:val="005C6ACE"/>
    <w:rsid w:val="005C6C8D"/>
    <w:rsid w:val="005C6DF3"/>
    <w:rsid w:val="005C6E9A"/>
    <w:rsid w:val="005C6F9C"/>
    <w:rsid w:val="005C7025"/>
    <w:rsid w:val="005C7065"/>
    <w:rsid w:val="005C721F"/>
    <w:rsid w:val="005C75B7"/>
    <w:rsid w:val="005C780C"/>
    <w:rsid w:val="005C78BE"/>
    <w:rsid w:val="005C7937"/>
    <w:rsid w:val="005C793F"/>
    <w:rsid w:val="005C7AB4"/>
    <w:rsid w:val="005C7D1C"/>
    <w:rsid w:val="005C7D84"/>
    <w:rsid w:val="005C7E9D"/>
    <w:rsid w:val="005D01FD"/>
    <w:rsid w:val="005D0659"/>
    <w:rsid w:val="005D07B3"/>
    <w:rsid w:val="005D0985"/>
    <w:rsid w:val="005D0AA1"/>
    <w:rsid w:val="005D0B99"/>
    <w:rsid w:val="005D0C55"/>
    <w:rsid w:val="005D0DF7"/>
    <w:rsid w:val="005D0EFF"/>
    <w:rsid w:val="005D110C"/>
    <w:rsid w:val="005D1159"/>
    <w:rsid w:val="005D13FA"/>
    <w:rsid w:val="005D1595"/>
    <w:rsid w:val="005D1597"/>
    <w:rsid w:val="005D189B"/>
    <w:rsid w:val="005D19F3"/>
    <w:rsid w:val="005D1EBE"/>
    <w:rsid w:val="005D1F53"/>
    <w:rsid w:val="005D263E"/>
    <w:rsid w:val="005D284A"/>
    <w:rsid w:val="005D287B"/>
    <w:rsid w:val="005D2AD4"/>
    <w:rsid w:val="005D2B03"/>
    <w:rsid w:val="005D2B83"/>
    <w:rsid w:val="005D2BE0"/>
    <w:rsid w:val="005D2DC6"/>
    <w:rsid w:val="005D2F60"/>
    <w:rsid w:val="005D3114"/>
    <w:rsid w:val="005D32A6"/>
    <w:rsid w:val="005D33DC"/>
    <w:rsid w:val="005D34D0"/>
    <w:rsid w:val="005D3504"/>
    <w:rsid w:val="005D351A"/>
    <w:rsid w:val="005D3BA8"/>
    <w:rsid w:val="005D3C00"/>
    <w:rsid w:val="005D3CC9"/>
    <w:rsid w:val="005D3D10"/>
    <w:rsid w:val="005D3DB0"/>
    <w:rsid w:val="005D3FD0"/>
    <w:rsid w:val="005D400A"/>
    <w:rsid w:val="005D4358"/>
    <w:rsid w:val="005D4359"/>
    <w:rsid w:val="005D43C8"/>
    <w:rsid w:val="005D45E4"/>
    <w:rsid w:val="005D4676"/>
    <w:rsid w:val="005D469A"/>
    <w:rsid w:val="005D49BA"/>
    <w:rsid w:val="005D49F2"/>
    <w:rsid w:val="005D4C81"/>
    <w:rsid w:val="005D4EAA"/>
    <w:rsid w:val="005D4F64"/>
    <w:rsid w:val="005D4F83"/>
    <w:rsid w:val="005D4FD3"/>
    <w:rsid w:val="005D5350"/>
    <w:rsid w:val="005D54B1"/>
    <w:rsid w:val="005D54BD"/>
    <w:rsid w:val="005D55BE"/>
    <w:rsid w:val="005D5709"/>
    <w:rsid w:val="005D578C"/>
    <w:rsid w:val="005D57C9"/>
    <w:rsid w:val="005D57E1"/>
    <w:rsid w:val="005D5CD9"/>
    <w:rsid w:val="005D5D50"/>
    <w:rsid w:val="005D5DC2"/>
    <w:rsid w:val="005D5E89"/>
    <w:rsid w:val="005D6057"/>
    <w:rsid w:val="005D6131"/>
    <w:rsid w:val="005D620A"/>
    <w:rsid w:val="005D632B"/>
    <w:rsid w:val="005D65C4"/>
    <w:rsid w:val="005D6787"/>
    <w:rsid w:val="005D681D"/>
    <w:rsid w:val="005D6FA3"/>
    <w:rsid w:val="005D7012"/>
    <w:rsid w:val="005D7039"/>
    <w:rsid w:val="005D70FD"/>
    <w:rsid w:val="005D717F"/>
    <w:rsid w:val="005D729D"/>
    <w:rsid w:val="005D730D"/>
    <w:rsid w:val="005D7351"/>
    <w:rsid w:val="005D7682"/>
    <w:rsid w:val="005D7686"/>
    <w:rsid w:val="005D7A07"/>
    <w:rsid w:val="005D7A15"/>
    <w:rsid w:val="005D7A57"/>
    <w:rsid w:val="005D7BAB"/>
    <w:rsid w:val="005E020A"/>
    <w:rsid w:val="005E020B"/>
    <w:rsid w:val="005E03DB"/>
    <w:rsid w:val="005E080E"/>
    <w:rsid w:val="005E0926"/>
    <w:rsid w:val="005E099B"/>
    <w:rsid w:val="005E09D9"/>
    <w:rsid w:val="005E0A75"/>
    <w:rsid w:val="005E0A78"/>
    <w:rsid w:val="005E0B99"/>
    <w:rsid w:val="005E0D28"/>
    <w:rsid w:val="005E1198"/>
    <w:rsid w:val="005E132C"/>
    <w:rsid w:val="005E14EF"/>
    <w:rsid w:val="005E151E"/>
    <w:rsid w:val="005E1536"/>
    <w:rsid w:val="005E16C8"/>
    <w:rsid w:val="005E176B"/>
    <w:rsid w:val="005E17BD"/>
    <w:rsid w:val="005E1A3A"/>
    <w:rsid w:val="005E1D97"/>
    <w:rsid w:val="005E1E42"/>
    <w:rsid w:val="005E2376"/>
    <w:rsid w:val="005E263C"/>
    <w:rsid w:val="005E2C00"/>
    <w:rsid w:val="005E355A"/>
    <w:rsid w:val="005E390E"/>
    <w:rsid w:val="005E3A82"/>
    <w:rsid w:val="005E3EF9"/>
    <w:rsid w:val="005E3F60"/>
    <w:rsid w:val="005E3FAD"/>
    <w:rsid w:val="005E4276"/>
    <w:rsid w:val="005E431F"/>
    <w:rsid w:val="005E437D"/>
    <w:rsid w:val="005E43C2"/>
    <w:rsid w:val="005E43FA"/>
    <w:rsid w:val="005E46B8"/>
    <w:rsid w:val="005E479A"/>
    <w:rsid w:val="005E47AD"/>
    <w:rsid w:val="005E4A8B"/>
    <w:rsid w:val="005E4B5E"/>
    <w:rsid w:val="005E4CA3"/>
    <w:rsid w:val="005E4F78"/>
    <w:rsid w:val="005E4F89"/>
    <w:rsid w:val="005E5163"/>
    <w:rsid w:val="005E51E7"/>
    <w:rsid w:val="005E5543"/>
    <w:rsid w:val="005E557D"/>
    <w:rsid w:val="005E58FC"/>
    <w:rsid w:val="005E5BCA"/>
    <w:rsid w:val="005E5BF3"/>
    <w:rsid w:val="005E5E92"/>
    <w:rsid w:val="005E5E9D"/>
    <w:rsid w:val="005E5FA0"/>
    <w:rsid w:val="005E600A"/>
    <w:rsid w:val="005E617A"/>
    <w:rsid w:val="005E6193"/>
    <w:rsid w:val="005E6538"/>
    <w:rsid w:val="005E67C8"/>
    <w:rsid w:val="005E6A34"/>
    <w:rsid w:val="005E6AC6"/>
    <w:rsid w:val="005E6BEC"/>
    <w:rsid w:val="005E6DA5"/>
    <w:rsid w:val="005E6EA8"/>
    <w:rsid w:val="005E7175"/>
    <w:rsid w:val="005E732B"/>
    <w:rsid w:val="005E7352"/>
    <w:rsid w:val="005E7481"/>
    <w:rsid w:val="005E789C"/>
    <w:rsid w:val="005E799F"/>
    <w:rsid w:val="005E7A4B"/>
    <w:rsid w:val="005E7BD4"/>
    <w:rsid w:val="005E7E03"/>
    <w:rsid w:val="005E7F44"/>
    <w:rsid w:val="005F00A5"/>
    <w:rsid w:val="005F0311"/>
    <w:rsid w:val="005F049B"/>
    <w:rsid w:val="005F04DD"/>
    <w:rsid w:val="005F095D"/>
    <w:rsid w:val="005F0AFE"/>
    <w:rsid w:val="005F0B33"/>
    <w:rsid w:val="005F0C66"/>
    <w:rsid w:val="005F0CAF"/>
    <w:rsid w:val="005F0E6D"/>
    <w:rsid w:val="005F0F1E"/>
    <w:rsid w:val="005F10E8"/>
    <w:rsid w:val="005F13D8"/>
    <w:rsid w:val="005F1478"/>
    <w:rsid w:val="005F14B6"/>
    <w:rsid w:val="005F1566"/>
    <w:rsid w:val="005F176F"/>
    <w:rsid w:val="005F1779"/>
    <w:rsid w:val="005F18E6"/>
    <w:rsid w:val="005F1928"/>
    <w:rsid w:val="005F1AC2"/>
    <w:rsid w:val="005F1AD2"/>
    <w:rsid w:val="005F1BF2"/>
    <w:rsid w:val="005F1DE0"/>
    <w:rsid w:val="005F1FDE"/>
    <w:rsid w:val="005F21B7"/>
    <w:rsid w:val="005F2293"/>
    <w:rsid w:val="005F242A"/>
    <w:rsid w:val="005F2475"/>
    <w:rsid w:val="005F2B20"/>
    <w:rsid w:val="005F2BF6"/>
    <w:rsid w:val="005F3057"/>
    <w:rsid w:val="005F326C"/>
    <w:rsid w:val="005F32B6"/>
    <w:rsid w:val="005F32C4"/>
    <w:rsid w:val="005F39C8"/>
    <w:rsid w:val="005F3A1A"/>
    <w:rsid w:val="005F3ACB"/>
    <w:rsid w:val="005F3C33"/>
    <w:rsid w:val="005F3C59"/>
    <w:rsid w:val="005F3CC4"/>
    <w:rsid w:val="005F4125"/>
    <w:rsid w:val="005F419D"/>
    <w:rsid w:val="005F4235"/>
    <w:rsid w:val="005F4273"/>
    <w:rsid w:val="005F45CC"/>
    <w:rsid w:val="005F488E"/>
    <w:rsid w:val="005F4B42"/>
    <w:rsid w:val="005F4DF7"/>
    <w:rsid w:val="005F53B9"/>
    <w:rsid w:val="005F548A"/>
    <w:rsid w:val="005F5499"/>
    <w:rsid w:val="005F5687"/>
    <w:rsid w:val="005F57D8"/>
    <w:rsid w:val="005F5919"/>
    <w:rsid w:val="005F59FE"/>
    <w:rsid w:val="005F5DD1"/>
    <w:rsid w:val="005F5E43"/>
    <w:rsid w:val="005F5EE1"/>
    <w:rsid w:val="005F615C"/>
    <w:rsid w:val="005F6396"/>
    <w:rsid w:val="005F63C4"/>
    <w:rsid w:val="005F64CC"/>
    <w:rsid w:val="005F6778"/>
    <w:rsid w:val="005F6795"/>
    <w:rsid w:val="005F67CD"/>
    <w:rsid w:val="005F6978"/>
    <w:rsid w:val="005F6C1C"/>
    <w:rsid w:val="005F70FC"/>
    <w:rsid w:val="005F7130"/>
    <w:rsid w:val="005F7C5A"/>
    <w:rsid w:val="005F7C93"/>
    <w:rsid w:val="005F7D11"/>
    <w:rsid w:val="00600074"/>
    <w:rsid w:val="006004B9"/>
    <w:rsid w:val="0060064B"/>
    <w:rsid w:val="0060064C"/>
    <w:rsid w:val="006008D3"/>
    <w:rsid w:val="006008F5"/>
    <w:rsid w:val="0060097F"/>
    <w:rsid w:val="00600A32"/>
    <w:rsid w:val="00600BE9"/>
    <w:rsid w:val="00600FE6"/>
    <w:rsid w:val="006011A8"/>
    <w:rsid w:val="0060155B"/>
    <w:rsid w:val="006015EF"/>
    <w:rsid w:val="00601681"/>
    <w:rsid w:val="00601787"/>
    <w:rsid w:val="0060179B"/>
    <w:rsid w:val="0060183E"/>
    <w:rsid w:val="00601A39"/>
    <w:rsid w:val="00601AF2"/>
    <w:rsid w:val="00601C8F"/>
    <w:rsid w:val="00601DBA"/>
    <w:rsid w:val="00601E3E"/>
    <w:rsid w:val="00602008"/>
    <w:rsid w:val="00602029"/>
    <w:rsid w:val="00602194"/>
    <w:rsid w:val="0060229D"/>
    <w:rsid w:val="00602495"/>
    <w:rsid w:val="0060272E"/>
    <w:rsid w:val="0060274D"/>
    <w:rsid w:val="00602CDA"/>
    <w:rsid w:val="0060306C"/>
    <w:rsid w:val="006035C5"/>
    <w:rsid w:val="00603663"/>
    <w:rsid w:val="0060377F"/>
    <w:rsid w:val="006037BE"/>
    <w:rsid w:val="006037DA"/>
    <w:rsid w:val="00603C4E"/>
    <w:rsid w:val="00603DB9"/>
    <w:rsid w:val="00603EAF"/>
    <w:rsid w:val="00603EBA"/>
    <w:rsid w:val="006043EA"/>
    <w:rsid w:val="00604790"/>
    <w:rsid w:val="00604857"/>
    <w:rsid w:val="00604A06"/>
    <w:rsid w:val="00604AAB"/>
    <w:rsid w:val="00604F07"/>
    <w:rsid w:val="00604F97"/>
    <w:rsid w:val="0060534A"/>
    <w:rsid w:val="0060566F"/>
    <w:rsid w:val="006059CB"/>
    <w:rsid w:val="00605E61"/>
    <w:rsid w:val="00605F35"/>
    <w:rsid w:val="0060625E"/>
    <w:rsid w:val="0060648C"/>
    <w:rsid w:val="0060661E"/>
    <w:rsid w:val="00606742"/>
    <w:rsid w:val="006067EF"/>
    <w:rsid w:val="006068E6"/>
    <w:rsid w:val="00606A12"/>
    <w:rsid w:val="00606C93"/>
    <w:rsid w:val="00607303"/>
    <w:rsid w:val="0060775A"/>
    <w:rsid w:val="006079AD"/>
    <w:rsid w:val="00607A93"/>
    <w:rsid w:val="00607BA5"/>
    <w:rsid w:val="00607C68"/>
    <w:rsid w:val="0061036C"/>
    <w:rsid w:val="0061064C"/>
    <w:rsid w:val="0061081E"/>
    <w:rsid w:val="00610A9D"/>
    <w:rsid w:val="00610AA5"/>
    <w:rsid w:val="00610AC6"/>
    <w:rsid w:val="00610AF7"/>
    <w:rsid w:val="00610B8C"/>
    <w:rsid w:val="00610CF8"/>
    <w:rsid w:val="00610DA5"/>
    <w:rsid w:val="00610F2C"/>
    <w:rsid w:val="006110B2"/>
    <w:rsid w:val="00611113"/>
    <w:rsid w:val="00611120"/>
    <w:rsid w:val="00611451"/>
    <w:rsid w:val="006114DE"/>
    <w:rsid w:val="006116B7"/>
    <w:rsid w:val="006117CF"/>
    <w:rsid w:val="006117FB"/>
    <w:rsid w:val="0061185D"/>
    <w:rsid w:val="006119F4"/>
    <w:rsid w:val="00611A4E"/>
    <w:rsid w:val="00611C6C"/>
    <w:rsid w:val="00612092"/>
    <w:rsid w:val="00612177"/>
    <w:rsid w:val="0061218C"/>
    <w:rsid w:val="006123BA"/>
    <w:rsid w:val="006124FC"/>
    <w:rsid w:val="00612540"/>
    <w:rsid w:val="006125DB"/>
    <w:rsid w:val="006127DF"/>
    <w:rsid w:val="006128AD"/>
    <w:rsid w:val="00612999"/>
    <w:rsid w:val="006129E3"/>
    <w:rsid w:val="00612A13"/>
    <w:rsid w:val="00612B25"/>
    <w:rsid w:val="00612B4A"/>
    <w:rsid w:val="00612B76"/>
    <w:rsid w:val="00612B9D"/>
    <w:rsid w:val="00612E5D"/>
    <w:rsid w:val="00612FD1"/>
    <w:rsid w:val="006131B3"/>
    <w:rsid w:val="006131C6"/>
    <w:rsid w:val="006134C7"/>
    <w:rsid w:val="00613601"/>
    <w:rsid w:val="00613798"/>
    <w:rsid w:val="00613803"/>
    <w:rsid w:val="00613C5B"/>
    <w:rsid w:val="00613E27"/>
    <w:rsid w:val="006141B1"/>
    <w:rsid w:val="00614308"/>
    <w:rsid w:val="00614351"/>
    <w:rsid w:val="0061456F"/>
    <w:rsid w:val="00614699"/>
    <w:rsid w:val="006146D7"/>
    <w:rsid w:val="00614867"/>
    <w:rsid w:val="00614C36"/>
    <w:rsid w:val="00614CD4"/>
    <w:rsid w:val="00614D24"/>
    <w:rsid w:val="00614F3C"/>
    <w:rsid w:val="00614F9C"/>
    <w:rsid w:val="006150D5"/>
    <w:rsid w:val="00615279"/>
    <w:rsid w:val="00615570"/>
    <w:rsid w:val="0061557F"/>
    <w:rsid w:val="00615707"/>
    <w:rsid w:val="006159B0"/>
    <w:rsid w:val="006159C3"/>
    <w:rsid w:val="00615C7A"/>
    <w:rsid w:val="00615D68"/>
    <w:rsid w:val="00615FED"/>
    <w:rsid w:val="006161A1"/>
    <w:rsid w:val="0061640A"/>
    <w:rsid w:val="0061667B"/>
    <w:rsid w:val="006168B7"/>
    <w:rsid w:val="0061700E"/>
    <w:rsid w:val="006170C6"/>
    <w:rsid w:val="006170C8"/>
    <w:rsid w:val="006170EC"/>
    <w:rsid w:val="006170F2"/>
    <w:rsid w:val="0061734D"/>
    <w:rsid w:val="0061741B"/>
    <w:rsid w:val="0061776A"/>
    <w:rsid w:val="00617A02"/>
    <w:rsid w:val="00617AEE"/>
    <w:rsid w:val="00617E11"/>
    <w:rsid w:val="00617EEB"/>
    <w:rsid w:val="0062012A"/>
    <w:rsid w:val="00620391"/>
    <w:rsid w:val="006208A8"/>
    <w:rsid w:val="0062098E"/>
    <w:rsid w:val="0062099C"/>
    <w:rsid w:val="00620A59"/>
    <w:rsid w:val="00620DEE"/>
    <w:rsid w:val="00620EAC"/>
    <w:rsid w:val="00620ED0"/>
    <w:rsid w:val="00620FD2"/>
    <w:rsid w:val="00621025"/>
    <w:rsid w:val="00621053"/>
    <w:rsid w:val="006210B3"/>
    <w:rsid w:val="006211ED"/>
    <w:rsid w:val="00621492"/>
    <w:rsid w:val="0062193D"/>
    <w:rsid w:val="00621981"/>
    <w:rsid w:val="00621D4B"/>
    <w:rsid w:val="00622062"/>
    <w:rsid w:val="0062212F"/>
    <w:rsid w:val="00622362"/>
    <w:rsid w:val="00622535"/>
    <w:rsid w:val="00622661"/>
    <w:rsid w:val="0062277A"/>
    <w:rsid w:val="0062294F"/>
    <w:rsid w:val="006229A8"/>
    <w:rsid w:val="00622A64"/>
    <w:rsid w:val="00622A75"/>
    <w:rsid w:val="00622ABD"/>
    <w:rsid w:val="00622BF5"/>
    <w:rsid w:val="00622CDB"/>
    <w:rsid w:val="006230AB"/>
    <w:rsid w:val="00623470"/>
    <w:rsid w:val="00623516"/>
    <w:rsid w:val="0062375E"/>
    <w:rsid w:val="00623869"/>
    <w:rsid w:val="006239B1"/>
    <w:rsid w:val="00623A5E"/>
    <w:rsid w:val="00623D6F"/>
    <w:rsid w:val="00623FAC"/>
    <w:rsid w:val="00623FDF"/>
    <w:rsid w:val="00624233"/>
    <w:rsid w:val="00624693"/>
    <w:rsid w:val="00624AE8"/>
    <w:rsid w:val="00624AEB"/>
    <w:rsid w:val="00624B82"/>
    <w:rsid w:val="00624E91"/>
    <w:rsid w:val="0062514C"/>
    <w:rsid w:val="006254A7"/>
    <w:rsid w:val="006254E0"/>
    <w:rsid w:val="00625510"/>
    <w:rsid w:val="0062591F"/>
    <w:rsid w:val="00625AFD"/>
    <w:rsid w:val="00625C26"/>
    <w:rsid w:val="00625E84"/>
    <w:rsid w:val="00625FAE"/>
    <w:rsid w:val="0062605A"/>
    <w:rsid w:val="006263F6"/>
    <w:rsid w:val="006265D6"/>
    <w:rsid w:val="006268A8"/>
    <w:rsid w:val="00626C14"/>
    <w:rsid w:val="00626EB2"/>
    <w:rsid w:val="006270E7"/>
    <w:rsid w:val="00627622"/>
    <w:rsid w:val="006277F3"/>
    <w:rsid w:val="00627806"/>
    <w:rsid w:val="00627838"/>
    <w:rsid w:val="00627D44"/>
    <w:rsid w:val="00627DAD"/>
    <w:rsid w:val="00627E40"/>
    <w:rsid w:val="00627F3C"/>
    <w:rsid w:val="00627FB4"/>
    <w:rsid w:val="00630131"/>
    <w:rsid w:val="00630169"/>
    <w:rsid w:val="006301C4"/>
    <w:rsid w:val="006303D2"/>
    <w:rsid w:val="00630569"/>
    <w:rsid w:val="006306C8"/>
    <w:rsid w:val="006309C6"/>
    <w:rsid w:val="00630AD8"/>
    <w:rsid w:val="00630CBA"/>
    <w:rsid w:val="00630D3E"/>
    <w:rsid w:val="00630E80"/>
    <w:rsid w:val="00630F24"/>
    <w:rsid w:val="0063107B"/>
    <w:rsid w:val="00631105"/>
    <w:rsid w:val="00631176"/>
    <w:rsid w:val="006312A3"/>
    <w:rsid w:val="00631A7E"/>
    <w:rsid w:val="00631AF0"/>
    <w:rsid w:val="00631B4B"/>
    <w:rsid w:val="00631C48"/>
    <w:rsid w:val="00631D24"/>
    <w:rsid w:val="00631D88"/>
    <w:rsid w:val="0063203E"/>
    <w:rsid w:val="00632067"/>
    <w:rsid w:val="0063209D"/>
    <w:rsid w:val="006323C7"/>
    <w:rsid w:val="0063243E"/>
    <w:rsid w:val="006324CD"/>
    <w:rsid w:val="006324DE"/>
    <w:rsid w:val="00632642"/>
    <w:rsid w:val="006327B6"/>
    <w:rsid w:val="0063296C"/>
    <w:rsid w:val="0063299F"/>
    <w:rsid w:val="00632A99"/>
    <w:rsid w:val="00632AC8"/>
    <w:rsid w:val="00632CD2"/>
    <w:rsid w:val="00632E23"/>
    <w:rsid w:val="00632FEF"/>
    <w:rsid w:val="00633057"/>
    <w:rsid w:val="006330EF"/>
    <w:rsid w:val="00633200"/>
    <w:rsid w:val="00633314"/>
    <w:rsid w:val="006333E9"/>
    <w:rsid w:val="0063366C"/>
    <w:rsid w:val="006336B6"/>
    <w:rsid w:val="006337F8"/>
    <w:rsid w:val="00633868"/>
    <w:rsid w:val="006339A4"/>
    <w:rsid w:val="00633B61"/>
    <w:rsid w:val="00633D70"/>
    <w:rsid w:val="006340D6"/>
    <w:rsid w:val="0063422F"/>
    <w:rsid w:val="006347B3"/>
    <w:rsid w:val="006347C9"/>
    <w:rsid w:val="00634D43"/>
    <w:rsid w:val="00635063"/>
    <w:rsid w:val="006350E4"/>
    <w:rsid w:val="006350EC"/>
    <w:rsid w:val="0063517B"/>
    <w:rsid w:val="006352DE"/>
    <w:rsid w:val="006353F8"/>
    <w:rsid w:val="00635757"/>
    <w:rsid w:val="006359A6"/>
    <w:rsid w:val="00635A3F"/>
    <w:rsid w:val="00635BF8"/>
    <w:rsid w:val="00635D9A"/>
    <w:rsid w:val="00635E97"/>
    <w:rsid w:val="00635EAF"/>
    <w:rsid w:val="00636063"/>
    <w:rsid w:val="0063636A"/>
    <w:rsid w:val="00636484"/>
    <w:rsid w:val="00636725"/>
    <w:rsid w:val="00636979"/>
    <w:rsid w:val="006369D5"/>
    <w:rsid w:val="00636A8F"/>
    <w:rsid w:val="00636DC4"/>
    <w:rsid w:val="00636E15"/>
    <w:rsid w:val="00636EE8"/>
    <w:rsid w:val="0063702F"/>
    <w:rsid w:val="006371DA"/>
    <w:rsid w:val="00637268"/>
    <w:rsid w:val="00637534"/>
    <w:rsid w:val="00637764"/>
    <w:rsid w:val="00637DF3"/>
    <w:rsid w:val="00637EE4"/>
    <w:rsid w:val="00637F20"/>
    <w:rsid w:val="006401FA"/>
    <w:rsid w:val="00640379"/>
    <w:rsid w:val="0064063E"/>
    <w:rsid w:val="00640666"/>
    <w:rsid w:val="006407E5"/>
    <w:rsid w:val="006408A2"/>
    <w:rsid w:val="00640B31"/>
    <w:rsid w:val="00640BC7"/>
    <w:rsid w:val="00640C53"/>
    <w:rsid w:val="00640D94"/>
    <w:rsid w:val="00640DB3"/>
    <w:rsid w:val="00640DF6"/>
    <w:rsid w:val="006410E7"/>
    <w:rsid w:val="00641106"/>
    <w:rsid w:val="006415E4"/>
    <w:rsid w:val="0064179A"/>
    <w:rsid w:val="006418DB"/>
    <w:rsid w:val="00641C55"/>
    <w:rsid w:val="00641D2F"/>
    <w:rsid w:val="00641E2F"/>
    <w:rsid w:val="00641E3D"/>
    <w:rsid w:val="00641F4E"/>
    <w:rsid w:val="00642074"/>
    <w:rsid w:val="0064218C"/>
    <w:rsid w:val="00642319"/>
    <w:rsid w:val="00642438"/>
    <w:rsid w:val="00642582"/>
    <w:rsid w:val="0064265A"/>
    <w:rsid w:val="006427F6"/>
    <w:rsid w:val="006428CD"/>
    <w:rsid w:val="006429FE"/>
    <w:rsid w:val="00642CD0"/>
    <w:rsid w:val="00642F69"/>
    <w:rsid w:val="00643012"/>
    <w:rsid w:val="0064316B"/>
    <w:rsid w:val="00643186"/>
    <w:rsid w:val="006433B9"/>
    <w:rsid w:val="00643405"/>
    <w:rsid w:val="006435D9"/>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431A"/>
    <w:rsid w:val="006443E5"/>
    <w:rsid w:val="00644480"/>
    <w:rsid w:val="00644612"/>
    <w:rsid w:val="006449B9"/>
    <w:rsid w:val="00644AD1"/>
    <w:rsid w:val="00644E65"/>
    <w:rsid w:val="006450D1"/>
    <w:rsid w:val="00645124"/>
    <w:rsid w:val="00645257"/>
    <w:rsid w:val="00645479"/>
    <w:rsid w:val="006456F2"/>
    <w:rsid w:val="0064575C"/>
    <w:rsid w:val="0064585B"/>
    <w:rsid w:val="0064585F"/>
    <w:rsid w:val="00645998"/>
    <w:rsid w:val="006459F6"/>
    <w:rsid w:val="00645D32"/>
    <w:rsid w:val="00645E8B"/>
    <w:rsid w:val="00646025"/>
    <w:rsid w:val="0064606B"/>
    <w:rsid w:val="00646204"/>
    <w:rsid w:val="00646424"/>
    <w:rsid w:val="0064655B"/>
    <w:rsid w:val="0064668F"/>
    <w:rsid w:val="006466A1"/>
    <w:rsid w:val="00646726"/>
    <w:rsid w:val="006467BE"/>
    <w:rsid w:val="00646BA1"/>
    <w:rsid w:val="00646EF5"/>
    <w:rsid w:val="00647022"/>
    <w:rsid w:val="0064706E"/>
    <w:rsid w:val="00647137"/>
    <w:rsid w:val="0064734D"/>
    <w:rsid w:val="006473F3"/>
    <w:rsid w:val="00647650"/>
    <w:rsid w:val="00647685"/>
    <w:rsid w:val="00647C41"/>
    <w:rsid w:val="00647D87"/>
    <w:rsid w:val="00647DEA"/>
    <w:rsid w:val="00647EF6"/>
    <w:rsid w:val="006500BB"/>
    <w:rsid w:val="006500BF"/>
    <w:rsid w:val="00650131"/>
    <w:rsid w:val="00650221"/>
    <w:rsid w:val="0065025A"/>
    <w:rsid w:val="00650274"/>
    <w:rsid w:val="00650289"/>
    <w:rsid w:val="00650538"/>
    <w:rsid w:val="006505EE"/>
    <w:rsid w:val="0065064E"/>
    <w:rsid w:val="00650969"/>
    <w:rsid w:val="00650A57"/>
    <w:rsid w:val="00650BB9"/>
    <w:rsid w:val="00650E81"/>
    <w:rsid w:val="00650ED5"/>
    <w:rsid w:val="00650FCD"/>
    <w:rsid w:val="006515C2"/>
    <w:rsid w:val="006516BD"/>
    <w:rsid w:val="00651759"/>
    <w:rsid w:val="006517A2"/>
    <w:rsid w:val="00651A00"/>
    <w:rsid w:val="00651C37"/>
    <w:rsid w:val="00651CC9"/>
    <w:rsid w:val="00651E3E"/>
    <w:rsid w:val="0065202A"/>
    <w:rsid w:val="006520AF"/>
    <w:rsid w:val="006521AE"/>
    <w:rsid w:val="00652364"/>
    <w:rsid w:val="00652B1E"/>
    <w:rsid w:val="00652C97"/>
    <w:rsid w:val="00652CAA"/>
    <w:rsid w:val="00652E8B"/>
    <w:rsid w:val="00653105"/>
    <w:rsid w:val="00653132"/>
    <w:rsid w:val="006532D7"/>
    <w:rsid w:val="00653302"/>
    <w:rsid w:val="0065343D"/>
    <w:rsid w:val="0065353C"/>
    <w:rsid w:val="0065356B"/>
    <w:rsid w:val="0065362C"/>
    <w:rsid w:val="0065370B"/>
    <w:rsid w:val="0065374D"/>
    <w:rsid w:val="0065381E"/>
    <w:rsid w:val="00653898"/>
    <w:rsid w:val="00653DF3"/>
    <w:rsid w:val="00653DFB"/>
    <w:rsid w:val="00653E06"/>
    <w:rsid w:val="00653EC4"/>
    <w:rsid w:val="00653ECB"/>
    <w:rsid w:val="00653F03"/>
    <w:rsid w:val="0065404B"/>
    <w:rsid w:val="00654067"/>
    <w:rsid w:val="006540C9"/>
    <w:rsid w:val="00654212"/>
    <w:rsid w:val="0065433E"/>
    <w:rsid w:val="00654475"/>
    <w:rsid w:val="006544FB"/>
    <w:rsid w:val="0065459C"/>
    <w:rsid w:val="006547B8"/>
    <w:rsid w:val="006547C0"/>
    <w:rsid w:val="00654DF2"/>
    <w:rsid w:val="00654DFF"/>
    <w:rsid w:val="00654E28"/>
    <w:rsid w:val="00654FB5"/>
    <w:rsid w:val="00655177"/>
    <w:rsid w:val="00655216"/>
    <w:rsid w:val="00655491"/>
    <w:rsid w:val="0065571B"/>
    <w:rsid w:val="00655B38"/>
    <w:rsid w:val="00655CB9"/>
    <w:rsid w:val="00655D6D"/>
    <w:rsid w:val="00655EA5"/>
    <w:rsid w:val="006560DE"/>
    <w:rsid w:val="006562A0"/>
    <w:rsid w:val="0065630B"/>
    <w:rsid w:val="0065652A"/>
    <w:rsid w:val="00656651"/>
    <w:rsid w:val="00656652"/>
    <w:rsid w:val="00656771"/>
    <w:rsid w:val="00656A96"/>
    <w:rsid w:val="00656ABE"/>
    <w:rsid w:val="00656BFC"/>
    <w:rsid w:val="00656F14"/>
    <w:rsid w:val="00656F47"/>
    <w:rsid w:val="0065718D"/>
    <w:rsid w:val="00657238"/>
    <w:rsid w:val="006573C3"/>
    <w:rsid w:val="006573D9"/>
    <w:rsid w:val="006574AA"/>
    <w:rsid w:val="00657509"/>
    <w:rsid w:val="0065756C"/>
    <w:rsid w:val="00657690"/>
    <w:rsid w:val="00657771"/>
    <w:rsid w:val="00657891"/>
    <w:rsid w:val="00657921"/>
    <w:rsid w:val="0065795B"/>
    <w:rsid w:val="00657A1A"/>
    <w:rsid w:val="00657A1E"/>
    <w:rsid w:val="00657C4A"/>
    <w:rsid w:val="00657D1D"/>
    <w:rsid w:val="00657F6C"/>
    <w:rsid w:val="0066005A"/>
    <w:rsid w:val="006600CB"/>
    <w:rsid w:val="00660180"/>
    <w:rsid w:val="0066028A"/>
    <w:rsid w:val="006605A0"/>
    <w:rsid w:val="006606F5"/>
    <w:rsid w:val="0066084A"/>
    <w:rsid w:val="00660882"/>
    <w:rsid w:val="00660964"/>
    <w:rsid w:val="00660A7D"/>
    <w:rsid w:val="00660ABB"/>
    <w:rsid w:val="00660ACA"/>
    <w:rsid w:val="00660BEE"/>
    <w:rsid w:val="00661282"/>
    <w:rsid w:val="0066132A"/>
    <w:rsid w:val="0066145F"/>
    <w:rsid w:val="006616C8"/>
    <w:rsid w:val="006618EB"/>
    <w:rsid w:val="00661C92"/>
    <w:rsid w:val="00662103"/>
    <w:rsid w:val="006623C3"/>
    <w:rsid w:val="006623DF"/>
    <w:rsid w:val="006625E9"/>
    <w:rsid w:val="0066265D"/>
    <w:rsid w:val="00662AB5"/>
    <w:rsid w:val="00662DB0"/>
    <w:rsid w:val="006630C6"/>
    <w:rsid w:val="00663230"/>
    <w:rsid w:val="006632AC"/>
    <w:rsid w:val="00663342"/>
    <w:rsid w:val="00663681"/>
    <w:rsid w:val="0066384D"/>
    <w:rsid w:val="006638C7"/>
    <w:rsid w:val="006638E5"/>
    <w:rsid w:val="00663A73"/>
    <w:rsid w:val="00663A9F"/>
    <w:rsid w:val="00663CA5"/>
    <w:rsid w:val="00663E6F"/>
    <w:rsid w:val="00663EFD"/>
    <w:rsid w:val="0066401B"/>
    <w:rsid w:val="0066438E"/>
    <w:rsid w:val="006643A8"/>
    <w:rsid w:val="006644E0"/>
    <w:rsid w:val="00664672"/>
    <w:rsid w:val="006646DE"/>
    <w:rsid w:val="0066474E"/>
    <w:rsid w:val="00664B04"/>
    <w:rsid w:val="00664B51"/>
    <w:rsid w:val="00664D63"/>
    <w:rsid w:val="00664D8B"/>
    <w:rsid w:val="0066521D"/>
    <w:rsid w:val="0066524B"/>
    <w:rsid w:val="00665340"/>
    <w:rsid w:val="0066546B"/>
    <w:rsid w:val="00665922"/>
    <w:rsid w:val="00665A13"/>
    <w:rsid w:val="00665DE7"/>
    <w:rsid w:val="00665E01"/>
    <w:rsid w:val="00665E14"/>
    <w:rsid w:val="00665F7B"/>
    <w:rsid w:val="00665F80"/>
    <w:rsid w:val="0066623B"/>
    <w:rsid w:val="00666274"/>
    <w:rsid w:val="0066627F"/>
    <w:rsid w:val="0066631F"/>
    <w:rsid w:val="0066645A"/>
    <w:rsid w:val="006664D8"/>
    <w:rsid w:val="0066677B"/>
    <w:rsid w:val="0066683F"/>
    <w:rsid w:val="00666A7A"/>
    <w:rsid w:val="00666ABA"/>
    <w:rsid w:val="00666EE4"/>
    <w:rsid w:val="00666F18"/>
    <w:rsid w:val="00667055"/>
    <w:rsid w:val="006671FF"/>
    <w:rsid w:val="006675E3"/>
    <w:rsid w:val="0066760E"/>
    <w:rsid w:val="00667656"/>
    <w:rsid w:val="006676AB"/>
    <w:rsid w:val="006676C2"/>
    <w:rsid w:val="00667745"/>
    <w:rsid w:val="00667BE5"/>
    <w:rsid w:val="00667D71"/>
    <w:rsid w:val="00667E81"/>
    <w:rsid w:val="00667F3A"/>
    <w:rsid w:val="00667FF5"/>
    <w:rsid w:val="00670015"/>
    <w:rsid w:val="006700A2"/>
    <w:rsid w:val="006705EE"/>
    <w:rsid w:val="0067077B"/>
    <w:rsid w:val="00670783"/>
    <w:rsid w:val="00670798"/>
    <w:rsid w:val="00670944"/>
    <w:rsid w:val="0067098A"/>
    <w:rsid w:val="006709F6"/>
    <w:rsid w:val="00670ACD"/>
    <w:rsid w:val="006710E1"/>
    <w:rsid w:val="006710F0"/>
    <w:rsid w:val="00671255"/>
    <w:rsid w:val="0067131A"/>
    <w:rsid w:val="0067181F"/>
    <w:rsid w:val="00671A51"/>
    <w:rsid w:val="00671A91"/>
    <w:rsid w:val="00671CB0"/>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3127"/>
    <w:rsid w:val="0067332C"/>
    <w:rsid w:val="00673391"/>
    <w:rsid w:val="006733A0"/>
    <w:rsid w:val="006734E1"/>
    <w:rsid w:val="0067358D"/>
    <w:rsid w:val="00673AF4"/>
    <w:rsid w:val="00673D58"/>
    <w:rsid w:val="00673EA9"/>
    <w:rsid w:val="00674260"/>
    <w:rsid w:val="00674505"/>
    <w:rsid w:val="00674506"/>
    <w:rsid w:val="0067486C"/>
    <w:rsid w:val="00674AEB"/>
    <w:rsid w:val="00674B58"/>
    <w:rsid w:val="00674E1B"/>
    <w:rsid w:val="00674E50"/>
    <w:rsid w:val="00674E8F"/>
    <w:rsid w:val="00674F23"/>
    <w:rsid w:val="00675192"/>
    <w:rsid w:val="006753A6"/>
    <w:rsid w:val="006754C9"/>
    <w:rsid w:val="00675663"/>
    <w:rsid w:val="00675A12"/>
    <w:rsid w:val="00675B9F"/>
    <w:rsid w:val="00675C4C"/>
    <w:rsid w:val="006760FA"/>
    <w:rsid w:val="0067615B"/>
    <w:rsid w:val="00676243"/>
    <w:rsid w:val="006767A4"/>
    <w:rsid w:val="006767EC"/>
    <w:rsid w:val="006769D6"/>
    <w:rsid w:val="00676A0D"/>
    <w:rsid w:val="00676E6F"/>
    <w:rsid w:val="00676F9D"/>
    <w:rsid w:val="0067706E"/>
    <w:rsid w:val="00677507"/>
    <w:rsid w:val="00677782"/>
    <w:rsid w:val="006779DE"/>
    <w:rsid w:val="00677BFC"/>
    <w:rsid w:val="00677DF6"/>
    <w:rsid w:val="00677FE6"/>
    <w:rsid w:val="006800F0"/>
    <w:rsid w:val="00680253"/>
    <w:rsid w:val="0068026D"/>
    <w:rsid w:val="00680281"/>
    <w:rsid w:val="00680318"/>
    <w:rsid w:val="00680460"/>
    <w:rsid w:val="00680915"/>
    <w:rsid w:val="00680B18"/>
    <w:rsid w:val="00680DA6"/>
    <w:rsid w:val="00681017"/>
    <w:rsid w:val="0068162A"/>
    <w:rsid w:val="006816CF"/>
    <w:rsid w:val="0068187E"/>
    <w:rsid w:val="0068197D"/>
    <w:rsid w:val="00681B10"/>
    <w:rsid w:val="00681C69"/>
    <w:rsid w:val="00682300"/>
    <w:rsid w:val="00682307"/>
    <w:rsid w:val="0068231D"/>
    <w:rsid w:val="006823DA"/>
    <w:rsid w:val="00682486"/>
    <w:rsid w:val="006824B9"/>
    <w:rsid w:val="00682632"/>
    <w:rsid w:val="006826BA"/>
    <w:rsid w:val="00682837"/>
    <w:rsid w:val="00682B5D"/>
    <w:rsid w:val="00682C75"/>
    <w:rsid w:val="00682E26"/>
    <w:rsid w:val="00682E8B"/>
    <w:rsid w:val="00682EE6"/>
    <w:rsid w:val="00683006"/>
    <w:rsid w:val="00683045"/>
    <w:rsid w:val="006837D9"/>
    <w:rsid w:val="006839ED"/>
    <w:rsid w:val="00683F38"/>
    <w:rsid w:val="0068407A"/>
    <w:rsid w:val="00684136"/>
    <w:rsid w:val="0068422B"/>
    <w:rsid w:val="006843D7"/>
    <w:rsid w:val="00684412"/>
    <w:rsid w:val="006845A6"/>
    <w:rsid w:val="00684648"/>
    <w:rsid w:val="00684868"/>
    <w:rsid w:val="00684A16"/>
    <w:rsid w:val="00684A3E"/>
    <w:rsid w:val="00684C7B"/>
    <w:rsid w:val="00684CEC"/>
    <w:rsid w:val="00684DD1"/>
    <w:rsid w:val="00684E3F"/>
    <w:rsid w:val="00684E78"/>
    <w:rsid w:val="00685011"/>
    <w:rsid w:val="0068507D"/>
    <w:rsid w:val="00685084"/>
    <w:rsid w:val="00685166"/>
    <w:rsid w:val="00685174"/>
    <w:rsid w:val="006851B1"/>
    <w:rsid w:val="00685257"/>
    <w:rsid w:val="006853C1"/>
    <w:rsid w:val="00685539"/>
    <w:rsid w:val="006855A9"/>
    <w:rsid w:val="006857E9"/>
    <w:rsid w:val="00685DA8"/>
    <w:rsid w:val="00686008"/>
    <w:rsid w:val="00686169"/>
    <w:rsid w:val="006861BA"/>
    <w:rsid w:val="006861BD"/>
    <w:rsid w:val="00686200"/>
    <w:rsid w:val="00686215"/>
    <w:rsid w:val="00686469"/>
    <w:rsid w:val="006866D8"/>
    <w:rsid w:val="00686728"/>
    <w:rsid w:val="0068680C"/>
    <w:rsid w:val="00686CB8"/>
    <w:rsid w:val="00686EFE"/>
    <w:rsid w:val="00687199"/>
    <w:rsid w:val="006873FB"/>
    <w:rsid w:val="00687942"/>
    <w:rsid w:val="006879D1"/>
    <w:rsid w:val="00687ECD"/>
    <w:rsid w:val="00687FE6"/>
    <w:rsid w:val="00690298"/>
    <w:rsid w:val="006903E9"/>
    <w:rsid w:val="00690862"/>
    <w:rsid w:val="00690987"/>
    <w:rsid w:val="00690B07"/>
    <w:rsid w:val="00690BF3"/>
    <w:rsid w:val="00690F18"/>
    <w:rsid w:val="00691133"/>
    <w:rsid w:val="0069124B"/>
    <w:rsid w:val="006914A7"/>
    <w:rsid w:val="00691565"/>
    <w:rsid w:val="006915B1"/>
    <w:rsid w:val="006916E4"/>
    <w:rsid w:val="006919FC"/>
    <w:rsid w:val="00691A00"/>
    <w:rsid w:val="00691A09"/>
    <w:rsid w:val="00691A56"/>
    <w:rsid w:val="00691B14"/>
    <w:rsid w:val="00691BE5"/>
    <w:rsid w:val="00691D76"/>
    <w:rsid w:val="00691E51"/>
    <w:rsid w:val="00692009"/>
    <w:rsid w:val="006921AC"/>
    <w:rsid w:val="0069227A"/>
    <w:rsid w:val="00692567"/>
    <w:rsid w:val="006926EB"/>
    <w:rsid w:val="00692744"/>
    <w:rsid w:val="006928F1"/>
    <w:rsid w:val="00692954"/>
    <w:rsid w:val="006929B3"/>
    <w:rsid w:val="00692C4A"/>
    <w:rsid w:val="00692CA3"/>
    <w:rsid w:val="00692D8A"/>
    <w:rsid w:val="00692E6A"/>
    <w:rsid w:val="00692EA4"/>
    <w:rsid w:val="00693104"/>
    <w:rsid w:val="006931C9"/>
    <w:rsid w:val="0069322D"/>
    <w:rsid w:val="00693293"/>
    <w:rsid w:val="006932F1"/>
    <w:rsid w:val="0069335B"/>
    <w:rsid w:val="006934BD"/>
    <w:rsid w:val="006934F5"/>
    <w:rsid w:val="0069390E"/>
    <w:rsid w:val="00693C1C"/>
    <w:rsid w:val="00693C70"/>
    <w:rsid w:val="00693CAF"/>
    <w:rsid w:val="006942B2"/>
    <w:rsid w:val="006942C1"/>
    <w:rsid w:val="00694596"/>
    <w:rsid w:val="006946B0"/>
    <w:rsid w:val="00694C65"/>
    <w:rsid w:val="00694D72"/>
    <w:rsid w:val="00694FC1"/>
    <w:rsid w:val="006950BB"/>
    <w:rsid w:val="006950D5"/>
    <w:rsid w:val="00695106"/>
    <w:rsid w:val="006951AC"/>
    <w:rsid w:val="006951B5"/>
    <w:rsid w:val="00695269"/>
    <w:rsid w:val="00695272"/>
    <w:rsid w:val="006952AF"/>
    <w:rsid w:val="0069530E"/>
    <w:rsid w:val="00695434"/>
    <w:rsid w:val="006954E8"/>
    <w:rsid w:val="006956BE"/>
    <w:rsid w:val="006956D0"/>
    <w:rsid w:val="006959C1"/>
    <w:rsid w:val="00695BE7"/>
    <w:rsid w:val="00695CBD"/>
    <w:rsid w:val="00695D28"/>
    <w:rsid w:val="00695F37"/>
    <w:rsid w:val="0069606E"/>
    <w:rsid w:val="00696730"/>
    <w:rsid w:val="0069675E"/>
    <w:rsid w:val="006967DC"/>
    <w:rsid w:val="0069681D"/>
    <w:rsid w:val="00696828"/>
    <w:rsid w:val="00696997"/>
    <w:rsid w:val="00696D96"/>
    <w:rsid w:val="00696ECB"/>
    <w:rsid w:val="00696F6C"/>
    <w:rsid w:val="00696F75"/>
    <w:rsid w:val="00697178"/>
    <w:rsid w:val="00697226"/>
    <w:rsid w:val="0069722C"/>
    <w:rsid w:val="0069731A"/>
    <w:rsid w:val="0069748D"/>
    <w:rsid w:val="00697A70"/>
    <w:rsid w:val="00697C86"/>
    <w:rsid w:val="00697CD6"/>
    <w:rsid w:val="00697E8E"/>
    <w:rsid w:val="006A072C"/>
    <w:rsid w:val="006A08FE"/>
    <w:rsid w:val="006A0A30"/>
    <w:rsid w:val="006A0C89"/>
    <w:rsid w:val="006A0DF3"/>
    <w:rsid w:val="006A105A"/>
    <w:rsid w:val="006A105E"/>
    <w:rsid w:val="006A1219"/>
    <w:rsid w:val="006A134F"/>
    <w:rsid w:val="006A165A"/>
    <w:rsid w:val="006A173F"/>
    <w:rsid w:val="006A1759"/>
    <w:rsid w:val="006A17DC"/>
    <w:rsid w:val="006A1968"/>
    <w:rsid w:val="006A1E87"/>
    <w:rsid w:val="006A1EDA"/>
    <w:rsid w:val="006A1EF1"/>
    <w:rsid w:val="006A1FE2"/>
    <w:rsid w:val="006A2301"/>
    <w:rsid w:val="006A2423"/>
    <w:rsid w:val="006A24AE"/>
    <w:rsid w:val="006A24BF"/>
    <w:rsid w:val="006A2780"/>
    <w:rsid w:val="006A29DE"/>
    <w:rsid w:val="006A2C25"/>
    <w:rsid w:val="006A2C3C"/>
    <w:rsid w:val="006A2D44"/>
    <w:rsid w:val="006A2EF1"/>
    <w:rsid w:val="006A3001"/>
    <w:rsid w:val="006A30D6"/>
    <w:rsid w:val="006A324B"/>
    <w:rsid w:val="006A324D"/>
    <w:rsid w:val="006A33A5"/>
    <w:rsid w:val="006A342B"/>
    <w:rsid w:val="006A3536"/>
    <w:rsid w:val="006A374D"/>
    <w:rsid w:val="006A3750"/>
    <w:rsid w:val="006A3862"/>
    <w:rsid w:val="006A3B21"/>
    <w:rsid w:val="006A3DA6"/>
    <w:rsid w:val="006A426F"/>
    <w:rsid w:val="006A4304"/>
    <w:rsid w:val="006A4439"/>
    <w:rsid w:val="006A44B0"/>
    <w:rsid w:val="006A469C"/>
    <w:rsid w:val="006A4816"/>
    <w:rsid w:val="006A4987"/>
    <w:rsid w:val="006A4AD7"/>
    <w:rsid w:val="006A4C0C"/>
    <w:rsid w:val="006A4D55"/>
    <w:rsid w:val="006A4EC1"/>
    <w:rsid w:val="006A525A"/>
    <w:rsid w:val="006A5519"/>
    <w:rsid w:val="006A580A"/>
    <w:rsid w:val="006A58E6"/>
    <w:rsid w:val="006A5AA4"/>
    <w:rsid w:val="006A5B49"/>
    <w:rsid w:val="006A5CB7"/>
    <w:rsid w:val="006A5CE2"/>
    <w:rsid w:val="006A6137"/>
    <w:rsid w:val="006A642C"/>
    <w:rsid w:val="006A64B0"/>
    <w:rsid w:val="006A64D7"/>
    <w:rsid w:val="006A6564"/>
    <w:rsid w:val="006A67D3"/>
    <w:rsid w:val="006A6877"/>
    <w:rsid w:val="006A68D4"/>
    <w:rsid w:val="006A6A73"/>
    <w:rsid w:val="006A6BF8"/>
    <w:rsid w:val="006A6BFD"/>
    <w:rsid w:val="006A6D4E"/>
    <w:rsid w:val="006A6E45"/>
    <w:rsid w:val="006A6EF2"/>
    <w:rsid w:val="006A7033"/>
    <w:rsid w:val="006A7038"/>
    <w:rsid w:val="006A70AB"/>
    <w:rsid w:val="006A7244"/>
    <w:rsid w:val="006A7454"/>
    <w:rsid w:val="006A74E4"/>
    <w:rsid w:val="006A76CB"/>
    <w:rsid w:val="006A79C4"/>
    <w:rsid w:val="006A7B33"/>
    <w:rsid w:val="006A7C7F"/>
    <w:rsid w:val="006A7D26"/>
    <w:rsid w:val="006A7F8C"/>
    <w:rsid w:val="006A7FB7"/>
    <w:rsid w:val="006B0002"/>
    <w:rsid w:val="006B0255"/>
    <w:rsid w:val="006B034E"/>
    <w:rsid w:val="006B0359"/>
    <w:rsid w:val="006B03FD"/>
    <w:rsid w:val="006B04C7"/>
    <w:rsid w:val="006B04D6"/>
    <w:rsid w:val="006B057F"/>
    <w:rsid w:val="006B058B"/>
    <w:rsid w:val="006B063F"/>
    <w:rsid w:val="006B0B44"/>
    <w:rsid w:val="006B0D81"/>
    <w:rsid w:val="006B0ECD"/>
    <w:rsid w:val="006B10D8"/>
    <w:rsid w:val="006B14A6"/>
    <w:rsid w:val="006B1528"/>
    <w:rsid w:val="006B15C1"/>
    <w:rsid w:val="006B16BB"/>
    <w:rsid w:val="006B16DA"/>
    <w:rsid w:val="006B1707"/>
    <w:rsid w:val="006B1794"/>
    <w:rsid w:val="006B1815"/>
    <w:rsid w:val="006B1A7A"/>
    <w:rsid w:val="006B1AAA"/>
    <w:rsid w:val="006B1AF8"/>
    <w:rsid w:val="006B1EB2"/>
    <w:rsid w:val="006B1F91"/>
    <w:rsid w:val="006B20DB"/>
    <w:rsid w:val="006B214C"/>
    <w:rsid w:val="006B215D"/>
    <w:rsid w:val="006B2179"/>
    <w:rsid w:val="006B218A"/>
    <w:rsid w:val="006B231A"/>
    <w:rsid w:val="006B232D"/>
    <w:rsid w:val="006B2381"/>
    <w:rsid w:val="006B255C"/>
    <w:rsid w:val="006B2711"/>
    <w:rsid w:val="006B285D"/>
    <w:rsid w:val="006B2A2C"/>
    <w:rsid w:val="006B2A37"/>
    <w:rsid w:val="006B2D76"/>
    <w:rsid w:val="006B2FE9"/>
    <w:rsid w:val="006B2FEB"/>
    <w:rsid w:val="006B2FEC"/>
    <w:rsid w:val="006B2FEF"/>
    <w:rsid w:val="006B3114"/>
    <w:rsid w:val="006B31D7"/>
    <w:rsid w:val="006B327D"/>
    <w:rsid w:val="006B344E"/>
    <w:rsid w:val="006B3942"/>
    <w:rsid w:val="006B39E8"/>
    <w:rsid w:val="006B3A61"/>
    <w:rsid w:val="006B3C84"/>
    <w:rsid w:val="006B417C"/>
    <w:rsid w:val="006B41E1"/>
    <w:rsid w:val="006B4266"/>
    <w:rsid w:val="006B43BF"/>
    <w:rsid w:val="006B44E8"/>
    <w:rsid w:val="006B4739"/>
    <w:rsid w:val="006B483B"/>
    <w:rsid w:val="006B484F"/>
    <w:rsid w:val="006B48CC"/>
    <w:rsid w:val="006B4A2D"/>
    <w:rsid w:val="006B4BC7"/>
    <w:rsid w:val="006B4C2A"/>
    <w:rsid w:val="006B4E07"/>
    <w:rsid w:val="006B4E11"/>
    <w:rsid w:val="006B5123"/>
    <w:rsid w:val="006B52E5"/>
    <w:rsid w:val="006B54BF"/>
    <w:rsid w:val="006B54FA"/>
    <w:rsid w:val="006B559C"/>
    <w:rsid w:val="006B569A"/>
    <w:rsid w:val="006B57F7"/>
    <w:rsid w:val="006B581F"/>
    <w:rsid w:val="006B5D44"/>
    <w:rsid w:val="006B5F6A"/>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BE3"/>
    <w:rsid w:val="006B7CEE"/>
    <w:rsid w:val="006B7D1F"/>
    <w:rsid w:val="006B7E60"/>
    <w:rsid w:val="006B7FF3"/>
    <w:rsid w:val="006C007E"/>
    <w:rsid w:val="006C0100"/>
    <w:rsid w:val="006C0191"/>
    <w:rsid w:val="006C03A0"/>
    <w:rsid w:val="006C0569"/>
    <w:rsid w:val="006C099E"/>
    <w:rsid w:val="006C0CBB"/>
    <w:rsid w:val="006C0E2A"/>
    <w:rsid w:val="006C0FE9"/>
    <w:rsid w:val="006C14DD"/>
    <w:rsid w:val="006C1527"/>
    <w:rsid w:val="006C15DF"/>
    <w:rsid w:val="006C160C"/>
    <w:rsid w:val="006C18DF"/>
    <w:rsid w:val="006C19F4"/>
    <w:rsid w:val="006C1B9B"/>
    <w:rsid w:val="006C1F09"/>
    <w:rsid w:val="006C2003"/>
    <w:rsid w:val="006C2036"/>
    <w:rsid w:val="006C2193"/>
    <w:rsid w:val="006C23BB"/>
    <w:rsid w:val="006C24BD"/>
    <w:rsid w:val="006C25B1"/>
    <w:rsid w:val="006C264C"/>
    <w:rsid w:val="006C2742"/>
    <w:rsid w:val="006C28A9"/>
    <w:rsid w:val="006C2A98"/>
    <w:rsid w:val="006C300E"/>
    <w:rsid w:val="006C301D"/>
    <w:rsid w:val="006C3261"/>
    <w:rsid w:val="006C3423"/>
    <w:rsid w:val="006C3551"/>
    <w:rsid w:val="006C360B"/>
    <w:rsid w:val="006C3619"/>
    <w:rsid w:val="006C37B2"/>
    <w:rsid w:val="006C37CE"/>
    <w:rsid w:val="006C3873"/>
    <w:rsid w:val="006C3883"/>
    <w:rsid w:val="006C3885"/>
    <w:rsid w:val="006C38B9"/>
    <w:rsid w:val="006C39B4"/>
    <w:rsid w:val="006C3A51"/>
    <w:rsid w:val="006C3A69"/>
    <w:rsid w:val="006C3BD2"/>
    <w:rsid w:val="006C3D84"/>
    <w:rsid w:val="006C3DE3"/>
    <w:rsid w:val="006C40A9"/>
    <w:rsid w:val="006C40E0"/>
    <w:rsid w:val="006C40EE"/>
    <w:rsid w:val="006C4123"/>
    <w:rsid w:val="006C4435"/>
    <w:rsid w:val="006C45A5"/>
    <w:rsid w:val="006C45E9"/>
    <w:rsid w:val="006C4737"/>
    <w:rsid w:val="006C4AFE"/>
    <w:rsid w:val="006C4BC8"/>
    <w:rsid w:val="006C515D"/>
    <w:rsid w:val="006C529D"/>
    <w:rsid w:val="006C5496"/>
    <w:rsid w:val="006C559A"/>
    <w:rsid w:val="006C5607"/>
    <w:rsid w:val="006C5626"/>
    <w:rsid w:val="006C56E6"/>
    <w:rsid w:val="006C5780"/>
    <w:rsid w:val="006C5841"/>
    <w:rsid w:val="006C5873"/>
    <w:rsid w:val="006C58F4"/>
    <w:rsid w:val="006C59AF"/>
    <w:rsid w:val="006C5C4A"/>
    <w:rsid w:val="006C5DC4"/>
    <w:rsid w:val="006C5DE6"/>
    <w:rsid w:val="006C6109"/>
    <w:rsid w:val="006C633B"/>
    <w:rsid w:val="006C6346"/>
    <w:rsid w:val="006C6611"/>
    <w:rsid w:val="006C681F"/>
    <w:rsid w:val="006C68E5"/>
    <w:rsid w:val="006C6AD2"/>
    <w:rsid w:val="006C6BD7"/>
    <w:rsid w:val="006C70CA"/>
    <w:rsid w:val="006C70E5"/>
    <w:rsid w:val="006C71BC"/>
    <w:rsid w:val="006C71F7"/>
    <w:rsid w:val="006C7249"/>
    <w:rsid w:val="006C737C"/>
    <w:rsid w:val="006C74EA"/>
    <w:rsid w:val="006C7601"/>
    <w:rsid w:val="006C76C1"/>
    <w:rsid w:val="006C796F"/>
    <w:rsid w:val="006C79AC"/>
    <w:rsid w:val="006C7A1E"/>
    <w:rsid w:val="006C7F22"/>
    <w:rsid w:val="006C7F66"/>
    <w:rsid w:val="006D005E"/>
    <w:rsid w:val="006D011C"/>
    <w:rsid w:val="006D01CF"/>
    <w:rsid w:val="006D025A"/>
    <w:rsid w:val="006D03CD"/>
    <w:rsid w:val="006D0580"/>
    <w:rsid w:val="006D0825"/>
    <w:rsid w:val="006D0FCE"/>
    <w:rsid w:val="006D1093"/>
    <w:rsid w:val="006D118F"/>
    <w:rsid w:val="006D1191"/>
    <w:rsid w:val="006D1474"/>
    <w:rsid w:val="006D149D"/>
    <w:rsid w:val="006D14BF"/>
    <w:rsid w:val="006D14CD"/>
    <w:rsid w:val="006D1681"/>
    <w:rsid w:val="006D173F"/>
    <w:rsid w:val="006D1F20"/>
    <w:rsid w:val="006D202A"/>
    <w:rsid w:val="006D22D0"/>
    <w:rsid w:val="006D22E1"/>
    <w:rsid w:val="006D244D"/>
    <w:rsid w:val="006D25DF"/>
    <w:rsid w:val="006D261D"/>
    <w:rsid w:val="006D2765"/>
    <w:rsid w:val="006D27AE"/>
    <w:rsid w:val="006D2B09"/>
    <w:rsid w:val="006D2CC1"/>
    <w:rsid w:val="006D2CD0"/>
    <w:rsid w:val="006D2E5B"/>
    <w:rsid w:val="006D2E7D"/>
    <w:rsid w:val="006D2EB5"/>
    <w:rsid w:val="006D2F03"/>
    <w:rsid w:val="006D2F77"/>
    <w:rsid w:val="006D31B6"/>
    <w:rsid w:val="006D324D"/>
    <w:rsid w:val="006D3298"/>
    <w:rsid w:val="006D34A0"/>
    <w:rsid w:val="006D34EC"/>
    <w:rsid w:val="006D3AB9"/>
    <w:rsid w:val="006D3B69"/>
    <w:rsid w:val="006D3D1A"/>
    <w:rsid w:val="006D40C2"/>
    <w:rsid w:val="006D40F3"/>
    <w:rsid w:val="006D4133"/>
    <w:rsid w:val="006D41C5"/>
    <w:rsid w:val="006D426F"/>
    <w:rsid w:val="006D47C0"/>
    <w:rsid w:val="006D47E5"/>
    <w:rsid w:val="006D487F"/>
    <w:rsid w:val="006D4937"/>
    <w:rsid w:val="006D4C96"/>
    <w:rsid w:val="006D4D98"/>
    <w:rsid w:val="006D4E1B"/>
    <w:rsid w:val="006D4FD3"/>
    <w:rsid w:val="006D5051"/>
    <w:rsid w:val="006D50BE"/>
    <w:rsid w:val="006D5114"/>
    <w:rsid w:val="006D52E4"/>
    <w:rsid w:val="006D56D7"/>
    <w:rsid w:val="006D578A"/>
    <w:rsid w:val="006D59A4"/>
    <w:rsid w:val="006D5A45"/>
    <w:rsid w:val="006D6335"/>
    <w:rsid w:val="006D65B0"/>
    <w:rsid w:val="006D665C"/>
    <w:rsid w:val="006D67CE"/>
    <w:rsid w:val="006D688B"/>
    <w:rsid w:val="006D6ABB"/>
    <w:rsid w:val="006D6AE9"/>
    <w:rsid w:val="006D6DFF"/>
    <w:rsid w:val="006D6FE8"/>
    <w:rsid w:val="006D70C5"/>
    <w:rsid w:val="006D7170"/>
    <w:rsid w:val="006D7185"/>
    <w:rsid w:val="006D7270"/>
    <w:rsid w:val="006D738E"/>
    <w:rsid w:val="006D7527"/>
    <w:rsid w:val="006D7541"/>
    <w:rsid w:val="006D754A"/>
    <w:rsid w:val="006D755D"/>
    <w:rsid w:val="006D7886"/>
    <w:rsid w:val="006D79B3"/>
    <w:rsid w:val="006D7B41"/>
    <w:rsid w:val="006D7D11"/>
    <w:rsid w:val="006D7F67"/>
    <w:rsid w:val="006E0160"/>
    <w:rsid w:val="006E03F8"/>
    <w:rsid w:val="006E043A"/>
    <w:rsid w:val="006E044F"/>
    <w:rsid w:val="006E0790"/>
    <w:rsid w:val="006E07BB"/>
    <w:rsid w:val="006E0914"/>
    <w:rsid w:val="006E0933"/>
    <w:rsid w:val="006E0AD0"/>
    <w:rsid w:val="006E0EC0"/>
    <w:rsid w:val="006E1111"/>
    <w:rsid w:val="006E113F"/>
    <w:rsid w:val="006E117F"/>
    <w:rsid w:val="006E15FF"/>
    <w:rsid w:val="006E173F"/>
    <w:rsid w:val="006E1851"/>
    <w:rsid w:val="006E188A"/>
    <w:rsid w:val="006E1E61"/>
    <w:rsid w:val="006E2117"/>
    <w:rsid w:val="006E22C7"/>
    <w:rsid w:val="006E27A0"/>
    <w:rsid w:val="006E2A9A"/>
    <w:rsid w:val="006E2DEC"/>
    <w:rsid w:val="006E2E3C"/>
    <w:rsid w:val="006E2F89"/>
    <w:rsid w:val="006E2FAC"/>
    <w:rsid w:val="006E3359"/>
    <w:rsid w:val="006E376C"/>
    <w:rsid w:val="006E39C1"/>
    <w:rsid w:val="006E3C05"/>
    <w:rsid w:val="006E3D51"/>
    <w:rsid w:val="006E3FE9"/>
    <w:rsid w:val="006E4326"/>
    <w:rsid w:val="006E4567"/>
    <w:rsid w:val="006E4600"/>
    <w:rsid w:val="006E46EF"/>
    <w:rsid w:val="006E4A5A"/>
    <w:rsid w:val="006E4F66"/>
    <w:rsid w:val="006E506B"/>
    <w:rsid w:val="006E511B"/>
    <w:rsid w:val="006E5194"/>
    <w:rsid w:val="006E5352"/>
    <w:rsid w:val="006E54D0"/>
    <w:rsid w:val="006E553E"/>
    <w:rsid w:val="006E5659"/>
    <w:rsid w:val="006E5852"/>
    <w:rsid w:val="006E58BB"/>
    <w:rsid w:val="006E59C7"/>
    <w:rsid w:val="006E5AAD"/>
    <w:rsid w:val="006E5C34"/>
    <w:rsid w:val="006E5CD7"/>
    <w:rsid w:val="006E5E70"/>
    <w:rsid w:val="006E5F32"/>
    <w:rsid w:val="006E63B1"/>
    <w:rsid w:val="006E647C"/>
    <w:rsid w:val="006E688C"/>
    <w:rsid w:val="006E68AD"/>
    <w:rsid w:val="006E6A6E"/>
    <w:rsid w:val="006E6D01"/>
    <w:rsid w:val="006E6D8F"/>
    <w:rsid w:val="006E6E1E"/>
    <w:rsid w:val="006E753A"/>
    <w:rsid w:val="006E79A7"/>
    <w:rsid w:val="006E7A17"/>
    <w:rsid w:val="006E7C13"/>
    <w:rsid w:val="006E7E20"/>
    <w:rsid w:val="006E7F49"/>
    <w:rsid w:val="006F01F1"/>
    <w:rsid w:val="006F02D7"/>
    <w:rsid w:val="006F0524"/>
    <w:rsid w:val="006F08CF"/>
    <w:rsid w:val="006F0B59"/>
    <w:rsid w:val="006F0C61"/>
    <w:rsid w:val="006F0C9D"/>
    <w:rsid w:val="006F0F46"/>
    <w:rsid w:val="006F1691"/>
    <w:rsid w:val="006F190E"/>
    <w:rsid w:val="006F1B82"/>
    <w:rsid w:val="006F1BAE"/>
    <w:rsid w:val="006F1D75"/>
    <w:rsid w:val="006F1DFF"/>
    <w:rsid w:val="006F1F53"/>
    <w:rsid w:val="006F2133"/>
    <w:rsid w:val="006F224E"/>
    <w:rsid w:val="006F2553"/>
    <w:rsid w:val="006F26AD"/>
    <w:rsid w:val="006F279C"/>
    <w:rsid w:val="006F296A"/>
    <w:rsid w:val="006F2B11"/>
    <w:rsid w:val="006F2B13"/>
    <w:rsid w:val="006F2B2A"/>
    <w:rsid w:val="006F2CC8"/>
    <w:rsid w:val="006F2F29"/>
    <w:rsid w:val="006F2F7A"/>
    <w:rsid w:val="006F2F98"/>
    <w:rsid w:val="006F3176"/>
    <w:rsid w:val="006F321B"/>
    <w:rsid w:val="006F3248"/>
    <w:rsid w:val="006F3495"/>
    <w:rsid w:val="006F352A"/>
    <w:rsid w:val="006F3564"/>
    <w:rsid w:val="006F35C5"/>
    <w:rsid w:val="006F35EC"/>
    <w:rsid w:val="006F365A"/>
    <w:rsid w:val="006F3A36"/>
    <w:rsid w:val="006F3A9D"/>
    <w:rsid w:val="006F3B8B"/>
    <w:rsid w:val="006F3C6E"/>
    <w:rsid w:val="006F3FEA"/>
    <w:rsid w:val="006F4350"/>
    <w:rsid w:val="006F43D4"/>
    <w:rsid w:val="006F470D"/>
    <w:rsid w:val="006F4759"/>
    <w:rsid w:val="006F47A2"/>
    <w:rsid w:val="006F47C0"/>
    <w:rsid w:val="006F4C06"/>
    <w:rsid w:val="006F4DF8"/>
    <w:rsid w:val="006F515B"/>
    <w:rsid w:val="006F532D"/>
    <w:rsid w:val="006F5654"/>
    <w:rsid w:val="006F5A8D"/>
    <w:rsid w:val="006F5E79"/>
    <w:rsid w:val="006F5EFF"/>
    <w:rsid w:val="006F5F94"/>
    <w:rsid w:val="006F5FAF"/>
    <w:rsid w:val="006F6322"/>
    <w:rsid w:val="006F64B1"/>
    <w:rsid w:val="006F64CE"/>
    <w:rsid w:val="006F687E"/>
    <w:rsid w:val="006F6941"/>
    <w:rsid w:val="006F6A29"/>
    <w:rsid w:val="006F6E61"/>
    <w:rsid w:val="006F6EA5"/>
    <w:rsid w:val="006F7103"/>
    <w:rsid w:val="006F7320"/>
    <w:rsid w:val="006F7363"/>
    <w:rsid w:val="006F73F6"/>
    <w:rsid w:val="006F7431"/>
    <w:rsid w:val="006F7570"/>
    <w:rsid w:val="006F7645"/>
    <w:rsid w:val="006F78EC"/>
    <w:rsid w:val="006F79E6"/>
    <w:rsid w:val="006F7A57"/>
    <w:rsid w:val="006F7B73"/>
    <w:rsid w:val="006F7BBE"/>
    <w:rsid w:val="006F7C04"/>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B72"/>
    <w:rsid w:val="00700DEB"/>
    <w:rsid w:val="007010F7"/>
    <w:rsid w:val="007013F2"/>
    <w:rsid w:val="007014A9"/>
    <w:rsid w:val="007014E6"/>
    <w:rsid w:val="00701757"/>
    <w:rsid w:val="007018AD"/>
    <w:rsid w:val="00701973"/>
    <w:rsid w:val="00701B37"/>
    <w:rsid w:val="00701D9C"/>
    <w:rsid w:val="00701E59"/>
    <w:rsid w:val="00701E9A"/>
    <w:rsid w:val="00701F77"/>
    <w:rsid w:val="00701FB1"/>
    <w:rsid w:val="0070213C"/>
    <w:rsid w:val="0070247E"/>
    <w:rsid w:val="007025BA"/>
    <w:rsid w:val="0070289A"/>
    <w:rsid w:val="00702914"/>
    <w:rsid w:val="00702ABC"/>
    <w:rsid w:val="00702AD3"/>
    <w:rsid w:val="00702CD9"/>
    <w:rsid w:val="00702CDF"/>
    <w:rsid w:val="00702D5C"/>
    <w:rsid w:val="00702F46"/>
    <w:rsid w:val="007030C7"/>
    <w:rsid w:val="007030D7"/>
    <w:rsid w:val="007031C8"/>
    <w:rsid w:val="0070333D"/>
    <w:rsid w:val="007034EB"/>
    <w:rsid w:val="00703654"/>
    <w:rsid w:val="007037C7"/>
    <w:rsid w:val="00703A30"/>
    <w:rsid w:val="00703F11"/>
    <w:rsid w:val="00703F69"/>
    <w:rsid w:val="00703F7C"/>
    <w:rsid w:val="00704207"/>
    <w:rsid w:val="00704321"/>
    <w:rsid w:val="00704330"/>
    <w:rsid w:val="007043CA"/>
    <w:rsid w:val="0070461B"/>
    <w:rsid w:val="007046B8"/>
    <w:rsid w:val="007047BB"/>
    <w:rsid w:val="0070493C"/>
    <w:rsid w:val="00704B16"/>
    <w:rsid w:val="00704BD7"/>
    <w:rsid w:val="00704C4D"/>
    <w:rsid w:val="00704F4A"/>
    <w:rsid w:val="00704F7F"/>
    <w:rsid w:val="00704FD9"/>
    <w:rsid w:val="00705467"/>
    <w:rsid w:val="00705621"/>
    <w:rsid w:val="007056A2"/>
    <w:rsid w:val="00705806"/>
    <w:rsid w:val="00705A16"/>
    <w:rsid w:val="00705D33"/>
    <w:rsid w:val="00705EBB"/>
    <w:rsid w:val="00706000"/>
    <w:rsid w:val="0070607F"/>
    <w:rsid w:val="007060B1"/>
    <w:rsid w:val="00706224"/>
    <w:rsid w:val="007063CB"/>
    <w:rsid w:val="007063FA"/>
    <w:rsid w:val="0070643A"/>
    <w:rsid w:val="007064AF"/>
    <w:rsid w:val="00706756"/>
    <w:rsid w:val="007067C4"/>
    <w:rsid w:val="00706919"/>
    <w:rsid w:val="007069FE"/>
    <w:rsid w:val="00706A52"/>
    <w:rsid w:val="00706CB8"/>
    <w:rsid w:val="00706DED"/>
    <w:rsid w:val="00706E30"/>
    <w:rsid w:val="00706F7F"/>
    <w:rsid w:val="007073B4"/>
    <w:rsid w:val="007073F2"/>
    <w:rsid w:val="0070744C"/>
    <w:rsid w:val="0070763A"/>
    <w:rsid w:val="00707987"/>
    <w:rsid w:val="00707B5A"/>
    <w:rsid w:val="00707C8C"/>
    <w:rsid w:val="00707CDE"/>
    <w:rsid w:val="00707F06"/>
    <w:rsid w:val="0071021F"/>
    <w:rsid w:val="0071035C"/>
    <w:rsid w:val="007103A6"/>
    <w:rsid w:val="0071049B"/>
    <w:rsid w:val="007105A8"/>
    <w:rsid w:val="0071070F"/>
    <w:rsid w:val="007107E8"/>
    <w:rsid w:val="00710A93"/>
    <w:rsid w:val="00710CE4"/>
    <w:rsid w:val="00710F1B"/>
    <w:rsid w:val="0071128F"/>
    <w:rsid w:val="00711528"/>
    <w:rsid w:val="00711562"/>
    <w:rsid w:val="007115CF"/>
    <w:rsid w:val="007116BA"/>
    <w:rsid w:val="0071171F"/>
    <w:rsid w:val="007117AB"/>
    <w:rsid w:val="00711A35"/>
    <w:rsid w:val="00711D9B"/>
    <w:rsid w:val="00711EBF"/>
    <w:rsid w:val="0071214A"/>
    <w:rsid w:val="00712444"/>
    <w:rsid w:val="00712A0C"/>
    <w:rsid w:val="00712A93"/>
    <w:rsid w:val="00712C7A"/>
    <w:rsid w:val="00712C86"/>
    <w:rsid w:val="00712EFF"/>
    <w:rsid w:val="00713086"/>
    <w:rsid w:val="00713151"/>
    <w:rsid w:val="00713180"/>
    <w:rsid w:val="007137A3"/>
    <w:rsid w:val="0071381A"/>
    <w:rsid w:val="00713833"/>
    <w:rsid w:val="00713940"/>
    <w:rsid w:val="00713A1C"/>
    <w:rsid w:val="00713C55"/>
    <w:rsid w:val="00713D8A"/>
    <w:rsid w:val="00713E2C"/>
    <w:rsid w:val="007141B5"/>
    <w:rsid w:val="007144B0"/>
    <w:rsid w:val="00714721"/>
    <w:rsid w:val="007148DD"/>
    <w:rsid w:val="00714952"/>
    <w:rsid w:val="00714F59"/>
    <w:rsid w:val="00715174"/>
    <w:rsid w:val="00715336"/>
    <w:rsid w:val="00715363"/>
    <w:rsid w:val="0071538C"/>
    <w:rsid w:val="007155B1"/>
    <w:rsid w:val="007156CB"/>
    <w:rsid w:val="00715712"/>
    <w:rsid w:val="0071576D"/>
    <w:rsid w:val="00715805"/>
    <w:rsid w:val="00715A4B"/>
    <w:rsid w:val="00715A98"/>
    <w:rsid w:val="00715BB5"/>
    <w:rsid w:val="00715C5B"/>
    <w:rsid w:val="007160E2"/>
    <w:rsid w:val="007161C2"/>
    <w:rsid w:val="007163DF"/>
    <w:rsid w:val="0071645B"/>
    <w:rsid w:val="0071646B"/>
    <w:rsid w:val="00716504"/>
    <w:rsid w:val="00716557"/>
    <w:rsid w:val="00716562"/>
    <w:rsid w:val="00716C28"/>
    <w:rsid w:val="00716C5B"/>
    <w:rsid w:val="00716E26"/>
    <w:rsid w:val="00716E92"/>
    <w:rsid w:val="00716FA8"/>
    <w:rsid w:val="00717080"/>
    <w:rsid w:val="00717434"/>
    <w:rsid w:val="00717A87"/>
    <w:rsid w:val="00717D17"/>
    <w:rsid w:val="00720009"/>
    <w:rsid w:val="00720323"/>
    <w:rsid w:val="007203EE"/>
    <w:rsid w:val="007203FF"/>
    <w:rsid w:val="007204D1"/>
    <w:rsid w:val="0072073D"/>
    <w:rsid w:val="00720789"/>
    <w:rsid w:val="00720E23"/>
    <w:rsid w:val="00720E4E"/>
    <w:rsid w:val="00720F97"/>
    <w:rsid w:val="00721291"/>
    <w:rsid w:val="0072158B"/>
    <w:rsid w:val="00721659"/>
    <w:rsid w:val="00721689"/>
    <w:rsid w:val="00721844"/>
    <w:rsid w:val="00721854"/>
    <w:rsid w:val="007218F3"/>
    <w:rsid w:val="00721B7C"/>
    <w:rsid w:val="00721C32"/>
    <w:rsid w:val="00721DAD"/>
    <w:rsid w:val="00721E77"/>
    <w:rsid w:val="00721FE3"/>
    <w:rsid w:val="00722247"/>
    <w:rsid w:val="00722413"/>
    <w:rsid w:val="00722727"/>
    <w:rsid w:val="0072281E"/>
    <w:rsid w:val="0072282D"/>
    <w:rsid w:val="00722877"/>
    <w:rsid w:val="00722D63"/>
    <w:rsid w:val="007231D5"/>
    <w:rsid w:val="00723351"/>
    <w:rsid w:val="00723388"/>
    <w:rsid w:val="007233A8"/>
    <w:rsid w:val="0072345D"/>
    <w:rsid w:val="007234E7"/>
    <w:rsid w:val="00723571"/>
    <w:rsid w:val="0072362C"/>
    <w:rsid w:val="0072367C"/>
    <w:rsid w:val="007236BF"/>
    <w:rsid w:val="0072373B"/>
    <w:rsid w:val="0072378E"/>
    <w:rsid w:val="00723B0F"/>
    <w:rsid w:val="00723F79"/>
    <w:rsid w:val="0072412C"/>
    <w:rsid w:val="00724483"/>
    <w:rsid w:val="00724789"/>
    <w:rsid w:val="00724971"/>
    <w:rsid w:val="007249EE"/>
    <w:rsid w:val="00724A42"/>
    <w:rsid w:val="00724AD0"/>
    <w:rsid w:val="00724B39"/>
    <w:rsid w:val="00724BAE"/>
    <w:rsid w:val="00724D95"/>
    <w:rsid w:val="00724E21"/>
    <w:rsid w:val="00724F45"/>
    <w:rsid w:val="0072502F"/>
    <w:rsid w:val="0072548E"/>
    <w:rsid w:val="0072577D"/>
    <w:rsid w:val="0072579E"/>
    <w:rsid w:val="007259C7"/>
    <w:rsid w:val="00725BC9"/>
    <w:rsid w:val="00725E50"/>
    <w:rsid w:val="00725E72"/>
    <w:rsid w:val="0072604D"/>
    <w:rsid w:val="0072610B"/>
    <w:rsid w:val="00726117"/>
    <w:rsid w:val="007262BB"/>
    <w:rsid w:val="0072642F"/>
    <w:rsid w:val="007264C4"/>
    <w:rsid w:val="007264ED"/>
    <w:rsid w:val="007268DC"/>
    <w:rsid w:val="0072699E"/>
    <w:rsid w:val="00726AEE"/>
    <w:rsid w:val="00726B63"/>
    <w:rsid w:val="00726B69"/>
    <w:rsid w:val="00726BC8"/>
    <w:rsid w:val="00726D03"/>
    <w:rsid w:val="00726D5C"/>
    <w:rsid w:val="00726FB2"/>
    <w:rsid w:val="00727053"/>
    <w:rsid w:val="00727168"/>
    <w:rsid w:val="00727248"/>
    <w:rsid w:val="00727536"/>
    <w:rsid w:val="0072764F"/>
    <w:rsid w:val="007276B7"/>
    <w:rsid w:val="0072773E"/>
    <w:rsid w:val="00727858"/>
    <w:rsid w:val="0072788E"/>
    <w:rsid w:val="0072793A"/>
    <w:rsid w:val="00727AF2"/>
    <w:rsid w:val="00727F10"/>
    <w:rsid w:val="0073000C"/>
    <w:rsid w:val="007304FC"/>
    <w:rsid w:val="00730505"/>
    <w:rsid w:val="0073055A"/>
    <w:rsid w:val="00730790"/>
    <w:rsid w:val="00730A31"/>
    <w:rsid w:val="00730B13"/>
    <w:rsid w:val="00730B71"/>
    <w:rsid w:val="00730C91"/>
    <w:rsid w:val="00730D28"/>
    <w:rsid w:val="00730D8B"/>
    <w:rsid w:val="00731137"/>
    <w:rsid w:val="0073143A"/>
    <w:rsid w:val="007314A7"/>
    <w:rsid w:val="007317CC"/>
    <w:rsid w:val="007317DB"/>
    <w:rsid w:val="00731823"/>
    <w:rsid w:val="0073188E"/>
    <w:rsid w:val="00731A87"/>
    <w:rsid w:val="00731B65"/>
    <w:rsid w:val="00731C01"/>
    <w:rsid w:val="00731D30"/>
    <w:rsid w:val="00731FAF"/>
    <w:rsid w:val="00731FC6"/>
    <w:rsid w:val="0073203A"/>
    <w:rsid w:val="00732151"/>
    <w:rsid w:val="0073232B"/>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400"/>
    <w:rsid w:val="00733776"/>
    <w:rsid w:val="0073381D"/>
    <w:rsid w:val="0073398E"/>
    <w:rsid w:val="007339DF"/>
    <w:rsid w:val="00733CEE"/>
    <w:rsid w:val="00733DC3"/>
    <w:rsid w:val="00733E59"/>
    <w:rsid w:val="00733EEA"/>
    <w:rsid w:val="007342AD"/>
    <w:rsid w:val="007343AD"/>
    <w:rsid w:val="00734503"/>
    <w:rsid w:val="0073450A"/>
    <w:rsid w:val="00734530"/>
    <w:rsid w:val="0073464F"/>
    <w:rsid w:val="007348FC"/>
    <w:rsid w:val="007353DD"/>
    <w:rsid w:val="00735D12"/>
    <w:rsid w:val="00735E05"/>
    <w:rsid w:val="00735FA4"/>
    <w:rsid w:val="00736001"/>
    <w:rsid w:val="0073607F"/>
    <w:rsid w:val="007361CC"/>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F7F"/>
    <w:rsid w:val="00736FB2"/>
    <w:rsid w:val="0073704E"/>
    <w:rsid w:val="0073711F"/>
    <w:rsid w:val="00737302"/>
    <w:rsid w:val="007374FA"/>
    <w:rsid w:val="007378EB"/>
    <w:rsid w:val="00737B99"/>
    <w:rsid w:val="00737F6B"/>
    <w:rsid w:val="00740274"/>
    <w:rsid w:val="00740319"/>
    <w:rsid w:val="00740804"/>
    <w:rsid w:val="00740BA8"/>
    <w:rsid w:val="00740F2A"/>
    <w:rsid w:val="007411C0"/>
    <w:rsid w:val="0074128D"/>
    <w:rsid w:val="00741839"/>
    <w:rsid w:val="007418E1"/>
    <w:rsid w:val="00741932"/>
    <w:rsid w:val="007419C5"/>
    <w:rsid w:val="00741CC4"/>
    <w:rsid w:val="00741E58"/>
    <w:rsid w:val="00741E83"/>
    <w:rsid w:val="00741FC9"/>
    <w:rsid w:val="007421DD"/>
    <w:rsid w:val="00742201"/>
    <w:rsid w:val="0074221F"/>
    <w:rsid w:val="00742370"/>
    <w:rsid w:val="0074241C"/>
    <w:rsid w:val="0074244E"/>
    <w:rsid w:val="00742475"/>
    <w:rsid w:val="007425BB"/>
    <w:rsid w:val="00742924"/>
    <w:rsid w:val="0074294E"/>
    <w:rsid w:val="00742A84"/>
    <w:rsid w:val="00742E41"/>
    <w:rsid w:val="00742F34"/>
    <w:rsid w:val="00742F99"/>
    <w:rsid w:val="00743122"/>
    <w:rsid w:val="00743197"/>
    <w:rsid w:val="007432E2"/>
    <w:rsid w:val="007433DD"/>
    <w:rsid w:val="007434BE"/>
    <w:rsid w:val="00743545"/>
    <w:rsid w:val="0074360D"/>
    <w:rsid w:val="0074394B"/>
    <w:rsid w:val="00743CA7"/>
    <w:rsid w:val="00743DF6"/>
    <w:rsid w:val="0074434E"/>
    <w:rsid w:val="007443AE"/>
    <w:rsid w:val="007443CA"/>
    <w:rsid w:val="007449E3"/>
    <w:rsid w:val="00744C05"/>
    <w:rsid w:val="00744E43"/>
    <w:rsid w:val="00744F3E"/>
    <w:rsid w:val="00744FED"/>
    <w:rsid w:val="0074528D"/>
    <w:rsid w:val="007453DF"/>
    <w:rsid w:val="00745492"/>
    <w:rsid w:val="00745703"/>
    <w:rsid w:val="007458C2"/>
    <w:rsid w:val="00745A90"/>
    <w:rsid w:val="00745B64"/>
    <w:rsid w:val="00745D4C"/>
    <w:rsid w:val="00745F36"/>
    <w:rsid w:val="00746072"/>
    <w:rsid w:val="0074661B"/>
    <w:rsid w:val="00746662"/>
    <w:rsid w:val="00746734"/>
    <w:rsid w:val="00746828"/>
    <w:rsid w:val="00746907"/>
    <w:rsid w:val="00746A90"/>
    <w:rsid w:val="00747009"/>
    <w:rsid w:val="0074713F"/>
    <w:rsid w:val="00747211"/>
    <w:rsid w:val="00747285"/>
    <w:rsid w:val="007473CB"/>
    <w:rsid w:val="00747848"/>
    <w:rsid w:val="00747858"/>
    <w:rsid w:val="00747883"/>
    <w:rsid w:val="007478DB"/>
    <w:rsid w:val="00747E9E"/>
    <w:rsid w:val="00747EA1"/>
    <w:rsid w:val="00747EAD"/>
    <w:rsid w:val="00750143"/>
    <w:rsid w:val="0075017A"/>
    <w:rsid w:val="00750205"/>
    <w:rsid w:val="0075044B"/>
    <w:rsid w:val="00750450"/>
    <w:rsid w:val="0075049E"/>
    <w:rsid w:val="0075075C"/>
    <w:rsid w:val="00750978"/>
    <w:rsid w:val="00750E34"/>
    <w:rsid w:val="0075101C"/>
    <w:rsid w:val="0075119D"/>
    <w:rsid w:val="007511AA"/>
    <w:rsid w:val="00751648"/>
    <w:rsid w:val="00751AA0"/>
    <w:rsid w:val="00751D1C"/>
    <w:rsid w:val="00751ECB"/>
    <w:rsid w:val="00751F31"/>
    <w:rsid w:val="00752264"/>
    <w:rsid w:val="00752618"/>
    <w:rsid w:val="00752D78"/>
    <w:rsid w:val="00752DFF"/>
    <w:rsid w:val="00752FF6"/>
    <w:rsid w:val="00753092"/>
    <w:rsid w:val="00753286"/>
    <w:rsid w:val="007535C8"/>
    <w:rsid w:val="00753E91"/>
    <w:rsid w:val="0075402A"/>
    <w:rsid w:val="0075407E"/>
    <w:rsid w:val="00754103"/>
    <w:rsid w:val="007544C0"/>
    <w:rsid w:val="007546EE"/>
    <w:rsid w:val="007547D0"/>
    <w:rsid w:val="00754953"/>
    <w:rsid w:val="0075497C"/>
    <w:rsid w:val="007549A9"/>
    <w:rsid w:val="00754A89"/>
    <w:rsid w:val="00754A99"/>
    <w:rsid w:val="00754AA8"/>
    <w:rsid w:val="00754B48"/>
    <w:rsid w:val="00754D36"/>
    <w:rsid w:val="00754E98"/>
    <w:rsid w:val="00754EDE"/>
    <w:rsid w:val="00754EE7"/>
    <w:rsid w:val="007550BD"/>
    <w:rsid w:val="0075567A"/>
    <w:rsid w:val="007557BF"/>
    <w:rsid w:val="0075585E"/>
    <w:rsid w:val="00755BA6"/>
    <w:rsid w:val="00755CCB"/>
    <w:rsid w:val="00755CE1"/>
    <w:rsid w:val="00756268"/>
    <w:rsid w:val="00756400"/>
    <w:rsid w:val="00756474"/>
    <w:rsid w:val="00756634"/>
    <w:rsid w:val="007566F0"/>
    <w:rsid w:val="0075672E"/>
    <w:rsid w:val="00756760"/>
    <w:rsid w:val="00756B45"/>
    <w:rsid w:val="0075707E"/>
    <w:rsid w:val="007570A2"/>
    <w:rsid w:val="00757167"/>
    <w:rsid w:val="00757192"/>
    <w:rsid w:val="0075722F"/>
    <w:rsid w:val="0075739C"/>
    <w:rsid w:val="00757404"/>
    <w:rsid w:val="00757573"/>
    <w:rsid w:val="007575E3"/>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4BB"/>
    <w:rsid w:val="00760504"/>
    <w:rsid w:val="0076061E"/>
    <w:rsid w:val="007606CA"/>
    <w:rsid w:val="00760852"/>
    <w:rsid w:val="007608FA"/>
    <w:rsid w:val="00760B29"/>
    <w:rsid w:val="00760BA6"/>
    <w:rsid w:val="0076110F"/>
    <w:rsid w:val="0076116B"/>
    <w:rsid w:val="0076140B"/>
    <w:rsid w:val="00761639"/>
    <w:rsid w:val="0076177E"/>
    <w:rsid w:val="00761879"/>
    <w:rsid w:val="007619A6"/>
    <w:rsid w:val="00761BF2"/>
    <w:rsid w:val="00761E03"/>
    <w:rsid w:val="00761E9A"/>
    <w:rsid w:val="00761F93"/>
    <w:rsid w:val="00761F98"/>
    <w:rsid w:val="00762017"/>
    <w:rsid w:val="007621BC"/>
    <w:rsid w:val="007622C8"/>
    <w:rsid w:val="007626A4"/>
    <w:rsid w:val="00762716"/>
    <w:rsid w:val="00762F4C"/>
    <w:rsid w:val="00762FC2"/>
    <w:rsid w:val="0076329B"/>
    <w:rsid w:val="0076345D"/>
    <w:rsid w:val="00763576"/>
    <w:rsid w:val="007637A0"/>
    <w:rsid w:val="007639F0"/>
    <w:rsid w:val="00763B46"/>
    <w:rsid w:val="00763D6E"/>
    <w:rsid w:val="0076414B"/>
    <w:rsid w:val="00764168"/>
    <w:rsid w:val="007641E0"/>
    <w:rsid w:val="00764280"/>
    <w:rsid w:val="007642E8"/>
    <w:rsid w:val="007644FE"/>
    <w:rsid w:val="0076454D"/>
    <w:rsid w:val="0076470F"/>
    <w:rsid w:val="00764937"/>
    <w:rsid w:val="00764960"/>
    <w:rsid w:val="00764B55"/>
    <w:rsid w:val="00764C27"/>
    <w:rsid w:val="00764DEE"/>
    <w:rsid w:val="00765005"/>
    <w:rsid w:val="00765372"/>
    <w:rsid w:val="0076540D"/>
    <w:rsid w:val="00765570"/>
    <w:rsid w:val="007656A1"/>
    <w:rsid w:val="00765910"/>
    <w:rsid w:val="00765A9B"/>
    <w:rsid w:val="00765CF8"/>
    <w:rsid w:val="00765F5B"/>
    <w:rsid w:val="00766033"/>
    <w:rsid w:val="0076613D"/>
    <w:rsid w:val="0076615F"/>
    <w:rsid w:val="00766350"/>
    <w:rsid w:val="0076652F"/>
    <w:rsid w:val="00766562"/>
    <w:rsid w:val="007666C4"/>
    <w:rsid w:val="00766AB4"/>
    <w:rsid w:val="00766DAE"/>
    <w:rsid w:val="00766E5B"/>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EC7"/>
    <w:rsid w:val="00767EDC"/>
    <w:rsid w:val="007700D3"/>
    <w:rsid w:val="007701F7"/>
    <w:rsid w:val="00770593"/>
    <w:rsid w:val="007705A1"/>
    <w:rsid w:val="00770784"/>
    <w:rsid w:val="007708E7"/>
    <w:rsid w:val="0077095C"/>
    <w:rsid w:val="00770A49"/>
    <w:rsid w:val="00770B80"/>
    <w:rsid w:val="00770BC1"/>
    <w:rsid w:val="00770D90"/>
    <w:rsid w:val="00770EB0"/>
    <w:rsid w:val="00770FE2"/>
    <w:rsid w:val="0077103D"/>
    <w:rsid w:val="0077109B"/>
    <w:rsid w:val="00771254"/>
    <w:rsid w:val="0077130A"/>
    <w:rsid w:val="007713C8"/>
    <w:rsid w:val="00771527"/>
    <w:rsid w:val="00771617"/>
    <w:rsid w:val="00771763"/>
    <w:rsid w:val="007717BF"/>
    <w:rsid w:val="00771978"/>
    <w:rsid w:val="00771A19"/>
    <w:rsid w:val="00771A98"/>
    <w:rsid w:val="00771AA1"/>
    <w:rsid w:val="00771B5D"/>
    <w:rsid w:val="00771BEF"/>
    <w:rsid w:val="00771C29"/>
    <w:rsid w:val="00771E6F"/>
    <w:rsid w:val="00771FA8"/>
    <w:rsid w:val="00772047"/>
    <w:rsid w:val="007721AD"/>
    <w:rsid w:val="0077232E"/>
    <w:rsid w:val="0077257B"/>
    <w:rsid w:val="0077264E"/>
    <w:rsid w:val="00772680"/>
    <w:rsid w:val="00772786"/>
    <w:rsid w:val="00772805"/>
    <w:rsid w:val="007728CC"/>
    <w:rsid w:val="007728FB"/>
    <w:rsid w:val="00772A45"/>
    <w:rsid w:val="00772B18"/>
    <w:rsid w:val="00772CBF"/>
    <w:rsid w:val="00772D07"/>
    <w:rsid w:val="00772F4E"/>
    <w:rsid w:val="00773260"/>
    <w:rsid w:val="007732C2"/>
    <w:rsid w:val="00773372"/>
    <w:rsid w:val="007734B0"/>
    <w:rsid w:val="007734F0"/>
    <w:rsid w:val="00773871"/>
    <w:rsid w:val="00773967"/>
    <w:rsid w:val="00773B2A"/>
    <w:rsid w:val="00773B80"/>
    <w:rsid w:val="00773BCE"/>
    <w:rsid w:val="00773C40"/>
    <w:rsid w:val="00773DE6"/>
    <w:rsid w:val="00773F8F"/>
    <w:rsid w:val="00774008"/>
    <w:rsid w:val="00774152"/>
    <w:rsid w:val="00774266"/>
    <w:rsid w:val="007743FF"/>
    <w:rsid w:val="0077447A"/>
    <w:rsid w:val="007744AE"/>
    <w:rsid w:val="007744F7"/>
    <w:rsid w:val="007746A8"/>
    <w:rsid w:val="00774750"/>
    <w:rsid w:val="00774817"/>
    <w:rsid w:val="00774AE2"/>
    <w:rsid w:val="00775019"/>
    <w:rsid w:val="0077506E"/>
    <w:rsid w:val="007751A2"/>
    <w:rsid w:val="007751CF"/>
    <w:rsid w:val="0077557A"/>
    <w:rsid w:val="007756D3"/>
    <w:rsid w:val="007757E9"/>
    <w:rsid w:val="0077588C"/>
    <w:rsid w:val="007759CA"/>
    <w:rsid w:val="00775A00"/>
    <w:rsid w:val="00775A53"/>
    <w:rsid w:val="00775B38"/>
    <w:rsid w:val="00775C75"/>
    <w:rsid w:val="00775E39"/>
    <w:rsid w:val="00775E59"/>
    <w:rsid w:val="007760AE"/>
    <w:rsid w:val="00776255"/>
    <w:rsid w:val="007762AF"/>
    <w:rsid w:val="007763F4"/>
    <w:rsid w:val="007764AE"/>
    <w:rsid w:val="00776555"/>
    <w:rsid w:val="007765C2"/>
    <w:rsid w:val="00776688"/>
    <w:rsid w:val="0077698E"/>
    <w:rsid w:val="007769BF"/>
    <w:rsid w:val="00776BF2"/>
    <w:rsid w:val="00776CB6"/>
    <w:rsid w:val="00776FA0"/>
    <w:rsid w:val="00777242"/>
    <w:rsid w:val="0077729E"/>
    <w:rsid w:val="00777399"/>
    <w:rsid w:val="00777495"/>
    <w:rsid w:val="00777525"/>
    <w:rsid w:val="00777527"/>
    <w:rsid w:val="0077770C"/>
    <w:rsid w:val="007777E7"/>
    <w:rsid w:val="00777A60"/>
    <w:rsid w:val="00777AB6"/>
    <w:rsid w:val="00777ACD"/>
    <w:rsid w:val="00777B8D"/>
    <w:rsid w:val="00777C0C"/>
    <w:rsid w:val="00777C39"/>
    <w:rsid w:val="00777C5B"/>
    <w:rsid w:val="00777D68"/>
    <w:rsid w:val="00777D9B"/>
    <w:rsid w:val="00780177"/>
    <w:rsid w:val="007801B2"/>
    <w:rsid w:val="007802C4"/>
    <w:rsid w:val="00780526"/>
    <w:rsid w:val="007805BC"/>
    <w:rsid w:val="007808B1"/>
    <w:rsid w:val="00780AE0"/>
    <w:rsid w:val="00780C2D"/>
    <w:rsid w:val="00780CFD"/>
    <w:rsid w:val="00780E94"/>
    <w:rsid w:val="00781024"/>
    <w:rsid w:val="007813C2"/>
    <w:rsid w:val="00781631"/>
    <w:rsid w:val="00781739"/>
    <w:rsid w:val="007818FD"/>
    <w:rsid w:val="00781AF0"/>
    <w:rsid w:val="00781D46"/>
    <w:rsid w:val="007820E0"/>
    <w:rsid w:val="00782258"/>
    <w:rsid w:val="007822D6"/>
    <w:rsid w:val="00782314"/>
    <w:rsid w:val="00782680"/>
    <w:rsid w:val="0078268C"/>
    <w:rsid w:val="00782D5F"/>
    <w:rsid w:val="00782DBD"/>
    <w:rsid w:val="00782E2C"/>
    <w:rsid w:val="00782F03"/>
    <w:rsid w:val="0078319D"/>
    <w:rsid w:val="0078328A"/>
    <w:rsid w:val="0078335B"/>
    <w:rsid w:val="00783443"/>
    <w:rsid w:val="007837BB"/>
    <w:rsid w:val="007837DB"/>
    <w:rsid w:val="00783CD3"/>
    <w:rsid w:val="00783D85"/>
    <w:rsid w:val="00784056"/>
    <w:rsid w:val="00784481"/>
    <w:rsid w:val="007846D6"/>
    <w:rsid w:val="0078485A"/>
    <w:rsid w:val="00784EBC"/>
    <w:rsid w:val="00784FA4"/>
    <w:rsid w:val="0078505C"/>
    <w:rsid w:val="007850C3"/>
    <w:rsid w:val="00785403"/>
    <w:rsid w:val="00785549"/>
    <w:rsid w:val="0078566C"/>
    <w:rsid w:val="00785718"/>
    <w:rsid w:val="0078572F"/>
    <w:rsid w:val="00785823"/>
    <w:rsid w:val="00785891"/>
    <w:rsid w:val="00785B9A"/>
    <w:rsid w:val="00785BA2"/>
    <w:rsid w:val="00785BA4"/>
    <w:rsid w:val="00785E0A"/>
    <w:rsid w:val="00785ED7"/>
    <w:rsid w:val="00785FCD"/>
    <w:rsid w:val="00786260"/>
    <w:rsid w:val="007863BD"/>
    <w:rsid w:val="00786425"/>
    <w:rsid w:val="007864B1"/>
    <w:rsid w:val="0078674F"/>
    <w:rsid w:val="00786754"/>
    <w:rsid w:val="007867FE"/>
    <w:rsid w:val="00786890"/>
    <w:rsid w:val="00786A4E"/>
    <w:rsid w:val="00786DFE"/>
    <w:rsid w:val="00786F1A"/>
    <w:rsid w:val="007870B6"/>
    <w:rsid w:val="00787199"/>
    <w:rsid w:val="0078723C"/>
    <w:rsid w:val="00787388"/>
    <w:rsid w:val="0078743D"/>
    <w:rsid w:val="007875EB"/>
    <w:rsid w:val="00787694"/>
    <w:rsid w:val="00787C1D"/>
    <w:rsid w:val="00787DE3"/>
    <w:rsid w:val="00787E82"/>
    <w:rsid w:val="0079000A"/>
    <w:rsid w:val="00790071"/>
    <w:rsid w:val="0079044C"/>
    <w:rsid w:val="0079056A"/>
    <w:rsid w:val="00790BDA"/>
    <w:rsid w:val="00790C32"/>
    <w:rsid w:val="00790DE4"/>
    <w:rsid w:val="007910B2"/>
    <w:rsid w:val="00791149"/>
    <w:rsid w:val="00791252"/>
    <w:rsid w:val="00791371"/>
    <w:rsid w:val="007913FA"/>
    <w:rsid w:val="007917FC"/>
    <w:rsid w:val="00791B16"/>
    <w:rsid w:val="00792269"/>
    <w:rsid w:val="007922DD"/>
    <w:rsid w:val="0079232A"/>
    <w:rsid w:val="007924B4"/>
    <w:rsid w:val="00792629"/>
    <w:rsid w:val="0079273B"/>
    <w:rsid w:val="007929E7"/>
    <w:rsid w:val="00792A24"/>
    <w:rsid w:val="00792E4B"/>
    <w:rsid w:val="00792F3B"/>
    <w:rsid w:val="00793101"/>
    <w:rsid w:val="00793118"/>
    <w:rsid w:val="0079328F"/>
    <w:rsid w:val="007933B3"/>
    <w:rsid w:val="007934A1"/>
    <w:rsid w:val="007936DA"/>
    <w:rsid w:val="0079375E"/>
    <w:rsid w:val="00793869"/>
    <w:rsid w:val="00793944"/>
    <w:rsid w:val="007939A2"/>
    <w:rsid w:val="00793A0E"/>
    <w:rsid w:val="00793AE3"/>
    <w:rsid w:val="00794067"/>
    <w:rsid w:val="007942F5"/>
    <w:rsid w:val="00794312"/>
    <w:rsid w:val="00794592"/>
    <w:rsid w:val="0079466C"/>
    <w:rsid w:val="007946DF"/>
    <w:rsid w:val="00794BB1"/>
    <w:rsid w:val="00794C3E"/>
    <w:rsid w:val="00794C83"/>
    <w:rsid w:val="00794D64"/>
    <w:rsid w:val="00794EFD"/>
    <w:rsid w:val="00795035"/>
    <w:rsid w:val="0079533B"/>
    <w:rsid w:val="007953F8"/>
    <w:rsid w:val="00795418"/>
    <w:rsid w:val="00795492"/>
    <w:rsid w:val="007954C4"/>
    <w:rsid w:val="0079564D"/>
    <w:rsid w:val="00795C4D"/>
    <w:rsid w:val="00795ED9"/>
    <w:rsid w:val="00795F58"/>
    <w:rsid w:val="00795FA1"/>
    <w:rsid w:val="00795FE0"/>
    <w:rsid w:val="00796068"/>
    <w:rsid w:val="00796107"/>
    <w:rsid w:val="007961F6"/>
    <w:rsid w:val="007964FD"/>
    <w:rsid w:val="0079696A"/>
    <w:rsid w:val="007969DB"/>
    <w:rsid w:val="00796B1A"/>
    <w:rsid w:val="00796BB0"/>
    <w:rsid w:val="00796D26"/>
    <w:rsid w:val="007970E3"/>
    <w:rsid w:val="007973DE"/>
    <w:rsid w:val="007975BA"/>
    <w:rsid w:val="007978C9"/>
    <w:rsid w:val="00797910"/>
    <w:rsid w:val="00797AC3"/>
    <w:rsid w:val="00797BFF"/>
    <w:rsid w:val="007A0036"/>
    <w:rsid w:val="007A01E1"/>
    <w:rsid w:val="007A0224"/>
    <w:rsid w:val="007A0632"/>
    <w:rsid w:val="007A0823"/>
    <w:rsid w:val="007A08A2"/>
    <w:rsid w:val="007A0A54"/>
    <w:rsid w:val="007A0BA7"/>
    <w:rsid w:val="007A0CA9"/>
    <w:rsid w:val="007A0D86"/>
    <w:rsid w:val="007A0DB2"/>
    <w:rsid w:val="007A0E8E"/>
    <w:rsid w:val="007A1072"/>
    <w:rsid w:val="007A12AA"/>
    <w:rsid w:val="007A12DF"/>
    <w:rsid w:val="007A16E6"/>
    <w:rsid w:val="007A171E"/>
    <w:rsid w:val="007A1726"/>
    <w:rsid w:val="007A1865"/>
    <w:rsid w:val="007A1C17"/>
    <w:rsid w:val="007A1E18"/>
    <w:rsid w:val="007A1F0E"/>
    <w:rsid w:val="007A20B4"/>
    <w:rsid w:val="007A20CC"/>
    <w:rsid w:val="007A255B"/>
    <w:rsid w:val="007A25CC"/>
    <w:rsid w:val="007A28B5"/>
    <w:rsid w:val="007A28BD"/>
    <w:rsid w:val="007A2943"/>
    <w:rsid w:val="007A2A01"/>
    <w:rsid w:val="007A2B6E"/>
    <w:rsid w:val="007A2CEC"/>
    <w:rsid w:val="007A335E"/>
    <w:rsid w:val="007A345B"/>
    <w:rsid w:val="007A34A8"/>
    <w:rsid w:val="007A35DD"/>
    <w:rsid w:val="007A36D9"/>
    <w:rsid w:val="007A3922"/>
    <w:rsid w:val="007A4014"/>
    <w:rsid w:val="007A408E"/>
    <w:rsid w:val="007A4090"/>
    <w:rsid w:val="007A40DB"/>
    <w:rsid w:val="007A410D"/>
    <w:rsid w:val="007A437A"/>
    <w:rsid w:val="007A44A5"/>
    <w:rsid w:val="007A49FE"/>
    <w:rsid w:val="007A4A42"/>
    <w:rsid w:val="007A4CF2"/>
    <w:rsid w:val="007A4D5D"/>
    <w:rsid w:val="007A4E4A"/>
    <w:rsid w:val="007A5218"/>
    <w:rsid w:val="007A541E"/>
    <w:rsid w:val="007A56E2"/>
    <w:rsid w:val="007A56F9"/>
    <w:rsid w:val="007A59A1"/>
    <w:rsid w:val="007A5D44"/>
    <w:rsid w:val="007A5D67"/>
    <w:rsid w:val="007A6113"/>
    <w:rsid w:val="007A6316"/>
    <w:rsid w:val="007A650C"/>
    <w:rsid w:val="007A6526"/>
    <w:rsid w:val="007A68BC"/>
    <w:rsid w:val="007A69D3"/>
    <w:rsid w:val="007A6A3E"/>
    <w:rsid w:val="007A6A48"/>
    <w:rsid w:val="007A6A63"/>
    <w:rsid w:val="007A6B93"/>
    <w:rsid w:val="007A6BAF"/>
    <w:rsid w:val="007A6C73"/>
    <w:rsid w:val="007A6C80"/>
    <w:rsid w:val="007A6EC6"/>
    <w:rsid w:val="007A6F15"/>
    <w:rsid w:val="007A6F9F"/>
    <w:rsid w:val="007A6FFF"/>
    <w:rsid w:val="007A7053"/>
    <w:rsid w:val="007A7123"/>
    <w:rsid w:val="007A735A"/>
    <w:rsid w:val="007A7641"/>
    <w:rsid w:val="007A7774"/>
    <w:rsid w:val="007A783B"/>
    <w:rsid w:val="007A79CB"/>
    <w:rsid w:val="007A7A5E"/>
    <w:rsid w:val="007A7AFF"/>
    <w:rsid w:val="007A7B8D"/>
    <w:rsid w:val="007A7F32"/>
    <w:rsid w:val="007B0047"/>
    <w:rsid w:val="007B01DE"/>
    <w:rsid w:val="007B02E1"/>
    <w:rsid w:val="007B0327"/>
    <w:rsid w:val="007B0344"/>
    <w:rsid w:val="007B0355"/>
    <w:rsid w:val="007B035F"/>
    <w:rsid w:val="007B0533"/>
    <w:rsid w:val="007B06F1"/>
    <w:rsid w:val="007B077D"/>
    <w:rsid w:val="007B078A"/>
    <w:rsid w:val="007B0C9A"/>
    <w:rsid w:val="007B0E1A"/>
    <w:rsid w:val="007B0FA7"/>
    <w:rsid w:val="007B153D"/>
    <w:rsid w:val="007B1558"/>
    <w:rsid w:val="007B15CA"/>
    <w:rsid w:val="007B17E5"/>
    <w:rsid w:val="007B184E"/>
    <w:rsid w:val="007B187F"/>
    <w:rsid w:val="007B18AD"/>
    <w:rsid w:val="007B1927"/>
    <w:rsid w:val="007B19A2"/>
    <w:rsid w:val="007B1D28"/>
    <w:rsid w:val="007B1EAA"/>
    <w:rsid w:val="007B237F"/>
    <w:rsid w:val="007B2559"/>
    <w:rsid w:val="007B259F"/>
    <w:rsid w:val="007B2748"/>
    <w:rsid w:val="007B27CA"/>
    <w:rsid w:val="007B29F4"/>
    <w:rsid w:val="007B32D6"/>
    <w:rsid w:val="007B3724"/>
    <w:rsid w:val="007B3882"/>
    <w:rsid w:val="007B3F61"/>
    <w:rsid w:val="007B460F"/>
    <w:rsid w:val="007B4A3F"/>
    <w:rsid w:val="007B4A72"/>
    <w:rsid w:val="007B4F46"/>
    <w:rsid w:val="007B5078"/>
    <w:rsid w:val="007B51A5"/>
    <w:rsid w:val="007B5347"/>
    <w:rsid w:val="007B539C"/>
    <w:rsid w:val="007B542D"/>
    <w:rsid w:val="007B553B"/>
    <w:rsid w:val="007B553C"/>
    <w:rsid w:val="007B575F"/>
    <w:rsid w:val="007B5AD3"/>
    <w:rsid w:val="007B5D76"/>
    <w:rsid w:val="007B5D8A"/>
    <w:rsid w:val="007B5F3E"/>
    <w:rsid w:val="007B60AB"/>
    <w:rsid w:val="007B61BE"/>
    <w:rsid w:val="007B62C4"/>
    <w:rsid w:val="007B66C1"/>
    <w:rsid w:val="007B66C3"/>
    <w:rsid w:val="007B6757"/>
    <w:rsid w:val="007B678B"/>
    <w:rsid w:val="007B6B26"/>
    <w:rsid w:val="007B6B72"/>
    <w:rsid w:val="007B6C7C"/>
    <w:rsid w:val="007B6D08"/>
    <w:rsid w:val="007B6DC6"/>
    <w:rsid w:val="007B6EB4"/>
    <w:rsid w:val="007B6EBF"/>
    <w:rsid w:val="007B7156"/>
    <w:rsid w:val="007B7359"/>
    <w:rsid w:val="007B7547"/>
    <w:rsid w:val="007B77E8"/>
    <w:rsid w:val="007B7A3F"/>
    <w:rsid w:val="007B7B9D"/>
    <w:rsid w:val="007B7C5C"/>
    <w:rsid w:val="007B7CC9"/>
    <w:rsid w:val="007B7F01"/>
    <w:rsid w:val="007C02D1"/>
    <w:rsid w:val="007C038B"/>
    <w:rsid w:val="007C0742"/>
    <w:rsid w:val="007C079F"/>
    <w:rsid w:val="007C08C9"/>
    <w:rsid w:val="007C099B"/>
    <w:rsid w:val="007C0CB5"/>
    <w:rsid w:val="007C0D7F"/>
    <w:rsid w:val="007C0FE4"/>
    <w:rsid w:val="007C1357"/>
    <w:rsid w:val="007C135A"/>
    <w:rsid w:val="007C1409"/>
    <w:rsid w:val="007C175E"/>
    <w:rsid w:val="007C1790"/>
    <w:rsid w:val="007C1947"/>
    <w:rsid w:val="007C1CCA"/>
    <w:rsid w:val="007C1D34"/>
    <w:rsid w:val="007C1D72"/>
    <w:rsid w:val="007C1EF9"/>
    <w:rsid w:val="007C1F71"/>
    <w:rsid w:val="007C1FE4"/>
    <w:rsid w:val="007C20F8"/>
    <w:rsid w:val="007C222C"/>
    <w:rsid w:val="007C257C"/>
    <w:rsid w:val="007C259F"/>
    <w:rsid w:val="007C2BA2"/>
    <w:rsid w:val="007C2BD5"/>
    <w:rsid w:val="007C2C33"/>
    <w:rsid w:val="007C2F03"/>
    <w:rsid w:val="007C31A0"/>
    <w:rsid w:val="007C34C3"/>
    <w:rsid w:val="007C36BC"/>
    <w:rsid w:val="007C375B"/>
    <w:rsid w:val="007C37BC"/>
    <w:rsid w:val="007C37E7"/>
    <w:rsid w:val="007C39C6"/>
    <w:rsid w:val="007C3CB3"/>
    <w:rsid w:val="007C3D02"/>
    <w:rsid w:val="007C3D2D"/>
    <w:rsid w:val="007C3DF4"/>
    <w:rsid w:val="007C3E29"/>
    <w:rsid w:val="007C3E2C"/>
    <w:rsid w:val="007C3E9E"/>
    <w:rsid w:val="007C3EC4"/>
    <w:rsid w:val="007C3EF4"/>
    <w:rsid w:val="007C3F97"/>
    <w:rsid w:val="007C3FC5"/>
    <w:rsid w:val="007C4067"/>
    <w:rsid w:val="007C4186"/>
    <w:rsid w:val="007C41E1"/>
    <w:rsid w:val="007C4316"/>
    <w:rsid w:val="007C434A"/>
    <w:rsid w:val="007C4677"/>
    <w:rsid w:val="007C4974"/>
    <w:rsid w:val="007C4C0F"/>
    <w:rsid w:val="007C4E51"/>
    <w:rsid w:val="007C4F2A"/>
    <w:rsid w:val="007C4FD8"/>
    <w:rsid w:val="007C52D0"/>
    <w:rsid w:val="007C5478"/>
    <w:rsid w:val="007C559A"/>
    <w:rsid w:val="007C5631"/>
    <w:rsid w:val="007C5AF9"/>
    <w:rsid w:val="007C5F59"/>
    <w:rsid w:val="007C5FED"/>
    <w:rsid w:val="007C6139"/>
    <w:rsid w:val="007C62CF"/>
    <w:rsid w:val="007C62EC"/>
    <w:rsid w:val="007C6504"/>
    <w:rsid w:val="007C6586"/>
    <w:rsid w:val="007C65CE"/>
    <w:rsid w:val="007C66C9"/>
    <w:rsid w:val="007C6B45"/>
    <w:rsid w:val="007C6DB7"/>
    <w:rsid w:val="007C6DFD"/>
    <w:rsid w:val="007C6FCF"/>
    <w:rsid w:val="007C726C"/>
    <w:rsid w:val="007C7282"/>
    <w:rsid w:val="007C729E"/>
    <w:rsid w:val="007C7509"/>
    <w:rsid w:val="007C77F7"/>
    <w:rsid w:val="007C7918"/>
    <w:rsid w:val="007C79FB"/>
    <w:rsid w:val="007C7A5A"/>
    <w:rsid w:val="007C7CF0"/>
    <w:rsid w:val="007C7F01"/>
    <w:rsid w:val="007C7FD3"/>
    <w:rsid w:val="007D0094"/>
    <w:rsid w:val="007D027E"/>
    <w:rsid w:val="007D02F5"/>
    <w:rsid w:val="007D0382"/>
    <w:rsid w:val="007D03A0"/>
    <w:rsid w:val="007D0400"/>
    <w:rsid w:val="007D07FA"/>
    <w:rsid w:val="007D089F"/>
    <w:rsid w:val="007D0AAA"/>
    <w:rsid w:val="007D0DAA"/>
    <w:rsid w:val="007D0FD3"/>
    <w:rsid w:val="007D1011"/>
    <w:rsid w:val="007D117F"/>
    <w:rsid w:val="007D1368"/>
    <w:rsid w:val="007D14E3"/>
    <w:rsid w:val="007D14EC"/>
    <w:rsid w:val="007D16B5"/>
    <w:rsid w:val="007D1771"/>
    <w:rsid w:val="007D17C0"/>
    <w:rsid w:val="007D17CF"/>
    <w:rsid w:val="007D1831"/>
    <w:rsid w:val="007D1C98"/>
    <w:rsid w:val="007D1FBB"/>
    <w:rsid w:val="007D1FD9"/>
    <w:rsid w:val="007D2055"/>
    <w:rsid w:val="007D23DC"/>
    <w:rsid w:val="007D25C7"/>
    <w:rsid w:val="007D29BE"/>
    <w:rsid w:val="007D2A8F"/>
    <w:rsid w:val="007D2B3F"/>
    <w:rsid w:val="007D2B6D"/>
    <w:rsid w:val="007D2C68"/>
    <w:rsid w:val="007D2CD0"/>
    <w:rsid w:val="007D3295"/>
    <w:rsid w:val="007D32C0"/>
    <w:rsid w:val="007D3337"/>
    <w:rsid w:val="007D3430"/>
    <w:rsid w:val="007D35F9"/>
    <w:rsid w:val="007D38B4"/>
    <w:rsid w:val="007D3AC1"/>
    <w:rsid w:val="007D3BCF"/>
    <w:rsid w:val="007D3C1C"/>
    <w:rsid w:val="007D3CB7"/>
    <w:rsid w:val="007D4180"/>
    <w:rsid w:val="007D41EA"/>
    <w:rsid w:val="007D41F7"/>
    <w:rsid w:val="007D4243"/>
    <w:rsid w:val="007D42A6"/>
    <w:rsid w:val="007D4353"/>
    <w:rsid w:val="007D452B"/>
    <w:rsid w:val="007D45C5"/>
    <w:rsid w:val="007D46D6"/>
    <w:rsid w:val="007D4750"/>
    <w:rsid w:val="007D4828"/>
    <w:rsid w:val="007D4E65"/>
    <w:rsid w:val="007D5040"/>
    <w:rsid w:val="007D52EC"/>
    <w:rsid w:val="007D5419"/>
    <w:rsid w:val="007D5442"/>
    <w:rsid w:val="007D5545"/>
    <w:rsid w:val="007D570C"/>
    <w:rsid w:val="007D57FB"/>
    <w:rsid w:val="007D5826"/>
    <w:rsid w:val="007D5847"/>
    <w:rsid w:val="007D5873"/>
    <w:rsid w:val="007D598A"/>
    <w:rsid w:val="007D5B59"/>
    <w:rsid w:val="007D5BE5"/>
    <w:rsid w:val="007D5D8C"/>
    <w:rsid w:val="007D5E48"/>
    <w:rsid w:val="007D5EE7"/>
    <w:rsid w:val="007D5FF0"/>
    <w:rsid w:val="007D5FFE"/>
    <w:rsid w:val="007D60EB"/>
    <w:rsid w:val="007D6107"/>
    <w:rsid w:val="007D621E"/>
    <w:rsid w:val="007D6512"/>
    <w:rsid w:val="007D662F"/>
    <w:rsid w:val="007D679E"/>
    <w:rsid w:val="007D6A8D"/>
    <w:rsid w:val="007D6AA6"/>
    <w:rsid w:val="007D6C90"/>
    <w:rsid w:val="007D6D63"/>
    <w:rsid w:val="007D6E83"/>
    <w:rsid w:val="007D6F98"/>
    <w:rsid w:val="007D79B9"/>
    <w:rsid w:val="007D7BFD"/>
    <w:rsid w:val="007D7CC5"/>
    <w:rsid w:val="007D7D0D"/>
    <w:rsid w:val="007D7D14"/>
    <w:rsid w:val="007D7E02"/>
    <w:rsid w:val="007D7E13"/>
    <w:rsid w:val="007D7E67"/>
    <w:rsid w:val="007D7F42"/>
    <w:rsid w:val="007E016A"/>
    <w:rsid w:val="007E0354"/>
    <w:rsid w:val="007E05C9"/>
    <w:rsid w:val="007E0710"/>
    <w:rsid w:val="007E09BD"/>
    <w:rsid w:val="007E0C1D"/>
    <w:rsid w:val="007E0D91"/>
    <w:rsid w:val="007E0F53"/>
    <w:rsid w:val="007E0F8B"/>
    <w:rsid w:val="007E11E8"/>
    <w:rsid w:val="007E135A"/>
    <w:rsid w:val="007E1407"/>
    <w:rsid w:val="007E142C"/>
    <w:rsid w:val="007E154E"/>
    <w:rsid w:val="007E15EB"/>
    <w:rsid w:val="007E1894"/>
    <w:rsid w:val="007E18A6"/>
    <w:rsid w:val="007E19D8"/>
    <w:rsid w:val="007E1C5D"/>
    <w:rsid w:val="007E1CFF"/>
    <w:rsid w:val="007E1D94"/>
    <w:rsid w:val="007E1DFF"/>
    <w:rsid w:val="007E209F"/>
    <w:rsid w:val="007E261E"/>
    <w:rsid w:val="007E2795"/>
    <w:rsid w:val="007E28AA"/>
    <w:rsid w:val="007E2B20"/>
    <w:rsid w:val="007E2B64"/>
    <w:rsid w:val="007E2BAF"/>
    <w:rsid w:val="007E2E3D"/>
    <w:rsid w:val="007E2E75"/>
    <w:rsid w:val="007E2E9F"/>
    <w:rsid w:val="007E2EDC"/>
    <w:rsid w:val="007E2F45"/>
    <w:rsid w:val="007E3031"/>
    <w:rsid w:val="007E35C2"/>
    <w:rsid w:val="007E36D7"/>
    <w:rsid w:val="007E39AD"/>
    <w:rsid w:val="007E3A84"/>
    <w:rsid w:val="007E3CF5"/>
    <w:rsid w:val="007E424C"/>
    <w:rsid w:val="007E4925"/>
    <w:rsid w:val="007E4D2B"/>
    <w:rsid w:val="007E4E0A"/>
    <w:rsid w:val="007E4EF3"/>
    <w:rsid w:val="007E5147"/>
    <w:rsid w:val="007E5326"/>
    <w:rsid w:val="007E5475"/>
    <w:rsid w:val="007E54CD"/>
    <w:rsid w:val="007E5A75"/>
    <w:rsid w:val="007E5A8E"/>
    <w:rsid w:val="007E5E03"/>
    <w:rsid w:val="007E5EFB"/>
    <w:rsid w:val="007E6160"/>
    <w:rsid w:val="007E62D1"/>
    <w:rsid w:val="007E6553"/>
    <w:rsid w:val="007E673D"/>
    <w:rsid w:val="007E6893"/>
    <w:rsid w:val="007E6910"/>
    <w:rsid w:val="007E691E"/>
    <w:rsid w:val="007E693A"/>
    <w:rsid w:val="007E6AA0"/>
    <w:rsid w:val="007E6EC4"/>
    <w:rsid w:val="007E738B"/>
    <w:rsid w:val="007E74A5"/>
    <w:rsid w:val="007E76A3"/>
    <w:rsid w:val="007E7738"/>
    <w:rsid w:val="007E78A9"/>
    <w:rsid w:val="007E7918"/>
    <w:rsid w:val="007E7A65"/>
    <w:rsid w:val="007E7B77"/>
    <w:rsid w:val="007E7BD8"/>
    <w:rsid w:val="007E7DE8"/>
    <w:rsid w:val="007E7E79"/>
    <w:rsid w:val="007F019D"/>
    <w:rsid w:val="007F01CD"/>
    <w:rsid w:val="007F0262"/>
    <w:rsid w:val="007F041D"/>
    <w:rsid w:val="007F04AC"/>
    <w:rsid w:val="007F04FD"/>
    <w:rsid w:val="007F0826"/>
    <w:rsid w:val="007F0AE9"/>
    <w:rsid w:val="007F0B64"/>
    <w:rsid w:val="007F0DC4"/>
    <w:rsid w:val="007F0E94"/>
    <w:rsid w:val="007F0F3F"/>
    <w:rsid w:val="007F145C"/>
    <w:rsid w:val="007F14DB"/>
    <w:rsid w:val="007F158F"/>
    <w:rsid w:val="007F15AE"/>
    <w:rsid w:val="007F16CD"/>
    <w:rsid w:val="007F174B"/>
    <w:rsid w:val="007F1857"/>
    <w:rsid w:val="007F18AF"/>
    <w:rsid w:val="007F1A18"/>
    <w:rsid w:val="007F1A6C"/>
    <w:rsid w:val="007F1B3A"/>
    <w:rsid w:val="007F1C84"/>
    <w:rsid w:val="007F1DB4"/>
    <w:rsid w:val="007F1EB1"/>
    <w:rsid w:val="007F20FC"/>
    <w:rsid w:val="007F22DF"/>
    <w:rsid w:val="007F23A8"/>
    <w:rsid w:val="007F2837"/>
    <w:rsid w:val="007F28D5"/>
    <w:rsid w:val="007F2B10"/>
    <w:rsid w:val="007F2B71"/>
    <w:rsid w:val="007F2C30"/>
    <w:rsid w:val="007F30BA"/>
    <w:rsid w:val="007F32EA"/>
    <w:rsid w:val="007F37B1"/>
    <w:rsid w:val="007F3875"/>
    <w:rsid w:val="007F3A39"/>
    <w:rsid w:val="007F3B8D"/>
    <w:rsid w:val="007F3C21"/>
    <w:rsid w:val="007F3DC6"/>
    <w:rsid w:val="007F49B4"/>
    <w:rsid w:val="007F4A78"/>
    <w:rsid w:val="007F4F86"/>
    <w:rsid w:val="007F524E"/>
    <w:rsid w:val="007F5525"/>
    <w:rsid w:val="007F58E0"/>
    <w:rsid w:val="007F5BA4"/>
    <w:rsid w:val="007F5D13"/>
    <w:rsid w:val="007F5DBC"/>
    <w:rsid w:val="007F5DCD"/>
    <w:rsid w:val="007F5E0E"/>
    <w:rsid w:val="007F5FAA"/>
    <w:rsid w:val="007F6010"/>
    <w:rsid w:val="007F61BE"/>
    <w:rsid w:val="007F62F3"/>
    <w:rsid w:val="007F6339"/>
    <w:rsid w:val="007F64BB"/>
    <w:rsid w:val="007F6606"/>
    <w:rsid w:val="007F67B9"/>
    <w:rsid w:val="007F6946"/>
    <w:rsid w:val="007F6BEA"/>
    <w:rsid w:val="007F6D83"/>
    <w:rsid w:val="007F6DDB"/>
    <w:rsid w:val="007F6F93"/>
    <w:rsid w:val="007F70C0"/>
    <w:rsid w:val="007F74BF"/>
    <w:rsid w:val="007F7545"/>
    <w:rsid w:val="007F7577"/>
    <w:rsid w:val="007F7817"/>
    <w:rsid w:val="007F78D8"/>
    <w:rsid w:val="007F7B8D"/>
    <w:rsid w:val="007F7ED9"/>
    <w:rsid w:val="007F7F18"/>
    <w:rsid w:val="00800135"/>
    <w:rsid w:val="008001CA"/>
    <w:rsid w:val="008002B8"/>
    <w:rsid w:val="008006FD"/>
    <w:rsid w:val="008007A6"/>
    <w:rsid w:val="0080086E"/>
    <w:rsid w:val="00800922"/>
    <w:rsid w:val="00800CEB"/>
    <w:rsid w:val="00800FD7"/>
    <w:rsid w:val="0080119E"/>
    <w:rsid w:val="008011EE"/>
    <w:rsid w:val="00801215"/>
    <w:rsid w:val="00801242"/>
    <w:rsid w:val="00801317"/>
    <w:rsid w:val="008015C5"/>
    <w:rsid w:val="008015CC"/>
    <w:rsid w:val="008016AF"/>
    <w:rsid w:val="00801803"/>
    <w:rsid w:val="00801B67"/>
    <w:rsid w:val="00801C4A"/>
    <w:rsid w:val="00801DBD"/>
    <w:rsid w:val="00801E03"/>
    <w:rsid w:val="00801E7F"/>
    <w:rsid w:val="008021E3"/>
    <w:rsid w:val="008023C8"/>
    <w:rsid w:val="00802516"/>
    <w:rsid w:val="008025A7"/>
    <w:rsid w:val="008025B6"/>
    <w:rsid w:val="008026D1"/>
    <w:rsid w:val="00802791"/>
    <w:rsid w:val="008027F9"/>
    <w:rsid w:val="0080286F"/>
    <w:rsid w:val="008028A1"/>
    <w:rsid w:val="00802901"/>
    <w:rsid w:val="00802AE8"/>
    <w:rsid w:val="00802F30"/>
    <w:rsid w:val="00802FC2"/>
    <w:rsid w:val="008032D6"/>
    <w:rsid w:val="0080344D"/>
    <w:rsid w:val="0080365F"/>
    <w:rsid w:val="008038E2"/>
    <w:rsid w:val="008039FA"/>
    <w:rsid w:val="00803B03"/>
    <w:rsid w:val="00803B7A"/>
    <w:rsid w:val="0080401E"/>
    <w:rsid w:val="008042FA"/>
    <w:rsid w:val="00804475"/>
    <w:rsid w:val="00804617"/>
    <w:rsid w:val="00804B24"/>
    <w:rsid w:val="00804C8A"/>
    <w:rsid w:val="00804CF8"/>
    <w:rsid w:val="00804F1C"/>
    <w:rsid w:val="0080509A"/>
    <w:rsid w:val="00805247"/>
    <w:rsid w:val="008055DC"/>
    <w:rsid w:val="008055FB"/>
    <w:rsid w:val="0080564E"/>
    <w:rsid w:val="00805752"/>
    <w:rsid w:val="00805B1D"/>
    <w:rsid w:val="00805B72"/>
    <w:rsid w:val="00805C16"/>
    <w:rsid w:val="00805CFD"/>
    <w:rsid w:val="00805D22"/>
    <w:rsid w:val="00805F4E"/>
    <w:rsid w:val="00805FC5"/>
    <w:rsid w:val="00806439"/>
    <w:rsid w:val="008066BA"/>
    <w:rsid w:val="008066EC"/>
    <w:rsid w:val="00806B6C"/>
    <w:rsid w:val="00806CFE"/>
    <w:rsid w:val="00806E37"/>
    <w:rsid w:val="00806E86"/>
    <w:rsid w:val="00806F33"/>
    <w:rsid w:val="00806F80"/>
    <w:rsid w:val="0080709F"/>
    <w:rsid w:val="00807134"/>
    <w:rsid w:val="00807140"/>
    <w:rsid w:val="008073FB"/>
    <w:rsid w:val="00807729"/>
    <w:rsid w:val="008079C6"/>
    <w:rsid w:val="00807C8D"/>
    <w:rsid w:val="00807DC1"/>
    <w:rsid w:val="00807DD8"/>
    <w:rsid w:val="00807DFE"/>
    <w:rsid w:val="0081001D"/>
    <w:rsid w:val="008101C4"/>
    <w:rsid w:val="008103FD"/>
    <w:rsid w:val="0081071C"/>
    <w:rsid w:val="00810839"/>
    <w:rsid w:val="008109A7"/>
    <w:rsid w:val="008109CC"/>
    <w:rsid w:val="00810B50"/>
    <w:rsid w:val="00810B73"/>
    <w:rsid w:val="00810D35"/>
    <w:rsid w:val="00810E31"/>
    <w:rsid w:val="00811031"/>
    <w:rsid w:val="008110BE"/>
    <w:rsid w:val="008110C6"/>
    <w:rsid w:val="008112C4"/>
    <w:rsid w:val="0081159E"/>
    <w:rsid w:val="00811665"/>
    <w:rsid w:val="00811817"/>
    <w:rsid w:val="0081188F"/>
    <w:rsid w:val="00811909"/>
    <w:rsid w:val="00811977"/>
    <w:rsid w:val="008119A4"/>
    <w:rsid w:val="00811B64"/>
    <w:rsid w:val="00811B6E"/>
    <w:rsid w:val="00811BC5"/>
    <w:rsid w:val="00811BC8"/>
    <w:rsid w:val="00811D88"/>
    <w:rsid w:val="00811E16"/>
    <w:rsid w:val="00812096"/>
    <w:rsid w:val="0081214A"/>
    <w:rsid w:val="008121BE"/>
    <w:rsid w:val="008122A8"/>
    <w:rsid w:val="0081230D"/>
    <w:rsid w:val="00812380"/>
    <w:rsid w:val="0081240D"/>
    <w:rsid w:val="00812469"/>
    <w:rsid w:val="008126E3"/>
    <w:rsid w:val="008126EF"/>
    <w:rsid w:val="00812787"/>
    <w:rsid w:val="008127DC"/>
    <w:rsid w:val="00812AF0"/>
    <w:rsid w:val="00812C07"/>
    <w:rsid w:val="00812D54"/>
    <w:rsid w:val="00812D98"/>
    <w:rsid w:val="00812E9D"/>
    <w:rsid w:val="00812F0E"/>
    <w:rsid w:val="008137CE"/>
    <w:rsid w:val="00813A19"/>
    <w:rsid w:val="00813D1E"/>
    <w:rsid w:val="00813FEF"/>
    <w:rsid w:val="00814098"/>
    <w:rsid w:val="00814419"/>
    <w:rsid w:val="0081452A"/>
    <w:rsid w:val="00814680"/>
    <w:rsid w:val="008146CA"/>
    <w:rsid w:val="00814912"/>
    <w:rsid w:val="00814CC5"/>
    <w:rsid w:val="00814E82"/>
    <w:rsid w:val="00814EBC"/>
    <w:rsid w:val="0081535C"/>
    <w:rsid w:val="008155D5"/>
    <w:rsid w:val="00815771"/>
    <w:rsid w:val="0081580D"/>
    <w:rsid w:val="00815B26"/>
    <w:rsid w:val="00815C0E"/>
    <w:rsid w:val="00815DA8"/>
    <w:rsid w:val="0081606F"/>
    <w:rsid w:val="0081631A"/>
    <w:rsid w:val="00816532"/>
    <w:rsid w:val="00816538"/>
    <w:rsid w:val="008165CF"/>
    <w:rsid w:val="008166AA"/>
    <w:rsid w:val="008166C2"/>
    <w:rsid w:val="008167E0"/>
    <w:rsid w:val="00816E31"/>
    <w:rsid w:val="00816E8D"/>
    <w:rsid w:val="008173E8"/>
    <w:rsid w:val="00817428"/>
    <w:rsid w:val="008174A2"/>
    <w:rsid w:val="00817522"/>
    <w:rsid w:val="00817F7F"/>
    <w:rsid w:val="00817FB3"/>
    <w:rsid w:val="0082005A"/>
    <w:rsid w:val="00820255"/>
    <w:rsid w:val="00820341"/>
    <w:rsid w:val="00820480"/>
    <w:rsid w:val="0082059A"/>
    <w:rsid w:val="0082078B"/>
    <w:rsid w:val="008207D1"/>
    <w:rsid w:val="00820B54"/>
    <w:rsid w:val="00820BA5"/>
    <w:rsid w:val="00820C1F"/>
    <w:rsid w:val="00820EB2"/>
    <w:rsid w:val="00820FB4"/>
    <w:rsid w:val="008210C2"/>
    <w:rsid w:val="00821289"/>
    <w:rsid w:val="00821332"/>
    <w:rsid w:val="0082133C"/>
    <w:rsid w:val="008213BE"/>
    <w:rsid w:val="008213C9"/>
    <w:rsid w:val="008218ED"/>
    <w:rsid w:val="00821B89"/>
    <w:rsid w:val="00821BFE"/>
    <w:rsid w:val="00821C68"/>
    <w:rsid w:val="00821DBE"/>
    <w:rsid w:val="00822039"/>
    <w:rsid w:val="008222E8"/>
    <w:rsid w:val="0082261A"/>
    <w:rsid w:val="00822733"/>
    <w:rsid w:val="0082289A"/>
    <w:rsid w:val="00822CF4"/>
    <w:rsid w:val="00822DD3"/>
    <w:rsid w:val="00822F99"/>
    <w:rsid w:val="008231E2"/>
    <w:rsid w:val="00823401"/>
    <w:rsid w:val="00823481"/>
    <w:rsid w:val="00823640"/>
    <w:rsid w:val="00823762"/>
    <w:rsid w:val="00823773"/>
    <w:rsid w:val="008237CF"/>
    <w:rsid w:val="008237E7"/>
    <w:rsid w:val="008238CD"/>
    <w:rsid w:val="00823BB1"/>
    <w:rsid w:val="00823E29"/>
    <w:rsid w:val="008243B9"/>
    <w:rsid w:val="00824502"/>
    <w:rsid w:val="0082458C"/>
    <w:rsid w:val="00824597"/>
    <w:rsid w:val="008245DE"/>
    <w:rsid w:val="0082487C"/>
    <w:rsid w:val="00824A31"/>
    <w:rsid w:val="00824C5E"/>
    <w:rsid w:val="00824E4D"/>
    <w:rsid w:val="00824FF2"/>
    <w:rsid w:val="00825037"/>
    <w:rsid w:val="00825060"/>
    <w:rsid w:val="008250DC"/>
    <w:rsid w:val="00825229"/>
    <w:rsid w:val="008252CF"/>
    <w:rsid w:val="008253FF"/>
    <w:rsid w:val="008254DE"/>
    <w:rsid w:val="0082564D"/>
    <w:rsid w:val="00825990"/>
    <w:rsid w:val="00825B09"/>
    <w:rsid w:val="00825B50"/>
    <w:rsid w:val="00825E39"/>
    <w:rsid w:val="00825EEB"/>
    <w:rsid w:val="00825EF9"/>
    <w:rsid w:val="008260FD"/>
    <w:rsid w:val="008264F5"/>
    <w:rsid w:val="008266E7"/>
    <w:rsid w:val="0082687E"/>
    <w:rsid w:val="0082689D"/>
    <w:rsid w:val="008268D1"/>
    <w:rsid w:val="00826A01"/>
    <w:rsid w:val="00826FBC"/>
    <w:rsid w:val="0082719C"/>
    <w:rsid w:val="00827484"/>
    <w:rsid w:val="008274BA"/>
    <w:rsid w:val="0082756D"/>
    <w:rsid w:val="00827740"/>
    <w:rsid w:val="00827842"/>
    <w:rsid w:val="00827B18"/>
    <w:rsid w:val="00827CB9"/>
    <w:rsid w:val="00827F56"/>
    <w:rsid w:val="00830010"/>
    <w:rsid w:val="0083027D"/>
    <w:rsid w:val="00830386"/>
    <w:rsid w:val="0083041A"/>
    <w:rsid w:val="008304E6"/>
    <w:rsid w:val="008306C3"/>
    <w:rsid w:val="008308B1"/>
    <w:rsid w:val="008309CE"/>
    <w:rsid w:val="00830A67"/>
    <w:rsid w:val="00831089"/>
    <w:rsid w:val="008310D0"/>
    <w:rsid w:val="00831331"/>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30F0"/>
    <w:rsid w:val="0083319C"/>
    <w:rsid w:val="008332A0"/>
    <w:rsid w:val="00833436"/>
    <w:rsid w:val="0083344A"/>
    <w:rsid w:val="00833517"/>
    <w:rsid w:val="00833548"/>
    <w:rsid w:val="00833693"/>
    <w:rsid w:val="0083396F"/>
    <w:rsid w:val="00833B6D"/>
    <w:rsid w:val="00833CAC"/>
    <w:rsid w:val="00833CD7"/>
    <w:rsid w:val="00833E46"/>
    <w:rsid w:val="00833F33"/>
    <w:rsid w:val="00834143"/>
    <w:rsid w:val="0083420B"/>
    <w:rsid w:val="008345AC"/>
    <w:rsid w:val="00834A71"/>
    <w:rsid w:val="00834A8A"/>
    <w:rsid w:val="00834C4B"/>
    <w:rsid w:val="00834DE8"/>
    <w:rsid w:val="008350A0"/>
    <w:rsid w:val="008353A0"/>
    <w:rsid w:val="0083576D"/>
    <w:rsid w:val="00835ACF"/>
    <w:rsid w:val="00835B4D"/>
    <w:rsid w:val="00835BD9"/>
    <w:rsid w:val="00835C7A"/>
    <w:rsid w:val="00835D2B"/>
    <w:rsid w:val="0083612A"/>
    <w:rsid w:val="008363A4"/>
    <w:rsid w:val="0083640A"/>
    <w:rsid w:val="00836588"/>
    <w:rsid w:val="00836803"/>
    <w:rsid w:val="008368B9"/>
    <w:rsid w:val="00836B85"/>
    <w:rsid w:val="00836B9C"/>
    <w:rsid w:val="00836BB1"/>
    <w:rsid w:val="00836CB9"/>
    <w:rsid w:val="00836CF9"/>
    <w:rsid w:val="00836E74"/>
    <w:rsid w:val="00836EA1"/>
    <w:rsid w:val="00836F9C"/>
    <w:rsid w:val="00837023"/>
    <w:rsid w:val="00837029"/>
    <w:rsid w:val="008374EE"/>
    <w:rsid w:val="0083761B"/>
    <w:rsid w:val="008376BB"/>
    <w:rsid w:val="008378D1"/>
    <w:rsid w:val="00837933"/>
    <w:rsid w:val="00837C8F"/>
    <w:rsid w:val="00837E7B"/>
    <w:rsid w:val="008400C9"/>
    <w:rsid w:val="008401D1"/>
    <w:rsid w:val="008407BE"/>
    <w:rsid w:val="008407E1"/>
    <w:rsid w:val="00840E1C"/>
    <w:rsid w:val="00841115"/>
    <w:rsid w:val="008411B2"/>
    <w:rsid w:val="00841393"/>
    <w:rsid w:val="008415AF"/>
    <w:rsid w:val="00841946"/>
    <w:rsid w:val="00841A05"/>
    <w:rsid w:val="00841CB2"/>
    <w:rsid w:val="008420EA"/>
    <w:rsid w:val="008420EF"/>
    <w:rsid w:val="00842166"/>
    <w:rsid w:val="0084218F"/>
    <w:rsid w:val="00842480"/>
    <w:rsid w:val="008424E7"/>
    <w:rsid w:val="0084250D"/>
    <w:rsid w:val="0084253E"/>
    <w:rsid w:val="0084263B"/>
    <w:rsid w:val="00842710"/>
    <w:rsid w:val="00842ABB"/>
    <w:rsid w:val="00842B39"/>
    <w:rsid w:val="00842CD7"/>
    <w:rsid w:val="00842DFF"/>
    <w:rsid w:val="00842E8C"/>
    <w:rsid w:val="0084325C"/>
    <w:rsid w:val="00843779"/>
    <w:rsid w:val="0084384D"/>
    <w:rsid w:val="00843958"/>
    <w:rsid w:val="00843ACE"/>
    <w:rsid w:val="00843AD5"/>
    <w:rsid w:val="00843B26"/>
    <w:rsid w:val="00843E0F"/>
    <w:rsid w:val="00843E4A"/>
    <w:rsid w:val="00843F04"/>
    <w:rsid w:val="0084425D"/>
    <w:rsid w:val="008442BB"/>
    <w:rsid w:val="00844556"/>
    <w:rsid w:val="0084462E"/>
    <w:rsid w:val="008446C5"/>
    <w:rsid w:val="0084475B"/>
    <w:rsid w:val="008447B6"/>
    <w:rsid w:val="00844817"/>
    <w:rsid w:val="00844D7B"/>
    <w:rsid w:val="00844E63"/>
    <w:rsid w:val="00844F98"/>
    <w:rsid w:val="00845202"/>
    <w:rsid w:val="0084532F"/>
    <w:rsid w:val="0084566B"/>
    <w:rsid w:val="00845761"/>
    <w:rsid w:val="00845AAF"/>
    <w:rsid w:val="00845AC8"/>
    <w:rsid w:val="00845B4C"/>
    <w:rsid w:val="00845BE1"/>
    <w:rsid w:val="00845CAA"/>
    <w:rsid w:val="008461BF"/>
    <w:rsid w:val="00846566"/>
    <w:rsid w:val="00846596"/>
    <w:rsid w:val="00846753"/>
    <w:rsid w:val="00846811"/>
    <w:rsid w:val="00846D3D"/>
    <w:rsid w:val="00846D73"/>
    <w:rsid w:val="00846E5C"/>
    <w:rsid w:val="00846EFC"/>
    <w:rsid w:val="00846F16"/>
    <w:rsid w:val="00846F28"/>
    <w:rsid w:val="00846F4C"/>
    <w:rsid w:val="00847955"/>
    <w:rsid w:val="008479C5"/>
    <w:rsid w:val="00847BA6"/>
    <w:rsid w:val="00847C9F"/>
    <w:rsid w:val="00847DB8"/>
    <w:rsid w:val="00847ED4"/>
    <w:rsid w:val="00847EF6"/>
    <w:rsid w:val="00847F12"/>
    <w:rsid w:val="00847FA8"/>
    <w:rsid w:val="0085006E"/>
    <w:rsid w:val="0085011E"/>
    <w:rsid w:val="00850139"/>
    <w:rsid w:val="00850244"/>
    <w:rsid w:val="0085034F"/>
    <w:rsid w:val="008507E2"/>
    <w:rsid w:val="00850869"/>
    <w:rsid w:val="00850A45"/>
    <w:rsid w:val="00850BC5"/>
    <w:rsid w:val="00850CCD"/>
    <w:rsid w:val="00850EA1"/>
    <w:rsid w:val="00851166"/>
    <w:rsid w:val="00851188"/>
    <w:rsid w:val="00851193"/>
    <w:rsid w:val="008512DD"/>
    <w:rsid w:val="00851320"/>
    <w:rsid w:val="008517D4"/>
    <w:rsid w:val="008517F1"/>
    <w:rsid w:val="00851910"/>
    <w:rsid w:val="00851935"/>
    <w:rsid w:val="00851A3B"/>
    <w:rsid w:val="00851B7A"/>
    <w:rsid w:val="00851E4A"/>
    <w:rsid w:val="00851E73"/>
    <w:rsid w:val="00851E81"/>
    <w:rsid w:val="00851EC5"/>
    <w:rsid w:val="00851F3D"/>
    <w:rsid w:val="0085212E"/>
    <w:rsid w:val="00852301"/>
    <w:rsid w:val="00852426"/>
    <w:rsid w:val="0085292B"/>
    <w:rsid w:val="008529E4"/>
    <w:rsid w:val="00852A82"/>
    <w:rsid w:val="00852C03"/>
    <w:rsid w:val="00852CD3"/>
    <w:rsid w:val="00852DF8"/>
    <w:rsid w:val="00852E64"/>
    <w:rsid w:val="00852EBC"/>
    <w:rsid w:val="00852EF0"/>
    <w:rsid w:val="0085309B"/>
    <w:rsid w:val="0085332C"/>
    <w:rsid w:val="00853787"/>
    <w:rsid w:val="008537EC"/>
    <w:rsid w:val="00853908"/>
    <w:rsid w:val="00853AA3"/>
    <w:rsid w:val="00853EEE"/>
    <w:rsid w:val="008540E7"/>
    <w:rsid w:val="008543B9"/>
    <w:rsid w:val="00854A9B"/>
    <w:rsid w:val="00854D69"/>
    <w:rsid w:val="008550DF"/>
    <w:rsid w:val="00855106"/>
    <w:rsid w:val="00855704"/>
    <w:rsid w:val="00855780"/>
    <w:rsid w:val="00855795"/>
    <w:rsid w:val="00855C05"/>
    <w:rsid w:val="00855EB7"/>
    <w:rsid w:val="0085607C"/>
    <w:rsid w:val="0085612D"/>
    <w:rsid w:val="00856186"/>
    <w:rsid w:val="008562E9"/>
    <w:rsid w:val="00856359"/>
    <w:rsid w:val="008563AF"/>
    <w:rsid w:val="008564D3"/>
    <w:rsid w:val="008566E3"/>
    <w:rsid w:val="00856A21"/>
    <w:rsid w:val="00856A79"/>
    <w:rsid w:val="00856B08"/>
    <w:rsid w:val="00856C09"/>
    <w:rsid w:val="00856C3B"/>
    <w:rsid w:val="00857034"/>
    <w:rsid w:val="00857078"/>
    <w:rsid w:val="008570E6"/>
    <w:rsid w:val="00857111"/>
    <w:rsid w:val="00857195"/>
    <w:rsid w:val="008571DD"/>
    <w:rsid w:val="0085740A"/>
    <w:rsid w:val="00857BEB"/>
    <w:rsid w:val="00857BFB"/>
    <w:rsid w:val="00857CDC"/>
    <w:rsid w:val="00860025"/>
    <w:rsid w:val="008602E1"/>
    <w:rsid w:val="0086035D"/>
    <w:rsid w:val="00860805"/>
    <w:rsid w:val="00860809"/>
    <w:rsid w:val="008608E7"/>
    <w:rsid w:val="00860BDC"/>
    <w:rsid w:val="00860C84"/>
    <w:rsid w:val="00860F73"/>
    <w:rsid w:val="00860FE6"/>
    <w:rsid w:val="00861455"/>
    <w:rsid w:val="008615A7"/>
    <w:rsid w:val="00861648"/>
    <w:rsid w:val="0086178D"/>
    <w:rsid w:val="00861820"/>
    <w:rsid w:val="0086182D"/>
    <w:rsid w:val="008618C0"/>
    <w:rsid w:val="0086196D"/>
    <w:rsid w:val="00861ACD"/>
    <w:rsid w:val="00861DF9"/>
    <w:rsid w:val="00861E6C"/>
    <w:rsid w:val="00862056"/>
    <w:rsid w:val="008620F4"/>
    <w:rsid w:val="00862123"/>
    <w:rsid w:val="0086214C"/>
    <w:rsid w:val="00862279"/>
    <w:rsid w:val="00862286"/>
    <w:rsid w:val="0086235B"/>
    <w:rsid w:val="0086249D"/>
    <w:rsid w:val="008626C3"/>
    <w:rsid w:val="008626CD"/>
    <w:rsid w:val="0086274D"/>
    <w:rsid w:val="00862826"/>
    <w:rsid w:val="00862904"/>
    <w:rsid w:val="008629D3"/>
    <w:rsid w:val="00862F2F"/>
    <w:rsid w:val="008632D3"/>
    <w:rsid w:val="00863398"/>
    <w:rsid w:val="008634E9"/>
    <w:rsid w:val="0086352D"/>
    <w:rsid w:val="00863608"/>
    <w:rsid w:val="00863774"/>
    <w:rsid w:val="008637BB"/>
    <w:rsid w:val="00863ABF"/>
    <w:rsid w:val="00863CA5"/>
    <w:rsid w:val="00863D0A"/>
    <w:rsid w:val="00863D19"/>
    <w:rsid w:val="00863F0E"/>
    <w:rsid w:val="00863F6A"/>
    <w:rsid w:val="00864038"/>
    <w:rsid w:val="0086413C"/>
    <w:rsid w:val="00864149"/>
    <w:rsid w:val="0086431F"/>
    <w:rsid w:val="00864363"/>
    <w:rsid w:val="008646E8"/>
    <w:rsid w:val="008647E4"/>
    <w:rsid w:val="0086498B"/>
    <w:rsid w:val="008649A8"/>
    <w:rsid w:val="00864C71"/>
    <w:rsid w:val="00864D41"/>
    <w:rsid w:val="00864DC3"/>
    <w:rsid w:val="0086501B"/>
    <w:rsid w:val="00865433"/>
    <w:rsid w:val="008654D1"/>
    <w:rsid w:val="0086571A"/>
    <w:rsid w:val="008658F2"/>
    <w:rsid w:val="00865CCC"/>
    <w:rsid w:val="00865D00"/>
    <w:rsid w:val="00865D5B"/>
    <w:rsid w:val="00866075"/>
    <w:rsid w:val="00866083"/>
    <w:rsid w:val="0086612B"/>
    <w:rsid w:val="00866593"/>
    <w:rsid w:val="008665B6"/>
    <w:rsid w:val="00866889"/>
    <w:rsid w:val="0086699B"/>
    <w:rsid w:val="00866A22"/>
    <w:rsid w:val="00866C60"/>
    <w:rsid w:val="00866F31"/>
    <w:rsid w:val="00866F4C"/>
    <w:rsid w:val="00866F53"/>
    <w:rsid w:val="00866F82"/>
    <w:rsid w:val="00867417"/>
    <w:rsid w:val="00867615"/>
    <w:rsid w:val="00867805"/>
    <w:rsid w:val="0086786B"/>
    <w:rsid w:val="0086789E"/>
    <w:rsid w:val="008679E3"/>
    <w:rsid w:val="00867B03"/>
    <w:rsid w:val="00867B36"/>
    <w:rsid w:val="00867CDA"/>
    <w:rsid w:val="00867D31"/>
    <w:rsid w:val="00867E09"/>
    <w:rsid w:val="00867E2C"/>
    <w:rsid w:val="00867E66"/>
    <w:rsid w:val="008703E9"/>
    <w:rsid w:val="008705D6"/>
    <w:rsid w:val="008705FB"/>
    <w:rsid w:val="008706E0"/>
    <w:rsid w:val="00870727"/>
    <w:rsid w:val="008707BB"/>
    <w:rsid w:val="00870C22"/>
    <w:rsid w:val="00870C8D"/>
    <w:rsid w:val="00871176"/>
    <w:rsid w:val="00871177"/>
    <w:rsid w:val="00871256"/>
    <w:rsid w:val="008715D3"/>
    <w:rsid w:val="00871660"/>
    <w:rsid w:val="008718C1"/>
    <w:rsid w:val="00871CCF"/>
    <w:rsid w:val="00871D7A"/>
    <w:rsid w:val="00871EAD"/>
    <w:rsid w:val="00872069"/>
    <w:rsid w:val="008721DD"/>
    <w:rsid w:val="00872251"/>
    <w:rsid w:val="00872336"/>
    <w:rsid w:val="00872374"/>
    <w:rsid w:val="008726ED"/>
    <w:rsid w:val="00872AA5"/>
    <w:rsid w:val="00872C5E"/>
    <w:rsid w:val="00872C77"/>
    <w:rsid w:val="00872CC6"/>
    <w:rsid w:val="00872D52"/>
    <w:rsid w:val="008732C4"/>
    <w:rsid w:val="008735D5"/>
    <w:rsid w:val="008735E7"/>
    <w:rsid w:val="0087362B"/>
    <w:rsid w:val="008736CD"/>
    <w:rsid w:val="008738DD"/>
    <w:rsid w:val="00873CAE"/>
    <w:rsid w:val="00873DB9"/>
    <w:rsid w:val="00873EDB"/>
    <w:rsid w:val="00874068"/>
    <w:rsid w:val="00874480"/>
    <w:rsid w:val="0087448F"/>
    <w:rsid w:val="008747B5"/>
    <w:rsid w:val="00874C5F"/>
    <w:rsid w:val="00874CDA"/>
    <w:rsid w:val="00874D04"/>
    <w:rsid w:val="0087506B"/>
    <w:rsid w:val="00875113"/>
    <w:rsid w:val="00875189"/>
    <w:rsid w:val="008751AB"/>
    <w:rsid w:val="00875495"/>
    <w:rsid w:val="00875637"/>
    <w:rsid w:val="00875857"/>
    <w:rsid w:val="00875A4A"/>
    <w:rsid w:val="00875B29"/>
    <w:rsid w:val="00875C65"/>
    <w:rsid w:val="008761C2"/>
    <w:rsid w:val="008761D5"/>
    <w:rsid w:val="00876289"/>
    <w:rsid w:val="008769B7"/>
    <w:rsid w:val="00876A25"/>
    <w:rsid w:val="00876A59"/>
    <w:rsid w:val="00876B80"/>
    <w:rsid w:val="00876E02"/>
    <w:rsid w:val="00876FFA"/>
    <w:rsid w:val="0087722C"/>
    <w:rsid w:val="008772AA"/>
    <w:rsid w:val="008772BF"/>
    <w:rsid w:val="008772D7"/>
    <w:rsid w:val="00877474"/>
    <w:rsid w:val="00877825"/>
    <w:rsid w:val="0087783B"/>
    <w:rsid w:val="0087786F"/>
    <w:rsid w:val="00877B2E"/>
    <w:rsid w:val="00877B9A"/>
    <w:rsid w:val="00877CBA"/>
    <w:rsid w:val="00877D8C"/>
    <w:rsid w:val="00877EA9"/>
    <w:rsid w:val="00877FD9"/>
    <w:rsid w:val="0088026B"/>
    <w:rsid w:val="00880291"/>
    <w:rsid w:val="008806C4"/>
    <w:rsid w:val="0088090F"/>
    <w:rsid w:val="00880931"/>
    <w:rsid w:val="00880968"/>
    <w:rsid w:val="008809BD"/>
    <w:rsid w:val="008811DB"/>
    <w:rsid w:val="008813E6"/>
    <w:rsid w:val="008813FC"/>
    <w:rsid w:val="00881462"/>
    <w:rsid w:val="0088149A"/>
    <w:rsid w:val="0088152D"/>
    <w:rsid w:val="008815EA"/>
    <w:rsid w:val="008819E2"/>
    <w:rsid w:val="00881A6B"/>
    <w:rsid w:val="00881CEC"/>
    <w:rsid w:val="0088261C"/>
    <w:rsid w:val="008826C1"/>
    <w:rsid w:val="00882739"/>
    <w:rsid w:val="0088288C"/>
    <w:rsid w:val="008828E8"/>
    <w:rsid w:val="00882A8F"/>
    <w:rsid w:val="00882B5B"/>
    <w:rsid w:val="00882BFB"/>
    <w:rsid w:val="00882D52"/>
    <w:rsid w:val="00882D63"/>
    <w:rsid w:val="00882EEE"/>
    <w:rsid w:val="00883225"/>
    <w:rsid w:val="0088354A"/>
    <w:rsid w:val="008837AF"/>
    <w:rsid w:val="00883A0C"/>
    <w:rsid w:val="00883A10"/>
    <w:rsid w:val="00883BE1"/>
    <w:rsid w:val="00883C66"/>
    <w:rsid w:val="00883CB2"/>
    <w:rsid w:val="00883D00"/>
    <w:rsid w:val="00883D98"/>
    <w:rsid w:val="00883F09"/>
    <w:rsid w:val="008842CD"/>
    <w:rsid w:val="00884399"/>
    <w:rsid w:val="0088447E"/>
    <w:rsid w:val="00884580"/>
    <w:rsid w:val="008845F2"/>
    <w:rsid w:val="0088493D"/>
    <w:rsid w:val="00884A38"/>
    <w:rsid w:val="0088500E"/>
    <w:rsid w:val="0088504B"/>
    <w:rsid w:val="00885120"/>
    <w:rsid w:val="0088529F"/>
    <w:rsid w:val="0088547D"/>
    <w:rsid w:val="008854EB"/>
    <w:rsid w:val="0088566E"/>
    <w:rsid w:val="00885766"/>
    <w:rsid w:val="008857D4"/>
    <w:rsid w:val="0088586C"/>
    <w:rsid w:val="00885B21"/>
    <w:rsid w:val="00885E58"/>
    <w:rsid w:val="00886ADE"/>
    <w:rsid w:val="00886B0F"/>
    <w:rsid w:val="00886C28"/>
    <w:rsid w:val="00887130"/>
    <w:rsid w:val="00887252"/>
    <w:rsid w:val="008873D2"/>
    <w:rsid w:val="00887451"/>
    <w:rsid w:val="008875DF"/>
    <w:rsid w:val="008876F3"/>
    <w:rsid w:val="00887841"/>
    <w:rsid w:val="008878DB"/>
    <w:rsid w:val="00887EF5"/>
    <w:rsid w:val="00887EF9"/>
    <w:rsid w:val="0089007D"/>
    <w:rsid w:val="0089032E"/>
    <w:rsid w:val="00890414"/>
    <w:rsid w:val="00890457"/>
    <w:rsid w:val="00890522"/>
    <w:rsid w:val="00890644"/>
    <w:rsid w:val="008907FC"/>
    <w:rsid w:val="008908AB"/>
    <w:rsid w:val="00890CA5"/>
    <w:rsid w:val="00890CD9"/>
    <w:rsid w:val="00890D42"/>
    <w:rsid w:val="00890DA1"/>
    <w:rsid w:val="00890E24"/>
    <w:rsid w:val="00890E99"/>
    <w:rsid w:val="00890FC3"/>
    <w:rsid w:val="008910A1"/>
    <w:rsid w:val="008911F8"/>
    <w:rsid w:val="0089125F"/>
    <w:rsid w:val="0089128B"/>
    <w:rsid w:val="00891503"/>
    <w:rsid w:val="00891540"/>
    <w:rsid w:val="00891547"/>
    <w:rsid w:val="0089154A"/>
    <w:rsid w:val="00891584"/>
    <w:rsid w:val="0089185F"/>
    <w:rsid w:val="0089192B"/>
    <w:rsid w:val="00891982"/>
    <w:rsid w:val="008919D2"/>
    <w:rsid w:val="00891B35"/>
    <w:rsid w:val="00891BB4"/>
    <w:rsid w:val="00891CE4"/>
    <w:rsid w:val="0089211A"/>
    <w:rsid w:val="00892384"/>
    <w:rsid w:val="008926FB"/>
    <w:rsid w:val="00892859"/>
    <w:rsid w:val="00892940"/>
    <w:rsid w:val="00892B04"/>
    <w:rsid w:val="00892BB5"/>
    <w:rsid w:val="00892C18"/>
    <w:rsid w:val="00892CEA"/>
    <w:rsid w:val="00892E1A"/>
    <w:rsid w:val="00892F73"/>
    <w:rsid w:val="00893057"/>
    <w:rsid w:val="00893192"/>
    <w:rsid w:val="00893324"/>
    <w:rsid w:val="00893B8C"/>
    <w:rsid w:val="00893F7C"/>
    <w:rsid w:val="00894475"/>
    <w:rsid w:val="00894512"/>
    <w:rsid w:val="00894A5C"/>
    <w:rsid w:val="00894C7A"/>
    <w:rsid w:val="00894E4F"/>
    <w:rsid w:val="00894F4F"/>
    <w:rsid w:val="00895113"/>
    <w:rsid w:val="0089518B"/>
    <w:rsid w:val="0089560D"/>
    <w:rsid w:val="0089562E"/>
    <w:rsid w:val="0089570D"/>
    <w:rsid w:val="008957F8"/>
    <w:rsid w:val="00895E0E"/>
    <w:rsid w:val="00895E62"/>
    <w:rsid w:val="00895E72"/>
    <w:rsid w:val="00895ED5"/>
    <w:rsid w:val="00895F6D"/>
    <w:rsid w:val="00896054"/>
    <w:rsid w:val="0089608E"/>
    <w:rsid w:val="008963F1"/>
    <w:rsid w:val="0089649A"/>
    <w:rsid w:val="008965CA"/>
    <w:rsid w:val="0089670A"/>
    <w:rsid w:val="0089682E"/>
    <w:rsid w:val="00896C89"/>
    <w:rsid w:val="00896DA6"/>
    <w:rsid w:val="00896DDC"/>
    <w:rsid w:val="00896E48"/>
    <w:rsid w:val="008970CB"/>
    <w:rsid w:val="008970CF"/>
    <w:rsid w:val="00897394"/>
    <w:rsid w:val="00897563"/>
    <w:rsid w:val="00897666"/>
    <w:rsid w:val="008976D5"/>
    <w:rsid w:val="00897704"/>
    <w:rsid w:val="00897898"/>
    <w:rsid w:val="008978BC"/>
    <w:rsid w:val="0089792C"/>
    <w:rsid w:val="0089794C"/>
    <w:rsid w:val="00897962"/>
    <w:rsid w:val="00897B2C"/>
    <w:rsid w:val="00897C0B"/>
    <w:rsid w:val="00897C44"/>
    <w:rsid w:val="00897D12"/>
    <w:rsid w:val="00897EC2"/>
    <w:rsid w:val="008A0116"/>
    <w:rsid w:val="008A0467"/>
    <w:rsid w:val="008A0835"/>
    <w:rsid w:val="008A08E0"/>
    <w:rsid w:val="008A0930"/>
    <w:rsid w:val="008A0BDD"/>
    <w:rsid w:val="008A0C58"/>
    <w:rsid w:val="008A0CE2"/>
    <w:rsid w:val="008A1262"/>
    <w:rsid w:val="008A150B"/>
    <w:rsid w:val="008A1942"/>
    <w:rsid w:val="008A1972"/>
    <w:rsid w:val="008A1ABE"/>
    <w:rsid w:val="008A1DEE"/>
    <w:rsid w:val="008A22CA"/>
    <w:rsid w:val="008A2520"/>
    <w:rsid w:val="008A2561"/>
    <w:rsid w:val="008A262F"/>
    <w:rsid w:val="008A2991"/>
    <w:rsid w:val="008A2A63"/>
    <w:rsid w:val="008A2ACB"/>
    <w:rsid w:val="008A2AD3"/>
    <w:rsid w:val="008A2ADB"/>
    <w:rsid w:val="008A2B05"/>
    <w:rsid w:val="008A2B0C"/>
    <w:rsid w:val="008A2BE4"/>
    <w:rsid w:val="008A2C61"/>
    <w:rsid w:val="008A2DE7"/>
    <w:rsid w:val="008A2E90"/>
    <w:rsid w:val="008A31AB"/>
    <w:rsid w:val="008A324B"/>
    <w:rsid w:val="008A344A"/>
    <w:rsid w:val="008A3479"/>
    <w:rsid w:val="008A34FD"/>
    <w:rsid w:val="008A36C0"/>
    <w:rsid w:val="008A36DF"/>
    <w:rsid w:val="008A3931"/>
    <w:rsid w:val="008A39BF"/>
    <w:rsid w:val="008A3A30"/>
    <w:rsid w:val="008A3B93"/>
    <w:rsid w:val="008A3FBB"/>
    <w:rsid w:val="008A433C"/>
    <w:rsid w:val="008A43BE"/>
    <w:rsid w:val="008A441B"/>
    <w:rsid w:val="008A45CD"/>
    <w:rsid w:val="008A4766"/>
    <w:rsid w:val="008A489E"/>
    <w:rsid w:val="008A4A24"/>
    <w:rsid w:val="008A4EB5"/>
    <w:rsid w:val="008A4FAF"/>
    <w:rsid w:val="008A5072"/>
    <w:rsid w:val="008A520A"/>
    <w:rsid w:val="008A54FE"/>
    <w:rsid w:val="008A56EC"/>
    <w:rsid w:val="008A5846"/>
    <w:rsid w:val="008A59AD"/>
    <w:rsid w:val="008A5AD7"/>
    <w:rsid w:val="008A5DDA"/>
    <w:rsid w:val="008A5E04"/>
    <w:rsid w:val="008A602E"/>
    <w:rsid w:val="008A612C"/>
    <w:rsid w:val="008A621B"/>
    <w:rsid w:val="008A679C"/>
    <w:rsid w:val="008A694D"/>
    <w:rsid w:val="008A69A5"/>
    <w:rsid w:val="008A6BCE"/>
    <w:rsid w:val="008A6C23"/>
    <w:rsid w:val="008A6DB3"/>
    <w:rsid w:val="008A6E16"/>
    <w:rsid w:val="008A7098"/>
    <w:rsid w:val="008A730C"/>
    <w:rsid w:val="008A7680"/>
    <w:rsid w:val="008A76C4"/>
    <w:rsid w:val="008A771E"/>
    <w:rsid w:val="008A7859"/>
    <w:rsid w:val="008A7942"/>
    <w:rsid w:val="008A79E8"/>
    <w:rsid w:val="008A7C1E"/>
    <w:rsid w:val="008A7D7E"/>
    <w:rsid w:val="008A7EEA"/>
    <w:rsid w:val="008B01B0"/>
    <w:rsid w:val="008B0415"/>
    <w:rsid w:val="008B0537"/>
    <w:rsid w:val="008B069B"/>
    <w:rsid w:val="008B06FB"/>
    <w:rsid w:val="008B0EAC"/>
    <w:rsid w:val="008B0EC7"/>
    <w:rsid w:val="008B0EEF"/>
    <w:rsid w:val="008B0F45"/>
    <w:rsid w:val="008B0F67"/>
    <w:rsid w:val="008B0F6E"/>
    <w:rsid w:val="008B10B6"/>
    <w:rsid w:val="008B1162"/>
    <w:rsid w:val="008B11F0"/>
    <w:rsid w:val="008B126F"/>
    <w:rsid w:val="008B132C"/>
    <w:rsid w:val="008B1384"/>
    <w:rsid w:val="008B1741"/>
    <w:rsid w:val="008B1764"/>
    <w:rsid w:val="008B176B"/>
    <w:rsid w:val="008B1A00"/>
    <w:rsid w:val="008B1C9E"/>
    <w:rsid w:val="008B1E44"/>
    <w:rsid w:val="008B2156"/>
    <w:rsid w:val="008B2322"/>
    <w:rsid w:val="008B25BC"/>
    <w:rsid w:val="008B25C6"/>
    <w:rsid w:val="008B289A"/>
    <w:rsid w:val="008B2907"/>
    <w:rsid w:val="008B2B76"/>
    <w:rsid w:val="008B2B99"/>
    <w:rsid w:val="008B2B9E"/>
    <w:rsid w:val="008B2BA4"/>
    <w:rsid w:val="008B2F00"/>
    <w:rsid w:val="008B3050"/>
    <w:rsid w:val="008B31D3"/>
    <w:rsid w:val="008B32CA"/>
    <w:rsid w:val="008B3375"/>
    <w:rsid w:val="008B3682"/>
    <w:rsid w:val="008B36EE"/>
    <w:rsid w:val="008B3ABA"/>
    <w:rsid w:val="008B3AE4"/>
    <w:rsid w:val="008B3B60"/>
    <w:rsid w:val="008B3B77"/>
    <w:rsid w:val="008B3D51"/>
    <w:rsid w:val="008B3D88"/>
    <w:rsid w:val="008B3F74"/>
    <w:rsid w:val="008B4017"/>
    <w:rsid w:val="008B44BE"/>
    <w:rsid w:val="008B4C17"/>
    <w:rsid w:val="008B4CB3"/>
    <w:rsid w:val="008B4CFF"/>
    <w:rsid w:val="008B4ECC"/>
    <w:rsid w:val="008B4FB3"/>
    <w:rsid w:val="008B54C8"/>
    <w:rsid w:val="008B5A03"/>
    <w:rsid w:val="008B5A0B"/>
    <w:rsid w:val="008B5B15"/>
    <w:rsid w:val="008B5C53"/>
    <w:rsid w:val="008B5D4E"/>
    <w:rsid w:val="008B5EAC"/>
    <w:rsid w:val="008B6614"/>
    <w:rsid w:val="008B6624"/>
    <w:rsid w:val="008B6829"/>
    <w:rsid w:val="008B68C1"/>
    <w:rsid w:val="008B6B0D"/>
    <w:rsid w:val="008B6C59"/>
    <w:rsid w:val="008B6D11"/>
    <w:rsid w:val="008B6F0D"/>
    <w:rsid w:val="008B77D8"/>
    <w:rsid w:val="008B7881"/>
    <w:rsid w:val="008B7CC2"/>
    <w:rsid w:val="008B7DCF"/>
    <w:rsid w:val="008B7E17"/>
    <w:rsid w:val="008B7E2F"/>
    <w:rsid w:val="008C002B"/>
    <w:rsid w:val="008C0224"/>
    <w:rsid w:val="008C0274"/>
    <w:rsid w:val="008C02D0"/>
    <w:rsid w:val="008C05D9"/>
    <w:rsid w:val="008C0645"/>
    <w:rsid w:val="008C0711"/>
    <w:rsid w:val="008C07F8"/>
    <w:rsid w:val="008C07FE"/>
    <w:rsid w:val="008C0A04"/>
    <w:rsid w:val="008C0A95"/>
    <w:rsid w:val="008C0CDD"/>
    <w:rsid w:val="008C0D2E"/>
    <w:rsid w:val="008C0E09"/>
    <w:rsid w:val="008C0EEE"/>
    <w:rsid w:val="008C0FA6"/>
    <w:rsid w:val="008C106B"/>
    <w:rsid w:val="008C1092"/>
    <w:rsid w:val="008C120E"/>
    <w:rsid w:val="008C1249"/>
    <w:rsid w:val="008C138E"/>
    <w:rsid w:val="008C14D7"/>
    <w:rsid w:val="008C1554"/>
    <w:rsid w:val="008C1AC0"/>
    <w:rsid w:val="008C1CA2"/>
    <w:rsid w:val="008C1E6A"/>
    <w:rsid w:val="008C1ED6"/>
    <w:rsid w:val="008C202A"/>
    <w:rsid w:val="008C2229"/>
    <w:rsid w:val="008C24D1"/>
    <w:rsid w:val="008C260D"/>
    <w:rsid w:val="008C2610"/>
    <w:rsid w:val="008C26B4"/>
    <w:rsid w:val="008C27D4"/>
    <w:rsid w:val="008C2821"/>
    <w:rsid w:val="008C2922"/>
    <w:rsid w:val="008C29C8"/>
    <w:rsid w:val="008C2EB1"/>
    <w:rsid w:val="008C309F"/>
    <w:rsid w:val="008C31C8"/>
    <w:rsid w:val="008C3239"/>
    <w:rsid w:val="008C3283"/>
    <w:rsid w:val="008C3655"/>
    <w:rsid w:val="008C3672"/>
    <w:rsid w:val="008C369D"/>
    <w:rsid w:val="008C370E"/>
    <w:rsid w:val="008C38DB"/>
    <w:rsid w:val="008C3963"/>
    <w:rsid w:val="008C39A3"/>
    <w:rsid w:val="008C39A4"/>
    <w:rsid w:val="008C3AAA"/>
    <w:rsid w:val="008C3AD8"/>
    <w:rsid w:val="008C3E30"/>
    <w:rsid w:val="008C42F4"/>
    <w:rsid w:val="008C4446"/>
    <w:rsid w:val="008C44E3"/>
    <w:rsid w:val="008C4533"/>
    <w:rsid w:val="008C46A2"/>
    <w:rsid w:val="008C46BE"/>
    <w:rsid w:val="008C470E"/>
    <w:rsid w:val="008C49C9"/>
    <w:rsid w:val="008C4A59"/>
    <w:rsid w:val="008C4CD2"/>
    <w:rsid w:val="008C4D86"/>
    <w:rsid w:val="008C4DFB"/>
    <w:rsid w:val="008C510C"/>
    <w:rsid w:val="008C52B8"/>
    <w:rsid w:val="008C5493"/>
    <w:rsid w:val="008C56AF"/>
    <w:rsid w:val="008C591E"/>
    <w:rsid w:val="008C5CC2"/>
    <w:rsid w:val="008C5D0C"/>
    <w:rsid w:val="008C5D52"/>
    <w:rsid w:val="008C5ECA"/>
    <w:rsid w:val="008C603B"/>
    <w:rsid w:val="008C661F"/>
    <w:rsid w:val="008C6679"/>
    <w:rsid w:val="008C6855"/>
    <w:rsid w:val="008C68BB"/>
    <w:rsid w:val="008C6A7A"/>
    <w:rsid w:val="008C6AD9"/>
    <w:rsid w:val="008C6BA0"/>
    <w:rsid w:val="008C6C0E"/>
    <w:rsid w:val="008C6EB4"/>
    <w:rsid w:val="008C6FE5"/>
    <w:rsid w:val="008C720B"/>
    <w:rsid w:val="008C72CB"/>
    <w:rsid w:val="008C7308"/>
    <w:rsid w:val="008C73EB"/>
    <w:rsid w:val="008C7715"/>
    <w:rsid w:val="008C79F7"/>
    <w:rsid w:val="008C7C6C"/>
    <w:rsid w:val="008C7D21"/>
    <w:rsid w:val="008C7D42"/>
    <w:rsid w:val="008C7E0A"/>
    <w:rsid w:val="008D01BD"/>
    <w:rsid w:val="008D0312"/>
    <w:rsid w:val="008D06BF"/>
    <w:rsid w:val="008D08FC"/>
    <w:rsid w:val="008D0940"/>
    <w:rsid w:val="008D0998"/>
    <w:rsid w:val="008D0A0A"/>
    <w:rsid w:val="008D0A14"/>
    <w:rsid w:val="008D0D0F"/>
    <w:rsid w:val="008D0EAF"/>
    <w:rsid w:val="008D0F41"/>
    <w:rsid w:val="008D10A2"/>
    <w:rsid w:val="008D1182"/>
    <w:rsid w:val="008D1336"/>
    <w:rsid w:val="008D163C"/>
    <w:rsid w:val="008D1703"/>
    <w:rsid w:val="008D1719"/>
    <w:rsid w:val="008D185E"/>
    <w:rsid w:val="008D1895"/>
    <w:rsid w:val="008D18E4"/>
    <w:rsid w:val="008D19E7"/>
    <w:rsid w:val="008D1B1A"/>
    <w:rsid w:val="008D1B68"/>
    <w:rsid w:val="008D1C32"/>
    <w:rsid w:val="008D1E6C"/>
    <w:rsid w:val="008D2062"/>
    <w:rsid w:val="008D2316"/>
    <w:rsid w:val="008D2444"/>
    <w:rsid w:val="008D2660"/>
    <w:rsid w:val="008D2842"/>
    <w:rsid w:val="008D2B33"/>
    <w:rsid w:val="008D2C25"/>
    <w:rsid w:val="008D2D73"/>
    <w:rsid w:val="008D2F75"/>
    <w:rsid w:val="008D300A"/>
    <w:rsid w:val="008D33D9"/>
    <w:rsid w:val="008D36E0"/>
    <w:rsid w:val="008D3755"/>
    <w:rsid w:val="008D39A1"/>
    <w:rsid w:val="008D3D46"/>
    <w:rsid w:val="008D3D9E"/>
    <w:rsid w:val="008D3DDD"/>
    <w:rsid w:val="008D3E9B"/>
    <w:rsid w:val="008D3EA5"/>
    <w:rsid w:val="008D3F64"/>
    <w:rsid w:val="008D3F66"/>
    <w:rsid w:val="008D3FDD"/>
    <w:rsid w:val="008D4000"/>
    <w:rsid w:val="008D402C"/>
    <w:rsid w:val="008D403F"/>
    <w:rsid w:val="008D4249"/>
    <w:rsid w:val="008D49D5"/>
    <w:rsid w:val="008D4B28"/>
    <w:rsid w:val="008D4DDF"/>
    <w:rsid w:val="008D4F9E"/>
    <w:rsid w:val="008D4FD3"/>
    <w:rsid w:val="008D50E6"/>
    <w:rsid w:val="008D5142"/>
    <w:rsid w:val="008D5531"/>
    <w:rsid w:val="008D5A21"/>
    <w:rsid w:val="008D5A58"/>
    <w:rsid w:val="008D5B04"/>
    <w:rsid w:val="008D5DEE"/>
    <w:rsid w:val="008D5F80"/>
    <w:rsid w:val="008D60F0"/>
    <w:rsid w:val="008D6137"/>
    <w:rsid w:val="008D61C8"/>
    <w:rsid w:val="008D61E7"/>
    <w:rsid w:val="008D64C8"/>
    <w:rsid w:val="008D6565"/>
    <w:rsid w:val="008D65C3"/>
    <w:rsid w:val="008D66F1"/>
    <w:rsid w:val="008D6721"/>
    <w:rsid w:val="008D69BB"/>
    <w:rsid w:val="008D6A5A"/>
    <w:rsid w:val="008D6AD6"/>
    <w:rsid w:val="008D6B32"/>
    <w:rsid w:val="008D6B90"/>
    <w:rsid w:val="008D6EDF"/>
    <w:rsid w:val="008D70D9"/>
    <w:rsid w:val="008D7158"/>
    <w:rsid w:val="008D732B"/>
    <w:rsid w:val="008D737E"/>
    <w:rsid w:val="008D759A"/>
    <w:rsid w:val="008D7A3C"/>
    <w:rsid w:val="008D7A46"/>
    <w:rsid w:val="008D7A8F"/>
    <w:rsid w:val="008D7AC1"/>
    <w:rsid w:val="008D7B23"/>
    <w:rsid w:val="008D7D3F"/>
    <w:rsid w:val="008D7F1E"/>
    <w:rsid w:val="008E00C4"/>
    <w:rsid w:val="008E0124"/>
    <w:rsid w:val="008E01FB"/>
    <w:rsid w:val="008E059F"/>
    <w:rsid w:val="008E0615"/>
    <w:rsid w:val="008E085B"/>
    <w:rsid w:val="008E0D5F"/>
    <w:rsid w:val="008E0F03"/>
    <w:rsid w:val="008E1032"/>
    <w:rsid w:val="008E10A4"/>
    <w:rsid w:val="008E131B"/>
    <w:rsid w:val="008E1486"/>
    <w:rsid w:val="008E148B"/>
    <w:rsid w:val="008E174C"/>
    <w:rsid w:val="008E1A6C"/>
    <w:rsid w:val="008E1BA8"/>
    <w:rsid w:val="008E1C36"/>
    <w:rsid w:val="008E1C52"/>
    <w:rsid w:val="008E1F1F"/>
    <w:rsid w:val="008E2570"/>
    <w:rsid w:val="008E25C1"/>
    <w:rsid w:val="008E26F2"/>
    <w:rsid w:val="008E28F3"/>
    <w:rsid w:val="008E2981"/>
    <w:rsid w:val="008E2B7F"/>
    <w:rsid w:val="008E2C80"/>
    <w:rsid w:val="008E2D71"/>
    <w:rsid w:val="008E2E3E"/>
    <w:rsid w:val="008E2E40"/>
    <w:rsid w:val="008E2EBA"/>
    <w:rsid w:val="008E2FE3"/>
    <w:rsid w:val="008E31F2"/>
    <w:rsid w:val="008E35CE"/>
    <w:rsid w:val="008E3703"/>
    <w:rsid w:val="008E3896"/>
    <w:rsid w:val="008E3902"/>
    <w:rsid w:val="008E39C2"/>
    <w:rsid w:val="008E39F0"/>
    <w:rsid w:val="008E3B22"/>
    <w:rsid w:val="008E3F5C"/>
    <w:rsid w:val="008E434B"/>
    <w:rsid w:val="008E43F9"/>
    <w:rsid w:val="008E45AC"/>
    <w:rsid w:val="008E4619"/>
    <w:rsid w:val="008E4817"/>
    <w:rsid w:val="008E4A05"/>
    <w:rsid w:val="008E4A74"/>
    <w:rsid w:val="008E4A9C"/>
    <w:rsid w:val="008E4AC7"/>
    <w:rsid w:val="008E4C89"/>
    <w:rsid w:val="008E4EB4"/>
    <w:rsid w:val="008E521B"/>
    <w:rsid w:val="008E529C"/>
    <w:rsid w:val="008E5385"/>
    <w:rsid w:val="008E5392"/>
    <w:rsid w:val="008E5556"/>
    <w:rsid w:val="008E56A6"/>
    <w:rsid w:val="008E573E"/>
    <w:rsid w:val="008E5EEA"/>
    <w:rsid w:val="008E5FD3"/>
    <w:rsid w:val="008E627A"/>
    <w:rsid w:val="008E6328"/>
    <w:rsid w:val="008E653D"/>
    <w:rsid w:val="008E661D"/>
    <w:rsid w:val="008E67A4"/>
    <w:rsid w:val="008E67AE"/>
    <w:rsid w:val="008E68C0"/>
    <w:rsid w:val="008E6C37"/>
    <w:rsid w:val="008E6DFA"/>
    <w:rsid w:val="008E6E33"/>
    <w:rsid w:val="008E6EF1"/>
    <w:rsid w:val="008E71B0"/>
    <w:rsid w:val="008E722C"/>
    <w:rsid w:val="008E728B"/>
    <w:rsid w:val="008E72AC"/>
    <w:rsid w:val="008E749E"/>
    <w:rsid w:val="008E77DF"/>
    <w:rsid w:val="008E7842"/>
    <w:rsid w:val="008E7CEC"/>
    <w:rsid w:val="008E7D95"/>
    <w:rsid w:val="008E7E38"/>
    <w:rsid w:val="008F014D"/>
    <w:rsid w:val="008F022B"/>
    <w:rsid w:val="008F053B"/>
    <w:rsid w:val="008F070E"/>
    <w:rsid w:val="008F0871"/>
    <w:rsid w:val="008F0BE2"/>
    <w:rsid w:val="008F0CE9"/>
    <w:rsid w:val="008F0CF8"/>
    <w:rsid w:val="008F0D6A"/>
    <w:rsid w:val="008F0E2A"/>
    <w:rsid w:val="008F105A"/>
    <w:rsid w:val="008F118D"/>
    <w:rsid w:val="008F11B8"/>
    <w:rsid w:val="008F122D"/>
    <w:rsid w:val="008F1355"/>
    <w:rsid w:val="008F14AE"/>
    <w:rsid w:val="008F1900"/>
    <w:rsid w:val="008F1927"/>
    <w:rsid w:val="008F1936"/>
    <w:rsid w:val="008F19DA"/>
    <w:rsid w:val="008F1BAF"/>
    <w:rsid w:val="008F1E13"/>
    <w:rsid w:val="008F1EC6"/>
    <w:rsid w:val="008F2738"/>
    <w:rsid w:val="008F2783"/>
    <w:rsid w:val="008F2784"/>
    <w:rsid w:val="008F2889"/>
    <w:rsid w:val="008F2953"/>
    <w:rsid w:val="008F2B0F"/>
    <w:rsid w:val="008F2C3D"/>
    <w:rsid w:val="008F2D64"/>
    <w:rsid w:val="008F2E1C"/>
    <w:rsid w:val="008F30EF"/>
    <w:rsid w:val="008F315F"/>
    <w:rsid w:val="008F31A3"/>
    <w:rsid w:val="008F3227"/>
    <w:rsid w:val="008F3250"/>
    <w:rsid w:val="008F3312"/>
    <w:rsid w:val="008F337A"/>
    <w:rsid w:val="008F34F6"/>
    <w:rsid w:val="008F3826"/>
    <w:rsid w:val="008F3C69"/>
    <w:rsid w:val="008F3F16"/>
    <w:rsid w:val="008F40D2"/>
    <w:rsid w:val="008F41DB"/>
    <w:rsid w:val="008F4273"/>
    <w:rsid w:val="008F43E7"/>
    <w:rsid w:val="008F485A"/>
    <w:rsid w:val="008F4881"/>
    <w:rsid w:val="008F4A42"/>
    <w:rsid w:val="008F4A96"/>
    <w:rsid w:val="008F4BC9"/>
    <w:rsid w:val="008F4CA1"/>
    <w:rsid w:val="008F4CE1"/>
    <w:rsid w:val="008F4F5A"/>
    <w:rsid w:val="008F52AE"/>
    <w:rsid w:val="008F52D5"/>
    <w:rsid w:val="008F53FF"/>
    <w:rsid w:val="008F55FF"/>
    <w:rsid w:val="008F5620"/>
    <w:rsid w:val="008F569F"/>
    <w:rsid w:val="008F584E"/>
    <w:rsid w:val="008F5B78"/>
    <w:rsid w:val="008F5E7C"/>
    <w:rsid w:val="008F5F39"/>
    <w:rsid w:val="008F609D"/>
    <w:rsid w:val="008F63E8"/>
    <w:rsid w:val="008F64A7"/>
    <w:rsid w:val="008F65F6"/>
    <w:rsid w:val="008F66DC"/>
    <w:rsid w:val="008F6730"/>
    <w:rsid w:val="008F67A4"/>
    <w:rsid w:val="008F6A20"/>
    <w:rsid w:val="008F6E1C"/>
    <w:rsid w:val="008F71B9"/>
    <w:rsid w:val="008F72F3"/>
    <w:rsid w:val="008F735D"/>
    <w:rsid w:val="008F73B7"/>
    <w:rsid w:val="008F73E3"/>
    <w:rsid w:val="008F7405"/>
    <w:rsid w:val="008F742F"/>
    <w:rsid w:val="008F7710"/>
    <w:rsid w:val="008F77BA"/>
    <w:rsid w:val="008F7A81"/>
    <w:rsid w:val="008F7B67"/>
    <w:rsid w:val="008F7BDE"/>
    <w:rsid w:val="008F7FB3"/>
    <w:rsid w:val="00900012"/>
    <w:rsid w:val="009002E0"/>
    <w:rsid w:val="009006F1"/>
    <w:rsid w:val="009009D6"/>
    <w:rsid w:val="00900A08"/>
    <w:rsid w:val="00900AF4"/>
    <w:rsid w:val="00900E52"/>
    <w:rsid w:val="00900F96"/>
    <w:rsid w:val="00900FE4"/>
    <w:rsid w:val="00901105"/>
    <w:rsid w:val="0090119E"/>
    <w:rsid w:val="0090125D"/>
    <w:rsid w:val="0090146E"/>
    <w:rsid w:val="009014DA"/>
    <w:rsid w:val="00901600"/>
    <w:rsid w:val="00901A57"/>
    <w:rsid w:val="00901AD9"/>
    <w:rsid w:val="00901AEC"/>
    <w:rsid w:val="00901B75"/>
    <w:rsid w:val="00901DA1"/>
    <w:rsid w:val="00901DB8"/>
    <w:rsid w:val="00901E71"/>
    <w:rsid w:val="00901F4E"/>
    <w:rsid w:val="00902012"/>
    <w:rsid w:val="00902041"/>
    <w:rsid w:val="00902070"/>
    <w:rsid w:val="00902109"/>
    <w:rsid w:val="009021EE"/>
    <w:rsid w:val="00902400"/>
    <w:rsid w:val="00902407"/>
    <w:rsid w:val="00902580"/>
    <w:rsid w:val="0090262F"/>
    <w:rsid w:val="009026A1"/>
    <w:rsid w:val="00902F5C"/>
    <w:rsid w:val="009030A9"/>
    <w:rsid w:val="00903133"/>
    <w:rsid w:val="009037D9"/>
    <w:rsid w:val="00903CD9"/>
    <w:rsid w:val="00903CE7"/>
    <w:rsid w:val="00903D6B"/>
    <w:rsid w:val="00903E53"/>
    <w:rsid w:val="0090405B"/>
    <w:rsid w:val="0090405C"/>
    <w:rsid w:val="009040BE"/>
    <w:rsid w:val="009040D8"/>
    <w:rsid w:val="009044DE"/>
    <w:rsid w:val="00904575"/>
    <w:rsid w:val="009047BD"/>
    <w:rsid w:val="00904935"/>
    <w:rsid w:val="009049E6"/>
    <w:rsid w:val="00904C8C"/>
    <w:rsid w:val="0090524D"/>
    <w:rsid w:val="00905285"/>
    <w:rsid w:val="009052CA"/>
    <w:rsid w:val="009053EE"/>
    <w:rsid w:val="009054FC"/>
    <w:rsid w:val="00905511"/>
    <w:rsid w:val="00905631"/>
    <w:rsid w:val="00905942"/>
    <w:rsid w:val="00905A32"/>
    <w:rsid w:val="00905C66"/>
    <w:rsid w:val="00905CB8"/>
    <w:rsid w:val="0090613F"/>
    <w:rsid w:val="009066E8"/>
    <w:rsid w:val="0090670C"/>
    <w:rsid w:val="00906788"/>
    <w:rsid w:val="009068C6"/>
    <w:rsid w:val="00906AA8"/>
    <w:rsid w:val="00906BB0"/>
    <w:rsid w:val="00906BFE"/>
    <w:rsid w:val="00906C18"/>
    <w:rsid w:val="00906F53"/>
    <w:rsid w:val="00906FEF"/>
    <w:rsid w:val="0090713C"/>
    <w:rsid w:val="009071B0"/>
    <w:rsid w:val="00907319"/>
    <w:rsid w:val="009075B3"/>
    <w:rsid w:val="009075E4"/>
    <w:rsid w:val="00907757"/>
    <w:rsid w:val="009078BC"/>
    <w:rsid w:val="009101FB"/>
    <w:rsid w:val="00910201"/>
    <w:rsid w:val="009102A4"/>
    <w:rsid w:val="009102DB"/>
    <w:rsid w:val="00910319"/>
    <w:rsid w:val="0091032A"/>
    <w:rsid w:val="00910728"/>
    <w:rsid w:val="00910870"/>
    <w:rsid w:val="0091095A"/>
    <w:rsid w:val="00910A50"/>
    <w:rsid w:val="00910B7E"/>
    <w:rsid w:val="00910CCC"/>
    <w:rsid w:val="0091114A"/>
    <w:rsid w:val="009112BF"/>
    <w:rsid w:val="009113BC"/>
    <w:rsid w:val="009115F0"/>
    <w:rsid w:val="00911622"/>
    <w:rsid w:val="00911694"/>
    <w:rsid w:val="009116D4"/>
    <w:rsid w:val="009117B7"/>
    <w:rsid w:val="009118D8"/>
    <w:rsid w:val="00911E50"/>
    <w:rsid w:val="00911E95"/>
    <w:rsid w:val="00911EB1"/>
    <w:rsid w:val="009120AB"/>
    <w:rsid w:val="009120EC"/>
    <w:rsid w:val="00912175"/>
    <w:rsid w:val="00912318"/>
    <w:rsid w:val="009123BC"/>
    <w:rsid w:val="009123E6"/>
    <w:rsid w:val="0091244A"/>
    <w:rsid w:val="009124F5"/>
    <w:rsid w:val="00912541"/>
    <w:rsid w:val="0091255C"/>
    <w:rsid w:val="009125A2"/>
    <w:rsid w:val="00912B4C"/>
    <w:rsid w:val="00912DC2"/>
    <w:rsid w:val="00912E0E"/>
    <w:rsid w:val="00912E5D"/>
    <w:rsid w:val="00912ED0"/>
    <w:rsid w:val="00912EDA"/>
    <w:rsid w:val="00912FA4"/>
    <w:rsid w:val="00913313"/>
    <w:rsid w:val="0091334E"/>
    <w:rsid w:val="0091350F"/>
    <w:rsid w:val="00913540"/>
    <w:rsid w:val="00913583"/>
    <w:rsid w:val="00913618"/>
    <w:rsid w:val="00913A01"/>
    <w:rsid w:val="00913A06"/>
    <w:rsid w:val="00913B52"/>
    <w:rsid w:val="00913BA2"/>
    <w:rsid w:val="00913C33"/>
    <w:rsid w:val="009142A2"/>
    <w:rsid w:val="00914567"/>
    <w:rsid w:val="0091468C"/>
    <w:rsid w:val="009146FC"/>
    <w:rsid w:val="00914B0A"/>
    <w:rsid w:val="00914B9D"/>
    <w:rsid w:val="00914EC0"/>
    <w:rsid w:val="00915536"/>
    <w:rsid w:val="00915624"/>
    <w:rsid w:val="00915647"/>
    <w:rsid w:val="0091572E"/>
    <w:rsid w:val="0091585F"/>
    <w:rsid w:val="00915876"/>
    <w:rsid w:val="00915E1C"/>
    <w:rsid w:val="00915E66"/>
    <w:rsid w:val="00915ED0"/>
    <w:rsid w:val="00915F73"/>
    <w:rsid w:val="009161C3"/>
    <w:rsid w:val="009162B4"/>
    <w:rsid w:val="00916387"/>
    <w:rsid w:val="009163D4"/>
    <w:rsid w:val="00916455"/>
    <w:rsid w:val="00916661"/>
    <w:rsid w:val="009166EC"/>
    <w:rsid w:val="009168B5"/>
    <w:rsid w:val="00916AC1"/>
    <w:rsid w:val="00916AF6"/>
    <w:rsid w:val="00916C5D"/>
    <w:rsid w:val="00916CC2"/>
    <w:rsid w:val="00916D38"/>
    <w:rsid w:val="0091701E"/>
    <w:rsid w:val="009172C9"/>
    <w:rsid w:val="009174F3"/>
    <w:rsid w:val="009174F8"/>
    <w:rsid w:val="0091750B"/>
    <w:rsid w:val="0091756F"/>
    <w:rsid w:val="009177B4"/>
    <w:rsid w:val="009177D6"/>
    <w:rsid w:val="00917966"/>
    <w:rsid w:val="00917B55"/>
    <w:rsid w:val="00917E88"/>
    <w:rsid w:val="009200A8"/>
    <w:rsid w:val="009203D6"/>
    <w:rsid w:val="00920428"/>
    <w:rsid w:val="00920538"/>
    <w:rsid w:val="0092058D"/>
    <w:rsid w:val="00920675"/>
    <w:rsid w:val="00920877"/>
    <w:rsid w:val="009209CA"/>
    <w:rsid w:val="00920A08"/>
    <w:rsid w:val="00920AFA"/>
    <w:rsid w:val="00920E08"/>
    <w:rsid w:val="00920E4E"/>
    <w:rsid w:val="00921156"/>
    <w:rsid w:val="009211CB"/>
    <w:rsid w:val="00921559"/>
    <w:rsid w:val="009215D3"/>
    <w:rsid w:val="009216E3"/>
    <w:rsid w:val="00921D2F"/>
    <w:rsid w:val="00921FF9"/>
    <w:rsid w:val="00922408"/>
    <w:rsid w:val="009229E4"/>
    <w:rsid w:val="00922BDE"/>
    <w:rsid w:val="00922E10"/>
    <w:rsid w:val="00922EE2"/>
    <w:rsid w:val="00923204"/>
    <w:rsid w:val="0092364A"/>
    <w:rsid w:val="00923791"/>
    <w:rsid w:val="00923793"/>
    <w:rsid w:val="00923940"/>
    <w:rsid w:val="0092398F"/>
    <w:rsid w:val="00923C84"/>
    <w:rsid w:val="00923D88"/>
    <w:rsid w:val="00924086"/>
    <w:rsid w:val="0092439C"/>
    <w:rsid w:val="009243C0"/>
    <w:rsid w:val="0092447F"/>
    <w:rsid w:val="0092469F"/>
    <w:rsid w:val="0092497F"/>
    <w:rsid w:val="00924ADE"/>
    <w:rsid w:val="00924C53"/>
    <w:rsid w:val="00924DD3"/>
    <w:rsid w:val="00925119"/>
    <w:rsid w:val="009251FA"/>
    <w:rsid w:val="00925338"/>
    <w:rsid w:val="0092535D"/>
    <w:rsid w:val="0092551F"/>
    <w:rsid w:val="009257A1"/>
    <w:rsid w:val="009257A6"/>
    <w:rsid w:val="009257AA"/>
    <w:rsid w:val="0092581B"/>
    <w:rsid w:val="00925B91"/>
    <w:rsid w:val="00925E09"/>
    <w:rsid w:val="00925EB6"/>
    <w:rsid w:val="00925F72"/>
    <w:rsid w:val="00925FF1"/>
    <w:rsid w:val="0092623A"/>
    <w:rsid w:val="0092626C"/>
    <w:rsid w:val="009263BD"/>
    <w:rsid w:val="00926405"/>
    <w:rsid w:val="00926C0D"/>
    <w:rsid w:val="00926C25"/>
    <w:rsid w:val="00926C50"/>
    <w:rsid w:val="00926D27"/>
    <w:rsid w:val="00926DF9"/>
    <w:rsid w:val="00926E75"/>
    <w:rsid w:val="00927073"/>
    <w:rsid w:val="00927125"/>
    <w:rsid w:val="0092739C"/>
    <w:rsid w:val="009273AA"/>
    <w:rsid w:val="00927451"/>
    <w:rsid w:val="0092749E"/>
    <w:rsid w:val="00927640"/>
    <w:rsid w:val="009277E5"/>
    <w:rsid w:val="00927825"/>
    <w:rsid w:val="00927965"/>
    <w:rsid w:val="00927AE0"/>
    <w:rsid w:val="00927B78"/>
    <w:rsid w:val="00927CC8"/>
    <w:rsid w:val="00930146"/>
    <w:rsid w:val="009302CC"/>
    <w:rsid w:val="009304FC"/>
    <w:rsid w:val="00930878"/>
    <w:rsid w:val="00930A2D"/>
    <w:rsid w:val="00930B07"/>
    <w:rsid w:val="00930B8D"/>
    <w:rsid w:val="00930C40"/>
    <w:rsid w:val="00930E3D"/>
    <w:rsid w:val="00931160"/>
    <w:rsid w:val="009312F2"/>
    <w:rsid w:val="00931356"/>
    <w:rsid w:val="0093154B"/>
    <w:rsid w:val="0093172D"/>
    <w:rsid w:val="00931926"/>
    <w:rsid w:val="009319FF"/>
    <w:rsid w:val="00931C11"/>
    <w:rsid w:val="00931FB9"/>
    <w:rsid w:val="009320AC"/>
    <w:rsid w:val="00932303"/>
    <w:rsid w:val="009325AD"/>
    <w:rsid w:val="009327FB"/>
    <w:rsid w:val="00932873"/>
    <w:rsid w:val="00932888"/>
    <w:rsid w:val="009328A5"/>
    <w:rsid w:val="009329D9"/>
    <w:rsid w:val="00932C94"/>
    <w:rsid w:val="00932E3C"/>
    <w:rsid w:val="009331F5"/>
    <w:rsid w:val="00933866"/>
    <w:rsid w:val="00933983"/>
    <w:rsid w:val="0093398F"/>
    <w:rsid w:val="00933A6F"/>
    <w:rsid w:val="00933B86"/>
    <w:rsid w:val="00933BC6"/>
    <w:rsid w:val="00933C5F"/>
    <w:rsid w:val="00933D6E"/>
    <w:rsid w:val="00933D88"/>
    <w:rsid w:val="00933DFB"/>
    <w:rsid w:val="009340B8"/>
    <w:rsid w:val="009342F3"/>
    <w:rsid w:val="00934392"/>
    <w:rsid w:val="00934432"/>
    <w:rsid w:val="009345CE"/>
    <w:rsid w:val="00934680"/>
    <w:rsid w:val="00934721"/>
    <w:rsid w:val="009347DB"/>
    <w:rsid w:val="0093483E"/>
    <w:rsid w:val="00934B3D"/>
    <w:rsid w:val="00934F88"/>
    <w:rsid w:val="00934FF4"/>
    <w:rsid w:val="0093517C"/>
    <w:rsid w:val="0093521A"/>
    <w:rsid w:val="0093531C"/>
    <w:rsid w:val="009353B6"/>
    <w:rsid w:val="00935458"/>
    <w:rsid w:val="009354CC"/>
    <w:rsid w:val="00935659"/>
    <w:rsid w:val="00935A41"/>
    <w:rsid w:val="00936223"/>
    <w:rsid w:val="0093639D"/>
    <w:rsid w:val="00936A8D"/>
    <w:rsid w:val="00936C81"/>
    <w:rsid w:val="00936C8B"/>
    <w:rsid w:val="0093706A"/>
    <w:rsid w:val="009370D0"/>
    <w:rsid w:val="00937251"/>
    <w:rsid w:val="0093752F"/>
    <w:rsid w:val="00937678"/>
    <w:rsid w:val="00937960"/>
    <w:rsid w:val="009379F2"/>
    <w:rsid w:val="00937E6D"/>
    <w:rsid w:val="00937EA0"/>
    <w:rsid w:val="009401E1"/>
    <w:rsid w:val="00940268"/>
    <w:rsid w:val="00940737"/>
    <w:rsid w:val="00940945"/>
    <w:rsid w:val="00940B37"/>
    <w:rsid w:val="00940BC1"/>
    <w:rsid w:val="00940D35"/>
    <w:rsid w:val="00940E47"/>
    <w:rsid w:val="00940FDB"/>
    <w:rsid w:val="00941123"/>
    <w:rsid w:val="009413D2"/>
    <w:rsid w:val="009413FC"/>
    <w:rsid w:val="009414A9"/>
    <w:rsid w:val="00941595"/>
    <w:rsid w:val="0094176B"/>
    <w:rsid w:val="009417CF"/>
    <w:rsid w:val="009419FB"/>
    <w:rsid w:val="00941C98"/>
    <w:rsid w:val="0094223E"/>
    <w:rsid w:val="00942529"/>
    <w:rsid w:val="009427B4"/>
    <w:rsid w:val="009428AB"/>
    <w:rsid w:val="00942C65"/>
    <w:rsid w:val="00942E0C"/>
    <w:rsid w:val="00942EEE"/>
    <w:rsid w:val="009431A0"/>
    <w:rsid w:val="00943203"/>
    <w:rsid w:val="0094335D"/>
    <w:rsid w:val="0094336A"/>
    <w:rsid w:val="0094336F"/>
    <w:rsid w:val="0094373E"/>
    <w:rsid w:val="00943910"/>
    <w:rsid w:val="00943A6D"/>
    <w:rsid w:val="00943B7B"/>
    <w:rsid w:val="00943F5E"/>
    <w:rsid w:val="00943FEB"/>
    <w:rsid w:val="009440D0"/>
    <w:rsid w:val="00944383"/>
    <w:rsid w:val="009443D2"/>
    <w:rsid w:val="00944BC0"/>
    <w:rsid w:val="00944BCD"/>
    <w:rsid w:val="00944BF2"/>
    <w:rsid w:val="00944E3E"/>
    <w:rsid w:val="00944E8E"/>
    <w:rsid w:val="00944EDC"/>
    <w:rsid w:val="00945163"/>
    <w:rsid w:val="00945399"/>
    <w:rsid w:val="0094548F"/>
    <w:rsid w:val="00945586"/>
    <w:rsid w:val="00945595"/>
    <w:rsid w:val="0094559F"/>
    <w:rsid w:val="00945606"/>
    <w:rsid w:val="00945782"/>
    <w:rsid w:val="0094578E"/>
    <w:rsid w:val="00945A8C"/>
    <w:rsid w:val="00945B5C"/>
    <w:rsid w:val="00945FFF"/>
    <w:rsid w:val="009460E5"/>
    <w:rsid w:val="009463CE"/>
    <w:rsid w:val="009463FB"/>
    <w:rsid w:val="00946481"/>
    <w:rsid w:val="00946544"/>
    <w:rsid w:val="009466DA"/>
    <w:rsid w:val="00946745"/>
    <w:rsid w:val="00946910"/>
    <w:rsid w:val="009469AB"/>
    <w:rsid w:val="00946C15"/>
    <w:rsid w:val="00946C91"/>
    <w:rsid w:val="00947047"/>
    <w:rsid w:val="00947521"/>
    <w:rsid w:val="0094753C"/>
    <w:rsid w:val="0094774D"/>
    <w:rsid w:val="00947A23"/>
    <w:rsid w:val="00947A89"/>
    <w:rsid w:val="00947C39"/>
    <w:rsid w:val="00947C4B"/>
    <w:rsid w:val="00947CDD"/>
    <w:rsid w:val="00947D33"/>
    <w:rsid w:val="00947D90"/>
    <w:rsid w:val="00947F03"/>
    <w:rsid w:val="00947FB7"/>
    <w:rsid w:val="0095016E"/>
    <w:rsid w:val="00950272"/>
    <w:rsid w:val="00950363"/>
    <w:rsid w:val="00950372"/>
    <w:rsid w:val="0095056A"/>
    <w:rsid w:val="009508CD"/>
    <w:rsid w:val="00950ACE"/>
    <w:rsid w:val="00950B62"/>
    <w:rsid w:val="00950DE4"/>
    <w:rsid w:val="0095164E"/>
    <w:rsid w:val="0095177E"/>
    <w:rsid w:val="009517A6"/>
    <w:rsid w:val="00951853"/>
    <w:rsid w:val="00951A59"/>
    <w:rsid w:val="00951B49"/>
    <w:rsid w:val="00951BE1"/>
    <w:rsid w:val="00951C85"/>
    <w:rsid w:val="00951CC7"/>
    <w:rsid w:val="00951DC9"/>
    <w:rsid w:val="00951E0A"/>
    <w:rsid w:val="00951E1C"/>
    <w:rsid w:val="009521FF"/>
    <w:rsid w:val="00952331"/>
    <w:rsid w:val="00952499"/>
    <w:rsid w:val="009530CB"/>
    <w:rsid w:val="009531D0"/>
    <w:rsid w:val="009533CC"/>
    <w:rsid w:val="009536F9"/>
    <w:rsid w:val="0095383C"/>
    <w:rsid w:val="00953AD9"/>
    <w:rsid w:val="00953BE3"/>
    <w:rsid w:val="00953D22"/>
    <w:rsid w:val="00953D29"/>
    <w:rsid w:val="0095408F"/>
    <w:rsid w:val="0095412E"/>
    <w:rsid w:val="00954175"/>
    <w:rsid w:val="00954952"/>
    <w:rsid w:val="00954AD1"/>
    <w:rsid w:val="00954E1F"/>
    <w:rsid w:val="00954EBF"/>
    <w:rsid w:val="00954EC9"/>
    <w:rsid w:val="0095508A"/>
    <w:rsid w:val="0095559C"/>
    <w:rsid w:val="00955648"/>
    <w:rsid w:val="009556B7"/>
    <w:rsid w:val="0095580B"/>
    <w:rsid w:val="009558D6"/>
    <w:rsid w:val="00955AD6"/>
    <w:rsid w:val="009562AF"/>
    <w:rsid w:val="00956332"/>
    <w:rsid w:val="00956485"/>
    <w:rsid w:val="0095653E"/>
    <w:rsid w:val="009566C3"/>
    <w:rsid w:val="0095671F"/>
    <w:rsid w:val="0095678B"/>
    <w:rsid w:val="00956907"/>
    <w:rsid w:val="0095697E"/>
    <w:rsid w:val="00956AE1"/>
    <w:rsid w:val="00956B6F"/>
    <w:rsid w:val="00956BC2"/>
    <w:rsid w:val="009571C5"/>
    <w:rsid w:val="009572DC"/>
    <w:rsid w:val="00957387"/>
    <w:rsid w:val="009574BF"/>
    <w:rsid w:val="00957990"/>
    <w:rsid w:val="00957B81"/>
    <w:rsid w:val="0096050E"/>
    <w:rsid w:val="009605B4"/>
    <w:rsid w:val="009607CE"/>
    <w:rsid w:val="009608DC"/>
    <w:rsid w:val="00960986"/>
    <w:rsid w:val="009609CA"/>
    <w:rsid w:val="00960A95"/>
    <w:rsid w:val="00960BA6"/>
    <w:rsid w:val="00960D45"/>
    <w:rsid w:val="00960E45"/>
    <w:rsid w:val="00960E6C"/>
    <w:rsid w:val="00960E9D"/>
    <w:rsid w:val="00961030"/>
    <w:rsid w:val="009612B5"/>
    <w:rsid w:val="009613A1"/>
    <w:rsid w:val="00961414"/>
    <w:rsid w:val="0096153B"/>
    <w:rsid w:val="009617B7"/>
    <w:rsid w:val="00961848"/>
    <w:rsid w:val="00961AB6"/>
    <w:rsid w:val="00961BED"/>
    <w:rsid w:val="00961D18"/>
    <w:rsid w:val="00961DAB"/>
    <w:rsid w:val="00961FCF"/>
    <w:rsid w:val="009621B1"/>
    <w:rsid w:val="0096250C"/>
    <w:rsid w:val="00962868"/>
    <w:rsid w:val="009628D0"/>
    <w:rsid w:val="00962923"/>
    <w:rsid w:val="00962959"/>
    <w:rsid w:val="00962F64"/>
    <w:rsid w:val="009631C4"/>
    <w:rsid w:val="009635C6"/>
    <w:rsid w:val="009635E6"/>
    <w:rsid w:val="00963737"/>
    <w:rsid w:val="009639B0"/>
    <w:rsid w:val="00963A58"/>
    <w:rsid w:val="00963B34"/>
    <w:rsid w:val="00964012"/>
    <w:rsid w:val="0096401A"/>
    <w:rsid w:val="00964022"/>
    <w:rsid w:val="00964051"/>
    <w:rsid w:val="00964079"/>
    <w:rsid w:val="009646A3"/>
    <w:rsid w:val="00964769"/>
    <w:rsid w:val="00964A49"/>
    <w:rsid w:val="00964B48"/>
    <w:rsid w:val="00964B8B"/>
    <w:rsid w:val="00964F05"/>
    <w:rsid w:val="0096521D"/>
    <w:rsid w:val="0096523F"/>
    <w:rsid w:val="0096524E"/>
    <w:rsid w:val="0096525D"/>
    <w:rsid w:val="009654D5"/>
    <w:rsid w:val="00965655"/>
    <w:rsid w:val="00965694"/>
    <w:rsid w:val="009656D3"/>
    <w:rsid w:val="0096584F"/>
    <w:rsid w:val="009659C6"/>
    <w:rsid w:val="00965BF0"/>
    <w:rsid w:val="00965F51"/>
    <w:rsid w:val="00966126"/>
    <w:rsid w:val="00966377"/>
    <w:rsid w:val="009663CC"/>
    <w:rsid w:val="009663DA"/>
    <w:rsid w:val="009665CD"/>
    <w:rsid w:val="00966712"/>
    <w:rsid w:val="0096672A"/>
    <w:rsid w:val="009668F7"/>
    <w:rsid w:val="00966AB6"/>
    <w:rsid w:val="00966CC4"/>
    <w:rsid w:val="00966D58"/>
    <w:rsid w:val="00966D9F"/>
    <w:rsid w:val="00966FCC"/>
    <w:rsid w:val="0096701D"/>
    <w:rsid w:val="00967377"/>
    <w:rsid w:val="0096742C"/>
    <w:rsid w:val="009675CC"/>
    <w:rsid w:val="00967755"/>
    <w:rsid w:val="0096778E"/>
    <w:rsid w:val="009677A1"/>
    <w:rsid w:val="009677A8"/>
    <w:rsid w:val="00967990"/>
    <w:rsid w:val="00967A97"/>
    <w:rsid w:val="00967B63"/>
    <w:rsid w:val="00967B95"/>
    <w:rsid w:val="00967D18"/>
    <w:rsid w:val="00967DF9"/>
    <w:rsid w:val="00967F6E"/>
    <w:rsid w:val="00970010"/>
    <w:rsid w:val="0097026B"/>
    <w:rsid w:val="009705A0"/>
    <w:rsid w:val="00970B9E"/>
    <w:rsid w:val="00970C50"/>
    <w:rsid w:val="00970CEC"/>
    <w:rsid w:val="00970E45"/>
    <w:rsid w:val="00971222"/>
    <w:rsid w:val="00971685"/>
    <w:rsid w:val="009716C7"/>
    <w:rsid w:val="0097174D"/>
    <w:rsid w:val="00971907"/>
    <w:rsid w:val="009719A1"/>
    <w:rsid w:val="00971A32"/>
    <w:rsid w:val="00971B40"/>
    <w:rsid w:val="00971B73"/>
    <w:rsid w:val="00971E2F"/>
    <w:rsid w:val="00971EA7"/>
    <w:rsid w:val="0097212A"/>
    <w:rsid w:val="0097225B"/>
    <w:rsid w:val="0097228C"/>
    <w:rsid w:val="0097252A"/>
    <w:rsid w:val="009728BD"/>
    <w:rsid w:val="00972AEF"/>
    <w:rsid w:val="00972B27"/>
    <w:rsid w:val="00972B54"/>
    <w:rsid w:val="00972E82"/>
    <w:rsid w:val="00972E89"/>
    <w:rsid w:val="009733F1"/>
    <w:rsid w:val="0097350E"/>
    <w:rsid w:val="00973765"/>
    <w:rsid w:val="00973E4D"/>
    <w:rsid w:val="0097401A"/>
    <w:rsid w:val="00974174"/>
    <w:rsid w:val="00974221"/>
    <w:rsid w:val="009742B3"/>
    <w:rsid w:val="009742F0"/>
    <w:rsid w:val="009743D6"/>
    <w:rsid w:val="0097442E"/>
    <w:rsid w:val="00974659"/>
    <w:rsid w:val="0097471A"/>
    <w:rsid w:val="009747D3"/>
    <w:rsid w:val="009749F8"/>
    <w:rsid w:val="009749FF"/>
    <w:rsid w:val="00974BE6"/>
    <w:rsid w:val="00974BED"/>
    <w:rsid w:val="00974C67"/>
    <w:rsid w:val="00974D3D"/>
    <w:rsid w:val="00974D64"/>
    <w:rsid w:val="00974D70"/>
    <w:rsid w:val="00974F2D"/>
    <w:rsid w:val="00975109"/>
    <w:rsid w:val="0097524F"/>
    <w:rsid w:val="009752F5"/>
    <w:rsid w:val="0097537A"/>
    <w:rsid w:val="0097556D"/>
    <w:rsid w:val="00975F18"/>
    <w:rsid w:val="00975F3F"/>
    <w:rsid w:val="00976053"/>
    <w:rsid w:val="009760C3"/>
    <w:rsid w:val="009760EC"/>
    <w:rsid w:val="00976152"/>
    <w:rsid w:val="0097616E"/>
    <w:rsid w:val="00976287"/>
    <w:rsid w:val="009765D6"/>
    <w:rsid w:val="009766CB"/>
    <w:rsid w:val="00976AA2"/>
    <w:rsid w:val="00976BF5"/>
    <w:rsid w:val="00976C0A"/>
    <w:rsid w:val="00976D47"/>
    <w:rsid w:val="00976D9D"/>
    <w:rsid w:val="0097702D"/>
    <w:rsid w:val="00977344"/>
    <w:rsid w:val="0097746D"/>
    <w:rsid w:val="00977856"/>
    <w:rsid w:val="009779A3"/>
    <w:rsid w:val="00977C19"/>
    <w:rsid w:val="00977CE2"/>
    <w:rsid w:val="009802C2"/>
    <w:rsid w:val="00980385"/>
    <w:rsid w:val="0098046E"/>
    <w:rsid w:val="00980796"/>
    <w:rsid w:val="009807A0"/>
    <w:rsid w:val="009807B1"/>
    <w:rsid w:val="009809A1"/>
    <w:rsid w:val="00980AD5"/>
    <w:rsid w:val="00980B3E"/>
    <w:rsid w:val="00980B95"/>
    <w:rsid w:val="00980CA9"/>
    <w:rsid w:val="00980D86"/>
    <w:rsid w:val="00980DBD"/>
    <w:rsid w:val="00980E37"/>
    <w:rsid w:val="00981182"/>
    <w:rsid w:val="0098120E"/>
    <w:rsid w:val="009812DF"/>
    <w:rsid w:val="009813AA"/>
    <w:rsid w:val="00981493"/>
    <w:rsid w:val="0098150A"/>
    <w:rsid w:val="009816AC"/>
    <w:rsid w:val="009817AD"/>
    <w:rsid w:val="00981AAF"/>
    <w:rsid w:val="00981AC4"/>
    <w:rsid w:val="00981C12"/>
    <w:rsid w:val="00981CE8"/>
    <w:rsid w:val="00981CEC"/>
    <w:rsid w:val="00981D1B"/>
    <w:rsid w:val="00981D1E"/>
    <w:rsid w:val="00981E31"/>
    <w:rsid w:val="0098229A"/>
    <w:rsid w:val="00982483"/>
    <w:rsid w:val="00982491"/>
    <w:rsid w:val="0098274B"/>
    <w:rsid w:val="00982831"/>
    <w:rsid w:val="00982BF5"/>
    <w:rsid w:val="00982C67"/>
    <w:rsid w:val="00982E05"/>
    <w:rsid w:val="00982E4D"/>
    <w:rsid w:val="009830F6"/>
    <w:rsid w:val="009830FD"/>
    <w:rsid w:val="00983118"/>
    <w:rsid w:val="009832F0"/>
    <w:rsid w:val="0098334E"/>
    <w:rsid w:val="00983367"/>
    <w:rsid w:val="00983763"/>
    <w:rsid w:val="009837EF"/>
    <w:rsid w:val="00983802"/>
    <w:rsid w:val="0098388A"/>
    <w:rsid w:val="0098395A"/>
    <w:rsid w:val="00983A2D"/>
    <w:rsid w:val="00983A45"/>
    <w:rsid w:val="00983BCC"/>
    <w:rsid w:val="00983E2E"/>
    <w:rsid w:val="00983EDF"/>
    <w:rsid w:val="00984182"/>
    <w:rsid w:val="009842AD"/>
    <w:rsid w:val="009842F2"/>
    <w:rsid w:val="00984415"/>
    <w:rsid w:val="0098441C"/>
    <w:rsid w:val="009845AD"/>
    <w:rsid w:val="00984760"/>
    <w:rsid w:val="00984BA6"/>
    <w:rsid w:val="00984C2F"/>
    <w:rsid w:val="00984C41"/>
    <w:rsid w:val="00984E8A"/>
    <w:rsid w:val="0098505E"/>
    <w:rsid w:val="009853AC"/>
    <w:rsid w:val="0098552A"/>
    <w:rsid w:val="0098574C"/>
    <w:rsid w:val="009857D7"/>
    <w:rsid w:val="00985815"/>
    <w:rsid w:val="00985831"/>
    <w:rsid w:val="00985B14"/>
    <w:rsid w:val="00985B8C"/>
    <w:rsid w:val="00985C05"/>
    <w:rsid w:val="00985FBD"/>
    <w:rsid w:val="00985FFD"/>
    <w:rsid w:val="009860C7"/>
    <w:rsid w:val="00986137"/>
    <w:rsid w:val="0098637F"/>
    <w:rsid w:val="00986469"/>
    <w:rsid w:val="009864A6"/>
    <w:rsid w:val="00986790"/>
    <w:rsid w:val="0098692F"/>
    <w:rsid w:val="00986B06"/>
    <w:rsid w:val="00986BE8"/>
    <w:rsid w:val="00986BFD"/>
    <w:rsid w:val="00986C0A"/>
    <w:rsid w:val="00986CD1"/>
    <w:rsid w:val="00986CD6"/>
    <w:rsid w:val="00986D09"/>
    <w:rsid w:val="00986F6F"/>
    <w:rsid w:val="00987549"/>
    <w:rsid w:val="009875A0"/>
    <w:rsid w:val="009875DF"/>
    <w:rsid w:val="00987603"/>
    <w:rsid w:val="00987674"/>
    <w:rsid w:val="00987991"/>
    <w:rsid w:val="00987CA6"/>
    <w:rsid w:val="00987D87"/>
    <w:rsid w:val="009904E0"/>
    <w:rsid w:val="009905A0"/>
    <w:rsid w:val="009906C5"/>
    <w:rsid w:val="009906F2"/>
    <w:rsid w:val="009907EF"/>
    <w:rsid w:val="00990A27"/>
    <w:rsid w:val="00990BFA"/>
    <w:rsid w:val="00990EB4"/>
    <w:rsid w:val="00991103"/>
    <w:rsid w:val="00991295"/>
    <w:rsid w:val="0099166D"/>
    <w:rsid w:val="0099171C"/>
    <w:rsid w:val="0099189C"/>
    <w:rsid w:val="009919BB"/>
    <w:rsid w:val="00991A3D"/>
    <w:rsid w:val="00991B54"/>
    <w:rsid w:val="00991B69"/>
    <w:rsid w:val="00991BCA"/>
    <w:rsid w:val="00991BFD"/>
    <w:rsid w:val="00991C04"/>
    <w:rsid w:val="00991DF7"/>
    <w:rsid w:val="00991E49"/>
    <w:rsid w:val="00992077"/>
    <w:rsid w:val="0099223A"/>
    <w:rsid w:val="00992258"/>
    <w:rsid w:val="00992463"/>
    <w:rsid w:val="009927D0"/>
    <w:rsid w:val="009927D6"/>
    <w:rsid w:val="0099280A"/>
    <w:rsid w:val="00992983"/>
    <w:rsid w:val="00992A10"/>
    <w:rsid w:val="00992A34"/>
    <w:rsid w:val="00992B81"/>
    <w:rsid w:val="00992D41"/>
    <w:rsid w:val="00992D66"/>
    <w:rsid w:val="00992DC4"/>
    <w:rsid w:val="00992FBF"/>
    <w:rsid w:val="00993002"/>
    <w:rsid w:val="009931F3"/>
    <w:rsid w:val="0099337D"/>
    <w:rsid w:val="00993526"/>
    <w:rsid w:val="00993679"/>
    <w:rsid w:val="00993828"/>
    <w:rsid w:val="009939A6"/>
    <w:rsid w:val="009939ED"/>
    <w:rsid w:val="00993A4F"/>
    <w:rsid w:val="00994141"/>
    <w:rsid w:val="00994197"/>
    <w:rsid w:val="0099425C"/>
    <w:rsid w:val="009942DB"/>
    <w:rsid w:val="009942F5"/>
    <w:rsid w:val="0099452E"/>
    <w:rsid w:val="00994E2A"/>
    <w:rsid w:val="009952B4"/>
    <w:rsid w:val="009952D7"/>
    <w:rsid w:val="00995318"/>
    <w:rsid w:val="00995332"/>
    <w:rsid w:val="009953F6"/>
    <w:rsid w:val="009954E7"/>
    <w:rsid w:val="00995A00"/>
    <w:rsid w:val="00995BCB"/>
    <w:rsid w:val="00995D3D"/>
    <w:rsid w:val="00995E31"/>
    <w:rsid w:val="00995E81"/>
    <w:rsid w:val="00995EC2"/>
    <w:rsid w:val="0099608D"/>
    <w:rsid w:val="009960BD"/>
    <w:rsid w:val="0099623C"/>
    <w:rsid w:val="00996401"/>
    <w:rsid w:val="00996497"/>
    <w:rsid w:val="00996569"/>
    <w:rsid w:val="009966AB"/>
    <w:rsid w:val="00996735"/>
    <w:rsid w:val="009967E8"/>
    <w:rsid w:val="00996977"/>
    <w:rsid w:val="00996B2F"/>
    <w:rsid w:val="00996CAC"/>
    <w:rsid w:val="00996DDA"/>
    <w:rsid w:val="00996E13"/>
    <w:rsid w:val="009972A1"/>
    <w:rsid w:val="009973EA"/>
    <w:rsid w:val="00997466"/>
    <w:rsid w:val="00997477"/>
    <w:rsid w:val="0099754C"/>
    <w:rsid w:val="009975DB"/>
    <w:rsid w:val="00997607"/>
    <w:rsid w:val="009977A1"/>
    <w:rsid w:val="009977DA"/>
    <w:rsid w:val="009977DD"/>
    <w:rsid w:val="00997C02"/>
    <w:rsid w:val="00997D15"/>
    <w:rsid w:val="00997D26"/>
    <w:rsid w:val="00997D96"/>
    <w:rsid w:val="00997E34"/>
    <w:rsid w:val="00997FD0"/>
    <w:rsid w:val="009A0259"/>
    <w:rsid w:val="009A0425"/>
    <w:rsid w:val="009A0499"/>
    <w:rsid w:val="009A04A4"/>
    <w:rsid w:val="009A0557"/>
    <w:rsid w:val="009A056D"/>
    <w:rsid w:val="009A0822"/>
    <w:rsid w:val="009A0972"/>
    <w:rsid w:val="009A0A65"/>
    <w:rsid w:val="009A0AC4"/>
    <w:rsid w:val="009A0B5D"/>
    <w:rsid w:val="009A0B96"/>
    <w:rsid w:val="009A0EDB"/>
    <w:rsid w:val="009A120A"/>
    <w:rsid w:val="009A12DD"/>
    <w:rsid w:val="009A15D9"/>
    <w:rsid w:val="009A1767"/>
    <w:rsid w:val="009A17F1"/>
    <w:rsid w:val="009A1955"/>
    <w:rsid w:val="009A19C5"/>
    <w:rsid w:val="009A1A25"/>
    <w:rsid w:val="009A1F2E"/>
    <w:rsid w:val="009A1F9B"/>
    <w:rsid w:val="009A20BB"/>
    <w:rsid w:val="009A2419"/>
    <w:rsid w:val="009A2443"/>
    <w:rsid w:val="009A2573"/>
    <w:rsid w:val="009A2634"/>
    <w:rsid w:val="009A26C7"/>
    <w:rsid w:val="009A2A1E"/>
    <w:rsid w:val="009A2F28"/>
    <w:rsid w:val="009A30B1"/>
    <w:rsid w:val="009A3192"/>
    <w:rsid w:val="009A348B"/>
    <w:rsid w:val="009A349E"/>
    <w:rsid w:val="009A34B5"/>
    <w:rsid w:val="009A34B9"/>
    <w:rsid w:val="009A394E"/>
    <w:rsid w:val="009A3A8B"/>
    <w:rsid w:val="009A3C94"/>
    <w:rsid w:val="009A3ED6"/>
    <w:rsid w:val="009A41D3"/>
    <w:rsid w:val="009A4891"/>
    <w:rsid w:val="009A4AEB"/>
    <w:rsid w:val="009A4B34"/>
    <w:rsid w:val="009A4D64"/>
    <w:rsid w:val="009A5103"/>
    <w:rsid w:val="009A51F9"/>
    <w:rsid w:val="009A5398"/>
    <w:rsid w:val="009A5702"/>
    <w:rsid w:val="009A5866"/>
    <w:rsid w:val="009A594F"/>
    <w:rsid w:val="009A5981"/>
    <w:rsid w:val="009A5B78"/>
    <w:rsid w:val="009A5FD6"/>
    <w:rsid w:val="009A61B1"/>
    <w:rsid w:val="009A6449"/>
    <w:rsid w:val="009A6490"/>
    <w:rsid w:val="009A64C0"/>
    <w:rsid w:val="009A64EB"/>
    <w:rsid w:val="009A6521"/>
    <w:rsid w:val="009A65D8"/>
    <w:rsid w:val="009A666F"/>
    <w:rsid w:val="009A6B59"/>
    <w:rsid w:val="009A6BD2"/>
    <w:rsid w:val="009A6CB3"/>
    <w:rsid w:val="009A6E05"/>
    <w:rsid w:val="009A6F1B"/>
    <w:rsid w:val="009A7082"/>
    <w:rsid w:val="009A72B0"/>
    <w:rsid w:val="009A792F"/>
    <w:rsid w:val="009A79CA"/>
    <w:rsid w:val="009A7A52"/>
    <w:rsid w:val="009A7A55"/>
    <w:rsid w:val="009A7A6A"/>
    <w:rsid w:val="009A7A87"/>
    <w:rsid w:val="009A7AE0"/>
    <w:rsid w:val="009A7B80"/>
    <w:rsid w:val="009A7BEA"/>
    <w:rsid w:val="009A7C35"/>
    <w:rsid w:val="009A7C92"/>
    <w:rsid w:val="009A7DAC"/>
    <w:rsid w:val="009A7FF6"/>
    <w:rsid w:val="009B019B"/>
    <w:rsid w:val="009B03C1"/>
    <w:rsid w:val="009B0F8E"/>
    <w:rsid w:val="009B0FFD"/>
    <w:rsid w:val="009B1032"/>
    <w:rsid w:val="009B136F"/>
    <w:rsid w:val="009B13F1"/>
    <w:rsid w:val="009B1739"/>
    <w:rsid w:val="009B187F"/>
    <w:rsid w:val="009B19A1"/>
    <w:rsid w:val="009B1BD1"/>
    <w:rsid w:val="009B1C33"/>
    <w:rsid w:val="009B1CDE"/>
    <w:rsid w:val="009B1D5A"/>
    <w:rsid w:val="009B1D98"/>
    <w:rsid w:val="009B1E37"/>
    <w:rsid w:val="009B1FCF"/>
    <w:rsid w:val="009B21BB"/>
    <w:rsid w:val="009B22F7"/>
    <w:rsid w:val="009B2413"/>
    <w:rsid w:val="009B2421"/>
    <w:rsid w:val="009B2564"/>
    <w:rsid w:val="009B2608"/>
    <w:rsid w:val="009B2864"/>
    <w:rsid w:val="009B289D"/>
    <w:rsid w:val="009B2918"/>
    <w:rsid w:val="009B2B4E"/>
    <w:rsid w:val="009B2B50"/>
    <w:rsid w:val="009B2BCD"/>
    <w:rsid w:val="009B2CD0"/>
    <w:rsid w:val="009B2EA2"/>
    <w:rsid w:val="009B2F6F"/>
    <w:rsid w:val="009B30A4"/>
    <w:rsid w:val="009B3140"/>
    <w:rsid w:val="009B3320"/>
    <w:rsid w:val="009B3481"/>
    <w:rsid w:val="009B3544"/>
    <w:rsid w:val="009B37C7"/>
    <w:rsid w:val="009B37E1"/>
    <w:rsid w:val="009B39BB"/>
    <w:rsid w:val="009B3AA6"/>
    <w:rsid w:val="009B3B0B"/>
    <w:rsid w:val="009B3B56"/>
    <w:rsid w:val="009B3BA1"/>
    <w:rsid w:val="009B3C30"/>
    <w:rsid w:val="009B3D15"/>
    <w:rsid w:val="009B3E40"/>
    <w:rsid w:val="009B3ED6"/>
    <w:rsid w:val="009B400F"/>
    <w:rsid w:val="009B4070"/>
    <w:rsid w:val="009B426A"/>
    <w:rsid w:val="009B48DE"/>
    <w:rsid w:val="009B4913"/>
    <w:rsid w:val="009B4C91"/>
    <w:rsid w:val="009B4D69"/>
    <w:rsid w:val="009B521E"/>
    <w:rsid w:val="009B52C8"/>
    <w:rsid w:val="009B540C"/>
    <w:rsid w:val="009B54B4"/>
    <w:rsid w:val="009B5502"/>
    <w:rsid w:val="009B56D3"/>
    <w:rsid w:val="009B58F9"/>
    <w:rsid w:val="009B5982"/>
    <w:rsid w:val="009B5989"/>
    <w:rsid w:val="009B5A91"/>
    <w:rsid w:val="009B5E23"/>
    <w:rsid w:val="009B5E2C"/>
    <w:rsid w:val="009B5F4B"/>
    <w:rsid w:val="009B6052"/>
    <w:rsid w:val="009B6239"/>
    <w:rsid w:val="009B6A31"/>
    <w:rsid w:val="009B6AA4"/>
    <w:rsid w:val="009B6B4E"/>
    <w:rsid w:val="009B6ECA"/>
    <w:rsid w:val="009B732D"/>
    <w:rsid w:val="009B755D"/>
    <w:rsid w:val="009B7796"/>
    <w:rsid w:val="009B77F9"/>
    <w:rsid w:val="009B782D"/>
    <w:rsid w:val="009B798F"/>
    <w:rsid w:val="009B7E6F"/>
    <w:rsid w:val="009C0036"/>
    <w:rsid w:val="009C022B"/>
    <w:rsid w:val="009C02E0"/>
    <w:rsid w:val="009C06C3"/>
    <w:rsid w:val="009C098F"/>
    <w:rsid w:val="009C09C7"/>
    <w:rsid w:val="009C0AD3"/>
    <w:rsid w:val="009C0BF4"/>
    <w:rsid w:val="009C0C22"/>
    <w:rsid w:val="009C0E20"/>
    <w:rsid w:val="009C0F31"/>
    <w:rsid w:val="009C107E"/>
    <w:rsid w:val="009C11E7"/>
    <w:rsid w:val="009C1326"/>
    <w:rsid w:val="009C133D"/>
    <w:rsid w:val="009C133F"/>
    <w:rsid w:val="009C15A9"/>
    <w:rsid w:val="009C182B"/>
    <w:rsid w:val="009C1886"/>
    <w:rsid w:val="009C18C4"/>
    <w:rsid w:val="009C1A26"/>
    <w:rsid w:val="009C1C50"/>
    <w:rsid w:val="009C1CBC"/>
    <w:rsid w:val="009C1CFE"/>
    <w:rsid w:val="009C1DB3"/>
    <w:rsid w:val="009C1EA2"/>
    <w:rsid w:val="009C20F6"/>
    <w:rsid w:val="009C21C6"/>
    <w:rsid w:val="009C2447"/>
    <w:rsid w:val="009C24BF"/>
    <w:rsid w:val="009C2629"/>
    <w:rsid w:val="009C28AF"/>
    <w:rsid w:val="009C28BA"/>
    <w:rsid w:val="009C28C3"/>
    <w:rsid w:val="009C2A3C"/>
    <w:rsid w:val="009C2BF3"/>
    <w:rsid w:val="009C2F8D"/>
    <w:rsid w:val="009C30D5"/>
    <w:rsid w:val="009C3715"/>
    <w:rsid w:val="009C3F31"/>
    <w:rsid w:val="009C3FC7"/>
    <w:rsid w:val="009C3FF7"/>
    <w:rsid w:val="009C4551"/>
    <w:rsid w:val="009C49B3"/>
    <w:rsid w:val="009C4A01"/>
    <w:rsid w:val="009C4A8C"/>
    <w:rsid w:val="009C4AD8"/>
    <w:rsid w:val="009C4C13"/>
    <w:rsid w:val="009C4E0C"/>
    <w:rsid w:val="009C4EEC"/>
    <w:rsid w:val="009C4F7E"/>
    <w:rsid w:val="009C52F8"/>
    <w:rsid w:val="009C535A"/>
    <w:rsid w:val="009C5448"/>
    <w:rsid w:val="009C54B4"/>
    <w:rsid w:val="009C550A"/>
    <w:rsid w:val="009C5561"/>
    <w:rsid w:val="009C5765"/>
    <w:rsid w:val="009C5E2B"/>
    <w:rsid w:val="009C5EEC"/>
    <w:rsid w:val="009C5F1C"/>
    <w:rsid w:val="009C603E"/>
    <w:rsid w:val="009C645B"/>
    <w:rsid w:val="009C65BD"/>
    <w:rsid w:val="009C65E4"/>
    <w:rsid w:val="009C6975"/>
    <w:rsid w:val="009C6B75"/>
    <w:rsid w:val="009C7030"/>
    <w:rsid w:val="009C7080"/>
    <w:rsid w:val="009C7129"/>
    <w:rsid w:val="009C7430"/>
    <w:rsid w:val="009C74EF"/>
    <w:rsid w:val="009C779C"/>
    <w:rsid w:val="009C78B7"/>
    <w:rsid w:val="009C7916"/>
    <w:rsid w:val="009C7A7D"/>
    <w:rsid w:val="009C7AD9"/>
    <w:rsid w:val="009C7B71"/>
    <w:rsid w:val="009C7DE3"/>
    <w:rsid w:val="009C7F66"/>
    <w:rsid w:val="009C7F92"/>
    <w:rsid w:val="009D0099"/>
    <w:rsid w:val="009D03BA"/>
    <w:rsid w:val="009D04D5"/>
    <w:rsid w:val="009D0731"/>
    <w:rsid w:val="009D07AE"/>
    <w:rsid w:val="009D07BD"/>
    <w:rsid w:val="009D09CF"/>
    <w:rsid w:val="009D09FE"/>
    <w:rsid w:val="009D0A43"/>
    <w:rsid w:val="009D0EAA"/>
    <w:rsid w:val="009D0F40"/>
    <w:rsid w:val="009D12FD"/>
    <w:rsid w:val="009D1346"/>
    <w:rsid w:val="009D13DF"/>
    <w:rsid w:val="009D14EA"/>
    <w:rsid w:val="009D1503"/>
    <w:rsid w:val="009D15C5"/>
    <w:rsid w:val="009D1788"/>
    <w:rsid w:val="009D18BA"/>
    <w:rsid w:val="009D197E"/>
    <w:rsid w:val="009D19A8"/>
    <w:rsid w:val="009D1C71"/>
    <w:rsid w:val="009D1DDC"/>
    <w:rsid w:val="009D1EE5"/>
    <w:rsid w:val="009D22E0"/>
    <w:rsid w:val="009D22EC"/>
    <w:rsid w:val="009D22FB"/>
    <w:rsid w:val="009D2398"/>
    <w:rsid w:val="009D249A"/>
    <w:rsid w:val="009D2848"/>
    <w:rsid w:val="009D2887"/>
    <w:rsid w:val="009D289C"/>
    <w:rsid w:val="009D2948"/>
    <w:rsid w:val="009D2ABA"/>
    <w:rsid w:val="009D2BAD"/>
    <w:rsid w:val="009D2EE6"/>
    <w:rsid w:val="009D2FED"/>
    <w:rsid w:val="009D33BD"/>
    <w:rsid w:val="009D35F9"/>
    <w:rsid w:val="009D36DB"/>
    <w:rsid w:val="009D39A0"/>
    <w:rsid w:val="009D3A51"/>
    <w:rsid w:val="009D3D87"/>
    <w:rsid w:val="009D3DCB"/>
    <w:rsid w:val="009D3F6F"/>
    <w:rsid w:val="009D42A3"/>
    <w:rsid w:val="009D463F"/>
    <w:rsid w:val="009D490B"/>
    <w:rsid w:val="009D4A90"/>
    <w:rsid w:val="009D4B77"/>
    <w:rsid w:val="009D4BBA"/>
    <w:rsid w:val="009D4D53"/>
    <w:rsid w:val="009D5257"/>
    <w:rsid w:val="009D5304"/>
    <w:rsid w:val="009D55F8"/>
    <w:rsid w:val="009D561F"/>
    <w:rsid w:val="009D5646"/>
    <w:rsid w:val="009D5957"/>
    <w:rsid w:val="009D59B8"/>
    <w:rsid w:val="009D5B81"/>
    <w:rsid w:val="009D5E00"/>
    <w:rsid w:val="009D5EE5"/>
    <w:rsid w:val="009D618E"/>
    <w:rsid w:val="009D61B7"/>
    <w:rsid w:val="009D6327"/>
    <w:rsid w:val="009D6494"/>
    <w:rsid w:val="009D66C5"/>
    <w:rsid w:val="009D682B"/>
    <w:rsid w:val="009D68A4"/>
    <w:rsid w:val="009D68B7"/>
    <w:rsid w:val="009D6A60"/>
    <w:rsid w:val="009D6C68"/>
    <w:rsid w:val="009D6DBA"/>
    <w:rsid w:val="009D7307"/>
    <w:rsid w:val="009D73ED"/>
    <w:rsid w:val="009D759F"/>
    <w:rsid w:val="009D77BC"/>
    <w:rsid w:val="009D7916"/>
    <w:rsid w:val="009D7D7C"/>
    <w:rsid w:val="009D7E58"/>
    <w:rsid w:val="009D7F31"/>
    <w:rsid w:val="009D7F38"/>
    <w:rsid w:val="009D7F74"/>
    <w:rsid w:val="009D7FB4"/>
    <w:rsid w:val="009E0716"/>
    <w:rsid w:val="009E091D"/>
    <w:rsid w:val="009E0AD8"/>
    <w:rsid w:val="009E0B3D"/>
    <w:rsid w:val="009E0B5E"/>
    <w:rsid w:val="009E0B7B"/>
    <w:rsid w:val="009E127A"/>
    <w:rsid w:val="009E138C"/>
    <w:rsid w:val="009E140D"/>
    <w:rsid w:val="009E19AF"/>
    <w:rsid w:val="009E1C43"/>
    <w:rsid w:val="009E1C46"/>
    <w:rsid w:val="009E1F04"/>
    <w:rsid w:val="009E210E"/>
    <w:rsid w:val="009E228A"/>
    <w:rsid w:val="009E22D3"/>
    <w:rsid w:val="009E22F2"/>
    <w:rsid w:val="009E235F"/>
    <w:rsid w:val="009E2433"/>
    <w:rsid w:val="009E2700"/>
    <w:rsid w:val="009E28C9"/>
    <w:rsid w:val="009E295B"/>
    <w:rsid w:val="009E2A13"/>
    <w:rsid w:val="009E2A44"/>
    <w:rsid w:val="009E2DA8"/>
    <w:rsid w:val="009E2DE6"/>
    <w:rsid w:val="009E2F3E"/>
    <w:rsid w:val="009E30E7"/>
    <w:rsid w:val="009E30FB"/>
    <w:rsid w:val="009E3456"/>
    <w:rsid w:val="009E3661"/>
    <w:rsid w:val="009E374D"/>
    <w:rsid w:val="009E3A3B"/>
    <w:rsid w:val="009E3C2F"/>
    <w:rsid w:val="009E3D37"/>
    <w:rsid w:val="009E3FD9"/>
    <w:rsid w:val="009E4417"/>
    <w:rsid w:val="009E48DF"/>
    <w:rsid w:val="009E491F"/>
    <w:rsid w:val="009E4B52"/>
    <w:rsid w:val="009E4D2D"/>
    <w:rsid w:val="009E4E99"/>
    <w:rsid w:val="009E5047"/>
    <w:rsid w:val="009E5164"/>
    <w:rsid w:val="009E52E9"/>
    <w:rsid w:val="009E584E"/>
    <w:rsid w:val="009E5B51"/>
    <w:rsid w:val="009E5D88"/>
    <w:rsid w:val="009E623D"/>
    <w:rsid w:val="009E6293"/>
    <w:rsid w:val="009E656B"/>
    <w:rsid w:val="009E6597"/>
    <w:rsid w:val="009E6ACF"/>
    <w:rsid w:val="009E6BA5"/>
    <w:rsid w:val="009E6D74"/>
    <w:rsid w:val="009E73A0"/>
    <w:rsid w:val="009E7430"/>
    <w:rsid w:val="009E743F"/>
    <w:rsid w:val="009E773D"/>
    <w:rsid w:val="009E7778"/>
    <w:rsid w:val="009E779D"/>
    <w:rsid w:val="009E7860"/>
    <w:rsid w:val="009E7907"/>
    <w:rsid w:val="009E7A63"/>
    <w:rsid w:val="009E7BB6"/>
    <w:rsid w:val="009E7C4F"/>
    <w:rsid w:val="009E7CC9"/>
    <w:rsid w:val="009E7DB9"/>
    <w:rsid w:val="009F00E1"/>
    <w:rsid w:val="009F018F"/>
    <w:rsid w:val="009F02BE"/>
    <w:rsid w:val="009F046D"/>
    <w:rsid w:val="009F04E5"/>
    <w:rsid w:val="009F058D"/>
    <w:rsid w:val="009F077B"/>
    <w:rsid w:val="009F08ED"/>
    <w:rsid w:val="009F0A71"/>
    <w:rsid w:val="009F0CB1"/>
    <w:rsid w:val="009F0D90"/>
    <w:rsid w:val="009F1053"/>
    <w:rsid w:val="009F1060"/>
    <w:rsid w:val="009F10B2"/>
    <w:rsid w:val="009F115D"/>
    <w:rsid w:val="009F1281"/>
    <w:rsid w:val="009F15C6"/>
    <w:rsid w:val="009F15DB"/>
    <w:rsid w:val="009F16EC"/>
    <w:rsid w:val="009F1840"/>
    <w:rsid w:val="009F1853"/>
    <w:rsid w:val="009F19B2"/>
    <w:rsid w:val="009F19D8"/>
    <w:rsid w:val="009F1EF3"/>
    <w:rsid w:val="009F1F68"/>
    <w:rsid w:val="009F2021"/>
    <w:rsid w:val="009F2527"/>
    <w:rsid w:val="009F2543"/>
    <w:rsid w:val="009F260F"/>
    <w:rsid w:val="009F269B"/>
    <w:rsid w:val="009F280F"/>
    <w:rsid w:val="009F28A4"/>
    <w:rsid w:val="009F2938"/>
    <w:rsid w:val="009F3009"/>
    <w:rsid w:val="009F30AC"/>
    <w:rsid w:val="009F342C"/>
    <w:rsid w:val="009F3695"/>
    <w:rsid w:val="009F3831"/>
    <w:rsid w:val="009F3A42"/>
    <w:rsid w:val="009F3AA3"/>
    <w:rsid w:val="009F3B92"/>
    <w:rsid w:val="009F3B9D"/>
    <w:rsid w:val="009F3BF8"/>
    <w:rsid w:val="009F3C18"/>
    <w:rsid w:val="009F3FA9"/>
    <w:rsid w:val="009F4118"/>
    <w:rsid w:val="009F4342"/>
    <w:rsid w:val="009F4611"/>
    <w:rsid w:val="009F4A71"/>
    <w:rsid w:val="009F4AAD"/>
    <w:rsid w:val="009F4D77"/>
    <w:rsid w:val="009F4D8D"/>
    <w:rsid w:val="009F4E25"/>
    <w:rsid w:val="009F4F31"/>
    <w:rsid w:val="009F5027"/>
    <w:rsid w:val="009F52F0"/>
    <w:rsid w:val="009F5310"/>
    <w:rsid w:val="009F551E"/>
    <w:rsid w:val="009F5545"/>
    <w:rsid w:val="009F5B62"/>
    <w:rsid w:val="009F5D24"/>
    <w:rsid w:val="009F5DB6"/>
    <w:rsid w:val="009F5E7E"/>
    <w:rsid w:val="009F5EA2"/>
    <w:rsid w:val="009F5F44"/>
    <w:rsid w:val="009F6004"/>
    <w:rsid w:val="009F604E"/>
    <w:rsid w:val="009F640A"/>
    <w:rsid w:val="009F67DA"/>
    <w:rsid w:val="009F689B"/>
    <w:rsid w:val="009F6C4E"/>
    <w:rsid w:val="009F6D5D"/>
    <w:rsid w:val="009F6D7D"/>
    <w:rsid w:val="009F6EE8"/>
    <w:rsid w:val="009F6F2D"/>
    <w:rsid w:val="009F7273"/>
    <w:rsid w:val="009F74B0"/>
    <w:rsid w:val="009F7624"/>
    <w:rsid w:val="009F7788"/>
    <w:rsid w:val="009F77AF"/>
    <w:rsid w:val="009F7892"/>
    <w:rsid w:val="009F7B21"/>
    <w:rsid w:val="009F7BC6"/>
    <w:rsid w:val="009F7D8F"/>
    <w:rsid w:val="009F7DB2"/>
    <w:rsid w:val="009F7DC2"/>
    <w:rsid w:val="009F7F1D"/>
    <w:rsid w:val="00A00161"/>
    <w:rsid w:val="00A00496"/>
    <w:rsid w:val="00A00624"/>
    <w:rsid w:val="00A006FF"/>
    <w:rsid w:val="00A007F2"/>
    <w:rsid w:val="00A00B40"/>
    <w:rsid w:val="00A00D8C"/>
    <w:rsid w:val="00A00D98"/>
    <w:rsid w:val="00A01053"/>
    <w:rsid w:val="00A0135A"/>
    <w:rsid w:val="00A014D7"/>
    <w:rsid w:val="00A019BB"/>
    <w:rsid w:val="00A01A92"/>
    <w:rsid w:val="00A01B29"/>
    <w:rsid w:val="00A01E37"/>
    <w:rsid w:val="00A01F86"/>
    <w:rsid w:val="00A01F89"/>
    <w:rsid w:val="00A021F0"/>
    <w:rsid w:val="00A02218"/>
    <w:rsid w:val="00A02316"/>
    <w:rsid w:val="00A023B8"/>
    <w:rsid w:val="00A023C4"/>
    <w:rsid w:val="00A024AD"/>
    <w:rsid w:val="00A02532"/>
    <w:rsid w:val="00A027D9"/>
    <w:rsid w:val="00A02A27"/>
    <w:rsid w:val="00A02EE4"/>
    <w:rsid w:val="00A03175"/>
    <w:rsid w:val="00A033F6"/>
    <w:rsid w:val="00A0352F"/>
    <w:rsid w:val="00A03624"/>
    <w:rsid w:val="00A03648"/>
    <w:rsid w:val="00A038F6"/>
    <w:rsid w:val="00A03B48"/>
    <w:rsid w:val="00A03D83"/>
    <w:rsid w:val="00A03F03"/>
    <w:rsid w:val="00A041D7"/>
    <w:rsid w:val="00A04346"/>
    <w:rsid w:val="00A04396"/>
    <w:rsid w:val="00A0469B"/>
    <w:rsid w:val="00A047CC"/>
    <w:rsid w:val="00A04813"/>
    <w:rsid w:val="00A04A52"/>
    <w:rsid w:val="00A05071"/>
    <w:rsid w:val="00A05115"/>
    <w:rsid w:val="00A05401"/>
    <w:rsid w:val="00A0560B"/>
    <w:rsid w:val="00A05761"/>
    <w:rsid w:val="00A058A9"/>
    <w:rsid w:val="00A058FC"/>
    <w:rsid w:val="00A05A6D"/>
    <w:rsid w:val="00A0649D"/>
    <w:rsid w:val="00A0656B"/>
    <w:rsid w:val="00A06776"/>
    <w:rsid w:val="00A06D31"/>
    <w:rsid w:val="00A06F31"/>
    <w:rsid w:val="00A06F60"/>
    <w:rsid w:val="00A071AB"/>
    <w:rsid w:val="00A0722C"/>
    <w:rsid w:val="00A07253"/>
    <w:rsid w:val="00A074CB"/>
    <w:rsid w:val="00A0779F"/>
    <w:rsid w:val="00A07D36"/>
    <w:rsid w:val="00A10221"/>
    <w:rsid w:val="00A10340"/>
    <w:rsid w:val="00A10431"/>
    <w:rsid w:val="00A10532"/>
    <w:rsid w:val="00A10680"/>
    <w:rsid w:val="00A1077B"/>
    <w:rsid w:val="00A11077"/>
    <w:rsid w:val="00A11251"/>
    <w:rsid w:val="00A114EF"/>
    <w:rsid w:val="00A117A6"/>
    <w:rsid w:val="00A117D2"/>
    <w:rsid w:val="00A11826"/>
    <w:rsid w:val="00A1190F"/>
    <w:rsid w:val="00A11920"/>
    <w:rsid w:val="00A11D1D"/>
    <w:rsid w:val="00A11E02"/>
    <w:rsid w:val="00A11F01"/>
    <w:rsid w:val="00A12257"/>
    <w:rsid w:val="00A123D2"/>
    <w:rsid w:val="00A1244B"/>
    <w:rsid w:val="00A1248C"/>
    <w:rsid w:val="00A12BB3"/>
    <w:rsid w:val="00A12E4F"/>
    <w:rsid w:val="00A13057"/>
    <w:rsid w:val="00A13165"/>
    <w:rsid w:val="00A13229"/>
    <w:rsid w:val="00A133AC"/>
    <w:rsid w:val="00A13406"/>
    <w:rsid w:val="00A137B3"/>
    <w:rsid w:val="00A1380F"/>
    <w:rsid w:val="00A13955"/>
    <w:rsid w:val="00A1398B"/>
    <w:rsid w:val="00A139AE"/>
    <w:rsid w:val="00A13A7B"/>
    <w:rsid w:val="00A13A85"/>
    <w:rsid w:val="00A13B1D"/>
    <w:rsid w:val="00A13B5B"/>
    <w:rsid w:val="00A13BBF"/>
    <w:rsid w:val="00A13CE0"/>
    <w:rsid w:val="00A13DE6"/>
    <w:rsid w:val="00A13E01"/>
    <w:rsid w:val="00A142C9"/>
    <w:rsid w:val="00A1449F"/>
    <w:rsid w:val="00A14550"/>
    <w:rsid w:val="00A1461B"/>
    <w:rsid w:val="00A14689"/>
    <w:rsid w:val="00A148E1"/>
    <w:rsid w:val="00A148E5"/>
    <w:rsid w:val="00A14956"/>
    <w:rsid w:val="00A14A5F"/>
    <w:rsid w:val="00A14BB6"/>
    <w:rsid w:val="00A14F4D"/>
    <w:rsid w:val="00A1512B"/>
    <w:rsid w:val="00A1513F"/>
    <w:rsid w:val="00A1516F"/>
    <w:rsid w:val="00A15259"/>
    <w:rsid w:val="00A152ED"/>
    <w:rsid w:val="00A1552E"/>
    <w:rsid w:val="00A15697"/>
    <w:rsid w:val="00A156AB"/>
    <w:rsid w:val="00A15A79"/>
    <w:rsid w:val="00A15BB6"/>
    <w:rsid w:val="00A15C1D"/>
    <w:rsid w:val="00A15C59"/>
    <w:rsid w:val="00A15D18"/>
    <w:rsid w:val="00A15D6C"/>
    <w:rsid w:val="00A16009"/>
    <w:rsid w:val="00A1667A"/>
    <w:rsid w:val="00A16964"/>
    <w:rsid w:val="00A16AEA"/>
    <w:rsid w:val="00A17109"/>
    <w:rsid w:val="00A171E9"/>
    <w:rsid w:val="00A1774F"/>
    <w:rsid w:val="00A177C6"/>
    <w:rsid w:val="00A1795D"/>
    <w:rsid w:val="00A179DD"/>
    <w:rsid w:val="00A17CFB"/>
    <w:rsid w:val="00A17E2C"/>
    <w:rsid w:val="00A17F6C"/>
    <w:rsid w:val="00A204CC"/>
    <w:rsid w:val="00A206FE"/>
    <w:rsid w:val="00A20742"/>
    <w:rsid w:val="00A207DD"/>
    <w:rsid w:val="00A20852"/>
    <w:rsid w:val="00A20A30"/>
    <w:rsid w:val="00A20A80"/>
    <w:rsid w:val="00A20AAC"/>
    <w:rsid w:val="00A20B3C"/>
    <w:rsid w:val="00A210A3"/>
    <w:rsid w:val="00A21505"/>
    <w:rsid w:val="00A217E5"/>
    <w:rsid w:val="00A21B23"/>
    <w:rsid w:val="00A21D66"/>
    <w:rsid w:val="00A21F40"/>
    <w:rsid w:val="00A220DE"/>
    <w:rsid w:val="00A222C6"/>
    <w:rsid w:val="00A22339"/>
    <w:rsid w:val="00A2245E"/>
    <w:rsid w:val="00A2264A"/>
    <w:rsid w:val="00A22742"/>
    <w:rsid w:val="00A22B1D"/>
    <w:rsid w:val="00A22DFF"/>
    <w:rsid w:val="00A2314D"/>
    <w:rsid w:val="00A232A6"/>
    <w:rsid w:val="00A233FB"/>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D5"/>
    <w:rsid w:val="00A24707"/>
    <w:rsid w:val="00A247D4"/>
    <w:rsid w:val="00A24ADD"/>
    <w:rsid w:val="00A24B46"/>
    <w:rsid w:val="00A24C28"/>
    <w:rsid w:val="00A24CB7"/>
    <w:rsid w:val="00A24DD6"/>
    <w:rsid w:val="00A24FFF"/>
    <w:rsid w:val="00A253F2"/>
    <w:rsid w:val="00A25422"/>
    <w:rsid w:val="00A25439"/>
    <w:rsid w:val="00A2554A"/>
    <w:rsid w:val="00A255B9"/>
    <w:rsid w:val="00A257A4"/>
    <w:rsid w:val="00A257BE"/>
    <w:rsid w:val="00A259FF"/>
    <w:rsid w:val="00A25BA2"/>
    <w:rsid w:val="00A25DDF"/>
    <w:rsid w:val="00A26096"/>
    <w:rsid w:val="00A261D8"/>
    <w:rsid w:val="00A2641C"/>
    <w:rsid w:val="00A26507"/>
    <w:rsid w:val="00A265DB"/>
    <w:rsid w:val="00A26789"/>
    <w:rsid w:val="00A267C7"/>
    <w:rsid w:val="00A2696F"/>
    <w:rsid w:val="00A26B7E"/>
    <w:rsid w:val="00A26FCA"/>
    <w:rsid w:val="00A27619"/>
    <w:rsid w:val="00A27889"/>
    <w:rsid w:val="00A3020A"/>
    <w:rsid w:val="00A305E3"/>
    <w:rsid w:val="00A3061A"/>
    <w:rsid w:val="00A30762"/>
    <w:rsid w:val="00A308B8"/>
    <w:rsid w:val="00A30BA0"/>
    <w:rsid w:val="00A30BBC"/>
    <w:rsid w:val="00A30D04"/>
    <w:rsid w:val="00A30FBD"/>
    <w:rsid w:val="00A31026"/>
    <w:rsid w:val="00A310B0"/>
    <w:rsid w:val="00A31204"/>
    <w:rsid w:val="00A312A3"/>
    <w:rsid w:val="00A3178B"/>
    <w:rsid w:val="00A317DE"/>
    <w:rsid w:val="00A318F0"/>
    <w:rsid w:val="00A319A0"/>
    <w:rsid w:val="00A31B71"/>
    <w:rsid w:val="00A31F14"/>
    <w:rsid w:val="00A31F54"/>
    <w:rsid w:val="00A32066"/>
    <w:rsid w:val="00A3221B"/>
    <w:rsid w:val="00A32273"/>
    <w:rsid w:val="00A32402"/>
    <w:rsid w:val="00A32491"/>
    <w:rsid w:val="00A325B7"/>
    <w:rsid w:val="00A325DC"/>
    <w:rsid w:val="00A325F6"/>
    <w:rsid w:val="00A32892"/>
    <w:rsid w:val="00A328DC"/>
    <w:rsid w:val="00A32A30"/>
    <w:rsid w:val="00A32C00"/>
    <w:rsid w:val="00A32C25"/>
    <w:rsid w:val="00A32DB4"/>
    <w:rsid w:val="00A3329B"/>
    <w:rsid w:val="00A33302"/>
    <w:rsid w:val="00A33401"/>
    <w:rsid w:val="00A334E9"/>
    <w:rsid w:val="00A33668"/>
    <w:rsid w:val="00A337B1"/>
    <w:rsid w:val="00A3380B"/>
    <w:rsid w:val="00A33C4B"/>
    <w:rsid w:val="00A33CE5"/>
    <w:rsid w:val="00A33DB0"/>
    <w:rsid w:val="00A33E08"/>
    <w:rsid w:val="00A33FCA"/>
    <w:rsid w:val="00A33FFB"/>
    <w:rsid w:val="00A34329"/>
    <w:rsid w:val="00A343A7"/>
    <w:rsid w:val="00A34438"/>
    <w:rsid w:val="00A34504"/>
    <w:rsid w:val="00A34708"/>
    <w:rsid w:val="00A347A9"/>
    <w:rsid w:val="00A34A0E"/>
    <w:rsid w:val="00A34A75"/>
    <w:rsid w:val="00A34BA0"/>
    <w:rsid w:val="00A34BAF"/>
    <w:rsid w:val="00A34D01"/>
    <w:rsid w:val="00A34E5C"/>
    <w:rsid w:val="00A35005"/>
    <w:rsid w:val="00A350E9"/>
    <w:rsid w:val="00A35383"/>
    <w:rsid w:val="00A3559E"/>
    <w:rsid w:val="00A356E2"/>
    <w:rsid w:val="00A3579E"/>
    <w:rsid w:val="00A3583D"/>
    <w:rsid w:val="00A35890"/>
    <w:rsid w:val="00A359D4"/>
    <w:rsid w:val="00A35C13"/>
    <w:rsid w:val="00A35DCF"/>
    <w:rsid w:val="00A35FBA"/>
    <w:rsid w:val="00A36158"/>
    <w:rsid w:val="00A3629B"/>
    <w:rsid w:val="00A3660D"/>
    <w:rsid w:val="00A36619"/>
    <w:rsid w:val="00A367B1"/>
    <w:rsid w:val="00A36820"/>
    <w:rsid w:val="00A368AB"/>
    <w:rsid w:val="00A36946"/>
    <w:rsid w:val="00A3695A"/>
    <w:rsid w:val="00A36A35"/>
    <w:rsid w:val="00A36AF2"/>
    <w:rsid w:val="00A36B70"/>
    <w:rsid w:val="00A3734A"/>
    <w:rsid w:val="00A3734E"/>
    <w:rsid w:val="00A376F9"/>
    <w:rsid w:val="00A3780F"/>
    <w:rsid w:val="00A3793B"/>
    <w:rsid w:val="00A3797D"/>
    <w:rsid w:val="00A37A8E"/>
    <w:rsid w:val="00A37C6F"/>
    <w:rsid w:val="00A37DA4"/>
    <w:rsid w:val="00A37E36"/>
    <w:rsid w:val="00A40138"/>
    <w:rsid w:val="00A40144"/>
    <w:rsid w:val="00A40188"/>
    <w:rsid w:val="00A404CF"/>
    <w:rsid w:val="00A40540"/>
    <w:rsid w:val="00A40615"/>
    <w:rsid w:val="00A406AC"/>
    <w:rsid w:val="00A408F0"/>
    <w:rsid w:val="00A40A4A"/>
    <w:rsid w:val="00A40A76"/>
    <w:rsid w:val="00A40BAD"/>
    <w:rsid w:val="00A40D76"/>
    <w:rsid w:val="00A40DE3"/>
    <w:rsid w:val="00A40F35"/>
    <w:rsid w:val="00A411EF"/>
    <w:rsid w:val="00A41527"/>
    <w:rsid w:val="00A41A80"/>
    <w:rsid w:val="00A41B88"/>
    <w:rsid w:val="00A41C17"/>
    <w:rsid w:val="00A41C30"/>
    <w:rsid w:val="00A41D11"/>
    <w:rsid w:val="00A41E48"/>
    <w:rsid w:val="00A4201E"/>
    <w:rsid w:val="00A42097"/>
    <w:rsid w:val="00A420D4"/>
    <w:rsid w:val="00A423AA"/>
    <w:rsid w:val="00A425AD"/>
    <w:rsid w:val="00A42905"/>
    <w:rsid w:val="00A42B5C"/>
    <w:rsid w:val="00A42D47"/>
    <w:rsid w:val="00A42DDC"/>
    <w:rsid w:val="00A42FB2"/>
    <w:rsid w:val="00A43070"/>
    <w:rsid w:val="00A4324F"/>
    <w:rsid w:val="00A43400"/>
    <w:rsid w:val="00A4368A"/>
    <w:rsid w:val="00A43698"/>
    <w:rsid w:val="00A43726"/>
    <w:rsid w:val="00A43858"/>
    <w:rsid w:val="00A43B94"/>
    <w:rsid w:val="00A43C4D"/>
    <w:rsid w:val="00A43D49"/>
    <w:rsid w:val="00A43DF9"/>
    <w:rsid w:val="00A43E02"/>
    <w:rsid w:val="00A43FD3"/>
    <w:rsid w:val="00A4400D"/>
    <w:rsid w:val="00A440DD"/>
    <w:rsid w:val="00A4415A"/>
    <w:rsid w:val="00A44177"/>
    <w:rsid w:val="00A441CA"/>
    <w:rsid w:val="00A445C5"/>
    <w:rsid w:val="00A4460A"/>
    <w:rsid w:val="00A446AA"/>
    <w:rsid w:val="00A4474F"/>
    <w:rsid w:val="00A447D0"/>
    <w:rsid w:val="00A44832"/>
    <w:rsid w:val="00A44898"/>
    <w:rsid w:val="00A44BC9"/>
    <w:rsid w:val="00A44C39"/>
    <w:rsid w:val="00A44C72"/>
    <w:rsid w:val="00A44EFD"/>
    <w:rsid w:val="00A44FC5"/>
    <w:rsid w:val="00A45279"/>
    <w:rsid w:val="00A45858"/>
    <w:rsid w:val="00A45918"/>
    <w:rsid w:val="00A45A75"/>
    <w:rsid w:val="00A45C61"/>
    <w:rsid w:val="00A45CDF"/>
    <w:rsid w:val="00A45DAA"/>
    <w:rsid w:val="00A45FC5"/>
    <w:rsid w:val="00A4601A"/>
    <w:rsid w:val="00A46103"/>
    <w:rsid w:val="00A46307"/>
    <w:rsid w:val="00A46560"/>
    <w:rsid w:val="00A465D7"/>
    <w:rsid w:val="00A46731"/>
    <w:rsid w:val="00A46971"/>
    <w:rsid w:val="00A46DE6"/>
    <w:rsid w:val="00A46F7A"/>
    <w:rsid w:val="00A470FE"/>
    <w:rsid w:val="00A474CE"/>
    <w:rsid w:val="00A4777A"/>
    <w:rsid w:val="00A477B1"/>
    <w:rsid w:val="00A47838"/>
    <w:rsid w:val="00A4783D"/>
    <w:rsid w:val="00A479C6"/>
    <w:rsid w:val="00A47D9D"/>
    <w:rsid w:val="00A50044"/>
    <w:rsid w:val="00A50074"/>
    <w:rsid w:val="00A50185"/>
    <w:rsid w:val="00A50350"/>
    <w:rsid w:val="00A50485"/>
    <w:rsid w:val="00A5053C"/>
    <w:rsid w:val="00A506A7"/>
    <w:rsid w:val="00A506C2"/>
    <w:rsid w:val="00A508F3"/>
    <w:rsid w:val="00A509B9"/>
    <w:rsid w:val="00A50AEF"/>
    <w:rsid w:val="00A50B14"/>
    <w:rsid w:val="00A50F9D"/>
    <w:rsid w:val="00A510F2"/>
    <w:rsid w:val="00A510F6"/>
    <w:rsid w:val="00A511D0"/>
    <w:rsid w:val="00A5122D"/>
    <w:rsid w:val="00A514C7"/>
    <w:rsid w:val="00A5157A"/>
    <w:rsid w:val="00A5158C"/>
    <w:rsid w:val="00A515BF"/>
    <w:rsid w:val="00A515D8"/>
    <w:rsid w:val="00A51698"/>
    <w:rsid w:val="00A516ED"/>
    <w:rsid w:val="00A5177F"/>
    <w:rsid w:val="00A51F54"/>
    <w:rsid w:val="00A5225D"/>
    <w:rsid w:val="00A522A9"/>
    <w:rsid w:val="00A522CE"/>
    <w:rsid w:val="00A52321"/>
    <w:rsid w:val="00A5236A"/>
    <w:rsid w:val="00A5255A"/>
    <w:rsid w:val="00A5257A"/>
    <w:rsid w:val="00A525A9"/>
    <w:rsid w:val="00A52771"/>
    <w:rsid w:val="00A5293C"/>
    <w:rsid w:val="00A52ABD"/>
    <w:rsid w:val="00A52CD4"/>
    <w:rsid w:val="00A52D4B"/>
    <w:rsid w:val="00A52DDA"/>
    <w:rsid w:val="00A52E89"/>
    <w:rsid w:val="00A52EC3"/>
    <w:rsid w:val="00A52FDC"/>
    <w:rsid w:val="00A531E4"/>
    <w:rsid w:val="00A53278"/>
    <w:rsid w:val="00A534FA"/>
    <w:rsid w:val="00A5359D"/>
    <w:rsid w:val="00A535EC"/>
    <w:rsid w:val="00A53676"/>
    <w:rsid w:val="00A5368A"/>
    <w:rsid w:val="00A536E0"/>
    <w:rsid w:val="00A53703"/>
    <w:rsid w:val="00A53897"/>
    <w:rsid w:val="00A53952"/>
    <w:rsid w:val="00A53CC3"/>
    <w:rsid w:val="00A53D6F"/>
    <w:rsid w:val="00A54174"/>
    <w:rsid w:val="00A544A6"/>
    <w:rsid w:val="00A5474A"/>
    <w:rsid w:val="00A54758"/>
    <w:rsid w:val="00A54840"/>
    <w:rsid w:val="00A549F9"/>
    <w:rsid w:val="00A54B29"/>
    <w:rsid w:val="00A54E48"/>
    <w:rsid w:val="00A55017"/>
    <w:rsid w:val="00A5510E"/>
    <w:rsid w:val="00A55164"/>
    <w:rsid w:val="00A55343"/>
    <w:rsid w:val="00A555C6"/>
    <w:rsid w:val="00A5569B"/>
    <w:rsid w:val="00A55C71"/>
    <w:rsid w:val="00A55DF5"/>
    <w:rsid w:val="00A55F41"/>
    <w:rsid w:val="00A55F43"/>
    <w:rsid w:val="00A561AA"/>
    <w:rsid w:val="00A56252"/>
    <w:rsid w:val="00A56386"/>
    <w:rsid w:val="00A56402"/>
    <w:rsid w:val="00A564EE"/>
    <w:rsid w:val="00A56944"/>
    <w:rsid w:val="00A56AA1"/>
    <w:rsid w:val="00A56CC8"/>
    <w:rsid w:val="00A56CE3"/>
    <w:rsid w:val="00A56F1F"/>
    <w:rsid w:val="00A57071"/>
    <w:rsid w:val="00A5708C"/>
    <w:rsid w:val="00A57096"/>
    <w:rsid w:val="00A57175"/>
    <w:rsid w:val="00A57275"/>
    <w:rsid w:val="00A5728B"/>
    <w:rsid w:val="00A57561"/>
    <w:rsid w:val="00A57703"/>
    <w:rsid w:val="00A577A3"/>
    <w:rsid w:val="00A57DE3"/>
    <w:rsid w:val="00A57F22"/>
    <w:rsid w:val="00A60504"/>
    <w:rsid w:val="00A60BA5"/>
    <w:rsid w:val="00A61047"/>
    <w:rsid w:val="00A61183"/>
    <w:rsid w:val="00A611FE"/>
    <w:rsid w:val="00A6144F"/>
    <w:rsid w:val="00A614A6"/>
    <w:rsid w:val="00A614DA"/>
    <w:rsid w:val="00A61539"/>
    <w:rsid w:val="00A6168D"/>
    <w:rsid w:val="00A61769"/>
    <w:rsid w:val="00A61882"/>
    <w:rsid w:val="00A619E7"/>
    <w:rsid w:val="00A61A14"/>
    <w:rsid w:val="00A61E46"/>
    <w:rsid w:val="00A61EB4"/>
    <w:rsid w:val="00A620B6"/>
    <w:rsid w:val="00A620DF"/>
    <w:rsid w:val="00A625E2"/>
    <w:rsid w:val="00A62619"/>
    <w:rsid w:val="00A6268A"/>
    <w:rsid w:val="00A62809"/>
    <w:rsid w:val="00A6283F"/>
    <w:rsid w:val="00A628F9"/>
    <w:rsid w:val="00A62932"/>
    <w:rsid w:val="00A6299E"/>
    <w:rsid w:val="00A62A26"/>
    <w:rsid w:val="00A62C98"/>
    <w:rsid w:val="00A62DF0"/>
    <w:rsid w:val="00A62E87"/>
    <w:rsid w:val="00A62FEF"/>
    <w:rsid w:val="00A63002"/>
    <w:rsid w:val="00A63256"/>
    <w:rsid w:val="00A6330F"/>
    <w:rsid w:val="00A63508"/>
    <w:rsid w:val="00A6356B"/>
    <w:rsid w:val="00A6361B"/>
    <w:rsid w:val="00A63714"/>
    <w:rsid w:val="00A63784"/>
    <w:rsid w:val="00A637BA"/>
    <w:rsid w:val="00A63806"/>
    <w:rsid w:val="00A6395F"/>
    <w:rsid w:val="00A63BE9"/>
    <w:rsid w:val="00A63C62"/>
    <w:rsid w:val="00A6414C"/>
    <w:rsid w:val="00A6427C"/>
    <w:rsid w:val="00A6495B"/>
    <w:rsid w:val="00A64994"/>
    <w:rsid w:val="00A64A01"/>
    <w:rsid w:val="00A64C65"/>
    <w:rsid w:val="00A64CC2"/>
    <w:rsid w:val="00A64F79"/>
    <w:rsid w:val="00A64FA3"/>
    <w:rsid w:val="00A6511D"/>
    <w:rsid w:val="00A6517A"/>
    <w:rsid w:val="00A6547B"/>
    <w:rsid w:val="00A65482"/>
    <w:rsid w:val="00A65520"/>
    <w:rsid w:val="00A65C4E"/>
    <w:rsid w:val="00A65D97"/>
    <w:rsid w:val="00A65DD7"/>
    <w:rsid w:val="00A66100"/>
    <w:rsid w:val="00A66155"/>
    <w:rsid w:val="00A6616C"/>
    <w:rsid w:val="00A661F5"/>
    <w:rsid w:val="00A66385"/>
    <w:rsid w:val="00A6640E"/>
    <w:rsid w:val="00A666FE"/>
    <w:rsid w:val="00A66707"/>
    <w:rsid w:val="00A66B16"/>
    <w:rsid w:val="00A66BCA"/>
    <w:rsid w:val="00A66D31"/>
    <w:rsid w:val="00A66DA4"/>
    <w:rsid w:val="00A66DE3"/>
    <w:rsid w:val="00A66EC1"/>
    <w:rsid w:val="00A67013"/>
    <w:rsid w:val="00A670E1"/>
    <w:rsid w:val="00A67218"/>
    <w:rsid w:val="00A673B8"/>
    <w:rsid w:val="00A673F2"/>
    <w:rsid w:val="00A674BE"/>
    <w:rsid w:val="00A677C6"/>
    <w:rsid w:val="00A6792C"/>
    <w:rsid w:val="00A67981"/>
    <w:rsid w:val="00A679CE"/>
    <w:rsid w:val="00A67A3B"/>
    <w:rsid w:val="00A67C83"/>
    <w:rsid w:val="00A67F00"/>
    <w:rsid w:val="00A70177"/>
    <w:rsid w:val="00A70231"/>
    <w:rsid w:val="00A702AB"/>
    <w:rsid w:val="00A707BD"/>
    <w:rsid w:val="00A707C1"/>
    <w:rsid w:val="00A708BD"/>
    <w:rsid w:val="00A70A08"/>
    <w:rsid w:val="00A70B85"/>
    <w:rsid w:val="00A70BB9"/>
    <w:rsid w:val="00A70BF8"/>
    <w:rsid w:val="00A70BFE"/>
    <w:rsid w:val="00A70C2E"/>
    <w:rsid w:val="00A70CBC"/>
    <w:rsid w:val="00A70ED8"/>
    <w:rsid w:val="00A70EE7"/>
    <w:rsid w:val="00A70F63"/>
    <w:rsid w:val="00A71164"/>
    <w:rsid w:val="00A711F1"/>
    <w:rsid w:val="00A71222"/>
    <w:rsid w:val="00A7127A"/>
    <w:rsid w:val="00A713EE"/>
    <w:rsid w:val="00A715A9"/>
    <w:rsid w:val="00A716A1"/>
    <w:rsid w:val="00A71743"/>
    <w:rsid w:val="00A71862"/>
    <w:rsid w:val="00A71911"/>
    <w:rsid w:val="00A719E6"/>
    <w:rsid w:val="00A71A84"/>
    <w:rsid w:val="00A71B2A"/>
    <w:rsid w:val="00A71C0A"/>
    <w:rsid w:val="00A71CD5"/>
    <w:rsid w:val="00A71D85"/>
    <w:rsid w:val="00A71E69"/>
    <w:rsid w:val="00A71EE6"/>
    <w:rsid w:val="00A71F02"/>
    <w:rsid w:val="00A71FD5"/>
    <w:rsid w:val="00A720E0"/>
    <w:rsid w:val="00A72ADF"/>
    <w:rsid w:val="00A72B51"/>
    <w:rsid w:val="00A73073"/>
    <w:rsid w:val="00A7307C"/>
    <w:rsid w:val="00A7337B"/>
    <w:rsid w:val="00A7344C"/>
    <w:rsid w:val="00A736F1"/>
    <w:rsid w:val="00A73858"/>
    <w:rsid w:val="00A739B9"/>
    <w:rsid w:val="00A73A1E"/>
    <w:rsid w:val="00A73AF8"/>
    <w:rsid w:val="00A73BAB"/>
    <w:rsid w:val="00A73F0D"/>
    <w:rsid w:val="00A73FE0"/>
    <w:rsid w:val="00A74045"/>
    <w:rsid w:val="00A740B3"/>
    <w:rsid w:val="00A74208"/>
    <w:rsid w:val="00A74313"/>
    <w:rsid w:val="00A744F3"/>
    <w:rsid w:val="00A745DB"/>
    <w:rsid w:val="00A745F2"/>
    <w:rsid w:val="00A74A36"/>
    <w:rsid w:val="00A74A6F"/>
    <w:rsid w:val="00A74BAF"/>
    <w:rsid w:val="00A74C69"/>
    <w:rsid w:val="00A74CD6"/>
    <w:rsid w:val="00A74ED9"/>
    <w:rsid w:val="00A74F1C"/>
    <w:rsid w:val="00A74F42"/>
    <w:rsid w:val="00A74F76"/>
    <w:rsid w:val="00A74F81"/>
    <w:rsid w:val="00A75279"/>
    <w:rsid w:val="00A754AF"/>
    <w:rsid w:val="00A75578"/>
    <w:rsid w:val="00A756DA"/>
    <w:rsid w:val="00A7582A"/>
    <w:rsid w:val="00A75866"/>
    <w:rsid w:val="00A7586B"/>
    <w:rsid w:val="00A758E5"/>
    <w:rsid w:val="00A75C36"/>
    <w:rsid w:val="00A75E72"/>
    <w:rsid w:val="00A7612D"/>
    <w:rsid w:val="00A7617C"/>
    <w:rsid w:val="00A76256"/>
    <w:rsid w:val="00A762CE"/>
    <w:rsid w:val="00A764D5"/>
    <w:rsid w:val="00A765B1"/>
    <w:rsid w:val="00A76BC2"/>
    <w:rsid w:val="00A76C2A"/>
    <w:rsid w:val="00A76C9F"/>
    <w:rsid w:val="00A772D9"/>
    <w:rsid w:val="00A777D8"/>
    <w:rsid w:val="00A77881"/>
    <w:rsid w:val="00A778F4"/>
    <w:rsid w:val="00A77D53"/>
    <w:rsid w:val="00A77D8F"/>
    <w:rsid w:val="00A77ED7"/>
    <w:rsid w:val="00A801A2"/>
    <w:rsid w:val="00A80A5F"/>
    <w:rsid w:val="00A80B04"/>
    <w:rsid w:val="00A80BA0"/>
    <w:rsid w:val="00A80F51"/>
    <w:rsid w:val="00A80FB8"/>
    <w:rsid w:val="00A810BF"/>
    <w:rsid w:val="00A811FF"/>
    <w:rsid w:val="00A81398"/>
    <w:rsid w:val="00A8161D"/>
    <w:rsid w:val="00A81626"/>
    <w:rsid w:val="00A81800"/>
    <w:rsid w:val="00A81A74"/>
    <w:rsid w:val="00A81BE6"/>
    <w:rsid w:val="00A81CED"/>
    <w:rsid w:val="00A81DAF"/>
    <w:rsid w:val="00A81DBE"/>
    <w:rsid w:val="00A81E7C"/>
    <w:rsid w:val="00A8228F"/>
    <w:rsid w:val="00A82557"/>
    <w:rsid w:val="00A8285B"/>
    <w:rsid w:val="00A82AAD"/>
    <w:rsid w:val="00A82C9A"/>
    <w:rsid w:val="00A82DE3"/>
    <w:rsid w:val="00A82EB1"/>
    <w:rsid w:val="00A82FB7"/>
    <w:rsid w:val="00A83086"/>
    <w:rsid w:val="00A83305"/>
    <w:rsid w:val="00A83424"/>
    <w:rsid w:val="00A8357E"/>
    <w:rsid w:val="00A83619"/>
    <w:rsid w:val="00A836CE"/>
    <w:rsid w:val="00A83789"/>
    <w:rsid w:val="00A839E3"/>
    <w:rsid w:val="00A83A41"/>
    <w:rsid w:val="00A83A96"/>
    <w:rsid w:val="00A83BC4"/>
    <w:rsid w:val="00A83DC8"/>
    <w:rsid w:val="00A8410D"/>
    <w:rsid w:val="00A8413E"/>
    <w:rsid w:val="00A84154"/>
    <w:rsid w:val="00A84264"/>
    <w:rsid w:val="00A84456"/>
    <w:rsid w:val="00A84655"/>
    <w:rsid w:val="00A84A4D"/>
    <w:rsid w:val="00A84D7B"/>
    <w:rsid w:val="00A84EB3"/>
    <w:rsid w:val="00A85004"/>
    <w:rsid w:val="00A852B0"/>
    <w:rsid w:val="00A852D3"/>
    <w:rsid w:val="00A85425"/>
    <w:rsid w:val="00A8584D"/>
    <w:rsid w:val="00A858AC"/>
    <w:rsid w:val="00A859AB"/>
    <w:rsid w:val="00A85CA7"/>
    <w:rsid w:val="00A85CC9"/>
    <w:rsid w:val="00A85CD9"/>
    <w:rsid w:val="00A85D6C"/>
    <w:rsid w:val="00A85D7A"/>
    <w:rsid w:val="00A85DEE"/>
    <w:rsid w:val="00A85F06"/>
    <w:rsid w:val="00A86428"/>
    <w:rsid w:val="00A86519"/>
    <w:rsid w:val="00A869DD"/>
    <w:rsid w:val="00A87177"/>
    <w:rsid w:val="00A87231"/>
    <w:rsid w:val="00A872FE"/>
    <w:rsid w:val="00A8763F"/>
    <w:rsid w:val="00A8785A"/>
    <w:rsid w:val="00A878DF"/>
    <w:rsid w:val="00A87AD5"/>
    <w:rsid w:val="00A87B0A"/>
    <w:rsid w:val="00A87C8B"/>
    <w:rsid w:val="00A87F63"/>
    <w:rsid w:val="00A901AD"/>
    <w:rsid w:val="00A90639"/>
    <w:rsid w:val="00A90709"/>
    <w:rsid w:val="00A9099B"/>
    <w:rsid w:val="00A909E5"/>
    <w:rsid w:val="00A90B3F"/>
    <w:rsid w:val="00A90C1C"/>
    <w:rsid w:val="00A90D75"/>
    <w:rsid w:val="00A91095"/>
    <w:rsid w:val="00A917FB"/>
    <w:rsid w:val="00A918CA"/>
    <w:rsid w:val="00A91DCD"/>
    <w:rsid w:val="00A91DDE"/>
    <w:rsid w:val="00A92054"/>
    <w:rsid w:val="00A92103"/>
    <w:rsid w:val="00A9210F"/>
    <w:rsid w:val="00A922FE"/>
    <w:rsid w:val="00A92651"/>
    <w:rsid w:val="00A92E17"/>
    <w:rsid w:val="00A92F59"/>
    <w:rsid w:val="00A930AF"/>
    <w:rsid w:val="00A930D9"/>
    <w:rsid w:val="00A93276"/>
    <w:rsid w:val="00A934B6"/>
    <w:rsid w:val="00A93516"/>
    <w:rsid w:val="00A9357A"/>
    <w:rsid w:val="00A9359F"/>
    <w:rsid w:val="00A93898"/>
    <w:rsid w:val="00A93A1A"/>
    <w:rsid w:val="00A93B77"/>
    <w:rsid w:val="00A93B9A"/>
    <w:rsid w:val="00A93BBF"/>
    <w:rsid w:val="00A93DA2"/>
    <w:rsid w:val="00A93E82"/>
    <w:rsid w:val="00A93F5C"/>
    <w:rsid w:val="00A93F6D"/>
    <w:rsid w:val="00A9408E"/>
    <w:rsid w:val="00A94124"/>
    <w:rsid w:val="00A94174"/>
    <w:rsid w:val="00A944F2"/>
    <w:rsid w:val="00A9483B"/>
    <w:rsid w:val="00A9485D"/>
    <w:rsid w:val="00A948FF"/>
    <w:rsid w:val="00A9492C"/>
    <w:rsid w:val="00A94A70"/>
    <w:rsid w:val="00A94D3C"/>
    <w:rsid w:val="00A94D83"/>
    <w:rsid w:val="00A94DB4"/>
    <w:rsid w:val="00A94E1B"/>
    <w:rsid w:val="00A94E1C"/>
    <w:rsid w:val="00A955C8"/>
    <w:rsid w:val="00A95612"/>
    <w:rsid w:val="00A956C8"/>
    <w:rsid w:val="00A957B0"/>
    <w:rsid w:val="00A9583A"/>
    <w:rsid w:val="00A95A48"/>
    <w:rsid w:val="00A95E78"/>
    <w:rsid w:val="00A96130"/>
    <w:rsid w:val="00A961C7"/>
    <w:rsid w:val="00A963F7"/>
    <w:rsid w:val="00A964CE"/>
    <w:rsid w:val="00A9664C"/>
    <w:rsid w:val="00A96701"/>
    <w:rsid w:val="00A9674C"/>
    <w:rsid w:val="00A967A1"/>
    <w:rsid w:val="00A969F8"/>
    <w:rsid w:val="00A96B60"/>
    <w:rsid w:val="00A96BCC"/>
    <w:rsid w:val="00A97005"/>
    <w:rsid w:val="00A970E8"/>
    <w:rsid w:val="00A9716B"/>
    <w:rsid w:val="00A9740E"/>
    <w:rsid w:val="00A97817"/>
    <w:rsid w:val="00A97A9E"/>
    <w:rsid w:val="00A97E21"/>
    <w:rsid w:val="00A97E70"/>
    <w:rsid w:val="00A97EFE"/>
    <w:rsid w:val="00AA00AD"/>
    <w:rsid w:val="00AA0207"/>
    <w:rsid w:val="00AA05B1"/>
    <w:rsid w:val="00AA089D"/>
    <w:rsid w:val="00AA0BF6"/>
    <w:rsid w:val="00AA0D04"/>
    <w:rsid w:val="00AA0F58"/>
    <w:rsid w:val="00AA1000"/>
    <w:rsid w:val="00AA11AB"/>
    <w:rsid w:val="00AA1413"/>
    <w:rsid w:val="00AA150F"/>
    <w:rsid w:val="00AA1620"/>
    <w:rsid w:val="00AA16FB"/>
    <w:rsid w:val="00AA18D6"/>
    <w:rsid w:val="00AA1A41"/>
    <w:rsid w:val="00AA1B28"/>
    <w:rsid w:val="00AA1BF7"/>
    <w:rsid w:val="00AA1C87"/>
    <w:rsid w:val="00AA2057"/>
    <w:rsid w:val="00AA20C3"/>
    <w:rsid w:val="00AA20E7"/>
    <w:rsid w:val="00AA2136"/>
    <w:rsid w:val="00AA2199"/>
    <w:rsid w:val="00AA2229"/>
    <w:rsid w:val="00AA2BA7"/>
    <w:rsid w:val="00AA2C6C"/>
    <w:rsid w:val="00AA2DC0"/>
    <w:rsid w:val="00AA2FA8"/>
    <w:rsid w:val="00AA30A8"/>
    <w:rsid w:val="00AA31AB"/>
    <w:rsid w:val="00AA3209"/>
    <w:rsid w:val="00AA330C"/>
    <w:rsid w:val="00AA35F0"/>
    <w:rsid w:val="00AA36AB"/>
    <w:rsid w:val="00AA3985"/>
    <w:rsid w:val="00AA3AC5"/>
    <w:rsid w:val="00AA3AD9"/>
    <w:rsid w:val="00AA3CB8"/>
    <w:rsid w:val="00AA3D9B"/>
    <w:rsid w:val="00AA3E17"/>
    <w:rsid w:val="00AA3FB2"/>
    <w:rsid w:val="00AA3FBF"/>
    <w:rsid w:val="00AA4092"/>
    <w:rsid w:val="00AA409D"/>
    <w:rsid w:val="00AA4195"/>
    <w:rsid w:val="00AA4377"/>
    <w:rsid w:val="00AA43C5"/>
    <w:rsid w:val="00AA45A0"/>
    <w:rsid w:val="00AA49C5"/>
    <w:rsid w:val="00AA4AC2"/>
    <w:rsid w:val="00AA4B06"/>
    <w:rsid w:val="00AA4BB4"/>
    <w:rsid w:val="00AA4D34"/>
    <w:rsid w:val="00AA4D61"/>
    <w:rsid w:val="00AA4DAD"/>
    <w:rsid w:val="00AA4F1E"/>
    <w:rsid w:val="00AA517A"/>
    <w:rsid w:val="00AA54C9"/>
    <w:rsid w:val="00AA5716"/>
    <w:rsid w:val="00AA58F6"/>
    <w:rsid w:val="00AA5BF1"/>
    <w:rsid w:val="00AA5C64"/>
    <w:rsid w:val="00AA5C65"/>
    <w:rsid w:val="00AA5E54"/>
    <w:rsid w:val="00AA5ED4"/>
    <w:rsid w:val="00AA5EDE"/>
    <w:rsid w:val="00AA5EE7"/>
    <w:rsid w:val="00AA6063"/>
    <w:rsid w:val="00AA62ED"/>
    <w:rsid w:val="00AA6354"/>
    <w:rsid w:val="00AA638F"/>
    <w:rsid w:val="00AA63F2"/>
    <w:rsid w:val="00AA6482"/>
    <w:rsid w:val="00AA6599"/>
    <w:rsid w:val="00AA6602"/>
    <w:rsid w:val="00AA67FC"/>
    <w:rsid w:val="00AA6AC4"/>
    <w:rsid w:val="00AA6B38"/>
    <w:rsid w:val="00AA6B56"/>
    <w:rsid w:val="00AA6C1D"/>
    <w:rsid w:val="00AA6CFB"/>
    <w:rsid w:val="00AA6D37"/>
    <w:rsid w:val="00AA70B2"/>
    <w:rsid w:val="00AA7111"/>
    <w:rsid w:val="00AA7355"/>
    <w:rsid w:val="00AA74BE"/>
    <w:rsid w:val="00AA75C7"/>
    <w:rsid w:val="00AA7613"/>
    <w:rsid w:val="00AA76B1"/>
    <w:rsid w:val="00AA771B"/>
    <w:rsid w:val="00AA77B4"/>
    <w:rsid w:val="00AA783D"/>
    <w:rsid w:val="00AA78F1"/>
    <w:rsid w:val="00AA7A1C"/>
    <w:rsid w:val="00AA7BE1"/>
    <w:rsid w:val="00AA7C96"/>
    <w:rsid w:val="00AA7D75"/>
    <w:rsid w:val="00AB003D"/>
    <w:rsid w:val="00AB0258"/>
    <w:rsid w:val="00AB032F"/>
    <w:rsid w:val="00AB035F"/>
    <w:rsid w:val="00AB05CB"/>
    <w:rsid w:val="00AB08AB"/>
    <w:rsid w:val="00AB0A05"/>
    <w:rsid w:val="00AB0C27"/>
    <w:rsid w:val="00AB0C9A"/>
    <w:rsid w:val="00AB0F07"/>
    <w:rsid w:val="00AB105D"/>
    <w:rsid w:val="00AB113F"/>
    <w:rsid w:val="00AB126C"/>
    <w:rsid w:val="00AB1967"/>
    <w:rsid w:val="00AB1A18"/>
    <w:rsid w:val="00AB1AC8"/>
    <w:rsid w:val="00AB1C4E"/>
    <w:rsid w:val="00AB1C61"/>
    <w:rsid w:val="00AB1CD7"/>
    <w:rsid w:val="00AB1D26"/>
    <w:rsid w:val="00AB2193"/>
    <w:rsid w:val="00AB221D"/>
    <w:rsid w:val="00AB2275"/>
    <w:rsid w:val="00AB2515"/>
    <w:rsid w:val="00AB2543"/>
    <w:rsid w:val="00AB2BE6"/>
    <w:rsid w:val="00AB2C32"/>
    <w:rsid w:val="00AB2D21"/>
    <w:rsid w:val="00AB31F8"/>
    <w:rsid w:val="00AB3252"/>
    <w:rsid w:val="00AB32AC"/>
    <w:rsid w:val="00AB37A4"/>
    <w:rsid w:val="00AB3969"/>
    <w:rsid w:val="00AB3981"/>
    <w:rsid w:val="00AB3A4A"/>
    <w:rsid w:val="00AB3B46"/>
    <w:rsid w:val="00AB3B92"/>
    <w:rsid w:val="00AB3BE5"/>
    <w:rsid w:val="00AB3D3A"/>
    <w:rsid w:val="00AB3D6D"/>
    <w:rsid w:val="00AB3E85"/>
    <w:rsid w:val="00AB3FAB"/>
    <w:rsid w:val="00AB419A"/>
    <w:rsid w:val="00AB4420"/>
    <w:rsid w:val="00AB4455"/>
    <w:rsid w:val="00AB47DF"/>
    <w:rsid w:val="00AB49CA"/>
    <w:rsid w:val="00AB4A6A"/>
    <w:rsid w:val="00AB4B36"/>
    <w:rsid w:val="00AB4CFC"/>
    <w:rsid w:val="00AB4F7C"/>
    <w:rsid w:val="00AB4FCD"/>
    <w:rsid w:val="00AB5059"/>
    <w:rsid w:val="00AB5084"/>
    <w:rsid w:val="00AB515F"/>
    <w:rsid w:val="00AB522B"/>
    <w:rsid w:val="00AB5462"/>
    <w:rsid w:val="00AB54BF"/>
    <w:rsid w:val="00AB5587"/>
    <w:rsid w:val="00AB58A7"/>
    <w:rsid w:val="00AB5AE0"/>
    <w:rsid w:val="00AB5C73"/>
    <w:rsid w:val="00AB5EED"/>
    <w:rsid w:val="00AB5F2A"/>
    <w:rsid w:val="00AB5F57"/>
    <w:rsid w:val="00AB60BF"/>
    <w:rsid w:val="00AB61BA"/>
    <w:rsid w:val="00AB623F"/>
    <w:rsid w:val="00AB62D0"/>
    <w:rsid w:val="00AB6346"/>
    <w:rsid w:val="00AB636E"/>
    <w:rsid w:val="00AB652E"/>
    <w:rsid w:val="00AB6ADD"/>
    <w:rsid w:val="00AB6B76"/>
    <w:rsid w:val="00AB6C77"/>
    <w:rsid w:val="00AB6E3C"/>
    <w:rsid w:val="00AB6E4F"/>
    <w:rsid w:val="00AB6F3A"/>
    <w:rsid w:val="00AB6F99"/>
    <w:rsid w:val="00AB70C2"/>
    <w:rsid w:val="00AB70C3"/>
    <w:rsid w:val="00AB7476"/>
    <w:rsid w:val="00AB7698"/>
    <w:rsid w:val="00AB7850"/>
    <w:rsid w:val="00AB7965"/>
    <w:rsid w:val="00AB7C51"/>
    <w:rsid w:val="00AB7D0A"/>
    <w:rsid w:val="00AB7D7C"/>
    <w:rsid w:val="00AC016B"/>
    <w:rsid w:val="00AC01CD"/>
    <w:rsid w:val="00AC081F"/>
    <w:rsid w:val="00AC0883"/>
    <w:rsid w:val="00AC089C"/>
    <w:rsid w:val="00AC0AD4"/>
    <w:rsid w:val="00AC0CB4"/>
    <w:rsid w:val="00AC0D5B"/>
    <w:rsid w:val="00AC0D7B"/>
    <w:rsid w:val="00AC1051"/>
    <w:rsid w:val="00AC10BD"/>
    <w:rsid w:val="00AC10E0"/>
    <w:rsid w:val="00AC1661"/>
    <w:rsid w:val="00AC182C"/>
    <w:rsid w:val="00AC192F"/>
    <w:rsid w:val="00AC1B11"/>
    <w:rsid w:val="00AC1B56"/>
    <w:rsid w:val="00AC1BE5"/>
    <w:rsid w:val="00AC1DAB"/>
    <w:rsid w:val="00AC2174"/>
    <w:rsid w:val="00AC236D"/>
    <w:rsid w:val="00AC254D"/>
    <w:rsid w:val="00AC261F"/>
    <w:rsid w:val="00AC2A21"/>
    <w:rsid w:val="00AC2C57"/>
    <w:rsid w:val="00AC2C8B"/>
    <w:rsid w:val="00AC2F44"/>
    <w:rsid w:val="00AC32D1"/>
    <w:rsid w:val="00AC33D5"/>
    <w:rsid w:val="00AC33FD"/>
    <w:rsid w:val="00AC342F"/>
    <w:rsid w:val="00AC35D4"/>
    <w:rsid w:val="00AC37EA"/>
    <w:rsid w:val="00AC395B"/>
    <w:rsid w:val="00AC3A4C"/>
    <w:rsid w:val="00AC3BA9"/>
    <w:rsid w:val="00AC3F5D"/>
    <w:rsid w:val="00AC40ED"/>
    <w:rsid w:val="00AC4250"/>
    <w:rsid w:val="00AC4294"/>
    <w:rsid w:val="00AC44E7"/>
    <w:rsid w:val="00AC460A"/>
    <w:rsid w:val="00AC496E"/>
    <w:rsid w:val="00AC4975"/>
    <w:rsid w:val="00AC499E"/>
    <w:rsid w:val="00AC4ADC"/>
    <w:rsid w:val="00AC4B48"/>
    <w:rsid w:val="00AC4EBF"/>
    <w:rsid w:val="00AC4EE5"/>
    <w:rsid w:val="00AC51C8"/>
    <w:rsid w:val="00AC54B9"/>
    <w:rsid w:val="00AC5566"/>
    <w:rsid w:val="00AC5573"/>
    <w:rsid w:val="00AC580A"/>
    <w:rsid w:val="00AC588C"/>
    <w:rsid w:val="00AC59D7"/>
    <w:rsid w:val="00AC5CFB"/>
    <w:rsid w:val="00AC5D80"/>
    <w:rsid w:val="00AC60A6"/>
    <w:rsid w:val="00AC6111"/>
    <w:rsid w:val="00AC6171"/>
    <w:rsid w:val="00AC65C6"/>
    <w:rsid w:val="00AC6619"/>
    <w:rsid w:val="00AC677A"/>
    <w:rsid w:val="00AC6904"/>
    <w:rsid w:val="00AC691A"/>
    <w:rsid w:val="00AC6948"/>
    <w:rsid w:val="00AC694D"/>
    <w:rsid w:val="00AC69C3"/>
    <w:rsid w:val="00AC6A1B"/>
    <w:rsid w:val="00AC6C20"/>
    <w:rsid w:val="00AC6E1A"/>
    <w:rsid w:val="00AC6FFF"/>
    <w:rsid w:val="00AC703D"/>
    <w:rsid w:val="00AC7087"/>
    <w:rsid w:val="00AC7215"/>
    <w:rsid w:val="00AC7401"/>
    <w:rsid w:val="00AC7446"/>
    <w:rsid w:val="00AC7471"/>
    <w:rsid w:val="00AC755F"/>
    <w:rsid w:val="00AC76DE"/>
    <w:rsid w:val="00AC78B3"/>
    <w:rsid w:val="00AC7940"/>
    <w:rsid w:val="00AC79AB"/>
    <w:rsid w:val="00AC79C1"/>
    <w:rsid w:val="00AC79DB"/>
    <w:rsid w:val="00AC7A62"/>
    <w:rsid w:val="00AC7AD2"/>
    <w:rsid w:val="00AC7BE3"/>
    <w:rsid w:val="00AC7E32"/>
    <w:rsid w:val="00AC7F0C"/>
    <w:rsid w:val="00AD00F3"/>
    <w:rsid w:val="00AD01EB"/>
    <w:rsid w:val="00AD0264"/>
    <w:rsid w:val="00AD04DB"/>
    <w:rsid w:val="00AD05C4"/>
    <w:rsid w:val="00AD0612"/>
    <w:rsid w:val="00AD065F"/>
    <w:rsid w:val="00AD0ACD"/>
    <w:rsid w:val="00AD0D4B"/>
    <w:rsid w:val="00AD0FDA"/>
    <w:rsid w:val="00AD1714"/>
    <w:rsid w:val="00AD1D45"/>
    <w:rsid w:val="00AD1E7B"/>
    <w:rsid w:val="00AD204A"/>
    <w:rsid w:val="00AD205C"/>
    <w:rsid w:val="00AD20F1"/>
    <w:rsid w:val="00AD23E6"/>
    <w:rsid w:val="00AD260F"/>
    <w:rsid w:val="00AD2691"/>
    <w:rsid w:val="00AD2A98"/>
    <w:rsid w:val="00AD2EA0"/>
    <w:rsid w:val="00AD2F93"/>
    <w:rsid w:val="00AD3059"/>
    <w:rsid w:val="00AD31EC"/>
    <w:rsid w:val="00AD379D"/>
    <w:rsid w:val="00AD37B0"/>
    <w:rsid w:val="00AD3A41"/>
    <w:rsid w:val="00AD3D89"/>
    <w:rsid w:val="00AD3F13"/>
    <w:rsid w:val="00AD400E"/>
    <w:rsid w:val="00AD41EA"/>
    <w:rsid w:val="00AD431D"/>
    <w:rsid w:val="00AD47F0"/>
    <w:rsid w:val="00AD4817"/>
    <w:rsid w:val="00AD495E"/>
    <w:rsid w:val="00AD4B7B"/>
    <w:rsid w:val="00AD4C7E"/>
    <w:rsid w:val="00AD4E2B"/>
    <w:rsid w:val="00AD4F61"/>
    <w:rsid w:val="00AD5120"/>
    <w:rsid w:val="00AD5165"/>
    <w:rsid w:val="00AD562D"/>
    <w:rsid w:val="00AD5668"/>
    <w:rsid w:val="00AD585E"/>
    <w:rsid w:val="00AD5B63"/>
    <w:rsid w:val="00AD5BE0"/>
    <w:rsid w:val="00AD5C18"/>
    <w:rsid w:val="00AD5F46"/>
    <w:rsid w:val="00AD5FC9"/>
    <w:rsid w:val="00AD611C"/>
    <w:rsid w:val="00AD6348"/>
    <w:rsid w:val="00AD6574"/>
    <w:rsid w:val="00AD6753"/>
    <w:rsid w:val="00AD683F"/>
    <w:rsid w:val="00AD6865"/>
    <w:rsid w:val="00AD6927"/>
    <w:rsid w:val="00AD6945"/>
    <w:rsid w:val="00AD6A05"/>
    <w:rsid w:val="00AD6A95"/>
    <w:rsid w:val="00AD6C7B"/>
    <w:rsid w:val="00AD6D7A"/>
    <w:rsid w:val="00AD6DCF"/>
    <w:rsid w:val="00AD6F4E"/>
    <w:rsid w:val="00AD70AB"/>
    <w:rsid w:val="00AD70C1"/>
    <w:rsid w:val="00AD70DB"/>
    <w:rsid w:val="00AD70F3"/>
    <w:rsid w:val="00AD71B6"/>
    <w:rsid w:val="00AD71F4"/>
    <w:rsid w:val="00AD735F"/>
    <w:rsid w:val="00AD73C4"/>
    <w:rsid w:val="00AD7502"/>
    <w:rsid w:val="00AD761B"/>
    <w:rsid w:val="00AD76F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9A0"/>
    <w:rsid w:val="00AE09C0"/>
    <w:rsid w:val="00AE0A76"/>
    <w:rsid w:val="00AE0AEE"/>
    <w:rsid w:val="00AE0B3B"/>
    <w:rsid w:val="00AE0C4F"/>
    <w:rsid w:val="00AE1474"/>
    <w:rsid w:val="00AE15CA"/>
    <w:rsid w:val="00AE17B3"/>
    <w:rsid w:val="00AE180D"/>
    <w:rsid w:val="00AE199E"/>
    <w:rsid w:val="00AE19E9"/>
    <w:rsid w:val="00AE1B05"/>
    <w:rsid w:val="00AE1D62"/>
    <w:rsid w:val="00AE216E"/>
    <w:rsid w:val="00AE21A7"/>
    <w:rsid w:val="00AE22F1"/>
    <w:rsid w:val="00AE23F2"/>
    <w:rsid w:val="00AE251D"/>
    <w:rsid w:val="00AE2886"/>
    <w:rsid w:val="00AE2B4B"/>
    <w:rsid w:val="00AE2C77"/>
    <w:rsid w:val="00AE2C7E"/>
    <w:rsid w:val="00AE2DC8"/>
    <w:rsid w:val="00AE2EEB"/>
    <w:rsid w:val="00AE2F5F"/>
    <w:rsid w:val="00AE2F86"/>
    <w:rsid w:val="00AE346E"/>
    <w:rsid w:val="00AE3578"/>
    <w:rsid w:val="00AE370B"/>
    <w:rsid w:val="00AE3797"/>
    <w:rsid w:val="00AE3C72"/>
    <w:rsid w:val="00AE3CC4"/>
    <w:rsid w:val="00AE3D50"/>
    <w:rsid w:val="00AE3D9C"/>
    <w:rsid w:val="00AE3E72"/>
    <w:rsid w:val="00AE40A8"/>
    <w:rsid w:val="00AE41DD"/>
    <w:rsid w:val="00AE4250"/>
    <w:rsid w:val="00AE445E"/>
    <w:rsid w:val="00AE46A2"/>
    <w:rsid w:val="00AE484E"/>
    <w:rsid w:val="00AE4A01"/>
    <w:rsid w:val="00AE4DC6"/>
    <w:rsid w:val="00AE4E04"/>
    <w:rsid w:val="00AE4E6E"/>
    <w:rsid w:val="00AE4F7A"/>
    <w:rsid w:val="00AE52AE"/>
    <w:rsid w:val="00AE542F"/>
    <w:rsid w:val="00AE5433"/>
    <w:rsid w:val="00AE5670"/>
    <w:rsid w:val="00AE5688"/>
    <w:rsid w:val="00AE5777"/>
    <w:rsid w:val="00AE5828"/>
    <w:rsid w:val="00AE5849"/>
    <w:rsid w:val="00AE596A"/>
    <w:rsid w:val="00AE5BD9"/>
    <w:rsid w:val="00AE5CC2"/>
    <w:rsid w:val="00AE5F54"/>
    <w:rsid w:val="00AE6029"/>
    <w:rsid w:val="00AE607E"/>
    <w:rsid w:val="00AE6201"/>
    <w:rsid w:val="00AE622E"/>
    <w:rsid w:val="00AE6301"/>
    <w:rsid w:val="00AE63C1"/>
    <w:rsid w:val="00AE661D"/>
    <w:rsid w:val="00AE6655"/>
    <w:rsid w:val="00AE670C"/>
    <w:rsid w:val="00AE685A"/>
    <w:rsid w:val="00AE6BA9"/>
    <w:rsid w:val="00AE6C3C"/>
    <w:rsid w:val="00AE70F0"/>
    <w:rsid w:val="00AE719C"/>
    <w:rsid w:val="00AE72A2"/>
    <w:rsid w:val="00AE75AD"/>
    <w:rsid w:val="00AE770A"/>
    <w:rsid w:val="00AE7755"/>
    <w:rsid w:val="00AE781D"/>
    <w:rsid w:val="00AE7852"/>
    <w:rsid w:val="00AE7943"/>
    <w:rsid w:val="00AE795B"/>
    <w:rsid w:val="00AE79A4"/>
    <w:rsid w:val="00AE7E50"/>
    <w:rsid w:val="00AF0054"/>
    <w:rsid w:val="00AF00D0"/>
    <w:rsid w:val="00AF012B"/>
    <w:rsid w:val="00AF0506"/>
    <w:rsid w:val="00AF064D"/>
    <w:rsid w:val="00AF07A5"/>
    <w:rsid w:val="00AF0859"/>
    <w:rsid w:val="00AF0873"/>
    <w:rsid w:val="00AF0957"/>
    <w:rsid w:val="00AF09C0"/>
    <w:rsid w:val="00AF0C26"/>
    <w:rsid w:val="00AF0F48"/>
    <w:rsid w:val="00AF1327"/>
    <w:rsid w:val="00AF14F1"/>
    <w:rsid w:val="00AF15AA"/>
    <w:rsid w:val="00AF16F6"/>
    <w:rsid w:val="00AF17F0"/>
    <w:rsid w:val="00AF196C"/>
    <w:rsid w:val="00AF1A1A"/>
    <w:rsid w:val="00AF1C64"/>
    <w:rsid w:val="00AF1C66"/>
    <w:rsid w:val="00AF1F73"/>
    <w:rsid w:val="00AF1F83"/>
    <w:rsid w:val="00AF225A"/>
    <w:rsid w:val="00AF2465"/>
    <w:rsid w:val="00AF24AA"/>
    <w:rsid w:val="00AF26CB"/>
    <w:rsid w:val="00AF2D4F"/>
    <w:rsid w:val="00AF2F86"/>
    <w:rsid w:val="00AF3653"/>
    <w:rsid w:val="00AF3677"/>
    <w:rsid w:val="00AF39EA"/>
    <w:rsid w:val="00AF3A44"/>
    <w:rsid w:val="00AF3AAD"/>
    <w:rsid w:val="00AF3ADD"/>
    <w:rsid w:val="00AF3C9B"/>
    <w:rsid w:val="00AF3DDF"/>
    <w:rsid w:val="00AF3DFE"/>
    <w:rsid w:val="00AF3ECE"/>
    <w:rsid w:val="00AF426D"/>
    <w:rsid w:val="00AF4388"/>
    <w:rsid w:val="00AF4700"/>
    <w:rsid w:val="00AF475B"/>
    <w:rsid w:val="00AF4ADA"/>
    <w:rsid w:val="00AF4F3E"/>
    <w:rsid w:val="00AF4F3F"/>
    <w:rsid w:val="00AF511C"/>
    <w:rsid w:val="00AF51EA"/>
    <w:rsid w:val="00AF52CA"/>
    <w:rsid w:val="00AF54D3"/>
    <w:rsid w:val="00AF5501"/>
    <w:rsid w:val="00AF5640"/>
    <w:rsid w:val="00AF5834"/>
    <w:rsid w:val="00AF5838"/>
    <w:rsid w:val="00AF5932"/>
    <w:rsid w:val="00AF5A4E"/>
    <w:rsid w:val="00AF5C62"/>
    <w:rsid w:val="00AF5D6F"/>
    <w:rsid w:val="00AF5D9E"/>
    <w:rsid w:val="00AF5F75"/>
    <w:rsid w:val="00AF6073"/>
    <w:rsid w:val="00AF64BA"/>
    <w:rsid w:val="00AF65FA"/>
    <w:rsid w:val="00AF698C"/>
    <w:rsid w:val="00AF6A06"/>
    <w:rsid w:val="00AF6B3C"/>
    <w:rsid w:val="00AF6DB2"/>
    <w:rsid w:val="00AF6DB4"/>
    <w:rsid w:val="00AF6F81"/>
    <w:rsid w:val="00AF71C2"/>
    <w:rsid w:val="00AF727A"/>
    <w:rsid w:val="00AF75F9"/>
    <w:rsid w:val="00AF77B8"/>
    <w:rsid w:val="00AF7903"/>
    <w:rsid w:val="00AF79EA"/>
    <w:rsid w:val="00AF79FD"/>
    <w:rsid w:val="00AF7A8E"/>
    <w:rsid w:val="00AF7AC5"/>
    <w:rsid w:val="00AF7CBD"/>
    <w:rsid w:val="00B000DC"/>
    <w:rsid w:val="00B00317"/>
    <w:rsid w:val="00B0033F"/>
    <w:rsid w:val="00B00344"/>
    <w:rsid w:val="00B004EE"/>
    <w:rsid w:val="00B00601"/>
    <w:rsid w:val="00B0073F"/>
    <w:rsid w:val="00B00931"/>
    <w:rsid w:val="00B0094E"/>
    <w:rsid w:val="00B009B0"/>
    <w:rsid w:val="00B00C2B"/>
    <w:rsid w:val="00B01081"/>
    <w:rsid w:val="00B01405"/>
    <w:rsid w:val="00B01449"/>
    <w:rsid w:val="00B015B7"/>
    <w:rsid w:val="00B01649"/>
    <w:rsid w:val="00B018A9"/>
    <w:rsid w:val="00B01952"/>
    <w:rsid w:val="00B01973"/>
    <w:rsid w:val="00B01A30"/>
    <w:rsid w:val="00B020EF"/>
    <w:rsid w:val="00B02297"/>
    <w:rsid w:val="00B022FC"/>
    <w:rsid w:val="00B023F1"/>
    <w:rsid w:val="00B024FE"/>
    <w:rsid w:val="00B026B3"/>
    <w:rsid w:val="00B0294E"/>
    <w:rsid w:val="00B02D9D"/>
    <w:rsid w:val="00B02DE6"/>
    <w:rsid w:val="00B02F36"/>
    <w:rsid w:val="00B03006"/>
    <w:rsid w:val="00B030E0"/>
    <w:rsid w:val="00B03211"/>
    <w:rsid w:val="00B032A7"/>
    <w:rsid w:val="00B03504"/>
    <w:rsid w:val="00B03862"/>
    <w:rsid w:val="00B038AB"/>
    <w:rsid w:val="00B039CC"/>
    <w:rsid w:val="00B03CAC"/>
    <w:rsid w:val="00B03CC6"/>
    <w:rsid w:val="00B03E06"/>
    <w:rsid w:val="00B03E5B"/>
    <w:rsid w:val="00B03EA7"/>
    <w:rsid w:val="00B03EC3"/>
    <w:rsid w:val="00B03ECE"/>
    <w:rsid w:val="00B0455E"/>
    <w:rsid w:val="00B045AA"/>
    <w:rsid w:val="00B04755"/>
    <w:rsid w:val="00B0476B"/>
    <w:rsid w:val="00B04808"/>
    <w:rsid w:val="00B048B7"/>
    <w:rsid w:val="00B04CB9"/>
    <w:rsid w:val="00B04D1A"/>
    <w:rsid w:val="00B04DE1"/>
    <w:rsid w:val="00B05307"/>
    <w:rsid w:val="00B05314"/>
    <w:rsid w:val="00B053E6"/>
    <w:rsid w:val="00B053F2"/>
    <w:rsid w:val="00B054D3"/>
    <w:rsid w:val="00B05564"/>
    <w:rsid w:val="00B0566B"/>
    <w:rsid w:val="00B0577C"/>
    <w:rsid w:val="00B059D3"/>
    <w:rsid w:val="00B05ADD"/>
    <w:rsid w:val="00B05C26"/>
    <w:rsid w:val="00B05DDC"/>
    <w:rsid w:val="00B06241"/>
    <w:rsid w:val="00B06306"/>
    <w:rsid w:val="00B066CC"/>
    <w:rsid w:val="00B067C1"/>
    <w:rsid w:val="00B068D4"/>
    <w:rsid w:val="00B068EB"/>
    <w:rsid w:val="00B06918"/>
    <w:rsid w:val="00B06939"/>
    <w:rsid w:val="00B069EB"/>
    <w:rsid w:val="00B06D18"/>
    <w:rsid w:val="00B06D4A"/>
    <w:rsid w:val="00B0715D"/>
    <w:rsid w:val="00B071E3"/>
    <w:rsid w:val="00B072E2"/>
    <w:rsid w:val="00B07340"/>
    <w:rsid w:val="00B074D4"/>
    <w:rsid w:val="00B076FE"/>
    <w:rsid w:val="00B07B97"/>
    <w:rsid w:val="00B07DA1"/>
    <w:rsid w:val="00B07F71"/>
    <w:rsid w:val="00B1015F"/>
    <w:rsid w:val="00B10356"/>
    <w:rsid w:val="00B10451"/>
    <w:rsid w:val="00B1047A"/>
    <w:rsid w:val="00B104AE"/>
    <w:rsid w:val="00B10674"/>
    <w:rsid w:val="00B106A9"/>
    <w:rsid w:val="00B10BA5"/>
    <w:rsid w:val="00B10C28"/>
    <w:rsid w:val="00B10D4A"/>
    <w:rsid w:val="00B10EF6"/>
    <w:rsid w:val="00B10FD8"/>
    <w:rsid w:val="00B10FF2"/>
    <w:rsid w:val="00B10FFA"/>
    <w:rsid w:val="00B11042"/>
    <w:rsid w:val="00B110E6"/>
    <w:rsid w:val="00B1114A"/>
    <w:rsid w:val="00B112B6"/>
    <w:rsid w:val="00B113C5"/>
    <w:rsid w:val="00B116DD"/>
    <w:rsid w:val="00B11787"/>
    <w:rsid w:val="00B117C3"/>
    <w:rsid w:val="00B1182A"/>
    <w:rsid w:val="00B1196E"/>
    <w:rsid w:val="00B11A69"/>
    <w:rsid w:val="00B11D08"/>
    <w:rsid w:val="00B12046"/>
    <w:rsid w:val="00B12198"/>
    <w:rsid w:val="00B12689"/>
    <w:rsid w:val="00B128D1"/>
    <w:rsid w:val="00B128E8"/>
    <w:rsid w:val="00B12999"/>
    <w:rsid w:val="00B12ABA"/>
    <w:rsid w:val="00B12AD9"/>
    <w:rsid w:val="00B12DBB"/>
    <w:rsid w:val="00B12E41"/>
    <w:rsid w:val="00B12F4B"/>
    <w:rsid w:val="00B12F4D"/>
    <w:rsid w:val="00B12F90"/>
    <w:rsid w:val="00B1315C"/>
    <w:rsid w:val="00B13162"/>
    <w:rsid w:val="00B13185"/>
    <w:rsid w:val="00B131CC"/>
    <w:rsid w:val="00B13310"/>
    <w:rsid w:val="00B1341E"/>
    <w:rsid w:val="00B1355E"/>
    <w:rsid w:val="00B135B5"/>
    <w:rsid w:val="00B136AE"/>
    <w:rsid w:val="00B136EE"/>
    <w:rsid w:val="00B1390E"/>
    <w:rsid w:val="00B13A52"/>
    <w:rsid w:val="00B13C04"/>
    <w:rsid w:val="00B13CA9"/>
    <w:rsid w:val="00B13F57"/>
    <w:rsid w:val="00B146D0"/>
    <w:rsid w:val="00B146F4"/>
    <w:rsid w:val="00B14C5D"/>
    <w:rsid w:val="00B14CC3"/>
    <w:rsid w:val="00B14CDB"/>
    <w:rsid w:val="00B14D84"/>
    <w:rsid w:val="00B14E11"/>
    <w:rsid w:val="00B14E27"/>
    <w:rsid w:val="00B1506A"/>
    <w:rsid w:val="00B15099"/>
    <w:rsid w:val="00B150DD"/>
    <w:rsid w:val="00B15323"/>
    <w:rsid w:val="00B154E6"/>
    <w:rsid w:val="00B15534"/>
    <w:rsid w:val="00B15585"/>
    <w:rsid w:val="00B155E9"/>
    <w:rsid w:val="00B159FF"/>
    <w:rsid w:val="00B15AFC"/>
    <w:rsid w:val="00B15C56"/>
    <w:rsid w:val="00B1611A"/>
    <w:rsid w:val="00B161F9"/>
    <w:rsid w:val="00B1620D"/>
    <w:rsid w:val="00B16495"/>
    <w:rsid w:val="00B165EF"/>
    <w:rsid w:val="00B166C9"/>
    <w:rsid w:val="00B166FE"/>
    <w:rsid w:val="00B167B5"/>
    <w:rsid w:val="00B16847"/>
    <w:rsid w:val="00B16BDB"/>
    <w:rsid w:val="00B16F12"/>
    <w:rsid w:val="00B16FC0"/>
    <w:rsid w:val="00B17010"/>
    <w:rsid w:val="00B17017"/>
    <w:rsid w:val="00B1708A"/>
    <w:rsid w:val="00B171C2"/>
    <w:rsid w:val="00B17251"/>
    <w:rsid w:val="00B1729F"/>
    <w:rsid w:val="00B173C9"/>
    <w:rsid w:val="00B17412"/>
    <w:rsid w:val="00B175BD"/>
    <w:rsid w:val="00B17828"/>
    <w:rsid w:val="00B178D1"/>
    <w:rsid w:val="00B1793D"/>
    <w:rsid w:val="00B17A3E"/>
    <w:rsid w:val="00B17B0C"/>
    <w:rsid w:val="00B17B5E"/>
    <w:rsid w:val="00B17BCB"/>
    <w:rsid w:val="00B17C98"/>
    <w:rsid w:val="00B2005E"/>
    <w:rsid w:val="00B20204"/>
    <w:rsid w:val="00B2022E"/>
    <w:rsid w:val="00B20343"/>
    <w:rsid w:val="00B203B9"/>
    <w:rsid w:val="00B2097D"/>
    <w:rsid w:val="00B20BBA"/>
    <w:rsid w:val="00B20CED"/>
    <w:rsid w:val="00B20D21"/>
    <w:rsid w:val="00B20E01"/>
    <w:rsid w:val="00B211AC"/>
    <w:rsid w:val="00B211AD"/>
    <w:rsid w:val="00B21540"/>
    <w:rsid w:val="00B215AB"/>
    <w:rsid w:val="00B216EB"/>
    <w:rsid w:val="00B2195C"/>
    <w:rsid w:val="00B219BD"/>
    <w:rsid w:val="00B21AB0"/>
    <w:rsid w:val="00B21ACB"/>
    <w:rsid w:val="00B21D0B"/>
    <w:rsid w:val="00B21E42"/>
    <w:rsid w:val="00B21F06"/>
    <w:rsid w:val="00B21FE0"/>
    <w:rsid w:val="00B2208D"/>
    <w:rsid w:val="00B2227A"/>
    <w:rsid w:val="00B222A7"/>
    <w:rsid w:val="00B2246E"/>
    <w:rsid w:val="00B22484"/>
    <w:rsid w:val="00B224BF"/>
    <w:rsid w:val="00B22695"/>
    <w:rsid w:val="00B22BA2"/>
    <w:rsid w:val="00B22C09"/>
    <w:rsid w:val="00B22CC0"/>
    <w:rsid w:val="00B23267"/>
    <w:rsid w:val="00B23659"/>
    <w:rsid w:val="00B23B20"/>
    <w:rsid w:val="00B23C2E"/>
    <w:rsid w:val="00B23C9D"/>
    <w:rsid w:val="00B23E9A"/>
    <w:rsid w:val="00B23FDD"/>
    <w:rsid w:val="00B2406F"/>
    <w:rsid w:val="00B241BE"/>
    <w:rsid w:val="00B242A1"/>
    <w:rsid w:val="00B24374"/>
    <w:rsid w:val="00B243DC"/>
    <w:rsid w:val="00B24541"/>
    <w:rsid w:val="00B24721"/>
    <w:rsid w:val="00B247CA"/>
    <w:rsid w:val="00B24C02"/>
    <w:rsid w:val="00B24E7D"/>
    <w:rsid w:val="00B24E97"/>
    <w:rsid w:val="00B24EBE"/>
    <w:rsid w:val="00B2507A"/>
    <w:rsid w:val="00B2521C"/>
    <w:rsid w:val="00B25301"/>
    <w:rsid w:val="00B253C0"/>
    <w:rsid w:val="00B25407"/>
    <w:rsid w:val="00B25426"/>
    <w:rsid w:val="00B25461"/>
    <w:rsid w:val="00B25488"/>
    <w:rsid w:val="00B25541"/>
    <w:rsid w:val="00B255A5"/>
    <w:rsid w:val="00B255FF"/>
    <w:rsid w:val="00B2577B"/>
    <w:rsid w:val="00B25930"/>
    <w:rsid w:val="00B25BD1"/>
    <w:rsid w:val="00B25C1C"/>
    <w:rsid w:val="00B25F89"/>
    <w:rsid w:val="00B26233"/>
    <w:rsid w:val="00B262C0"/>
    <w:rsid w:val="00B262F0"/>
    <w:rsid w:val="00B262FD"/>
    <w:rsid w:val="00B26407"/>
    <w:rsid w:val="00B265D1"/>
    <w:rsid w:val="00B267BC"/>
    <w:rsid w:val="00B26A6B"/>
    <w:rsid w:val="00B26BB0"/>
    <w:rsid w:val="00B26C02"/>
    <w:rsid w:val="00B27025"/>
    <w:rsid w:val="00B270C0"/>
    <w:rsid w:val="00B271E3"/>
    <w:rsid w:val="00B271E8"/>
    <w:rsid w:val="00B27298"/>
    <w:rsid w:val="00B272C2"/>
    <w:rsid w:val="00B275BE"/>
    <w:rsid w:val="00B2775A"/>
    <w:rsid w:val="00B2786B"/>
    <w:rsid w:val="00B278B7"/>
    <w:rsid w:val="00B2799F"/>
    <w:rsid w:val="00B30078"/>
    <w:rsid w:val="00B305E5"/>
    <w:rsid w:val="00B30822"/>
    <w:rsid w:val="00B30919"/>
    <w:rsid w:val="00B309A7"/>
    <w:rsid w:val="00B30CBB"/>
    <w:rsid w:val="00B30FA4"/>
    <w:rsid w:val="00B311F0"/>
    <w:rsid w:val="00B311FA"/>
    <w:rsid w:val="00B31250"/>
    <w:rsid w:val="00B312A0"/>
    <w:rsid w:val="00B31855"/>
    <w:rsid w:val="00B31A1E"/>
    <w:rsid w:val="00B31C6A"/>
    <w:rsid w:val="00B31E06"/>
    <w:rsid w:val="00B31F99"/>
    <w:rsid w:val="00B32112"/>
    <w:rsid w:val="00B32174"/>
    <w:rsid w:val="00B321AE"/>
    <w:rsid w:val="00B322EB"/>
    <w:rsid w:val="00B3245D"/>
    <w:rsid w:val="00B327EB"/>
    <w:rsid w:val="00B327F7"/>
    <w:rsid w:val="00B32866"/>
    <w:rsid w:val="00B32928"/>
    <w:rsid w:val="00B32A07"/>
    <w:rsid w:val="00B32A5D"/>
    <w:rsid w:val="00B32B9F"/>
    <w:rsid w:val="00B3308C"/>
    <w:rsid w:val="00B33302"/>
    <w:rsid w:val="00B33475"/>
    <w:rsid w:val="00B33A96"/>
    <w:rsid w:val="00B33AAB"/>
    <w:rsid w:val="00B33CE9"/>
    <w:rsid w:val="00B340AA"/>
    <w:rsid w:val="00B340ED"/>
    <w:rsid w:val="00B342F4"/>
    <w:rsid w:val="00B3431C"/>
    <w:rsid w:val="00B3433A"/>
    <w:rsid w:val="00B343AF"/>
    <w:rsid w:val="00B34405"/>
    <w:rsid w:val="00B34701"/>
    <w:rsid w:val="00B34821"/>
    <w:rsid w:val="00B349A2"/>
    <w:rsid w:val="00B349AD"/>
    <w:rsid w:val="00B34A88"/>
    <w:rsid w:val="00B34AE9"/>
    <w:rsid w:val="00B34E2B"/>
    <w:rsid w:val="00B34E72"/>
    <w:rsid w:val="00B34E9C"/>
    <w:rsid w:val="00B35198"/>
    <w:rsid w:val="00B35936"/>
    <w:rsid w:val="00B35AA5"/>
    <w:rsid w:val="00B35B20"/>
    <w:rsid w:val="00B35D92"/>
    <w:rsid w:val="00B35F03"/>
    <w:rsid w:val="00B35FC1"/>
    <w:rsid w:val="00B362AB"/>
    <w:rsid w:val="00B36436"/>
    <w:rsid w:val="00B36607"/>
    <w:rsid w:val="00B36616"/>
    <w:rsid w:val="00B3661A"/>
    <w:rsid w:val="00B36637"/>
    <w:rsid w:val="00B3664F"/>
    <w:rsid w:val="00B366B6"/>
    <w:rsid w:val="00B36747"/>
    <w:rsid w:val="00B36786"/>
    <w:rsid w:val="00B367F3"/>
    <w:rsid w:val="00B36803"/>
    <w:rsid w:val="00B36984"/>
    <w:rsid w:val="00B36BE9"/>
    <w:rsid w:val="00B36F6E"/>
    <w:rsid w:val="00B37038"/>
    <w:rsid w:val="00B370F3"/>
    <w:rsid w:val="00B371BD"/>
    <w:rsid w:val="00B37328"/>
    <w:rsid w:val="00B377A6"/>
    <w:rsid w:val="00B377DA"/>
    <w:rsid w:val="00B3785D"/>
    <w:rsid w:val="00B37887"/>
    <w:rsid w:val="00B379BC"/>
    <w:rsid w:val="00B379E9"/>
    <w:rsid w:val="00B37C7C"/>
    <w:rsid w:val="00B37CBF"/>
    <w:rsid w:val="00B37CDC"/>
    <w:rsid w:val="00B37F6E"/>
    <w:rsid w:val="00B40010"/>
    <w:rsid w:val="00B4014D"/>
    <w:rsid w:val="00B4017C"/>
    <w:rsid w:val="00B40521"/>
    <w:rsid w:val="00B406AA"/>
    <w:rsid w:val="00B406FD"/>
    <w:rsid w:val="00B40719"/>
    <w:rsid w:val="00B408C8"/>
    <w:rsid w:val="00B4091B"/>
    <w:rsid w:val="00B40932"/>
    <w:rsid w:val="00B40A7C"/>
    <w:rsid w:val="00B40C7A"/>
    <w:rsid w:val="00B40CB3"/>
    <w:rsid w:val="00B40D51"/>
    <w:rsid w:val="00B4118C"/>
    <w:rsid w:val="00B41265"/>
    <w:rsid w:val="00B41276"/>
    <w:rsid w:val="00B417D9"/>
    <w:rsid w:val="00B41802"/>
    <w:rsid w:val="00B418A0"/>
    <w:rsid w:val="00B41B0E"/>
    <w:rsid w:val="00B41B93"/>
    <w:rsid w:val="00B41D94"/>
    <w:rsid w:val="00B41E34"/>
    <w:rsid w:val="00B41E59"/>
    <w:rsid w:val="00B41F73"/>
    <w:rsid w:val="00B4202D"/>
    <w:rsid w:val="00B42178"/>
    <w:rsid w:val="00B42330"/>
    <w:rsid w:val="00B424F4"/>
    <w:rsid w:val="00B42531"/>
    <w:rsid w:val="00B4266D"/>
    <w:rsid w:val="00B426AC"/>
    <w:rsid w:val="00B42755"/>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954"/>
    <w:rsid w:val="00B43977"/>
    <w:rsid w:val="00B43A24"/>
    <w:rsid w:val="00B43B6C"/>
    <w:rsid w:val="00B43BBF"/>
    <w:rsid w:val="00B43D28"/>
    <w:rsid w:val="00B43D97"/>
    <w:rsid w:val="00B43EF1"/>
    <w:rsid w:val="00B43F4E"/>
    <w:rsid w:val="00B44684"/>
    <w:rsid w:val="00B4475C"/>
    <w:rsid w:val="00B448D7"/>
    <w:rsid w:val="00B44924"/>
    <w:rsid w:val="00B4498E"/>
    <w:rsid w:val="00B44CCC"/>
    <w:rsid w:val="00B44CD5"/>
    <w:rsid w:val="00B44E45"/>
    <w:rsid w:val="00B44E4C"/>
    <w:rsid w:val="00B44FB1"/>
    <w:rsid w:val="00B45083"/>
    <w:rsid w:val="00B450AC"/>
    <w:rsid w:val="00B452EC"/>
    <w:rsid w:val="00B45368"/>
    <w:rsid w:val="00B4544B"/>
    <w:rsid w:val="00B4588A"/>
    <w:rsid w:val="00B459B0"/>
    <w:rsid w:val="00B459B8"/>
    <w:rsid w:val="00B459DC"/>
    <w:rsid w:val="00B45E73"/>
    <w:rsid w:val="00B45F28"/>
    <w:rsid w:val="00B45F90"/>
    <w:rsid w:val="00B462A6"/>
    <w:rsid w:val="00B462D5"/>
    <w:rsid w:val="00B463CF"/>
    <w:rsid w:val="00B463DA"/>
    <w:rsid w:val="00B463F1"/>
    <w:rsid w:val="00B464BA"/>
    <w:rsid w:val="00B465BA"/>
    <w:rsid w:val="00B4672D"/>
    <w:rsid w:val="00B467D8"/>
    <w:rsid w:val="00B467F5"/>
    <w:rsid w:val="00B46984"/>
    <w:rsid w:val="00B46A60"/>
    <w:rsid w:val="00B46E66"/>
    <w:rsid w:val="00B46EC1"/>
    <w:rsid w:val="00B46F37"/>
    <w:rsid w:val="00B470AE"/>
    <w:rsid w:val="00B471C0"/>
    <w:rsid w:val="00B4724B"/>
    <w:rsid w:val="00B47316"/>
    <w:rsid w:val="00B47510"/>
    <w:rsid w:val="00B4751D"/>
    <w:rsid w:val="00B47C0C"/>
    <w:rsid w:val="00B47E1D"/>
    <w:rsid w:val="00B47E4B"/>
    <w:rsid w:val="00B47F86"/>
    <w:rsid w:val="00B47FE1"/>
    <w:rsid w:val="00B500D9"/>
    <w:rsid w:val="00B50228"/>
    <w:rsid w:val="00B502AF"/>
    <w:rsid w:val="00B5045F"/>
    <w:rsid w:val="00B504EB"/>
    <w:rsid w:val="00B50608"/>
    <w:rsid w:val="00B509F1"/>
    <w:rsid w:val="00B50A16"/>
    <w:rsid w:val="00B50A24"/>
    <w:rsid w:val="00B50E96"/>
    <w:rsid w:val="00B50F94"/>
    <w:rsid w:val="00B50FA3"/>
    <w:rsid w:val="00B51027"/>
    <w:rsid w:val="00B51148"/>
    <w:rsid w:val="00B511B0"/>
    <w:rsid w:val="00B515F7"/>
    <w:rsid w:val="00B51CC7"/>
    <w:rsid w:val="00B51FA4"/>
    <w:rsid w:val="00B51FAA"/>
    <w:rsid w:val="00B52269"/>
    <w:rsid w:val="00B5234A"/>
    <w:rsid w:val="00B52381"/>
    <w:rsid w:val="00B52532"/>
    <w:rsid w:val="00B525D4"/>
    <w:rsid w:val="00B526B9"/>
    <w:rsid w:val="00B529D8"/>
    <w:rsid w:val="00B52C45"/>
    <w:rsid w:val="00B52E4D"/>
    <w:rsid w:val="00B52FB6"/>
    <w:rsid w:val="00B53019"/>
    <w:rsid w:val="00B531D8"/>
    <w:rsid w:val="00B53511"/>
    <w:rsid w:val="00B5394B"/>
    <w:rsid w:val="00B539BC"/>
    <w:rsid w:val="00B53BC1"/>
    <w:rsid w:val="00B53C01"/>
    <w:rsid w:val="00B53CEB"/>
    <w:rsid w:val="00B54144"/>
    <w:rsid w:val="00B541A2"/>
    <w:rsid w:val="00B5431D"/>
    <w:rsid w:val="00B544B4"/>
    <w:rsid w:val="00B54975"/>
    <w:rsid w:val="00B54B14"/>
    <w:rsid w:val="00B54CA1"/>
    <w:rsid w:val="00B54D4C"/>
    <w:rsid w:val="00B54E6F"/>
    <w:rsid w:val="00B54EC4"/>
    <w:rsid w:val="00B55111"/>
    <w:rsid w:val="00B55502"/>
    <w:rsid w:val="00B555C3"/>
    <w:rsid w:val="00B55944"/>
    <w:rsid w:val="00B55BA2"/>
    <w:rsid w:val="00B55D21"/>
    <w:rsid w:val="00B55D4E"/>
    <w:rsid w:val="00B55DF2"/>
    <w:rsid w:val="00B55E3E"/>
    <w:rsid w:val="00B55ED3"/>
    <w:rsid w:val="00B560B9"/>
    <w:rsid w:val="00B5673E"/>
    <w:rsid w:val="00B56B4B"/>
    <w:rsid w:val="00B56B76"/>
    <w:rsid w:val="00B5715A"/>
    <w:rsid w:val="00B5723F"/>
    <w:rsid w:val="00B5729E"/>
    <w:rsid w:val="00B573CB"/>
    <w:rsid w:val="00B574FA"/>
    <w:rsid w:val="00B5756F"/>
    <w:rsid w:val="00B5760D"/>
    <w:rsid w:val="00B576D1"/>
    <w:rsid w:val="00B5775A"/>
    <w:rsid w:val="00B57A7D"/>
    <w:rsid w:val="00B57CBC"/>
    <w:rsid w:val="00B57D8A"/>
    <w:rsid w:val="00B57F47"/>
    <w:rsid w:val="00B6008C"/>
    <w:rsid w:val="00B602D7"/>
    <w:rsid w:val="00B602F6"/>
    <w:rsid w:val="00B60377"/>
    <w:rsid w:val="00B6045B"/>
    <w:rsid w:val="00B60547"/>
    <w:rsid w:val="00B605DB"/>
    <w:rsid w:val="00B605EC"/>
    <w:rsid w:val="00B6072F"/>
    <w:rsid w:val="00B607B7"/>
    <w:rsid w:val="00B608DB"/>
    <w:rsid w:val="00B60A34"/>
    <w:rsid w:val="00B60B2E"/>
    <w:rsid w:val="00B60DD7"/>
    <w:rsid w:val="00B60E87"/>
    <w:rsid w:val="00B6106F"/>
    <w:rsid w:val="00B61083"/>
    <w:rsid w:val="00B61122"/>
    <w:rsid w:val="00B61198"/>
    <w:rsid w:val="00B612B5"/>
    <w:rsid w:val="00B612C7"/>
    <w:rsid w:val="00B61398"/>
    <w:rsid w:val="00B61460"/>
    <w:rsid w:val="00B615F1"/>
    <w:rsid w:val="00B616C3"/>
    <w:rsid w:val="00B617E0"/>
    <w:rsid w:val="00B617EA"/>
    <w:rsid w:val="00B617F8"/>
    <w:rsid w:val="00B61909"/>
    <w:rsid w:val="00B61C5A"/>
    <w:rsid w:val="00B62095"/>
    <w:rsid w:val="00B6211D"/>
    <w:rsid w:val="00B622F1"/>
    <w:rsid w:val="00B622FC"/>
    <w:rsid w:val="00B62440"/>
    <w:rsid w:val="00B629DC"/>
    <w:rsid w:val="00B62ADC"/>
    <w:rsid w:val="00B62C35"/>
    <w:rsid w:val="00B62D28"/>
    <w:rsid w:val="00B62D30"/>
    <w:rsid w:val="00B62F14"/>
    <w:rsid w:val="00B63043"/>
    <w:rsid w:val="00B630CF"/>
    <w:rsid w:val="00B631D1"/>
    <w:rsid w:val="00B63592"/>
    <w:rsid w:val="00B63650"/>
    <w:rsid w:val="00B63863"/>
    <w:rsid w:val="00B6386D"/>
    <w:rsid w:val="00B63B6F"/>
    <w:rsid w:val="00B63B90"/>
    <w:rsid w:val="00B63C31"/>
    <w:rsid w:val="00B63CDD"/>
    <w:rsid w:val="00B63E28"/>
    <w:rsid w:val="00B63E2B"/>
    <w:rsid w:val="00B64117"/>
    <w:rsid w:val="00B64141"/>
    <w:rsid w:val="00B64163"/>
    <w:rsid w:val="00B6422A"/>
    <w:rsid w:val="00B64337"/>
    <w:rsid w:val="00B64396"/>
    <w:rsid w:val="00B64612"/>
    <w:rsid w:val="00B64673"/>
    <w:rsid w:val="00B64736"/>
    <w:rsid w:val="00B648E1"/>
    <w:rsid w:val="00B64A5E"/>
    <w:rsid w:val="00B64A73"/>
    <w:rsid w:val="00B64D00"/>
    <w:rsid w:val="00B64ED6"/>
    <w:rsid w:val="00B652B0"/>
    <w:rsid w:val="00B6549A"/>
    <w:rsid w:val="00B65543"/>
    <w:rsid w:val="00B6557E"/>
    <w:rsid w:val="00B655C7"/>
    <w:rsid w:val="00B659C9"/>
    <w:rsid w:val="00B659CC"/>
    <w:rsid w:val="00B65C2C"/>
    <w:rsid w:val="00B65CD2"/>
    <w:rsid w:val="00B65E4F"/>
    <w:rsid w:val="00B65E80"/>
    <w:rsid w:val="00B65F71"/>
    <w:rsid w:val="00B66191"/>
    <w:rsid w:val="00B661E3"/>
    <w:rsid w:val="00B6631B"/>
    <w:rsid w:val="00B663C1"/>
    <w:rsid w:val="00B66453"/>
    <w:rsid w:val="00B668D0"/>
    <w:rsid w:val="00B6698C"/>
    <w:rsid w:val="00B66C3E"/>
    <w:rsid w:val="00B66CCA"/>
    <w:rsid w:val="00B66CE1"/>
    <w:rsid w:val="00B66E84"/>
    <w:rsid w:val="00B66F22"/>
    <w:rsid w:val="00B6736B"/>
    <w:rsid w:val="00B67370"/>
    <w:rsid w:val="00B678D7"/>
    <w:rsid w:val="00B678EA"/>
    <w:rsid w:val="00B678F9"/>
    <w:rsid w:val="00B67989"/>
    <w:rsid w:val="00B67A85"/>
    <w:rsid w:val="00B67AEE"/>
    <w:rsid w:val="00B67F1B"/>
    <w:rsid w:val="00B67F1C"/>
    <w:rsid w:val="00B67F2B"/>
    <w:rsid w:val="00B70689"/>
    <w:rsid w:val="00B70A17"/>
    <w:rsid w:val="00B70A45"/>
    <w:rsid w:val="00B70B76"/>
    <w:rsid w:val="00B70E41"/>
    <w:rsid w:val="00B70E53"/>
    <w:rsid w:val="00B70EAB"/>
    <w:rsid w:val="00B70EC2"/>
    <w:rsid w:val="00B7115D"/>
    <w:rsid w:val="00B71271"/>
    <w:rsid w:val="00B7153D"/>
    <w:rsid w:val="00B71557"/>
    <w:rsid w:val="00B718A0"/>
    <w:rsid w:val="00B7192D"/>
    <w:rsid w:val="00B71BC2"/>
    <w:rsid w:val="00B71C5D"/>
    <w:rsid w:val="00B71F37"/>
    <w:rsid w:val="00B7200E"/>
    <w:rsid w:val="00B72031"/>
    <w:rsid w:val="00B72076"/>
    <w:rsid w:val="00B720BA"/>
    <w:rsid w:val="00B72411"/>
    <w:rsid w:val="00B72489"/>
    <w:rsid w:val="00B72505"/>
    <w:rsid w:val="00B7270B"/>
    <w:rsid w:val="00B7285C"/>
    <w:rsid w:val="00B729DB"/>
    <w:rsid w:val="00B72AC2"/>
    <w:rsid w:val="00B72B7A"/>
    <w:rsid w:val="00B72CFE"/>
    <w:rsid w:val="00B72DDE"/>
    <w:rsid w:val="00B72E4E"/>
    <w:rsid w:val="00B72EF3"/>
    <w:rsid w:val="00B7303B"/>
    <w:rsid w:val="00B731DF"/>
    <w:rsid w:val="00B73268"/>
    <w:rsid w:val="00B73300"/>
    <w:rsid w:val="00B7330A"/>
    <w:rsid w:val="00B734E8"/>
    <w:rsid w:val="00B73505"/>
    <w:rsid w:val="00B73713"/>
    <w:rsid w:val="00B73801"/>
    <w:rsid w:val="00B7387C"/>
    <w:rsid w:val="00B73943"/>
    <w:rsid w:val="00B73B49"/>
    <w:rsid w:val="00B73B4D"/>
    <w:rsid w:val="00B73B7C"/>
    <w:rsid w:val="00B73D29"/>
    <w:rsid w:val="00B73EC2"/>
    <w:rsid w:val="00B73EC6"/>
    <w:rsid w:val="00B73FAB"/>
    <w:rsid w:val="00B740D9"/>
    <w:rsid w:val="00B741D5"/>
    <w:rsid w:val="00B744C7"/>
    <w:rsid w:val="00B74569"/>
    <w:rsid w:val="00B74A4E"/>
    <w:rsid w:val="00B74ADE"/>
    <w:rsid w:val="00B74FAE"/>
    <w:rsid w:val="00B75061"/>
    <w:rsid w:val="00B7509C"/>
    <w:rsid w:val="00B75259"/>
    <w:rsid w:val="00B7525C"/>
    <w:rsid w:val="00B75316"/>
    <w:rsid w:val="00B7553B"/>
    <w:rsid w:val="00B75603"/>
    <w:rsid w:val="00B7562C"/>
    <w:rsid w:val="00B75963"/>
    <w:rsid w:val="00B759B4"/>
    <w:rsid w:val="00B75B4E"/>
    <w:rsid w:val="00B75DD6"/>
    <w:rsid w:val="00B761DC"/>
    <w:rsid w:val="00B761E0"/>
    <w:rsid w:val="00B76376"/>
    <w:rsid w:val="00B76415"/>
    <w:rsid w:val="00B7641B"/>
    <w:rsid w:val="00B76437"/>
    <w:rsid w:val="00B7657B"/>
    <w:rsid w:val="00B76671"/>
    <w:rsid w:val="00B76B26"/>
    <w:rsid w:val="00B76B80"/>
    <w:rsid w:val="00B76CA7"/>
    <w:rsid w:val="00B76EC9"/>
    <w:rsid w:val="00B7718D"/>
    <w:rsid w:val="00B7719B"/>
    <w:rsid w:val="00B77204"/>
    <w:rsid w:val="00B7727B"/>
    <w:rsid w:val="00B772E3"/>
    <w:rsid w:val="00B7732E"/>
    <w:rsid w:val="00B7748D"/>
    <w:rsid w:val="00B777E0"/>
    <w:rsid w:val="00B7798F"/>
    <w:rsid w:val="00B77A12"/>
    <w:rsid w:val="00B77D4F"/>
    <w:rsid w:val="00B77E9A"/>
    <w:rsid w:val="00B77EE6"/>
    <w:rsid w:val="00B80082"/>
    <w:rsid w:val="00B8015C"/>
    <w:rsid w:val="00B80181"/>
    <w:rsid w:val="00B803E8"/>
    <w:rsid w:val="00B80C4E"/>
    <w:rsid w:val="00B80C93"/>
    <w:rsid w:val="00B80F1A"/>
    <w:rsid w:val="00B81030"/>
    <w:rsid w:val="00B8107E"/>
    <w:rsid w:val="00B810AB"/>
    <w:rsid w:val="00B810C6"/>
    <w:rsid w:val="00B8111A"/>
    <w:rsid w:val="00B8119F"/>
    <w:rsid w:val="00B813EE"/>
    <w:rsid w:val="00B8155C"/>
    <w:rsid w:val="00B815A4"/>
    <w:rsid w:val="00B815CE"/>
    <w:rsid w:val="00B8177A"/>
    <w:rsid w:val="00B81803"/>
    <w:rsid w:val="00B819ED"/>
    <w:rsid w:val="00B81B7E"/>
    <w:rsid w:val="00B81D0F"/>
    <w:rsid w:val="00B81ED7"/>
    <w:rsid w:val="00B81F14"/>
    <w:rsid w:val="00B82036"/>
    <w:rsid w:val="00B820F5"/>
    <w:rsid w:val="00B821A4"/>
    <w:rsid w:val="00B821CB"/>
    <w:rsid w:val="00B822AD"/>
    <w:rsid w:val="00B826B4"/>
    <w:rsid w:val="00B827D9"/>
    <w:rsid w:val="00B829AB"/>
    <w:rsid w:val="00B82AA6"/>
    <w:rsid w:val="00B82AF5"/>
    <w:rsid w:val="00B82CE0"/>
    <w:rsid w:val="00B82E96"/>
    <w:rsid w:val="00B82FE7"/>
    <w:rsid w:val="00B82FF7"/>
    <w:rsid w:val="00B832CA"/>
    <w:rsid w:val="00B8333E"/>
    <w:rsid w:val="00B833AE"/>
    <w:rsid w:val="00B833EC"/>
    <w:rsid w:val="00B835E7"/>
    <w:rsid w:val="00B836D2"/>
    <w:rsid w:val="00B83739"/>
    <w:rsid w:val="00B83769"/>
    <w:rsid w:val="00B837ED"/>
    <w:rsid w:val="00B83B94"/>
    <w:rsid w:val="00B83CDF"/>
    <w:rsid w:val="00B83D4E"/>
    <w:rsid w:val="00B83D56"/>
    <w:rsid w:val="00B83E3D"/>
    <w:rsid w:val="00B83E82"/>
    <w:rsid w:val="00B83EE6"/>
    <w:rsid w:val="00B8440B"/>
    <w:rsid w:val="00B8487D"/>
    <w:rsid w:val="00B84D85"/>
    <w:rsid w:val="00B84E1E"/>
    <w:rsid w:val="00B84E70"/>
    <w:rsid w:val="00B84F57"/>
    <w:rsid w:val="00B84F9B"/>
    <w:rsid w:val="00B850D9"/>
    <w:rsid w:val="00B85401"/>
    <w:rsid w:val="00B85599"/>
    <w:rsid w:val="00B855E7"/>
    <w:rsid w:val="00B85982"/>
    <w:rsid w:val="00B85B72"/>
    <w:rsid w:val="00B85E34"/>
    <w:rsid w:val="00B85EE2"/>
    <w:rsid w:val="00B8619D"/>
    <w:rsid w:val="00B861AE"/>
    <w:rsid w:val="00B863B7"/>
    <w:rsid w:val="00B86436"/>
    <w:rsid w:val="00B86804"/>
    <w:rsid w:val="00B86A9B"/>
    <w:rsid w:val="00B86CDF"/>
    <w:rsid w:val="00B86FDF"/>
    <w:rsid w:val="00B8713E"/>
    <w:rsid w:val="00B8717F"/>
    <w:rsid w:val="00B871E2"/>
    <w:rsid w:val="00B873CB"/>
    <w:rsid w:val="00B87629"/>
    <w:rsid w:val="00B87875"/>
    <w:rsid w:val="00B878A3"/>
    <w:rsid w:val="00B878C5"/>
    <w:rsid w:val="00B87925"/>
    <w:rsid w:val="00B879A1"/>
    <w:rsid w:val="00B87D2A"/>
    <w:rsid w:val="00B87E81"/>
    <w:rsid w:val="00B87FF9"/>
    <w:rsid w:val="00B90032"/>
    <w:rsid w:val="00B9010B"/>
    <w:rsid w:val="00B901FA"/>
    <w:rsid w:val="00B902B2"/>
    <w:rsid w:val="00B904E8"/>
    <w:rsid w:val="00B906C3"/>
    <w:rsid w:val="00B90726"/>
    <w:rsid w:val="00B90A55"/>
    <w:rsid w:val="00B90ACC"/>
    <w:rsid w:val="00B90BF8"/>
    <w:rsid w:val="00B90CE0"/>
    <w:rsid w:val="00B910AE"/>
    <w:rsid w:val="00B911CA"/>
    <w:rsid w:val="00B9134E"/>
    <w:rsid w:val="00B9137D"/>
    <w:rsid w:val="00B9145B"/>
    <w:rsid w:val="00B9153E"/>
    <w:rsid w:val="00B9155E"/>
    <w:rsid w:val="00B917E8"/>
    <w:rsid w:val="00B9196E"/>
    <w:rsid w:val="00B91B67"/>
    <w:rsid w:val="00B91DE6"/>
    <w:rsid w:val="00B91E13"/>
    <w:rsid w:val="00B91EA7"/>
    <w:rsid w:val="00B91EC4"/>
    <w:rsid w:val="00B91F59"/>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0E9"/>
    <w:rsid w:val="00B93157"/>
    <w:rsid w:val="00B93217"/>
    <w:rsid w:val="00B93301"/>
    <w:rsid w:val="00B9333F"/>
    <w:rsid w:val="00B9343D"/>
    <w:rsid w:val="00B93552"/>
    <w:rsid w:val="00B935AF"/>
    <w:rsid w:val="00B935F1"/>
    <w:rsid w:val="00B93807"/>
    <w:rsid w:val="00B938EB"/>
    <w:rsid w:val="00B93963"/>
    <w:rsid w:val="00B93BF0"/>
    <w:rsid w:val="00B93CA6"/>
    <w:rsid w:val="00B93D2F"/>
    <w:rsid w:val="00B93DDE"/>
    <w:rsid w:val="00B93DFB"/>
    <w:rsid w:val="00B940D1"/>
    <w:rsid w:val="00B94171"/>
    <w:rsid w:val="00B944B3"/>
    <w:rsid w:val="00B9450A"/>
    <w:rsid w:val="00B94609"/>
    <w:rsid w:val="00B9472B"/>
    <w:rsid w:val="00B94A77"/>
    <w:rsid w:val="00B94B04"/>
    <w:rsid w:val="00B94BA8"/>
    <w:rsid w:val="00B94D35"/>
    <w:rsid w:val="00B94DC5"/>
    <w:rsid w:val="00B94DC6"/>
    <w:rsid w:val="00B94FCB"/>
    <w:rsid w:val="00B950F2"/>
    <w:rsid w:val="00B951A1"/>
    <w:rsid w:val="00B951AE"/>
    <w:rsid w:val="00B95231"/>
    <w:rsid w:val="00B95458"/>
    <w:rsid w:val="00B954C1"/>
    <w:rsid w:val="00B955C1"/>
    <w:rsid w:val="00B956B4"/>
    <w:rsid w:val="00B958BA"/>
    <w:rsid w:val="00B958C2"/>
    <w:rsid w:val="00B95B99"/>
    <w:rsid w:val="00B95BC4"/>
    <w:rsid w:val="00B95BDD"/>
    <w:rsid w:val="00B95CEE"/>
    <w:rsid w:val="00B95D34"/>
    <w:rsid w:val="00B962D4"/>
    <w:rsid w:val="00B962EC"/>
    <w:rsid w:val="00B9646C"/>
    <w:rsid w:val="00B96750"/>
    <w:rsid w:val="00B9686D"/>
    <w:rsid w:val="00B96A6F"/>
    <w:rsid w:val="00B96ABB"/>
    <w:rsid w:val="00B96D8D"/>
    <w:rsid w:val="00B96FCB"/>
    <w:rsid w:val="00B972F9"/>
    <w:rsid w:val="00B97304"/>
    <w:rsid w:val="00B9740C"/>
    <w:rsid w:val="00B974EE"/>
    <w:rsid w:val="00B976C0"/>
    <w:rsid w:val="00B9796D"/>
    <w:rsid w:val="00B97D67"/>
    <w:rsid w:val="00BA028F"/>
    <w:rsid w:val="00BA053F"/>
    <w:rsid w:val="00BA075F"/>
    <w:rsid w:val="00BA0831"/>
    <w:rsid w:val="00BA084B"/>
    <w:rsid w:val="00BA0F56"/>
    <w:rsid w:val="00BA104F"/>
    <w:rsid w:val="00BA11D8"/>
    <w:rsid w:val="00BA1237"/>
    <w:rsid w:val="00BA12BF"/>
    <w:rsid w:val="00BA133B"/>
    <w:rsid w:val="00BA13C2"/>
    <w:rsid w:val="00BA177B"/>
    <w:rsid w:val="00BA1884"/>
    <w:rsid w:val="00BA19B8"/>
    <w:rsid w:val="00BA1A9A"/>
    <w:rsid w:val="00BA1AE4"/>
    <w:rsid w:val="00BA1E01"/>
    <w:rsid w:val="00BA1EBC"/>
    <w:rsid w:val="00BA1EDD"/>
    <w:rsid w:val="00BA1FBA"/>
    <w:rsid w:val="00BA21D0"/>
    <w:rsid w:val="00BA22F7"/>
    <w:rsid w:val="00BA275D"/>
    <w:rsid w:val="00BA2B0A"/>
    <w:rsid w:val="00BA2BD1"/>
    <w:rsid w:val="00BA2CF6"/>
    <w:rsid w:val="00BA2E5F"/>
    <w:rsid w:val="00BA30CF"/>
    <w:rsid w:val="00BA31A8"/>
    <w:rsid w:val="00BA3302"/>
    <w:rsid w:val="00BA369D"/>
    <w:rsid w:val="00BA37E7"/>
    <w:rsid w:val="00BA3C15"/>
    <w:rsid w:val="00BA3E16"/>
    <w:rsid w:val="00BA400E"/>
    <w:rsid w:val="00BA4182"/>
    <w:rsid w:val="00BA4442"/>
    <w:rsid w:val="00BA4BCF"/>
    <w:rsid w:val="00BA4CA6"/>
    <w:rsid w:val="00BA4DE3"/>
    <w:rsid w:val="00BA4E14"/>
    <w:rsid w:val="00BA5072"/>
    <w:rsid w:val="00BA5203"/>
    <w:rsid w:val="00BA52BB"/>
    <w:rsid w:val="00BA55F9"/>
    <w:rsid w:val="00BA5717"/>
    <w:rsid w:val="00BA57F5"/>
    <w:rsid w:val="00BA5816"/>
    <w:rsid w:val="00BA5A1A"/>
    <w:rsid w:val="00BA5A7E"/>
    <w:rsid w:val="00BA5C40"/>
    <w:rsid w:val="00BA5C67"/>
    <w:rsid w:val="00BA5C6F"/>
    <w:rsid w:val="00BA5CF0"/>
    <w:rsid w:val="00BA5D5C"/>
    <w:rsid w:val="00BA5E3C"/>
    <w:rsid w:val="00BA5E80"/>
    <w:rsid w:val="00BA5E8D"/>
    <w:rsid w:val="00BA6056"/>
    <w:rsid w:val="00BA608C"/>
    <w:rsid w:val="00BA620D"/>
    <w:rsid w:val="00BA6332"/>
    <w:rsid w:val="00BA64C4"/>
    <w:rsid w:val="00BA683C"/>
    <w:rsid w:val="00BA6967"/>
    <w:rsid w:val="00BA6D10"/>
    <w:rsid w:val="00BA6D53"/>
    <w:rsid w:val="00BA7132"/>
    <w:rsid w:val="00BA717D"/>
    <w:rsid w:val="00BA71A4"/>
    <w:rsid w:val="00BA7239"/>
    <w:rsid w:val="00BA73ED"/>
    <w:rsid w:val="00BA741A"/>
    <w:rsid w:val="00BA7536"/>
    <w:rsid w:val="00BA758B"/>
    <w:rsid w:val="00BA7605"/>
    <w:rsid w:val="00BA7640"/>
    <w:rsid w:val="00BA76A9"/>
    <w:rsid w:val="00BA7959"/>
    <w:rsid w:val="00BA7CC4"/>
    <w:rsid w:val="00BA7EA2"/>
    <w:rsid w:val="00BB009A"/>
    <w:rsid w:val="00BB00EB"/>
    <w:rsid w:val="00BB0351"/>
    <w:rsid w:val="00BB054D"/>
    <w:rsid w:val="00BB0725"/>
    <w:rsid w:val="00BB0912"/>
    <w:rsid w:val="00BB0DB1"/>
    <w:rsid w:val="00BB0DD4"/>
    <w:rsid w:val="00BB1156"/>
    <w:rsid w:val="00BB126B"/>
    <w:rsid w:val="00BB12D5"/>
    <w:rsid w:val="00BB1458"/>
    <w:rsid w:val="00BB14F6"/>
    <w:rsid w:val="00BB15C6"/>
    <w:rsid w:val="00BB1674"/>
    <w:rsid w:val="00BB17FD"/>
    <w:rsid w:val="00BB1AC8"/>
    <w:rsid w:val="00BB1B6E"/>
    <w:rsid w:val="00BB1D42"/>
    <w:rsid w:val="00BB1EA1"/>
    <w:rsid w:val="00BB2123"/>
    <w:rsid w:val="00BB21BE"/>
    <w:rsid w:val="00BB2333"/>
    <w:rsid w:val="00BB23DC"/>
    <w:rsid w:val="00BB24B7"/>
    <w:rsid w:val="00BB24D3"/>
    <w:rsid w:val="00BB24F4"/>
    <w:rsid w:val="00BB25CD"/>
    <w:rsid w:val="00BB2603"/>
    <w:rsid w:val="00BB2844"/>
    <w:rsid w:val="00BB2A70"/>
    <w:rsid w:val="00BB2A8F"/>
    <w:rsid w:val="00BB2B04"/>
    <w:rsid w:val="00BB2D42"/>
    <w:rsid w:val="00BB2D6A"/>
    <w:rsid w:val="00BB2FFB"/>
    <w:rsid w:val="00BB30D0"/>
    <w:rsid w:val="00BB32AC"/>
    <w:rsid w:val="00BB34ED"/>
    <w:rsid w:val="00BB34F0"/>
    <w:rsid w:val="00BB3665"/>
    <w:rsid w:val="00BB3809"/>
    <w:rsid w:val="00BB394D"/>
    <w:rsid w:val="00BB3AB5"/>
    <w:rsid w:val="00BB3B04"/>
    <w:rsid w:val="00BB3BE8"/>
    <w:rsid w:val="00BB3C3D"/>
    <w:rsid w:val="00BB3D3D"/>
    <w:rsid w:val="00BB3E6F"/>
    <w:rsid w:val="00BB3F32"/>
    <w:rsid w:val="00BB3F5F"/>
    <w:rsid w:val="00BB40B6"/>
    <w:rsid w:val="00BB41FC"/>
    <w:rsid w:val="00BB42E9"/>
    <w:rsid w:val="00BB457A"/>
    <w:rsid w:val="00BB46BC"/>
    <w:rsid w:val="00BB483E"/>
    <w:rsid w:val="00BB48C7"/>
    <w:rsid w:val="00BB4985"/>
    <w:rsid w:val="00BB51D5"/>
    <w:rsid w:val="00BB5574"/>
    <w:rsid w:val="00BB57E6"/>
    <w:rsid w:val="00BB57EB"/>
    <w:rsid w:val="00BB57F7"/>
    <w:rsid w:val="00BB585F"/>
    <w:rsid w:val="00BB58E8"/>
    <w:rsid w:val="00BB5944"/>
    <w:rsid w:val="00BB5A13"/>
    <w:rsid w:val="00BB5AB4"/>
    <w:rsid w:val="00BB5C0C"/>
    <w:rsid w:val="00BB60E3"/>
    <w:rsid w:val="00BB62CB"/>
    <w:rsid w:val="00BB6693"/>
    <w:rsid w:val="00BB6712"/>
    <w:rsid w:val="00BB673D"/>
    <w:rsid w:val="00BB67D8"/>
    <w:rsid w:val="00BB6A03"/>
    <w:rsid w:val="00BB6A86"/>
    <w:rsid w:val="00BB6ADC"/>
    <w:rsid w:val="00BB6C4F"/>
    <w:rsid w:val="00BB6DF8"/>
    <w:rsid w:val="00BB6E36"/>
    <w:rsid w:val="00BB6E6E"/>
    <w:rsid w:val="00BB6EB4"/>
    <w:rsid w:val="00BB722B"/>
    <w:rsid w:val="00BB72CF"/>
    <w:rsid w:val="00BB72E3"/>
    <w:rsid w:val="00BB7345"/>
    <w:rsid w:val="00BB73EA"/>
    <w:rsid w:val="00BB749B"/>
    <w:rsid w:val="00BB7519"/>
    <w:rsid w:val="00BB7579"/>
    <w:rsid w:val="00BB7591"/>
    <w:rsid w:val="00BB76D4"/>
    <w:rsid w:val="00BB76E9"/>
    <w:rsid w:val="00BB7846"/>
    <w:rsid w:val="00BB78BD"/>
    <w:rsid w:val="00BB7B71"/>
    <w:rsid w:val="00BB7BFA"/>
    <w:rsid w:val="00BB7CDE"/>
    <w:rsid w:val="00BB7D04"/>
    <w:rsid w:val="00BB7E2B"/>
    <w:rsid w:val="00BB7FD5"/>
    <w:rsid w:val="00BC0332"/>
    <w:rsid w:val="00BC03C1"/>
    <w:rsid w:val="00BC0453"/>
    <w:rsid w:val="00BC0465"/>
    <w:rsid w:val="00BC0546"/>
    <w:rsid w:val="00BC06D5"/>
    <w:rsid w:val="00BC0801"/>
    <w:rsid w:val="00BC08F5"/>
    <w:rsid w:val="00BC08FA"/>
    <w:rsid w:val="00BC0956"/>
    <w:rsid w:val="00BC0F4E"/>
    <w:rsid w:val="00BC10D3"/>
    <w:rsid w:val="00BC110B"/>
    <w:rsid w:val="00BC1134"/>
    <w:rsid w:val="00BC120B"/>
    <w:rsid w:val="00BC13D6"/>
    <w:rsid w:val="00BC13FB"/>
    <w:rsid w:val="00BC145F"/>
    <w:rsid w:val="00BC161A"/>
    <w:rsid w:val="00BC1665"/>
    <w:rsid w:val="00BC193A"/>
    <w:rsid w:val="00BC19B4"/>
    <w:rsid w:val="00BC19B6"/>
    <w:rsid w:val="00BC1A22"/>
    <w:rsid w:val="00BC1E95"/>
    <w:rsid w:val="00BC1F2C"/>
    <w:rsid w:val="00BC22AE"/>
    <w:rsid w:val="00BC2306"/>
    <w:rsid w:val="00BC24BE"/>
    <w:rsid w:val="00BC2864"/>
    <w:rsid w:val="00BC28E6"/>
    <w:rsid w:val="00BC29CB"/>
    <w:rsid w:val="00BC29DB"/>
    <w:rsid w:val="00BC2A51"/>
    <w:rsid w:val="00BC2A77"/>
    <w:rsid w:val="00BC2A84"/>
    <w:rsid w:val="00BC2BAF"/>
    <w:rsid w:val="00BC2C54"/>
    <w:rsid w:val="00BC2CF9"/>
    <w:rsid w:val="00BC3073"/>
    <w:rsid w:val="00BC307F"/>
    <w:rsid w:val="00BC3288"/>
    <w:rsid w:val="00BC338D"/>
    <w:rsid w:val="00BC353C"/>
    <w:rsid w:val="00BC35FE"/>
    <w:rsid w:val="00BC3619"/>
    <w:rsid w:val="00BC36D0"/>
    <w:rsid w:val="00BC373C"/>
    <w:rsid w:val="00BC395F"/>
    <w:rsid w:val="00BC398D"/>
    <w:rsid w:val="00BC3AC4"/>
    <w:rsid w:val="00BC3AE1"/>
    <w:rsid w:val="00BC3DCD"/>
    <w:rsid w:val="00BC3F33"/>
    <w:rsid w:val="00BC3F77"/>
    <w:rsid w:val="00BC3FDC"/>
    <w:rsid w:val="00BC40FB"/>
    <w:rsid w:val="00BC444C"/>
    <w:rsid w:val="00BC44FE"/>
    <w:rsid w:val="00BC46ED"/>
    <w:rsid w:val="00BC4727"/>
    <w:rsid w:val="00BC4A49"/>
    <w:rsid w:val="00BC4BA3"/>
    <w:rsid w:val="00BC4D0D"/>
    <w:rsid w:val="00BC4D49"/>
    <w:rsid w:val="00BC4E15"/>
    <w:rsid w:val="00BC50D2"/>
    <w:rsid w:val="00BC5106"/>
    <w:rsid w:val="00BC510A"/>
    <w:rsid w:val="00BC537F"/>
    <w:rsid w:val="00BC552A"/>
    <w:rsid w:val="00BC5640"/>
    <w:rsid w:val="00BC571F"/>
    <w:rsid w:val="00BC57E7"/>
    <w:rsid w:val="00BC5904"/>
    <w:rsid w:val="00BC59D3"/>
    <w:rsid w:val="00BC5B8C"/>
    <w:rsid w:val="00BC5BCC"/>
    <w:rsid w:val="00BC5E18"/>
    <w:rsid w:val="00BC5F37"/>
    <w:rsid w:val="00BC62C3"/>
    <w:rsid w:val="00BC6627"/>
    <w:rsid w:val="00BC68BE"/>
    <w:rsid w:val="00BC69D7"/>
    <w:rsid w:val="00BC6CC9"/>
    <w:rsid w:val="00BC6D31"/>
    <w:rsid w:val="00BC6F1A"/>
    <w:rsid w:val="00BC6F21"/>
    <w:rsid w:val="00BC7164"/>
    <w:rsid w:val="00BC73D8"/>
    <w:rsid w:val="00BC7589"/>
    <w:rsid w:val="00BC7A59"/>
    <w:rsid w:val="00BC7B42"/>
    <w:rsid w:val="00BC7F25"/>
    <w:rsid w:val="00BD0195"/>
    <w:rsid w:val="00BD01A7"/>
    <w:rsid w:val="00BD05E5"/>
    <w:rsid w:val="00BD067B"/>
    <w:rsid w:val="00BD06F7"/>
    <w:rsid w:val="00BD0860"/>
    <w:rsid w:val="00BD0899"/>
    <w:rsid w:val="00BD0955"/>
    <w:rsid w:val="00BD0B23"/>
    <w:rsid w:val="00BD0BAA"/>
    <w:rsid w:val="00BD0CDC"/>
    <w:rsid w:val="00BD11AD"/>
    <w:rsid w:val="00BD1216"/>
    <w:rsid w:val="00BD13A0"/>
    <w:rsid w:val="00BD13E8"/>
    <w:rsid w:val="00BD157A"/>
    <w:rsid w:val="00BD15E7"/>
    <w:rsid w:val="00BD1AC4"/>
    <w:rsid w:val="00BD1ADF"/>
    <w:rsid w:val="00BD1B46"/>
    <w:rsid w:val="00BD1D18"/>
    <w:rsid w:val="00BD1D60"/>
    <w:rsid w:val="00BD1D8F"/>
    <w:rsid w:val="00BD1DC8"/>
    <w:rsid w:val="00BD1F8D"/>
    <w:rsid w:val="00BD234F"/>
    <w:rsid w:val="00BD2494"/>
    <w:rsid w:val="00BD24A5"/>
    <w:rsid w:val="00BD29A6"/>
    <w:rsid w:val="00BD2C37"/>
    <w:rsid w:val="00BD2E71"/>
    <w:rsid w:val="00BD2EB2"/>
    <w:rsid w:val="00BD3096"/>
    <w:rsid w:val="00BD33F1"/>
    <w:rsid w:val="00BD34A4"/>
    <w:rsid w:val="00BD351E"/>
    <w:rsid w:val="00BD35F6"/>
    <w:rsid w:val="00BD3683"/>
    <w:rsid w:val="00BD3762"/>
    <w:rsid w:val="00BD376C"/>
    <w:rsid w:val="00BD3ACD"/>
    <w:rsid w:val="00BD3DED"/>
    <w:rsid w:val="00BD3FCA"/>
    <w:rsid w:val="00BD4304"/>
    <w:rsid w:val="00BD43AA"/>
    <w:rsid w:val="00BD444F"/>
    <w:rsid w:val="00BD4469"/>
    <w:rsid w:val="00BD4683"/>
    <w:rsid w:val="00BD46AB"/>
    <w:rsid w:val="00BD4918"/>
    <w:rsid w:val="00BD4A46"/>
    <w:rsid w:val="00BD4AB3"/>
    <w:rsid w:val="00BD4BF1"/>
    <w:rsid w:val="00BD4D16"/>
    <w:rsid w:val="00BD4DB4"/>
    <w:rsid w:val="00BD4EC7"/>
    <w:rsid w:val="00BD4FE1"/>
    <w:rsid w:val="00BD507B"/>
    <w:rsid w:val="00BD5091"/>
    <w:rsid w:val="00BD5109"/>
    <w:rsid w:val="00BD51F6"/>
    <w:rsid w:val="00BD52AF"/>
    <w:rsid w:val="00BD52D9"/>
    <w:rsid w:val="00BD5341"/>
    <w:rsid w:val="00BD5342"/>
    <w:rsid w:val="00BD5504"/>
    <w:rsid w:val="00BD550A"/>
    <w:rsid w:val="00BD5613"/>
    <w:rsid w:val="00BD5A7D"/>
    <w:rsid w:val="00BD5B7A"/>
    <w:rsid w:val="00BD5B91"/>
    <w:rsid w:val="00BD5BCB"/>
    <w:rsid w:val="00BD5CCC"/>
    <w:rsid w:val="00BD67A7"/>
    <w:rsid w:val="00BD6F91"/>
    <w:rsid w:val="00BD6FCF"/>
    <w:rsid w:val="00BD71DD"/>
    <w:rsid w:val="00BD7314"/>
    <w:rsid w:val="00BD7356"/>
    <w:rsid w:val="00BD73D1"/>
    <w:rsid w:val="00BD73E5"/>
    <w:rsid w:val="00BD7584"/>
    <w:rsid w:val="00BD7C34"/>
    <w:rsid w:val="00BD7D99"/>
    <w:rsid w:val="00BD7F1E"/>
    <w:rsid w:val="00BE0032"/>
    <w:rsid w:val="00BE01EB"/>
    <w:rsid w:val="00BE041D"/>
    <w:rsid w:val="00BE04A3"/>
    <w:rsid w:val="00BE052A"/>
    <w:rsid w:val="00BE0857"/>
    <w:rsid w:val="00BE0EE6"/>
    <w:rsid w:val="00BE1204"/>
    <w:rsid w:val="00BE12DD"/>
    <w:rsid w:val="00BE1496"/>
    <w:rsid w:val="00BE16D0"/>
    <w:rsid w:val="00BE1D7D"/>
    <w:rsid w:val="00BE2011"/>
    <w:rsid w:val="00BE23ED"/>
    <w:rsid w:val="00BE25FD"/>
    <w:rsid w:val="00BE2679"/>
    <w:rsid w:val="00BE270D"/>
    <w:rsid w:val="00BE2927"/>
    <w:rsid w:val="00BE2AF9"/>
    <w:rsid w:val="00BE2DA1"/>
    <w:rsid w:val="00BE2E24"/>
    <w:rsid w:val="00BE2F38"/>
    <w:rsid w:val="00BE2F74"/>
    <w:rsid w:val="00BE2F7A"/>
    <w:rsid w:val="00BE3523"/>
    <w:rsid w:val="00BE361C"/>
    <w:rsid w:val="00BE37E9"/>
    <w:rsid w:val="00BE3942"/>
    <w:rsid w:val="00BE3984"/>
    <w:rsid w:val="00BE3A3B"/>
    <w:rsid w:val="00BE3AF2"/>
    <w:rsid w:val="00BE3D0E"/>
    <w:rsid w:val="00BE3ECA"/>
    <w:rsid w:val="00BE401B"/>
    <w:rsid w:val="00BE41C8"/>
    <w:rsid w:val="00BE4648"/>
    <w:rsid w:val="00BE4654"/>
    <w:rsid w:val="00BE488D"/>
    <w:rsid w:val="00BE4AAF"/>
    <w:rsid w:val="00BE4BDD"/>
    <w:rsid w:val="00BE4D99"/>
    <w:rsid w:val="00BE4EBC"/>
    <w:rsid w:val="00BE4EF8"/>
    <w:rsid w:val="00BE506D"/>
    <w:rsid w:val="00BE520B"/>
    <w:rsid w:val="00BE55B9"/>
    <w:rsid w:val="00BE56A8"/>
    <w:rsid w:val="00BE56F0"/>
    <w:rsid w:val="00BE5B07"/>
    <w:rsid w:val="00BE5B3D"/>
    <w:rsid w:val="00BE5B6C"/>
    <w:rsid w:val="00BE5BBA"/>
    <w:rsid w:val="00BE5BCF"/>
    <w:rsid w:val="00BE5C58"/>
    <w:rsid w:val="00BE5D54"/>
    <w:rsid w:val="00BE5F15"/>
    <w:rsid w:val="00BE5F1A"/>
    <w:rsid w:val="00BE5F48"/>
    <w:rsid w:val="00BE5FCA"/>
    <w:rsid w:val="00BE607E"/>
    <w:rsid w:val="00BE6093"/>
    <w:rsid w:val="00BE61B1"/>
    <w:rsid w:val="00BE651A"/>
    <w:rsid w:val="00BE654F"/>
    <w:rsid w:val="00BE6969"/>
    <w:rsid w:val="00BE6B29"/>
    <w:rsid w:val="00BE6B35"/>
    <w:rsid w:val="00BE6DCF"/>
    <w:rsid w:val="00BE72F2"/>
    <w:rsid w:val="00BE7559"/>
    <w:rsid w:val="00BE7579"/>
    <w:rsid w:val="00BE7594"/>
    <w:rsid w:val="00BE77CF"/>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DE4"/>
    <w:rsid w:val="00BF0EA8"/>
    <w:rsid w:val="00BF10E2"/>
    <w:rsid w:val="00BF128B"/>
    <w:rsid w:val="00BF1391"/>
    <w:rsid w:val="00BF1643"/>
    <w:rsid w:val="00BF1667"/>
    <w:rsid w:val="00BF16ED"/>
    <w:rsid w:val="00BF171E"/>
    <w:rsid w:val="00BF1742"/>
    <w:rsid w:val="00BF1747"/>
    <w:rsid w:val="00BF1AD1"/>
    <w:rsid w:val="00BF1CED"/>
    <w:rsid w:val="00BF1D5C"/>
    <w:rsid w:val="00BF2013"/>
    <w:rsid w:val="00BF269F"/>
    <w:rsid w:val="00BF29A6"/>
    <w:rsid w:val="00BF29AC"/>
    <w:rsid w:val="00BF2AB2"/>
    <w:rsid w:val="00BF2CC4"/>
    <w:rsid w:val="00BF2D38"/>
    <w:rsid w:val="00BF2EDA"/>
    <w:rsid w:val="00BF34E8"/>
    <w:rsid w:val="00BF355F"/>
    <w:rsid w:val="00BF35A0"/>
    <w:rsid w:val="00BF3723"/>
    <w:rsid w:val="00BF3851"/>
    <w:rsid w:val="00BF3881"/>
    <w:rsid w:val="00BF38F4"/>
    <w:rsid w:val="00BF3AFD"/>
    <w:rsid w:val="00BF3F83"/>
    <w:rsid w:val="00BF3FEF"/>
    <w:rsid w:val="00BF44F3"/>
    <w:rsid w:val="00BF450F"/>
    <w:rsid w:val="00BF4842"/>
    <w:rsid w:val="00BF49D8"/>
    <w:rsid w:val="00BF49F7"/>
    <w:rsid w:val="00BF4AFC"/>
    <w:rsid w:val="00BF4BA7"/>
    <w:rsid w:val="00BF4D9F"/>
    <w:rsid w:val="00BF4DB0"/>
    <w:rsid w:val="00BF4E44"/>
    <w:rsid w:val="00BF4E6C"/>
    <w:rsid w:val="00BF4E6D"/>
    <w:rsid w:val="00BF4F40"/>
    <w:rsid w:val="00BF4FBB"/>
    <w:rsid w:val="00BF4FD9"/>
    <w:rsid w:val="00BF5284"/>
    <w:rsid w:val="00BF5451"/>
    <w:rsid w:val="00BF55BC"/>
    <w:rsid w:val="00BF5709"/>
    <w:rsid w:val="00BF591E"/>
    <w:rsid w:val="00BF59A9"/>
    <w:rsid w:val="00BF5ABD"/>
    <w:rsid w:val="00BF5C20"/>
    <w:rsid w:val="00BF6085"/>
    <w:rsid w:val="00BF6129"/>
    <w:rsid w:val="00BF640C"/>
    <w:rsid w:val="00BF6627"/>
    <w:rsid w:val="00BF669A"/>
    <w:rsid w:val="00BF66E5"/>
    <w:rsid w:val="00BF67C8"/>
    <w:rsid w:val="00BF6D63"/>
    <w:rsid w:val="00BF6E07"/>
    <w:rsid w:val="00BF6E09"/>
    <w:rsid w:val="00BF6E0D"/>
    <w:rsid w:val="00BF6EC8"/>
    <w:rsid w:val="00BF7083"/>
    <w:rsid w:val="00BF7118"/>
    <w:rsid w:val="00BF7146"/>
    <w:rsid w:val="00BF73BD"/>
    <w:rsid w:val="00BF7914"/>
    <w:rsid w:val="00BF7ADB"/>
    <w:rsid w:val="00BF7E28"/>
    <w:rsid w:val="00BF7F59"/>
    <w:rsid w:val="00BF7F91"/>
    <w:rsid w:val="00C00507"/>
    <w:rsid w:val="00C0076F"/>
    <w:rsid w:val="00C0085F"/>
    <w:rsid w:val="00C00A78"/>
    <w:rsid w:val="00C00B14"/>
    <w:rsid w:val="00C00E37"/>
    <w:rsid w:val="00C01092"/>
    <w:rsid w:val="00C010AB"/>
    <w:rsid w:val="00C01204"/>
    <w:rsid w:val="00C01431"/>
    <w:rsid w:val="00C014CE"/>
    <w:rsid w:val="00C01574"/>
    <w:rsid w:val="00C017B4"/>
    <w:rsid w:val="00C017CC"/>
    <w:rsid w:val="00C017DE"/>
    <w:rsid w:val="00C01B34"/>
    <w:rsid w:val="00C01C8C"/>
    <w:rsid w:val="00C01EA7"/>
    <w:rsid w:val="00C01FED"/>
    <w:rsid w:val="00C01FEF"/>
    <w:rsid w:val="00C020B4"/>
    <w:rsid w:val="00C02247"/>
    <w:rsid w:val="00C02286"/>
    <w:rsid w:val="00C022FB"/>
    <w:rsid w:val="00C02319"/>
    <w:rsid w:val="00C0260F"/>
    <w:rsid w:val="00C026EE"/>
    <w:rsid w:val="00C02A67"/>
    <w:rsid w:val="00C02ED3"/>
    <w:rsid w:val="00C02F11"/>
    <w:rsid w:val="00C02FF0"/>
    <w:rsid w:val="00C03070"/>
    <w:rsid w:val="00C030F6"/>
    <w:rsid w:val="00C03119"/>
    <w:rsid w:val="00C03132"/>
    <w:rsid w:val="00C0332F"/>
    <w:rsid w:val="00C034F7"/>
    <w:rsid w:val="00C035CA"/>
    <w:rsid w:val="00C0372A"/>
    <w:rsid w:val="00C03A3E"/>
    <w:rsid w:val="00C03E16"/>
    <w:rsid w:val="00C03FBF"/>
    <w:rsid w:val="00C04032"/>
    <w:rsid w:val="00C041AD"/>
    <w:rsid w:val="00C043E5"/>
    <w:rsid w:val="00C04458"/>
    <w:rsid w:val="00C04662"/>
    <w:rsid w:val="00C04680"/>
    <w:rsid w:val="00C04A7D"/>
    <w:rsid w:val="00C04C77"/>
    <w:rsid w:val="00C04D9A"/>
    <w:rsid w:val="00C04DEF"/>
    <w:rsid w:val="00C05641"/>
    <w:rsid w:val="00C05660"/>
    <w:rsid w:val="00C05711"/>
    <w:rsid w:val="00C0576C"/>
    <w:rsid w:val="00C05CB5"/>
    <w:rsid w:val="00C05CD8"/>
    <w:rsid w:val="00C05D5E"/>
    <w:rsid w:val="00C06143"/>
    <w:rsid w:val="00C065A5"/>
    <w:rsid w:val="00C06695"/>
    <w:rsid w:val="00C067E3"/>
    <w:rsid w:val="00C0689F"/>
    <w:rsid w:val="00C068FC"/>
    <w:rsid w:val="00C06B94"/>
    <w:rsid w:val="00C06BCA"/>
    <w:rsid w:val="00C06CDB"/>
    <w:rsid w:val="00C06D6F"/>
    <w:rsid w:val="00C06E4D"/>
    <w:rsid w:val="00C07206"/>
    <w:rsid w:val="00C07482"/>
    <w:rsid w:val="00C074C1"/>
    <w:rsid w:val="00C076E0"/>
    <w:rsid w:val="00C07722"/>
    <w:rsid w:val="00C07805"/>
    <w:rsid w:val="00C07B98"/>
    <w:rsid w:val="00C07BE7"/>
    <w:rsid w:val="00C07C08"/>
    <w:rsid w:val="00C07D4B"/>
    <w:rsid w:val="00C07F6C"/>
    <w:rsid w:val="00C10297"/>
    <w:rsid w:val="00C102EF"/>
    <w:rsid w:val="00C10455"/>
    <w:rsid w:val="00C104AA"/>
    <w:rsid w:val="00C10AC9"/>
    <w:rsid w:val="00C10B18"/>
    <w:rsid w:val="00C10D6B"/>
    <w:rsid w:val="00C10D90"/>
    <w:rsid w:val="00C10FD8"/>
    <w:rsid w:val="00C111E7"/>
    <w:rsid w:val="00C112B6"/>
    <w:rsid w:val="00C113AC"/>
    <w:rsid w:val="00C11439"/>
    <w:rsid w:val="00C11521"/>
    <w:rsid w:val="00C115E4"/>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8AC"/>
    <w:rsid w:val="00C12A91"/>
    <w:rsid w:val="00C12C0B"/>
    <w:rsid w:val="00C1300D"/>
    <w:rsid w:val="00C1317E"/>
    <w:rsid w:val="00C131D2"/>
    <w:rsid w:val="00C131E9"/>
    <w:rsid w:val="00C1320D"/>
    <w:rsid w:val="00C13383"/>
    <w:rsid w:val="00C13450"/>
    <w:rsid w:val="00C134E0"/>
    <w:rsid w:val="00C1373E"/>
    <w:rsid w:val="00C138DB"/>
    <w:rsid w:val="00C13BD9"/>
    <w:rsid w:val="00C13CE3"/>
    <w:rsid w:val="00C13EBF"/>
    <w:rsid w:val="00C1401F"/>
    <w:rsid w:val="00C14158"/>
    <w:rsid w:val="00C142A5"/>
    <w:rsid w:val="00C14354"/>
    <w:rsid w:val="00C1453F"/>
    <w:rsid w:val="00C14552"/>
    <w:rsid w:val="00C1457A"/>
    <w:rsid w:val="00C1494F"/>
    <w:rsid w:val="00C14990"/>
    <w:rsid w:val="00C14D9E"/>
    <w:rsid w:val="00C14DE5"/>
    <w:rsid w:val="00C14E62"/>
    <w:rsid w:val="00C14F36"/>
    <w:rsid w:val="00C14FD0"/>
    <w:rsid w:val="00C150B7"/>
    <w:rsid w:val="00C155A6"/>
    <w:rsid w:val="00C156A7"/>
    <w:rsid w:val="00C157C6"/>
    <w:rsid w:val="00C15CFC"/>
    <w:rsid w:val="00C15E87"/>
    <w:rsid w:val="00C1612B"/>
    <w:rsid w:val="00C16244"/>
    <w:rsid w:val="00C16682"/>
    <w:rsid w:val="00C1669C"/>
    <w:rsid w:val="00C166A3"/>
    <w:rsid w:val="00C167C9"/>
    <w:rsid w:val="00C16BD1"/>
    <w:rsid w:val="00C16C09"/>
    <w:rsid w:val="00C16DA8"/>
    <w:rsid w:val="00C16E22"/>
    <w:rsid w:val="00C174E1"/>
    <w:rsid w:val="00C175ED"/>
    <w:rsid w:val="00C177E7"/>
    <w:rsid w:val="00C178D6"/>
    <w:rsid w:val="00C17BCF"/>
    <w:rsid w:val="00C17C2C"/>
    <w:rsid w:val="00C17C87"/>
    <w:rsid w:val="00C17D0B"/>
    <w:rsid w:val="00C17E3B"/>
    <w:rsid w:val="00C17F8F"/>
    <w:rsid w:val="00C17FF8"/>
    <w:rsid w:val="00C2006D"/>
    <w:rsid w:val="00C203BC"/>
    <w:rsid w:val="00C206D8"/>
    <w:rsid w:val="00C2071E"/>
    <w:rsid w:val="00C2089D"/>
    <w:rsid w:val="00C20985"/>
    <w:rsid w:val="00C20A8C"/>
    <w:rsid w:val="00C20AB8"/>
    <w:rsid w:val="00C20B0D"/>
    <w:rsid w:val="00C20C58"/>
    <w:rsid w:val="00C20CE5"/>
    <w:rsid w:val="00C20D60"/>
    <w:rsid w:val="00C20D74"/>
    <w:rsid w:val="00C20DA1"/>
    <w:rsid w:val="00C20E66"/>
    <w:rsid w:val="00C20F34"/>
    <w:rsid w:val="00C21157"/>
    <w:rsid w:val="00C21415"/>
    <w:rsid w:val="00C217DF"/>
    <w:rsid w:val="00C2184F"/>
    <w:rsid w:val="00C21BA5"/>
    <w:rsid w:val="00C21EA9"/>
    <w:rsid w:val="00C21EAA"/>
    <w:rsid w:val="00C2248F"/>
    <w:rsid w:val="00C225E8"/>
    <w:rsid w:val="00C2261F"/>
    <w:rsid w:val="00C22633"/>
    <w:rsid w:val="00C22AAA"/>
    <w:rsid w:val="00C22AAB"/>
    <w:rsid w:val="00C22B97"/>
    <w:rsid w:val="00C22D89"/>
    <w:rsid w:val="00C22F40"/>
    <w:rsid w:val="00C23067"/>
    <w:rsid w:val="00C230F1"/>
    <w:rsid w:val="00C23165"/>
    <w:rsid w:val="00C23757"/>
    <w:rsid w:val="00C237A8"/>
    <w:rsid w:val="00C2387D"/>
    <w:rsid w:val="00C23B4A"/>
    <w:rsid w:val="00C23D03"/>
    <w:rsid w:val="00C240D4"/>
    <w:rsid w:val="00C24117"/>
    <w:rsid w:val="00C2413B"/>
    <w:rsid w:val="00C2448E"/>
    <w:rsid w:val="00C244E0"/>
    <w:rsid w:val="00C244F8"/>
    <w:rsid w:val="00C2457B"/>
    <w:rsid w:val="00C2482D"/>
    <w:rsid w:val="00C2498C"/>
    <w:rsid w:val="00C2499E"/>
    <w:rsid w:val="00C24A55"/>
    <w:rsid w:val="00C24A96"/>
    <w:rsid w:val="00C24ADF"/>
    <w:rsid w:val="00C24CB4"/>
    <w:rsid w:val="00C24CD4"/>
    <w:rsid w:val="00C24D3C"/>
    <w:rsid w:val="00C24D47"/>
    <w:rsid w:val="00C24D73"/>
    <w:rsid w:val="00C24DB4"/>
    <w:rsid w:val="00C25083"/>
    <w:rsid w:val="00C253B3"/>
    <w:rsid w:val="00C256E3"/>
    <w:rsid w:val="00C258B4"/>
    <w:rsid w:val="00C25911"/>
    <w:rsid w:val="00C25A98"/>
    <w:rsid w:val="00C25BA0"/>
    <w:rsid w:val="00C25C68"/>
    <w:rsid w:val="00C25C9D"/>
    <w:rsid w:val="00C25CDB"/>
    <w:rsid w:val="00C25E8F"/>
    <w:rsid w:val="00C25FDB"/>
    <w:rsid w:val="00C26025"/>
    <w:rsid w:val="00C26307"/>
    <w:rsid w:val="00C264E0"/>
    <w:rsid w:val="00C2651D"/>
    <w:rsid w:val="00C268EA"/>
    <w:rsid w:val="00C269AA"/>
    <w:rsid w:val="00C269D7"/>
    <w:rsid w:val="00C26AF9"/>
    <w:rsid w:val="00C26DF6"/>
    <w:rsid w:val="00C26E40"/>
    <w:rsid w:val="00C26E5A"/>
    <w:rsid w:val="00C26F7F"/>
    <w:rsid w:val="00C26FE7"/>
    <w:rsid w:val="00C2700C"/>
    <w:rsid w:val="00C2707F"/>
    <w:rsid w:val="00C27315"/>
    <w:rsid w:val="00C278C8"/>
    <w:rsid w:val="00C27BF5"/>
    <w:rsid w:val="00C27FFD"/>
    <w:rsid w:val="00C30100"/>
    <w:rsid w:val="00C301F6"/>
    <w:rsid w:val="00C30556"/>
    <w:rsid w:val="00C3063D"/>
    <w:rsid w:val="00C3069E"/>
    <w:rsid w:val="00C30872"/>
    <w:rsid w:val="00C30AE0"/>
    <w:rsid w:val="00C30B20"/>
    <w:rsid w:val="00C30E5B"/>
    <w:rsid w:val="00C30E86"/>
    <w:rsid w:val="00C3131D"/>
    <w:rsid w:val="00C3134F"/>
    <w:rsid w:val="00C31360"/>
    <w:rsid w:val="00C313AA"/>
    <w:rsid w:val="00C31403"/>
    <w:rsid w:val="00C31AAA"/>
    <w:rsid w:val="00C31B39"/>
    <w:rsid w:val="00C31BC0"/>
    <w:rsid w:val="00C31C2A"/>
    <w:rsid w:val="00C31DF3"/>
    <w:rsid w:val="00C31EDA"/>
    <w:rsid w:val="00C31FDD"/>
    <w:rsid w:val="00C321B4"/>
    <w:rsid w:val="00C323B0"/>
    <w:rsid w:val="00C326E8"/>
    <w:rsid w:val="00C32A6A"/>
    <w:rsid w:val="00C32B46"/>
    <w:rsid w:val="00C32BC1"/>
    <w:rsid w:val="00C32FCB"/>
    <w:rsid w:val="00C3300C"/>
    <w:rsid w:val="00C33114"/>
    <w:rsid w:val="00C3334B"/>
    <w:rsid w:val="00C333DE"/>
    <w:rsid w:val="00C33573"/>
    <w:rsid w:val="00C335C5"/>
    <w:rsid w:val="00C336D9"/>
    <w:rsid w:val="00C33857"/>
    <w:rsid w:val="00C33993"/>
    <w:rsid w:val="00C33B88"/>
    <w:rsid w:val="00C33EEF"/>
    <w:rsid w:val="00C340C9"/>
    <w:rsid w:val="00C343DB"/>
    <w:rsid w:val="00C3474B"/>
    <w:rsid w:val="00C34A1F"/>
    <w:rsid w:val="00C34ACF"/>
    <w:rsid w:val="00C352CA"/>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6253"/>
    <w:rsid w:val="00C36259"/>
    <w:rsid w:val="00C36368"/>
    <w:rsid w:val="00C36662"/>
    <w:rsid w:val="00C36884"/>
    <w:rsid w:val="00C369EF"/>
    <w:rsid w:val="00C36AC3"/>
    <w:rsid w:val="00C36BED"/>
    <w:rsid w:val="00C36D98"/>
    <w:rsid w:val="00C36DE9"/>
    <w:rsid w:val="00C37075"/>
    <w:rsid w:val="00C37234"/>
    <w:rsid w:val="00C37374"/>
    <w:rsid w:val="00C373A8"/>
    <w:rsid w:val="00C3745C"/>
    <w:rsid w:val="00C37479"/>
    <w:rsid w:val="00C37AE1"/>
    <w:rsid w:val="00C37C5D"/>
    <w:rsid w:val="00C37DF8"/>
    <w:rsid w:val="00C40061"/>
    <w:rsid w:val="00C400E7"/>
    <w:rsid w:val="00C4013E"/>
    <w:rsid w:val="00C40192"/>
    <w:rsid w:val="00C402FE"/>
    <w:rsid w:val="00C405A0"/>
    <w:rsid w:val="00C405A9"/>
    <w:rsid w:val="00C40815"/>
    <w:rsid w:val="00C4081C"/>
    <w:rsid w:val="00C40DF4"/>
    <w:rsid w:val="00C40ED9"/>
    <w:rsid w:val="00C40EEA"/>
    <w:rsid w:val="00C40F05"/>
    <w:rsid w:val="00C40FE5"/>
    <w:rsid w:val="00C41002"/>
    <w:rsid w:val="00C41538"/>
    <w:rsid w:val="00C41664"/>
    <w:rsid w:val="00C41C0E"/>
    <w:rsid w:val="00C41C3C"/>
    <w:rsid w:val="00C41D47"/>
    <w:rsid w:val="00C41DC9"/>
    <w:rsid w:val="00C41F8F"/>
    <w:rsid w:val="00C4209B"/>
    <w:rsid w:val="00C420B6"/>
    <w:rsid w:val="00C42299"/>
    <w:rsid w:val="00C422D7"/>
    <w:rsid w:val="00C4241D"/>
    <w:rsid w:val="00C4246F"/>
    <w:rsid w:val="00C42497"/>
    <w:rsid w:val="00C424CB"/>
    <w:rsid w:val="00C425A0"/>
    <w:rsid w:val="00C42D6E"/>
    <w:rsid w:val="00C4311E"/>
    <w:rsid w:val="00C431A5"/>
    <w:rsid w:val="00C43359"/>
    <w:rsid w:val="00C437C9"/>
    <w:rsid w:val="00C4396E"/>
    <w:rsid w:val="00C43AAB"/>
    <w:rsid w:val="00C43AE8"/>
    <w:rsid w:val="00C43B95"/>
    <w:rsid w:val="00C43DE9"/>
    <w:rsid w:val="00C43E6D"/>
    <w:rsid w:val="00C43FDC"/>
    <w:rsid w:val="00C440C3"/>
    <w:rsid w:val="00C44273"/>
    <w:rsid w:val="00C4427F"/>
    <w:rsid w:val="00C44315"/>
    <w:rsid w:val="00C443EC"/>
    <w:rsid w:val="00C4446E"/>
    <w:rsid w:val="00C44667"/>
    <w:rsid w:val="00C44929"/>
    <w:rsid w:val="00C44A45"/>
    <w:rsid w:val="00C44A90"/>
    <w:rsid w:val="00C44AE9"/>
    <w:rsid w:val="00C44B31"/>
    <w:rsid w:val="00C44C26"/>
    <w:rsid w:val="00C45161"/>
    <w:rsid w:val="00C451B2"/>
    <w:rsid w:val="00C45310"/>
    <w:rsid w:val="00C454A2"/>
    <w:rsid w:val="00C45563"/>
    <w:rsid w:val="00C45707"/>
    <w:rsid w:val="00C45AA5"/>
    <w:rsid w:val="00C45AAB"/>
    <w:rsid w:val="00C45B17"/>
    <w:rsid w:val="00C45B7A"/>
    <w:rsid w:val="00C45BCA"/>
    <w:rsid w:val="00C4610B"/>
    <w:rsid w:val="00C46148"/>
    <w:rsid w:val="00C461CD"/>
    <w:rsid w:val="00C462FE"/>
    <w:rsid w:val="00C463AB"/>
    <w:rsid w:val="00C46459"/>
    <w:rsid w:val="00C464C0"/>
    <w:rsid w:val="00C464C9"/>
    <w:rsid w:val="00C464E4"/>
    <w:rsid w:val="00C46B12"/>
    <w:rsid w:val="00C46DB2"/>
    <w:rsid w:val="00C46DDE"/>
    <w:rsid w:val="00C46E58"/>
    <w:rsid w:val="00C46FCC"/>
    <w:rsid w:val="00C472E0"/>
    <w:rsid w:val="00C4737B"/>
    <w:rsid w:val="00C4746D"/>
    <w:rsid w:val="00C4751B"/>
    <w:rsid w:val="00C4757B"/>
    <w:rsid w:val="00C4777C"/>
    <w:rsid w:val="00C478EA"/>
    <w:rsid w:val="00C47A71"/>
    <w:rsid w:val="00C47BC5"/>
    <w:rsid w:val="00C47C5A"/>
    <w:rsid w:val="00C47E35"/>
    <w:rsid w:val="00C47FC1"/>
    <w:rsid w:val="00C50436"/>
    <w:rsid w:val="00C50A9E"/>
    <w:rsid w:val="00C50BF6"/>
    <w:rsid w:val="00C50D3D"/>
    <w:rsid w:val="00C50E0D"/>
    <w:rsid w:val="00C50E34"/>
    <w:rsid w:val="00C50EC2"/>
    <w:rsid w:val="00C51194"/>
    <w:rsid w:val="00C5120C"/>
    <w:rsid w:val="00C51560"/>
    <w:rsid w:val="00C51910"/>
    <w:rsid w:val="00C51AAD"/>
    <w:rsid w:val="00C51AC1"/>
    <w:rsid w:val="00C51ACF"/>
    <w:rsid w:val="00C51AE6"/>
    <w:rsid w:val="00C51D6A"/>
    <w:rsid w:val="00C527EB"/>
    <w:rsid w:val="00C52A3F"/>
    <w:rsid w:val="00C52AA5"/>
    <w:rsid w:val="00C52D06"/>
    <w:rsid w:val="00C52D24"/>
    <w:rsid w:val="00C52D86"/>
    <w:rsid w:val="00C530AC"/>
    <w:rsid w:val="00C530D3"/>
    <w:rsid w:val="00C530F5"/>
    <w:rsid w:val="00C5342A"/>
    <w:rsid w:val="00C5381E"/>
    <w:rsid w:val="00C53966"/>
    <w:rsid w:val="00C53A96"/>
    <w:rsid w:val="00C53AF8"/>
    <w:rsid w:val="00C53C83"/>
    <w:rsid w:val="00C53E99"/>
    <w:rsid w:val="00C540ED"/>
    <w:rsid w:val="00C546C2"/>
    <w:rsid w:val="00C5472C"/>
    <w:rsid w:val="00C54A20"/>
    <w:rsid w:val="00C54B65"/>
    <w:rsid w:val="00C54CAF"/>
    <w:rsid w:val="00C54CB1"/>
    <w:rsid w:val="00C54D04"/>
    <w:rsid w:val="00C54DCB"/>
    <w:rsid w:val="00C55572"/>
    <w:rsid w:val="00C555A0"/>
    <w:rsid w:val="00C55954"/>
    <w:rsid w:val="00C55B31"/>
    <w:rsid w:val="00C55F77"/>
    <w:rsid w:val="00C561D4"/>
    <w:rsid w:val="00C56214"/>
    <w:rsid w:val="00C5634A"/>
    <w:rsid w:val="00C568C3"/>
    <w:rsid w:val="00C56D2F"/>
    <w:rsid w:val="00C56DDE"/>
    <w:rsid w:val="00C56E5D"/>
    <w:rsid w:val="00C57246"/>
    <w:rsid w:val="00C5736F"/>
    <w:rsid w:val="00C575C5"/>
    <w:rsid w:val="00C5771D"/>
    <w:rsid w:val="00C577A9"/>
    <w:rsid w:val="00C577D2"/>
    <w:rsid w:val="00C57862"/>
    <w:rsid w:val="00C57933"/>
    <w:rsid w:val="00C57BDA"/>
    <w:rsid w:val="00C57BEF"/>
    <w:rsid w:val="00C57CC0"/>
    <w:rsid w:val="00C57DEF"/>
    <w:rsid w:val="00C57E87"/>
    <w:rsid w:val="00C602ED"/>
    <w:rsid w:val="00C60324"/>
    <w:rsid w:val="00C60460"/>
    <w:rsid w:val="00C607E5"/>
    <w:rsid w:val="00C60831"/>
    <w:rsid w:val="00C60A39"/>
    <w:rsid w:val="00C60BB1"/>
    <w:rsid w:val="00C60D21"/>
    <w:rsid w:val="00C60D7C"/>
    <w:rsid w:val="00C61190"/>
    <w:rsid w:val="00C612B5"/>
    <w:rsid w:val="00C613E7"/>
    <w:rsid w:val="00C6148A"/>
    <w:rsid w:val="00C61567"/>
    <w:rsid w:val="00C615BF"/>
    <w:rsid w:val="00C61640"/>
    <w:rsid w:val="00C617CA"/>
    <w:rsid w:val="00C6199B"/>
    <w:rsid w:val="00C619FB"/>
    <w:rsid w:val="00C61A7F"/>
    <w:rsid w:val="00C61AE2"/>
    <w:rsid w:val="00C6221B"/>
    <w:rsid w:val="00C62C04"/>
    <w:rsid w:val="00C62FBF"/>
    <w:rsid w:val="00C6322D"/>
    <w:rsid w:val="00C636F7"/>
    <w:rsid w:val="00C637C1"/>
    <w:rsid w:val="00C6398B"/>
    <w:rsid w:val="00C63A45"/>
    <w:rsid w:val="00C63EAA"/>
    <w:rsid w:val="00C63ED2"/>
    <w:rsid w:val="00C64845"/>
    <w:rsid w:val="00C6492D"/>
    <w:rsid w:val="00C64AE5"/>
    <w:rsid w:val="00C64BFB"/>
    <w:rsid w:val="00C64FA4"/>
    <w:rsid w:val="00C65151"/>
    <w:rsid w:val="00C6517B"/>
    <w:rsid w:val="00C651FA"/>
    <w:rsid w:val="00C65215"/>
    <w:rsid w:val="00C653AF"/>
    <w:rsid w:val="00C65487"/>
    <w:rsid w:val="00C654D8"/>
    <w:rsid w:val="00C655BD"/>
    <w:rsid w:val="00C655C7"/>
    <w:rsid w:val="00C6560A"/>
    <w:rsid w:val="00C656A0"/>
    <w:rsid w:val="00C656C7"/>
    <w:rsid w:val="00C657BB"/>
    <w:rsid w:val="00C65980"/>
    <w:rsid w:val="00C65A38"/>
    <w:rsid w:val="00C65A47"/>
    <w:rsid w:val="00C65C0A"/>
    <w:rsid w:val="00C65C8E"/>
    <w:rsid w:val="00C65E09"/>
    <w:rsid w:val="00C65E4F"/>
    <w:rsid w:val="00C65EDC"/>
    <w:rsid w:val="00C65F33"/>
    <w:rsid w:val="00C65FAE"/>
    <w:rsid w:val="00C66128"/>
    <w:rsid w:val="00C66241"/>
    <w:rsid w:val="00C66283"/>
    <w:rsid w:val="00C662B0"/>
    <w:rsid w:val="00C6639E"/>
    <w:rsid w:val="00C6642F"/>
    <w:rsid w:val="00C6659E"/>
    <w:rsid w:val="00C665B5"/>
    <w:rsid w:val="00C666D6"/>
    <w:rsid w:val="00C66803"/>
    <w:rsid w:val="00C66C44"/>
    <w:rsid w:val="00C66C97"/>
    <w:rsid w:val="00C66E21"/>
    <w:rsid w:val="00C66F65"/>
    <w:rsid w:val="00C66FC8"/>
    <w:rsid w:val="00C6706E"/>
    <w:rsid w:val="00C670BB"/>
    <w:rsid w:val="00C67121"/>
    <w:rsid w:val="00C6725E"/>
    <w:rsid w:val="00C6728B"/>
    <w:rsid w:val="00C67307"/>
    <w:rsid w:val="00C67316"/>
    <w:rsid w:val="00C6735A"/>
    <w:rsid w:val="00C676AB"/>
    <w:rsid w:val="00C67829"/>
    <w:rsid w:val="00C6784E"/>
    <w:rsid w:val="00C67B0C"/>
    <w:rsid w:val="00C67B3B"/>
    <w:rsid w:val="00C7010F"/>
    <w:rsid w:val="00C70619"/>
    <w:rsid w:val="00C70675"/>
    <w:rsid w:val="00C70922"/>
    <w:rsid w:val="00C70B1E"/>
    <w:rsid w:val="00C71191"/>
    <w:rsid w:val="00C71561"/>
    <w:rsid w:val="00C71663"/>
    <w:rsid w:val="00C71720"/>
    <w:rsid w:val="00C717DC"/>
    <w:rsid w:val="00C71ACC"/>
    <w:rsid w:val="00C71D90"/>
    <w:rsid w:val="00C71F03"/>
    <w:rsid w:val="00C72106"/>
    <w:rsid w:val="00C722BE"/>
    <w:rsid w:val="00C7268C"/>
    <w:rsid w:val="00C72816"/>
    <w:rsid w:val="00C728AB"/>
    <w:rsid w:val="00C7290F"/>
    <w:rsid w:val="00C72EFE"/>
    <w:rsid w:val="00C7308B"/>
    <w:rsid w:val="00C730B0"/>
    <w:rsid w:val="00C7313C"/>
    <w:rsid w:val="00C731D4"/>
    <w:rsid w:val="00C73212"/>
    <w:rsid w:val="00C73322"/>
    <w:rsid w:val="00C733B2"/>
    <w:rsid w:val="00C73609"/>
    <w:rsid w:val="00C736E0"/>
    <w:rsid w:val="00C738F5"/>
    <w:rsid w:val="00C739FE"/>
    <w:rsid w:val="00C73A3C"/>
    <w:rsid w:val="00C73BCB"/>
    <w:rsid w:val="00C73E33"/>
    <w:rsid w:val="00C73EC9"/>
    <w:rsid w:val="00C740E1"/>
    <w:rsid w:val="00C7417A"/>
    <w:rsid w:val="00C7417B"/>
    <w:rsid w:val="00C741ED"/>
    <w:rsid w:val="00C743EA"/>
    <w:rsid w:val="00C7449C"/>
    <w:rsid w:val="00C745C5"/>
    <w:rsid w:val="00C74649"/>
    <w:rsid w:val="00C746A8"/>
    <w:rsid w:val="00C747F7"/>
    <w:rsid w:val="00C7484D"/>
    <w:rsid w:val="00C74AE5"/>
    <w:rsid w:val="00C74B3F"/>
    <w:rsid w:val="00C74D5B"/>
    <w:rsid w:val="00C74E25"/>
    <w:rsid w:val="00C74F3D"/>
    <w:rsid w:val="00C75022"/>
    <w:rsid w:val="00C75126"/>
    <w:rsid w:val="00C751CF"/>
    <w:rsid w:val="00C75214"/>
    <w:rsid w:val="00C7534B"/>
    <w:rsid w:val="00C754DF"/>
    <w:rsid w:val="00C755C5"/>
    <w:rsid w:val="00C7570C"/>
    <w:rsid w:val="00C759B7"/>
    <w:rsid w:val="00C759B8"/>
    <w:rsid w:val="00C75E01"/>
    <w:rsid w:val="00C75ED2"/>
    <w:rsid w:val="00C75F10"/>
    <w:rsid w:val="00C75FC9"/>
    <w:rsid w:val="00C76065"/>
    <w:rsid w:val="00C76083"/>
    <w:rsid w:val="00C760B5"/>
    <w:rsid w:val="00C761AE"/>
    <w:rsid w:val="00C763CC"/>
    <w:rsid w:val="00C7641C"/>
    <w:rsid w:val="00C76545"/>
    <w:rsid w:val="00C76662"/>
    <w:rsid w:val="00C76AB9"/>
    <w:rsid w:val="00C76C43"/>
    <w:rsid w:val="00C76DDB"/>
    <w:rsid w:val="00C76E55"/>
    <w:rsid w:val="00C77078"/>
    <w:rsid w:val="00C7720F"/>
    <w:rsid w:val="00C77499"/>
    <w:rsid w:val="00C7761F"/>
    <w:rsid w:val="00C77699"/>
    <w:rsid w:val="00C77AF7"/>
    <w:rsid w:val="00C77D41"/>
    <w:rsid w:val="00C77D47"/>
    <w:rsid w:val="00C77DB7"/>
    <w:rsid w:val="00C77E0C"/>
    <w:rsid w:val="00C77E16"/>
    <w:rsid w:val="00C8017D"/>
    <w:rsid w:val="00C8020E"/>
    <w:rsid w:val="00C804DF"/>
    <w:rsid w:val="00C80708"/>
    <w:rsid w:val="00C80831"/>
    <w:rsid w:val="00C80877"/>
    <w:rsid w:val="00C80A9C"/>
    <w:rsid w:val="00C80AAD"/>
    <w:rsid w:val="00C81242"/>
    <w:rsid w:val="00C81282"/>
    <w:rsid w:val="00C81373"/>
    <w:rsid w:val="00C814DA"/>
    <w:rsid w:val="00C814EB"/>
    <w:rsid w:val="00C81552"/>
    <w:rsid w:val="00C81636"/>
    <w:rsid w:val="00C81764"/>
    <w:rsid w:val="00C81860"/>
    <w:rsid w:val="00C81907"/>
    <w:rsid w:val="00C8190E"/>
    <w:rsid w:val="00C81950"/>
    <w:rsid w:val="00C8199D"/>
    <w:rsid w:val="00C819D5"/>
    <w:rsid w:val="00C81AB0"/>
    <w:rsid w:val="00C81B0D"/>
    <w:rsid w:val="00C81B4F"/>
    <w:rsid w:val="00C81CF5"/>
    <w:rsid w:val="00C81EA9"/>
    <w:rsid w:val="00C8215F"/>
    <w:rsid w:val="00C827CE"/>
    <w:rsid w:val="00C8295E"/>
    <w:rsid w:val="00C82D33"/>
    <w:rsid w:val="00C82E9A"/>
    <w:rsid w:val="00C82F2F"/>
    <w:rsid w:val="00C83366"/>
    <w:rsid w:val="00C83588"/>
    <w:rsid w:val="00C83A59"/>
    <w:rsid w:val="00C83CF9"/>
    <w:rsid w:val="00C83D0A"/>
    <w:rsid w:val="00C83D0B"/>
    <w:rsid w:val="00C83D2B"/>
    <w:rsid w:val="00C83F35"/>
    <w:rsid w:val="00C83FB1"/>
    <w:rsid w:val="00C84140"/>
    <w:rsid w:val="00C84462"/>
    <w:rsid w:val="00C84474"/>
    <w:rsid w:val="00C84649"/>
    <w:rsid w:val="00C849A8"/>
    <w:rsid w:val="00C84A05"/>
    <w:rsid w:val="00C84A61"/>
    <w:rsid w:val="00C84A62"/>
    <w:rsid w:val="00C84E51"/>
    <w:rsid w:val="00C84ED3"/>
    <w:rsid w:val="00C84FAA"/>
    <w:rsid w:val="00C854CA"/>
    <w:rsid w:val="00C857DA"/>
    <w:rsid w:val="00C858ED"/>
    <w:rsid w:val="00C86088"/>
    <w:rsid w:val="00C8608A"/>
    <w:rsid w:val="00C8638C"/>
    <w:rsid w:val="00C863F8"/>
    <w:rsid w:val="00C864DB"/>
    <w:rsid w:val="00C864F7"/>
    <w:rsid w:val="00C86545"/>
    <w:rsid w:val="00C86627"/>
    <w:rsid w:val="00C867D6"/>
    <w:rsid w:val="00C86B34"/>
    <w:rsid w:val="00C86BE5"/>
    <w:rsid w:val="00C86D38"/>
    <w:rsid w:val="00C8707C"/>
    <w:rsid w:val="00C872B1"/>
    <w:rsid w:val="00C87513"/>
    <w:rsid w:val="00C87546"/>
    <w:rsid w:val="00C876F2"/>
    <w:rsid w:val="00C87818"/>
    <w:rsid w:val="00C90354"/>
    <w:rsid w:val="00C9084C"/>
    <w:rsid w:val="00C90A0D"/>
    <w:rsid w:val="00C90C4A"/>
    <w:rsid w:val="00C90ED8"/>
    <w:rsid w:val="00C90FC0"/>
    <w:rsid w:val="00C910F8"/>
    <w:rsid w:val="00C9118E"/>
    <w:rsid w:val="00C91399"/>
    <w:rsid w:val="00C913E8"/>
    <w:rsid w:val="00C915A1"/>
    <w:rsid w:val="00C9193F"/>
    <w:rsid w:val="00C91BFA"/>
    <w:rsid w:val="00C91CF9"/>
    <w:rsid w:val="00C920EF"/>
    <w:rsid w:val="00C9210C"/>
    <w:rsid w:val="00C92348"/>
    <w:rsid w:val="00C92474"/>
    <w:rsid w:val="00C925CB"/>
    <w:rsid w:val="00C926D3"/>
    <w:rsid w:val="00C927BB"/>
    <w:rsid w:val="00C92843"/>
    <w:rsid w:val="00C9295F"/>
    <w:rsid w:val="00C929CF"/>
    <w:rsid w:val="00C92A3C"/>
    <w:rsid w:val="00C92C7D"/>
    <w:rsid w:val="00C92CCF"/>
    <w:rsid w:val="00C92D95"/>
    <w:rsid w:val="00C9305C"/>
    <w:rsid w:val="00C930FC"/>
    <w:rsid w:val="00C931F9"/>
    <w:rsid w:val="00C93A90"/>
    <w:rsid w:val="00C93D44"/>
    <w:rsid w:val="00C93DC4"/>
    <w:rsid w:val="00C93F71"/>
    <w:rsid w:val="00C942B0"/>
    <w:rsid w:val="00C944A5"/>
    <w:rsid w:val="00C94566"/>
    <w:rsid w:val="00C946C4"/>
    <w:rsid w:val="00C94700"/>
    <w:rsid w:val="00C94798"/>
    <w:rsid w:val="00C94D52"/>
    <w:rsid w:val="00C94DD7"/>
    <w:rsid w:val="00C94F67"/>
    <w:rsid w:val="00C94FA0"/>
    <w:rsid w:val="00C952F5"/>
    <w:rsid w:val="00C95529"/>
    <w:rsid w:val="00C9570E"/>
    <w:rsid w:val="00C95737"/>
    <w:rsid w:val="00C957E3"/>
    <w:rsid w:val="00C95ACE"/>
    <w:rsid w:val="00C95B3D"/>
    <w:rsid w:val="00C95F53"/>
    <w:rsid w:val="00C96009"/>
    <w:rsid w:val="00C960EE"/>
    <w:rsid w:val="00C9625E"/>
    <w:rsid w:val="00C962EB"/>
    <w:rsid w:val="00C96335"/>
    <w:rsid w:val="00C96369"/>
    <w:rsid w:val="00C96716"/>
    <w:rsid w:val="00C96A2D"/>
    <w:rsid w:val="00C96B5B"/>
    <w:rsid w:val="00C96C66"/>
    <w:rsid w:val="00C96E7D"/>
    <w:rsid w:val="00C96F7A"/>
    <w:rsid w:val="00C96FB8"/>
    <w:rsid w:val="00C97626"/>
    <w:rsid w:val="00C976E4"/>
    <w:rsid w:val="00C97B25"/>
    <w:rsid w:val="00C97BF0"/>
    <w:rsid w:val="00C97E58"/>
    <w:rsid w:val="00C97EBF"/>
    <w:rsid w:val="00CA03F7"/>
    <w:rsid w:val="00CA04BD"/>
    <w:rsid w:val="00CA04C4"/>
    <w:rsid w:val="00CA0519"/>
    <w:rsid w:val="00CA051D"/>
    <w:rsid w:val="00CA05F9"/>
    <w:rsid w:val="00CA0879"/>
    <w:rsid w:val="00CA09A1"/>
    <w:rsid w:val="00CA0F8F"/>
    <w:rsid w:val="00CA1001"/>
    <w:rsid w:val="00CA10B8"/>
    <w:rsid w:val="00CA138F"/>
    <w:rsid w:val="00CA14AF"/>
    <w:rsid w:val="00CA14E0"/>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2FCE"/>
    <w:rsid w:val="00CA31FF"/>
    <w:rsid w:val="00CA3764"/>
    <w:rsid w:val="00CA3775"/>
    <w:rsid w:val="00CA380E"/>
    <w:rsid w:val="00CA39EC"/>
    <w:rsid w:val="00CA3AFB"/>
    <w:rsid w:val="00CA3C6C"/>
    <w:rsid w:val="00CA3C79"/>
    <w:rsid w:val="00CA3D1A"/>
    <w:rsid w:val="00CA3F25"/>
    <w:rsid w:val="00CA425C"/>
    <w:rsid w:val="00CA44FB"/>
    <w:rsid w:val="00CA450E"/>
    <w:rsid w:val="00CA462E"/>
    <w:rsid w:val="00CA47CD"/>
    <w:rsid w:val="00CA47D4"/>
    <w:rsid w:val="00CA4801"/>
    <w:rsid w:val="00CA4B4D"/>
    <w:rsid w:val="00CA4C23"/>
    <w:rsid w:val="00CA4D1C"/>
    <w:rsid w:val="00CA4F85"/>
    <w:rsid w:val="00CA536D"/>
    <w:rsid w:val="00CA55BB"/>
    <w:rsid w:val="00CA57C8"/>
    <w:rsid w:val="00CA57F7"/>
    <w:rsid w:val="00CA590E"/>
    <w:rsid w:val="00CA5913"/>
    <w:rsid w:val="00CA59B9"/>
    <w:rsid w:val="00CA5A81"/>
    <w:rsid w:val="00CA5ACF"/>
    <w:rsid w:val="00CA5BDC"/>
    <w:rsid w:val="00CA5C30"/>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A7BB6"/>
    <w:rsid w:val="00CB0071"/>
    <w:rsid w:val="00CB0316"/>
    <w:rsid w:val="00CB0806"/>
    <w:rsid w:val="00CB0A32"/>
    <w:rsid w:val="00CB0C1E"/>
    <w:rsid w:val="00CB0C41"/>
    <w:rsid w:val="00CB0CAE"/>
    <w:rsid w:val="00CB0E34"/>
    <w:rsid w:val="00CB100A"/>
    <w:rsid w:val="00CB12C3"/>
    <w:rsid w:val="00CB133F"/>
    <w:rsid w:val="00CB1471"/>
    <w:rsid w:val="00CB14CD"/>
    <w:rsid w:val="00CB15DD"/>
    <w:rsid w:val="00CB1774"/>
    <w:rsid w:val="00CB19F5"/>
    <w:rsid w:val="00CB19FE"/>
    <w:rsid w:val="00CB1E09"/>
    <w:rsid w:val="00CB1F35"/>
    <w:rsid w:val="00CB1FAC"/>
    <w:rsid w:val="00CB21B9"/>
    <w:rsid w:val="00CB21F9"/>
    <w:rsid w:val="00CB23BB"/>
    <w:rsid w:val="00CB2829"/>
    <w:rsid w:val="00CB2972"/>
    <w:rsid w:val="00CB2C61"/>
    <w:rsid w:val="00CB2D8E"/>
    <w:rsid w:val="00CB2E1A"/>
    <w:rsid w:val="00CB2ED0"/>
    <w:rsid w:val="00CB31A3"/>
    <w:rsid w:val="00CB334D"/>
    <w:rsid w:val="00CB38E9"/>
    <w:rsid w:val="00CB3A18"/>
    <w:rsid w:val="00CB3A93"/>
    <w:rsid w:val="00CB3AD5"/>
    <w:rsid w:val="00CB3E0E"/>
    <w:rsid w:val="00CB4045"/>
    <w:rsid w:val="00CB40CE"/>
    <w:rsid w:val="00CB40D9"/>
    <w:rsid w:val="00CB42F2"/>
    <w:rsid w:val="00CB4766"/>
    <w:rsid w:val="00CB497E"/>
    <w:rsid w:val="00CB4A4B"/>
    <w:rsid w:val="00CB4E45"/>
    <w:rsid w:val="00CB4E4F"/>
    <w:rsid w:val="00CB4EE0"/>
    <w:rsid w:val="00CB4FB3"/>
    <w:rsid w:val="00CB504A"/>
    <w:rsid w:val="00CB5277"/>
    <w:rsid w:val="00CB54BC"/>
    <w:rsid w:val="00CB5534"/>
    <w:rsid w:val="00CB5738"/>
    <w:rsid w:val="00CB58C8"/>
    <w:rsid w:val="00CB58E1"/>
    <w:rsid w:val="00CB5A7B"/>
    <w:rsid w:val="00CB612A"/>
    <w:rsid w:val="00CB62CA"/>
    <w:rsid w:val="00CB6575"/>
    <w:rsid w:val="00CB65E4"/>
    <w:rsid w:val="00CB65FF"/>
    <w:rsid w:val="00CB68BE"/>
    <w:rsid w:val="00CB691E"/>
    <w:rsid w:val="00CB6955"/>
    <w:rsid w:val="00CB69C5"/>
    <w:rsid w:val="00CB6B66"/>
    <w:rsid w:val="00CB6B9C"/>
    <w:rsid w:val="00CB6C90"/>
    <w:rsid w:val="00CB6ECF"/>
    <w:rsid w:val="00CB6FD4"/>
    <w:rsid w:val="00CB703D"/>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F0B"/>
    <w:rsid w:val="00CC1011"/>
    <w:rsid w:val="00CC1043"/>
    <w:rsid w:val="00CC14E0"/>
    <w:rsid w:val="00CC195B"/>
    <w:rsid w:val="00CC196F"/>
    <w:rsid w:val="00CC1D4D"/>
    <w:rsid w:val="00CC1FAF"/>
    <w:rsid w:val="00CC1FBB"/>
    <w:rsid w:val="00CC2068"/>
    <w:rsid w:val="00CC249D"/>
    <w:rsid w:val="00CC2685"/>
    <w:rsid w:val="00CC2A58"/>
    <w:rsid w:val="00CC2A81"/>
    <w:rsid w:val="00CC2AC3"/>
    <w:rsid w:val="00CC3310"/>
    <w:rsid w:val="00CC3434"/>
    <w:rsid w:val="00CC38BE"/>
    <w:rsid w:val="00CC38E4"/>
    <w:rsid w:val="00CC3A92"/>
    <w:rsid w:val="00CC3ACC"/>
    <w:rsid w:val="00CC3BD9"/>
    <w:rsid w:val="00CC3D0D"/>
    <w:rsid w:val="00CC3EBF"/>
    <w:rsid w:val="00CC3F3B"/>
    <w:rsid w:val="00CC3F49"/>
    <w:rsid w:val="00CC3FDC"/>
    <w:rsid w:val="00CC404E"/>
    <w:rsid w:val="00CC40E4"/>
    <w:rsid w:val="00CC4411"/>
    <w:rsid w:val="00CC453A"/>
    <w:rsid w:val="00CC4603"/>
    <w:rsid w:val="00CC4675"/>
    <w:rsid w:val="00CC4746"/>
    <w:rsid w:val="00CC476C"/>
    <w:rsid w:val="00CC47BC"/>
    <w:rsid w:val="00CC492B"/>
    <w:rsid w:val="00CC4BF0"/>
    <w:rsid w:val="00CC4C0E"/>
    <w:rsid w:val="00CC4D6C"/>
    <w:rsid w:val="00CC4E05"/>
    <w:rsid w:val="00CC4FB3"/>
    <w:rsid w:val="00CC50EB"/>
    <w:rsid w:val="00CC522C"/>
    <w:rsid w:val="00CC522D"/>
    <w:rsid w:val="00CC52CD"/>
    <w:rsid w:val="00CC5318"/>
    <w:rsid w:val="00CC53A0"/>
    <w:rsid w:val="00CC5758"/>
    <w:rsid w:val="00CC577D"/>
    <w:rsid w:val="00CC5A8D"/>
    <w:rsid w:val="00CC5B24"/>
    <w:rsid w:val="00CC5BB7"/>
    <w:rsid w:val="00CC5BCF"/>
    <w:rsid w:val="00CC5D68"/>
    <w:rsid w:val="00CC5EC1"/>
    <w:rsid w:val="00CC5F4A"/>
    <w:rsid w:val="00CC6407"/>
    <w:rsid w:val="00CC649B"/>
    <w:rsid w:val="00CC6651"/>
    <w:rsid w:val="00CC6671"/>
    <w:rsid w:val="00CC69F3"/>
    <w:rsid w:val="00CC6A90"/>
    <w:rsid w:val="00CC6BFB"/>
    <w:rsid w:val="00CC6C9A"/>
    <w:rsid w:val="00CC6E8A"/>
    <w:rsid w:val="00CC6F81"/>
    <w:rsid w:val="00CC709F"/>
    <w:rsid w:val="00CC7146"/>
    <w:rsid w:val="00CC7438"/>
    <w:rsid w:val="00CC772E"/>
    <w:rsid w:val="00CC782C"/>
    <w:rsid w:val="00CC78D1"/>
    <w:rsid w:val="00CC78EE"/>
    <w:rsid w:val="00CC79D0"/>
    <w:rsid w:val="00CC7BBE"/>
    <w:rsid w:val="00CC7BD5"/>
    <w:rsid w:val="00CC7F40"/>
    <w:rsid w:val="00CD03B8"/>
    <w:rsid w:val="00CD0762"/>
    <w:rsid w:val="00CD09B5"/>
    <w:rsid w:val="00CD0C35"/>
    <w:rsid w:val="00CD0FA9"/>
    <w:rsid w:val="00CD0FB3"/>
    <w:rsid w:val="00CD0FE1"/>
    <w:rsid w:val="00CD1031"/>
    <w:rsid w:val="00CD12DF"/>
    <w:rsid w:val="00CD18F2"/>
    <w:rsid w:val="00CD1AE9"/>
    <w:rsid w:val="00CD1BF0"/>
    <w:rsid w:val="00CD1E5A"/>
    <w:rsid w:val="00CD1E63"/>
    <w:rsid w:val="00CD236D"/>
    <w:rsid w:val="00CD2544"/>
    <w:rsid w:val="00CD28E6"/>
    <w:rsid w:val="00CD292A"/>
    <w:rsid w:val="00CD29E2"/>
    <w:rsid w:val="00CD2A2D"/>
    <w:rsid w:val="00CD2FAF"/>
    <w:rsid w:val="00CD2FED"/>
    <w:rsid w:val="00CD30CB"/>
    <w:rsid w:val="00CD30F3"/>
    <w:rsid w:val="00CD3318"/>
    <w:rsid w:val="00CD332B"/>
    <w:rsid w:val="00CD334E"/>
    <w:rsid w:val="00CD33A6"/>
    <w:rsid w:val="00CD35F3"/>
    <w:rsid w:val="00CD3940"/>
    <w:rsid w:val="00CD3AEC"/>
    <w:rsid w:val="00CD4123"/>
    <w:rsid w:val="00CD42D4"/>
    <w:rsid w:val="00CD46CA"/>
    <w:rsid w:val="00CD498F"/>
    <w:rsid w:val="00CD4B80"/>
    <w:rsid w:val="00CD4C5F"/>
    <w:rsid w:val="00CD4CAD"/>
    <w:rsid w:val="00CD4DBE"/>
    <w:rsid w:val="00CD4E49"/>
    <w:rsid w:val="00CD4E63"/>
    <w:rsid w:val="00CD5162"/>
    <w:rsid w:val="00CD52C9"/>
    <w:rsid w:val="00CD5421"/>
    <w:rsid w:val="00CD5497"/>
    <w:rsid w:val="00CD54DE"/>
    <w:rsid w:val="00CD562B"/>
    <w:rsid w:val="00CD5793"/>
    <w:rsid w:val="00CD583A"/>
    <w:rsid w:val="00CD58F7"/>
    <w:rsid w:val="00CD59C9"/>
    <w:rsid w:val="00CD5A4A"/>
    <w:rsid w:val="00CD5B0A"/>
    <w:rsid w:val="00CD5CDD"/>
    <w:rsid w:val="00CD5D97"/>
    <w:rsid w:val="00CD6034"/>
    <w:rsid w:val="00CD6049"/>
    <w:rsid w:val="00CD60A0"/>
    <w:rsid w:val="00CD60BD"/>
    <w:rsid w:val="00CD658B"/>
    <w:rsid w:val="00CD65F1"/>
    <w:rsid w:val="00CD6639"/>
    <w:rsid w:val="00CD68C4"/>
    <w:rsid w:val="00CD698B"/>
    <w:rsid w:val="00CD6A3B"/>
    <w:rsid w:val="00CD6AEF"/>
    <w:rsid w:val="00CD6B94"/>
    <w:rsid w:val="00CD6CB5"/>
    <w:rsid w:val="00CD6D5D"/>
    <w:rsid w:val="00CD702D"/>
    <w:rsid w:val="00CD704B"/>
    <w:rsid w:val="00CD7443"/>
    <w:rsid w:val="00CD7467"/>
    <w:rsid w:val="00CD74EC"/>
    <w:rsid w:val="00CD758F"/>
    <w:rsid w:val="00CD77C9"/>
    <w:rsid w:val="00CD78EC"/>
    <w:rsid w:val="00CD7966"/>
    <w:rsid w:val="00CD7A81"/>
    <w:rsid w:val="00CD7B20"/>
    <w:rsid w:val="00CD7BA4"/>
    <w:rsid w:val="00CD7C56"/>
    <w:rsid w:val="00CD7C6A"/>
    <w:rsid w:val="00CD7C6B"/>
    <w:rsid w:val="00CD7D57"/>
    <w:rsid w:val="00CD7E0B"/>
    <w:rsid w:val="00CE038D"/>
    <w:rsid w:val="00CE0578"/>
    <w:rsid w:val="00CE066B"/>
    <w:rsid w:val="00CE088D"/>
    <w:rsid w:val="00CE0A16"/>
    <w:rsid w:val="00CE0ABE"/>
    <w:rsid w:val="00CE0BAC"/>
    <w:rsid w:val="00CE0BF5"/>
    <w:rsid w:val="00CE0CD2"/>
    <w:rsid w:val="00CE0E62"/>
    <w:rsid w:val="00CE118A"/>
    <w:rsid w:val="00CE11B5"/>
    <w:rsid w:val="00CE1270"/>
    <w:rsid w:val="00CE128C"/>
    <w:rsid w:val="00CE1507"/>
    <w:rsid w:val="00CE1548"/>
    <w:rsid w:val="00CE15CF"/>
    <w:rsid w:val="00CE16C8"/>
    <w:rsid w:val="00CE16D8"/>
    <w:rsid w:val="00CE1877"/>
    <w:rsid w:val="00CE19CD"/>
    <w:rsid w:val="00CE1B83"/>
    <w:rsid w:val="00CE1BAB"/>
    <w:rsid w:val="00CE1E4F"/>
    <w:rsid w:val="00CE20B6"/>
    <w:rsid w:val="00CE20EA"/>
    <w:rsid w:val="00CE20EB"/>
    <w:rsid w:val="00CE218E"/>
    <w:rsid w:val="00CE238E"/>
    <w:rsid w:val="00CE2406"/>
    <w:rsid w:val="00CE2537"/>
    <w:rsid w:val="00CE26B7"/>
    <w:rsid w:val="00CE2847"/>
    <w:rsid w:val="00CE29C9"/>
    <w:rsid w:val="00CE29D0"/>
    <w:rsid w:val="00CE2C13"/>
    <w:rsid w:val="00CE2CF1"/>
    <w:rsid w:val="00CE2DE1"/>
    <w:rsid w:val="00CE2EAF"/>
    <w:rsid w:val="00CE315B"/>
    <w:rsid w:val="00CE3236"/>
    <w:rsid w:val="00CE331D"/>
    <w:rsid w:val="00CE3447"/>
    <w:rsid w:val="00CE34B2"/>
    <w:rsid w:val="00CE3678"/>
    <w:rsid w:val="00CE36FA"/>
    <w:rsid w:val="00CE3704"/>
    <w:rsid w:val="00CE376E"/>
    <w:rsid w:val="00CE37DB"/>
    <w:rsid w:val="00CE3969"/>
    <w:rsid w:val="00CE39DB"/>
    <w:rsid w:val="00CE3A6B"/>
    <w:rsid w:val="00CE3CF8"/>
    <w:rsid w:val="00CE3EBA"/>
    <w:rsid w:val="00CE3EE2"/>
    <w:rsid w:val="00CE3FA6"/>
    <w:rsid w:val="00CE4101"/>
    <w:rsid w:val="00CE4541"/>
    <w:rsid w:val="00CE4635"/>
    <w:rsid w:val="00CE495E"/>
    <w:rsid w:val="00CE4A58"/>
    <w:rsid w:val="00CE4B31"/>
    <w:rsid w:val="00CE50D3"/>
    <w:rsid w:val="00CE532C"/>
    <w:rsid w:val="00CE54ED"/>
    <w:rsid w:val="00CE55C2"/>
    <w:rsid w:val="00CE55E0"/>
    <w:rsid w:val="00CE57EE"/>
    <w:rsid w:val="00CE5A01"/>
    <w:rsid w:val="00CE5B49"/>
    <w:rsid w:val="00CE5C11"/>
    <w:rsid w:val="00CE5C36"/>
    <w:rsid w:val="00CE5C56"/>
    <w:rsid w:val="00CE5CB5"/>
    <w:rsid w:val="00CE5DBA"/>
    <w:rsid w:val="00CE5ED3"/>
    <w:rsid w:val="00CE620A"/>
    <w:rsid w:val="00CE6260"/>
    <w:rsid w:val="00CE63F7"/>
    <w:rsid w:val="00CE674F"/>
    <w:rsid w:val="00CE677F"/>
    <w:rsid w:val="00CE69FD"/>
    <w:rsid w:val="00CE6A4C"/>
    <w:rsid w:val="00CE6B4D"/>
    <w:rsid w:val="00CE6BF9"/>
    <w:rsid w:val="00CE6CC1"/>
    <w:rsid w:val="00CE7593"/>
    <w:rsid w:val="00CE75EA"/>
    <w:rsid w:val="00CE760F"/>
    <w:rsid w:val="00CE761A"/>
    <w:rsid w:val="00CE7709"/>
    <w:rsid w:val="00CE7743"/>
    <w:rsid w:val="00CE777A"/>
    <w:rsid w:val="00CE788F"/>
    <w:rsid w:val="00CE78FC"/>
    <w:rsid w:val="00CE7936"/>
    <w:rsid w:val="00CE7C4D"/>
    <w:rsid w:val="00CE7E9C"/>
    <w:rsid w:val="00CE7FAD"/>
    <w:rsid w:val="00CF00EA"/>
    <w:rsid w:val="00CF018B"/>
    <w:rsid w:val="00CF030A"/>
    <w:rsid w:val="00CF0505"/>
    <w:rsid w:val="00CF056D"/>
    <w:rsid w:val="00CF08A2"/>
    <w:rsid w:val="00CF08B4"/>
    <w:rsid w:val="00CF0C9B"/>
    <w:rsid w:val="00CF0D31"/>
    <w:rsid w:val="00CF0F3B"/>
    <w:rsid w:val="00CF0FBB"/>
    <w:rsid w:val="00CF0FD6"/>
    <w:rsid w:val="00CF1044"/>
    <w:rsid w:val="00CF1047"/>
    <w:rsid w:val="00CF132D"/>
    <w:rsid w:val="00CF1960"/>
    <w:rsid w:val="00CF1A11"/>
    <w:rsid w:val="00CF1B99"/>
    <w:rsid w:val="00CF1C1E"/>
    <w:rsid w:val="00CF1FCB"/>
    <w:rsid w:val="00CF2071"/>
    <w:rsid w:val="00CF20A4"/>
    <w:rsid w:val="00CF2110"/>
    <w:rsid w:val="00CF2124"/>
    <w:rsid w:val="00CF217C"/>
    <w:rsid w:val="00CF21AB"/>
    <w:rsid w:val="00CF2249"/>
    <w:rsid w:val="00CF22DF"/>
    <w:rsid w:val="00CF2FA9"/>
    <w:rsid w:val="00CF2FEB"/>
    <w:rsid w:val="00CF3099"/>
    <w:rsid w:val="00CF317C"/>
    <w:rsid w:val="00CF32D5"/>
    <w:rsid w:val="00CF360A"/>
    <w:rsid w:val="00CF3C72"/>
    <w:rsid w:val="00CF409B"/>
    <w:rsid w:val="00CF40A3"/>
    <w:rsid w:val="00CF42F4"/>
    <w:rsid w:val="00CF4417"/>
    <w:rsid w:val="00CF44A0"/>
    <w:rsid w:val="00CF4665"/>
    <w:rsid w:val="00CF4717"/>
    <w:rsid w:val="00CF4761"/>
    <w:rsid w:val="00CF47BD"/>
    <w:rsid w:val="00CF4B90"/>
    <w:rsid w:val="00CF4ECC"/>
    <w:rsid w:val="00CF4FD6"/>
    <w:rsid w:val="00CF515A"/>
    <w:rsid w:val="00CF52EB"/>
    <w:rsid w:val="00CF5323"/>
    <w:rsid w:val="00CF53B7"/>
    <w:rsid w:val="00CF53C9"/>
    <w:rsid w:val="00CF53D3"/>
    <w:rsid w:val="00CF54A1"/>
    <w:rsid w:val="00CF54AB"/>
    <w:rsid w:val="00CF5E5B"/>
    <w:rsid w:val="00CF5F7D"/>
    <w:rsid w:val="00CF6008"/>
    <w:rsid w:val="00CF601C"/>
    <w:rsid w:val="00CF6456"/>
    <w:rsid w:val="00CF67A3"/>
    <w:rsid w:val="00CF6A3A"/>
    <w:rsid w:val="00CF6A45"/>
    <w:rsid w:val="00CF6AAA"/>
    <w:rsid w:val="00CF6B42"/>
    <w:rsid w:val="00CF6BAB"/>
    <w:rsid w:val="00CF6CBF"/>
    <w:rsid w:val="00CF6F30"/>
    <w:rsid w:val="00CF7006"/>
    <w:rsid w:val="00CF745D"/>
    <w:rsid w:val="00CF745F"/>
    <w:rsid w:val="00CF75B0"/>
    <w:rsid w:val="00CF76D0"/>
    <w:rsid w:val="00CF76F7"/>
    <w:rsid w:val="00CF77AE"/>
    <w:rsid w:val="00CF793D"/>
    <w:rsid w:val="00CF796C"/>
    <w:rsid w:val="00CF7B72"/>
    <w:rsid w:val="00CF7BEB"/>
    <w:rsid w:val="00CF7D04"/>
    <w:rsid w:val="00CF7E91"/>
    <w:rsid w:val="00CF7F74"/>
    <w:rsid w:val="00CF7FA5"/>
    <w:rsid w:val="00D000D2"/>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8B5"/>
    <w:rsid w:val="00D01978"/>
    <w:rsid w:val="00D01B70"/>
    <w:rsid w:val="00D01D5D"/>
    <w:rsid w:val="00D022B6"/>
    <w:rsid w:val="00D0234F"/>
    <w:rsid w:val="00D02472"/>
    <w:rsid w:val="00D024ED"/>
    <w:rsid w:val="00D0254A"/>
    <w:rsid w:val="00D02668"/>
    <w:rsid w:val="00D0285E"/>
    <w:rsid w:val="00D0289D"/>
    <w:rsid w:val="00D02927"/>
    <w:rsid w:val="00D029A6"/>
    <w:rsid w:val="00D02A00"/>
    <w:rsid w:val="00D02A7D"/>
    <w:rsid w:val="00D02CAD"/>
    <w:rsid w:val="00D02F91"/>
    <w:rsid w:val="00D02FAA"/>
    <w:rsid w:val="00D031CB"/>
    <w:rsid w:val="00D03207"/>
    <w:rsid w:val="00D0325E"/>
    <w:rsid w:val="00D032D3"/>
    <w:rsid w:val="00D0339D"/>
    <w:rsid w:val="00D03613"/>
    <w:rsid w:val="00D03844"/>
    <w:rsid w:val="00D0391A"/>
    <w:rsid w:val="00D03A89"/>
    <w:rsid w:val="00D03C01"/>
    <w:rsid w:val="00D03D0A"/>
    <w:rsid w:val="00D03DA1"/>
    <w:rsid w:val="00D03F10"/>
    <w:rsid w:val="00D0405A"/>
    <w:rsid w:val="00D04114"/>
    <w:rsid w:val="00D04283"/>
    <w:rsid w:val="00D043C6"/>
    <w:rsid w:val="00D04564"/>
    <w:rsid w:val="00D0470A"/>
    <w:rsid w:val="00D04810"/>
    <w:rsid w:val="00D04813"/>
    <w:rsid w:val="00D04B5B"/>
    <w:rsid w:val="00D04BB5"/>
    <w:rsid w:val="00D04DE6"/>
    <w:rsid w:val="00D04E33"/>
    <w:rsid w:val="00D04F59"/>
    <w:rsid w:val="00D05121"/>
    <w:rsid w:val="00D05182"/>
    <w:rsid w:val="00D052D9"/>
    <w:rsid w:val="00D05555"/>
    <w:rsid w:val="00D05654"/>
    <w:rsid w:val="00D05ABD"/>
    <w:rsid w:val="00D05C9B"/>
    <w:rsid w:val="00D05CD9"/>
    <w:rsid w:val="00D05E4D"/>
    <w:rsid w:val="00D060FD"/>
    <w:rsid w:val="00D062C8"/>
    <w:rsid w:val="00D0635A"/>
    <w:rsid w:val="00D06488"/>
    <w:rsid w:val="00D064D8"/>
    <w:rsid w:val="00D067FF"/>
    <w:rsid w:val="00D06976"/>
    <w:rsid w:val="00D06DD0"/>
    <w:rsid w:val="00D06E28"/>
    <w:rsid w:val="00D06EA1"/>
    <w:rsid w:val="00D06EF5"/>
    <w:rsid w:val="00D06F55"/>
    <w:rsid w:val="00D06FCB"/>
    <w:rsid w:val="00D07034"/>
    <w:rsid w:val="00D070A7"/>
    <w:rsid w:val="00D070D3"/>
    <w:rsid w:val="00D07186"/>
    <w:rsid w:val="00D072F8"/>
    <w:rsid w:val="00D07719"/>
    <w:rsid w:val="00D0778C"/>
    <w:rsid w:val="00D07DDE"/>
    <w:rsid w:val="00D07E33"/>
    <w:rsid w:val="00D10211"/>
    <w:rsid w:val="00D107F0"/>
    <w:rsid w:val="00D10A5B"/>
    <w:rsid w:val="00D10C93"/>
    <w:rsid w:val="00D10FF1"/>
    <w:rsid w:val="00D111D2"/>
    <w:rsid w:val="00D11334"/>
    <w:rsid w:val="00D11434"/>
    <w:rsid w:val="00D1157E"/>
    <w:rsid w:val="00D115FE"/>
    <w:rsid w:val="00D1168E"/>
    <w:rsid w:val="00D11820"/>
    <w:rsid w:val="00D11D56"/>
    <w:rsid w:val="00D11E9C"/>
    <w:rsid w:val="00D11F7E"/>
    <w:rsid w:val="00D11FA3"/>
    <w:rsid w:val="00D12297"/>
    <w:rsid w:val="00D12314"/>
    <w:rsid w:val="00D12557"/>
    <w:rsid w:val="00D127E3"/>
    <w:rsid w:val="00D13141"/>
    <w:rsid w:val="00D1355F"/>
    <w:rsid w:val="00D13671"/>
    <w:rsid w:val="00D137F2"/>
    <w:rsid w:val="00D13A57"/>
    <w:rsid w:val="00D13C88"/>
    <w:rsid w:val="00D13D1D"/>
    <w:rsid w:val="00D14036"/>
    <w:rsid w:val="00D1434B"/>
    <w:rsid w:val="00D14474"/>
    <w:rsid w:val="00D14740"/>
    <w:rsid w:val="00D1478B"/>
    <w:rsid w:val="00D14829"/>
    <w:rsid w:val="00D14958"/>
    <w:rsid w:val="00D149BB"/>
    <w:rsid w:val="00D14AA8"/>
    <w:rsid w:val="00D14CAA"/>
    <w:rsid w:val="00D14CAB"/>
    <w:rsid w:val="00D14DB3"/>
    <w:rsid w:val="00D14F42"/>
    <w:rsid w:val="00D15011"/>
    <w:rsid w:val="00D152B0"/>
    <w:rsid w:val="00D1554C"/>
    <w:rsid w:val="00D15719"/>
    <w:rsid w:val="00D160ED"/>
    <w:rsid w:val="00D1634A"/>
    <w:rsid w:val="00D16884"/>
    <w:rsid w:val="00D169F4"/>
    <w:rsid w:val="00D16AA3"/>
    <w:rsid w:val="00D16ACD"/>
    <w:rsid w:val="00D16BCC"/>
    <w:rsid w:val="00D16C03"/>
    <w:rsid w:val="00D17198"/>
    <w:rsid w:val="00D172E4"/>
    <w:rsid w:val="00D1744E"/>
    <w:rsid w:val="00D1758C"/>
    <w:rsid w:val="00D17715"/>
    <w:rsid w:val="00D178D9"/>
    <w:rsid w:val="00D17941"/>
    <w:rsid w:val="00D17A7B"/>
    <w:rsid w:val="00D203F3"/>
    <w:rsid w:val="00D2076E"/>
    <w:rsid w:val="00D207B3"/>
    <w:rsid w:val="00D20A4C"/>
    <w:rsid w:val="00D20BA2"/>
    <w:rsid w:val="00D20C9B"/>
    <w:rsid w:val="00D20F89"/>
    <w:rsid w:val="00D2102E"/>
    <w:rsid w:val="00D210AA"/>
    <w:rsid w:val="00D211DE"/>
    <w:rsid w:val="00D2141F"/>
    <w:rsid w:val="00D21462"/>
    <w:rsid w:val="00D216F9"/>
    <w:rsid w:val="00D21A82"/>
    <w:rsid w:val="00D21B9B"/>
    <w:rsid w:val="00D21C2A"/>
    <w:rsid w:val="00D21CC2"/>
    <w:rsid w:val="00D21D0A"/>
    <w:rsid w:val="00D21EE7"/>
    <w:rsid w:val="00D21FDD"/>
    <w:rsid w:val="00D22244"/>
    <w:rsid w:val="00D22257"/>
    <w:rsid w:val="00D2227A"/>
    <w:rsid w:val="00D2235D"/>
    <w:rsid w:val="00D22382"/>
    <w:rsid w:val="00D223DE"/>
    <w:rsid w:val="00D2243F"/>
    <w:rsid w:val="00D224AA"/>
    <w:rsid w:val="00D2259B"/>
    <w:rsid w:val="00D2264F"/>
    <w:rsid w:val="00D229A8"/>
    <w:rsid w:val="00D22F25"/>
    <w:rsid w:val="00D22FBD"/>
    <w:rsid w:val="00D233D4"/>
    <w:rsid w:val="00D234BF"/>
    <w:rsid w:val="00D235DB"/>
    <w:rsid w:val="00D23875"/>
    <w:rsid w:val="00D23A4D"/>
    <w:rsid w:val="00D23A5B"/>
    <w:rsid w:val="00D23AC9"/>
    <w:rsid w:val="00D23B05"/>
    <w:rsid w:val="00D23B5A"/>
    <w:rsid w:val="00D240F2"/>
    <w:rsid w:val="00D241EB"/>
    <w:rsid w:val="00D24667"/>
    <w:rsid w:val="00D246BB"/>
    <w:rsid w:val="00D246BF"/>
    <w:rsid w:val="00D2483B"/>
    <w:rsid w:val="00D2491B"/>
    <w:rsid w:val="00D24990"/>
    <w:rsid w:val="00D24999"/>
    <w:rsid w:val="00D249DE"/>
    <w:rsid w:val="00D24A34"/>
    <w:rsid w:val="00D24C42"/>
    <w:rsid w:val="00D24C88"/>
    <w:rsid w:val="00D24CD4"/>
    <w:rsid w:val="00D24D27"/>
    <w:rsid w:val="00D24E77"/>
    <w:rsid w:val="00D24FAF"/>
    <w:rsid w:val="00D25085"/>
    <w:rsid w:val="00D2513A"/>
    <w:rsid w:val="00D251D0"/>
    <w:rsid w:val="00D25488"/>
    <w:rsid w:val="00D25490"/>
    <w:rsid w:val="00D257F8"/>
    <w:rsid w:val="00D25C09"/>
    <w:rsid w:val="00D25D74"/>
    <w:rsid w:val="00D26209"/>
    <w:rsid w:val="00D26684"/>
    <w:rsid w:val="00D26859"/>
    <w:rsid w:val="00D26B6F"/>
    <w:rsid w:val="00D26F28"/>
    <w:rsid w:val="00D275B1"/>
    <w:rsid w:val="00D278D0"/>
    <w:rsid w:val="00D27C68"/>
    <w:rsid w:val="00D27CC1"/>
    <w:rsid w:val="00D27DF0"/>
    <w:rsid w:val="00D27E32"/>
    <w:rsid w:val="00D27EFD"/>
    <w:rsid w:val="00D27F07"/>
    <w:rsid w:val="00D27FB5"/>
    <w:rsid w:val="00D3004B"/>
    <w:rsid w:val="00D3009A"/>
    <w:rsid w:val="00D3018E"/>
    <w:rsid w:val="00D30905"/>
    <w:rsid w:val="00D30BB6"/>
    <w:rsid w:val="00D30EBA"/>
    <w:rsid w:val="00D31316"/>
    <w:rsid w:val="00D31345"/>
    <w:rsid w:val="00D314B4"/>
    <w:rsid w:val="00D317F5"/>
    <w:rsid w:val="00D31AB5"/>
    <w:rsid w:val="00D31B3E"/>
    <w:rsid w:val="00D31CFF"/>
    <w:rsid w:val="00D32110"/>
    <w:rsid w:val="00D32148"/>
    <w:rsid w:val="00D321E4"/>
    <w:rsid w:val="00D321EF"/>
    <w:rsid w:val="00D323CC"/>
    <w:rsid w:val="00D32411"/>
    <w:rsid w:val="00D3248C"/>
    <w:rsid w:val="00D3293B"/>
    <w:rsid w:val="00D32AB7"/>
    <w:rsid w:val="00D32B20"/>
    <w:rsid w:val="00D32B44"/>
    <w:rsid w:val="00D32B70"/>
    <w:rsid w:val="00D32C07"/>
    <w:rsid w:val="00D32CC1"/>
    <w:rsid w:val="00D32D40"/>
    <w:rsid w:val="00D33010"/>
    <w:rsid w:val="00D330A2"/>
    <w:rsid w:val="00D330F2"/>
    <w:rsid w:val="00D33151"/>
    <w:rsid w:val="00D33152"/>
    <w:rsid w:val="00D331E3"/>
    <w:rsid w:val="00D33262"/>
    <w:rsid w:val="00D3329D"/>
    <w:rsid w:val="00D3336A"/>
    <w:rsid w:val="00D3345E"/>
    <w:rsid w:val="00D336E2"/>
    <w:rsid w:val="00D33A0B"/>
    <w:rsid w:val="00D33D3B"/>
    <w:rsid w:val="00D33E9E"/>
    <w:rsid w:val="00D33F00"/>
    <w:rsid w:val="00D33FB5"/>
    <w:rsid w:val="00D34141"/>
    <w:rsid w:val="00D34144"/>
    <w:rsid w:val="00D341E5"/>
    <w:rsid w:val="00D34279"/>
    <w:rsid w:val="00D34280"/>
    <w:rsid w:val="00D34522"/>
    <w:rsid w:val="00D34722"/>
    <w:rsid w:val="00D347F7"/>
    <w:rsid w:val="00D3485A"/>
    <w:rsid w:val="00D349D1"/>
    <w:rsid w:val="00D34ACF"/>
    <w:rsid w:val="00D34C52"/>
    <w:rsid w:val="00D3506D"/>
    <w:rsid w:val="00D351AB"/>
    <w:rsid w:val="00D351D3"/>
    <w:rsid w:val="00D352D2"/>
    <w:rsid w:val="00D35597"/>
    <w:rsid w:val="00D355A2"/>
    <w:rsid w:val="00D35620"/>
    <w:rsid w:val="00D3562D"/>
    <w:rsid w:val="00D357D7"/>
    <w:rsid w:val="00D35998"/>
    <w:rsid w:val="00D35B05"/>
    <w:rsid w:val="00D35D11"/>
    <w:rsid w:val="00D35ED7"/>
    <w:rsid w:val="00D35FFA"/>
    <w:rsid w:val="00D36064"/>
    <w:rsid w:val="00D361B9"/>
    <w:rsid w:val="00D362C0"/>
    <w:rsid w:val="00D36608"/>
    <w:rsid w:val="00D36B17"/>
    <w:rsid w:val="00D36C29"/>
    <w:rsid w:val="00D36CAA"/>
    <w:rsid w:val="00D36D04"/>
    <w:rsid w:val="00D36DB2"/>
    <w:rsid w:val="00D36DDD"/>
    <w:rsid w:val="00D37054"/>
    <w:rsid w:val="00D37202"/>
    <w:rsid w:val="00D3720A"/>
    <w:rsid w:val="00D372EB"/>
    <w:rsid w:val="00D37745"/>
    <w:rsid w:val="00D3786A"/>
    <w:rsid w:val="00D37A8C"/>
    <w:rsid w:val="00D37B22"/>
    <w:rsid w:val="00D37C3C"/>
    <w:rsid w:val="00D37D7C"/>
    <w:rsid w:val="00D40229"/>
    <w:rsid w:val="00D40320"/>
    <w:rsid w:val="00D40361"/>
    <w:rsid w:val="00D403F3"/>
    <w:rsid w:val="00D40594"/>
    <w:rsid w:val="00D406A6"/>
    <w:rsid w:val="00D408F2"/>
    <w:rsid w:val="00D4095F"/>
    <w:rsid w:val="00D40E4E"/>
    <w:rsid w:val="00D412CA"/>
    <w:rsid w:val="00D4166C"/>
    <w:rsid w:val="00D41709"/>
    <w:rsid w:val="00D41762"/>
    <w:rsid w:val="00D4178B"/>
    <w:rsid w:val="00D417E6"/>
    <w:rsid w:val="00D41935"/>
    <w:rsid w:val="00D41B0A"/>
    <w:rsid w:val="00D41BC5"/>
    <w:rsid w:val="00D41C0B"/>
    <w:rsid w:val="00D41ED4"/>
    <w:rsid w:val="00D41F08"/>
    <w:rsid w:val="00D42148"/>
    <w:rsid w:val="00D4220B"/>
    <w:rsid w:val="00D423E0"/>
    <w:rsid w:val="00D42862"/>
    <w:rsid w:val="00D42903"/>
    <w:rsid w:val="00D42941"/>
    <w:rsid w:val="00D4294F"/>
    <w:rsid w:val="00D42B6A"/>
    <w:rsid w:val="00D431C1"/>
    <w:rsid w:val="00D4331C"/>
    <w:rsid w:val="00D434D2"/>
    <w:rsid w:val="00D43A16"/>
    <w:rsid w:val="00D43AAD"/>
    <w:rsid w:val="00D43C0C"/>
    <w:rsid w:val="00D43C82"/>
    <w:rsid w:val="00D43D56"/>
    <w:rsid w:val="00D4418B"/>
    <w:rsid w:val="00D44227"/>
    <w:rsid w:val="00D442C6"/>
    <w:rsid w:val="00D44393"/>
    <w:rsid w:val="00D44438"/>
    <w:rsid w:val="00D444A6"/>
    <w:rsid w:val="00D44622"/>
    <w:rsid w:val="00D448D5"/>
    <w:rsid w:val="00D448D6"/>
    <w:rsid w:val="00D448F9"/>
    <w:rsid w:val="00D44939"/>
    <w:rsid w:val="00D44A77"/>
    <w:rsid w:val="00D44B9F"/>
    <w:rsid w:val="00D44C65"/>
    <w:rsid w:val="00D44D84"/>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5F77"/>
    <w:rsid w:val="00D46285"/>
    <w:rsid w:val="00D467D9"/>
    <w:rsid w:val="00D46B99"/>
    <w:rsid w:val="00D46DD8"/>
    <w:rsid w:val="00D46DE3"/>
    <w:rsid w:val="00D46ED2"/>
    <w:rsid w:val="00D46FE9"/>
    <w:rsid w:val="00D47212"/>
    <w:rsid w:val="00D47268"/>
    <w:rsid w:val="00D47321"/>
    <w:rsid w:val="00D47408"/>
    <w:rsid w:val="00D4766D"/>
    <w:rsid w:val="00D479C5"/>
    <w:rsid w:val="00D47BEA"/>
    <w:rsid w:val="00D47D02"/>
    <w:rsid w:val="00D47ED4"/>
    <w:rsid w:val="00D50173"/>
    <w:rsid w:val="00D50447"/>
    <w:rsid w:val="00D50558"/>
    <w:rsid w:val="00D50927"/>
    <w:rsid w:val="00D50AAC"/>
    <w:rsid w:val="00D50AE6"/>
    <w:rsid w:val="00D50BAA"/>
    <w:rsid w:val="00D50C72"/>
    <w:rsid w:val="00D50D29"/>
    <w:rsid w:val="00D50D49"/>
    <w:rsid w:val="00D50D62"/>
    <w:rsid w:val="00D50E9A"/>
    <w:rsid w:val="00D512EA"/>
    <w:rsid w:val="00D51394"/>
    <w:rsid w:val="00D513CE"/>
    <w:rsid w:val="00D5141D"/>
    <w:rsid w:val="00D51531"/>
    <w:rsid w:val="00D515E9"/>
    <w:rsid w:val="00D51A0F"/>
    <w:rsid w:val="00D51D39"/>
    <w:rsid w:val="00D51D4D"/>
    <w:rsid w:val="00D51FD2"/>
    <w:rsid w:val="00D521D3"/>
    <w:rsid w:val="00D524B0"/>
    <w:rsid w:val="00D525FD"/>
    <w:rsid w:val="00D526E5"/>
    <w:rsid w:val="00D52751"/>
    <w:rsid w:val="00D52898"/>
    <w:rsid w:val="00D52962"/>
    <w:rsid w:val="00D52C97"/>
    <w:rsid w:val="00D52E6F"/>
    <w:rsid w:val="00D53010"/>
    <w:rsid w:val="00D530C2"/>
    <w:rsid w:val="00D531DB"/>
    <w:rsid w:val="00D53238"/>
    <w:rsid w:val="00D533F8"/>
    <w:rsid w:val="00D53616"/>
    <w:rsid w:val="00D5377D"/>
    <w:rsid w:val="00D53A54"/>
    <w:rsid w:val="00D53F7D"/>
    <w:rsid w:val="00D54195"/>
    <w:rsid w:val="00D54220"/>
    <w:rsid w:val="00D5424F"/>
    <w:rsid w:val="00D542CB"/>
    <w:rsid w:val="00D54436"/>
    <w:rsid w:val="00D545EB"/>
    <w:rsid w:val="00D547BF"/>
    <w:rsid w:val="00D54ADD"/>
    <w:rsid w:val="00D54C66"/>
    <w:rsid w:val="00D55583"/>
    <w:rsid w:val="00D55A2C"/>
    <w:rsid w:val="00D55A67"/>
    <w:rsid w:val="00D55AC3"/>
    <w:rsid w:val="00D55BAD"/>
    <w:rsid w:val="00D55C3D"/>
    <w:rsid w:val="00D55DBE"/>
    <w:rsid w:val="00D55DD7"/>
    <w:rsid w:val="00D55E30"/>
    <w:rsid w:val="00D56023"/>
    <w:rsid w:val="00D560A0"/>
    <w:rsid w:val="00D56240"/>
    <w:rsid w:val="00D56350"/>
    <w:rsid w:val="00D5649B"/>
    <w:rsid w:val="00D564CC"/>
    <w:rsid w:val="00D565CA"/>
    <w:rsid w:val="00D567C6"/>
    <w:rsid w:val="00D56944"/>
    <w:rsid w:val="00D5697C"/>
    <w:rsid w:val="00D56A3D"/>
    <w:rsid w:val="00D56C58"/>
    <w:rsid w:val="00D5700E"/>
    <w:rsid w:val="00D57090"/>
    <w:rsid w:val="00D5718F"/>
    <w:rsid w:val="00D57AD0"/>
    <w:rsid w:val="00D57BAE"/>
    <w:rsid w:val="00D57C60"/>
    <w:rsid w:val="00D57C63"/>
    <w:rsid w:val="00D57DFB"/>
    <w:rsid w:val="00D60042"/>
    <w:rsid w:val="00D60251"/>
    <w:rsid w:val="00D603E8"/>
    <w:rsid w:val="00D604A4"/>
    <w:rsid w:val="00D604EE"/>
    <w:rsid w:val="00D60507"/>
    <w:rsid w:val="00D60591"/>
    <w:rsid w:val="00D60872"/>
    <w:rsid w:val="00D6094F"/>
    <w:rsid w:val="00D60C53"/>
    <w:rsid w:val="00D611ED"/>
    <w:rsid w:val="00D61301"/>
    <w:rsid w:val="00D614E8"/>
    <w:rsid w:val="00D616D9"/>
    <w:rsid w:val="00D61940"/>
    <w:rsid w:val="00D61A0D"/>
    <w:rsid w:val="00D61E7D"/>
    <w:rsid w:val="00D61F47"/>
    <w:rsid w:val="00D6214C"/>
    <w:rsid w:val="00D621D3"/>
    <w:rsid w:val="00D622D5"/>
    <w:rsid w:val="00D6286F"/>
    <w:rsid w:val="00D629BA"/>
    <w:rsid w:val="00D629F7"/>
    <w:rsid w:val="00D62B8D"/>
    <w:rsid w:val="00D62C6E"/>
    <w:rsid w:val="00D62CB5"/>
    <w:rsid w:val="00D62E0A"/>
    <w:rsid w:val="00D62EBB"/>
    <w:rsid w:val="00D62F08"/>
    <w:rsid w:val="00D63045"/>
    <w:rsid w:val="00D63053"/>
    <w:rsid w:val="00D6311E"/>
    <w:rsid w:val="00D63378"/>
    <w:rsid w:val="00D634D3"/>
    <w:rsid w:val="00D63586"/>
    <w:rsid w:val="00D63638"/>
    <w:rsid w:val="00D6363C"/>
    <w:rsid w:val="00D636F3"/>
    <w:rsid w:val="00D636F5"/>
    <w:rsid w:val="00D63E4A"/>
    <w:rsid w:val="00D63F44"/>
    <w:rsid w:val="00D640BC"/>
    <w:rsid w:val="00D640D2"/>
    <w:rsid w:val="00D643F3"/>
    <w:rsid w:val="00D647DB"/>
    <w:rsid w:val="00D6485D"/>
    <w:rsid w:val="00D64935"/>
    <w:rsid w:val="00D64B33"/>
    <w:rsid w:val="00D64C3F"/>
    <w:rsid w:val="00D64D15"/>
    <w:rsid w:val="00D64DD4"/>
    <w:rsid w:val="00D64F27"/>
    <w:rsid w:val="00D64FE0"/>
    <w:rsid w:val="00D656CD"/>
    <w:rsid w:val="00D65872"/>
    <w:rsid w:val="00D65A2D"/>
    <w:rsid w:val="00D65C4F"/>
    <w:rsid w:val="00D65C72"/>
    <w:rsid w:val="00D65F28"/>
    <w:rsid w:val="00D6682E"/>
    <w:rsid w:val="00D66A05"/>
    <w:rsid w:val="00D66A35"/>
    <w:rsid w:val="00D66B9E"/>
    <w:rsid w:val="00D66C7F"/>
    <w:rsid w:val="00D66EE7"/>
    <w:rsid w:val="00D671D4"/>
    <w:rsid w:val="00D673A7"/>
    <w:rsid w:val="00D673D0"/>
    <w:rsid w:val="00D675EA"/>
    <w:rsid w:val="00D675FC"/>
    <w:rsid w:val="00D67797"/>
    <w:rsid w:val="00D6783F"/>
    <w:rsid w:val="00D678DC"/>
    <w:rsid w:val="00D67D3F"/>
    <w:rsid w:val="00D67F91"/>
    <w:rsid w:val="00D67FBE"/>
    <w:rsid w:val="00D67FCD"/>
    <w:rsid w:val="00D704BD"/>
    <w:rsid w:val="00D705EC"/>
    <w:rsid w:val="00D7061E"/>
    <w:rsid w:val="00D70A31"/>
    <w:rsid w:val="00D70B5F"/>
    <w:rsid w:val="00D70C0C"/>
    <w:rsid w:val="00D70C2F"/>
    <w:rsid w:val="00D70F17"/>
    <w:rsid w:val="00D71094"/>
    <w:rsid w:val="00D7115E"/>
    <w:rsid w:val="00D7120B"/>
    <w:rsid w:val="00D715EC"/>
    <w:rsid w:val="00D71775"/>
    <w:rsid w:val="00D71883"/>
    <w:rsid w:val="00D71A4F"/>
    <w:rsid w:val="00D71CC1"/>
    <w:rsid w:val="00D71E07"/>
    <w:rsid w:val="00D7200E"/>
    <w:rsid w:val="00D7219C"/>
    <w:rsid w:val="00D721A5"/>
    <w:rsid w:val="00D721E4"/>
    <w:rsid w:val="00D722D4"/>
    <w:rsid w:val="00D72441"/>
    <w:rsid w:val="00D72784"/>
    <w:rsid w:val="00D727D0"/>
    <w:rsid w:val="00D727DF"/>
    <w:rsid w:val="00D7282D"/>
    <w:rsid w:val="00D72BB9"/>
    <w:rsid w:val="00D72BE3"/>
    <w:rsid w:val="00D72D26"/>
    <w:rsid w:val="00D72EC6"/>
    <w:rsid w:val="00D72EE5"/>
    <w:rsid w:val="00D72F8F"/>
    <w:rsid w:val="00D731E9"/>
    <w:rsid w:val="00D73395"/>
    <w:rsid w:val="00D739E5"/>
    <w:rsid w:val="00D73C4F"/>
    <w:rsid w:val="00D73D68"/>
    <w:rsid w:val="00D73FCC"/>
    <w:rsid w:val="00D741C0"/>
    <w:rsid w:val="00D7447A"/>
    <w:rsid w:val="00D7478C"/>
    <w:rsid w:val="00D74A24"/>
    <w:rsid w:val="00D74DAE"/>
    <w:rsid w:val="00D74DF0"/>
    <w:rsid w:val="00D74FE3"/>
    <w:rsid w:val="00D75412"/>
    <w:rsid w:val="00D755A1"/>
    <w:rsid w:val="00D7565F"/>
    <w:rsid w:val="00D75715"/>
    <w:rsid w:val="00D75861"/>
    <w:rsid w:val="00D75889"/>
    <w:rsid w:val="00D75A4B"/>
    <w:rsid w:val="00D75A5A"/>
    <w:rsid w:val="00D75D1E"/>
    <w:rsid w:val="00D75D5A"/>
    <w:rsid w:val="00D75D7C"/>
    <w:rsid w:val="00D75EFC"/>
    <w:rsid w:val="00D76229"/>
    <w:rsid w:val="00D76357"/>
    <w:rsid w:val="00D76740"/>
    <w:rsid w:val="00D7674B"/>
    <w:rsid w:val="00D7695C"/>
    <w:rsid w:val="00D769D2"/>
    <w:rsid w:val="00D76AB6"/>
    <w:rsid w:val="00D76E47"/>
    <w:rsid w:val="00D76ED6"/>
    <w:rsid w:val="00D76F34"/>
    <w:rsid w:val="00D7705C"/>
    <w:rsid w:val="00D7711D"/>
    <w:rsid w:val="00D77269"/>
    <w:rsid w:val="00D772A1"/>
    <w:rsid w:val="00D77690"/>
    <w:rsid w:val="00D77C66"/>
    <w:rsid w:val="00D77EDE"/>
    <w:rsid w:val="00D77F53"/>
    <w:rsid w:val="00D77F6F"/>
    <w:rsid w:val="00D77FA9"/>
    <w:rsid w:val="00D8036E"/>
    <w:rsid w:val="00D804AB"/>
    <w:rsid w:val="00D805BD"/>
    <w:rsid w:val="00D80717"/>
    <w:rsid w:val="00D808A5"/>
    <w:rsid w:val="00D808DA"/>
    <w:rsid w:val="00D809A8"/>
    <w:rsid w:val="00D809AD"/>
    <w:rsid w:val="00D80AB0"/>
    <w:rsid w:val="00D80B09"/>
    <w:rsid w:val="00D80C19"/>
    <w:rsid w:val="00D80FF5"/>
    <w:rsid w:val="00D8130C"/>
    <w:rsid w:val="00D81312"/>
    <w:rsid w:val="00D81453"/>
    <w:rsid w:val="00D8154C"/>
    <w:rsid w:val="00D8163E"/>
    <w:rsid w:val="00D81678"/>
    <w:rsid w:val="00D81C2D"/>
    <w:rsid w:val="00D81E3F"/>
    <w:rsid w:val="00D81F28"/>
    <w:rsid w:val="00D823E0"/>
    <w:rsid w:val="00D82B85"/>
    <w:rsid w:val="00D82B98"/>
    <w:rsid w:val="00D82BB4"/>
    <w:rsid w:val="00D82F62"/>
    <w:rsid w:val="00D82FCF"/>
    <w:rsid w:val="00D83344"/>
    <w:rsid w:val="00D8336B"/>
    <w:rsid w:val="00D8367F"/>
    <w:rsid w:val="00D837D8"/>
    <w:rsid w:val="00D83B2C"/>
    <w:rsid w:val="00D83F29"/>
    <w:rsid w:val="00D84009"/>
    <w:rsid w:val="00D84065"/>
    <w:rsid w:val="00D8429D"/>
    <w:rsid w:val="00D8466F"/>
    <w:rsid w:val="00D8494B"/>
    <w:rsid w:val="00D84966"/>
    <w:rsid w:val="00D84A7F"/>
    <w:rsid w:val="00D84CDF"/>
    <w:rsid w:val="00D850E6"/>
    <w:rsid w:val="00D853ED"/>
    <w:rsid w:val="00D854C0"/>
    <w:rsid w:val="00D855ED"/>
    <w:rsid w:val="00D85936"/>
    <w:rsid w:val="00D85AA3"/>
    <w:rsid w:val="00D85B5E"/>
    <w:rsid w:val="00D85F24"/>
    <w:rsid w:val="00D85FD7"/>
    <w:rsid w:val="00D86311"/>
    <w:rsid w:val="00D865F4"/>
    <w:rsid w:val="00D868C1"/>
    <w:rsid w:val="00D868D1"/>
    <w:rsid w:val="00D869BE"/>
    <w:rsid w:val="00D86A56"/>
    <w:rsid w:val="00D86ADA"/>
    <w:rsid w:val="00D86B99"/>
    <w:rsid w:val="00D86C0B"/>
    <w:rsid w:val="00D86C47"/>
    <w:rsid w:val="00D86FE2"/>
    <w:rsid w:val="00D87009"/>
    <w:rsid w:val="00D87156"/>
    <w:rsid w:val="00D8744C"/>
    <w:rsid w:val="00D87473"/>
    <w:rsid w:val="00D874F9"/>
    <w:rsid w:val="00D87591"/>
    <w:rsid w:val="00D878F3"/>
    <w:rsid w:val="00D87A30"/>
    <w:rsid w:val="00D87BE1"/>
    <w:rsid w:val="00D87CF7"/>
    <w:rsid w:val="00D90015"/>
    <w:rsid w:val="00D900BF"/>
    <w:rsid w:val="00D901BB"/>
    <w:rsid w:val="00D903F0"/>
    <w:rsid w:val="00D9042F"/>
    <w:rsid w:val="00D9061A"/>
    <w:rsid w:val="00D90780"/>
    <w:rsid w:val="00D907B8"/>
    <w:rsid w:val="00D90A63"/>
    <w:rsid w:val="00D90AF9"/>
    <w:rsid w:val="00D90C32"/>
    <w:rsid w:val="00D90C3F"/>
    <w:rsid w:val="00D90DB6"/>
    <w:rsid w:val="00D90EC6"/>
    <w:rsid w:val="00D91206"/>
    <w:rsid w:val="00D91391"/>
    <w:rsid w:val="00D914EC"/>
    <w:rsid w:val="00D914FA"/>
    <w:rsid w:val="00D9170B"/>
    <w:rsid w:val="00D91788"/>
    <w:rsid w:val="00D919F6"/>
    <w:rsid w:val="00D91ACB"/>
    <w:rsid w:val="00D91C34"/>
    <w:rsid w:val="00D91F12"/>
    <w:rsid w:val="00D91FF2"/>
    <w:rsid w:val="00D92112"/>
    <w:rsid w:val="00D92271"/>
    <w:rsid w:val="00D92300"/>
    <w:rsid w:val="00D92B1E"/>
    <w:rsid w:val="00D92B67"/>
    <w:rsid w:val="00D92EC5"/>
    <w:rsid w:val="00D9302D"/>
    <w:rsid w:val="00D938B5"/>
    <w:rsid w:val="00D93A06"/>
    <w:rsid w:val="00D93B34"/>
    <w:rsid w:val="00D93D5E"/>
    <w:rsid w:val="00D93D6F"/>
    <w:rsid w:val="00D93D8A"/>
    <w:rsid w:val="00D93D8D"/>
    <w:rsid w:val="00D93ED7"/>
    <w:rsid w:val="00D93EEC"/>
    <w:rsid w:val="00D942D9"/>
    <w:rsid w:val="00D944C8"/>
    <w:rsid w:val="00D9455E"/>
    <w:rsid w:val="00D945E5"/>
    <w:rsid w:val="00D946AE"/>
    <w:rsid w:val="00D948ED"/>
    <w:rsid w:val="00D9497D"/>
    <w:rsid w:val="00D94C94"/>
    <w:rsid w:val="00D950B6"/>
    <w:rsid w:val="00D952DE"/>
    <w:rsid w:val="00D954AD"/>
    <w:rsid w:val="00D959B3"/>
    <w:rsid w:val="00D95A1F"/>
    <w:rsid w:val="00D95C0A"/>
    <w:rsid w:val="00D95C37"/>
    <w:rsid w:val="00D95C80"/>
    <w:rsid w:val="00D95C85"/>
    <w:rsid w:val="00D95D76"/>
    <w:rsid w:val="00D95F6A"/>
    <w:rsid w:val="00D961E7"/>
    <w:rsid w:val="00D96272"/>
    <w:rsid w:val="00D9629D"/>
    <w:rsid w:val="00D96659"/>
    <w:rsid w:val="00D968D8"/>
    <w:rsid w:val="00D96BB8"/>
    <w:rsid w:val="00D96F02"/>
    <w:rsid w:val="00D9706C"/>
    <w:rsid w:val="00D971E0"/>
    <w:rsid w:val="00D973E6"/>
    <w:rsid w:val="00D975CE"/>
    <w:rsid w:val="00D97608"/>
    <w:rsid w:val="00D97648"/>
    <w:rsid w:val="00D97660"/>
    <w:rsid w:val="00D979BB"/>
    <w:rsid w:val="00D97A59"/>
    <w:rsid w:val="00D97C65"/>
    <w:rsid w:val="00DA0297"/>
    <w:rsid w:val="00DA03F8"/>
    <w:rsid w:val="00DA03FB"/>
    <w:rsid w:val="00DA041D"/>
    <w:rsid w:val="00DA04A5"/>
    <w:rsid w:val="00DA0688"/>
    <w:rsid w:val="00DA0723"/>
    <w:rsid w:val="00DA0959"/>
    <w:rsid w:val="00DA098F"/>
    <w:rsid w:val="00DA09E7"/>
    <w:rsid w:val="00DA0B7D"/>
    <w:rsid w:val="00DA0C2C"/>
    <w:rsid w:val="00DA0CC6"/>
    <w:rsid w:val="00DA0E46"/>
    <w:rsid w:val="00DA0E89"/>
    <w:rsid w:val="00DA1017"/>
    <w:rsid w:val="00DA1178"/>
    <w:rsid w:val="00DA11D1"/>
    <w:rsid w:val="00DA129A"/>
    <w:rsid w:val="00DA12DC"/>
    <w:rsid w:val="00DA1725"/>
    <w:rsid w:val="00DA1956"/>
    <w:rsid w:val="00DA196F"/>
    <w:rsid w:val="00DA1A0E"/>
    <w:rsid w:val="00DA1B0D"/>
    <w:rsid w:val="00DA1B64"/>
    <w:rsid w:val="00DA1D97"/>
    <w:rsid w:val="00DA1E8A"/>
    <w:rsid w:val="00DA1F9A"/>
    <w:rsid w:val="00DA2205"/>
    <w:rsid w:val="00DA23B0"/>
    <w:rsid w:val="00DA23F8"/>
    <w:rsid w:val="00DA2609"/>
    <w:rsid w:val="00DA26DA"/>
    <w:rsid w:val="00DA2A60"/>
    <w:rsid w:val="00DA2AD7"/>
    <w:rsid w:val="00DA2C93"/>
    <w:rsid w:val="00DA2E19"/>
    <w:rsid w:val="00DA2FB1"/>
    <w:rsid w:val="00DA3052"/>
    <w:rsid w:val="00DA3152"/>
    <w:rsid w:val="00DA31FE"/>
    <w:rsid w:val="00DA366E"/>
    <w:rsid w:val="00DA37AF"/>
    <w:rsid w:val="00DA393A"/>
    <w:rsid w:val="00DA3A6E"/>
    <w:rsid w:val="00DA3C91"/>
    <w:rsid w:val="00DA3CAA"/>
    <w:rsid w:val="00DA3FBA"/>
    <w:rsid w:val="00DA409A"/>
    <w:rsid w:val="00DA4177"/>
    <w:rsid w:val="00DA420B"/>
    <w:rsid w:val="00DA4451"/>
    <w:rsid w:val="00DA46F7"/>
    <w:rsid w:val="00DA496D"/>
    <w:rsid w:val="00DA49AE"/>
    <w:rsid w:val="00DA4AFE"/>
    <w:rsid w:val="00DA4D26"/>
    <w:rsid w:val="00DA4D6A"/>
    <w:rsid w:val="00DA4FCA"/>
    <w:rsid w:val="00DA5177"/>
    <w:rsid w:val="00DA522D"/>
    <w:rsid w:val="00DA5344"/>
    <w:rsid w:val="00DA5810"/>
    <w:rsid w:val="00DA5B06"/>
    <w:rsid w:val="00DA5B40"/>
    <w:rsid w:val="00DA5BFC"/>
    <w:rsid w:val="00DA5C1D"/>
    <w:rsid w:val="00DA5C25"/>
    <w:rsid w:val="00DA5DBE"/>
    <w:rsid w:val="00DA5E24"/>
    <w:rsid w:val="00DA5E46"/>
    <w:rsid w:val="00DA5ED7"/>
    <w:rsid w:val="00DA60E1"/>
    <w:rsid w:val="00DA6264"/>
    <w:rsid w:val="00DA63AF"/>
    <w:rsid w:val="00DA63F5"/>
    <w:rsid w:val="00DA6734"/>
    <w:rsid w:val="00DA67C3"/>
    <w:rsid w:val="00DA690B"/>
    <w:rsid w:val="00DA6A1E"/>
    <w:rsid w:val="00DA6ABC"/>
    <w:rsid w:val="00DA7039"/>
    <w:rsid w:val="00DA718C"/>
    <w:rsid w:val="00DA71D8"/>
    <w:rsid w:val="00DA7624"/>
    <w:rsid w:val="00DA7652"/>
    <w:rsid w:val="00DA7679"/>
    <w:rsid w:val="00DA76D5"/>
    <w:rsid w:val="00DA7764"/>
    <w:rsid w:val="00DA7A02"/>
    <w:rsid w:val="00DA7AA7"/>
    <w:rsid w:val="00DA7E82"/>
    <w:rsid w:val="00DA7EB5"/>
    <w:rsid w:val="00DB01D7"/>
    <w:rsid w:val="00DB025A"/>
    <w:rsid w:val="00DB025C"/>
    <w:rsid w:val="00DB03D7"/>
    <w:rsid w:val="00DB03FC"/>
    <w:rsid w:val="00DB04BD"/>
    <w:rsid w:val="00DB062E"/>
    <w:rsid w:val="00DB0836"/>
    <w:rsid w:val="00DB0F4B"/>
    <w:rsid w:val="00DB0F8E"/>
    <w:rsid w:val="00DB146E"/>
    <w:rsid w:val="00DB16B5"/>
    <w:rsid w:val="00DB174E"/>
    <w:rsid w:val="00DB1A07"/>
    <w:rsid w:val="00DB1B8B"/>
    <w:rsid w:val="00DB1CDE"/>
    <w:rsid w:val="00DB1DED"/>
    <w:rsid w:val="00DB1E15"/>
    <w:rsid w:val="00DB20B4"/>
    <w:rsid w:val="00DB20F5"/>
    <w:rsid w:val="00DB21CD"/>
    <w:rsid w:val="00DB2220"/>
    <w:rsid w:val="00DB2224"/>
    <w:rsid w:val="00DB228A"/>
    <w:rsid w:val="00DB22C7"/>
    <w:rsid w:val="00DB23B0"/>
    <w:rsid w:val="00DB2586"/>
    <w:rsid w:val="00DB2638"/>
    <w:rsid w:val="00DB2759"/>
    <w:rsid w:val="00DB299F"/>
    <w:rsid w:val="00DB29A0"/>
    <w:rsid w:val="00DB29EE"/>
    <w:rsid w:val="00DB2ABB"/>
    <w:rsid w:val="00DB2AD1"/>
    <w:rsid w:val="00DB2B49"/>
    <w:rsid w:val="00DB2D16"/>
    <w:rsid w:val="00DB2DF6"/>
    <w:rsid w:val="00DB2EA6"/>
    <w:rsid w:val="00DB3100"/>
    <w:rsid w:val="00DB324B"/>
    <w:rsid w:val="00DB3593"/>
    <w:rsid w:val="00DB359C"/>
    <w:rsid w:val="00DB35B1"/>
    <w:rsid w:val="00DB39D4"/>
    <w:rsid w:val="00DB3A1C"/>
    <w:rsid w:val="00DB3A4E"/>
    <w:rsid w:val="00DB3A9E"/>
    <w:rsid w:val="00DB3AC1"/>
    <w:rsid w:val="00DB3AE4"/>
    <w:rsid w:val="00DB3D56"/>
    <w:rsid w:val="00DB3E7F"/>
    <w:rsid w:val="00DB450C"/>
    <w:rsid w:val="00DB462B"/>
    <w:rsid w:val="00DB4720"/>
    <w:rsid w:val="00DB48AB"/>
    <w:rsid w:val="00DB4992"/>
    <w:rsid w:val="00DB4C48"/>
    <w:rsid w:val="00DB4C69"/>
    <w:rsid w:val="00DB50BD"/>
    <w:rsid w:val="00DB5234"/>
    <w:rsid w:val="00DB52D1"/>
    <w:rsid w:val="00DB5A39"/>
    <w:rsid w:val="00DB5A84"/>
    <w:rsid w:val="00DB5ACB"/>
    <w:rsid w:val="00DB5B14"/>
    <w:rsid w:val="00DB5C88"/>
    <w:rsid w:val="00DB5D7D"/>
    <w:rsid w:val="00DB5F65"/>
    <w:rsid w:val="00DB600B"/>
    <w:rsid w:val="00DB60C6"/>
    <w:rsid w:val="00DB60C9"/>
    <w:rsid w:val="00DB619C"/>
    <w:rsid w:val="00DB6391"/>
    <w:rsid w:val="00DB639D"/>
    <w:rsid w:val="00DB63B8"/>
    <w:rsid w:val="00DB6409"/>
    <w:rsid w:val="00DB647C"/>
    <w:rsid w:val="00DB6668"/>
    <w:rsid w:val="00DB6745"/>
    <w:rsid w:val="00DB67DF"/>
    <w:rsid w:val="00DB683B"/>
    <w:rsid w:val="00DB6865"/>
    <w:rsid w:val="00DB68D6"/>
    <w:rsid w:val="00DB6ABA"/>
    <w:rsid w:val="00DB6D3D"/>
    <w:rsid w:val="00DB6D8F"/>
    <w:rsid w:val="00DB6E32"/>
    <w:rsid w:val="00DB748C"/>
    <w:rsid w:val="00DB762C"/>
    <w:rsid w:val="00DB7854"/>
    <w:rsid w:val="00DB789F"/>
    <w:rsid w:val="00DB7BD5"/>
    <w:rsid w:val="00DB7D7B"/>
    <w:rsid w:val="00DB7E0B"/>
    <w:rsid w:val="00DB7E34"/>
    <w:rsid w:val="00DB7FA8"/>
    <w:rsid w:val="00DC0509"/>
    <w:rsid w:val="00DC07FF"/>
    <w:rsid w:val="00DC08E7"/>
    <w:rsid w:val="00DC0A60"/>
    <w:rsid w:val="00DC0CD6"/>
    <w:rsid w:val="00DC0EAE"/>
    <w:rsid w:val="00DC0ED9"/>
    <w:rsid w:val="00DC1022"/>
    <w:rsid w:val="00DC107E"/>
    <w:rsid w:val="00DC10F6"/>
    <w:rsid w:val="00DC114F"/>
    <w:rsid w:val="00DC133A"/>
    <w:rsid w:val="00DC1467"/>
    <w:rsid w:val="00DC15AB"/>
    <w:rsid w:val="00DC15CA"/>
    <w:rsid w:val="00DC166E"/>
    <w:rsid w:val="00DC16D1"/>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A16"/>
    <w:rsid w:val="00DC2E7C"/>
    <w:rsid w:val="00DC3054"/>
    <w:rsid w:val="00DC3251"/>
    <w:rsid w:val="00DC3282"/>
    <w:rsid w:val="00DC32CD"/>
    <w:rsid w:val="00DC33F7"/>
    <w:rsid w:val="00DC34CE"/>
    <w:rsid w:val="00DC3931"/>
    <w:rsid w:val="00DC3C17"/>
    <w:rsid w:val="00DC3C8C"/>
    <w:rsid w:val="00DC3D33"/>
    <w:rsid w:val="00DC3DF1"/>
    <w:rsid w:val="00DC3EFB"/>
    <w:rsid w:val="00DC3F2D"/>
    <w:rsid w:val="00DC4146"/>
    <w:rsid w:val="00DC417C"/>
    <w:rsid w:val="00DC4257"/>
    <w:rsid w:val="00DC45B3"/>
    <w:rsid w:val="00DC4714"/>
    <w:rsid w:val="00DC4993"/>
    <w:rsid w:val="00DC49BE"/>
    <w:rsid w:val="00DC4BD0"/>
    <w:rsid w:val="00DC4D2C"/>
    <w:rsid w:val="00DC4E82"/>
    <w:rsid w:val="00DC5001"/>
    <w:rsid w:val="00DC504C"/>
    <w:rsid w:val="00DC52CA"/>
    <w:rsid w:val="00DC5426"/>
    <w:rsid w:val="00DC54E0"/>
    <w:rsid w:val="00DC57E0"/>
    <w:rsid w:val="00DC5888"/>
    <w:rsid w:val="00DC5D65"/>
    <w:rsid w:val="00DC5D9E"/>
    <w:rsid w:val="00DC5DBD"/>
    <w:rsid w:val="00DC6177"/>
    <w:rsid w:val="00DC62C4"/>
    <w:rsid w:val="00DC63FA"/>
    <w:rsid w:val="00DC6447"/>
    <w:rsid w:val="00DC659F"/>
    <w:rsid w:val="00DC66C5"/>
    <w:rsid w:val="00DC69DD"/>
    <w:rsid w:val="00DC6B7F"/>
    <w:rsid w:val="00DC6C12"/>
    <w:rsid w:val="00DC6DF8"/>
    <w:rsid w:val="00DC713B"/>
    <w:rsid w:val="00DC74F1"/>
    <w:rsid w:val="00DC74FC"/>
    <w:rsid w:val="00DC77B7"/>
    <w:rsid w:val="00DC7866"/>
    <w:rsid w:val="00DC7950"/>
    <w:rsid w:val="00DC7A53"/>
    <w:rsid w:val="00DC7B5C"/>
    <w:rsid w:val="00DC7C7E"/>
    <w:rsid w:val="00DC7D39"/>
    <w:rsid w:val="00DC7DF3"/>
    <w:rsid w:val="00DC7DFE"/>
    <w:rsid w:val="00DD0000"/>
    <w:rsid w:val="00DD011D"/>
    <w:rsid w:val="00DD024E"/>
    <w:rsid w:val="00DD0430"/>
    <w:rsid w:val="00DD0672"/>
    <w:rsid w:val="00DD06C0"/>
    <w:rsid w:val="00DD0718"/>
    <w:rsid w:val="00DD087C"/>
    <w:rsid w:val="00DD0D04"/>
    <w:rsid w:val="00DD0E41"/>
    <w:rsid w:val="00DD0F8D"/>
    <w:rsid w:val="00DD12E0"/>
    <w:rsid w:val="00DD177B"/>
    <w:rsid w:val="00DD1A71"/>
    <w:rsid w:val="00DD1AD0"/>
    <w:rsid w:val="00DD1C48"/>
    <w:rsid w:val="00DD1EF8"/>
    <w:rsid w:val="00DD1F2D"/>
    <w:rsid w:val="00DD21B7"/>
    <w:rsid w:val="00DD22E6"/>
    <w:rsid w:val="00DD2360"/>
    <w:rsid w:val="00DD243D"/>
    <w:rsid w:val="00DD2497"/>
    <w:rsid w:val="00DD2691"/>
    <w:rsid w:val="00DD274A"/>
    <w:rsid w:val="00DD28D1"/>
    <w:rsid w:val="00DD2995"/>
    <w:rsid w:val="00DD2BC2"/>
    <w:rsid w:val="00DD2FE5"/>
    <w:rsid w:val="00DD3112"/>
    <w:rsid w:val="00DD33BA"/>
    <w:rsid w:val="00DD36AF"/>
    <w:rsid w:val="00DD3705"/>
    <w:rsid w:val="00DD3733"/>
    <w:rsid w:val="00DD37B9"/>
    <w:rsid w:val="00DD3B18"/>
    <w:rsid w:val="00DD3C1C"/>
    <w:rsid w:val="00DD3D18"/>
    <w:rsid w:val="00DD3D93"/>
    <w:rsid w:val="00DD3F68"/>
    <w:rsid w:val="00DD4025"/>
    <w:rsid w:val="00DD42AD"/>
    <w:rsid w:val="00DD42F7"/>
    <w:rsid w:val="00DD4403"/>
    <w:rsid w:val="00DD4643"/>
    <w:rsid w:val="00DD4734"/>
    <w:rsid w:val="00DD475D"/>
    <w:rsid w:val="00DD498A"/>
    <w:rsid w:val="00DD4BC6"/>
    <w:rsid w:val="00DD4C08"/>
    <w:rsid w:val="00DD4DCC"/>
    <w:rsid w:val="00DD4EF3"/>
    <w:rsid w:val="00DD5077"/>
    <w:rsid w:val="00DD5148"/>
    <w:rsid w:val="00DD5267"/>
    <w:rsid w:val="00DD5318"/>
    <w:rsid w:val="00DD5679"/>
    <w:rsid w:val="00DD5BA9"/>
    <w:rsid w:val="00DD5D79"/>
    <w:rsid w:val="00DD5E7F"/>
    <w:rsid w:val="00DD5EDF"/>
    <w:rsid w:val="00DD5F36"/>
    <w:rsid w:val="00DD6012"/>
    <w:rsid w:val="00DD60A0"/>
    <w:rsid w:val="00DD63D8"/>
    <w:rsid w:val="00DD6491"/>
    <w:rsid w:val="00DD6650"/>
    <w:rsid w:val="00DD694A"/>
    <w:rsid w:val="00DD6A3D"/>
    <w:rsid w:val="00DD6B85"/>
    <w:rsid w:val="00DD6CC3"/>
    <w:rsid w:val="00DD70A9"/>
    <w:rsid w:val="00DD7101"/>
    <w:rsid w:val="00DD7117"/>
    <w:rsid w:val="00DD712B"/>
    <w:rsid w:val="00DD73B5"/>
    <w:rsid w:val="00DD7631"/>
    <w:rsid w:val="00DD78A4"/>
    <w:rsid w:val="00DD790E"/>
    <w:rsid w:val="00DD7980"/>
    <w:rsid w:val="00DD7FB0"/>
    <w:rsid w:val="00DE002E"/>
    <w:rsid w:val="00DE016D"/>
    <w:rsid w:val="00DE0346"/>
    <w:rsid w:val="00DE041D"/>
    <w:rsid w:val="00DE0436"/>
    <w:rsid w:val="00DE04AA"/>
    <w:rsid w:val="00DE051F"/>
    <w:rsid w:val="00DE0621"/>
    <w:rsid w:val="00DE0861"/>
    <w:rsid w:val="00DE0DF5"/>
    <w:rsid w:val="00DE1072"/>
    <w:rsid w:val="00DE10DD"/>
    <w:rsid w:val="00DE1235"/>
    <w:rsid w:val="00DE12B2"/>
    <w:rsid w:val="00DE12E5"/>
    <w:rsid w:val="00DE15B1"/>
    <w:rsid w:val="00DE1967"/>
    <w:rsid w:val="00DE1AC0"/>
    <w:rsid w:val="00DE1B5A"/>
    <w:rsid w:val="00DE1B8A"/>
    <w:rsid w:val="00DE1C19"/>
    <w:rsid w:val="00DE1CE1"/>
    <w:rsid w:val="00DE1D27"/>
    <w:rsid w:val="00DE20CD"/>
    <w:rsid w:val="00DE2427"/>
    <w:rsid w:val="00DE24AB"/>
    <w:rsid w:val="00DE2A51"/>
    <w:rsid w:val="00DE2D32"/>
    <w:rsid w:val="00DE2E46"/>
    <w:rsid w:val="00DE2F00"/>
    <w:rsid w:val="00DE2F62"/>
    <w:rsid w:val="00DE3157"/>
    <w:rsid w:val="00DE31CA"/>
    <w:rsid w:val="00DE32D6"/>
    <w:rsid w:val="00DE3371"/>
    <w:rsid w:val="00DE34F5"/>
    <w:rsid w:val="00DE355D"/>
    <w:rsid w:val="00DE3569"/>
    <w:rsid w:val="00DE35FE"/>
    <w:rsid w:val="00DE37BF"/>
    <w:rsid w:val="00DE3836"/>
    <w:rsid w:val="00DE385C"/>
    <w:rsid w:val="00DE3990"/>
    <w:rsid w:val="00DE3CC5"/>
    <w:rsid w:val="00DE3CC8"/>
    <w:rsid w:val="00DE3D93"/>
    <w:rsid w:val="00DE3D9B"/>
    <w:rsid w:val="00DE3DB0"/>
    <w:rsid w:val="00DE3DD6"/>
    <w:rsid w:val="00DE4029"/>
    <w:rsid w:val="00DE42F5"/>
    <w:rsid w:val="00DE4419"/>
    <w:rsid w:val="00DE4479"/>
    <w:rsid w:val="00DE452B"/>
    <w:rsid w:val="00DE4AF8"/>
    <w:rsid w:val="00DE4BC8"/>
    <w:rsid w:val="00DE4BF4"/>
    <w:rsid w:val="00DE4C17"/>
    <w:rsid w:val="00DE4C3F"/>
    <w:rsid w:val="00DE4DD6"/>
    <w:rsid w:val="00DE50C8"/>
    <w:rsid w:val="00DE50F5"/>
    <w:rsid w:val="00DE5147"/>
    <w:rsid w:val="00DE54AE"/>
    <w:rsid w:val="00DE560C"/>
    <w:rsid w:val="00DE57BE"/>
    <w:rsid w:val="00DE5A65"/>
    <w:rsid w:val="00DE5AF3"/>
    <w:rsid w:val="00DE5DF5"/>
    <w:rsid w:val="00DE60FC"/>
    <w:rsid w:val="00DE63DF"/>
    <w:rsid w:val="00DE63F0"/>
    <w:rsid w:val="00DE65EE"/>
    <w:rsid w:val="00DE669E"/>
    <w:rsid w:val="00DE6792"/>
    <w:rsid w:val="00DE67AB"/>
    <w:rsid w:val="00DE688A"/>
    <w:rsid w:val="00DE690E"/>
    <w:rsid w:val="00DE6B1D"/>
    <w:rsid w:val="00DE6B43"/>
    <w:rsid w:val="00DE6CDB"/>
    <w:rsid w:val="00DE6E5F"/>
    <w:rsid w:val="00DE6E68"/>
    <w:rsid w:val="00DE6E9C"/>
    <w:rsid w:val="00DE6EC2"/>
    <w:rsid w:val="00DE6F99"/>
    <w:rsid w:val="00DE6FD5"/>
    <w:rsid w:val="00DE7300"/>
    <w:rsid w:val="00DE74D2"/>
    <w:rsid w:val="00DE7602"/>
    <w:rsid w:val="00DE768C"/>
    <w:rsid w:val="00DE7804"/>
    <w:rsid w:val="00DE78A4"/>
    <w:rsid w:val="00DE78B0"/>
    <w:rsid w:val="00DE79ED"/>
    <w:rsid w:val="00DE7D92"/>
    <w:rsid w:val="00DF0088"/>
    <w:rsid w:val="00DF020D"/>
    <w:rsid w:val="00DF0579"/>
    <w:rsid w:val="00DF0743"/>
    <w:rsid w:val="00DF076B"/>
    <w:rsid w:val="00DF0840"/>
    <w:rsid w:val="00DF0902"/>
    <w:rsid w:val="00DF09FB"/>
    <w:rsid w:val="00DF0CD8"/>
    <w:rsid w:val="00DF0E63"/>
    <w:rsid w:val="00DF0E8C"/>
    <w:rsid w:val="00DF0ED3"/>
    <w:rsid w:val="00DF0F57"/>
    <w:rsid w:val="00DF1149"/>
    <w:rsid w:val="00DF1184"/>
    <w:rsid w:val="00DF1837"/>
    <w:rsid w:val="00DF18D9"/>
    <w:rsid w:val="00DF1A48"/>
    <w:rsid w:val="00DF1C80"/>
    <w:rsid w:val="00DF2205"/>
    <w:rsid w:val="00DF2322"/>
    <w:rsid w:val="00DF236E"/>
    <w:rsid w:val="00DF2428"/>
    <w:rsid w:val="00DF2570"/>
    <w:rsid w:val="00DF25AC"/>
    <w:rsid w:val="00DF269A"/>
    <w:rsid w:val="00DF2C60"/>
    <w:rsid w:val="00DF2CC9"/>
    <w:rsid w:val="00DF2FE9"/>
    <w:rsid w:val="00DF3135"/>
    <w:rsid w:val="00DF319D"/>
    <w:rsid w:val="00DF32A9"/>
    <w:rsid w:val="00DF3384"/>
    <w:rsid w:val="00DF34CE"/>
    <w:rsid w:val="00DF36FE"/>
    <w:rsid w:val="00DF38D1"/>
    <w:rsid w:val="00DF3900"/>
    <w:rsid w:val="00DF39BB"/>
    <w:rsid w:val="00DF3A84"/>
    <w:rsid w:val="00DF3CA2"/>
    <w:rsid w:val="00DF3DEF"/>
    <w:rsid w:val="00DF3F2C"/>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BF1"/>
    <w:rsid w:val="00DF5F55"/>
    <w:rsid w:val="00DF5FC2"/>
    <w:rsid w:val="00DF60C5"/>
    <w:rsid w:val="00DF610E"/>
    <w:rsid w:val="00DF632A"/>
    <w:rsid w:val="00DF63AC"/>
    <w:rsid w:val="00DF65D2"/>
    <w:rsid w:val="00DF6704"/>
    <w:rsid w:val="00DF676C"/>
    <w:rsid w:val="00DF6BE1"/>
    <w:rsid w:val="00DF6D8C"/>
    <w:rsid w:val="00DF6EB4"/>
    <w:rsid w:val="00DF7479"/>
    <w:rsid w:val="00DF7606"/>
    <w:rsid w:val="00DF765B"/>
    <w:rsid w:val="00DF7660"/>
    <w:rsid w:val="00DF77B6"/>
    <w:rsid w:val="00DF7A33"/>
    <w:rsid w:val="00DF7A7B"/>
    <w:rsid w:val="00DF7B56"/>
    <w:rsid w:val="00DF7CAB"/>
    <w:rsid w:val="00DF7D9E"/>
    <w:rsid w:val="00DF7DF8"/>
    <w:rsid w:val="00E00008"/>
    <w:rsid w:val="00E003F0"/>
    <w:rsid w:val="00E00462"/>
    <w:rsid w:val="00E00558"/>
    <w:rsid w:val="00E00786"/>
    <w:rsid w:val="00E00931"/>
    <w:rsid w:val="00E00AF1"/>
    <w:rsid w:val="00E00D21"/>
    <w:rsid w:val="00E013D4"/>
    <w:rsid w:val="00E0140A"/>
    <w:rsid w:val="00E015C4"/>
    <w:rsid w:val="00E017B0"/>
    <w:rsid w:val="00E018E8"/>
    <w:rsid w:val="00E01A06"/>
    <w:rsid w:val="00E01BE4"/>
    <w:rsid w:val="00E01BF9"/>
    <w:rsid w:val="00E01C3F"/>
    <w:rsid w:val="00E01E28"/>
    <w:rsid w:val="00E01FA3"/>
    <w:rsid w:val="00E02240"/>
    <w:rsid w:val="00E02278"/>
    <w:rsid w:val="00E0229B"/>
    <w:rsid w:val="00E023AC"/>
    <w:rsid w:val="00E025BA"/>
    <w:rsid w:val="00E02670"/>
    <w:rsid w:val="00E026F6"/>
    <w:rsid w:val="00E028FE"/>
    <w:rsid w:val="00E02B35"/>
    <w:rsid w:val="00E02D16"/>
    <w:rsid w:val="00E02D2F"/>
    <w:rsid w:val="00E02D62"/>
    <w:rsid w:val="00E02E6D"/>
    <w:rsid w:val="00E02ECB"/>
    <w:rsid w:val="00E03137"/>
    <w:rsid w:val="00E031BA"/>
    <w:rsid w:val="00E032A4"/>
    <w:rsid w:val="00E033A3"/>
    <w:rsid w:val="00E0372A"/>
    <w:rsid w:val="00E0396C"/>
    <w:rsid w:val="00E03993"/>
    <w:rsid w:val="00E03A6B"/>
    <w:rsid w:val="00E03AEE"/>
    <w:rsid w:val="00E03B61"/>
    <w:rsid w:val="00E03C6F"/>
    <w:rsid w:val="00E03E59"/>
    <w:rsid w:val="00E04725"/>
    <w:rsid w:val="00E048F2"/>
    <w:rsid w:val="00E04B8F"/>
    <w:rsid w:val="00E04BBB"/>
    <w:rsid w:val="00E04D11"/>
    <w:rsid w:val="00E04D59"/>
    <w:rsid w:val="00E0535A"/>
    <w:rsid w:val="00E05576"/>
    <w:rsid w:val="00E05657"/>
    <w:rsid w:val="00E0597E"/>
    <w:rsid w:val="00E05AEA"/>
    <w:rsid w:val="00E05BEC"/>
    <w:rsid w:val="00E05CFD"/>
    <w:rsid w:val="00E05D2C"/>
    <w:rsid w:val="00E05E62"/>
    <w:rsid w:val="00E0602C"/>
    <w:rsid w:val="00E060F7"/>
    <w:rsid w:val="00E062A2"/>
    <w:rsid w:val="00E0656A"/>
    <w:rsid w:val="00E0658D"/>
    <w:rsid w:val="00E066F7"/>
    <w:rsid w:val="00E067BC"/>
    <w:rsid w:val="00E067E0"/>
    <w:rsid w:val="00E0680C"/>
    <w:rsid w:val="00E06830"/>
    <w:rsid w:val="00E06844"/>
    <w:rsid w:val="00E06951"/>
    <w:rsid w:val="00E06971"/>
    <w:rsid w:val="00E069DC"/>
    <w:rsid w:val="00E069FA"/>
    <w:rsid w:val="00E06B54"/>
    <w:rsid w:val="00E06BE6"/>
    <w:rsid w:val="00E06E71"/>
    <w:rsid w:val="00E0704F"/>
    <w:rsid w:val="00E0729F"/>
    <w:rsid w:val="00E07386"/>
    <w:rsid w:val="00E076E5"/>
    <w:rsid w:val="00E07AF2"/>
    <w:rsid w:val="00E07CCA"/>
    <w:rsid w:val="00E07EFF"/>
    <w:rsid w:val="00E10076"/>
    <w:rsid w:val="00E100B7"/>
    <w:rsid w:val="00E1013A"/>
    <w:rsid w:val="00E10198"/>
    <w:rsid w:val="00E101BA"/>
    <w:rsid w:val="00E101E6"/>
    <w:rsid w:val="00E1053B"/>
    <w:rsid w:val="00E1065B"/>
    <w:rsid w:val="00E10B41"/>
    <w:rsid w:val="00E10BF3"/>
    <w:rsid w:val="00E10CAB"/>
    <w:rsid w:val="00E10D0D"/>
    <w:rsid w:val="00E10D21"/>
    <w:rsid w:val="00E10F33"/>
    <w:rsid w:val="00E10F79"/>
    <w:rsid w:val="00E1106B"/>
    <w:rsid w:val="00E113F7"/>
    <w:rsid w:val="00E115B0"/>
    <w:rsid w:val="00E115F9"/>
    <w:rsid w:val="00E1162D"/>
    <w:rsid w:val="00E116D2"/>
    <w:rsid w:val="00E11713"/>
    <w:rsid w:val="00E11759"/>
    <w:rsid w:val="00E11794"/>
    <w:rsid w:val="00E11859"/>
    <w:rsid w:val="00E11933"/>
    <w:rsid w:val="00E119BB"/>
    <w:rsid w:val="00E12279"/>
    <w:rsid w:val="00E122AF"/>
    <w:rsid w:val="00E12382"/>
    <w:rsid w:val="00E124D7"/>
    <w:rsid w:val="00E12AC7"/>
    <w:rsid w:val="00E13267"/>
    <w:rsid w:val="00E135A9"/>
    <w:rsid w:val="00E13619"/>
    <w:rsid w:val="00E136BF"/>
    <w:rsid w:val="00E13745"/>
    <w:rsid w:val="00E138A4"/>
    <w:rsid w:val="00E13B8A"/>
    <w:rsid w:val="00E13BBE"/>
    <w:rsid w:val="00E13BBF"/>
    <w:rsid w:val="00E13C4A"/>
    <w:rsid w:val="00E13C4E"/>
    <w:rsid w:val="00E13CA2"/>
    <w:rsid w:val="00E13D24"/>
    <w:rsid w:val="00E14135"/>
    <w:rsid w:val="00E14144"/>
    <w:rsid w:val="00E142E1"/>
    <w:rsid w:val="00E14368"/>
    <w:rsid w:val="00E146C6"/>
    <w:rsid w:val="00E147D7"/>
    <w:rsid w:val="00E14BF3"/>
    <w:rsid w:val="00E14D84"/>
    <w:rsid w:val="00E15017"/>
    <w:rsid w:val="00E15451"/>
    <w:rsid w:val="00E15721"/>
    <w:rsid w:val="00E159E5"/>
    <w:rsid w:val="00E15EE0"/>
    <w:rsid w:val="00E16003"/>
    <w:rsid w:val="00E16249"/>
    <w:rsid w:val="00E1629D"/>
    <w:rsid w:val="00E1644D"/>
    <w:rsid w:val="00E16682"/>
    <w:rsid w:val="00E1670A"/>
    <w:rsid w:val="00E167D0"/>
    <w:rsid w:val="00E16A50"/>
    <w:rsid w:val="00E16D00"/>
    <w:rsid w:val="00E1702E"/>
    <w:rsid w:val="00E17435"/>
    <w:rsid w:val="00E17A38"/>
    <w:rsid w:val="00E17A73"/>
    <w:rsid w:val="00E17AC7"/>
    <w:rsid w:val="00E17BCC"/>
    <w:rsid w:val="00E17D35"/>
    <w:rsid w:val="00E17D99"/>
    <w:rsid w:val="00E17E33"/>
    <w:rsid w:val="00E17E40"/>
    <w:rsid w:val="00E202D0"/>
    <w:rsid w:val="00E202E1"/>
    <w:rsid w:val="00E2061C"/>
    <w:rsid w:val="00E206A8"/>
    <w:rsid w:val="00E207B0"/>
    <w:rsid w:val="00E2086B"/>
    <w:rsid w:val="00E208FE"/>
    <w:rsid w:val="00E209F8"/>
    <w:rsid w:val="00E20D4B"/>
    <w:rsid w:val="00E21016"/>
    <w:rsid w:val="00E211FD"/>
    <w:rsid w:val="00E21229"/>
    <w:rsid w:val="00E21316"/>
    <w:rsid w:val="00E2133A"/>
    <w:rsid w:val="00E21357"/>
    <w:rsid w:val="00E213BC"/>
    <w:rsid w:val="00E213D9"/>
    <w:rsid w:val="00E21623"/>
    <w:rsid w:val="00E21AE8"/>
    <w:rsid w:val="00E21B16"/>
    <w:rsid w:val="00E21D8F"/>
    <w:rsid w:val="00E21DD5"/>
    <w:rsid w:val="00E21E5C"/>
    <w:rsid w:val="00E21F21"/>
    <w:rsid w:val="00E221B0"/>
    <w:rsid w:val="00E221D7"/>
    <w:rsid w:val="00E222A1"/>
    <w:rsid w:val="00E22347"/>
    <w:rsid w:val="00E2248D"/>
    <w:rsid w:val="00E2256F"/>
    <w:rsid w:val="00E227CD"/>
    <w:rsid w:val="00E22864"/>
    <w:rsid w:val="00E2291A"/>
    <w:rsid w:val="00E22C6E"/>
    <w:rsid w:val="00E22CFC"/>
    <w:rsid w:val="00E22D8B"/>
    <w:rsid w:val="00E22EEE"/>
    <w:rsid w:val="00E23292"/>
    <w:rsid w:val="00E232F3"/>
    <w:rsid w:val="00E23579"/>
    <w:rsid w:val="00E23584"/>
    <w:rsid w:val="00E236BA"/>
    <w:rsid w:val="00E236C3"/>
    <w:rsid w:val="00E239B3"/>
    <w:rsid w:val="00E239D6"/>
    <w:rsid w:val="00E23BEB"/>
    <w:rsid w:val="00E23C12"/>
    <w:rsid w:val="00E23D83"/>
    <w:rsid w:val="00E24112"/>
    <w:rsid w:val="00E2436F"/>
    <w:rsid w:val="00E243D7"/>
    <w:rsid w:val="00E2458A"/>
    <w:rsid w:val="00E24685"/>
    <w:rsid w:val="00E24831"/>
    <w:rsid w:val="00E248A6"/>
    <w:rsid w:val="00E24932"/>
    <w:rsid w:val="00E24A7B"/>
    <w:rsid w:val="00E24A9D"/>
    <w:rsid w:val="00E24CD7"/>
    <w:rsid w:val="00E24F39"/>
    <w:rsid w:val="00E25111"/>
    <w:rsid w:val="00E251BF"/>
    <w:rsid w:val="00E2530F"/>
    <w:rsid w:val="00E2546F"/>
    <w:rsid w:val="00E25470"/>
    <w:rsid w:val="00E25996"/>
    <w:rsid w:val="00E25D2F"/>
    <w:rsid w:val="00E260CA"/>
    <w:rsid w:val="00E2610F"/>
    <w:rsid w:val="00E26242"/>
    <w:rsid w:val="00E265A2"/>
    <w:rsid w:val="00E265C0"/>
    <w:rsid w:val="00E267EE"/>
    <w:rsid w:val="00E26B32"/>
    <w:rsid w:val="00E26E30"/>
    <w:rsid w:val="00E26E7D"/>
    <w:rsid w:val="00E27053"/>
    <w:rsid w:val="00E27190"/>
    <w:rsid w:val="00E27262"/>
    <w:rsid w:val="00E2729C"/>
    <w:rsid w:val="00E272AE"/>
    <w:rsid w:val="00E27310"/>
    <w:rsid w:val="00E27364"/>
    <w:rsid w:val="00E273BC"/>
    <w:rsid w:val="00E273E5"/>
    <w:rsid w:val="00E27407"/>
    <w:rsid w:val="00E27428"/>
    <w:rsid w:val="00E27647"/>
    <w:rsid w:val="00E27946"/>
    <w:rsid w:val="00E27C5C"/>
    <w:rsid w:val="00E27CC3"/>
    <w:rsid w:val="00E27E69"/>
    <w:rsid w:val="00E27EAD"/>
    <w:rsid w:val="00E301D1"/>
    <w:rsid w:val="00E30261"/>
    <w:rsid w:val="00E302DC"/>
    <w:rsid w:val="00E30328"/>
    <w:rsid w:val="00E303FD"/>
    <w:rsid w:val="00E30427"/>
    <w:rsid w:val="00E3042E"/>
    <w:rsid w:val="00E3045D"/>
    <w:rsid w:val="00E30470"/>
    <w:rsid w:val="00E30692"/>
    <w:rsid w:val="00E307E7"/>
    <w:rsid w:val="00E30950"/>
    <w:rsid w:val="00E309B9"/>
    <w:rsid w:val="00E30C80"/>
    <w:rsid w:val="00E30CAA"/>
    <w:rsid w:val="00E30CFB"/>
    <w:rsid w:val="00E30ECC"/>
    <w:rsid w:val="00E30FBD"/>
    <w:rsid w:val="00E31139"/>
    <w:rsid w:val="00E31212"/>
    <w:rsid w:val="00E315CA"/>
    <w:rsid w:val="00E3173F"/>
    <w:rsid w:val="00E317C3"/>
    <w:rsid w:val="00E31B31"/>
    <w:rsid w:val="00E31BF7"/>
    <w:rsid w:val="00E31C56"/>
    <w:rsid w:val="00E31D90"/>
    <w:rsid w:val="00E31FD4"/>
    <w:rsid w:val="00E320B3"/>
    <w:rsid w:val="00E321D6"/>
    <w:rsid w:val="00E3239A"/>
    <w:rsid w:val="00E323EE"/>
    <w:rsid w:val="00E32505"/>
    <w:rsid w:val="00E32A29"/>
    <w:rsid w:val="00E32D0B"/>
    <w:rsid w:val="00E32F10"/>
    <w:rsid w:val="00E330D4"/>
    <w:rsid w:val="00E33142"/>
    <w:rsid w:val="00E331D0"/>
    <w:rsid w:val="00E335A8"/>
    <w:rsid w:val="00E335BD"/>
    <w:rsid w:val="00E3361E"/>
    <w:rsid w:val="00E337F0"/>
    <w:rsid w:val="00E33BFD"/>
    <w:rsid w:val="00E345F1"/>
    <w:rsid w:val="00E34948"/>
    <w:rsid w:val="00E34C4D"/>
    <w:rsid w:val="00E34CB6"/>
    <w:rsid w:val="00E34D81"/>
    <w:rsid w:val="00E34FF0"/>
    <w:rsid w:val="00E34FF3"/>
    <w:rsid w:val="00E3502E"/>
    <w:rsid w:val="00E351A0"/>
    <w:rsid w:val="00E351AC"/>
    <w:rsid w:val="00E351FB"/>
    <w:rsid w:val="00E35303"/>
    <w:rsid w:val="00E358A9"/>
    <w:rsid w:val="00E35B74"/>
    <w:rsid w:val="00E35D1B"/>
    <w:rsid w:val="00E35E4D"/>
    <w:rsid w:val="00E35EC2"/>
    <w:rsid w:val="00E35EE6"/>
    <w:rsid w:val="00E35FA9"/>
    <w:rsid w:val="00E36014"/>
    <w:rsid w:val="00E360CE"/>
    <w:rsid w:val="00E36170"/>
    <w:rsid w:val="00E361EF"/>
    <w:rsid w:val="00E36234"/>
    <w:rsid w:val="00E363A9"/>
    <w:rsid w:val="00E367D1"/>
    <w:rsid w:val="00E36C2A"/>
    <w:rsid w:val="00E3709F"/>
    <w:rsid w:val="00E37398"/>
    <w:rsid w:val="00E37638"/>
    <w:rsid w:val="00E37646"/>
    <w:rsid w:val="00E377C2"/>
    <w:rsid w:val="00E378B8"/>
    <w:rsid w:val="00E37A8C"/>
    <w:rsid w:val="00E37AE6"/>
    <w:rsid w:val="00E37B13"/>
    <w:rsid w:val="00E37CBE"/>
    <w:rsid w:val="00E37D48"/>
    <w:rsid w:val="00E37D60"/>
    <w:rsid w:val="00E37DAE"/>
    <w:rsid w:val="00E37FB5"/>
    <w:rsid w:val="00E4013F"/>
    <w:rsid w:val="00E40567"/>
    <w:rsid w:val="00E40672"/>
    <w:rsid w:val="00E406DB"/>
    <w:rsid w:val="00E408AF"/>
    <w:rsid w:val="00E40B1B"/>
    <w:rsid w:val="00E40DB7"/>
    <w:rsid w:val="00E40DC6"/>
    <w:rsid w:val="00E40E2B"/>
    <w:rsid w:val="00E41098"/>
    <w:rsid w:val="00E41252"/>
    <w:rsid w:val="00E4128D"/>
    <w:rsid w:val="00E4131D"/>
    <w:rsid w:val="00E41328"/>
    <w:rsid w:val="00E41397"/>
    <w:rsid w:val="00E4145A"/>
    <w:rsid w:val="00E4148B"/>
    <w:rsid w:val="00E41659"/>
    <w:rsid w:val="00E416E8"/>
    <w:rsid w:val="00E4174A"/>
    <w:rsid w:val="00E417D5"/>
    <w:rsid w:val="00E41819"/>
    <w:rsid w:val="00E41C8F"/>
    <w:rsid w:val="00E41CD8"/>
    <w:rsid w:val="00E41E3A"/>
    <w:rsid w:val="00E420C8"/>
    <w:rsid w:val="00E42148"/>
    <w:rsid w:val="00E42160"/>
    <w:rsid w:val="00E421DA"/>
    <w:rsid w:val="00E42626"/>
    <w:rsid w:val="00E42854"/>
    <w:rsid w:val="00E42B1D"/>
    <w:rsid w:val="00E42B24"/>
    <w:rsid w:val="00E42BA3"/>
    <w:rsid w:val="00E42DC7"/>
    <w:rsid w:val="00E431CF"/>
    <w:rsid w:val="00E43225"/>
    <w:rsid w:val="00E433CD"/>
    <w:rsid w:val="00E4341E"/>
    <w:rsid w:val="00E434B6"/>
    <w:rsid w:val="00E43704"/>
    <w:rsid w:val="00E4386C"/>
    <w:rsid w:val="00E43895"/>
    <w:rsid w:val="00E438D3"/>
    <w:rsid w:val="00E43AAA"/>
    <w:rsid w:val="00E43AF6"/>
    <w:rsid w:val="00E43C40"/>
    <w:rsid w:val="00E43D22"/>
    <w:rsid w:val="00E43DEE"/>
    <w:rsid w:val="00E43F1A"/>
    <w:rsid w:val="00E43F34"/>
    <w:rsid w:val="00E43F7B"/>
    <w:rsid w:val="00E44160"/>
    <w:rsid w:val="00E44245"/>
    <w:rsid w:val="00E442AB"/>
    <w:rsid w:val="00E44319"/>
    <w:rsid w:val="00E443D6"/>
    <w:rsid w:val="00E444A3"/>
    <w:rsid w:val="00E447C3"/>
    <w:rsid w:val="00E4493A"/>
    <w:rsid w:val="00E44CB6"/>
    <w:rsid w:val="00E44E2F"/>
    <w:rsid w:val="00E44E88"/>
    <w:rsid w:val="00E45040"/>
    <w:rsid w:val="00E450B5"/>
    <w:rsid w:val="00E45293"/>
    <w:rsid w:val="00E452CC"/>
    <w:rsid w:val="00E45392"/>
    <w:rsid w:val="00E45418"/>
    <w:rsid w:val="00E4548C"/>
    <w:rsid w:val="00E457B8"/>
    <w:rsid w:val="00E457CB"/>
    <w:rsid w:val="00E45DC4"/>
    <w:rsid w:val="00E45F1B"/>
    <w:rsid w:val="00E46151"/>
    <w:rsid w:val="00E4618E"/>
    <w:rsid w:val="00E46945"/>
    <w:rsid w:val="00E469BA"/>
    <w:rsid w:val="00E46A8C"/>
    <w:rsid w:val="00E46F7A"/>
    <w:rsid w:val="00E4710D"/>
    <w:rsid w:val="00E47194"/>
    <w:rsid w:val="00E4724F"/>
    <w:rsid w:val="00E4731D"/>
    <w:rsid w:val="00E47340"/>
    <w:rsid w:val="00E4735F"/>
    <w:rsid w:val="00E47398"/>
    <w:rsid w:val="00E47452"/>
    <w:rsid w:val="00E474E3"/>
    <w:rsid w:val="00E477AA"/>
    <w:rsid w:val="00E4794E"/>
    <w:rsid w:val="00E479DC"/>
    <w:rsid w:val="00E47AE8"/>
    <w:rsid w:val="00E47BB4"/>
    <w:rsid w:val="00E47D0C"/>
    <w:rsid w:val="00E47DD1"/>
    <w:rsid w:val="00E47EA2"/>
    <w:rsid w:val="00E47EBA"/>
    <w:rsid w:val="00E50074"/>
    <w:rsid w:val="00E500C7"/>
    <w:rsid w:val="00E5020C"/>
    <w:rsid w:val="00E50343"/>
    <w:rsid w:val="00E50630"/>
    <w:rsid w:val="00E50BD0"/>
    <w:rsid w:val="00E50EA5"/>
    <w:rsid w:val="00E50FF4"/>
    <w:rsid w:val="00E51112"/>
    <w:rsid w:val="00E512D2"/>
    <w:rsid w:val="00E512FB"/>
    <w:rsid w:val="00E513F8"/>
    <w:rsid w:val="00E5161A"/>
    <w:rsid w:val="00E5167E"/>
    <w:rsid w:val="00E51C76"/>
    <w:rsid w:val="00E51CA1"/>
    <w:rsid w:val="00E51D7D"/>
    <w:rsid w:val="00E523FE"/>
    <w:rsid w:val="00E52668"/>
    <w:rsid w:val="00E52A69"/>
    <w:rsid w:val="00E52AB7"/>
    <w:rsid w:val="00E52B20"/>
    <w:rsid w:val="00E52C08"/>
    <w:rsid w:val="00E52E21"/>
    <w:rsid w:val="00E52EE1"/>
    <w:rsid w:val="00E52F0C"/>
    <w:rsid w:val="00E52F1F"/>
    <w:rsid w:val="00E52FB2"/>
    <w:rsid w:val="00E53725"/>
    <w:rsid w:val="00E53744"/>
    <w:rsid w:val="00E537B1"/>
    <w:rsid w:val="00E5387B"/>
    <w:rsid w:val="00E5393F"/>
    <w:rsid w:val="00E539EF"/>
    <w:rsid w:val="00E53AF9"/>
    <w:rsid w:val="00E53B2B"/>
    <w:rsid w:val="00E53B51"/>
    <w:rsid w:val="00E53C57"/>
    <w:rsid w:val="00E53EEC"/>
    <w:rsid w:val="00E53F81"/>
    <w:rsid w:val="00E542FF"/>
    <w:rsid w:val="00E5442B"/>
    <w:rsid w:val="00E54467"/>
    <w:rsid w:val="00E54860"/>
    <w:rsid w:val="00E54B34"/>
    <w:rsid w:val="00E54DE8"/>
    <w:rsid w:val="00E54EE9"/>
    <w:rsid w:val="00E550BD"/>
    <w:rsid w:val="00E5523E"/>
    <w:rsid w:val="00E552F3"/>
    <w:rsid w:val="00E55430"/>
    <w:rsid w:val="00E55529"/>
    <w:rsid w:val="00E555A6"/>
    <w:rsid w:val="00E55609"/>
    <w:rsid w:val="00E55858"/>
    <w:rsid w:val="00E55A63"/>
    <w:rsid w:val="00E55A71"/>
    <w:rsid w:val="00E55D88"/>
    <w:rsid w:val="00E55EB5"/>
    <w:rsid w:val="00E56002"/>
    <w:rsid w:val="00E562BC"/>
    <w:rsid w:val="00E563BF"/>
    <w:rsid w:val="00E56627"/>
    <w:rsid w:val="00E566B1"/>
    <w:rsid w:val="00E56744"/>
    <w:rsid w:val="00E567AD"/>
    <w:rsid w:val="00E568C0"/>
    <w:rsid w:val="00E5699E"/>
    <w:rsid w:val="00E56A49"/>
    <w:rsid w:val="00E56B18"/>
    <w:rsid w:val="00E56E92"/>
    <w:rsid w:val="00E572B7"/>
    <w:rsid w:val="00E574F3"/>
    <w:rsid w:val="00E5750C"/>
    <w:rsid w:val="00E575E0"/>
    <w:rsid w:val="00E5781C"/>
    <w:rsid w:val="00E57C55"/>
    <w:rsid w:val="00E57CC1"/>
    <w:rsid w:val="00E57CD8"/>
    <w:rsid w:val="00E57D36"/>
    <w:rsid w:val="00E57E9B"/>
    <w:rsid w:val="00E57EA5"/>
    <w:rsid w:val="00E60166"/>
    <w:rsid w:val="00E601AF"/>
    <w:rsid w:val="00E60331"/>
    <w:rsid w:val="00E605B5"/>
    <w:rsid w:val="00E60631"/>
    <w:rsid w:val="00E6063E"/>
    <w:rsid w:val="00E60BF9"/>
    <w:rsid w:val="00E60CEB"/>
    <w:rsid w:val="00E61901"/>
    <w:rsid w:val="00E61AF0"/>
    <w:rsid w:val="00E61E00"/>
    <w:rsid w:val="00E61E66"/>
    <w:rsid w:val="00E6204B"/>
    <w:rsid w:val="00E620A2"/>
    <w:rsid w:val="00E620C9"/>
    <w:rsid w:val="00E620F5"/>
    <w:rsid w:val="00E621E9"/>
    <w:rsid w:val="00E624D9"/>
    <w:rsid w:val="00E62579"/>
    <w:rsid w:val="00E625A0"/>
    <w:rsid w:val="00E62655"/>
    <w:rsid w:val="00E627C6"/>
    <w:rsid w:val="00E62BDD"/>
    <w:rsid w:val="00E62BEC"/>
    <w:rsid w:val="00E62DA4"/>
    <w:rsid w:val="00E62DEF"/>
    <w:rsid w:val="00E62EA8"/>
    <w:rsid w:val="00E62F72"/>
    <w:rsid w:val="00E6346E"/>
    <w:rsid w:val="00E63560"/>
    <w:rsid w:val="00E63582"/>
    <w:rsid w:val="00E63596"/>
    <w:rsid w:val="00E636E1"/>
    <w:rsid w:val="00E63842"/>
    <w:rsid w:val="00E6384C"/>
    <w:rsid w:val="00E63906"/>
    <w:rsid w:val="00E63AE6"/>
    <w:rsid w:val="00E63C1F"/>
    <w:rsid w:val="00E63D3A"/>
    <w:rsid w:val="00E63EBE"/>
    <w:rsid w:val="00E63F2A"/>
    <w:rsid w:val="00E6400B"/>
    <w:rsid w:val="00E6426A"/>
    <w:rsid w:val="00E6436B"/>
    <w:rsid w:val="00E643C5"/>
    <w:rsid w:val="00E64467"/>
    <w:rsid w:val="00E644E5"/>
    <w:rsid w:val="00E6454E"/>
    <w:rsid w:val="00E64686"/>
    <w:rsid w:val="00E64ACE"/>
    <w:rsid w:val="00E64C80"/>
    <w:rsid w:val="00E64C8D"/>
    <w:rsid w:val="00E64CEC"/>
    <w:rsid w:val="00E64E19"/>
    <w:rsid w:val="00E64E45"/>
    <w:rsid w:val="00E64F60"/>
    <w:rsid w:val="00E658DB"/>
    <w:rsid w:val="00E65B8F"/>
    <w:rsid w:val="00E65BD2"/>
    <w:rsid w:val="00E65DE0"/>
    <w:rsid w:val="00E65E04"/>
    <w:rsid w:val="00E661DB"/>
    <w:rsid w:val="00E6628F"/>
    <w:rsid w:val="00E6648F"/>
    <w:rsid w:val="00E664C2"/>
    <w:rsid w:val="00E66548"/>
    <w:rsid w:val="00E6664A"/>
    <w:rsid w:val="00E66749"/>
    <w:rsid w:val="00E66808"/>
    <w:rsid w:val="00E66A61"/>
    <w:rsid w:val="00E6704A"/>
    <w:rsid w:val="00E6708D"/>
    <w:rsid w:val="00E670A9"/>
    <w:rsid w:val="00E6718E"/>
    <w:rsid w:val="00E67260"/>
    <w:rsid w:val="00E67551"/>
    <w:rsid w:val="00E675FE"/>
    <w:rsid w:val="00E6786A"/>
    <w:rsid w:val="00E678B9"/>
    <w:rsid w:val="00E67AC7"/>
    <w:rsid w:val="00E67BEB"/>
    <w:rsid w:val="00E67C61"/>
    <w:rsid w:val="00E67E1E"/>
    <w:rsid w:val="00E67E6E"/>
    <w:rsid w:val="00E7006E"/>
    <w:rsid w:val="00E702F9"/>
    <w:rsid w:val="00E705CA"/>
    <w:rsid w:val="00E705F5"/>
    <w:rsid w:val="00E706F2"/>
    <w:rsid w:val="00E707E4"/>
    <w:rsid w:val="00E7082B"/>
    <w:rsid w:val="00E70888"/>
    <w:rsid w:val="00E7095A"/>
    <w:rsid w:val="00E70AE2"/>
    <w:rsid w:val="00E70B45"/>
    <w:rsid w:val="00E70D7B"/>
    <w:rsid w:val="00E70DA1"/>
    <w:rsid w:val="00E71289"/>
    <w:rsid w:val="00E71391"/>
    <w:rsid w:val="00E719C7"/>
    <w:rsid w:val="00E719E1"/>
    <w:rsid w:val="00E71EC1"/>
    <w:rsid w:val="00E721FA"/>
    <w:rsid w:val="00E723CC"/>
    <w:rsid w:val="00E72413"/>
    <w:rsid w:val="00E7244E"/>
    <w:rsid w:val="00E725CF"/>
    <w:rsid w:val="00E725DB"/>
    <w:rsid w:val="00E72758"/>
    <w:rsid w:val="00E727F7"/>
    <w:rsid w:val="00E72906"/>
    <w:rsid w:val="00E72BAB"/>
    <w:rsid w:val="00E72D88"/>
    <w:rsid w:val="00E72DC7"/>
    <w:rsid w:val="00E730C9"/>
    <w:rsid w:val="00E730FA"/>
    <w:rsid w:val="00E7328E"/>
    <w:rsid w:val="00E73324"/>
    <w:rsid w:val="00E73459"/>
    <w:rsid w:val="00E7345A"/>
    <w:rsid w:val="00E73527"/>
    <w:rsid w:val="00E7355B"/>
    <w:rsid w:val="00E735C4"/>
    <w:rsid w:val="00E735E6"/>
    <w:rsid w:val="00E73B1B"/>
    <w:rsid w:val="00E73F23"/>
    <w:rsid w:val="00E73F2D"/>
    <w:rsid w:val="00E74016"/>
    <w:rsid w:val="00E740BF"/>
    <w:rsid w:val="00E740E8"/>
    <w:rsid w:val="00E74313"/>
    <w:rsid w:val="00E74428"/>
    <w:rsid w:val="00E744AE"/>
    <w:rsid w:val="00E74923"/>
    <w:rsid w:val="00E74A08"/>
    <w:rsid w:val="00E74A8A"/>
    <w:rsid w:val="00E74CED"/>
    <w:rsid w:val="00E74D0C"/>
    <w:rsid w:val="00E74D18"/>
    <w:rsid w:val="00E74F0A"/>
    <w:rsid w:val="00E74FB5"/>
    <w:rsid w:val="00E7502B"/>
    <w:rsid w:val="00E7506D"/>
    <w:rsid w:val="00E75416"/>
    <w:rsid w:val="00E754C5"/>
    <w:rsid w:val="00E7556D"/>
    <w:rsid w:val="00E755F9"/>
    <w:rsid w:val="00E757DC"/>
    <w:rsid w:val="00E7581C"/>
    <w:rsid w:val="00E75B75"/>
    <w:rsid w:val="00E75BB4"/>
    <w:rsid w:val="00E760A4"/>
    <w:rsid w:val="00E7659D"/>
    <w:rsid w:val="00E765E3"/>
    <w:rsid w:val="00E768A3"/>
    <w:rsid w:val="00E769A9"/>
    <w:rsid w:val="00E76BBE"/>
    <w:rsid w:val="00E76BD5"/>
    <w:rsid w:val="00E76C09"/>
    <w:rsid w:val="00E77043"/>
    <w:rsid w:val="00E771EC"/>
    <w:rsid w:val="00E77293"/>
    <w:rsid w:val="00E772AF"/>
    <w:rsid w:val="00E773D2"/>
    <w:rsid w:val="00E774E0"/>
    <w:rsid w:val="00E7759F"/>
    <w:rsid w:val="00E776A6"/>
    <w:rsid w:val="00E7790B"/>
    <w:rsid w:val="00E77A30"/>
    <w:rsid w:val="00E77A96"/>
    <w:rsid w:val="00E77A9B"/>
    <w:rsid w:val="00E77B13"/>
    <w:rsid w:val="00E77B69"/>
    <w:rsid w:val="00E77B74"/>
    <w:rsid w:val="00E77E59"/>
    <w:rsid w:val="00E77F50"/>
    <w:rsid w:val="00E80073"/>
    <w:rsid w:val="00E8014C"/>
    <w:rsid w:val="00E8035A"/>
    <w:rsid w:val="00E803FE"/>
    <w:rsid w:val="00E8044A"/>
    <w:rsid w:val="00E808A1"/>
    <w:rsid w:val="00E809A5"/>
    <w:rsid w:val="00E809D1"/>
    <w:rsid w:val="00E809EE"/>
    <w:rsid w:val="00E80B21"/>
    <w:rsid w:val="00E812D3"/>
    <w:rsid w:val="00E812ED"/>
    <w:rsid w:val="00E8134E"/>
    <w:rsid w:val="00E81514"/>
    <w:rsid w:val="00E816BE"/>
    <w:rsid w:val="00E81744"/>
    <w:rsid w:val="00E81840"/>
    <w:rsid w:val="00E81955"/>
    <w:rsid w:val="00E82042"/>
    <w:rsid w:val="00E820D9"/>
    <w:rsid w:val="00E82328"/>
    <w:rsid w:val="00E82480"/>
    <w:rsid w:val="00E8268F"/>
    <w:rsid w:val="00E827BA"/>
    <w:rsid w:val="00E82840"/>
    <w:rsid w:val="00E828FA"/>
    <w:rsid w:val="00E82955"/>
    <w:rsid w:val="00E82985"/>
    <w:rsid w:val="00E829A7"/>
    <w:rsid w:val="00E82AFD"/>
    <w:rsid w:val="00E82B1C"/>
    <w:rsid w:val="00E82B26"/>
    <w:rsid w:val="00E82CB8"/>
    <w:rsid w:val="00E82F40"/>
    <w:rsid w:val="00E83295"/>
    <w:rsid w:val="00E832D0"/>
    <w:rsid w:val="00E83323"/>
    <w:rsid w:val="00E83704"/>
    <w:rsid w:val="00E83A7A"/>
    <w:rsid w:val="00E83BC5"/>
    <w:rsid w:val="00E83C5C"/>
    <w:rsid w:val="00E83D88"/>
    <w:rsid w:val="00E83F42"/>
    <w:rsid w:val="00E83FD7"/>
    <w:rsid w:val="00E840D1"/>
    <w:rsid w:val="00E84220"/>
    <w:rsid w:val="00E842A8"/>
    <w:rsid w:val="00E846CA"/>
    <w:rsid w:val="00E847B8"/>
    <w:rsid w:val="00E847BB"/>
    <w:rsid w:val="00E847E3"/>
    <w:rsid w:val="00E84A43"/>
    <w:rsid w:val="00E84AB2"/>
    <w:rsid w:val="00E84AF3"/>
    <w:rsid w:val="00E84B2C"/>
    <w:rsid w:val="00E84B5F"/>
    <w:rsid w:val="00E84C9B"/>
    <w:rsid w:val="00E84F0D"/>
    <w:rsid w:val="00E84FD3"/>
    <w:rsid w:val="00E85293"/>
    <w:rsid w:val="00E853DF"/>
    <w:rsid w:val="00E8559B"/>
    <w:rsid w:val="00E858A7"/>
    <w:rsid w:val="00E85CB3"/>
    <w:rsid w:val="00E85EBC"/>
    <w:rsid w:val="00E86240"/>
    <w:rsid w:val="00E864EB"/>
    <w:rsid w:val="00E8667D"/>
    <w:rsid w:val="00E8678D"/>
    <w:rsid w:val="00E867E5"/>
    <w:rsid w:val="00E86AC4"/>
    <w:rsid w:val="00E8728E"/>
    <w:rsid w:val="00E87654"/>
    <w:rsid w:val="00E8767D"/>
    <w:rsid w:val="00E87AE3"/>
    <w:rsid w:val="00E87C54"/>
    <w:rsid w:val="00E87DA3"/>
    <w:rsid w:val="00E87E8B"/>
    <w:rsid w:val="00E90271"/>
    <w:rsid w:val="00E90334"/>
    <w:rsid w:val="00E90366"/>
    <w:rsid w:val="00E90385"/>
    <w:rsid w:val="00E904AF"/>
    <w:rsid w:val="00E90C0C"/>
    <w:rsid w:val="00E90CD3"/>
    <w:rsid w:val="00E90E43"/>
    <w:rsid w:val="00E90F20"/>
    <w:rsid w:val="00E91180"/>
    <w:rsid w:val="00E91184"/>
    <w:rsid w:val="00E91397"/>
    <w:rsid w:val="00E913D6"/>
    <w:rsid w:val="00E9147D"/>
    <w:rsid w:val="00E9149A"/>
    <w:rsid w:val="00E919E2"/>
    <w:rsid w:val="00E91A0C"/>
    <w:rsid w:val="00E91B56"/>
    <w:rsid w:val="00E920AE"/>
    <w:rsid w:val="00E920B2"/>
    <w:rsid w:val="00E9213A"/>
    <w:rsid w:val="00E9223E"/>
    <w:rsid w:val="00E9225C"/>
    <w:rsid w:val="00E92318"/>
    <w:rsid w:val="00E9236A"/>
    <w:rsid w:val="00E9247C"/>
    <w:rsid w:val="00E92849"/>
    <w:rsid w:val="00E92855"/>
    <w:rsid w:val="00E92BF7"/>
    <w:rsid w:val="00E92CDB"/>
    <w:rsid w:val="00E92D28"/>
    <w:rsid w:val="00E92D70"/>
    <w:rsid w:val="00E930E8"/>
    <w:rsid w:val="00E93529"/>
    <w:rsid w:val="00E937A6"/>
    <w:rsid w:val="00E9395A"/>
    <w:rsid w:val="00E93D5F"/>
    <w:rsid w:val="00E93E1C"/>
    <w:rsid w:val="00E93E63"/>
    <w:rsid w:val="00E94141"/>
    <w:rsid w:val="00E9422D"/>
    <w:rsid w:val="00E942C9"/>
    <w:rsid w:val="00E94667"/>
    <w:rsid w:val="00E946C7"/>
    <w:rsid w:val="00E94867"/>
    <w:rsid w:val="00E94B1E"/>
    <w:rsid w:val="00E94B8E"/>
    <w:rsid w:val="00E94CE4"/>
    <w:rsid w:val="00E94D28"/>
    <w:rsid w:val="00E94E92"/>
    <w:rsid w:val="00E94FF4"/>
    <w:rsid w:val="00E95423"/>
    <w:rsid w:val="00E9552B"/>
    <w:rsid w:val="00E95586"/>
    <w:rsid w:val="00E955A8"/>
    <w:rsid w:val="00E95748"/>
    <w:rsid w:val="00E9574D"/>
    <w:rsid w:val="00E9592B"/>
    <w:rsid w:val="00E95A90"/>
    <w:rsid w:val="00E95FA5"/>
    <w:rsid w:val="00E9628A"/>
    <w:rsid w:val="00E962BB"/>
    <w:rsid w:val="00E96664"/>
    <w:rsid w:val="00E96924"/>
    <w:rsid w:val="00E969E8"/>
    <w:rsid w:val="00E96F00"/>
    <w:rsid w:val="00E971D9"/>
    <w:rsid w:val="00E97245"/>
    <w:rsid w:val="00E97376"/>
    <w:rsid w:val="00E97412"/>
    <w:rsid w:val="00E97478"/>
    <w:rsid w:val="00E9763C"/>
    <w:rsid w:val="00E977BC"/>
    <w:rsid w:val="00E97887"/>
    <w:rsid w:val="00E97964"/>
    <w:rsid w:val="00E97AD8"/>
    <w:rsid w:val="00E97B09"/>
    <w:rsid w:val="00E97B0B"/>
    <w:rsid w:val="00E97D4E"/>
    <w:rsid w:val="00E97F97"/>
    <w:rsid w:val="00EA03DA"/>
    <w:rsid w:val="00EA05A8"/>
    <w:rsid w:val="00EA0730"/>
    <w:rsid w:val="00EA078B"/>
    <w:rsid w:val="00EA07F2"/>
    <w:rsid w:val="00EA0B69"/>
    <w:rsid w:val="00EA0DBD"/>
    <w:rsid w:val="00EA10A1"/>
    <w:rsid w:val="00EA10CE"/>
    <w:rsid w:val="00EA1B22"/>
    <w:rsid w:val="00EA1C94"/>
    <w:rsid w:val="00EA274D"/>
    <w:rsid w:val="00EA2806"/>
    <w:rsid w:val="00EA2939"/>
    <w:rsid w:val="00EA2951"/>
    <w:rsid w:val="00EA2BBE"/>
    <w:rsid w:val="00EA2C7A"/>
    <w:rsid w:val="00EA2E47"/>
    <w:rsid w:val="00EA2E5D"/>
    <w:rsid w:val="00EA2F36"/>
    <w:rsid w:val="00EA3343"/>
    <w:rsid w:val="00EA339E"/>
    <w:rsid w:val="00EA35E6"/>
    <w:rsid w:val="00EA3621"/>
    <w:rsid w:val="00EA3778"/>
    <w:rsid w:val="00EA3C47"/>
    <w:rsid w:val="00EA3F7E"/>
    <w:rsid w:val="00EA405E"/>
    <w:rsid w:val="00EA445B"/>
    <w:rsid w:val="00EA460B"/>
    <w:rsid w:val="00EA479B"/>
    <w:rsid w:val="00EA47C3"/>
    <w:rsid w:val="00EA4867"/>
    <w:rsid w:val="00EA48D8"/>
    <w:rsid w:val="00EA48ED"/>
    <w:rsid w:val="00EA4A14"/>
    <w:rsid w:val="00EA4AA0"/>
    <w:rsid w:val="00EA4C89"/>
    <w:rsid w:val="00EA4CDB"/>
    <w:rsid w:val="00EA4E0D"/>
    <w:rsid w:val="00EA4E72"/>
    <w:rsid w:val="00EA5016"/>
    <w:rsid w:val="00EA5043"/>
    <w:rsid w:val="00EA5248"/>
    <w:rsid w:val="00EA5259"/>
    <w:rsid w:val="00EA5292"/>
    <w:rsid w:val="00EA54DC"/>
    <w:rsid w:val="00EA564C"/>
    <w:rsid w:val="00EA56D2"/>
    <w:rsid w:val="00EA56FC"/>
    <w:rsid w:val="00EA5734"/>
    <w:rsid w:val="00EA5A05"/>
    <w:rsid w:val="00EA5B63"/>
    <w:rsid w:val="00EA5DBF"/>
    <w:rsid w:val="00EA5F19"/>
    <w:rsid w:val="00EA6023"/>
    <w:rsid w:val="00EA60BB"/>
    <w:rsid w:val="00EA6135"/>
    <w:rsid w:val="00EA62DB"/>
    <w:rsid w:val="00EA6506"/>
    <w:rsid w:val="00EA6800"/>
    <w:rsid w:val="00EA6B1E"/>
    <w:rsid w:val="00EA6CFC"/>
    <w:rsid w:val="00EA6E5E"/>
    <w:rsid w:val="00EA73EC"/>
    <w:rsid w:val="00EA749A"/>
    <w:rsid w:val="00EA7549"/>
    <w:rsid w:val="00EA769B"/>
    <w:rsid w:val="00EA7C7A"/>
    <w:rsid w:val="00EA7E7A"/>
    <w:rsid w:val="00EA7ECB"/>
    <w:rsid w:val="00EB01EE"/>
    <w:rsid w:val="00EB028C"/>
    <w:rsid w:val="00EB02C8"/>
    <w:rsid w:val="00EB043A"/>
    <w:rsid w:val="00EB05DD"/>
    <w:rsid w:val="00EB0631"/>
    <w:rsid w:val="00EB0823"/>
    <w:rsid w:val="00EB13CF"/>
    <w:rsid w:val="00EB14BA"/>
    <w:rsid w:val="00EB1552"/>
    <w:rsid w:val="00EB17FD"/>
    <w:rsid w:val="00EB1944"/>
    <w:rsid w:val="00EB1A3D"/>
    <w:rsid w:val="00EB1B4D"/>
    <w:rsid w:val="00EB1DF8"/>
    <w:rsid w:val="00EB1FBA"/>
    <w:rsid w:val="00EB2315"/>
    <w:rsid w:val="00EB247E"/>
    <w:rsid w:val="00EB24F8"/>
    <w:rsid w:val="00EB2519"/>
    <w:rsid w:val="00EB2855"/>
    <w:rsid w:val="00EB2A0D"/>
    <w:rsid w:val="00EB2BB4"/>
    <w:rsid w:val="00EB2BF3"/>
    <w:rsid w:val="00EB2DD9"/>
    <w:rsid w:val="00EB2E2F"/>
    <w:rsid w:val="00EB2FE0"/>
    <w:rsid w:val="00EB2FE7"/>
    <w:rsid w:val="00EB33DC"/>
    <w:rsid w:val="00EB33F3"/>
    <w:rsid w:val="00EB36E8"/>
    <w:rsid w:val="00EB36F7"/>
    <w:rsid w:val="00EB37DF"/>
    <w:rsid w:val="00EB3A22"/>
    <w:rsid w:val="00EB3C43"/>
    <w:rsid w:val="00EB3CA9"/>
    <w:rsid w:val="00EB4199"/>
    <w:rsid w:val="00EB448A"/>
    <w:rsid w:val="00EB4625"/>
    <w:rsid w:val="00EB472F"/>
    <w:rsid w:val="00EB48C3"/>
    <w:rsid w:val="00EB49E0"/>
    <w:rsid w:val="00EB4A69"/>
    <w:rsid w:val="00EB4B5A"/>
    <w:rsid w:val="00EB4C1B"/>
    <w:rsid w:val="00EB4D8D"/>
    <w:rsid w:val="00EB4D97"/>
    <w:rsid w:val="00EB5062"/>
    <w:rsid w:val="00EB5125"/>
    <w:rsid w:val="00EB52C1"/>
    <w:rsid w:val="00EB5551"/>
    <w:rsid w:val="00EB55E3"/>
    <w:rsid w:val="00EB587F"/>
    <w:rsid w:val="00EB59C5"/>
    <w:rsid w:val="00EB5A6F"/>
    <w:rsid w:val="00EB5AD6"/>
    <w:rsid w:val="00EB5B66"/>
    <w:rsid w:val="00EB5E79"/>
    <w:rsid w:val="00EB5EFF"/>
    <w:rsid w:val="00EB5F6B"/>
    <w:rsid w:val="00EB613F"/>
    <w:rsid w:val="00EB61C6"/>
    <w:rsid w:val="00EB6872"/>
    <w:rsid w:val="00EB6CE6"/>
    <w:rsid w:val="00EB6CF7"/>
    <w:rsid w:val="00EB6DE5"/>
    <w:rsid w:val="00EB6F6C"/>
    <w:rsid w:val="00EB6FE6"/>
    <w:rsid w:val="00EB7235"/>
    <w:rsid w:val="00EB72CC"/>
    <w:rsid w:val="00EB7419"/>
    <w:rsid w:val="00EB75B8"/>
    <w:rsid w:val="00EB77BC"/>
    <w:rsid w:val="00EB7A15"/>
    <w:rsid w:val="00EB7BFC"/>
    <w:rsid w:val="00EB7C5A"/>
    <w:rsid w:val="00EB7F3B"/>
    <w:rsid w:val="00EC000D"/>
    <w:rsid w:val="00EC0051"/>
    <w:rsid w:val="00EC0063"/>
    <w:rsid w:val="00EC00D4"/>
    <w:rsid w:val="00EC0292"/>
    <w:rsid w:val="00EC035A"/>
    <w:rsid w:val="00EC039A"/>
    <w:rsid w:val="00EC0545"/>
    <w:rsid w:val="00EC06AF"/>
    <w:rsid w:val="00EC0729"/>
    <w:rsid w:val="00EC088B"/>
    <w:rsid w:val="00EC0C26"/>
    <w:rsid w:val="00EC0C5B"/>
    <w:rsid w:val="00EC0C6B"/>
    <w:rsid w:val="00EC0D98"/>
    <w:rsid w:val="00EC0E63"/>
    <w:rsid w:val="00EC0EA9"/>
    <w:rsid w:val="00EC126D"/>
    <w:rsid w:val="00EC12A4"/>
    <w:rsid w:val="00EC1309"/>
    <w:rsid w:val="00EC1467"/>
    <w:rsid w:val="00EC1508"/>
    <w:rsid w:val="00EC16CD"/>
    <w:rsid w:val="00EC1983"/>
    <w:rsid w:val="00EC1B1B"/>
    <w:rsid w:val="00EC1B84"/>
    <w:rsid w:val="00EC1C06"/>
    <w:rsid w:val="00EC1C5C"/>
    <w:rsid w:val="00EC1CB4"/>
    <w:rsid w:val="00EC1FC5"/>
    <w:rsid w:val="00EC212C"/>
    <w:rsid w:val="00EC2240"/>
    <w:rsid w:val="00EC2373"/>
    <w:rsid w:val="00EC2580"/>
    <w:rsid w:val="00EC2694"/>
    <w:rsid w:val="00EC289F"/>
    <w:rsid w:val="00EC297A"/>
    <w:rsid w:val="00EC29E4"/>
    <w:rsid w:val="00EC2A56"/>
    <w:rsid w:val="00EC2A6B"/>
    <w:rsid w:val="00EC2E72"/>
    <w:rsid w:val="00EC2FE2"/>
    <w:rsid w:val="00EC34AE"/>
    <w:rsid w:val="00EC34B6"/>
    <w:rsid w:val="00EC350B"/>
    <w:rsid w:val="00EC3526"/>
    <w:rsid w:val="00EC3586"/>
    <w:rsid w:val="00EC36B5"/>
    <w:rsid w:val="00EC3735"/>
    <w:rsid w:val="00EC38B1"/>
    <w:rsid w:val="00EC38D1"/>
    <w:rsid w:val="00EC3A1F"/>
    <w:rsid w:val="00EC3D10"/>
    <w:rsid w:val="00EC3D13"/>
    <w:rsid w:val="00EC3D3B"/>
    <w:rsid w:val="00EC3D9A"/>
    <w:rsid w:val="00EC3E58"/>
    <w:rsid w:val="00EC41C2"/>
    <w:rsid w:val="00EC473A"/>
    <w:rsid w:val="00EC489A"/>
    <w:rsid w:val="00EC49FC"/>
    <w:rsid w:val="00EC4A54"/>
    <w:rsid w:val="00EC4AC1"/>
    <w:rsid w:val="00EC4AC9"/>
    <w:rsid w:val="00EC4BA5"/>
    <w:rsid w:val="00EC4D57"/>
    <w:rsid w:val="00EC5092"/>
    <w:rsid w:val="00EC5161"/>
    <w:rsid w:val="00EC53D8"/>
    <w:rsid w:val="00EC5424"/>
    <w:rsid w:val="00EC59A2"/>
    <w:rsid w:val="00EC5EAE"/>
    <w:rsid w:val="00EC60A8"/>
    <w:rsid w:val="00EC6152"/>
    <w:rsid w:val="00EC6269"/>
    <w:rsid w:val="00EC64E2"/>
    <w:rsid w:val="00EC68CF"/>
    <w:rsid w:val="00EC6B46"/>
    <w:rsid w:val="00EC6E3A"/>
    <w:rsid w:val="00EC6F5C"/>
    <w:rsid w:val="00EC7009"/>
    <w:rsid w:val="00EC7068"/>
    <w:rsid w:val="00EC7263"/>
    <w:rsid w:val="00EC73A7"/>
    <w:rsid w:val="00EC7A2C"/>
    <w:rsid w:val="00EC7CE8"/>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CB"/>
    <w:rsid w:val="00ED1CD1"/>
    <w:rsid w:val="00ED1E41"/>
    <w:rsid w:val="00ED21B0"/>
    <w:rsid w:val="00ED22E4"/>
    <w:rsid w:val="00ED2346"/>
    <w:rsid w:val="00ED2449"/>
    <w:rsid w:val="00ED24E2"/>
    <w:rsid w:val="00ED2553"/>
    <w:rsid w:val="00ED25F0"/>
    <w:rsid w:val="00ED25FC"/>
    <w:rsid w:val="00ED2BE5"/>
    <w:rsid w:val="00ED2C3D"/>
    <w:rsid w:val="00ED2F3F"/>
    <w:rsid w:val="00ED2F47"/>
    <w:rsid w:val="00ED30D9"/>
    <w:rsid w:val="00ED32DB"/>
    <w:rsid w:val="00ED36DD"/>
    <w:rsid w:val="00ED385B"/>
    <w:rsid w:val="00ED38AB"/>
    <w:rsid w:val="00ED3AD6"/>
    <w:rsid w:val="00ED3C25"/>
    <w:rsid w:val="00ED3E63"/>
    <w:rsid w:val="00ED4207"/>
    <w:rsid w:val="00ED42E1"/>
    <w:rsid w:val="00ED44D9"/>
    <w:rsid w:val="00ED4589"/>
    <w:rsid w:val="00ED4612"/>
    <w:rsid w:val="00ED46DB"/>
    <w:rsid w:val="00ED48BE"/>
    <w:rsid w:val="00ED498E"/>
    <w:rsid w:val="00ED4BE4"/>
    <w:rsid w:val="00ED4EC0"/>
    <w:rsid w:val="00ED4FAA"/>
    <w:rsid w:val="00ED5040"/>
    <w:rsid w:val="00ED50B1"/>
    <w:rsid w:val="00ED5172"/>
    <w:rsid w:val="00ED540A"/>
    <w:rsid w:val="00ED551D"/>
    <w:rsid w:val="00ED58AB"/>
    <w:rsid w:val="00ED5997"/>
    <w:rsid w:val="00ED5BBE"/>
    <w:rsid w:val="00ED5EAC"/>
    <w:rsid w:val="00ED619E"/>
    <w:rsid w:val="00ED62EF"/>
    <w:rsid w:val="00ED6311"/>
    <w:rsid w:val="00ED6494"/>
    <w:rsid w:val="00ED6911"/>
    <w:rsid w:val="00ED6CAA"/>
    <w:rsid w:val="00ED6D37"/>
    <w:rsid w:val="00ED6F32"/>
    <w:rsid w:val="00ED70A3"/>
    <w:rsid w:val="00ED70C0"/>
    <w:rsid w:val="00ED7153"/>
    <w:rsid w:val="00ED72EF"/>
    <w:rsid w:val="00ED73B0"/>
    <w:rsid w:val="00ED73C4"/>
    <w:rsid w:val="00ED7489"/>
    <w:rsid w:val="00ED77EC"/>
    <w:rsid w:val="00ED795A"/>
    <w:rsid w:val="00ED79D2"/>
    <w:rsid w:val="00ED7B12"/>
    <w:rsid w:val="00ED7C41"/>
    <w:rsid w:val="00ED7C81"/>
    <w:rsid w:val="00ED7D12"/>
    <w:rsid w:val="00ED7D76"/>
    <w:rsid w:val="00ED7D77"/>
    <w:rsid w:val="00ED7FAF"/>
    <w:rsid w:val="00EE01C3"/>
    <w:rsid w:val="00EE0436"/>
    <w:rsid w:val="00EE0A43"/>
    <w:rsid w:val="00EE0AFC"/>
    <w:rsid w:val="00EE0B28"/>
    <w:rsid w:val="00EE1067"/>
    <w:rsid w:val="00EE123E"/>
    <w:rsid w:val="00EE15F6"/>
    <w:rsid w:val="00EE174D"/>
    <w:rsid w:val="00EE18C9"/>
    <w:rsid w:val="00EE1EC5"/>
    <w:rsid w:val="00EE2004"/>
    <w:rsid w:val="00EE222A"/>
    <w:rsid w:val="00EE227B"/>
    <w:rsid w:val="00EE2603"/>
    <w:rsid w:val="00EE26BF"/>
    <w:rsid w:val="00EE28EA"/>
    <w:rsid w:val="00EE2BAD"/>
    <w:rsid w:val="00EE2CD0"/>
    <w:rsid w:val="00EE2E37"/>
    <w:rsid w:val="00EE2E56"/>
    <w:rsid w:val="00EE300A"/>
    <w:rsid w:val="00EE32C6"/>
    <w:rsid w:val="00EE3367"/>
    <w:rsid w:val="00EE33C0"/>
    <w:rsid w:val="00EE3613"/>
    <w:rsid w:val="00EE36F8"/>
    <w:rsid w:val="00EE37FD"/>
    <w:rsid w:val="00EE3B9E"/>
    <w:rsid w:val="00EE3BE1"/>
    <w:rsid w:val="00EE3C5B"/>
    <w:rsid w:val="00EE3CAB"/>
    <w:rsid w:val="00EE3D92"/>
    <w:rsid w:val="00EE3F23"/>
    <w:rsid w:val="00EE3F2F"/>
    <w:rsid w:val="00EE3FF1"/>
    <w:rsid w:val="00EE416E"/>
    <w:rsid w:val="00EE4392"/>
    <w:rsid w:val="00EE4682"/>
    <w:rsid w:val="00EE46C8"/>
    <w:rsid w:val="00EE498D"/>
    <w:rsid w:val="00EE4C04"/>
    <w:rsid w:val="00EE4C48"/>
    <w:rsid w:val="00EE4C69"/>
    <w:rsid w:val="00EE4D32"/>
    <w:rsid w:val="00EE51AB"/>
    <w:rsid w:val="00EE5260"/>
    <w:rsid w:val="00EE53A3"/>
    <w:rsid w:val="00EE5437"/>
    <w:rsid w:val="00EE5440"/>
    <w:rsid w:val="00EE5608"/>
    <w:rsid w:val="00EE5759"/>
    <w:rsid w:val="00EE58C2"/>
    <w:rsid w:val="00EE5D83"/>
    <w:rsid w:val="00EE5FDD"/>
    <w:rsid w:val="00EE625F"/>
    <w:rsid w:val="00EE62E7"/>
    <w:rsid w:val="00EE64B9"/>
    <w:rsid w:val="00EE64C2"/>
    <w:rsid w:val="00EE64CD"/>
    <w:rsid w:val="00EE64FC"/>
    <w:rsid w:val="00EE654C"/>
    <w:rsid w:val="00EE6778"/>
    <w:rsid w:val="00EE68D8"/>
    <w:rsid w:val="00EE695A"/>
    <w:rsid w:val="00EE6A81"/>
    <w:rsid w:val="00EE6C67"/>
    <w:rsid w:val="00EE6C88"/>
    <w:rsid w:val="00EE6D7F"/>
    <w:rsid w:val="00EE6E6C"/>
    <w:rsid w:val="00EE6F1A"/>
    <w:rsid w:val="00EE70D9"/>
    <w:rsid w:val="00EE74F9"/>
    <w:rsid w:val="00EE75EA"/>
    <w:rsid w:val="00EE7796"/>
    <w:rsid w:val="00EE7A04"/>
    <w:rsid w:val="00EE7A8B"/>
    <w:rsid w:val="00EE7B12"/>
    <w:rsid w:val="00EE7C6C"/>
    <w:rsid w:val="00EE7CBB"/>
    <w:rsid w:val="00EE7D2E"/>
    <w:rsid w:val="00EE7F53"/>
    <w:rsid w:val="00EF0038"/>
    <w:rsid w:val="00EF03B1"/>
    <w:rsid w:val="00EF0427"/>
    <w:rsid w:val="00EF048D"/>
    <w:rsid w:val="00EF06BF"/>
    <w:rsid w:val="00EF06D2"/>
    <w:rsid w:val="00EF0723"/>
    <w:rsid w:val="00EF0747"/>
    <w:rsid w:val="00EF0768"/>
    <w:rsid w:val="00EF086A"/>
    <w:rsid w:val="00EF0872"/>
    <w:rsid w:val="00EF0961"/>
    <w:rsid w:val="00EF0E46"/>
    <w:rsid w:val="00EF0F05"/>
    <w:rsid w:val="00EF1980"/>
    <w:rsid w:val="00EF1B3C"/>
    <w:rsid w:val="00EF1B9B"/>
    <w:rsid w:val="00EF1C82"/>
    <w:rsid w:val="00EF1EBC"/>
    <w:rsid w:val="00EF1EDF"/>
    <w:rsid w:val="00EF1F6C"/>
    <w:rsid w:val="00EF1F9C"/>
    <w:rsid w:val="00EF221D"/>
    <w:rsid w:val="00EF24C3"/>
    <w:rsid w:val="00EF255C"/>
    <w:rsid w:val="00EF25EB"/>
    <w:rsid w:val="00EF2733"/>
    <w:rsid w:val="00EF28E4"/>
    <w:rsid w:val="00EF29FE"/>
    <w:rsid w:val="00EF2A53"/>
    <w:rsid w:val="00EF2B0F"/>
    <w:rsid w:val="00EF2C20"/>
    <w:rsid w:val="00EF2C2B"/>
    <w:rsid w:val="00EF2CAF"/>
    <w:rsid w:val="00EF2EF2"/>
    <w:rsid w:val="00EF2F3D"/>
    <w:rsid w:val="00EF3088"/>
    <w:rsid w:val="00EF3194"/>
    <w:rsid w:val="00EF32E6"/>
    <w:rsid w:val="00EF342B"/>
    <w:rsid w:val="00EF37CC"/>
    <w:rsid w:val="00EF37D3"/>
    <w:rsid w:val="00EF383E"/>
    <w:rsid w:val="00EF3AE2"/>
    <w:rsid w:val="00EF3C77"/>
    <w:rsid w:val="00EF402F"/>
    <w:rsid w:val="00EF4218"/>
    <w:rsid w:val="00EF430C"/>
    <w:rsid w:val="00EF4478"/>
    <w:rsid w:val="00EF44E5"/>
    <w:rsid w:val="00EF450A"/>
    <w:rsid w:val="00EF48DB"/>
    <w:rsid w:val="00EF4B95"/>
    <w:rsid w:val="00EF4CDB"/>
    <w:rsid w:val="00EF4EE2"/>
    <w:rsid w:val="00EF505A"/>
    <w:rsid w:val="00EF54AD"/>
    <w:rsid w:val="00EF5729"/>
    <w:rsid w:val="00EF5D10"/>
    <w:rsid w:val="00EF5D6C"/>
    <w:rsid w:val="00EF5DC0"/>
    <w:rsid w:val="00EF5E9E"/>
    <w:rsid w:val="00EF5F2D"/>
    <w:rsid w:val="00EF6312"/>
    <w:rsid w:val="00EF64AC"/>
    <w:rsid w:val="00EF688C"/>
    <w:rsid w:val="00EF695F"/>
    <w:rsid w:val="00EF6A64"/>
    <w:rsid w:val="00EF6A7D"/>
    <w:rsid w:val="00EF6B15"/>
    <w:rsid w:val="00EF6B88"/>
    <w:rsid w:val="00EF6CC9"/>
    <w:rsid w:val="00EF6CF6"/>
    <w:rsid w:val="00EF6D5B"/>
    <w:rsid w:val="00EF6EC6"/>
    <w:rsid w:val="00EF6F2A"/>
    <w:rsid w:val="00EF6FBF"/>
    <w:rsid w:val="00EF7252"/>
    <w:rsid w:val="00EF747E"/>
    <w:rsid w:val="00EF7557"/>
    <w:rsid w:val="00EF7631"/>
    <w:rsid w:val="00EF782A"/>
    <w:rsid w:val="00EF79FB"/>
    <w:rsid w:val="00EF7A11"/>
    <w:rsid w:val="00EF7A2E"/>
    <w:rsid w:val="00EF7B41"/>
    <w:rsid w:val="00EF7ECF"/>
    <w:rsid w:val="00EF7F29"/>
    <w:rsid w:val="00EF7F4A"/>
    <w:rsid w:val="00EF7FA3"/>
    <w:rsid w:val="00F0003D"/>
    <w:rsid w:val="00F00079"/>
    <w:rsid w:val="00F00445"/>
    <w:rsid w:val="00F0055F"/>
    <w:rsid w:val="00F00681"/>
    <w:rsid w:val="00F007D5"/>
    <w:rsid w:val="00F00A3D"/>
    <w:rsid w:val="00F00E29"/>
    <w:rsid w:val="00F00F00"/>
    <w:rsid w:val="00F00F13"/>
    <w:rsid w:val="00F00F7D"/>
    <w:rsid w:val="00F01137"/>
    <w:rsid w:val="00F014A5"/>
    <w:rsid w:val="00F014F0"/>
    <w:rsid w:val="00F01547"/>
    <w:rsid w:val="00F01E96"/>
    <w:rsid w:val="00F01F6D"/>
    <w:rsid w:val="00F02195"/>
    <w:rsid w:val="00F02307"/>
    <w:rsid w:val="00F0232C"/>
    <w:rsid w:val="00F02400"/>
    <w:rsid w:val="00F02524"/>
    <w:rsid w:val="00F02755"/>
    <w:rsid w:val="00F02835"/>
    <w:rsid w:val="00F02867"/>
    <w:rsid w:val="00F02BD6"/>
    <w:rsid w:val="00F02E15"/>
    <w:rsid w:val="00F02EC7"/>
    <w:rsid w:val="00F02F7A"/>
    <w:rsid w:val="00F02FD4"/>
    <w:rsid w:val="00F03146"/>
    <w:rsid w:val="00F03270"/>
    <w:rsid w:val="00F033BB"/>
    <w:rsid w:val="00F033C5"/>
    <w:rsid w:val="00F034E6"/>
    <w:rsid w:val="00F035A9"/>
    <w:rsid w:val="00F0379A"/>
    <w:rsid w:val="00F0395A"/>
    <w:rsid w:val="00F03B98"/>
    <w:rsid w:val="00F03BE0"/>
    <w:rsid w:val="00F03CA8"/>
    <w:rsid w:val="00F03D85"/>
    <w:rsid w:val="00F04051"/>
    <w:rsid w:val="00F04082"/>
    <w:rsid w:val="00F040E7"/>
    <w:rsid w:val="00F042F8"/>
    <w:rsid w:val="00F04510"/>
    <w:rsid w:val="00F04870"/>
    <w:rsid w:val="00F04A58"/>
    <w:rsid w:val="00F04B97"/>
    <w:rsid w:val="00F04E91"/>
    <w:rsid w:val="00F05032"/>
    <w:rsid w:val="00F051DB"/>
    <w:rsid w:val="00F0523D"/>
    <w:rsid w:val="00F053C5"/>
    <w:rsid w:val="00F0547C"/>
    <w:rsid w:val="00F054A6"/>
    <w:rsid w:val="00F05646"/>
    <w:rsid w:val="00F05660"/>
    <w:rsid w:val="00F056BC"/>
    <w:rsid w:val="00F057D6"/>
    <w:rsid w:val="00F05866"/>
    <w:rsid w:val="00F0586F"/>
    <w:rsid w:val="00F05FF2"/>
    <w:rsid w:val="00F06044"/>
    <w:rsid w:val="00F0628F"/>
    <w:rsid w:val="00F06305"/>
    <w:rsid w:val="00F06421"/>
    <w:rsid w:val="00F06664"/>
    <w:rsid w:val="00F06A7C"/>
    <w:rsid w:val="00F06B55"/>
    <w:rsid w:val="00F06DD9"/>
    <w:rsid w:val="00F06FAC"/>
    <w:rsid w:val="00F071E0"/>
    <w:rsid w:val="00F07259"/>
    <w:rsid w:val="00F0728C"/>
    <w:rsid w:val="00F07466"/>
    <w:rsid w:val="00F074A0"/>
    <w:rsid w:val="00F07962"/>
    <w:rsid w:val="00F07FEB"/>
    <w:rsid w:val="00F102FB"/>
    <w:rsid w:val="00F103A3"/>
    <w:rsid w:val="00F10492"/>
    <w:rsid w:val="00F10768"/>
    <w:rsid w:val="00F10A25"/>
    <w:rsid w:val="00F10DD2"/>
    <w:rsid w:val="00F10F06"/>
    <w:rsid w:val="00F110D3"/>
    <w:rsid w:val="00F1111F"/>
    <w:rsid w:val="00F11198"/>
    <w:rsid w:val="00F1128E"/>
    <w:rsid w:val="00F11456"/>
    <w:rsid w:val="00F11502"/>
    <w:rsid w:val="00F1154D"/>
    <w:rsid w:val="00F118D6"/>
    <w:rsid w:val="00F119B4"/>
    <w:rsid w:val="00F11A56"/>
    <w:rsid w:val="00F11BD1"/>
    <w:rsid w:val="00F11C28"/>
    <w:rsid w:val="00F11C36"/>
    <w:rsid w:val="00F11CC9"/>
    <w:rsid w:val="00F11EC7"/>
    <w:rsid w:val="00F11FE1"/>
    <w:rsid w:val="00F1212A"/>
    <w:rsid w:val="00F123F5"/>
    <w:rsid w:val="00F1288A"/>
    <w:rsid w:val="00F12A17"/>
    <w:rsid w:val="00F12B5C"/>
    <w:rsid w:val="00F12D72"/>
    <w:rsid w:val="00F12ED4"/>
    <w:rsid w:val="00F12FE1"/>
    <w:rsid w:val="00F132D8"/>
    <w:rsid w:val="00F13355"/>
    <w:rsid w:val="00F1364B"/>
    <w:rsid w:val="00F1377D"/>
    <w:rsid w:val="00F1378E"/>
    <w:rsid w:val="00F13869"/>
    <w:rsid w:val="00F138CE"/>
    <w:rsid w:val="00F13B14"/>
    <w:rsid w:val="00F13B28"/>
    <w:rsid w:val="00F13B5D"/>
    <w:rsid w:val="00F13C1B"/>
    <w:rsid w:val="00F13E28"/>
    <w:rsid w:val="00F14019"/>
    <w:rsid w:val="00F14056"/>
    <w:rsid w:val="00F14088"/>
    <w:rsid w:val="00F142DC"/>
    <w:rsid w:val="00F14333"/>
    <w:rsid w:val="00F14433"/>
    <w:rsid w:val="00F1447D"/>
    <w:rsid w:val="00F144D3"/>
    <w:rsid w:val="00F1492D"/>
    <w:rsid w:val="00F149AB"/>
    <w:rsid w:val="00F15045"/>
    <w:rsid w:val="00F150DA"/>
    <w:rsid w:val="00F15138"/>
    <w:rsid w:val="00F15566"/>
    <w:rsid w:val="00F15622"/>
    <w:rsid w:val="00F158B9"/>
    <w:rsid w:val="00F158C7"/>
    <w:rsid w:val="00F15C12"/>
    <w:rsid w:val="00F15C80"/>
    <w:rsid w:val="00F15F3B"/>
    <w:rsid w:val="00F15F6E"/>
    <w:rsid w:val="00F15F73"/>
    <w:rsid w:val="00F16053"/>
    <w:rsid w:val="00F16180"/>
    <w:rsid w:val="00F161C6"/>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0A"/>
    <w:rsid w:val="00F173F2"/>
    <w:rsid w:val="00F17470"/>
    <w:rsid w:val="00F17510"/>
    <w:rsid w:val="00F175DC"/>
    <w:rsid w:val="00F17959"/>
    <w:rsid w:val="00F179B0"/>
    <w:rsid w:val="00F17D2E"/>
    <w:rsid w:val="00F17EA2"/>
    <w:rsid w:val="00F200CD"/>
    <w:rsid w:val="00F20135"/>
    <w:rsid w:val="00F201E4"/>
    <w:rsid w:val="00F20207"/>
    <w:rsid w:val="00F203C6"/>
    <w:rsid w:val="00F2055A"/>
    <w:rsid w:val="00F2060D"/>
    <w:rsid w:val="00F208B5"/>
    <w:rsid w:val="00F20A96"/>
    <w:rsid w:val="00F20F4B"/>
    <w:rsid w:val="00F21184"/>
    <w:rsid w:val="00F21286"/>
    <w:rsid w:val="00F212F5"/>
    <w:rsid w:val="00F21558"/>
    <w:rsid w:val="00F218D6"/>
    <w:rsid w:val="00F21A2C"/>
    <w:rsid w:val="00F21B10"/>
    <w:rsid w:val="00F21BE4"/>
    <w:rsid w:val="00F21C3F"/>
    <w:rsid w:val="00F21CAB"/>
    <w:rsid w:val="00F21D65"/>
    <w:rsid w:val="00F21D68"/>
    <w:rsid w:val="00F2205C"/>
    <w:rsid w:val="00F2247E"/>
    <w:rsid w:val="00F22512"/>
    <w:rsid w:val="00F22548"/>
    <w:rsid w:val="00F22560"/>
    <w:rsid w:val="00F225B8"/>
    <w:rsid w:val="00F227A0"/>
    <w:rsid w:val="00F227BD"/>
    <w:rsid w:val="00F229C1"/>
    <w:rsid w:val="00F22B79"/>
    <w:rsid w:val="00F22C03"/>
    <w:rsid w:val="00F2354D"/>
    <w:rsid w:val="00F2358B"/>
    <w:rsid w:val="00F23664"/>
    <w:rsid w:val="00F236DF"/>
    <w:rsid w:val="00F238A8"/>
    <w:rsid w:val="00F23A6A"/>
    <w:rsid w:val="00F23B79"/>
    <w:rsid w:val="00F23C6D"/>
    <w:rsid w:val="00F23CF2"/>
    <w:rsid w:val="00F23D57"/>
    <w:rsid w:val="00F23F47"/>
    <w:rsid w:val="00F23F68"/>
    <w:rsid w:val="00F23FD9"/>
    <w:rsid w:val="00F241FF"/>
    <w:rsid w:val="00F242A5"/>
    <w:rsid w:val="00F242DB"/>
    <w:rsid w:val="00F2451B"/>
    <w:rsid w:val="00F2455C"/>
    <w:rsid w:val="00F24932"/>
    <w:rsid w:val="00F24958"/>
    <w:rsid w:val="00F249FB"/>
    <w:rsid w:val="00F24B6F"/>
    <w:rsid w:val="00F24BA5"/>
    <w:rsid w:val="00F24D7A"/>
    <w:rsid w:val="00F24F31"/>
    <w:rsid w:val="00F24F54"/>
    <w:rsid w:val="00F24FF5"/>
    <w:rsid w:val="00F2536F"/>
    <w:rsid w:val="00F256A4"/>
    <w:rsid w:val="00F25767"/>
    <w:rsid w:val="00F257EA"/>
    <w:rsid w:val="00F25800"/>
    <w:rsid w:val="00F258C4"/>
    <w:rsid w:val="00F25D2D"/>
    <w:rsid w:val="00F25E38"/>
    <w:rsid w:val="00F262D9"/>
    <w:rsid w:val="00F264AB"/>
    <w:rsid w:val="00F26526"/>
    <w:rsid w:val="00F2653F"/>
    <w:rsid w:val="00F26951"/>
    <w:rsid w:val="00F269F7"/>
    <w:rsid w:val="00F26D91"/>
    <w:rsid w:val="00F26E29"/>
    <w:rsid w:val="00F26EBF"/>
    <w:rsid w:val="00F26FA4"/>
    <w:rsid w:val="00F27078"/>
    <w:rsid w:val="00F270A3"/>
    <w:rsid w:val="00F270CA"/>
    <w:rsid w:val="00F2713B"/>
    <w:rsid w:val="00F27291"/>
    <w:rsid w:val="00F27334"/>
    <w:rsid w:val="00F275CE"/>
    <w:rsid w:val="00F2765F"/>
    <w:rsid w:val="00F27927"/>
    <w:rsid w:val="00F279C5"/>
    <w:rsid w:val="00F279F3"/>
    <w:rsid w:val="00F27B85"/>
    <w:rsid w:val="00F27B97"/>
    <w:rsid w:val="00F27D3B"/>
    <w:rsid w:val="00F27E29"/>
    <w:rsid w:val="00F27E85"/>
    <w:rsid w:val="00F3010A"/>
    <w:rsid w:val="00F3010E"/>
    <w:rsid w:val="00F30184"/>
    <w:rsid w:val="00F302BD"/>
    <w:rsid w:val="00F30691"/>
    <w:rsid w:val="00F309D5"/>
    <w:rsid w:val="00F30A40"/>
    <w:rsid w:val="00F30B71"/>
    <w:rsid w:val="00F30C14"/>
    <w:rsid w:val="00F30C4B"/>
    <w:rsid w:val="00F30E93"/>
    <w:rsid w:val="00F30F13"/>
    <w:rsid w:val="00F30FBA"/>
    <w:rsid w:val="00F315A9"/>
    <w:rsid w:val="00F31617"/>
    <w:rsid w:val="00F31AF8"/>
    <w:rsid w:val="00F31D2D"/>
    <w:rsid w:val="00F32036"/>
    <w:rsid w:val="00F32096"/>
    <w:rsid w:val="00F321DE"/>
    <w:rsid w:val="00F324AA"/>
    <w:rsid w:val="00F32561"/>
    <w:rsid w:val="00F325AB"/>
    <w:rsid w:val="00F328B2"/>
    <w:rsid w:val="00F32937"/>
    <w:rsid w:val="00F32975"/>
    <w:rsid w:val="00F32A52"/>
    <w:rsid w:val="00F32B74"/>
    <w:rsid w:val="00F32D63"/>
    <w:rsid w:val="00F32F57"/>
    <w:rsid w:val="00F33106"/>
    <w:rsid w:val="00F3328C"/>
    <w:rsid w:val="00F332DA"/>
    <w:rsid w:val="00F33448"/>
    <w:rsid w:val="00F334F7"/>
    <w:rsid w:val="00F3365B"/>
    <w:rsid w:val="00F3377B"/>
    <w:rsid w:val="00F33AD3"/>
    <w:rsid w:val="00F33B7A"/>
    <w:rsid w:val="00F33E35"/>
    <w:rsid w:val="00F33FE3"/>
    <w:rsid w:val="00F34039"/>
    <w:rsid w:val="00F3422A"/>
    <w:rsid w:val="00F34288"/>
    <w:rsid w:val="00F343A9"/>
    <w:rsid w:val="00F34593"/>
    <w:rsid w:val="00F345D9"/>
    <w:rsid w:val="00F34624"/>
    <w:rsid w:val="00F34646"/>
    <w:rsid w:val="00F3484C"/>
    <w:rsid w:val="00F34917"/>
    <w:rsid w:val="00F34D3A"/>
    <w:rsid w:val="00F3502D"/>
    <w:rsid w:val="00F350F6"/>
    <w:rsid w:val="00F3534D"/>
    <w:rsid w:val="00F356F1"/>
    <w:rsid w:val="00F3585C"/>
    <w:rsid w:val="00F35D35"/>
    <w:rsid w:val="00F35D66"/>
    <w:rsid w:val="00F35EE3"/>
    <w:rsid w:val="00F362A0"/>
    <w:rsid w:val="00F36647"/>
    <w:rsid w:val="00F3668C"/>
    <w:rsid w:val="00F3674B"/>
    <w:rsid w:val="00F367A4"/>
    <w:rsid w:val="00F367C3"/>
    <w:rsid w:val="00F36A6C"/>
    <w:rsid w:val="00F36E0A"/>
    <w:rsid w:val="00F36F9E"/>
    <w:rsid w:val="00F36FE3"/>
    <w:rsid w:val="00F374CD"/>
    <w:rsid w:val="00F37742"/>
    <w:rsid w:val="00F37766"/>
    <w:rsid w:val="00F37828"/>
    <w:rsid w:val="00F37B23"/>
    <w:rsid w:val="00F37B96"/>
    <w:rsid w:val="00F37BD3"/>
    <w:rsid w:val="00F37E94"/>
    <w:rsid w:val="00F4019A"/>
    <w:rsid w:val="00F4043A"/>
    <w:rsid w:val="00F4044F"/>
    <w:rsid w:val="00F40643"/>
    <w:rsid w:val="00F40663"/>
    <w:rsid w:val="00F40778"/>
    <w:rsid w:val="00F40783"/>
    <w:rsid w:val="00F4088B"/>
    <w:rsid w:val="00F409A7"/>
    <w:rsid w:val="00F409F2"/>
    <w:rsid w:val="00F40E9A"/>
    <w:rsid w:val="00F417CA"/>
    <w:rsid w:val="00F4189F"/>
    <w:rsid w:val="00F41981"/>
    <w:rsid w:val="00F419D7"/>
    <w:rsid w:val="00F419F6"/>
    <w:rsid w:val="00F41A23"/>
    <w:rsid w:val="00F41AF4"/>
    <w:rsid w:val="00F41D66"/>
    <w:rsid w:val="00F42155"/>
    <w:rsid w:val="00F4236E"/>
    <w:rsid w:val="00F42472"/>
    <w:rsid w:val="00F4247A"/>
    <w:rsid w:val="00F4259E"/>
    <w:rsid w:val="00F42B6F"/>
    <w:rsid w:val="00F42EC1"/>
    <w:rsid w:val="00F43008"/>
    <w:rsid w:val="00F43157"/>
    <w:rsid w:val="00F43446"/>
    <w:rsid w:val="00F4353A"/>
    <w:rsid w:val="00F43926"/>
    <w:rsid w:val="00F43AF7"/>
    <w:rsid w:val="00F43D46"/>
    <w:rsid w:val="00F43F3D"/>
    <w:rsid w:val="00F43FCC"/>
    <w:rsid w:val="00F44162"/>
    <w:rsid w:val="00F4437A"/>
    <w:rsid w:val="00F4467F"/>
    <w:rsid w:val="00F44835"/>
    <w:rsid w:val="00F44838"/>
    <w:rsid w:val="00F44B64"/>
    <w:rsid w:val="00F44C13"/>
    <w:rsid w:val="00F44CFD"/>
    <w:rsid w:val="00F44F37"/>
    <w:rsid w:val="00F44F3E"/>
    <w:rsid w:val="00F45226"/>
    <w:rsid w:val="00F45540"/>
    <w:rsid w:val="00F45836"/>
    <w:rsid w:val="00F45863"/>
    <w:rsid w:val="00F459EF"/>
    <w:rsid w:val="00F45A63"/>
    <w:rsid w:val="00F45D44"/>
    <w:rsid w:val="00F45E83"/>
    <w:rsid w:val="00F45EF3"/>
    <w:rsid w:val="00F46251"/>
    <w:rsid w:val="00F46760"/>
    <w:rsid w:val="00F469D5"/>
    <w:rsid w:val="00F46A25"/>
    <w:rsid w:val="00F46CEB"/>
    <w:rsid w:val="00F46E94"/>
    <w:rsid w:val="00F4713E"/>
    <w:rsid w:val="00F47332"/>
    <w:rsid w:val="00F475D8"/>
    <w:rsid w:val="00F476EB"/>
    <w:rsid w:val="00F4778A"/>
    <w:rsid w:val="00F4782A"/>
    <w:rsid w:val="00F47BED"/>
    <w:rsid w:val="00F47CD1"/>
    <w:rsid w:val="00F5010C"/>
    <w:rsid w:val="00F50233"/>
    <w:rsid w:val="00F503CD"/>
    <w:rsid w:val="00F50473"/>
    <w:rsid w:val="00F507AA"/>
    <w:rsid w:val="00F50948"/>
    <w:rsid w:val="00F50CA2"/>
    <w:rsid w:val="00F50CDA"/>
    <w:rsid w:val="00F50E55"/>
    <w:rsid w:val="00F51065"/>
    <w:rsid w:val="00F510DD"/>
    <w:rsid w:val="00F510FE"/>
    <w:rsid w:val="00F5118C"/>
    <w:rsid w:val="00F51447"/>
    <w:rsid w:val="00F514CE"/>
    <w:rsid w:val="00F51515"/>
    <w:rsid w:val="00F51568"/>
    <w:rsid w:val="00F515CF"/>
    <w:rsid w:val="00F519EE"/>
    <w:rsid w:val="00F51A85"/>
    <w:rsid w:val="00F51C45"/>
    <w:rsid w:val="00F51F25"/>
    <w:rsid w:val="00F51FA6"/>
    <w:rsid w:val="00F522B9"/>
    <w:rsid w:val="00F52302"/>
    <w:rsid w:val="00F523A1"/>
    <w:rsid w:val="00F52826"/>
    <w:rsid w:val="00F52831"/>
    <w:rsid w:val="00F529F5"/>
    <w:rsid w:val="00F52B04"/>
    <w:rsid w:val="00F52C5A"/>
    <w:rsid w:val="00F52DD4"/>
    <w:rsid w:val="00F52FB2"/>
    <w:rsid w:val="00F530D2"/>
    <w:rsid w:val="00F530E1"/>
    <w:rsid w:val="00F532D1"/>
    <w:rsid w:val="00F532E1"/>
    <w:rsid w:val="00F53342"/>
    <w:rsid w:val="00F533B5"/>
    <w:rsid w:val="00F5397F"/>
    <w:rsid w:val="00F539A7"/>
    <w:rsid w:val="00F539CC"/>
    <w:rsid w:val="00F539CE"/>
    <w:rsid w:val="00F53BA2"/>
    <w:rsid w:val="00F53CF6"/>
    <w:rsid w:val="00F5434B"/>
    <w:rsid w:val="00F5435A"/>
    <w:rsid w:val="00F544B1"/>
    <w:rsid w:val="00F5492E"/>
    <w:rsid w:val="00F54953"/>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F8E"/>
    <w:rsid w:val="00F560A1"/>
    <w:rsid w:val="00F56108"/>
    <w:rsid w:val="00F561D7"/>
    <w:rsid w:val="00F5634B"/>
    <w:rsid w:val="00F5635B"/>
    <w:rsid w:val="00F56395"/>
    <w:rsid w:val="00F564BB"/>
    <w:rsid w:val="00F56546"/>
    <w:rsid w:val="00F567E1"/>
    <w:rsid w:val="00F56877"/>
    <w:rsid w:val="00F56A19"/>
    <w:rsid w:val="00F56B79"/>
    <w:rsid w:val="00F56C2C"/>
    <w:rsid w:val="00F56C3D"/>
    <w:rsid w:val="00F56D1D"/>
    <w:rsid w:val="00F56F12"/>
    <w:rsid w:val="00F5708A"/>
    <w:rsid w:val="00F57094"/>
    <w:rsid w:val="00F5752C"/>
    <w:rsid w:val="00F57549"/>
    <w:rsid w:val="00F57900"/>
    <w:rsid w:val="00F5793D"/>
    <w:rsid w:val="00F5798E"/>
    <w:rsid w:val="00F57A58"/>
    <w:rsid w:val="00F57ADE"/>
    <w:rsid w:val="00F57D68"/>
    <w:rsid w:val="00F57E83"/>
    <w:rsid w:val="00F57F3E"/>
    <w:rsid w:val="00F6004D"/>
    <w:rsid w:val="00F6039B"/>
    <w:rsid w:val="00F604A6"/>
    <w:rsid w:val="00F60978"/>
    <w:rsid w:val="00F609F2"/>
    <w:rsid w:val="00F60AD7"/>
    <w:rsid w:val="00F60AE6"/>
    <w:rsid w:val="00F60C34"/>
    <w:rsid w:val="00F60EA8"/>
    <w:rsid w:val="00F61123"/>
    <w:rsid w:val="00F612D9"/>
    <w:rsid w:val="00F612DD"/>
    <w:rsid w:val="00F61378"/>
    <w:rsid w:val="00F614AA"/>
    <w:rsid w:val="00F614E2"/>
    <w:rsid w:val="00F6159C"/>
    <w:rsid w:val="00F6174D"/>
    <w:rsid w:val="00F61767"/>
    <w:rsid w:val="00F61899"/>
    <w:rsid w:val="00F618CC"/>
    <w:rsid w:val="00F619DB"/>
    <w:rsid w:val="00F61A30"/>
    <w:rsid w:val="00F61C18"/>
    <w:rsid w:val="00F61F6D"/>
    <w:rsid w:val="00F620BF"/>
    <w:rsid w:val="00F6223D"/>
    <w:rsid w:val="00F62A84"/>
    <w:rsid w:val="00F62DE7"/>
    <w:rsid w:val="00F63112"/>
    <w:rsid w:val="00F63270"/>
    <w:rsid w:val="00F633EB"/>
    <w:rsid w:val="00F633FD"/>
    <w:rsid w:val="00F63451"/>
    <w:rsid w:val="00F634BA"/>
    <w:rsid w:val="00F63657"/>
    <w:rsid w:val="00F6375E"/>
    <w:rsid w:val="00F637F6"/>
    <w:rsid w:val="00F638CB"/>
    <w:rsid w:val="00F639E0"/>
    <w:rsid w:val="00F63A5C"/>
    <w:rsid w:val="00F63AD8"/>
    <w:rsid w:val="00F63D2E"/>
    <w:rsid w:val="00F63E98"/>
    <w:rsid w:val="00F6452E"/>
    <w:rsid w:val="00F647C0"/>
    <w:rsid w:val="00F64BBE"/>
    <w:rsid w:val="00F64D4C"/>
    <w:rsid w:val="00F65120"/>
    <w:rsid w:val="00F65237"/>
    <w:rsid w:val="00F65497"/>
    <w:rsid w:val="00F6556F"/>
    <w:rsid w:val="00F655C7"/>
    <w:rsid w:val="00F65763"/>
    <w:rsid w:val="00F65830"/>
    <w:rsid w:val="00F65867"/>
    <w:rsid w:val="00F65996"/>
    <w:rsid w:val="00F65C63"/>
    <w:rsid w:val="00F65CD9"/>
    <w:rsid w:val="00F65CEE"/>
    <w:rsid w:val="00F65DA9"/>
    <w:rsid w:val="00F65FD7"/>
    <w:rsid w:val="00F66125"/>
    <w:rsid w:val="00F66550"/>
    <w:rsid w:val="00F66784"/>
    <w:rsid w:val="00F667A9"/>
    <w:rsid w:val="00F667B4"/>
    <w:rsid w:val="00F669A9"/>
    <w:rsid w:val="00F66A08"/>
    <w:rsid w:val="00F66CEF"/>
    <w:rsid w:val="00F67235"/>
    <w:rsid w:val="00F675BB"/>
    <w:rsid w:val="00F676FE"/>
    <w:rsid w:val="00F67C7C"/>
    <w:rsid w:val="00F67F67"/>
    <w:rsid w:val="00F700D0"/>
    <w:rsid w:val="00F70195"/>
    <w:rsid w:val="00F70255"/>
    <w:rsid w:val="00F70333"/>
    <w:rsid w:val="00F704A4"/>
    <w:rsid w:val="00F706B6"/>
    <w:rsid w:val="00F707E0"/>
    <w:rsid w:val="00F70853"/>
    <w:rsid w:val="00F709E6"/>
    <w:rsid w:val="00F70B1A"/>
    <w:rsid w:val="00F70CFA"/>
    <w:rsid w:val="00F70D0F"/>
    <w:rsid w:val="00F70DB2"/>
    <w:rsid w:val="00F70E00"/>
    <w:rsid w:val="00F70FD2"/>
    <w:rsid w:val="00F70FDF"/>
    <w:rsid w:val="00F70FE3"/>
    <w:rsid w:val="00F71069"/>
    <w:rsid w:val="00F710A9"/>
    <w:rsid w:val="00F711B2"/>
    <w:rsid w:val="00F711BA"/>
    <w:rsid w:val="00F712F2"/>
    <w:rsid w:val="00F71354"/>
    <w:rsid w:val="00F713A5"/>
    <w:rsid w:val="00F713DD"/>
    <w:rsid w:val="00F714AD"/>
    <w:rsid w:val="00F7180A"/>
    <w:rsid w:val="00F71CA5"/>
    <w:rsid w:val="00F71D6B"/>
    <w:rsid w:val="00F71FFD"/>
    <w:rsid w:val="00F72301"/>
    <w:rsid w:val="00F72343"/>
    <w:rsid w:val="00F723C5"/>
    <w:rsid w:val="00F72640"/>
    <w:rsid w:val="00F72A94"/>
    <w:rsid w:val="00F72F39"/>
    <w:rsid w:val="00F72F57"/>
    <w:rsid w:val="00F732E1"/>
    <w:rsid w:val="00F733F5"/>
    <w:rsid w:val="00F73526"/>
    <w:rsid w:val="00F737FA"/>
    <w:rsid w:val="00F738A6"/>
    <w:rsid w:val="00F738DB"/>
    <w:rsid w:val="00F73D62"/>
    <w:rsid w:val="00F7413A"/>
    <w:rsid w:val="00F741E3"/>
    <w:rsid w:val="00F74492"/>
    <w:rsid w:val="00F745A1"/>
    <w:rsid w:val="00F746C5"/>
    <w:rsid w:val="00F74756"/>
    <w:rsid w:val="00F74830"/>
    <w:rsid w:val="00F7485B"/>
    <w:rsid w:val="00F74992"/>
    <w:rsid w:val="00F74A3E"/>
    <w:rsid w:val="00F74B0D"/>
    <w:rsid w:val="00F74CAD"/>
    <w:rsid w:val="00F74D56"/>
    <w:rsid w:val="00F74E84"/>
    <w:rsid w:val="00F74F28"/>
    <w:rsid w:val="00F74FC0"/>
    <w:rsid w:val="00F74FE9"/>
    <w:rsid w:val="00F751E7"/>
    <w:rsid w:val="00F75439"/>
    <w:rsid w:val="00F75784"/>
    <w:rsid w:val="00F75883"/>
    <w:rsid w:val="00F759A1"/>
    <w:rsid w:val="00F75B0F"/>
    <w:rsid w:val="00F75B2A"/>
    <w:rsid w:val="00F75DAC"/>
    <w:rsid w:val="00F75F56"/>
    <w:rsid w:val="00F760EB"/>
    <w:rsid w:val="00F761B0"/>
    <w:rsid w:val="00F76232"/>
    <w:rsid w:val="00F7635B"/>
    <w:rsid w:val="00F7665F"/>
    <w:rsid w:val="00F766E4"/>
    <w:rsid w:val="00F767C6"/>
    <w:rsid w:val="00F76894"/>
    <w:rsid w:val="00F76C07"/>
    <w:rsid w:val="00F76C55"/>
    <w:rsid w:val="00F77080"/>
    <w:rsid w:val="00F77137"/>
    <w:rsid w:val="00F77228"/>
    <w:rsid w:val="00F77445"/>
    <w:rsid w:val="00F774D6"/>
    <w:rsid w:val="00F7770A"/>
    <w:rsid w:val="00F77864"/>
    <w:rsid w:val="00F778D2"/>
    <w:rsid w:val="00F778FF"/>
    <w:rsid w:val="00F77950"/>
    <w:rsid w:val="00F77AE9"/>
    <w:rsid w:val="00F77C40"/>
    <w:rsid w:val="00F77D55"/>
    <w:rsid w:val="00F77DF7"/>
    <w:rsid w:val="00F77F6D"/>
    <w:rsid w:val="00F80021"/>
    <w:rsid w:val="00F8004B"/>
    <w:rsid w:val="00F80561"/>
    <w:rsid w:val="00F808EA"/>
    <w:rsid w:val="00F80A8E"/>
    <w:rsid w:val="00F80B3B"/>
    <w:rsid w:val="00F80D92"/>
    <w:rsid w:val="00F80F36"/>
    <w:rsid w:val="00F80F77"/>
    <w:rsid w:val="00F80FC8"/>
    <w:rsid w:val="00F81037"/>
    <w:rsid w:val="00F811DF"/>
    <w:rsid w:val="00F813AB"/>
    <w:rsid w:val="00F814F7"/>
    <w:rsid w:val="00F81672"/>
    <w:rsid w:val="00F81CEC"/>
    <w:rsid w:val="00F81EB1"/>
    <w:rsid w:val="00F8212D"/>
    <w:rsid w:val="00F82209"/>
    <w:rsid w:val="00F824D9"/>
    <w:rsid w:val="00F82574"/>
    <w:rsid w:val="00F82629"/>
    <w:rsid w:val="00F82677"/>
    <w:rsid w:val="00F82764"/>
    <w:rsid w:val="00F827B4"/>
    <w:rsid w:val="00F82877"/>
    <w:rsid w:val="00F82A7E"/>
    <w:rsid w:val="00F82CA6"/>
    <w:rsid w:val="00F82EF4"/>
    <w:rsid w:val="00F82FE6"/>
    <w:rsid w:val="00F830AC"/>
    <w:rsid w:val="00F8328E"/>
    <w:rsid w:val="00F83420"/>
    <w:rsid w:val="00F836D2"/>
    <w:rsid w:val="00F83722"/>
    <w:rsid w:val="00F83A2B"/>
    <w:rsid w:val="00F83BA5"/>
    <w:rsid w:val="00F83C64"/>
    <w:rsid w:val="00F83F1B"/>
    <w:rsid w:val="00F84376"/>
    <w:rsid w:val="00F8473B"/>
    <w:rsid w:val="00F84A98"/>
    <w:rsid w:val="00F84CC8"/>
    <w:rsid w:val="00F84F39"/>
    <w:rsid w:val="00F84F53"/>
    <w:rsid w:val="00F851C3"/>
    <w:rsid w:val="00F85462"/>
    <w:rsid w:val="00F858B4"/>
    <w:rsid w:val="00F858EF"/>
    <w:rsid w:val="00F85A93"/>
    <w:rsid w:val="00F85B8F"/>
    <w:rsid w:val="00F85D60"/>
    <w:rsid w:val="00F85E75"/>
    <w:rsid w:val="00F85FA9"/>
    <w:rsid w:val="00F864DF"/>
    <w:rsid w:val="00F86983"/>
    <w:rsid w:val="00F86CBF"/>
    <w:rsid w:val="00F87013"/>
    <w:rsid w:val="00F8703F"/>
    <w:rsid w:val="00F87073"/>
    <w:rsid w:val="00F8720C"/>
    <w:rsid w:val="00F87257"/>
    <w:rsid w:val="00F87265"/>
    <w:rsid w:val="00F87453"/>
    <w:rsid w:val="00F876EE"/>
    <w:rsid w:val="00F87A69"/>
    <w:rsid w:val="00F900DB"/>
    <w:rsid w:val="00F901CE"/>
    <w:rsid w:val="00F903C7"/>
    <w:rsid w:val="00F90507"/>
    <w:rsid w:val="00F909AE"/>
    <w:rsid w:val="00F90AD2"/>
    <w:rsid w:val="00F90C67"/>
    <w:rsid w:val="00F90CF5"/>
    <w:rsid w:val="00F90D9B"/>
    <w:rsid w:val="00F91329"/>
    <w:rsid w:val="00F91374"/>
    <w:rsid w:val="00F91415"/>
    <w:rsid w:val="00F91681"/>
    <w:rsid w:val="00F916E9"/>
    <w:rsid w:val="00F91715"/>
    <w:rsid w:val="00F91A44"/>
    <w:rsid w:val="00F91A8C"/>
    <w:rsid w:val="00F91CE6"/>
    <w:rsid w:val="00F91E38"/>
    <w:rsid w:val="00F9204A"/>
    <w:rsid w:val="00F9215E"/>
    <w:rsid w:val="00F924E7"/>
    <w:rsid w:val="00F92637"/>
    <w:rsid w:val="00F92691"/>
    <w:rsid w:val="00F928A2"/>
    <w:rsid w:val="00F928F1"/>
    <w:rsid w:val="00F92B7C"/>
    <w:rsid w:val="00F9310B"/>
    <w:rsid w:val="00F93163"/>
    <w:rsid w:val="00F934AD"/>
    <w:rsid w:val="00F934F5"/>
    <w:rsid w:val="00F935C0"/>
    <w:rsid w:val="00F93726"/>
    <w:rsid w:val="00F93885"/>
    <w:rsid w:val="00F939D4"/>
    <w:rsid w:val="00F93B75"/>
    <w:rsid w:val="00F93BD6"/>
    <w:rsid w:val="00F9407F"/>
    <w:rsid w:val="00F942DF"/>
    <w:rsid w:val="00F94332"/>
    <w:rsid w:val="00F946C9"/>
    <w:rsid w:val="00F94712"/>
    <w:rsid w:val="00F94815"/>
    <w:rsid w:val="00F948E6"/>
    <w:rsid w:val="00F94905"/>
    <w:rsid w:val="00F94A48"/>
    <w:rsid w:val="00F94A53"/>
    <w:rsid w:val="00F94A7C"/>
    <w:rsid w:val="00F94EFF"/>
    <w:rsid w:val="00F95084"/>
    <w:rsid w:val="00F95086"/>
    <w:rsid w:val="00F95104"/>
    <w:rsid w:val="00F951FE"/>
    <w:rsid w:val="00F95363"/>
    <w:rsid w:val="00F95461"/>
    <w:rsid w:val="00F9563C"/>
    <w:rsid w:val="00F95644"/>
    <w:rsid w:val="00F9598C"/>
    <w:rsid w:val="00F95B62"/>
    <w:rsid w:val="00F95D28"/>
    <w:rsid w:val="00F965F9"/>
    <w:rsid w:val="00F9669D"/>
    <w:rsid w:val="00F9677E"/>
    <w:rsid w:val="00F9684B"/>
    <w:rsid w:val="00F96895"/>
    <w:rsid w:val="00F96C4B"/>
    <w:rsid w:val="00F96D52"/>
    <w:rsid w:val="00F96DB2"/>
    <w:rsid w:val="00F96EF6"/>
    <w:rsid w:val="00F970A1"/>
    <w:rsid w:val="00F970CF"/>
    <w:rsid w:val="00F97156"/>
    <w:rsid w:val="00F97329"/>
    <w:rsid w:val="00F9737A"/>
    <w:rsid w:val="00F97527"/>
    <w:rsid w:val="00F97A01"/>
    <w:rsid w:val="00F97B28"/>
    <w:rsid w:val="00F97BF7"/>
    <w:rsid w:val="00F97D7B"/>
    <w:rsid w:val="00F97E7D"/>
    <w:rsid w:val="00FA070C"/>
    <w:rsid w:val="00FA0AF5"/>
    <w:rsid w:val="00FA0D4E"/>
    <w:rsid w:val="00FA0E84"/>
    <w:rsid w:val="00FA1130"/>
    <w:rsid w:val="00FA113D"/>
    <w:rsid w:val="00FA116B"/>
    <w:rsid w:val="00FA1289"/>
    <w:rsid w:val="00FA14F0"/>
    <w:rsid w:val="00FA157E"/>
    <w:rsid w:val="00FA183C"/>
    <w:rsid w:val="00FA1A27"/>
    <w:rsid w:val="00FA1BA9"/>
    <w:rsid w:val="00FA1BC9"/>
    <w:rsid w:val="00FA1E02"/>
    <w:rsid w:val="00FA1F13"/>
    <w:rsid w:val="00FA1F22"/>
    <w:rsid w:val="00FA20B7"/>
    <w:rsid w:val="00FA227B"/>
    <w:rsid w:val="00FA2539"/>
    <w:rsid w:val="00FA2595"/>
    <w:rsid w:val="00FA2B40"/>
    <w:rsid w:val="00FA2EC4"/>
    <w:rsid w:val="00FA3077"/>
    <w:rsid w:val="00FA315F"/>
    <w:rsid w:val="00FA3165"/>
    <w:rsid w:val="00FA383D"/>
    <w:rsid w:val="00FA39F5"/>
    <w:rsid w:val="00FA3A4C"/>
    <w:rsid w:val="00FA3B80"/>
    <w:rsid w:val="00FA3C94"/>
    <w:rsid w:val="00FA3FAB"/>
    <w:rsid w:val="00FA4108"/>
    <w:rsid w:val="00FA41A1"/>
    <w:rsid w:val="00FA41D3"/>
    <w:rsid w:val="00FA4268"/>
    <w:rsid w:val="00FA4275"/>
    <w:rsid w:val="00FA42A6"/>
    <w:rsid w:val="00FA4A66"/>
    <w:rsid w:val="00FA51A1"/>
    <w:rsid w:val="00FA5360"/>
    <w:rsid w:val="00FA5630"/>
    <w:rsid w:val="00FA5743"/>
    <w:rsid w:val="00FA5863"/>
    <w:rsid w:val="00FA5BFF"/>
    <w:rsid w:val="00FA5D33"/>
    <w:rsid w:val="00FA6008"/>
    <w:rsid w:val="00FA60E1"/>
    <w:rsid w:val="00FA64A4"/>
    <w:rsid w:val="00FA64CB"/>
    <w:rsid w:val="00FA66CD"/>
    <w:rsid w:val="00FA68A8"/>
    <w:rsid w:val="00FA68CB"/>
    <w:rsid w:val="00FA6941"/>
    <w:rsid w:val="00FA6A25"/>
    <w:rsid w:val="00FA6C69"/>
    <w:rsid w:val="00FA6E35"/>
    <w:rsid w:val="00FA6F65"/>
    <w:rsid w:val="00FA6FA8"/>
    <w:rsid w:val="00FA7258"/>
    <w:rsid w:val="00FA7289"/>
    <w:rsid w:val="00FA72BF"/>
    <w:rsid w:val="00FA76E8"/>
    <w:rsid w:val="00FA76FD"/>
    <w:rsid w:val="00FA790A"/>
    <w:rsid w:val="00FA79C2"/>
    <w:rsid w:val="00FA7A21"/>
    <w:rsid w:val="00FA7A6A"/>
    <w:rsid w:val="00FA7A8B"/>
    <w:rsid w:val="00FA7C5A"/>
    <w:rsid w:val="00FA7C95"/>
    <w:rsid w:val="00FA7E25"/>
    <w:rsid w:val="00FA7F95"/>
    <w:rsid w:val="00FB004A"/>
    <w:rsid w:val="00FB0184"/>
    <w:rsid w:val="00FB0192"/>
    <w:rsid w:val="00FB01D1"/>
    <w:rsid w:val="00FB02B3"/>
    <w:rsid w:val="00FB03B6"/>
    <w:rsid w:val="00FB0460"/>
    <w:rsid w:val="00FB0555"/>
    <w:rsid w:val="00FB055F"/>
    <w:rsid w:val="00FB0739"/>
    <w:rsid w:val="00FB075E"/>
    <w:rsid w:val="00FB0D78"/>
    <w:rsid w:val="00FB0E87"/>
    <w:rsid w:val="00FB0EDA"/>
    <w:rsid w:val="00FB1163"/>
    <w:rsid w:val="00FB15AD"/>
    <w:rsid w:val="00FB1717"/>
    <w:rsid w:val="00FB186D"/>
    <w:rsid w:val="00FB199F"/>
    <w:rsid w:val="00FB19E1"/>
    <w:rsid w:val="00FB1A36"/>
    <w:rsid w:val="00FB1C2D"/>
    <w:rsid w:val="00FB1D06"/>
    <w:rsid w:val="00FB1FB1"/>
    <w:rsid w:val="00FB219E"/>
    <w:rsid w:val="00FB2246"/>
    <w:rsid w:val="00FB226D"/>
    <w:rsid w:val="00FB227A"/>
    <w:rsid w:val="00FB2283"/>
    <w:rsid w:val="00FB22A1"/>
    <w:rsid w:val="00FB284C"/>
    <w:rsid w:val="00FB285A"/>
    <w:rsid w:val="00FB2A49"/>
    <w:rsid w:val="00FB2B64"/>
    <w:rsid w:val="00FB2BD7"/>
    <w:rsid w:val="00FB2EA5"/>
    <w:rsid w:val="00FB2EBD"/>
    <w:rsid w:val="00FB2EC1"/>
    <w:rsid w:val="00FB301E"/>
    <w:rsid w:val="00FB3174"/>
    <w:rsid w:val="00FB319B"/>
    <w:rsid w:val="00FB3532"/>
    <w:rsid w:val="00FB3664"/>
    <w:rsid w:val="00FB38F4"/>
    <w:rsid w:val="00FB3913"/>
    <w:rsid w:val="00FB3A74"/>
    <w:rsid w:val="00FB3B31"/>
    <w:rsid w:val="00FB3DF6"/>
    <w:rsid w:val="00FB4082"/>
    <w:rsid w:val="00FB42C5"/>
    <w:rsid w:val="00FB42CF"/>
    <w:rsid w:val="00FB4346"/>
    <w:rsid w:val="00FB4353"/>
    <w:rsid w:val="00FB437A"/>
    <w:rsid w:val="00FB43E3"/>
    <w:rsid w:val="00FB49C5"/>
    <w:rsid w:val="00FB4C88"/>
    <w:rsid w:val="00FB4CC8"/>
    <w:rsid w:val="00FB4D4F"/>
    <w:rsid w:val="00FB5080"/>
    <w:rsid w:val="00FB5152"/>
    <w:rsid w:val="00FB54EA"/>
    <w:rsid w:val="00FB5707"/>
    <w:rsid w:val="00FB57B1"/>
    <w:rsid w:val="00FB5C0D"/>
    <w:rsid w:val="00FB5F73"/>
    <w:rsid w:val="00FB61A8"/>
    <w:rsid w:val="00FB6258"/>
    <w:rsid w:val="00FB675D"/>
    <w:rsid w:val="00FB6768"/>
    <w:rsid w:val="00FB6AAE"/>
    <w:rsid w:val="00FB6BD7"/>
    <w:rsid w:val="00FB6F23"/>
    <w:rsid w:val="00FB7063"/>
    <w:rsid w:val="00FB7175"/>
    <w:rsid w:val="00FB717D"/>
    <w:rsid w:val="00FB72B6"/>
    <w:rsid w:val="00FB73A3"/>
    <w:rsid w:val="00FB73E5"/>
    <w:rsid w:val="00FB771F"/>
    <w:rsid w:val="00FB78A7"/>
    <w:rsid w:val="00FB7A26"/>
    <w:rsid w:val="00FB7A39"/>
    <w:rsid w:val="00FB7A3C"/>
    <w:rsid w:val="00FB7A9D"/>
    <w:rsid w:val="00FB7AEF"/>
    <w:rsid w:val="00FB7B1A"/>
    <w:rsid w:val="00FB7B75"/>
    <w:rsid w:val="00FB7C4C"/>
    <w:rsid w:val="00FB7DBE"/>
    <w:rsid w:val="00FB7EE5"/>
    <w:rsid w:val="00FB7F50"/>
    <w:rsid w:val="00FC015F"/>
    <w:rsid w:val="00FC01AA"/>
    <w:rsid w:val="00FC0261"/>
    <w:rsid w:val="00FC04C4"/>
    <w:rsid w:val="00FC0537"/>
    <w:rsid w:val="00FC0625"/>
    <w:rsid w:val="00FC0680"/>
    <w:rsid w:val="00FC0761"/>
    <w:rsid w:val="00FC0920"/>
    <w:rsid w:val="00FC09C1"/>
    <w:rsid w:val="00FC0ADB"/>
    <w:rsid w:val="00FC0B6E"/>
    <w:rsid w:val="00FC0E46"/>
    <w:rsid w:val="00FC0F2A"/>
    <w:rsid w:val="00FC0F46"/>
    <w:rsid w:val="00FC1465"/>
    <w:rsid w:val="00FC1496"/>
    <w:rsid w:val="00FC155B"/>
    <w:rsid w:val="00FC1830"/>
    <w:rsid w:val="00FC1874"/>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E1D"/>
    <w:rsid w:val="00FC2E7B"/>
    <w:rsid w:val="00FC3103"/>
    <w:rsid w:val="00FC332B"/>
    <w:rsid w:val="00FC33AC"/>
    <w:rsid w:val="00FC36B0"/>
    <w:rsid w:val="00FC379B"/>
    <w:rsid w:val="00FC38C2"/>
    <w:rsid w:val="00FC38DA"/>
    <w:rsid w:val="00FC3B02"/>
    <w:rsid w:val="00FC416D"/>
    <w:rsid w:val="00FC416F"/>
    <w:rsid w:val="00FC432F"/>
    <w:rsid w:val="00FC4668"/>
    <w:rsid w:val="00FC4A9C"/>
    <w:rsid w:val="00FC4B69"/>
    <w:rsid w:val="00FC4B9D"/>
    <w:rsid w:val="00FC4C79"/>
    <w:rsid w:val="00FC4DCC"/>
    <w:rsid w:val="00FC4F1C"/>
    <w:rsid w:val="00FC5025"/>
    <w:rsid w:val="00FC5179"/>
    <w:rsid w:val="00FC5500"/>
    <w:rsid w:val="00FC5601"/>
    <w:rsid w:val="00FC5828"/>
    <w:rsid w:val="00FC5929"/>
    <w:rsid w:val="00FC5937"/>
    <w:rsid w:val="00FC5942"/>
    <w:rsid w:val="00FC59A9"/>
    <w:rsid w:val="00FC5A30"/>
    <w:rsid w:val="00FC5D39"/>
    <w:rsid w:val="00FC5EBE"/>
    <w:rsid w:val="00FC5F89"/>
    <w:rsid w:val="00FC5F96"/>
    <w:rsid w:val="00FC637B"/>
    <w:rsid w:val="00FC64C5"/>
    <w:rsid w:val="00FC655E"/>
    <w:rsid w:val="00FC671F"/>
    <w:rsid w:val="00FC678E"/>
    <w:rsid w:val="00FC6FA0"/>
    <w:rsid w:val="00FC6FF0"/>
    <w:rsid w:val="00FC7170"/>
    <w:rsid w:val="00FC739D"/>
    <w:rsid w:val="00FC73BE"/>
    <w:rsid w:val="00FC77D3"/>
    <w:rsid w:val="00FC78E8"/>
    <w:rsid w:val="00FC7952"/>
    <w:rsid w:val="00FC7C89"/>
    <w:rsid w:val="00FC7F35"/>
    <w:rsid w:val="00FC7F94"/>
    <w:rsid w:val="00FD02C0"/>
    <w:rsid w:val="00FD048A"/>
    <w:rsid w:val="00FD05D3"/>
    <w:rsid w:val="00FD06D6"/>
    <w:rsid w:val="00FD0BE7"/>
    <w:rsid w:val="00FD0CF8"/>
    <w:rsid w:val="00FD0E1C"/>
    <w:rsid w:val="00FD10C3"/>
    <w:rsid w:val="00FD13BA"/>
    <w:rsid w:val="00FD147E"/>
    <w:rsid w:val="00FD14AC"/>
    <w:rsid w:val="00FD15ED"/>
    <w:rsid w:val="00FD1739"/>
    <w:rsid w:val="00FD179C"/>
    <w:rsid w:val="00FD197D"/>
    <w:rsid w:val="00FD1AB2"/>
    <w:rsid w:val="00FD1B48"/>
    <w:rsid w:val="00FD1BB5"/>
    <w:rsid w:val="00FD2170"/>
    <w:rsid w:val="00FD21BD"/>
    <w:rsid w:val="00FD2285"/>
    <w:rsid w:val="00FD22EE"/>
    <w:rsid w:val="00FD24BB"/>
    <w:rsid w:val="00FD299C"/>
    <w:rsid w:val="00FD2A0C"/>
    <w:rsid w:val="00FD2A56"/>
    <w:rsid w:val="00FD2C4A"/>
    <w:rsid w:val="00FD2CB0"/>
    <w:rsid w:val="00FD2CBD"/>
    <w:rsid w:val="00FD2E68"/>
    <w:rsid w:val="00FD3186"/>
    <w:rsid w:val="00FD318A"/>
    <w:rsid w:val="00FD31B9"/>
    <w:rsid w:val="00FD3388"/>
    <w:rsid w:val="00FD3419"/>
    <w:rsid w:val="00FD360B"/>
    <w:rsid w:val="00FD3678"/>
    <w:rsid w:val="00FD371D"/>
    <w:rsid w:val="00FD3A39"/>
    <w:rsid w:val="00FD3ABF"/>
    <w:rsid w:val="00FD3C75"/>
    <w:rsid w:val="00FD3C87"/>
    <w:rsid w:val="00FD41F8"/>
    <w:rsid w:val="00FD443A"/>
    <w:rsid w:val="00FD46F8"/>
    <w:rsid w:val="00FD47B0"/>
    <w:rsid w:val="00FD49C1"/>
    <w:rsid w:val="00FD4A59"/>
    <w:rsid w:val="00FD4B6E"/>
    <w:rsid w:val="00FD4C91"/>
    <w:rsid w:val="00FD4CBA"/>
    <w:rsid w:val="00FD4D7E"/>
    <w:rsid w:val="00FD5038"/>
    <w:rsid w:val="00FD5259"/>
    <w:rsid w:val="00FD5443"/>
    <w:rsid w:val="00FD56AE"/>
    <w:rsid w:val="00FD575E"/>
    <w:rsid w:val="00FD57CB"/>
    <w:rsid w:val="00FD5828"/>
    <w:rsid w:val="00FD584A"/>
    <w:rsid w:val="00FD5A9E"/>
    <w:rsid w:val="00FD5BD2"/>
    <w:rsid w:val="00FD5FB3"/>
    <w:rsid w:val="00FD60B3"/>
    <w:rsid w:val="00FD61D8"/>
    <w:rsid w:val="00FD6318"/>
    <w:rsid w:val="00FD6333"/>
    <w:rsid w:val="00FD63CF"/>
    <w:rsid w:val="00FD64F6"/>
    <w:rsid w:val="00FD657E"/>
    <w:rsid w:val="00FD6636"/>
    <w:rsid w:val="00FD6961"/>
    <w:rsid w:val="00FD6A91"/>
    <w:rsid w:val="00FD6A97"/>
    <w:rsid w:val="00FD6CF2"/>
    <w:rsid w:val="00FD6E71"/>
    <w:rsid w:val="00FD6F24"/>
    <w:rsid w:val="00FD6F6E"/>
    <w:rsid w:val="00FD6F94"/>
    <w:rsid w:val="00FD71AB"/>
    <w:rsid w:val="00FD72BD"/>
    <w:rsid w:val="00FD74F3"/>
    <w:rsid w:val="00FD7675"/>
    <w:rsid w:val="00FD7864"/>
    <w:rsid w:val="00FD78AE"/>
    <w:rsid w:val="00FD79CB"/>
    <w:rsid w:val="00FD7B8A"/>
    <w:rsid w:val="00FD7BF0"/>
    <w:rsid w:val="00FD7FCE"/>
    <w:rsid w:val="00FE02D1"/>
    <w:rsid w:val="00FE032D"/>
    <w:rsid w:val="00FE04C0"/>
    <w:rsid w:val="00FE05F1"/>
    <w:rsid w:val="00FE0600"/>
    <w:rsid w:val="00FE0790"/>
    <w:rsid w:val="00FE096C"/>
    <w:rsid w:val="00FE09C3"/>
    <w:rsid w:val="00FE09C8"/>
    <w:rsid w:val="00FE09FD"/>
    <w:rsid w:val="00FE0D9A"/>
    <w:rsid w:val="00FE1164"/>
    <w:rsid w:val="00FE1187"/>
    <w:rsid w:val="00FE15E2"/>
    <w:rsid w:val="00FE1672"/>
    <w:rsid w:val="00FE16D4"/>
    <w:rsid w:val="00FE1857"/>
    <w:rsid w:val="00FE18AA"/>
    <w:rsid w:val="00FE1DD8"/>
    <w:rsid w:val="00FE2087"/>
    <w:rsid w:val="00FE208E"/>
    <w:rsid w:val="00FE214B"/>
    <w:rsid w:val="00FE22F3"/>
    <w:rsid w:val="00FE2311"/>
    <w:rsid w:val="00FE23C6"/>
    <w:rsid w:val="00FE2487"/>
    <w:rsid w:val="00FE253A"/>
    <w:rsid w:val="00FE2B24"/>
    <w:rsid w:val="00FE2B91"/>
    <w:rsid w:val="00FE2D64"/>
    <w:rsid w:val="00FE2FD8"/>
    <w:rsid w:val="00FE311B"/>
    <w:rsid w:val="00FE340F"/>
    <w:rsid w:val="00FE34BF"/>
    <w:rsid w:val="00FE3643"/>
    <w:rsid w:val="00FE3786"/>
    <w:rsid w:val="00FE3815"/>
    <w:rsid w:val="00FE3919"/>
    <w:rsid w:val="00FE3A25"/>
    <w:rsid w:val="00FE3A37"/>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505D"/>
    <w:rsid w:val="00FE54B8"/>
    <w:rsid w:val="00FE54FD"/>
    <w:rsid w:val="00FE550D"/>
    <w:rsid w:val="00FE5784"/>
    <w:rsid w:val="00FE5832"/>
    <w:rsid w:val="00FE5910"/>
    <w:rsid w:val="00FE5AF5"/>
    <w:rsid w:val="00FE5B82"/>
    <w:rsid w:val="00FE5D8E"/>
    <w:rsid w:val="00FE5F17"/>
    <w:rsid w:val="00FE6018"/>
    <w:rsid w:val="00FE6199"/>
    <w:rsid w:val="00FE6283"/>
    <w:rsid w:val="00FE62F2"/>
    <w:rsid w:val="00FE62FC"/>
    <w:rsid w:val="00FE6311"/>
    <w:rsid w:val="00FE652B"/>
    <w:rsid w:val="00FE6999"/>
    <w:rsid w:val="00FE6A25"/>
    <w:rsid w:val="00FE6AEB"/>
    <w:rsid w:val="00FE6B78"/>
    <w:rsid w:val="00FE6C37"/>
    <w:rsid w:val="00FE6EE2"/>
    <w:rsid w:val="00FE7058"/>
    <w:rsid w:val="00FE715C"/>
    <w:rsid w:val="00FE726F"/>
    <w:rsid w:val="00FE753C"/>
    <w:rsid w:val="00FE75DF"/>
    <w:rsid w:val="00FE764E"/>
    <w:rsid w:val="00FE799D"/>
    <w:rsid w:val="00FE7B23"/>
    <w:rsid w:val="00FE7C2B"/>
    <w:rsid w:val="00FE7ECD"/>
    <w:rsid w:val="00FF0050"/>
    <w:rsid w:val="00FF0350"/>
    <w:rsid w:val="00FF04E0"/>
    <w:rsid w:val="00FF04ED"/>
    <w:rsid w:val="00FF0731"/>
    <w:rsid w:val="00FF0DE8"/>
    <w:rsid w:val="00FF10C6"/>
    <w:rsid w:val="00FF1574"/>
    <w:rsid w:val="00FF1953"/>
    <w:rsid w:val="00FF19B0"/>
    <w:rsid w:val="00FF1A28"/>
    <w:rsid w:val="00FF1BB7"/>
    <w:rsid w:val="00FF1C1F"/>
    <w:rsid w:val="00FF1E30"/>
    <w:rsid w:val="00FF2100"/>
    <w:rsid w:val="00FF2804"/>
    <w:rsid w:val="00FF2C74"/>
    <w:rsid w:val="00FF2FA3"/>
    <w:rsid w:val="00FF2FBA"/>
    <w:rsid w:val="00FF30FB"/>
    <w:rsid w:val="00FF331D"/>
    <w:rsid w:val="00FF351B"/>
    <w:rsid w:val="00FF3535"/>
    <w:rsid w:val="00FF3803"/>
    <w:rsid w:val="00FF3834"/>
    <w:rsid w:val="00FF3843"/>
    <w:rsid w:val="00FF390B"/>
    <w:rsid w:val="00FF3A4D"/>
    <w:rsid w:val="00FF3AAA"/>
    <w:rsid w:val="00FF3EC9"/>
    <w:rsid w:val="00FF3F59"/>
    <w:rsid w:val="00FF413F"/>
    <w:rsid w:val="00FF43C8"/>
    <w:rsid w:val="00FF49C5"/>
    <w:rsid w:val="00FF4D0D"/>
    <w:rsid w:val="00FF4D28"/>
    <w:rsid w:val="00FF4F07"/>
    <w:rsid w:val="00FF4FFD"/>
    <w:rsid w:val="00FF5202"/>
    <w:rsid w:val="00FF55C8"/>
    <w:rsid w:val="00FF55E8"/>
    <w:rsid w:val="00FF5939"/>
    <w:rsid w:val="00FF5A32"/>
    <w:rsid w:val="00FF5A3A"/>
    <w:rsid w:val="00FF5ADA"/>
    <w:rsid w:val="00FF5EAD"/>
    <w:rsid w:val="00FF5F46"/>
    <w:rsid w:val="00FF6115"/>
    <w:rsid w:val="00FF6409"/>
    <w:rsid w:val="00FF6529"/>
    <w:rsid w:val="00FF653F"/>
    <w:rsid w:val="00FF656A"/>
    <w:rsid w:val="00FF656B"/>
    <w:rsid w:val="00FF6672"/>
    <w:rsid w:val="00FF6773"/>
    <w:rsid w:val="00FF69D0"/>
    <w:rsid w:val="00FF6B67"/>
    <w:rsid w:val="00FF6C04"/>
    <w:rsid w:val="00FF6D08"/>
    <w:rsid w:val="00FF7081"/>
    <w:rsid w:val="00FF7578"/>
    <w:rsid w:val="00FF77B1"/>
    <w:rsid w:val="00FF7828"/>
    <w:rsid w:val="00FF7856"/>
    <w:rsid w:val="00FF7915"/>
    <w:rsid w:val="00FF7C86"/>
    <w:rsid w:val="00FF7C90"/>
    <w:rsid w:val="00FF7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qFormat="1"/>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Block Text" w:qFormat="1"/>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757404"/>
    <w:pPr>
      <w:spacing w:after="240" w:line="260" w:lineRule="atLeast"/>
    </w:pPr>
  </w:style>
  <w:style w:type="paragraph" w:styleId="Heading1">
    <w:name w:val="heading 1"/>
    <w:basedOn w:val="Normal"/>
    <w:next w:val="Normal"/>
    <w:link w:val="Heading1Char1"/>
    <w:qFormat/>
    <w:rsid w:val="00D47D02"/>
    <w:pPr>
      <w:keepNext/>
      <w:keepLines/>
      <w:pageBreakBefore/>
      <w:numPr>
        <w:numId w:val="288"/>
      </w:numPr>
      <w:outlineLvl w:val="0"/>
    </w:pPr>
    <w:rPr>
      <w:rFonts w:ascii="Calibri" w:eastAsiaTheme="majorEastAsia" w:hAnsi="Calibri" w:cstheme="majorBidi"/>
      <w:b/>
      <w:bCs/>
      <w:color w:val="0070C0"/>
      <w:sz w:val="36"/>
      <w:szCs w:val="28"/>
    </w:rPr>
  </w:style>
  <w:style w:type="paragraph" w:styleId="Heading2">
    <w:name w:val="heading 2"/>
    <w:basedOn w:val="Normal"/>
    <w:next w:val="Normal"/>
    <w:link w:val="Heading2Char"/>
    <w:autoRedefine/>
    <w:qFormat/>
    <w:rsid w:val="005E14EF"/>
    <w:pPr>
      <w:keepNext/>
      <w:keepLines/>
      <w:numPr>
        <w:ilvl w:val="1"/>
        <w:numId w:val="288"/>
      </w:numPr>
      <w:pBdr>
        <w:bottom w:val="single" w:sz="2" w:space="1" w:color="auto"/>
      </w:pBdr>
      <w:spacing w:before="240" w:after="120"/>
      <w:outlineLvl w:val="1"/>
    </w:pPr>
    <w:rPr>
      <w:rFonts w:asciiTheme="minorHAnsi" w:eastAsia="Times New Roman" w:hAnsiTheme="minorHAnsi"/>
      <w:b/>
      <w:color w:val="000000" w:themeColor="text1"/>
      <w:sz w:val="24"/>
      <w:szCs w:val="28"/>
    </w:rPr>
  </w:style>
  <w:style w:type="paragraph" w:styleId="Heading3">
    <w:name w:val="heading 3"/>
    <w:basedOn w:val="Normal"/>
    <w:next w:val="Normal"/>
    <w:link w:val="Heading3Char1"/>
    <w:unhideWhenUsed/>
    <w:qFormat/>
    <w:rsid w:val="00133C75"/>
    <w:pPr>
      <w:keepNext/>
      <w:keepLines/>
      <w:numPr>
        <w:ilvl w:val="2"/>
        <w:numId w:val="288"/>
      </w:numPr>
      <w:spacing w:after="120"/>
      <w:ind w:left="0"/>
      <w:outlineLvl w:val="2"/>
    </w:pPr>
    <w:rPr>
      <w:rFonts w:ascii="Calibri" w:eastAsiaTheme="majorEastAsia" w:hAnsi="Calibri" w:cstheme="majorBidi"/>
      <w:b/>
      <w:bCs/>
    </w:rPr>
  </w:style>
  <w:style w:type="paragraph" w:styleId="Heading4">
    <w:name w:val="heading 4"/>
    <w:basedOn w:val="Normal"/>
    <w:next w:val="Normal"/>
    <w:link w:val="Heading4Char1"/>
    <w:unhideWhenUsed/>
    <w:qFormat/>
    <w:rsid w:val="0033415D"/>
    <w:pPr>
      <w:keepNext/>
      <w:keepLines/>
      <w:numPr>
        <w:ilvl w:val="3"/>
        <w:numId w:val="288"/>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spacing w:before="200"/>
      <w:outlineLvl w:val="5"/>
    </w:pPr>
    <w:rPr>
      <w:rFonts w:eastAsiaTheme="majorEastAsia" w:cstheme="majorBidi"/>
      <w:i/>
      <w:iCs/>
      <w:color w:val="904807" w:themeColor="accent1" w:themeShade="7F"/>
    </w:rPr>
  </w:style>
  <w:style w:type="paragraph" w:styleId="Heading7">
    <w:name w:val="heading 7"/>
    <w:basedOn w:val="Normal"/>
    <w:next w:val="Normal"/>
    <w:link w:val="Heading7Char"/>
    <w:autoRedefine/>
    <w:unhideWhenUsed/>
    <w:qFormat/>
    <w:rsid w:val="00AC69C3"/>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autoRedefine/>
    <w:unhideWhenUsed/>
    <w:qFormat/>
    <w:rsid w:val="00AC69C3"/>
    <w:pPr>
      <w:keepNext/>
      <w:keepLines/>
      <w:spacing w:before="200"/>
      <w:outlineLvl w:val="7"/>
    </w:pPr>
    <w:rPr>
      <w:rFonts w:eastAsiaTheme="majorEastAsia" w:cstheme="majorBidi"/>
      <w:color w:val="404040" w:themeColor="text1" w:themeTint="BF"/>
    </w:rPr>
  </w:style>
  <w:style w:type="paragraph" w:styleId="Heading9">
    <w:name w:val="heading 9"/>
    <w:basedOn w:val="Normal"/>
    <w:next w:val="Normal"/>
    <w:link w:val="Heading9Char"/>
    <w:autoRedefine/>
    <w:unhideWhenUsed/>
    <w:qFormat/>
    <w:rsid w:val="00AC69C3"/>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1479D" w:themeColor="text2"/>
      <w:sz w:val="32"/>
      <w:szCs w:val="36"/>
    </w:rPr>
  </w:style>
  <w:style w:type="character" w:customStyle="1" w:styleId="Heading2Char">
    <w:name w:val="Heading 2 Char"/>
    <w:basedOn w:val="DefaultParagraphFont"/>
    <w:link w:val="Heading2"/>
    <w:rsid w:val="005E14EF"/>
    <w:rPr>
      <w:rFonts w:asciiTheme="minorHAnsi" w:eastAsia="Times New Roman" w:hAnsiTheme="minorHAnsi"/>
      <w:b/>
      <w:color w:val="000000" w:themeColor="text1"/>
      <w:sz w:val="24"/>
      <w:szCs w:val="28"/>
    </w:rPr>
  </w:style>
  <w:style w:type="character" w:customStyle="1" w:styleId="Heading3Char">
    <w:name w:val="Heading 3 Char"/>
    <w:basedOn w:val="DefaultParagraphFont"/>
    <w:rsid w:val="00E70B45"/>
    <w:rPr>
      <w:rFonts w:cs="Arial"/>
      <w:b/>
      <w:color w:val="000000" w:themeColor="text1"/>
      <w:sz w:val="20"/>
      <w:szCs w:val="20"/>
    </w:rPr>
  </w:style>
  <w:style w:type="character" w:customStyle="1" w:styleId="Heading4Char">
    <w:name w:val="Heading 4 Char"/>
    <w:basedOn w:val="DefaultParagraphFont"/>
    <w:rsid w:val="00473FBA"/>
    <w:rPr>
      <w:rFonts w:ascii="Calibri" w:hAnsi="Calibri"/>
      <w:i/>
      <w:iCs/>
      <w:color w:val="000000"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808080" w:themeColor="text1" w:themeTint="7F"/>
    </w:rPr>
  </w:style>
  <w:style w:type="character" w:customStyle="1" w:styleId="Heading5Char">
    <w:name w:val="Heading 5 Char"/>
    <w:basedOn w:val="DefaultParagraphFont"/>
    <w:link w:val="Heading5"/>
    <w:rsid w:val="00AC69C3"/>
    <w:rPr>
      <w:rFonts w:ascii="Times New Roman" w:eastAsiaTheme="majorEastAsia" w:hAnsi="Times New Roman" w:cstheme="majorBidi"/>
      <w:sz w:val="20"/>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7F7F7F"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E7251A" w:themeColor="accent2"/>
      <w:spacing w:val="5"/>
      <w:u w:val="single"/>
    </w:rPr>
  </w:style>
  <w:style w:type="character" w:styleId="SubtleReference">
    <w:name w:val="Subtle Reference"/>
    <w:basedOn w:val="DefaultParagraphFont"/>
    <w:uiPriority w:val="31"/>
    <w:qFormat/>
    <w:rsid w:val="00AC69C3"/>
    <w:rPr>
      <w:rFonts w:ascii="Arial" w:hAnsi="Arial"/>
      <w:smallCaps/>
      <w:color w:val="E7251A" w:themeColor="accent2"/>
      <w:u w:val="single"/>
    </w:rPr>
  </w:style>
  <w:style w:type="paragraph" w:styleId="Quote">
    <w:name w:val="Quote"/>
    <w:basedOn w:val="Normal"/>
    <w:next w:val="Normal"/>
    <w:link w:val="QuoteChar"/>
    <w:autoRedefine/>
    <w:uiPriority w:val="29"/>
    <w:qFormat/>
    <w:rsid w:val="00AC69C3"/>
    <w:rPr>
      <w:i/>
      <w:iCs/>
      <w:color w:val="000000" w:themeColor="text1"/>
    </w:rPr>
  </w:style>
  <w:style w:type="character" w:customStyle="1" w:styleId="QuoteChar">
    <w:name w:val="Quote Char"/>
    <w:basedOn w:val="DefaultParagraphFont"/>
    <w:link w:val="Quote"/>
    <w:uiPriority w:val="29"/>
    <w:rsid w:val="00AC69C3"/>
    <w:rPr>
      <w:rFonts w:ascii="Times New Roman" w:hAnsi="Times New Roman"/>
      <w:i/>
      <w:iCs/>
      <w:color w:val="000000"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line="260" w:lineRule="atLeast"/>
    </w:pPr>
    <w:rPr>
      <w:rFonts w:asciiTheme="majorHAnsi" w:hAnsiTheme="majorHAnsi"/>
    </w:rPr>
  </w:style>
  <w:style w:type="character" w:customStyle="1" w:styleId="Heading6Char">
    <w:name w:val="Heading 6 Char"/>
    <w:basedOn w:val="DefaultParagraphFont"/>
    <w:link w:val="Heading6"/>
    <w:rsid w:val="00AC69C3"/>
    <w:rPr>
      <w:rFonts w:ascii="Times New Roman" w:eastAsiaTheme="majorEastAsia" w:hAnsi="Times New Roman" w:cstheme="majorBidi"/>
      <w:i/>
      <w:iCs/>
      <w:color w:val="904807" w:themeColor="accent1" w:themeShade="7F"/>
      <w:sz w:val="20"/>
    </w:rPr>
  </w:style>
  <w:style w:type="character" w:customStyle="1" w:styleId="Heading7Char">
    <w:name w:val="Heading 7 Char"/>
    <w:basedOn w:val="DefaultParagraphFont"/>
    <w:link w:val="Heading7"/>
    <w:rsid w:val="00AC69C3"/>
    <w:rPr>
      <w:rFonts w:ascii="Times New Roman" w:eastAsiaTheme="majorEastAsia" w:hAnsi="Times New Roman" w:cstheme="majorBidi"/>
      <w:i/>
      <w:iCs/>
      <w:color w:val="404040" w:themeColor="text1" w:themeTint="BF"/>
      <w:sz w:val="20"/>
    </w:rPr>
  </w:style>
  <w:style w:type="character" w:customStyle="1" w:styleId="Heading8Char">
    <w:name w:val="Heading 8 Char"/>
    <w:basedOn w:val="DefaultParagraphFont"/>
    <w:link w:val="Heading8"/>
    <w:rsid w:val="00AC69C3"/>
    <w:rPr>
      <w:rFonts w:ascii="Times New Roman" w:eastAsiaTheme="majorEastAsia" w:hAnsi="Times New Roman" w:cstheme="majorBidi"/>
      <w:color w:val="404040" w:themeColor="text1" w:themeTint="BF"/>
      <w:sz w:val="20"/>
      <w:szCs w:val="20"/>
    </w:rPr>
  </w:style>
  <w:style w:type="character" w:customStyle="1" w:styleId="Heading9Char">
    <w:name w:val="Heading 9 Char"/>
    <w:basedOn w:val="DefaultParagraphFont"/>
    <w:link w:val="Heading9"/>
    <w:rsid w:val="00AC69C3"/>
    <w:rPr>
      <w:rFonts w:ascii="Times New Roman" w:eastAsiaTheme="majorEastAsia" w:hAnsi="Times New Roman" w:cstheme="majorBidi"/>
      <w:i/>
      <w:iCs/>
      <w:color w:val="404040" w:themeColor="text1" w:themeTint="BF"/>
      <w:sz w:val="20"/>
      <w:szCs w:val="20"/>
    </w:rPr>
  </w:style>
  <w:style w:type="paragraph" w:styleId="Caption">
    <w:name w:val="caption"/>
    <w:basedOn w:val="Normal"/>
    <w:next w:val="Normal"/>
    <w:link w:val="CaptionChar"/>
    <w:unhideWhenUsed/>
    <w:qFormat/>
    <w:rsid w:val="00EC212C"/>
    <w:pPr>
      <w:keepNext/>
      <w:keepLines/>
      <w:spacing w:after="120" w:line="240" w:lineRule="auto"/>
      <w:ind w:left="547" w:right="547"/>
      <w:jc w:val="center"/>
    </w:pPr>
    <w:rPr>
      <w:rFonts w:ascii="Calibri" w:hAnsi="Calibri"/>
      <w:b/>
      <w:bCs/>
      <w:szCs w:val="18"/>
    </w:rPr>
  </w:style>
  <w:style w:type="paragraph" w:styleId="Bibliography">
    <w:name w:val="Bibliography"/>
    <w:basedOn w:val="Normal"/>
    <w:next w:val="Normal"/>
    <w:autoRedefine/>
    <w:uiPriority w:val="37"/>
    <w:semiHidden/>
    <w:unhideWhenUsed/>
    <w:qFormat/>
    <w:rsid w:val="00AC69C3"/>
  </w:style>
  <w:style w:type="paragraph" w:styleId="TOC1">
    <w:name w:val="toc 1"/>
    <w:basedOn w:val="Normal"/>
    <w:next w:val="Normal"/>
    <w:autoRedefine/>
    <w:uiPriority w:val="39"/>
    <w:unhideWhenUsed/>
    <w:qFormat/>
    <w:rsid w:val="004C593E"/>
    <w:pPr>
      <w:tabs>
        <w:tab w:val="right" w:leader="dot" w:pos="9360"/>
      </w:tabs>
      <w:spacing w:after="80" w:line="240" w:lineRule="auto"/>
    </w:pPr>
    <w:rPr>
      <w:rFonts w:asciiTheme="minorHAnsi" w:eastAsia="Calibri" w:hAnsiTheme="minorHAnsi" w:cs="Arial"/>
      <w:b/>
      <w:noProof/>
    </w:rPr>
  </w:style>
  <w:style w:type="paragraph" w:styleId="TOC2">
    <w:name w:val="toc 2"/>
    <w:basedOn w:val="Normal"/>
    <w:next w:val="Normal"/>
    <w:autoRedefine/>
    <w:uiPriority w:val="39"/>
    <w:unhideWhenUsed/>
    <w:qFormat/>
    <w:rsid w:val="003C51B7"/>
    <w:pPr>
      <w:tabs>
        <w:tab w:val="right" w:leader="dot" w:pos="9360"/>
      </w:tabs>
      <w:spacing w:after="80"/>
    </w:pPr>
    <w:rPr>
      <w:rFonts w:ascii="Calibri" w:eastAsiaTheme="majorEastAsia" w:hAnsi="Calibri" w:cs="Arial"/>
      <w:bCs/>
      <w:iCs/>
      <w:noProof/>
    </w:rPr>
  </w:style>
  <w:style w:type="paragraph" w:styleId="TOC3">
    <w:name w:val="toc 3"/>
    <w:basedOn w:val="Normal"/>
    <w:next w:val="Normal"/>
    <w:autoRedefine/>
    <w:uiPriority w:val="39"/>
    <w:unhideWhenUsed/>
    <w:qFormat/>
    <w:rsid w:val="004E6814"/>
    <w:pPr>
      <w:tabs>
        <w:tab w:val="right" w:leader="dot" w:pos="9360"/>
        <w:tab w:val="right" w:leader="dot" w:pos="9450"/>
      </w:tabs>
      <w:spacing w:after="40"/>
      <w:ind w:left="907" w:hanging="547"/>
    </w:pPr>
    <w:rPr>
      <w:rFonts w:ascii="Calibri" w:hAnsi="Calibri"/>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3020BC"/>
    <w:rPr>
      <w:color w:val="000000" w:themeColor="text1"/>
      <w:u w:val="none"/>
    </w:rPr>
  </w:style>
  <w:style w:type="paragraph" w:customStyle="1" w:styleId="ISOBodyCopy">
    <w:name w:val="ISO Body Copy"/>
    <w:basedOn w:val="Normal"/>
    <w:link w:val="ISOBodyCopyChar"/>
    <w:rsid w:val="00196ECD"/>
    <w:rPr>
      <w:rFonts w:eastAsia="Times New Roman"/>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rsid w:val="00C269AA"/>
    <w:pPr>
      <w:keepNext/>
      <w:keepLines/>
      <w:tabs>
        <w:tab w:val="left" w:pos="9090"/>
      </w:tabs>
      <w:spacing w:after="80" w:line="240" w:lineRule="auto"/>
    </w:pPr>
    <w:rPr>
      <w:rFonts w:asciiTheme="majorHAnsi" w:eastAsia="Times New Roman" w:hAnsiTheme="majorHAnsi"/>
      <w:color w:val="000000" w:themeColor="text1"/>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sid w:val="00C269AA"/>
    <w:rPr>
      <w:rFonts w:asciiTheme="majorHAnsi" w:eastAsia="Times New Roman" w:hAnsiTheme="majorHAnsi"/>
      <w:color w:val="000000" w:themeColor="text1"/>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paragraph" w:customStyle="1" w:styleId="Caption-Figure">
    <w:name w:val="Caption-Figure"/>
    <w:basedOn w:val="Caption"/>
    <w:link w:val="Caption-FigureChar"/>
    <w:qFormat/>
    <w:rsid w:val="007A7641"/>
    <w:pPr>
      <w:spacing w:before="120" w:after="0"/>
      <w:ind w:left="0" w:right="0"/>
      <w:jc w:val="left"/>
    </w:p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Caption"/>
    <w:autoRedefine/>
    <w:rsid w:val="002A7F89"/>
    <w:pPr>
      <w:spacing w:after="60"/>
    </w:pPr>
    <w:rPr>
      <w:rFonts w:eastAsia="Times New Roman" w:cs="Arial"/>
      <w:bCs w:val="0"/>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styleId="TableofFigures">
    <w:name w:val="table of figures"/>
    <w:basedOn w:val="Normal"/>
    <w:next w:val="Normal"/>
    <w:autoRedefine/>
    <w:uiPriority w:val="99"/>
    <w:rsid w:val="00063CF5"/>
    <w:pPr>
      <w:keepLines/>
      <w:tabs>
        <w:tab w:val="right" w:leader="dot" w:pos="9360"/>
      </w:tabs>
      <w:spacing w:after="120" w:line="240" w:lineRule="auto"/>
      <w:ind w:left="1260" w:hanging="1260"/>
    </w:pPr>
    <w:rPr>
      <w:rFonts w:ascii="Calibri" w:eastAsia="Times New Roman" w:hAnsi="Calibri" w:cs="Arial"/>
      <w:b/>
      <w:bCs/>
      <w:noProof/>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FootnoteText"/>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tabs>
        <w:tab w:val="num" w:pos="360"/>
      </w:tabs>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tabs>
        <w:tab w:val="num" w:pos="1800"/>
      </w:tabs>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tabs>
        <w:tab w:val="num" w:pos="1800"/>
      </w:tabs>
      <w:spacing w:line="240" w:lineRule="atLeast"/>
      <w:ind w:left="1800" w:hanging="360"/>
    </w:pPr>
    <w:rPr>
      <w:bCs/>
    </w:rPr>
  </w:style>
  <w:style w:type="paragraph" w:customStyle="1" w:styleId="ISOHeading3">
    <w:name w:val="ISO Heading 3"/>
    <w:basedOn w:val="Normal"/>
    <w:autoRedefine/>
    <w:rsid w:val="00196ECD"/>
    <w:pPr>
      <w:tabs>
        <w:tab w:val="num" w:pos="1800"/>
      </w:tabs>
      <w:spacing w:line="240" w:lineRule="atLeast"/>
      <w:ind w:left="1656" w:hanging="1656"/>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Caption-Figure"/>
    <w:autoRedefine/>
    <w:rsid w:val="00196ECD"/>
    <w:rPr>
      <w:b w:val="0"/>
    </w:rPr>
  </w:style>
  <w:style w:type="paragraph" w:customStyle="1" w:styleId="StyleCaption-FigureLeft031">
    <w:name w:val="Style Caption-Figure + Left:  0.31&quot;"/>
    <w:basedOn w:val="Caption-Figure"/>
    <w:autoRedefine/>
    <w:rsid w:val="00196ECD"/>
    <w:pPr>
      <w:ind w:left="450"/>
    </w:pPr>
    <w:rPr>
      <w:b w:val="0"/>
    </w:rPr>
  </w:style>
  <w:style w:type="paragraph" w:customStyle="1" w:styleId="StyleCaption-FigureLeft031Right025">
    <w:name w:val="Style Caption-Figure + Left:  0.31&quot; Right:  0.25&quot;"/>
    <w:basedOn w:val="Caption-Figure"/>
    <w:autoRedefine/>
    <w:rsid w:val="00196ECD"/>
    <w:pPr>
      <w:ind w:left="450" w:right="360"/>
    </w:pPr>
    <w:rPr>
      <w:b w:val="0"/>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Caption"/>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ink w:val="Caption"/>
    <w:locked/>
    <w:rsid w:val="00EC212C"/>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TableofFigures"/>
    <w:rsid w:val="00196ECD"/>
    <w:pPr>
      <w:ind w:right="360"/>
    </w:pPr>
  </w:style>
  <w:style w:type="table" w:styleId="TableGrid">
    <w:name w:val="Table Grid"/>
    <w:basedOn w:val="TableNormal"/>
    <w:uiPriority w:val="59"/>
    <w:rsid w:val="00196ECD"/>
    <w:pPr>
      <w:widowControl w:val="0"/>
      <w:spacing w:after="0" w:line="26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7A7641"/>
    <w:rPr>
      <w:rFonts w:ascii="Calibri" w:hAnsi="Calibri"/>
      <w:b/>
      <w:bCs/>
      <w:sz w:val="2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Caption"/>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keepNext w:val="0"/>
      <w:ind w:left="360"/>
    </w:pPr>
    <w:rPr>
      <w:b w:val="0"/>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FootnoteText"/>
    <w:link w:val="FoonoteTextChar"/>
    <w:qFormat/>
    <w:rsid w:val="000565DD"/>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0565DD"/>
    <w:rPr>
      <w:rFonts w:asciiTheme="majorHAnsi" w:eastAsia="Times New Roman" w:hAnsiTheme="majorHAnsi" w:cs="Times New Roman"/>
      <w:color w:val="000000" w:themeColor="text1"/>
      <w:sz w:val="16"/>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Solid">
    <w:name w:val="Bullet-Solid"/>
    <w:basedOn w:val="Normal"/>
    <w:link w:val="Bullet-SolidChar"/>
    <w:qFormat/>
    <w:rsid w:val="00582278"/>
    <w:pPr>
      <w:numPr>
        <w:numId w:val="362"/>
      </w:numPr>
      <w:spacing w:after="120"/>
    </w:pPr>
    <w:rPr>
      <w:color w:val="000000"/>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582278"/>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shd w:val="clear" w:color="auto" w:fill="F5943C" w:themeFill="accent1"/>
      </w:tcPr>
    </w:tblStylePr>
    <w:tblStylePr w:type="lastRow">
      <w:pPr>
        <w:spacing w:before="0" w:after="0" w:line="240" w:lineRule="auto"/>
      </w:pPr>
      <w:rPr>
        <w:b/>
        <w:bCs/>
      </w:rPr>
      <w:tblPr/>
      <w:tcPr>
        <w:tcBorders>
          <w:top w:val="double" w:sz="6"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4CE" w:themeFill="accent1" w:themeFillTint="3F"/>
      </w:tcPr>
    </w:tblStylePr>
    <w:tblStylePr w:type="band1Horz">
      <w:tblPr/>
      <w:tcPr>
        <w:tcBorders>
          <w:insideH w:val="nil"/>
          <w:insideV w:val="nil"/>
        </w:tcBorders>
        <w:shd w:val="clear" w:color="auto" w:fill="FCE4CE"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insideV w:val="single" w:sz="8" w:space="0" w:color="F7AE6C" w:themeColor="accent1" w:themeTint="BF"/>
      </w:tblBorders>
      <w:tblCellMar>
        <w:top w:w="0" w:type="dxa"/>
        <w:left w:w="108" w:type="dxa"/>
        <w:bottom w:w="0" w:type="dxa"/>
        <w:right w:w="108" w:type="dxa"/>
      </w:tblCellMar>
    </w:tblPr>
    <w:tcPr>
      <w:shd w:val="clear" w:color="auto" w:fill="FCE4CE" w:themeFill="accent1" w:themeFillTint="3F"/>
    </w:tcPr>
    <w:tblStylePr w:type="firstRow">
      <w:rPr>
        <w:b/>
        <w:bCs/>
      </w:rPr>
    </w:tblStylePr>
    <w:tblStylePr w:type="lastRow">
      <w:rPr>
        <w:b/>
        <w:bCs/>
      </w:rPr>
      <w:tblPr/>
      <w:tcPr>
        <w:tcBorders>
          <w:top w:val="single" w:sz="18" w:space="0" w:color="F7AE6C" w:themeColor="accent1" w:themeTint="BF"/>
        </w:tcBorders>
      </w:tcPr>
    </w:tblStylePr>
    <w:tblStylePr w:type="firstCol">
      <w:rPr>
        <w:b/>
        <w:bCs/>
      </w:rPr>
    </w:tblStylePr>
    <w:tblStylePr w:type="lastCol">
      <w:rPr>
        <w:b/>
        <w:bCs/>
      </w:rPr>
    </w:tblStylePr>
    <w:tblStylePr w:type="band1Vert">
      <w:tblPr/>
      <w:tcPr>
        <w:shd w:val="clear" w:color="auto" w:fill="FAC99D" w:themeFill="accent1" w:themeFillTint="7F"/>
      </w:tcPr>
    </w:tblStylePr>
    <w:tblStylePr w:type="band1Horz">
      <w:tblPr/>
      <w:tcPr>
        <w:shd w:val="clear" w:color="auto" w:fill="FAC99D"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D96C0B" w:themeColor="accent1" w:themeShade="BF"/>
    </w:rPr>
    <w:tblPr>
      <w:tblStyleRowBandSize w:val="1"/>
      <w:tblStyleColBandSize w:val="1"/>
      <w:tblInd w:w="0" w:type="dxa"/>
      <w:tblBorders>
        <w:top w:val="single" w:sz="8" w:space="0" w:color="F5943C" w:themeColor="accent1"/>
        <w:bottom w:val="single" w:sz="8" w:space="0" w:color="F594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hemeFill="accent1" w:themeFillTint="3F"/>
      </w:tcPr>
    </w:tblStylePr>
    <w:tblStylePr w:type="band1Horz">
      <w:tblPr/>
      <w:tcPr>
        <w:tcBorders>
          <w:left w:val="nil"/>
          <w:right w:val="nil"/>
          <w:insideH w:val="nil"/>
          <w:insideV w:val="nil"/>
        </w:tcBorders>
        <w:shd w:val="clear" w:color="auto" w:fill="FCE4CE" w:themeFill="accent1" w:themeFillTint="3F"/>
      </w:tcPr>
    </w:tblStylePr>
  </w:style>
  <w:style w:type="table" w:customStyle="1" w:styleId="RSPStyle">
    <w:name w:val="RSP_Style"/>
    <w:basedOn w:val="TableNormal"/>
    <w:uiPriority w:val="99"/>
    <w:qFormat/>
    <w:rsid w:val="005354AB"/>
    <w:pPr>
      <w:spacing w:after="0" w:line="240" w:lineRule="auto"/>
    </w:pPr>
    <w:tblPr>
      <w:tblInd w:w="0" w:type="dxa"/>
      <w:tblCellMar>
        <w:top w:w="0" w:type="dxa"/>
        <w:left w:w="108" w:type="dxa"/>
        <w:bottom w:w="0" w:type="dxa"/>
        <w:right w:w="108" w:type="dxa"/>
      </w:tblCellMar>
    </w:tblPr>
  </w:style>
  <w:style w:type="table" w:customStyle="1" w:styleId="20122tableformat">
    <w:name w:val="2012 2 table format"/>
    <w:basedOn w:val="TableNormal"/>
    <w:uiPriority w:val="63"/>
    <w:rsid w:val="008407BE"/>
    <w:pPr>
      <w:spacing w:after="0" w:line="240" w:lineRule="auto"/>
    </w:pPr>
    <w:rPr>
      <w:rFonts w:ascii="Calibri" w:hAnsi="Calibri"/>
      <w:color w:val="000000" w:themeColor="text1"/>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off"/>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85AFF2"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2D7F8"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after="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Ind w:w="0" w:type="dxa"/>
      <w:tblBorders>
        <w:top w:val="single" w:sz="8" w:space="0" w:color="B4AAA2" w:themeColor="accent6" w:themeTint="BF"/>
        <w:left w:val="single" w:sz="8" w:space="0" w:color="B4AAA2" w:themeColor="accent6" w:themeTint="BF"/>
        <w:bottom w:val="single" w:sz="8" w:space="0" w:color="B4AAA2" w:themeColor="accent6" w:themeTint="BF"/>
        <w:right w:val="single" w:sz="8" w:space="0" w:color="B4AAA2" w:themeColor="accent6" w:themeTint="BF"/>
        <w:insideH w:val="single" w:sz="8" w:space="0" w:color="B4AAA2" w:themeColor="accent6" w:themeTint="BF"/>
        <w:insideV w:val="single" w:sz="8" w:space="0" w:color="B4AAA2" w:themeColor="accent6" w:themeTint="BF"/>
      </w:tblBorders>
      <w:tblCellMar>
        <w:top w:w="0" w:type="dxa"/>
        <w:left w:w="108" w:type="dxa"/>
        <w:bottom w:w="0" w:type="dxa"/>
        <w:right w:w="108" w:type="dxa"/>
      </w:tblCellMar>
    </w:tblPr>
    <w:tcPr>
      <w:shd w:val="clear" w:color="auto" w:fill="E6E3E0" w:themeFill="accent6" w:themeFillTint="3F"/>
    </w:tcPr>
    <w:tblStylePr w:type="firstRow">
      <w:rPr>
        <w:b/>
        <w:bCs/>
      </w:rPr>
    </w:tblStylePr>
    <w:tblStylePr w:type="lastRow">
      <w:rPr>
        <w:b/>
        <w:bCs/>
      </w:rPr>
      <w:tblPr/>
      <w:tcPr>
        <w:tcBorders>
          <w:top w:val="single" w:sz="18" w:space="0" w:color="B4AAA2" w:themeColor="accent6" w:themeTint="BF"/>
        </w:tcBorders>
      </w:tcPr>
    </w:tblStylePr>
    <w:tblStylePr w:type="firstCol">
      <w:rPr>
        <w:b/>
        <w:bCs/>
      </w:rPr>
    </w:tblStylePr>
    <w:tblStylePr w:type="lastCol">
      <w:rPr>
        <w:b/>
        <w:bCs/>
      </w:rPr>
    </w:tblStylePr>
    <w:tblStylePr w:type="band1Vert">
      <w:tblPr/>
      <w:tcPr>
        <w:shd w:val="clear" w:color="auto" w:fill="CDC7C1" w:themeFill="accent6" w:themeFillTint="7F"/>
      </w:tcPr>
    </w:tblStylePr>
    <w:tblStylePr w:type="band1Horz">
      <w:tblPr/>
      <w:tcPr>
        <w:shd w:val="clear" w:color="auto" w:fill="CDC7C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rPr>
      <w:rFonts w:ascii="Calibri" w:hAnsi="Calibri"/>
    </w:rPr>
    <w:tblPr>
      <w:tblStyleRowBandSize w:val="1"/>
      <w:tblStyleColBandSize w:val="1"/>
      <w:tblInd w:w="0" w:type="dxa"/>
      <w:tblBorders>
        <w:top w:val="single" w:sz="8" w:space="0" w:color="9B8F83" w:themeColor="accent6"/>
        <w:left w:val="single" w:sz="8" w:space="0" w:color="9B8F83" w:themeColor="accent6"/>
        <w:bottom w:val="single" w:sz="8" w:space="0" w:color="9B8F83" w:themeColor="accent6"/>
        <w:right w:val="single" w:sz="8" w:space="0" w:color="9B8F8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8F83" w:themeFill="accent6"/>
      </w:tcPr>
    </w:tblStylePr>
    <w:tblStylePr w:type="lastRow">
      <w:pPr>
        <w:spacing w:before="0" w:after="0" w:line="240" w:lineRule="auto"/>
      </w:pPr>
      <w:rPr>
        <w:b/>
        <w:bCs/>
      </w:rPr>
      <w:tblPr/>
      <w:tcPr>
        <w:tcBorders>
          <w:top w:val="double" w:sz="6" w:space="0" w:color="9B8F83" w:themeColor="accent6"/>
          <w:left w:val="single" w:sz="8" w:space="0" w:color="9B8F83" w:themeColor="accent6"/>
          <w:bottom w:val="single" w:sz="8" w:space="0" w:color="9B8F83" w:themeColor="accent6"/>
          <w:right w:val="single" w:sz="8" w:space="0" w:color="9B8F83" w:themeColor="accent6"/>
        </w:tcBorders>
      </w:tcPr>
    </w:tblStylePr>
    <w:tblStylePr w:type="firstCol">
      <w:rPr>
        <w:b/>
        <w:bCs/>
      </w:rPr>
    </w:tblStylePr>
    <w:tblStylePr w:type="lastCol">
      <w:rPr>
        <w:b/>
        <w:bCs/>
      </w:rPr>
    </w:tblStylePr>
    <w:tblStylePr w:type="band1Vert">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tblStylePr w:type="band1Horz">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Caption"/>
    <w:link w:val="Label1-ISO-NEChar"/>
    <w:qFormat/>
    <w:rsid w:val="00954952"/>
    <w:pPr>
      <w:keepLines w:val="0"/>
      <w:spacing w:before="240"/>
      <w:ind w:left="0" w:right="0"/>
    </w:pPr>
    <w:rPr>
      <w:rFonts w:ascii="Arial Bold" w:eastAsia="Times New Roman" w:hAnsi="Arial Bold"/>
      <w:bCs w:val="0"/>
      <w:szCs w:val="20"/>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Ind w:w="0" w:type="dxa"/>
      <w:tblBorders>
        <w:top w:val="single" w:sz="8" w:space="0" w:color="F5943C" w:themeColor="accent1"/>
        <w:left w:val="single" w:sz="8" w:space="0" w:color="F5943C" w:themeColor="accent1"/>
        <w:bottom w:val="single" w:sz="8" w:space="0" w:color="F5943C" w:themeColor="accent1"/>
        <w:right w:val="single" w:sz="8" w:space="0" w:color="F5943C" w:themeColor="accent1"/>
        <w:insideH w:val="single" w:sz="8" w:space="0" w:color="F5943C" w:themeColor="accent1"/>
        <w:insideV w:val="single" w:sz="8" w:space="0" w:color="F5943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18" w:space="0" w:color="F5943C" w:themeColor="accent1"/>
          <w:right w:val="single" w:sz="8" w:space="0" w:color="F5943C" w:themeColor="accent1"/>
          <w:insideH w:val="nil"/>
          <w:insideV w:val="single" w:sz="8" w:space="0" w:color="F59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43C" w:themeColor="accent1"/>
          <w:left w:val="single" w:sz="8" w:space="0" w:color="F5943C" w:themeColor="accent1"/>
          <w:bottom w:val="single" w:sz="8" w:space="0" w:color="F5943C" w:themeColor="accent1"/>
          <w:right w:val="single" w:sz="8" w:space="0" w:color="F5943C" w:themeColor="accent1"/>
          <w:insideH w:val="nil"/>
          <w:insideV w:val="single" w:sz="8" w:space="0" w:color="F59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tcPr>
    </w:tblStylePr>
    <w:tblStylePr w:type="band1Vert">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shd w:val="clear" w:color="auto" w:fill="FCE4CE" w:themeFill="accent1" w:themeFillTint="3F"/>
      </w:tcPr>
    </w:tblStylePr>
    <w:tblStylePr w:type="band1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shd w:val="clear" w:color="auto" w:fill="FCE4CE" w:themeFill="accent1" w:themeFillTint="3F"/>
      </w:tcPr>
    </w:tblStylePr>
    <w:tblStylePr w:type="band2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000000" w:themeColor="text1"/>
      </w:pBdr>
      <w:spacing w:after="120"/>
    </w:pPr>
    <w:rPr>
      <w:rFonts w:ascii="Calibri" w:hAnsi="Calibri" w:cs="Arial"/>
      <w:b/>
      <w:color w:val="000000" w:themeColor="text1"/>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link w:val="Heading1"/>
    <w:rsid w:val="00D47D02"/>
    <w:rPr>
      <w:rFonts w:ascii="Calibri" w:eastAsiaTheme="majorEastAsia" w:hAnsi="Calibri" w:cstheme="majorBidi"/>
      <w:b/>
      <w:bCs/>
      <w:color w:val="0070C0"/>
      <w:sz w:val="36"/>
      <w:szCs w:val="28"/>
    </w:rPr>
  </w:style>
  <w:style w:type="character" w:customStyle="1" w:styleId="Heading3Char1">
    <w:name w:val="Heading 3 Char1"/>
    <w:basedOn w:val="DefaultParagraphFont"/>
    <w:link w:val="Heading3"/>
    <w:rsid w:val="00133C75"/>
    <w:rPr>
      <w:rFonts w:ascii="Calibri" w:eastAsiaTheme="majorEastAsia" w:hAnsi="Calibri" w:cstheme="majorBidi"/>
      <w:b/>
      <w:bCs/>
    </w:rPr>
  </w:style>
  <w:style w:type="character" w:customStyle="1" w:styleId="Heading4Char1">
    <w:name w:val="Heading 4 Char1"/>
    <w:basedOn w:val="DefaultParagraphFont"/>
    <w:link w:val="Heading4"/>
    <w:rsid w:val="0033415D"/>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rFonts w:ascii="Calibri" w:hAnsi="Calibri"/>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color w:val="000000" w:themeColor="text1"/>
      <w:sz w:val="22"/>
      <w:szCs w:val="22"/>
    </w:rPr>
    <w:tblPr>
      <w:tblStyleRowBandSize w:val="1"/>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rFonts w:ascii="Calibri" w:hAnsi="Calibri"/>
        <w:b/>
        <w:bCs/>
        <w:i w:val="0"/>
        <w:color w:val="000000" w:themeColor="text1"/>
        <w:sz w:val="18"/>
      </w:rPr>
    </w:tblStylePr>
    <w:tblStylePr w:type="lastCol">
      <w:rPr>
        <w:b/>
        <w:bCs/>
      </w:rPr>
    </w:tblStylePr>
    <w:tblStylePr w:type="band2Horz">
      <w:pPr>
        <w:wordWrap/>
        <w:spacing w:beforeLines="0" w:beforeAutospacing="0" w:afterLines="0" w:afterAutospacing="0" w:line="240" w:lineRule="auto"/>
      </w:pPr>
      <w:rPr>
        <w:color w:val="000000" w:themeColor="text1"/>
      </w:rPr>
      <w:tblPr/>
      <w:tcPr>
        <w:tcBorders>
          <w:top w:val="nil"/>
          <w:left w:val="nil"/>
          <w:bottom w:val="nil"/>
          <w:right w:val="nil"/>
          <w:insideH w:val="nil"/>
          <w:insideV w:val="nil"/>
          <w:tl2br w:val="nil"/>
          <w:tr2bl w:val="nil"/>
        </w:tcBorders>
        <w:shd w:val="clear" w:color="auto" w:fill="C2D7F8"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745D4C"/>
    <w:pPr>
      <w:spacing w:after="0" w:line="240" w:lineRule="auto"/>
      <w:ind w:left="720"/>
      <w:contextualSpacing/>
    </w:pPr>
    <w:rPr>
      <w:rFonts w:ascii="Times New Roman" w:eastAsia="Times New Roman" w:hAnsi="Times New Roman"/>
      <w:sz w:val="24"/>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line="26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shd w:val="clear" w:color="auto" w:fill="F5943C" w:themeFill="accent1"/>
      </w:tcPr>
    </w:tblStylePr>
    <w:tblStylePr w:type="lastRow">
      <w:pPr>
        <w:spacing w:before="0" w:after="0" w:line="240" w:lineRule="auto"/>
      </w:pPr>
      <w:rPr>
        <w:b/>
        <w:bCs/>
      </w:rPr>
      <w:tblPr/>
      <w:tcPr>
        <w:tcBorders>
          <w:top w:val="double" w:sz="6"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4CE" w:themeFill="accent1" w:themeFillTint="3F"/>
      </w:tcPr>
    </w:tblStylePr>
    <w:tblStylePr w:type="band1Horz">
      <w:tblPr/>
      <w:tcPr>
        <w:tcBorders>
          <w:insideH w:val="nil"/>
          <w:insideV w:val="nil"/>
        </w:tcBorders>
        <w:shd w:val="clear" w:color="auto" w:fill="FCE4CE"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insideV w:val="single" w:sz="8" w:space="0" w:color="F7AE6C" w:themeColor="accent1" w:themeTint="BF"/>
      </w:tblBorders>
      <w:tblCellMar>
        <w:top w:w="0" w:type="dxa"/>
        <w:left w:w="108" w:type="dxa"/>
        <w:bottom w:w="0" w:type="dxa"/>
        <w:right w:w="108" w:type="dxa"/>
      </w:tblCellMar>
    </w:tblPr>
    <w:tcPr>
      <w:shd w:val="clear" w:color="auto" w:fill="FCE4CE" w:themeFill="accent1" w:themeFillTint="3F"/>
    </w:tcPr>
    <w:tblStylePr w:type="firstRow">
      <w:rPr>
        <w:b/>
        <w:bCs/>
      </w:rPr>
    </w:tblStylePr>
    <w:tblStylePr w:type="lastRow">
      <w:rPr>
        <w:b/>
        <w:bCs/>
      </w:rPr>
      <w:tblPr/>
      <w:tcPr>
        <w:tcBorders>
          <w:top w:val="single" w:sz="18" w:space="0" w:color="F7AE6C" w:themeColor="accent1" w:themeTint="BF"/>
        </w:tcBorders>
      </w:tcPr>
    </w:tblStylePr>
    <w:tblStylePr w:type="firstCol">
      <w:rPr>
        <w:b/>
        <w:bCs/>
      </w:rPr>
    </w:tblStylePr>
    <w:tblStylePr w:type="lastCol">
      <w:rPr>
        <w:b/>
        <w:bCs/>
      </w:rPr>
    </w:tblStylePr>
    <w:tblStylePr w:type="band1Vert">
      <w:tblPr/>
      <w:tcPr>
        <w:shd w:val="clear" w:color="auto" w:fill="FAC99D" w:themeFill="accent1" w:themeFillTint="7F"/>
      </w:tcPr>
    </w:tblStylePr>
    <w:tblStylePr w:type="band1Horz">
      <w:tblPr/>
      <w:tcPr>
        <w:shd w:val="clear" w:color="auto" w:fill="FAC99D"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D96C0B" w:themeColor="accent1" w:themeShade="BF"/>
    </w:rPr>
    <w:tblPr>
      <w:tblStyleRowBandSize w:val="1"/>
      <w:tblStyleColBandSize w:val="1"/>
      <w:tblInd w:w="0" w:type="dxa"/>
      <w:tblBorders>
        <w:top w:val="single" w:sz="8" w:space="0" w:color="F5943C" w:themeColor="accent1"/>
        <w:bottom w:val="single" w:sz="8" w:space="0" w:color="F594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hemeFill="accent1" w:themeFillTint="3F"/>
      </w:tcPr>
    </w:tblStylePr>
    <w:tblStylePr w:type="band1Horz">
      <w:tblPr/>
      <w:tcPr>
        <w:tcBorders>
          <w:left w:val="nil"/>
          <w:right w:val="nil"/>
          <w:insideH w:val="nil"/>
          <w:insideV w:val="nil"/>
        </w:tcBorders>
        <w:shd w:val="clear" w:color="auto" w:fill="FCE4CE" w:themeFill="accent1" w:themeFillTint="3F"/>
      </w:tcPr>
    </w:tblStylePr>
  </w:style>
  <w:style w:type="table" w:customStyle="1" w:styleId="RSPStyle1">
    <w:name w:val="RSP_Style1"/>
    <w:basedOn w:val="TableNormal"/>
    <w:uiPriority w:val="99"/>
    <w:qFormat/>
    <w:rsid w:val="00217BF0"/>
    <w:pPr>
      <w:spacing w:after="0" w:line="240" w:lineRule="auto"/>
    </w:pPr>
    <w:tblPr>
      <w:tblInd w:w="0" w:type="dxa"/>
      <w:tblCellMar>
        <w:top w:w="0" w:type="dxa"/>
        <w:left w:w="108" w:type="dxa"/>
        <w:bottom w:w="0" w:type="dxa"/>
        <w:right w:w="108" w:type="dxa"/>
      </w:tblCellMar>
    </w:tblPr>
  </w:style>
  <w:style w:type="table" w:customStyle="1" w:styleId="20122tableformat1">
    <w:name w:val="2012 2 table format1"/>
    <w:basedOn w:val="TableNormal"/>
    <w:uiPriority w:val="63"/>
    <w:rsid w:val="00217BF0"/>
    <w:pPr>
      <w:spacing w:after="0" w:line="240" w:lineRule="auto"/>
    </w:pPr>
    <w:rPr>
      <w:rFonts w:ascii="Calibri" w:hAnsi="Calibri"/>
      <w:color w:val="000000" w:themeColor="text1"/>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off"/>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85AFF2"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2D7F8"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Ind w:w="0" w:type="dxa"/>
      <w:tblBorders>
        <w:top w:val="single" w:sz="8" w:space="0" w:color="B4AAA2" w:themeColor="accent6" w:themeTint="BF"/>
        <w:left w:val="single" w:sz="8" w:space="0" w:color="B4AAA2" w:themeColor="accent6" w:themeTint="BF"/>
        <w:bottom w:val="single" w:sz="8" w:space="0" w:color="B4AAA2" w:themeColor="accent6" w:themeTint="BF"/>
        <w:right w:val="single" w:sz="8" w:space="0" w:color="B4AAA2" w:themeColor="accent6" w:themeTint="BF"/>
        <w:insideH w:val="single" w:sz="8" w:space="0" w:color="B4AAA2" w:themeColor="accent6" w:themeTint="BF"/>
        <w:insideV w:val="single" w:sz="8" w:space="0" w:color="B4AAA2" w:themeColor="accent6" w:themeTint="BF"/>
      </w:tblBorders>
      <w:tblCellMar>
        <w:top w:w="0" w:type="dxa"/>
        <w:left w:w="108" w:type="dxa"/>
        <w:bottom w:w="0" w:type="dxa"/>
        <w:right w:w="108" w:type="dxa"/>
      </w:tblCellMar>
    </w:tblPr>
    <w:tcPr>
      <w:shd w:val="clear" w:color="auto" w:fill="E6E3E0" w:themeFill="accent6" w:themeFillTint="3F"/>
    </w:tcPr>
    <w:tblStylePr w:type="firstRow">
      <w:rPr>
        <w:b/>
        <w:bCs/>
      </w:rPr>
    </w:tblStylePr>
    <w:tblStylePr w:type="lastRow">
      <w:rPr>
        <w:b/>
        <w:bCs/>
      </w:rPr>
      <w:tblPr/>
      <w:tcPr>
        <w:tcBorders>
          <w:top w:val="single" w:sz="18" w:space="0" w:color="B4AAA2" w:themeColor="accent6" w:themeTint="BF"/>
        </w:tcBorders>
      </w:tcPr>
    </w:tblStylePr>
    <w:tblStylePr w:type="firstCol">
      <w:rPr>
        <w:b/>
        <w:bCs/>
      </w:rPr>
    </w:tblStylePr>
    <w:tblStylePr w:type="lastCol">
      <w:rPr>
        <w:b/>
        <w:bCs/>
      </w:rPr>
    </w:tblStylePr>
    <w:tblStylePr w:type="band1Vert">
      <w:tblPr/>
      <w:tcPr>
        <w:shd w:val="clear" w:color="auto" w:fill="CDC7C1" w:themeFill="accent6" w:themeFillTint="7F"/>
      </w:tcPr>
    </w:tblStylePr>
    <w:tblStylePr w:type="band1Horz">
      <w:tblPr/>
      <w:tcPr>
        <w:shd w:val="clear" w:color="auto" w:fill="CDC7C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rPr>
      <w:rFonts w:ascii="Calibri" w:hAnsi="Calibri"/>
    </w:rPr>
    <w:tblPr>
      <w:tblStyleRowBandSize w:val="1"/>
      <w:tblStyleColBandSize w:val="1"/>
      <w:tblInd w:w="0" w:type="dxa"/>
      <w:tblBorders>
        <w:top w:val="single" w:sz="8" w:space="0" w:color="9B8F83" w:themeColor="accent6"/>
        <w:left w:val="single" w:sz="8" w:space="0" w:color="9B8F83" w:themeColor="accent6"/>
        <w:bottom w:val="single" w:sz="8" w:space="0" w:color="9B8F83" w:themeColor="accent6"/>
        <w:right w:val="single" w:sz="8" w:space="0" w:color="9B8F8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8F83" w:themeFill="accent6"/>
      </w:tcPr>
    </w:tblStylePr>
    <w:tblStylePr w:type="lastRow">
      <w:pPr>
        <w:spacing w:before="0" w:after="0" w:line="240" w:lineRule="auto"/>
      </w:pPr>
      <w:rPr>
        <w:b/>
        <w:bCs/>
      </w:rPr>
      <w:tblPr/>
      <w:tcPr>
        <w:tcBorders>
          <w:top w:val="double" w:sz="6" w:space="0" w:color="9B8F83" w:themeColor="accent6"/>
          <w:left w:val="single" w:sz="8" w:space="0" w:color="9B8F83" w:themeColor="accent6"/>
          <w:bottom w:val="single" w:sz="8" w:space="0" w:color="9B8F83" w:themeColor="accent6"/>
          <w:right w:val="single" w:sz="8" w:space="0" w:color="9B8F83" w:themeColor="accent6"/>
        </w:tcBorders>
      </w:tcPr>
    </w:tblStylePr>
    <w:tblStylePr w:type="firstCol">
      <w:rPr>
        <w:b/>
        <w:bCs/>
      </w:rPr>
    </w:tblStylePr>
    <w:tblStylePr w:type="lastCol">
      <w:rPr>
        <w:b/>
        <w:bCs/>
      </w:rPr>
    </w:tblStylePr>
    <w:tblStylePr w:type="band1Vert">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tblStylePr w:type="band1Horz">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Ind w:w="0" w:type="dxa"/>
      <w:tblBorders>
        <w:top w:val="single" w:sz="8" w:space="0" w:color="F5943C" w:themeColor="accent1"/>
        <w:left w:val="single" w:sz="8" w:space="0" w:color="F5943C" w:themeColor="accent1"/>
        <w:bottom w:val="single" w:sz="8" w:space="0" w:color="F5943C" w:themeColor="accent1"/>
        <w:right w:val="single" w:sz="8" w:space="0" w:color="F5943C" w:themeColor="accent1"/>
        <w:insideH w:val="single" w:sz="8" w:space="0" w:color="F5943C" w:themeColor="accent1"/>
        <w:insideV w:val="single" w:sz="8" w:space="0" w:color="F5943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18" w:space="0" w:color="F5943C" w:themeColor="accent1"/>
          <w:right w:val="single" w:sz="8" w:space="0" w:color="F5943C" w:themeColor="accent1"/>
          <w:insideH w:val="nil"/>
          <w:insideV w:val="single" w:sz="8" w:space="0" w:color="F59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943C" w:themeColor="accent1"/>
          <w:left w:val="single" w:sz="8" w:space="0" w:color="F5943C" w:themeColor="accent1"/>
          <w:bottom w:val="single" w:sz="8" w:space="0" w:color="F5943C" w:themeColor="accent1"/>
          <w:right w:val="single" w:sz="8" w:space="0" w:color="F5943C" w:themeColor="accent1"/>
          <w:insideH w:val="nil"/>
          <w:insideV w:val="single" w:sz="8" w:space="0" w:color="F59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tcPr>
    </w:tblStylePr>
    <w:tblStylePr w:type="band1Vert">
      <w:tblPr/>
      <w:tcPr>
        <w:tcBorders>
          <w:top w:val="single" w:sz="8" w:space="0" w:color="F5943C" w:themeColor="accent1"/>
          <w:left w:val="single" w:sz="8" w:space="0" w:color="F5943C" w:themeColor="accent1"/>
          <w:bottom w:val="single" w:sz="8" w:space="0" w:color="F5943C" w:themeColor="accent1"/>
          <w:right w:val="single" w:sz="8" w:space="0" w:color="F5943C" w:themeColor="accent1"/>
        </w:tcBorders>
        <w:shd w:val="clear" w:color="auto" w:fill="FCE4CE" w:themeFill="accent1" w:themeFillTint="3F"/>
      </w:tcPr>
    </w:tblStylePr>
    <w:tblStylePr w:type="band1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shd w:val="clear" w:color="auto" w:fill="FCE4CE" w:themeFill="accent1" w:themeFillTint="3F"/>
      </w:tcPr>
    </w:tblStylePr>
    <w:tblStylePr w:type="band2Horz">
      <w:tblPr/>
      <w:tcPr>
        <w:tcBorders>
          <w:top w:val="single" w:sz="8" w:space="0" w:color="F5943C" w:themeColor="accent1"/>
          <w:left w:val="single" w:sz="8" w:space="0" w:color="F5943C" w:themeColor="accent1"/>
          <w:bottom w:val="single" w:sz="8" w:space="0" w:color="F5943C" w:themeColor="accent1"/>
          <w:right w:val="single" w:sz="8" w:space="0" w:color="F5943C" w:themeColor="accent1"/>
          <w:insideV w:val="single" w:sz="8" w:space="0" w:color="F5943C" w:themeColor="accent1"/>
        </w:tcBorders>
      </w:tcPr>
    </w:tblStylePr>
  </w:style>
  <w:style w:type="table" w:customStyle="1" w:styleId="2012Style1">
    <w:name w:val="2012 Style1"/>
    <w:basedOn w:val="TableNormal"/>
    <w:uiPriority w:val="99"/>
    <w:qFormat/>
    <w:rsid w:val="00217BF0"/>
    <w:pPr>
      <w:spacing w:after="0" w:line="240" w:lineRule="auto"/>
    </w:pPr>
    <w:rPr>
      <w:rFonts w:ascii="Calibri" w:hAnsi="Calibri"/>
      <w:sz w:val="18"/>
    </w:rPr>
    <w:tblPr>
      <w:tblStyleRowBandSize w:val="1"/>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color w:val="000000" w:themeColor="text1"/>
      <w:sz w:val="22"/>
      <w:szCs w:val="22"/>
    </w:rPr>
    <w:tblPr>
      <w:tblStyleRowBandSize w:val="1"/>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rFonts w:ascii="Calibri" w:hAnsi="Calibri"/>
        <w:b/>
        <w:bCs/>
        <w:i w:val="0"/>
        <w:color w:val="000000" w:themeColor="text1"/>
        <w:sz w:val="18"/>
      </w:rPr>
    </w:tblStylePr>
    <w:tblStylePr w:type="lastCol">
      <w:rPr>
        <w:b/>
        <w:bCs/>
      </w:rPr>
    </w:tblStylePr>
    <w:tblStylePr w:type="band2Horz">
      <w:pPr>
        <w:wordWrap/>
        <w:spacing w:beforeLines="0" w:beforeAutospacing="0" w:afterLines="0" w:afterAutospacing="0" w:line="240" w:lineRule="auto"/>
      </w:pPr>
      <w:rPr>
        <w:color w:val="000000" w:themeColor="text1"/>
      </w:rPr>
      <w:tblPr/>
      <w:tcPr>
        <w:tcBorders>
          <w:top w:val="nil"/>
          <w:left w:val="nil"/>
          <w:bottom w:val="nil"/>
          <w:right w:val="nil"/>
          <w:insideH w:val="nil"/>
          <w:insideV w:val="nil"/>
          <w:tl2br w:val="nil"/>
          <w:tr2bl w:val="nil"/>
        </w:tcBorders>
        <w:shd w:val="clear" w:color="auto" w:fill="C2D7F8"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F5943C"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Ind w:w="0" w:type="dxa"/>
      <w:tblBorders>
        <w:top w:val="single" w:sz="8" w:space="0" w:color="1CAAFF" w:themeColor="accent4" w:themeTint="BF"/>
        <w:left w:val="single" w:sz="8" w:space="0" w:color="1CAAFF" w:themeColor="accent4" w:themeTint="BF"/>
        <w:bottom w:val="single" w:sz="8" w:space="0" w:color="1CAAFF" w:themeColor="accent4" w:themeTint="BF"/>
        <w:right w:val="single" w:sz="8" w:space="0" w:color="1CAAFF" w:themeColor="accent4" w:themeTint="BF"/>
        <w:insideH w:val="single" w:sz="8" w:space="0" w:color="1CAA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CAAFF" w:themeColor="accent4" w:themeTint="BF"/>
          <w:left w:val="single" w:sz="8" w:space="0" w:color="1CAAFF" w:themeColor="accent4" w:themeTint="BF"/>
          <w:bottom w:val="single" w:sz="8" w:space="0" w:color="1CAAFF" w:themeColor="accent4" w:themeTint="BF"/>
          <w:right w:val="single" w:sz="8" w:space="0" w:color="1CAAFF" w:themeColor="accent4" w:themeTint="BF"/>
          <w:insideH w:val="nil"/>
          <w:insideV w:val="nil"/>
        </w:tcBorders>
        <w:shd w:val="clear" w:color="auto" w:fill="0082CF" w:themeFill="accent4"/>
      </w:tcPr>
    </w:tblStylePr>
    <w:tblStylePr w:type="lastRow">
      <w:pPr>
        <w:spacing w:before="0" w:after="0" w:line="240" w:lineRule="auto"/>
      </w:pPr>
      <w:rPr>
        <w:b/>
        <w:bCs/>
      </w:rPr>
      <w:tblPr/>
      <w:tcPr>
        <w:tcBorders>
          <w:top w:val="double" w:sz="6" w:space="0" w:color="1CAAFF" w:themeColor="accent4" w:themeTint="BF"/>
          <w:left w:val="single" w:sz="8" w:space="0" w:color="1CAAFF" w:themeColor="accent4" w:themeTint="BF"/>
          <w:bottom w:val="single" w:sz="8" w:space="0" w:color="1CAAFF" w:themeColor="accent4" w:themeTint="BF"/>
          <w:right w:val="single" w:sz="8" w:space="0" w:color="1CAA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4E3FF" w:themeFill="accent4" w:themeFillTint="3F"/>
      </w:tcPr>
    </w:tblStylePr>
    <w:tblStylePr w:type="band1Horz">
      <w:tblPr/>
      <w:tcPr>
        <w:tcBorders>
          <w:insideH w:val="nil"/>
          <w:insideV w:val="nil"/>
        </w:tcBorders>
        <w:shd w:val="clear" w:color="auto" w:fill="B4E3FF"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550"/>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s>
</file>

<file path=word/webSettings.xml><?xml version="1.0" encoding="utf-8"?>
<w:webSettings xmlns:r="http://schemas.openxmlformats.org/officeDocument/2006/relationships" xmlns:w="http://schemas.openxmlformats.org/wordprocessingml/2006/main">
  <w:divs>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57831495">
      <w:bodyDiv w:val="1"/>
      <w:marLeft w:val="0"/>
      <w:marRight w:val="0"/>
      <w:marTop w:val="0"/>
      <w:marBottom w:val="0"/>
      <w:divBdr>
        <w:top w:val="none" w:sz="0" w:space="0" w:color="auto"/>
        <w:left w:val="none" w:sz="0" w:space="0" w:color="auto"/>
        <w:bottom w:val="none" w:sz="0" w:space="0" w:color="auto"/>
        <w:right w:val="none" w:sz="0" w:space="0" w:color="auto"/>
      </w:divBdr>
    </w:div>
    <w:div w:id="279343153">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3826841">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7951498">
      <w:bodyDiv w:val="1"/>
      <w:marLeft w:val="0"/>
      <w:marRight w:val="0"/>
      <w:marTop w:val="0"/>
      <w:marBottom w:val="0"/>
      <w:divBdr>
        <w:top w:val="none" w:sz="0" w:space="0" w:color="auto"/>
        <w:left w:val="none" w:sz="0" w:space="0" w:color="auto"/>
        <w:bottom w:val="none" w:sz="0" w:space="0" w:color="auto"/>
        <w:right w:val="none" w:sz="0" w:space="0" w:color="auto"/>
      </w:divBdr>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08202642">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26323300">
      <w:bodyDiv w:val="1"/>
      <w:marLeft w:val="10"/>
      <w:marRight w:val="10"/>
      <w:marTop w:val="10"/>
      <w:marBottom w:val="10"/>
      <w:divBdr>
        <w:top w:val="none" w:sz="0" w:space="0" w:color="auto"/>
        <w:left w:val="none" w:sz="0" w:space="0" w:color="auto"/>
        <w:bottom w:val="none" w:sz="0" w:space="0" w:color="auto"/>
        <w:right w:val="none" w:sz="0" w:space="0" w:color="auto"/>
      </w:divBdr>
      <w:divsChild>
        <w:div w:id="625741560">
          <w:marLeft w:val="0"/>
          <w:marRight w:val="0"/>
          <w:marTop w:val="0"/>
          <w:marBottom w:val="0"/>
          <w:divBdr>
            <w:top w:val="none" w:sz="0" w:space="0" w:color="auto"/>
            <w:left w:val="none" w:sz="0" w:space="0" w:color="auto"/>
            <w:bottom w:val="none" w:sz="0" w:space="0" w:color="auto"/>
            <w:right w:val="none" w:sz="0" w:space="0" w:color="auto"/>
          </w:divBdr>
        </w:div>
      </w:divsChild>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0081488">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26406967">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489596820">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801723348">
      <w:bodyDiv w:val="1"/>
      <w:marLeft w:val="0"/>
      <w:marRight w:val="0"/>
      <w:marTop w:val="0"/>
      <w:marBottom w:val="0"/>
      <w:divBdr>
        <w:top w:val="none" w:sz="0" w:space="0" w:color="auto"/>
        <w:left w:val="none" w:sz="0" w:space="0" w:color="auto"/>
        <w:bottom w:val="none" w:sz="0" w:space="0" w:color="auto"/>
        <w:right w:val="none" w:sz="0" w:space="0" w:color="auto"/>
      </w:divBdr>
    </w:div>
    <w:div w:id="1803300878">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 w:id="211297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6.emf"/><Relationship Id="rId39" Type="http://schemas.openxmlformats.org/officeDocument/2006/relationships/image" Target="media/image10.emf"/><Relationship Id="rId21" Type="http://schemas.openxmlformats.org/officeDocument/2006/relationships/hyperlink" Target="http://www.iso-ne.com/static-assets/documents/rules_proceds/operating/isone/op4/op4_rto_final.pdf" TargetMode="External"/><Relationship Id="rId34" Type="http://schemas.openxmlformats.org/officeDocument/2006/relationships/hyperlink" Target="http://www.iso-ne.com/isoexpress/web/reports/auctions/-/tree/fcm-auction-results" TargetMode="External"/><Relationship Id="rId42" Type="http://schemas.openxmlformats.org/officeDocument/2006/relationships/image" Target="media/image12.emf"/><Relationship Id="rId47" Type="http://schemas.openxmlformats.org/officeDocument/2006/relationships/hyperlink" Target="http://www.iso-ne.com/stlmnts/iso_rto_tariff/supp_docs/2012/pto_ac_info_filing_073012.pdf" TargetMode="External"/><Relationship Id="rId50" Type="http://schemas.openxmlformats.org/officeDocument/2006/relationships/hyperlink" Target="http://www.iso-ne.com/committees/comm_wkgrps/trans_comm/tariff_comm/mtrls/2014/aug11122014/a8_rns_5_yr_forecast.ppt" TargetMode="External"/><Relationship Id="rId55" Type="http://schemas.openxmlformats.org/officeDocument/2006/relationships/image" Target="media/image19.png"/><Relationship Id="rId63" Type="http://schemas.openxmlformats.org/officeDocument/2006/relationships/image" Target="media/image24.emf"/><Relationship Id="rId68" Type="http://schemas.openxmlformats.org/officeDocument/2006/relationships/image" Target="media/image29.e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www.iso-ne.com/eefwg"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www.iso-ne.com/static-assets/documents/markets/othrmkts_data/fcm/doc/summary_of_icr_values_expanded.xls" TargetMode="External"/><Relationship Id="rId37" Type="http://schemas.openxmlformats.org/officeDocument/2006/relationships/hyperlink" Target="http://www.iso-ne.com/committees/reliability/reliability-committee" TargetMode="External"/><Relationship Id="rId40" Type="http://schemas.openxmlformats.org/officeDocument/2006/relationships/image" Target="media/image11.wmf"/><Relationship Id="rId45" Type="http://schemas.openxmlformats.org/officeDocument/2006/relationships/image" Target="media/image15.emf"/><Relationship Id="rId53" Type="http://schemas.openxmlformats.org/officeDocument/2006/relationships/hyperlink" Target="http://www.iso-ne.com/static-assets/documents/trans/celt/report/2013/2013_celt_report.pdf" TargetMode="External"/><Relationship Id="rId58" Type="http://schemas.openxmlformats.org/officeDocument/2006/relationships/image" Target="media/image21.emf"/><Relationship Id="rId66" Type="http://schemas.openxmlformats.org/officeDocument/2006/relationships/image" Target="media/image27.emf"/><Relationship Id="rId74" Type="http://schemas.openxmlformats.org/officeDocument/2006/relationships/image" Target="media/image33.emf"/><Relationship Id="rId79" Type="http://schemas.openxmlformats.org/officeDocument/2006/relationships/image" Target="media/image35.emf"/><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9.emf"/><Relationship Id="rId44" Type="http://schemas.openxmlformats.org/officeDocument/2006/relationships/image" Target="media/image14.emf"/><Relationship Id="rId52" Type="http://schemas.openxmlformats.org/officeDocument/2006/relationships/image" Target="media/image17.emf"/><Relationship Id="rId60" Type="http://schemas.openxmlformats.org/officeDocument/2006/relationships/hyperlink" Target="http://www.spectraenergy.com/content/documents/Projects/Atlantic-Bridge-Open-Season.pdf" TargetMode="External"/><Relationship Id="rId65" Type="http://schemas.openxmlformats.org/officeDocument/2006/relationships/image" Target="media/image26.emf"/><Relationship Id="rId73" Type="http://schemas.openxmlformats.org/officeDocument/2006/relationships/hyperlink" Target="http://www.nrc.gov/info-finder/reactor/" TargetMode="External"/><Relationship Id="rId78" Type="http://schemas.openxmlformats.org/officeDocument/2006/relationships/hyperlink" Target="http://www.nist.gov/cyberframework/upload/cybersecurity-framework-021214-final.pdf" TargetMode="External"/><Relationship Id="rId81" Type="http://schemas.openxmlformats.org/officeDocument/2006/relationships/image" Target="cid:image001.png@01CF9F6B.327FB12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hyperlink" Target="http://www.iso-ne.com/regulatory/ferc/filings/2014/feb/er14_1409-000_fca8_results_filing_2-28-2014.pdf" TargetMode="External"/><Relationship Id="rId43" Type="http://schemas.openxmlformats.org/officeDocument/2006/relationships/image" Target="media/image13.emf"/><Relationship Id="rId48" Type="http://schemas.openxmlformats.org/officeDocument/2006/relationships/hyperlink" Target="http://www.iso-ne.com/stlmnts/iso_rto_tariff/supp_docs/2013/pto_ac_info_filing_122013.pdf" TargetMode="External"/><Relationship Id="rId56" Type="http://schemas.openxmlformats.org/officeDocument/2006/relationships/image" Target="media/image20.png"/><Relationship Id="rId64" Type="http://schemas.openxmlformats.org/officeDocument/2006/relationships/image" Target="media/image25.emf"/><Relationship Id="rId69" Type="http://schemas.openxmlformats.org/officeDocument/2006/relationships/image" Target="media/image30.emf"/><Relationship Id="rId77" Type="http://schemas.openxmlformats.org/officeDocument/2006/relationships/hyperlink" Target="http://www.whitehouse.gov/the-press-office/2014/01/09/obama-administration-launches-quadrennial-energy-review" TargetMode="External"/><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hyperlink" Target="http://www.eia.gov/todayinenergy/detail.cfm?id=14851" TargetMode="External"/><Relationship Id="rId80"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www.iso-ne.com/markets/othrmkts_data/fcm/cal_results/index.html" TargetMode="External"/><Relationship Id="rId38" Type="http://schemas.openxmlformats.org/officeDocument/2006/relationships/hyperlink" Target="http://www.iso-ne.com/isoexpress/web/reports/auctions/-/tree/fwd-rsv-auc-offer" TargetMode="External"/><Relationship Id="rId46" Type="http://schemas.openxmlformats.org/officeDocument/2006/relationships/hyperlink" Target="http://www.iso-ne.com/rules_proceds/isone_plan/pp04_0/pp4_0_attachment_d.pdf" TargetMode="External"/><Relationship Id="rId59" Type="http://schemas.openxmlformats.org/officeDocument/2006/relationships/hyperlink" Target="http://www.eia.gov/todayinenergy/detail.cfm?id=4750" TargetMode="External"/><Relationship Id="rId67" Type="http://schemas.openxmlformats.org/officeDocument/2006/relationships/image" Target="media/image28.emf"/><Relationship Id="rId20" Type="http://schemas.openxmlformats.org/officeDocument/2006/relationships/hyperlink" Target="http://www.iso-ne.com/system-planning/system-plans-studies/celt" TargetMode="External"/><Relationship Id="rId41" Type="http://schemas.openxmlformats.org/officeDocument/2006/relationships/hyperlink" Target="http://www.iso-ne.com/committees/comm_wkgrps/prtcpnts_comm/prtcpnts/mtrls/2014/apr42014/coo_report_apr_2014.pdf" TargetMode="External"/><Relationship Id="rId54" Type="http://schemas.openxmlformats.org/officeDocument/2006/relationships/image" Target="media/image18.emf"/><Relationship Id="rId62"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hyperlink" Target="http://www.iso-ne.com/static-assets/documents/committees/comm_wkgrps/prtcpnts_comm/pac/mtrls/2014/apr292014/a8_generic_capital_costs_of_supply_side_resources_rev2.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http://www.iso-ne.com/static-assets/documents/trans/celt/fsct_detail/2014/isone_fcst_data_2014.xls" TargetMode="External"/><Relationship Id="rId36" Type="http://schemas.openxmlformats.org/officeDocument/2006/relationships/hyperlink" Target="http://www.iso-ne.com/committees/comm_wkgrps/othr/enrgy_effncy_frcst/2014mtrls/iso_ne_draft_final_2014_ee_forecast_2018_2023.pdf" TargetMode="External"/><Relationship Id="rId49" Type="http://schemas.openxmlformats.org/officeDocument/2006/relationships/hyperlink" Target="http://www.iso-ne.com/stlmnts/iso_rto_tariff/supp_docs/2014/pto_ac_info_filing_073114.pdf" TargetMode="External"/><Relationship Id="rId57" Type="http://schemas.openxmlformats.org/officeDocument/2006/relationships/hyperlink" Target="http://www.eia.gov/naturalgas/issuesandtrends/deliverysystem/2013/"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iso-ne.com/static-assets/documents/trans/celt/report/2013/2013_celt_report.pdf" TargetMode="External"/><Relationship Id="rId299" Type="http://schemas.openxmlformats.org/officeDocument/2006/relationships/hyperlink" Target="http://solarhighpen.energy.gov/project/ibm_thomas_j_watson_research_center_watt_sun_multi_scale_multi_model_machine_learning_solar" TargetMode="External"/><Relationship Id="rId21" Type="http://schemas.openxmlformats.org/officeDocument/2006/relationships/hyperlink" Target="http://www.nerc.com" TargetMode="External"/><Relationship Id="rId63" Type="http://schemas.openxmlformats.org/officeDocument/2006/relationships/hyperlink" Target="http://www.iso-ne.com/regulatory/tariff/sect_2/oatt/sect_ii.pdf" TargetMode="External"/><Relationship Id="rId159" Type="http://schemas.openxmlformats.org/officeDocument/2006/relationships/hyperlink" Target="http://www.ferc.gov/CalendarFiles/20140606132455-ER14-1686-000.pdf" TargetMode="External"/><Relationship Id="rId324" Type="http://schemas.openxmlformats.org/officeDocument/2006/relationships/hyperlink" Target="http://www.nerc.com/pa/RAPA/Pages/default.aspx" TargetMode="External"/><Relationship Id="rId366" Type="http://schemas.openxmlformats.org/officeDocument/2006/relationships/hyperlink" Target="http://www.iso-ne.com/regulatory/tariff/sect_2/oatt/sect_ii.pdf%20" TargetMode="External"/><Relationship Id="rId170" Type="http://schemas.openxmlformats.org/officeDocument/2006/relationships/hyperlink" Target="https://smd.iso-ne.com/committees/comm_wkgrps/prtcpnts_comm/pac/ceii/mtrls/2013/mar212013/a5_wind_development_in_constrained_areas_new.pdf" TargetMode="External"/><Relationship Id="rId191" Type="http://schemas.openxmlformats.org/officeDocument/2006/relationships/hyperlink" Target="https://smd.iso-ne.com/trans/sys_studies/rsp_docs/pres/2008/amprprevised.pdf" TargetMode="External"/><Relationship Id="rId205" Type="http://schemas.openxmlformats.org/officeDocument/2006/relationships/hyperlink" Target="https://smd.iso-ne.com/committees/comm_wkgrps/prtcpnts_comm/pac/ceii/mtrls/2012/mar142012/gbwg_update.pdf" TargetMode="External"/><Relationship Id="rId226" Type="http://schemas.openxmlformats.org/officeDocument/2006/relationships/hyperlink" Target="https://smd.iso-ne.com/committees/comm_wkgrps/prtcpnts_comm/pac/ceii/mtrls/2014/feb192014/a4_advanced_greater_boston_west_walpole_to_holbrook_needs_and_solutions.pdf" TargetMode="External"/><Relationship Id="rId247" Type="http://schemas.openxmlformats.org/officeDocument/2006/relationships/hyperlink" Target="http://www.iso-ne.com/regulatory/ferc/filings/2014/jul/er14-2407-001_winter_rel_7-11-2014.pdf" TargetMode="External"/><Relationship Id="rId107" Type="http://schemas.openxmlformats.org/officeDocument/2006/relationships/hyperlink" Target="http://www.iso-ne.com/static-assets/documents/trans/celt/report/2014/2014_celt_report_rev.pdf" TargetMode="External"/><Relationship Id="rId268" Type="http://schemas.openxmlformats.org/officeDocument/2006/relationships/hyperlink" Target="http://www.iso-ne.com/regulatory/ferc/filings/2014/jan/er14-970-000_1-10-2014_pipe_inf_sharing.pdf" TargetMode="External"/><Relationship Id="rId289" Type="http://schemas.openxmlformats.org/officeDocument/2006/relationships/hyperlink" Target="https://federalregister.gov/a/2014-13726" TargetMode="External"/><Relationship Id="rId11" Type="http://schemas.openxmlformats.org/officeDocument/2006/relationships/hyperlink" Target="mailto:custserv@iso-ne.com" TargetMode="External"/><Relationship Id="rId32" Type="http://schemas.openxmlformats.org/officeDocument/2006/relationships/hyperlink" Target="http://www.iso-ne.com/static-assets/documents/2014/09/er14-2407-000_9-9-14_order_accept_winter_reliability.pdf" TargetMode="External"/><Relationship Id="rId53" Type="http://schemas.openxmlformats.org/officeDocument/2006/relationships/hyperlink" Target="https://smd.iso-ne.com/committees/comm_wkgrps/prtcpnts_comm/pac/ceii/mtrls/2013/mar212013/a5_wind_development_in_constrained_areas_new.pdf" TargetMode="External"/><Relationship Id="rId74" Type="http://schemas.openxmlformats.org/officeDocument/2006/relationships/hyperlink" Target="http://www.iso-ne.com/markets/mkt_anlys_rpts/annl_mkt_rpts/" TargetMode="External"/><Relationship Id="rId128" Type="http://schemas.openxmlformats.org/officeDocument/2006/relationships/hyperlink" Target="http://www.iso-ne.com/regulatory/ferc/orders/2013/may/er12-953-002_5-31-13_order_accept_fcm_compliance.pdf" TargetMode="External"/><Relationship Id="rId149" Type="http://schemas.openxmlformats.org/officeDocument/2006/relationships/hyperlink" Target="http://www.iso-ne.com/trans/rsp/index.html" TargetMode="External"/><Relationship Id="rId314" Type="http://schemas.openxmlformats.org/officeDocument/2006/relationships/hyperlink" Target="https://smd.iso-ne.com/committees/comm_wkgrps/prtcpnts_comm/pac/ceii/mtrls/2011/may262011/nta_analysis.pdf" TargetMode="External"/><Relationship Id="rId335" Type="http://schemas.openxmlformats.org/officeDocument/2006/relationships/hyperlink" Target="http://www.iso-ne.com/static-assets/documents/regulatory/ferc/filings/2013/jul/er13_1960_000_7_10_2013_order_1000.pdf" TargetMode="External"/><Relationship Id="rId356" Type="http://schemas.openxmlformats.org/officeDocument/2006/relationships/hyperlink" Target="http://www.pserc.wisc.edu/home/index.aspx" TargetMode="External"/><Relationship Id="rId377" Type="http://schemas.openxmlformats.org/officeDocument/2006/relationships/hyperlink" Target="http://www.puc.nh.gov/Electric/IR%2013-020%20PSNH%20Report%20-%20Final.pdf" TargetMode="External"/><Relationship Id="rId5" Type="http://schemas.openxmlformats.org/officeDocument/2006/relationships/hyperlink" Target="http://www.iso-ne.com/committees/planning/planning-advisory" TargetMode="External"/><Relationship Id="rId95" Type="http://schemas.openxmlformats.org/officeDocument/2006/relationships/hyperlink" Target="http://www.iso-ne.com/isoexpress/web/reports/load-and-demand/-/tree/net-ener-peak-load" TargetMode="External"/><Relationship Id="rId160" Type="http://schemas.openxmlformats.org/officeDocument/2006/relationships/hyperlink" Target="https://smd.iso-ne.com/committees/comm_wkgrps/prtcpnts_comm/pac/ceii/mtrls/2013/sep172013/a5_section_242_line_rebuild.ppt" TargetMode="External"/><Relationship Id="rId181" Type="http://schemas.openxmlformats.org/officeDocument/2006/relationships/hyperlink" Target="https://smd.iso-ne.com/committees/comm_wkgrps/prtcpnts_comm/pac/ceii/reports/2012/nhvt_solutions_report.pdf" TargetMode="External"/><Relationship Id="rId216" Type="http://schemas.openxmlformats.org/officeDocument/2006/relationships/hyperlink" Target="https://smd.iso-ne.com/committees/comm_wkgrps/prtcpnts_comm/pac/ceii/reports/2014/final_swct_2022_needs.pdf" TargetMode="External"/><Relationship Id="rId237" Type="http://schemas.openxmlformats.org/officeDocument/2006/relationships/hyperlink" Target="http://www.iso-ne.com/committees/comm_wkgrps/prtcpnts_comm/pac/mtrls/2014/feb192014/a6_2014_lmp_interface_flows.pdf" TargetMode="External"/><Relationship Id="rId258" Type="http://schemas.openxmlformats.org/officeDocument/2006/relationships/hyperlink" Target="http://www.iso-ne.com/committees/comm_wkgrps/prtcpnts_comm/pac/mtrls/2014/apr292014/a3_icf_benchmarking_study.pdf" TargetMode="External"/><Relationship Id="rId279" Type="http://schemas.openxmlformats.org/officeDocument/2006/relationships/hyperlink" Target="https://federalregister.gov/a/2011-17600" TargetMode="External"/><Relationship Id="rId22" Type="http://schemas.openxmlformats.org/officeDocument/2006/relationships/hyperlink" Target="http://www.npcc.org/" TargetMode="External"/><Relationship Id="rId43" Type="http://schemas.openxmlformats.org/officeDocument/2006/relationships/hyperlink" Target="http://www.iso-ne.com/regulatory/tariff/sect_3/index.html" TargetMode="External"/><Relationship Id="rId64" Type="http://schemas.openxmlformats.org/officeDocument/2006/relationships/hyperlink" Target="http://www.iso-ne.com/static-assets/documents/committees/comm_wkgrps/prtcpnts_comm/pac/plan_guides/plan_process_guide/planning_process_guide_for_february_pac_2_5_2013__3_.docx" TargetMode="External"/><Relationship Id="rId118" Type="http://schemas.openxmlformats.org/officeDocument/2006/relationships/hyperlink" Target="http://www.iso-ne.com/regulatory/ferc/filings/2011/mar/er11-3048-000_03-08-11_icr_2014-2015.pdf" TargetMode="External"/><Relationship Id="rId139" Type="http://schemas.openxmlformats.org/officeDocument/2006/relationships/hyperlink" Target="http://www.iso-ne.com/regulatory/ferc/orders/2013/may/er12-953-002_5-31-13_order_accept_fcm_compliance.pdf" TargetMode="External"/><Relationship Id="rId290" Type="http://schemas.openxmlformats.org/officeDocument/2006/relationships/hyperlink" Target="https://federalregister.gov/a/2014-13725" TargetMode="External"/><Relationship Id="rId304" Type="http://schemas.openxmlformats.org/officeDocument/2006/relationships/hyperlink" Target="file:///C:\Users\cwendel\Documents\2014%20Reports\RSP14\FInal%20Draft%20for%20BOD\2011%20Economic%20Study,%20final%20report" TargetMode="External"/><Relationship Id="rId325" Type="http://schemas.openxmlformats.org/officeDocument/2006/relationships/hyperlink" Target="http://www.nerc.com/pa/RAPA/ra/Reliability%20Assessments%20DL/2013_LTRA_FINAL.pdf" TargetMode="External"/><Relationship Id="rId346" Type="http://schemas.openxmlformats.org/officeDocument/2006/relationships/hyperlink" Target="http://nescoe.com/Gas_Supply_Study.html" TargetMode="External"/><Relationship Id="rId367" Type="http://schemas.openxmlformats.org/officeDocument/2006/relationships/hyperlink" Target="http://www.iso-ne.com/static-assets/documents/committees/comm_wkgrps/prtcpnts_comm/pac/plan_guides/plan_process_guide/planning_process_guide_for_february_pac_2_5_2013__3_.docx" TargetMode="External"/><Relationship Id="rId388" Type="http://schemas.openxmlformats.org/officeDocument/2006/relationships/hyperlink" Target="http://webserver.rilin.state.ri.us/BillText/BillText14/SenateText14/S2439Aaa.pdf" TargetMode="External"/><Relationship Id="rId85" Type="http://schemas.openxmlformats.org/officeDocument/2006/relationships/hyperlink" Target="http://www.iso-ne.com/static-assets/documents/regulatory/ferc/filings/2013/nov/er13_196_002_11_15_2013_order_1000.pdf" TargetMode="External"/><Relationship Id="rId150" Type="http://schemas.openxmlformats.org/officeDocument/2006/relationships/hyperlink" Target="http://www.iso-ne.com/committees/comm_wkgrps/prtcpnts_comm/pac/index.html" TargetMode="External"/><Relationship Id="rId171" Type="http://schemas.openxmlformats.org/officeDocument/2006/relationships/hyperlink" Target="https://smd.iso-ne.com/trans/sys_studies/rsp_docs/pres/2007/maine_power_reliability_program_steady_state_needs_assessment.pdf" TargetMode="External"/><Relationship Id="rId192" Type="http://schemas.openxmlformats.org/officeDocument/2006/relationships/hyperlink" Target="https://smd.iso-ne.com/trans/sys_studies/rsp_docs/pres/2008/mprp_final_report.pdf" TargetMode="External"/><Relationship Id="rId206" Type="http://schemas.openxmlformats.org/officeDocument/2006/relationships/hyperlink" Target="http://www.iso-ne.com/committees/comm_wkgrps/prtcpnts_comm/pac/mtrls/2014/jun192014/a4_greater_boston_solution_study_cost_estimates.pdf" TargetMode="External"/><Relationship Id="rId227" Type="http://schemas.openxmlformats.org/officeDocument/2006/relationships/hyperlink" Target="https://smd.iso-ne.com/committees/comm_wkgrps/prtcpnts_comm/pac/ceii/mtrls/2014/jun192014/a7_greater_boston_north_cambridge_stuck_breaker.pdf" TargetMode="External"/><Relationship Id="rId248" Type="http://schemas.openxmlformats.org/officeDocument/2006/relationships/hyperlink" Target="http://www.iso-ne.com/static-assets/documents/regulatory/ferc/filings/2013/jul/er13_1877_000_mkt_offer_flex_7_1_2013.pdf" TargetMode="External"/><Relationship Id="rId269" Type="http://schemas.openxmlformats.org/officeDocument/2006/relationships/hyperlink" Target="http://www.iso-ne.com/static-assets/documents/regulatory/ferc/filings/2014/jul/er14_2407_000_win_rel_pro_7_11_2014.pdf%20" TargetMode="External"/><Relationship Id="rId12" Type="http://schemas.openxmlformats.org/officeDocument/2006/relationships/hyperlink" Target="http://www.iso-ne.com/committees/comm_wkgrps/strategic_planning_discussion/index.html" TargetMode="External"/><Relationship Id="rId33" Type="http://schemas.openxmlformats.org/officeDocument/2006/relationships/hyperlink" Target="http://www.eipconline.com/" TargetMode="External"/><Relationship Id="rId108" Type="http://schemas.openxmlformats.org/officeDocument/2006/relationships/hyperlink" Target="http://www.iso-ne.com/stlmnts/stlmnt_mod_info/index.html" TargetMode="External"/><Relationship Id="rId129" Type="http://schemas.openxmlformats.org/officeDocument/2006/relationships/hyperlink" Target="http://www.iso-ne.com/genrtion_resrcs/reports/sts_non_retrmnt_rqst/index.html" TargetMode="External"/><Relationship Id="rId280" Type="http://schemas.openxmlformats.org/officeDocument/2006/relationships/hyperlink" Target="http://www.eia.gov/forecasts/aeo/IF_all.cfm" TargetMode="External"/><Relationship Id="rId315" Type="http://schemas.openxmlformats.org/officeDocument/2006/relationships/hyperlink" Target="https://smd.iso-ne.com/committees/comm_wkgrps/prtcpnts_comm/pac/ceii/mtrls/2012/dec132012/ghcc_mra.pdf" TargetMode="External"/><Relationship Id="rId336" Type="http://schemas.openxmlformats.org/officeDocument/2006/relationships/hyperlink" Target="http://www.iso-ne.com/regulatory/ferc/orders/2013/may/er13-193_er13-196_5-17_13_order_on_order_1000_compliance_filings.pdf" TargetMode="External"/><Relationship Id="rId357" Type="http://schemas.openxmlformats.org/officeDocument/2006/relationships/hyperlink" Target="http://www.epri.com/" TargetMode="External"/><Relationship Id="rId54" Type="http://schemas.openxmlformats.org/officeDocument/2006/relationships/hyperlink" Target="http://www.iso-ne.com/static-assets/documents/committees/comm_wkgrps/prtcpnts_comm/pac/reports/2014/2011_eco_study_final.pdf" TargetMode="External"/><Relationship Id="rId75" Type="http://schemas.openxmlformats.org/officeDocument/2006/relationships/hyperlink" Target="http://www.iso-ne.com/markets-operations/markets-development/wholesale-markets-project-plan" TargetMode="External"/><Relationship Id="rId96" Type="http://schemas.openxmlformats.org/officeDocument/2006/relationships/hyperlink" Target="http://www.iso-ne.com/static-assets/documents/committees/comm_wkgrps/prtcpnts_comm/pac/mtrls/2014/feb192014/a7_preliminary_iso_load_forecast_2014_2023.pdf" TargetMode="External"/><Relationship Id="rId140" Type="http://schemas.openxmlformats.org/officeDocument/2006/relationships/hyperlink" Target="http://www.iso-ne.com/rules_proceds/operating/isone/op8/op8_rto_final.pdf" TargetMode="External"/><Relationship Id="rId161" Type="http://schemas.openxmlformats.org/officeDocument/2006/relationships/hyperlink" Target="https://smd.iso-ne.com/committees/comm_wkgrps/prtcpnts_comm/pac/ceii/mtrls/2013/nov202013/a7_asset_condition_needs_salem_harbor_cable_replacement.pdf" TargetMode="External"/><Relationship Id="rId182" Type="http://schemas.openxmlformats.org/officeDocument/2006/relationships/hyperlink" Target="https://smd.iso-ne.com/committees/comm_wkgrps/prtcpnts_comm/pac/ceii/reports/2013/a_final_nh_vt_2022_needs_scope.pdf" TargetMode="External"/><Relationship Id="rId217" Type="http://schemas.openxmlformats.org/officeDocument/2006/relationships/hyperlink" Target="http://www.iso-ne.com/system-planning/key-study-areas/greater-hartford" TargetMode="External"/><Relationship Id="rId378" Type="http://schemas.openxmlformats.org/officeDocument/2006/relationships/hyperlink" Target="http://www.puc.state.nh.us/Regulatory/Docketbk/2013/13-020/LETTERS-MEMOS-TARIFFS/13-020%202014-04-01%20STAFF%20PRELIMINARY%20STATUS%20RPT_PSNH%20GENERATING%20PLANTS.PDF" TargetMode="External"/><Relationship Id="rId6" Type="http://schemas.openxmlformats.org/officeDocument/2006/relationships/hyperlink" Target="http://www.iso-ne.com/trans/rsp/index.html" TargetMode="External"/><Relationship Id="rId238" Type="http://schemas.openxmlformats.org/officeDocument/2006/relationships/hyperlink" Target="http://www.iso-ne.com/committees/comm_wkgrps/strategic_planning_discussion/index.html" TargetMode="External"/><Relationship Id="rId259" Type="http://schemas.openxmlformats.org/officeDocument/2006/relationships/hyperlink" Target="http://www.eipconline.com/Gas-Electric.html" TargetMode="External"/><Relationship Id="rId23" Type="http://schemas.openxmlformats.org/officeDocument/2006/relationships/hyperlink" Target="http://www.iso-ne.com/regulatory/tariff/sect_2/oatt/sect_ii.pdf%20" TargetMode="External"/><Relationship Id="rId119" Type="http://schemas.openxmlformats.org/officeDocument/2006/relationships/hyperlink" Target="http://www.iso-ne.com/regulatory/ferc/filings/2012/jan/er12-756-000_01-03-12_icr_2015-2016_filing.pdf" TargetMode="External"/><Relationship Id="rId270" Type="http://schemas.openxmlformats.org/officeDocument/2006/relationships/hyperlink" Target="http://www.iso-ne.com/regulatory/ferc/filings/2014/jul/er14-2407-001_winter_rel_7-11-2014.pdf" TargetMode="External"/><Relationship Id="rId291" Type="http://schemas.openxmlformats.org/officeDocument/2006/relationships/hyperlink" Target="http://www.iso-ne.com/nwsiss/pr/2013/iso_new_england_issues_statement_vy_retirement_final.pdf" TargetMode="External"/><Relationship Id="rId305" Type="http://schemas.openxmlformats.org/officeDocument/2006/relationships/hyperlink" Target="http://www.iso-ne.com/static-assets/documents/committees/comm_wkgrps/prtcpnts_comm/pac/reports/2014/2011_eco_study_final.pdf" TargetMode="External"/><Relationship Id="rId326" Type="http://schemas.openxmlformats.org/officeDocument/2006/relationships/hyperlink" Target="https://www.rfirst.org/Pages/Rfirst.aspx" TargetMode="External"/><Relationship Id="rId347" Type="http://schemas.openxmlformats.org/officeDocument/2006/relationships/hyperlink" Target="http://www.nescoe.com/uploads/RequestISO-NEassistanceTransGas_21Jan2014.pdf" TargetMode="External"/><Relationship Id="rId44" Type="http://schemas.openxmlformats.org/officeDocument/2006/relationships/hyperlink" Target="http://www.iso-ne.com/static-assets/documents/markets/mkt_anlys_rpts/annl_mkt_rpts/2013/2013_amr_final_050614.pdf" TargetMode="External"/><Relationship Id="rId65" Type="http://schemas.openxmlformats.org/officeDocument/2006/relationships/hyperlink" Target="http://www.iso-ne.com/static-assets/documents/committees/comm_wkgrps/prtcpnts_comm/pac/plan_guides/plan_tech_guide/planning_technical_guide_clean_12_06_2013.pdf" TargetMode="External"/><Relationship Id="rId86" Type="http://schemas.openxmlformats.org/officeDocument/2006/relationships/hyperlink" Target="http://www.iso-ne.com/static-assets/documents/regulatory/ferc/filings/2013/nov/er13_193_003_11_15_2013_order_1000.pdf" TargetMode="External"/><Relationship Id="rId130" Type="http://schemas.openxmlformats.org/officeDocument/2006/relationships/hyperlink" Target="http://www.iso-ne.com/regulatory/ferc/filings/2014/jan/er12-953-004_1-31-2014_comp_12-953-002.pdf" TargetMode="External"/><Relationship Id="rId151" Type="http://schemas.openxmlformats.org/officeDocument/2006/relationships/hyperlink" Target="http://www.iso-ne.com/static-assets/documents/committees/comm_wkgrps/prtcpnts_comm/pac/plan_guides/plan_process_guide/planning_process_guide_for_february_pac_2_5_2013__3_.docx" TargetMode="External"/><Relationship Id="rId368" Type="http://schemas.openxmlformats.org/officeDocument/2006/relationships/hyperlink" Target="http://www.iso-ne.com/static-assets/documents/committees/comm_wkgrps/prtcpnts_comm/pac/plan_guides/plan_tech_guide/planning_technical_guide_clean_12_06_2013.pdf" TargetMode="External"/><Relationship Id="rId389" Type="http://schemas.openxmlformats.org/officeDocument/2006/relationships/hyperlink" Target="http://webserver.rilin.state.ri.us/BillText/BillText14/HouseText14/H7991A.pdf" TargetMode="External"/><Relationship Id="rId172" Type="http://schemas.openxmlformats.org/officeDocument/2006/relationships/hyperlink" Target="https://smd.iso-ne.com/trans/sys_studies/rsp_docs/pres/2007/maine_power_reliability_program_needs_assessment_final_report.pdf" TargetMode="External"/><Relationship Id="rId193" Type="http://schemas.openxmlformats.org/officeDocument/2006/relationships/hyperlink" Target="http://www.iso-ne.com/search?query=Greater%20Hartford%20and%20Central%20Connecticut%20Area%20Transmission%202022%20Needs%20Assessment" TargetMode="External"/><Relationship Id="rId207" Type="http://schemas.openxmlformats.org/officeDocument/2006/relationships/hyperlink" Target="https://smd.iso-ne.com/committees/comm_wkgrps/prtcpnts_comm/pac/ceii/mtrls/2010/oct212010/pittsfield_greenfield.pdf" TargetMode="External"/><Relationship Id="rId228" Type="http://schemas.openxmlformats.org/officeDocument/2006/relationships/hyperlink" Target="https://smd.iso-ne.com/committees/comm_wkgrps/prtcpnts_comm/pac/ceii/reports/2012/final_nhvt_solutions_followup.pdf" TargetMode="External"/><Relationship Id="rId249" Type="http://schemas.openxmlformats.org/officeDocument/2006/relationships/hyperlink" Target="http://www.iso-ne.com/regulatory/ferc/orders/2013/oct/er13-1877-000_10-3-13_order_condition_accept_flex_rev.pdf" TargetMode="External"/><Relationship Id="rId13" Type="http://schemas.openxmlformats.org/officeDocument/2006/relationships/hyperlink" Target="http://www.iso-ne.com/committees/comm_wkgrps/prtcpnts_comm/pac/index.html" TargetMode="External"/><Relationship Id="rId109" Type="http://schemas.openxmlformats.org/officeDocument/2006/relationships/hyperlink" Target="http://www.iso-ne.com/committees/planning/energy-efficiency-forecast" TargetMode="External"/><Relationship Id="rId260" Type="http://schemas.openxmlformats.org/officeDocument/2006/relationships/hyperlink" Target="https://smd.iso-ne.com/committees/comm_wkgrps/prtcpnts_comm/pac/ceii/reports/2012/gas_study_ceii.pdf" TargetMode="External"/><Relationship Id="rId281" Type="http://schemas.openxmlformats.org/officeDocument/2006/relationships/hyperlink" Target="http://www.iso-ne.com/genrtion_resrcs/reports/emission/2012_emissions_report_final_v2.pdf" TargetMode="External"/><Relationship Id="rId316" Type="http://schemas.openxmlformats.org/officeDocument/2006/relationships/hyperlink" Target="https://smd.iso-ne.com/committees/comm_wkgrps/prtcpnts_comm/pac/ceii/mtrls/2012/nov142012/ghcc_mra_november.pdf" TargetMode="External"/><Relationship Id="rId337" Type="http://schemas.openxmlformats.org/officeDocument/2006/relationships/hyperlink" Target="http://www.iso-ne.com/regulatory/ferc/filings/2013/jun/er13-193_er13-196_6-17-13request_rehear_ordr1000.pdf" TargetMode="External"/><Relationship Id="rId34" Type="http://schemas.openxmlformats.org/officeDocument/2006/relationships/hyperlink" Target="http://www.iso-ne.com/static-assets/documents/regulatory/ferc/filings/2013/jul/er13_1960_000_7_10_2013_order_1000.pdf" TargetMode="External"/><Relationship Id="rId55" Type="http://schemas.openxmlformats.org/officeDocument/2006/relationships/hyperlink" Target="http://www.iso-ne.com/committees/comm_wkgrps/prtcpnts_comm/pac/reports/2014/a9_2012_economic_study_final.pdf" TargetMode="External"/><Relationship Id="rId76" Type="http://schemas.openxmlformats.org/officeDocument/2006/relationships/hyperlink" Target="http://www.ferc.gov/docs-filing/forms/form-715/overview.asp" TargetMode="External"/><Relationship Id="rId97" Type="http://schemas.openxmlformats.org/officeDocument/2006/relationships/image" Target="media/image5.wmf"/><Relationship Id="rId120" Type="http://schemas.openxmlformats.org/officeDocument/2006/relationships/hyperlink" Target="http://www.iso-ne.com/regulatory/ferc/filings/2012/nov/er13-495-000_11-30-12_icr_aras.pdf" TargetMode="External"/><Relationship Id="rId141" Type="http://schemas.openxmlformats.org/officeDocument/2006/relationships/hyperlink" Target="http://www.iso-ne.com/rules_proceds/operating/isone/op19/op19_rto_final.pdf" TargetMode="External"/><Relationship Id="rId358" Type="http://schemas.openxmlformats.org/officeDocument/2006/relationships/hyperlink" Target="http://www.eia.gov/electricity/data/eia861/" TargetMode="External"/><Relationship Id="rId379" Type="http://schemas.openxmlformats.org/officeDocument/2006/relationships/hyperlink" Target="http://www.puc.state.nh.us/Regulatory/Docketbk/2013/13-020/LETTERS-MEMOS-TARIFFS/13-020%202014-04-01%20STAFF%20PRELIMINARY%20STATUS%20RPT_PSNH%20GENERATING%20PLANTS.PDF" TargetMode="External"/><Relationship Id="rId7" Type="http://schemas.openxmlformats.org/officeDocument/2006/relationships/hyperlink" Target="http://www.iso-ne.com/committees/comm_wkgrps/prtcpnts_comm/pac/mtrls/2014/apr292014/a4_rsp14_load_and_capacity_resource_overview.pdf" TargetMode="External"/><Relationship Id="rId162" Type="http://schemas.openxmlformats.org/officeDocument/2006/relationships/hyperlink" Target="https://smd.iso-ne.com/committees/comm_wkgrps/prtcpnts_comm/pac/ceii/mtrls/2013/nov202013/a8_salem_harbor_substation.pdf" TargetMode="External"/><Relationship Id="rId183" Type="http://schemas.openxmlformats.org/officeDocument/2006/relationships/hyperlink" Target="https://smd.iso-ne.com/committees/comm_wkgrps/prtcpnts_comm/pac/ceii/mtrls/2014/mar172014/a7_nh_vt_2023_needs_assessment.pdf" TargetMode="External"/><Relationship Id="rId218" Type="http://schemas.openxmlformats.org/officeDocument/2006/relationships/hyperlink" Target="https://smd.iso-ne.com/committees/comm_wkgrps/prtcpnts_comm/pac/ceii/mtrls/2013/jul92013/a3_eastern_ct_final_needs_assessment.pdf" TargetMode="External"/><Relationship Id="rId239" Type="http://schemas.openxmlformats.org/officeDocument/2006/relationships/hyperlink" Target="http://www.eia.gov/dnav/ng/ng_cons_sum_dcu_nus_m.htm" TargetMode="External"/><Relationship Id="rId390" Type="http://schemas.openxmlformats.org/officeDocument/2006/relationships/hyperlink" Target="http://webserver.rilin.state.ri.us/PublicLaws/law14/law14392.htm" TargetMode="External"/><Relationship Id="rId250" Type="http://schemas.openxmlformats.org/officeDocument/2006/relationships/hyperlink" Target="http://www.iso-ne.com/regulatory/ferc/orders/2013/aug/el13-66_8-27-13_order_nepga_complaint.pdf" TargetMode="External"/><Relationship Id="rId271" Type="http://schemas.openxmlformats.org/officeDocument/2006/relationships/hyperlink" Target="http://isonewswire.com/updates/2014/7/14/iso-ne-and-nepool-file-proposal-with-ferc-to-implement-a-win.html" TargetMode="External"/><Relationship Id="rId292" Type="http://schemas.openxmlformats.org/officeDocument/2006/relationships/hyperlink" Target="https://federalregister.gov/a/2014-02307" TargetMode="External"/><Relationship Id="rId306" Type="http://schemas.openxmlformats.org/officeDocument/2006/relationships/hyperlink" Target="http://www.iso-ne.com/static-assets/documents/committees/comm_wkgrps/prtcpnts_comm/pac/reports/2010/newis_report.pdf" TargetMode="External"/><Relationship Id="rId24" Type="http://schemas.openxmlformats.org/officeDocument/2006/relationships/hyperlink" Target="http://www.iso-ne.com/genrtion_resrcs/reports/sts_non_retrmnt_rqst/" TargetMode="External"/><Relationship Id="rId45" Type="http://schemas.openxmlformats.org/officeDocument/2006/relationships/hyperlink" Target="http://www.iso-ne.com/regulatory/ferc/orders/2013/sep/er13-1851-000_9-16-2013_winter_rel.pdf" TargetMode="External"/><Relationship Id="rId66" Type="http://schemas.openxmlformats.org/officeDocument/2006/relationships/hyperlink" Target="http://www.iso-ne.com/regulatory/ferc/orders/2013/may/er13-193_er13-196_5-17_13_order_on_order_1000_compliance_filings.pdf" TargetMode="External"/><Relationship Id="rId87" Type="http://schemas.openxmlformats.org/officeDocument/2006/relationships/hyperlink" Target="http://www.ferc.gov/industries/electric/indus-act/trans-plan.asp" TargetMode="External"/><Relationship Id="rId110" Type="http://schemas.openxmlformats.org/officeDocument/2006/relationships/hyperlink" Target="http://www.iso-ne.com/static-assets/documents/2014/08/eef_report_2018_2023_final.pdf" TargetMode="External"/><Relationship Id="rId131" Type="http://schemas.openxmlformats.org/officeDocument/2006/relationships/hyperlink" Target="http://www.iso-ne.com/regulatory/ferc/orders/2014/apr/er12-953-004-4-28-14_order_accept_cap_zone_compliance.pdf" TargetMode="External"/><Relationship Id="rId327" Type="http://schemas.openxmlformats.org/officeDocument/2006/relationships/hyperlink" Target="http://www.isorto.org/Reports/default" TargetMode="External"/><Relationship Id="rId348" Type="http://schemas.openxmlformats.org/officeDocument/2006/relationships/hyperlink" Target="http://www.iso-ne.com/pubs/pubcomm/corr/2014/2014_01_28_response_to_nescoe.pdf" TargetMode="External"/><Relationship Id="rId369" Type="http://schemas.openxmlformats.org/officeDocument/2006/relationships/hyperlink" Target="http://www.cga.ct.gov/2013/ACT/PA/2013PA-00303-R00SB-01138-PA.htm" TargetMode="External"/><Relationship Id="rId152" Type="http://schemas.openxmlformats.org/officeDocument/2006/relationships/hyperlink" Target="http://www.iso-ne.com/static-assets/documents/committees/comm_wkgrps/prtcpnts_comm/pac/plan_guides/plan_tech_guide/planning_technical_guide_clean_12_06_2013.pdf" TargetMode="External"/><Relationship Id="rId173" Type="http://schemas.openxmlformats.org/officeDocument/2006/relationships/hyperlink" Target="https://smd.iso-ne.com/committees/comm_wkgrps/prtcpnts_comm/pac/ceii/mtrls/2010/sep212010/northern_maine.pdf" TargetMode="External"/><Relationship Id="rId194" Type="http://schemas.openxmlformats.org/officeDocument/2006/relationships/hyperlink" Target="https://smd.iso-ne.com/committees/comm_wkgrps/prtcpnts_comm/pac/ceii/mtrls/2009/jun172009/neews.pdf" TargetMode="External"/><Relationship Id="rId208" Type="http://schemas.openxmlformats.org/officeDocument/2006/relationships/hyperlink" Target="https://smd.iso-ne.com/committees/comm_wkgrps/prtcpnts_comm/pac/ceii/mtrls/2013/jul92013/a4_pittsfield_greenfield_needs_assessment_rev1.pdf" TargetMode="External"/><Relationship Id="rId229" Type="http://schemas.openxmlformats.org/officeDocument/2006/relationships/hyperlink" Target="https://smd.iso-ne.com/committees/comm_wkgrps/prtcpnts_comm/pac/ceii/mtrls/2011/jun302011/greater_boston.pdf" TargetMode="External"/><Relationship Id="rId380" Type="http://schemas.openxmlformats.org/officeDocument/2006/relationships/hyperlink" Target="http://www.gencourt.state.nh.us/legislation/2014/HB1602.pdf" TargetMode="External"/><Relationship Id="rId240" Type="http://schemas.openxmlformats.org/officeDocument/2006/relationships/hyperlink" Target="http://www.naesb.org/committee_activities.asp" TargetMode="External"/><Relationship Id="rId261" Type="http://schemas.openxmlformats.org/officeDocument/2006/relationships/hyperlink" Target="http://www.iso-ne.com/committees/comm_wkgrps/prtcpnts_comm/pac/reports/2012/gas_study_ltr.pdf" TargetMode="External"/><Relationship Id="rId14" Type="http://schemas.openxmlformats.org/officeDocument/2006/relationships/hyperlink" Target="http://www.iso-ne.com/participate/support/request-information" TargetMode="External"/><Relationship Id="rId35" Type="http://schemas.openxmlformats.org/officeDocument/2006/relationships/hyperlink" Target="http://www.iso-ne.com/static-assets/documents/trans/celt/fsct_detail/2014/isone_fcst_data_2014.xls" TargetMode="External"/><Relationship Id="rId56" Type="http://schemas.openxmlformats.org/officeDocument/2006/relationships/hyperlink" Target="https://smd.iso-ne.com/committees/comm_wkgrps/prtcpnts_comm/pac/ceii/mtrls/2012/nov142012/ghcc_mra_november.pdf" TargetMode="External"/><Relationship Id="rId77" Type="http://schemas.openxmlformats.org/officeDocument/2006/relationships/hyperlink" Target="http://www.iso-ne.com/static-assets/documents/regulatory/tariff/attach_d/attachment_d.pdf" TargetMode="External"/><Relationship Id="rId100" Type="http://schemas.openxmlformats.org/officeDocument/2006/relationships/hyperlink" Target="http://www.iso-ne.com/markets/hstdata/rpts/ann_seasonal_pks/seasonal_peak_data_summary.xls" TargetMode="External"/><Relationship Id="rId282" Type="http://schemas.openxmlformats.org/officeDocument/2006/relationships/hyperlink" Target="http://www.iso-ne.com/committees/comm_wkgrps/prtcpnts_comm/eag/mtrls/2014/mar52014/2012_emissions_report.pdf" TargetMode="External"/><Relationship Id="rId317" Type="http://schemas.openxmlformats.org/officeDocument/2006/relationships/hyperlink" Target="https://smd.iso-ne.com/committees/comm_wkgrps/prtcpnts_comm/pac/ceii/mtrls/2014/apr292014/a6_sema_ri_market_resource_alternatives.pdf" TargetMode="External"/><Relationship Id="rId338" Type="http://schemas.openxmlformats.org/officeDocument/2006/relationships/hyperlink" Target="http://energy.gov/oe/services/electricity-policy-coordination-and-implementation/transmission-planning/national-2" TargetMode="External"/><Relationship Id="rId359" Type="http://schemas.openxmlformats.org/officeDocument/2006/relationships/hyperlink" Target="http://www.nist.gov/index.html" TargetMode="External"/><Relationship Id="rId8" Type="http://schemas.openxmlformats.org/officeDocument/2006/relationships/hyperlink" Target="http://www.iso-ne.com/committees/comm_wkgrps/prtcpnts_comm/prtcpnts/mtrls/index.html." TargetMode="External"/><Relationship Id="rId98" Type="http://schemas.openxmlformats.org/officeDocument/2006/relationships/hyperlink" Target="http://www.iso-ne.com/static-assets/documents/committees/comm_wkgrps/prtcpnts_comm/pac/mtrls/2014/feb192014/a7_preliminary_iso_load_forecast_2014_2023.pdf" TargetMode="External"/><Relationship Id="rId121" Type="http://schemas.openxmlformats.org/officeDocument/2006/relationships/hyperlink" Target="http://www.iso-ne.com/regulatory/ferc/filings/2013/feb/er13-992-000_2-26-13_7th_fca_results_filing.pdf" TargetMode="External"/><Relationship Id="rId142" Type="http://schemas.openxmlformats.org/officeDocument/2006/relationships/hyperlink" Target="http://www.iso-ne.com/static-assets/documents/committees/comm_wkgrps/prtcpnts_comm/pac/mtrls/2013/jun192013/a8_representative_operating_reserve_requirements.pdf" TargetMode="External"/><Relationship Id="rId163" Type="http://schemas.openxmlformats.org/officeDocument/2006/relationships/hyperlink" Target="https://smd.iso-ne.com/committees/comm_wkgrps/prtcpnts_comm/pac/ceii/mtrls/2014/jun192014/a9_old_town_solution_study.pdf" TargetMode="External"/><Relationship Id="rId184" Type="http://schemas.openxmlformats.org/officeDocument/2006/relationships/hyperlink" Target="https://smd.iso-ne.com/committees/comm_wkgrps/prtcpnts_comm/pac/ceii/mtrls/2013/jun192013/a2_nh_vt_2022_needs_assessment.zip" TargetMode="External"/><Relationship Id="rId219" Type="http://schemas.openxmlformats.org/officeDocument/2006/relationships/hyperlink" Target="http://www.iso-ne.com/committees/comm_wkgrps/relblty_comm/relblty/mtrls/2007/oct102007/zip2_western_ma_ppa.zip" TargetMode="External"/><Relationship Id="rId370" Type="http://schemas.openxmlformats.org/officeDocument/2006/relationships/hyperlink" Target="http://www.ct.gov/pura/cwp/view.asp?a=3354&amp;q=415186" TargetMode="External"/><Relationship Id="rId391" Type="http://schemas.openxmlformats.org/officeDocument/2006/relationships/hyperlink" Target="http://www.leg.state.vt.us/docs/2014/bills/Passed/H-702.pdf" TargetMode="External"/><Relationship Id="rId230" Type="http://schemas.openxmlformats.org/officeDocument/2006/relationships/hyperlink" Target="https://smd.iso-ne.com/committees/comm_wkgrps/prtcpnts_comm/pac/ceii/mtrls/2013/jan162013/a8_ghcc_needs_assessment_ii_011613.pdf" TargetMode="External"/><Relationship Id="rId251" Type="http://schemas.openxmlformats.org/officeDocument/2006/relationships/hyperlink" Target="http://www.iso-ne.com/rules_proceds/operating/mast_satllte/mlcc2.pdf" TargetMode="External"/><Relationship Id="rId25" Type="http://schemas.openxmlformats.org/officeDocument/2006/relationships/hyperlink" Target="http://www.iso-ne.com/static-assets/documents/pubs/spcl_rpts/2014/2014_market_overview_050614.pdf" TargetMode="External"/><Relationship Id="rId46" Type="http://schemas.openxmlformats.org/officeDocument/2006/relationships/hyperlink" Target="http://www.iso-ne.com/static-assets/documents/regulatory/ferc/filings/2014/jul/er14_2407_000_win_rel_pro_7_11_2014.pdf%20" TargetMode="External"/><Relationship Id="rId67" Type="http://schemas.openxmlformats.org/officeDocument/2006/relationships/hyperlink" Target="http://www.ferc.gov/industries/electric/indus-act/trans-plan.asp" TargetMode="External"/><Relationship Id="rId272" Type="http://schemas.openxmlformats.org/officeDocument/2006/relationships/hyperlink" Target="http://www.iso-ne.com/static-assets/documents/2014/09/er14-2407-000_9-9-14_order_accept_winter_reliability.pdf" TargetMode="External"/><Relationship Id="rId293" Type="http://schemas.openxmlformats.org/officeDocument/2006/relationships/hyperlink" Target="http://www.ferc.gov/industries/hydropower/gen-info/licensing.asp" TargetMode="External"/><Relationship Id="rId307" Type="http://schemas.openxmlformats.org/officeDocument/2006/relationships/hyperlink" Target="http://www.iso-ne.com/static-assets/documents/committees/comm_wkgrps/prtcpnts_comm/pac/mtrls/2013/jan172013/eco_study_results.pdf%20" TargetMode="External"/><Relationship Id="rId328" Type="http://schemas.openxmlformats.org/officeDocument/2006/relationships/hyperlink" Target="http://www.iso-ne.com/static-assets/documents/committees/comm_wkgrps/othr/ipsac/rto_plan_prot/planning_protocol.pdf" TargetMode="External"/><Relationship Id="rId349" Type="http://schemas.openxmlformats.org/officeDocument/2006/relationships/hyperlink" Target="http://www.iso-ne.com/about/government-industry-affairs/materials" TargetMode="External"/><Relationship Id="rId88" Type="http://schemas.openxmlformats.org/officeDocument/2006/relationships/hyperlink" Target="http://www.iso-ne.com/static-assets/documents/markets/mkt_anlys_rpts/annl_mkt_rpts/2013/2013_amr_final_050614.pdf" TargetMode="External"/><Relationship Id="rId111" Type="http://schemas.openxmlformats.org/officeDocument/2006/relationships/hyperlink" Target="http://www.iso-ne.com/static-assets/documents/regulatory/tariff/sect_2/sch23/sch_23_sgip.pdf" TargetMode="External"/><Relationship Id="rId132" Type="http://schemas.openxmlformats.org/officeDocument/2006/relationships/hyperlink" Target="http://www.iso-ne.com/committees/comm_wkgrps/relblty_comm/relblty/mtrls/2014/jan212014/index.html,%20A6%20FCA%20" TargetMode="External"/><Relationship Id="rId153" Type="http://schemas.openxmlformats.org/officeDocument/2006/relationships/hyperlink" Target="http://www.iso-ne.com/static-assets/documents/regulatory/tariff/sect_2/oatt/sect_ii.pdf" TargetMode="External"/><Relationship Id="rId174" Type="http://schemas.openxmlformats.org/officeDocument/2006/relationships/hyperlink" Target="https://smd.iso-ne.com/committees/comm_wkgrps/prtcpnts_comm/pac/ceii/mtrls/2012/dec132012/mprp_transfer_limits.pdf" TargetMode="External"/><Relationship Id="rId195" Type="http://schemas.openxmlformats.org/officeDocument/2006/relationships/hyperlink" Target="https://smd.iso-ne.com/committees/comm_wkgrps/prtcpnts_comm/pac/ceii/reports/2011/neews_interstate_final.pdf" TargetMode="External"/><Relationship Id="rId209" Type="http://schemas.openxmlformats.org/officeDocument/2006/relationships/hyperlink" Target="https://smd.iso-ne.com/committees/comm_wkgrps/prtcpnts_comm/pac/ceii/reports/2011/final_swct_needs_report.pdf" TargetMode="External"/><Relationship Id="rId360" Type="http://schemas.openxmlformats.org/officeDocument/2006/relationships/hyperlink" Target="http://www.nist.gov/smartgrid/sgipbuffer.cfm" TargetMode="External"/><Relationship Id="rId381" Type="http://schemas.openxmlformats.org/officeDocument/2006/relationships/hyperlink" Target="http://legiscan.com/NH/text/SB191/id/792744%20" TargetMode="External"/><Relationship Id="rId220" Type="http://schemas.openxmlformats.org/officeDocument/2006/relationships/hyperlink" Target="http://www.iso-ne.com/committees/comm_wkgrps/relblty_comm/relblty/mtrls/2007/dec192007/Zip%203%20auburn%20area.zip" TargetMode="External"/><Relationship Id="rId241" Type="http://schemas.openxmlformats.org/officeDocument/2006/relationships/hyperlink" Target="http://www.ferc.gov/industries/electric/indus-act/electric-coord.asp" TargetMode="External"/><Relationship Id="rId15" Type="http://schemas.openxmlformats.org/officeDocument/2006/relationships/hyperlink" Target="mailto:custserv@iso-ne.com" TargetMode="External"/><Relationship Id="rId36" Type="http://schemas.openxmlformats.org/officeDocument/2006/relationships/hyperlink" Target="http://www.iso-ne.com/static-assets/documents/2014/08/eef_report_2018_2023_final.pdf" TargetMode="External"/><Relationship Id="rId57" Type="http://schemas.openxmlformats.org/officeDocument/2006/relationships/hyperlink" Target="https://smd.iso-ne.com/committees/comm_wkgrps/prtcpnts_comm/pac/ceii/mtrls/2012/dec132012/ghcc_mra.pdf" TargetMode="External"/><Relationship Id="rId262" Type="http://schemas.openxmlformats.org/officeDocument/2006/relationships/hyperlink" Target="http://www.iso-ne.com/aboutiso/fin/annl_reports/2000/2014_reo.pdf" TargetMode="External"/><Relationship Id="rId283" Type="http://schemas.openxmlformats.org/officeDocument/2006/relationships/hyperlink" Target="http://www.rggi.org/design/overview" TargetMode="External"/><Relationship Id="rId318" Type="http://schemas.openxmlformats.org/officeDocument/2006/relationships/hyperlink" Target="http://www.nerc.com/" TargetMode="External"/><Relationship Id="rId339" Type="http://schemas.openxmlformats.org/officeDocument/2006/relationships/hyperlink" Target="http://www.energy.gov/oe/articles/draft-national-electric-transmission-congestion-study-now-available-public-comment" TargetMode="External"/><Relationship Id="rId78" Type="http://schemas.openxmlformats.org/officeDocument/2006/relationships/hyperlink" Target="http://www.iso-ne.com/participate/rules-procedures" TargetMode="External"/><Relationship Id="rId99" Type="http://schemas.openxmlformats.org/officeDocument/2006/relationships/hyperlink" Target="http://www.iso-ne.com/static-assets/documents/rules_proceds/operating/isone/op4/op4_rto_final.pdf" TargetMode="External"/><Relationship Id="rId101" Type="http://schemas.openxmlformats.org/officeDocument/2006/relationships/hyperlink" Target="http://www.iso-ne.com/static-assets/documents/committees/comm_wkgrps/prtcpnts_comm/pac/mtrls/2014/feb192014/a7_preliminary_iso_load_forecast_2014_2023.pdf" TargetMode="External"/><Relationship Id="rId122" Type="http://schemas.openxmlformats.org/officeDocument/2006/relationships/hyperlink" Target="http://www.iso-ne.com/regulatory/ferc/filings/2014/feb/er14_1409-000_fca8_results_filing_2-28-2014.pdf" TargetMode="External"/><Relationship Id="rId143" Type="http://schemas.openxmlformats.org/officeDocument/2006/relationships/hyperlink" Target="http://www.iso-ne.com/regulatory/tariff/sect_3/index.html" TargetMode="External"/><Relationship Id="rId164" Type="http://schemas.openxmlformats.org/officeDocument/2006/relationships/hyperlink" Target="https://smd.iso-ne.com/committees/comm_wkgrps/prtcpnts_comm/pac/ceii/mtrls/2014/feb192014/a10_sandy_pond_substation_conditions.pdf" TargetMode="External"/><Relationship Id="rId185" Type="http://schemas.openxmlformats.org/officeDocument/2006/relationships/hyperlink" Target="https://smd.iso-ne.com/trans/sys_studies/rsp_docs/pres/2008/deerfield_area.pdf" TargetMode="External"/><Relationship Id="rId350" Type="http://schemas.openxmlformats.org/officeDocument/2006/relationships/hyperlink" Target="http://www.iso-ne.com/committees/comm_wkgrps/othr/eipc/eipc_caucus_reps.doc" TargetMode="External"/><Relationship Id="rId371" Type="http://schemas.openxmlformats.org/officeDocument/2006/relationships/hyperlink" Target="http://www.maine.gov/tools/whatsnew/attach.php?id=612759&amp;an=1" TargetMode="External"/><Relationship Id="rId9" Type="http://schemas.openxmlformats.org/officeDocument/2006/relationships/hyperlink" Target="http://www.iso-ne.com/committees/comm_wkgrps/prtcpnts_comm/pac/index.html" TargetMode="External"/><Relationship Id="rId210" Type="http://schemas.openxmlformats.org/officeDocument/2006/relationships/hyperlink" Target="https://smd.iso-ne.com/committees/comm_wkgrps/prtcpnts_comm/pac/ceii/mtrls/2011/nov162011/swct_solution_study.pdf" TargetMode="External"/><Relationship Id="rId26" Type="http://schemas.openxmlformats.org/officeDocument/2006/relationships/hyperlink" Target="https://smd.iso-ne.com/trans/sys_studies/rsp_docs/rpts/2005/102005_RSP05_Final.pdf" TargetMode="External"/><Relationship Id="rId231" Type="http://schemas.openxmlformats.org/officeDocument/2006/relationships/hyperlink" Target="http://www.iso-ne.com/regulatory/ferc/filings/2010/aug/er10-2477-000_08-30-10_fca_4_results.pdf" TargetMode="External"/><Relationship Id="rId252" Type="http://schemas.openxmlformats.org/officeDocument/2006/relationships/hyperlink" Target="http://www.iso-ne.com/regulatory/tariff/sect_1/sect_i.pdf" TargetMode="External"/><Relationship Id="rId273" Type="http://schemas.openxmlformats.org/officeDocument/2006/relationships/hyperlink" Target="http://www.nescoe.com/uploads/New_England_Governors_Statement-Energy_12-5-13_final.pdf" TargetMode="External"/><Relationship Id="rId294" Type="http://schemas.openxmlformats.org/officeDocument/2006/relationships/hyperlink" Target="http://elibrary.ferc.gov/idmws/common/OpenNat.asp?fileID=13140930" TargetMode="External"/><Relationship Id="rId308" Type="http://schemas.openxmlformats.org/officeDocument/2006/relationships/hyperlink" Target="http://www.iso-ne.com/static-assets/documents/committees/comm_wkgrps/prtcpnts_comm/pac/mtrls/2013/jan172013/a2_iremm_2012_economic_study_update_011713.pdf" TargetMode="External"/><Relationship Id="rId329" Type="http://schemas.openxmlformats.org/officeDocument/2006/relationships/hyperlink" Target="http://www.iso-ne.com/committees/planning/ipsac" TargetMode="External"/><Relationship Id="rId47" Type="http://schemas.openxmlformats.org/officeDocument/2006/relationships/hyperlink" Target="http://www.iso-ne.com/regulatory/ferc/filings/2014/jul/er14-2407-001_winter_rel_7-11-2014.pdf" TargetMode="External"/><Relationship Id="rId68" Type="http://schemas.openxmlformats.org/officeDocument/2006/relationships/hyperlink" Target="http://www.iso-ne.com/regulatory/tariff/sect_2/oatt/sect_ii.pdf" TargetMode="External"/><Relationship Id="rId89" Type="http://schemas.openxmlformats.org/officeDocument/2006/relationships/hyperlink" Target="http://www.iso-ne.com/static-assets/documents/pubs/spcl_rpts/2014/2014_market_overview_050614.pdf" TargetMode="External"/><Relationship Id="rId112" Type="http://schemas.openxmlformats.org/officeDocument/2006/relationships/hyperlink" Target="http://www.iso-ne.com/static-assets/documents/committees/comm_wkgrps/othr/distributed_generation_frcst/2013mtrls/sep302013/draft_dgfwg_scope_of_work.pdf" TargetMode="External"/><Relationship Id="rId133" Type="http://schemas.openxmlformats.org/officeDocument/2006/relationships/hyperlink" Target="http://www.iso-ne.com/committees/comm_wkgrps/relblty_comm/relblty/mtrls/2014/feb182014/a_rc_memo_2014_fcm_irp_certification.pdf" TargetMode="External"/><Relationship Id="rId154" Type="http://schemas.openxmlformats.org/officeDocument/2006/relationships/hyperlink" Target="http://www.iso-ne.com/static-assets/documents/regulatory/tariff/sect_2/sch22/sch_22_lgip.pdf" TargetMode="External"/><Relationship Id="rId175" Type="http://schemas.openxmlformats.org/officeDocument/2006/relationships/hyperlink" Target="http://www.velco.com/LongRange/Pages/2012Long-RangeTransmissionPlan.aspx" TargetMode="External"/><Relationship Id="rId340" Type="http://schemas.openxmlformats.org/officeDocument/2006/relationships/hyperlink" Target="http://energy.gov/oe/downloads/transmission-constraints-and-congestion-western-and-eastern-interconnections-2009-2012" TargetMode="External"/><Relationship Id="rId361" Type="http://schemas.openxmlformats.org/officeDocument/2006/relationships/hyperlink" Target="http://www.isorto.org/Reports/default" TargetMode="External"/><Relationship Id="rId196" Type="http://schemas.openxmlformats.org/officeDocument/2006/relationships/hyperlink" Target="https://smd.iso-ne.com/committees/comm_wkgrps/prtcpnts_comm/pac/ceii/reports/2012/neews_interstate_solution.pdf" TargetMode="External"/><Relationship Id="rId200" Type="http://schemas.openxmlformats.org/officeDocument/2006/relationships/hyperlink" Target="http://www.iso-ne.com/system-planning/key-study-areas/greater-boston" TargetMode="External"/><Relationship Id="rId382" Type="http://schemas.openxmlformats.org/officeDocument/2006/relationships/hyperlink" Target="http://www.nh.gov/oep/energy/programs/documents/sb99reportonstakeholderandcitizenfeedback.pdf" TargetMode="External"/><Relationship Id="rId16" Type="http://schemas.openxmlformats.org/officeDocument/2006/relationships/hyperlink" Target="http://www.iso-ne.com/regulatory/tariff/sect_2/oatt/sect_ii.pdf%20" TargetMode="External"/><Relationship Id="rId221" Type="http://schemas.openxmlformats.org/officeDocument/2006/relationships/hyperlink" Target="http://www.iso-ne.com/committees/comm_wkgrps/relblty_comm/relblty/mtrls/2007/aug82007/zip1b_study-reports.zip" TargetMode="External"/><Relationship Id="rId242" Type="http://schemas.openxmlformats.org/officeDocument/2006/relationships/hyperlink" Target="http://www.eia.gov/dnav/ng/hist/n9103us2m.htm" TargetMode="External"/><Relationship Id="rId263" Type="http://schemas.openxmlformats.org/officeDocument/2006/relationships/hyperlink" Target="http://www.iso-ne.com/static-assets/documents/pubs/whlsle_mkt_pln/2014_wmpp.pdf" TargetMode="External"/><Relationship Id="rId284" Type="http://schemas.openxmlformats.org/officeDocument/2006/relationships/hyperlink" Target="http://www.rggi.org/design/program-review" TargetMode="External"/><Relationship Id="rId319" Type="http://schemas.openxmlformats.org/officeDocument/2006/relationships/hyperlink" Target="http://www.eipconline.com/" TargetMode="External"/><Relationship Id="rId37" Type="http://schemas.openxmlformats.org/officeDocument/2006/relationships/hyperlink" Target="http://www.iso-ne.com/system-planning/resource-planning/installed-capacity-requirements" TargetMode="External"/><Relationship Id="rId58" Type="http://schemas.openxmlformats.org/officeDocument/2006/relationships/hyperlink" Target="http://www.iso-ne.com/static-assets/documents/committees/comm_wkgrps/othr/ipsac/mtrls/2014/mar282014/2013_ncsp.pdf" TargetMode="External"/><Relationship Id="rId79" Type="http://schemas.openxmlformats.org/officeDocument/2006/relationships/hyperlink" Target="http://www.ferc.gov/whats-new/comm-meet/2007/021507/E-1.pdf" TargetMode="External"/><Relationship Id="rId102" Type="http://schemas.openxmlformats.org/officeDocument/2006/relationships/hyperlink" Target="http://www.iso-ne.com/static-assets/documents/trans/celt/report/2014/2014_celt_report_rev.pdf" TargetMode="External"/><Relationship Id="rId123" Type="http://schemas.openxmlformats.org/officeDocument/2006/relationships/hyperlink" Target="http://www.iso-ne.com/committees/comm_wkgrps/prtcpnts_comm/pac/mtrls/2013/dec182013/a5_representative_icr_values_pac_121813.pdf" TargetMode="External"/><Relationship Id="rId144" Type="http://schemas.openxmlformats.org/officeDocument/2006/relationships/hyperlink" Target="http://www.iso-ne.com/participate/rules-procedures/operating-procedures" TargetMode="External"/><Relationship Id="rId330" Type="http://schemas.openxmlformats.org/officeDocument/2006/relationships/hyperlink" Target="http://www.iso-ne.com/static-assets/documents/committees/comm_wkgrps/othr/ipsac/mtrls/2014/mar282014/2013_ncsp.pdf" TargetMode="External"/><Relationship Id="rId90" Type="http://schemas.openxmlformats.org/officeDocument/2006/relationships/hyperlink" Target="http://www.iso-ne.com/markets-operations/markets/forward-capacity-market" TargetMode="External"/><Relationship Id="rId165" Type="http://schemas.openxmlformats.org/officeDocument/2006/relationships/hyperlink" Target="https://smd.iso-ne.com/committees/comm_wkgrps/prtcpnts_comm/pac/ceii/mtrls/2014/mar172014/a6_housatonic_river_crossing_needs_assment_solution_study.pdf" TargetMode="External"/><Relationship Id="rId186" Type="http://schemas.openxmlformats.org/officeDocument/2006/relationships/hyperlink" Target="https://smd.iso-ne.com/trans/sys_studies/rsp_docs/pres/2008/deerfield.pdf" TargetMode="External"/><Relationship Id="rId351" Type="http://schemas.openxmlformats.org/officeDocument/2006/relationships/hyperlink" Target="http://www.iso-ne.com/committees/consumer-liaison" TargetMode="External"/><Relationship Id="rId372" Type="http://schemas.openxmlformats.org/officeDocument/2006/relationships/hyperlink" Target="http://www.maine.gov/tools/whatsnew/attach.php?id=615609&amp;an=1" TargetMode="External"/><Relationship Id="rId211" Type="http://schemas.openxmlformats.org/officeDocument/2006/relationships/hyperlink" Target="https://smd.iso-ne.com/committees/comm_wkgrps/prtcpnts_comm/pac/ceii/mtrls/2011/apr132011/swct_adv_sol_intro.pdf" TargetMode="External"/><Relationship Id="rId232" Type="http://schemas.openxmlformats.org/officeDocument/2006/relationships/hyperlink" Target="http://www.iso-ne.com/regulatory/ferc/orders/2010/dec/er10-2744-000_12-16-10_order_fca_results.pdf" TargetMode="External"/><Relationship Id="rId253" Type="http://schemas.openxmlformats.org/officeDocument/2006/relationships/hyperlink" Target="http://www.iso-ne.com/regulatory/tariff/sect_3/index.html" TargetMode="External"/><Relationship Id="rId274" Type="http://schemas.openxmlformats.org/officeDocument/2006/relationships/hyperlink" Target="http://elibrary.ferc.gov/idmws/Doc_Family.asp?document_id=14196317" TargetMode="External"/><Relationship Id="rId295" Type="http://schemas.openxmlformats.org/officeDocument/2006/relationships/hyperlink" Target="http://www.crjc.org/news-and-events/relicensing-of-connecticut-river-dams/" TargetMode="External"/><Relationship Id="rId309" Type="http://schemas.openxmlformats.org/officeDocument/2006/relationships/hyperlink" Target="http://www.iso-ne.com/static-assets/documents/committees/comm_wkgrps/prtcpnts_comm/pac/mtrls/2014/apr292014/a8_generic_capital_costs_of_supply_side_resources_rev2.pdf" TargetMode="External"/><Relationship Id="rId27" Type="http://schemas.openxmlformats.org/officeDocument/2006/relationships/hyperlink" Target="http://www.iso-ne.com/markets/mkt_anlys_rpts/annl_mkt_rpts/2013/2013_amr_final_050614.pdf" TargetMode="External"/><Relationship Id="rId48" Type="http://schemas.openxmlformats.org/officeDocument/2006/relationships/hyperlink" Target="http://www.iso-ne.com/committees/comm_wkgrps/strategic_planning_discussion/materials/interdependency_of_iso_proposals_to_key_spi_risks.pdf" TargetMode="External"/><Relationship Id="rId69" Type="http://schemas.openxmlformats.org/officeDocument/2006/relationships/hyperlink" Target="http://www.iso-ne.com/committees/comm_wkgrps/prtcpnts_comm/pac/index.html" TargetMode="External"/><Relationship Id="rId113" Type="http://schemas.openxmlformats.org/officeDocument/2006/relationships/hyperlink" Target="http://www.iso-ne.com/system-planning/system-forecasting/distributed-generation-forecast" TargetMode="External"/><Relationship Id="rId134" Type="http://schemas.openxmlformats.org/officeDocument/2006/relationships/hyperlink" Target="http://www.iso-ne.com/static-assets/documents/committees/comm_wkgrps/relblty_comm/relblty/mtrls/2013/oct152013/a5_npr_summary.pptx" TargetMode="External"/><Relationship Id="rId320" Type="http://schemas.openxmlformats.org/officeDocument/2006/relationships/hyperlink" Target="http://www.eipconline.com/uploads/FINAL_EIPC_Roll-up_Report_Feb14-2014.pdf" TargetMode="External"/><Relationship Id="rId80" Type="http://schemas.openxmlformats.org/officeDocument/2006/relationships/hyperlink" Target="http://www.nerc.com/page.php?cid=2|20" TargetMode="External"/><Relationship Id="rId155" Type="http://schemas.openxmlformats.org/officeDocument/2006/relationships/hyperlink" Target="http://www.iso-ne.com/static-assets/documents/committees/comm_wkgrps/trans_comm/tariff_comm/mtrls/2014/aug11122014/a3_etu_presentation_summer_meeting.pptx" TargetMode="External"/><Relationship Id="rId176" Type="http://schemas.openxmlformats.org/officeDocument/2006/relationships/hyperlink" Target="https://smd.iso-ne.com/committees/comm_wkgrps/prtcpnts_comm/pac/ceii/reports/2011/nhvt_2011_needs.pdf" TargetMode="External"/><Relationship Id="rId197" Type="http://schemas.openxmlformats.org/officeDocument/2006/relationships/hyperlink" Target="https://smd.iso-ne.com/committees/comm_wkgrps/prtcpnts_comm/pac/ceii/reports/2012/neews_needs_addendum_final.pdf" TargetMode="External"/><Relationship Id="rId341" Type="http://schemas.openxmlformats.org/officeDocument/2006/relationships/hyperlink" Target="http://www.nist.gov/cyberframework/upload/cybersecurity-framework-021214-final.pdf" TargetMode="External"/><Relationship Id="rId362" Type="http://schemas.openxmlformats.org/officeDocument/2006/relationships/hyperlink" Target="http://www.ieee.org/index.html" TargetMode="External"/><Relationship Id="rId383" Type="http://schemas.openxmlformats.org/officeDocument/2006/relationships/hyperlink" Target="http://www.gencourt.state.nh.us/legislation/2014/SB0245.pdf" TargetMode="External"/><Relationship Id="rId201" Type="http://schemas.openxmlformats.org/officeDocument/2006/relationships/hyperlink" Target="http://www.iso-ne.com/system-planning/key-study-areas/greater-boston" TargetMode="External"/><Relationship Id="rId222" Type="http://schemas.openxmlformats.org/officeDocument/2006/relationships/hyperlink" Target="http://www.iso-ne.com/committees/comm_wkgrps/relblty_comm/relblty/mtrls/2008/apr152008/zip1_gri-study-reports.zip" TargetMode="External"/><Relationship Id="rId243" Type="http://schemas.openxmlformats.org/officeDocument/2006/relationships/hyperlink" Target="http://www.northeastgas.org/pdf/s_mody.pdf" TargetMode="External"/><Relationship Id="rId264" Type="http://schemas.openxmlformats.org/officeDocument/2006/relationships/hyperlink" Target="http://www.iso-ne.com/static-assets/documents/markets/mkt_anlys_rpts/annl_mkt_rpts/2013/2013_amr_final_050614.pdf" TargetMode="External"/><Relationship Id="rId285" Type="http://schemas.openxmlformats.org/officeDocument/2006/relationships/hyperlink" Target="https://www.federalregister.gov/articles/2014/01/08/2013-28668/standards-of-performance-for-greenhouse-gas-emissions-from-new-stationary-sources-electric-utility" TargetMode="External"/><Relationship Id="rId17" Type="http://schemas.openxmlformats.org/officeDocument/2006/relationships/hyperlink" Target="http://www.iso-ne.com/committees/participants/participants-committee" TargetMode="External"/><Relationship Id="rId38" Type="http://schemas.openxmlformats.org/officeDocument/2006/relationships/hyperlink" Target="http://www.iso-ne.com/static-assets/documents/rules_proceds/operating/isone/op4/op4_rto_final.pdf" TargetMode="External"/><Relationship Id="rId59" Type="http://schemas.openxmlformats.org/officeDocument/2006/relationships/hyperlink" Target="http://www.iso-ne.com/committees/planning/ipsac" TargetMode="External"/><Relationship Id="rId103" Type="http://schemas.openxmlformats.org/officeDocument/2006/relationships/hyperlink" Target="http://www.iso-ne.com/system-planning/system-plans-studies/celt" TargetMode="External"/><Relationship Id="rId124" Type="http://schemas.openxmlformats.org/officeDocument/2006/relationships/hyperlink" Target="http://www.iso-ne.com/static-assets/documents/trans/celt/report/2014/2014_celt_report_rev.pdf" TargetMode="External"/><Relationship Id="rId310" Type="http://schemas.openxmlformats.org/officeDocument/2006/relationships/hyperlink" Target="http://www.eia.gov/forecasts/capitalcost/pdf/updated_capcost.pdf" TargetMode="External"/><Relationship Id="rId70" Type="http://schemas.openxmlformats.org/officeDocument/2006/relationships/hyperlink" Target="http://www.iso-ne.com/participate/governing-agreements/nepool-agreement" TargetMode="External"/><Relationship Id="rId91" Type="http://schemas.openxmlformats.org/officeDocument/2006/relationships/hyperlink" Target="http://www.iso-ne.com/participate/rules-procedures/tariff/market-rule-1" TargetMode="External"/><Relationship Id="rId145" Type="http://schemas.openxmlformats.org/officeDocument/2006/relationships/hyperlink" Target="http://www.iso-ne.com/committees/comm_wkgrps/prtcpnts_comm/pac/mtrls/2014/apr292014/a5_rsp14_resource_adequacy_and_related_studies.pdf" TargetMode="External"/><Relationship Id="rId166" Type="http://schemas.openxmlformats.org/officeDocument/2006/relationships/hyperlink" Target="https://smd.iso-ne.com/committees/comm_wkgrps/prtcpnts_comm/pac/ceii/mtrls/2014/mar242014/a3_ngrid_transmission_lines_asset_conditions_refurbishment_and_projects.pdf" TargetMode="External"/><Relationship Id="rId187" Type="http://schemas.openxmlformats.org/officeDocument/2006/relationships/hyperlink" Target="http://www.iso-ne.com/search?query=New%20Hampshire%20Second%20Deerfield%20Autotransformer" TargetMode="External"/><Relationship Id="rId331" Type="http://schemas.openxmlformats.org/officeDocument/2006/relationships/hyperlink" Target="http://www.ferc.gov/industries/electric/indus-act/trans-plan.asp" TargetMode="External"/><Relationship Id="rId352" Type="http://schemas.openxmlformats.org/officeDocument/2006/relationships/hyperlink" Target="http://www.iso-ne.com/static-assets/documents/committees/comm_wkgrps/othr/clg/annual_rpts/2013_clg_report_final.pdf" TargetMode="External"/><Relationship Id="rId373" Type="http://schemas.openxmlformats.org/officeDocument/2006/relationships/hyperlink" Target="http://www.mainelegislature.org/legis/bills/getPDF.asp?paper=SP0644&amp;item=3&amp;snum=126" TargetMode="External"/><Relationship Id="rId1" Type="http://schemas.openxmlformats.org/officeDocument/2006/relationships/hyperlink" Target="http://www.iso-ne.com/regulatory/tariff/sect_2/oatt/sect_ii.pdf%20" TargetMode="External"/><Relationship Id="rId212" Type="http://schemas.openxmlformats.org/officeDocument/2006/relationships/hyperlink" Target="https://smd.iso-ne.com/committees/comm_wkgrps/prtcpnts_comm/pac/ceii/mtrls/2011/apr132011/8300_line.pdf" TargetMode="External"/><Relationship Id="rId233" Type="http://schemas.openxmlformats.org/officeDocument/2006/relationships/hyperlink" Target="http://www.iso-ne.com/system-planning/resource-planning/nonprice-retirement" TargetMode="External"/><Relationship Id="rId254" Type="http://schemas.openxmlformats.org/officeDocument/2006/relationships/hyperlink" Target="http://www.iso-ne.com/static-assets/documents/markets/mkt_anlys_rpts/annl_mkt_rpts/2012/amr12_final_051513.pdf" TargetMode="External"/><Relationship Id="rId28" Type="http://schemas.openxmlformats.org/officeDocument/2006/relationships/hyperlink" Target="http://www.iso-ne.com/committees/comm_wkgrps/prtcpnts_comm/pac/mtrls/2013/dec182013/a3_draft_icf_phase_2_gas_study_report_without_appendices.pdf" TargetMode="External"/><Relationship Id="rId49" Type="http://schemas.openxmlformats.org/officeDocument/2006/relationships/hyperlink" Target="http://www.iso-ne.com/static-assets/documents/regulatory/ferc/filings/2013/jul/er13_1877_000_mkt_offer_flex_7_1_2013.pdf" TargetMode="External"/><Relationship Id="rId114" Type="http://schemas.openxmlformats.org/officeDocument/2006/relationships/hyperlink" Target="http://www.iso-ne.com/committees/comm_wkgrps/othr/distributed_generation_frcst/2013mtrls/dec162013/dg_forecast.pdf" TargetMode="External"/><Relationship Id="rId275" Type="http://schemas.openxmlformats.org/officeDocument/2006/relationships/hyperlink" Target="http://www.ferc.gov/whats-new/comm-meet/2014/032014/M-2.pdf" TargetMode="External"/><Relationship Id="rId296" Type="http://schemas.openxmlformats.org/officeDocument/2006/relationships/hyperlink" Target="http://www.govtrack.us/congress/bills/113/hr267/text" TargetMode="External"/><Relationship Id="rId300" Type="http://schemas.openxmlformats.org/officeDocument/2006/relationships/hyperlink" Target="http://www.iso-ne.com/committees/comm_wkgrps/prtcpnts_comm/pac/mtrls/2014/jul112014/a_use_of_pv_in_long_term_transmission_planning.pdf" TargetMode="External"/><Relationship Id="rId60" Type="http://schemas.openxmlformats.org/officeDocument/2006/relationships/hyperlink" Target="http://www.iso-ne.com/markets-operations/market-monitoring-mitigation/internal-monitor" TargetMode="External"/><Relationship Id="rId81" Type="http://schemas.openxmlformats.org/officeDocument/2006/relationships/hyperlink" Target="https://www.npcc.org/Standards/default.aspx" TargetMode="External"/><Relationship Id="rId135" Type="http://schemas.openxmlformats.org/officeDocument/2006/relationships/hyperlink" Target="http://www.iso-ne.com/static-assets/documents/2014/09/a7_rsp14_transmission_interface_transfer_capabilities_assumptions.pdf" TargetMode="External"/><Relationship Id="rId156" Type="http://schemas.openxmlformats.org/officeDocument/2006/relationships/hyperlink" Target="http://www.iso-ne.com/static-assets/documents/regulatory/tariff/sect_2/oatt/sect_ii.pdf" TargetMode="External"/><Relationship Id="rId177" Type="http://schemas.openxmlformats.org/officeDocument/2006/relationships/hyperlink" Target="https://smd.iso-ne.com/committees/comm_wkgrps/prtcpnts_comm/pac/ceii/mtrls/2011/apr132011/nta.pdf" TargetMode="External"/><Relationship Id="rId198" Type="http://schemas.openxmlformats.org/officeDocument/2006/relationships/hyperlink" Target="https://smd.iso-ne.com/committees/comm_wkgrps/prtcpnts_comm/pac/ceii/reports/2012/neews_sol_addendum_final.pdf" TargetMode="External"/><Relationship Id="rId321" Type="http://schemas.openxmlformats.org/officeDocument/2006/relationships/hyperlink" Target="http://www.eipconline.com/uploads/FINAL_EIPC_Roll-up_Report_Feb14-2014.pdf" TargetMode="External"/><Relationship Id="rId342" Type="http://schemas.openxmlformats.org/officeDocument/2006/relationships/hyperlink" Target="http://www.nist.gov/cyberframework/upload/cybersecurity-framework-021214-final.pdf" TargetMode="External"/><Relationship Id="rId363" Type="http://schemas.openxmlformats.org/officeDocument/2006/relationships/hyperlink" Target="http://www.naspi.org/file.aspx?fileid=1150" TargetMode="External"/><Relationship Id="rId384" Type="http://schemas.openxmlformats.org/officeDocument/2006/relationships/hyperlink" Target="http://www.gencourt.state.nh.us/legislation/2014/HB1602.pdf" TargetMode="External"/><Relationship Id="rId202" Type="http://schemas.openxmlformats.org/officeDocument/2006/relationships/hyperlink" Target="https://smd.iso-ne.com/committees/comm_wkgrps/relblty_comm/relblty/ceii/ceii_mtrls/2014/aug152014/a4_footprint_power_evaluation_of_need_report.pdf" TargetMode="External"/><Relationship Id="rId223" Type="http://schemas.openxmlformats.org/officeDocument/2006/relationships/hyperlink" Target="https://smd.iso-ne.com/committees/comm_wkgrps/prtcpnts_comm/pac/ceii/mtrls/2011/apr132011/8300_line.pdf" TargetMode="External"/><Relationship Id="rId244" Type="http://schemas.openxmlformats.org/officeDocument/2006/relationships/hyperlink" Target="http://www.eia.gov/forecasts/steo/index.cfm" TargetMode="External"/><Relationship Id="rId18" Type="http://schemas.openxmlformats.org/officeDocument/2006/relationships/hyperlink" Target="http://www.iso-ne.com/static-assets/documents/regulatory/ferc/orders/2013/may/er13_193_er13_196_5_17_13_order_on_order_1000_compliance_filings.pdf" TargetMode="External"/><Relationship Id="rId39" Type="http://schemas.openxmlformats.org/officeDocument/2006/relationships/hyperlink" Target="http://www.iso-ne.com/static-assets/documents/regulatory/ferc/orders/2013/may/er12_953_002_5_31_13_order_accept_fcm_compliance.pdf" TargetMode="External"/><Relationship Id="rId265" Type="http://schemas.openxmlformats.org/officeDocument/2006/relationships/hyperlink" Target="http://www.iso-ne.com/regulatory/ferc/filings/2013/jul/er13-1877-000_mkt_offer_flex_7-1-2013.pdf" TargetMode="External"/><Relationship Id="rId286" Type="http://schemas.openxmlformats.org/officeDocument/2006/relationships/hyperlink" Target="http://www.eia.gov/todayinenergy/detail.cfm?id=16611" TargetMode="External"/><Relationship Id="rId50" Type="http://schemas.openxmlformats.org/officeDocument/2006/relationships/hyperlink" Target="https://smd.iso-ne.com/committees/comm_wkgrps/prtcpnts_comm/pac/ceii/reports/2012/gas_study_ceii.pdf" TargetMode="External"/><Relationship Id="rId104" Type="http://schemas.openxmlformats.org/officeDocument/2006/relationships/hyperlink" Target="http://www.iso-ne.com/static-assets/documents/trans/celt/fsct_detail/2014/isone_fcst_data_2014.xls" TargetMode="External"/><Relationship Id="rId125" Type="http://schemas.openxmlformats.org/officeDocument/2006/relationships/hyperlink" Target="http://www.iso-ne.com/regulatory/ferc/orders/2012/mar/er12-953-000_3-30-12_order_fcm_redesign_ext.pdf%20" TargetMode="External"/><Relationship Id="rId146" Type="http://schemas.openxmlformats.org/officeDocument/2006/relationships/hyperlink" Target="http://www.iso-ne.com/static-assets/documents/committees/comm_wkgrps/prtcpnts_comm/prtcpnts/mtrls/2014/apr42014/coo_report_apr_2014.pdf" TargetMode="External"/><Relationship Id="rId167" Type="http://schemas.openxmlformats.org/officeDocument/2006/relationships/hyperlink" Target="https://smd.iso-ne.com/committees/comm_wkgrps/prtcpnts_comm/pac/ceii/mtrls/2014/jun192014/a10_pv20_cable_replacement.pdf" TargetMode="External"/><Relationship Id="rId188" Type="http://schemas.openxmlformats.org/officeDocument/2006/relationships/hyperlink" Target="https://smd.iso-ne.com/committees/comm_wkgrps/prtcpnts_comm/pac/ceii/mtrls/2012/jan182012/chester_svc.pdf" TargetMode="External"/><Relationship Id="rId311" Type="http://schemas.openxmlformats.org/officeDocument/2006/relationships/hyperlink" Target="http://www.epri.com/abstracts/Pages/ProductAbstract.aspx?productId=000000000001026656" TargetMode="External"/><Relationship Id="rId332" Type="http://schemas.openxmlformats.org/officeDocument/2006/relationships/hyperlink" Target="http://www.ferc.gov/whats-new/comm-meet/2011/072111/E-6.pdf" TargetMode="External"/><Relationship Id="rId353" Type="http://schemas.openxmlformats.org/officeDocument/2006/relationships/hyperlink" Target="http://www.iso-ne.com/markets-operations/markets-development/wholesale-markets-project-plan" TargetMode="External"/><Relationship Id="rId374" Type="http://schemas.openxmlformats.org/officeDocument/2006/relationships/hyperlink" Target="http://www.mass.gov/eea/docs/dpu/orders/d-p-u-14-04-b-order-6-12-14.pdf" TargetMode="External"/><Relationship Id="rId71" Type="http://schemas.openxmlformats.org/officeDocument/2006/relationships/hyperlink" Target="http://www.iso-ne.com/regulatory/tariff/sect_3/index.html" TargetMode="External"/><Relationship Id="rId92" Type="http://schemas.openxmlformats.org/officeDocument/2006/relationships/hyperlink" Target="http://www.iso-ne.com/regulatory/ferc/orders/2014/apr/er12-953-004-4-28-14_order_accept_cap_zone_compliance.pdf" TargetMode="External"/><Relationship Id="rId213" Type="http://schemas.openxmlformats.org/officeDocument/2006/relationships/hyperlink" Target="https://smd.iso-ne.com/committees/comm_wkgrps/prtcpnts_comm/pac/ceii/mtrls/2011/apr132011/stamford.pdf" TargetMode="External"/><Relationship Id="rId234" Type="http://schemas.openxmlformats.org/officeDocument/2006/relationships/hyperlink" Target="http://www.iso-ne.com/regulatory/ferc/filings/2011/jun/er11-3891-000_06-27-11_fca_5_results_filing.pdf" TargetMode="External"/><Relationship Id="rId2" Type="http://schemas.openxmlformats.org/officeDocument/2006/relationships/hyperlink" Target="http://www.iso-ne.com/static-assets/documents/regulatory/tariff/attach_d/attachment_d.pdf" TargetMode="External"/><Relationship Id="rId29" Type="http://schemas.openxmlformats.org/officeDocument/2006/relationships/hyperlink" Target="https://smd.iso-ne.com/committees/comm_wkgrps/prtcpnts_comm/pac/ceii/mtrls/2014/may212014/a4_strategic_transmission_analysis_wind_power_update.pdf" TargetMode="External"/><Relationship Id="rId255" Type="http://schemas.openxmlformats.org/officeDocument/2006/relationships/hyperlink" Target="http://www.iso-ne.com/committees/comm_wkgrps/prtcpnts_comm/prtcpnts/mtrls/2014/feb72014/coo_report_feb_2014.pdf" TargetMode="External"/><Relationship Id="rId276" Type="http://schemas.openxmlformats.org/officeDocument/2006/relationships/hyperlink" Target="https://federalregister.gov/a/2013-10191" TargetMode="External"/><Relationship Id="rId297" Type="http://schemas.openxmlformats.org/officeDocument/2006/relationships/hyperlink" Target="http://www1.eere.energy.gov/wind/pdfs/55588.pdf" TargetMode="External"/><Relationship Id="rId40" Type="http://schemas.openxmlformats.org/officeDocument/2006/relationships/hyperlink" Target="http://www.iso-ne.com/static-assets/documents/committees/comm_wkgrps/prtcpnts_comm/pac/mtrls/2014/jun192014/a5_rsp14_project_list_update_final.zip" TargetMode="External"/><Relationship Id="rId115" Type="http://schemas.openxmlformats.org/officeDocument/2006/relationships/hyperlink" Target="http://www.iso-ne.com/committees/comm_wkgrps/othr/distributed_generation_frcst/2014mtrls/apr22014/dg_location_modeling.pdf" TargetMode="External"/><Relationship Id="rId136" Type="http://schemas.openxmlformats.org/officeDocument/2006/relationships/hyperlink" Target="http://www.iso-ne.com/committees/comm_wkgrps/prtcpnts_comm/pac/mtrls/2014/feb202014/a3_rsp_2014_transfer_capability_assumptions_2.pdf" TargetMode="External"/><Relationship Id="rId157" Type="http://schemas.openxmlformats.org/officeDocument/2006/relationships/hyperlink" Target="http://www.iso-ne.com/committees/comm_wkgrps/prtcpnts_comm/pac/index.html" TargetMode="External"/><Relationship Id="rId178" Type="http://schemas.openxmlformats.org/officeDocument/2006/relationships/hyperlink" Target="https://smd.iso-ne.com/committees/comm_wkgrps/prtcpnts_comm/pac/ceii/reports/2012/final_nhvt_solutions_followup.pdf" TargetMode="External"/><Relationship Id="rId301" Type="http://schemas.openxmlformats.org/officeDocument/2006/relationships/hyperlink" Target="http://grouper.ieee.org/groups/scc21/1547/1547_index.html" TargetMode="External"/><Relationship Id="rId322" Type="http://schemas.openxmlformats.org/officeDocument/2006/relationships/hyperlink" Target="http://www.eipconline.com/Non-DOE_Documents.html%20" TargetMode="External"/><Relationship Id="rId343" Type="http://schemas.openxmlformats.org/officeDocument/2006/relationships/hyperlink" Target="http://www.ferc.gov/CalendarFiles/20140307185442-RD14-6-000.pdf" TargetMode="External"/><Relationship Id="rId364" Type="http://schemas.openxmlformats.org/officeDocument/2006/relationships/hyperlink" Target="http://ieeexplore.ieee.org/xpl/articleDetails.jsp?arnumber=5484247&amp;searchWithin%3DFACTS%26sortType%3Dasc_p_Sequence%26filter%3DAND%28p_IS_Number%3A5484192%29" TargetMode="External"/><Relationship Id="rId61" Type="http://schemas.openxmlformats.org/officeDocument/2006/relationships/hyperlink" Target="http://www.iso-ne.com/markets-operations/markets-development/wholesale-markets-project-plan" TargetMode="External"/><Relationship Id="rId82" Type="http://schemas.openxmlformats.org/officeDocument/2006/relationships/hyperlink" Target="http://www.iso-ne.com/regulatory/toa/index.html" TargetMode="External"/><Relationship Id="rId199" Type="http://schemas.openxmlformats.org/officeDocument/2006/relationships/hyperlink" Target="https://smd.iso-ne.com/committees/comm_wkgrps/relblty_comm/relblty/ceii/ceii_mtrls/2014/feb182014/a8_brayton_py_npr_follow_up_analysis.pdf" TargetMode="External"/><Relationship Id="rId203" Type="http://schemas.openxmlformats.org/officeDocument/2006/relationships/hyperlink" Target="https://smd.iso-ne.com/committees/comm_wkgrps/prtcpnts_comm/pac/ceii/mtrls/2014/jun192014/a7_greater_boston_north_cambridge_stuck_breaker.pdf" TargetMode="External"/><Relationship Id="rId385" Type="http://schemas.openxmlformats.org/officeDocument/2006/relationships/hyperlink" Target="http://www.gencourt.state.nh.us/legislation/2014/HB1129.pdf" TargetMode="External"/><Relationship Id="rId19" Type="http://schemas.openxmlformats.org/officeDocument/2006/relationships/hyperlink" Target="http://www.iso-ne.com/static-assets/documents/regulatory/ferc/orders/2013/may/er13_193_er13_196_5_17_13_order_on_order_1000_compliance_filings.pdf" TargetMode="External"/><Relationship Id="rId224" Type="http://schemas.openxmlformats.org/officeDocument/2006/relationships/hyperlink" Target="https://smd.iso-ne.com/committees/comm_wkgrps/prtcpnts_comm/pac/ceii/mtrls/2011/apr132011/stamford.pdf" TargetMode="External"/><Relationship Id="rId245" Type="http://schemas.openxmlformats.org/officeDocument/2006/relationships/hyperlink" Target="http://www.iso-ne.com/regulatory/ferc/orders/2013/sep/er13-1851-000_9-16-2013_winter_rel.pdf" TargetMode="External"/><Relationship Id="rId266" Type="http://schemas.openxmlformats.org/officeDocument/2006/relationships/hyperlink" Target="http://www.iso-ne.com/static-assets/documents/regulatory/ferc/filings/2014/jul/er14_1639_001_7_11_14_compliance_renewables_exempt.pdf" TargetMode="External"/><Relationship Id="rId287" Type="http://schemas.openxmlformats.org/officeDocument/2006/relationships/hyperlink" Target="https://federalregister.gov/a/2013-15941" TargetMode="External"/><Relationship Id="rId30" Type="http://schemas.openxmlformats.org/officeDocument/2006/relationships/hyperlink" Target="http://www.iso-ne.com/static-assets/documents/committees/comm_wkgrps/prtcpnts_comm/pac/reports/2014/2011_eco_study_final.pdf%20" TargetMode="External"/><Relationship Id="rId105" Type="http://schemas.openxmlformats.org/officeDocument/2006/relationships/hyperlink" Target="http://www.iso-ne.com/static-assets/documents/markets/mkt_anlys_rpts/annl_mkt_rpts/2010/amr10_final_060311.pdf" TargetMode="External"/><Relationship Id="rId126" Type="http://schemas.openxmlformats.org/officeDocument/2006/relationships/hyperlink" Target="http://www.iso-ne.com/regulatory/ferc/filings/2012/dec/er12-953-001_12-3-12_fcm_redesign_compl.pdf" TargetMode="External"/><Relationship Id="rId147" Type="http://schemas.openxmlformats.org/officeDocument/2006/relationships/hyperlink" Target="file:///C:\Documents%20and%20Settings\cwendel\My%20Documents\2013%20Reports\RSP13\PAC%20SPARC%20Draft\In" TargetMode="External"/><Relationship Id="rId168" Type="http://schemas.openxmlformats.org/officeDocument/2006/relationships/hyperlink" Target="https://smd.iso-ne.com/committees/comm_wkgrps/prtcpnts_comm/pac/ceii/mtrls/2014/jun192014/a8_baird_substation_study.pdf" TargetMode="External"/><Relationship Id="rId312" Type="http://schemas.openxmlformats.org/officeDocument/2006/relationships/hyperlink" Target="http://www.iso-ne.com/static-assets/documents/committees/comm_wkgrps/mrkts_comm/mrkts/mtrls/2014/mar12132014/a02a_the_brattle_group_stakeholder_demand_curves_performance_summary_03_11_14.pptx" TargetMode="External"/><Relationship Id="rId333" Type="http://schemas.openxmlformats.org/officeDocument/2006/relationships/hyperlink" Target="http://www.ferc.gov/whats-new/comm-meet/2007/021507/E-1.pdf" TargetMode="External"/><Relationship Id="rId354" Type="http://schemas.openxmlformats.org/officeDocument/2006/relationships/hyperlink" Target="https://www.ieee.org/membership-catalog/productdetail/showProductDetailPage.html?product=CMYSG735" TargetMode="External"/><Relationship Id="rId51" Type="http://schemas.openxmlformats.org/officeDocument/2006/relationships/hyperlink" Target="http://www.iso-ne.com/static-assets/documents/genrtion_resrcs/reports/emission/2012_emissions_report_final_v2.pdf" TargetMode="External"/><Relationship Id="rId72" Type="http://schemas.openxmlformats.org/officeDocument/2006/relationships/hyperlink" Target="http://www.iso-ne.com/system-planning/system-plans-studies/rsp" TargetMode="External"/><Relationship Id="rId93" Type="http://schemas.openxmlformats.org/officeDocument/2006/relationships/hyperlink" Target="http://www.iso-ne.com/system-planning/system-plans-studies/celt" TargetMode="External"/><Relationship Id="rId189" Type="http://schemas.openxmlformats.org/officeDocument/2006/relationships/hyperlink" Target="https://smd.iso-ne.com/trans/sys_studies/rsp_docs/pres/2007/maine_power_reliability_program_steady_state_needs_assessment.pdf" TargetMode="External"/><Relationship Id="rId375" Type="http://schemas.openxmlformats.org/officeDocument/2006/relationships/hyperlink" Target="http://www.mass.gov/eea/docs/dpu/orders/dpu-12-76-b-order-6-12-2014.pdf" TargetMode="External"/><Relationship Id="rId3" Type="http://schemas.openxmlformats.org/officeDocument/2006/relationships/hyperlink" Target="http://www.iso-ne.com/system-planning/system-plans-studies/rsp" TargetMode="External"/><Relationship Id="rId214" Type="http://schemas.openxmlformats.org/officeDocument/2006/relationships/hyperlink" Target="https://smd.iso-ne.com/committees/comm_wkgrps/prtcpnts_comm/pac/ceii/mtrls/2013/may232013/a3_swct_needs_assessment_052313.pdf" TargetMode="External"/><Relationship Id="rId235" Type="http://schemas.openxmlformats.org/officeDocument/2006/relationships/hyperlink" Target="http://www.iso-ne.com/isoexpress/web/reports/auctions/-/tree/fcm-auction-results" TargetMode="External"/><Relationship Id="rId256" Type="http://schemas.openxmlformats.org/officeDocument/2006/relationships/hyperlink" Target="http://www.iso-ne.com/committees/comm_wkgrps/prtcpnts_comm/pac/mtrls/2013/nov202013/icf_upstream_gen_impacts_white_paper_11-18-2013.pdf" TargetMode="External"/><Relationship Id="rId277" Type="http://schemas.openxmlformats.org/officeDocument/2006/relationships/hyperlink" Target="http://www.fws.gov/endangered/esa-library/pdf/ESAall.pdf" TargetMode="External"/><Relationship Id="rId298" Type="http://schemas.openxmlformats.org/officeDocument/2006/relationships/hyperlink" Target="https://smd.iso-ne.com/committees/comm_wkgrps/prtcpnts_comm/pac/ceii/mtrls/2010/sep212010/northern_maine.pdf" TargetMode="External"/><Relationship Id="rId116" Type="http://schemas.openxmlformats.org/officeDocument/2006/relationships/hyperlink" Target="http://www.iso-ne.com/system-planning/resource-planning/installed-capacity-requirements" TargetMode="External"/><Relationship Id="rId137" Type="http://schemas.openxmlformats.org/officeDocument/2006/relationships/hyperlink" Target="http://www.iso-ne.com/committees/comm_wkgrps/prtcpnts_comm/pac/mtrls/2014/mar172014/a8_rsp14_transmission_interface_transfer_capabilities.pdf" TargetMode="External"/><Relationship Id="rId158" Type="http://schemas.openxmlformats.org/officeDocument/2006/relationships/hyperlink" Target="http://www.iso-ne.com/system-planning/system-plans-studies/rsp" TargetMode="External"/><Relationship Id="rId302" Type="http://schemas.openxmlformats.org/officeDocument/2006/relationships/hyperlink" Target="file:///C:\Users\cwendel\Documents\2014%20Reports\RSP14\FInal%20Draft%20for%20BOD\2012%20Economic%20Study,%20final%20report" TargetMode="External"/><Relationship Id="rId323" Type="http://schemas.openxmlformats.org/officeDocument/2006/relationships/hyperlink" Target="http://www.eipconline.com/Stakeholder_Activities.html" TargetMode="External"/><Relationship Id="rId344" Type="http://schemas.openxmlformats.org/officeDocument/2006/relationships/hyperlink" Target="http://www.nescoe.com" TargetMode="External"/><Relationship Id="rId20" Type="http://schemas.openxmlformats.org/officeDocument/2006/relationships/hyperlink" Target="http://www.iso-ne.com/regulatory/tariff/index.html" TargetMode="External"/><Relationship Id="rId41" Type="http://schemas.openxmlformats.org/officeDocument/2006/relationships/hyperlink" Target="https://smd.iso-ne.com/committees/comm_wkgrps/prtcpnts_comm/pac/ceii/mtrls/2012/dec132012/mprp_transfer_limits.pdf" TargetMode="External"/><Relationship Id="rId62" Type="http://schemas.openxmlformats.org/officeDocument/2006/relationships/hyperlink" Target="http://www.iso-ne.com/regulatory/tariff/index.html" TargetMode="External"/><Relationship Id="rId83" Type="http://schemas.openxmlformats.org/officeDocument/2006/relationships/hyperlink" Target="http://www.iso-ne.com/regulatory/ferc/filings/2013/jul/er13-1960-000_7-10-2013_order_1000.pdf" TargetMode="External"/><Relationship Id="rId179" Type="http://schemas.openxmlformats.org/officeDocument/2006/relationships/hyperlink" Target="https://smd.iso-ne.com/committees/comm_wkgrps/prtcpnts_comm/pac/ceii/reports/2012/nhvt_sol_followup_apps.pdf" TargetMode="External"/><Relationship Id="rId365" Type="http://schemas.openxmlformats.org/officeDocument/2006/relationships/hyperlink" Target="http://www.iso-ne.com/static-assets/documents/trans/rsp/2013/rsp13_final.docx" TargetMode="External"/><Relationship Id="rId386" Type="http://schemas.openxmlformats.org/officeDocument/2006/relationships/hyperlink" Target="http://webserver.rilin.state.ri.us/BillText/BillText14/SenateText14/S2690Aaa.pdf" TargetMode="External"/><Relationship Id="rId190" Type="http://schemas.openxmlformats.org/officeDocument/2006/relationships/hyperlink" Target="https://smd.iso-ne.com/trans/sys_studies/rsp_docs/pres/2007/maine_power_reliability_program_needs_assessment_final_report.pdf" TargetMode="External"/><Relationship Id="rId204" Type="http://schemas.openxmlformats.org/officeDocument/2006/relationships/hyperlink" Target="https://smd.iso-ne.com/committees/comm_wkgrps/prtcpnts_comm/pac/ceii/mtrls/2013/apr242013/a10_nstar_greater_boston_cable_ratings.pdf" TargetMode="External"/><Relationship Id="rId225" Type="http://schemas.openxmlformats.org/officeDocument/2006/relationships/hyperlink" Target="https://smd.iso-ne.com/committees/comm_wkgrps/prtcpnts_comm/pac/ceii/mtrls/2013/dec182013/a6_nu_advanced_greater_boston_solutions.ppt" TargetMode="External"/><Relationship Id="rId246" Type="http://schemas.openxmlformats.org/officeDocument/2006/relationships/hyperlink" Target="http://www.iso-ne.com/static-assets/documents/regulatory/ferc/filings/2014/jul/er14_2407_000_win_rel_pro_7_11_2014.pdf%20" TargetMode="External"/><Relationship Id="rId267" Type="http://schemas.openxmlformats.org/officeDocument/2006/relationships/hyperlink" Target="http://www.ferc.gov/CalendarFiles/20131115164637-RM13-17-000.pdf" TargetMode="External"/><Relationship Id="rId288" Type="http://schemas.openxmlformats.org/officeDocument/2006/relationships/hyperlink" Target="http://www.federalregister.gov/a/2012-7820/p-219" TargetMode="External"/><Relationship Id="rId106" Type="http://schemas.openxmlformats.org/officeDocument/2006/relationships/hyperlink" Target="http://www.iso-ne.com/system-planning/system-plans-studies/celt" TargetMode="External"/><Relationship Id="rId127" Type="http://schemas.openxmlformats.org/officeDocument/2006/relationships/hyperlink" Target="http://www.iso-ne.com/regulatory/ferc/orders/2013/feb/er12-953-001_2-12-13_order_fcm_compliance.pdf" TargetMode="External"/><Relationship Id="rId313" Type="http://schemas.openxmlformats.org/officeDocument/2006/relationships/hyperlink" Target="http://www.iso-ne.com/trans/rsp/index.html" TargetMode="External"/><Relationship Id="rId10" Type="http://schemas.openxmlformats.org/officeDocument/2006/relationships/hyperlink" Target="http://www.iso-ne.com/participate/support/request-information" TargetMode="External"/><Relationship Id="rId31" Type="http://schemas.openxmlformats.org/officeDocument/2006/relationships/hyperlink" Target="http://www.iso-ne.com/static-assets/documents/committees/comm_wkgrps/prtcpnts_comm/pac/reports/2014/a9_2012_economic_study_final.pdf" TargetMode="External"/><Relationship Id="rId52" Type="http://schemas.openxmlformats.org/officeDocument/2006/relationships/hyperlink" Target="http://www.iso-ne.com/static-assets/documents/regulatory/tariff/attach_d/attachment_d.pdf" TargetMode="External"/><Relationship Id="rId73" Type="http://schemas.openxmlformats.org/officeDocument/2006/relationships/hyperlink" Target="http://www.iso-ne.com/trans/rsp/index.html" TargetMode="External"/><Relationship Id="rId94" Type="http://schemas.openxmlformats.org/officeDocument/2006/relationships/hyperlink" Target="http://www.iso-ne.com/static-assets/documents/trans/celt/report/2014/2014_celt_report_rev.pdf" TargetMode="External"/><Relationship Id="rId148" Type="http://schemas.openxmlformats.org/officeDocument/2006/relationships/hyperlink" Target="http://www.iso-ne.com/system-planning/transmission-planning/interconnection-request-queue" TargetMode="External"/><Relationship Id="rId169" Type="http://schemas.openxmlformats.org/officeDocument/2006/relationships/hyperlink" Target="http://www.iso-ne.com/static-assets/documents/committees/comm_wkgrps/prtcpnts_comm/pac/mtrls/2014/feb192014/a6_2014_lmp_interface_flows.pdf" TargetMode="External"/><Relationship Id="rId334" Type="http://schemas.openxmlformats.org/officeDocument/2006/relationships/hyperlink" Target="http://www.iso-ne.com/regulatory/ferc/filings/2012/oct/er13-193-000_10-25-12_order_1000_compliance_part_1.pdf" TargetMode="External"/><Relationship Id="rId355" Type="http://schemas.openxmlformats.org/officeDocument/2006/relationships/hyperlink" Target="http://www.ieee-pes.org/nari-hingorani-facts-award" TargetMode="External"/><Relationship Id="rId376" Type="http://schemas.openxmlformats.org/officeDocument/2006/relationships/hyperlink" Target="https://malegislature.gov/Bills/188/House/H4385" TargetMode="External"/><Relationship Id="rId4" Type="http://schemas.openxmlformats.org/officeDocument/2006/relationships/hyperlink" Target="http://www.iso-ne.com/committees/participants/participants-committee" TargetMode="External"/><Relationship Id="rId180" Type="http://schemas.openxmlformats.org/officeDocument/2006/relationships/hyperlink" Target="http://www.iso-ne.com/system-planning/key-study-areas/vt-nh" TargetMode="External"/><Relationship Id="rId215" Type="http://schemas.openxmlformats.org/officeDocument/2006/relationships/hyperlink" Target="https://smd.iso-ne.com/committees/comm_wkgrps/prtcpnts_comm/pac/ceii/mtrls/2014/feb192014/a9_swct_needs_assessment_2.pdf" TargetMode="External"/><Relationship Id="rId236" Type="http://schemas.openxmlformats.org/officeDocument/2006/relationships/hyperlink" Target="http://www.iso-ne.com/pubs/spcl_rpts/2014/2014_market_overview_050614.pdf" TargetMode="External"/><Relationship Id="rId257" Type="http://schemas.openxmlformats.org/officeDocument/2006/relationships/hyperlink" Target="http://www.iso-ne.com/committees/comm_wkgrps/prtcpnts_comm/pac/mtrls/2013/dec182013/a3_draft_icf_phase_2_gas_study_report_without_appendices.pdf" TargetMode="External"/><Relationship Id="rId278" Type="http://schemas.openxmlformats.org/officeDocument/2006/relationships/hyperlink" Target="https://federalregister.gov/a/98-26773" TargetMode="External"/><Relationship Id="rId303" Type="http://schemas.openxmlformats.org/officeDocument/2006/relationships/hyperlink" Target="http://www.iso-ne.com/static-assets/documents/committees/comm_wkgrps/prtcpnts_comm/pac/reports/2014/a9_2012_economic_study_final.pdf" TargetMode="External"/><Relationship Id="rId42" Type="http://schemas.openxmlformats.org/officeDocument/2006/relationships/hyperlink" Target="https://smd.iso-ne.com/committees/comm_wkgrps/prtcpnts_comm/pac/ceii/reports/2012/mprp_transfer_limits.pdf" TargetMode="External"/><Relationship Id="rId84" Type="http://schemas.openxmlformats.org/officeDocument/2006/relationships/hyperlink" Target="http://www.iso-ne.com/regulatory/ferc/filings/2013/jul/er13-1957-000_7-10-2013_protocol.pdf" TargetMode="External"/><Relationship Id="rId138" Type="http://schemas.openxmlformats.org/officeDocument/2006/relationships/hyperlink" Target="https://smd.iso-ne.com/committees/comm_wkgrps/prtcpnts_comm/pac/ceii/mtrls/2014/mar242014/a6_rsp14_transfer_capability_assumptions_pt4.pdf" TargetMode="External"/><Relationship Id="rId345" Type="http://schemas.openxmlformats.org/officeDocument/2006/relationships/hyperlink" Target="http://www.nescoe.com/Gas_Supply_Study.html" TargetMode="External"/><Relationship Id="rId387" Type="http://schemas.openxmlformats.org/officeDocument/2006/relationships/hyperlink" Target="http://webserver.rilin.state.ri.us/BillText/BillText14/HouseText14/H7727Aaa.pdf" TargetMode="External"/></Relationships>
</file>

<file path=word/theme/theme1.xml><?xml version="1.0" encoding="utf-8"?>
<a:theme xmlns:a="http://schemas.openxmlformats.org/drawingml/2006/main" name="Office Theme">
  <a:themeElements>
    <a:clrScheme name="ISO New England">
      <a:dk1>
        <a:srgbClr val="000000"/>
      </a:dk1>
      <a:lt1>
        <a:srgbClr val="FFFFFF"/>
      </a:lt1>
      <a:dk2>
        <a:srgbClr val="11479D"/>
      </a:dk2>
      <a:lt2>
        <a:srgbClr val="F9AF1C"/>
      </a:lt2>
      <a:accent1>
        <a:srgbClr val="F5943C"/>
      </a:accent1>
      <a:accent2>
        <a:srgbClr val="E7251A"/>
      </a:accent2>
      <a:accent3>
        <a:srgbClr val="6159A6"/>
      </a:accent3>
      <a:accent4>
        <a:srgbClr val="0082CF"/>
      </a:accent4>
      <a:accent5>
        <a:srgbClr val="77BD2A"/>
      </a:accent5>
      <a:accent6>
        <a:srgbClr val="9B8F8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D675FA8-C946-4245-9C9D-B6E520AFACCE}">
  <ds:schemaRefs>
    <ds:schemaRef ds:uri="http://schemas.openxmlformats.org/officeDocument/2006/bibliography"/>
  </ds:schemaRefs>
</ds:datastoreItem>
</file>

<file path=customXml/itemProps2.xml><?xml version="1.0" encoding="utf-8"?>
<ds:datastoreItem xmlns:ds="http://schemas.openxmlformats.org/officeDocument/2006/customXml" ds:itemID="{99AD8549-E76B-4BF7-BEC1-4102EC95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80448</Words>
  <Characters>458560</Characters>
  <Application>Microsoft Office Word</Application>
  <DocSecurity>8</DocSecurity>
  <Lines>3821</Lines>
  <Paragraphs>1075</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537933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kcondon</dc:creator>
  <cp:lastModifiedBy>Carol Wendel</cp:lastModifiedBy>
  <cp:revision>2</cp:revision>
  <cp:lastPrinted>2014-10-06T20:22:00Z</cp:lastPrinted>
  <dcterms:created xsi:type="dcterms:W3CDTF">2014-11-06T19:15:00Z</dcterms:created>
  <dcterms:modified xsi:type="dcterms:W3CDTF">2014-11-06T19:15:00Z</dcterms:modified>
</cp:coreProperties>
</file>